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A8AA7" w14:textId="77777777" w:rsidR="00291417" w:rsidRPr="00683C72" w:rsidRDefault="00291417" w:rsidP="00291417">
      <w:pPr>
        <w:spacing w:after="0"/>
        <w:jc w:val="center"/>
        <w:rPr>
          <w:highlight w:val="yellow"/>
        </w:rPr>
      </w:pPr>
      <w:bookmarkStart w:id="0" w:name="_GoBack"/>
      <w:bookmarkEnd w:id="0"/>
      <w:r w:rsidRPr="00683C72">
        <w:rPr>
          <w:noProof/>
          <w:highlight w:val="yellow"/>
          <w:lang w:eastAsia="cs-CZ"/>
        </w:rPr>
        <w:drawing>
          <wp:anchor distT="0" distB="0" distL="114300" distR="114300" simplePos="0" relativeHeight="251673600" behindDoc="0" locked="0" layoutInCell="1" allowOverlap="1" wp14:anchorId="5E59EB40" wp14:editId="3AA2E91E">
            <wp:simplePos x="0" y="0"/>
            <wp:positionH relativeFrom="margin">
              <wp:align>center</wp:align>
            </wp:positionH>
            <wp:positionV relativeFrom="paragraph">
              <wp:posOffset>31750</wp:posOffset>
            </wp:positionV>
            <wp:extent cx="792480" cy="559435"/>
            <wp:effectExtent l="0" t="0" r="7620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703104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55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395EF06" w14:textId="77777777" w:rsidR="00291417" w:rsidRPr="00683C72" w:rsidRDefault="00291417" w:rsidP="00291417">
      <w:pPr>
        <w:spacing w:after="0"/>
        <w:jc w:val="center"/>
        <w:rPr>
          <w:highlight w:val="yellow"/>
        </w:rPr>
      </w:pPr>
    </w:p>
    <w:p w14:paraId="39FFA886" w14:textId="77777777" w:rsidR="00291417" w:rsidRPr="00683C72" w:rsidRDefault="00291417" w:rsidP="00291417">
      <w:pPr>
        <w:spacing w:after="0"/>
        <w:jc w:val="center"/>
        <w:rPr>
          <w:highlight w:val="yellow"/>
        </w:rPr>
      </w:pPr>
    </w:p>
    <w:p w14:paraId="1FF0F360" w14:textId="77777777" w:rsidR="00291417" w:rsidRPr="00920E6B" w:rsidRDefault="00291417" w:rsidP="00291417">
      <w:pPr>
        <w:spacing w:after="0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920E6B">
        <w:rPr>
          <w:rFonts w:asciiTheme="minorHAnsi" w:eastAsiaTheme="minorHAnsi" w:hAnsiTheme="minorHAnsi" w:cstheme="minorHAnsi"/>
          <w:b/>
          <w:sz w:val="28"/>
          <w:szCs w:val="28"/>
        </w:rPr>
        <w:t>Kontrolní závěr z kontrolní akce</w:t>
      </w:r>
    </w:p>
    <w:p w14:paraId="79B5636B" w14:textId="77777777" w:rsidR="00031FF6" w:rsidRPr="00683C72" w:rsidRDefault="00031FF6" w:rsidP="00031FF6">
      <w:pPr>
        <w:spacing w:after="0"/>
        <w:jc w:val="center"/>
        <w:rPr>
          <w:highlight w:val="yellow"/>
        </w:rPr>
      </w:pPr>
    </w:p>
    <w:p w14:paraId="3EB3ECE4" w14:textId="77777777" w:rsidR="00EC3A0D" w:rsidRPr="00920E6B" w:rsidRDefault="0000654C" w:rsidP="00031FF6">
      <w:pPr>
        <w:spacing w:after="0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920E6B">
        <w:rPr>
          <w:rFonts w:asciiTheme="minorHAnsi" w:eastAsiaTheme="minorHAnsi" w:hAnsiTheme="minorHAnsi" w:cstheme="minorHAnsi"/>
          <w:b/>
          <w:sz w:val="28"/>
          <w:szCs w:val="28"/>
        </w:rPr>
        <w:t>2</w:t>
      </w:r>
      <w:r w:rsidR="007A67D6">
        <w:rPr>
          <w:rFonts w:asciiTheme="minorHAnsi" w:eastAsiaTheme="minorHAnsi" w:hAnsiTheme="minorHAnsi" w:cstheme="minorHAnsi"/>
          <w:b/>
          <w:sz w:val="28"/>
          <w:szCs w:val="28"/>
        </w:rPr>
        <w:t>1/27</w:t>
      </w:r>
    </w:p>
    <w:p w14:paraId="1793CBC2" w14:textId="77777777" w:rsidR="00031FF6" w:rsidRPr="00683C72" w:rsidRDefault="00031FF6" w:rsidP="00031FF6">
      <w:pPr>
        <w:spacing w:after="0"/>
        <w:jc w:val="center"/>
        <w:rPr>
          <w:highlight w:val="yellow"/>
        </w:rPr>
      </w:pPr>
    </w:p>
    <w:p w14:paraId="1BFC9EA8" w14:textId="77777777" w:rsidR="00937A73" w:rsidRPr="00920E6B" w:rsidRDefault="0000654C" w:rsidP="00DB6C92">
      <w:pPr>
        <w:spacing w:after="0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920E6B">
        <w:rPr>
          <w:rFonts w:asciiTheme="minorHAnsi" w:eastAsiaTheme="minorHAnsi" w:hAnsiTheme="minorHAnsi" w:cstheme="minorHAnsi"/>
          <w:b/>
          <w:sz w:val="28"/>
          <w:szCs w:val="28"/>
        </w:rPr>
        <w:t xml:space="preserve">Závěrečný účet kapitoly státního rozpočtu </w:t>
      </w:r>
      <w:r w:rsidRPr="006335DD">
        <w:rPr>
          <w:rFonts w:asciiTheme="minorHAnsi" w:eastAsiaTheme="minorHAnsi" w:hAnsiTheme="minorHAnsi" w:cstheme="minorHAnsi"/>
          <w:b/>
          <w:i/>
          <w:iCs/>
          <w:sz w:val="28"/>
          <w:szCs w:val="28"/>
        </w:rPr>
        <w:t>Ministerstvo</w:t>
      </w:r>
      <w:r w:rsidR="007A67D6" w:rsidRPr="006335DD">
        <w:rPr>
          <w:rFonts w:asciiTheme="minorHAnsi" w:eastAsiaTheme="minorHAnsi" w:hAnsiTheme="minorHAnsi" w:cstheme="minorHAnsi"/>
          <w:b/>
          <w:i/>
          <w:iCs/>
          <w:sz w:val="28"/>
          <w:szCs w:val="28"/>
        </w:rPr>
        <w:t xml:space="preserve"> vnitra</w:t>
      </w:r>
      <w:r w:rsidRPr="00920E6B">
        <w:rPr>
          <w:rFonts w:asciiTheme="minorHAnsi" w:eastAsiaTheme="minorHAnsi" w:hAnsiTheme="minorHAnsi" w:cstheme="minorHAnsi"/>
          <w:b/>
          <w:sz w:val="28"/>
          <w:szCs w:val="28"/>
        </w:rPr>
        <w:t xml:space="preserve"> za rok 202</w:t>
      </w:r>
      <w:r w:rsidR="007A67D6">
        <w:rPr>
          <w:rFonts w:asciiTheme="minorHAnsi" w:eastAsiaTheme="minorHAnsi" w:hAnsiTheme="minorHAnsi" w:cstheme="minorHAnsi"/>
          <w:b/>
          <w:sz w:val="28"/>
          <w:szCs w:val="28"/>
        </w:rPr>
        <w:t>1</w:t>
      </w:r>
      <w:r w:rsidRPr="00920E6B">
        <w:rPr>
          <w:rFonts w:asciiTheme="minorHAnsi" w:eastAsiaTheme="minorHAnsi" w:hAnsiTheme="minorHAnsi" w:cstheme="minorHAnsi"/>
          <w:b/>
          <w:sz w:val="28"/>
          <w:szCs w:val="28"/>
        </w:rPr>
        <w:t>, účetn</w:t>
      </w:r>
      <w:r w:rsidR="007A67D6">
        <w:rPr>
          <w:rFonts w:asciiTheme="minorHAnsi" w:eastAsiaTheme="minorHAnsi" w:hAnsiTheme="minorHAnsi" w:cstheme="minorHAnsi"/>
          <w:b/>
          <w:sz w:val="28"/>
          <w:szCs w:val="28"/>
        </w:rPr>
        <w:t>ictví</w:t>
      </w:r>
      <w:r w:rsidRPr="00920E6B">
        <w:rPr>
          <w:rFonts w:asciiTheme="minorHAnsi" w:eastAsiaTheme="minorHAnsi" w:hAnsiTheme="minorHAnsi" w:cstheme="minorHAnsi"/>
          <w:b/>
          <w:sz w:val="28"/>
          <w:szCs w:val="28"/>
        </w:rPr>
        <w:t xml:space="preserve"> Ministerstva</w:t>
      </w:r>
      <w:r w:rsidR="007A67D6">
        <w:rPr>
          <w:rFonts w:asciiTheme="minorHAnsi" w:eastAsiaTheme="minorHAnsi" w:hAnsiTheme="minorHAnsi" w:cstheme="minorHAnsi"/>
          <w:b/>
          <w:sz w:val="28"/>
          <w:szCs w:val="28"/>
        </w:rPr>
        <w:t xml:space="preserve"> vnitra</w:t>
      </w:r>
      <w:r w:rsidRPr="00920E6B">
        <w:rPr>
          <w:rFonts w:asciiTheme="minorHAnsi" w:eastAsiaTheme="minorHAnsi" w:hAnsiTheme="minorHAnsi" w:cstheme="minorHAnsi"/>
          <w:b/>
          <w:sz w:val="28"/>
          <w:szCs w:val="28"/>
        </w:rPr>
        <w:t xml:space="preserve"> za rok 202</w:t>
      </w:r>
      <w:r w:rsidR="007A67D6">
        <w:rPr>
          <w:rFonts w:asciiTheme="minorHAnsi" w:eastAsiaTheme="minorHAnsi" w:hAnsiTheme="minorHAnsi" w:cstheme="minorHAnsi"/>
          <w:b/>
          <w:sz w:val="28"/>
          <w:szCs w:val="28"/>
        </w:rPr>
        <w:t>1</w:t>
      </w:r>
      <w:r w:rsidRPr="00920E6B">
        <w:rPr>
          <w:rFonts w:asciiTheme="minorHAnsi" w:eastAsiaTheme="minorHAnsi" w:hAnsiTheme="minorHAnsi" w:cstheme="minorHAnsi"/>
          <w:b/>
          <w:sz w:val="28"/>
          <w:szCs w:val="28"/>
        </w:rPr>
        <w:t xml:space="preserve"> a údaje předkládané Ministerstvem</w:t>
      </w:r>
      <w:r w:rsidR="007A67D6">
        <w:rPr>
          <w:rFonts w:asciiTheme="minorHAnsi" w:eastAsiaTheme="minorHAnsi" w:hAnsiTheme="minorHAnsi" w:cstheme="minorHAnsi"/>
          <w:b/>
          <w:sz w:val="28"/>
          <w:szCs w:val="28"/>
        </w:rPr>
        <w:t xml:space="preserve"> vnitra</w:t>
      </w:r>
      <w:r w:rsidRPr="00920E6B">
        <w:rPr>
          <w:rFonts w:asciiTheme="minorHAnsi" w:eastAsiaTheme="minorHAnsi" w:hAnsiTheme="minorHAnsi" w:cstheme="minorHAnsi"/>
          <w:b/>
          <w:sz w:val="28"/>
          <w:szCs w:val="28"/>
        </w:rPr>
        <w:t xml:space="preserve"> pro hodnocení plnění státního rozpočtu za rok 202</w:t>
      </w:r>
      <w:r w:rsidR="007A67D6">
        <w:rPr>
          <w:rFonts w:asciiTheme="minorHAnsi" w:eastAsiaTheme="minorHAnsi" w:hAnsiTheme="minorHAnsi" w:cstheme="minorHAnsi"/>
          <w:b/>
          <w:sz w:val="28"/>
          <w:szCs w:val="28"/>
        </w:rPr>
        <w:t>1</w:t>
      </w:r>
    </w:p>
    <w:p w14:paraId="455F49F4" w14:textId="77777777" w:rsidR="00937A73" w:rsidRPr="00683C72" w:rsidRDefault="00937A73" w:rsidP="00031FF6">
      <w:pPr>
        <w:spacing w:after="0"/>
        <w:jc w:val="both"/>
        <w:rPr>
          <w:highlight w:val="yellow"/>
        </w:rPr>
      </w:pPr>
    </w:p>
    <w:p w14:paraId="73A4F4F2" w14:textId="77777777" w:rsidR="00E86085" w:rsidRPr="00683C72" w:rsidRDefault="00E86085" w:rsidP="00031FF6">
      <w:pPr>
        <w:spacing w:after="0"/>
        <w:jc w:val="both"/>
        <w:rPr>
          <w:highlight w:val="yellow"/>
        </w:rPr>
      </w:pPr>
    </w:p>
    <w:p w14:paraId="1A55E9EB" w14:textId="77777777" w:rsidR="00EC3A0D" w:rsidRPr="00920E6B" w:rsidRDefault="00DB6C92" w:rsidP="00031FF6">
      <w:pPr>
        <w:spacing w:after="0"/>
        <w:jc w:val="both"/>
        <w:rPr>
          <w:rFonts w:asciiTheme="minorHAnsi" w:eastAsiaTheme="minorHAnsi" w:hAnsiTheme="minorHAnsi" w:cstheme="minorHAnsi"/>
        </w:rPr>
      </w:pPr>
      <w:r w:rsidRPr="00920E6B">
        <w:rPr>
          <w:rFonts w:asciiTheme="minorHAnsi" w:eastAsiaTheme="minorHAnsi" w:hAnsiTheme="minorHAnsi" w:cstheme="minorHAnsi"/>
        </w:rPr>
        <w:t>Kontrolní akce</w:t>
      </w:r>
      <w:r w:rsidR="000377B3" w:rsidRPr="00920E6B">
        <w:rPr>
          <w:rFonts w:asciiTheme="minorHAnsi" w:eastAsiaTheme="minorHAnsi" w:hAnsiTheme="minorHAnsi" w:cstheme="minorHAnsi"/>
        </w:rPr>
        <w:t xml:space="preserve"> (dále také „KA“)</w:t>
      </w:r>
      <w:r w:rsidRPr="00920E6B">
        <w:rPr>
          <w:rFonts w:asciiTheme="minorHAnsi" w:eastAsiaTheme="minorHAnsi" w:hAnsiTheme="minorHAnsi" w:cstheme="minorHAnsi"/>
        </w:rPr>
        <w:t xml:space="preserve"> byla zařazena do plánu kontrolní činnosti Nejvyššího kontrolního úřadu (dále </w:t>
      </w:r>
      <w:r w:rsidR="007D50B9">
        <w:rPr>
          <w:rFonts w:asciiTheme="minorHAnsi" w:eastAsiaTheme="minorHAnsi" w:hAnsiTheme="minorHAnsi" w:cstheme="minorHAnsi"/>
        </w:rPr>
        <w:t>také</w:t>
      </w:r>
      <w:r w:rsidRPr="00920E6B">
        <w:rPr>
          <w:rFonts w:asciiTheme="minorHAnsi" w:eastAsiaTheme="minorHAnsi" w:hAnsiTheme="minorHAnsi" w:cstheme="minorHAnsi"/>
        </w:rPr>
        <w:t xml:space="preserve"> „NKÚ“) na rok </w:t>
      </w:r>
      <w:r w:rsidR="0000654C" w:rsidRPr="00920E6B">
        <w:rPr>
          <w:rFonts w:asciiTheme="minorHAnsi" w:eastAsiaTheme="minorHAnsi" w:hAnsiTheme="minorHAnsi" w:cstheme="minorHAnsi"/>
        </w:rPr>
        <w:t>202</w:t>
      </w:r>
      <w:r w:rsidR="007A67D6">
        <w:rPr>
          <w:rFonts w:asciiTheme="minorHAnsi" w:eastAsiaTheme="minorHAnsi" w:hAnsiTheme="minorHAnsi" w:cstheme="minorHAnsi"/>
        </w:rPr>
        <w:t>1</w:t>
      </w:r>
      <w:r w:rsidR="0000654C" w:rsidRPr="00920E6B">
        <w:rPr>
          <w:rFonts w:asciiTheme="minorHAnsi" w:eastAsiaTheme="minorHAnsi" w:hAnsiTheme="minorHAnsi" w:cstheme="minorHAnsi"/>
        </w:rPr>
        <w:t xml:space="preserve"> pod číslem 2</w:t>
      </w:r>
      <w:r w:rsidR="007A67D6">
        <w:rPr>
          <w:rFonts w:asciiTheme="minorHAnsi" w:eastAsiaTheme="minorHAnsi" w:hAnsiTheme="minorHAnsi" w:cstheme="minorHAnsi"/>
        </w:rPr>
        <w:t>1</w:t>
      </w:r>
      <w:r w:rsidR="0000654C" w:rsidRPr="00920E6B">
        <w:rPr>
          <w:rFonts w:asciiTheme="minorHAnsi" w:eastAsiaTheme="minorHAnsi" w:hAnsiTheme="minorHAnsi" w:cstheme="minorHAnsi"/>
        </w:rPr>
        <w:t>/</w:t>
      </w:r>
      <w:r w:rsidR="00920E6B" w:rsidRPr="00920E6B">
        <w:rPr>
          <w:rFonts w:asciiTheme="minorHAnsi" w:eastAsiaTheme="minorHAnsi" w:hAnsiTheme="minorHAnsi" w:cstheme="minorHAnsi"/>
        </w:rPr>
        <w:t>2</w:t>
      </w:r>
      <w:r w:rsidR="007A67D6">
        <w:rPr>
          <w:rFonts w:asciiTheme="minorHAnsi" w:eastAsiaTheme="minorHAnsi" w:hAnsiTheme="minorHAnsi" w:cstheme="minorHAnsi"/>
        </w:rPr>
        <w:t>7</w:t>
      </w:r>
      <w:r w:rsidRPr="00920E6B">
        <w:rPr>
          <w:rFonts w:asciiTheme="minorHAnsi" w:eastAsiaTheme="minorHAnsi" w:hAnsiTheme="minorHAnsi" w:cstheme="minorHAnsi"/>
        </w:rPr>
        <w:t>. Kontrolní akci řídila a</w:t>
      </w:r>
      <w:r w:rsidR="000E2690">
        <w:rPr>
          <w:rFonts w:asciiTheme="minorHAnsi" w:eastAsiaTheme="minorHAnsi" w:hAnsiTheme="minorHAnsi" w:cstheme="minorHAnsi"/>
        </w:rPr>
        <w:t> </w:t>
      </w:r>
      <w:r w:rsidRPr="00920E6B">
        <w:rPr>
          <w:rFonts w:asciiTheme="minorHAnsi" w:eastAsiaTheme="minorHAnsi" w:hAnsiTheme="minorHAnsi" w:cstheme="minorHAnsi"/>
        </w:rPr>
        <w:t xml:space="preserve">kontrolní závěr vypracovala členka NKÚ Ing. Jaromíra </w:t>
      </w:r>
      <w:proofErr w:type="spellStart"/>
      <w:r w:rsidRPr="00920E6B">
        <w:rPr>
          <w:rFonts w:asciiTheme="minorHAnsi" w:eastAsiaTheme="minorHAnsi" w:hAnsiTheme="minorHAnsi" w:cstheme="minorHAnsi"/>
        </w:rPr>
        <w:t>Steidlová</w:t>
      </w:r>
      <w:proofErr w:type="spellEnd"/>
      <w:r w:rsidRPr="00920E6B">
        <w:rPr>
          <w:rFonts w:asciiTheme="minorHAnsi" w:eastAsiaTheme="minorHAnsi" w:hAnsiTheme="minorHAnsi" w:cstheme="minorHAnsi"/>
        </w:rPr>
        <w:t>.</w:t>
      </w:r>
    </w:p>
    <w:p w14:paraId="6CFB958A" w14:textId="77777777" w:rsidR="00031FF6" w:rsidRPr="00920E6B" w:rsidRDefault="00031FF6" w:rsidP="00031FF6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0AA4BFAE" w14:textId="592A7A8F" w:rsidR="00CC0706" w:rsidRPr="00920E6B" w:rsidRDefault="00DB6C92" w:rsidP="00CC0706">
      <w:pPr>
        <w:spacing w:after="0"/>
        <w:jc w:val="both"/>
        <w:rPr>
          <w:rFonts w:asciiTheme="minorHAnsi" w:eastAsiaTheme="minorHAnsi" w:hAnsiTheme="minorHAnsi" w:cstheme="minorHAnsi"/>
          <w:bCs/>
        </w:rPr>
      </w:pPr>
      <w:r w:rsidRPr="00920E6B">
        <w:rPr>
          <w:rFonts w:asciiTheme="minorHAnsi" w:eastAsiaTheme="minorHAnsi" w:hAnsiTheme="minorHAnsi" w:cstheme="minorHAnsi"/>
        </w:rPr>
        <w:t xml:space="preserve">Cílem kontroly bylo prověřit, zda </w:t>
      </w:r>
      <w:r w:rsidR="0000654C" w:rsidRPr="00920E6B">
        <w:rPr>
          <w:rFonts w:asciiTheme="minorHAnsi" w:eastAsiaTheme="minorHAnsi" w:hAnsiTheme="minorHAnsi" w:cstheme="minorHAnsi"/>
        </w:rPr>
        <w:t>Ministerstvo</w:t>
      </w:r>
      <w:r w:rsidR="00E20209">
        <w:rPr>
          <w:rFonts w:asciiTheme="minorHAnsi" w:eastAsiaTheme="minorHAnsi" w:hAnsiTheme="minorHAnsi" w:cstheme="minorHAnsi"/>
        </w:rPr>
        <w:t xml:space="preserve"> vnitra</w:t>
      </w:r>
      <w:r w:rsidR="0000654C" w:rsidRPr="00920E6B">
        <w:rPr>
          <w:rFonts w:asciiTheme="minorHAnsi" w:eastAsiaTheme="minorHAnsi" w:hAnsiTheme="minorHAnsi" w:cstheme="minorHAnsi"/>
        </w:rPr>
        <w:t xml:space="preserve"> při sestavení závěrečného účtu a</w:t>
      </w:r>
      <w:r w:rsidR="00854846">
        <w:rPr>
          <w:rFonts w:asciiTheme="minorHAnsi" w:eastAsiaTheme="minorHAnsi" w:hAnsiTheme="minorHAnsi" w:cstheme="minorHAnsi"/>
        </w:rPr>
        <w:t xml:space="preserve"> </w:t>
      </w:r>
      <w:r w:rsidR="0000654C" w:rsidRPr="00920E6B">
        <w:rPr>
          <w:rFonts w:asciiTheme="minorHAnsi" w:eastAsiaTheme="minorHAnsi" w:hAnsiTheme="minorHAnsi" w:cstheme="minorHAnsi"/>
        </w:rPr>
        <w:t>při vedení účetnictví</w:t>
      </w:r>
      <w:r w:rsidR="00F946C1">
        <w:rPr>
          <w:rFonts w:asciiTheme="minorHAnsi" w:eastAsiaTheme="minorHAnsi" w:hAnsiTheme="minorHAnsi" w:cstheme="minorHAnsi"/>
        </w:rPr>
        <w:t xml:space="preserve"> </w:t>
      </w:r>
      <w:r w:rsidR="0000654C" w:rsidRPr="00920E6B">
        <w:rPr>
          <w:rFonts w:asciiTheme="minorHAnsi" w:eastAsiaTheme="minorHAnsi" w:hAnsiTheme="minorHAnsi" w:cstheme="minorHAnsi"/>
        </w:rPr>
        <w:t>a předkládání údajů pro hodnocení plnění státního rozpočtu za rok 202</w:t>
      </w:r>
      <w:r w:rsidR="00F946C1">
        <w:rPr>
          <w:rFonts w:asciiTheme="minorHAnsi" w:eastAsiaTheme="minorHAnsi" w:hAnsiTheme="minorHAnsi" w:cstheme="minorHAnsi"/>
        </w:rPr>
        <w:t>1</w:t>
      </w:r>
      <w:r w:rsidR="0000654C" w:rsidRPr="00920E6B">
        <w:rPr>
          <w:rFonts w:asciiTheme="minorHAnsi" w:eastAsiaTheme="minorHAnsi" w:hAnsiTheme="minorHAnsi" w:cstheme="minorHAnsi"/>
        </w:rPr>
        <w:t xml:space="preserve"> postupovalo v souladu s příslušnými právními předpisy.</w:t>
      </w:r>
    </w:p>
    <w:p w14:paraId="6D5A2317" w14:textId="77777777" w:rsidR="00031FF6" w:rsidRPr="00683C72" w:rsidRDefault="00031FF6" w:rsidP="00031FF6">
      <w:pPr>
        <w:spacing w:after="0"/>
        <w:jc w:val="both"/>
        <w:rPr>
          <w:rFonts w:asciiTheme="minorHAnsi" w:eastAsiaTheme="minorHAnsi" w:hAnsiTheme="minorHAnsi" w:cstheme="minorHAnsi"/>
          <w:bCs/>
          <w:highlight w:val="yellow"/>
        </w:rPr>
      </w:pPr>
    </w:p>
    <w:p w14:paraId="360121FE" w14:textId="77777777" w:rsidR="00EC3A0D" w:rsidRPr="00920E6B" w:rsidRDefault="00A640AE" w:rsidP="00031FF6">
      <w:pPr>
        <w:spacing w:after="0"/>
        <w:jc w:val="both"/>
        <w:rPr>
          <w:rFonts w:asciiTheme="minorHAnsi" w:eastAsiaTheme="minorHAnsi" w:hAnsiTheme="minorHAnsi" w:cstheme="minorHAnsi"/>
        </w:rPr>
      </w:pPr>
      <w:r w:rsidRPr="00920E6B">
        <w:rPr>
          <w:rFonts w:asciiTheme="minorHAnsi" w:eastAsiaTheme="minorHAnsi" w:hAnsiTheme="minorHAnsi" w:cstheme="minorHAnsi"/>
          <w:b/>
        </w:rPr>
        <w:t>Kontrolovaná osoba:</w:t>
      </w:r>
    </w:p>
    <w:p w14:paraId="6481D1D5" w14:textId="77777777" w:rsidR="00EC3A0D" w:rsidRPr="00920E6B" w:rsidRDefault="00DB6C92" w:rsidP="00031FF6">
      <w:pPr>
        <w:spacing w:after="0"/>
        <w:jc w:val="both"/>
        <w:rPr>
          <w:rFonts w:asciiTheme="minorHAnsi" w:eastAsiaTheme="minorHAnsi" w:hAnsiTheme="minorHAnsi" w:cstheme="minorHAnsi"/>
        </w:rPr>
      </w:pPr>
      <w:r w:rsidRPr="00920E6B">
        <w:rPr>
          <w:rFonts w:asciiTheme="minorHAnsi" w:eastAsiaTheme="minorHAnsi" w:hAnsiTheme="minorHAnsi" w:cstheme="minorHAnsi"/>
        </w:rPr>
        <w:t>Ministerstvo</w:t>
      </w:r>
      <w:r w:rsidR="00F946C1">
        <w:rPr>
          <w:rFonts w:asciiTheme="minorHAnsi" w:eastAsiaTheme="minorHAnsi" w:hAnsiTheme="minorHAnsi" w:cstheme="minorHAnsi"/>
        </w:rPr>
        <w:t xml:space="preserve"> vnitra</w:t>
      </w:r>
      <w:r w:rsidRPr="00920E6B">
        <w:rPr>
          <w:rFonts w:asciiTheme="minorHAnsi" w:eastAsiaTheme="minorHAnsi" w:hAnsiTheme="minorHAnsi" w:cstheme="minorHAnsi"/>
        </w:rPr>
        <w:t xml:space="preserve"> (dále také „M</w:t>
      </w:r>
      <w:r w:rsidR="00F946C1">
        <w:rPr>
          <w:rFonts w:asciiTheme="minorHAnsi" w:eastAsiaTheme="minorHAnsi" w:hAnsiTheme="minorHAnsi" w:cstheme="minorHAnsi"/>
        </w:rPr>
        <w:t>V</w:t>
      </w:r>
      <w:r w:rsidRPr="00920E6B">
        <w:rPr>
          <w:rFonts w:asciiTheme="minorHAnsi" w:eastAsiaTheme="minorHAnsi" w:hAnsiTheme="minorHAnsi" w:cstheme="minorHAnsi"/>
        </w:rPr>
        <w:t>“).</w:t>
      </w:r>
    </w:p>
    <w:p w14:paraId="635BB9EF" w14:textId="77777777" w:rsidR="00031FF6" w:rsidRPr="00683C72" w:rsidRDefault="00031FF6" w:rsidP="00031FF6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50F8F2B2" w14:textId="77777777" w:rsidR="00EC3A0D" w:rsidRPr="00920E6B" w:rsidRDefault="00A640AE" w:rsidP="00031FF6">
      <w:pPr>
        <w:spacing w:after="0"/>
        <w:jc w:val="both"/>
        <w:rPr>
          <w:rFonts w:asciiTheme="minorHAnsi" w:eastAsiaTheme="minorHAnsi" w:hAnsiTheme="minorHAnsi" w:cstheme="minorHAnsi"/>
        </w:rPr>
      </w:pPr>
      <w:r w:rsidRPr="00920E6B">
        <w:rPr>
          <w:rFonts w:asciiTheme="minorHAnsi" w:eastAsiaTheme="minorHAnsi" w:hAnsiTheme="minorHAnsi" w:cstheme="minorHAnsi"/>
        </w:rPr>
        <w:t xml:space="preserve">Kontrolováno bylo období roku </w:t>
      </w:r>
      <w:r w:rsidR="0000654C" w:rsidRPr="00920E6B">
        <w:rPr>
          <w:rFonts w:asciiTheme="minorHAnsi" w:eastAsiaTheme="minorHAnsi" w:hAnsiTheme="minorHAnsi" w:cstheme="minorHAnsi"/>
        </w:rPr>
        <w:t>202</w:t>
      </w:r>
      <w:r w:rsidR="00F946C1">
        <w:rPr>
          <w:rFonts w:asciiTheme="minorHAnsi" w:eastAsiaTheme="minorHAnsi" w:hAnsiTheme="minorHAnsi" w:cstheme="minorHAnsi"/>
        </w:rPr>
        <w:t>1</w:t>
      </w:r>
      <w:r w:rsidR="004E3929" w:rsidRPr="00920E6B">
        <w:rPr>
          <w:rFonts w:asciiTheme="minorHAnsi" w:eastAsiaTheme="minorHAnsi" w:hAnsiTheme="minorHAnsi" w:cstheme="minorHAnsi"/>
        </w:rPr>
        <w:t xml:space="preserve"> včetně</w:t>
      </w:r>
      <w:r w:rsidRPr="00920E6B">
        <w:rPr>
          <w:rFonts w:asciiTheme="minorHAnsi" w:eastAsiaTheme="minorHAnsi" w:hAnsiTheme="minorHAnsi" w:cstheme="minorHAnsi"/>
        </w:rPr>
        <w:t xml:space="preserve"> související</w:t>
      </w:r>
      <w:r w:rsidR="004E3929" w:rsidRPr="00920E6B">
        <w:rPr>
          <w:rFonts w:asciiTheme="minorHAnsi" w:eastAsiaTheme="minorHAnsi" w:hAnsiTheme="minorHAnsi" w:cstheme="minorHAnsi"/>
        </w:rPr>
        <w:t>ch</w:t>
      </w:r>
      <w:r w:rsidRPr="00920E6B">
        <w:rPr>
          <w:rFonts w:asciiTheme="minorHAnsi" w:eastAsiaTheme="minorHAnsi" w:hAnsiTheme="minorHAnsi" w:cstheme="minorHAnsi"/>
        </w:rPr>
        <w:t xml:space="preserve"> skutečnost</w:t>
      </w:r>
      <w:r w:rsidR="004E3929" w:rsidRPr="00920E6B">
        <w:rPr>
          <w:rFonts w:asciiTheme="minorHAnsi" w:eastAsiaTheme="minorHAnsi" w:hAnsiTheme="minorHAnsi" w:cstheme="minorHAnsi"/>
        </w:rPr>
        <w:t>í</w:t>
      </w:r>
      <w:r w:rsidRPr="00920E6B">
        <w:rPr>
          <w:rFonts w:asciiTheme="minorHAnsi" w:eastAsiaTheme="minorHAnsi" w:hAnsiTheme="minorHAnsi" w:cstheme="minorHAnsi"/>
        </w:rPr>
        <w:t xml:space="preserve"> </w:t>
      </w:r>
      <w:r w:rsidRPr="00920E6B">
        <w:rPr>
          <w:rFonts w:asciiTheme="minorHAnsi" w:eastAsiaTheme="minorHAnsi" w:hAnsiTheme="minorHAnsi" w:cstheme="minorHAnsi"/>
          <w:spacing w:val="-2"/>
        </w:rPr>
        <w:t>z let předchozích a roku následujícího</w:t>
      </w:r>
      <w:r w:rsidRPr="00920E6B">
        <w:rPr>
          <w:rFonts w:asciiTheme="minorHAnsi" w:eastAsiaTheme="minorHAnsi" w:hAnsiTheme="minorHAnsi" w:cstheme="minorHAnsi"/>
        </w:rPr>
        <w:t>.</w:t>
      </w:r>
    </w:p>
    <w:p w14:paraId="79836D94" w14:textId="77777777" w:rsidR="00031FF6" w:rsidRPr="00683C72" w:rsidRDefault="00031FF6" w:rsidP="00031FF6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420FBB94" w14:textId="77777777" w:rsidR="00EC3A0D" w:rsidRPr="00920E6B" w:rsidRDefault="00A640AE" w:rsidP="00031FF6">
      <w:pPr>
        <w:spacing w:after="0"/>
        <w:jc w:val="both"/>
        <w:rPr>
          <w:rFonts w:asciiTheme="minorHAnsi" w:eastAsiaTheme="minorHAnsi" w:hAnsiTheme="minorHAnsi" w:cstheme="minorHAnsi"/>
        </w:rPr>
      </w:pPr>
      <w:r w:rsidRPr="00920E6B">
        <w:rPr>
          <w:rFonts w:asciiTheme="minorHAnsi" w:eastAsiaTheme="minorHAnsi" w:hAnsiTheme="minorHAnsi" w:cstheme="minorHAnsi"/>
        </w:rPr>
        <w:t>Kontrola byla prováděna u kontrolované osoby v době od</w:t>
      </w:r>
      <w:r w:rsidR="00F946C1">
        <w:rPr>
          <w:rFonts w:asciiTheme="minorHAnsi" w:eastAsiaTheme="minorHAnsi" w:hAnsiTheme="minorHAnsi" w:cstheme="minorHAnsi"/>
        </w:rPr>
        <w:t xml:space="preserve"> září</w:t>
      </w:r>
      <w:r w:rsidR="005F2754" w:rsidRPr="00920E6B">
        <w:rPr>
          <w:rFonts w:asciiTheme="minorHAnsi" w:eastAsiaTheme="minorHAnsi" w:hAnsiTheme="minorHAnsi" w:cstheme="minorHAnsi"/>
        </w:rPr>
        <w:t xml:space="preserve"> </w:t>
      </w:r>
      <w:r w:rsidR="0000654C" w:rsidRPr="00920E6B">
        <w:rPr>
          <w:rFonts w:asciiTheme="minorHAnsi" w:eastAsiaTheme="minorHAnsi" w:hAnsiTheme="minorHAnsi" w:cstheme="minorHAnsi"/>
        </w:rPr>
        <w:t>202</w:t>
      </w:r>
      <w:r w:rsidR="00F946C1">
        <w:rPr>
          <w:rFonts w:asciiTheme="minorHAnsi" w:eastAsiaTheme="minorHAnsi" w:hAnsiTheme="minorHAnsi" w:cstheme="minorHAnsi"/>
        </w:rPr>
        <w:t>1</w:t>
      </w:r>
      <w:r w:rsidR="00DB6C92" w:rsidRPr="00920E6B">
        <w:rPr>
          <w:rFonts w:asciiTheme="minorHAnsi" w:eastAsiaTheme="minorHAnsi" w:hAnsiTheme="minorHAnsi" w:cstheme="minorHAnsi"/>
        </w:rPr>
        <w:t xml:space="preserve"> do</w:t>
      </w:r>
      <w:r w:rsidR="00F946C1">
        <w:rPr>
          <w:rFonts w:asciiTheme="minorHAnsi" w:eastAsiaTheme="minorHAnsi" w:hAnsiTheme="minorHAnsi" w:cstheme="minorHAnsi"/>
        </w:rPr>
        <w:t xml:space="preserve"> května</w:t>
      </w:r>
      <w:r w:rsidR="00DB6C92" w:rsidRPr="00920E6B">
        <w:rPr>
          <w:rFonts w:asciiTheme="minorHAnsi" w:eastAsiaTheme="minorHAnsi" w:hAnsiTheme="minorHAnsi" w:cstheme="minorHAnsi"/>
        </w:rPr>
        <w:t xml:space="preserve"> 202</w:t>
      </w:r>
      <w:r w:rsidR="00F946C1">
        <w:rPr>
          <w:rFonts w:asciiTheme="minorHAnsi" w:eastAsiaTheme="minorHAnsi" w:hAnsiTheme="minorHAnsi" w:cstheme="minorHAnsi"/>
        </w:rPr>
        <w:t>2</w:t>
      </w:r>
      <w:r w:rsidRPr="00920E6B">
        <w:rPr>
          <w:rFonts w:asciiTheme="minorHAnsi" w:eastAsiaTheme="minorHAnsi" w:hAnsiTheme="minorHAnsi" w:cstheme="minorHAnsi"/>
        </w:rPr>
        <w:t>.</w:t>
      </w:r>
    </w:p>
    <w:p w14:paraId="709BFD7F" w14:textId="77777777" w:rsidR="00EC3A0D" w:rsidRPr="00683C72" w:rsidRDefault="00EC3A0D" w:rsidP="00031FF6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2B58DE16" w14:textId="77777777" w:rsidR="00031FF6" w:rsidRPr="00683C72" w:rsidRDefault="00031FF6" w:rsidP="00031FF6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0B4CA9AB" w14:textId="77777777" w:rsidR="00EC3A0D" w:rsidRPr="007C389D" w:rsidRDefault="00A640AE" w:rsidP="00EC3A0D">
      <w:pPr>
        <w:spacing w:line="259" w:lineRule="auto"/>
        <w:jc w:val="both"/>
        <w:rPr>
          <w:rFonts w:asciiTheme="minorHAnsi" w:eastAsiaTheme="minorHAnsi" w:hAnsiTheme="minorHAnsi" w:cstheme="minorHAnsi"/>
        </w:rPr>
      </w:pPr>
      <w:r w:rsidRPr="00920E6B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Kolegium</w:t>
      </w:r>
      <w:r w:rsidRPr="00920E6B">
        <w:rPr>
          <w:rFonts w:asciiTheme="minorHAnsi" w:eastAsiaTheme="minorHAnsi" w:hAnsiTheme="minorHAnsi" w:cstheme="minorHAnsi"/>
          <w:b/>
          <w:bCs/>
          <w:i/>
          <w:iCs/>
        </w:rPr>
        <w:t xml:space="preserve">   </w:t>
      </w:r>
      <w:r w:rsidRPr="007C389D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NKÚ</w:t>
      </w:r>
      <w:r w:rsidRPr="007C389D">
        <w:rPr>
          <w:rFonts w:asciiTheme="minorHAnsi" w:eastAsiaTheme="minorHAnsi" w:hAnsiTheme="minorHAnsi" w:cstheme="minorHAnsi"/>
        </w:rPr>
        <w:t xml:space="preserve">   na svém</w:t>
      </w:r>
      <w:r w:rsidR="00CC0706" w:rsidRPr="007C389D">
        <w:rPr>
          <w:rFonts w:asciiTheme="minorHAnsi" w:eastAsiaTheme="minorHAnsi" w:hAnsiTheme="minorHAnsi" w:cstheme="minorHAnsi"/>
        </w:rPr>
        <w:t xml:space="preserve"> </w:t>
      </w:r>
      <w:r w:rsidR="007C389D" w:rsidRPr="007C389D">
        <w:rPr>
          <w:rFonts w:asciiTheme="minorHAnsi" w:eastAsiaTheme="minorHAnsi" w:hAnsiTheme="minorHAnsi" w:cstheme="minorHAnsi"/>
        </w:rPr>
        <w:t>XI</w:t>
      </w:r>
      <w:r w:rsidR="00CC0706" w:rsidRPr="007C389D">
        <w:rPr>
          <w:rFonts w:asciiTheme="minorHAnsi" w:eastAsiaTheme="minorHAnsi" w:hAnsiTheme="minorHAnsi" w:cstheme="minorHAnsi"/>
        </w:rPr>
        <w:t>.</w:t>
      </w:r>
      <w:r w:rsidR="009E57D6" w:rsidRPr="007C389D">
        <w:rPr>
          <w:rFonts w:asciiTheme="minorHAnsi" w:eastAsiaTheme="minorHAnsi" w:hAnsiTheme="minorHAnsi" w:cstheme="minorHAnsi"/>
        </w:rPr>
        <w:t xml:space="preserve"> </w:t>
      </w:r>
      <w:r w:rsidRPr="007C389D">
        <w:rPr>
          <w:rFonts w:asciiTheme="minorHAnsi" w:eastAsiaTheme="minorHAnsi" w:hAnsiTheme="minorHAnsi" w:cstheme="minorHAnsi"/>
        </w:rPr>
        <w:t>jednání, které se konalo dne</w:t>
      </w:r>
      <w:r w:rsidR="00243613" w:rsidRPr="007C389D">
        <w:rPr>
          <w:rFonts w:asciiTheme="minorHAnsi" w:eastAsiaTheme="minorHAnsi" w:hAnsiTheme="minorHAnsi" w:cstheme="minorHAnsi"/>
        </w:rPr>
        <w:t xml:space="preserve"> </w:t>
      </w:r>
      <w:r w:rsidR="007C389D" w:rsidRPr="007C389D">
        <w:rPr>
          <w:rFonts w:asciiTheme="minorHAnsi" w:eastAsiaTheme="minorHAnsi" w:hAnsiTheme="minorHAnsi" w:cstheme="minorHAnsi"/>
        </w:rPr>
        <w:t>15</w:t>
      </w:r>
      <w:r w:rsidR="00F85EEF" w:rsidRPr="007C389D">
        <w:rPr>
          <w:rFonts w:asciiTheme="minorHAnsi" w:eastAsiaTheme="minorHAnsi" w:hAnsiTheme="minorHAnsi" w:cstheme="minorHAnsi"/>
        </w:rPr>
        <w:t xml:space="preserve">. </w:t>
      </w:r>
      <w:r w:rsidR="007C389D" w:rsidRPr="007C389D">
        <w:rPr>
          <w:rFonts w:asciiTheme="minorHAnsi" w:eastAsiaTheme="minorHAnsi" w:hAnsiTheme="minorHAnsi" w:cstheme="minorHAnsi"/>
        </w:rPr>
        <w:t>srpna</w:t>
      </w:r>
      <w:r w:rsidR="00F85EEF" w:rsidRPr="007C389D">
        <w:rPr>
          <w:rFonts w:asciiTheme="minorHAnsi" w:eastAsiaTheme="minorHAnsi" w:hAnsiTheme="minorHAnsi" w:cstheme="minorHAnsi"/>
        </w:rPr>
        <w:t xml:space="preserve"> </w:t>
      </w:r>
      <w:r w:rsidR="009E57D6" w:rsidRPr="007C389D">
        <w:rPr>
          <w:rFonts w:asciiTheme="minorHAnsi" w:eastAsiaTheme="minorHAnsi" w:hAnsiTheme="minorHAnsi" w:cstheme="minorHAnsi"/>
        </w:rPr>
        <w:t>2</w:t>
      </w:r>
      <w:r w:rsidR="00DB6C92" w:rsidRPr="007C389D">
        <w:rPr>
          <w:rFonts w:asciiTheme="minorHAnsi" w:eastAsiaTheme="minorHAnsi" w:hAnsiTheme="minorHAnsi" w:cstheme="minorHAnsi"/>
        </w:rPr>
        <w:t>02</w:t>
      </w:r>
      <w:r w:rsidR="00F946C1" w:rsidRPr="007C389D">
        <w:rPr>
          <w:rFonts w:asciiTheme="minorHAnsi" w:eastAsiaTheme="minorHAnsi" w:hAnsiTheme="minorHAnsi" w:cstheme="minorHAnsi"/>
        </w:rPr>
        <w:t>2</w:t>
      </w:r>
      <w:r w:rsidRPr="007C389D">
        <w:rPr>
          <w:rFonts w:asciiTheme="minorHAnsi" w:eastAsiaTheme="minorHAnsi" w:hAnsiTheme="minorHAnsi" w:cstheme="minorHAnsi"/>
        </w:rPr>
        <w:t>,</w:t>
      </w:r>
    </w:p>
    <w:p w14:paraId="1715B707" w14:textId="77777777" w:rsidR="00EC3A0D" w:rsidRPr="00920E6B" w:rsidRDefault="00A640AE" w:rsidP="00EC3A0D">
      <w:pPr>
        <w:spacing w:line="259" w:lineRule="auto"/>
        <w:jc w:val="both"/>
        <w:rPr>
          <w:rFonts w:asciiTheme="minorHAnsi" w:eastAsiaTheme="minorHAnsi" w:hAnsiTheme="minorHAnsi" w:cstheme="minorHAnsi"/>
        </w:rPr>
      </w:pPr>
      <w:r w:rsidRPr="007C389D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schválilo</w:t>
      </w:r>
      <w:r w:rsidRPr="007C389D">
        <w:rPr>
          <w:rFonts w:asciiTheme="minorHAnsi" w:eastAsiaTheme="minorHAnsi" w:hAnsiTheme="minorHAnsi" w:cstheme="minorHAnsi"/>
        </w:rPr>
        <w:t xml:space="preserve">   usnesením č.</w:t>
      </w:r>
      <w:r w:rsidR="00D17E40">
        <w:rPr>
          <w:rFonts w:asciiTheme="minorHAnsi" w:eastAsiaTheme="minorHAnsi" w:hAnsiTheme="minorHAnsi" w:cstheme="minorHAnsi"/>
        </w:rPr>
        <w:t xml:space="preserve"> 5</w:t>
      </w:r>
      <w:r w:rsidR="001842ED" w:rsidRPr="007C389D">
        <w:rPr>
          <w:rFonts w:asciiTheme="minorHAnsi" w:eastAsiaTheme="minorHAnsi" w:hAnsiTheme="minorHAnsi" w:cstheme="minorHAnsi"/>
        </w:rPr>
        <w:t>/</w:t>
      </w:r>
      <w:r w:rsidR="007C389D" w:rsidRPr="007C389D">
        <w:rPr>
          <w:rFonts w:asciiTheme="minorHAnsi" w:eastAsiaTheme="minorHAnsi" w:hAnsiTheme="minorHAnsi" w:cstheme="minorHAnsi"/>
        </w:rPr>
        <w:t>XI</w:t>
      </w:r>
      <w:r w:rsidRPr="007C389D">
        <w:rPr>
          <w:rFonts w:asciiTheme="minorHAnsi" w:eastAsiaTheme="minorHAnsi" w:hAnsiTheme="minorHAnsi" w:cstheme="minorHAnsi"/>
        </w:rPr>
        <w:t>/20</w:t>
      </w:r>
      <w:r w:rsidR="00DB6C92" w:rsidRPr="007C389D">
        <w:rPr>
          <w:rFonts w:asciiTheme="minorHAnsi" w:eastAsiaTheme="minorHAnsi" w:hAnsiTheme="minorHAnsi" w:cstheme="minorHAnsi"/>
        </w:rPr>
        <w:t>2</w:t>
      </w:r>
      <w:r w:rsidR="00F946C1" w:rsidRPr="007C389D">
        <w:rPr>
          <w:rFonts w:asciiTheme="minorHAnsi" w:eastAsiaTheme="minorHAnsi" w:hAnsiTheme="minorHAnsi" w:cstheme="minorHAnsi"/>
        </w:rPr>
        <w:t>2</w:t>
      </w:r>
    </w:p>
    <w:p w14:paraId="371B39F8" w14:textId="77777777" w:rsidR="00EC3A0D" w:rsidRPr="00920E6B" w:rsidRDefault="00A640AE" w:rsidP="00EC3A0D">
      <w:pPr>
        <w:spacing w:line="259" w:lineRule="auto"/>
        <w:jc w:val="both"/>
        <w:rPr>
          <w:rFonts w:asciiTheme="minorHAnsi" w:eastAsiaTheme="minorHAnsi" w:hAnsiTheme="minorHAnsi" w:cstheme="minorHAnsi"/>
        </w:rPr>
      </w:pPr>
      <w:r w:rsidRPr="00920E6B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kontrolní</w:t>
      </w:r>
      <w:r w:rsidRPr="00920E6B">
        <w:rPr>
          <w:rFonts w:asciiTheme="minorHAnsi" w:eastAsiaTheme="minorHAnsi" w:hAnsiTheme="minorHAnsi" w:cstheme="minorHAnsi"/>
          <w:b/>
          <w:bCs/>
          <w:i/>
          <w:iCs/>
        </w:rPr>
        <w:t xml:space="preserve">   </w:t>
      </w:r>
      <w:r w:rsidRPr="00920E6B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závěr</w:t>
      </w:r>
      <w:r w:rsidRPr="00920E6B">
        <w:rPr>
          <w:rFonts w:asciiTheme="minorHAnsi" w:eastAsiaTheme="minorHAnsi" w:hAnsiTheme="minorHAnsi" w:cstheme="minorHAnsi"/>
        </w:rPr>
        <w:t xml:space="preserve">   v tomto znění:</w:t>
      </w:r>
    </w:p>
    <w:p w14:paraId="2A8BC24D" w14:textId="77777777" w:rsidR="00CA5B95" w:rsidRPr="00683C72" w:rsidRDefault="00CA5B95" w:rsidP="00CA5B95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4EA9CA54" w14:textId="77777777" w:rsidR="00CA5B95" w:rsidRPr="00683C72" w:rsidRDefault="00CA5B95" w:rsidP="00CA5B95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62C3E7DB" w14:textId="77777777" w:rsidR="00CA5B95" w:rsidRPr="00683C72" w:rsidRDefault="00CA5B95">
      <w:pPr>
        <w:spacing w:after="160" w:line="259" w:lineRule="auto"/>
        <w:rPr>
          <w:rStyle w:val="A4"/>
          <w:rFonts w:eastAsiaTheme="majorEastAsia"/>
          <w:b/>
          <w:color w:val="BDD6EE" w:themeColor="accent1" w:themeTint="66"/>
          <w:sz w:val="40"/>
          <w:szCs w:val="40"/>
          <w:highlight w:val="yellow"/>
        </w:rPr>
      </w:pPr>
      <w:r w:rsidRPr="00683C72">
        <w:rPr>
          <w:rStyle w:val="A4"/>
          <w:rFonts w:eastAsiaTheme="majorEastAsia"/>
          <w:b/>
          <w:color w:val="BDD6EE" w:themeColor="accent1" w:themeTint="66"/>
          <w:sz w:val="40"/>
          <w:szCs w:val="40"/>
          <w:highlight w:val="yellow"/>
        </w:rPr>
        <w:br w:type="page"/>
      </w:r>
    </w:p>
    <w:p w14:paraId="10A2B99E" w14:textId="77777777" w:rsidR="00CA5B95" w:rsidRPr="00907808" w:rsidRDefault="00597612" w:rsidP="00CA5B95">
      <w:pPr>
        <w:jc w:val="center"/>
        <w:rPr>
          <w:rStyle w:val="A4"/>
          <w:rFonts w:eastAsiaTheme="majorEastAsia"/>
          <w:b/>
          <w:color w:val="auto"/>
          <w:sz w:val="40"/>
          <w:szCs w:val="40"/>
        </w:rPr>
      </w:pPr>
      <w:r w:rsidRPr="005858DA">
        <w:rPr>
          <w:rStyle w:val="A4"/>
          <w:rFonts w:eastAsiaTheme="majorEastAsia"/>
          <w:b/>
          <w:color w:val="auto"/>
          <w:sz w:val="40"/>
          <w:szCs w:val="40"/>
        </w:rPr>
        <w:lastRenderedPageBreak/>
        <w:t>Skládání účtů</w:t>
      </w:r>
      <w:r w:rsidR="00AA34F9" w:rsidRPr="00907808">
        <w:rPr>
          <w:rStyle w:val="A4"/>
          <w:rFonts w:eastAsiaTheme="majorEastAsia"/>
          <w:b/>
          <w:color w:val="auto"/>
          <w:sz w:val="40"/>
          <w:szCs w:val="40"/>
        </w:rPr>
        <w:t xml:space="preserve"> </w:t>
      </w:r>
      <w:r w:rsidRPr="00907808">
        <w:rPr>
          <w:rStyle w:val="A4"/>
          <w:rFonts w:eastAsiaTheme="majorEastAsia"/>
          <w:b/>
          <w:color w:val="auto"/>
          <w:sz w:val="40"/>
          <w:szCs w:val="40"/>
        </w:rPr>
        <w:t xml:space="preserve">z hospodaření </w:t>
      </w:r>
      <w:r w:rsidR="00AA34F9" w:rsidRPr="00907808">
        <w:rPr>
          <w:rStyle w:val="A4"/>
          <w:rFonts w:eastAsiaTheme="majorEastAsia"/>
          <w:b/>
          <w:color w:val="auto"/>
          <w:sz w:val="40"/>
          <w:szCs w:val="40"/>
        </w:rPr>
        <w:t>s majetkem státu</w:t>
      </w:r>
      <w:r w:rsidR="003A2FA5" w:rsidRPr="00907808">
        <w:rPr>
          <w:rStyle w:val="Znakapoznpodarou"/>
          <w:rFonts w:eastAsiaTheme="majorEastAsia"/>
          <w:b/>
          <w:sz w:val="40"/>
          <w:szCs w:val="40"/>
        </w:rPr>
        <w:footnoteReference w:id="2"/>
      </w:r>
    </w:p>
    <w:p w14:paraId="4DB79BF1" w14:textId="77777777" w:rsidR="003E71FF" w:rsidRPr="00907808" w:rsidRDefault="006115F5" w:rsidP="00920E6B">
      <w:pPr>
        <w:spacing w:after="0"/>
        <w:jc w:val="center"/>
        <w:rPr>
          <w:rStyle w:val="A4"/>
          <w:rFonts w:eastAsiaTheme="majorEastAsia"/>
          <w:b/>
          <w:color w:val="auto"/>
          <w:sz w:val="40"/>
          <w:szCs w:val="40"/>
        </w:rPr>
      </w:pPr>
      <w:r w:rsidRPr="00907808">
        <w:rPr>
          <w:rStyle w:val="A4"/>
          <w:rFonts w:eastAsiaTheme="majorEastAsia"/>
          <w:b/>
          <w:color w:val="auto"/>
          <w:sz w:val="40"/>
          <w:szCs w:val="40"/>
        </w:rPr>
        <w:t>M</w:t>
      </w:r>
      <w:r w:rsidR="00F946C1">
        <w:rPr>
          <w:rStyle w:val="A4"/>
          <w:rFonts w:eastAsiaTheme="majorEastAsia"/>
          <w:b/>
          <w:color w:val="auto"/>
          <w:sz w:val="40"/>
          <w:szCs w:val="40"/>
        </w:rPr>
        <w:t>V</w:t>
      </w:r>
      <w:r w:rsidR="0055132B" w:rsidRPr="00907808">
        <w:rPr>
          <w:rStyle w:val="A4"/>
          <w:rFonts w:eastAsiaTheme="majorEastAsia"/>
          <w:b/>
          <w:color w:val="auto"/>
          <w:sz w:val="40"/>
          <w:szCs w:val="40"/>
        </w:rPr>
        <w:t xml:space="preserve"> </w:t>
      </w:r>
      <w:r w:rsidR="00AA34F9" w:rsidRPr="00907808">
        <w:rPr>
          <w:rStyle w:val="A4"/>
          <w:rFonts w:eastAsiaTheme="majorEastAsia"/>
          <w:b/>
          <w:color w:val="auto"/>
          <w:sz w:val="40"/>
          <w:szCs w:val="40"/>
        </w:rPr>
        <w:t xml:space="preserve">za rok </w:t>
      </w:r>
      <w:r w:rsidRPr="00907808">
        <w:rPr>
          <w:rStyle w:val="A4"/>
          <w:rFonts w:eastAsiaTheme="majorEastAsia"/>
          <w:b/>
          <w:color w:val="auto"/>
          <w:sz w:val="40"/>
          <w:szCs w:val="40"/>
        </w:rPr>
        <w:t>202</w:t>
      </w:r>
      <w:r w:rsidR="00F946C1">
        <w:rPr>
          <w:rStyle w:val="A4"/>
          <w:rFonts w:eastAsiaTheme="majorEastAsia"/>
          <w:b/>
          <w:color w:val="auto"/>
          <w:sz w:val="40"/>
          <w:szCs w:val="40"/>
        </w:rPr>
        <w:t>1</w:t>
      </w:r>
    </w:p>
    <w:p w14:paraId="17E65993" w14:textId="77777777" w:rsidR="003F327E" w:rsidRPr="00683C72" w:rsidRDefault="003F327E" w:rsidP="00920E6B">
      <w:pPr>
        <w:spacing w:after="0"/>
        <w:jc w:val="center"/>
        <w:rPr>
          <w:rStyle w:val="A4"/>
          <w:rFonts w:eastAsiaTheme="majorEastAsia"/>
          <w:b/>
          <w:color w:val="0070C0"/>
          <w:sz w:val="40"/>
          <w:szCs w:val="40"/>
          <w:highlight w:val="yellow"/>
        </w:rPr>
      </w:pPr>
    </w:p>
    <w:tbl>
      <w:tblPr>
        <w:tblStyle w:val="Mkatabulky"/>
        <w:tblW w:w="7758" w:type="dxa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4252"/>
        <w:gridCol w:w="3506"/>
      </w:tblGrid>
      <w:tr w:rsidR="001D0B2E" w:rsidRPr="00683C72" w14:paraId="29BDE186" w14:textId="77777777" w:rsidTr="006335DD">
        <w:trPr>
          <w:trHeight w:val="1987"/>
        </w:trPr>
        <w:tc>
          <w:tcPr>
            <w:tcW w:w="4252" w:type="dxa"/>
          </w:tcPr>
          <w:p w14:paraId="7B071AE4" w14:textId="77777777" w:rsidR="001922C8" w:rsidRPr="00907808" w:rsidRDefault="00491E98" w:rsidP="001922C8">
            <w:pPr>
              <w:spacing w:after="0"/>
              <w:jc w:val="center"/>
              <w:rPr>
                <w:rFonts w:cs="Calibri"/>
                <w:b/>
                <w:bCs/>
                <w:sz w:val="40"/>
                <w:szCs w:val="40"/>
              </w:rPr>
            </w:pPr>
            <w:r>
              <w:rPr>
                <w:rFonts w:cs="Calibri"/>
                <w:b/>
                <w:bCs/>
                <w:sz w:val="40"/>
                <w:szCs w:val="40"/>
              </w:rPr>
              <w:t>0</w:t>
            </w:r>
            <w:r w:rsidR="001922C8" w:rsidRPr="00907808">
              <w:rPr>
                <w:rFonts w:cs="Calibri"/>
                <w:b/>
                <w:bCs/>
                <w:sz w:val="40"/>
                <w:szCs w:val="40"/>
              </w:rPr>
              <w:t xml:space="preserve"> Kč</w:t>
            </w:r>
          </w:p>
          <w:p w14:paraId="5A9F8966" w14:textId="505C4014" w:rsidR="001D0B2E" w:rsidRPr="00872B70" w:rsidRDefault="00491E98" w:rsidP="001922C8">
            <w:pPr>
              <w:spacing w:after="0"/>
              <w:jc w:val="center"/>
              <w:rPr>
                <w:rStyle w:val="A5"/>
                <w:sz w:val="24"/>
                <w:szCs w:val="24"/>
                <w:highlight w:val="yellow"/>
              </w:rPr>
            </w:pPr>
            <w:r>
              <w:rPr>
                <w:b/>
              </w:rPr>
              <w:t>nesprávnosti ve finančním výkazu za rok 2021 a dopad nesprávností v závěrečném účtu na jeho celkovou vypovídací schopnost</w:t>
            </w:r>
          </w:p>
        </w:tc>
        <w:tc>
          <w:tcPr>
            <w:tcW w:w="3506" w:type="dxa"/>
          </w:tcPr>
          <w:p w14:paraId="3566EF8A" w14:textId="77777777" w:rsidR="001922C8" w:rsidRPr="000B4B25" w:rsidRDefault="00491E98" w:rsidP="001922C8">
            <w:pPr>
              <w:spacing w:after="0"/>
              <w:jc w:val="center"/>
              <w:rPr>
                <w:rFonts w:cs="Calibri"/>
                <w:b/>
                <w:bCs/>
                <w:sz w:val="40"/>
                <w:szCs w:val="40"/>
              </w:rPr>
            </w:pPr>
            <w:r w:rsidRPr="00872B70">
              <w:rPr>
                <w:rFonts w:cs="Calibri"/>
                <w:b/>
                <w:bCs/>
                <w:sz w:val="40"/>
                <w:szCs w:val="40"/>
              </w:rPr>
              <w:t>915,3</w:t>
            </w:r>
            <w:r w:rsidR="001922C8" w:rsidRPr="00872B70">
              <w:rPr>
                <w:rFonts w:cs="Calibri"/>
                <w:b/>
                <w:bCs/>
                <w:sz w:val="40"/>
                <w:szCs w:val="40"/>
              </w:rPr>
              <w:t xml:space="preserve"> mil. Kč</w:t>
            </w:r>
          </w:p>
          <w:p w14:paraId="490040AC" w14:textId="77777777" w:rsidR="000339E8" w:rsidRPr="000339E8" w:rsidRDefault="005413F5" w:rsidP="000339E8">
            <w:pPr>
              <w:spacing w:after="0"/>
              <w:jc w:val="center"/>
              <w:rPr>
                <w:rStyle w:val="A5"/>
                <w:bCs w:val="0"/>
                <w:color w:val="auto"/>
                <w:sz w:val="20"/>
                <w:szCs w:val="20"/>
              </w:rPr>
            </w:pPr>
            <w:r>
              <w:rPr>
                <w:b/>
                <w:bCs/>
              </w:rPr>
              <w:t>M</w:t>
            </w:r>
            <w:r w:rsidR="00491E98" w:rsidRPr="00872B70">
              <w:rPr>
                <w:b/>
                <w:bCs/>
              </w:rPr>
              <w:t xml:space="preserve">inisterstvem </w:t>
            </w:r>
            <w:r>
              <w:rPr>
                <w:b/>
                <w:bCs/>
              </w:rPr>
              <w:t xml:space="preserve">vnitra </w:t>
            </w:r>
            <w:r w:rsidR="00491E98" w:rsidRPr="00872B70">
              <w:rPr>
                <w:b/>
                <w:bCs/>
              </w:rPr>
              <w:t>opravené účetní nedostatky identifikované NKÚ v průběhu kontroly</w:t>
            </w:r>
          </w:p>
        </w:tc>
      </w:tr>
      <w:tr w:rsidR="001D0B2E" w:rsidRPr="00683C72" w14:paraId="72F62E3C" w14:textId="77777777" w:rsidTr="006335DD">
        <w:trPr>
          <w:trHeight w:val="1387"/>
        </w:trPr>
        <w:tc>
          <w:tcPr>
            <w:tcW w:w="4252" w:type="dxa"/>
          </w:tcPr>
          <w:p w14:paraId="74819FC1" w14:textId="77777777" w:rsidR="004F7DC0" w:rsidRPr="004F7DC0" w:rsidRDefault="00491E98" w:rsidP="004F7DC0">
            <w:pPr>
              <w:spacing w:after="0"/>
              <w:jc w:val="center"/>
              <w:rPr>
                <w:rStyle w:val="A5"/>
                <w:color w:val="auto"/>
              </w:rPr>
            </w:pPr>
            <w:r>
              <w:rPr>
                <w:rStyle w:val="A5"/>
                <w:color w:val="auto"/>
              </w:rPr>
              <w:t>1</w:t>
            </w:r>
            <w:r>
              <w:rPr>
                <w:rStyle w:val="A5"/>
              </w:rPr>
              <w:t>0,3 mld. Kč</w:t>
            </w:r>
          </w:p>
          <w:p w14:paraId="2BDA934B" w14:textId="77777777" w:rsidR="004F7DC0" w:rsidRPr="006439C2" w:rsidRDefault="00491E98" w:rsidP="00491E98">
            <w:pPr>
              <w:spacing w:after="0"/>
              <w:jc w:val="center"/>
              <w:rPr>
                <w:rStyle w:val="A1"/>
                <w:b/>
                <w:bCs/>
                <w:color w:val="auto"/>
                <w:sz w:val="20"/>
                <w:szCs w:val="20"/>
              </w:rPr>
            </w:pPr>
            <w:r w:rsidRPr="00872B70">
              <w:rPr>
                <w:rStyle w:val="A1"/>
                <w:b/>
                <w:sz w:val="24"/>
                <w:szCs w:val="24"/>
              </w:rPr>
              <w:t>podmíněné závazky M</w:t>
            </w:r>
            <w:r w:rsidR="00E04E50">
              <w:rPr>
                <w:rStyle w:val="A1"/>
                <w:b/>
                <w:sz w:val="24"/>
                <w:szCs w:val="24"/>
              </w:rPr>
              <w:t>inisterstva vnitra</w:t>
            </w:r>
            <w:r w:rsidRPr="00872B70">
              <w:rPr>
                <w:rStyle w:val="A1"/>
                <w:b/>
                <w:sz w:val="24"/>
                <w:szCs w:val="24"/>
              </w:rPr>
              <w:t xml:space="preserve"> jako nároky na budoucí rozpočty</w:t>
            </w:r>
          </w:p>
        </w:tc>
        <w:tc>
          <w:tcPr>
            <w:tcW w:w="3506" w:type="dxa"/>
          </w:tcPr>
          <w:p w14:paraId="7B51788A" w14:textId="77777777" w:rsidR="001D0B2E" w:rsidRPr="00907808" w:rsidRDefault="00491E98" w:rsidP="00852210">
            <w:pPr>
              <w:spacing w:after="0"/>
              <w:jc w:val="center"/>
              <w:rPr>
                <w:rStyle w:val="A5"/>
                <w:color w:val="auto"/>
              </w:rPr>
            </w:pPr>
            <w:r w:rsidRPr="00872B70">
              <w:rPr>
                <w:rStyle w:val="A5"/>
                <w:color w:val="FF0000"/>
              </w:rPr>
              <w:t>13,9 mil.</w:t>
            </w:r>
            <w:r w:rsidR="000339E8" w:rsidRPr="00872B70">
              <w:rPr>
                <w:rStyle w:val="A5"/>
                <w:color w:val="FF0000"/>
              </w:rPr>
              <w:t xml:space="preserve"> </w:t>
            </w:r>
            <w:r w:rsidR="00907808" w:rsidRPr="00872B70">
              <w:rPr>
                <w:rStyle w:val="A5"/>
                <w:color w:val="FF0000"/>
              </w:rPr>
              <w:t>Kč</w:t>
            </w:r>
          </w:p>
          <w:p w14:paraId="7F8A2D3B" w14:textId="77777777" w:rsidR="001D0B2E" w:rsidRPr="006439C2" w:rsidRDefault="00EB60F3" w:rsidP="00907808">
            <w:pPr>
              <w:spacing w:after="0"/>
              <w:jc w:val="center"/>
              <w:rPr>
                <w:rStyle w:val="A1"/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</w:rPr>
              <w:t>n</w:t>
            </w:r>
            <w:r w:rsidR="00491E98" w:rsidRPr="00872B70">
              <w:rPr>
                <w:b/>
              </w:rPr>
              <w:t>esprávnosti</w:t>
            </w:r>
            <w:r>
              <w:rPr>
                <w:rStyle w:val="Znakapoznpodarou"/>
                <w:b/>
              </w:rPr>
              <w:footnoteReference w:id="3"/>
            </w:r>
            <w:r>
              <w:t xml:space="preserve"> </w:t>
            </w:r>
            <w:r w:rsidR="00491E98" w:rsidRPr="00872B70">
              <w:rPr>
                <w:b/>
              </w:rPr>
              <w:t>v účetní závěrce k 31.</w:t>
            </w:r>
            <w:r w:rsidR="00BB522A">
              <w:rPr>
                <w:b/>
              </w:rPr>
              <w:t> </w:t>
            </w:r>
            <w:r w:rsidR="00491E98" w:rsidRPr="00872B70">
              <w:rPr>
                <w:b/>
              </w:rPr>
              <w:t>prosinci 2021 sestavené 13. dubna 2022</w:t>
            </w:r>
            <w:r w:rsidR="00EB25EA" w:rsidRPr="006439C2">
              <w:rPr>
                <w:rStyle w:val="A1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6958B319" w14:textId="77777777" w:rsidR="003367E9" w:rsidRDefault="003367E9" w:rsidP="009652C2">
      <w:pPr>
        <w:rPr>
          <w:rStyle w:val="A1"/>
          <w:b/>
          <w:sz w:val="32"/>
          <w:szCs w:val="32"/>
          <w:highlight w:val="yellow"/>
        </w:rPr>
      </w:pPr>
    </w:p>
    <w:p w14:paraId="0ADBB74D" w14:textId="77777777" w:rsidR="00652B25" w:rsidRDefault="00652B25" w:rsidP="009652C2">
      <w:pPr>
        <w:rPr>
          <w:rStyle w:val="A1"/>
          <w:b/>
          <w:sz w:val="32"/>
          <w:szCs w:val="32"/>
          <w:highlight w:val="yellow"/>
        </w:rPr>
      </w:pPr>
    </w:p>
    <w:p w14:paraId="2A13CA0F" w14:textId="5742B438" w:rsidR="001B67E6" w:rsidRDefault="00DC2378" w:rsidP="000339E8">
      <w:pPr>
        <w:spacing w:after="60"/>
        <w:jc w:val="center"/>
        <w:rPr>
          <w:rStyle w:val="A1"/>
          <w:b/>
          <w:sz w:val="32"/>
          <w:szCs w:val="32"/>
        </w:rPr>
      </w:pPr>
      <w:r w:rsidRPr="00CA7B4E">
        <w:rPr>
          <w:rStyle w:val="A1"/>
          <w:b/>
          <w:sz w:val="32"/>
          <w:szCs w:val="32"/>
        </w:rPr>
        <w:t>Spolehlivost</w:t>
      </w:r>
      <w:r w:rsidR="00E452F5" w:rsidRPr="00CA7B4E">
        <w:rPr>
          <w:rStyle w:val="A1"/>
          <w:b/>
          <w:sz w:val="32"/>
          <w:szCs w:val="32"/>
        </w:rPr>
        <w:t xml:space="preserve"> </w:t>
      </w:r>
      <w:r w:rsidR="00C3322A" w:rsidRPr="00CA7B4E">
        <w:rPr>
          <w:rStyle w:val="A1"/>
          <w:b/>
          <w:sz w:val="32"/>
          <w:szCs w:val="32"/>
        </w:rPr>
        <w:t>údajů</w:t>
      </w:r>
      <w:r w:rsidR="00C3322A">
        <w:rPr>
          <w:rStyle w:val="A1"/>
          <w:b/>
          <w:sz w:val="32"/>
          <w:szCs w:val="32"/>
        </w:rPr>
        <w:t xml:space="preserve"> </w:t>
      </w:r>
      <w:r w:rsidRPr="009431F8">
        <w:rPr>
          <w:rStyle w:val="A1"/>
          <w:b/>
          <w:sz w:val="32"/>
          <w:szCs w:val="32"/>
        </w:rPr>
        <w:t>účetní závěrky</w:t>
      </w:r>
      <w:r w:rsidR="00E243CE">
        <w:rPr>
          <w:rStyle w:val="A1"/>
          <w:b/>
          <w:sz w:val="32"/>
          <w:szCs w:val="32"/>
        </w:rPr>
        <w:t xml:space="preserve"> </w:t>
      </w:r>
      <w:r w:rsidRPr="009431F8">
        <w:rPr>
          <w:rStyle w:val="A1"/>
          <w:b/>
          <w:sz w:val="32"/>
          <w:szCs w:val="32"/>
        </w:rPr>
        <w:t>k 31. prosinci 202</w:t>
      </w:r>
      <w:r w:rsidR="00E452F5">
        <w:rPr>
          <w:rStyle w:val="A1"/>
          <w:b/>
          <w:sz w:val="32"/>
          <w:szCs w:val="32"/>
        </w:rPr>
        <w:t>1</w:t>
      </w:r>
      <w:r w:rsidR="005B02E5">
        <w:rPr>
          <w:rStyle w:val="A1"/>
          <w:b/>
          <w:sz w:val="32"/>
          <w:szCs w:val="32"/>
        </w:rPr>
        <w:t xml:space="preserve"> </w:t>
      </w:r>
    </w:p>
    <w:p w14:paraId="543B670F" w14:textId="77777777" w:rsidR="001B67E6" w:rsidRDefault="00343AB1" w:rsidP="000339E8">
      <w:pPr>
        <w:spacing w:after="60"/>
        <w:jc w:val="center"/>
        <w:rPr>
          <w:rStyle w:val="A1"/>
          <w:b/>
          <w:sz w:val="32"/>
          <w:szCs w:val="32"/>
        </w:rPr>
      </w:pPr>
      <w:r>
        <w:rPr>
          <w:rStyle w:val="A1"/>
          <w:b/>
          <w:sz w:val="32"/>
          <w:szCs w:val="32"/>
        </w:rPr>
        <w:t>za „KO MV“</w:t>
      </w:r>
      <w:r w:rsidR="00E452F5">
        <w:rPr>
          <w:rStyle w:val="A1"/>
          <w:b/>
          <w:sz w:val="32"/>
          <w:szCs w:val="32"/>
        </w:rPr>
        <w:t xml:space="preserve"> </w:t>
      </w:r>
    </w:p>
    <w:p w14:paraId="05ED7A7A" w14:textId="77777777" w:rsidR="009652C2" w:rsidRPr="00DE03E4" w:rsidRDefault="00E452F5" w:rsidP="000339E8">
      <w:pPr>
        <w:spacing w:after="60"/>
        <w:jc w:val="center"/>
        <w:rPr>
          <w:rFonts w:ascii="Calibri Light" w:hAnsi="Calibri Light" w:cs="Calibri Light"/>
          <w:highlight w:val="yellow"/>
        </w:rPr>
      </w:pPr>
      <w:r>
        <w:rPr>
          <w:rStyle w:val="A1"/>
          <w:b/>
          <w:sz w:val="32"/>
          <w:szCs w:val="32"/>
        </w:rPr>
        <w:t>po provedení účetních oprav</w:t>
      </w:r>
    </w:p>
    <w:p w14:paraId="02804D80" w14:textId="77777777" w:rsidR="00927DAB" w:rsidRDefault="00927DAB" w:rsidP="00B964BE">
      <w:pPr>
        <w:spacing w:after="160" w:line="259" w:lineRule="auto"/>
        <w:jc w:val="both"/>
        <w:rPr>
          <w:noProof/>
        </w:rPr>
      </w:pPr>
    </w:p>
    <w:p w14:paraId="0F29DD4D" w14:textId="29327890" w:rsidR="00F860C4" w:rsidRDefault="002A3B98" w:rsidP="00F860C4">
      <w:pPr>
        <w:spacing w:after="160" w:line="259" w:lineRule="auto"/>
        <w:ind w:left="284"/>
        <w:jc w:val="both"/>
        <w:rPr>
          <w:noProof/>
        </w:rPr>
      </w:pPr>
      <w:r>
        <w:rPr>
          <w:rFonts w:ascii="Calibri Light" w:hAnsi="Calibri Light" w:cs="Calibri Light"/>
          <w:noProof/>
          <w:color w:val="FF0000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47F6A5" wp14:editId="4814A542">
                <wp:simplePos x="0" y="0"/>
                <wp:positionH relativeFrom="column">
                  <wp:posOffset>4138295</wp:posOffset>
                </wp:positionH>
                <wp:positionV relativeFrom="paragraph">
                  <wp:posOffset>798195</wp:posOffset>
                </wp:positionV>
                <wp:extent cx="97200" cy="97200"/>
                <wp:effectExtent l="0" t="0" r="0" b="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00" cy="97200"/>
                        </a:xfrm>
                        <a:prstGeom prst="rect">
                          <a:avLst/>
                        </a:prstGeom>
                        <a:solidFill>
                          <a:srgbClr val="2EB3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7E5BA" id="Obdélník 4" o:spid="_x0000_s1026" style="position:absolute;margin-left:325.85pt;margin-top:62.85pt;width:7.65pt;height:7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" fillcolor="#2eb3a1" stroked="f" strokeweight="1pt"/>
            </w:pict>
          </mc:Fallback>
        </mc:AlternateContent>
      </w:r>
      <w:r w:rsidR="00F860C4">
        <w:rPr>
          <w:rFonts w:ascii="Calibri Light" w:hAnsi="Calibri Light" w:cs="Calibri Light"/>
          <w:noProof/>
          <w:color w:val="FF0000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D5E8D6" wp14:editId="2752116A">
                <wp:simplePos x="0" y="0"/>
                <wp:positionH relativeFrom="column">
                  <wp:posOffset>4085038</wp:posOffset>
                </wp:positionH>
                <wp:positionV relativeFrom="paragraph">
                  <wp:posOffset>668738</wp:posOffset>
                </wp:positionV>
                <wp:extent cx="1383527" cy="373518"/>
                <wp:effectExtent l="0" t="0" r="7620" b="762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527" cy="37351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096B0A" w14:textId="7534F577" w:rsidR="002A3B98" w:rsidRPr="00E6425E" w:rsidRDefault="002A3B98" w:rsidP="003D0007">
                            <w:pPr>
                              <w:spacing w:after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E6425E">
                              <w:rPr>
                                <w:sz w:val="18"/>
                                <w:szCs w:val="18"/>
                              </w:rPr>
                              <w:t>Údaje jsou spolehlivé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5E8D6" id="Obdélník 6" o:spid="_x0000_s1026" style="position:absolute;left:0;text-align:left;margin-left:321.65pt;margin-top:52.65pt;width:108.95pt;height:29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" fillcolor="white [3201]" stroked="f" strokeweight="1pt">
                <v:textbox>
                  <w:txbxContent>
                    <w:p w14:paraId="0C096B0A" w14:textId="7534F577" w:rsidR="002A3B98" w:rsidRPr="00E6425E" w:rsidRDefault="002A3B98" w:rsidP="003D0007">
                      <w:pPr>
                        <w:spacing w:after="0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</w:t>
                      </w:r>
                      <w:r w:rsidRPr="00E6425E">
                        <w:rPr>
                          <w:sz w:val="18"/>
                          <w:szCs w:val="18"/>
                        </w:rPr>
                        <w:t>Údaje jsou spolehlivé</w:t>
                      </w:r>
                    </w:p>
                  </w:txbxContent>
                </v:textbox>
              </v:rect>
            </w:pict>
          </mc:Fallback>
        </mc:AlternateContent>
      </w:r>
      <w:r w:rsidR="00F860C4">
        <w:rPr>
          <w:noProof/>
        </w:rPr>
        <w:drawing>
          <wp:inline distT="0" distB="0" distL="0" distR="0" wp14:anchorId="1272E7C7" wp14:editId="7C481C8E">
            <wp:extent cx="3712845" cy="1974215"/>
            <wp:effectExtent l="0" t="0" r="1905" b="6985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41B967C" w14:textId="77777777" w:rsidR="00F860C4" w:rsidRDefault="00F860C4" w:rsidP="00183D64">
      <w:pPr>
        <w:pStyle w:val="Nadpis1"/>
        <w:spacing w:after="0" w:line="240" w:lineRule="auto"/>
      </w:pPr>
    </w:p>
    <w:p w14:paraId="4168F6C7" w14:textId="77777777" w:rsidR="00752399" w:rsidRPr="00752399" w:rsidRDefault="00752399" w:rsidP="00752399"/>
    <w:p w14:paraId="72D00110" w14:textId="77777777" w:rsidR="0033466E" w:rsidRPr="005C0B8E" w:rsidRDefault="00A640AE" w:rsidP="00124170">
      <w:pPr>
        <w:pStyle w:val="Nadpis1"/>
        <w:keepNext/>
        <w:spacing w:after="0" w:line="240" w:lineRule="auto"/>
      </w:pPr>
      <w:r w:rsidRPr="005C0B8E">
        <w:lastRenderedPageBreak/>
        <w:t>I. Shrnutí a vyhodnocení</w:t>
      </w:r>
    </w:p>
    <w:p w14:paraId="30C5BBAC" w14:textId="77777777" w:rsidR="00183D64" w:rsidRPr="00683C72" w:rsidRDefault="00183D64" w:rsidP="00183D64">
      <w:pPr>
        <w:spacing w:after="0"/>
        <w:jc w:val="both"/>
        <w:rPr>
          <w:highlight w:val="yellow"/>
        </w:rPr>
      </w:pPr>
    </w:p>
    <w:p w14:paraId="2CBD8EE0" w14:textId="7468942F" w:rsidR="008B59A0" w:rsidRDefault="003F4B91" w:rsidP="00934AB7">
      <w:pPr>
        <w:spacing w:after="0"/>
        <w:jc w:val="both"/>
        <w:rPr>
          <w:rFonts w:asciiTheme="minorHAnsi" w:eastAsiaTheme="minorHAnsi" w:hAnsiTheme="minorHAnsi" w:cstheme="minorHAnsi"/>
        </w:rPr>
      </w:pPr>
      <w:r w:rsidRPr="00920E6B">
        <w:rPr>
          <w:rFonts w:asciiTheme="minorHAnsi" w:eastAsiaTheme="minorHAnsi" w:hAnsiTheme="minorHAnsi" w:cstheme="minorHAnsi"/>
        </w:rPr>
        <w:t>Cílem kontroly bylo prověřit, zda Ministerstvo</w:t>
      </w:r>
      <w:r w:rsidR="00934AB7">
        <w:rPr>
          <w:rFonts w:asciiTheme="minorHAnsi" w:eastAsiaTheme="minorHAnsi" w:hAnsiTheme="minorHAnsi" w:cstheme="minorHAnsi"/>
        </w:rPr>
        <w:t xml:space="preserve"> vnitra</w:t>
      </w:r>
      <w:r w:rsidRPr="00920E6B">
        <w:rPr>
          <w:rFonts w:asciiTheme="minorHAnsi" w:eastAsiaTheme="minorHAnsi" w:hAnsiTheme="minorHAnsi" w:cstheme="minorHAnsi"/>
        </w:rPr>
        <w:t xml:space="preserve"> při sestavení závěrečného účtu a</w:t>
      </w:r>
      <w:r w:rsidR="00E243CE">
        <w:rPr>
          <w:rFonts w:asciiTheme="minorHAnsi" w:eastAsiaTheme="minorHAnsi" w:hAnsiTheme="minorHAnsi" w:cstheme="minorHAnsi"/>
        </w:rPr>
        <w:t xml:space="preserve"> </w:t>
      </w:r>
      <w:r w:rsidRPr="00920E6B">
        <w:rPr>
          <w:rFonts w:asciiTheme="minorHAnsi" w:eastAsiaTheme="minorHAnsi" w:hAnsiTheme="minorHAnsi" w:cstheme="minorHAnsi"/>
        </w:rPr>
        <w:t>při vedení účetnictví</w:t>
      </w:r>
      <w:r w:rsidR="00EA4390">
        <w:rPr>
          <w:rFonts w:asciiTheme="minorHAnsi" w:eastAsiaTheme="minorHAnsi" w:hAnsiTheme="minorHAnsi" w:cstheme="minorHAnsi"/>
        </w:rPr>
        <w:t xml:space="preserve"> </w:t>
      </w:r>
      <w:r w:rsidRPr="00920E6B">
        <w:rPr>
          <w:rFonts w:asciiTheme="minorHAnsi" w:eastAsiaTheme="minorHAnsi" w:hAnsiTheme="minorHAnsi" w:cstheme="minorHAnsi"/>
        </w:rPr>
        <w:t>a předkládání údajů pro hodnocení plnění státního rozpočtu za rok 202</w:t>
      </w:r>
      <w:r w:rsidR="00EA4390">
        <w:rPr>
          <w:rFonts w:asciiTheme="minorHAnsi" w:eastAsiaTheme="minorHAnsi" w:hAnsiTheme="minorHAnsi" w:cstheme="minorHAnsi"/>
        </w:rPr>
        <w:t>1</w:t>
      </w:r>
      <w:r w:rsidRPr="00920E6B">
        <w:rPr>
          <w:rFonts w:asciiTheme="minorHAnsi" w:eastAsiaTheme="minorHAnsi" w:hAnsiTheme="minorHAnsi" w:cstheme="minorHAnsi"/>
        </w:rPr>
        <w:t xml:space="preserve"> postupovalo v souladu s příslušnými právními předpisy.</w:t>
      </w:r>
      <w:r w:rsidR="00934AB7">
        <w:rPr>
          <w:rFonts w:asciiTheme="minorHAnsi" w:eastAsiaTheme="minorHAnsi" w:hAnsiTheme="minorHAnsi" w:cstheme="minorHAnsi"/>
        </w:rPr>
        <w:t xml:space="preserve"> </w:t>
      </w:r>
    </w:p>
    <w:p w14:paraId="7F1EF599" w14:textId="77777777" w:rsidR="008B59A0" w:rsidRDefault="008B59A0" w:rsidP="00934AB7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61C0E0B2" w14:textId="6B09CD07" w:rsidR="00B75F66" w:rsidRDefault="00BB7053" w:rsidP="00934AB7">
      <w:pPr>
        <w:spacing w:after="0"/>
        <w:jc w:val="both"/>
        <w:rPr>
          <w:rFonts w:asciiTheme="minorHAnsi" w:eastAsiaTheme="minorHAnsi" w:hAnsiTheme="minorHAnsi" w:cstheme="minorHAnsi"/>
        </w:rPr>
      </w:pPr>
      <w:r w:rsidRPr="00A952C9">
        <w:rPr>
          <w:rFonts w:asciiTheme="minorHAnsi" w:eastAsiaTheme="minorHAnsi" w:hAnsiTheme="minorHAnsi" w:cstheme="minorHAnsi"/>
        </w:rPr>
        <w:t>Účetnictví MV zahrnuje</w:t>
      </w:r>
      <w:r>
        <w:rPr>
          <w:rFonts w:asciiTheme="minorHAnsi" w:eastAsiaTheme="minorHAnsi" w:hAnsiTheme="minorHAnsi" w:cstheme="minorHAnsi"/>
        </w:rPr>
        <w:t xml:space="preserve"> celkem 5 účetních okruhů. Čtyři z nich zobrazují činnost MV jako organizační složky státu (dále také „OSS“)</w:t>
      </w:r>
      <w:r w:rsidR="00A952C9">
        <w:rPr>
          <w:rFonts w:asciiTheme="minorHAnsi" w:eastAsiaTheme="minorHAnsi" w:hAnsiTheme="minorHAnsi" w:cstheme="minorHAnsi"/>
        </w:rPr>
        <w:t>;</w:t>
      </w:r>
      <w:r>
        <w:rPr>
          <w:rFonts w:asciiTheme="minorHAnsi" w:eastAsiaTheme="minorHAnsi" w:hAnsiTheme="minorHAnsi" w:cstheme="minorHAnsi"/>
        </w:rPr>
        <w:t xml:space="preserve"> pátý</w:t>
      </w:r>
      <w:r w:rsidR="00A952C9">
        <w:rPr>
          <w:rFonts w:asciiTheme="minorHAnsi" w:eastAsiaTheme="minorHAnsi" w:hAnsiTheme="minorHAnsi" w:cstheme="minorHAnsi"/>
        </w:rPr>
        <w:t>,</w:t>
      </w:r>
      <w:r>
        <w:rPr>
          <w:rFonts w:asciiTheme="minorHAnsi" w:eastAsiaTheme="minorHAnsi" w:hAnsiTheme="minorHAnsi" w:cstheme="minorHAnsi"/>
        </w:rPr>
        <w:t xml:space="preserve"> samostatný účetní okruh zobrazuje činnost Úřadu pro zahraniční styky a informace (dále také „ÚZSI“) jako OSS</w:t>
      </w:r>
      <w:r w:rsidR="00914E7F">
        <w:rPr>
          <w:rFonts w:asciiTheme="minorHAnsi" w:eastAsiaTheme="minorHAnsi" w:hAnsiTheme="minorHAnsi" w:cstheme="minorHAnsi"/>
        </w:rPr>
        <w:t>.</w:t>
      </w:r>
      <w:r w:rsidR="009B4738">
        <w:rPr>
          <w:rFonts w:asciiTheme="minorHAnsi" w:eastAsiaTheme="minorHAnsi" w:hAnsiTheme="minorHAnsi" w:cstheme="minorHAnsi"/>
        </w:rPr>
        <w:t xml:space="preserve"> </w:t>
      </w:r>
      <w:r w:rsidR="000325A3">
        <w:rPr>
          <w:rFonts w:asciiTheme="minorHAnsi" w:eastAsiaTheme="minorHAnsi" w:hAnsiTheme="minorHAnsi" w:cstheme="minorHAnsi"/>
        </w:rPr>
        <w:t>MV ve své účetní závěrce</w:t>
      </w:r>
      <w:r>
        <w:rPr>
          <w:rFonts w:asciiTheme="minorHAnsi" w:eastAsiaTheme="minorHAnsi" w:hAnsiTheme="minorHAnsi" w:cstheme="minorHAnsi"/>
        </w:rPr>
        <w:t xml:space="preserve"> vykazuje</w:t>
      </w:r>
      <w:r w:rsidR="000325A3">
        <w:rPr>
          <w:rFonts w:asciiTheme="minorHAnsi" w:eastAsiaTheme="minorHAnsi" w:hAnsiTheme="minorHAnsi" w:cstheme="minorHAnsi"/>
        </w:rPr>
        <w:t xml:space="preserve"> údaje</w:t>
      </w:r>
      <w:r w:rsidR="00914E7F">
        <w:rPr>
          <w:rFonts w:asciiTheme="minorHAnsi" w:eastAsiaTheme="minorHAnsi" w:hAnsiTheme="minorHAnsi" w:cstheme="minorHAnsi"/>
        </w:rPr>
        <w:t xml:space="preserve"> za obě tyto OSS. </w:t>
      </w:r>
      <w:r w:rsidR="00B75F66">
        <w:rPr>
          <w:rFonts w:asciiTheme="minorHAnsi" w:eastAsiaTheme="minorHAnsi" w:hAnsiTheme="minorHAnsi" w:cstheme="minorHAnsi"/>
        </w:rPr>
        <w:t>Účetní závěrku MV podepisuje ministr vnitra, který je ze zákona odpovědný za vedení účetnictví a sestavení účetní závěrky za celou účetní jednotku.</w:t>
      </w:r>
    </w:p>
    <w:p w14:paraId="3F78FF14" w14:textId="77777777" w:rsidR="00854846" w:rsidRDefault="00854846" w:rsidP="00934AB7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1FDE8A1E" w14:textId="77777777" w:rsidR="00F7140E" w:rsidRPr="00752399" w:rsidRDefault="00857CB8" w:rsidP="00934AB7">
      <w:pPr>
        <w:spacing w:after="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Předmětem </w:t>
      </w:r>
      <w:r w:rsidR="003B3341">
        <w:rPr>
          <w:rFonts w:asciiTheme="minorHAnsi" w:eastAsiaTheme="minorHAnsi" w:hAnsiTheme="minorHAnsi" w:cstheme="minorHAnsi"/>
        </w:rPr>
        <w:t xml:space="preserve">kontroly </w:t>
      </w:r>
      <w:r>
        <w:rPr>
          <w:rFonts w:asciiTheme="minorHAnsi" w:eastAsiaTheme="minorHAnsi" w:hAnsiTheme="minorHAnsi" w:cstheme="minorHAnsi"/>
        </w:rPr>
        <w:t>byly účetní okruhy MV</w:t>
      </w:r>
      <w:r w:rsidR="00BB7053">
        <w:rPr>
          <w:rFonts w:asciiTheme="minorHAnsi" w:eastAsiaTheme="minorHAnsi" w:hAnsiTheme="minorHAnsi" w:cstheme="minorHAnsi"/>
        </w:rPr>
        <w:t xml:space="preserve"> zobrazující jeho činnost jako OSS</w:t>
      </w:r>
      <w:r w:rsidR="00A952C9">
        <w:rPr>
          <w:rFonts w:asciiTheme="minorHAnsi" w:eastAsiaTheme="minorHAnsi" w:hAnsiTheme="minorHAnsi" w:cstheme="minorHAnsi"/>
        </w:rPr>
        <w:t>,</w:t>
      </w:r>
      <w:r w:rsidR="00BB7053">
        <w:rPr>
          <w:rFonts w:asciiTheme="minorHAnsi" w:eastAsiaTheme="minorHAnsi" w:hAnsiTheme="minorHAnsi" w:cstheme="minorHAnsi"/>
        </w:rPr>
        <w:t xml:space="preserve"> tzn.</w:t>
      </w:r>
      <w:r>
        <w:rPr>
          <w:rFonts w:asciiTheme="minorHAnsi" w:eastAsiaTheme="minorHAnsi" w:hAnsiTheme="minorHAnsi" w:cstheme="minorHAnsi"/>
        </w:rPr>
        <w:t xml:space="preserve"> </w:t>
      </w:r>
      <w:r w:rsidR="00BB7053">
        <w:rPr>
          <w:rFonts w:asciiTheme="minorHAnsi" w:eastAsiaTheme="minorHAnsi" w:hAnsiTheme="minorHAnsi" w:cstheme="minorHAnsi"/>
        </w:rPr>
        <w:t xml:space="preserve">ústřední orgán MV, </w:t>
      </w:r>
      <w:r>
        <w:rPr>
          <w:rFonts w:asciiTheme="minorHAnsi" w:eastAsiaTheme="minorHAnsi" w:hAnsiTheme="minorHAnsi" w:cstheme="minorHAnsi"/>
        </w:rPr>
        <w:t xml:space="preserve">Generální ředitelství Hasičského záchranného sboru </w:t>
      </w:r>
      <w:r w:rsidR="00874981">
        <w:rPr>
          <w:rFonts w:asciiTheme="minorHAnsi" w:eastAsiaTheme="minorHAnsi" w:hAnsiTheme="minorHAnsi" w:cstheme="minorHAnsi"/>
        </w:rPr>
        <w:t>České republiky</w:t>
      </w:r>
      <w:r w:rsidR="00BB7053">
        <w:rPr>
          <w:rFonts w:asciiTheme="minorHAnsi" w:eastAsiaTheme="minorHAnsi" w:hAnsiTheme="minorHAnsi" w:cstheme="minorHAnsi"/>
        </w:rPr>
        <w:t>,</w:t>
      </w:r>
      <w:r w:rsidR="00C43B6A">
        <w:rPr>
          <w:rFonts w:asciiTheme="minorHAnsi" w:eastAsiaTheme="minorHAnsi" w:hAnsiTheme="minorHAnsi" w:cstheme="minorHAnsi"/>
        </w:rPr>
        <w:t xml:space="preserve"> Policejní prezidi</w:t>
      </w:r>
      <w:r w:rsidR="00BB7053">
        <w:rPr>
          <w:rFonts w:asciiTheme="minorHAnsi" w:eastAsiaTheme="minorHAnsi" w:hAnsiTheme="minorHAnsi" w:cstheme="minorHAnsi"/>
        </w:rPr>
        <w:t>um České republiky</w:t>
      </w:r>
      <w:r w:rsidR="00C43B6A">
        <w:rPr>
          <w:rFonts w:asciiTheme="minorHAnsi" w:eastAsiaTheme="minorHAnsi" w:hAnsiTheme="minorHAnsi" w:cstheme="minorHAnsi"/>
        </w:rPr>
        <w:t xml:space="preserve"> a okruh technický (</w:t>
      </w:r>
      <w:r w:rsidR="0025480F" w:rsidRPr="00752399">
        <w:rPr>
          <w:rFonts w:asciiTheme="minorHAnsi" w:eastAsiaTheme="minorHAnsi" w:hAnsiTheme="minorHAnsi" w:cstheme="minorHAnsi"/>
          <w:b/>
        </w:rPr>
        <w:t xml:space="preserve">souhrnně </w:t>
      </w:r>
      <w:r w:rsidR="00C43B6A" w:rsidRPr="00752399">
        <w:rPr>
          <w:rFonts w:asciiTheme="minorHAnsi" w:eastAsiaTheme="minorHAnsi" w:hAnsiTheme="minorHAnsi" w:cstheme="minorHAnsi"/>
          <w:b/>
        </w:rPr>
        <w:t xml:space="preserve">dále také „KO </w:t>
      </w:r>
      <w:r w:rsidR="00C43B6A" w:rsidRPr="00A952C9">
        <w:rPr>
          <w:rFonts w:asciiTheme="minorHAnsi" w:eastAsiaTheme="minorHAnsi" w:hAnsiTheme="minorHAnsi" w:cstheme="minorHAnsi"/>
          <w:b/>
        </w:rPr>
        <w:t>MV</w:t>
      </w:r>
      <w:r w:rsidR="00C43B6A" w:rsidRPr="00124170">
        <w:rPr>
          <w:rFonts w:asciiTheme="minorHAnsi" w:eastAsiaTheme="minorHAnsi" w:hAnsiTheme="minorHAnsi" w:cstheme="minorHAnsi"/>
          <w:b/>
        </w:rPr>
        <w:t>“</w:t>
      </w:r>
      <w:r w:rsidR="00C43B6A">
        <w:rPr>
          <w:rFonts w:asciiTheme="minorHAnsi" w:eastAsiaTheme="minorHAnsi" w:hAnsiTheme="minorHAnsi" w:cstheme="minorHAnsi"/>
        </w:rPr>
        <w:t>)</w:t>
      </w:r>
      <w:r w:rsidR="00A952C9">
        <w:rPr>
          <w:rFonts w:asciiTheme="minorHAnsi" w:eastAsiaTheme="minorHAnsi" w:hAnsiTheme="minorHAnsi" w:cstheme="minorHAnsi"/>
        </w:rPr>
        <w:t>,</w:t>
      </w:r>
      <w:r>
        <w:rPr>
          <w:rFonts w:asciiTheme="minorHAnsi" w:eastAsiaTheme="minorHAnsi" w:hAnsiTheme="minorHAnsi" w:cstheme="minorHAnsi"/>
        </w:rPr>
        <w:t xml:space="preserve"> </w:t>
      </w:r>
      <w:r w:rsidR="000325A3">
        <w:rPr>
          <w:rFonts w:asciiTheme="minorHAnsi" w:eastAsiaTheme="minorHAnsi" w:hAnsiTheme="minorHAnsi" w:cstheme="minorHAnsi"/>
        </w:rPr>
        <w:t>a</w:t>
      </w:r>
      <w:r w:rsidR="001629E7">
        <w:rPr>
          <w:rFonts w:asciiTheme="minorHAnsi" w:eastAsiaTheme="minorHAnsi" w:hAnsiTheme="minorHAnsi" w:cstheme="minorHAnsi"/>
        </w:rPr>
        <w:t xml:space="preserve"> </w:t>
      </w:r>
      <w:r w:rsidR="00B75F66">
        <w:rPr>
          <w:rFonts w:asciiTheme="minorHAnsi" w:eastAsiaTheme="minorHAnsi" w:hAnsiTheme="minorHAnsi" w:cstheme="minorHAnsi"/>
        </w:rPr>
        <w:t>vliv</w:t>
      </w:r>
      <w:r w:rsidR="00225E1A">
        <w:rPr>
          <w:rFonts w:asciiTheme="minorHAnsi" w:eastAsiaTheme="minorHAnsi" w:hAnsiTheme="minorHAnsi" w:cstheme="minorHAnsi"/>
        </w:rPr>
        <w:t xml:space="preserve"> </w:t>
      </w:r>
      <w:r w:rsidR="000325A3">
        <w:rPr>
          <w:rFonts w:asciiTheme="minorHAnsi" w:eastAsiaTheme="minorHAnsi" w:hAnsiTheme="minorHAnsi" w:cstheme="minorHAnsi"/>
        </w:rPr>
        <w:t>agregovaných informací</w:t>
      </w:r>
      <w:r w:rsidR="001629E7">
        <w:rPr>
          <w:rFonts w:asciiTheme="minorHAnsi" w:eastAsiaTheme="minorHAnsi" w:hAnsiTheme="minorHAnsi" w:cstheme="minorHAnsi"/>
        </w:rPr>
        <w:t xml:space="preserve"> za</w:t>
      </w:r>
      <w:r w:rsidR="009B4738">
        <w:rPr>
          <w:rFonts w:asciiTheme="minorHAnsi" w:eastAsiaTheme="minorHAnsi" w:hAnsiTheme="minorHAnsi" w:cstheme="minorHAnsi"/>
        </w:rPr>
        <w:t xml:space="preserve"> účetní okruh</w:t>
      </w:r>
      <w:r w:rsidR="001629E7">
        <w:rPr>
          <w:rFonts w:asciiTheme="minorHAnsi" w:eastAsiaTheme="minorHAnsi" w:hAnsiTheme="minorHAnsi" w:cstheme="minorHAnsi"/>
        </w:rPr>
        <w:t xml:space="preserve"> ÚZSI</w:t>
      </w:r>
      <w:r w:rsidR="000325A3">
        <w:rPr>
          <w:rFonts w:asciiTheme="minorHAnsi" w:eastAsiaTheme="minorHAnsi" w:hAnsiTheme="minorHAnsi" w:cstheme="minorHAnsi"/>
        </w:rPr>
        <w:t xml:space="preserve"> </w:t>
      </w:r>
      <w:r w:rsidR="00BB7053">
        <w:rPr>
          <w:rFonts w:asciiTheme="minorHAnsi" w:eastAsiaTheme="minorHAnsi" w:hAnsiTheme="minorHAnsi" w:cstheme="minorHAnsi"/>
        </w:rPr>
        <w:t>na</w:t>
      </w:r>
      <w:r w:rsidR="000325A3">
        <w:rPr>
          <w:rFonts w:asciiTheme="minorHAnsi" w:eastAsiaTheme="minorHAnsi" w:hAnsiTheme="minorHAnsi" w:cstheme="minorHAnsi"/>
        </w:rPr>
        <w:t xml:space="preserve"> údaje vykázané a zveřejněné v účetní závěrce</w:t>
      </w:r>
      <w:r w:rsidR="003F731A">
        <w:rPr>
          <w:rFonts w:asciiTheme="minorHAnsi" w:eastAsiaTheme="minorHAnsi" w:hAnsiTheme="minorHAnsi" w:cstheme="minorHAnsi"/>
        </w:rPr>
        <w:t xml:space="preserve"> za účetní jednotku</w:t>
      </w:r>
      <w:r w:rsidR="00752399">
        <w:rPr>
          <w:rFonts w:asciiTheme="minorHAnsi" w:eastAsiaTheme="minorHAnsi" w:hAnsiTheme="minorHAnsi" w:cstheme="minorHAnsi"/>
        </w:rPr>
        <w:t xml:space="preserve"> </w:t>
      </w:r>
      <w:r w:rsidR="000325A3">
        <w:rPr>
          <w:rFonts w:asciiTheme="minorHAnsi" w:eastAsiaTheme="minorHAnsi" w:hAnsiTheme="minorHAnsi" w:cstheme="minorHAnsi"/>
        </w:rPr>
        <w:t>MV</w:t>
      </w:r>
      <w:r w:rsidR="00752399">
        <w:rPr>
          <w:rStyle w:val="Znakapoznpodarou"/>
          <w:rFonts w:asciiTheme="minorHAnsi" w:eastAsiaTheme="minorHAnsi" w:hAnsiTheme="minorHAnsi" w:cstheme="minorHAnsi"/>
        </w:rPr>
        <w:footnoteReference w:id="4"/>
      </w:r>
      <w:r w:rsidR="00225E1A">
        <w:rPr>
          <w:rFonts w:asciiTheme="minorHAnsi" w:eastAsiaTheme="minorHAnsi" w:hAnsiTheme="minorHAnsi" w:cstheme="minorHAnsi"/>
        </w:rPr>
        <w:t>.</w:t>
      </w:r>
      <w:r w:rsidR="001629E7">
        <w:rPr>
          <w:rFonts w:asciiTheme="minorHAnsi" w:eastAsiaTheme="minorHAnsi" w:hAnsiTheme="minorHAnsi" w:cstheme="minorHAnsi"/>
        </w:rPr>
        <w:t xml:space="preserve"> </w:t>
      </w:r>
    </w:p>
    <w:p w14:paraId="3765714C" w14:textId="77777777" w:rsidR="003F4B91" w:rsidRDefault="003F4B91" w:rsidP="007A7522">
      <w:pPr>
        <w:spacing w:after="0"/>
        <w:jc w:val="both"/>
        <w:rPr>
          <w:rFonts w:eastAsiaTheme="minorHAnsi" w:cs="Calibri"/>
        </w:rPr>
      </w:pPr>
    </w:p>
    <w:p w14:paraId="49B846A0" w14:textId="1182878B" w:rsidR="00E02ED8" w:rsidRDefault="00A640AE" w:rsidP="007A7522">
      <w:pPr>
        <w:spacing w:after="0"/>
        <w:jc w:val="both"/>
        <w:rPr>
          <w:rFonts w:eastAsiaTheme="minorHAnsi" w:cs="Calibri"/>
        </w:rPr>
      </w:pPr>
      <w:r w:rsidRPr="005C0B8E">
        <w:rPr>
          <w:rFonts w:eastAsiaTheme="minorHAnsi" w:cs="Calibri"/>
        </w:rPr>
        <w:t xml:space="preserve">NKÚ </w:t>
      </w:r>
      <w:r w:rsidR="003F4B91">
        <w:rPr>
          <w:rFonts w:eastAsiaTheme="minorHAnsi" w:cs="Calibri"/>
        </w:rPr>
        <w:t xml:space="preserve">při kontrole </w:t>
      </w:r>
      <w:r w:rsidRPr="005C0B8E">
        <w:rPr>
          <w:rFonts w:eastAsiaTheme="minorHAnsi" w:cs="Calibri"/>
        </w:rPr>
        <w:t xml:space="preserve">prověřil </w:t>
      </w:r>
      <w:r w:rsidR="000D3C04">
        <w:rPr>
          <w:rFonts w:eastAsiaTheme="minorHAnsi" w:cs="Calibri"/>
        </w:rPr>
        <w:t>správnost</w:t>
      </w:r>
      <w:r w:rsidR="00186F3C">
        <w:rPr>
          <w:rFonts w:eastAsiaTheme="minorHAnsi" w:cs="Calibri"/>
        </w:rPr>
        <w:t xml:space="preserve">, úplnost a srozumitelnost vedení účetnictví, </w:t>
      </w:r>
      <w:r w:rsidRPr="005C0B8E">
        <w:rPr>
          <w:rFonts w:eastAsiaTheme="minorHAnsi" w:cs="Calibri"/>
        </w:rPr>
        <w:t xml:space="preserve">průkaznost účetního zpracování, spolehlivost finančních informací na výstupu z účetní jednotky </w:t>
      </w:r>
      <w:r w:rsidR="0055132B" w:rsidRPr="005C0B8E">
        <w:rPr>
          <w:rFonts w:eastAsiaTheme="minorHAnsi" w:cs="Calibri"/>
        </w:rPr>
        <w:t>za rok 20</w:t>
      </w:r>
      <w:r w:rsidR="00842B22" w:rsidRPr="005C0B8E">
        <w:rPr>
          <w:rFonts w:eastAsiaTheme="minorHAnsi" w:cs="Calibri"/>
        </w:rPr>
        <w:t>2</w:t>
      </w:r>
      <w:r w:rsidR="00EA4390">
        <w:rPr>
          <w:rFonts w:eastAsiaTheme="minorHAnsi" w:cs="Calibri"/>
        </w:rPr>
        <w:t>1</w:t>
      </w:r>
      <w:r w:rsidR="0055132B" w:rsidRPr="005C0B8E">
        <w:rPr>
          <w:rFonts w:eastAsiaTheme="minorHAnsi" w:cs="Calibri"/>
        </w:rPr>
        <w:t xml:space="preserve"> </w:t>
      </w:r>
      <w:r w:rsidRPr="005C0B8E">
        <w:rPr>
          <w:rFonts w:eastAsiaTheme="minorHAnsi" w:cs="Calibri"/>
        </w:rPr>
        <w:t xml:space="preserve">a dodržování </w:t>
      </w:r>
      <w:r w:rsidR="00EC339E" w:rsidRPr="005C0B8E">
        <w:rPr>
          <w:rFonts w:eastAsiaTheme="minorHAnsi" w:cs="Calibri"/>
        </w:rPr>
        <w:t>právních předpisů při</w:t>
      </w:r>
      <w:r w:rsidR="006E6758" w:rsidRPr="005C0B8E">
        <w:rPr>
          <w:rFonts w:eastAsiaTheme="minorHAnsi" w:cs="Calibri"/>
        </w:rPr>
        <w:t xml:space="preserve"> </w:t>
      </w:r>
      <w:r w:rsidRPr="005C0B8E">
        <w:rPr>
          <w:rFonts w:eastAsiaTheme="minorHAnsi" w:cs="Calibri"/>
        </w:rPr>
        <w:t>hospodaření s majetkem státu.</w:t>
      </w:r>
      <w:r w:rsidR="00F8142C">
        <w:rPr>
          <w:rFonts w:eastAsiaTheme="minorHAnsi" w:cs="Calibri"/>
        </w:rPr>
        <w:t xml:space="preserve"> </w:t>
      </w:r>
      <w:r w:rsidR="00186F3C">
        <w:rPr>
          <w:rFonts w:eastAsiaTheme="minorHAnsi" w:cs="Calibri"/>
        </w:rPr>
        <w:t>Dodržování právních předpisů v</w:t>
      </w:r>
      <w:r w:rsidR="0005356E">
        <w:rPr>
          <w:rFonts w:eastAsiaTheme="minorHAnsi" w:cs="Calibri"/>
        </w:rPr>
        <w:t xml:space="preserve"> </w:t>
      </w:r>
      <w:r w:rsidR="00186F3C">
        <w:rPr>
          <w:rFonts w:eastAsiaTheme="minorHAnsi" w:cs="Calibri"/>
        </w:rPr>
        <w:t xml:space="preserve">těchto oblastech </w:t>
      </w:r>
      <w:r w:rsidRPr="005C0B8E">
        <w:rPr>
          <w:rFonts w:eastAsiaTheme="minorHAnsi" w:cs="Calibri"/>
        </w:rPr>
        <w:t>je základem řádného finančního řízení v</w:t>
      </w:r>
      <w:r w:rsidR="0005356E">
        <w:rPr>
          <w:rFonts w:eastAsiaTheme="minorHAnsi" w:cs="Calibri"/>
        </w:rPr>
        <w:t xml:space="preserve"> </w:t>
      </w:r>
      <w:r w:rsidRPr="005C0B8E">
        <w:rPr>
          <w:rFonts w:eastAsiaTheme="minorHAnsi" w:cs="Calibri"/>
        </w:rPr>
        <w:t>souladu se zákonem č.</w:t>
      </w:r>
      <w:r w:rsidR="00080853">
        <w:rPr>
          <w:rFonts w:eastAsiaTheme="minorHAnsi" w:cs="Calibri"/>
        </w:rPr>
        <w:t> </w:t>
      </w:r>
      <w:r w:rsidRPr="005C0B8E">
        <w:rPr>
          <w:rFonts w:eastAsiaTheme="minorHAnsi" w:cs="Calibri"/>
        </w:rPr>
        <w:t>320/2001 Sb.</w:t>
      </w:r>
      <w:r w:rsidR="006659FE">
        <w:rPr>
          <w:rStyle w:val="Znakapoznpodarou"/>
          <w:rFonts w:eastAsiaTheme="minorHAnsi" w:cs="Calibri"/>
        </w:rPr>
        <w:footnoteReference w:id="5"/>
      </w:r>
    </w:p>
    <w:p w14:paraId="3D7A560C" w14:textId="77777777" w:rsidR="00F7140E" w:rsidRDefault="00F7140E" w:rsidP="007A7522">
      <w:pPr>
        <w:spacing w:after="0"/>
        <w:jc w:val="both"/>
        <w:rPr>
          <w:rFonts w:eastAsiaTheme="minorHAnsi" w:cs="Calibri"/>
        </w:rPr>
      </w:pPr>
    </w:p>
    <w:p w14:paraId="1943CFBF" w14:textId="77777777" w:rsidR="00EA4390" w:rsidRPr="005C0B8E" w:rsidRDefault="00EA4390" w:rsidP="007A7522">
      <w:pPr>
        <w:spacing w:after="0"/>
        <w:jc w:val="both"/>
        <w:rPr>
          <w:rFonts w:eastAsiaTheme="minorHAnsi" w:cs="Calibri"/>
        </w:rPr>
      </w:pPr>
      <w:r>
        <w:rPr>
          <w:rFonts w:eastAsiaTheme="minorHAnsi" w:cs="Calibri"/>
        </w:rPr>
        <w:t>KA</w:t>
      </w:r>
      <w:r w:rsidR="00F7140E">
        <w:rPr>
          <w:rFonts w:eastAsiaTheme="minorHAnsi" w:cs="Calibri"/>
        </w:rPr>
        <w:t xml:space="preserve"> byla zahájena v průběhu kontrolovaného účetního a rozpočtového období 2021.</w:t>
      </w:r>
      <w:r>
        <w:rPr>
          <w:rFonts w:eastAsiaTheme="minorHAnsi" w:cs="Calibri"/>
        </w:rPr>
        <w:t xml:space="preserve"> </w:t>
      </w:r>
    </w:p>
    <w:p w14:paraId="59858D81" w14:textId="77777777" w:rsidR="002B70D5" w:rsidRPr="00683C72" w:rsidRDefault="002B70D5" w:rsidP="00A7348F">
      <w:pPr>
        <w:spacing w:after="0"/>
        <w:rPr>
          <w:highlight w:val="yellow"/>
        </w:rPr>
      </w:pPr>
    </w:p>
    <w:p w14:paraId="739273C3" w14:textId="77777777" w:rsidR="0029520A" w:rsidRPr="007143E4" w:rsidRDefault="005F1C00" w:rsidP="00124170">
      <w:pPr>
        <w:pStyle w:val="Nadpis2"/>
        <w:keepNext/>
        <w:numPr>
          <w:ilvl w:val="0"/>
          <w:numId w:val="0"/>
        </w:numPr>
        <w:spacing w:after="240" w:line="240" w:lineRule="auto"/>
        <w:ind w:left="284" w:hanging="284"/>
        <w:contextualSpacing w:val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1A447E" w:rsidRPr="007143E4">
        <w:rPr>
          <w:rFonts w:ascii="Calibri" w:hAnsi="Calibri" w:cs="Calibri"/>
        </w:rPr>
        <w:t xml:space="preserve">. </w:t>
      </w:r>
      <w:r w:rsidR="00D966F6" w:rsidRPr="007143E4">
        <w:rPr>
          <w:rFonts w:ascii="Calibri" w:hAnsi="Calibri" w:cs="Calibri"/>
        </w:rPr>
        <w:t>Vedení účetnictví</w:t>
      </w:r>
    </w:p>
    <w:tbl>
      <w:tblPr>
        <w:tblStyle w:val="Mkatabulky"/>
        <w:tblW w:w="90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F1FF"/>
        <w:tblLook w:val="04A0" w:firstRow="1" w:lastRow="0" w:firstColumn="1" w:lastColumn="0" w:noHBand="0" w:noVBand="1"/>
      </w:tblPr>
      <w:tblGrid>
        <w:gridCol w:w="9084"/>
      </w:tblGrid>
      <w:tr w:rsidR="005F1C00" w14:paraId="67EC75AC" w14:textId="77777777" w:rsidTr="00BF3B13">
        <w:trPr>
          <w:trHeight w:val="1189"/>
        </w:trPr>
        <w:tc>
          <w:tcPr>
            <w:tcW w:w="9084" w:type="dxa"/>
            <w:shd w:val="clear" w:color="auto" w:fill="E5F1FF"/>
          </w:tcPr>
          <w:p w14:paraId="5470013D" w14:textId="297AADF8" w:rsidR="009E753F" w:rsidRPr="00BF3B13" w:rsidRDefault="004236A2" w:rsidP="00BF3B13">
            <w:pPr>
              <w:ind w:right="-103"/>
              <w:jc w:val="both"/>
              <w:rPr>
                <w:rFonts w:eastAsiaTheme="minorHAnsi" w:cs="Calibri"/>
                <w:b/>
              </w:rPr>
            </w:pPr>
            <w:bookmarkStart w:id="1" w:name="_Hlk79663883"/>
            <w:r>
              <w:rPr>
                <w:rFonts w:eastAsiaTheme="minorHAnsi" w:cs="Calibri"/>
                <w:b/>
              </w:rPr>
              <w:t>NKÚ v</w:t>
            </w:r>
            <w:r w:rsidR="00752399">
              <w:rPr>
                <w:rFonts w:eastAsiaTheme="minorHAnsi" w:cs="Calibri"/>
                <w:b/>
              </w:rPr>
              <w:t xml:space="preserve"> </w:t>
            </w:r>
            <w:r w:rsidR="00002B9A">
              <w:rPr>
                <w:rFonts w:eastAsiaTheme="minorHAnsi" w:cs="Calibri"/>
                <w:b/>
              </w:rPr>
              <w:t>průběhu kontroly</w:t>
            </w:r>
            <w:r w:rsidR="00C4180E">
              <w:rPr>
                <w:rFonts w:eastAsiaTheme="minorHAnsi" w:cs="Calibri"/>
                <w:b/>
              </w:rPr>
              <w:t xml:space="preserve"> </w:t>
            </w:r>
            <w:r w:rsidR="00002B9A">
              <w:rPr>
                <w:rFonts w:eastAsiaTheme="minorHAnsi" w:cs="Calibri"/>
                <w:b/>
              </w:rPr>
              <w:t xml:space="preserve">identifikoval </w:t>
            </w:r>
            <w:r w:rsidR="00226BA6">
              <w:rPr>
                <w:rFonts w:eastAsiaTheme="minorHAnsi" w:cs="Calibri"/>
                <w:b/>
              </w:rPr>
              <w:t>nedostatky ve vedení účetnictví ve výši 915,3 mil. Kč</w:t>
            </w:r>
            <w:r w:rsidR="00002B9A">
              <w:rPr>
                <w:rFonts w:eastAsiaTheme="minorHAnsi" w:cs="Calibri"/>
                <w:b/>
              </w:rPr>
              <w:t xml:space="preserve">. Tyto nedostatky </w:t>
            </w:r>
            <w:r w:rsidR="00226BA6">
              <w:rPr>
                <w:rFonts w:eastAsiaTheme="minorHAnsi" w:cs="Calibri"/>
                <w:b/>
              </w:rPr>
              <w:t>MV opravilo.</w:t>
            </w:r>
            <w:r w:rsidR="00E91034">
              <w:rPr>
                <w:rFonts w:eastAsiaTheme="minorHAnsi" w:cs="Calibri"/>
                <w:b/>
              </w:rPr>
              <w:t xml:space="preserve"> </w:t>
            </w:r>
            <w:r w:rsidR="00D44F9E">
              <w:rPr>
                <w:rFonts w:eastAsiaTheme="minorHAnsi" w:cs="Calibri"/>
                <w:b/>
              </w:rPr>
              <w:t>V důsledku</w:t>
            </w:r>
            <w:r w:rsidR="00E91034">
              <w:rPr>
                <w:rFonts w:eastAsiaTheme="minorHAnsi" w:cs="Calibri"/>
                <w:b/>
              </w:rPr>
              <w:t xml:space="preserve"> provedení</w:t>
            </w:r>
            <w:r w:rsidR="00226BA6">
              <w:rPr>
                <w:rFonts w:eastAsiaTheme="minorHAnsi" w:cs="Calibri"/>
                <w:b/>
              </w:rPr>
              <w:t xml:space="preserve"> účetních oprav</w:t>
            </w:r>
            <w:r w:rsidR="00E91034">
              <w:rPr>
                <w:rFonts w:eastAsiaTheme="minorHAnsi" w:cs="Calibri"/>
                <w:b/>
              </w:rPr>
              <w:t xml:space="preserve"> </w:t>
            </w:r>
            <w:r w:rsidR="00D44F9E">
              <w:rPr>
                <w:rFonts w:eastAsiaTheme="minorHAnsi" w:cs="Calibri"/>
                <w:b/>
              </w:rPr>
              <w:t xml:space="preserve">bylo účetnictví </w:t>
            </w:r>
            <w:r w:rsidR="005C1299">
              <w:rPr>
                <w:rFonts w:eastAsiaTheme="minorHAnsi" w:cs="Calibri"/>
                <w:b/>
              </w:rPr>
              <w:t xml:space="preserve">KO </w:t>
            </w:r>
            <w:r w:rsidR="002C113A" w:rsidRPr="00FB2A0C">
              <w:rPr>
                <w:rFonts w:asciiTheme="minorHAnsi" w:hAnsiTheme="minorHAnsi" w:cs="Calibri"/>
                <w:b/>
              </w:rPr>
              <w:t>MV</w:t>
            </w:r>
            <w:r w:rsidR="005C1299">
              <w:rPr>
                <w:rFonts w:asciiTheme="minorHAnsi" w:hAnsiTheme="minorHAnsi" w:cs="Calibri"/>
                <w:b/>
              </w:rPr>
              <w:t xml:space="preserve"> </w:t>
            </w:r>
            <w:r w:rsidR="002C113A" w:rsidRPr="00FB2A0C">
              <w:rPr>
                <w:rFonts w:asciiTheme="minorHAnsi" w:hAnsiTheme="minorHAnsi" w:cs="Calibri"/>
                <w:b/>
              </w:rPr>
              <w:t>ved</w:t>
            </w:r>
            <w:r w:rsidR="00D44F9E">
              <w:rPr>
                <w:rFonts w:asciiTheme="minorHAnsi" w:hAnsiTheme="minorHAnsi" w:cs="Calibri"/>
                <w:b/>
              </w:rPr>
              <w:t>eno v souladu s</w:t>
            </w:r>
            <w:r w:rsidR="00CA5C04">
              <w:rPr>
                <w:rFonts w:asciiTheme="minorHAnsi" w:hAnsiTheme="minorHAnsi" w:cs="Calibri"/>
                <w:b/>
              </w:rPr>
              <w:t> </w:t>
            </w:r>
            <w:r w:rsidR="00D44F9E">
              <w:rPr>
                <w:rFonts w:asciiTheme="minorHAnsi" w:hAnsiTheme="minorHAnsi" w:cs="Calibri"/>
                <w:b/>
              </w:rPr>
              <w:t>ustanoveními</w:t>
            </w:r>
            <w:r w:rsidR="002C113A" w:rsidRPr="00FB2A0C">
              <w:rPr>
                <w:rFonts w:asciiTheme="minorHAnsi" w:hAnsiTheme="minorHAnsi" w:cs="Calibri"/>
                <w:b/>
              </w:rPr>
              <w:t xml:space="preserve"> zákona</w:t>
            </w:r>
            <w:r w:rsidR="0036729E">
              <w:rPr>
                <w:rFonts w:asciiTheme="minorHAnsi" w:hAnsiTheme="minorHAnsi" w:cs="Calibri"/>
                <w:b/>
              </w:rPr>
              <w:t xml:space="preserve"> č. 563/1991 Sb.</w:t>
            </w:r>
            <w:r w:rsidR="0036729E">
              <w:rPr>
                <w:rStyle w:val="Znakapoznpodarou"/>
                <w:rFonts w:asciiTheme="minorHAnsi" w:hAnsiTheme="minorHAnsi" w:cs="Calibri"/>
                <w:b/>
              </w:rPr>
              <w:footnoteReference w:id="6"/>
            </w:r>
            <w:r w:rsidR="00D44F9E">
              <w:rPr>
                <w:rFonts w:asciiTheme="minorHAnsi" w:hAnsiTheme="minorHAnsi" w:cs="Calibri"/>
                <w:b/>
              </w:rPr>
              <w:t xml:space="preserve"> a</w:t>
            </w:r>
            <w:r w:rsidR="00D96F12">
              <w:rPr>
                <w:rFonts w:asciiTheme="minorHAnsi" w:hAnsiTheme="minorHAnsi" w:cs="Calibri"/>
                <w:b/>
              </w:rPr>
              <w:t> </w:t>
            </w:r>
            <w:r w:rsidR="00D44F9E">
              <w:rPr>
                <w:rFonts w:asciiTheme="minorHAnsi" w:hAnsiTheme="minorHAnsi" w:cs="Calibri"/>
                <w:b/>
              </w:rPr>
              <w:t>prováděcími právními předpisy k</w:t>
            </w:r>
            <w:r w:rsidR="007C6483">
              <w:rPr>
                <w:rFonts w:asciiTheme="minorHAnsi" w:hAnsiTheme="minorHAnsi" w:cs="Calibri"/>
                <w:b/>
              </w:rPr>
              <w:t> tomuto zákonu</w:t>
            </w:r>
            <w:r w:rsidR="00D44F9E">
              <w:rPr>
                <w:rFonts w:asciiTheme="minorHAnsi" w:hAnsiTheme="minorHAnsi" w:cs="Calibri"/>
                <w:b/>
              </w:rPr>
              <w:t>.</w:t>
            </w:r>
          </w:p>
        </w:tc>
      </w:tr>
      <w:bookmarkEnd w:id="1"/>
    </w:tbl>
    <w:p w14:paraId="756B32A1" w14:textId="77777777" w:rsidR="00BF3B13" w:rsidRDefault="00BF3B13" w:rsidP="005B4BB8">
      <w:pPr>
        <w:pStyle w:val="Odstavecseseznamem"/>
        <w:spacing w:after="0"/>
        <w:ind w:left="0"/>
        <w:jc w:val="both"/>
        <w:rPr>
          <w:rFonts w:eastAsiaTheme="minorHAnsi" w:cs="Calibri"/>
          <w:bCs/>
        </w:rPr>
      </w:pPr>
    </w:p>
    <w:p w14:paraId="2C8240F4" w14:textId="006AE298" w:rsidR="00D53856" w:rsidRDefault="00BF3B13" w:rsidP="005B4BB8">
      <w:pPr>
        <w:pStyle w:val="Odstavecseseznamem"/>
        <w:spacing w:after="0"/>
        <w:ind w:left="0"/>
        <w:jc w:val="both"/>
        <w:rPr>
          <w:rFonts w:eastAsiaTheme="minorHAnsi" w:cs="Calibri"/>
          <w:bCs/>
        </w:rPr>
      </w:pPr>
      <w:r w:rsidRPr="00872B70">
        <w:rPr>
          <w:rFonts w:eastAsiaTheme="minorHAnsi" w:cs="Calibri"/>
          <w:bCs/>
        </w:rPr>
        <w:t xml:space="preserve">Nesprávnosti ve vedení účetnictví, které byly zjištěny po provedení oprav, </w:t>
      </w:r>
      <w:r w:rsidR="004236A2">
        <w:rPr>
          <w:rFonts w:eastAsiaTheme="minorHAnsi" w:cs="Calibri"/>
          <w:bCs/>
        </w:rPr>
        <w:t>nejsou</w:t>
      </w:r>
      <w:r>
        <w:rPr>
          <w:rFonts w:eastAsiaTheme="minorHAnsi" w:cs="Calibri"/>
          <w:bCs/>
        </w:rPr>
        <w:t xml:space="preserve"> </w:t>
      </w:r>
      <w:r w:rsidRPr="00872B70">
        <w:rPr>
          <w:rFonts w:eastAsiaTheme="minorHAnsi" w:cs="Calibri"/>
          <w:bCs/>
        </w:rPr>
        <w:t>významné</w:t>
      </w:r>
      <w:r>
        <w:rPr>
          <w:rFonts w:eastAsiaTheme="minorHAnsi" w:cs="Calibri"/>
          <w:bCs/>
        </w:rPr>
        <w:t xml:space="preserve"> (viz část </w:t>
      </w:r>
      <w:r w:rsidRPr="004E2EFE">
        <w:rPr>
          <w:rFonts w:eastAsiaTheme="minorHAnsi" w:cs="Calibri"/>
          <w:bCs/>
        </w:rPr>
        <w:t>IV.1.1</w:t>
      </w:r>
      <w:r>
        <w:rPr>
          <w:rFonts w:eastAsiaTheme="minorHAnsi" w:cs="Calibri"/>
          <w:bCs/>
        </w:rPr>
        <w:t>)</w:t>
      </w:r>
      <w:r w:rsidRPr="00872B70">
        <w:rPr>
          <w:rFonts w:eastAsiaTheme="minorHAnsi" w:cs="Calibri"/>
          <w:bCs/>
        </w:rPr>
        <w:t>.</w:t>
      </w:r>
    </w:p>
    <w:p w14:paraId="1C028ADD" w14:textId="77777777" w:rsidR="001937CB" w:rsidRDefault="001937CB" w:rsidP="005B4BB8">
      <w:pPr>
        <w:pStyle w:val="Odstavecseseznamem"/>
        <w:spacing w:after="0"/>
        <w:ind w:left="0"/>
        <w:jc w:val="both"/>
        <w:rPr>
          <w:rFonts w:eastAsiaTheme="minorHAnsi" w:cs="Calibri"/>
          <w:bCs/>
        </w:rPr>
      </w:pPr>
    </w:p>
    <w:p w14:paraId="2895F8EF" w14:textId="65395ED9" w:rsidR="001937CB" w:rsidRPr="00D14FC9" w:rsidRDefault="001937CB" w:rsidP="001937CB">
      <w:pPr>
        <w:spacing w:after="0"/>
        <w:jc w:val="both"/>
        <w:rPr>
          <w:rFonts w:asciiTheme="minorHAnsi" w:hAnsiTheme="minorHAnsi" w:cstheme="minorHAnsi"/>
          <w:b/>
        </w:rPr>
      </w:pPr>
      <w:r w:rsidRPr="00D14FC9">
        <w:rPr>
          <w:rFonts w:asciiTheme="minorHAnsi" w:hAnsiTheme="minorHAnsi" w:cstheme="minorHAnsi"/>
          <w:b/>
          <w:bCs/>
        </w:rPr>
        <w:t>Specifi</w:t>
      </w:r>
      <w:r w:rsidR="004236A2">
        <w:rPr>
          <w:rFonts w:asciiTheme="minorHAnsi" w:hAnsiTheme="minorHAnsi" w:cstheme="minorHAnsi"/>
          <w:b/>
          <w:bCs/>
        </w:rPr>
        <w:t xml:space="preserve">kem </w:t>
      </w:r>
      <w:r w:rsidRPr="00D14FC9">
        <w:rPr>
          <w:rFonts w:asciiTheme="minorHAnsi" w:hAnsiTheme="minorHAnsi" w:cstheme="minorHAnsi"/>
          <w:b/>
          <w:bCs/>
        </w:rPr>
        <w:t>účetnictví M</w:t>
      </w:r>
      <w:r w:rsidR="00CA5C04">
        <w:rPr>
          <w:rFonts w:asciiTheme="minorHAnsi" w:hAnsiTheme="minorHAnsi" w:cstheme="minorHAnsi"/>
          <w:b/>
          <w:bCs/>
        </w:rPr>
        <w:t>inisterstva vnitra</w:t>
      </w:r>
      <w:r w:rsidRPr="00D14FC9">
        <w:rPr>
          <w:rFonts w:asciiTheme="minorHAnsi" w:hAnsiTheme="minorHAnsi" w:cstheme="minorHAnsi"/>
          <w:b/>
          <w:bCs/>
        </w:rPr>
        <w:t xml:space="preserve"> je samostatný účetní okruh zahrnující údaje,</w:t>
      </w:r>
      <w:r w:rsidRPr="00D14FC9">
        <w:rPr>
          <w:rFonts w:asciiTheme="minorHAnsi" w:hAnsiTheme="minorHAnsi" w:cstheme="minorHAnsi"/>
          <w:b/>
        </w:rPr>
        <w:t xml:space="preserve"> které se týkají </w:t>
      </w:r>
      <w:r w:rsidR="00DD7863">
        <w:rPr>
          <w:rFonts w:asciiTheme="minorHAnsi" w:hAnsiTheme="minorHAnsi" w:cstheme="minorHAnsi"/>
          <w:b/>
        </w:rPr>
        <w:t>jiné</w:t>
      </w:r>
      <w:r w:rsidRPr="00D14FC9">
        <w:rPr>
          <w:rFonts w:asciiTheme="minorHAnsi" w:hAnsiTheme="minorHAnsi" w:cstheme="minorHAnsi"/>
          <w:b/>
        </w:rPr>
        <w:t xml:space="preserve"> </w:t>
      </w:r>
      <w:r w:rsidR="00CA5C04">
        <w:rPr>
          <w:rFonts w:asciiTheme="minorHAnsi" w:hAnsiTheme="minorHAnsi" w:cstheme="minorHAnsi"/>
          <w:b/>
        </w:rPr>
        <w:t>OSS</w:t>
      </w:r>
      <w:r w:rsidR="004E2EFE">
        <w:rPr>
          <w:rFonts w:asciiTheme="minorHAnsi" w:hAnsiTheme="minorHAnsi" w:cstheme="minorHAnsi"/>
          <w:b/>
        </w:rPr>
        <w:t>,</w:t>
      </w:r>
      <w:r w:rsidRPr="00D14FC9">
        <w:rPr>
          <w:rFonts w:asciiTheme="minorHAnsi" w:hAnsiTheme="minorHAnsi" w:cstheme="minorHAnsi"/>
          <w:b/>
        </w:rPr>
        <w:t xml:space="preserve"> a to Úřadu pro zahraniční styky a informace.</w:t>
      </w:r>
      <w:r>
        <w:rPr>
          <w:rFonts w:asciiTheme="minorHAnsi" w:hAnsiTheme="minorHAnsi" w:cstheme="minorHAnsi"/>
        </w:rPr>
        <w:t xml:space="preserve"> </w:t>
      </w:r>
      <w:r w:rsidRPr="005B4AEA">
        <w:rPr>
          <w:rFonts w:asciiTheme="minorHAnsi" w:hAnsiTheme="minorHAnsi" w:cstheme="minorHAnsi"/>
        </w:rPr>
        <w:t xml:space="preserve">ÚZSI </w:t>
      </w:r>
      <w:r>
        <w:rPr>
          <w:rFonts w:asciiTheme="minorHAnsi" w:hAnsiTheme="minorHAnsi" w:cstheme="minorHAnsi"/>
        </w:rPr>
        <w:t>poskytuje Ministerstvu vnitra</w:t>
      </w:r>
      <w:r w:rsidR="00BE272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dohodou stanovené účetní údaje </w:t>
      </w:r>
      <w:r w:rsidRPr="00D14FC9">
        <w:rPr>
          <w:rFonts w:asciiTheme="minorHAnsi" w:hAnsiTheme="minorHAnsi" w:cstheme="minorHAnsi"/>
          <w:b/>
        </w:rPr>
        <w:t>v agregované podobě</w:t>
      </w:r>
      <w:r>
        <w:rPr>
          <w:rFonts w:asciiTheme="minorHAnsi" w:hAnsiTheme="minorHAnsi" w:cstheme="minorHAnsi"/>
        </w:rPr>
        <w:t xml:space="preserve"> </w:t>
      </w:r>
      <w:r w:rsidR="005B3ED7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 xml:space="preserve">MV </w:t>
      </w:r>
      <w:r w:rsidR="005B3ED7">
        <w:rPr>
          <w:rFonts w:asciiTheme="minorHAnsi" w:hAnsiTheme="minorHAnsi" w:cstheme="minorHAnsi"/>
        </w:rPr>
        <w:t xml:space="preserve">tyto údaje vkládá </w:t>
      </w:r>
      <w:r>
        <w:rPr>
          <w:rFonts w:asciiTheme="minorHAnsi" w:hAnsiTheme="minorHAnsi" w:cstheme="minorHAnsi"/>
        </w:rPr>
        <w:t>do svého ekonomického informačního systému.</w:t>
      </w:r>
      <w:r w:rsidR="000B0DBC">
        <w:rPr>
          <w:rFonts w:asciiTheme="minorHAnsi" w:hAnsiTheme="minorHAnsi" w:cstheme="minorHAnsi"/>
        </w:rPr>
        <w:t xml:space="preserve"> </w:t>
      </w:r>
      <w:r w:rsidR="005B3ED7">
        <w:rPr>
          <w:rFonts w:asciiTheme="minorHAnsi" w:hAnsiTheme="minorHAnsi" w:cstheme="minorHAnsi"/>
        </w:rPr>
        <w:t>Uvedenou</w:t>
      </w:r>
      <w:r w:rsidR="000B0DBC">
        <w:rPr>
          <w:rFonts w:asciiTheme="minorHAnsi" w:hAnsiTheme="minorHAnsi" w:cstheme="minorHAnsi"/>
        </w:rPr>
        <w:t xml:space="preserve"> formou jsou p</w:t>
      </w:r>
      <w:r w:rsidRPr="00691D46">
        <w:rPr>
          <w:rFonts w:asciiTheme="minorHAnsi" w:hAnsiTheme="minorHAnsi" w:cstheme="minorHAnsi"/>
        </w:rPr>
        <w:t>ředávány ú</w:t>
      </w:r>
      <w:r>
        <w:rPr>
          <w:rFonts w:asciiTheme="minorHAnsi" w:hAnsiTheme="minorHAnsi" w:cstheme="minorHAnsi"/>
        </w:rPr>
        <w:t>daje</w:t>
      </w:r>
      <w:r w:rsidRPr="00691D46">
        <w:rPr>
          <w:rFonts w:asciiTheme="minorHAnsi" w:hAnsiTheme="minorHAnsi" w:cstheme="minorHAnsi"/>
        </w:rPr>
        <w:t>, které</w:t>
      </w:r>
      <w:r w:rsidR="00B75F66">
        <w:rPr>
          <w:rFonts w:asciiTheme="minorHAnsi" w:hAnsiTheme="minorHAnsi" w:cstheme="minorHAnsi"/>
        </w:rPr>
        <w:t xml:space="preserve"> MV vykazuje v účetní závěrce.</w:t>
      </w:r>
      <w:r w:rsidRPr="00D14FC9">
        <w:rPr>
          <w:rFonts w:asciiTheme="minorHAnsi" w:hAnsiTheme="minorHAnsi" w:cstheme="minorHAnsi"/>
          <w:b/>
        </w:rPr>
        <w:t xml:space="preserve"> </w:t>
      </w:r>
    </w:p>
    <w:p w14:paraId="1C7BA897" w14:textId="77777777" w:rsidR="001937CB" w:rsidRDefault="001937CB" w:rsidP="001937CB">
      <w:pPr>
        <w:spacing w:after="0"/>
        <w:jc w:val="both"/>
        <w:rPr>
          <w:rFonts w:asciiTheme="minorHAnsi" w:hAnsiTheme="minorHAnsi" w:cstheme="minorHAnsi"/>
          <w:bCs/>
        </w:rPr>
      </w:pPr>
    </w:p>
    <w:p w14:paraId="4EFF726F" w14:textId="0BB39B1F" w:rsidR="001937CB" w:rsidRPr="00DD7863" w:rsidRDefault="001937CB" w:rsidP="001937CB">
      <w:pPr>
        <w:spacing w:after="0"/>
        <w:jc w:val="both"/>
        <w:rPr>
          <w:rFonts w:asciiTheme="minorHAnsi" w:eastAsiaTheme="minorHAnsi" w:hAnsiTheme="minorHAnsi" w:cstheme="minorHAnsi"/>
          <w:b/>
          <w:bCs/>
        </w:rPr>
      </w:pPr>
      <w:r w:rsidRPr="00D14FC9">
        <w:rPr>
          <w:rFonts w:asciiTheme="minorHAnsi" w:hAnsiTheme="minorHAnsi" w:cstheme="minorHAnsi"/>
          <w:b/>
          <w:bCs/>
        </w:rPr>
        <w:lastRenderedPageBreak/>
        <w:t>Další specifickou oblastí</w:t>
      </w:r>
      <w:r w:rsidR="00F25AA6">
        <w:rPr>
          <w:rFonts w:asciiTheme="minorHAnsi" w:hAnsiTheme="minorHAnsi" w:cstheme="minorHAnsi"/>
          <w:b/>
          <w:bCs/>
        </w:rPr>
        <w:t xml:space="preserve"> u M</w:t>
      </w:r>
      <w:r w:rsidR="00CA5C04">
        <w:rPr>
          <w:rFonts w:asciiTheme="minorHAnsi" w:hAnsiTheme="minorHAnsi" w:cstheme="minorHAnsi"/>
          <w:b/>
          <w:bCs/>
        </w:rPr>
        <w:t>inisterstva vnitra</w:t>
      </w:r>
      <w:r w:rsidRPr="00D14FC9">
        <w:rPr>
          <w:rFonts w:asciiTheme="minorHAnsi" w:hAnsiTheme="minorHAnsi" w:cstheme="minorHAnsi"/>
          <w:b/>
          <w:bCs/>
        </w:rPr>
        <w:t xml:space="preserve"> je </w:t>
      </w:r>
      <w:r w:rsidR="00F25AA6">
        <w:rPr>
          <w:rFonts w:asciiTheme="minorHAnsi" w:hAnsiTheme="minorHAnsi" w:cstheme="minorHAnsi"/>
          <w:b/>
          <w:bCs/>
        </w:rPr>
        <w:t xml:space="preserve">užívání majetku, </w:t>
      </w:r>
      <w:r w:rsidR="005B3ED7">
        <w:rPr>
          <w:rFonts w:asciiTheme="minorHAnsi" w:hAnsiTheme="minorHAnsi" w:cstheme="minorHAnsi"/>
          <w:b/>
          <w:bCs/>
        </w:rPr>
        <w:t>s nímž</w:t>
      </w:r>
      <w:r w:rsidR="00F25AA6">
        <w:rPr>
          <w:rFonts w:asciiTheme="minorHAnsi" w:hAnsiTheme="minorHAnsi" w:cstheme="minorHAnsi"/>
          <w:b/>
          <w:bCs/>
        </w:rPr>
        <w:t xml:space="preserve"> MV nemá příslušnost hospodařit. </w:t>
      </w:r>
      <w:r w:rsidRPr="00F25AA6">
        <w:rPr>
          <w:rFonts w:asciiTheme="minorHAnsi" w:hAnsiTheme="minorHAnsi" w:cstheme="minorHAnsi"/>
          <w:bCs/>
        </w:rPr>
        <w:t>MV ve významném rozsahu užívá v</w:t>
      </w:r>
      <w:r w:rsidR="0005356E">
        <w:rPr>
          <w:rFonts w:asciiTheme="minorHAnsi" w:hAnsiTheme="minorHAnsi" w:cstheme="minorHAnsi"/>
          <w:bCs/>
        </w:rPr>
        <w:t xml:space="preserve"> </w:t>
      </w:r>
      <w:r w:rsidRPr="00F25AA6">
        <w:rPr>
          <w:rFonts w:asciiTheme="minorHAnsi" w:hAnsiTheme="minorHAnsi" w:cstheme="minorHAnsi"/>
          <w:bCs/>
        </w:rPr>
        <w:t xml:space="preserve">rámci své činnosti </w:t>
      </w:r>
      <w:r w:rsidR="0004311E">
        <w:rPr>
          <w:rFonts w:asciiTheme="minorHAnsi" w:hAnsiTheme="minorHAnsi" w:cstheme="minorHAnsi"/>
          <w:bCs/>
        </w:rPr>
        <w:t>nemovitý a</w:t>
      </w:r>
      <w:r w:rsidR="00080853">
        <w:rPr>
          <w:rFonts w:asciiTheme="minorHAnsi" w:hAnsiTheme="minorHAnsi" w:cstheme="minorHAnsi"/>
          <w:bCs/>
        </w:rPr>
        <w:t> </w:t>
      </w:r>
      <w:r w:rsidR="0004311E">
        <w:rPr>
          <w:rFonts w:asciiTheme="minorHAnsi" w:hAnsiTheme="minorHAnsi" w:cstheme="minorHAnsi"/>
          <w:bCs/>
        </w:rPr>
        <w:t xml:space="preserve">movitý </w:t>
      </w:r>
      <w:r w:rsidRPr="00F25AA6">
        <w:rPr>
          <w:rFonts w:asciiTheme="minorHAnsi" w:hAnsiTheme="minorHAnsi" w:cstheme="minorHAnsi"/>
          <w:bCs/>
        </w:rPr>
        <w:t>majetek</w:t>
      </w:r>
      <w:r w:rsidR="006D29C7">
        <w:rPr>
          <w:rFonts w:asciiTheme="minorHAnsi" w:hAnsiTheme="minorHAnsi" w:cstheme="minorHAnsi"/>
          <w:bCs/>
        </w:rPr>
        <w:t xml:space="preserve">. </w:t>
      </w:r>
      <w:r w:rsidR="009B5B9E">
        <w:rPr>
          <w:rFonts w:asciiTheme="minorHAnsi" w:hAnsiTheme="minorHAnsi" w:cstheme="minorHAnsi"/>
          <w:bCs/>
        </w:rPr>
        <w:t>P</w:t>
      </w:r>
      <w:r w:rsidRPr="00F25AA6">
        <w:rPr>
          <w:rFonts w:asciiTheme="minorHAnsi" w:hAnsiTheme="minorHAnsi" w:cstheme="minorHAnsi"/>
          <w:bCs/>
        </w:rPr>
        <w:t xml:space="preserve">říslušnost hospodařit </w:t>
      </w:r>
      <w:r w:rsidR="009B5B9E">
        <w:rPr>
          <w:rFonts w:asciiTheme="minorHAnsi" w:hAnsiTheme="minorHAnsi" w:cstheme="minorHAnsi"/>
          <w:bCs/>
        </w:rPr>
        <w:t xml:space="preserve">s tímto majetkem převedlo </w:t>
      </w:r>
      <w:r w:rsidR="005B3ED7">
        <w:rPr>
          <w:rFonts w:asciiTheme="minorHAnsi" w:hAnsiTheme="minorHAnsi" w:cstheme="minorHAnsi"/>
          <w:bCs/>
        </w:rPr>
        <w:t xml:space="preserve">MV </w:t>
      </w:r>
      <w:r w:rsidR="009B5B9E">
        <w:rPr>
          <w:rFonts w:asciiTheme="minorHAnsi" w:hAnsiTheme="minorHAnsi" w:cstheme="minorHAnsi"/>
          <w:bCs/>
        </w:rPr>
        <w:t xml:space="preserve">zřizovací listinou na svoji </w:t>
      </w:r>
      <w:r w:rsidR="00CA5C04">
        <w:rPr>
          <w:rFonts w:asciiTheme="minorHAnsi" w:hAnsiTheme="minorHAnsi" w:cstheme="minorHAnsi"/>
          <w:bCs/>
        </w:rPr>
        <w:t>příspěvkov</w:t>
      </w:r>
      <w:r w:rsidR="009B5B9E">
        <w:rPr>
          <w:rFonts w:asciiTheme="minorHAnsi" w:hAnsiTheme="minorHAnsi" w:cstheme="minorHAnsi"/>
          <w:bCs/>
        </w:rPr>
        <w:t>ou</w:t>
      </w:r>
      <w:r w:rsidR="00CA5C04">
        <w:rPr>
          <w:rFonts w:asciiTheme="minorHAnsi" w:hAnsiTheme="minorHAnsi" w:cstheme="minorHAnsi"/>
          <w:bCs/>
        </w:rPr>
        <w:t xml:space="preserve"> organizac</w:t>
      </w:r>
      <w:r w:rsidR="009B5B9E">
        <w:rPr>
          <w:rFonts w:asciiTheme="minorHAnsi" w:hAnsiTheme="minorHAnsi" w:cstheme="minorHAnsi"/>
          <w:bCs/>
        </w:rPr>
        <w:t>i</w:t>
      </w:r>
      <w:r w:rsidR="00CA5C04">
        <w:rPr>
          <w:rFonts w:asciiTheme="minorHAnsi" w:hAnsiTheme="minorHAnsi" w:cstheme="minorHAnsi"/>
          <w:bCs/>
        </w:rPr>
        <w:t xml:space="preserve"> (dále také „</w:t>
      </w:r>
      <w:r w:rsidRPr="00F25AA6">
        <w:rPr>
          <w:rFonts w:asciiTheme="minorHAnsi" w:hAnsiTheme="minorHAnsi" w:cstheme="minorHAnsi"/>
          <w:bCs/>
        </w:rPr>
        <w:t>PO</w:t>
      </w:r>
      <w:r w:rsidR="00CA5C04">
        <w:rPr>
          <w:rFonts w:asciiTheme="minorHAnsi" w:hAnsiTheme="minorHAnsi" w:cstheme="minorHAnsi"/>
          <w:bCs/>
        </w:rPr>
        <w:t>“)</w:t>
      </w:r>
      <w:r w:rsidRPr="00466F8F">
        <w:rPr>
          <w:rFonts w:asciiTheme="minorHAnsi" w:hAnsiTheme="minorHAnsi" w:cstheme="minorHAnsi"/>
          <w:bCs/>
        </w:rPr>
        <w:t>.</w:t>
      </w:r>
      <w:r w:rsidR="00C91659">
        <w:rPr>
          <w:rFonts w:asciiTheme="minorHAnsi" w:hAnsiTheme="minorHAnsi" w:cstheme="minorHAnsi"/>
          <w:bCs/>
        </w:rPr>
        <w:t xml:space="preserve"> </w:t>
      </w:r>
      <w:r w:rsidR="009B5B9E">
        <w:rPr>
          <w:rFonts w:asciiTheme="minorHAnsi" w:hAnsiTheme="minorHAnsi" w:cstheme="minorHAnsi"/>
          <w:b/>
          <w:bCs/>
        </w:rPr>
        <w:t>N</w:t>
      </w:r>
      <w:r w:rsidR="00DD7863" w:rsidRPr="00D14FC9">
        <w:rPr>
          <w:rFonts w:asciiTheme="minorHAnsi" w:hAnsiTheme="minorHAnsi" w:cstheme="minorHAnsi"/>
          <w:b/>
          <w:bCs/>
        </w:rPr>
        <w:t>ásledně</w:t>
      </w:r>
      <w:r w:rsidR="00DD7863">
        <w:rPr>
          <w:rFonts w:asciiTheme="minorHAnsi" w:hAnsiTheme="minorHAnsi" w:cstheme="minorHAnsi"/>
          <w:bCs/>
        </w:rPr>
        <w:t xml:space="preserve"> </w:t>
      </w:r>
      <w:r w:rsidR="00DD7863" w:rsidRPr="00D14FC9">
        <w:rPr>
          <w:rFonts w:asciiTheme="minorHAnsi" w:hAnsiTheme="minorHAnsi" w:cstheme="minorHAnsi"/>
          <w:b/>
          <w:bCs/>
        </w:rPr>
        <w:t>s</w:t>
      </w:r>
      <w:r w:rsidR="0005356E">
        <w:rPr>
          <w:rFonts w:asciiTheme="minorHAnsi" w:hAnsiTheme="minorHAnsi" w:cstheme="minorHAnsi"/>
          <w:b/>
          <w:bCs/>
        </w:rPr>
        <w:t xml:space="preserve"> </w:t>
      </w:r>
      <w:r w:rsidR="00DD7863" w:rsidRPr="00D14FC9">
        <w:rPr>
          <w:rFonts w:asciiTheme="minorHAnsi" w:hAnsiTheme="minorHAnsi" w:cstheme="minorHAnsi"/>
          <w:b/>
          <w:bCs/>
        </w:rPr>
        <w:t>touto PO uzavřelo smlouvu o</w:t>
      </w:r>
      <w:r w:rsidR="004E2EFE">
        <w:rPr>
          <w:rFonts w:asciiTheme="minorHAnsi" w:hAnsiTheme="minorHAnsi" w:cstheme="minorHAnsi"/>
          <w:bCs/>
        </w:rPr>
        <w:t> </w:t>
      </w:r>
      <w:r w:rsidR="00DD7863" w:rsidRPr="00D14FC9">
        <w:rPr>
          <w:rFonts w:asciiTheme="minorHAnsi" w:hAnsiTheme="minorHAnsi" w:cstheme="minorHAnsi"/>
          <w:b/>
          <w:bCs/>
        </w:rPr>
        <w:t>u</w:t>
      </w:r>
      <w:r w:rsidR="00CF6E17" w:rsidRPr="00D14FC9">
        <w:rPr>
          <w:rFonts w:asciiTheme="minorHAnsi" w:hAnsiTheme="minorHAnsi" w:cstheme="minorHAnsi"/>
          <w:b/>
          <w:bCs/>
        </w:rPr>
        <w:t>žívání tohoto majetku</w:t>
      </w:r>
      <w:r w:rsidR="00DD7863">
        <w:rPr>
          <w:rFonts w:asciiTheme="minorHAnsi" w:hAnsiTheme="minorHAnsi" w:cstheme="minorHAnsi"/>
          <w:b/>
          <w:bCs/>
        </w:rPr>
        <w:t xml:space="preserve">. S ohledem na právní stav věci, který je rozhodující pro zobrazení </w:t>
      </w:r>
      <w:r w:rsidR="0005356E">
        <w:rPr>
          <w:rFonts w:asciiTheme="minorHAnsi" w:hAnsiTheme="minorHAnsi" w:cstheme="minorHAnsi"/>
          <w:b/>
          <w:bCs/>
        </w:rPr>
        <w:br/>
      </w:r>
      <w:r w:rsidR="00DD7863">
        <w:rPr>
          <w:rFonts w:asciiTheme="minorHAnsi" w:hAnsiTheme="minorHAnsi" w:cstheme="minorHAnsi"/>
          <w:b/>
          <w:bCs/>
        </w:rPr>
        <w:t>v</w:t>
      </w:r>
      <w:r w:rsidR="0005356E">
        <w:rPr>
          <w:rFonts w:asciiTheme="minorHAnsi" w:hAnsiTheme="minorHAnsi" w:cstheme="minorHAnsi"/>
          <w:b/>
          <w:bCs/>
        </w:rPr>
        <w:t xml:space="preserve"> </w:t>
      </w:r>
      <w:r w:rsidR="00DD7863">
        <w:rPr>
          <w:rFonts w:asciiTheme="minorHAnsi" w:hAnsiTheme="minorHAnsi" w:cstheme="minorHAnsi"/>
          <w:b/>
          <w:bCs/>
        </w:rPr>
        <w:t>účetnictví</w:t>
      </w:r>
      <w:r w:rsidR="00DD7863" w:rsidRPr="00124170">
        <w:rPr>
          <w:rFonts w:asciiTheme="minorHAnsi" w:hAnsiTheme="minorHAnsi" w:cstheme="minorHAnsi"/>
          <w:b/>
        </w:rPr>
        <w:t>,</w:t>
      </w:r>
      <w:r w:rsidR="00DD7863">
        <w:rPr>
          <w:rFonts w:asciiTheme="minorHAnsi" w:hAnsiTheme="minorHAnsi" w:cstheme="minorHAnsi"/>
          <w:b/>
          <w:bCs/>
        </w:rPr>
        <w:t xml:space="preserve"> </w:t>
      </w:r>
      <w:r w:rsidR="00C91659">
        <w:rPr>
          <w:rFonts w:asciiTheme="minorHAnsi" w:hAnsiTheme="minorHAnsi" w:cstheme="minorHAnsi"/>
          <w:bCs/>
        </w:rPr>
        <w:t>MV o tomto majetku ani o hospodaření s</w:t>
      </w:r>
      <w:r w:rsidR="005B3ED7">
        <w:rPr>
          <w:rFonts w:asciiTheme="minorHAnsi" w:hAnsiTheme="minorHAnsi" w:cstheme="minorHAnsi"/>
          <w:bCs/>
        </w:rPr>
        <w:t xml:space="preserve"> </w:t>
      </w:r>
      <w:r w:rsidR="00C91659">
        <w:rPr>
          <w:rFonts w:asciiTheme="minorHAnsi" w:hAnsiTheme="minorHAnsi" w:cstheme="minorHAnsi"/>
          <w:bCs/>
        </w:rPr>
        <w:t>ním neúčtuje. V</w:t>
      </w:r>
      <w:r w:rsidR="0005356E">
        <w:rPr>
          <w:rFonts w:asciiTheme="minorHAnsi" w:hAnsiTheme="minorHAnsi" w:cstheme="minorHAnsi"/>
          <w:bCs/>
        </w:rPr>
        <w:t xml:space="preserve"> </w:t>
      </w:r>
      <w:r w:rsidR="00C91659">
        <w:rPr>
          <w:rFonts w:asciiTheme="minorHAnsi" w:hAnsiTheme="minorHAnsi" w:cstheme="minorHAnsi"/>
          <w:bCs/>
        </w:rPr>
        <w:t>souladu s</w:t>
      </w:r>
      <w:r w:rsidR="0005356E">
        <w:rPr>
          <w:rFonts w:asciiTheme="minorHAnsi" w:hAnsiTheme="minorHAnsi" w:cstheme="minorHAnsi"/>
          <w:bCs/>
        </w:rPr>
        <w:t xml:space="preserve"> </w:t>
      </w:r>
      <w:r w:rsidR="00C91659">
        <w:rPr>
          <w:rFonts w:asciiTheme="minorHAnsi" w:hAnsiTheme="minorHAnsi" w:cstheme="minorHAnsi"/>
          <w:bCs/>
        </w:rPr>
        <w:t>účetní regulací a existujícími právními skutečnostmi</w:t>
      </w:r>
      <w:r>
        <w:rPr>
          <w:rFonts w:asciiTheme="minorHAnsi" w:hAnsiTheme="minorHAnsi" w:cstheme="minorHAnsi"/>
          <w:bCs/>
        </w:rPr>
        <w:t xml:space="preserve"> </w:t>
      </w:r>
      <w:r w:rsidR="00886497" w:rsidRPr="00D14FC9">
        <w:rPr>
          <w:rFonts w:asciiTheme="minorHAnsi" w:hAnsiTheme="minorHAnsi" w:cstheme="minorHAnsi"/>
          <w:b/>
          <w:bCs/>
        </w:rPr>
        <w:t xml:space="preserve">musí </w:t>
      </w:r>
      <w:r w:rsidR="009B5B9E">
        <w:rPr>
          <w:rFonts w:asciiTheme="minorHAnsi" w:hAnsiTheme="minorHAnsi" w:cstheme="minorHAnsi"/>
          <w:b/>
          <w:bCs/>
        </w:rPr>
        <w:t xml:space="preserve">zřízená PO </w:t>
      </w:r>
      <w:r w:rsidR="00886497" w:rsidRPr="00D14FC9">
        <w:rPr>
          <w:rFonts w:asciiTheme="minorHAnsi" w:hAnsiTheme="minorHAnsi" w:cstheme="minorHAnsi"/>
          <w:b/>
          <w:bCs/>
        </w:rPr>
        <w:t xml:space="preserve">vést </w:t>
      </w:r>
      <w:r w:rsidR="00C91659" w:rsidRPr="00D14FC9">
        <w:rPr>
          <w:rFonts w:asciiTheme="minorHAnsi" w:hAnsiTheme="minorHAnsi" w:cstheme="minorHAnsi"/>
          <w:b/>
          <w:bCs/>
        </w:rPr>
        <w:t xml:space="preserve">tento majetek </w:t>
      </w:r>
      <w:r w:rsidRPr="00D14FC9">
        <w:rPr>
          <w:rFonts w:asciiTheme="minorHAnsi" w:hAnsiTheme="minorHAnsi" w:cstheme="minorHAnsi"/>
          <w:b/>
          <w:bCs/>
        </w:rPr>
        <w:t>ve svém účetnictví</w:t>
      </w:r>
      <w:r w:rsidR="000D2F73">
        <w:rPr>
          <w:rFonts w:asciiTheme="minorHAnsi" w:hAnsiTheme="minorHAnsi" w:cstheme="minorHAnsi"/>
          <w:b/>
          <w:bCs/>
        </w:rPr>
        <w:t xml:space="preserve">, </w:t>
      </w:r>
      <w:r w:rsidRPr="00D14FC9">
        <w:rPr>
          <w:rFonts w:asciiTheme="minorHAnsi" w:hAnsiTheme="minorHAnsi" w:cstheme="minorHAnsi"/>
          <w:b/>
          <w:bCs/>
        </w:rPr>
        <w:t>vyk</w:t>
      </w:r>
      <w:r w:rsidR="00886497" w:rsidRPr="00D14FC9">
        <w:rPr>
          <w:rFonts w:asciiTheme="minorHAnsi" w:hAnsiTheme="minorHAnsi" w:cstheme="minorHAnsi"/>
          <w:b/>
          <w:bCs/>
        </w:rPr>
        <w:t xml:space="preserve">azovat </w:t>
      </w:r>
      <w:r w:rsidRPr="00D14FC9">
        <w:rPr>
          <w:rFonts w:asciiTheme="minorHAnsi" w:hAnsiTheme="minorHAnsi" w:cstheme="minorHAnsi"/>
          <w:b/>
          <w:bCs/>
        </w:rPr>
        <w:t>ho ve své účetní závěrce</w:t>
      </w:r>
      <w:r w:rsidR="00886497" w:rsidRPr="00D14FC9">
        <w:rPr>
          <w:rFonts w:asciiTheme="minorHAnsi" w:hAnsiTheme="minorHAnsi" w:cstheme="minorHAnsi"/>
          <w:b/>
          <w:bCs/>
        </w:rPr>
        <w:t xml:space="preserve"> </w:t>
      </w:r>
      <w:r w:rsidRPr="00D14FC9">
        <w:rPr>
          <w:rFonts w:asciiTheme="minorHAnsi" w:hAnsiTheme="minorHAnsi" w:cstheme="minorHAnsi"/>
          <w:b/>
          <w:bCs/>
        </w:rPr>
        <w:t>včetně informací o hospodaření s</w:t>
      </w:r>
      <w:r w:rsidR="0005356E">
        <w:rPr>
          <w:rFonts w:asciiTheme="minorHAnsi" w:hAnsiTheme="minorHAnsi" w:cstheme="minorHAnsi"/>
          <w:b/>
          <w:bCs/>
        </w:rPr>
        <w:t xml:space="preserve"> </w:t>
      </w:r>
      <w:r w:rsidRPr="00D14FC9">
        <w:rPr>
          <w:rFonts w:asciiTheme="minorHAnsi" w:hAnsiTheme="minorHAnsi" w:cstheme="minorHAnsi"/>
          <w:b/>
          <w:bCs/>
        </w:rPr>
        <w:t>ním</w:t>
      </w:r>
      <w:r w:rsidR="000D2F73">
        <w:rPr>
          <w:rFonts w:asciiTheme="minorHAnsi" w:hAnsiTheme="minorHAnsi" w:cstheme="minorHAnsi"/>
          <w:b/>
          <w:bCs/>
        </w:rPr>
        <w:t xml:space="preserve"> a</w:t>
      </w:r>
      <w:r w:rsidR="0068234D">
        <w:rPr>
          <w:rFonts w:asciiTheme="minorHAnsi" w:hAnsiTheme="minorHAnsi" w:cstheme="minorHAnsi"/>
          <w:b/>
          <w:bCs/>
        </w:rPr>
        <w:t> </w:t>
      </w:r>
      <w:r w:rsidR="000D2F73">
        <w:rPr>
          <w:rFonts w:asciiTheme="minorHAnsi" w:hAnsiTheme="minorHAnsi" w:cstheme="minorHAnsi"/>
          <w:b/>
          <w:bCs/>
        </w:rPr>
        <w:t>plánovat a realizovat s ním související finanční toky</w:t>
      </w:r>
      <w:r w:rsidRPr="00D14FC9">
        <w:rPr>
          <w:rFonts w:asciiTheme="minorHAnsi" w:hAnsiTheme="minorHAnsi" w:cstheme="minorHAnsi"/>
          <w:b/>
          <w:bCs/>
        </w:rPr>
        <w:t xml:space="preserve">. </w:t>
      </w:r>
    </w:p>
    <w:p w14:paraId="38D5F466" w14:textId="77777777" w:rsidR="00BF3B13" w:rsidRPr="00D14FC9" w:rsidRDefault="00BF3B13" w:rsidP="005B4BB8">
      <w:pPr>
        <w:pStyle w:val="Odstavecseseznamem"/>
        <w:spacing w:after="0"/>
        <w:ind w:left="0"/>
        <w:jc w:val="both"/>
        <w:rPr>
          <w:rFonts w:asciiTheme="minorHAnsi" w:hAnsiTheme="minorHAnsi" w:cstheme="minorHAnsi"/>
          <w:b/>
          <w:spacing w:val="-2"/>
          <w:highlight w:val="cyan"/>
        </w:rPr>
      </w:pPr>
    </w:p>
    <w:p w14:paraId="030DD25D" w14:textId="77777777" w:rsidR="00D700AC" w:rsidRPr="007143E4" w:rsidRDefault="00D700AC" w:rsidP="00124170">
      <w:pPr>
        <w:pStyle w:val="Nadpis2"/>
        <w:keepNext/>
        <w:numPr>
          <w:ilvl w:val="0"/>
          <w:numId w:val="0"/>
        </w:numPr>
        <w:spacing w:after="240" w:line="240" w:lineRule="auto"/>
        <w:ind w:left="284" w:hanging="284"/>
        <w:contextualSpacing w:val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Pr="007143E4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Účetní závěrka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F1FF"/>
        <w:tblLook w:val="04A0" w:firstRow="1" w:lastRow="0" w:firstColumn="1" w:lastColumn="0" w:noHBand="0" w:noVBand="1"/>
      </w:tblPr>
      <w:tblGrid>
        <w:gridCol w:w="9060"/>
      </w:tblGrid>
      <w:tr w:rsidR="008E7F33" w14:paraId="2D6D10F3" w14:textId="77777777" w:rsidTr="008E7F33">
        <w:tc>
          <w:tcPr>
            <w:tcW w:w="9060" w:type="dxa"/>
            <w:shd w:val="clear" w:color="auto" w:fill="E5F1FF"/>
          </w:tcPr>
          <w:p w14:paraId="444BDD14" w14:textId="77777777" w:rsidR="003B702B" w:rsidRPr="00BF3B13" w:rsidRDefault="00A45C55" w:rsidP="00BF3B13">
            <w:pPr>
              <w:jc w:val="both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Ú</w:t>
            </w:r>
            <w:r w:rsidR="00A94FB6">
              <w:rPr>
                <w:rFonts w:asciiTheme="minorHAnsi" w:hAnsiTheme="minorHAnsi" w:cs="Calibri"/>
                <w:b/>
              </w:rPr>
              <w:t>četní závěrka MV k 31. prosinci 2021 sestavená 13. dubna 2022 (dále také „ÚZ“)</w:t>
            </w:r>
            <w:r>
              <w:rPr>
                <w:rFonts w:asciiTheme="minorHAnsi" w:hAnsiTheme="minorHAnsi" w:cs="Calibri"/>
                <w:b/>
              </w:rPr>
              <w:t xml:space="preserve"> v údajích za KO MV podává podle názoru NKÚ ve všech významných ohledech věrný a</w:t>
            </w:r>
            <w:r w:rsidR="0068234D">
              <w:rPr>
                <w:rFonts w:asciiTheme="minorHAnsi" w:hAnsiTheme="minorHAnsi" w:cs="Calibri"/>
                <w:b/>
              </w:rPr>
              <w:t> </w:t>
            </w:r>
            <w:r>
              <w:rPr>
                <w:rFonts w:asciiTheme="minorHAnsi" w:hAnsiTheme="minorHAnsi" w:cs="Calibri"/>
                <w:b/>
              </w:rPr>
              <w:t>poctivý obraz předmětu účetnictví a finanční situace účetní jednotky, a to dle účetních předpisů pro některé vybrané účetní jednotky</w:t>
            </w:r>
            <w:r>
              <w:rPr>
                <w:rStyle w:val="Znakapoznpodarou"/>
                <w:rFonts w:asciiTheme="minorHAnsi" w:hAnsiTheme="minorHAnsi" w:cs="Calibri"/>
                <w:b/>
              </w:rPr>
              <w:footnoteReference w:id="7"/>
            </w:r>
            <w:r>
              <w:rPr>
                <w:rFonts w:asciiTheme="minorHAnsi" w:hAnsiTheme="minorHAnsi" w:cs="Calibri"/>
                <w:b/>
              </w:rPr>
              <w:t>.</w:t>
            </w:r>
          </w:p>
        </w:tc>
      </w:tr>
    </w:tbl>
    <w:p w14:paraId="4C300C19" w14:textId="77777777" w:rsidR="00BF3B13" w:rsidRDefault="00BF3B13" w:rsidP="00BF3B13">
      <w:pPr>
        <w:spacing w:after="0"/>
        <w:jc w:val="both"/>
        <w:rPr>
          <w:rFonts w:asciiTheme="minorHAnsi" w:hAnsiTheme="minorHAnsi" w:cs="Calibri"/>
          <w:b/>
        </w:rPr>
      </w:pPr>
    </w:p>
    <w:p w14:paraId="6A4D0268" w14:textId="77777777" w:rsidR="00D6286B" w:rsidRDefault="002C6539" w:rsidP="00872B70">
      <w:pPr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/>
        </w:rPr>
        <w:t>NKÚ v průběhu kontroly upozornil M</w:t>
      </w:r>
      <w:r w:rsidR="00504F77">
        <w:rPr>
          <w:rFonts w:asciiTheme="minorHAnsi" w:hAnsiTheme="minorHAnsi" w:cs="Calibri"/>
          <w:b/>
        </w:rPr>
        <w:t>inisterstvo vnitra</w:t>
      </w:r>
      <w:r>
        <w:rPr>
          <w:rFonts w:asciiTheme="minorHAnsi" w:hAnsiTheme="minorHAnsi" w:cs="Calibri"/>
          <w:b/>
        </w:rPr>
        <w:t xml:space="preserve"> na nedostatky a nesprávnosti, které MV následně opravilo. </w:t>
      </w:r>
      <w:r w:rsidR="00B84ED8" w:rsidRPr="006C781D">
        <w:rPr>
          <w:rFonts w:asciiTheme="minorHAnsi" w:hAnsiTheme="minorHAnsi" w:cs="Calibri"/>
          <w:b/>
        </w:rPr>
        <w:t xml:space="preserve">Informace v ÚZ v údajích za KO MV jsou </w:t>
      </w:r>
      <w:r w:rsidR="00737568">
        <w:rPr>
          <w:rFonts w:asciiTheme="minorHAnsi" w:hAnsiTheme="minorHAnsi" w:cs="Calibri"/>
          <w:b/>
        </w:rPr>
        <w:t>po provedení těchto oprav spolehlivé.</w:t>
      </w:r>
      <w:r w:rsidR="00B84ED8">
        <w:rPr>
          <w:rFonts w:asciiTheme="minorHAnsi" w:hAnsiTheme="minorHAnsi" w:cs="Calibri"/>
          <w:bCs/>
        </w:rPr>
        <w:t xml:space="preserve"> </w:t>
      </w:r>
      <w:r w:rsidR="00A94FB6">
        <w:rPr>
          <w:rFonts w:asciiTheme="minorHAnsi" w:hAnsiTheme="minorHAnsi" w:cs="Calibri"/>
          <w:bCs/>
        </w:rPr>
        <w:t>MV provádělo opravy:</w:t>
      </w:r>
    </w:p>
    <w:p w14:paraId="27623C21" w14:textId="290EA20E" w:rsidR="006722DD" w:rsidRPr="00872B70" w:rsidRDefault="00FC3463" w:rsidP="00872B70">
      <w:pPr>
        <w:pStyle w:val="Odstavecseseznamem"/>
        <w:numPr>
          <w:ilvl w:val="0"/>
          <w:numId w:val="15"/>
        </w:numPr>
        <w:ind w:left="714" w:hanging="357"/>
        <w:contextualSpacing w:val="0"/>
        <w:jc w:val="both"/>
        <w:rPr>
          <w:rFonts w:eastAsiaTheme="minorHAnsi" w:cs="Calibri"/>
          <w:b/>
        </w:rPr>
      </w:pPr>
      <w:r>
        <w:rPr>
          <w:rFonts w:asciiTheme="minorHAnsi" w:hAnsiTheme="minorHAnsi" w:cs="Calibri"/>
          <w:bCs/>
        </w:rPr>
        <w:t>před sestavením p</w:t>
      </w:r>
      <w:r w:rsidR="00B84ED8" w:rsidRPr="00872B70">
        <w:rPr>
          <w:rFonts w:asciiTheme="minorHAnsi" w:hAnsiTheme="minorHAnsi" w:cs="Calibri"/>
          <w:bCs/>
        </w:rPr>
        <w:t xml:space="preserve">rvní </w:t>
      </w:r>
      <w:r w:rsidR="00CE25BF">
        <w:rPr>
          <w:rFonts w:asciiTheme="minorHAnsi" w:hAnsiTheme="minorHAnsi" w:cs="Calibri"/>
          <w:bCs/>
        </w:rPr>
        <w:t xml:space="preserve">účetní závěrky </w:t>
      </w:r>
      <w:r w:rsidR="00B84ED8" w:rsidRPr="00872B70">
        <w:rPr>
          <w:rFonts w:asciiTheme="minorHAnsi" w:hAnsiTheme="minorHAnsi" w:cs="Calibri"/>
          <w:bCs/>
        </w:rPr>
        <w:t>dne 1.</w:t>
      </w:r>
      <w:r w:rsidR="005B02E5">
        <w:rPr>
          <w:rFonts w:asciiTheme="minorHAnsi" w:hAnsiTheme="minorHAnsi" w:cs="Calibri"/>
          <w:bCs/>
        </w:rPr>
        <w:t xml:space="preserve"> </w:t>
      </w:r>
      <w:r w:rsidR="00B84ED8" w:rsidRPr="00872B70">
        <w:rPr>
          <w:rFonts w:asciiTheme="minorHAnsi" w:hAnsiTheme="minorHAnsi" w:cs="Calibri"/>
          <w:bCs/>
        </w:rPr>
        <w:t>března 2022</w:t>
      </w:r>
      <w:r w:rsidR="003759B6">
        <w:rPr>
          <w:rFonts w:asciiTheme="minorHAnsi" w:hAnsiTheme="minorHAnsi" w:cs="Calibri"/>
          <w:bCs/>
        </w:rPr>
        <w:t xml:space="preserve"> (hodnota provedených </w:t>
      </w:r>
      <w:r w:rsidR="00B84ED8" w:rsidRPr="00872B70">
        <w:rPr>
          <w:rFonts w:asciiTheme="minorHAnsi" w:hAnsiTheme="minorHAnsi" w:cs="Calibri"/>
          <w:bCs/>
        </w:rPr>
        <w:t>oprav</w:t>
      </w:r>
      <w:r w:rsidR="003759B6">
        <w:rPr>
          <w:rFonts w:asciiTheme="minorHAnsi" w:hAnsiTheme="minorHAnsi" w:cs="Calibri"/>
          <w:bCs/>
        </w:rPr>
        <w:t>ných</w:t>
      </w:r>
      <w:r w:rsidR="00B84ED8" w:rsidRPr="00872B70">
        <w:rPr>
          <w:rFonts w:asciiTheme="minorHAnsi" w:hAnsiTheme="minorHAnsi" w:cs="Calibri"/>
          <w:bCs/>
        </w:rPr>
        <w:t xml:space="preserve"> </w:t>
      </w:r>
      <w:r w:rsidR="003759B6">
        <w:rPr>
          <w:rFonts w:asciiTheme="minorHAnsi" w:hAnsiTheme="minorHAnsi" w:cs="Calibri"/>
          <w:bCs/>
        </w:rPr>
        <w:t xml:space="preserve">účetních zápisů činila </w:t>
      </w:r>
      <w:r w:rsidR="00B84ED8" w:rsidRPr="00872B70">
        <w:rPr>
          <w:rFonts w:asciiTheme="minorHAnsi" w:hAnsiTheme="minorHAnsi" w:cs="Calibri"/>
          <w:bCs/>
        </w:rPr>
        <w:t>915,3 mil. Kč</w:t>
      </w:r>
      <w:r w:rsidR="003759B6">
        <w:rPr>
          <w:rFonts w:asciiTheme="minorHAnsi" w:hAnsiTheme="minorHAnsi" w:cs="Calibri"/>
          <w:bCs/>
        </w:rPr>
        <w:t>)</w:t>
      </w:r>
      <w:r w:rsidR="00177BB7">
        <w:rPr>
          <w:rFonts w:asciiTheme="minorHAnsi" w:hAnsiTheme="minorHAnsi" w:cs="Calibri"/>
          <w:bCs/>
        </w:rPr>
        <w:t xml:space="preserve"> a</w:t>
      </w:r>
    </w:p>
    <w:p w14:paraId="7EA98A7D" w14:textId="7A3D1007" w:rsidR="00177BB7" w:rsidRPr="00177BB7" w:rsidRDefault="006722DD" w:rsidP="00177BB7">
      <w:pPr>
        <w:pStyle w:val="Odstavecseseznamem"/>
        <w:numPr>
          <w:ilvl w:val="0"/>
          <w:numId w:val="15"/>
        </w:numPr>
        <w:ind w:left="714" w:hanging="357"/>
        <w:contextualSpacing w:val="0"/>
        <w:jc w:val="both"/>
        <w:rPr>
          <w:rFonts w:eastAsiaTheme="minorHAnsi" w:cs="Calibri"/>
          <w:b/>
        </w:rPr>
      </w:pPr>
      <w:r>
        <w:t>po sestavení první účetní závěrky, v níž</w:t>
      </w:r>
      <w:r w:rsidR="00B84ED8" w:rsidRPr="00872B70">
        <w:rPr>
          <w:rFonts w:asciiTheme="minorHAnsi" w:hAnsiTheme="minorHAnsi" w:cs="Calibri"/>
          <w:bCs/>
        </w:rPr>
        <w:t xml:space="preserve"> kontrol</w:t>
      </w:r>
      <w:r w:rsidR="008312A0">
        <w:rPr>
          <w:rFonts w:asciiTheme="minorHAnsi" w:hAnsiTheme="minorHAnsi" w:cs="Calibri"/>
          <w:bCs/>
        </w:rPr>
        <w:t>a</w:t>
      </w:r>
      <w:r w:rsidR="00B84ED8" w:rsidRPr="00872B70">
        <w:rPr>
          <w:rFonts w:asciiTheme="minorHAnsi" w:hAnsiTheme="minorHAnsi" w:cs="Calibri"/>
          <w:bCs/>
        </w:rPr>
        <w:t xml:space="preserve"> zji</w:t>
      </w:r>
      <w:r w:rsidR="008312A0">
        <w:rPr>
          <w:rFonts w:asciiTheme="minorHAnsi" w:hAnsiTheme="minorHAnsi" w:cs="Calibri"/>
          <w:bCs/>
        </w:rPr>
        <w:t>stila nové</w:t>
      </w:r>
      <w:r w:rsidR="00B84ED8" w:rsidRPr="00872B70">
        <w:rPr>
          <w:rFonts w:asciiTheme="minorHAnsi" w:hAnsiTheme="minorHAnsi" w:cs="Calibri"/>
          <w:bCs/>
        </w:rPr>
        <w:t xml:space="preserve"> nesprávnosti</w:t>
      </w:r>
      <w:r w:rsidR="008312A0">
        <w:rPr>
          <w:rFonts w:asciiTheme="minorHAnsi" w:hAnsiTheme="minorHAnsi" w:cs="Calibri"/>
          <w:bCs/>
        </w:rPr>
        <w:t>. Tyto nesprávnosti byly</w:t>
      </w:r>
      <w:r w:rsidR="00B84ED8" w:rsidRPr="00872B70">
        <w:rPr>
          <w:rFonts w:asciiTheme="minorHAnsi" w:hAnsiTheme="minorHAnsi" w:cs="Calibri"/>
          <w:bCs/>
        </w:rPr>
        <w:t xml:space="preserve"> způsoben</w:t>
      </w:r>
      <w:r w:rsidR="008312A0">
        <w:rPr>
          <w:rFonts w:asciiTheme="minorHAnsi" w:hAnsiTheme="minorHAnsi" w:cs="Calibri"/>
          <w:bCs/>
        </w:rPr>
        <w:t>y</w:t>
      </w:r>
      <w:r w:rsidR="00B84ED8" w:rsidRPr="00872B70">
        <w:rPr>
          <w:rFonts w:asciiTheme="minorHAnsi" w:hAnsiTheme="minorHAnsi" w:cs="Calibri"/>
          <w:bCs/>
        </w:rPr>
        <w:t xml:space="preserve"> technick</w:t>
      </w:r>
      <w:r w:rsidR="00737568">
        <w:rPr>
          <w:rFonts w:asciiTheme="minorHAnsi" w:hAnsiTheme="minorHAnsi" w:cs="Calibri"/>
          <w:bCs/>
        </w:rPr>
        <w:t>ou chybou při sestavování</w:t>
      </w:r>
      <w:r w:rsidR="008312A0">
        <w:rPr>
          <w:rFonts w:asciiTheme="minorHAnsi" w:hAnsiTheme="minorHAnsi" w:cs="Calibri"/>
          <w:bCs/>
        </w:rPr>
        <w:t xml:space="preserve"> první účetní závěrky a</w:t>
      </w:r>
      <w:r w:rsidR="005B3ED7">
        <w:rPr>
          <w:rFonts w:asciiTheme="minorHAnsi" w:hAnsiTheme="minorHAnsi" w:cs="Calibri"/>
          <w:bCs/>
        </w:rPr>
        <w:t> </w:t>
      </w:r>
      <w:r w:rsidR="00B84ED8" w:rsidRPr="00872B70">
        <w:rPr>
          <w:rFonts w:asciiTheme="minorHAnsi" w:hAnsiTheme="minorHAnsi" w:cs="Calibri"/>
          <w:bCs/>
        </w:rPr>
        <w:t>týkal</w:t>
      </w:r>
      <w:r w:rsidR="008312A0">
        <w:rPr>
          <w:rFonts w:asciiTheme="minorHAnsi" w:hAnsiTheme="minorHAnsi" w:cs="Calibri"/>
          <w:bCs/>
        </w:rPr>
        <w:t>y se</w:t>
      </w:r>
      <w:r w:rsidR="00B84ED8" w:rsidRPr="00872B70">
        <w:rPr>
          <w:rFonts w:asciiTheme="minorHAnsi" w:hAnsiTheme="minorHAnsi" w:cs="Calibri"/>
          <w:bCs/>
        </w:rPr>
        <w:t xml:space="preserve"> výhradně údajů vykázaných za minulé období (tj. za rok 2020). MV tyto nesprávnosti opravilo a sestavilo dne 13.</w:t>
      </w:r>
      <w:r w:rsidR="004E2EFE">
        <w:rPr>
          <w:rFonts w:asciiTheme="minorHAnsi" w:hAnsiTheme="minorHAnsi" w:cs="Calibri"/>
          <w:bCs/>
        </w:rPr>
        <w:t> </w:t>
      </w:r>
      <w:r w:rsidR="00B84ED8" w:rsidRPr="00872B70">
        <w:rPr>
          <w:rFonts w:asciiTheme="minorHAnsi" w:hAnsiTheme="minorHAnsi" w:cs="Calibri"/>
          <w:bCs/>
        </w:rPr>
        <w:t>dubna 2022 novou účetní závěrku</w:t>
      </w:r>
      <w:r w:rsidR="00B84ED8" w:rsidRPr="00872B70">
        <w:rPr>
          <w:rFonts w:asciiTheme="minorHAnsi" w:hAnsiTheme="minorHAnsi" w:cstheme="minorHAnsi"/>
        </w:rPr>
        <w:t>. Tato</w:t>
      </w:r>
      <w:r w:rsidR="008312A0">
        <w:rPr>
          <w:rFonts w:asciiTheme="minorHAnsi" w:hAnsiTheme="minorHAnsi" w:cstheme="minorHAnsi"/>
        </w:rPr>
        <w:t xml:space="preserve"> účetní závěrka</w:t>
      </w:r>
      <w:r w:rsidR="00B84ED8" w:rsidRPr="00872B70">
        <w:rPr>
          <w:rFonts w:asciiTheme="minorHAnsi" w:hAnsiTheme="minorHAnsi" w:cstheme="minorHAnsi"/>
        </w:rPr>
        <w:t xml:space="preserve"> byla M</w:t>
      </w:r>
      <w:r w:rsidR="008312A0">
        <w:rPr>
          <w:rFonts w:asciiTheme="minorHAnsi" w:hAnsiTheme="minorHAnsi" w:cstheme="minorHAnsi"/>
        </w:rPr>
        <w:t>inisterstvem vnitra</w:t>
      </w:r>
      <w:r w:rsidR="00B84ED8" w:rsidRPr="00872B70">
        <w:rPr>
          <w:rFonts w:asciiTheme="minorHAnsi" w:hAnsiTheme="minorHAnsi" w:cstheme="minorHAnsi"/>
        </w:rPr>
        <w:t xml:space="preserve"> schválena dne 28.</w:t>
      </w:r>
      <w:r w:rsidR="008312A0">
        <w:rPr>
          <w:rFonts w:asciiTheme="minorHAnsi" w:hAnsiTheme="minorHAnsi" w:cstheme="minorHAnsi"/>
        </w:rPr>
        <w:t> </w:t>
      </w:r>
      <w:r w:rsidR="00B84ED8" w:rsidRPr="00872B70">
        <w:rPr>
          <w:rFonts w:asciiTheme="minorHAnsi" w:hAnsiTheme="minorHAnsi" w:cstheme="minorHAnsi"/>
        </w:rPr>
        <w:t xml:space="preserve">dubna 2022. </w:t>
      </w:r>
    </w:p>
    <w:p w14:paraId="4932C8B5" w14:textId="56CAC537" w:rsidR="00B84ED8" w:rsidRPr="00177BB7" w:rsidRDefault="00AC3D08" w:rsidP="00177BB7">
      <w:pPr>
        <w:spacing w:after="0"/>
        <w:jc w:val="both"/>
        <w:rPr>
          <w:rFonts w:eastAsiaTheme="minorHAnsi" w:cs="Calibri"/>
          <w:b/>
        </w:rPr>
      </w:pPr>
      <w:bookmarkStart w:id="2" w:name="_Hlk105757989"/>
      <w:r w:rsidRPr="00177BB7">
        <w:rPr>
          <w:rFonts w:asciiTheme="minorHAnsi" w:hAnsiTheme="minorHAnsi" w:cstheme="minorHAnsi"/>
          <w:spacing w:val="-2"/>
        </w:rPr>
        <w:t>MV v </w:t>
      </w:r>
      <w:r w:rsidRPr="00177BB7">
        <w:rPr>
          <w:rFonts w:asciiTheme="minorHAnsi" w:hAnsiTheme="minorHAnsi" w:cs="Calibri"/>
        </w:rPr>
        <w:t xml:space="preserve">ÚZ nevykázalo některé informace v </w:t>
      </w:r>
      <w:r w:rsidRPr="00177BB7">
        <w:rPr>
          <w:rFonts w:asciiTheme="minorHAnsi" w:hAnsiTheme="minorHAnsi" w:cstheme="minorHAnsi"/>
          <w:spacing w:val="-2"/>
        </w:rPr>
        <w:t xml:space="preserve">souladu s právními předpisy upravujícími vedení účetnictví, </w:t>
      </w:r>
      <w:r w:rsidR="005B3ED7">
        <w:rPr>
          <w:rFonts w:asciiTheme="minorHAnsi" w:hAnsiTheme="minorHAnsi" w:cstheme="minorHAnsi"/>
          <w:spacing w:val="-2"/>
        </w:rPr>
        <w:t xml:space="preserve">jednalo se o </w:t>
      </w:r>
      <w:r w:rsidRPr="00177BB7">
        <w:rPr>
          <w:rFonts w:asciiTheme="minorHAnsi" w:hAnsiTheme="minorHAnsi" w:cstheme="minorHAnsi"/>
          <w:spacing w:val="-2"/>
        </w:rPr>
        <w:t>údaj</w:t>
      </w:r>
      <w:r w:rsidR="005B3ED7">
        <w:rPr>
          <w:rFonts w:asciiTheme="minorHAnsi" w:hAnsiTheme="minorHAnsi" w:cstheme="minorHAnsi"/>
          <w:spacing w:val="-2"/>
        </w:rPr>
        <w:t>e</w:t>
      </w:r>
      <w:r w:rsidRPr="00177BB7">
        <w:rPr>
          <w:rFonts w:asciiTheme="minorHAnsi" w:hAnsiTheme="minorHAnsi" w:cstheme="minorHAnsi"/>
          <w:spacing w:val="-2"/>
        </w:rPr>
        <w:t xml:space="preserve"> za běžné účetní období v celkové výši 13,9 mil. Kč. Zjištěné nesprávnosti však </w:t>
      </w:r>
      <w:r w:rsidRPr="00177BB7">
        <w:rPr>
          <w:rFonts w:eastAsiaTheme="minorHAnsi" w:cs="Calibri"/>
        </w:rPr>
        <w:t>neměly významný dopad na údaje ÚZ</w:t>
      </w:r>
      <w:r w:rsidR="00177BB7" w:rsidRPr="00177BB7">
        <w:rPr>
          <w:rFonts w:eastAsiaTheme="minorHAnsi" w:cs="Calibri"/>
        </w:rPr>
        <w:t xml:space="preserve"> (viz </w:t>
      </w:r>
      <w:r w:rsidR="00B84ED8" w:rsidRPr="00177BB7">
        <w:rPr>
          <w:rFonts w:asciiTheme="minorHAnsi" w:hAnsiTheme="minorHAnsi" w:cstheme="minorHAnsi"/>
        </w:rPr>
        <w:t xml:space="preserve">část </w:t>
      </w:r>
      <w:r w:rsidR="00B84ED8" w:rsidRPr="004E2EFE">
        <w:rPr>
          <w:rFonts w:asciiTheme="minorHAnsi" w:hAnsiTheme="minorHAnsi" w:cstheme="minorHAnsi"/>
        </w:rPr>
        <w:t>IV.1.1</w:t>
      </w:r>
      <w:r w:rsidR="00177BB7" w:rsidRPr="00177BB7">
        <w:rPr>
          <w:rFonts w:asciiTheme="minorHAnsi" w:hAnsiTheme="minorHAnsi" w:cstheme="minorHAnsi"/>
        </w:rPr>
        <w:t>)</w:t>
      </w:r>
      <w:r w:rsidR="00B84ED8" w:rsidRPr="00177BB7">
        <w:rPr>
          <w:rFonts w:asciiTheme="minorHAnsi" w:hAnsiTheme="minorHAnsi" w:cstheme="minorHAnsi"/>
        </w:rPr>
        <w:t>.</w:t>
      </w:r>
      <w:bookmarkEnd w:id="2"/>
      <w:r w:rsidR="00B84ED8" w:rsidRPr="00177BB7">
        <w:rPr>
          <w:rFonts w:asciiTheme="minorHAnsi" w:hAnsiTheme="minorHAnsi" w:cstheme="minorHAnsi"/>
        </w:rPr>
        <w:t xml:space="preserve"> </w:t>
      </w:r>
    </w:p>
    <w:p w14:paraId="3C4AA5CA" w14:textId="77777777" w:rsidR="00BF3B13" w:rsidRPr="00BF3B13" w:rsidRDefault="00BF3B13" w:rsidP="00BF3B13">
      <w:pPr>
        <w:spacing w:after="0"/>
        <w:jc w:val="both"/>
        <w:rPr>
          <w:rFonts w:eastAsiaTheme="minorHAnsi" w:cs="Calibri"/>
          <w:b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F1FF"/>
        <w:tblLook w:val="04A0" w:firstRow="1" w:lastRow="0" w:firstColumn="1" w:lastColumn="0" w:noHBand="0" w:noVBand="1"/>
      </w:tblPr>
      <w:tblGrid>
        <w:gridCol w:w="9060"/>
      </w:tblGrid>
      <w:tr w:rsidR="00BF3B13" w14:paraId="32EA58BD" w14:textId="77777777" w:rsidTr="006B5348">
        <w:tc>
          <w:tcPr>
            <w:tcW w:w="9060" w:type="dxa"/>
            <w:shd w:val="clear" w:color="auto" w:fill="E5F1FF"/>
          </w:tcPr>
          <w:p w14:paraId="16C70EA7" w14:textId="77777777" w:rsidR="00BF3B13" w:rsidRPr="008C74BF" w:rsidRDefault="00BF3B13" w:rsidP="00BF3B13">
            <w:pPr>
              <w:jc w:val="both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NKÚ</w:t>
            </w:r>
            <w:r w:rsidRPr="008C74BF">
              <w:rPr>
                <w:rFonts w:asciiTheme="minorHAnsi" w:hAnsiTheme="minorHAnsi" w:cs="Calibri"/>
                <w:b/>
              </w:rPr>
              <w:t xml:space="preserve"> </w:t>
            </w:r>
            <w:r>
              <w:rPr>
                <w:rFonts w:asciiTheme="minorHAnsi" w:hAnsiTheme="minorHAnsi" w:cs="Calibri"/>
                <w:b/>
              </w:rPr>
              <w:t>upozorňuje na</w:t>
            </w:r>
            <w:r w:rsidRPr="008C74BF">
              <w:rPr>
                <w:rFonts w:asciiTheme="minorHAnsi" w:hAnsiTheme="minorHAnsi" w:cs="Calibri"/>
                <w:b/>
              </w:rPr>
              <w:t xml:space="preserve"> skutečnosti uvedené </w:t>
            </w:r>
            <w:r>
              <w:rPr>
                <w:rFonts w:asciiTheme="minorHAnsi" w:hAnsiTheme="minorHAnsi" w:cs="Calibri"/>
                <w:b/>
              </w:rPr>
              <w:t xml:space="preserve">MV </w:t>
            </w:r>
            <w:r w:rsidRPr="008C74BF">
              <w:rPr>
                <w:rFonts w:asciiTheme="minorHAnsi" w:hAnsiTheme="minorHAnsi" w:cs="Calibri"/>
                <w:b/>
              </w:rPr>
              <w:t>v příloze ÚZ</w:t>
            </w:r>
            <w:r>
              <w:rPr>
                <w:rFonts w:asciiTheme="minorHAnsi" w:hAnsiTheme="minorHAnsi" w:cs="Calibri"/>
                <w:b/>
              </w:rPr>
              <w:t xml:space="preserve"> v bodech</w:t>
            </w:r>
            <w:r w:rsidRPr="008C74BF">
              <w:rPr>
                <w:rFonts w:asciiTheme="minorHAnsi" w:hAnsiTheme="minorHAnsi" w:cs="Calibri"/>
                <w:b/>
              </w:rPr>
              <w:t>:</w:t>
            </w:r>
          </w:p>
          <w:p w14:paraId="6D89CF18" w14:textId="7E285B6F" w:rsidR="00BF3B13" w:rsidRPr="00BF3B13" w:rsidRDefault="00BF3B13" w:rsidP="00BF3B13">
            <w:pPr>
              <w:pStyle w:val="Odstavecseseznamem"/>
              <w:numPr>
                <w:ilvl w:val="0"/>
                <w:numId w:val="10"/>
              </w:numPr>
              <w:ind w:left="714" w:hanging="357"/>
              <w:contextualSpacing w:val="0"/>
              <w:jc w:val="both"/>
              <w:rPr>
                <w:rFonts w:asciiTheme="minorHAnsi" w:hAnsiTheme="minorHAnsi" w:cs="Calibri"/>
                <w:b/>
                <w:bCs/>
              </w:rPr>
            </w:pPr>
            <w:r w:rsidRPr="00BF3B13">
              <w:rPr>
                <w:rFonts w:asciiTheme="minorHAnsi" w:hAnsiTheme="minorHAnsi" w:cstheme="minorHAnsi"/>
                <w:b/>
                <w:bCs/>
              </w:rPr>
              <w:t xml:space="preserve">A.3. </w:t>
            </w:r>
            <w:r w:rsidRPr="00DD2EDD">
              <w:rPr>
                <w:rFonts w:asciiTheme="minorHAnsi" w:hAnsiTheme="minorHAnsi" w:cstheme="minorHAnsi"/>
                <w:b/>
                <w:bCs/>
                <w:i/>
                <w:iCs/>
              </w:rPr>
              <w:t>Informace podle § 7 odst. 5 zákona</w:t>
            </w:r>
            <w:r w:rsidR="005B3ED7">
              <w:rPr>
                <w:rFonts w:asciiTheme="minorHAnsi" w:hAnsiTheme="minorHAnsi" w:cstheme="minorHAnsi"/>
                <w:b/>
                <w:bCs/>
                <w:iCs/>
              </w:rPr>
              <w:t>,</w:t>
            </w:r>
          </w:p>
          <w:p w14:paraId="5ADAAEEC" w14:textId="77777777" w:rsidR="005B3ED7" w:rsidRPr="00124170" w:rsidRDefault="00BF3B13" w:rsidP="00124170">
            <w:pPr>
              <w:pStyle w:val="Odstavecseseznamem"/>
              <w:numPr>
                <w:ilvl w:val="0"/>
                <w:numId w:val="10"/>
              </w:numPr>
              <w:spacing w:after="0"/>
              <w:ind w:left="714" w:hanging="357"/>
              <w:contextualSpacing w:val="0"/>
              <w:jc w:val="both"/>
              <w:rPr>
                <w:rFonts w:asciiTheme="minorHAnsi" w:hAnsiTheme="minorHAnsi" w:cs="Calibri"/>
                <w:b/>
                <w:bCs/>
              </w:rPr>
            </w:pPr>
            <w:r w:rsidRPr="00BF3B13">
              <w:rPr>
                <w:rFonts w:asciiTheme="minorHAnsi" w:eastAsiaTheme="minorHAnsi" w:hAnsiTheme="minorHAnsi" w:cstheme="minorHAnsi"/>
                <w:b/>
                <w:bCs/>
              </w:rPr>
              <w:t xml:space="preserve">E.1. </w:t>
            </w:r>
            <w:r w:rsidRPr="00DD2EDD">
              <w:rPr>
                <w:rFonts w:asciiTheme="minorHAnsi" w:eastAsiaTheme="minorHAnsi" w:hAnsiTheme="minorHAnsi" w:cstheme="minorHAnsi"/>
                <w:b/>
                <w:bCs/>
                <w:i/>
                <w:iCs/>
              </w:rPr>
              <w:t>Doplňující informace k položkám rozvahy</w:t>
            </w:r>
            <w:r w:rsidRPr="00BF3B13">
              <w:rPr>
                <w:rFonts w:asciiTheme="minorHAnsi" w:eastAsiaTheme="minorHAnsi" w:hAnsiTheme="minorHAnsi" w:cstheme="minorHAnsi"/>
                <w:b/>
                <w:bCs/>
              </w:rPr>
              <w:t xml:space="preserve"> k syntetickým účtům 021 – </w:t>
            </w:r>
            <w:r w:rsidRPr="00BF3B13">
              <w:rPr>
                <w:rFonts w:asciiTheme="minorHAnsi" w:eastAsiaTheme="minorHAnsi" w:hAnsiTheme="minorHAnsi" w:cstheme="minorHAnsi"/>
                <w:b/>
                <w:bCs/>
                <w:i/>
                <w:iCs/>
              </w:rPr>
              <w:t>Stavby</w:t>
            </w:r>
            <w:r w:rsidRPr="00BF3B13">
              <w:rPr>
                <w:rFonts w:asciiTheme="minorHAnsi" w:eastAsiaTheme="minorHAnsi" w:hAnsiTheme="minorHAnsi" w:cstheme="minorHAnsi"/>
                <w:b/>
                <w:bCs/>
              </w:rPr>
              <w:t xml:space="preserve"> a</w:t>
            </w:r>
            <w:r w:rsidR="004743AC">
              <w:rPr>
                <w:rFonts w:asciiTheme="minorHAnsi" w:eastAsiaTheme="minorHAnsi" w:hAnsiTheme="minorHAnsi" w:cstheme="minorHAnsi"/>
                <w:b/>
                <w:bCs/>
              </w:rPr>
              <w:t> </w:t>
            </w:r>
            <w:r w:rsidRPr="00BF3B13">
              <w:rPr>
                <w:rFonts w:asciiTheme="minorHAnsi" w:eastAsiaTheme="minorHAnsi" w:hAnsiTheme="minorHAnsi" w:cstheme="minorHAnsi"/>
                <w:b/>
                <w:bCs/>
              </w:rPr>
              <w:t xml:space="preserve">028 – </w:t>
            </w:r>
            <w:r w:rsidRPr="00BF3B13">
              <w:rPr>
                <w:rFonts w:asciiTheme="minorHAnsi" w:eastAsiaTheme="minorHAnsi" w:hAnsiTheme="minorHAnsi" w:cstheme="minorHAnsi"/>
                <w:b/>
                <w:bCs/>
                <w:i/>
                <w:iCs/>
              </w:rPr>
              <w:t>Drobný dlouhodobý hmotný majetek</w:t>
            </w:r>
            <w:r w:rsidRPr="00BF3B13">
              <w:rPr>
                <w:rFonts w:asciiTheme="minorHAnsi" w:eastAsiaTheme="minorHAnsi" w:hAnsiTheme="minorHAnsi" w:cstheme="minorHAnsi"/>
                <w:b/>
                <w:bCs/>
              </w:rPr>
              <w:t xml:space="preserve"> a </w:t>
            </w:r>
          </w:p>
          <w:p w14:paraId="12758075" w14:textId="6D48B233" w:rsidR="00BF3B13" w:rsidRPr="00BF3B13" w:rsidRDefault="00BF3B13" w:rsidP="00124170">
            <w:pPr>
              <w:pStyle w:val="Odstavecseseznamem"/>
              <w:ind w:left="714"/>
              <w:contextualSpacing w:val="0"/>
              <w:jc w:val="both"/>
              <w:rPr>
                <w:rFonts w:asciiTheme="minorHAnsi" w:hAnsiTheme="minorHAnsi" w:cs="Calibri"/>
                <w:b/>
                <w:bCs/>
              </w:rPr>
            </w:pPr>
            <w:r w:rsidRPr="00BF3B13">
              <w:rPr>
                <w:rFonts w:asciiTheme="minorHAnsi" w:eastAsiaTheme="minorHAnsi" w:hAnsiTheme="minorHAnsi" w:cstheme="minorHAnsi"/>
                <w:b/>
                <w:bCs/>
              </w:rPr>
              <w:t xml:space="preserve">E.2 </w:t>
            </w:r>
            <w:r w:rsidRPr="00BF3B13">
              <w:rPr>
                <w:rFonts w:asciiTheme="minorHAnsi" w:eastAsiaTheme="minorHAnsi" w:hAnsiTheme="minorHAnsi" w:cstheme="minorHAnsi"/>
                <w:b/>
                <w:bCs/>
                <w:i/>
                <w:iCs/>
              </w:rPr>
              <w:t>Doplňující informace k položkám výkazu zisku a ztráty</w:t>
            </w:r>
            <w:r w:rsidRPr="00BF3B13">
              <w:rPr>
                <w:rFonts w:asciiTheme="minorHAnsi" w:eastAsiaTheme="minorHAnsi" w:hAnsiTheme="minorHAnsi" w:cstheme="minorHAnsi"/>
                <w:b/>
                <w:bCs/>
              </w:rPr>
              <w:t xml:space="preserve"> k syntetickým účtům 502</w:t>
            </w:r>
            <w:r w:rsidR="005B3ED7">
              <w:rPr>
                <w:rFonts w:asciiTheme="minorHAnsi" w:eastAsiaTheme="minorHAnsi" w:hAnsiTheme="minorHAnsi" w:cstheme="minorHAnsi"/>
                <w:b/>
                <w:bCs/>
              </w:rPr>
              <w:t> </w:t>
            </w:r>
            <w:r w:rsidRPr="00BF3B13">
              <w:rPr>
                <w:rFonts w:asciiTheme="minorHAnsi" w:eastAsiaTheme="minorHAnsi" w:hAnsiTheme="minorHAnsi" w:cstheme="minorHAnsi"/>
                <w:b/>
                <w:bCs/>
              </w:rPr>
              <w:t xml:space="preserve">– </w:t>
            </w:r>
            <w:r w:rsidRPr="00BF3B13">
              <w:rPr>
                <w:rFonts w:asciiTheme="minorHAnsi" w:eastAsiaTheme="minorHAnsi" w:hAnsiTheme="minorHAnsi" w:cstheme="minorHAnsi"/>
                <w:b/>
                <w:bCs/>
                <w:i/>
                <w:iCs/>
              </w:rPr>
              <w:t>Spotřeba energie</w:t>
            </w:r>
            <w:r w:rsidRPr="00BF3B13">
              <w:rPr>
                <w:rFonts w:asciiTheme="minorHAnsi" w:eastAsiaTheme="minorHAnsi" w:hAnsiTheme="minorHAnsi" w:cstheme="minorHAnsi"/>
                <w:b/>
                <w:bCs/>
              </w:rPr>
              <w:t xml:space="preserve"> a 503 – </w:t>
            </w:r>
            <w:r w:rsidRPr="00BF3B13">
              <w:rPr>
                <w:rFonts w:asciiTheme="minorHAnsi" w:eastAsiaTheme="minorHAnsi" w:hAnsiTheme="minorHAnsi" w:cstheme="minorHAnsi"/>
                <w:b/>
                <w:bCs/>
                <w:i/>
                <w:iCs/>
              </w:rPr>
              <w:t>Spotřeba jiných neskladovatelných dodávek</w:t>
            </w:r>
            <w:r w:rsidR="005B3ED7">
              <w:rPr>
                <w:rFonts w:asciiTheme="minorHAnsi" w:eastAsiaTheme="minorHAnsi" w:hAnsiTheme="minorHAnsi" w:cstheme="minorHAnsi"/>
                <w:b/>
                <w:bCs/>
                <w:iCs/>
              </w:rPr>
              <w:t>.</w:t>
            </w:r>
          </w:p>
          <w:p w14:paraId="40CDD17C" w14:textId="18E9388E" w:rsidR="00BF3B13" w:rsidRDefault="005928CF" w:rsidP="00BF3B13">
            <w:pPr>
              <w:jc w:val="both"/>
              <w:rPr>
                <w:rFonts w:eastAsiaTheme="minorHAnsi" w:cs="Calibri"/>
                <w:b/>
                <w:highlight w:val="yellow"/>
              </w:rPr>
            </w:pPr>
            <w:r>
              <w:rPr>
                <w:rFonts w:asciiTheme="minorHAnsi" w:hAnsiTheme="minorHAnsi" w:cs="Calibri"/>
                <w:b/>
              </w:rPr>
              <w:t xml:space="preserve">V rámci uvedených informací </w:t>
            </w:r>
            <w:r w:rsidR="00BF3B13">
              <w:rPr>
                <w:rFonts w:asciiTheme="minorHAnsi" w:hAnsiTheme="minorHAnsi" w:cs="Calibri"/>
                <w:b/>
              </w:rPr>
              <w:t>M</w:t>
            </w:r>
            <w:r w:rsidR="005B3ED7">
              <w:rPr>
                <w:rFonts w:asciiTheme="minorHAnsi" w:hAnsiTheme="minorHAnsi" w:cs="Calibri"/>
                <w:b/>
              </w:rPr>
              <w:t>inisterstvo vnitra</w:t>
            </w:r>
            <w:r w:rsidR="00BF3B13">
              <w:rPr>
                <w:rFonts w:asciiTheme="minorHAnsi" w:hAnsiTheme="minorHAnsi" w:cs="Calibri"/>
                <w:b/>
              </w:rPr>
              <w:t xml:space="preserve"> </w:t>
            </w:r>
            <w:r>
              <w:rPr>
                <w:rFonts w:asciiTheme="minorHAnsi" w:hAnsiTheme="minorHAnsi" w:cs="Calibri"/>
                <w:b/>
              </w:rPr>
              <w:t>popisuje to</w:t>
            </w:r>
            <w:r w:rsidR="00BF3B13">
              <w:rPr>
                <w:rFonts w:asciiTheme="minorHAnsi" w:hAnsiTheme="minorHAnsi" w:cs="Calibri"/>
                <w:b/>
              </w:rPr>
              <w:t>, že v ÚZ jsou vykázány údaje i za jinou organizační složku státu</w:t>
            </w:r>
            <w:r w:rsidR="00C91659">
              <w:rPr>
                <w:rFonts w:asciiTheme="minorHAnsi" w:hAnsiTheme="minorHAnsi" w:cs="Calibri"/>
                <w:b/>
              </w:rPr>
              <w:t xml:space="preserve"> </w:t>
            </w:r>
            <w:r w:rsidR="00F25AA6">
              <w:rPr>
                <w:rFonts w:asciiTheme="minorHAnsi" w:hAnsiTheme="minorHAnsi" w:cs="Calibri"/>
                <w:b/>
              </w:rPr>
              <w:t>(</w:t>
            </w:r>
            <w:r w:rsidR="00C91659">
              <w:rPr>
                <w:rFonts w:asciiTheme="minorHAnsi" w:hAnsiTheme="minorHAnsi" w:cs="Calibri"/>
                <w:b/>
              </w:rPr>
              <w:t>ÚZSI</w:t>
            </w:r>
            <w:r w:rsidR="00F25AA6">
              <w:rPr>
                <w:rFonts w:asciiTheme="minorHAnsi" w:hAnsiTheme="minorHAnsi" w:cs="Calibri"/>
                <w:b/>
              </w:rPr>
              <w:t>)</w:t>
            </w:r>
            <w:r w:rsidR="005B3ED7">
              <w:rPr>
                <w:rFonts w:asciiTheme="minorHAnsi" w:hAnsiTheme="minorHAnsi" w:cs="Calibri"/>
                <w:b/>
              </w:rPr>
              <w:t>,</w:t>
            </w:r>
            <w:r w:rsidR="00F25AA6">
              <w:rPr>
                <w:rFonts w:asciiTheme="minorHAnsi" w:hAnsiTheme="minorHAnsi" w:cs="Calibri"/>
                <w:b/>
              </w:rPr>
              <w:t xml:space="preserve"> a dále</w:t>
            </w:r>
            <w:r w:rsidR="00BF3B13">
              <w:rPr>
                <w:rFonts w:asciiTheme="minorHAnsi" w:hAnsiTheme="minorHAnsi" w:cs="Calibri"/>
                <w:b/>
              </w:rPr>
              <w:t xml:space="preserve"> </w:t>
            </w:r>
            <w:r w:rsidR="00F25AA6">
              <w:rPr>
                <w:rFonts w:asciiTheme="minorHAnsi" w:hAnsiTheme="minorHAnsi" w:cs="Calibri"/>
                <w:b/>
              </w:rPr>
              <w:t xml:space="preserve">také </w:t>
            </w:r>
            <w:r>
              <w:rPr>
                <w:rFonts w:asciiTheme="minorHAnsi" w:hAnsiTheme="minorHAnsi" w:cs="Calibri"/>
                <w:b/>
              </w:rPr>
              <w:t>to</w:t>
            </w:r>
            <w:r w:rsidR="00C91659">
              <w:rPr>
                <w:rFonts w:asciiTheme="minorHAnsi" w:hAnsiTheme="minorHAnsi" w:cs="Calibri"/>
                <w:b/>
              </w:rPr>
              <w:t>, že</w:t>
            </w:r>
            <w:r w:rsidR="00835618">
              <w:rPr>
                <w:rFonts w:asciiTheme="minorHAnsi" w:hAnsiTheme="minorHAnsi" w:cs="Calibri"/>
                <w:b/>
              </w:rPr>
              <w:t xml:space="preserve"> </w:t>
            </w:r>
            <w:r w:rsidR="00F25AA6">
              <w:rPr>
                <w:rFonts w:asciiTheme="minorHAnsi" w:hAnsiTheme="minorHAnsi" w:cs="Calibri"/>
                <w:b/>
              </w:rPr>
              <w:t xml:space="preserve">v </w:t>
            </w:r>
            <w:r w:rsidR="00C91659">
              <w:rPr>
                <w:rFonts w:asciiTheme="minorHAnsi" w:hAnsiTheme="minorHAnsi" w:cs="Calibri"/>
                <w:b/>
              </w:rPr>
              <w:t>Ú</w:t>
            </w:r>
            <w:r w:rsidR="004F3C4D">
              <w:rPr>
                <w:rFonts w:asciiTheme="minorHAnsi" w:hAnsiTheme="minorHAnsi" w:cs="Calibri"/>
                <w:b/>
              </w:rPr>
              <w:t>Z</w:t>
            </w:r>
            <w:r w:rsidR="00F25AA6">
              <w:rPr>
                <w:rFonts w:asciiTheme="minorHAnsi" w:hAnsiTheme="minorHAnsi" w:cs="Calibri"/>
                <w:b/>
              </w:rPr>
              <w:t xml:space="preserve"> naopak</w:t>
            </w:r>
            <w:r w:rsidR="00BF3B13">
              <w:rPr>
                <w:rFonts w:asciiTheme="minorHAnsi" w:hAnsiTheme="minorHAnsi" w:cs="Calibri"/>
                <w:b/>
              </w:rPr>
              <w:t xml:space="preserve"> nejsou vykázány údaje vztahující se k majetku, který MV užívá ke své činnosti</w:t>
            </w:r>
            <w:r w:rsidR="00F25AA6">
              <w:rPr>
                <w:rFonts w:asciiTheme="minorHAnsi" w:hAnsiTheme="minorHAnsi" w:cs="Calibri"/>
                <w:b/>
              </w:rPr>
              <w:t xml:space="preserve"> a ke kterému má příslušnost hospodařit jeho zřízená </w:t>
            </w:r>
            <w:r w:rsidR="00BF3B13">
              <w:rPr>
                <w:rFonts w:asciiTheme="minorHAnsi" w:hAnsiTheme="minorHAnsi" w:cs="Calibri"/>
                <w:b/>
              </w:rPr>
              <w:t>příspěvková organizace.</w:t>
            </w:r>
          </w:p>
        </w:tc>
      </w:tr>
    </w:tbl>
    <w:p w14:paraId="635B2A91" w14:textId="462B53F6" w:rsidR="0087086A" w:rsidRDefault="0087086A" w:rsidP="006C781D">
      <w:pPr>
        <w:spacing w:after="0"/>
        <w:jc w:val="both"/>
        <w:rPr>
          <w:rFonts w:asciiTheme="minorHAnsi" w:hAnsiTheme="minorHAnsi" w:cs="Calibri"/>
          <w:b/>
        </w:rPr>
      </w:pPr>
    </w:p>
    <w:p w14:paraId="3B7CE9B2" w14:textId="0740DCF0" w:rsidR="00244B9B" w:rsidRDefault="00886497" w:rsidP="006C781D">
      <w:pPr>
        <w:spacing w:after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Z</w:t>
      </w:r>
      <w:r w:rsidR="001937CB">
        <w:rPr>
          <w:rFonts w:asciiTheme="minorHAnsi" w:hAnsiTheme="minorHAnsi" w:cstheme="minorHAnsi"/>
        </w:rPr>
        <w:t xml:space="preserve">a rok 2021 vykázalo MV </w:t>
      </w:r>
      <w:r w:rsidR="003823BD">
        <w:rPr>
          <w:rFonts w:asciiTheme="minorHAnsi" w:hAnsiTheme="minorHAnsi" w:cstheme="minorHAnsi"/>
        </w:rPr>
        <w:t xml:space="preserve">v ÚZ </w:t>
      </w:r>
      <w:r w:rsidR="001937CB">
        <w:rPr>
          <w:rFonts w:asciiTheme="minorHAnsi" w:hAnsiTheme="minorHAnsi" w:cstheme="minorHAnsi"/>
        </w:rPr>
        <w:t>zůstatky a stavy příslušných syntetických a podrozvahových účtů</w:t>
      </w:r>
      <w:r w:rsidR="003823BD">
        <w:rPr>
          <w:rFonts w:asciiTheme="minorHAnsi" w:hAnsiTheme="minorHAnsi" w:cstheme="minorHAnsi"/>
        </w:rPr>
        <w:t xml:space="preserve"> </w:t>
      </w:r>
      <w:r w:rsidR="001937CB">
        <w:rPr>
          <w:rFonts w:asciiTheme="minorHAnsi" w:hAnsiTheme="minorHAnsi" w:cstheme="minorHAnsi"/>
        </w:rPr>
        <w:t>účetního okruhu</w:t>
      </w:r>
      <w:r w:rsidR="003823BD">
        <w:rPr>
          <w:rFonts w:asciiTheme="minorHAnsi" w:hAnsiTheme="minorHAnsi" w:cstheme="minorHAnsi"/>
        </w:rPr>
        <w:t>, v němž jsou vedeny údaje</w:t>
      </w:r>
      <w:r w:rsidR="00FC4A54">
        <w:rPr>
          <w:rFonts w:asciiTheme="minorHAnsi" w:hAnsiTheme="minorHAnsi" w:cstheme="minorHAnsi"/>
        </w:rPr>
        <w:t xml:space="preserve"> za ÚZSI</w:t>
      </w:r>
      <w:r w:rsidR="003823BD">
        <w:rPr>
          <w:rFonts w:asciiTheme="minorHAnsi" w:hAnsiTheme="minorHAnsi" w:cstheme="minorHAnsi"/>
        </w:rPr>
        <w:t>,</w:t>
      </w:r>
      <w:r w:rsidR="001937CB">
        <w:rPr>
          <w:rFonts w:asciiTheme="minorHAnsi" w:hAnsiTheme="minorHAnsi" w:cstheme="minorHAnsi"/>
        </w:rPr>
        <w:t xml:space="preserve"> průřezově</w:t>
      </w:r>
      <w:r w:rsidR="00B14B51">
        <w:rPr>
          <w:rFonts w:asciiTheme="minorHAnsi" w:hAnsiTheme="minorHAnsi" w:cstheme="minorHAnsi"/>
        </w:rPr>
        <w:t xml:space="preserve"> </w:t>
      </w:r>
      <w:r w:rsidR="001937CB">
        <w:rPr>
          <w:rFonts w:asciiTheme="minorHAnsi" w:hAnsiTheme="minorHAnsi" w:cstheme="minorHAnsi"/>
        </w:rPr>
        <w:t>v</w:t>
      </w:r>
      <w:r w:rsidR="007A2C17">
        <w:rPr>
          <w:rFonts w:asciiTheme="minorHAnsi" w:hAnsiTheme="minorHAnsi" w:cstheme="minorHAnsi"/>
        </w:rPr>
        <w:t> </w:t>
      </w:r>
      <w:r w:rsidR="001937CB">
        <w:rPr>
          <w:rFonts w:asciiTheme="minorHAnsi" w:hAnsiTheme="minorHAnsi" w:cstheme="minorHAnsi"/>
        </w:rPr>
        <w:t>rámci</w:t>
      </w:r>
      <w:r w:rsidR="007A2C17">
        <w:rPr>
          <w:rFonts w:asciiTheme="minorHAnsi" w:hAnsiTheme="minorHAnsi" w:cstheme="minorHAnsi"/>
        </w:rPr>
        <w:t xml:space="preserve"> </w:t>
      </w:r>
      <w:r w:rsidR="001937CB" w:rsidRPr="00D14FC9">
        <w:rPr>
          <w:rFonts w:asciiTheme="minorHAnsi" w:hAnsiTheme="minorHAnsi" w:cstheme="minorHAnsi"/>
          <w:b/>
        </w:rPr>
        <w:t>různých syntetických a</w:t>
      </w:r>
      <w:r w:rsidR="004743AC">
        <w:rPr>
          <w:rFonts w:asciiTheme="minorHAnsi" w:hAnsiTheme="minorHAnsi" w:cstheme="minorHAnsi"/>
          <w:b/>
        </w:rPr>
        <w:t> </w:t>
      </w:r>
      <w:r w:rsidR="001937CB" w:rsidRPr="00D14FC9">
        <w:rPr>
          <w:rFonts w:asciiTheme="minorHAnsi" w:hAnsiTheme="minorHAnsi" w:cstheme="minorHAnsi"/>
          <w:b/>
        </w:rPr>
        <w:t xml:space="preserve">podrozvahových účtů účetní závěrky. </w:t>
      </w:r>
      <w:r>
        <w:rPr>
          <w:rFonts w:asciiTheme="minorHAnsi" w:hAnsiTheme="minorHAnsi" w:cstheme="minorHAnsi"/>
          <w:b/>
        </w:rPr>
        <w:t>Přitom s</w:t>
      </w:r>
      <w:r w:rsidR="001937CB" w:rsidRPr="00D14FC9">
        <w:rPr>
          <w:rFonts w:asciiTheme="minorHAnsi" w:hAnsiTheme="minorHAnsi" w:cstheme="minorHAnsi"/>
          <w:b/>
        </w:rPr>
        <w:t>ouhrnné částky vykázané k 31.</w:t>
      </w:r>
      <w:r w:rsidR="00283FE5">
        <w:rPr>
          <w:rFonts w:asciiTheme="minorHAnsi" w:hAnsiTheme="minorHAnsi" w:cstheme="minorHAnsi"/>
          <w:b/>
        </w:rPr>
        <w:t> </w:t>
      </w:r>
      <w:r w:rsidR="001937CB" w:rsidRPr="00D14FC9">
        <w:rPr>
          <w:rFonts w:asciiTheme="minorHAnsi" w:hAnsiTheme="minorHAnsi" w:cstheme="minorHAnsi"/>
          <w:b/>
        </w:rPr>
        <w:t>prosinci 2021 na syntetických účtech stálých aktiv, vlastního kapitálu a nákladů v rámci tohoto účetního okruhu byly významné</w:t>
      </w:r>
      <w:r w:rsidR="00737568">
        <w:rPr>
          <w:rFonts w:asciiTheme="minorHAnsi" w:hAnsiTheme="minorHAnsi" w:cstheme="minorHAnsi"/>
        </w:rPr>
        <w:t xml:space="preserve"> (viz část IV.1.2)</w:t>
      </w:r>
      <w:r w:rsidR="001937CB">
        <w:rPr>
          <w:rFonts w:asciiTheme="minorHAnsi" w:hAnsiTheme="minorHAnsi" w:cstheme="minorHAnsi"/>
        </w:rPr>
        <w:t xml:space="preserve">. </w:t>
      </w:r>
    </w:p>
    <w:p w14:paraId="421E3685" w14:textId="77777777" w:rsidR="00060485" w:rsidRDefault="00060485" w:rsidP="00124170">
      <w:pPr>
        <w:spacing w:before="120" w:after="0"/>
        <w:jc w:val="both"/>
        <w:rPr>
          <w:rFonts w:asciiTheme="minorHAnsi" w:hAnsiTheme="minorHAnsi" w:cstheme="minorHAnsi"/>
          <w:bCs/>
        </w:rPr>
      </w:pPr>
    </w:p>
    <w:p w14:paraId="1C1E5287" w14:textId="408CC457" w:rsidR="00E00B66" w:rsidRDefault="005B3ED7" w:rsidP="006C781D">
      <w:pPr>
        <w:spacing w:after="0"/>
        <w:jc w:val="both"/>
        <w:rPr>
          <w:rFonts w:asciiTheme="minorHAnsi" w:eastAsia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Majetek, který</w:t>
      </w:r>
      <w:r w:rsidR="004F3C4D">
        <w:rPr>
          <w:rFonts w:asciiTheme="minorHAnsi" w:hAnsiTheme="minorHAnsi" w:cstheme="minorHAnsi"/>
          <w:bCs/>
        </w:rPr>
        <w:t xml:space="preserve"> užív</w:t>
      </w:r>
      <w:r>
        <w:rPr>
          <w:rFonts w:asciiTheme="minorHAnsi" w:hAnsiTheme="minorHAnsi" w:cstheme="minorHAnsi"/>
          <w:bCs/>
        </w:rPr>
        <w:t>á</w:t>
      </w:r>
      <w:r w:rsidR="004F3C4D">
        <w:rPr>
          <w:rFonts w:asciiTheme="minorHAnsi" w:hAnsiTheme="minorHAnsi" w:cstheme="minorHAnsi"/>
          <w:bCs/>
        </w:rPr>
        <w:t xml:space="preserve"> MV, </w:t>
      </w:r>
      <w:r w:rsidR="009B1465">
        <w:rPr>
          <w:rFonts w:asciiTheme="minorHAnsi" w:hAnsiTheme="minorHAnsi" w:cstheme="minorHAnsi"/>
          <w:bCs/>
        </w:rPr>
        <w:t>avšak příslušnost hospodařit s ním má příspěvková organizace Ministerstva vnitra,</w:t>
      </w:r>
      <w:r w:rsidR="004F3C4D">
        <w:rPr>
          <w:rFonts w:asciiTheme="minorHAnsi" w:hAnsiTheme="minorHAnsi" w:cstheme="minorHAnsi"/>
          <w:bCs/>
        </w:rPr>
        <w:t xml:space="preserve"> </w:t>
      </w:r>
      <w:r w:rsidR="009B1465">
        <w:rPr>
          <w:rFonts w:asciiTheme="minorHAnsi" w:hAnsiTheme="minorHAnsi" w:cstheme="minorHAnsi"/>
          <w:bCs/>
        </w:rPr>
        <w:t xml:space="preserve">tvoří </w:t>
      </w:r>
      <w:r w:rsidR="00A160A1" w:rsidRPr="00D14FC9">
        <w:rPr>
          <w:rFonts w:asciiTheme="minorHAnsi" w:hAnsiTheme="minorHAnsi" w:cstheme="minorHAnsi"/>
          <w:b/>
          <w:bCs/>
        </w:rPr>
        <w:t>nemovit</w:t>
      </w:r>
      <w:r w:rsidR="00F25AA6" w:rsidRPr="00D14FC9">
        <w:rPr>
          <w:rFonts w:asciiTheme="minorHAnsi" w:hAnsiTheme="minorHAnsi" w:cstheme="minorHAnsi"/>
          <w:b/>
          <w:bCs/>
        </w:rPr>
        <w:t>ý</w:t>
      </w:r>
      <w:r w:rsidR="00A160A1" w:rsidRPr="00D14FC9">
        <w:rPr>
          <w:rFonts w:asciiTheme="minorHAnsi" w:hAnsiTheme="minorHAnsi" w:cstheme="minorHAnsi"/>
          <w:b/>
          <w:bCs/>
        </w:rPr>
        <w:t xml:space="preserve"> majet</w:t>
      </w:r>
      <w:r w:rsidR="00F25AA6" w:rsidRPr="00D14FC9">
        <w:rPr>
          <w:rFonts w:asciiTheme="minorHAnsi" w:hAnsiTheme="minorHAnsi" w:cstheme="minorHAnsi"/>
          <w:b/>
          <w:bCs/>
        </w:rPr>
        <w:t>e</w:t>
      </w:r>
      <w:r w:rsidR="00A160A1" w:rsidRPr="00D14FC9">
        <w:rPr>
          <w:rFonts w:asciiTheme="minorHAnsi" w:hAnsiTheme="minorHAnsi" w:cstheme="minorHAnsi"/>
          <w:b/>
          <w:bCs/>
        </w:rPr>
        <w:t>k</w:t>
      </w:r>
      <w:r w:rsidR="00283FE5">
        <w:rPr>
          <w:rFonts w:asciiTheme="minorHAnsi" w:hAnsiTheme="minorHAnsi" w:cstheme="minorHAnsi"/>
          <w:b/>
          <w:bCs/>
        </w:rPr>
        <w:t xml:space="preserve"> </w:t>
      </w:r>
      <w:r w:rsidR="00F25AA6" w:rsidRPr="00D14FC9">
        <w:rPr>
          <w:rFonts w:asciiTheme="minorHAnsi" w:hAnsiTheme="minorHAnsi" w:cstheme="minorHAnsi"/>
          <w:b/>
          <w:bCs/>
        </w:rPr>
        <w:t xml:space="preserve">v </w:t>
      </w:r>
      <w:r w:rsidR="00A160A1" w:rsidRPr="00D14FC9">
        <w:rPr>
          <w:rFonts w:asciiTheme="minorHAnsi" w:eastAsiaTheme="minorHAnsi" w:hAnsiTheme="minorHAnsi" w:cstheme="minorHAnsi"/>
          <w:b/>
        </w:rPr>
        <w:t>c</w:t>
      </w:r>
      <w:r w:rsidR="00A91CF0" w:rsidRPr="00D14FC9">
        <w:rPr>
          <w:rFonts w:asciiTheme="minorHAnsi" w:eastAsiaTheme="minorHAnsi" w:hAnsiTheme="minorHAnsi" w:cstheme="minorHAnsi"/>
          <w:b/>
        </w:rPr>
        <w:t>elkov</w:t>
      </w:r>
      <w:r w:rsidR="00F25AA6" w:rsidRPr="00D14FC9">
        <w:rPr>
          <w:rFonts w:asciiTheme="minorHAnsi" w:eastAsiaTheme="minorHAnsi" w:hAnsiTheme="minorHAnsi" w:cstheme="minorHAnsi"/>
          <w:b/>
        </w:rPr>
        <w:t>é</w:t>
      </w:r>
      <w:r w:rsidR="00A160A1" w:rsidRPr="00D14FC9">
        <w:rPr>
          <w:rFonts w:asciiTheme="minorHAnsi" w:eastAsiaTheme="minorHAnsi" w:hAnsiTheme="minorHAnsi" w:cstheme="minorHAnsi"/>
          <w:b/>
        </w:rPr>
        <w:t xml:space="preserve"> historick</w:t>
      </w:r>
      <w:r w:rsidR="00F25AA6" w:rsidRPr="00D14FC9">
        <w:rPr>
          <w:rFonts w:asciiTheme="minorHAnsi" w:eastAsiaTheme="minorHAnsi" w:hAnsiTheme="minorHAnsi" w:cstheme="minorHAnsi"/>
          <w:b/>
        </w:rPr>
        <w:t>é pořizovací ceně</w:t>
      </w:r>
      <w:r w:rsidR="00283FE5">
        <w:rPr>
          <w:rFonts w:asciiTheme="minorHAnsi" w:eastAsiaTheme="minorHAnsi" w:hAnsiTheme="minorHAnsi" w:cstheme="minorHAnsi"/>
          <w:b/>
        </w:rPr>
        <w:t xml:space="preserve"> </w:t>
      </w:r>
      <w:r w:rsidR="00A160A1" w:rsidRPr="00D14FC9">
        <w:rPr>
          <w:rFonts w:asciiTheme="minorHAnsi" w:eastAsiaTheme="minorHAnsi" w:hAnsiTheme="minorHAnsi" w:cstheme="minorHAnsi"/>
          <w:b/>
        </w:rPr>
        <w:t>ve výši</w:t>
      </w:r>
      <w:r w:rsidR="00A91CF0" w:rsidRPr="00D14FC9">
        <w:rPr>
          <w:rFonts w:asciiTheme="minorHAnsi" w:eastAsiaTheme="minorHAnsi" w:hAnsiTheme="minorHAnsi" w:cstheme="minorHAnsi"/>
          <w:b/>
        </w:rPr>
        <w:t xml:space="preserve"> </w:t>
      </w:r>
      <w:r w:rsidR="00A160A1" w:rsidRPr="00D14FC9">
        <w:rPr>
          <w:rFonts w:asciiTheme="minorHAnsi" w:eastAsiaTheme="minorHAnsi" w:hAnsiTheme="minorHAnsi" w:cstheme="minorHAnsi"/>
          <w:b/>
        </w:rPr>
        <w:t xml:space="preserve">přes </w:t>
      </w:r>
      <w:r w:rsidR="00A91CF0" w:rsidRPr="00D14FC9">
        <w:rPr>
          <w:rFonts w:asciiTheme="minorHAnsi" w:eastAsiaTheme="minorHAnsi" w:hAnsiTheme="minorHAnsi" w:cstheme="minorHAnsi"/>
          <w:b/>
        </w:rPr>
        <w:t>1</w:t>
      </w:r>
      <w:r w:rsidR="00A160A1" w:rsidRPr="00D14FC9">
        <w:rPr>
          <w:rFonts w:asciiTheme="minorHAnsi" w:eastAsiaTheme="minorHAnsi" w:hAnsiTheme="minorHAnsi" w:cstheme="minorHAnsi"/>
          <w:b/>
        </w:rPr>
        <w:t xml:space="preserve"> </w:t>
      </w:r>
      <w:r w:rsidR="00A91CF0" w:rsidRPr="00D14FC9">
        <w:rPr>
          <w:rFonts w:asciiTheme="minorHAnsi" w:eastAsiaTheme="minorHAnsi" w:hAnsiTheme="minorHAnsi" w:cstheme="minorHAnsi"/>
          <w:b/>
        </w:rPr>
        <w:t>mld. Kč</w:t>
      </w:r>
      <w:r w:rsidR="00283FE5">
        <w:rPr>
          <w:rFonts w:asciiTheme="minorHAnsi" w:eastAsiaTheme="minorHAnsi" w:hAnsiTheme="minorHAnsi" w:cstheme="minorHAnsi"/>
          <w:b/>
        </w:rPr>
        <w:t xml:space="preserve"> </w:t>
      </w:r>
      <w:r w:rsidR="00F25AA6" w:rsidRPr="00D14FC9">
        <w:rPr>
          <w:rFonts w:asciiTheme="minorHAnsi" w:eastAsiaTheme="minorHAnsi" w:hAnsiTheme="minorHAnsi" w:cstheme="minorHAnsi"/>
          <w:b/>
        </w:rPr>
        <w:t>(k</w:t>
      </w:r>
      <w:r w:rsidR="00A160A1" w:rsidRPr="00D14FC9">
        <w:rPr>
          <w:rFonts w:asciiTheme="minorHAnsi" w:eastAsiaTheme="minorHAnsi" w:hAnsiTheme="minorHAnsi" w:cstheme="minorHAnsi"/>
          <w:b/>
        </w:rPr>
        <w:t xml:space="preserve"> datu ÚZ </w:t>
      </w:r>
      <w:r w:rsidR="009A0CA5" w:rsidRPr="00D14FC9">
        <w:rPr>
          <w:rFonts w:asciiTheme="minorHAnsi" w:eastAsiaTheme="minorHAnsi" w:hAnsiTheme="minorHAnsi" w:cstheme="minorHAnsi"/>
          <w:b/>
        </w:rPr>
        <w:t>m</w:t>
      </w:r>
      <w:r w:rsidR="00E376BE" w:rsidRPr="00D14FC9">
        <w:rPr>
          <w:rFonts w:asciiTheme="minorHAnsi" w:eastAsiaTheme="minorHAnsi" w:hAnsiTheme="minorHAnsi" w:cstheme="minorHAnsi"/>
          <w:b/>
        </w:rPr>
        <w:t>ohla</w:t>
      </w:r>
      <w:r w:rsidR="009A0CA5" w:rsidRPr="00D14FC9">
        <w:rPr>
          <w:rFonts w:asciiTheme="minorHAnsi" w:eastAsiaTheme="minorHAnsi" w:hAnsiTheme="minorHAnsi" w:cstheme="minorHAnsi"/>
          <w:b/>
        </w:rPr>
        <w:t xml:space="preserve"> být</w:t>
      </w:r>
      <w:r w:rsidR="004F3C4D" w:rsidRPr="00D14FC9">
        <w:rPr>
          <w:rFonts w:asciiTheme="minorHAnsi" w:eastAsiaTheme="minorHAnsi" w:hAnsiTheme="minorHAnsi" w:cstheme="minorHAnsi"/>
          <w:b/>
        </w:rPr>
        <w:t xml:space="preserve"> tato</w:t>
      </w:r>
      <w:r w:rsidR="00283FE5">
        <w:rPr>
          <w:rFonts w:asciiTheme="minorHAnsi" w:eastAsiaTheme="minorHAnsi" w:hAnsiTheme="minorHAnsi" w:cstheme="minorHAnsi"/>
          <w:b/>
        </w:rPr>
        <w:t xml:space="preserve"> </w:t>
      </w:r>
      <w:r w:rsidR="004F3C4D" w:rsidRPr="00D14FC9">
        <w:rPr>
          <w:rFonts w:asciiTheme="minorHAnsi" w:eastAsiaTheme="minorHAnsi" w:hAnsiTheme="minorHAnsi" w:cstheme="minorHAnsi"/>
          <w:b/>
        </w:rPr>
        <w:t xml:space="preserve">cena i </w:t>
      </w:r>
      <w:r w:rsidR="00A160A1" w:rsidRPr="00D14FC9">
        <w:rPr>
          <w:rFonts w:asciiTheme="minorHAnsi" w:eastAsiaTheme="minorHAnsi" w:hAnsiTheme="minorHAnsi" w:cstheme="minorHAnsi"/>
          <w:b/>
        </w:rPr>
        <w:t>vyšší</w:t>
      </w:r>
      <w:r w:rsidR="00283FE5">
        <w:rPr>
          <w:rFonts w:asciiTheme="minorHAnsi" w:eastAsiaTheme="minorHAnsi" w:hAnsiTheme="minorHAnsi" w:cstheme="minorHAnsi"/>
          <w:b/>
        </w:rPr>
        <w:t>,</w:t>
      </w:r>
      <w:r w:rsidR="004F3C4D" w:rsidRPr="00D14FC9">
        <w:rPr>
          <w:rFonts w:asciiTheme="minorHAnsi" w:eastAsiaTheme="minorHAnsi" w:hAnsiTheme="minorHAnsi" w:cstheme="minorHAnsi"/>
          <w:b/>
        </w:rPr>
        <w:t xml:space="preserve"> a to</w:t>
      </w:r>
      <w:r w:rsidR="00A160A1" w:rsidRPr="00D14FC9">
        <w:rPr>
          <w:rFonts w:asciiTheme="minorHAnsi" w:eastAsiaTheme="minorHAnsi" w:hAnsiTheme="minorHAnsi" w:cstheme="minorHAnsi"/>
          <w:b/>
        </w:rPr>
        <w:t xml:space="preserve"> v důsledku </w:t>
      </w:r>
      <w:r w:rsidR="00E376BE" w:rsidRPr="00D14FC9">
        <w:rPr>
          <w:rFonts w:asciiTheme="minorHAnsi" w:eastAsiaTheme="minorHAnsi" w:hAnsiTheme="minorHAnsi" w:cstheme="minorHAnsi"/>
          <w:b/>
        </w:rPr>
        <w:t xml:space="preserve">případných </w:t>
      </w:r>
      <w:r w:rsidR="00A160A1" w:rsidRPr="00D14FC9">
        <w:rPr>
          <w:rFonts w:asciiTheme="minorHAnsi" w:eastAsiaTheme="minorHAnsi" w:hAnsiTheme="minorHAnsi" w:cstheme="minorHAnsi"/>
          <w:b/>
        </w:rPr>
        <w:t>technických zhodnocení</w:t>
      </w:r>
      <w:r w:rsidR="00F25AA6" w:rsidRPr="00D14FC9">
        <w:rPr>
          <w:rFonts w:asciiTheme="minorHAnsi" w:eastAsiaTheme="minorHAnsi" w:hAnsiTheme="minorHAnsi" w:cstheme="minorHAnsi"/>
          <w:b/>
        </w:rPr>
        <w:t>) a movitý majetek v celkové historické pořizovací ceně v řádu několika desítek mili</w:t>
      </w:r>
      <w:r w:rsidR="009B1465">
        <w:rPr>
          <w:rFonts w:asciiTheme="minorHAnsi" w:eastAsiaTheme="minorHAnsi" w:hAnsiTheme="minorHAnsi" w:cstheme="minorHAnsi"/>
          <w:b/>
        </w:rPr>
        <w:t>o</w:t>
      </w:r>
      <w:r w:rsidR="00F25AA6" w:rsidRPr="00D14FC9">
        <w:rPr>
          <w:rFonts w:asciiTheme="minorHAnsi" w:eastAsiaTheme="minorHAnsi" w:hAnsiTheme="minorHAnsi" w:cstheme="minorHAnsi"/>
          <w:b/>
        </w:rPr>
        <w:t>nů Kč</w:t>
      </w:r>
      <w:r w:rsidR="009A0CA5">
        <w:rPr>
          <w:rFonts w:asciiTheme="minorHAnsi" w:eastAsiaTheme="minorHAnsi" w:hAnsiTheme="minorHAnsi" w:cstheme="minorHAnsi"/>
        </w:rPr>
        <w:t xml:space="preserve"> (viz část </w:t>
      </w:r>
      <w:r w:rsidR="009A0CA5" w:rsidRPr="00283FE5">
        <w:rPr>
          <w:rFonts w:asciiTheme="minorHAnsi" w:eastAsiaTheme="minorHAnsi" w:hAnsiTheme="minorHAnsi" w:cstheme="minorHAnsi"/>
        </w:rPr>
        <w:t>IV.1.</w:t>
      </w:r>
      <w:r w:rsidR="00737568" w:rsidRPr="00283FE5">
        <w:rPr>
          <w:rFonts w:asciiTheme="minorHAnsi" w:eastAsiaTheme="minorHAnsi" w:hAnsiTheme="minorHAnsi" w:cstheme="minorHAnsi"/>
        </w:rPr>
        <w:t>3</w:t>
      </w:r>
      <w:r w:rsidR="009A0CA5">
        <w:rPr>
          <w:rFonts w:asciiTheme="minorHAnsi" w:eastAsiaTheme="minorHAnsi" w:hAnsiTheme="minorHAnsi" w:cstheme="minorHAnsi"/>
        </w:rPr>
        <w:t>)</w:t>
      </w:r>
      <w:r w:rsidR="00A160A1" w:rsidRPr="00A160A1">
        <w:rPr>
          <w:rFonts w:asciiTheme="minorHAnsi" w:eastAsiaTheme="minorHAnsi" w:hAnsiTheme="minorHAnsi" w:cstheme="minorHAnsi"/>
        </w:rPr>
        <w:t>.</w:t>
      </w:r>
      <w:r w:rsidR="00A160A1">
        <w:rPr>
          <w:rFonts w:asciiTheme="minorHAnsi" w:eastAsiaTheme="minorHAnsi" w:hAnsiTheme="minorHAnsi" w:cstheme="minorHAnsi"/>
          <w:b/>
          <w:bCs/>
        </w:rPr>
        <w:t xml:space="preserve"> </w:t>
      </w:r>
    </w:p>
    <w:p w14:paraId="5250C016" w14:textId="77777777" w:rsidR="00060485" w:rsidRPr="00872B70" w:rsidRDefault="00060485" w:rsidP="00124170">
      <w:pPr>
        <w:spacing w:before="120" w:after="0"/>
        <w:jc w:val="both"/>
        <w:rPr>
          <w:rFonts w:asciiTheme="minorHAnsi" w:hAnsiTheme="minorHAnsi" w:cs="Calibri"/>
          <w:bCs/>
        </w:rPr>
      </w:pPr>
    </w:p>
    <w:p w14:paraId="7EE5EAEC" w14:textId="78000846" w:rsidR="00060485" w:rsidRPr="005B5988" w:rsidRDefault="004F3C4D" w:rsidP="00060485">
      <w:pPr>
        <w:spacing w:after="0"/>
        <w:jc w:val="both"/>
        <w:rPr>
          <w:rFonts w:asciiTheme="minorHAnsi" w:hAnsiTheme="minorHAnsi" w:cs="Calibri"/>
          <w:bCs/>
        </w:rPr>
      </w:pPr>
      <w:r w:rsidRPr="00D14FC9">
        <w:rPr>
          <w:rFonts w:asciiTheme="minorHAnsi" w:hAnsiTheme="minorHAnsi" w:cs="Calibri"/>
          <w:bCs/>
        </w:rPr>
        <w:t>Uvedené</w:t>
      </w:r>
      <w:r w:rsidR="00060485" w:rsidRPr="005B5988">
        <w:rPr>
          <w:rFonts w:asciiTheme="minorHAnsi" w:hAnsiTheme="minorHAnsi" w:cs="Calibri"/>
          <w:bCs/>
        </w:rPr>
        <w:t xml:space="preserve"> skutečnosti jsou relevantní pro doplnění vypovídací hodnoty</w:t>
      </w:r>
      <w:r w:rsidR="00F25AA6" w:rsidRPr="00D14FC9">
        <w:rPr>
          <w:rFonts w:asciiTheme="minorHAnsi" w:hAnsiTheme="minorHAnsi" w:cs="Calibri"/>
          <w:bCs/>
        </w:rPr>
        <w:t xml:space="preserve"> údajů</w:t>
      </w:r>
      <w:r w:rsidR="00060485" w:rsidRPr="005B5988">
        <w:rPr>
          <w:rFonts w:asciiTheme="minorHAnsi" w:hAnsiTheme="minorHAnsi" w:cs="Calibri"/>
          <w:bCs/>
        </w:rPr>
        <w:t xml:space="preserve"> ÚZ a získání komplexního pohledu na informace v ní vykázané</w:t>
      </w:r>
      <w:r w:rsidR="00060485" w:rsidRPr="005B5988">
        <w:t xml:space="preserve"> </w:t>
      </w:r>
      <w:r w:rsidR="00060485" w:rsidRPr="005B5988">
        <w:rPr>
          <w:rFonts w:asciiTheme="minorHAnsi" w:hAnsiTheme="minorHAnsi" w:cs="Calibri"/>
          <w:bCs/>
        </w:rPr>
        <w:t xml:space="preserve">(viz část </w:t>
      </w:r>
      <w:r w:rsidR="00060485" w:rsidRPr="00283FE5">
        <w:rPr>
          <w:rFonts w:asciiTheme="minorHAnsi" w:hAnsiTheme="minorHAnsi" w:cs="Calibri"/>
          <w:bCs/>
        </w:rPr>
        <w:t>IV.2.</w:t>
      </w:r>
      <w:r w:rsidR="00283FE5" w:rsidRPr="00283FE5">
        <w:rPr>
          <w:rFonts w:asciiTheme="minorHAnsi" w:hAnsiTheme="minorHAnsi" w:cs="Calibri"/>
          <w:bCs/>
        </w:rPr>
        <w:t>3</w:t>
      </w:r>
      <w:r w:rsidR="00060485" w:rsidRPr="005B5988">
        <w:rPr>
          <w:rFonts w:asciiTheme="minorHAnsi" w:hAnsiTheme="minorHAnsi" w:cs="Calibri"/>
          <w:bCs/>
        </w:rPr>
        <w:t>)</w:t>
      </w:r>
      <w:r w:rsidR="00060485" w:rsidRPr="005B5988">
        <w:t xml:space="preserve">. </w:t>
      </w:r>
      <w:r w:rsidRPr="00D14FC9">
        <w:t>Současně jsou</w:t>
      </w:r>
      <w:r w:rsidR="00060485" w:rsidRPr="005B5988">
        <w:t xml:space="preserve"> upozorněním na významné souvislosti týkající se údajů vykázaných v ÚZ</w:t>
      </w:r>
      <w:r w:rsidR="00060485" w:rsidRPr="005B5988">
        <w:rPr>
          <w:rFonts w:asciiTheme="minorHAnsi" w:hAnsiTheme="minorHAnsi" w:cs="Calibri"/>
          <w:bCs/>
        </w:rPr>
        <w:t xml:space="preserve">, které nejsou bez </w:t>
      </w:r>
      <w:r w:rsidR="009B1465">
        <w:rPr>
          <w:rFonts w:asciiTheme="minorHAnsi" w:hAnsiTheme="minorHAnsi" w:cs="Calibri"/>
          <w:bCs/>
        </w:rPr>
        <w:t>zohlednění všech specifik</w:t>
      </w:r>
      <w:r w:rsidR="00060485" w:rsidRPr="005B5988">
        <w:rPr>
          <w:rFonts w:asciiTheme="minorHAnsi" w:hAnsiTheme="minorHAnsi" w:cs="Calibri"/>
          <w:bCs/>
        </w:rPr>
        <w:t xml:space="preserve"> plně srovnatelné s údaji jiných ústředních orgánů státní správy. </w:t>
      </w:r>
    </w:p>
    <w:p w14:paraId="55726541" w14:textId="77777777" w:rsidR="00A7348F" w:rsidRPr="00060485" w:rsidRDefault="00A7348F" w:rsidP="00124170">
      <w:pPr>
        <w:spacing w:before="120" w:after="0"/>
        <w:jc w:val="both"/>
        <w:rPr>
          <w:rFonts w:asciiTheme="minorHAnsi" w:hAnsiTheme="minorHAnsi" w:cstheme="minorHAnsi"/>
          <w:b/>
          <w:spacing w:val="-2"/>
          <w:highlight w:val="yellow"/>
        </w:rPr>
      </w:pPr>
    </w:p>
    <w:p w14:paraId="20A362D4" w14:textId="77777777" w:rsidR="0033466E" w:rsidRPr="00060485" w:rsidRDefault="001A447E" w:rsidP="00124170">
      <w:pPr>
        <w:pStyle w:val="Nadpis2"/>
        <w:keepNext/>
        <w:numPr>
          <w:ilvl w:val="0"/>
          <w:numId w:val="0"/>
        </w:numPr>
        <w:spacing w:after="240" w:line="240" w:lineRule="auto"/>
        <w:ind w:left="284" w:hanging="284"/>
        <w:contextualSpacing w:val="0"/>
        <w:jc w:val="left"/>
        <w:rPr>
          <w:rFonts w:ascii="Calibri" w:hAnsi="Calibri" w:cs="Calibri"/>
        </w:rPr>
      </w:pPr>
      <w:r w:rsidRPr="00060485">
        <w:rPr>
          <w:rFonts w:ascii="Calibri" w:hAnsi="Calibri" w:cs="Calibri"/>
        </w:rPr>
        <w:t>3</w:t>
      </w:r>
      <w:r w:rsidR="00A640AE" w:rsidRPr="00060485">
        <w:rPr>
          <w:rFonts w:ascii="Calibri" w:hAnsi="Calibri" w:cs="Calibri"/>
        </w:rPr>
        <w:t xml:space="preserve">. Údaje </w:t>
      </w:r>
      <w:r w:rsidR="002352D7" w:rsidRPr="00060485">
        <w:rPr>
          <w:rFonts w:ascii="Calibri" w:hAnsi="Calibri" w:cs="Calibri"/>
        </w:rPr>
        <w:t xml:space="preserve">předkládané </w:t>
      </w:r>
      <w:r w:rsidR="00A1771E" w:rsidRPr="00060485">
        <w:rPr>
          <w:rFonts w:ascii="Calibri" w:hAnsi="Calibri" w:cs="Calibri"/>
        </w:rPr>
        <w:t>M</w:t>
      </w:r>
      <w:r w:rsidR="008E0642">
        <w:rPr>
          <w:rFonts w:ascii="Calibri" w:hAnsi="Calibri" w:cs="Calibri"/>
        </w:rPr>
        <w:t>inisterstvem vnitra</w:t>
      </w:r>
      <w:r w:rsidR="00F94732" w:rsidRPr="00060485">
        <w:rPr>
          <w:rFonts w:ascii="Calibri" w:hAnsi="Calibri" w:cs="Calibri"/>
        </w:rPr>
        <w:t xml:space="preserve"> </w:t>
      </w:r>
      <w:r w:rsidR="00A640AE" w:rsidRPr="00060485">
        <w:rPr>
          <w:rFonts w:ascii="Calibri" w:hAnsi="Calibri" w:cs="Calibri"/>
        </w:rPr>
        <w:t xml:space="preserve">pro hodnocení plnění </w:t>
      </w:r>
      <w:r w:rsidR="0087086A" w:rsidRPr="00060485">
        <w:rPr>
          <w:rFonts w:ascii="Calibri" w:hAnsi="Calibri" w:cs="Calibri"/>
        </w:rPr>
        <w:t xml:space="preserve">státního </w:t>
      </w:r>
      <w:r w:rsidR="00A640AE" w:rsidRPr="00060485">
        <w:rPr>
          <w:rFonts w:ascii="Calibri" w:hAnsi="Calibri" w:cs="Calibri"/>
        </w:rPr>
        <w:t>rozpočtu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F1FF"/>
        <w:tblLook w:val="04A0" w:firstRow="1" w:lastRow="0" w:firstColumn="1" w:lastColumn="0" w:noHBand="0" w:noVBand="1"/>
      </w:tblPr>
      <w:tblGrid>
        <w:gridCol w:w="9060"/>
      </w:tblGrid>
      <w:tr w:rsidR="0047376D" w14:paraId="75E3AD76" w14:textId="77777777" w:rsidTr="00DC1D48">
        <w:tc>
          <w:tcPr>
            <w:tcW w:w="9060" w:type="dxa"/>
            <w:shd w:val="clear" w:color="auto" w:fill="E5F1FF"/>
          </w:tcPr>
          <w:p w14:paraId="37132E4A" w14:textId="77777777" w:rsidR="0047376D" w:rsidRDefault="0047376D" w:rsidP="00DC1D48">
            <w:pPr>
              <w:jc w:val="both"/>
              <w:rPr>
                <w:rFonts w:eastAsiaTheme="minorHAnsi" w:cs="Calibri"/>
                <w:b/>
                <w:highlight w:val="yellow"/>
              </w:rPr>
            </w:pPr>
            <w:bookmarkStart w:id="3" w:name="_Hlk105757622"/>
            <w:r w:rsidRPr="0001778E">
              <w:rPr>
                <w:rFonts w:eastAsiaTheme="minorHAnsi" w:cs="Calibri"/>
                <w:b/>
              </w:rPr>
              <w:t>V údajích pro hodnocení plnění</w:t>
            </w:r>
            <w:r w:rsidR="00F063A5">
              <w:rPr>
                <w:rFonts w:eastAsiaTheme="minorHAnsi" w:cs="Calibri"/>
                <w:b/>
              </w:rPr>
              <w:t xml:space="preserve"> </w:t>
            </w:r>
            <w:r w:rsidR="0087086A">
              <w:rPr>
                <w:rFonts w:eastAsiaTheme="minorHAnsi" w:cs="Calibri"/>
                <w:b/>
              </w:rPr>
              <w:t xml:space="preserve">státního </w:t>
            </w:r>
            <w:r w:rsidRPr="0001778E">
              <w:rPr>
                <w:rFonts w:eastAsiaTheme="minorHAnsi" w:cs="Calibri"/>
                <w:b/>
              </w:rPr>
              <w:t>rozpočtu za rok</w:t>
            </w:r>
            <w:r w:rsidR="00870930">
              <w:rPr>
                <w:rFonts w:eastAsiaTheme="minorHAnsi" w:cs="Calibri"/>
                <w:b/>
              </w:rPr>
              <w:t xml:space="preserve"> </w:t>
            </w:r>
            <w:r w:rsidRPr="0001778E">
              <w:rPr>
                <w:rFonts w:eastAsiaTheme="minorHAnsi" w:cs="Calibri"/>
                <w:b/>
              </w:rPr>
              <w:t>202</w:t>
            </w:r>
            <w:r w:rsidR="005949A4">
              <w:rPr>
                <w:rFonts w:eastAsiaTheme="minorHAnsi" w:cs="Calibri"/>
                <w:b/>
              </w:rPr>
              <w:t>1</w:t>
            </w:r>
            <w:r w:rsidR="00870930">
              <w:rPr>
                <w:rStyle w:val="Znakapoznpodarou"/>
                <w:rFonts w:eastAsiaTheme="minorHAnsi" w:cs="Calibri"/>
                <w:b/>
              </w:rPr>
              <w:footnoteReference w:id="8"/>
            </w:r>
            <w:r w:rsidRPr="0001778E">
              <w:rPr>
                <w:rFonts w:eastAsiaTheme="minorHAnsi" w:cs="Calibri"/>
                <w:b/>
              </w:rPr>
              <w:t xml:space="preserve"> nebyly u M</w:t>
            </w:r>
            <w:r w:rsidR="005949A4">
              <w:rPr>
                <w:rFonts w:eastAsiaTheme="minorHAnsi" w:cs="Calibri"/>
                <w:b/>
              </w:rPr>
              <w:t>V</w:t>
            </w:r>
            <w:r w:rsidRPr="0001778E">
              <w:rPr>
                <w:rFonts w:eastAsiaTheme="minorHAnsi" w:cs="Calibri"/>
                <w:b/>
              </w:rPr>
              <w:t xml:space="preserve"> zjištěny</w:t>
            </w:r>
            <w:r w:rsidR="005949A4">
              <w:rPr>
                <w:rFonts w:eastAsiaTheme="minorHAnsi" w:cs="Calibri"/>
                <w:b/>
              </w:rPr>
              <w:t xml:space="preserve"> </w:t>
            </w:r>
            <w:r w:rsidRPr="0001778E">
              <w:rPr>
                <w:rFonts w:eastAsiaTheme="minorHAnsi" w:cs="Calibri"/>
                <w:b/>
              </w:rPr>
              <w:t>nesprávnosti.</w:t>
            </w:r>
          </w:p>
        </w:tc>
      </w:tr>
      <w:bookmarkEnd w:id="3"/>
    </w:tbl>
    <w:p w14:paraId="3A828D3D" w14:textId="77777777" w:rsidR="00870930" w:rsidRDefault="00870930" w:rsidP="00D40705">
      <w:pPr>
        <w:spacing w:after="0"/>
        <w:jc w:val="both"/>
        <w:rPr>
          <w:rFonts w:cs="Calibri"/>
        </w:rPr>
      </w:pPr>
    </w:p>
    <w:p w14:paraId="3D71434A" w14:textId="0E7C3EF7" w:rsidR="000010CB" w:rsidRDefault="000010CB" w:rsidP="00D40705">
      <w:pPr>
        <w:spacing w:after="0"/>
        <w:jc w:val="both"/>
        <w:rPr>
          <w:rFonts w:asciiTheme="minorHAnsi" w:hAnsiTheme="minorHAnsi" w:cstheme="minorHAnsi"/>
          <w:bCs/>
          <w:spacing w:val="-2"/>
        </w:rPr>
      </w:pPr>
      <w:r w:rsidRPr="00872B70">
        <w:rPr>
          <w:rFonts w:cs="Calibri"/>
          <w:bCs/>
        </w:rPr>
        <w:t>NKÚ nezjistil žádné skutečnosti svědčící o tom, že</w:t>
      </w:r>
      <w:r w:rsidR="00F063A5" w:rsidRPr="00872B70">
        <w:rPr>
          <w:rFonts w:cs="Calibri"/>
          <w:bCs/>
        </w:rPr>
        <w:t xml:space="preserve"> výkaz </w:t>
      </w:r>
      <w:r w:rsidRPr="00872B70">
        <w:rPr>
          <w:rFonts w:cs="Calibri"/>
          <w:bCs/>
        </w:rPr>
        <w:t>pro hodnocení plnění rozpočtu</w:t>
      </w:r>
      <w:r w:rsidR="00235BAE">
        <w:rPr>
          <w:rStyle w:val="Znakapoznpodarou"/>
          <w:rFonts w:cs="Calibri"/>
          <w:bCs/>
        </w:rPr>
        <w:footnoteReference w:id="9"/>
      </w:r>
      <w:r w:rsidRPr="00872B70">
        <w:rPr>
          <w:rFonts w:cs="Calibri"/>
          <w:bCs/>
        </w:rPr>
        <w:t xml:space="preserve"> </w:t>
      </w:r>
      <w:r w:rsidR="005B02E5">
        <w:rPr>
          <w:rFonts w:cs="Calibri"/>
          <w:bCs/>
        </w:rPr>
        <w:br/>
      </w:r>
      <w:r w:rsidRPr="00872B70">
        <w:rPr>
          <w:rFonts w:cs="Calibri"/>
          <w:bCs/>
        </w:rPr>
        <w:t>za rok 202</w:t>
      </w:r>
      <w:r w:rsidR="005949A4" w:rsidRPr="00872B70">
        <w:rPr>
          <w:rFonts w:cs="Calibri"/>
          <w:bCs/>
        </w:rPr>
        <w:t>1</w:t>
      </w:r>
      <w:r w:rsidR="00F063A5" w:rsidRPr="00872B70">
        <w:rPr>
          <w:rFonts w:cs="Calibri"/>
          <w:bCs/>
        </w:rPr>
        <w:t xml:space="preserve"> ne</w:t>
      </w:r>
      <w:r w:rsidR="00CC594A" w:rsidRPr="00872B70">
        <w:rPr>
          <w:rFonts w:cs="Calibri"/>
          <w:bCs/>
        </w:rPr>
        <w:t>ní</w:t>
      </w:r>
      <w:r w:rsidR="00F063A5" w:rsidRPr="00872B70">
        <w:rPr>
          <w:rFonts w:cs="Calibri"/>
          <w:bCs/>
        </w:rPr>
        <w:t xml:space="preserve"> </w:t>
      </w:r>
      <w:r w:rsidRPr="00872B70">
        <w:rPr>
          <w:rFonts w:cs="Calibri"/>
          <w:bCs/>
        </w:rPr>
        <w:t xml:space="preserve">ve všech významných ohledech </w:t>
      </w:r>
      <w:r w:rsidR="00F063A5" w:rsidRPr="00872B70">
        <w:rPr>
          <w:rFonts w:cs="Calibri"/>
          <w:bCs/>
        </w:rPr>
        <w:t xml:space="preserve">sestaven </w:t>
      </w:r>
      <w:r w:rsidRPr="00872B70">
        <w:rPr>
          <w:rFonts w:cs="Calibri"/>
          <w:bCs/>
        </w:rPr>
        <w:t>v souladu s</w:t>
      </w:r>
      <w:r w:rsidR="00F063A5" w:rsidRPr="00872B70">
        <w:rPr>
          <w:rFonts w:cs="Calibri"/>
          <w:bCs/>
        </w:rPr>
        <w:t xml:space="preserve"> právními předpisy </w:t>
      </w:r>
      <w:r w:rsidR="005B02E5">
        <w:rPr>
          <w:rFonts w:cs="Calibri"/>
          <w:bCs/>
        </w:rPr>
        <w:br/>
      </w:r>
      <w:r w:rsidR="00870930" w:rsidRPr="0087086A">
        <w:rPr>
          <w:rFonts w:cs="Calibri"/>
          <w:bCs/>
        </w:rPr>
        <w:t>(</w:t>
      </w:r>
      <w:r w:rsidR="00870930" w:rsidRPr="0087086A">
        <w:rPr>
          <w:rFonts w:asciiTheme="minorHAnsi" w:hAnsiTheme="minorHAnsi" w:cstheme="minorHAnsi"/>
          <w:bCs/>
          <w:spacing w:val="-2"/>
        </w:rPr>
        <w:t xml:space="preserve">viz část </w:t>
      </w:r>
      <w:r w:rsidR="00870930" w:rsidRPr="00283FE5">
        <w:rPr>
          <w:rFonts w:asciiTheme="minorHAnsi" w:hAnsiTheme="minorHAnsi" w:cstheme="minorHAnsi"/>
          <w:bCs/>
          <w:spacing w:val="-2"/>
        </w:rPr>
        <w:t>IV.3</w:t>
      </w:r>
      <w:r w:rsidR="00870930" w:rsidRPr="00723343">
        <w:rPr>
          <w:rFonts w:asciiTheme="minorHAnsi" w:hAnsiTheme="minorHAnsi" w:cstheme="minorHAnsi"/>
          <w:bCs/>
          <w:spacing w:val="-2"/>
        </w:rPr>
        <w:t>)</w:t>
      </w:r>
      <w:r w:rsidR="00870930" w:rsidRPr="00872B70">
        <w:rPr>
          <w:rFonts w:asciiTheme="minorHAnsi" w:hAnsiTheme="minorHAnsi" w:cstheme="minorHAnsi"/>
          <w:bCs/>
          <w:spacing w:val="-2"/>
        </w:rPr>
        <w:t>.</w:t>
      </w:r>
    </w:p>
    <w:p w14:paraId="576F91F1" w14:textId="77777777" w:rsidR="00CF3F86" w:rsidRDefault="00CF3F86" w:rsidP="00D40705">
      <w:pPr>
        <w:spacing w:after="0"/>
        <w:jc w:val="both"/>
        <w:rPr>
          <w:rFonts w:cs="Calibri"/>
          <w:b/>
        </w:rPr>
      </w:pPr>
    </w:p>
    <w:p w14:paraId="6E3EAFDA" w14:textId="77777777" w:rsidR="00865CC2" w:rsidRPr="00CD0A37" w:rsidRDefault="00865CC2" w:rsidP="00124170">
      <w:pPr>
        <w:pStyle w:val="Nadpis2"/>
        <w:keepNext/>
        <w:numPr>
          <w:ilvl w:val="0"/>
          <w:numId w:val="0"/>
        </w:numPr>
        <w:spacing w:after="240" w:line="24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Pr="00CD0A37">
        <w:rPr>
          <w:rFonts w:ascii="Calibri" w:hAnsi="Calibri" w:cs="Calibri"/>
        </w:rPr>
        <w:t xml:space="preserve">. </w:t>
      </w:r>
      <w:r w:rsidRPr="00CD0A37">
        <w:rPr>
          <w:rFonts w:ascii="Calibri" w:hAnsi="Calibri" w:cs="Calibri"/>
        </w:rPr>
        <w:tab/>
      </w:r>
      <w:r w:rsidRPr="00CD0A37">
        <w:rPr>
          <w:rFonts w:cs="Calibri"/>
        </w:rPr>
        <w:t>Závěrečný</w:t>
      </w:r>
      <w:r w:rsidRPr="00CD0A37">
        <w:rPr>
          <w:rFonts w:ascii="Calibri" w:hAnsi="Calibri" w:cs="Calibri"/>
        </w:rPr>
        <w:t xml:space="preserve"> účet kapitoly </w:t>
      </w:r>
      <w:r w:rsidR="00723343">
        <w:rPr>
          <w:rFonts w:ascii="Calibri" w:hAnsi="Calibri" w:cs="Calibri"/>
        </w:rPr>
        <w:t xml:space="preserve">státního rozpočtu </w:t>
      </w:r>
      <w:r w:rsidRPr="00CD0A37">
        <w:rPr>
          <w:rFonts w:ascii="Calibri" w:hAnsi="Calibri" w:cs="Calibri"/>
        </w:rPr>
        <w:t>3</w:t>
      </w:r>
      <w:r w:rsidR="000B08C1">
        <w:rPr>
          <w:rFonts w:ascii="Calibri" w:hAnsi="Calibri" w:cs="Calibri"/>
        </w:rPr>
        <w:t>14</w:t>
      </w:r>
      <w:r w:rsidR="00723343">
        <w:rPr>
          <w:rFonts w:ascii="Calibri" w:hAnsi="Calibri" w:cs="Calibri"/>
        </w:rPr>
        <w:t xml:space="preserve"> </w:t>
      </w:r>
      <w:r w:rsidR="004C5BCF">
        <w:rPr>
          <w:rFonts w:ascii="Calibri" w:hAnsi="Calibri" w:cs="Calibri"/>
        </w:rPr>
        <w:t>–</w:t>
      </w:r>
      <w:r w:rsidR="00723343">
        <w:rPr>
          <w:rFonts w:ascii="Calibri" w:hAnsi="Calibri" w:cs="Calibri"/>
        </w:rPr>
        <w:t xml:space="preserve"> </w:t>
      </w:r>
      <w:r w:rsidRPr="00872B70">
        <w:rPr>
          <w:rFonts w:ascii="Calibri" w:hAnsi="Calibri" w:cs="Calibri"/>
          <w:i/>
        </w:rPr>
        <w:t>Ministerstvo</w:t>
      </w:r>
      <w:r w:rsidR="000B08C1" w:rsidRPr="00872B70">
        <w:rPr>
          <w:rFonts w:ascii="Calibri" w:hAnsi="Calibri" w:cs="Calibri"/>
          <w:i/>
        </w:rPr>
        <w:t xml:space="preserve"> vnitra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F1FF"/>
        <w:tblLook w:val="04A0" w:firstRow="1" w:lastRow="0" w:firstColumn="1" w:lastColumn="0" w:noHBand="0" w:noVBand="1"/>
      </w:tblPr>
      <w:tblGrid>
        <w:gridCol w:w="9060"/>
      </w:tblGrid>
      <w:tr w:rsidR="00DC1D48" w:rsidRPr="007D6050" w14:paraId="2712BCBD" w14:textId="77777777" w:rsidTr="00DC1D48">
        <w:tc>
          <w:tcPr>
            <w:tcW w:w="9060" w:type="dxa"/>
            <w:shd w:val="clear" w:color="auto" w:fill="E5F1FF"/>
          </w:tcPr>
          <w:p w14:paraId="75ED2E36" w14:textId="0717B909" w:rsidR="00DC1D48" w:rsidRPr="0001778E" w:rsidRDefault="00DC1D48" w:rsidP="00DC1D48">
            <w:pPr>
              <w:jc w:val="both"/>
              <w:rPr>
                <w:rFonts w:eastAsiaTheme="minorHAnsi" w:cs="Calibri"/>
                <w:b/>
              </w:rPr>
            </w:pPr>
            <w:r w:rsidRPr="0001778E">
              <w:rPr>
                <w:rFonts w:eastAsiaTheme="minorHAnsi" w:cs="Calibri"/>
                <w:b/>
              </w:rPr>
              <w:t>V závěrečném účtu kapitoly státního rozpočtu 3</w:t>
            </w:r>
            <w:r w:rsidR="00B7485A">
              <w:rPr>
                <w:rFonts w:eastAsiaTheme="minorHAnsi" w:cs="Calibri"/>
                <w:b/>
              </w:rPr>
              <w:t>14</w:t>
            </w:r>
            <w:r w:rsidR="00723343">
              <w:rPr>
                <w:rFonts w:eastAsiaTheme="minorHAnsi" w:cs="Calibri"/>
                <w:b/>
              </w:rPr>
              <w:t xml:space="preserve"> </w:t>
            </w:r>
            <w:r w:rsidR="004C5BCF">
              <w:rPr>
                <w:rFonts w:eastAsiaTheme="minorHAnsi" w:cs="Calibri"/>
                <w:b/>
              </w:rPr>
              <w:t>–</w:t>
            </w:r>
            <w:r w:rsidR="00723343">
              <w:rPr>
                <w:rFonts w:eastAsiaTheme="minorHAnsi" w:cs="Calibri"/>
                <w:b/>
              </w:rPr>
              <w:t xml:space="preserve"> </w:t>
            </w:r>
            <w:r w:rsidRPr="00872B70">
              <w:rPr>
                <w:rFonts w:eastAsiaTheme="minorHAnsi" w:cs="Calibri"/>
                <w:b/>
                <w:i/>
                <w:iCs/>
              </w:rPr>
              <w:t>Ministerstvo</w:t>
            </w:r>
            <w:r w:rsidR="00B7485A" w:rsidRPr="00872B70">
              <w:rPr>
                <w:rFonts w:eastAsiaTheme="minorHAnsi" w:cs="Calibri"/>
                <w:b/>
                <w:i/>
                <w:iCs/>
              </w:rPr>
              <w:t xml:space="preserve"> vnitra</w:t>
            </w:r>
            <w:r w:rsidRPr="0001778E">
              <w:rPr>
                <w:rFonts w:eastAsiaTheme="minorHAnsi" w:cs="Calibri"/>
                <w:b/>
              </w:rPr>
              <w:t xml:space="preserve"> za rok 202</w:t>
            </w:r>
            <w:r w:rsidR="00B7485A">
              <w:rPr>
                <w:rFonts w:eastAsiaTheme="minorHAnsi" w:cs="Calibri"/>
                <w:b/>
              </w:rPr>
              <w:t>1</w:t>
            </w:r>
            <w:r w:rsidR="00886497">
              <w:rPr>
                <w:rStyle w:val="Znakapoznpodarou"/>
                <w:rFonts w:eastAsiaTheme="minorHAnsi" w:cs="Calibri"/>
                <w:b/>
              </w:rPr>
              <w:footnoteReference w:id="10"/>
            </w:r>
            <w:r w:rsidRPr="0001778E">
              <w:rPr>
                <w:rFonts w:eastAsiaTheme="minorHAnsi" w:cs="Calibri"/>
                <w:b/>
              </w:rPr>
              <w:t xml:space="preserve"> </w:t>
            </w:r>
            <w:r w:rsidR="00434AE7">
              <w:rPr>
                <w:rFonts w:eastAsiaTheme="minorHAnsi" w:cs="Calibri"/>
                <w:b/>
              </w:rPr>
              <w:t xml:space="preserve">(dále také „ZÚ 2021“) </w:t>
            </w:r>
            <w:r w:rsidRPr="0001778E">
              <w:rPr>
                <w:rFonts w:eastAsiaTheme="minorHAnsi" w:cs="Calibri"/>
                <w:b/>
              </w:rPr>
              <w:t>nebyly</w:t>
            </w:r>
            <w:r w:rsidR="00434AE7">
              <w:rPr>
                <w:rFonts w:eastAsiaTheme="minorHAnsi" w:cs="Calibri"/>
                <w:b/>
              </w:rPr>
              <w:t xml:space="preserve"> </w:t>
            </w:r>
            <w:r w:rsidRPr="0001778E">
              <w:rPr>
                <w:rFonts w:eastAsiaTheme="minorHAnsi" w:cs="Calibri"/>
                <w:b/>
              </w:rPr>
              <w:t>zjištěny významné nesprávnosti s</w:t>
            </w:r>
            <w:r w:rsidR="0005356E">
              <w:rPr>
                <w:rFonts w:eastAsiaTheme="minorHAnsi" w:cs="Calibri"/>
                <w:b/>
              </w:rPr>
              <w:t xml:space="preserve"> </w:t>
            </w:r>
            <w:r w:rsidRPr="0001778E">
              <w:rPr>
                <w:rFonts w:eastAsiaTheme="minorHAnsi" w:cs="Calibri"/>
                <w:b/>
              </w:rPr>
              <w:t>dopadem na jeho celkovou vypovídací schopnost</w:t>
            </w:r>
            <w:r w:rsidR="00232029">
              <w:rPr>
                <w:rFonts w:eastAsiaTheme="minorHAnsi" w:cs="Calibri"/>
                <w:b/>
              </w:rPr>
              <w:t xml:space="preserve">, a to při </w:t>
            </w:r>
            <w:r w:rsidR="00CB2851">
              <w:rPr>
                <w:rFonts w:eastAsiaTheme="minorHAnsi" w:cs="Calibri"/>
                <w:b/>
              </w:rPr>
              <w:t>prověření souladu s</w:t>
            </w:r>
            <w:r w:rsidR="0005356E">
              <w:rPr>
                <w:rFonts w:eastAsiaTheme="minorHAnsi" w:cs="Calibri"/>
                <w:b/>
              </w:rPr>
              <w:t xml:space="preserve"> </w:t>
            </w:r>
            <w:r w:rsidR="00CB2851">
              <w:rPr>
                <w:rFonts w:eastAsiaTheme="minorHAnsi" w:cs="Calibri"/>
                <w:b/>
              </w:rPr>
              <w:t>údaji v</w:t>
            </w:r>
            <w:r w:rsidR="0005356E">
              <w:rPr>
                <w:rFonts w:eastAsiaTheme="minorHAnsi" w:cs="Calibri"/>
                <w:b/>
              </w:rPr>
              <w:t xml:space="preserve"> </w:t>
            </w:r>
            <w:r w:rsidR="00CB2851">
              <w:rPr>
                <w:rFonts w:eastAsiaTheme="minorHAnsi" w:cs="Calibri"/>
                <w:b/>
              </w:rPr>
              <w:t>rozpočtovém systému, s finančními výkazy, s údaji analytických evidencí a s právními předpisy pro sestavování závěrečných účtů kapitol státního rozpočtu</w:t>
            </w:r>
            <w:r w:rsidR="00E75AFA">
              <w:rPr>
                <w:rFonts w:eastAsiaTheme="minorHAnsi" w:cs="Calibri"/>
                <w:b/>
              </w:rPr>
              <w:t xml:space="preserve"> </w:t>
            </w:r>
            <w:r w:rsidR="00E75AFA" w:rsidRPr="00D40705">
              <w:rPr>
                <w:rFonts w:eastAsiaTheme="minorHAnsi" w:cs="Calibri"/>
                <w:bCs/>
              </w:rPr>
              <w:t>(</w:t>
            </w:r>
            <w:r w:rsidR="00E75AFA" w:rsidRPr="00D40705">
              <w:rPr>
                <w:rFonts w:asciiTheme="minorHAnsi" w:hAnsiTheme="minorHAnsi" w:cstheme="minorHAnsi"/>
                <w:bCs/>
                <w:spacing w:val="-2"/>
              </w:rPr>
              <w:t xml:space="preserve">viz část </w:t>
            </w:r>
            <w:r w:rsidR="00E75AFA" w:rsidRPr="000542D1">
              <w:rPr>
                <w:rFonts w:asciiTheme="minorHAnsi" w:hAnsiTheme="minorHAnsi" w:cstheme="minorHAnsi"/>
                <w:bCs/>
                <w:spacing w:val="-2"/>
              </w:rPr>
              <w:t>IV.4</w:t>
            </w:r>
            <w:r w:rsidR="00E75AFA" w:rsidRPr="00D40705">
              <w:rPr>
                <w:rFonts w:asciiTheme="minorHAnsi" w:hAnsiTheme="minorHAnsi" w:cstheme="minorHAnsi"/>
                <w:bCs/>
                <w:spacing w:val="-2"/>
              </w:rPr>
              <w:t>)</w:t>
            </w:r>
            <w:r w:rsidRPr="00124170">
              <w:rPr>
                <w:rFonts w:eastAsiaTheme="minorHAnsi" w:cs="Calibri"/>
              </w:rPr>
              <w:t>.</w:t>
            </w:r>
          </w:p>
        </w:tc>
      </w:tr>
    </w:tbl>
    <w:p w14:paraId="14DF6086" w14:textId="77777777" w:rsidR="00E75AFA" w:rsidRDefault="00E75AFA" w:rsidP="006917CF">
      <w:pPr>
        <w:spacing w:after="0"/>
        <w:jc w:val="both"/>
        <w:rPr>
          <w:rFonts w:cs="Arial"/>
        </w:rPr>
      </w:pPr>
    </w:p>
    <w:p w14:paraId="5886C18E" w14:textId="77777777" w:rsidR="006917CF" w:rsidRDefault="006917CF" w:rsidP="006917CF">
      <w:pPr>
        <w:spacing w:after="0"/>
        <w:jc w:val="both"/>
        <w:rPr>
          <w:rFonts w:cs="Arial"/>
        </w:rPr>
      </w:pPr>
    </w:p>
    <w:p w14:paraId="44BC4C5D" w14:textId="77777777" w:rsidR="006917CF" w:rsidRDefault="006917CF" w:rsidP="006917CF">
      <w:pPr>
        <w:spacing w:after="0"/>
        <w:jc w:val="both"/>
        <w:rPr>
          <w:rFonts w:cs="Arial"/>
        </w:rPr>
      </w:pPr>
    </w:p>
    <w:p w14:paraId="06CA5538" w14:textId="77777777" w:rsidR="006917CF" w:rsidRDefault="006917CF" w:rsidP="006917CF">
      <w:pPr>
        <w:spacing w:after="0"/>
        <w:jc w:val="both"/>
        <w:rPr>
          <w:rFonts w:cs="Arial"/>
        </w:rPr>
      </w:pPr>
    </w:p>
    <w:p w14:paraId="1B33F91F" w14:textId="77777777" w:rsidR="006917CF" w:rsidRDefault="006917CF" w:rsidP="00124170">
      <w:pPr>
        <w:spacing w:after="0"/>
        <w:jc w:val="both"/>
        <w:rPr>
          <w:rFonts w:cs="Arial"/>
        </w:rPr>
      </w:pPr>
    </w:p>
    <w:p w14:paraId="33E8E172" w14:textId="34CF03AE" w:rsidR="006B570C" w:rsidRDefault="00E75AFA" w:rsidP="00124170">
      <w:pPr>
        <w:spacing w:after="0"/>
        <w:jc w:val="both"/>
        <w:rPr>
          <w:rFonts w:eastAsiaTheme="minorHAnsi" w:cs="Calibri"/>
          <w:bCs/>
        </w:rPr>
      </w:pPr>
      <w:r>
        <w:rPr>
          <w:rFonts w:eastAsiaTheme="minorHAnsi" w:cs="Calibri"/>
          <w:b/>
        </w:rPr>
        <w:lastRenderedPageBreak/>
        <w:t>Dlouhodobým nedostatkem právních předpisů</w:t>
      </w:r>
      <w:r w:rsidR="00E16299">
        <w:rPr>
          <w:rFonts w:eastAsiaTheme="minorHAnsi" w:cs="Calibri"/>
          <w:b/>
        </w:rPr>
        <w:t xml:space="preserve"> v této oblasti</w:t>
      </w:r>
      <w:r w:rsidR="008921A7">
        <w:rPr>
          <w:rFonts w:eastAsiaTheme="minorHAnsi" w:cs="Calibri"/>
          <w:b/>
        </w:rPr>
        <w:t>, které jsou v gesci Ministerstva financí</w:t>
      </w:r>
      <w:r w:rsidR="00C36D3F">
        <w:rPr>
          <w:rFonts w:eastAsiaTheme="minorHAnsi" w:cs="Calibri"/>
          <w:b/>
        </w:rPr>
        <w:t xml:space="preserve"> (dále také </w:t>
      </w:r>
      <w:r w:rsidR="006B570C">
        <w:rPr>
          <w:rFonts w:eastAsiaTheme="minorHAnsi" w:cs="Calibri"/>
          <w:b/>
        </w:rPr>
        <w:t>„MF“)</w:t>
      </w:r>
      <w:r w:rsidR="008921A7">
        <w:rPr>
          <w:rFonts w:eastAsiaTheme="minorHAnsi" w:cs="Calibri"/>
          <w:b/>
        </w:rPr>
        <w:t>,</w:t>
      </w:r>
      <w:r>
        <w:rPr>
          <w:rFonts w:eastAsiaTheme="minorHAnsi" w:cs="Calibri"/>
          <w:b/>
        </w:rPr>
        <w:t xml:space="preserve"> je</w:t>
      </w:r>
      <w:r w:rsidR="001D0A2A">
        <w:rPr>
          <w:rFonts w:eastAsiaTheme="minorHAnsi" w:cs="Calibri"/>
          <w:b/>
        </w:rPr>
        <w:t xml:space="preserve"> </w:t>
      </w:r>
      <w:r>
        <w:rPr>
          <w:rFonts w:eastAsiaTheme="minorHAnsi" w:cs="Calibri"/>
          <w:b/>
        </w:rPr>
        <w:t>dle NKÚ</w:t>
      </w:r>
      <w:r w:rsidR="009C01FF">
        <w:rPr>
          <w:rFonts w:eastAsiaTheme="minorHAnsi" w:cs="Calibri"/>
          <w:b/>
        </w:rPr>
        <w:t xml:space="preserve"> </w:t>
      </w:r>
      <w:r w:rsidR="009B1465">
        <w:rPr>
          <w:rFonts w:eastAsiaTheme="minorHAnsi" w:cs="Calibri"/>
          <w:b/>
        </w:rPr>
        <w:t xml:space="preserve">to, že není </w:t>
      </w:r>
      <w:r w:rsidR="009C01FF">
        <w:rPr>
          <w:rFonts w:eastAsiaTheme="minorHAnsi" w:cs="Calibri"/>
          <w:b/>
        </w:rPr>
        <w:t>stanoven</w:t>
      </w:r>
      <w:r w:rsidR="009B1465">
        <w:rPr>
          <w:rFonts w:eastAsiaTheme="minorHAnsi" w:cs="Calibri"/>
          <w:b/>
        </w:rPr>
        <w:t>a</w:t>
      </w:r>
      <w:r w:rsidR="009C01FF">
        <w:rPr>
          <w:rFonts w:eastAsiaTheme="minorHAnsi" w:cs="Calibri"/>
          <w:b/>
        </w:rPr>
        <w:t xml:space="preserve"> povinnost </w:t>
      </w:r>
      <w:r>
        <w:rPr>
          <w:rFonts w:eastAsiaTheme="minorHAnsi" w:cs="Calibri"/>
          <w:b/>
        </w:rPr>
        <w:t>zveřejňov</w:t>
      </w:r>
      <w:r w:rsidR="009C01FF">
        <w:rPr>
          <w:rFonts w:eastAsiaTheme="minorHAnsi" w:cs="Calibri"/>
          <w:b/>
        </w:rPr>
        <w:t xml:space="preserve">at </w:t>
      </w:r>
      <w:r w:rsidR="005B02E5">
        <w:rPr>
          <w:rFonts w:eastAsiaTheme="minorHAnsi" w:cs="Calibri"/>
          <w:b/>
        </w:rPr>
        <w:br/>
      </w:r>
      <w:r>
        <w:rPr>
          <w:rFonts w:eastAsiaTheme="minorHAnsi" w:cs="Calibri"/>
          <w:b/>
        </w:rPr>
        <w:t>o</w:t>
      </w:r>
      <w:r w:rsidR="005B02E5">
        <w:rPr>
          <w:rFonts w:eastAsiaTheme="minorHAnsi" w:cs="Calibri"/>
          <w:b/>
        </w:rPr>
        <w:t xml:space="preserve"> </w:t>
      </w:r>
      <w:r>
        <w:rPr>
          <w:rFonts w:eastAsiaTheme="minorHAnsi" w:cs="Calibri"/>
          <w:b/>
        </w:rPr>
        <w:t>hospodaření s</w:t>
      </w:r>
      <w:r w:rsidR="009B1465">
        <w:rPr>
          <w:rFonts w:eastAsiaTheme="minorHAnsi" w:cs="Calibri"/>
          <w:b/>
        </w:rPr>
        <w:t xml:space="preserve"> </w:t>
      </w:r>
      <w:r>
        <w:rPr>
          <w:rFonts w:eastAsiaTheme="minorHAnsi" w:cs="Calibri"/>
          <w:b/>
        </w:rPr>
        <w:t>majetkem a peněžními prostředky správců kapitol státního rozpočtu</w:t>
      </w:r>
      <w:r w:rsidR="009B1465" w:rsidRPr="009B1465">
        <w:rPr>
          <w:rFonts w:eastAsiaTheme="minorHAnsi" w:cs="Calibri"/>
          <w:b/>
        </w:rPr>
        <w:t xml:space="preserve"> </w:t>
      </w:r>
      <w:r w:rsidR="009B1465">
        <w:rPr>
          <w:rFonts w:eastAsiaTheme="minorHAnsi" w:cs="Calibri"/>
          <w:b/>
        </w:rPr>
        <w:t>informace</w:t>
      </w:r>
      <w:r>
        <w:rPr>
          <w:rFonts w:eastAsiaTheme="minorHAnsi" w:cs="Calibri"/>
          <w:b/>
        </w:rPr>
        <w:t>, které nejsou v daném roce spojeny s peněžním tokem, tzn.</w:t>
      </w:r>
      <w:r w:rsidR="009C01FF">
        <w:rPr>
          <w:rFonts w:eastAsiaTheme="minorHAnsi" w:cs="Calibri"/>
          <w:b/>
        </w:rPr>
        <w:t xml:space="preserve"> </w:t>
      </w:r>
      <w:r>
        <w:rPr>
          <w:rFonts w:eastAsiaTheme="minorHAnsi" w:cs="Calibri"/>
          <w:b/>
        </w:rPr>
        <w:t>údaj</w:t>
      </w:r>
      <w:r w:rsidR="009C01FF">
        <w:rPr>
          <w:rFonts w:eastAsiaTheme="minorHAnsi" w:cs="Calibri"/>
          <w:b/>
        </w:rPr>
        <w:t>e</w:t>
      </w:r>
      <w:r>
        <w:rPr>
          <w:rFonts w:eastAsiaTheme="minorHAnsi" w:cs="Calibri"/>
          <w:b/>
        </w:rPr>
        <w:t xml:space="preserve"> z účetnictví. </w:t>
      </w:r>
      <w:r w:rsidR="006B570C" w:rsidRPr="00D40705">
        <w:rPr>
          <w:rFonts w:eastAsiaTheme="minorHAnsi" w:cs="Calibri"/>
          <w:bCs/>
        </w:rPr>
        <w:t xml:space="preserve">Na </w:t>
      </w:r>
      <w:r w:rsidR="006B570C">
        <w:rPr>
          <w:rFonts w:eastAsiaTheme="minorHAnsi" w:cs="Calibri"/>
          <w:bCs/>
        </w:rPr>
        <w:t>tuto skutečnost</w:t>
      </w:r>
      <w:r w:rsidR="006B570C" w:rsidRPr="00D40705">
        <w:rPr>
          <w:rFonts w:eastAsiaTheme="minorHAnsi" w:cs="Calibri"/>
          <w:bCs/>
        </w:rPr>
        <w:t xml:space="preserve"> NKÚ dlouhodobě upozorňuje ve svých kontrolních závěrech</w:t>
      </w:r>
      <w:r w:rsidR="006B570C" w:rsidRPr="00D40705">
        <w:rPr>
          <w:rStyle w:val="Znakapoznpodarou"/>
          <w:rFonts w:cs="Calibri"/>
          <w:bCs/>
        </w:rPr>
        <w:footnoteReference w:id="11"/>
      </w:r>
      <w:r w:rsidR="006B570C">
        <w:rPr>
          <w:rFonts w:eastAsiaTheme="minorHAnsi" w:cs="Calibri"/>
          <w:bCs/>
        </w:rPr>
        <w:t xml:space="preserve">. </w:t>
      </w:r>
      <w:r w:rsidR="006B570C">
        <w:rPr>
          <w:rFonts w:eastAsiaTheme="minorHAnsi" w:cs="Calibri"/>
          <w:b/>
        </w:rPr>
        <w:t>Přitom z</w:t>
      </w:r>
      <w:r w:rsidR="006B570C" w:rsidRPr="00A21AC3">
        <w:rPr>
          <w:rFonts w:eastAsiaTheme="minorHAnsi" w:cs="Calibri"/>
          <w:b/>
        </w:rPr>
        <w:t>ávěrečný účet kapitoly státního rozpočtu je v</w:t>
      </w:r>
      <w:r w:rsidR="006B570C" w:rsidRPr="002A4079">
        <w:rPr>
          <w:rFonts w:eastAsiaTheme="minorHAnsi" w:cs="Calibri"/>
          <w:b/>
        </w:rPr>
        <w:t> souladu s ustanovení</w:t>
      </w:r>
      <w:r w:rsidR="006B570C">
        <w:rPr>
          <w:rFonts w:eastAsiaTheme="minorHAnsi" w:cs="Calibri"/>
          <w:b/>
        </w:rPr>
        <w:t>m</w:t>
      </w:r>
      <w:r w:rsidR="006B570C" w:rsidRPr="002A4079">
        <w:rPr>
          <w:rFonts w:eastAsiaTheme="minorHAnsi" w:cs="Calibri"/>
          <w:b/>
        </w:rPr>
        <w:t xml:space="preserve"> §</w:t>
      </w:r>
      <w:r w:rsidR="006B570C">
        <w:rPr>
          <w:rFonts w:eastAsiaTheme="minorHAnsi" w:cs="Calibri"/>
          <w:b/>
        </w:rPr>
        <w:t xml:space="preserve"> </w:t>
      </w:r>
      <w:r w:rsidR="006B570C" w:rsidRPr="002A4079">
        <w:rPr>
          <w:rFonts w:eastAsiaTheme="minorHAnsi" w:cs="Calibri"/>
          <w:b/>
        </w:rPr>
        <w:t>29 odst. 2 zákona č.</w:t>
      </w:r>
      <w:r w:rsidR="005C4D00">
        <w:rPr>
          <w:rFonts w:eastAsiaTheme="minorHAnsi" w:cs="Calibri"/>
          <w:b/>
        </w:rPr>
        <w:t> </w:t>
      </w:r>
      <w:r w:rsidR="006B570C" w:rsidRPr="002A4079">
        <w:rPr>
          <w:rFonts w:eastAsiaTheme="minorHAnsi" w:cs="Calibri"/>
          <w:b/>
        </w:rPr>
        <w:t>218/2000 Sb.</w:t>
      </w:r>
      <w:r w:rsidR="006B570C">
        <w:rPr>
          <w:rStyle w:val="Znakapoznpodarou"/>
          <w:rFonts w:eastAsiaTheme="minorHAnsi" w:cs="Calibri"/>
          <w:b/>
        </w:rPr>
        <w:footnoteReference w:id="12"/>
      </w:r>
      <w:r w:rsidR="006B570C" w:rsidRPr="002A4079">
        <w:rPr>
          <w:rFonts w:eastAsiaTheme="minorHAnsi" w:cs="Calibri"/>
          <w:b/>
        </w:rPr>
        <w:t xml:space="preserve"> předkládán</w:t>
      </w:r>
      <w:r w:rsidR="001F3453">
        <w:rPr>
          <w:rFonts w:eastAsiaTheme="minorHAnsi" w:cs="Calibri"/>
          <w:b/>
        </w:rPr>
        <w:t xml:space="preserve"> </w:t>
      </w:r>
      <w:r w:rsidR="006B570C" w:rsidRPr="002A4079">
        <w:rPr>
          <w:rFonts w:eastAsiaTheme="minorHAnsi" w:cs="Calibri"/>
          <w:b/>
        </w:rPr>
        <w:t xml:space="preserve">Poslanecké sněmovně </w:t>
      </w:r>
      <w:r w:rsidR="006B570C" w:rsidRPr="00B33CB9">
        <w:rPr>
          <w:rFonts w:eastAsiaTheme="minorHAnsi" w:cs="Calibri"/>
          <w:b/>
        </w:rPr>
        <w:t>v </w:t>
      </w:r>
      <w:r w:rsidR="006B570C" w:rsidRPr="009B5B10">
        <w:rPr>
          <w:rFonts w:eastAsiaTheme="minorHAnsi" w:cs="Calibri"/>
          <w:b/>
        </w:rPr>
        <w:t>souvislosti s projednáváním státního závěrečného účtu.</w:t>
      </w:r>
      <w:r w:rsidR="006B570C">
        <w:rPr>
          <w:rFonts w:eastAsiaTheme="minorHAnsi" w:cs="Calibri"/>
          <w:bCs/>
        </w:rPr>
        <w:t xml:space="preserve"> </w:t>
      </w:r>
    </w:p>
    <w:p w14:paraId="081D9B53" w14:textId="77777777" w:rsidR="00366365" w:rsidRDefault="00366365" w:rsidP="006917CF">
      <w:pPr>
        <w:keepNext/>
        <w:spacing w:after="0"/>
        <w:jc w:val="both"/>
        <w:rPr>
          <w:rFonts w:eastAsiaTheme="minorHAnsi" w:cs="Calibri"/>
          <w:bCs/>
        </w:rPr>
      </w:pPr>
    </w:p>
    <w:p w14:paraId="72DC6883" w14:textId="2DC9BF25" w:rsidR="00252E43" w:rsidRPr="00124170" w:rsidRDefault="00CE360E" w:rsidP="009315FE">
      <w:pPr>
        <w:widowControl w:val="0"/>
        <w:spacing w:after="0"/>
        <w:jc w:val="both"/>
        <w:rPr>
          <w:rFonts w:eastAsiaTheme="minorHAnsi" w:cs="Calibri"/>
          <w:bCs/>
        </w:rPr>
      </w:pPr>
      <w:r>
        <w:rPr>
          <w:rFonts w:eastAsiaTheme="minorHAnsi" w:cs="Calibri"/>
          <w:b/>
        </w:rPr>
        <w:t>V p</w:t>
      </w:r>
      <w:r w:rsidR="0071270C">
        <w:rPr>
          <w:rFonts w:eastAsiaTheme="minorHAnsi" w:cs="Calibri"/>
          <w:b/>
        </w:rPr>
        <w:t>řípadě</w:t>
      </w:r>
      <w:r>
        <w:rPr>
          <w:rFonts w:eastAsiaTheme="minorHAnsi" w:cs="Calibri"/>
          <w:b/>
        </w:rPr>
        <w:t xml:space="preserve"> M</w:t>
      </w:r>
      <w:r w:rsidR="00B7485A">
        <w:rPr>
          <w:rFonts w:eastAsiaTheme="minorHAnsi" w:cs="Calibri"/>
          <w:b/>
        </w:rPr>
        <w:t>V</w:t>
      </w:r>
      <w:r>
        <w:rPr>
          <w:rFonts w:eastAsiaTheme="minorHAnsi" w:cs="Calibri"/>
          <w:b/>
        </w:rPr>
        <w:t xml:space="preserve"> </w:t>
      </w:r>
      <w:r w:rsidR="00252E43">
        <w:rPr>
          <w:rFonts w:eastAsiaTheme="minorHAnsi" w:cs="Calibri"/>
          <w:b/>
        </w:rPr>
        <w:t xml:space="preserve">jde např. o </w:t>
      </w:r>
      <w:r w:rsidR="008921A7">
        <w:rPr>
          <w:rFonts w:eastAsiaTheme="minorHAnsi" w:cs="Calibri"/>
          <w:b/>
        </w:rPr>
        <w:t xml:space="preserve">významnou </w:t>
      </w:r>
      <w:r w:rsidR="00252E43">
        <w:rPr>
          <w:rFonts w:eastAsiaTheme="minorHAnsi" w:cs="Calibri"/>
          <w:b/>
        </w:rPr>
        <w:t>hodnotu podmíněných závazků sledovaných na podrozvahových účtech</w:t>
      </w:r>
      <w:r w:rsidR="00E626B7">
        <w:rPr>
          <w:rFonts w:eastAsiaTheme="minorHAnsi" w:cs="Calibri"/>
          <w:b/>
        </w:rPr>
        <w:t xml:space="preserve">, </w:t>
      </w:r>
      <w:r w:rsidR="009B1465">
        <w:rPr>
          <w:rFonts w:eastAsiaTheme="minorHAnsi" w:cs="Calibri"/>
          <w:b/>
        </w:rPr>
        <w:t>tyto závazky</w:t>
      </w:r>
      <w:r w:rsidR="00E626B7">
        <w:rPr>
          <w:rFonts w:eastAsiaTheme="minorHAnsi" w:cs="Calibri"/>
          <w:b/>
        </w:rPr>
        <w:t xml:space="preserve"> byly k</w:t>
      </w:r>
      <w:r w:rsidR="009B1465">
        <w:rPr>
          <w:rFonts w:eastAsiaTheme="minorHAnsi" w:cs="Calibri"/>
          <w:b/>
        </w:rPr>
        <w:t> </w:t>
      </w:r>
      <w:r w:rsidR="00E626B7">
        <w:rPr>
          <w:rFonts w:eastAsiaTheme="minorHAnsi" w:cs="Calibri"/>
          <w:b/>
        </w:rPr>
        <w:t>datu</w:t>
      </w:r>
      <w:r w:rsidR="009B1465">
        <w:rPr>
          <w:rFonts w:eastAsiaTheme="minorHAnsi" w:cs="Calibri"/>
          <w:b/>
        </w:rPr>
        <w:t xml:space="preserve"> </w:t>
      </w:r>
      <w:r w:rsidR="00E626B7">
        <w:rPr>
          <w:rFonts w:eastAsiaTheme="minorHAnsi" w:cs="Calibri"/>
          <w:b/>
        </w:rPr>
        <w:t>ÚZ vykázány</w:t>
      </w:r>
      <w:r>
        <w:rPr>
          <w:rFonts w:eastAsiaTheme="minorHAnsi" w:cs="Calibri"/>
          <w:b/>
        </w:rPr>
        <w:t xml:space="preserve"> </w:t>
      </w:r>
      <w:r w:rsidR="00252E43">
        <w:rPr>
          <w:rFonts w:eastAsiaTheme="minorHAnsi" w:cs="Calibri"/>
          <w:b/>
        </w:rPr>
        <w:t>v</w:t>
      </w:r>
      <w:r w:rsidR="00E626B7">
        <w:rPr>
          <w:rFonts w:eastAsiaTheme="minorHAnsi" w:cs="Calibri"/>
          <w:b/>
        </w:rPr>
        <w:t xml:space="preserve"> celkové</w:t>
      </w:r>
      <w:r w:rsidR="00252E43">
        <w:rPr>
          <w:rFonts w:eastAsiaTheme="minorHAnsi" w:cs="Calibri"/>
          <w:b/>
        </w:rPr>
        <w:t xml:space="preserve"> výši</w:t>
      </w:r>
      <w:r w:rsidR="00B7485A">
        <w:rPr>
          <w:rFonts w:eastAsiaTheme="minorHAnsi" w:cs="Calibri"/>
          <w:b/>
        </w:rPr>
        <w:t xml:space="preserve"> 10,3</w:t>
      </w:r>
      <w:r w:rsidR="00252E43">
        <w:rPr>
          <w:rFonts w:eastAsiaTheme="minorHAnsi" w:cs="Calibri"/>
          <w:b/>
        </w:rPr>
        <w:t xml:space="preserve"> mld. Kč</w:t>
      </w:r>
      <w:r w:rsidR="008921A7">
        <w:rPr>
          <w:rFonts w:eastAsiaTheme="minorHAnsi" w:cs="Calibri"/>
          <w:b/>
        </w:rPr>
        <w:t>.</w:t>
      </w:r>
      <w:r w:rsidR="00E626B7">
        <w:rPr>
          <w:rFonts w:eastAsiaTheme="minorHAnsi" w:cs="Calibri"/>
          <w:b/>
        </w:rPr>
        <w:t xml:space="preserve"> </w:t>
      </w:r>
      <w:r w:rsidR="00E626B7" w:rsidRPr="00872B70">
        <w:rPr>
          <w:rFonts w:eastAsiaTheme="minorHAnsi" w:cs="Calibri"/>
          <w:bCs/>
        </w:rPr>
        <w:t>V</w:t>
      </w:r>
      <w:r w:rsidR="0071270C">
        <w:rPr>
          <w:rFonts w:eastAsiaTheme="minorHAnsi" w:cs="Calibri"/>
          <w:bCs/>
        </w:rPr>
        <w:t> závěrečném účtu kapitoly státního rozpočtu tedy</w:t>
      </w:r>
      <w:r w:rsidR="00E626B7" w:rsidRPr="00872B70">
        <w:rPr>
          <w:rFonts w:eastAsiaTheme="minorHAnsi" w:cs="Calibri"/>
          <w:bCs/>
        </w:rPr>
        <w:t xml:space="preserve"> není uvedena informace o jejich výši </w:t>
      </w:r>
      <w:r w:rsidR="0071270C">
        <w:rPr>
          <w:rFonts w:eastAsiaTheme="minorHAnsi" w:cs="Calibri"/>
          <w:bCs/>
        </w:rPr>
        <w:t>a</w:t>
      </w:r>
      <w:r w:rsidR="007A2C17">
        <w:rPr>
          <w:rFonts w:eastAsiaTheme="minorHAnsi" w:cs="Calibri"/>
          <w:bCs/>
        </w:rPr>
        <w:t> </w:t>
      </w:r>
      <w:r w:rsidR="00E626B7" w:rsidRPr="00872B70">
        <w:rPr>
          <w:rFonts w:eastAsiaTheme="minorHAnsi" w:cs="Calibri"/>
          <w:bCs/>
        </w:rPr>
        <w:t>struktuře.</w:t>
      </w:r>
      <w:r w:rsidR="00E626B7">
        <w:rPr>
          <w:rFonts w:eastAsiaTheme="minorHAnsi" w:cs="Calibri"/>
          <w:bCs/>
        </w:rPr>
        <w:t xml:space="preserve"> </w:t>
      </w:r>
      <w:r w:rsidR="009B1465">
        <w:rPr>
          <w:rFonts w:eastAsiaTheme="minorHAnsi" w:cs="Calibri"/>
          <w:bCs/>
        </w:rPr>
        <w:t>P</w:t>
      </w:r>
      <w:r w:rsidR="00E626B7">
        <w:rPr>
          <w:rFonts w:eastAsiaTheme="minorHAnsi" w:cs="Calibri"/>
          <w:bCs/>
        </w:rPr>
        <w:t xml:space="preserve">odmíněné závazky </w:t>
      </w:r>
      <w:r w:rsidR="0071270C">
        <w:rPr>
          <w:rFonts w:eastAsiaTheme="minorHAnsi" w:cs="Calibri"/>
          <w:bCs/>
        </w:rPr>
        <w:t xml:space="preserve">vykázalo </w:t>
      </w:r>
      <w:r w:rsidR="00E626B7">
        <w:rPr>
          <w:rFonts w:eastAsiaTheme="minorHAnsi" w:cs="Calibri"/>
          <w:bCs/>
        </w:rPr>
        <w:t xml:space="preserve">MV </w:t>
      </w:r>
      <w:r w:rsidR="00182811">
        <w:rPr>
          <w:rFonts w:eastAsiaTheme="minorHAnsi" w:cs="Calibri"/>
          <w:bCs/>
        </w:rPr>
        <w:t>zejména</w:t>
      </w:r>
      <w:r w:rsidR="00E626B7" w:rsidRPr="004751E7">
        <w:rPr>
          <w:rFonts w:eastAsiaTheme="minorHAnsi" w:cs="Calibri"/>
          <w:bCs/>
        </w:rPr>
        <w:t xml:space="preserve"> z</w:t>
      </w:r>
      <w:r w:rsidR="004751E7">
        <w:rPr>
          <w:rFonts w:eastAsiaTheme="minorHAnsi" w:cs="Calibri"/>
          <w:bCs/>
        </w:rPr>
        <w:t> </w:t>
      </w:r>
      <w:r w:rsidR="00E626B7" w:rsidRPr="004751E7">
        <w:rPr>
          <w:rFonts w:eastAsiaTheme="minorHAnsi" w:cs="Calibri"/>
          <w:bCs/>
        </w:rPr>
        <w:t>titulu</w:t>
      </w:r>
      <w:r w:rsidR="004751E7">
        <w:rPr>
          <w:rFonts w:eastAsiaTheme="minorHAnsi" w:cs="Calibri"/>
          <w:bCs/>
        </w:rPr>
        <w:t xml:space="preserve"> uzavřených smluv</w:t>
      </w:r>
      <w:r w:rsidR="00B15DF8">
        <w:rPr>
          <w:rFonts w:eastAsiaTheme="minorHAnsi" w:cs="Calibri"/>
          <w:bCs/>
        </w:rPr>
        <w:t>,</w:t>
      </w:r>
      <w:r w:rsidR="00182811">
        <w:rPr>
          <w:rFonts w:eastAsiaTheme="minorHAnsi" w:cs="Calibri"/>
          <w:bCs/>
        </w:rPr>
        <w:t xml:space="preserve"> </w:t>
      </w:r>
      <w:r w:rsidR="004751E7">
        <w:rPr>
          <w:rFonts w:eastAsiaTheme="minorHAnsi" w:cs="Calibri"/>
          <w:bCs/>
        </w:rPr>
        <w:t>z</w:t>
      </w:r>
      <w:r w:rsidR="00182811">
        <w:rPr>
          <w:rFonts w:eastAsiaTheme="minorHAnsi" w:cs="Calibri"/>
          <w:bCs/>
        </w:rPr>
        <w:t> </w:t>
      </w:r>
      <w:r w:rsidR="004751E7">
        <w:rPr>
          <w:rFonts w:eastAsiaTheme="minorHAnsi" w:cs="Calibri"/>
          <w:bCs/>
        </w:rPr>
        <w:t>transferů</w:t>
      </w:r>
      <w:r w:rsidR="00182811">
        <w:rPr>
          <w:rFonts w:eastAsiaTheme="minorHAnsi" w:cs="Calibri"/>
          <w:bCs/>
        </w:rPr>
        <w:t xml:space="preserve"> (vydaná rozhodnutí o poskytnutí dotace)</w:t>
      </w:r>
      <w:r w:rsidR="00BC4BCC">
        <w:rPr>
          <w:rFonts w:eastAsiaTheme="minorHAnsi" w:cs="Calibri"/>
          <w:bCs/>
        </w:rPr>
        <w:t>,</w:t>
      </w:r>
      <w:r w:rsidR="004751E7">
        <w:rPr>
          <w:rFonts w:eastAsiaTheme="minorHAnsi" w:cs="Calibri"/>
          <w:bCs/>
        </w:rPr>
        <w:t xml:space="preserve"> z titulu užívání cizího majetku na základě smlouvy</w:t>
      </w:r>
      <w:r w:rsidR="005058AE">
        <w:rPr>
          <w:rFonts w:eastAsiaTheme="minorHAnsi" w:cs="Calibri"/>
          <w:bCs/>
        </w:rPr>
        <w:t xml:space="preserve"> </w:t>
      </w:r>
      <w:r w:rsidR="001F3453">
        <w:rPr>
          <w:rFonts w:eastAsiaTheme="minorHAnsi" w:cs="Calibri"/>
          <w:bCs/>
        </w:rPr>
        <w:br/>
      </w:r>
      <w:r w:rsidR="005058AE">
        <w:rPr>
          <w:rFonts w:eastAsiaTheme="minorHAnsi" w:cs="Calibri"/>
          <w:bCs/>
        </w:rPr>
        <w:t>o</w:t>
      </w:r>
      <w:r w:rsidR="001F3453">
        <w:rPr>
          <w:rFonts w:eastAsiaTheme="minorHAnsi" w:cs="Calibri"/>
          <w:bCs/>
        </w:rPr>
        <w:t xml:space="preserve"> </w:t>
      </w:r>
      <w:r w:rsidR="005058AE">
        <w:rPr>
          <w:rFonts w:eastAsiaTheme="minorHAnsi" w:cs="Calibri"/>
          <w:bCs/>
        </w:rPr>
        <w:t>výpůjčce</w:t>
      </w:r>
      <w:r w:rsidR="004751E7">
        <w:rPr>
          <w:rFonts w:eastAsiaTheme="minorHAnsi" w:cs="Calibri"/>
          <w:bCs/>
        </w:rPr>
        <w:t xml:space="preserve"> </w:t>
      </w:r>
      <w:r w:rsidR="00182811">
        <w:rPr>
          <w:rFonts w:eastAsiaTheme="minorHAnsi" w:cs="Calibri"/>
          <w:bCs/>
        </w:rPr>
        <w:t>(závazky z</w:t>
      </w:r>
      <w:r w:rsidR="0071270C">
        <w:rPr>
          <w:rFonts w:eastAsiaTheme="minorHAnsi" w:cs="Calibri"/>
          <w:bCs/>
        </w:rPr>
        <w:t> důvodu případné</w:t>
      </w:r>
      <w:r w:rsidR="00182811">
        <w:rPr>
          <w:rFonts w:eastAsiaTheme="minorHAnsi" w:cs="Calibri"/>
          <w:bCs/>
        </w:rPr>
        <w:t xml:space="preserve"> nemožnosti vrácení tohoto majetku)</w:t>
      </w:r>
      <w:r w:rsidR="00BC4BCC">
        <w:rPr>
          <w:rFonts w:eastAsiaTheme="minorHAnsi" w:cs="Calibri"/>
          <w:bCs/>
        </w:rPr>
        <w:t xml:space="preserve"> </w:t>
      </w:r>
      <w:r w:rsidR="00EA0855">
        <w:rPr>
          <w:rFonts w:eastAsiaTheme="minorHAnsi" w:cs="Calibri"/>
          <w:bCs/>
        </w:rPr>
        <w:t>a ze soudních sporů</w:t>
      </w:r>
      <w:r w:rsidR="004751E7">
        <w:rPr>
          <w:rFonts w:eastAsiaTheme="minorHAnsi" w:cs="Calibri"/>
          <w:bCs/>
        </w:rPr>
        <w:t xml:space="preserve">. </w:t>
      </w:r>
      <w:r w:rsidR="00E626B7" w:rsidRPr="00872B70">
        <w:rPr>
          <w:rFonts w:eastAsiaTheme="minorHAnsi" w:cs="Calibri"/>
          <w:bCs/>
        </w:rPr>
        <w:t xml:space="preserve">Všechny tyto podmíněné závazky představují </w:t>
      </w:r>
      <w:r w:rsidR="00A200CD">
        <w:rPr>
          <w:rFonts w:eastAsiaTheme="minorHAnsi" w:cs="Calibri"/>
          <w:bCs/>
        </w:rPr>
        <w:t xml:space="preserve">potenciální </w:t>
      </w:r>
      <w:r w:rsidR="00E626B7" w:rsidRPr="00D14FC9">
        <w:rPr>
          <w:rFonts w:eastAsiaTheme="minorHAnsi" w:cs="Calibri"/>
          <w:b/>
          <w:bCs/>
        </w:rPr>
        <w:t>nároky na výdaje státního rozpočtu České republiky v dalších letech</w:t>
      </w:r>
      <w:r w:rsidR="0071270C">
        <w:rPr>
          <w:rFonts w:eastAsiaTheme="minorHAnsi" w:cs="Calibri"/>
          <w:b/>
          <w:bCs/>
        </w:rPr>
        <w:t xml:space="preserve"> </w:t>
      </w:r>
      <w:r w:rsidR="0071270C" w:rsidRPr="0060106A">
        <w:rPr>
          <w:rFonts w:eastAsiaTheme="minorHAnsi" w:cs="Calibri"/>
        </w:rPr>
        <w:t>(viz část IV.4.2.3</w:t>
      </w:r>
      <w:r w:rsidR="0071270C" w:rsidRPr="00241BCB">
        <w:rPr>
          <w:rFonts w:eastAsiaTheme="minorHAnsi" w:cs="Calibri"/>
        </w:rPr>
        <w:t>)</w:t>
      </w:r>
      <w:r w:rsidR="00E626B7" w:rsidRPr="00124170">
        <w:rPr>
          <w:rFonts w:eastAsiaTheme="minorHAnsi" w:cs="Calibri"/>
          <w:bCs/>
        </w:rPr>
        <w:t>.</w:t>
      </w:r>
    </w:p>
    <w:p w14:paraId="0CA24D9F" w14:textId="77777777" w:rsidR="00366365" w:rsidRDefault="00366365" w:rsidP="006917CF">
      <w:pPr>
        <w:keepNext/>
        <w:spacing w:after="0"/>
        <w:jc w:val="both"/>
        <w:rPr>
          <w:rFonts w:eastAsiaTheme="minorHAnsi" w:cs="Calibri"/>
          <w:bCs/>
        </w:rPr>
      </w:pPr>
    </w:p>
    <w:p w14:paraId="4988931E" w14:textId="535E533B" w:rsidR="00366365" w:rsidRDefault="00366365" w:rsidP="00366365">
      <w:pPr>
        <w:keepNext/>
        <w:spacing w:after="0"/>
        <w:jc w:val="both"/>
        <w:rPr>
          <w:rFonts w:eastAsiaTheme="minorHAnsi" w:cs="Calibri"/>
          <w:b/>
          <w:bCs/>
        </w:rPr>
      </w:pPr>
      <w:r w:rsidRPr="0060106A">
        <w:rPr>
          <w:rFonts w:eastAsiaTheme="minorHAnsi" w:cs="Calibri"/>
          <w:b/>
          <w:bCs/>
        </w:rPr>
        <w:t xml:space="preserve">Dle názoru NKÚ je nezveřejňování těchto informací v závěrečných účtech kapitol státního </w:t>
      </w:r>
      <w:r w:rsidR="00466F8F" w:rsidRPr="0060106A">
        <w:rPr>
          <w:rFonts w:eastAsiaTheme="minorHAnsi" w:cs="Calibri"/>
          <w:b/>
          <w:bCs/>
        </w:rPr>
        <w:t>rozpočtu systémový nedostat</w:t>
      </w:r>
      <w:r w:rsidR="009B1465">
        <w:rPr>
          <w:rFonts w:eastAsiaTheme="minorHAnsi" w:cs="Calibri"/>
          <w:b/>
          <w:bCs/>
        </w:rPr>
        <w:t>e</w:t>
      </w:r>
      <w:r w:rsidR="00466F8F" w:rsidRPr="0060106A">
        <w:rPr>
          <w:rFonts w:eastAsiaTheme="minorHAnsi" w:cs="Calibri"/>
          <w:b/>
          <w:bCs/>
        </w:rPr>
        <w:t>k,</w:t>
      </w:r>
      <w:r w:rsidR="0071270C" w:rsidRPr="0060106A">
        <w:rPr>
          <w:rFonts w:eastAsiaTheme="minorHAnsi" w:cs="Calibri"/>
          <w:b/>
          <w:bCs/>
        </w:rPr>
        <w:t xml:space="preserve"> který vzniká</w:t>
      </w:r>
      <w:r w:rsidR="00466F8F" w:rsidRPr="0060106A">
        <w:rPr>
          <w:rFonts w:eastAsiaTheme="minorHAnsi" w:cs="Calibri"/>
          <w:b/>
          <w:bCs/>
        </w:rPr>
        <w:t xml:space="preserve"> v důsledku nedostatečné právní úpravy v této </w:t>
      </w:r>
      <w:r w:rsidRPr="0060106A">
        <w:rPr>
          <w:rFonts w:eastAsiaTheme="minorHAnsi" w:cs="Calibri"/>
          <w:b/>
          <w:bCs/>
        </w:rPr>
        <w:t>oblasti.</w:t>
      </w:r>
    </w:p>
    <w:p w14:paraId="1780D53F" w14:textId="77777777" w:rsidR="00813857" w:rsidRDefault="00813857" w:rsidP="006917CF">
      <w:pPr>
        <w:keepNext/>
        <w:spacing w:after="0"/>
        <w:jc w:val="both"/>
        <w:rPr>
          <w:rFonts w:eastAsiaTheme="minorHAnsi" w:cs="Calibri"/>
          <w:b/>
          <w:bCs/>
        </w:rPr>
      </w:pPr>
    </w:p>
    <w:p w14:paraId="44818237" w14:textId="69FDEF41" w:rsidR="00813857" w:rsidRPr="00A21AC3" w:rsidRDefault="00813857" w:rsidP="00813857">
      <w:pPr>
        <w:spacing w:after="0"/>
        <w:jc w:val="both"/>
        <w:rPr>
          <w:rFonts w:cs="Calibri"/>
        </w:rPr>
      </w:pPr>
      <w:r w:rsidRPr="00D14FC9">
        <w:rPr>
          <w:rFonts w:eastAsiaTheme="minorHAnsi" w:cs="Calibri"/>
        </w:rPr>
        <w:t>Jak vyplývá z důvodové zprávy k novele zákona č. 563/1991 Sb. s účinností od 1. ledna 2010</w:t>
      </w:r>
      <w:r w:rsidRPr="00D14FC9">
        <w:rPr>
          <w:rStyle w:val="Znakapoznpodarou"/>
          <w:rFonts w:eastAsiaTheme="minorHAnsi" w:cs="Calibri"/>
        </w:rPr>
        <w:footnoteReference w:id="13"/>
      </w:r>
      <w:r w:rsidRPr="00D14FC9">
        <w:rPr>
          <w:rFonts w:eastAsiaTheme="minorHAnsi" w:cs="Calibri"/>
        </w:rPr>
        <w:t>, právě z důvodu nutné větší komplexnosti a transparentnosti vykazování byla pro vybrané účetní jednotky stanovena povinnost účtovat o větším rozsahu skutečností než v předchozích obdobích</w:t>
      </w:r>
      <w:r w:rsidRPr="00FE6FAD">
        <w:rPr>
          <w:rFonts w:eastAsiaTheme="minorHAnsi" w:cs="Calibri"/>
        </w:rPr>
        <w:t xml:space="preserve">. Rozsah údajů povinně zasílaných vybranými účetními jednotkami do </w:t>
      </w:r>
      <w:r>
        <w:rPr>
          <w:rFonts w:eastAsiaTheme="minorHAnsi" w:cs="Calibri"/>
        </w:rPr>
        <w:t>Centrálního systému účetních informací státu (dále také „</w:t>
      </w:r>
      <w:r w:rsidRPr="00FE6FAD">
        <w:rPr>
          <w:rFonts w:eastAsiaTheme="minorHAnsi" w:cs="Calibri"/>
        </w:rPr>
        <w:t>CSÚIS</w:t>
      </w:r>
      <w:r>
        <w:rPr>
          <w:rFonts w:eastAsiaTheme="minorHAnsi" w:cs="Calibri"/>
        </w:rPr>
        <w:t>“)</w:t>
      </w:r>
      <w:r w:rsidRPr="00FE6FAD">
        <w:rPr>
          <w:rFonts w:eastAsiaTheme="minorHAnsi" w:cs="Calibri"/>
        </w:rPr>
        <w:t xml:space="preserve"> od roku 2010 tak výrazně vzrostl</w:t>
      </w:r>
      <w:r w:rsidRPr="00FE6FAD">
        <w:rPr>
          <w:rStyle w:val="Znakapoznpodarou"/>
          <w:rFonts w:eastAsiaTheme="minorHAnsi" w:cs="Calibri"/>
        </w:rPr>
        <w:footnoteReference w:id="14"/>
      </w:r>
      <w:r w:rsidRPr="00FE6FAD">
        <w:rPr>
          <w:rFonts w:eastAsiaTheme="minorHAnsi" w:cs="Calibri"/>
        </w:rPr>
        <w:t>, avšak</w:t>
      </w:r>
      <w:r w:rsidRPr="00A21AC3">
        <w:rPr>
          <w:rFonts w:eastAsiaTheme="minorHAnsi" w:cs="Calibri"/>
        </w:rPr>
        <w:t xml:space="preserve"> bez vlivu na komplexnější vypovídací schopnost informací zveřejňovaných a komentovaných v závěrečných účtech kapitol státního rozpočtu. Přitom </w:t>
      </w:r>
      <w:r w:rsidR="00241BCB">
        <w:rPr>
          <w:rFonts w:eastAsiaTheme="minorHAnsi" w:cs="Calibri"/>
        </w:rPr>
        <w:t>pokud by bylo</w:t>
      </w:r>
      <w:r w:rsidRPr="00A21AC3">
        <w:rPr>
          <w:rFonts w:eastAsiaTheme="minorHAnsi" w:cs="Calibri"/>
        </w:rPr>
        <w:t xml:space="preserve"> p</w:t>
      </w:r>
      <w:r w:rsidRPr="00A21AC3">
        <w:rPr>
          <w:rFonts w:cs="Calibri"/>
        </w:rPr>
        <w:t>ovinné komentov</w:t>
      </w:r>
      <w:r w:rsidR="00241BCB">
        <w:rPr>
          <w:rFonts w:cs="Calibri"/>
        </w:rPr>
        <w:t>at</w:t>
      </w:r>
      <w:r w:rsidRPr="00A21AC3">
        <w:rPr>
          <w:rFonts w:cs="Calibri"/>
        </w:rPr>
        <w:t xml:space="preserve"> </w:t>
      </w:r>
      <w:r w:rsidR="00241BCB" w:rsidRPr="00A21AC3">
        <w:rPr>
          <w:rFonts w:cs="Calibri"/>
        </w:rPr>
        <w:lastRenderedPageBreak/>
        <w:t xml:space="preserve">v závěrečném účtu </w:t>
      </w:r>
      <w:r w:rsidRPr="00A21AC3">
        <w:rPr>
          <w:rFonts w:cs="Calibri"/>
        </w:rPr>
        <w:t>rozdíl</w:t>
      </w:r>
      <w:r w:rsidR="00241BCB">
        <w:rPr>
          <w:rFonts w:cs="Calibri"/>
        </w:rPr>
        <w:t>y</w:t>
      </w:r>
      <w:r w:rsidRPr="00A21AC3">
        <w:rPr>
          <w:rFonts w:cs="Calibri"/>
        </w:rPr>
        <w:t xml:space="preserve"> mezi rozpočtovým a</w:t>
      </w:r>
      <w:r w:rsidR="00241BCB">
        <w:rPr>
          <w:rFonts w:cs="Calibri"/>
        </w:rPr>
        <w:t xml:space="preserve"> </w:t>
      </w:r>
      <w:r w:rsidRPr="00A21AC3">
        <w:rPr>
          <w:rFonts w:cs="Calibri"/>
        </w:rPr>
        <w:t>finančním účetnictvím</w:t>
      </w:r>
      <w:r w:rsidRPr="00A21AC3">
        <w:rPr>
          <w:rStyle w:val="Znakapoznpodarou"/>
          <w:rFonts w:cs="Calibri"/>
        </w:rPr>
        <w:footnoteReference w:id="15"/>
      </w:r>
      <w:r w:rsidR="00241BCB">
        <w:rPr>
          <w:rFonts w:cs="Calibri"/>
        </w:rPr>
        <w:t>,</w:t>
      </w:r>
      <w:r w:rsidRPr="00A21AC3">
        <w:rPr>
          <w:rFonts w:cs="Calibri"/>
        </w:rPr>
        <w:t xml:space="preserve"> přispělo </w:t>
      </w:r>
      <w:r w:rsidR="00241BCB" w:rsidRPr="00A21AC3">
        <w:rPr>
          <w:rFonts w:cs="Calibri"/>
        </w:rPr>
        <w:t xml:space="preserve">by </w:t>
      </w:r>
      <w:r w:rsidR="00241BCB">
        <w:rPr>
          <w:rFonts w:cs="Calibri"/>
        </w:rPr>
        <w:t xml:space="preserve">to </w:t>
      </w:r>
      <w:r w:rsidRPr="00A21AC3">
        <w:rPr>
          <w:rFonts w:cs="Calibri"/>
        </w:rPr>
        <w:t>k identifikování vzájemných souvislostí a</w:t>
      </w:r>
      <w:r w:rsidR="006917CF">
        <w:rPr>
          <w:rFonts w:cs="Calibri"/>
        </w:rPr>
        <w:t xml:space="preserve"> k </w:t>
      </w:r>
      <w:r w:rsidRPr="00A21AC3">
        <w:rPr>
          <w:rFonts w:cs="Calibri"/>
        </w:rPr>
        <w:t>propojení obou těchto systémů pro sledování plnění rozpočtu a ve svém důsledku i</w:t>
      </w:r>
      <w:r w:rsidR="006917CF">
        <w:rPr>
          <w:rFonts w:cs="Calibri"/>
        </w:rPr>
        <w:t xml:space="preserve"> </w:t>
      </w:r>
      <w:r w:rsidRPr="00A21AC3">
        <w:rPr>
          <w:rFonts w:cs="Calibri"/>
        </w:rPr>
        <w:t>k</w:t>
      </w:r>
      <w:r w:rsidR="006917CF">
        <w:rPr>
          <w:rFonts w:cs="Calibri"/>
        </w:rPr>
        <w:t xml:space="preserve"> </w:t>
      </w:r>
      <w:r w:rsidRPr="00A21AC3">
        <w:rPr>
          <w:rFonts w:cs="Calibri"/>
        </w:rPr>
        <w:t>větší komplexnosti, transparentnosti a</w:t>
      </w:r>
      <w:r w:rsidR="006917CF">
        <w:rPr>
          <w:rFonts w:cs="Calibri"/>
        </w:rPr>
        <w:t> </w:t>
      </w:r>
      <w:r w:rsidRPr="00A21AC3">
        <w:rPr>
          <w:rFonts w:cs="Calibri"/>
        </w:rPr>
        <w:t>důvěryhodnosti skládání účtů z hospodaření s majetkem a peněžními prostředky stát</w:t>
      </w:r>
      <w:r w:rsidR="006917CF">
        <w:rPr>
          <w:rFonts w:cs="Calibri"/>
        </w:rPr>
        <w:t>u</w:t>
      </w:r>
      <w:r w:rsidRPr="00A21AC3">
        <w:rPr>
          <w:rFonts w:cs="Calibri"/>
        </w:rPr>
        <w:t xml:space="preserve">. </w:t>
      </w:r>
    </w:p>
    <w:p w14:paraId="376D57E4" w14:textId="77777777" w:rsidR="00813857" w:rsidRDefault="00813857" w:rsidP="00366365">
      <w:pPr>
        <w:keepNext/>
        <w:spacing w:after="0"/>
        <w:jc w:val="both"/>
        <w:rPr>
          <w:rFonts w:eastAsiaTheme="minorHAnsi" w:cs="Calibri"/>
          <w:b/>
          <w:bCs/>
        </w:rPr>
      </w:pPr>
    </w:p>
    <w:p w14:paraId="78D18C7B" w14:textId="77777777" w:rsidR="00813857" w:rsidRPr="0060106A" w:rsidRDefault="00813857" w:rsidP="00366365">
      <w:pPr>
        <w:keepNext/>
        <w:spacing w:after="0"/>
        <w:jc w:val="both"/>
        <w:rPr>
          <w:rFonts w:eastAsiaTheme="minorHAnsi" w:cs="Calibri"/>
          <w:b/>
          <w:bCs/>
        </w:rPr>
      </w:pPr>
      <w:r w:rsidRPr="00D14FC9">
        <w:rPr>
          <w:rFonts w:eastAsiaTheme="minorHAnsi" w:cs="Calibri"/>
          <w:b/>
        </w:rPr>
        <w:t xml:space="preserve">Na základě výše uvedeného </w:t>
      </w:r>
      <w:r w:rsidR="00941E8B">
        <w:rPr>
          <w:rFonts w:eastAsiaTheme="minorHAnsi" w:cs="Calibri"/>
          <w:b/>
        </w:rPr>
        <w:t xml:space="preserve">je dle </w:t>
      </w:r>
      <w:r w:rsidRPr="00D14FC9">
        <w:rPr>
          <w:rFonts w:eastAsiaTheme="minorHAnsi" w:cs="Calibri"/>
          <w:b/>
        </w:rPr>
        <w:t>NKÚ</w:t>
      </w:r>
      <w:r w:rsidR="00941E8B">
        <w:rPr>
          <w:rFonts w:eastAsiaTheme="minorHAnsi" w:cs="Calibri"/>
          <w:b/>
        </w:rPr>
        <w:t xml:space="preserve"> žádoucí</w:t>
      </w:r>
      <w:r w:rsidRPr="00D14FC9">
        <w:rPr>
          <w:rFonts w:eastAsiaTheme="minorHAnsi" w:cs="Calibri"/>
          <w:b/>
        </w:rPr>
        <w:t xml:space="preserve">, aby </w:t>
      </w:r>
      <w:r w:rsidR="00941E8B">
        <w:rPr>
          <w:rFonts w:eastAsiaTheme="minorHAnsi" w:cs="Calibri"/>
          <w:b/>
        </w:rPr>
        <w:t xml:space="preserve">byly </w:t>
      </w:r>
      <w:r w:rsidRPr="00D14FC9">
        <w:rPr>
          <w:rFonts w:eastAsiaTheme="minorHAnsi" w:cs="Calibri"/>
          <w:b/>
        </w:rPr>
        <w:t>právní předpisy uprav</w:t>
      </w:r>
      <w:r w:rsidR="00941E8B">
        <w:rPr>
          <w:rFonts w:eastAsiaTheme="minorHAnsi" w:cs="Calibri"/>
          <w:b/>
        </w:rPr>
        <w:t>eny tak</w:t>
      </w:r>
      <w:r w:rsidRPr="00D14FC9">
        <w:rPr>
          <w:rFonts w:eastAsiaTheme="minorHAnsi" w:cs="Calibri"/>
          <w:b/>
        </w:rPr>
        <w:t>, že vybrané údaje z účetnictví</w:t>
      </w:r>
      <w:r w:rsidRPr="00D14FC9">
        <w:rPr>
          <w:rStyle w:val="Znakapoznpodarou"/>
          <w:rFonts w:eastAsiaTheme="minorHAnsi" w:cs="Calibri"/>
          <w:b/>
        </w:rPr>
        <w:footnoteReference w:id="16"/>
      </w:r>
      <w:r w:rsidRPr="00D14FC9">
        <w:rPr>
          <w:rFonts w:eastAsiaTheme="minorHAnsi" w:cs="Calibri"/>
          <w:b/>
        </w:rPr>
        <w:t xml:space="preserve"> budou z CSÚIS </w:t>
      </w:r>
      <w:r>
        <w:rPr>
          <w:rFonts w:eastAsiaTheme="minorHAnsi" w:cs="Calibri"/>
          <w:b/>
        </w:rPr>
        <w:t>využívány</w:t>
      </w:r>
      <w:r w:rsidRPr="00D14FC9">
        <w:rPr>
          <w:rFonts w:eastAsiaTheme="minorHAnsi" w:cs="Calibri"/>
          <w:b/>
        </w:rPr>
        <w:t xml:space="preserve"> pro účely sestavení závěrečných účtů kapitol státního rozpočtu a že je budou správci kapitol v závěrečném účtu povinně komentovat.</w:t>
      </w:r>
    </w:p>
    <w:p w14:paraId="1A0755E7" w14:textId="77777777" w:rsidR="00865A96" w:rsidRDefault="00865A96" w:rsidP="00872B70">
      <w:pPr>
        <w:keepNext/>
        <w:spacing w:after="0"/>
        <w:jc w:val="both"/>
        <w:rPr>
          <w:rFonts w:eastAsiaTheme="minorHAnsi" w:cs="Calibri"/>
        </w:rPr>
      </w:pPr>
    </w:p>
    <w:p w14:paraId="26774547" w14:textId="7F446FCC" w:rsidR="00865A96" w:rsidRPr="007900C8" w:rsidRDefault="00865A96" w:rsidP="00865A96">
      <w:pPr>
        <w:spacing w:after="0"/>
        <w:jc w:val="both"/>
      </w:pPr>
      <w:r>
        <w:rPr>
          <w:b/>
          <w:bCs/>
        </w:rPr>
        <w:t>Další významnou informací v</w:t>
      </w:r>
      <w:r w:rsidR="008B4AB2">
        <w:rPr>
          <w:b/>
          <w:bCs/>
        </w:rPr>
        <w:t>yužitelnou pro závěrečné účty kapitol státního rozpočtu mohou být</w:t>
      </w:r>
      <w:r w:rsidR="00466F8F">
        <w:rPr>
          <w:b/>
          <w:bCs/>
        </w:rPr>
        <w:t xml:space="preserve"> </w:t>
      </w:r>
      <w:r>
        <w:rPr>
          <w:b/>
          <w:bCs/>
        </w:rPr>
        <w:t xml:space="preserve">konsolidované </w:t>
      </w:r>
      <w:r w:rsidR="00F4297B">
        <w:rPr>
          <w:b/>
          <w:bCs/>
        </w:rPr>
        <w:t>výkazy</w:t>
      </w:r>
      <w:r w:rsidR="00182811">
        <w:rPr>
          <w:rStyle w:val="Znakapoznpodarou"/>
          <w:b/>
          <w:bCs/>
        </w:rPr>
        <w:footnoteReference w:id="17"/>
      </w:r>
      <w:r>
        <w:rPr>
          <w:b/>
          <w:bCs/>
        </w:rPr>
        <w:t xml:space="preserve"> za kapitolu</w:t>
      </w:r>
      <w:r w:rsidR="00466F8F">
        <w:rPr>
          <w:b/>
          <w:bCs/>
        </w:rPr>
        <w:t xml:space="preserve"> státního rozpočtu</w:t>
      </w:r>
      <w:r w:rsidR="000C48B1">
        <w:rPr>
          <w:b/>
          <w:bCs/>
        </w:rPr>
        <w:t>,</w:t>
      </w:r>
      <w:r w:rsidR="00466F8F">
        <w:rPr>
          <w:b/>
          <w:bCs/>
        </w:rPr>
        <w:t xml:space="preserve"> tzn. za</w:t>
      </w:r>
      <w:r w:rsidRPr="00AC334F">
        <w:rPr>
          <w:b/>
          <w:bCs/>
        </w:rPr>
        <w:t xml:space="preserve"> dílčí konsolidační cel</w:t>
      </w:r>
      <w:r>
        <w:rPr>
          <w:b/>
          <w:bCs/>
        </w:rPr>
        <w:t>ek</w:t>
      </w:r>
      <w:r w:rsidRPr="00AC334F">
        <w:rPr>
          <w:b/>
          <w:bCs/>
        </w:rPr>
        <w:t xml:space="preserve"> státu</w:t>
      </w:r>
      <w:r>
        <w:rPr>
          <w:b/>
          <w:bCs/>
        </w:rPr>
        <w:t>.</w:t>
      </w:r>
      <w:r w:rsidRPr="00AC334F">
        <w:rPr>
          <w:b/>
          <w:bCs/>
        </w:rPr>
        <w:t xml:space="preserve"> </w:t>
      </w:r>
      <w:r w:rsidRPr="00AC334F">
        <w:t>Výkazy za dílčí konsolidační celky sestavuje dle vyhlášky č. 312/2014 Sb</w:t>
      </w:r>
      <w:r>
        <w:t>.</w:t>
      </w:r>
      <w:r>
        <w:rPr>
          <w:rStyle w:val="Znakapoznpodarou"/>
        </w:rPr>
        <w:footnoteReference w:id="18"/>
      </w:r>
      <w:r>
        <w:t xml:space="preserve"> </w:t>
      </w:r>
      <w:r w:rsidRPr="00AC334F">
        <w:t>Ministerstvo financí</w:t>
      </w:r>
      <w:r>
        <w:t>,</w:t>
      </w:r>
      <w:r w:rsidRPr="00AC334F">
        <w:t xml:space="preserve"> přičemž tyto výkazy </w:t>
      </w:r>
      <w:r w:rsidRPr="00D14FC9">
        <w:rPr>
          <w:bCs/>
        </w:rPr>
        <w:t xml:space="preserve">obsahují komplexní a celkové </w:t>
      </w:r>
      <w:r w:rsidR="006917CF">
        <w:rPr>
          <w:bCs/>
        </w:rPr>
        <w:t>informace</w:t>
      </w:r>
      <w:r w:rsidRPr="00D14FC9">
        <w:rPr>
          <w:bCs/>
        </w:rPr>
        <w:t xml:space="preserve"> o finanční situaci a</w:t>
      </w:r>
      <w:r w:rsidR="0067235D">
        <w:rPr>
          <w:bCs/>
        </w:rPr>
        <w:t> </w:t>
      </w:r>
      <w:r w:rsidRPr="00D14FC9">
        <w:rPr>
          <w:bCs/>
        </w:rPr>
        <w:t>výkonnosti jednotek kapitoly</w:t>
      </w:r>
      <w:r w:rsidR="007900C8" w:rsidRPr="00D14FC9">
        <w:rPr>
          <w:bCs/>
        </w:rPr>
        <w:t xml:space="preserve"> státního rozpočtu</w:t>
      </w:r>
      <w:r w:rsidRPr="007900C8">
        <w:t xml:space="preserve">. MF </w:t>
      </w:r>
      <w:r w:rsidR="003C3FA7">
        <w:t xml:space="preserve">však </w:t>
      </w:r>
      <w:r w:rsidR="006C236A">
        <w:t>tyto výkazy</w:t>
      </w:r>
      <w:r w:rsidRPr="007900C8">
        <w:t xml:space="preserve"> nezveřejňuje.</w:t>
      </w:r>
    </w:p>
    <w:p w14:paraId="48A97DC6" w14:textId="77777777" w:rsidR="00865A96" w:rsidRPr="007900C8" w:rsidRDefault="00865A96" w:rsidP="00865A96">
      <w:pPr>
        <w:spacing w:after="0"/>
        <w:jc w:val="both"/>
        <w:rPr>
          <w:sz w:val="22"/>
          <w:szCs w:val="22"/>
        </w:rPr>
      </w:pPr>
    </w:p>
    <w:p w14:paraId="294AEBA0" w14:textId="77777777" w:rsidR="00CF6E17" w:rsidRDefault="00865A96" w:rsidP="00865A96">
      <w:pPr>
        <w:jc w:val="both"/>
      </w:pPr>
      <w:r w:rsidRPr="00B74CBD">
        <w:t>V případě MV</w:t>
      </w:r>
      <w:r w:rsidR="003C3FA7" w:rsidRPr="00B74CBD">
        <w:t xml:space="preserve">, které </w:t>
      </w:r>
      <w:r w:rsidR="003C3FA7" w:rsidRPr="0060106A">
        <w:t>užívá pro výkon své činnosti majete</w:t>
      </w:r>
      <w:r w:rsidR="00B74CBD" w:rsidRPr="00B74CBD">
        <w:t xml:space="preserve">k </w:t>
      </w:r>
      <w:r w:rsidR="00B74CBD" w:rsidRPr="0060106A">
        <w:t>v částce přesahující 1 mld. Kč</w:t>
      </w:r>
      <w:r w:rsidR="003C3FA7" w:rsidRPr="0060106A">
        <w:t xml:space="preserve">, s nímž má příslušnost hospodařit jeho zřízená </w:t>
      </w:r>
      <w:r w:rsidR="00B74CBD" w:rsidRPr="0060106A">
        <w:t>PO,</w:t>
      </w:r>
      <w:r w:rsidR="003C3FA7" w:rsidRPr="00B74CBD">
        <w:t xml:space="preserve"> </w:t>
      </w:r>
      <w:r w:rsidRPr="0060106A">
        <w:rPr>
          <w:b/>
          <w:bCs/>
        </w:rPr>
        <w:t xml:space="preserve">by konsolidované výkazy za všechny účetní jednotky této kapitoly státního rozpočtu </w:t>
      </w:r>
      <w:r w:rsidR="00B74CBD" w:rsidRPr="0060106A">
        <w:rPr>
          <w:b/>
          <w:bCs/>
        </w:rPr>
        <w:t>zobrazily mnohem lépe ekonomickou podstatu skutečností, neboť jsou vykázány bez ohledu na jejich právní formu.</w:t>
      </w:r>
      <w:r w:rsidR="00B74CBD" w:rsidRPr="0060106A">
        <w:t xml:space="preserve"> </w:t>
      </w:r>
    </w:p>
    <w:p w14:paraId="3A3E12AC" w14:textId="77777777" w:rsidR="00DC0696" w:rsidRDefault="00B74CBD" w:rsidP="00DC0696">
      <w:pPr>
        <w:spacing w:after="0"/>
        <w:jc w:val="both"/>
      </w:pPr>
      <w:r>
        <w:rPr>
          <w:rFonts w:eastAsiaTheme="minorHAnsi" w:cs="Calibri"/>
          <w:b/>
          <w:bCs/>
        </w:rPr>
        <w:t>Takové konsolidované výkazy</w:t>
      </w:r>
      <w:r w:rsidR="007900C8" w:rsidRPr="00B16BC9">
        <w:rPr>
          <w:b/>
        </w:rPr>
        <w:t xml:space="preserve"> </w:t>
      </w:r>
      <w:r>
        <w:rPr>
          <w:b/>
        </w:rPr>
        <w:t xml:space="preserve">mohou lépe zajistit </w:t>
      </w:r>
      <w:r w:rsidR="007900C8" w:rsidRPr="00B16BC9">
        <w:rPr>
          <w:b/>
        </w:rPr>
        <w:t>srovnání s jinými ústředními orgány státní správy</w:t>
      </w:r>
      <w:r w:rsidR="007900C8">
        <w:rPr>
          <w:b/>
        </w:rPr>
        <w:t xml:space="preserve"> v oblasti</w:t>
      </w:r>
      <w:r w:rsidR="007900C8" w:rsidRPr="00B16BC9">
        <w:rPr>
          <w:b/>
        </w:rPr>
        <w:t xml:space="preserve"> </w:t>
      </w:r>
      <w:r w:rsidR="007900C8">
        <w:rPr>
          <w:b/>
        </w:rPr>
        <w:t xml:space="preserve">jejich </w:t>
      </w:r>
      <w:r w:rsidR="007900C8" w:rsidRPr="00B16BC9">
        <w:rPr>
          <w:b/>
        </w:rPr>
        <w:t>výdaj</w:t>
      </w:r>
      <w:r w:rsidR="007900C8">
        <w:rPr>
          <w:b/>
        </w:rPr>
        <w:t>ů či</w:t>
      </w:r>
      <w:r w:rsidR="007900C8" w:rsidRPr="00B16BC9">
        <w:rPr>
          <w:b/>
        </w:rPr>
        <w:t xml:space="preserve"> náklad</w:t>
      </w:r>
      <w:r w:rsidR="007900C8">
        <w:rPr>
          <w:b/>
        </w:rPr>
        <w:t>ů</w:t>
      </w:r>
      <w:r w:rsidR="007900C8" w:rsidRPr="00B16BC9">
        <w:rPr>
          <w:b/>
        </w:rPr>
        <w:t xml:space="preserve"> na </w:t>
      </w:r>
      <w:r w:rsidR="007900C8">
        <w:rPr>
          <w:b/>
        </w:rPr>
        <w:t>činnost</w:t>
      </w:r>
      <w:r w:rsidR="007900C8" w:rsidRPr="00124170">
        <w:rPr>
          <w:b/>
        </w:rPr>
        <w:t>.</w:t>
      </w:r>
    </w:p>
    <w:p w14:paraId="7A5F1723" w14:textId="77777777" w:rsidR="006548B8" w:rsidRPr="00466905" w:rsidRDefault="006548B8" w:rsidP="00466905">
      <w:pPr>
        <w:spacing w:after="0"/>
        <w:jc w:val="both"/>
      </w:pPr>
    </w:p>
    <w:p w14:paraId="2D07A4EF" w14:textId="77777777" w:rsidR="004C5BCF" w:rsidRDefault="004C5BCF" w:rsidP="00B30899">
      <w:pPr>
        <w:spacing w:after="0"/>
        <w:rPr>
          <w:rFonts w:eastAsiaTheme="minorHAnsi" w:cs="Calibri"/>
          <w:highlight w:val="yellow"/>
        </w:rPr>
      </w:pPr>
    </w:p>
    <w:p w14:paraId="194F2B2F" w14:textId="77777777" w:rsidR="004C5BCF" w:rsidRPr="00683C72" w:rsidRDefault="004C5BCF" w:rsidP="00B30899">
      <w:pPr>
        <w:spacing w:after="0"/>
        <w:rPr>
          <w:rFonts w:eastAsiaTheme="minorHAnsi" w:cs="Calibri"/>
          <w:highlight w:val="yellow"/>
        </w:rPr>
      </w:pPr>
    </w:p>
    <w:p w14:paraId="0D38730F" w14:textId="77777777" w:rsidR="009706C3" w:rsidRDefault="009706C3">
      <w:pPr>
        <w:spacing w:after="160" w:line="259" w:lineRule="auto"/>
        <w:rPr>
          <w:rFonts w:eastAsiaTheme="minorHAnsi" w:cs="Calibri"/>
          <w:b/>
          <w:sz w:val="28"/>
        </w:rPr>
      </w:pPr>
      <w:r>
        <w:rPr>
          <w:rFonts w:cs="Calibri"/>
        </w:rPr>
        <w:br w:type="page"/>
      </w:r>
    </w:p>
    <w:p w14:paraId="49A2B6C7" w14:textId="77777777" w:rsidR="00E91FF5" w:rsidRPr="00D86A30" w:rsidRDefault="00A640AE" w:rsidP="00C159BE">
      <w:pPr>
        <w:pStyle w:val="Nadpis1"/>
        <w:keepNext/>
        <w:spacing w:after="0" w:line="240" w:lineRule="auto"/>
        <w:rPr>
          <w:rFonts w:ascii="Calibri" w:hAnsi="Calibri" w:cs="Calibri"/>
          <w:szCs w:val="24"/>
        </w:rPr>
      </w:pPr>
      <w:r w:rsidRPr="00D86A30">
        <w:rPr>
          <w:rFonts w:ascii="Calibri" w:hAnsi="Calibri" w:cs="Calibri"/>
          <w:szCs w:val="24"/>
        </w:rPr>
        <w:lastRenderedPageBreak/>
        <w:t>II. Informace o kontrolované oblasti</w:t>
      </w:r>
    </w:p>
    <w:p w14:paraId="024AD035" w14:textId="77777777" w:rsidR="00C159BE" w:rsidRPr="00683C72" w:rsidRDefault="00C159BE" w:rsidP="001A79A3">
      <w:pPr>
        <w:keepNext/>
        <w:spacing w:after="0"/>
        <w:jc w:val="both"/>
        <w:rPr>
          <w:rFonts w:cs="Calibri"/>
          <w:highlight w:val="yellow"/>
        </w:rPr>
      </w:pPr>
    </w:p>
    <w:p w14:paraId="0B22218D" w14:textId="379EF931" w:rsidR="00F034B3" w:rsidRDefault="00F034B3" w:rsidP="004C5BCF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EE27A5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 xml:space="preserve"> </w:t>
      </w:r>
      <w:r w:rsidRPr="00B50A90">
        <w:rPr>
          <w:rFonts w:asciiTheme="minorHAnsi" w:hAnsiTheme="minorHAnsi" w:cstheme="minorHAnsi"/>
        </w:rPr>
        <w:t xml:space="preserve">bylo zřízeno zákonem </w:t>
      </w:r>
      <w:r w:rsidR="008946B9">
        <w:rPr>
          <w:rFonts w:asciiTheme="minorHAnsi" w:hAnsiTheme="minorHAnsi" w:cstheme="minorHAnsi"/>
        </w:rPr>
        <w:t xml:space="preserve">České národní rady </w:t>
      </w:r>
      <w:r w:rsidRPr="00B50A90">
        <w:rPr>
          <w:rFonts w:asciiTheme="minorHAnsi" w:hAnsiTheme="minorHAnsi" w:cstheme="minorHAnsi"/>
        </w:rPr>
        <w:t>č. 2/1969 Sb., o zřízení ministerstev a jiných ústředních orgánů státní správy České republiky</w:t>
      </w:r>
      <w:r>
        <w:rPr>
          <w:rFonts w:asciiTheme="minorHAnsi" w:hAnsiTheme="minorHAnsi" w:cstheme="minorHAnsi"/>
        </w:rPr>
        <w:t xml:space="preserve">. </w:t>
      </w:r>
      <w:r w:rsidR="00FA5FAB" w:rsidRPr="0025480F">
        <w:rPr>
          <w:rFonts w:cstheme="minorHAnsi"/>
          <w:iCs/>
        </w:rPr>
        <w:t>MV je podle ustanovení § 12 zákona č.</w:t>
      </w:r>
      <w:r w:rsidR="0025480F">
        <w:rPr>
          <w:rFonts w:cstheme="minorHAnsi"/>
          <w:iCs/>
        </w:rPr>
        <w:t> </w:t>
      </w:r>
      <w:r w:rsidR="00FA5FAB" w:rsidRPr="0025480F">
        <w:rPr>
          <w:rFonts w:cstheme="minorHAnsi"/>
          <w:iCs/>
        </w:rPr>
        <w:t xml:space="preserve">2/1969 Sb. ústředním orgánem státní správy pro vnitřní věci, které jsou v tomto ustanovení </w:t>
      </w:r>
      <w:r w:rsidR="006917CF">
        <w:rPr>
          <w:rFonts w:cstheme="minorHAnsi"/>
          <w:iCs/>
        </w:rPr>
        <w:t>blíže</w:t>
      </w:r>
      <w:r w:rsidR="00FA5FAB" w:rsidRPr="0025480F">
        <w:rPr>
          <w:rFonts w:cstheme="minorHAnsi"/>
          <w:iCs/>
        </w:rPr>
        <w:t xml:space="preserve"> specifikovány.</w:t>
      </w:r>
      <w:r w:rsidR="00FA5FAB">
        <w:rPr>
          <w:rFonts w:asciiTheme="minorHAnsi" w:hAnsiTheme="minorHAnsi" w:cstheme="minorHAnsi"/>
        </w:rPr>
        <w:t xml:space="preserve"> </w:t>
      </w:r>
      <w:r w:rsidR="00006F9D" w:rsidRPr="00DD6C58">
        <w:rPr>
          <w:rFonts w:asciiTheme="minorHAnsi" w:hAnsiTheme="minorHAnsi" w:cstheme="minorHAnsi"/>
        </w:rPr>
        <w:t>MV dále plní koordinační úlohu v oblasti správního řízení, správního trestání, spisové služby a</w:t>
      </w:r>
      <w:r w:rsidR="001F3453">
        <w:rPr>
          <w:rFonts w:asciiTheme="minorHAnsi" w:hAnsiTheme="minorHAnsi" w:cstheme="minorHAnsi"/>
        </w:rPr>
        <w:t xml:space="preserve"> </w:t>
      </w:r>
      <w:r w:rsidR="00006F9D" w:rsidRPr="00DD6C58">
        <w:rPr>
          <w:rFonts w:asciiTheme="minorHAnsi" w:hAnsiTheme="minorHAnsi" w:cstheme="minorHAnsi"/>
        </w:rPr>
        <w:t>postupů podle kontrolního řádu</w:t>
      </w:r>
      <w:r w:rsidR="00006F9D" w:rsidRPr="00DD6C58">
        <w:rPr>
          <w:rStyle w:val="Znakapoznpodarou"/>
          <w:rFonts w:asciiTheme="minorHAnsi" w:hAnsiTheme="minorHAnsi" w:cstheme="minorHAnsi"/>
        </w:rPr>
        <w:footnoteReference w:id="19"/>
      </w:r>
      <w:r w:rsidR="00006F9D" w:rsidRPr="00DD6C58">
        <w:rPr>
          <w:rFonts w:asciiTheme="minorHAnsi" w:hAnsiTheme="minorHAnsi" w:cstheme="minorHAnsi"/>
        </w:rPr>
        <w:t>, v oblasti organizace a výkonu veřejné správy, v oblasti služebního poměru příslušníků bezpečnostních sborů a státní služby, pro informační a</w:t>
      </w:r>
      <w:r w:rsidR="006917CF">
        <w:rPr>
          <w:rFonts w:asciiTheme="minorHAnsi" w:hAnsiTheme="minorHAnsi" w:cstheme="minorHAnsi"/>
        </w:rPr>
        <w:t xml:space="preserve"> </w:t>
      </w:r>
      <w:r w:rsidR="00006F9D" w:rsidRPr="00DD6C58">
        <w:rPr>
          <w:rFonts w:asciiTheme="minorHAnsi" w:hAnsiTheme="minorHAnsi" w:cstheme="minorHAnsi"/>
        </w:rPr>
        <w:t>komunikační technologie a v</w:t>
      </w:r>
      <w:r w:rsidR="001F3453">
        <w:rPr>
          <w:rFonts w:asciiTheme="minorHAnsi" w:hAnsiTheme="minorHAnsi" w:cstheme="minorHAnsi"/>
        </w:rPr>
        <w:t xml:space="preserve"> </w:t>
      </w:r>
      <w:r w:rsidR="00006F9D" w:rsidRPr="00DD6C58">
        <w:rPr>
          <w:rFonts w:asciiTheme="minorHAnsi" w:hAnsiTheme="minorHAnsi" w:cstheme="minorHAnsi"/>
        </w:rPr>
        <w:t>oblasti evropských politických stran a</w:t>
      </w:r>
      <w:r w:rsidR="007A2C17">
        <w:rPr>
          <w:rFonts w:asciiTheme="minorHAnsi" w:hAnsiTheme="minorHAnsi" w:cstheme="minorHAnsi"/>
        </w:rPr>
        <w:t> </w:t>
      </w:r>
      <w:r w:rsidR="00006F9D" w:rsidRPr="00DD6C58">
        <w:rPr>
          <w:rFonts w:asciiTheme="minorHAnsi" w:hAnsiTheme="minorHAnsi" w:cstheme="minorHAnsi"/>
        </w:rPr>
        <w:t>evropských politických nadací se sídlem na území Č</w:t>
      </w:r>
      <w:r w:rsidR="00B06707">
        <w:rPr>
          <w:rFonts w:asciiTheme="minorHAnsi" w:hAnsiTheme="minorHAnsi" w:cstheme="minorHAnsi"/>
        </w:rPr>
        <w:t>R</w:t>
      </w:r>
      <w:r w:rsidR="00006F9D" w:rsidRPr="00DD6C58">
        <w:rPr>
          <w:rFonts w:asciiTheme="minorHAnsi" w:hAnsiTheme="minorHAnsi" w:cstheme="minorHAnsi"/>
        </w:rPr>
        <w:t>. MV rovněž zajišťuje komunikační sítě pro Policii Č</w:t>
      </w:r>
      <w:r w:rsidR="00B06707">
        <w:rPr>
          <w:rFonts w:asciiTheme="minorHAnsi" w:hAnsiTheme="minorHAnsi" w:cstheme="minorHAnsi"/>
        </w:rPr>
        <w:t>R</w:t>
      </w:r>
      <w:r w:rsidR="00006F9D" w:rsidRPr="00DD6C58">
        <w:rPr>
          <w:rFonts w:asciiTheme="minorHAnsi" w:hAnsiTheme="minorHAnsi" w:cstheme="minorHAnsi"/>
        </w:rPr>
        <w:t>, složky integrovaného záchranného systému a územní orgány státní správy a</w:t>
      </w:r>
      <w:r w:rsidR="006917CF">
        <w:rPr>
          <w:rFonts w:asciiTheme="minorHAnsi" w:hAnsiTheme="minorHAnsi" w:cstheme="minorHAnsi"/>
        </w:rPr>
        <w:t> </w:t>
      </w:r>
      <w:r w:rsidR="00006F9D" w:rsidRPr="00DD6C58">
        <w:rPr>
          <w:rFonts w:asciiTheme="minorHAnsi" w:hAnsiTheme="minorHAnsi" w:cstheme="minorHAnsi"/>
        </w:rPr>
        <w:t>provozuje informační systém pro nakládání s utajovanými informacemi mezi orgány veřejné moci.</w:t>
      </w:r>
    </w:p>
    <w:p w14:paraId="376DDCB7" w14:textId="77777777" w:rsidR="004C5BCF" w:rsidRPr="00683C72" w:rsidRDefault="004C5BCF" w:rsidP="004C5BCF">
      <w:pPr>
        <w:spacing w:after="0"/>
        <w:jc w:val="both"/>
        <w:rPr>
          <w:rFonts w:asciiTheme="minorHAnsi" w:hAnsiTheme="minorHAnsi" w:cstheme="minorHAnsi"/>
          <w:highlight w:val="yellow"/>
        </w:rPr>
      </w:pPr>
    </w:p>
    <w:p w14:paraId="0CB935AF" w14:textId="7BEBE073" w:rsidR="004C5BCF" w:rsidRDefault="00F11332" w:rsidP="004C5BCF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006F9D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 xml:space="preserve"> je d</w:t>
      </w:r>
      <w:r w:rsidR="005A6A6F" w:rsidRPr="00960FE9">
        <w:rPr>
          <w:rFonts w:asciiTheme="minorHAnsi" w:hAnsiTheme="minorHAnsi" w:cstheme="minorHAnsi"/>
        </w:rPr>
        <w:t>le zákona</w:t>
      </w:r>
      <w:r>
        <w:rPr>
          <w:rFonts w:asciiTheme="minorHAnsi" w:hAnsiTheme="minorHAnsi" w:cstheme="minorHAnsi"/>
        </w:rPr>
        <w:t xml:space="preserve"> č. 219/2000 Sb.</w:t>
      </w:r>
      <w:r w:rsidR="009E52D7">
        <w:rPr>
          <w:rStyle w:val="Znakapoznpodarou"/>
          <w:rFonts w:asciiTheme="minorHAnsi" w:hAnsiTheme="minorHAnsi" w:cstheme="minorHAnsi"/>
        </w:rPr>
        <w:footnoteReference w:id="20"/>
      </w:r>
      <w:r>
        <w:rPr>
          <w:rFonts w:asciiTheme="minorHAnsi" w:hAnsiTheme="minorHAnsi" w:cstheme="minorHAnsi"/>
        </w:rPr>
        <w:t xml:space="preserve"> </w:t>
      </w:r>
      <w:r w:rsidR="00960FE9" w:rsidRPr="00960FE9">
        <w:rPr>
          <w:rFonts w:asciiTheme="minorHAnsi" w:hAnsiTheme="minorHAnsi" w:cstheme="minorHAnsi"/>
        </w:rPr>
        <w:t>organizační složkou státu</w:t>
      </w:r>
      <w:r w:rsidR="00A045AE">
        <w:rPr>
          <w:rFonts w:asciiTheme="minorHAnsi" w:hAnsiTheme="minorHAnsi" w:cstheme="minorHAnsi"/>
        </w:rPr>
        <w:t xml:space="preserve"> </w:t>
      </w:r>
      <w:r w:rsidR="00A640AE" w:rsidRPr="00960FE9">
        <w:rPr>
          <w:rFonts w:asciiTheme="minorHAnsi" w:hAnsiTheme="minorHAnsi" w:cstheme="minorHAnsi"/>
        </w:rPr>
        <w:t>a dle zákona</w:t>
      </w:r>
      <w:r>
        <w:rPr>
          <w:rFonts w:asciiTheme="minorHAnsi" w:hAnsiTheme="minorHAnsi" w:cstheme="minorHAnsi"/>
        </w:rPr>
        <w:t xml:space="preserve"> č.</w:t>
      </w:r>
      <w:r w:rsidR="00F4469E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563/1991 Sb.</w:t>
      </w:r>
      <w:r w:rsidR="00F0213D" w:rsidRPr="00960FE9">
        <w:rPr>
          <w:rFonts w:asciiTheme="minorHAnsi" w:hAnsiTheme="minorHAnsi" w:cstheme="minorHAnsi"/>
        </w:rPr>
        <w:t xml:space="preserve"> </w:t>
      </w:r>
      <w:r w:rsidR="00A640AE" w:rsidRPr="00960FE9">
        <w:rPr>
          <w:rFonts w:asciiTheme="minorHAnsi" w:hAnsiTheme="minorHAnsi" w:cstheme="minorHAnsi"/>
        </w:rPr>
        <w:t>vybranou účetní jednotkou. Dle ustanovení §</w:t>
      </w:r>
      <w:r w:rsidR="00006F9D">
        <w:rPr>
          <w:rFonts w:asciiTheme="minorHAnsi" w:hAnsiTheme="minorHAnsi" w:cstheme="minorHAnsi"/>
        </w:rPr>
        <w:t xml:space="preserve"> </w:t>
      </w:r>
      <w:r w:rsidR="001106BD">
        <w:rPr>
          <w:rFonts w:asciiTheme="minorHAnsi" w:hAnsiTheme="minorHAnsi" w:cstheme="minorHAnsi"/>
        </w:rPr>
        <w:t>10 odst. 1</w:t>
      </w:r>
      <w:r w:rsidR="005C061D">
        <w:rPr>
          <w:rFonts w:asciiTheme="minorHAnsi" w:hAnsiTheme="minorHAnsi" w:cstheme="minorHAnsi"/>
        </w:rPr>
        <w:t xml:space="preserve"> </w:t>
      </w:r>
      <w:r w:rsidR="00BA2B34">
        <w:rPr>
          <w:rFonts w:asciiTheme="minorHAnsi" w:hAnsiTheme="minorHAnsi" w:cstheme="minorHAnsi"/>
        </w:rPr>
        <w:t xml:space="preserve">zákona č. 218/2000 Sb. </w:t>
      </w:r>
      <w:r w:rsidR="00A640AE" w:rsidRPr="00960FE9">
        <w:rPr>
          <w:rFonts w:asciiTheme="minorHAnsi" w:hAnsiTheme="minorHAnsi" w:cstheme="minorHAnsi"/>
        </w:rPr>
        <w:t>je</w:t>
      </w:r>
      <w:r w:rsidR="004A4FD6" w:rsidRPr="00960FE9">
        <w:rPr>
          <w:rFonts w:asciiTheme="minorHAnsi" w:hAnsiTheme="minorHAnsi" w:cstheme="minorHAnsi"/>
        </w:rPr>
        <w:t xml:space="preserve"> </w:t>
      </w:r>
      <w:r w:rsidR="00A640AE" w:rsidRPr="00960FE9">
        <w:rPr>
          <w:rFonts w:asciiTheme="minorHAnsi" w:hAnsiTheme="minorHAnsi" w:cstheme="minorHAnsi"/>
        </w:rPr>
        <w:t>správcem</w:t>
      </w:r>
      <w:r w:rsidR="004A4FD6" w:rsidRPr="00960FE9">
        <w:rPr>
          <w:rFonts w:asciiTheme="minorHAnsi" w:hAnsiTheme="minorHAnsi" w:cstheme="minorHAnsi"/>
        </w:rPr>
        <w:t xml:space="preserve"> </w:t>
      </w:r>
      <w:r w:rsidR="00A640AE" w:rsidRPr="00960FE9">
        <w:rPr>
          <w:rFonts w:asciiTheme="minorHAnsi" w:hAnsiTheme="minorHAnsi" w:cstheme="minorHAnsi"/>
        </w:rPr>
        <w:t>rozpočtové</w:t>
      </w:r>
      <w:r w:rsidR="004A4FD6" w:rsidRPr="00960FE9">
        <w:rPr>
          <w:rFonts w:asciiTheme="minorHAnsi" w:hAnsiTheme="minorHAnsi" w:cstheme="minorHAnsi"/>
        </w:rPr>
        <w:t xml:space="preserve"> </w:t>
      </w:r>
      <w:r w:rsidR="00A640AE" w:rsidRPr="00960FE9">
        <w:rPr>
          <w:rFonts w:asciiTheme="minorHAnsi" w:hAnsiTheme="minorHAnsi" w:cstheme="minorHAnsi"/>
        </w:rPr>
        <w:t>kapitoly</w:t>
      </w:r>
      <w:r w:rsidR="00B85D2E" w:rsidRPr="00960FE9">
        <w:rPr>
          <w:rFonts w:asciiTheme="minorHAnsi" w:hAnsiTheme="minorHAnsi" w:cstheme="minorHAnsi"/>
        </w:rPr>
        <w:t xml:space="preserve"> </w:t>
      </w:r>
      <w:r w:rsidR="00DC68F7" w:rsidRPr="00960FE9">
        <w:rPr>
          <w:rFonts w:asciiTheme="minorHAnsi" w:hAnsiTheme="minorHAnsi" w:cstheme="minorHAnsi"/>
        </w:rPr>
        <w:t>3</w:t>
      </w:r>
      <w:r w:rsidR="00006F9D">
        <w:rPr>
          <w:rFonts w:asciiTheme="minorHAnsi" w:hAnsiTheme="minorHAnsi" w:cstheme="minorHAnsi"/>
        </w:rPr>
        <w:t>14</w:t>
      </w:r>
      <w:r w:rsidR="001106BD">
        <w:rPr>
          <w:rFonts w:asciiTheme="minorHAnsi" w:hAnsiTheme="minorHAnsi" w:cstheme="minorHAnsi"/>
        </w:rPr>
        <w:t xml:space="preserve"> </w:t>
      </w:r>
      <w:r w:rsidR="00493991">
        <w:rPr>
          <w:lang w:eastAsia="cs-CZ"/>
        </w:rPr>
        <w:t>–</w:t>
      </w:r>
      <w:r w:rsidR="001106BD">
        <w:rPr>
          <w:rFonts w:asciiTheme="minorHAnsi" w:hAnsiTheme="minorHAnsi" w:cstheme="minorHAnsi"/>
        </w:rPr>
        <w:t xml:space="preserve"> </w:t>
      </w:r>
      <w:r w:rsidR="00A640AE" w:rsidRPr="00960FE9">
        <w:rPr>
          <w:rFonts w:asciiTheme="minorHAnsi" w:hAnsiTheme="minorHAnsi" w:cstheme="minorHAnsi"/>
          <w:i/>
        </w:rPr>
        <w:t>Ministerstvo</w:t>
      </w:r>
      <w:r w:rsidR="00006F9D">
        <w:rPr>
          <w:rFonts w:asciiTheme="minorHAnsi" w:hAnsiTheme="minorHAnsi" w:cstheme="minorHAnsi"/>
          <w:i/>
        </w:rPr>
        <w:t xml:space="preserve"> vnitra</w:t>
      </w:r>
      <w:r w:rsidR="00A640AE" w:rsidRPr="00960FE9">
        <w:rPr>
          <w:rFonts w:asciiTheme="minorHAnsi" w:hAnsiTheme="minorHAnsi" w:cstheme="minorHAnsi"/>
        </w:rPr>
        <w:t>.</w:t>
      </w:r>
      <w:r w:rsidR="001106BD">
        <w:rPr>
          <w:rFonts w:asciiTheme="minorHAnsi" w:hAnsiTheme="minorHAnsi" w:cstheme="minorHAnsi"/>
        </w:rPr>
        <w:t xml:space="preserve"> MV rovněž plní povinnosti zakladatele státních podniků. V zakladatelské působnosti MV byly k 31. prosinci 2021 </w:t>
      </w:r>
      <w:r w:rsidR="00BB36DA">
        <w:rPr>
          <w:rFonts w:asciiTheme="minorHAnsi" w:hAnsiTheme="minorHAnsi" w:cstheme="minorHAnsi"/>
        </w:rPr>
        <w:t>dva státní podniky.</w:t>
      </w:r>
    </w:p>
    <w:p w14:paraId="384D43A1" w14:textId="77777777" w:rsidR="009F20AA" w:rsidRPr="00960FE9" w:rsidRDefault="001106BD" w:rsidP="004C5BCF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07285527" w14:textId="77777777" w:rsidR="009F20AA" w:rsidRDefault="00FF714A" w:rsidP="004C5BCF">
      <w:pPr>
        <w:spacing w:after="0"/>
        <w:jc w:val="both"/>
        <w:rPr>
          <w:rFonts w:asciiTheme="minorHAnsi" w:hAnsiTheme="minorHAnsi" w:cstheme="minorHAnsi"/>
        </w:rPr>
      </w:pPr>
      <w:r w:rsidRPr="00960FE9">
        <w:rPr>
          <w:rFonts w:asciiTheme="minorHAnsi" w:hAnsiTheme="minorHAnsi" w:cstheme="minorHAnsi"/>
        </w:rPr>
        <w:t xml:space="preserve">V roce </w:t>
      </w:r>
      <w:r w:rsidR="00DC68F7" w:rsidRPr="00960FE9">
        <w:rPr>
          <w:rFonts w:asciiTheme="minorHAnsi" w:hAnsiTheme="minorHAnsi" w:cstheme="minorHAnsi"/>
        </w:rPr>
        <w:t>202</w:t>
      </w:r>
      <w:r w:rsidR="007B1148">
        <w:rPr>
          <w:rFonts w:asciiTheme="minorHAnsi" w:hAnsiTheme="minorHAnsi" w:cstheme="minorHAnsi"/>
        </w:rPr>
        <w:t>1</w:t>
      </w:r>
      <w:r w:rsidRPr="00960FE9">
        <w:rPr>
          <w:rFonts w:asciiTheme="minorHAnsi" w:hAnsiTheme="minorHAnsi" w:cstheme="minorHAnsi"/>
        </w:rPr>
        <w:t xml:space="preserve"> bylo </w:t>
      </w:r>
      <w:r w:rsidR="00DC68F7" w:rsidRPr="00960FE9">
        <w:rPr>
          <w:rFonts w:asciiTheme="minorHAnsi" w:hAnsiTheme="minorHAnsi" w:cstheme="minorHAnsi"/>
        </w:rPr>
        <w:t>M</w:t>
      </w:r>
      <w:r w:rsidR="007B1148">
        <w:rPr>
          <w:rFonts w:asciiTheme="minorHAnsi" w:hAnsiTheme="minorHAnsi" w:cstheme="minorHAnsi"/>
        </w:rPr>
        <w:t>V</w:t>
      </w:r>
      <w:r w:rsidRPr="00960FE9">
        <w:rPr>
          <w:rFonts w:asciiTheme="minorHAnsi" w:hAnsiTheme="minorHAnsi" w:cstheme="minorHAnsi"/>
        </w:rPr>
        <w:t xml:space="preserve"> zřizovatelem</w:t>
      </w:r>
      <w:r w:rsidR="007B1148">
        <w:rPr>
          <w:rFonts w:asciiTheme="minorHAnsi" w:hAnsiTheme="minorHAnsi" w:cstheme="minorHAnsi"/>
        </w:rPr>
        <w:t xml:space="preserve"> 46</w:t>
      </w:r>
      <w:r w:rsidRPr="00960FE9">
        <w:rPr>
          <w:rFonts w:asciiTheme="minorHAnsi" w:hAnsiTheme="minorHAnsi" w:cstheme="minorHAnsi"/>
        </w:rPr>
        <w:t xml:space="preserve"> </w:t>
      </w:r>
      <w:r w:rsidR="00927ABA" w:rsidRPr="00960FE9">
        <w:rPr>
          <w:rFonts w:asciiTheme="minorHAnsi" w:hAnsiTheme="minorHAnsi" w:cstheme="minorHAnsi"/>
        </w:rPr>
        <w:t>OSS</w:t>
      </w:r>
      <w:r w:rsidRPr="00960FE9">
        <w:rPr>
          <w:rFonts w:asciiTheme="minorHAnsi" w:hAnsiTheme="minorHAnsi" w:cstheme="minorHAnsi"/>
        </w:rPr>
        <w:t xml:space="preserve"> a </w:t>
      </w:r>
      <w:r w:rsidR="007B1148">
        <w:rPr>
          <w:rFonts w:asciiTheme="minorHAnsi" w:hAnsiTheme="minorHAnsi" w:cstheme="minorHAnsi"/>
        </w:rPr>
        <w:t>4</w:t>
      </w:r>
      <w:r w:rsidRPr="00960FE9">
        <w:rPr>
          <w:rFonts w:asciiTheme="minorHAnsi" w:hAnsiTheme="minorHAnsi" w:cstheme="minorHAnsi"/>
        </w:rPr>
        <w:t xml:space="preserve"> </w:t>
      </w:r>
      <w:r w:rsidR="00050BF8" w:rsidRPr="00960FE9">
        <w:rPr>
          <w:rFonts w:asciiTheme="minorHAnsi" w:hAnsiTheme="minorHAnsi" w:cstheme="minorHAnsi"/>
        </w:rPr>
        <w:t>PO</w:t>
      </w:r>
      <w:r w:rsidRPr="00960FE9">
        <w:rPr>
          <w:rFonts w:asciiTheme="minorHAnsi" w:hAnsiTheme="minorHAnsi" w:cstheme="minorHAnsi"/>
        </w:rPr>
        <w:t>.</w:t>
      </w:r>
    </w:p>
    <w:p w14:paraId="31576E98" w14:textId="77777777" w:rsidR="004C5BCF" w:rsidRPr="00960FE9" w:rsidRDefault="004C5BCF" w:rsidP="004C5BCF">
      <w:pPr>
        <w:spacing w:after="0"/>
        <w:jc w:val="both"/>
        <w:rPr>
          <w:rFonts w:asciiTheme="minorHAnsi" w:hAnsiTheme="minorHAnsi" w:cstheme="minorHAnsi"/>
        </w:rPr>
      </w:pPr>
    </w:p>
    <w:p w14:paraId="023A8441" w14:textId="77777777" w:rsidR="00E91FF5" w:rsidRDefault="00A640AE" w:rsidP="009F20AA">
      <w:pPr>
        <w:spacing w:after="0"/>
        <w:jc w:val="both"/>
        <w:rPr>
          <w:rFonts w:cs="Calibri"/>
        </w:rPr>
      </w:pPr>
      <w:r w:rsidRPr="003216DC">
        <w:rPr>
          <w:rFonts w:cs="Calibri"/>
        </w:rPr>
        <w:t>Přehled</w:t>
      </w:r>
      <w:r w:rsidR="00D85D8F">
        <w:rPr>
          <w:rFonts w:cs="Calibri"/>
        </w:rPr>
        <w:t xml:space="preserve"> vybraných</w:t>
      </w:r>
      <w:r w:rsidRPr="003216DC">
        <w:rPr>
          <w:rFonts w:cs="Calibri"/>
        </w:rPr>
        <w:t xml:space="preserve"> údajů z </w:t>
      </w:r>
      <w:r w:rsidR="00D37A9B" w:rsidRPr="003216DC">
        <w:rPr>
          <w:rFonts w:cs="Calibri"/>
        </w:rPr>
        <w:t xml:space="preserve">ÚZ </w:t>
      </w:r>
      <w:r w:rsidRPr="003216DC">
        <w:rPr>
          <w:rFonts w:cs="Calibri"/>
        </w:rPr>
        <w:t>a z výkazu pro hodnocení plnění rozpočtu správců kapitol a</w:t>
      </w:r>
      <w:r w:rsidR="009E57D6" w:rsidRPr="003216DC">
        <w:rPr>
          <w:rFonts w:cs="Calibri"/>
        </w:rPr>
        <w:t> </w:t>
      </w:r>
      <w:r w:rsidRPr="003216DC">
        <w:rPr>
          <w:rFonts w:cs="Calibri"/>
        </w:rPr>
        <w:t>organizačních složek státu</w:t>
      </w:r>
      <w:r w:rsidR="00D16053" w:rsidRPr="003216DC">
        <w:rPr>
          <w:rFonts w:cs="Calibri"/>
        </w:rPr>
        <w:t xml:space="preserve"> za rok </w:t>
      </w:r>
      <w:r w:rsidR="00903D51" w:rsidRPr="003216DC">
        <w:rPr>
          <w:rFonts w:cs="Calibri"/>
        </w:rPr>
        <w:t>202</w:t>
      </w:r>
      <w:r w:rsidR="00CB3E98">
        <w:rPr>
          <w:rFonts w:cs="Calibri"/>
        </w:rPr>
        <w:t>1</w:t>
      </w:r>
      <w:r w:rsidRPr="003216DC">
        <w:rPr>
          <w:rFonts w:cs="Calibri"/>
        </w:rPr>
        <w:t xml:space="preserve"> (dále také „výkaz FIN 1-12 OSS“) vygenerovaného z rozpočtového systému</w:t>
      </w:r>
      <w:r w:rsidRPr="003216DC">
        <w:rPr>
          <w:rStyle w:val="Znakapoznpodarou"/>
          <w:rFonts w:eastAsiaTheme="minorHAnsi" w:cs="Calibri"/>
        </w:rPr>
        <w:footnoteReference w:id="21"/>
      </w:r>
      <w:r w:rsidRPr="003216DC">
        <w:rPr>
          <w:rFonts w:cs="Calibri"/>
        </w:rPr>
        <w:t xml:space="preserve"> je uveden v následujících tabulkách.</w:t>
      </w:r>
    </w:p>
    <w:p w14:paraId="19F06C96" w14:textId="77777777" w:rsidR="005705EE" w:rsidRPr="003216DC" w:rsidRDefault="005705EE" w:rsidP="009F20AA">
      <w:pPr>
        <w:spacing w:after="0"/>
        <w:jc w:val="both"/>
        <w:rPr>
          <w:rFonts w:cs="Calibri"/>
        </w:rPr>
      </w:pPr>
    </w:p>
    <w:p w14:paraId="37826819" w14:textId="77777777" w:rsidR="00494B0F" w:rsidRPr="00202AEC" w:rsidRDefault="00A640AE" w:rsidP="005705EE">
      <w:pPr>
        <w:keepNext/>
        <w:ind w:left="1304" w:hanging="1304"/>
        <w:jc w:val="both"/>
        <w:rPr>
          <w:rFonts w:cs="Calibri"/>
        </w:rPr>
      </w:pPr>
      <w:r w:rsidRPr="00202AEC">
        <w:rPr>
          <w:rFonts w:cs="Calibri"/>
          <w:b/>
        </w:rPr>
        <w:t xml:space="preserve">Tabulka č. </w:t>
      </w:r>
      <w:r w:rsidR="003444C4">
        <w:rPr>
          <w:rFonts w:cs="Calibri"/>
          <w:b/>
        </w:rPr>
        <w:t>1</w:t>
      </w:r>
      <w:r w:rsidRPr="00202AEC">
        <w:rPr>
          <w:rFonts w:cs="Calibri"/>
          <w:b/>
        </w:rPr>
        <w:t xml:space="preserve">: </w:t>
      </w:r>
      <w:r w:rsidRPr="00202AEC">
        <w:rPr>
          <w:rFonts w:cs="Calibri"/>
          <w:b/>
        </w:rPr>
        <w:tab/>
        <w:t xml:space="preserve">Údaje </w:t>
      </w:r>
      <w:r w:rsidR="000B3825" w:rsidRPr="00202AEC">
        <w:rPr>
          <w:rFonts w:cs="Calibri"/>
          <w:b/>
        </w:rPr>
        <w:t>ÚZ</w:t>
      </w:r>
      <w:r w:rsidRPr="00202AEC">
        <w:rPr>
          <w:rFonts w:cs="Calibri"/>
          <w:b/>
        </w:rPr>
        <w:t xml:space="preserve"> – rozvaha a výkaz zisku a</w:t>
      </w:r>
      <w:r w:rsidR="001B1CD4" w:rsidRPr="00202AEC">
        <w:rPr>
          <w:rFonts w:cs="Calibri"/>
          <w:b/>
        </w:rPr>
        <w:t xml:space="preserve"> </w:t>
      </w:r>
      <w:r w:rsidRPr="00202AEC">
        <w:rPr>
          <w:rFonts w:cs="Calibri"/>
          <w:b/>
        </w:rPr>
        <w:t xml:space="preserve">ztráty </w:t>
      </w:r>
      <w:r w:rsidR="002F271F" w:rsidRPr="00202AEC">
        <w:rPr>
          <w:rFonts w:cs="Calibri"/>
          <w:b/>
        </w:rPr>
        <w:t>(</w:t>
      </w:r>
      <w:r w:rsidRPr="00202AEC">
        <w:rPr>
          <w:rFonts w:cs="Calibri"/>
          <w:b/>
        </w:rPr>
        <w:t>údaje za běžné účetní období</w:t>
      </w:r>
      <w:r w:rsidR="002F271F" w:rsidRPr="00202AEC">
        <w:rPr>
          <w:rFonts w:cs="Calibri"/>
          <w:b/>
        </w:rPr>
        <w:t>)</w:t>
      </w:r>
    </w:p>
    <w:tbl>
      <w:tblPr>
        <w:tblW w:w="907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50080C" w:rsidRPr="00683C72" w14:paraId="31E834CF" w14:textId="77777777" w:rsidTr="00124170">
        <w:trPr>
          <w:trHeight w:val="454"/>
        </w:trPr>
        <w:tc>
          <w:tcPr>
            <w:tcW w:w="4535" w:type="dxa"/>
            <w:shd w:val="clear" w:color="auto" w:fill="E5F1FF"/>
            <w:noWrap/>
            <w:vAlign w:val="center"/>
            <w:hideMark/>
          </w:tcPr>
          <w:p w14:paraId="20E05B01" w14:textId="77777777" w:rsidR="00494B0F" w:rsidRPr="00202AEC" w:rsidRDefault="00A640AE" w:rsidP="000015DC">
            <w:pPr>
              <w:keepNext/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02AEC">
              <w:rPr>
                <w:rFonts w:cs="Arial"/>
                <w:b/>
                <w:bCs/>
                <w:sz w:val="20"/>
                <w:szCs w:val="20"/>
              </w:rPr>
              <w:t>Ukazatel</w:t>
            </w:r>
          </w:p>
        </w:tc>
        <w:tc>
          <w:tcPr>
            <w:tcW w:w="4535" w:type="dxa"/>
            <w:shd w:val="clear" w:color="auto" w:fill="E5F1FF"/>
            <w:noWrap/>
            <w:vAlign w:val="center"/>
            <w:hideMark/>
          </w:tcPr>
          <w:p w14:paraId="5A0FF99F" w14:textId="77777777" w:rsidR="00494B0F" w:rsidRPr="00202AEC" w:rsidRDefault="00A640AE" w:rsidP="000015DC">
            <w:pPr>
              <w:keepNext/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02AEC">
              <w:rPr>
                <w:rFonts w:cs="Arial"/>
                <w:b/>
                <w:bCs/>
                <w:sz w:val="20"/>
                <w:szCs w:val="20"/>
              </w:rPr>
              <w:t>Částka v</w:t>
            </w:r>
            <w:r w:rsidR="00235BAE">
              <w:rPr>
                <w:rFonts w:cs="Arial"/>
                <w:b/>
                <w:bCs/>
                <w:sz w:val="20"/>
                <w:szCs w:val="20"/>
              </w:rPr>
              <w:t> </w:t>
            </w:r>
            <w:r w:rsidRPr="00202AEC">
              <w:rPr>
                <w:rFonts w:cs="Arial"/>
                <w:b/>
                <w:bCs/>
                <w:sz w:val="20"/>
                <w:szCs w:val="20"/>
              </w:rPr>
              <w:t>Kč</w:t>
            </w:r>
          </w:p>
        </w:tc>
      </w:tr>
      <w:tr w:rsidR="00D37A9B" w:rsidRPr="00683C72" w14:paraId="091C59E2" w14:textId="77777777" w:rsidTr="00124170">
        <w:trPr>
          <w:trHeight w:val="340"/>
        </w:trPr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343EC031" w14:textId="77777777" w:rsidR="00D37A9B" w:rsidRPr="00202AEC" w:rsidRDefault="00D37A9B" w:rsidP="000015DC">
            <w:pPr>
              <w:keepNext/>
              <w:spacing w:after="0"/>
              <w:rPr>
                <w:rFonts w:cs="Arial"/>
                <w:sz w:val="20"/>
                <w:szCs w:val="20"/>
              </w:rPr>
            </w:pPr>
            <w:r w:rsidRPr="00202AEC">
              <w:rPr>
                <w:rFonts w:cs="Arial"/>
                <w:sz w:val="20"/>
                <w:szCs w:val="20"/>
              </w:rPr>
              <w:t>Aktiva netto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665FED38" w14:textId="77777777" w:rsidR="00D37A9B" w:rsidRPr="00202AEC" w:rsidRDefault="003E5FE8" w:rsidP="000015DC">
            <w:pPr>
              <w:keepNext/>
              <w:spacing w:after="0"/>
              <w:ind w:right="787"/>
              <w:jc w:val="right"/>
              <w:rPr>
                <w:rFonts w:cs="Arial"/>
                <w:bCs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26 973 512 820,51</w:t>
            </w:r>
          </w:p>
        </w:tc>
      </w:tr>
      <w:tr w:rsidR="00D37A9B" w:rsidRPr="00683C72" w14:paraId="2E4FEED2" w14:textId="77777777" w:rsidTr="00124170">
        <w:trPr>
          <w:trHeight w:val="340"/>
        </w:trPr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1FB0F318" w14:textId="77777777" w:rsidR="00D37A9B" w:rsidRPr="00202AEC" w:rsidRDefault="00D37A9B" w:rsidP="000015DC">
            <w:pPr>
              <w:keepNext/>
              <w:spacing w:after="0"/>
              <w:rPr>
                <w:rFonts w:cs="Arial"/>
                <w:sz w:val="20"/>
                <w:szCs w:val="20"/>
              </w:rPr>
            </w:pPr>
            <w:r w:rsidRPr="00202AEC">
              <w:rPr>
                <w:rFonts w:cs="Arial"/>
                <w:sz w:val="20"/>
                <w:szCs w:val="20"/>
              </w:rPr>
              <w:t>Pasiva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626A97D7" w14:textId="77777777" w:rsidR="00D37A9B" w:rsidRPr="00202AEC" w:rsidRDefault="003E5FE8" w:rsidP="000015DC">
            <w:pPr>
              <w:keepNext/>
              <w:spacing w:after="0"/>
              <w:ind w:right="787"/>
              <w:jc w:val="right"/>
              <w:rPr>
                <w:rFonts w:cs="Arial"/>
                <w:bCs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26 973 512 820,51</w:t>
            </w:r>
          </w:p>
        </w:tc>
      </w:tr>
      <w:tr w:rsidR="00D37A9B" w:rsidRPr="00683C72" w14:paraId="24C3C166" w14:textId="77777777" w:rsidTr="00124170">
        <w:trPr>
          <w:trHeight w:val="340"/>
        </w:trPr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4B89AE5A" w14:textId="77777777" w:rsidR="00D37A9B" w:rsidRPr="00202AEC" w:rsidRDefault="00D37A9B" w:rsidP="000015DC">
            <w:pPr>
              <w:keepNext/>
              <w:spacing w:after="0"/>
              <w:rPr>
                <w:rFonts w:cs="Arial"/>
                <w:sz w:val="20"/>
                <w:szCs w:val="20"/>
              </w:rPr>
            </w:pPr>
            <w:r w:rsidRPr="00202AEC">
              <w:rPr>
                <w:rFonts w:cs="Arial"/>
                <w:sz w:val="20"/>
                <w:szCs w:val="20"/>
              </w:rPr>
              <w:t>Náklady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7BF29825" w14:textId="77777777" w:rsidR="00D37A9B" w:rsidRPr="00202AEC" w:rsidRDefault="003E5FE8" w:rsidP="000015DC">
            <w:pPr>
              <w:keepNext/>
              <w:spacing w:after="0"/>
              <w:ind w:right="787"/>
              <w:jc w:val="right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34 893 859 186,99</w:t>
            </w:r>
          </w:p>
        </w:tc>
      </w:tr>
      <w:tr w:rsidR="00D37A9B" w:rsidRPr="00683C72" w14:paraId="072CF9A2" w14:textId="77777777" w:rsidTr="00124170">
        <w:trPr>
          <w:trHeight w:val="340"/>
        </w:trPr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04DF2692" w14:textId="77777777" w:rsidR="00D37A9B" w:rsidRPr="00202AEC" w:rsidRDefault="00D37A9B" w:rsidP="000015DC">
            <w:pPr>
              <w:keepNext/>
              <w:spacing w:after="0"/>
              <w:rPr>
                <w:rFonts w:cs="Arial"/>
                <w:sz w:val="20"/>
                <w:szCs w:val="20"/>
              </w:rPr>
            </w:pPr>
            <w:r w:rsidRPr="00202AEC">
              <w:rPr>
                <w:rFonts w:cs="Arial"/>
                <w:sz w:val="20"/>
                <w:szCs w:val="20"/>
              </w:rPr>
              <w:t>Výnosy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7FD77192" w14:textId="77777777" w:rsidR="00D37A9B" w:rsidRPr="00845827" w:rsidRDefault="003E5FE8" w:rsidP="000015DC">
            <w:pPr>
              <w:keepNext/>
              <w:spacing w:after="0"/>
              <w:ind w:right="787"/>
              <w:jc w:val="right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2 346 828 383,47</w:t>
            </w:r>
          </w:p>
        </w:tc>
      </w:tr>
      <w:tr w:rsidR="00D37A9B" w:rsidRPr="00683C72" w14:paraId="3CDE5B86" w14:textId="77777777" w:rsidTr="00124170">
        <w:trPr>
          <w:trHeight w:val="340"/>
        </w:trPr>
        <w:tc>
          <w:tcPr>
            <w:tcW w:w="4535" w:type="dxa"/>
            <w:shd w:val="clear" w:color="auto" w:fill="auto"/>
            <w:vAlign w:val="center"/>
            <w:hideMark/>
          </w:tcPr>
          <w:p w14:paraId="63717E9C" w14:textId="77777777" w:rsidR="00D37A9B" w:rsidRPr="00202AEC" w:rsidRDefault="00D37A9B" w:rsidP="000015DC">
            <w:pPr>
              <w:keepNext/>
              <w:spacing w:after="0"/>
              <w:rPr>
                <w:rFonts w:cs="Arial"/>
                <w:sz w:val="20"/>
                <w:szCs w:val="20"/>
              </w:rPr>
            </w:pPr>
            <w:r w:rsidRPr="00202AEC">
              <w:rPr>
                <w:rFonts w:cs="Arial"/>
                <w:sz w:val="20"/>
                <w:szCs w:val="20"/>
              </w:rPr>
              <w:t>Výsledek hospodaření běžného účetního období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141320CF" w14:textId="230E98C3" w:rsidR="00D37A9B" w:rsidRPr="0061766C" w:rsidRDefault="006917CF" w:rsidP="00AF5440">
            <w:pPr>
              <w:keepNext/>
              <w:spacing w:after="0"/>
              <w:ind w:right="787"/>
              <w:jc w:val="right"/>
              <w:rPr>
                <w:rFonts w:cs="Arial"/>
                <w:bCs/>
                <w:sz w:val="20"/>
                <w:szCs w:val="20"/>
                <w:highlight w:val="yellow"/>
              </w:rPr>
            </w:pPr>
            <w:r w:rsidRPr="00124170">
              <w:rPr>
                <w:rFonts w:cs="Calibri"/>
                <w:sz w:val="20"/>
                <w:szCs w:val="20"/>
              </w:rPr>
              <w:t>−</w:t>
            </w:r>
            <w:r w:rsidR="003E5FE8">
              <w:rPr>
                <w:rFonts w:cs="Arial"/>
                <w:bCs/>
                <w:sz w:val="20"/>
                <w:szCs w:val="20"/>
              </w:rPr>
              <w:t>32 547 030 803,52</w:t>
            </w:r>
          </w:p>
        </w:tc>
      </w:tr>
    </w:tbl>
    <w:p w14:paraId="3969F19B" w14:textId="77777777" w:rsidR="00494B0F" w:rsidRPr="00D40705" w:rsidRDefault="00A640AE" w:rsidP="00D40705">
      <w:pPr>
        <w:keepNext/>
        <w:spacing w:after="0"/>
        <w:rPr>
          <w:rFonts w:cs="Arial"/>
          <w:bCs/>
          <w:sz w:val="20"/>
          <w:szCs w:val="20"/>
        </w:rPr>
      </w:pPr>
      <w:r w:rsidRPr="00D40705">
        <w:rPr>
          <w:rFonts w:cs="Arial"/>
          <w:b/>
          <w:sz w:val="20"/>
          <w:szCs w:val="20"/>
        </w:rPr>
        <w:t>Zdroj:</w:t>
      </w:r>
      <w:r w:rsidRPr="00D40705">
        <w:rPr>
          <w:rFonts w:cs="Arial"/>
          <w:bCs/>
          <w:sz w:val="20"/>
          <w:szCs w:val="20"/>
        </w:rPr>
        <w:t xml:space="preserve"> </w:t>
      </w:r>
      <w:r w:rsidR="000B3825" w:rsidRPr="00D40705">
        <w:rPr>
          <w:rFonts w:cs="Arial"/>
          <w:bCs/>
          <w:sz w:val="20"/>
          <w:szCs w:val="20"/>
        </w:rPr>
        <w:t>ÚZ</w:t>
      </w:r>
      <w:r w:rsidR="003444C4">
        <w:rPr>
          <w:rFonts w:cs="Arial"/>
          <w:bCs/>
          <w:sz w:val="20"/>
          <w:szCs w:val="20"/>
        </w:rPr>
        <w:t>.</w:t>
      </w:r>
    </w:p>
    <w:p w14:paraId="30669D8D" w14:textId="0207236C" w:rsidR="00640193" w:rsidRPr="001F3453" w:rsidRDefault="00A640AE" w:rsidP="00F96647">
      <w:pPr>
        <w:spacing w:after="0"/>
        <w:ind w:left="567" w:hanging="567"/>
        <w:jc w:val="both"/>
        <w:rPr>
          <w:rFonts w:cs="Arial"/>
          <w:bCs/>
          <w:iCs/>
        </w:rPr>
      </w:pPr>
      <w:r w:rsidRPr="00D40705">
        <w:rPr>
          <w:rFonts w:cs="Arial"/>
          <w:b/>
          <w:sz w:val="20"/>
          <w:szCs w:val="20"/>
        </w:rPr>
        <w:t>Pozn.:</w:t>
      </w:r>
      <w:r w:rsidR="005705EE" w:rsidRPr="00D40705">
        <w:rPr>
          <w:rFonts w:cs="Arial"/>
          <w:bCs/>
          <w:sz w:val="20"/>
          <w:szCs w:val="20"/>
        </w:rPr>
        <w:t xml:space="preserve"> </w:t>
      </w:r>
      <w:r w:rsidR="00BA2B34">
        <w:rPr>
          <w:rFonts w:cs="Arial"/>
          <w:bCs/>
          <w:sz w:val="20"/>
          <w:szCs w:val="20"/>
        </w:rPr>
        <w:tab/>
      </w:r>
      <w:r w:rsidR="00AF5440" w:rsidRPr="00D40705">
        <w:rPr>
          <w:rFonts w:cs="Arial"/>
          <w:bCs/>
          <w:sz w:val="20"/>
          <w:szCs w:val="20"/>
        </w:rPr>
        <w:t>M</w:t>
      </w:r>
      <w:r w:rsidR="003E5FE8">
        <w:rPr>
          <w:rFonts w:cs="Arial"/>
          <w:bCs/>
          <w:sz w:val="20"/>
          <w:szCs w:val="20"/>
        </w:rPr>
        <w:t>V</w:t>
      </w:r>
      <w:r w:rsidRPr="00D40705">
        <w:rPr>
          <w:rFonts w:cs="Arial"/>
          <w:bCs/>
          <w:sz w:val="20"/>
          <w:szCs w:val="20"/>
        </w:rPr>
        <w:t xml:space="preserve"> v ÚZ vykázalo aktiva v hodnotě brutto ve výši</w:t>
      </w:r>
      <w:r w:rsidR="003E5FE8">
        <w:rPr>
          <w:rFonts w:cs="Arial"/>
          <w:bCs/>
          <w:sz w:val="20"/>
          <w:szCs w:val="20"/>
        </w:rPr>
        <w:t xml:space="preserve"> 53 048 432 246,65</w:t>
      </w:r>
      <w:r w:rsidR="00D37A9B" w:rsidRPr="00D40705">
        <w:rPr>
          <w:rFonts w:cs="Arial"/>
          <w:bCs/>
          <w:sz w:val="20"/>
          <w:szCs w:val="20"/>
        </w:rPr>
        <w:t xml:space="preserve"> Kč</w:t>
      </w:r>
      <w:r w:rsidRPr="00D40705">
        <w:rPr>
          <w:rFonts w:cs="Arial"/>
          <w:bCs/>
          <w:sz w:val="20"/>
          <w:szCs w:val="20"/>
        </w:rPr>
        <w:t xml:space="preserve"> upravené </w:t>
      </w:r>
      <w:r w:rsidR="000B4B25" w:rsidRPr="00D40705">
        <w:rPr>
          <w:rFonts w:cs="Arial"/>
          <w:bCs/>
          <w:sz w:val="20"/>
          <w:szCs w:val="20"/>
        </w:rPr>
        <w:t>o</w:t>
      </w:r>
      <w:r w:rsidR="00854846">
        <w:rPr>
          <w:rFonts w:cs="Arial"/>
          <w:bCs/>
          <w:sz w:val="20"/>
          <w:szCs w:val="20"/>
        </w:rPr>
        <w:t xml:space="preserve"> </w:t>
      </w:r>
      <w:r w:rsidRPr="00D40705">
        <w:rPr>
          <w:rFonts w:cs="Arial"/>
          <w:bCs/>
          <w:sz w:val="20"/>
          <w:szCs w:val="20"/>
        </w:rPr>
        <w:t>korekce ve výši</w:t>
      </w:r>
      <w:r w:rsidR="003E5FE8">
        <w:rPr>
          <w:rFonts w:cs="Arial"/>
          <w:bCs/>
          <w:sz w:val="20"/>
          <w:szCs w:val="20"/>
        </w:rPr>
        <w:t xml:space="preserve"> 26 074 919 426,14</w:t>
      </w:r>
      <w:r w:rsidRPr="00D40705">
        <w:rPr>
          <w:rFonts w:cs="Arial"/>
          <w:bCs/>
          <w:sz w:val="20"/>
          <w:szCs w:val="20"/>
        </w:rPr>
        <w:t xml:space="preserve"> Kč.</w:t>
      </w:r>
    </w:p>
    <w:p w14:paraId="6BB706AF" w14:textId="77777777" w:rsidR="00494B0F" w:rsidRPr="00BB0827" w:rsidRDefault="00494B0F" w:rsidP="007012B8">
      <w:pPr>
        <w:spacing w:after="0"/>
        <w:ind w:left="567" w:hanging="567"/>
        <w:jc w:val="both"/>
        <w:rPr>
          <w:rFonts w:cs="Arial"/>
        </w:rPr>
      </w:pPr>
    </w:p>
    <w:p w14:paraId="678846F5" w14:textId="77777777" w:rsidR="009706C3" w:rsidRDefault="009706C3">
      <w:pPr>
        <w:spacing w:after="160" w:line="259" w:lineRule="auto"/>
        <w:rPr>
          <w:rFonts w:cs="Arial"/>
          <w:b/>
          <w:spacing w:val="-4"/>
        </w:rPr>
      </w:pPr>
      <w:r>
        <w:rPr>
          <w:rFonts w:cs="Arial"/>
          <w:b/>
          <w:spacing w:val="-4"/>
        </w:rPr>
        <w:br w:type="page"/>
      </w:r>
    </w:p>
    <w:p w14:paraId="721707AF" w14:textId="77777777" w:rsidR="00494B0F" w:rsidRPr="00D85D8F" w:rsidRDefault="00A640AE" w:rsidP="005705EE">
      <w:pPr>
        <w:keepNext/>
        <w:ind w:left="1304" w:hanging="1304"/>
        <w:jc w:val="both"/>
        <w:rPr>
          <w:rFonts w:cs="Arial"/>
          <w:b/>
          <w:spacing w:val="-4"/>
        </w:rPr>
      </w:pPr>
      <w:r w:rsidRPr="00D85D8F">
        <w:rPr>
          <w:rFonts w:cs="Arial"/>
          <w:b/>
          <w:spacing w:val="-4"/>
        </w:rPr>
        <w:lastRenderedPageBreak/>
        <w:t xml:space="preserve">Tabulka č. </w:t>
      </w:r>
      <w:r w:rsidR="003444C4">
        <w:rPr>
          <w:rFonts w:cs="Arial"/>
          <w:b/>
          <w:spacing w:val="-4"/>
        </w:rPr>
        <w:t>2</w:t>
      </w:r>
      <w:r w:rsidRPr="00D85D8F">
        <w:rPr>
          <w:rFonts w:cs="Arial"/>
          <w:b/>
          <w:spacing w:val="-4"/>
        </w:rPr>
        <w:t xml:space="preserve">: </w:t>
      </w:r>
      <w:r w:rsidRPr="00D85D8F">
        <w:rPr>
          <w:rFonts w:cs="Arial"/>
          <w:b/>
          <w:spacing w:val="-4"/>
        </w:rPr>
        <w:tab/>
        <w:t xml:space="preserve">Údaje </w:t>
      </w:r>
      <w:r w:rsidR="000B3825" w:rsidRPr="00D85D8F">
        <w:rPr>
          <w:rFonts w:cs="Arial"/>
          <w:b/>
          <w:spacing w:val="-4"/>
        </w:rPr>
        <w:t>ÚZ</w:t>
      </w:r>
      <w:r w:rsidRPr="00D85D8F">
        <w:rPr>
          <w:rFonts w:cs="Arial"/>
          <w:b/>
          <w:spacing w:val="-4"/>
        </w:rPr>
        <w:t xml:space="preserve"> – informace o stavu účtů v knize podrozvahových účtů </w:t>
      </w:r>
      <w:r w:rsidR="002F271F" w:rsidRPr="00D85D8F">
        <w:rPr>
          <w:rFonts w:cs="Arial"/>
          <w:b/>
          <w:spacing w:val="-4"/>
        </w:rPr>
        <w:t>(</w:t>
      </w:r>
      <w:r w:rsidRPr="00D85D8F">
        <w:rPr>
          <w:rFonts w:cs="Arial"/>
          <w:b/>
          <w:spacing w:val="-4"/>
        </w:rPr>
        <w:t>údaje za běžné účetní období</w:t>
      </w:r>
      <w:r w:rsidR="002F271F" w:rsidRPr="00D85D8F">
        <w:rPr>
          <w:rFonts w:cs="Arial"/>
          <w:b/>
          <w:spacing w:val="-4"/>
        </w:rPr>
        <w:t>)</w:t>
      </w:r>
    </w:p>
    <w:tbl>
      <w:tblPr>
        <w:tblW w:w="905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2"/>
        <w:gridCol w:w="5000"/>
        <w:gridCol w:w="1539"/>
        <w:gridCol w:w="1701"/>
      </w:tblGrid>
      <w:tr w:rsidR="00C01049" w:rsidRPr="00683C72" w14:paraId="1AC96A75" w14:textId="77777777" w:rsidTr="00C01049">
        <w:trPr>
          <w:trHeight w:val="300"/>
          <w:tblHeader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788EA6E1" w14:textId="77777777" w:rsidR="00C01049" w:rsidRPr="00381DAD" w:rsidRDefault="00C01049" w:rsidP="00085D01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81DA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Položka výkazu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13A4EB92" w14:textId="66E68AA6" w:rsidR="00C01049" w:rsidRPr="00381DAD" w:rsidRDefault="00B06707" w:rsidP="00085D01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</w:t>
            </w:r>
            <w:r w:rsidR="00C0104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odrozvahov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ý </w:t>
            </w:r>
            <w:r w:rsidR="00C0104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úč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8EDEDD2" w14:textId="77777777" w:rsidR="00C01049" w:rsidRPr="00381DAD" w:rsidRDefault="00C01049" w:rsidP="00085D01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81DA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Částka v</w:t>
            </w:r>
            <w:r w:rsidR="00235BA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 </w:t>
            </w:r>
            <w:r w:rsidRPr="00381DA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Kč</w:t>
            </w:r>
          </w:p>
        </w:tc>
      </w:tr>
      <w:tr w:rsidR="00C01049" w:rsidRPr="00683C72" w14:paraId="3A56048C" w14:textId="77777777" w:rsidTr="00124170">
        <w:trPr>
          <w:trHeight w:val="34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5C3D3" w14:textId="77777777" w:rsidR="00C01049" w:rsidRDefault="00C01049" w:rsidP="005B584C">
            <w:pPr>
              <w:autoSpaceDE w:val="0"/>
              <w:autoSpaceDN w:val="0"/>
              <w:adjustRightInd w:val="0"/>
              <w:spacing w:after="0"/>
              <w:ind w:right="-57"/>
              <w:rPr>
                <w:rFonts w:eastAsiaTheme="minorHAnsi" w:cstheme="minorHAnsi"/>
                <w:sz w:val="20"/>
                <w:szCs w:val="20"/>
              </w:rPr>
            </w:pPr>
            <w:r>
              <w:rPr>
                <w:rFonts w:eastAsiaTheme="minorHAnsi" w:cstheme="minorHAnsi"/>
                <w:sz w:val="20"/>
                <w:szCs w:val="20"/>
              </w:rPr>
              <w:t>P.V.</w:t>
            </w:r>
            <w:r w:rsidR="00573430">
              <w:rPr>
                <w:rFonts w:eastAsiaTheme="minorHAnsi" w:cstheme="minorHAnsi"/>
                <w:sz w:val="20"/>
                <w:szCs w:val="20"/>
              </w:rPr>
              <w:t>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4DC5" w14:textId="77777777" w:rsidR="00C01049" w:rsidRPr="007A66A1" w:rsidRDefault="00C01049" w:rsidP="005B584C">
            <w:pPr>
              <w:autoSpaceDE w:val="0"/>
              <w:autoSpaceDN w:val="0"/>
              <w:adjustRightInd w:val="0"/>
              <w:spacing w:after="0"/>
              <w:ind w:right="-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Ostatní dlouhodobé podmíněné závazky z</w:t>
            </w:r>
            <w:r w:rsidR="001937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transferů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2496B" w14:textId="77777777" w:rsidR="00C01049" w:rsidRPr="007A66A1" w:rsidRDefault="00C01049" w:rsidP="00C01049">
            <w:pPr>
              <w:spacing w:after="0"/>
              <w:ind w:right="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77951" w14:textId="77777777" w:rsidR="00C01049" w:rsidRPr="007A66A1" w:rsidRDefault="00C01049" w:rsidP="004469C7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1 857 353 005,49</w:t>
            </w:r>
          </w:p>
        </w:tc>
      </w:tr>
      <w:tr w:rsidR="00C01049" w:rsidRPr="00683C72" w14:paraId="6C86F320" w14:textId="77777777" w:rsidTr="00124170">
        <w:trPr>
          <w:trHeight w:val="34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94CD3" w14:textId="77777777" w:rsidR="00C01049" w:rsidRPr="007A66A1" w:rsidRDefault="00C01049" w:rsidP="005B584C">
            <w:pPr>
              <w:autoSpaceDE w:val="0"/>
              <w:autoSpaceDN w:val="0"/>
              <w:adjustRightInd w:val="0"/>
              <w:spacing w:after="0"/>
              <w:ind w:right="-57"/>
              <w:rPr>
                <w:rFonts w:eastAsiaTheme="minorHAnsi" w:cstheme="minorHAnsi"/>
                <w:sz w:val="20"/>
                <w:szCs w:val="20"/>
              </w:rPr>
            </w:pPr>
            <w:r>
              <w:rPr>
                <w:rFonts w:eastAsiaTheme="minorHAnsi" w:cstheme="minorHAnsi"/>
                <w:sz w:val="20"/>
                <w:szCs w:val="20"/>
              </w:rPr>
              <w:t>P.VI.</w:t>
            </w:r>
            <w:r w:rsidR="00573430">
              <w:rPr>
                <w:rFonts w:eastAsiaTheme="minorHAnsi" w:cstheme="minorHAnsi"/>
                <w:sz w:val="20"/>
                <w:szCs w:val="20"/>
              </w:rPr>
              <w:t>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4E596" w14:textId="77777777" w:rsidR="00C01049" w:rsidRPr="007A66A1" w:rsidRDefault="00C01049" w:rsidP="005B584C">
            <w:pPr>
              <w:autoSpaceDE w:val="0"/>
              <w:autoSpaceDN w:val="0"/>
              <w:adjustRightInd w:val="0"/>
              <w:spacing w:after="0"/>
              <w:ind w:right="-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Dlouhodobé podmíněné závazky z důvodu užívání cizího majetku na základě smlouvy o výpůjčce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88868" w14:textId="77777777" w:rsidR="00C01049" w:rsidRPr="007A66A1" w:rsidRDefault="00C01049" w:rsidP="00C01049">
            <w:pPr>
              <w:spacing w:after="0"/>
              <w:ind w:right="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966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5BA3F" w14:textId="77777777" w:rsidR="00C01049" w:rsidRPr="007A66A1" w:rsidRDefault="00C01049" w:rsidP="004469C7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968 414 813,47</w:t>
            </w:r>
          </w:p>
        </w:tc>
      </w:tr>
      <w:tr w:rsidR="00EA0855" w:rsidRPr="00683C72" w14:paraId="40B9092B" w14:textId="77777777" w:rsidTr="00124170">
        <w:trPr>
          <w:trHeight w:val="34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A16BA" w14:textId="77777777" w:rsidR="00EA0855" w:rsidRDefault="00EA0855" w:rsidP="00EA0855">
            <w:pPr>
              <w:autoSpaceDE w:val="0"/>
              <w:autoSpaceDN w:val="0"/>
              <w:adjustRightInd w:val="0"/>
              <w:spacing w:after="0"/>
              <w:ind w:right="-57"/>
              <w:rPr>
                <w:rFonts w:eastAsiaTheme="minorHAnsi" w:cstheme="minorHAnsi"/>
                <w:sz w:val="20"/>
                <w:szCs w:val="20"/>
              </w:rPr>
            </w:pPr>
            <w:r>
              <w:rPr>
                <w:rFonts w:eastAsiaTheme="minorHAnsi" w:cstheme="minorHAnsi"/>
                <w:sz w:val="20"/>
                <w:szCs w:val="20"/>
              </w:rPr>
              <w:t>P.VI.8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69A0A" w14:textId="77777777" w:rsidR="00EA0855" w:rsidRDefault="00EA0855" w:rsidP="00EA0855">
            <w:pPr>
              <w:autoSpaceDE w:val="0"/>
              <w:autoSpaceDN w:val="0"/>
              <w:adjustRightInd w:val="0"/>
              <w:spacing w:after="0"/>
              <w:ind w:right="-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Dlouhodobé podmíněné závazky z důvodu užívání cizího majetku nebo jeho převzetí z jiných důvodů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03B83" w14:textId="77777777" w:rsidR="00EA0855" w:rsidRDefault="00EA0855" w:rsidP="00EA0855">
            <w:pPr>
              <w:spacing w:after="0"/>
              <w:ind w:right="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968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7EE2E" w14:textId="77777777" w:rsidR="00EA0855" w:rsidRDefault="00EA0855" w:rsidP="00EA0855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434 634 622,67</w:t>
            </w:r>
          </w:p>
        </w:tc>
      </w:tr>
      <w:tr w:rsidR="00EA0855" w:rsidRPr="00683C72" w14:paraId="10F8B496" w14:textId="77777777" w:rsidTr="00124170">
        <w:trPr>
          <w:trHeight w:val="34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181C7" w14:textId="77777777" w:rsidR="00EA0855" w:rsidRPr="00683C72" w:rsidRDefault="00EA0855" w:rsidP="00EA0855">
            <w:pPr>
              <w:autoSpaceDE w:val="0"/>
              <w:autoSpaceDN w:val="0"/>
              <w:adjustRightInd w:val="0"/>
              <w:spacing w:after="0"/>
              <w:ind w:right="-57"/>
              <w:rPr>
                <w:rFonts w:eastAsiaTheme="minorHAnsi" w:cstheme="minorHAnsi"/>
                <w:sz w:val="20"/>
                <w:szCs w:val="20"/>
                <w:highlight w:val="yellow"/>
              </w:rPr>
            </w:pPr>
            <w:r w:rsidRPr="007A66A1">
              <w:rPr>
                <w:rFonts w:eastAsiaTheme="minorHAnsi" w:cstheme="minorHAnsi"/>
                <w:sz w:val="20"/>
                <w:szCs w:val="20"/>
              </w:rPr>
              <w:t>P.VII.4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C69E2" w14:textId="77777777" w:rsidR="00EA0855" w:rsidRPr="007A66A1" w:rsidRDefault="00EA0855" w:rsidP="00EA0855">
            <w:pPr>
              <w:autoSpaceDE w:val="0"/>
              <w:autoSpaceDN w:val="0"/>
              <w:adjustRightInd w:val="0"/>
              <w:spacing w:after="0"/>
              <w:ind w:right="-57"/>
              <w:rPr>
                <w:rFonts w:eastAsiaTheme="minorHAnsi" w:cstheme="minorHAnsi"/>
                <w:sz w:val="20"/>
                <w:szCs w:val="20"/>
                <w:highlight w:val="yellow"/>
              </w:rPr>
            </w:pPr>
            <w:r w:rsidRPr="007A66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Dlouhodobé podmíněné závazky z jiných smluv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704F4" w14:textId="77777777" w:rsidR="00EA0855" w:rsidRPr="00C01049" w:rsidRDefault="00EA0855" w:rsidP="00EA0855">
            <w:pPr>
              <w:spacing w:after="0"/>
              <w:ind w:right="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0104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D63E" w14:textId="77777777" w:rsidR="00EA0855" w:rsidRPr="00C01049" w:rsidRDefault="00EA0855" w:rsidP="00EA0855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0104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6 357 991 273,30</w:t>
            </w:r>
          </w:p>
        </w:tc>
      </w:tr>
      <w:tr w:rsidR="00EA0855" w:rsidRPr="00683C72" w14:paraId="06262145" w14:textId="77777777" w:rsidTr="00124170">
        <w:trPr>
          <w:trHeight w:val="34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48A7A" w14:textId="77777777" w:rsidR="00EA0855" w:rsidRPr="007A66A1" w:rsidRDefault="00EA0855" w:rsidP="00EA0855">
            <w:pPr>
              <w:autoSpaceDE w:val="0"/>
              <w:autoSpaceDN w:val="0"/>
              <w:adjustRightInd w:val="0"/>
              <w:spacing w:after="0"/>
              <w:ind w:right="-57"/>
              <w:rPr>
                <w:rFonts w:eastAsiaTheme="minorHAnsi" w:cstheme="minorHAnsi"/>
                <w:sz w:val="20"/>
                <w:szCs w:val="20"/>
              </w:rPr>
            </w:pPr>
            <w:r w:rsidRPr="007A66A1">
              <w:rPr>
                <w:rFonts w:eastAsiaTheme="minorHAnsi" w:cstheme="minorHAnsi"/>
                <w:sz w:val="20"/>
                <w:szCs w:val="20"/>
              </w:rPr>
              <w:t>P.VII.14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135B2" w14:textId="77777777" w:rsidR="00EA0855" w:rsidRPr="007A66A1" w:rsidRDefault="00EA0855" w:rsidP="00EA0855">
            <w:pPr>
              <w:autoSpaceDE w:val="0"/>
              <w:autoSpaceDN w:val="0"/>
              <w:adjustRightInd w:val="0"/>
              <w:spacing w:after="0"/>
              <w:ind w:right="-57"/>
              <w:rPr>
                <w:rFonts w:eastAsiaTheme="minorHAnsi" w:cstheme="minorHAnsi"/>
                <w:sz w:val="20"/>
                <w:szCs w:val="20"/>
                <w:highlight w:val="yellow"/>
              </w:rPr>
            </w:pPr>
            <w:r w:rsidRPr="007A66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Dlouhodobé podmíněné závazky ze soudních sporů, správních řízení a jiných řízení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5E387" w14:textId="77777777" w:rsidR="00EA0855" w:rsidRPr="00C01049" w:rsidRDefault="00EA0855" w:rsidP="00EA0855">
            <w:pPr>
              <w:spacing w:after="0"/>
              <w:ind w:right="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0104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986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812A" w14:textId="77777777" w:rsidR="00EA0855" w:rsidRPr="00C01049" w:rsidRDefault="00EA0855" w:rsidP="00EA0855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0104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636 571 548,13</w:t>
            </w:r>
          </w:p>
        </w:tc>
      </w:tr>
    </w:tbl>
    <w:p w14:paraId="7FD71507" w14:textId="77777777" w:rsidR="00494B0F" w:rsidRPr="00D40705" w:rsidRDefault="00A640AE" w:rsidP="00D40705">
      <w:pPr>
        <w:spacing w:after="0"/>
        <w:rPr>
          <w:bCs/>
          <w:sz w:val="20"/>
          <w:szCs w:val="20"/>
        </w:rPr>
      </w:pPr>
      <w:r w:rsidRPr="00D40705">
        <w:rPr>
          <w:b/>
          <w:sz w:val="20"/>
          <w:szCs w:val="20"/>
        </w:rPr>
        <w:t>Zdroj:</w:t>
      </w:r>
      <w:r w:rsidRPr="00D40705">
        <w:rPr>
          <w:bCs/>
          <w:sz w:val="20"/>
          <w:szCs w:val="20"/>
        </w:rPr>
        <w:t xml:space="preserve"> </w:t>
      </w:r>
      <w:r w:rsidR="000B3825" w:rsidRPr="00D40705">
        <w:rPr>
          <w:bCs/>
          <w:sz w:val="20"/>
          <w:szCs w:val="20"/>
        </w:rPr>
        <w:t>ÚZ</w:t>
      </w:r>
      <w:r w:rsidR="003444C4">
        <w:rPr>
          <w:bCs/>
          <w:sz w:val="20"/>
          <w:szCs w:val="20"/>
        </w:rPr>
        <w:t>.</w:t>
      </w:r>
    </w:p>
    <w:p w14:paraId="794E99E3" w14:textId="77777777" w:rsidR="00494B0F" w:rsidRPr="00683C72" w:rsidRDefault="00494B0F" w:rsidP="007C7C81">
      <w:pPr>
        <w:spacing w:after="0"/>
        <w:rPr>
          <w:highlight w:val="yellow"/>
        </w:rPr>
      </w:pPr>
    </w:p>
    <w:p w14:paraId="57728C7B" w14:textId="77777777" w:rsidR="00494B0F" w:rsidRPr="008B350A" w:rsidRDefault="00A640AE" w:rsidP="005705EE">
      <w:pPr>
        <w:keepNext/>
        <w:rPr>
          <w:rFonts w:cs="Arial"/>
          <w:b/>
        </w:rPr>
      </w:pPr>
      <w:r w:rsidRPr="008B350A">
        <w:rPr>
          <w:rFonts w:cs="Arial"/>
          <w:b/>
        </w:rPr>
        <w:t xml:space="preserve">Tabulka č. </w:t>
      </w:r>
      <w:r w:rsidR="003444C4">
        <w:rPr>
          <w:rFonts w:cs="Arial"/>
          <w:b/>
        </w:rPr>
        <w:t>3</w:t>
      </w:r>
      <w:r w:rsidRPr="008B350A">
        <w:rPr>
          <w:rFonts w:cs="Arial"/>
          <w:b/>
        </w:rPr>
        <w:t>:</w:t>
      </w:r>
      <w:r w:rsidRPr="008B350A">
        <w:rPr>
          <w:rFonts w:cs="Arial"/>
        </w:rPr>
        <w:t xml:space="preserve"> </w:t>
      </w:r>
      <w:r w:rsidRPr="008B350A">
        <w:rPr>
          <w:rFonts w:cs="Arial"/>
          <w:b/>
        </w:rPr>
        <w:t xml:space="preserve">Údaje z výkazu </w:t>
      </w:r>
      <w:r w:rsidR="00D16053" w:rsidRPr="008B350A">
        <w:rPr>
          <w:rFonts w:cs="Arial"/>
          <w:b/>
        </w:rPr>
        <w:t>FIN 1-12 OSS</w:t>
      </w:r>
    </w:p>
    <w:tbl>
      <w:tblPr>
        <w:tblW w:w="907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50080C" w:rsidRPr="00683C72" w14:paraId="69381A24" w14:textId="77777777" w:rsidTr="00124170">
        <w:trPr>
          <w:trHeight w:val="454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0841DA1" w14:textId="77777777" w:rsidR="00494B0F" w:rsidRPr="008B350A" w:rsidRDefault="00A640AE" w:rsidP="00B92BDD">
            <w:pPr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 w:rsidRPr="008B350A">
              <w:rPr>
                <w:rFonts w:cs="Arial"/>
                <w:b/>
                <w:bCs/>
                <w:sz w:val="20"/>
              </w:rPr>
              <w:t>Ukazatel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7718640" w14:textId="77777777" w:rsidR="00494B0F" w:rsidRPr="00683C72" w:rsidRDefault="00A640AE" w:rsidP="00EA1F6B">
            <w:pPr>
              <w:spacing w:after="0"/>
              <w:jc w:val="center"/>
              <w:rPr>
                <w:rFonts w:cs="Arial"/>
                <w:b/>
                <w:bCs/>
                <w:sz w:val="20"/>
                <w:highlight w:val="yellow"/>
              </w:rPr>
            </w:pPr>
            <w:r w:rsidRPr="008B350A">
              <w:rPr>
                <w:rFonts w:cs="Arial"/>
                <w:b/>
                <w:bCs/>
                <w:sz w:val="20"/>
              </w:rPr>
              <w:t>Částka v</w:t>
            </w:r>
            <w:r w:rsidR="00235BAE">
              <w:rPr>
                <w:rFonts w:cs="Arial"/>
                <w:b/>
                <w:bCs/>
                <w:sz w:val="20"/>
              </w:rPr>
              <w:t> </w:t>
            </w:r>
            <w:r w:rsidRPr="008B350A">
              <w:rPr>
                <w:rFonts w:cs="Arial"/>
                <w:b/>
                <w:bCs/>
                <w:sz w:val="20"/>
              </w:rPr>
              <w:t>Kč</w:t>
            </w:r>
          </w:p>
        </w:tc>
      </w:tr>
      <w:tr w:rsidR="00D16053" w:rsidRPr="00683C72" w14:paraId="16D821AB" w14:textId="77777777" w:rsidTr="00124170">
        <w:trPr>
          <w:trHeight w:val="34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CF91" w14:textId="77777777" w:rsidR="00D16053" w:rsidRPr="008B350A" w:rsidRDefault="00D16053" w:rsidP="00D16053">
            <w:pPr>
              <w:spacing w:after="0"/>
              <w:rPr>
                <w:rFonts w:cs="Arial"/>
                <w:sz w:val="20"/>
              </w:rPr>
            </w:pPr>
            <w:r w:rsidRPr="008B350A">
              <w:rPr>
                <w:rFonts w:cs="Arial"/>
                <w:sz w:val="20"/>
              </w:rPr>
              <w:t>Příjmy (skutečnost celkem)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AA427" w14:textId="77777777" w:rsidR="00D16053" w:rsidRPr="008B350A" w:rsidRDefault="00A25F14" w:rsidP="00D16053">
            <w:pPr>
              <w:spacing w:after="0"/>
              <w:ind w:right="57"/>
              <w:jc w:val="right"/>
              <w:rPr>
                <w:rFonts w:cs="Arial"/>
                <w:bCs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2 489 231 300,30</w:t>
            </w:r>
          </w:p>
        </w:tc>
      </w:tr>
      <w:tr w:rsidR="00D16053" w:rsidRPr="00683C72" w14:paraId="4B2A374C" w14:textId="77777777" w:rsidTr="00124170">
        <w:trPr>
          <w:trHeight w:val="34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6B1E" w14:textId="77777777" w:rsidR="00D16053" w:rsidRPr="008B350A" w:rsidRDefault="00D16053" w:rsidP="00D16053">
            <w:pPr>
              <w:spacing w:after="0"/>
              <w:rPr>
                <w:rFonts w:cs="Arial"/>
                <w:sz w:val="20"/>
              </w:rPr>
            </w:pPr>
            <w:r w:rsidRPr="008B350A">
              <w:rPr>
                <w:rFonts w:cs="Arial"/>
                <w:sz w:val="20"/>
              </w:rPr>
              <w:t>Výdaje (skutečnost celkem)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A6179" w14:textId="77777777" w:rsidR="00D16053" w:rsidRPr="008B350A" w:rsidRDefault="00FA4CA0" w:rsidP="00D16053">
            <w:pPr>
              <w:spacing w:after="0"/>
              <w:ind w:right="57"/>
              <w:jc w:val="right"/>
              <w:rPr>
                <w:rFonts w:cs="Arial"/>
                <w:bCs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36 243 388 013,11</w:t>
            </w:r>
          </w:p>
        </w:tc>
      </w:tr>
    </w:tbl>
    <w:p w14:paraId="2D983E5F" w14:textId="77777777" w:rsidR="00077ACA" w:rsidRPr="00D40705" w:rsidRDefault="00A640AE" w:rsidP="00D40705">
      <w:pPr>
        <w:spacing w:after="0"/>
        <w:rPr>
          <w:bCs/>
          <w:sz w:val="20"/>
          <w:szCs w:val="20"/>
        </w:rPr>
      </w:pPr>
      <w:r w:rsidRPr="00D40705">
        <w:rPr>
          <w:b/>
          <w:sz w:val="20"/>
          <w:szCs w:val="20"/>
        </w:rPr>
        <w:t>Zdroj:</w:t>
      </w:r>
      <w:r w:rsidR="00D16053" w:rsidRPr="00D40705">
        <w:rPr>
          <w:bCs/>
          <w:sz w:val="20"/>
          <w:szCs w:val="20"/>
        </w:rPr>
        <w:t xml:space="preserve"> výkaz FIN 1-12 OSS</w:t>
      </w:r>
      <w:r w:rsidR="003444C4">
        <w:rPr>
          <w:bCs/>
          <w:sz w:val="20"/>
          <w:szCs w:val="20"/>
        </w:rPr>
        <w:t>.</w:t>
      </w:r>
    </w:p>
    <w:p w14:paraId="449D7B3C" w14:textId="77777777" w:rsidR="009706C3" w:rsidRDefault="009706C3">
      <w:pPr>
        <w:spacing w:after="160" w:line="259" w:lineRule="auto"/>
        <w:rPr>
          <w:rFonts w:asciiTheme="minorHAnsi" w:eastAsiaTheme="minorHAnsi" w:hAnsiTheme="minorHAnsi" w:cstheme="minorHAnsi"/>
          <w:b/>
          <w:sz w:val="28"/>
          <w:szCs w:val="28"/>
        </w:rPr>
      </w:pPr>
      <w:r>
        <w:br w:type="page"/>
      </w:r>
    </w:p>
    <w:p w14:paraId="688D7387" w14:textId="77777777" w:rsidR="0033466E" w:rsidRPr="004D303D" w:rsidRDefault="00A640AE" w:rsidP="00CB541E">
      <w:pPr>
        <w:pStyle w:val="Nadpis1"/>
        <w:keepNext/>
        <w:spacing w:after="0" w:line="240" w:lineRule="auto"/>
      </w:pPr>
      <w:r w:rsidRPr="004D303D">
        <w:lastRenderedPageBreak/>
        <w:t>I</w:t>
      </w:r>
      <w:r w:rsidR="00E91FF5" w:rsidRPr="004D303D">
        <w:t>I</w:t>
      </w:r>
      <w:r w:rsidRPr="004D303D">
        <w:t>I. Rozsah kontroly</w:t>
      </w:r>
    </w:p>
    <w:p w14:paraId="1595EDDE" w14:textId="77777777" w:rsidR="00F05073" w:rsidRPr="00683C72" w:rsidRDefault="00F05073" w:rsidP="00CB541E">
      <w:pPr>
        <w:keepNext/>
        <w:spacing w:after="0"/>
        <w:jc w:val="both"/>
        <w:rPr>
          <w:rFonts w:cs="Calibri"/>
          <w:highlight w:val="yellow"/>
        </w:rPr>
      </w:pPr>
    </w:p>
    <w:p w14:paraId="33D31FBC" w14:textId="77777777" w:rsidR="00BF0C81" w:rsidRDefault="000377B3" w:rsidP="00BB0827">
      <w:pPr>
        <w:widowControl w:val="0"/>
        <w:spacing w:after="0"/>
        <w:jc w:val="both"/>
        <w:rPr>
          <w:rFonts w:eastAsiaTheme="minorHAnsi" w:cs="Calibri"/>
        </w:rPr>
      </w:pPr>
      <w:r w:rsidRPr="00747F0D">
        <w:rPr>
          <w:rFonts w:cs="Calibri"/>
        </w:rPr>
        <w:t>KA</w:t>
      </w:r>
      <w:r w:rsidR="00A640AE" w:rsidRPr="00FF141F">
        <w:rPr>
          <w:rFonts w:cs="Calibri"/>
        </w:rPr>
        <w:t xml:space="preserve"> byla kontrolou typu</w:t>
      </w:r>
      <w:r w:rsidR="0062177D">
        <w:rPr>
          <w:rFonts w:cs="Calibri"/>
        </w:rPr>
        <w:t xml:space="preserve"> </w:t>
      </w:r>
      <w:r w:rsidR="0062177D" w:rsidRPr="00B06707">
        <w:rPr>
          <w:rFonts w:cs="Calibri"/>
        </w:rPr>
        <w:t>legality</w:t>
      </w:r>
      <w:r w:rsidR="00A640AE" w:rsidRPr="00FF141F">
        <w:rPr>
          <w:rFonts w:cs="Calibri"/>
        </w:rPr>
        <w:t xml:space="preserve"> a jejím cílem bylo </w:t>
      </w:r>
      <w:r w:rsidR="00BF0C81" w:rsidRPr="00FF141F">
        <w:rPr>
          <w:rFonts w:eastAsiaTheme="minorHAnsi" w:cs="Calibri"/>
        </w:rPr>
        <w:t xml:space="preserve">prověřit, zda </w:t>
      </w:r>
      <w:r w:rsidR="005322AA" w:rsidRPr="00FF141F">
        <w:rPr>
          <w:rFonts w:eastAsiaTheme="minorHAnsi" w:cs="Calibri"/>
        </w:rPr>
        <w:t>M</w:t>
      </w:r>
      <w:r w:rsidR="009634A1">
        <w:rPr>
          <w:rFonts w:eastAsiaTheme="minorHAnsi" w:cs="Calibri"/>
        </w:rPr>
        <w:t>V</w:t>
      </w:r>
      <w:r w:rsidR="004A4FD6" w:rsidRPr="00FF141F">
        <w:rPr>
          <w:rFonts w:eastAsiaTheme="minorHAnsi" w:cs="Calibri"/>
        </w:rPr>
        <w:t xml:space="preserve"> při</w:t>
      </w:r>
      <w:r w:rsidR="007F74B2">
        <w:rPr>
          <w:rFonts w:eastAsiaTheme="minorHAnsi" w:cs="Calibri"/>
        </w:rPr>
        <w:t xml:space="preserve"> </w:t>
      </w:r>
      <w:r w:rsidR="00BF0C81" w:rsidRPr="00FF141F">
        <w:rPr>
          <w:rFonts w:eastAsiaTheme="minorHAnsi" w:cs="Calibri"/>
        </w:rPr>
        <w:t xml:space="preserve">vedení účetnictví v roce </w:t>
      </w:r>
      <w:r w:rsidR="005322AA" w:rsidRPr="00FF141F">
        <w:rPr>
          <w:rFonts w:eastAsiaTheme="minorHAnsi" w:cs="Calibri"/>
        </w:rPr>
        <w:t>202</w:t>
      </w:r>
      <w:r w:rsidR="00427658">
        <w:rPr>
          <w:rFonts w:eastAsiaTheme="minorHAnsi" w:cs="Calibri"/>
        </w:rPr>
        <w:t>1</w:t>
      </w:r>
      <w:r w:rsidR="004A4FD6" w:rsidRPr="00FF141F">
        <w:rPr>
          <w:rFonts w:eastAsiaTheme="minorHAnsi" w:cs="Calibri"/>
        </w:rPr>
        <w:t xml:space="preserve">, </w:t>
      </w:r>
      <w:r w:rsidR="00BF0C81" w:rsidRPr="00FF141F">
        <w:rPr>
          <w:rFonts w:eastAsiaTheme="minorHAnsi" w:cs="Calibri"/>
        </w:rPr>
        <w:t>předkládání údajů pro</w:t>
      </w:r>
      <w:r w:rsidR="00694BD3">
        <w:rPr>
          <w:rFonts w:eastAsiaTheme="minorHAnsi" w:cs="Calibri"/>
        </w:rPr>
        <w:t xml:space="preserve"> </w:t>
      </w:r>
      <w:r w:rsidR="00BF0C81" w:rsidRPr="00FF141F">
        <w:rPr>
          <w:rFonts w:eastAsiaTheme="minorHAnsi" w:cs="Calibri"/>
        </w:rPr>
        <w:t>hodnocení plnění</w:t>
      </w:r>
      <w:r w:rsidR="006C3FC5" w:rsidRPr="00FF141F">
        <w:rPr>
          <w:rFonts w:eastAsiaTheme="minorHAnsi" w:cs="Calibri"/>
        </w:rPr>
        <w:t xml:space="preserve"> státního</w:t>
      </w:r>
      <w:r w:rsidR="00BF0C81" w:rsidRPr="00FF141F">
        <w:rPr>
          <w:rFonts w:eastAsiaTheme="minorHAnsi" w:cs="Calibri"/>
        </w:rPr>
        <w:t xml:space="preserve"> rozpočtu</w:t>
      </w:r>
      <w:r w:rsidR="00BF0C81" w:rsidRPr="00FF141F">
        <w:rPr>
          <w:rFonts w:eastAsiaTheme="minorHAnsi" w:cs="Calibri"/>
          <w:vertAlign w:val="superscript"/>
        </w:rPr>
        <w:footnoteReference w:id="22"/>
      </w:r>
      <w:r w:rsidR="00BF0C81" w:rsidRPr="00FF141F">
        <w:rPr>
          <w:rFonts w:eastAsiaTheme="minorHAnsi" w:cs="Calibri"/>
        </w:rPr>
        <w:t xml:space="preserve"> a při sestavení závěrečného účtu za rok </w:t>
      </w:r>
      <w:r w:rsidR="005322AA" w:rsidRPr="00FF141F">
        <w:rPr>
          <w:rFonts w:eastAsiaTheme="minorHAnsi" w:cs="Calibri"/>
        </w:rPr>
        <w:t>202</w:t>
      </w:r>
      <w:r w:rsidR="00994290">
        <w:rPr>
          <w:rFonts w:eastAsiaTheme="minorHAnsi" w:cs="Calibri"/>
        </w:rPr>
        <w:t>1</w:t>
      </w:r>
      <w:r w:rsidR="00BF0C81" w:rsidRPr="00FF141F">
        <w:rPr>
          <w:rFonts w:eastAsiaTheme="minorHAnsi" w:cs="Calibri"/>
        </w:rPr>
        <w:t xml:space="preserve"> postupovalo v souladu s příslušnými právními předpisy.</w:t>
      </w:r>
    </w:p>
    <w:p w14:paraId="45755114" w14:textId="77777777" w:rsidR="00BB0827" w:rsidRPr="00683C72" w:rsidRDefault="00BB0827" w:rsidP="00BB0827">
      <w:pPr>
        <w:widowControl w:val="0"/>
        <w:spacing w:after="0"/>
        <w:jc w:val="both"/>
        <w:rPr>
          <w:rFonts w:eastAsiaTheme="minorHAnsi" w:cs="Calibri"/>
          <w:highlight w:val="yellow"/>
        </w:rPr>
      </w:pPr>
    </w:p>
    <w:p w14:paraId="40B447AE" w14:textId="40C1D845" w:rsidR="00D50375" w:rsidRDefault="00A640AE" w:rsidP="00D50375">
      <w:pPr>
        <w:spacing w:after="0"/>
        <w:jc w:val="both"/>
        <w:rPr>
          <w:rFonts w:asciiTheme="minorHAnsi" w:hAnsiTheme="minorHAnsi" w:cstheme="minorHAnsi"/>
        </w:rPr>
      </w:pPr>
      <w:r w:rsidRPr="00FF141F">
        <w:rPr>
          <w:rFonts w:cs="Calibri"/>
        </w:rPr>
        <w:t xml:space="preserve">Kontrolovaný objem finančních prostředků a majetku </w:t>
      </w:r>
      <w:r w:rsidR="009706C3">
        <w:rPr>
          <w:rFonts w:cs="Calibri"/>
        </w:rPr>
        <w:t xml:space="preserve">(tj. </w:t>
      </w:r>
      <w:r w:rsidRPr="00FF141F">
        <w:rPr>
          <w:rFonts w:cs="Calibri"/>
        </w:rPr>
        <w:t>hodnot</w:t>
      </w:r>
      <w:r w:rsidR="009706C3">
        <w:rPr>
          <w:rFonts w:cs="Calibri"/>
        </w:rPr>
        <w:t>a</w:t>
      </w:r>
      <w:r w:rsidRPr="00FF141F">
        <w:rPr>
          <w:rFonts w:cs="Calibri"/>
        </w:rPr>
        <w:t xml:space="preserve"> aktiv, pasiv, nákladů, výnosů a podrozvahových účtů vykázaných v</w:t>
      </w:r>
      <w:r w:rsidR="001F3453">
        <w:rPr>
          <w:rFonts w:cs="Calibri"/>
        </w:rPr>
        <w:t xml:space="preserve"> </w:t>
      </w:r>
      <w:r w:rsidRPr="00FF141F">
        <w:rPr>
          <w:rFonts w:cs="Calibri"/>
        </w:rPr>
        <w:t xml:space="preserve">ÚZ a vyčíslených </w:t>
      </w:r>
      <w:r w:rsidRPr="000B4B25">
        <w:rPr>
          <w:rFonts w:cs="Calibri"/>
        </w:rPr>
        <w:t>v</w:t>
      </w:r>
      <w:r w:rsidR="001F3453">
        <w:rPr>
          <w:rFonts w:cs="Calibri"/>
        </w:rPr>
        <w:t xml:space="preserve"> </w:t>
      </w:r>
      <w:r w:rsidRPr="000B4B25">
        <w:rPr>
          <w:rFonts w:cs="Calibri"/>
        </w:rPr>
        <w:t xml:space="preserve">tabulkách č. </w:t>
      </w:r>
      <w:r w:rsidR="00D40705">
        <w:rPr>
          <w:rFonts w:cs="Calibri"/>
        </w:rPr>
        <w:t>1</w:t>
      </w:r>
      <w:r w:rsidRPr="000B4B25">
        <w:rPr>
          <w:rFonts w:cs="Calibri"/>
        </w:rPr>
        <w:t xml:space="preserve"> a </w:t>
      </w:r>
      <w:r w:rsidR="00D40705">
        <w:rPr>
          <w:rFonts w:cs="Calibri"/>
        </w:rPr>
        <w:t>2</w:t>
      </w:r>
      <w:r w:rsidR="009706C3">
        <w:rPr>
          <w:rFonts w:cs="Calibri"/>
        </w:rPr>
        <w:t>)</w:t>
      </w:r>
      <w:r w:rsidR="00D50375">
        <w:rPr>
          <w:rFonts w:cs="Calibri"/>
        </w:rPr>
        <w:t xml:space="preserve"> </w:t>
      </w:r>
      <w:r w:rsidR="009706C3">
        <w:rPr>
          <w:rFonts w:cs="Calibri"/>
        </w:rPr>
        <w:t>tvoří</w:t>
      </w:r>
      <w:r w:rsidR="00D50375">
        <w:rPr>
          <w:rFonts w:cs="Calibri"/>
        </w:rPr>
        <w:t xml:space="preserve"> hodnot</w:t>
      </w:r>
      <w:r w:rsidR="009706C3">
        <w:rPr>
          <w:rFonts w:cs="Calibri"/>
        </w:rPr>
        <w:t>a</w:t>
      </w:r>
      <w:r w:rsidR="00D50375" w:rsidRPr="008C74BF">
        <w:rPr>
          <w:rFonts w:asciiTheme="minorHAnsi" w:hAnsiTheme="minorHAnsi" w:cstheme="minorHAnsi"/>
        </w:rPr>
        <w:t xml:space="preserve"> </w:t>
      </w:r>
      <w:r w:rsidR="009B6B90">
        <w:rPr>
          <w:rFonts w:asciiTheme="minorHAnsi" w:hAnsiTheme="minorHAnsi" w:cstheme="minorHAnsi"/>
        </w:rPr>
        <w:t>kontrolovaného objemu</w:t>
      </w:r>
      <w:r w:rsidR="00D50375" w:rsidRPr="008C74BF">
        <w:rPr>
          <w:rFonts w:asciiTheme="minorHAnsi" w:hAnsiTheme="minorHAnsi" w:cstheme="minorHAnsi"/>
        </w:rPr>
        <w:t xml:space="preserve"> </w:t>
      </w:r>
      <w:r w:rsidR="00D50375">
        <w:rPr>
          <w:rFonts w:asciiTheme="minorHAnsi" w:hAnsiTheme="minorHAnsi" w:cstheme="minorHAnsi"/>
        </w:rPr>
        <w:t>ÚZ za KO MV</w:t>
      </w:r>
      <w:r w:rsidR="009706C3">
        <w:rPr>
          <w:rFonts w:asciiTheme="minorHAnsi" w:hAnsiTheme="minorHAnsi" w:cstheme="minorHAnsi"/>
        </w:rPr>
        <w:t xml:space="preserve">, blíže viz </w:t>
      </w:r>
      <w:r w:rsidR="00D50375">
        <w:rPr>
          <w:rFonts w:asciiTheme="minorHAnsi" w:hAnsiTheme="minorHAnsi" w:cstheme="minorHAnsi"/>
        </w:rPr>
        <w:t>následující tabul</w:t>
      </w:r>
      <w:r w:rsidR="009706C3">
        <w:rPr>
          <w:rFonts w:asciiTheme="minorHAnsi" w:hAnsiTheme="minorHAnsi" w:cstheme="minorHAnsi"/>
        </w:rPr>
        <w:t>ka</w:t>
      </w:r>
      <w:r w:rsidR="00D50375">
        <w:rPr>
          <w:rFonts w:asciiTheme="minorHAnsi" w:hAnsiTheme="minorHAnsi" w:cstheme="minorHAnsi"/>
        </w:rPr>
        <w:t>.</w:t>
      </w:r>
    </w:p>
    <w:p w14:paraId="5F2EA8C3" w14:textId="77777777" w:rsidR="00BB0827" w:rsidRDefault="00BB0827" w:rsidP="00D50375">
      <w:pPr>
        <w:spacing w:after="0"/>
        <w:jc w:val="both"/>
        <w:rPr>
          <w:rFonts w:asciiTheme="minorHAnsi" w:hAnsiTheme="minorHAnsi" w:cstheme="minorHAnsi"/>
        </w:rPr>
      </w:pPr>
    </w:p>
    <w:p w14:paraId="1C0D36C8" w14:textId="77777777" w:rsidR="00D50375" w:rsidRPr="00300FA8" w:rsidRDefault="00D50375" w:rsidP="00BB0827">
      <w:pPr>
        <w:pStyle w:val="Titulek"/>
        <w:spacing w:before="0"/>
        <w:rPr>
          <w:rFonts w:asciiTheme="minorHAnsi" w:hAnsiTheme="minorHAnsi" w:cstheme="minorHAnsi"/>
        </w:rPr>
      </w:pPr>
      <w:r w:rsidRPr="00300FA8">
        <w:rPr>
          <w:rFonts w:asciiTheme="minorHAnsi" w:hAnsiTheme="minorHAnsi" w:cstheme="minorHAnsi"/>
        </w:rPr>
        <w:t>Tabulka</w:t>
      </w:r>
      <w:r>
        <w:rPr>
          <w:rFonts w:asciiTheme="minorHAnsi" w:hAnsiTheme="minorHAnsi" w:cstheme="minorHAnsi"/>
        </w:rPr>
        <w:t xml:space="preserve"> č. 4</w:t>
      </w:r>
      <w:r w:rsidRPr="00B50B75">
        <w:rPr>
          <w:rFonts w:asciiTheme="minorHAnsi" w:hAnsiTheme="minorHAnsi" w:cstheme="minorHAnsi"/>
        </w:rPr>
        <w:t>: Ú</w:t>
      </w:r>
      <w:r>
        <w:rPr>
          <w:rFonts w:asciiTheme="minorHAnsi" w:hAnsiTheme="minorHAnsi" w:cstheme="minorHAnsi"/>
        </w:rPr>
        <w:t>daje ÚZ za KO MV</w:t>
      </w:r>
    </w:p>
    <w:tbl>
      <w:tblPr>
        <w:tblW w:w="907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5"/>
        <w:gridCol w:w="3005"/>
        <w:gridCol w:w="3061"/>
      </w:tblGrid>
      <w:tr w:rsidR="00493991" w:rsidRPr="00D50375" w14:paraId="7F1E941F" w14:textId="77777777" w:rsidTr="00124170">
        <w:trPr>
          <w:trHeight w:val="225"/>
        </w:trPr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1FB4663" w14:textId="77777777" w:rsidR="00D50375" w:rsidRPr="00D50375" w:rsidRDefault="00D50375" w:rsidP="00D5037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5037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Veličina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5F1FF"/>
            <w:noWrap/>
            <w:vAlign w:val="bottom"/>
            <w:hideMark/>
          </w:tcPr>
          <w:p w14:paraId="5FC8127D" w14:textId="77777777" w:rsidR="00D50375" w:rsidRPr="00D50375" w:rsidRDefault="00D50375" w:rsidP="00D5037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5037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F1FF"/>
            <w:noWrap/>
            <w:vAlign w:val="bottom"/>
            <w:hideMark/>
          </w:tcPr>
          <w:p w14:paraId="197A2D0A" w14:textId="77777777" w:rsidR="00D50375" w:rsidRPr="00D50375" w:rsidRDefault="00D50375" w:rsidP="00D5037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5037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Částka</w:t>
            </w:r>
          </w:p>
        </w:tc>
      </w:tr>
      <w:tr w:rsidR="00493991" w:rsidRPr="00D50375" w14:paraId="17A463EF" w14:textId="77777777" w:rsidTr="00124170">
        <w:trPr>
          <w:trHeight w:val="225"/>
        </w:trPr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53257201" w14:textId="77777777" w:rsidR="00D50375" w:rsidRPr="00D50375" w:rsidRDefault="00D50375" w:rsidP="00D50375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bottom"/>
            <w:hideMark/>
          </w:tcPr>
          <w:p w14:paraId="5E937D3C" w14:textId="77777777" w:rsidR="00D50375" w:rsidRPr="00D50375" w:rsidRDefault="00D50375" w:rsidP="00D5037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5037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bottom"/>
            <w:hideMark/>
          </w:tcPr>
          <w:p w14:paraId="5B383DB6" w14:textId="77777777" w:rsidR="00D50375" w:rsidRPr="00D50375" w:rsidRDefault="00D50375" w:rsidP="00D5037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5037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</w:tr>
      <w:tr w:rsidR="00493991" w:rsidRPr="00D50375" w14:paraId="6A1D4E8E" w14:textId="77777777" w:rsidTr="00124170">
        <w:trPr>
          <w:trHeight w:val="225"/>
        </w:trPr>
        <w:tc>
          <w:tcPr>
            <w:tcW w:w="3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9A821F" w14:textId="77777777" w:rsidR="00D50375" w:rsidRPr="00D50375" w:rsidRDefault="00D50375" w:rsidP="00D5037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5037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AKTIVA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9EDF" w14:textId="77777777" w:rsidR="00D50375" w:rsidRPr="00D50375" w:rsidRDefault="00D50375" w:rsidP="00D50375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5037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Stálá aktiva (netto)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D961" w14:textId="77777777" w:rsidR="00D50375" w:rsidRPr="00D50375" w:rsidRDefault="00D50375" w:rsidP="00D50375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5037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15 517 113 275,33</w:t>
            </w:r>
          </w:p>
        </w:tc>
      </w:tr>
      <w:tr w:rsidR="00493991" w:rsidRPr="00D50375" w14:paraId="34BB913A" w14:textId="77777777" w:rsidTr="00124170">
        <w:trPr>
          <w:trHeight w:val="225"/>
        </w:trPr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15B8225" w14:textId="77777777" w:rsidR="00D50375" w:rsidRPr="00D50375" w:rsidRDefault="00D50375" w:rsidP="00D5037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6FC7" w14:textId="77777777" w:rsidR="00D50375" w:rsidRPr="00D50375" w:rsidRDefault="00D50375" w:rsidP="00D50375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5037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Oběžná aktiva (netto)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F0D2" w14:textId="77777777" w:rsidR="00D50375" w:rsidRPr="00D50375" w:rsidRDefault="00D50375" w:rsidP="00D50375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5037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10 468 399 181,39</w:t>
            </w:r>
          </w:p>
        </w:tc>
      </w:tr>
      <w:tr w:rsidR="00493991" w:rsidRPr="00D50375" w14:paraId="04A47F99" w14:textId="77777777" w:rsidTr="00124170">
        <w:trPr>
          <w:trHeight w:val="225"/>
        </w:trPr>
        <w:tc>
          <w:tcPr>
            <w:tcW w:w="3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BF33A4" w14:textId="77777777" w:rsidR="00D50375" w:rsidRPr="00D50375" w:rsidRDefault="00D50375" w:rsidP="00D5037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5037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PASIVA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DEB0" w14:textId="77777777" w:rsidR="00D50375" w:rsidRPr="00D50375" w:rsidRDefault="00D50375" w:rsidP="00D50375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5037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Vlastní kapitál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E40C" w14:textId="77777777" w:rsidR="00D50375" w:rsidRPr="00D50375" w:rsidRDefault="00D50375" w:rsidP="00D50375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5037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30 738 150 888,80</w:t>
            </w:r>
          </w:p>
        </w:tc>
      </w:tr>
      <w:tr w:rsidR="00493991" w:rsidRPr="00D50375" w14:paraId="1CE329E8" w14:textId="77777777" w:rsidTr="00124170">
        <w:trPr>
          <w:trHeight w:val="225"/>
        </w:trPr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BFBEE4" w14:textId="77777777" w:rsidR="00D50375" w:rsidRPr="00D50375" w:rsidRDefault="00D50375" w:rsidP="00D5037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EE0C" w14:textId="77777777" w:rsidR="00D50375" w:rsidRPr="00D50375" w:rsidRDefault="00D50375" w:rsidP="00D50375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5037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Cizí zdroje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0531" w14:textId="77777777" w:rsidR="00D50375" w:rsidRPr="00D50375" w:rsidRDefault="00D50375" w:rsidP="00D50375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5037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7 645 769 812,29</w:t>
            </w:r>
          </w:p>
        </w:tc>
      </w:tr>
      <w:tr w:rsidR="00493991" w:rsidRPr="00D50375" w14:paraId="26BE9826" w14:textId="77777777" w:rsidTr="00124170">
        <w:trPr>
          <w:trHeight w:val="225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B5B8F" w14:textId="77777777" w:rsidR="00D50375" w:rsidRPr="00D50375" w:rsidRDefault="00D50375" w:rsidP="00D5037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5037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NÁKLADY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5239" w14:textId="77777777" w:rsidR="00D50375" w:rsidRPr="00D50375" w:rsidRDefault="00D50375" w:rsidP="00D50375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5037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FCF1" w14:textId="77777777" w:rsidR="00D50375" w:rsidRPr="00D50375" w:rsidRDefault="00D50375" w:rsidP="00D50375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5037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32 796 055 814,64</w:t>
            </w:r>
          </w:p>
        </w:tc>
      </w:tr>
      <w:tr w:rsidR="00493991" w:rsidRPr="00D50375" w14:paraId="0BE2A773" w14:textId="77777777" w:rsidTr="00124170">
        <w:trPr>
          <w:trHeight w:val="225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FACA3" w14:textId="77777777" w:rsidR="00D50375" w:rsidRPr="00D50375" w:rsidRDefault="00D50375" w:rsidP="00D5037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5037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VÝNOSY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EA51" w14:textId="77777777" w:rsidR="00D50375" w:rsidRPr="00D50375" w:rsidRDefault="00D50375" w:rsidP="00D50375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5037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FE10" w14:textId="77777777" w:rsidR="00D50375" w:rsidRPr="00D50375" w:rsidRDefault="00D50375" w:rsidP="00D50375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5037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2 162 300 918,06</w:t>
            </w:r>
          </w:p>
        </w:tc>
      </w:tr>
      <w:tr w:rsidR="00493991" w:rsidRPr="00D50375" w14:paraId="55C50874" w14:textId="77777777" w:rsidTr="00124170">
        <w:trPr>
          <w:trHeight w:val="225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E8F04" w14:textId="77777777" w:rsidR="00D50375" w:rsidRPr="00D50375" w:rsidRDefault="00D50375" w:rsidP="00D5037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5037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PODROZVAH</w:t>
            </w:r>
            <w:r w:rsidR="00C1796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OVÉ ÚČTY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54B0" w14:textId="77777777" w:rsidR="00D50375" w:rsidRPr="00D50375" w:rsidRDefault="00D50375" w:rsidP="00D50375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5037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9B4F" w14:textId="77777777" w:rsidR="00D50375" w:rsidRPr="00D50375" w:rsidRDefault="00D50375" w:rsidP="00D50375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5037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9 547 006 204,24</w:t>
            </w:r>
          </w:p>
        </w:tc>
      </w:tr>
    </w:tbl>
    <w:p w14:paraId="02E2336B" w14:textId="524E2920" w:rsidR="00D50375" w:rsidRPr="00D50375" w:rsidRDefault="00D50375" w:rsidP="00D50375">
      <w:pPr>
        <w:pStyle w:val="Zdroj"/>
        <w:spacing w:before="0"/>
        <w:rPr>
          <w:rFonts w:asciiTheme="minorHAnsi" w:hAnsiTheme="minorHAnsi"/>
          <w:i w:val="0"/>
          <w:iCs/>
        </w:rPr>
      </w:pPr>
      <w:r w:rsidRPr="00D50375">
        <w:rPr>
          <w:rFonts w:asciiTheme="minorHAnsi" w:hAnsiTheme="minorHAnsi"/>
          <w:b/>
          <w:bCs/>
          <w:i w:val="0"/>
          <w:iCs/>
        </w:rPr>
        <w:t>Zdroj:</w:t>
      </w:r>
      <w:r w:rsidRPr="00D50375">
        <w:rPr>
          <w:rFonts w:asciiTheme="minorHAnsi" w:hAnsiTheme="minorHAnsi"/>
          <w:i w:val="0"/>
          <w:iCs/>
        </w:rPr>
        <w:t xml:space="preserve"> ÚZ, účetn</w:t>
      </w:r>
      <w:r w:rsidR="00A37324">
        <w:rPr>
          <w:rFonts w:asciiTheme="minorHAnsi" w:hAnsiTheme="minorHAnsi"/>
          <w:i w:val="0"/>
          <w:iCs/>
        </w:rPr>
        <w:t>ictví</w:t>
      </w:r>
      <w:r w:rsidRPr="00D50375">
        <w:rPr>
          <w:rFonts w:asciiTheme="minorHAnsi" w:hAnsiTheme="minorHAnsi"/>
          <w:i w:val="0"/>
          <w:iCs/>
        </w:rPr>
        <w:t xml:space="preserve"> MV za rok 2021</w:t>
      </w:r>
      <w:r w:rsidR="009706C3">
        <w:rPr>
          <w:rFonts w:asciiTheme="minorHAnsi" w:hAnsiTheme="minorHAnsi"/>
          <w:i w:val="0"/>
          <w:iCs/>
        </w:rPr>
        <w:t>;</w:t>
      </w:r>
      <w:r w:rsidRPr="00D50375">
        <w:rPr>
          <w:rFonts w:asciiTheme="minorHAnsi" w:hAnsiTheme="minorHAnsi"/>
          <w:i w:val="0"/>
          <w:iCs/>
        </w:rPr>
        <w:t xml:space="preserve"> zpracování</w:t>
      </w:r>
      <w:r>
        <w:rPr>
          <w:rFonts w:asciiTheme="minorHAnsi" w:hAnsiTheme="minorHAnsi"/>
          <w:i w:val="0"/>
          <w:iCs/>
        </w:rPr>
        <w:t xml:space="preserve"> NKÚ.</w:t>
      </w:r>
    </w:p>
    <w:p w14:paraId="3ADB4B37" w14:textId="77777777" w:rsidR="00D50375" w:rsidRPr="00D50375" w:rsidRDefault="00D50375" w:rsidP="00124170">
      <w:pPr>
        <w:pStyle w:val="Zdroj"/>
        <w:spacing w:before="0"/>
        <w:ind w:left="567" w:hanging="567"/>
        <w:jc w:val="both"/>
        <w:rPr>
          <w:rFonts w:asciiTheme="minorHAnsi" w:hAnsiTheme="minorHAnsi"/>
          <w:i w:val="0"/>
          <w:iCs/>
        </w:rPr>
      </w:pPr>
      <w:r w:rsidRPr="00D50375">
        <w:rPr>
          <w:rFonts w:asciiTheme="minorHAnsi" w:hAnsiTheme="minorHAnsi"/>
          <w:b/>
          <w:bCs/>
          <w:i w:val="0"/>
          <w:iCs/>
        </w:rPr>
        <w:t>Pozn</w:t>
      </w:r>
      <w:r w:rsidR="00761ED4">
        <w:rPr>
          <w:rFonts w:asciiTheme="minorHAnsi" w:hAnsiTheme="minorHAnsi"/>
          <w:b/>
          <w:bCs/>
          <w:i w:val="0"/>
          <w:iCs/>
        </w:rPr>
        <w:t>.</w:t>
      </w:r>
      <w:r w:rsidRPr="00D50375">
        <w:rPr>
          <w:rFonts w:asciiTheme="minorHAnsi" w:hAnsiTheme="minorHAnsi"/>
          <w:b/>
          <w:bCs/>
          <w:i w:val="0"/>
          <w:iCs/>
        </w:rPr>
        <w:t>:</w:t>
      </w:r>
      <w:r w:rsidRPr="00D50375">
        <w:rPr>
          <w:rFonts w:asciiTheme="minorHAnsi" w:hAnsiTheme="minorHAnsi"/>
          <w:i w:val="0"/>
          <w:iCs/>
        </w:rPr>
        <w:t xml:space="preserve"> </w:t>
      </w:r>
      <w:r w:rsidR="00854846">
        <w:rPr>
          <w:rFonts w:asciiTheme="minorHAnsi" w:hAnsiTheme="minorHAnsi"/>
          <w:i w:val="0"/>
          <w:iCs/>
        </w:rPr>
        <w:tab/>
      </w:r>
      <w:r w:rsidRPr="00D50375">
        <w:rPr>
          <w:rFonts w:asciiTheme="minorHAnsi" w:hAnsiTheme="minorHAnsi"/>
          <w:i w:val="0"/>
          <w:iCs/>
        </w:rPr>
        <w:t xml:space="preserve">Na úrovni údajů za KO MV vzniká rozdíl v bilanční sumě (v důsledku nezahrnutí </w:t>
      </w:r>
      <w:r w:rsidR="00D02265">
        <w:rPr>
          <w:rFonts w:asciiTheme="minorHAnsi" w:hAnsiTheme="minorHAnsi"/>
          <w:i w:val="0"/>
          <w:iCs/>
        </w:rPr>
        <w:t xml:space="preserve">předmětného </w:t>
      </w:r>
      <w:r w:rsidRPr="00D50375">
        <w:rPr>
          <w:rFonts w:asciiTheme="minorHAnsi" w:hAnsiTheme="minorHAnsi"/>
          <w:i w:val="0"/>
          <w:iCs/>
        </w:rPr>
        <w:t>účetního okruh</w:t>
      </w:r>
      <w:r>
        <w:rPr>
          <w:rFonts w:asciiTheme="minorHAnsi" w:hAnsiTheme="minorHAnsi"/>
          <w:i w:val="0"/>
          <w:iCs/>
        </w:rPr>
        <w:t>u</w:t>
      </w:r>
      <w:r w:rsidR="00D02265">
        <w:rPr>
          <w:rFonts w:asciiTheme="minorHAnsi" w:hAnsiTheme="minorHAnsi"/>
          <w:i w:val="0"/>
          <w:iCs/>
        </w:rPr>
        <w:t xml:space="preserve">, v němž MV vede údaje za </w:t>
      </w:r>
      <w:r w:rsidR="009B6B90">
        <w:rPr>
          <w:rFonts w:asciiTheme="minorHAnsi" w:hAnsiTheme="minorHAnsi"/>
          <w:i w:val="0"/>
          <w:iCs/>
        </w:rPr>
        <w:t>jinou OSS</w:t>
      </w:r>
      <w:r w:rsidRPr="00D50375">
        <w:rPr>
          <w:rFonts w:asciiTheme="minorHAnsi" w:hAnsiTheme="minorHAnsi"/>
          <w:i w:val="0"/>
          <w:iCs/>
        </w:rPr>
        <w:t>).</w:t>
      </w:r>
    </w:p>
    <w:p w14:paraId="09E1516E" w14:textId="7DA25B1E" w:rsidR="0029772B" w:rsidRDefault="0029772B" w:rsidP="007A1057">
      <w:pPr>
        <w:spacing w:after="0"/>
        <w:jc w:val="both"/>
        <w:rPr>
          <w:rFonts w:cs="Calibri"/>
        </w:rPr>
      </w:pPr>
    </w:p>
    <w:p w14:paraId="23FDA847" w14:textId="77777777" w:rsidR="00720C07" w:rsidRDefault="002310EC" w:rsidP="00C0657A">
      <w:pPr>
        <w:spacing w:after="0"/>
        <w:jc w:val="both"/>
        <w:rPr>
          <w:rFonts w:asciiTheme="minorHAnsi" w:hAnsiTheme="minorHAnsi" w:cstheme="minorHAnsi"/>
        </w:rPr>
      </w:pPr>
      <w:r w:rsidRPr="004A14AC">
        <w:rPr>
          <w:rFonts w:asciiTheme="minorHAnsi" w:hAnsiTheme="minorHAnsi" w:cstheme="minorHAnsi"/>
        </w:rPr>
        <w:t xml:space="preserve">Kontrolovaný objem finančních prostředků v rámci výkazu </w:t>
      </w:r>
      <w:r w:rsidR="00A37324">
        <w:rPr>
          <w:rFonts w:asciiTheme="minorHAnsi" w:hAnsiTheme="minorHAnsi" w:cstheme="minorHAnsi"/>
        </w:rPr>
        <w:t>FIN 1-12 OSS</w:t>
      </w:r>
      <w:r w:rsidRPr="004A14A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představuje součet celkových příjmů a výdajů</w:t>
      </w:r>
      <w:r w:rsidR="00A37324">
        <w:rPr>
          <w:rFonts w:asciiTheme="minorHAnsi" w:hAnsiTheme="minorHAnsi" w:cstheme="minorHAnsi"/>
        </w:rPr>
        <w:t xml:space="preserve"> ve sloupci </w:t>
      </w:r>
      <w:r w:rsidR="00A37324" w:rsidRPr="00872B70">
        <w:rPr>
          <w:rFonts w:asciiTheme="minorHAnsi" w:hAnsiTheme="minorHAnsi" w:cstheme="minorHAnsi"/>
          <w:i/>
          <w:iCs/>
        </w:rPr>
        <w:t>Skutečnost</w:t>
      </w:r>
      <w:r w:rsidR="00A37324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 xml:space="preserve"> </w:t>
      </w:r>
      <w:r w:rsidR="00574E94">
        <w:rPr>
          <w:rFonts w:asciiTheme="minorHAnsi" w:hAnsiTheme="minorHAnsi" w:cstheme="minorHAnsi"/>
        </w:rPr>
        <w:t xml:space="preserve">je </w:t>
      </w:r>
      <w:r>
        <w:rPr>
          <w:rFonts w:asciiTheme="minorHAnsi" w:hAnsiTheme="minorHAnsi" w:cstheme="minorHAnsi"/>
        </w:rPr>
        <w:t xml:space="preserve">vyčíslen </w:t>
      </w:r>
      <w:r w:rsidRPr="000B4B25">
        <w:rPr>
          <w:rFonts w:asciiTheme="minorHAnsi" w:hAnsiTheme="minorHAnsi" w:cstheme="minorHAnsi"/>
        </w:rPr>
        <w:t xml:space="preserve">v tabulce č. </w:t>
      </w:r>
      <w:r w:rsidR="00D40705">
        <w:rPr>
          <w:rFonts w:asciiTheme="minorHAnsi" w:hAnsiTheme="minorHAnsi" w:cstheme="minorHAnsi"/>
        </w:rPr>
        <w:t>3</w:t>
      </w:r>
      <w:r w:rsidR="009013D4">
        <w:rPr>
          <w:rStyle w:val="Znakapoznpodarou"/>
          <w:rFonts w:asciiTheme="minorHAnsi" w:hAnsiTheme="minorHAnsi" w:cstheme="minorHAnsi"/>
        </w:rPr>
        <w:footnoteReference w:id="23"/>
      </w:r>
      <w:r>
        <w:rPr>
          <w:rFonts w:asciiTheme="minorHAnsi" w:hAnsiTheme="minorHAnsi" w:cstheme="minorHAnsi"/>
        </w:rPr>
        <w:t>.</w:t>
      </w:r>
    </w:p>
    <w:p w14:paraId="552D71ED" w14:textId="77777777" w:rsidR="00C0657A" w:rsidRPr="00366F60" w:rsidRDefault="00C0657A" w:rsidP="00C0657A">
      <w:pPr>
        <w:spacing w:after="0"/>
        <w:jc w:val="both"/>
        <w:rPr>
          <w:rFonts w:cs="Calibri"/>
        </w:rPr>
      </w:pPr>
    </w:p>
    <w:p w14:paraId="4B786B89" w14:textId="588E8C9A" w:rsidR="0033466E" w:rsidRDefault="00A640AE" w:rsidP="00C0657A">
      <w:pPr>
        <w:spacing w:after="0"/>
        <w:jc w:val="both"/>
        <w:rPr>
          <w:rFonts w:cs="Calibri"/>
          <w:bCs/>
        </w:rPr>
      </w:pPr>
      <w:r w:rsidRPr="00FF141F">
        <w:rPr>
          <w:rFonts w:cs="Calibri"/>
        </w:rPr>
        <w:t>Kontrola se zaměřila na činnosti a skutečnosti, které byly předmětem účetnictví</w:t>
      </w:r>
      <w:r w:rsidRPr="00FF141F">
        <w:rPr>
          <w:rStyle w:val="Znakapoznpodarou"/>
          <w:rFonts w:cs="Calibri"/>
        </w:rPr>
        <w:footnoteReference w:id="24"/>
      </w:r>
      <w:r w:rsidR="00291417" w:rsidRPr="00FF141F">
        <w:rPr>
          <w:rFonts w:cs="Calibri"/>
        </w:rPr>
        <w:t xml:space="preserve"> a měly vliv na</w:t>
      </w:r>
      <w:r w:rsidR="00B03EA6" w:rsidRPr="00FF141F">
        <w:rPr>
          <w:rFonts w:cs="Calibri"/>
        </w:rPr>
        <w:t xml:space="preserve"> </w:t>
      </w:r>
      <w:r w:rsidRPr="00FF141F">
        <w:rPr>
          <w:rFonts w:cs="Calibri"/>
        </w:rPr>
        <w:t>hodnotu kontrolovaných významných konečných zůstatků účtů v</w:t>
      </w:r>
      <w:r w:rsidR="00FF141F">
        <w:rPr>
          <w:rFonts w:cs="Calibri"/>
        </w:rPr>
        <w:t xml:space="preserve"> ÚZ</w:t>
      </w:r>
      <w:r w:rsidR="00BA10E7" w:rsidRPr="00FF141F">
        <w:rPr>
          <w:rFonts w:cs="Calibri"/>
        </w:rPr>
        <w:t>,</w:t>
      </w:r>
      <w:r w:rsidR="00FF141F">
        <w:rPr>
          <w:rFonts w:cs="Calibri"/>
        </w:rPr>
        <w:t xml:space="preserve"> </w:t>
      </w:r>
      <w:r w:rsidR="00BA10E7" w:rsidRPr="00FF141F">
        <w:rPr>
          <w:rFonts w:cs="Calibri"/>
        </w:rPr>
        <w:t>na</w:t>
      </w:r>
      <w:r w:rsidR="00B03EA6" w:rsidRPr="00FF141F">
        <w:rPr>
          <w:rFonts w:cs="Calibri"/>
        </w:rPr>
        <w:t xml:space="preserve"> </w:t>
      </w:r>
      <w:r w:rsidRPr="00FF141F">
        <w:rPr>
          <w:rFonts w:cs="Calibri"/>
        </w:rPr>
        <w:t>hodnotu významných údajů předkládaných</w:t>
      </w:r>
      <w:r w:rsidR="00FF141F" w:rsidRPr="00FF141F">
        <w:rPr>
          <w:rFonts w:cs="Calibri"/>
        </w:rPr>
        <w:t xml:space="preserve"> </w:t>
      </w:r>
      <w:r w:rsidRPr="00FF141F">
        <w:rPr>
          <w:rFonts w:cs="Calibri"/>
        </w:rPr>
        <w:t xml:space="preserve">pro hodnocení </w:t>
      </w:r>
      <w:r w:rsidR="005E41D6" w:rsidRPr="00FF141F">
        <w:rPr>
          <w:rFonts w:cs="Calibri"/>
        </w:rPr>
        <w:t>plnění státního rozpočtu za</w:t>
      </w:r>
      <w:r w:rsidR="00BB5BEC" w:rsidRPr="00FF141F">
        <w:rPr>
          <w:rFonts w:cs="Calibri"/>
        </w:rPr>
        <w:t xml:space="preserve"> </w:t>
      </w:r>
      <w:r w:rsidR="001B0BE7" w:rsidRPr="00FF141F">
        <w:rPr>
          <w:rFonts w:cs="Calibri"/>
        </w:rPr>
        <w:t>rok</w:t>
      </w:r>
      <w:r w:rsidR="00854846">
        <w:rPr>
          <w:rFonts w:cs="Calibri"/>
        </w:rPr>
        <w:t xml:space="preserve"> </w:t>
      </w:r>
      <w:r w:rsidR="005322AA" w:rsidRPr="00FF141F">
        <w:rPr>
          <w:rFonts w:cs="Calibri"/>
        </w:rPr>
        <w:t>202</w:t>
      </w:r>
      <w:r w:rsidR="00036B07">
        <w:rPr>
          <w:rFonts w:cs="Calibri"/>
        </w:rPr>
        <w:t>1</w:t>
      </w:r>
      <w:r w:rsidRPr="00FF141F">
        <w:rPr>
          <w:rFonts w:cs="Calibri"/>
        </w:rPr>
        <w:t xml:space="preserve"> a na </w:t>
      </w:r>
      <w:r w:rsidR="000377B3" w:rsidRPr="00FF141F">
        <w:rPr>
          <w:rFonts w:cs="Calibri"/>
        </w:rPr>
        <w:t>ZÚ</w:t>
      </w:r>
      <w:r w:rsidRPr="00FF141F">
        <w:rPr>
          <w:rFonts w:cs="Calibri"/>
        </w:rPr>
        <w:t xml:space="preserve"> </w:t>
      </w:r>
      <w:r w:rsidR="005322AA" w:rsidRPr="00FF141F">
        <w:rPr>
          <w:rFonts w:cs="Calibri"/>
        </w:rPr>
        <w:t>202</w:t>
      </w:r>
      <w:r w:rsidR="00036B07">
        <w:rPr>
          <w:rFonts w:cs="Calibri"/>
        </w:rPr>
        <w:t>1</w:t>
      </w:r>
      <w:r w:rsidRPr="00FF141F">
        <w:rPr>
          <w:rFonts w:cs="Calibri"/>
          <w:bCs/>
        </w:rPr>
        <w:t>.</w:t>
      </w:r>
    </w:p>
    <w:p w14:paraId="65C249D3" w14:textId="77777777" w:rsidR="00C0657A" w:rsidRPr="00FF141F" w:rsidRDefault="00C0657A" w:rsidP="00C0657A">
      <w:pPr>
        <w:spacing w:after="0"/>
        <w:jc w:val="both"/>
        <w:rPr>
          <w:rFonts w:cs="Calibri"/>
          <w:bCs/>
        </w:rPr>
      </w:pPr>
    </w:p>
    <w:p w14:paraId="6997026F" w14:textId="4B70EFA4" w:rsidR="00C0657A" w:rsidRDefault="00F279C1" w:rsidP="00C0657A">
      <w:pPr>
        <w:spacing w:after="0"/>
        <w:jc w:val="both"/>
        <w:rPr>
          <w:rFonts w:cs="Calibri"/>
        </w:rPr>
      </w:pPr>
      <w:r w:rsidRPr="00A66CE1">
        <w:rPr>
          <w:rFonts w:cs="Calibri"/>
        </w:rPr>
        <w:t xml:space="preserve">V oblasti vedení účetnictví se kontrola zaměřila na jeho správnost, úplnost, průkaznost </w:t>
      </w:r>
      <w:r w:rsidR="001F3453">
        <w:rPr>
          <w:rFonts w:cs="Calibri"/>
        </w:rPr>
        <w:br/>
      </w:r>
      <w:r w:rsidRPr="00A66CE1">
        <w:rPr>
          <w:rFonts w:cs="Calibri"/>
        </w:rPr>
        <w:t>a</w:t>
      </w:r>
      <w:r w:rsidR="001F3453">
        <w:rPr>
          <w:rFonts w:cs="Calibri"/>
        </w:rPr>
        <w:t xml:space="preserve"> </w:t>
      </w:r>
      <w:r w:rsidRPr="00A66CE1">
        <w:rPr>
          <w:rFonts w:cs="Calibri"/>
        </w:rPr>
        <w:t xml:space="preserve">srozumitelnost. </w:t>
      </w:r>
      <w:r w:rsidRPr="00FD03E7">
        <w:rPr>
          <w:rFonts w:cs="Calibri"/>
        </w:rPr>
        <w:t>Prověřila</w:t>
      </w:r>
      <w:r w:rsidR="00FD03E7" w:rsidRPr="00FD03E7">
        <w:rPr>
          <w:rFonts w:cs="Calibri"/>
        </w:rPr>
        <w:t xml:space="preserve"> </w:t>
      </w:r>
      <w:r w:rsidR="00A37324">
        <w:rPr>
          <w:rFonts w:cs="Calibri"/>
        </w:rPr>
        <w:t>dodržování směrné účtové osnovy</w:t>
      </w:r>
      <w:r w:rsidR="00FC5172">
        <w:rPr>
          <w:rFonts w:cs="Calibri"/>
        </w:rPr>
        <w:t xml:space="preserve">, </w:t>
      </w:r>
      <w:r w:rsidRPr="00FD03E7">
        <w:rPr>
          <w:rFonts w:cs="Calibri"/>
        </w:rPr>
        <w:t>správnost použív</w:t>
      </w:r>
      <w:r w:rsidR="00FD03E7" w:rsidRPr="00FD03E7">
        <w:rPr>
          <w:rFonts w:cs="Calibri"/>
        </w:rPr>
        <w:t>aných</w:t>
      </w:r>
      <w:r w:rsidRPr="00FD03E7">
        <w:rPr>
          <w:rFonts w:cs="Calibri"/>
        </w:rPr>
        <w:t xml:space="preserve"> účetních metod</w:t>
      </w:r>
      <w:r w:rsidR="00FD03E7" w:rsidRPr="00FD03E7">
        <w:rPr>
          <w:rFonts w:cs="Calibri"/>
        </w:rPr>
        <w:t xml:space="preserve"> a ostatních podmínek vedení účetnictví stanovených právními předpisy</w:t>
      </w:r>
      <w:r w:rsidRPr="00FD03E7">
        <w:rPr>
          <w:rFonts w:cs="Calibri"/>
        </w:rPr>
        <w:t xml:space="preserve">. </w:t>
      </w:r>
      <w:r w:rsidR="001F3453">
        <w:rPr>
          <w:rFonts w:cs="Calibri"/>
        </w:rPr>
        <w:br/>
      </w:r>
      <w:r w:rsidRPr="00FD03E7">
        <w:rPr>
          <w:rFonts w:cs="Calibri"/>
        </w:rPr>
        <w:t>U</w:t>
      </w:r>
      <w:r w:rsidR="001F3453">
        <w:rPr>
          <w:rFonts w:cs="Calibri"/>
        </w:rPr>
        <w:t xml:space="preserve"> </w:t>
      </w:r>
      <w:r w:rsidRPr="00FD03E7">
        <w:rPr>
          <w:rFonts w:cs="Calibri"/>
        </w:rPr>
        <w:t>vybraných účetních případů byla provedena kontrola s cílem prověřit systém účtování a</w:t>
      </w:r>
      <w:r w:rsidR="00B03BEC">
        <w:rPr>
          <w:rFonts w:cs="Calibri"/>
        </w:rPr>
        <w:t> </w:t>
      </w:r>
      <w:r w:rsidRPr="00FD03E7">
        <w:rPr>
          <w:rFonts w:cs="Calibri"/>
        </w:rPr>
        <w:t>vykazování informací o skutečnostech, které jsou předmětem účetnictví.</w:t>
      </w:r>
    </w:p>
    <w:p w14:paraId="614553E8" w14:textId="46A63973" w:rsidR="00F279C1" w:rsidRPr="00683C72" w:rsidRDefault="00F279C1" w:rsidP="00C0657A">
      <w:pPr>
        <w:spacing w:after="0"/>
        <w:jc w:val="both"/>
        <w:rPr>
          <w:rFonts w:cs="Calibri"/>
          <w:highlight w:val="yellow"/>
        </w:rPr>
      </w:pPr>
    </w:p>
    <w:p w14:paraId="3BB0E796" w14:textId="77777777" w:rsidR="008D562A" w:rsidRDefault="00A640AE" w:rsidP="00801AD6">
      <w:pPr>
        <w:spacing w:after="0"/>
        <w:jc w:val="both"/>
        <w:rPr>
          <w:rFonts w:eastAsiaTheme="minorHAnsi" w:cs="Calibri"/>
        </w:rPr>
      </w:pPr>
      <w:r w:rsidRPr="00FD03E7">
        <w:rPr>
          <w:rFonts w:eastAsiaTheme="minorHAnsi" w:cs="Calibri"/>
        </w:rPr>
        <w:t>V případě údajů předkládaných pro hodnocení plnění státního rozpočtu bylo prověřováno, zda byla dodržena správnost třídění příjmů a výdajů rozpočtovou skladbou v oblasti druhového a</w:t>
      </w:r>
      <w:r w:rsidR="009E57D6" w:rsidRPr="00FD03E7">
        <w:rPr>
          <w:rFonts w:eastAsiaTheme="minorHAnsi" w:cs="Calibri"/>
        </w:rPr>
        <w:t> </w:t>
      </w:r>
      <w:r w:rsidRPr="00FD03E7">
        <w:rPr>
          <w:rFonts w:eastAsiaTheme="minorHAnsi" w:cs="Calibri"/>
        </w:rPr>
        <w:t>odvětvového třídění dle vyhlášky č. 323/2002 Sb.</w:t>
      </w:r>
      <w:r w:rsidR="00410F93">
        <w:rPr>
          <w:rStyle w:val="Znakapoznpodarou"/>
          <w:rFonts w:eastAsiaTheme="minorHAnsi" w:cs="Calibri"/>
        </w:rPr>
        <w:footnoteReference w:id="25"/>
      </w:r>
    </w:p>
    <w:p w14:paraId="0CB14C72" w14:textId="77777777" w:rsidR="00801AD6" w:rsidRPr="00FD03E7" w:rsidRDefault="00801AD6" w:rsidP="00801AD6">
      <w:pPr>
        <w:spacing w:after="0"/>
        <w:jc w:val="both"/>
        <w:rPr>
          <w:rFonts w:eastAsiaTheme="minorHAnsi" w:cs="Calibri"/>
        </w:rPr>
      </w:pPr>
    </w:p>
    <w:p w14:paraId="08CE7AEC" w14:textId="77777777" w:rsidR="008465AF" w:rsidRDefault="00A640AE" w:rsidP="00801AD6">
      <w:pPr>
        <w:spacing w:after="0"/>
        <w:jc w:val="both"/>
        <w:rPr>
          <w:rFonts w:cs="Calibri"/>
        </w:rPr>
      </w:pPr>
      <w:r w:rsidRPr="00FD03E7">
        <w:rPr>
          <w:rFonts w:cs="Calibri"/>
        </w:rPr>
        <w:t xml:space="preserve">Výběr položek účetní závěrky a údajů předkládaných </w:t>
      </w:r>
      <w:r w:rsidR="006347BE" w:rsidRPr="00FD03E7">
        <w:rPr>
          <w:rFonts w:cs="Calibri"/>
        </w:rPr>
        <w:t>M</w:t>
      </w:r>
      <w:r w:rsidR="00574E94">
        <w:rPr>
          <w:rFonts w:cs="Calibri"/>
        </w:rPr>
        <w:t>inisterstvem vnitra</w:t>
      </w:r>
      <w:r w:rsidRPr="00FD03E7">
        <w:rPr>
          <w:rFonts w:cs="Calibri"/>
        </w:rPr>
        <w:t xml:space="preserve"> pro hodnocení plnění státního rozpočtu proved</w:t>
      </w:r>
      <w:r w:rsidR="00FB15C1" w:rsidRPr="00FD03E7">
        <w:rPr>
          <w:rFonts w:cs="Calibri"/>
        </w:rPr>
        <w:t>l NKÚ</w:t>
      </w:r>
      <w:r w:rsidRPr="00FD03E7">
        <w:rPr>
          <w:rFonts w:cs="Calibri"/>
        </w:rPr>
        <w:t xml:space="preserve"> </w:t>
      </w:r>
      <w:r w:rsidR="00574E94">
        <w:rPr>
          <w:rFonts w:cs="Calibri"/>
        </w:rPr>
        <w:t>s ohledem</w:t>
      </w:r>
      <w:r w:rsidRPr="00FD03E7">
        <w:rPr>
          <w:rFonts w:cs="Calibri"/>
        </w:rPr>
        <w:t xml:space="preserve"> na vyhodnocená rizika nesprávnosti vykázaných údajů.</w:t>
      </w:r>
    </w:p>
    <w:p w14:paraId="744E6A7A" w14:textId="77777777" w:rsidR="00801AD6" w:rsidRPr="00FD03E7" w:rsidRDefault="00801AD6" w:rsidP="00801AD6">
      <w:pPr>
        <w:spacing w:after="0"/>
        <w:jc w:val="both"/>
        <w:rPr>
          <w:rFonts w:cs="Calibri"/>
        </w:rPr>
      </w:pPr>
    </w:p>
    <w:p w14:paraId="7F57B3BE" w14:textId="77777777" w:rsidR="001C649A" w:rsidRDefault="00A640AE" w:rsidP="00801AD6">
      <w:pPr>
        <w:spacing w:after="0"/>
        <w:jc w:val="both"/>
        <w:rPr>
          <w:rFonts w:eastAsiaTheme="minorHAnsi" w:cs="Calibri"/>
        </w:rPr>
      </w:pPr>
      <w:r w:rsidRPr="00FD03E7">
        <w:rPr>
          <w:rFonts w:eastAsiaTheme="minorHAnsi" w:cs="Calibri"/>
        </w:rPr>
        <w:t xml:space="preserve">U </w:t>
      </w:r>
      <w:r w:rsidR="007D0244" w:rsidRPr="00FD03E7">
        <w:rPr>
          <w:rFonts w:eastAsiaTheme="minorHAnsi" w:cs="Calibri"/>
        </w:rPr>
        <w:t xml:space="preserve">relevantních </w:t>
      </w:r>
      <w:r w:rsidRPr="00FD03E7">
        <w:rPr>
          <w:rFonts w:eastAsiaTheme="minorHAnsi" w:cs="Calibri"/>
        </w:rPr>
        <w:t xml:space="preserve">transakcí byl prověřován soulad </w:t>
      </w:r>
      <w:r w:rsidR="00243906" w:rsidRPr="00FD03E7">
        <w:rPr>
          <w:rFonts w:eastAsiaTheme="minorHAnsi" w:cs="Calibri"/>
        </w:rPr>
        <w:t>s</w:t>
      </w:r>
      <w:r w:rsidR="007D0244" w:rsidRPr="00FD03E7">
        <w:rPr>
          <w:rFonts w:eastAsiaTheme="minorHAnsi" w:cs="Calibri"/>
        </w:rPr>
        <w:t> vybranými ustanoveními</w:t>
      </w:r>
      <w:r w:rsidRPr="00FD03E7">
        <w:rPr>
          <w:rFonts w:eastAsiaTheme="minorHAnsi" w:cs="Calibri"/>
        </w:rPr>
        <w:t xml:space="preserve"> další</w:t>
      </w:r>
      <w:r w:rsidR="007D0244" w:rsidRPr="00FD03E7">
        <w:rPr>
          <w:rFonts w:eastAsiaTheme="minorHAnsi" w:cs="Calibri"/>
        </w:rPr>
        <w:t>ch</w:t>
      </w:r>
      <w:r w:rsidRPr="00FD03E7">
        <w:rPr>
          <w:rFonts w:eastAsiaTheme="minorHAnsi" w:cs="Calibri"/>
        </w:rPr>
        <w:t xml:space="preserve"> právní</w:t>
      </w:r>
      <w:r w:rsidR="007D0244" w:rsidRPr="00FD03E7">
        <w:rPr>
          <w:rFonts w:eastAsiaTheme="minorHAnsi" w:cs="Calibri"/>
        </w:rPr>
        <w:t>ch</w:t>
      </w:r>
      <w:r w:rsidRPr="00FD03E7">
        <w:rPr>
          <w:rFonts w:eastAsiaTheme="minorHAnsi" w:cs="Calibri"/>
        </w:rPr>
        <w:t xml:space="preserve"> předpis</w:t>
      </w:r>
      <w:r w:rsidR="007D0244" w:rsidRPr="00FD03E7">
        <w:rPr>
          <w:rFonts w:eastAsiaTheme="minorHAnsi" w:cs="Calibri"/>
        </w:rPr>
        <w:t>ů</w:t>
      </w:r>
      <w:r w:rsidR="001F1F57" w:rsidRPr="00FD03E7">
        <w:rPr>
          <w:rFonts w:eastAsiaTheme="minorHAnsi" w:cs="Calibri"/>
        </w:rPr>
        <w:t>,</w:t>
      </w:r>
      <w:r w:rsidRPr="00FD03E7">
        <w:rPr>
          <w:rFonts w:eastAsiaTheme="minorHAnsi" w:cs="Calibri"/>
        </w:rPr>
        <w:t xml:space="preserve"> a to zejména </w:t>
      </w:r>
      <w:r w:rsidR="00243906" w:rsidRPr="00FD03E7">
        <w:rPr>
          <w:rFonts w:eastAsiaTheme="minorHAnsi" w:cs="Calibri"/>
        </w:rPr>
        <w:t>s</w:t>
      </w:r>
      <w:r w:rsidR="001077EB" w:rsidRPr="00FD03E7">
        <w:rPr>
          <w:rFonts w:eastAsiaTheme="minorHAnsi" w:cs="Calibri"/>
        </w:rPr>
        <w:t xml:space="preserve"> ustanoveními </w:t>
      </w:r>
      <w:r w:rsidR="00BA2B34">
        <w:rPr>
          <w:rFonts w:eastAsiaTheme="minorHAnsi" w:cs="Calibri"/>
        </w:rPr>
        <w:t>zákona č. 218/2000 Sb.</w:t>
      </w:r>
      <w:r w:rsidR="001077EB" w:rsidRPr="00FD03E7">
        <w:rPr>
          <w:rFonts w:eastAsiaTheme="minorHAnsi" w:cs="Calibri"/>
        </w:rPr>
        <w:t xml:space="preserve"> a zákona</w:t>
      </w:r>
      <w:r w:rsidR="00BA2B34">
        <w:rPr>
          <w:rFonts w:eastAsiaTheme="minorHAnsi" w:cs="Calibri"/>
        </w:rPr>
        <w:t xml:space="preserve"> č. 219/2000 Sb</w:t>
      </w:r>
      <w:r w:rsidR="001077EB" w:rsidRPr="00FD03E7">
        <w:rPr>
          <w:rFonts w:eastAsiaTheme="minorHAnsi" w:cs="Calibri"/>
        </w:rPr>
        <w:t>.</w:t>
      </w:r>
    </w:p>
    <w:p w14:paraId="62976FBD" w14:textId="77777777" w:rsidR="00801AD6" w:rsidRPr="00FD03E7" w:rsidRDefault="00801AD6" w:rsidP="00801AD6">
      <w:pPr>
        <w:spacing w:after="0"/>
        <w:jc w:val="both"/>
        <w:rPr>
          <w:rFonts w:eastAsiaTheme="minorHAnsi" w:cs="Calibri"/>
        </w:rPr>
      </w:pPr>
    </w:p>
    <w:p w14:paraId="66A69F44" w14:textId="6FB4CFC7" w:rsidR="008F46EE" w:rsidRDefault="00A640AE" w:rsidP="00801AD6">
      <w:pPr>
        <w:spacing w:after="0"/>
        <w:jc w:val="both"/>
        <w:rPr>
          <w:rFonts w:eastAsiaTheme="minorHAnsi" w:cs="Calibri"/>
        </w:rPr>
      </w:pPr>
      <w:r w:rsidRPr="00FD03E7">
        <w:rPr>
          <w:rFonts w:eastAsiaTheme="minorHAnsi" w:cs="Calibri"/>
        </w:rPr>
        <w:t>V</w:t>
      </w:r>
      <w:r w:rsidR="00E91FF5" w:rsidRPr="00FD03E7">
        <w:rPr>
          <w:rFonts w:eastAsiaTheme="minorHAnsi" w:cs="Calibri"/>
        </w:rPr>
        <w:t> </w:t>
      </w:r>
      <w:r w:rsidRPr="00FD03E7">
        <w:rPr>
          <w:rFonts w:eastAsiaTheme="minorHAnsi" w:cs="Calibri"/>
        </w:rPr>
        <w:t>případě</w:t>
      </w:r>
      <w:r w:rsidR="00E91FF5" w:rsidRPr="00FD03E7">
        <w:rPr>
          <w:rFonts w:eastAsiaTheme="minorHAnsi" w:cs="Calibri"/>
        </w:rPr>
        <w:t xml:space="preserve"> </w:t>
      </w:r>
      <w:r w:rsidR="002902ED">
        <w:rPr>
          <w:rFonts w:eastAsiaTheme="minorHAnsi" w:cs="Calibri"/>
        </w:rPr>
        <w:t>uzavírání</w:t>
      </w:r>
      <w:r w:rsidRPr="00FD03E7">
        <w:rPr>
          <w:rFonts w:eastAsiaTheme="minorHAnsi" w:cs="Calibri"/>
        </w:rPr>
        <w:t xml:space="preserve"> smluv </w:t>
      </w:r>
      <w:r w:rsidR="001077EB" w:rsidRPr="00FD03E7">
        <w:rPr>
          <w:rFonts w:eastAsiaTheme="minorHAnsi" w:cs="Calibri"/>
        </w:rPr>
        <w:t xml:space="preserve">a objednávek </w:t>
      </w:r>
      <w:r w:rsidRPr="00FD03E7">
        <w:rPr>
          <w:rFonts w:eastAsiaTheme="minorHAnsi" w:cs="Calibri"/>
        </w:rPr>
        <w:t xml:space="preserve">bylo </w:t>
      </w:r>
      <w:r w:rsidR="001077EB" w:rsidRPr="00FD03E7">
        <w:rPr>
          <w:rFonts w:eastAsiaTheme="minorHAnsi" w:cs="Calibri"/>
        </w:rPr>
        <w:t>prověřováno</w:t>
      </w:r>
      <w:r w:rsidRPr="00FD03E7">
        <w:rPr>
          <w:rFonts w:eastAsiaTheme="minorHAnsi" w:cs="Calibri"/>
        </w:rPr>
        <w:t xml:space="preserve"> </w:t>
      </w:r>
      <w:r w:rsidR="00E91FF5" w:rsidRPr="00FD03E7">
        <w:rPr>
          <w:rFonts w:eastAsiaTheme="minorHAnsi" w:cs="Calibri"/>
        </w:rPr>
        <w:t>jejich uveřejn</w:t>
      </w:r>
      <w:r w:rsidR="00CD2142" w:rsidRPr="00FD03E7">
        <w:rPr>
          <w:rFonts w:eastAsiaTheme="minorHAnsi" w:cs="Calibri"/>
        </w:rPr>
        <w:t>ění v registru smluv dle zák</w:t>
      </w:r>
      <w:r w:rsidR="00F14722" w:rsidRPr="00FD03E7">
        <w:rPr>
          <w:rFonts w:eastAsiaTheme="minorHAnsi" w:cs="Calibri"/>
        </w:rPr>
        <w:t>ona</w:t>
      </w:r>
      <w:r w:rsidR="00FB6581" w:rsidRPr="00FD03E7">
        <w:rPr>
          <w:rFonts w:eastAsiaTheme="minorHAnsi" w:cs="Calibri"/>
        </w:rPr>
        <w:t xml:space="preserve"> č. 340/2015 Sb.</w:t>
      </w:r>
      <w:r w:rsidR="00BA2B34">
        <w:rPr>
          <w:rStyle w:val="Znakapoznpodarou"/>
          <w:rFonts w:eastAsiaTheme="minorHAnsi" w:cs="Calibri"/>
        </w:rPr>
        <w:footnoteReference w:id="26"/>
      </w:r>
    </w:p>
    <w:p w14:paraId="2138EC57" w14:textId="77777777" w:rsidR="00C20965" w:rsidRDefault="00C20965" w:rsidP="00801AD6">
      <w:pPr>
        <w:spacing w:after="0"/>
        <w:jc w:val="both"/>
      </w:pPr>
    </w:p>
    <w:p w14:paraId="1FCF8A04" w14:textId="5A259BE6" w:rsidR="00C20965" w:rsidRPr="00B7140B" w:rsidRDefault="00C20965" w:rsidP="00801AD6">
      <w:pPr>
        <w:spacing w:after="0"/>
        <w:jc w:val="both"/>
      </w:pPr>
      <w:r w:rsidRPr="00124170">
        <w:rPr>
          <w:b/>
        </w:rPr>
        <w:t>NKÚ</w:t>
      </w:r>
      <w:r w:rsidRPr="000D7A6A">
        <w:t xml:space="preserve"> na základě prověřovaných skutečností </w:t>
      </w:r>
      <w:r w:rsidRPr="00124170">
        <w:rPr>
          <w:b/>
        </w:rPr>
        <w:t>vyhodnotil nastavení VKS</w:t>
      </w:r>
      <w:r w:rsidRPr="00466905">
        <w:t xml:space="preserve"> </w:t>
      </w:r>
      <w:r w:rsidRPr="00466905">
        <w:rPr>
          <w:bCs/>
        </w:rPr>
        <w:t>v oblasti účetnictví, plnění rozpočtu a závěrečného účtu</w:t>
      </w:r>
      <w:r w:rsidRPr="00466905">
        <w:t xml:space="preserve"> (vnitřní předpisy, interní audit, účetní doklady, účetní knihy, inventarizace majetku a závazků, účetní závěrka a schvalování účetní závěrky) dle zákonů č. 563/1991 Sb., č. 218/2000 Sb. a dalších právních předpisů a v oblasti řídicí kontroly dle zákona č. 320/2001 Sb. a vyhlášky č. 416/2004 Sb.</w:t>
      </w:r>
      <w:r w:rsidRPr="00466905">
        <w:rPr>
          <w:rStyle w:val="Znakapoznpodarou"/>
          <w:rFonts w:eastAsiaTheme="minorHAnsi" w:cs="Calibri"/>
        </w:rPr>
        <w:footnoteReference w:id="27"/>
      </w:r>
      <w:r w:rsidRPr="00466905">
        <w:t xml:space="preserve"> </w:t>
      </w:r>
      <w:r w:rsidRPr="00124170">
        <w:rPr>
          <w:b/>
        </w:rPr>
        <w:t>NKÚ dále</w:t>
      </w:r>
      <w:r w:rsidRPr="00466905">
        <w:t xml:space="preserve"> </w:t>
      </w:r>
      <w:r w:rsidR="00CC09DC">
        <w:t>na základě</w:t>
      </w:r>
      <w:r w:rsidRPr="00466905">
        <w:t xml:space="preserve"> prověřovaných operací </w:t>
      </w:r>
      <w:r w:rsidRPr="00124170">
        <w:rPr>
          <w:b/>
        </w:rPr>
        <w:t xml:space="preserve">vyhodnotil funkčnost </w:t>
      </w:r>
      <w:r w:rsidR="00574E94" w:rsidRPr="00124170">
        <w:rPr>
          <w:b/>
        </w:rPr>
        <w:t>VKS</w:t>
      </w:r>
      <w:r w:rsidRPr="00466905">
        <w:t xml:space="preserve"> </w:t>
      </w:r>
      <w:r w:rsidRPr="00466905">
        <w:rPr>
          <w:bCs/>
        </w:rPr>
        <w:t>v oblasti účetnictví, plnění rozpočtu a</w:t>
      </w:r>
      <w:r w:rsidR="00126542" w:rsidRPr="00466905">
        <w:rPr>
          <w:bCs/>
        </w:rPr>
        <w:t> </w:t>
      </w:r>
      <w:r w:rsidRPr="00466905">
        <w:rPr>
          <w:bCs/>
        </w:rPr>
        <w:t>závěrečného účtu</w:t>
      </w:r>
      <w:r w:rsidRPr="00466905">
        <w:t xml:space="preserve"> dle zákonů č. 563/1991 Sb., č. 218/2000 Sb. a dalších právních předpisů</w:t>
      </w:r>
      <w:r w:rsidR="00466905">
        <w:t xml:space="preserve"> </w:t>
      </w:r>
      <w:r w:rsidR="00CC09DC">
        <w:t xml:space="preserve">a </w:t>
      </w:r>
      <w:r w:rsidRPr="00D14FC9">
        <w:rPr>
          <w:bCs/>
        </w:rPr>
        <w:t>v oblasti hospodaření s majetkem státu</w:t>
      </w:r>
      <w:r w:rsidRPr="000D7A6A">
        <w:t xml:space="preserve"> dle zákona č. 219/2000 Sb., </w:t>
      </w:r>
      <w:r w:rsidRPr="00D14FC9">
        <w:rPr>
          <w:bCs/>
        </w:rPr>
        <w:t>finančního hospodaření</w:t>
      </w:r>
      <w:r w:rsidRPr="000D7A6A">
        <w:t xml:space="preserve"> dle zákona č.</w:t>
      </w:r>
      <w:r w:rsidR="00CC09DC">
        <w:t> </w:t>
      </w:r>
      <w:r w:rsidRPr="000D7A6A">
        <w:t>218/2000</w:t>
      </w:r>
      <w:r w:rsidR="00CC09DC">
        <w:t> </w:t>
      </w:r>
      <w:r w:rsidRPr="000D7A6A">
        <w:t>Sb. a dalších právních předpisů (zejména dle zákona č. 340/2015 Sb.) a v oblasti řídicí kontroly dle zákona č. 320/2001 Sb. a vyhlášky č. 416</w:t>
      </w:r>
      <w:r w:rsidRPr="00BF6E9E">
        <w:t xml:space="preserve">/2004 Sb., tj. </w:t>
      </w:r>
      <w:r w:rsidR="00574E94">
        <w:t xml:space="preserve">ověřil, zda jsou </w:t>
      </w:r>
      <w:r w:rsidRPr="00BF6E9E">
        <w:t>prvk</w:t>
      </w:r>
      <w:r w:rsidR="00574E94">
        <w:t>y</w:t>
      </w:r>
      <w:r w:rsidRPr="00BF6E9E">
        <w:t xml:space="preserve"> VKS </w:t>
      </w:r>
      <w:r w:rsidR="00574E94">
        <w:t xml:space="preserve">implementovány </w:t>
      </w:r>
      <w:r w:rsidRPr="00BF6E9E">
        <w:t xml:space="preserve">tak, aby bylo zamezeno vzniku nesprávností. Kombinace zjištění </w:t>
      </w:r>
      <w:r w:rsidR="00574E94">
        <w:t>týkajících se</w:t>
      </w:r>
      <w:r w:rsidRPr="00BF6E9E">
        <w:t xml:space="preserve"> nastavení a funkčnosti </w:t>
      </w:r>
      <w:r w:rsidR="00574E94">
        <w:t xml:space="preserve">VKS ve </w:t>
      </w:r>
      <w:r w:rsidRPr="00BF6E9E">
        <w:t>výše uvedených oblast</w:t>
      </w:r>
      <w:r w:rsidR="00574E94">
        <w:t>ech</w:t>
      </w:r>
      <w:r w:rsidRPr="00BF6E9E">
        <w:t xml:space="preserve"> je pak podkladem </w:t>
      </w:r>
      <w:r w:rsidR="00574E94">
        <w:t>pro</w:t>
      </w:r>
      <w:r w:rsidR="00CC09DC">
        <w:t xml:space="preserve"> </w:t>
      </w:r>
      <w:r w:rsidRPr="00BF6E9E">
        <w:t>hodnocení účinnosti</w:t>
      </w:r>
      <w:r w:rsidR="00574E94">
        <w:t xml:space="preserve"> vnitřního kontrolního systému MV</w:t>
      </w:r>
      <w:r w:rsidRPr="00BF6E9E">
        <w:t>.</w:t>
      </w:r>
    </w:p>
    <w:p w14:paraId="77EE8F12" w14:textId="77777777" w:rsidR="00801AD6" w:rsidRPr="000D7A6A" w:rsidRDefault="00801AD6" w:rsidP="00801AD6">
      <w:pPr>
        <w:spacing w:after="0"/>
        <w:jc w:val="both"/>
        <w:rPr>
          <w:rFonts w:asciiTheme="minorHAnsi" w:hAnsiTheme="minorHAnsi" w:cstheme="minorHAnsi"/>
        </w:rPr>
      </w:pPr>
    </w:p>
    <w:p w14:paraId="15F39AA8" w14:textId="77777777" w:rsidR="00F05073" w:rsidRDefault="00A640AE" w:rsidP="00801AD6">
      <w:pPr>
        <w:spacing w:after="0"/>
        <w:jc w:val="both"/>
        <w:rPr>
          <w:rFonts w:eastAsiaTheme="minorHAnsi" w:cs="Calibri"/>
        </w:rPr>
      </w:pPr>
      <w:r w:rsidRPr="000D7A6A">
        <w:rPr>
          <w:rFonts w:eastAsiaTheme="minorHAnsi" w:cs="Calibri"/>
        </w:rPr>
        <w:t xml:space="preserve">V rámci kontroly byla vyhodnocena </w:t>
      </w:r>
      <w:r w:rsidR="000A49D5">
        <w:rPr>
          <w:rFonts w:eastAsiaTheme="minorHAnsi" w:cs="Calibri"/>
        </w:rPr>
        <w:t xml:space="preserve">také </w:t>
      </w:r>
      <w:r w:rsidRPr="000D7A6A">
        <w:rPr>
          <w:rFonts w:eastAsiaTheme="minorHAnsi" w:cs="Calibri"/>
        </w:rPr>
        <w:t>opatření přijatá k nápravě nedostatků zjištěných</w:t>
      </w:r>
      <w:r w:rsidRPr="00666C8F">
        <w:rPr>
          <w:rFonts w:eastAsiaTheme="minorHAnsi" w:cs="Calibri"/>
        </w:rPr>
        <w:t xml:space="preserve"> </w:t>
      </w:r>
      <w:r w:rsidR="000A49D5">
        <w:rPr>
          <w:rFonts w:eastAsiaTheme="minorHAnsi" w:cs="Calibri"/>
        </w:rPr>
        <w:t>kontrolní akcí NKÚ</w:t>
      </w:r>
      <w:r w:rsidR="007102F6" w:rsidRPr="00666C8F">
        <w:rPr>
          <w:rFonts w:eastAsiaTheme="minorHAnsi" w:cs="Calibri"/>
        </w:rPr>
        <w:t xml:space="preserve"> č.</w:t>
      </w:r>
      <w:r w:rsidRPr="00666C8F">
        <w:rPr>
          <w:rFonts w:eastAsiaTheme="minorHAnsi" w:cs="Calibri"/>
        </w:rPr>
        <w:t xml:space="preserve"> 1</w:t>
      </w:r>
      <w:r w:rsidR="00AC2412">
        <w:rPr>
          <w:rFonts w:eastAsiaTheme="minorHAnsi" w:cs="Calibri"/>
        </w:rPr>
        <w:t>5/32</w:t>
      </w:r>
      <w:r w:rsidR="008A0176" w:rsidRPr="00666C8F">
        <w:rPr>
          <w:rFonts w:eastAsiaTheme="minorHAnsi" w:cs="Calibri"/>
        </w:rPr>
        <w:t>.</w:t>
      </w:r>
    </w:p>
    <w:p w14:paraId="3D80CEE9" w14:textId="77777777" w:rsidR="00801AD6" w:rsidRPr="00666C8F" w:rsidRDefault="00801AD6" w:rsidP="00801AD6">
      <w:pPr>
        <w:spacing w:after="0"/>
        <w:jc w:val="both"/>
        <w:rPr>
          <w:rFonts w:eastAsiaTheme="minorHAnsi" w:cs="Calibri"/>
        </w:rPr>
      </w:pPr>
    </w:p>
    <w:p w14:paraId="118E9D1C" w14:textId="6FDAB1B3" w:rsidR="00C1695F" w:rsidRDefault="00A640AE" w:rsidP="00801AD6">
      <w:pPr>
        <w:spacing w:after="0"/>
        <w:jc w:val="both"/>
        <w:rPr>
          <w:lang w:eastAsia="cs-CZ"/>
        </w:rPr>
      </w:pPr>
      <w:r w:rsidRPr="00820AC0">
        <w:rPr>
          <w:rFonts w:cs="Calibri"/>
          <w:lang w:eastAsia="cs-CZ"/>
        </w:rPr>
        <w:t xml:space="preserve">Při kontrole </w:t>
      </w:r>
      <w:r w:rsidR="007102F6" w:rsidRPr="00820AC0">
        <w:rPr>
          <w:rFonts w:cs="Calibri"/>
          <w:lang w:eastAsia="cs-CZ"/>
        </w:rPr>
        <w:t>ZÚ</w:t>
      </w:r>
      <w:r w:rsidRPr="00820AC0">
        <w:rPr>
          <w:rFonts w:cs="Calibri"/>
          <w:lang w:eastAsia="cs-CZ"/>
        </w:rPr>
        <w:t xml:space="preserve"> 20</w:t>
      </w:r>
      <w:r w:rsidR="006347BE" w:rsidRPr="00820AC0">
        <w:rPr>
          <w:rFonts w:cs="Calibri"/>
          <w:lang w:eastAsia="cs-CZ"/>
        </w:rPr>
        <w:t>2</w:t>
      </w:r>
      <w:r w:rsidR="00E022C3">
        <w:rPr>
          <w:rFonts w:cs="Calibri"/>
          <w:lang w:eastAsia="cs-CZ"/>
        </w:rPr>
        <w:t>1</w:t>
      </w:r>
      <w:r w:rsidR="0093276B" w:rsidRPr="00820AC0">
        <w:rPr>
          <w:rFonts w:cs="Calibri"/>
          <w:lang w:eastAsia="cs-CZ"/>
        </w:rPr>
        <w:t xml:space="preserve"> bylo prověř</w:t>
      </w:r>
      <w:r w:rsidR="00820AC0" w:rsidRPr="00820AC0">
        <w:rPr>
          <w:rFonts w:cs="Calibri"/>
          <w:lang w:eastAsia="cs-CZ"/>
        </w:rPr>
        <w:t>eno</w:t>
      </w:r>
      <w:r w:rsidR="0093276B" w:rsidRPr="00820AC0">
        <w:rPr>
          <w:rFonts w:cs="Calibri"/>
          <w:lang w:eastAsia="cs-CZ"/>
        </w:rPr>
        <w:t xml:space="preserve">, zda je závěrečný účet </w:t>
      </w:r>
      <w:r w:rsidR="00820AC0" w:rsidRPr="00820AC0">
        <w:rPr>
          <w:rFonts w:cs="Calibri"/>
          <w:lang w:eastAsia="cs-CZ"/>
        </w:rPr>
        <w:t xml:space="preserve">sestaven </w:t>
      </w:r>
      <w:r w:rsidR="0093276B" w:rsidRPr="00820AC0">
        <w:rPr>
          <w:rFonts w:cs="Calibri"/>
          <w:lang w:eastAsia="cs-CZ"/>
        </w:rPr>
        <w:t>v souladu s požadavky vyhlášky č. 419/2001 Sb.</w:t>
      </w:r>
      <w:r w:rsidR="00283F9D">
        <w:rPr>
          <w:rStyle w:val="Znakapoznpodarou"/>
          <w:rFonts w:cs="Calibri"/>
          <w:lang w:eastAsia="cs-CZ"/>
        </w:rPr>
        <w:footnoteReference w:id="28"/>
      </w:r>
      <w:r w:rsidR="00820AC0" w:rsidRPr="00820AC0">
        <w:rPr>
          <w:rFonts w:cs="Calibri"/>
          <w:lang w:eastAsia="cs-CZ"/>
        </w:rPr>
        <w:t xml:space="preserve"> a</w:t>
      </w:r>
      <w:r w:rsidR="0090755D">
        <w:rPr>
          <w:rFonts w:cs="Calibri"/>
          <w:lang w:eastAsia="cs-CZ"/>
        </w:rPr>
        <w:t xml:space="preserve"> </w:t>
      </w:r>
      <w:r w:rsidR="00CE5E3A">
        <w:rPr>
          <w:rFonts w:cs="Calibri"/>
          <w:lang w:eastAsia="cs-CZ"/>
        </w:rPr>
        <w:t xml:space="preserve">zda je </w:t>
      </w:r>
      <w:r w:rsidR="0090755D">
        <w:rPr>
          <w:rFonts w:cs="Calibri"/>
          <w:lang w:eastAsia="cs-CZ"/>
        </w:rPr>
        <w:t>také</w:t>
      </w:r>
      <w:r w:rsidR="00283F9D">
        <w:rPr>
          <w:rFonts w:cs="Calibri"/>
          <w:lang w:eastAsia="cs-CZ"/>
        </w:rPr>
        <w:t xml:space="preserve"> </w:t>
      </w:r>
      <w:r w:rsidR="00A054E6">
        <w:rPr>
          <w:rFonts w:cs="Calibri"/>
          <w:lang w:eastAsia="cs-CZ"/>
        </w:rPr>
        <w:t xml:space="preserve">v souladu </w:t>
      </w:r>
      <w:r w:rsidR="00BA10E7" w:rsidRPr="00820AC0">
        <w:rPr>
          <w:rFonts w:cs="Calibri"/>
          <w:lang w:eastAsia="cs-CZ"/>
        </w:rPr>
        <w:t>se skutečností, t</w:t>
      </w:r>
      <w:r w:rsidR="00B21492">
        <w:rPr>
          <w:rFonts w:cs="Calibri"/>
          <w:lang w:eastAsia="cs-CZ"/>
        </w:rPr>
        <w:t>zn</w:t>
      </w:r>
      <w:r w:rsidR="00820AC0" w:rsidRPr="00820AC0">
        <w:rPr>
          <w:rFonts w:cs="Calibri"/>
          <w:lang w:eastAsia="cs-CZ"/>
        </w:rPr>
        <w:t xml:space="preserve">. </w:t>
      </w:r>
      <w:r w:rsidR="0093276B" w:rsidRPr="00820AC0">
        <w:rPr>
          <w:rFonts w:cs="Calibri"/>
          <w:lang w:eastAsia="cs-CZ"/>
        </w:rPr>
        <w:t>zda vybrané údaje uváděné v závěrečném účtu jsou správné a úplné ve srovnání s finančními výkazy</w:t>
      </w:r>
      <w:r w:rsidR="00B21492">
        <w:rPr>
          <w:rFonts w:cs="Calibri"/>
          <w:lang w:eastAsia="cs-CZ"/>
        </w:rPr>
        <w:t xml:space="preserve"> obsahujícími údaje pro hodnocení plnění rozpočtu</w:t>
      </w:r>
      <w:r w:rsidR="0093276B" w:rsidRPr="00820AC0">
        <w:rPr>
          <w:rFonts w:cs="Calibri"/>
          <w:lang w:eastAsia="cs-CZ"/>
        </w:rPr>
        <w:t>, s údaji v</w:t>
      </w:r>
      <w:r w:rsidRPr="00820AC0">
        <w:rPr>
          <w:rFonts w:cs="Calibri"/>
          <w:lang w:eastAsia="cs-CZ"/>
        </w:rPr>
        <w:t> </w:t>
      </w:r>
      <w:r w:rsidR="0093276B" w:rsidRPr="00820AC0">
        <w:rPr>
          <w:rFonts w:cs="Calibri"/>
          <w:lang w:eastAsia="cs-CZ"/>
        </w:rPr>
        <w:t>účetnictví</w:t>
      </w:r>
      <w:r w:rsidRPr="00820AC0">
        <w:rPr>
          <w:rFonts w:cs="Calibri"/>
          <w:lang w:eastAsia="cs-CZ"/>
        </w:rPr>
        <w:t xml:space="preserve">, s údaji z účetních závěrek </w:t>
      </w:r>
      <w:r w:rsidR="006347BE" w:rsidRPr="00820AC0">
        <w:rPr>
          <w:rFonts w:cs="Calibri"/>
          <w:lang w:eastAsia="cs-CZ"/>
        </w:rPr>
        <w:t>M</w:t>
      </w:r>
      <w:r w:rsidR="00260562">
        <w:rPr>
          <w:rFonts w:cs="Calibri"/>
          <w:lang w:eastAsia="cs-CZ"/>
        </w:rPr>
        <w:t>V</w:t>
      </w:r>
      <w:r w:rsidRPr="00820AC0">
        <w:rPr>
          <w:rFonts w:cs="Calibri"/>
          <w:lang w:eastAsia="cs-CZ"/>
        </w:rPr>
        <w:t xml:space="preserve"> a</w:t>
      </w:r>
      <w:r w:rsidR="00CC09DC">
        <w:rPr>
          <w:rFonts w:cs="Calibri"/>
          <w:lang w:eastAsia="cs-CZ"/>
        </w:rPr>
        <w:t> </w:t>
      </w:r>
      <w:r w:rsidRPr="00820AC0">
        <w:rPr>
          <w:rFonts w:cs="Calibri"/>
          <w:lang w:eastAsia="cs-CZ"/>
        </w:rPr>
        <w:t xml:space="preserve">podřízených organizací v rámci kapitoly státního rozpočtu </w:t>
      </w:r>
      <w:r w:rsidR="006347BE" w:rsidRPr="00820AC0">
        <w:rPr>
          <w:rFonts w:cs="Calibri"/>
          <w:lang w:eastAsia="cs-CZ"/>
        </w:rPr>
        <w:t>3</w:t>
      </w:r>
      <w:r w:rsidR="00260562">
        <w:rPr>
          <w:rFonts w:cs="Calibri"/>
          <w:lang w:eastAsia="cs-CZ"/>
        </w:rPr>
        <w:t>14</w:t>
      </w:r>
      <w:r w:rsidRPr="00820AC0">
        <w:rPr>
          <w:rFonts w:cs="Calibri"/>
          <w:lang w:eastAsia="cs-CZ"/>
        </w:rPr>
        <w:t>,</w:t>
      </w:r>
      <w:r w:rsidR="0093276B" w:rsidRPr="00820AC0">
        <w:rPr>
          <w:rFonts w:cs="Calibri"/>
          <w:lang w:eastAsia="cs-CZ"/>
        </w:rPr>
        <w:t xml:space="preserve"> s po</w:t>
      </w:r>
      <w:r w:rsidR="00420E03" w:rsidRPr="00820AC0">
        <w:rPr>
          <w:rFonts w:cs="Calibri"/>
          <w:lang w:eastAsia="cs-CZ"/>
        </w:rPr>
        <w:t>d</w:t>
      </w:r>
      <w:r w:rsidR="0093276B" w:rsidRPr="00820AC0">
        <w:rPr>
          <w:rFonts w:cs="Calibri"/>
          <w:lang w:eastAsia="cs-CZ"/>
        </w:rPr>
        <w:t>klady jednotlivýc</w:t>
      </w:r>
      <w:r w:rsidR="00014250" w:rsidRPr="00820AC0">
        <w:rPr>
          <w:rFonts w:cs="Calibri"/>
          <w:lang w:eastAsia="cs-CZ"/>
        </w:rPr>
        <w:t xml:space="preserve">h věcně příslušných </w:t>
      </w:r>
      <w:r w:rsidR="002F62E6" w:rsidRPr="00820AC0">
        <w:rPr>
          <w:rFonts w:cs="Calibri"/>
          <w:lang w:eastAsia="cs-CZ"/>
        </w:rPr>
        <w:t>útvarů</w:t>
      </w:r>
      <w:r w:rsidR="00014250" w:rsidRPr="00820AC0">
        <w:rPr>
          <w:rFonts w:cs="Calibri"/>
          <w:lang w:eastAsia="cs-CZ"/>
        </w:rPr>
        <w:t xml:space="preserve"> </w:t>
      </w:r>
      <w:r w:rsidR="006347BE" w:rsidRPr="00820AC0">
        <w:rPr>
          <w:rFonts w:cs="Calibri"/>
          <w:lang w:eastAsia="cs-CZ"/>
        </w:rPr>
        <w:t>M</w:t>
      </w:r>
      <w:r w:rsidR="00260562">
        <w:rPr>
          <w:rFonts w:cs="Calibri"/>
          <w:lang w:eastAsia="cs-CZ"/>
        </w:rPr>
        <w:t>V</w:t>
      </w:r>
      <w:r w:rsidR="00014250" w:rsidRPr="00820AC0">
        <w:rPr>
          <w:rFonts w:cs="Calibri"/>
          <w:lang w:eastAsia="cs-CZ"/>
        </w:rPr>
        <w:t xml:space="preserve"> a </w:t>
      </w:r>
      <w:r w:rsidR="0093276B" w:rsidRPr="00820AC0">
        <w:rPr>
          <w:rFonts w:cs="Calibri"/>
          <w:lang w:eastAsia="cs-CZ"/>
        </w:rPr>
        <w:t>podřízených organizací</w:t>
      </w:r>
      <w:r w:rsidRPr="00820AC0">
        <w:rPr>
          <w:rFonts w:cs="Calibri"/>
          <w:lang w:eastAsia="cs-CZ"/>
        </w:rPr>
        <w:t xml:space="preserve"> a s </w:t>
      </w:r>
      <w:r w:rsidRPr="00820AC0">
        <w:rPr>
          <w:lang w:eastAsia="cs-CZ"/>
        </w:rPr>
        <w:t>jinými veřejně dostupnými zdroji</w:t>
      </w:r>
      <w:r w:rsidR="001B06A1" w:rsidRPr="00820AC0">
        <w:rPr>
          <w:lang w:eastAsia="cs-CZ"/>
        </w:rPr>
        <w:t>,</w:t>
      </w:r>
      <w:r w:rsidRPr="00820AC0">
        <w:rPr>
          <w:lang w:eastAsia="cs-CZ"/>
        </w:rPr>
        <w:t xml:space="preserve"> např. usneseními vlády ČR, veřejně přístupnými rejstříky apod.</w:t>
      </w:r>
    </w:p>
    <w:p w14:paraId="272DF432" w14:textId="77777777" w:rsidR="00801AD6" w:rsidRDefault="00801AD6" w:rsidP="00801AD6">
      <w:pPr>
        <w:spacing w:after="0"/>
        <w:jc w:val="both"/>
        <w:rPr>
          <w:lang w:eastAsia="cs-CZ"/>
        </w:rPr>
      </w:pPr>
    </w:p>
    <w:p w14:paraId="28FDDE68" w14:textId="33E0167D" w:rsidR="00283F9D" w:rsidRDefault="00283F9D" w:rsidP="00820AC0">
      <w:pPr>
        <w:spacing w:after="0"/>
        <w:jc w:val="both"/>
        <w:rPr>
          <w:lang w:eastAsia="cs-CZ"/>
        </w:rPr>
      </w:pPr>
      <w:r>
        <w:rPr>
          <w:lang w:eastAsia="cs-CZ"/>
        </w:rPr>
        <w:t>Kontrola se</w:t>
      </w:r>
      <w:r w:rsidR="00260562">
        <w:rPr>
          <w:lang w:eastAsia="cs-CZ"/>
        </w:rPr>
        <w:t xml:space="preserve"> </w:t>
      </w:r>
      <w:r>
        <w:rPr>
          <w:lang w:eastAsia="cs-CZ"/>
        </w:rPr>
        <w:t xml:space="preserve">zaměřila </w:t>
      </w:r>
      <w:r w:rsidR="00260562">
        <w:rPr>
          <w:lang w:eastAsia="cs-CZ"/>
        </w:rPr>
        <w:t xml:space="preserve">i </w:t>
      </w:r>
      <w:r>
        <w:rPr>
          <w:lang w:eastAsia="cs-CZ"/>
        </w:rPr>
        <w:t>na to, zda a jak M</w:t>
      </w:r>
      <w:r w:rsidR="00260562">
        <w:rPr>
          <w:lang w:eastAsia="cs-CZ"/>
        </w:rPr>
        <w:t>V</w:t>
      </w:r>
      <w:r>
        <w:rPr>
          <w:lang w:eastAsia="cs-CZ"/>
        </w:rPr>
        <w:t xml:space="preserve"> využívá akruální účetní informace</w:t>
      </w:r>
      <w:r w:rsidR="0029075C">
        <w:rPr>
          <w:lang w:eastAsia="cs-CZ"/>
        </w:rPr>
        <w:t xml:space="preserve"> (viz </w:t>
      </w:r>
      <w:r w:rsidR="0029075C">
        <w:rPr>
          <w:rFonts w:asciiTheme="minorHAnsi" w:hAnsiTheme="minorHAnsi" w:cstheme="minorHAnsi"/>
        </w:rPr>
        <w:t>příloha č. 1, oddíl IX</w:t>
      </w:r>
      <w:r w:rsidR="00CC09DC">
        <w:rPr>
          <w:rFonts w:asciiTheme="minorHAnsi" w:hAnsiTheme="minorHAnsi" w:cstheme="minorHAnsi"/>
        </w:rPr>
        <w:t>. tohoto</w:t>
      </w:r>
      <w:r w:rsidR="0029075C">
        <w:rPr>
          <w:rFonts w:asciiTheme="minorHAnsi" w:hAnsiTheme="minorHAnsi" w:cstheme="minorHAnsi"/>
        </w:rPr>
        <w:t xml:space="preserve"> kontrolního závěru)</w:t>
      </w:r>
      <w:r w:rsidR="00D05209">
        <w:rPr>
          <w:lang w:eastAsia="cs-CZ"/>
        </w:rPr>
        <w:t>. Dále se kontrola zaměřila</w:t>
      </w:r>
      <w:r w:rsidR="00260562">
        <w:rPr>
          <w:lang w:eastAsia="cs-CZ"/>
        </w:rPr>
        <w:t xml:space="preserve"> na</w:t>
      </w:r>
      <w:r w:rsidR="0027260F">
        <w:rPr>
          <w:lang w:eastAsia="cs-CZ"/>
        </w:rPr>
        <w:t xml:space="preserve"> </w:t>
      </w:r>
      <w:r w:rsidR="00260562">
        <w:rPr>
          <w:lang w:eastAsia="cs-CZ"/>
        </w:rPr>
        <w:t>vliv</w:t>
      </w:r>
      <w:r w:rsidR="0027260F">
        <w:rPr>
          <w:lang w:eastAsia="cs-CZ"/>
        </w:rPr>
        <w:t xml:space="preserve"> </w:t>
      </w:r>
      <w:r w:rsidR="00260562">
        <w:rPr>
          <w:lang w:eastAsia="cs-CZ"/>
        </w:rPr>
        <w:t xml:space="preserve">pandemie </w:t>
      </w:r>
      <w:r w:rsidR="00A054E6">
        <w:rPr>
          <w:lang w:eastAsia="cs-CZ"/>
        </w:rPr>
        <w:t>covid</w:t>
      </w:r>
      <w:r w:rsidR="00CC09DC">
        <w:rPr>
          <w:lang w:eastAsia="cs-CZ"/>
        </w:rPr>
        <w:t>u</w:t>
      </w:r>
      <w:r w:rsidR="00260562">
        <w:rPr>
          <w:lang w:eastAsia="cs-CZ"/>
        </w:rPr>
        <w:t>-19 na výdaje a náklady MV jakožto orgánu krizového řízení</w:t>
      </w:r>
      <w:r w:rsidR="00A7436E">
        <w:rPr>
          <w:lang w:eastAsia="cs-CZ"/>
        </w:rPr>
        <w:t xml:space="preserve"> (viz </w:t>
      </w:r>
      <w:r w:rsidR="00A7436E">
        <w:rPr>
          <w:rFonts w:asciiTheme="minorHAnsi" w:hAnsiTheme="minorHAnsi" w:cstheme="minorHAnsi"/>
        </w:rPr>
        <w:t>příloha č. 1, oddíl X</w:t>
      </w:r>
      <w:r w:rsidR="00CC09DC">
        <w:rPr>
          <w:rFonts w:asciiTheme="minorHAnsi" w:hAnsiTheme="minorHAnsi" w:cstheme="minorHAnsi"/>
        </w:rPr>
        <w:t>.</w:t>
      </w:r>
      <w:r w:rsidR="00A7436E">
        <w:rPr>
          <w:rFonts w:asciiTheme="minorHAnsi" w:hAnsiTheme="minorHAnsi" w:cstheme="minorHAnsi"/>
        </w:rPr>
        <w:t xml:space="preserve"> </w:t>
      </w:r>
      <w:r w:rsidR="00CC09DC">
        <w:rPr>
          <w:rFonts w:asciiTheme="minorHAnsi" w:hAnsiTheme="minorHAnsi" w:cstheme="minorHAnsi"/>
        </w:rPr>
        <w:t xml:space="preserve">tohoto </w:t>
      </w:r>
      <w:r w:rsidR="00A7436E">
        <w:rPr>
          <w:rFonts w:asciiTheme="minorHAnsi" w:hAnsiTheme="minorHAnsi" w:cstheme="minorHAnsi"/>
        </w:rPr>
        <w:t>kontrolního závěru)</w:t>
      </w:r>
      <w:r>
        <w:rPr>
          <w:lang w:eastAsia="cs-CZ"/>
        </w:rPr>
        <w:t>.</w:t>
      </w:r>
    </w:p>
    <w:p w14:paraId="2E4A171F" w14:textId="77777777" w:rsidR="00006AE8" w:rsidRDefault="00006AE8" w:rsidP="00B03EA6">
      <w:pPr>
        <w:spacing w:after="0"/>
        <w:jc w:val="both"/>
        <w:rPr>
          <w:highlight w:val="yellow"/>
          <w:lang w:eastAsia="cs-CZ"/>
        </w:rPr>
      </w:pPr>
    </w:p>
    <w:p w14:paraId="6B65C3D8" w14:textId="77777777" w:rsidR="00006AE8" w:rsidRPr="00820AC0" w:rsidRDefault="00006AE8" w:rsidP="00B03EA6">
      <w:pPr>
        <w:spacing w:after="0"/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820AC0">
        <w:rPr>
          <w:rFonts w:asciiTheme="minorHAnsi" w:hAnsiTheme="minorHAnsi" w:cs="Calibri"/>
          <w:b/>
          <w:sz w:val="20"/>
          <w:szCs w:val="20"/>
        </w:rPr>
        <w:t>Pozn.:</w:t>
      </w:r>
      <w:r w:rsidRPr="00820AC0">
        <w:rPr>
          <w:rFonts w:asciiTheme="minorHAnsi" w:hAnsiTheme="minorHAnsi" w:cs="Calibri"/>
          <w:sz w:val="20"/>
          <w:szCs w:val="20"/>
        </w:rPr>
        <w:t xml:space="preserve"> </w:t>
      </w:r>
      <w:r w:rsidRPr="00820AC0">
        <w:rPr>
          <w:rFonts w:asciiTheme="minorHAnsi" w:hAnsiTheme="minorHAnsi" w:cs="Calibri"/>
          <w:sz w:val="20"/>
          <w:szCs w:val="20"/>
        </w:rPr>
        <w:tab/>
        <w:t>Všechny právní předpisy uvedené v tomto kontrolním závěru jsou aplikovány ve znění účinném pro kontrolované období.</w:t>
      </w:r>
    </w:p>
    <w:p w14:paraId="3A172F87" w14:textId="77777777" w:rsidR="002C44C1" w:rsidRPr="00683C72" w:rsidRDefault="002C44C1" w:rsidP="00B03EA6">
      <w:pPr>
        <w:spacing w:after="0"/>
        <w:jc w:val="both"/>
        <w:rPr>
          <w:highlight w:val="yellow"/>
          <w:lang w:eastAsia="cs-CZ"/>
        </w:rPr>
      </w:pPr>
    </w:p>
    <w:p w14:paraId="268723D6" w14:textId="77777777" w:rsidR="00006589" w:rsidRDefault="00006589" w:rsidP="00B03EA6">
      <w:pPr>
        <w:spacing w:after="0"/>
        <w:jc w:val="both"/>
        <w:rPr>
          <w:highlight w:val="yellow"/>
          <w:lang w:eastAsia="cs-CZ"/>
        </w:rPr>
      </w:pPr>
    </w:p>
    <w:p w14:paraId="2976A1C2" w14:textId="77777777" w:rsidR="00F0144D" w:rsidRPr="00683C72" w:rsidRDefault="00F0144D" w:rsidP="00B03EA6">
      <w:pPr>
        <w:spacing w:after="0"/>
        <w:jc w:val="both"/>
        <w:rPr>
          <w:highlight w:val="yellow"/>
          <w:lang w:eastAsia="cs-CZ"/>
        </w:rPr>
      </w:pPr>
    </w:p>
    <w:p w14:paraId="47286139" w14:textId="77777777" w:rsidR="0033466E" w:rsidRPr="00D97069" w:rsidRDefault="00A640AE" w:rsidP="00CB541E">
      <w:pPr>
        <w:pStyle w:val="Nadpis1"/>
        <w:keepNext/>
        <w:spacing w:after="0" w:line="240" w:lineRule="auto"/>
        <w:rPr>
          <w:rFonts w:ascii="Calibri" w:hAnsi="Calibri" w:cs="Calibri"/>
          <w:sz w:val="24"/>
          <w:szCs w:val="24"/>
        </w:rPr>
      </w:pPr>
      <w:r w:rsidRPr="00D97069">
        <w:rPr>
          <w:rFonts w:ascii="Calibri" w:hAnsi="Calibri" w:cs="Calibri"/>
          <w:szCs w:val="24"/>
        </w:rPr>
        <w:t>IV. Podrobné skutečnosti zjištěné kontrolou</w:t>
      </w:r>
    </w:p>
    <w:p w14:paraId="7326A810" w14:textId="77777777" w:rsidR="00697969" w:rsidRPr="00683C72" w:rsidRDefault="00697969" w:rsidP="00B93CEB">
      <w:pPr>
        <w:spacing w:after="0"/>
        <w:jc w:val="both"/>
        <w:rPr>
          <w:rFonts w:asciiTheme="minorHAnsi" w:hAnsiTheme="minorHAnsi" w:cstheme="minorHAnsi"/>
          <w:spacing w:val="-2"/>
          <w:highlight w:val="yellow"/>
        </w:rPr>
      </w:pPr>
    </w:p>
    <w:p w14:paraId="2D0A5E48" w14:textId="77777777" w:rsidR="004C2E08" w:rsidRDefault="00283F9D" w:rsidP="004C2E08">
      <w:pPr>
        <w:pStyle w:val="Nadpis2"/>
        <w:keepNext/>
        <w:numPr>
          <w:ilvl w:val="0"/>
          <w:numId w:val="0"/>
        </w:numPr>
        <w:spacing w:after="120" w:line="240" w:lineRule="auto"/>
        <w:ind w:left="284" w:hanging="284"/>
        <w:contextualSpacing w:val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D97069" w:rsidRPr="007143E4">
        <w:rPr>
          <w:rFonts w:ascii="Calibri" w:hAnsi="Calibri" w:cs="Calibri"/>
        </w:rPr>
        <w:t>. Vedení účetnictví</w:t>
      </w:r>
    </w:p>
    <w:p w14:paraId="01CFBC5D" w14:textId="77777777" w:rsidR="00F55060" w:rsidRPr="00F0144D" w:rsidRDefault="00F55060" w:rsidP="00D14FC9">
      <w:pPr>
        <w:rPr>
          <w:b/>
          <w:bCs/>
        </w:rPr>
      </w:pPr>
      <w:r w:rsidRPr="00F0144D">
        <w:rPr>
          <w:b/>
          <w:bCs/>
        </w:rPr>
        <w:t>1.1 Neopravené nesprávnosti v účetnictví MV</w:t>
      </w:r>
    </w:p>
    <w:p w14:paraId="1979E4D9" w14:textId="77777777" w:rsidR="00AE1893" w:rsidRPr="00872B70" w:rsidRDefault="00FE0BEE" w:rsidP="00AE1893">
      <w:pPr>
        <w:ind w:right="-103"/>
        <w:jc w:val="both"/>
        <w:rPr>
          <w:rFonts w:eastAsiaTheme="minorHAnsi" w:cs="Calibri"/>
          <w:bCs/>
        </w:rPr>
      </w:pPr>
      <w:r w:rsidRPr="00B35CB1">
        <w:rPr>
          <w:rFonts w:asciiTheme="minorHAnsi" w:hAnsiTheme="minorHAnsi" w:cstheme="minorHAnsi"/>
          <w:b/>
          <w:bCs/>
          <w:spacing w:val="-2"/>
        </w:rPr>
        <w:t>V</w:t>
      </w:r>
      <w:r w:rsidR="00555820">
        <w:rPr>
          <w:rFonts w:asciiTheme="minorHAnsi" w:hAnsiTheme="minorHAnsi" w:cstheme="minorHAnsi"/>
          <w:b/>
          <w:bCs/>
          <w:spacing w:val="-2"/>
        </w:rPr>
        <w:t xml:space="preserve"> údajích </w:t>
      </w:r>
      <w:r w:rsidRPr="00B35CB1">
        <w:rPr>
          <w:rFonts w:asciiTheme="minorHAnsi" w:hAnsiTheme="minorHAnsi" w:cstheme="minorHAnsi"/>
          <w:b/>
          <w:bCs/>
          <w:spacing w:val="-2"/>
        </w:rPr>
        <w:t>ÚZ</w:t>
      </w:r>
      <w:r w:rsidR="001C492F" w:rsidRPr="00B35CB1">
        <w:rPr>
          <w:rFonts w:cs="Calibri"/>
          <w:b/>
          <w:bCs/>
        </w:rPr>
        <w:t xml:space="preserve"> </w:t>
      </w:r>
      <w:r w:rsidR="00C94485">
        <w:rPr>
          <w:rFonts w:cs="Calibri"/>
          <w:b/>
          <w:bCs/>
        </w:rPr>
        <w:t xml:space="preserve">za KO MV </w:t>
      </w:r>
      <w:r w:rsidRPr="00B35CB1">
        <w:rPr>
          <w:rFonts w:asciiTheme="minorHAnsi" w:hAnsiTheme="minorHAnsi" w:cstheme="minorHAnsi"/>
          <w:b/>
          <w:bCs/>
          <w:spacing w:val="-2"/>
        </w:rPr>
        <w:t>bylo kontrolou zjištěno, že některé informace M</w:t>
      </w:r>
      <w:r w:rsidR="00C94485">
        <w:rPr>
          <w:rFonts w:asciiTheme="minorHAnsi" w:hAnsiTheme="minorHAnsi" w:cstheme="minorHAnsi"/>
          <w:b/>
          <w:bCs/>
          <w:spacing w:val="-2"/>
        </w:rPr>
        <w:t>V</w:t>
      </w:r>
      <w:r w:rsidRPr="00B35CB1">
        <w:rPr>
          <w:rFonts w:asciiTheme="minorHAnsi" w:hAnsiTheme="minorHAnsi" w:cstheme="minorHAnsi"/>
          <w:b/>
          <w:bCs/>
          <w:spacing w:val="-2"/>
        </w:rPr>
        <w:t xml:space="preserve"> nevykázalo v souladu s právními předpisy upravujícími vedení účetnictví, a to v údajích za běžné účetní období v celkové výši 1</w:t>
      </w:r>
      <w:r w:rsidR="00555820">
        <w:rPr>
          <w:rFonts w:asciiTheme="minorHAnsi" w:hAnsiTheme="minorHAnsi" w:cstheme="minorHAnsi"/>
          <w:b/>
          <w:bCs/>
          <w:spacing w:val="-2"/>
        </w:rPr>
        <w:t>3,9</w:t>
      </w:r>
      <w:r w:rsidRPr="00B35CB1">
        <w:rPr>
          <w:rFonts w:asciiTheme="minorHAnsi" w:hAnsiTheme="minorHAnsi" w:cstheme="minorHAnsi"/>
          <w:b/>
          <w:bCs/>
          <w:spacing w:val="-2"/>
        </w:rPr>
        <w:t xml:space="preserve"> mil. Kč.</w:t>
      </w:r>
      <w:r w:rsidR="00B35CB1" w:rsidRPr="00B35CB1">
        <w:rPr>
          <w:rFonts w:asciiTheme="minorHAnsi" w:hAnsiTheme="minorHAnsi" w:cstheme="minorHAnsi"/>
          <w:b/>
          <w:bCs/>
          <w:spacing w:val="-2"/>
        </w:rPr>
        <w:t xml:space="preserve"> </w:t>
      </w:r>
      <w:r w:rsidR="00AE1893">
        <w:rPr>
          <w:rFonts w:asciiTheme="minorHAnsi" w:hAnsiTheme="minorHAnsi" w:cstheme="minorHAnsi"/>
          <w:b/>
          <w:bCs/>
          <w:spacing w:val="-2"/>
        </w:rPr>
        <w:t xml:space="preserve">Tyto nesprávnosti nebyly významné. </w:t>
      </w:r>
      <w:r w:rsidR="00AE1893" w:rsidRPr="00872B70">
        <w:rPr>
          <w:rFonts w:eastAsiaTheme="minorHAnsi" w:cs="Calibri"/>
          <w:bCs/>
        </w:rPr>
        <w:t>MV je způsobilo zejména tím, že:</w:t>
      </w:r>
    </w:p>
    <w:p w14:paraId="744D20FD" w14:textId="36CB99FE" w:rsidR="00AE1893" w:rsidRPr="00872B70" w:rsidRDefault="00AE1893" w:rsidP="00801AD6">
      <w:pPr>
        <w:pStyle w:val="Odstavecseseznamem"/>
        <w:numPr>
          <w:ilvl w:val="0"/>
          <w:numId w:val="16"/>
        </w:numPr>
        <w:ind w:left="714" w:right="-102" w:hanging="357"/>
        <w:contextualSpacing w:val="0"/>
        <w:jc w:val="both"/>
        <w:rPr>
          <w:rFonts w:cs="Calibri"/>
          <w:lang w:eastAsia="cs-CZ"/>
        </w:rPr>
      </w:pPr>
      <w:r w:rsidRPr="00872B70">
        <w:rPr>
          <w:rFonts w:cs="Calibri"/>
          <w:lang w:eastAsia="cs-CZ"/>
        </w:rPr>
        <w:t>pozdě zařadilo dlouhodobý majetek do užívání, což mělo vliv na odpisy (</w:t>
      </w:r>
      <w:r w:rsidR="00667F99">
        <w:rPr>
          <w:rFonts w:cs="Calibri"/>
          <w:lang w:eastAsia="cs-CZ"/>
        </w:rPr>
        <w:t xml:space="preserve">blíže </w:t>
      </w:r>
      <w:r w:rsidRPr="00872B70">
        <w:rPr>
          <w:rFonts w:cs="Calibri"/>
          <w:lang w:eastAsia="cs-CZ"/>
        </w:rPr>
        <w:t xml:space="preserve">viz část </w:t>
      </w:r>
      <w:r w:rsidRPr="00034672">
        <w:rPr>
          <w:rFonts w:cs="Calibri"/>
          <w:lang w:eastAsia="cs-CZ"/>
        </w:rPr>
        <w:t>IV.1.1</w:t>
      </w:r>
      <w:r w:rsidR="00034672" w:rsidRPr="00034672">
        <w:rPr>
          <w:rFonts w:cs="Calibri"/>
          <w:lang w:eastAsia="cs-CZ"/>
        </w:rPr>
        <w:t>.1</w:t>
      </w:r>
      <w:r w:rsidRPr="00872B70">
        <w:rPr>
          <w:rFonts w:cs="Calibri"/>
          <w:lang w:eastAsia="cs-CZ"/>
        </w:rPr>
        <w:t>)</w:t>
      </w:r>
      <w:r w:rsidR="00A3282F">
        <w:rPr>
          <w:rFonts w:cs="Calibri"/>
          <w:lang w:eastAsia="cs-CZ"/>
        </w:rPr>
        <w:t>;</w:t>
      </w:r>
    </w:p>
    <w:p w14:paraId="4DF777AE" w14:textId="3BDF8448" w:rsidR="00AE1893" w:rsidRPr="00872B70" w:rsidRDefault="00AE1893" w:rsidP="00801AD6">
      <w:pPr>
        <w:pStyle w:val="Odstavecseseznamem"/>
        <w:numPr>
          <w:ilvl w:val="0"/>
          <w:numId w:val="16"/>
        </w:numPr>
        <w:ind w:left="714" w:right="-102" w:hanging="357"/>
        <w:contextualSpacing w:val="0"/>
        <w:jc w:val="both"/>
        <w:rPr>
          <w:rFonts w:cs="Calibri"/>
          <w:lang w:eastAsia="cs-CZ"/>
        </w:rPr>
      </w:pPr>
      <w:r w:rsidRPr="00872B70">
        <w:rPr>
          <w:rFonts w:cs="Calibri"/>
          <w:lang w:eastAsia="cs-CZ"/>
        </w:rPr>
        <w:t xml:space="preserve">účtovalo o některých skutečnostech do období, s nímž </w:t>
      </w:r>
      <w:r w:rsidR="00667F99">
        <w:rPr>
          <w:rFonts w:cs="Calibri"/>
          <w:lang w:eastAsia="cs-CZ"/>
        </w:rPr>
        <w:t xml:space="preserve">tyto skutečnosti </w:t>
      </w:r>
      <w:r w:rsidRPr="00872B70">
        <w:rPr>
          <w:rFonts w:cs="Calibri"/>
          <w:lang w:eastAsia="cs-CZ"/>
        </w:rPr>
        <w:t>časově a věcně nesouvisely</w:t>
      </w:r>
      <w:r w:rsidRPr="00AE1893">
        <w:rPr>
          <w:spacing w:val="-2"/>
        </w:rPr>
        <w:t xml:space="preserve"> </w:t>
      </w:r>
      <w:r w:rsidRPr="00872B70">
        <w:rPr>
          <w:rFonts w:cs="Calibri"/>
          <w:lang w:eastAsia="cs-CZ"/>
        </w:rPr>
        <w:t>(</w:t>
      </w:r>
      <w:r w:rsidR="00667F99">
        <w:rPr>
          <w:rFonts w:cs="Calibri"/>
          <w:lang w:eastAsia="cs-CZ"/>
        </w:rPr>
        <w:t xml:space="preserve">blíže </w:t>
      </w:r>
      <w:r w:rsidRPr="00872B70">
        <w:rPr>
          <w:spacing w:val="-2"/>
        </w:rPr>
        <w:t xml:space="preserve">viz část </w:t>
      </w:r>
      <w:r w:rsidRPr="00034672">
        <w:rPr>
          <w:spacing w:val="-2"/>
        </w:rPr>
        <w:t>IV.1.</w:t>
      </w:r>
      <w:r w:rsidR="00034672" w:rsidRPr="00034672">
        <w:rPr>
          <w:spacing w:val="-2"/>
        </w:rPr>
        <w:t>1.</w:t>
      </w:r>
      <w:r w:rsidRPr="00034672">
        <w:rPr>
          <w:spacing w:val="-2"/>
        </w:rPr>
        <w:t>2</w:t>
      </w:r>
      <w:r w:rsidRPr="00872B70">
        <w:rPr>
          <w:spacing w:val="-2"/>
        </w:rPr>
        <w:t>)</w:t>
      </w:r>
      <w:r w:rsidR="00A3282F">
        <w:rPr>
          <w:spacing w:val="-2"/>
        </w:rPr>
        <w:t>;</w:t>
      </w:r>
    </w:p>
    <w:p w14:paraId="29B72C19" w14:textId="08E2A44A" w:rsidR="00F77E1F" w:rsidRPr="00801AD6" w:rsidRDefault="00AE1893" w:rsidP="00801AD6">
      <w:pPr>
        <w:pStyle w:val="Odstavecseseznamem"/>
        <w:numPr>
          <w:ilvl w:val="0"/>
          <w:numId w:val="16"/>
        </w:numPr>
        <w:ind w:right="-103"/>
        <w:jc w:val="both"/>
        <w:rPr>
          <w:rFonts w:cs="Calibri"/>
          <w:lang w:eastAsia="cs-CZ"/>
        </w:rPr>
      </w:pPr>
      <w:r w:rsidRPr="00801AD6">
        <w:rPr>
          <w:rFonts w:cs="Calibri"/>
          <w:lang w:eastAsia="cs-CZ"/>
        </w:rPr>
        <w:t xml:space="preserve">nesprávně nastavilo a aplikovalo metodu odpisování dlouhodobého majetku, když zejména nesprávně stanovilo předpokládanou dobu používání dlouhodobého majetku. To </w:t>
      </w:r>
      <w:r w:rsidRPr="00801AD6">
        <w:rPr>
          <w:spacing w:val="-2"/>
        </w:rPr>
        <w:t xml:space="preserve">systémově vedlo ke zkreslení vykázaných zůstatků účtů odpisovaného dlouhodobého majetku, odpisů a výsledků hospodaření jak v roce 2021, tak v letech předcházejících </w:t>
      </w:r>
      <w:r w:rsidRPr="00801AD6">
        <w:rPr>
          <w:rFonts w:cs="Calibri"/>
          <w:color w:val="000000"/>
        </w:rPr>
        <w:t>(</w:t>
      </w:r>
      <w:r w:rsidR="00667F99">
        <w:rPr>
          <w:rFonts w:cs="Calibri"/>
          <w:color w:val="000000"/>
        </w:rPr>
        <w:t xml:space="preserve">blíže </w:t>
      </w:r>
      <w:r w:rsidRPr="00801AD6">
        <w:rPr>
          <w:spacing w:val="-2"/>
        </w:rPr>
        <w:t xml:space="preserve">viz část </w:t>
      </w:r>
      <w:r w:rsidRPr="00034672">
        <w:rPr>
          <w:spacing w:val="-2"/>
        </w:rPr>
        <w:t>IV.1.</w:t>
      </w:r>
      <w:r w:rsidR="00034672" w:rsidRPr="00034672">
        <w:rPr>
          <w:spacing w:val="-2"/>
        </w:rPr>
        <w:t>1.</w:t>
      </w:r>
      <w:r w:rsidRPr="00034672">
        <w:rPr>
          <w:spacing w:val="-2"/>
        </w:rPr>
        <w:t>3</w:t>
      </w:r>
      <w:r w:rsidRPr="00801AD6">
        <w:rPr>
          <w:spacing w:val="-2"/>
        </w:rPr>
        <w:t>).</w:t>
      </w:r>
      <w:r w:rsidRPr="00801AD6">
        <w:rPr>
          <w:rFonts w:eastAsiaTheme="minorHAnsi" w:cs="Calibri"/>
          <w:bCs/>
        </w:rPr>
        <w:t xml:space="preserve"> </w:t>
      </w:r>
    </w:p>
    <w:p w14:paraId="73238568" w14:textId="511AB24F" w:rsidR="00154191" w:rsidRDefault="00154191" w:rsidP="00801AD6">
      <w:pPr>
        <w:spacing w:after="0"/>
        <w:jc w:val="both"/>
        <w:rPr>
          <w:rFonts w:asciiTheme="minorHAnsi" w:hAnsiTheme="minorHAnsi" w:cstheme="minorHAnsi"/>
        </w:rPr>
      </w:pPr>
      <w:r>
        <w:rPr>
          <w:rFonts w:cs="Calibri"/>
          <w:b/>
        </w:rPr>
        <w:t>MV neprovedlo i</w:t>
      </w:r>
      <w:r w:rsidRPr="00672F55">
        <w:rPr>
          <w:rFonts w:cs="Calibri"/>
          <w:b/>
        </w:rPr>
        <w:t>nventarizac</w:t>
      </w:r>
      <w:r>
        <w:rPr>
          <w:rFonts w:cs="Calibri"/>
          <w:b/>
        </w:rPr>
        <w:t>i</w:t>
      </w:r>
      <w:r w:rsidRPr="00672F55">
        <w:rPr>
          <w:rFonts w:cs="Calibri"/>
          <w:b/>
        </w:rPr>
        <w:t xml:space="preserve"> </w:t>
      </w:r>
      <w:r>
        <w:rPr>
          <w:rFonts w:cs="Calibri"/>
          <w:b/>
        </w:rPr>
        <w:t xml:space="preserve">majetku a závazků </w:t>
      </w:r>
      <w:r w:rsidRPr="00672F55">
        <w:rPr>
          <w:rFonts w:cs="Calibri"/>
          <w:b/>
        </w:rPr>
        <w:t>takovým způsobem, aby zabránila výskytu</w:t>
      </w:r>
      <w:r>
        <w:rPr>
          <w:rFonts w:cs="Calibri"/>
          <w:b/>
        </w:rPr>
        <w:t xml:space="preserve"> výše uvedených nesprávností či je odhalila. </w:t>
      </w:r>
      <w:r>
        <w:rPr>
          <w:rFonts w:asciiTheme="minorHAnsi" w:hAnsiTheme="minorHAnsi" w:cstheme="minorHAnsi"/>
        </w:rPr>
        <w:t>N</w:t>
      </w:r>
      <w:r w:rsidRPr="005C451D">
        <w:rPr>
          <w:rFonts w:asciiTheme="minorHAnsi" w:hAnsiTheme="minorHAnsi" w:cstheme="minorHAnsi"/>
        </w:rPr>
        <w:t>ezjistilo</w:t>
      </w:r>
      <w:r>
        <w:rPr>
          <w:rFonts w:asciiTheme="minorHAnsi" w:hAnsiTheme="minorHAnsi" w:cstheme="minorHAnsi"/>
        </w:rPr>
        <w:t xml:space="preserve"> především </w:t>
      </w:r>
      <w:r w:rsidR="00667F99">
        <w:rPr>
          <w:rFonts w:asciiTheme="minorHAnsi" w:hAnsiTheme="minorHAnsi" w:cstheme="minorHAnsi"/>
        </w:rPr>
        <w:t xml:space="preserve">případy </w:t>
      </w:r>
      <w:r>
        <w:rPr>
          <w:rFonts w:asciiTheme="minorHAnsi" w:hAnsiTheme="minorHAnsi" w:cstheme="minorHAnsi"/>
        </w:rPr>
        <w:t>pozdní</w:t>
      </w:r>
      <w:r w:rsidR="00667F99">
        <w:rPr>
          <w:rFonts w:asciiTheme="minorHAnsi" w:hAnsiTheme="minorHAnsi" w:cstheme="minorHAnsi"/>
        </w:rPr>
        <w:t>ho</w:t>
      </w:r>
      <w:r>
        <w:rPr>
          <w:rFonts w:asciiTheme="minorHAnsi" w:hAnsiTheme="minorHAnsi" w:cstheme="minorHAnsi"/>
        </w:rPr>
        <w:t xml:space="preserve"> zařazení majetku</w:t>
      </w:r>
      <w:r w:rsidR="00FA5FAB">
        <w:rPr>
          <w:rFonts w:asciiTheme="minorHAnsi" w:hAnsiTheme="minorHAnsi" w:cstheme="minorHAnsi"/>
        </w:rPr>
        <w:t xml:space="preserve"> </w:t>
      </w:r>
      <w:r w:rsidR="00667F99">
        <w:rPr>
          <w:rFonts w:asciiTheme="minorHAnsi" w:hAnsiTheme="minorHAnsi" w:cstheme="minorHAnsi"/>
        </w:rPr>
        <w:t>(</w:t>
      </w:r>
      <w:r w:rsidR="00FA5FAB">
        <w:rPr>
          <w:rFonts w:asciiTheme="minorHAnsi" w:hAnsiTheme="minorHAnsi" w:cstheme="minorHAnsi"/>
        </w:rPr>
        <w:t>což mělo vliv</w:t>
      </w:r>
      <w:r>
        <w:rPr>
          <w:rFonts w:asciiTheme="minorHAnsi" w:hAnsiTheme="minorHAnsi" w:cstheme="minorHAnsi"/>
        </w:rPr>
        <w:t xml:space="preserve"> na odpisy</w:t>
      </w:r>
      <w:r w:rsidR="00667F99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</w:t>
      </w:r>
      <w:r w:rsidR="00667F99">
        <w:rPr>
          <w:rFonts w:asciiTheme="minorHAnsi" w:hAnsiTheme="minorHAnsi" w:cstheme="minorHAnsi"/>
        </w:rPr>
        <w:t>ani</w:t>
      </w:r>
      <w:r>
        <w:rPr>
          <w:rFonts w:asciiTheme="minorHAnsi" w:hAnsiTheme="minorHAnsi" w:cstheme="minorHAnsi"/>
        </w:rPr>
        <w:t xml:space="preserve"> </w:t>
      </w:r>
      <w:r w:rsidR="00667F99">
        <w:rPr>
          <w:rFonts w:asciiTheme="minorHAnsi" w:hAnsiTheme="minorHAnsi" w:cstheme="minorHAnsi"/>
        </w:rPr>
        <w:t xml:space="preserve">případy </w:t>
      </w:r>
      <w:r>
        <w:rPr>
          <w:rFonts w:asciiTheme="minorHAnsi" w:hAnsiTheme="minorHAnsi" w:cstheme="minorHAnsi"/>
        </w:rPr>
        <w:t>nesprávné aplikac</w:t>
      </w:r>
      <w:r w:rsidR="00667F99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metody odpisování.</w:t>
      </w:r>
    </w:p>
    <w:p w14:paraId="34C1EE2D" w14:textId="77777777" w:rsidR="00154191" w:rsidRPr="00AE1893" w:rsidRDefault="00154191" w:rsidP="00872B70">
      <w:pPr>
        <w:pStyle w:val="Odstavecseseznamem"/>
        <w:spacing w:after="0"/>
        <w:ind w:left="0"/>
        <w:jc w:val="both"/>
        <w:rPr>
          <w:rFonts w:asciiTheme="minorHAnsi" w:hAnsiTheme="minorHAnsi" w:cstheme="minorHAnsi"/>
          <w:highlight w:val="yellow"/>
        </w:rPr>
      </w:pPr>
    </w:p>
    <w:p w14:paraId="0EDB16E2" w14:textId="77777777" w:rsidR="00D97069" w:rsidRPr="006823AB" w:rsidRDefault="00283F9D" w:rsidP="00D97069">
      <w:pPr>
        <w:pStyle w:val="Nadpis2"/>
        <w:keepNext/>
        <w:numPr>
          <w:ilvl w:val="0"/>
          <w:numId w:val="0"/>
        </w:numPr>
        <w:spacing w:after="120" w:line="240" w:lineRule="auto"/>
        <w:contextualSpacing w:val="0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1</w:t>
      </w:r>
      <w:r w:rsidR="00D97069" w:rsidRPr="00387263">
        <w:rPr>
          <w:rFonts w:ascii="Calibri" w:hAnsi="Calibri" w:cs="Calibri"/>
          <w:lang w:eastAsia="cs-CZ"/>
        </w:rPr>
        <w:t>.1</w:t>
      </w:r>
      <w:r w:rsidR="00F55060">
        <w:rPr>
          <w:rFonts w:ascii="Calibri" w:hAnsi="Calibri" w:cs="Calibri"/>
          <w:lang w:eastAsia="cs-CZ"/>
        </w:rPr>
        <w:t>.1</w:t>
      </w:r>
      <w:r w:rsidR="00D97069" w:rsidRPr="00387263">
        <w:rPr>
          <w:rFonts w:ascii="Calibri" w:hAnsi="Calibri" w:cs="Calibri"/>
          <w:lang w:eastAsia="cs-CZ"/>
        </w:rPr>
        <w:t xml:space="preserve"> </w:t>
      </w:r>
      <w:r w:rsidR="00A9194D">
        <w:rPr>
          <w:rFonts w:ascii="Calibri" w:hAnsi="Calibri" w:cs="Calibri"/>
          <w:lang w:eastAsia="cs-CZ"/>
        </w:rPr>
        <w:t xml:space="preserve">Pozdní </w:t>
      </w:r>
      <w:r w:rsidR="00095418">
        <w:rPr>
          <w:rFonts w:ascii="Calibri" w:hAnsi="Calibri" w:cs="Calibri"/>
          <w:lang w:eastAsia="cs-CZ"/>
        </w:rPr>
        <w:t>zařazení dlouhodobého majetku do užívání</w:t>
      </w:r>
    </w:p>
    <w:p w14:paraId="06098A1D" w14:textId="1F33460D" w:rsidR="003E1666" w:rsidRDefault="00761B25" w:rsidP="00F657C0">
      <w:pPr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 xml:space="preserve">MV </w:t>
      </w:r>
      <w:r w:rsidR="003E1666">
        <w:rPr>
          <w:rFonts w:asciiTheme="minorHAnsi" w:hAnsiTheme="minorHAnsi" w:cstheme="minorHAnsi"/>
          <w:spacing w:val="-2"/>
        </w:rPr>
        <w:t>v</w:t>
      </w:r>
      <w:r w:rsidR="00883298">
        <w:rPr>
          <w:rFonts w:asciiTheme="minorHAnsi" w:hAnsiTheme="minorHAnsi" w:cstheme="minorHAnsi"/>
          <w:spacing w:val="-2"/>
        </w:rPr>
        <w:t xml:space="preserve"> </w:t>
      </w:r>
      <w:r w:rsidR="003E1666">
        <w:rPr>
          <w:rFonts w:asciiTheme="minorHAnsi" w:hAnsiTheme="minorHAnsi" w:cstheme="minorHAnsi"/>
          <w:spacing w:val="-2"/>
        </w:rPr>
        <w:t xml:space="preserve">ÚZ vykázalo stavební úpravy </w:t>
      </w:r>
      <w:r w:rsidR="008F1B3E">
        <w:rPr>
          <w:rFonts w:asciiTheme="minorHAnsi" w:hAnsiTheme="minorHAnsi" w:cstheme="minorHAnsi"/>
          <w:spacing w:val="-2"/>
        </w:rPr>
        <w:t xml:space="preserve">objektů </w:t>
      </w:r>
      <w:r w:rsidR="003E1666">
        <w:rPr>
          <w:rFonts w:asciiTheme="minorHAnsi" w:hAnsiTheme="minorHAnsi" w:cstheme="minorHAnsi"/>
          <w:spacing w:val="-2"/>
        </w:rPr>
        <w:t>v</w:t>
      </w:r>
      <w:r w:rsidR="00883298">
        <w:rPr>
          <w:rFonts w:asciiTheme="minorHAnsi" w:hAnsiTheme="minorHAnsi" w:cstheme="minorHAnsi"/>
          <w:spacing w:val="-2"/>
        </w:rPr>
        <w:t xml:space="preserve"> </w:t>
      </w:r>
      <w:r w:rsidR="003E1666">
        <w:rPr>
          <w:rFonts w:asciiTheme="minorHAnsi" w:hAnsiTheme="minorHAnsi" w:cstheme="minorHAnsi"/>
          <w:spacing w:val="-2"/>
        </w:rPr>
        <w:t xml:space="preserve">celkové výši 8,5 mil. Kč jako nedokončený dlouhodobý hmotný majetek, přestože </w:t>
      </w:r>
      <w:r w:rsidR="003E1666" w:rsidRPr="005E1B69">
        <w:rPr>
          <w:rFonts w:asciiTheme="minorHAnsi" w:hAnsiTheme="minorHAnsi" w:cstheme="minorHAnsi"/>
          <w:b/>
          <w:bCs/>
          <w:spacing w:val="-2"/>
        </w:rPr>
        <w:t>měly být již v roce 2018 vykázány jako technické zhodnocení příslušných budov</w:t>
      </w:r>
      <w:r w:rsidR="003E1666" w:rsidRPr="00426B40">
        <w:rPr>
          <w:rFonts w:asciiTheme="minorHAnsi" w:hAnsiTheme="minorHAnsi" w:cstheme="minorHAnsi"/>
          <w:b/>
          <w:spacing w:val="-2"/>
        </w:rPr>
        <w:t>.</w:t>
      </w:r>
      <w:r w:rsidR="003E1666">
        <w:rPr>
          <w:rFonts w:asciiTheme="minorHAnsi" w:hAnsiTheme="minorHAnsi" w:cstheme="minorHAnsi"/>
          <w:spacing w:val="-2"/>
        </w:rPr>
        <w:t xml:space="preserve"> </w:t>
      </w:r>
      <w:r w:rsidR="003E1666" w:rsidRPr="005E1B69">
        <w:rPr>
          <w:rFonts w:asciiTheme="minorHAnsi" w:hAnsiTheme="minorHAnsi" w:cstheme="minorHAnsi"/>
          <w:b/>
          <w:bCs/>
          <w:spacing w:val="-2"/>
        </w:rPr>
        <w:t>Následně mělo MV toto technické zhodnocení začít odpisovat</w:t>
      </w:r>
      <w:r w:rsidR="00667F99">
        <w:rPr>
          <w:rFonts w:asciiTheme="minorHAnsi" w:hAnsiTheme="minorHAnsi" w:cstheme="minorHAnsi"/>
          <w:b/>
          <w:bCs/>
          <w:spacing w:val="-2"/>
        </w:rPr>
        <w:t>;</w:t>
      </w:r>
      <w:r w:rsidR="003E1666">
        <w:rPr>
          <w:rFonts w:asciiTheme="minorHAnsi" w:hAnsiTheme="minorHAnsi" w:cstheme="minorHAnsi"/>
          <w:spacing w:val="-2"/>
        </w:rPr>
        <w:t xml:space="preserve"> výši neprovedených odpisů k 31. </w:t>
      </w:r>
      <w:r w:rsidR="005735E6">
        <w:rPr>
          <w:rFonts w:asciiTheme="minorHAnsi" w:hAnsiTheme="minorHAnsi" w:cstheme="minorHAnsi"/>
          <w:spacing w:val="-2"/>
        </w:rPr>
        <w:t>prosinci</w:t>
      </w:r>
      <w:r w:rsidR="003E1666">
        <w:rPr>
          <w:rFonts w:asciiTheme="minorHAnsi" w:hAnsiTheme="minorHAnsi" w:cstheme="minorHAnsi"/>
          <w:spacing w:val="-2"/>
        </w:rPr>
        <w:t xml:space="preserve"> 2021 vyčíslil NKÚ v částce 958,8 tis. Kč.</w:t>
      </w:r>
      <w:r w:rsidR="00085F24">
        <w:rPr>
          <w:rFonts w:asciiTheme="minorHAnsi" w:hAnsiTheme="minorHAnsi" w:cstheme="minorHAnsi"/>
          <w:spacing w:val="-2"/>
        </w:rPr>
        <w:t xml:space="preserve"> O</w:t>
      </w:r>
      <w:r w:rsidR="00667F99">
        <w:rPr>
          <w:rFonts w:asciiTheme="minorHAnsi" w:hAnsiTheme="minorHAnsi" w:cstheme="minorHAnsi"/>
          <w:spacing w:val="-2"/>
        </w:rPr>
        <w:t xml:space="preserve"> </w:t>
      </w:r>
      <w:r w:rsidR="00085F24">
        <w:rPr>
          <w:rFonts w:asciiTheme="minorHAnsi" w:hAnsiTheme="minorHAnsi" w:cstheme="minorHAnsi"/>
          <w:spacing w:val="-2"/>
        </w:rPr>
        <w:t xml:space="preserve">zařazení technického zhodnocení budov do majetku účtovalo MV až v roce 2022. </w:t>
      </w:r>
    </w:p>
    <w:p w14:paraId="37041BE1" w14:textId="680BE53D" w:rsidR="00F657C0" w:rsidRDefault="005E1B69" w:rsidP="00761ED4">
      <w:pPr>
        <w:spacing w:after="240"/>
        <w:jc w:val="both"/>
        <w:rPr>
          <w:lang w:eastAsia="cs-CZ"/>
        </w:rPr>
      </w:pPr>
      <w:r>
        <w:rPr>
          <w:lang w:eastAsia="cs-CZ"/>
        </w:rPr>
        <w:t>Uvedená</w:t>
      </w:r>
      <w:r w:rsidR="004F5C73">
        <w:rPr>
          <w:lang w:eastAsia="cs-CZ"/>
        </w:rPr>
        <w:t xml:space="preserve"> skutečnost</w:t>
      </w:r>
      <w:r w:rsidR="00C727F6">
        <w:rPr>
          <w:lang w:eastAsia="cs-CZ"/>
        </w:rPr>
        <w:t>, zjištěná v</w:t>
      </w:r>
      <w:r w:rsidR="00883298">
        <w:rPr>
          <w:lang w:eastAsia="cs-CZ"/>
        </w:rPr>
        <w:t xml:space="preserve"> </w:t>
      </w:r>
      <w:r w:rsidR="00C727F6">
        <w:rPr>
          <w:lang w:eastAsia="cs-CZ"/>
        </w:rPr>
        <w:t>účetn</w:t>
      </w:r>
      <w:r w:rsidR="005413F2">
        <w:rPr>
          <w:lang w:eastAsia="cs-CZ"/>
        </w:rPr>
        <w:t>ím okruhu</w:t>
      </w:r>
      <w:r w:rsidR="00C727F6">
        <w:rPr>
          <w:lang w:eastAsia="cs-CZ"/>
        </w:rPr>
        <w:t xml:space="preserve"> Policejního prezidia ČR,</w:t>
      </w:r>
      <w:r w:rsidR="004F5C73">
        <w:rPr>
          <w:lang w:eastAsia="cs-CZ"/>
        </w:rPr>
        <w:t xml:space="preserve"> měla dopad </w:t>
      </w:r>
      <w:r w:rsidR="00426B40">
        <w:rPr>
          <w:lang w:eastAsia="cs-CZ"/>
        </w:rPr>
        <w:br/>
      </w:r>
      <w:r w:rsidR="004F5C73">
        <w:rPr>
          <w:lang w:eastAsia="cs-CZ"/>
        </w:rPr>
        <w:t>na správnost vykázaných zůstatků účtů rozvahy</w:t>
      </w:r>
      <w:r w:rsidR="00073F3C">
        <w:rPr>
          <w:lang w:eastAsia="cs-CZ"/>
        </w:rPr>
        <w:t xml:space="preserve"> a výkazu zisku a</w:t>
      </w:r>
      <w:r w:rsidR="00667F99">
        <w:rPr>
          <w:lang w:eastAsia="cs-CZ"/>
        </w:rPr>
        <w:t xml:space="preserve"> </w:t>
      </w:r>
      <w:r w:rsidR="00073F3C">
        <w:rPr>
          <w:lang w:eastAsia="cs-CZ"/>
        </w:rPr>
        <w:t>ztráty</w:t>
      </w:r>
      <w:r w:rsidR="004F5C73">
        <w:rPr>
          <w:lang w:eastAsia="cs-CZ"/>
        </w:rPr>
        <w:t>, a to účtů</w:t>
      </w:r>
      <w:r w:rsidR="00073F3C">
        <w:rPr>
          <w:lang w:eastAsia="cs-CZ"/>
        </w:rPr>
        <w:t xml:space="preserve"> </w:t>
      </w:r>
      <w:r w:rsidR="00426B40">
        <w:rPr>
          <w:lang w:eastAsia="cs-CZ"/>
        </w:rPr>
        <w:br/>
      </w:r>
      <w:r>
        <w:rPr>
          <w:lang w:eastAsia="cs-CZ"/>
        </w:rPr>
        <w:t>042</w:t>
      </w:r>
      <w:r w:rsidR="004F5C73">
        <w:rPr>
          <w:lang w:eastAsia="cs-CZ"/>
        </w:rPr>
        <w:t xml:space="preserve"> – </w:t>
      </w:r>
      <w:r>
        <w:rPr>
          <w:i/>
          <w:iCs/>
          <w:lang w:eastAsia="cs-CZ"/>
        </w:rPr>
        <w:t>Nedokončený dlouhodobý hmotný majetek</w:t>
      </w:r>
      <w:r w:rsidR="004F5C73">
        <w:rPr>
          <w:lang w:eastAsia="cs-CZ"/>
        </w:rPr>
        <w:t xml:space="preserve"> (</w:t>
      </w:r>
      <w:r>
        <w:rPr>
          <w:lang w:eastAsia="cs-CZ"/>
        </w:rPr>
        <w:t>na</w:t>
      </w:r>
      <w:r w:rsidR="004F5C73">
        <w:rPr>
          <w:lang w:eastAsia="cs-CZ"/>
        </w:rPr>
        <w:t>dhodnocen o</w:t>
      </w:r>
      <w:r>
        <w:rPr>
          <w:lang w:eastAsia="cs-CZ"/>
        </w:rPr>
        <w:t xml:space="preserve"> 8,5</w:t>
      </w:r>
      <w:r w:rsidR="004F5C73">
        <w:rPr>
          <w:lang w:eastAsia="cs-CZ"/>
        </w:rPr>
        <w:t xml:space="preserve"> mil. Kč)</w:t>
      </w:r>
      <w:r>
        <w:rPr>
          <w:lang w:eastAsia="cs-CZ"/>
        </w:rPr>
        <w:t>, 021</w:t>
      </w:r>
      <w:r w:rsidR="004F5C73">
        <w:rPr>
          <w:lang w:eastAsia="cs-CZ"/>
        </w:rPr>
        <w:t xml:space="preserve"> – </w:t>
      </w:r>
      <w:r>
        <w:rPr>
          <w:i/>
          <w:iCs/>
          <w:lang w:eastAsia="cs-CZ"/>
        </w:rPr>
        <w:t>Stavby</w:t>
      </w:r>
      <w:r w:rsidR="004F5C73">
        <w:rPr>
          <w:i/>
          <w:iCs/>
          <w:lang w:eastAsia="cs-CZ"/>
        </w:rPr>
        <w:t xml:space="preserve"> </w:t>
      </w:r>
      <w:r w:rsidR="004F5C73">
        <w:rPr>
          <w:lang w:eastAsia="cs-CZ"/>
        </w:rPr>
        <w:t>(podhodnocen o</w:t>
      </w:r>
      <w:r>
        <w:rPr>
          <w:lang w:eastAsia="cs-CZ"/>
        </w:rPr>
        <w:t xml:space="preserve"> 7,6</w:t>
      </w:r>
      <w:r w:rsidR="004F5C73">
        <w:rPr>
          <w:lang w:eastAsia="cs-CZ"/>
        </w:rPr>
        <w:t xml:space="preserve"> mil. Kč</w:t>
      </w:r>
      <w:r>
        <w:rPr>
          <w:lang w:eastAsia="cs-CZ"/>
        </w:rPr>
        <w:t xml:space="preserve"> </w:t>
      </w:r>
      <w:r w:rsidRPr="008513DC">
        <w:rPr>
          <w:lang w:eastAsia="cs-CZ"/>
        </w:rPr>
        <w:t>v</w:t>
      </w:r>
      <w:r w:rsidR="00883298">
        <w:rPr>
          <w:lang w:eastAsia="cs-CZ"/>
        </w:rPr>
        <w:t xml:space="preserve"> </w:t>
      </w:r>
      <w:r w:rsidRPr="008513DC">
        <w:rPr>
          <w:lang w:eastAsia="cs-CZ"/>
        </w:rPr>
        <w:t>zůstatku netto</w:t>
      </w:r>
      <w:r w:rsidR="004F5C73">
        <w:rPr>
          <w:lang w:eastAsia="cs-CZ"/>
        </w:rPr>
        <w:t>)</w:t>
      </w:r>
      <w:r w:rsidR="00764375">
        <w:rPr>
          <w:lang w:eastAsia="cs-CZ"/>
        </w:rPr>
        <w:t xml:space="preserve"> a 551 – </w:t>
      </w:r>
      <w:r w:rsidR="00764375" w:rsidRPr="00764375">
        <w:rPr>
          <w:i/>
          <w:iCs/>
          <w:lang w:eastAsia="cs-CZ"/>
        </w:rPr>
        <w:t>Odpisy dlouhodobého majetku</w:t>
      </w:r>
      <w:r w:rsidR="00764375">
        <w:rPr>
          <w:lang w:eastAsia="cs-CZ"/>
        </w:rPr>
        <w:t xml:space="preserve"> (podhodnocen o 958,8 tis. Kč)</w:t>
      </w:r>
      <w:r w:rsidR="004F5C73">
        <w:rPr>
          <w:lang w:eastAsia="cs-CZ"/>
        </w:rPr>
        <w:t>.</w:t>
      </w:r>
      <w:r w:rsidR="00A9194D">
        <w:rPr>
          <w:lang w:eastAsia="cs-CZ"/>
        </w:rPr>
        <w:t xml:space="preserve"> </w:t>
      </w:r>
    </w:p>
    <w:p w14:paraId="33AE5A0F" w14:textId="7C5F4DF0" w:rsidR="00DD25B5" w:rsidRDefault="00A9194D" w:rsidP="00DD25B5">
      <w:pPr>
        <w:jc w:val="both"/>
        <w:rPr>
          <w:rFonts w:asciiTheme="minorHAnsi" w:hAnsiTheme="minorHAnsi" w:cstheme="minorHAnsi"/>
          <w:spacing w:val="-2"/>
        </w:rPr>
      </w:pPr>
      <w:r w:rsidRPr="00A9194D">
        <w:rPr>
          <w:rFonts w:asciiTheme="minorHAnsi" w:hAnsiTheme="minorHAnsi" w:cstheme="minorHAnsi"/>
          <w:spacing w:val="-2"/>
        </w:rPr>
        <w:lastRenderedPageBreak/>
        <w:t>V</w:t>
      </w:r>
      <w:r>
        <w:rPr>
          <w:rFonts w:asciiTheme="minorHAnsi" w:hAnsiTheme="minorHAnsi" w:cstheme="minorHAnsi"/>
          <w:spacing w:val="-2"/>
        </w:rPr>
        <w:t xml:space="preserve"> jiném</w:t>
      </w:r>
      <w:r w:rsidRPr="00A9194D">
        <w:rPr>
          <w:rFonts w:asciiTheme="minorHAnsi" w:hAnsiTheme="minorHAnsi" w:cstheme="minorHAnsi"/>
          <w:spacing w:val="-2"/>
        </w:rPr>
        <w:t xml:space="preserve"> případě</w:t>
      </w:r>
      <w:r>
        <w:rPr>
          <w:rFonts w:asciiTheme="minorHAnsi" w:hAnsiTheme="minorHAnsi" w:cstheme="minorHAnsi"/>
          <w:b/>
          <w:bCs/>
          <w:spacing w:val="-2"/>
        </w:rPr>
        <w:t xml:space="preserve"> </w:t>
      </w:r>
      <w:r w:rsidR="001C7EAA" w:rsidRPr="004E37D7">
        <w:rPr>
          <w:rFonts w:asciiTheme="minorHAnsi" w:hAnsiTheme="minorHAnsi" w:cstheme="minorHAnsi"/>
          <w:b/>
          <w:bCs/>
          <w:spacing w:val="-2"/>
        </w:rPr>
        <w:t>MV</w:t>
      </w:r>
      <w:r w:rsidR="00FD598D" w:rsidRPr="004E37D7">
        <w:rPr>
          <w:rFonts w:asciiTheme="minorHAnsi" w:hAnsiTheme="minorHAnsi" w:cstheme="minorHAnsi"/>
          <w:b/>
          <w:bCs/>
          <w:spacing w:val="-2"/>
        </w:rPr>
        <w:t xml:space="preserve"> účetně zařadilo pořízený informační systém do užívání v roce 2016, přestože </w:t>
      </w:r>
      <w:r w:rsidR="004E37D7" w:rsidRPr="004E37D7">
        <w:rPr>
          <w:rFonts w:asciiTheme="minorHAnsi" w:hAnsiTheme="minorHAnsi" w:cstheme="minorHAnsi"/>
          <w:b/>
          <w:bCs/>
          <w:spacing w:val="-2"/>
        </w:rPr>
        <w:t>způsobilý k užívání byl již v roce 2012.</w:t>
      </w:r>
      <w:r w:rsidR="004E37D7">
        <w:rPr>
          <w:rFonts w:asciiTheme="minorHAnsi" w:hAnsiTheme="minorHAnsi" w:cstheme="minorHAnsi"/>
          <w:spacing w:val="-2"/>
        </w:rPr>
        <w:t xml:space="preserve"> </w:t>
      </w:r>
      <w:r w:rsidR="00DD25B5" w:rsidRPr="00A54AE1">
        <w:rPr>
          <w:rFonts w:asciiTheme="minorHAnsi" w:hAnsiTheme="minorHAnsi" w:cstheme="minorHAnsi"/>
          <w:b/>
          <w:bCs/>
          <w:spacing w:val="-2"/>
        </w:rPr>
        <w:t xml:space="preserve">Pozdní zařazení majetku mělo vliv na výši odpisů, a </w:t>
      </w:r>
      <w:r w:rsidR="00667F99">
        <w:rPr>
          <w:rFonts w:asciiTheme="minorHAnsi" w:hAnsiTheme="minorHAnsi" w:cstheme="minorHAnsi"/>
          <w:b/>
          <w:bCs/>
          <w:spacing w:val="-2"/>
        </w:rPr>
        <w:t>tudíž</w:t>
      </w:r>
      <w:r w:rsidR="00DD25B5" w:rsidRPr="00A54AE1">
        <w:rPr>
          <w:rFonts w:asciiTheme="minorHAnsi" w:hAnsiTheme="minorHAnsi" w:cstheme="minorHAnsi"/>
          <w:b/>
          <w:bCs/>
          <w:spacing w:val="-2"/>
        </w:rPr>
        <w:t xml:space="preserve"> i </w:t>
      </w:r>
      <w:r w:rsidR="00667F99">
        <w:rPr>
          <w:rFonts w:asciiTheme="minorHAnsi" w:hAnsiTheme="minorHAnsi" w:cstheme="minorHAnsi"/>
          <w:b/>
          <w:bCs/>
          <w:spacing w:val="-2"/>
        </w:rPr>
        <w:t xml:space="preserve">na </w:t>
      </w:r>
      <w:r w:rsidR="00DD25B5" w:rsidRPr="00A54AE1">
        <w:rPr>
          <w:rFonts w:asciiTheme="minorHAnsi" w:hAnsiTheme="minorHAnsi" w:cstheme="minorHAnsi"/>
          <w:b/>
          <w:bCs/>
          <w:spacing w:val="-2"/>
        </w:rPr>
        <w:t>náklady roku 2021</w:t>
      </w:r>
      <w:r w:rsidR="00DD25B5">
        <w:rPr>
          <w:rFonts w:asciiTheme="minorHAnsi" w:hAnsiTheme="minorHAnsi" w:cstheme="minorHAnsi"/>
          <w:spacing w:val="-2"/>
        </w:rPr>
        <w:t xml:space="preserve"> </w:t>
      </w:r>
      <w:r w:rsidR="00667F99">
        <w:rPr>
          <w:rFonts w:asciiTheme="minorHAnsi" w:hAnsiTheme="minorHAnsi" w:cstheme="minorHAnsi"/>
          <w:spacing w:val="-2"/>
        </w:rPr>
        <w:t>(</w:t>
      </w:r>
      <w:r w:rsidR="00DD25B5">
        <w:rPr>
          <w:rFonts w:asciiTheme="minorHAnsi" w:hAnsiTheme="minorHAnsi" w:cstheme="minorHAnsi"/>
          <w:spacing w:val="-2"/>
        </w:rPr>
        <w:t>i období minulých</w:t>
      </w:r>
      <w:r w:rsidR="00667F99">
        <w:rPr>
          <w:rFonts w:asciiTheme="minorHAnsi" w:hAnsiTheme="minorHAnsi" w:cstheme="minorHAnsi"/>
          <w:spacing w:val="-2"/>
        </w:rPr>
        <w:t>)</w:t>
      </w:r>
      <w:r w:rsidR="00DD25B5">
        <w:rPr>
          <w:rFonts w:asciiTheme="minorHAnsi" w:hAnsiTheme="minorHAnsi" w:cstheme="minorHAnsi"/>
          <w:spacing w:val="-2"/>
        </w:rPr>
        <w:t xml:space="preserve"> v kumulované výši 4,23 mil. Kč.</w:t>
      </w:r>
    </w:p>
    <w:p w14:paraId="42C1CAB0" w14:textId="77777777" w:rsidR="002D24CD" w:rsidRDefault="00DD25B5" w:rsidP="00DD25B5">
      <w:pPr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Uvedená skutečnost, zjištěná v účetním okruhu ústředního orgánu MV, měla dopad</w:t>
      </w:r>
      <w:r w:rsidR="00325142">
        <w:rPr>
          <w:rFonts w:asciiTheme="minorHAnsi" w:hAnsiTheme="minorHAnsi" w:cstheme="minorHAnsi"/>
          <w:spacing w:val="-2"/>
        </w:rPr>
        <w:t xml:space="preserve"> na správnost </w:t>
      </w:r>
      <w:r w:rsidR="00F5532B">
        <w:rPr>
          <w:rFonts w:asciiTheme="minorHAnsi" w:hAnsiTheme="minorHAnsi" w:cstheme="minorHAnsi"/>
          <w:spacing w:val="-2"/>
        </w:rPr>
        <w:t xml:space="preserve">vykázaného zůstatku účtu rozvahy, a to účtu 019 – </w:t>
      </w:r>
      <w:r w:rsidR="00F5532B" w:rsidRPr="00F5532B">
        <w:rPr>
          <w:rFonts w:asciiTheme="minorHAnsi" w:hAnsiTheme="minorHAnsi" w:cstheme="minorHAnsi"/>
          <w:i/>
          <w:iCs/>
          <w:spacing w:val="-2"/>
        </w:rPr>
        <w:t>Ostatní dlouhodobý nehmotný majetek</w:t>
      </w:r>
      <w:r w:rsidR="00F5532B">
        <w:rPr>
          <w:rFonts w:asciiTheme="minorHAnsi" w:hAnsiTheme="minorHAnsi" w:cstheme="minorHAnsi"/>
          <w:spacing w:val="-2"/>
        </w:rPr>
        <w:t xml:space="preserve"> (nadhodnocen o 4,23 mil. </w:t>
      </w:r>
      <w:r w:rsidR="00F5532B" w:rsidRPr="008513DC">
        <w:rPr>
          <w:rFonts w:asciiTheme="minorHAnsi" w:hAnsiTheme="minorHAnsi" w:cstheme="minorHAnsi"/>
          <w:spacing w:val="-2"/>
        </w:rPr>
        <w:t>Kč v zůstatku netto</w:t>
      </w:r>
      <w:r w:rsidR="00F5532B">
        <w:rPr>
          <w:rFonts w:asciiTheme="minorHAnsi" w:hAnsiTheme="minorHAnsi" w:cstheme="minorHAnsi"/>
          <w:spacing w:val="-2"/>
        </w:rPr>
        <w:t>).</w:t>
      </w:r>
    </w:p>
    <w:p w14:paraId="1F89A897" w14:textId="151BE45D" w:rsidR="00A9194D" w:rsidRDefault="002D24CD" w:rsidP="00DD25B5">
      <w:pPr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Kontrola zjistila i další případy</w:t>
      </w:r>
      <w:r w:rsidR="001B654E">
        <w:rPr>
          <w:rFonts w:asciiTheme="minorHAnsi" w:hAnsiTheme="minorHAnsi" w:cstheme="minorHAnsi"/>
          <w:spacing w:val="-2"/>
        </w:rPr>
        <w:t>, kdy byly</w:t>
      </w:r>
      <w:r>
        <w:rPr>
          <w:rFonts w:asciiTheme="minorHAnsi" w:hAnsiTheme="minorHAnsi" w:cstheme="minorHAnsi"/>
          <w:spacing w:val="-2"/>
        </w:rPr>
        <w:t xml:space="preserve"> v minulosti </w:t>
      </w:r>
      <w:r w:rsidR="001B654E">
        <w:rPr>
          <w:rFonts w:asciiTheme="minorHAnsi" w:hAnsiTheme="minorHAnsi" w:cstheme="minorHAnsi"/>
          <w:spacing w:val="-2"/>
        </w:rPr>
        <w:t xml:space="preserve">majetkové položky </w:t>
      </w:r>
      <w:r>
        <w:rPr>
          <w:rFonts w:asciiTheme="minorHAnsi" w:hAnsiTheme="minorHAnsi" w:cstheme="minorHAnsi"/>
          <w:spacing w:val="-2"/>
        </w:rPr>
        <w:t>pozdě zařazen</w:t>
      </w:r>
      <w:r w:rsidR="001B654E">
        <w:rPr>
          <w:rFonts w:asciiTheme="minorHAnsi" w:hAnsiTheme="minorHAnsi" w:cstheme="minorHAnsi"/>
          <w:spacing w:val="-2"/>
        </w:rPr>
        <w:t>y</w:t>
      </w:r>
      <w:r>
        <w:rPr>
          <w:rFonts w:asciiTheme="minorHAnsi" w:hAnsiTheme="minorHAnsi" w:cstheme="minorHAnsi"/>
          <w:spacing w:val="-2"/>
        </w:rPr>
        <w:t xml:space="preserve"> do užívání, </w:t>
      </w:r>
      <w:r w:rsidR="001B654E">
        <w:rPr>
          <w:rFonts w:asciiTheme="minorHAnsi" w:hAnsiTheme="minorHAnsi" w:cstheme="minorHAnsi"/>
          <w:spacing w:val="-2"/>
        </w:rPr>
        <w:t xml:space="preserve">šlo o </w:t>
      </w:r>
      <w:r>
        <w:rPr>
          <w:rFonts w:asciiTheme="minorHAnsi" w:hAnsiTheme="minorHAnsi" w:cstheme="minorHAnsi"/>
          <w:spacing w:val="-2"/>
        </w:rPr>
        <w:t>samostatn</w:t>
      </w:r>
      <w:r w:rsidR="001B654E">
        <w:rPr>
          <w:rFonts w:asciiTheme="minorHAnsi" w:hAnsiTheme="minorHAnsi" w:cstheme="minorHAnsi"/>
          <w:spacing w:val="-2"/>
        </w:rPr>
        <w:t>é</w:t>
      </w:r>
      <w:r>
        <w:rPr>
          <w:rFonts w:asciiTheme="minorHAnsi" w:hAnsiTheme="minorHAnsi" w:cstheme="minorHAnsi"/>
          <w:spacing w:val="-2"/>
        </w:rPr>
        <w:t xml:space="preserve"> hmotn</w:t>
      </w:r>
      <w:r w:rsidR="001B654E">
        <w:rPr>
          <w:rFonts w:asciiTheme="minorHAnsi" w:hAnsiTheme="minorHAnsi" w:cstheme="minorHAnsi"/>
          <w:spacing w:val="-2"/>
        </w:rPr>
        <w:t>é</w:t>
      </w:r>
      <w:r>
        <w:rPr>
          <w:rFonts w:asciiTheme="minorHAnsi" w:hAnsiTheme="minorHAnsi" w:cstheme="minorHAnsi"/>
          <w:spacing w:val="-2"/>
        </w:rPr>
        <w:t xml:space="preserve"> movit</w:t>
      </w:r>
      <w:r w:rsidR="001B654E">
        <w:rPr>
          <w:rFonts w:asciiTheme="minorHAnsi" w:hAnsiTheme="minorHAnsi" w:cstheme="minorHAnsi"/>
          <w:spacing w:val="-2"/>
        </w:rPr>
        <w:t>é</w:t>
      </w:r>
      <w:r>
        <w:rPr>
          <w:rFonts w:asciiTheme="minorHAnsi" w:hAnsiTheme="minorHAnsi" w:cstheme="minorHAnsi"/>
          <w:spacing w:val="-2"/>
        </w:rPr>
        <w:t xml:space="preserve"> věc</w:t>
      </w:r>
      <w:r w:rsidR="001B654E">
        <w:rPr>
          <w:rFonts w:asciiTheme="minorHAnsi" w:hAnsiTheme="minorHAnsi" w:cstheme="minorHAnsi"/>
          <w:spacing w:val="-2"/>
        </w:rPr>
        <w:t>i</w:t>
      </w:r>
      <w:r>
        <w:rPr>
          <w:rFonts w:asciiTheme="minorHAnsi" w:hAnsiTheme="minorHAnsi" w:cstheme="minorHAnsi"/>
          <w:spacing w:val="-2"/>
        </w:rPr>
        <w:t xml:space="preserve"> a soubor</w:t>
      </w:r>
      <w:r w:rsidR="001B654E">
        <w:rPr>
          <w:rFonts w:asciiTheme="minorHAnsi" w:hAnsiTheme="minorHAnsi" w:cstheme="minorHAnsi"/>
          <w:spacing w:val="-2"/>
        </w:rPr>
        <w:t>y</w:t>
      </w:r>
      <w:r>
        <w:rPr>
          <w:rFonts w:asciiTheme="minorHAnsi" w:hAnsiTheme="minorHAnsi" w:cstheme="minorHAnsi"/>
          <w:spacing w:val="-2"/>
        </w:rPr>
        <w:t xml:space="preserve"> hmotných movitých věcí.</w:t>
      </w:r>
      <w:r w:rsidR="00DD25B5">
        <w:rPr>
          <w:rFonts w:asciiTheme="minorHAnsi" w:hAnsiTheme="minorHAnsi" w:cstheme="minorHAnsi"/>
          <w:spacing w:val="-2"/>
        </w:rPr>
        <w:t xml:space="preserve"> </w:t>
      </w:r>
    </w:p>
    <w:p w14:paraId="7F157CD9" w14:textId="2498B73E" w:rsidR="001C7EAA" w:rsidRPr="00A9194D" w:rsidRDefault="00A9194D" w:rsidP="00A75773">
      <w:pPr>
        <w:spacing w:after="0"/>
        <w:jc w:val="both"/>
        <w:rPr>
          <w:lang w:eastAsia="cs-CZ"/>
        </w:rPr>
      </w:pPr>
      <w:r>
        <w:rPr>
          <w:rFonts w:asciiTheme="minorHAnsi" w:hAnsiTheme="minorHAnsi" w:cstheme="minorHAnsi"/>
        </w:rPr>
        <w:t xml:space="preserve">Nedokončený dlouhodobý majetek představuje u MV významnou oblast ve vztahu k ÚZ a ve srovnání </w:t>
      </w:r>
      <w:r w:rsidR="001B654E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 minulou kontrolou došlo v řešení této problematiky k posunu. MV zavedlo v letech 2020 a 2021 v rámci inventarizace nedokončeného majetku mj. postupy vedoucí ke zjiš</w:t>
      </w:r>
      <w:r w:rsidR="001B654E">
        <w:rPr>
          <w:rFonts w:asciiTheme="minorHAnsi" w:hAnsiTheme="minorHAnsi" w:cstheme="minorHAnsi"/>
        </w:rPr>
        <w:t>tění</w:t>
      </w:r>
      <w:r>
        <w:rPr>
          <w:rFonts w:asciiTheme="minorHAnsi" w:hAnsiTheme="minorHAnsi" w:cstheme="minorHAnsi"/>
        </w:rPr>
        <w:t xml:space="preserve"> důvodu nedokončenosti každé položky, která byla ke konci roku vykázána na účtech nedokončeného dlouhodobého nehmotného či hmotného majetku. NKÚ vyhodnotil přístup MV v</w:t>
      </w:r>
      <w:r w:rsidR="00426B4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této oblasti jako vhodný a potřebný </w:t>
      </w:r>
      <w:r w:rsidR="001B654E">
        <w:rPr>
          <w:rFonts w:asciiTheme="minorHAnsi" w:hAnsiTheme="minorHAnsi" w:cstheme="minorHAnsi"/>
        </w:rPr>
        <w:t>k</w:t>
      </w:r>
      <w:r w:rsidR="00426B40">
        <w:rPr>
          <w:rFonts w:asciiTheme="minorHAnsi" w:hAnsiTheme="minorHAnsi" w:cstheme="minorHAnsi"/>
        </w:rPr>
        <w:t xml:space="preserve"> </w:t>
      </w:r>
      <w:r w:rsidR="001B654E">
        <w:rPr>
          <w:rFonts w:asciiTheme="minorHAnsi" w:hAnsiTheme="minorHAnsi" w:cstheme="minorHAnsi"/>
        </w:rPr>
        <w:t>tomu, aby byly v</w:t>
      </w:r>
      <w:r w:rsidR="00426B40">
        <w:rPr>
          <w:rFonts w:asciiTheme="minorHAnsi" w:hAnsiTheme="minorHAnsi" w:cstheme="minorHAnsi"/>
        </w:rPr>
        <w:t xml:space="preserve"> </w:t>
      </w:r>
      <w:r w:rsidR="001B654E">
        <w:rPr>
          <w:rFonts w:asciiTheme="minorHAnsi" w:hAnsiTheme="minorHAnsi" w:cstheme="minorHAnsi"/>
        </w:rPr>
        <w:t xml:space="preserve">účetní závěrce </w:t>
      </w:r>
      <w:r>
        <w:rPr>
          <w:rFonts w:asciiTheme="minorHAnsi" w:hAnsiTheme="minorHAnsi" w:cstheme="minorHAnsi"/>
        </w:rPr>
        <w:t>elimin</w:t>
      </w:r>
      <w:r w:rsidR="001B654E">
        <w:rPr>
          <w:rFonts w:asciiTheme="minorHAnsi" w:hAnsiTheme="minorHAnsi" w:cstheme="minorHAnsi"/>
        </w:rPr>
        <w:t>ovány</w:t>
      </w:r>
      <w:r>
        <w:rPr>
          <w:rFonts w:asciiTheme="minorHAnsi" w:hAnsiTheme="minorHAnsi" w:cstheme="minorHAnsi"/>
        </w:rPr>
        <w:t xml:space="preserve"> nesprávnost</w:t>
      </w:r>
      <w:r w:rsidR="001B654E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výše uvedeného typu.</w:t>
      </w:r>
    </w:p>
    <w:p w14:paraId="7663826C" w14:textId="77777777" w:rsidR="00F657C0" w:rsidRDefault="00F657C0" w:rsidP="00F657C0">
      <w:pPr>
        <w:spacing w:after="0"/>
        <w:jc w:val="both"/>
        <w:rPr>
          <w:rFonts w:cs="Calibri"/>
          <w:highlight w:val="yellow"/>
        </w:rPr>
      </w:pPr>
    </w:p>
    <w:p w14:paraId="628F5128" w14:textId="77777777" w:rsidR="00A75011" w:rsidRPr="00890197" w:rsidRDefault="00283F9D" w:rsidP="00A75011">
      <w:pPr>
        <w:pStyle w:val="Nadpis2"/>
        <w:keepNext/>
        <w:numPr>
          <w:ilvl w:val="0"/>
          <w:numId w:val="0"/>
        </w:numPr>
        <w:spacing w:after="120" w:line="240" w:lineRule="auto"/>
        <w:contextualSpacing w:val="0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1</w:t>
      </w:r>
      <w:r w:rsidR="00A75011" w:rsidRPr="00685C5C">
        <w:rPr>
          <w:rFonts w:ascii="Calibri" w:hAnsi="Calibri" w:cs="Calibri"/>
          <w:lang w:eastAsia="cs-CZ"/>
        </w:rPr>
        <w:t>.</w:t>
      </w:r>
      <w:r w:rsidR="00F55060">
        <w:rPr>
          <w:rFonts w:ascii="Calibri" w:hAnsi="Calibri" w:cs="Calibri"/>
          <w:lang w:eastAsia="cs-CZ"/>
        </w:rPr>
        <w:t>1.</w:t>
      </w:r>
      <w:r w:rsidR="00E82CE8">
        <w:rPr>
          <w:rFonts w:ascii="Calibri" w:hAnsi="Calibri" w:cs="Calibri"/>
          <w:lang w:eastAsia="cs-CZ"/>
        </w:rPr>
        <w:t>2</w:t>
      </w:r>
      <w:r w:rsidR="00A75011" w:rsidRPr="00685C5C">
        <w:rPr>
          <w:rFonts w:ascii="Calibri" w:hAnsi="Calibri" w:cs="Calibri"/>
          <w:lang w:eastAsia="cs-CZ"/>
        </w:rPr>
        <w:t xml:space="preserve"> Ne</w:t>
      </w:r>
      <w:r w:rsidR="00AD7007">
        <w:rPr>
          <w:rFonts w:ascii="Calibri" w:hAnsi="Calibri" w:cs="Calibri"/>
          <w:lang w:eastAsia="cs-CZ"/>
        </w:rPr>
        <w:t>zachycení nákladů v</w:t>
      </w:r>
      <w:r w:rsidR="00A67F9E">
        <w:rPr>
          <w:rFonts w:ascii="Calibri" w:hAnsi="Calibri" w:cs="Calibri"/>
          <w:lang w:eastAsia="cs-CZ"/>
        </w:rPr>
        <w:t>e správném</w:t>
      </w:r>
      <w:r w:rsidR="00AD7007">
        <w:rPr>
          <w:rFonts w:ascii="Calibri" w:hAnsi="Calibri" w:cs="Calibri"/>
          <w:lang w:eastAsia="cs-CZ"/>
        </w:rPr>
        <w:t xml:space="preserve"> účetním období</w:t>
      </w:r>
      <w:r w:rsidR="00A75011" w:rsidRPr="00890197">
        <w:rPr>
          <w:rFonts w:ascii="Calibri" w:hAnsi="Calibri" w:cs="Calibri"/>
          <w:lang w:eastAsia="cs-CZ"/>
        </w:rPr>
        <w:t xml:space="preserve"> </w:t>
      </w:r>
    </w:p>
    <w:p w14:paraId="2F296956" w14:textId="77777777" w:rsidR="00BB6720" w:rsidRDefault="00CB5A34" w:rsidP="00CB5A34">
      <w:pPr>
        <w:jc w:val="both"/>
        <w:rPr>
          <w:rFonts w:asciiTheme="minorHAnsi" w:hAnsiTheme="minorHAnsi" w:cstheme="minorHAnsi"/>
          <w:bCs/>
          <w:spacing w:val="-2"/>
        </w:rPr>
      </w:pPr>
      <w:r w:rsidRPr="00F54BD6">
        <w:rPr>
          <w:rFonts w:asciiTheme="minorHAnsi" w:hAnsiTheme="minorHAnsi" w:cstheme="minorHAnsi"/>
          <w:b/>
          <w:spacing w:val="-2"/>
        </w:rPr>
        <w:t>M</w:t>
      </w:r>
      <w:r w:rsidR="00AD7007" w:rsidRPr="00F54BD6">
        <w:rPr>
          <w:rFonts w:asciiTheme="minorHAnsi" w:hAnsiTheme="minorHAnsi" w:cstheme="minorHAnsi"/>
          <w:b/>
          <w:spacing w:val="-2"/>
        </w:rPr>
        <w:t>V zaúčtovalo v</w:t>
      </w:r>
      <w:r w:rsidR="001D10FA" w:rsidRPr="00F54BD6">
        <w:rPr>
          <w:rFonts w:asciiTheme="minorHAnsi" w:hAnsiTheme="minorHAnsi" w:cstheme="minorHAnsi"/>
          <w:b/>
          <w:spacing w:val="-2"/>
        </w:rPr>
        <w:t xml:space="preserve"> účetním období </w:t>
      </w:r>
      <w:r w:rsidR="00AD7007" w:rsidRPr="00F54BD6">
        <w:rPr>
          <w:rFonts w:asciiTheme="minorHAnsi" w:hAnsiTheme="minorHAnsi" w:cstheme="minorHAnsi"/>
          <w:b/>
          <w:spacing w:val="-2"/>
        </w:rPr>
        <w:t>ro</w:t>
      </w:r>
      <w:r w:rsidR="001D10FA" w:rsidRPr="00F54BD6">
        <w:rPr>
          <w:rFonts w:asciiTheme="minorHAnsi" w:hAnsiTheme="minorHAnsi" w:cstheme="minorHAnsi"/>
          <w:b/>
          <w:spacing w:val="-2"/>
        </w:rPr>
        <w:t xml:space="preserve">ku </w:t>
      </w:r>
      <w:r w:rsidR="00AD7007" w:rsidRPr="00F54BD6">
        <w:rPr>
          <w:rFonts w:asciiTheme="minorHAnsi" w:hAnsiTheme="minorHAnsi" w:cstheme="minorHAnsi"/>
          <w:b/>
          <w:spacing w:val="-2"/>
        </w:rPr>
        <w:t>2021</w:t>
      </w:r>
      <w:r w:rsidR="007F5915" w:rsidRPr="00F54BD6">
        <w:rPr>
          <w:rFonts w:asciiTheme="minorHAnsi" w:hAnsiTheme="minorHAnsi" w:cstheme="minorHAnsi"/>
          <w:b/>
          <w:spacing w:val="-2"/>
        </w:rPr>
        <w:t xml:space="preserve"> náklady</w:t>
      </w:r>
      <w:r w:rsidR="007F5915">
        <w:rPr>
          <w:rFonts w:asciiTheme="minorHAnsi" w:hAnsiTheme="minorHAnsi" w:cstheme="minorHAnsi"/>
          <w:bCs/>
          <w:spacing w:val="-2"/>
        </w:rPr>
        <w:t xml:space="preserve"> charakteru ostatních služeb </w:t>
      </w:r>
      <w:r w:rsidR="00253B9C">
        <w:rPr>
          <w:rFonts w:asciiTheme="minorHAnsi" w:hAnsiTheme="minorHAnsi" w:cstheme="minorHAnsi"/>
          <w:bCs/>
          <w:spacing w:val="-2"/>
        </w:rPr>
        <w:t xml:space="preserve">v celkové výši 1 mil. Kč </w:t>
      </w:r>
      <w:r w:rsidR="00F54BD6">
        <w:rPr>
          <w:rFonts w:asciiTheme="minorHAnsi" w:hAnsiTheme="minorHAnsi" w:cstheme="minorHAnsi"/>
          <w:bCs/>
          <w:spacing w:val="-2"/>
        </w:rPr>
        <w:t>a</w:t>
      </w:r>
      <w:r w:rsidR="007F5915">
        <w:rPr>
          <w:rFonts w:asciiTheme="minorHAnsi" w:hAnsiTheme="minorHAnsi" w:cstheme="minorHAnsi"/>
          <w:bCs/>
          <w:spacing w:val="-2"/>
        </w:rPr>
        <w:t xml:space="preserve"> spotřeby energie</w:t>
      </w:r>
      <w:r w:rsidR="00253B9C">
        <w:rPr>
          <w:rFonts w:asciiTheme="minorHAnsi" w:hAnsiTheme="minorHAnsi" w:cstheme="minorHAnsi"/>
          <w:bCs/>
          <w:spacing w:val="-2"/>
        </w:rPr>
        <w:t xml:space="preserve"> ve výši 96,7 tis. Kč</w:t>
      </w:r>
      <w:r w:rsidR="00F54BD6" w:rsidRPr="00124170">
        <w:rPr>
          <w:rFonts w:asciiTheme="minorHAnsi" w:hAnsiTheme="minorHAnsi" w:cstheme="minorHAnsi"/>
          <w:spacing w:val="-2"/>
        </w:rPr>
        <w:t>,</w:t>
      </w:r>
      <w:r w:rsidR="00F54BD6" w:rsidRPr="00F54BD6">
        <w:rPr>
          <w:rFonts w:asciiTheme="minorHAnsi" w:hAnsiTheme="minorHAnsi" w:cstheme="minorHAnsi"/>
          <w:b/>
          <w:spacing w:val="-2"/>
        </w:rPr>
        <w:t xml:space="preserve"> které</w:t>
      </w:r>
      <w:r w:rsidR="001D10FA" w:rsidRPr="00F54BD6">
        <w:rPr>
          <w:rFonts w:asciiTheme="minorHAnsi" w:hAnsiTheme="minorHAnsi" w:cstheme="minorHAnsi"/>
          <w:b/>
          <w:spacing w:val="-2"/>
        </w:rPr>
        <w:t xml:space="preserve"> však</w:t>
      </w:r>
      <w:r w:rsidR="007F5915" w:rsidRPr="00F54BD6">
        <w:rPr>
          <w:rFonts w:asciiTheme="minorHAnsi" w:hAnsiTheme="minorHAnsi" w:cstheme="minorHAnsi"/>
          <w:b/>
          <w:spacing w:val="-2"/>
        </w:rPr>
        <w:t xml:space="preserve"> věcně a časově souvisely</w:t>
      </w:r>
      <w:r w:rsidR="001D10FA" w:rsidRPr="00F54BD6">
        <w:rPr>
          <w:rFonts w:asciiTheme="minorHAnsi" w:hAnsiTheme="minorHAnsi" w:cstheme="minorHAnsi"/>
          <w:b/>
          <w:spacing w:val="-2"/>
        </w:rPr>
        <w:t xml:space="preserve"> </w:t>
      </w:r>
      <w:r w:rsidR="007F5915" w:rsidRPr="00F54BD6">
        <w:rPr>
          <w:rFonts w:asciiTheme="minorHAnsi" w:hAnsiTheme="minorHAnsi" w:cstheme="minorHAnsi"/>
          <w:b/>
          <w:spacing w:val="-2"/>
        </w:rPr>
        <w:t>s rokem 2020</w:t>
      </w:r>
      <w:r w:rsidR="00253B9C" w:rsidRPr="00F54BD6">
        <w:rPr>
          <w:rFonts w:asciiTheme="minorHAnsi" w:hAnsiTheme="minorHAnsi" w:cstheme="minorHAnsi"/>
          <w:b/>
          <w:spacing w:val="-2"/>
        </w:rPr>
        <w:t>.</w:t>
      </w:r>
      <w:r w:rsidR="00253B9C">
        <w:rPr>
          <w:rFonts w:asciiTheme="minorHAnsi" w:hAnsiTheme="minorHAnsi" w:cstheme="minorHAnsi"/>
          <w:bCs/>
          <w:spacing w:val="-2"/>
        </w:rPr>
        <w:t xml:space="preserve"> Přestože MV provedlo opravy časového nerozlišení nákladů </w:t>
      </w:r>
      <w:r w:rsidR="006A161C">
        <w:rPr>
          <w:rFonts w:asciiTheme="minorHAnsi" w:hAnsiTheme="minorHAnsi" w:cstheme="minorHAnsi"/>
          <w:bCs/>
          <w:spacing w:val="-2"/>
        </w:rPr>
        <w:t>ve velké míře ještě před sestavením první účetní závěrky,</w:t>
      </w:r>
      <w:r w:rsidR="00707FFE">
        <w:rPr>
          <w:rFonts w:asciiTheme="minorHAnsi" w:hAnsiTheme="minorHAnsi" w:cstheme="minorHAnsi"/>
          <w:bCs/>
          <w:spacing w:val="-2"/>
        </w:rPr>
        <w:t xml:space="preserve"> tyto případy</w:t>
      </w:r>
      <w:r w:rsidR="00371E79">
        <w:rPr>
          <w:rFonts w:asciiTheme="minorHAnsi" w:hAnsiTheme="minorHAnsi" w:cstheme="minorHAnsi"/>
          <w:bCs/>
          <w:spacing w:val="-2"/>
        </w:rPr>
        <w:t xml:space="preserve"> </w:t>
      </w:r>
      <w:r w:rsidR="00707FFE">
        <w:rPr>
          <w:rFonts w:asciiTheme="minorHAnsi" w:hAnsiTheme="minorHAnsi" w:cstheme="minorHAnsi"/>
          <w:bCs/>
          <w:spacing w:val="-2"/>
        </w:rPr>
        <w:t xml:space="preserve">zůstaly neopraveny. </w:t>
      </w:r>
    </w:p>
    <w:p w14:paraId="62BAE11B" w14:textId="12946C9E" w:rsidR="00685C5C" w:rsidRDefault="00DD25B5" w:rsidP="00A75773">
      <w:pPr>
        <w:spacing w:after="0"/>
        <w:jc w:val="both"/>
        <w:rPr>
          <w:rFonts w:asciiTheme="minorHAnsi" w:hAnsiTheme="minorHAnsi" w:cstheme="minorHAnsi"/>
          <w:bCs/>
          <w:spacing w:val="-2"/>
        </w:rPr>
      </w:pPr>
      <w:r>
        <w:rPr>
          <w:rFonts w:asciiTheme="minorHAnsi" w:hAnsiTheme="minorHAnsi" w:cstheme="minorHAnsi"/>
          <w:bCs/>
          <w:spacing w:val="-2"/>
        </w:rPr>
        <w:t>Uvedené</w:t>
      </w:r>
      <w:r w:rsidR="00AA3F92">
        <w:rPr>
          <w:rFonts w:asciiTheme="minorHAnsi" w:hAnsiTheme="minorHAnsi" w:cstheme="minorHAnsi"/>
          <w:bCs/>
          <w:spacing w:val="-2"/>
        </w:rPr>
        <w:t xml:space="preserve"> skutečnosti</w:t>
      </w:r>
      <w:r>
        <w:rPr>
          <w:rFonts w:asciiTheme="minorHAnsi" w:hAnsiTheme="minorHAnsi" w:cstheme="minorHAnsi"/>
          <w:bCs/>
          <w:spacing w:val="-2"/>
        </w:rPr>
        <w:t>, zjištěné v účetním okruhu Policejního prezidia ČR,</w:t>
      </w:r>
      <w:r w:rsidR="00AA3F92">
        <w:rPr>
          <w:rFonts w:asciiTheme="minorHAnsi" w:hAnsiTheme="minorHAnsi" w:cstheme="minorHAnsi"/>
          <w:bCs/>
          <w:spacing w:val="-2"/>
        </w:rPr>
        <w:t xml:space="preserve"> měly dopad na správnost </w:t>
      </w:r>
      <w:r w:rsidR="00AA3F92">
        <w:rPr>
          <w:lang w:eastAsia="cs-CZ"/>
        </w:rPr>
        <w:t>vykázaných zůstatků účtů</w:t>
      </w:r>
      <w:r w:rsidR="00AA3F92">
        <w:rPr>
          <w:rFonts w:asciiTheme="minorHAnsi" w:hAnsiTheme="minorHAnsi" w:cstheme="minorHAnsi"/>
          <w:bCs/>
          <w:spacing w:val="-2"/>
        </w:rPr>
        <w:t xml:space="preserve"> </w:t>
      </w:r>
      <w:r w:rsidR="00E83C37">
        <w:rPr>
          <w:lang w:eastAsia="cs-CZ"/>
        </w:rPr>
        <w:t>rozvahy a výkazu zisku a</w:t>
      </w:r>
      <w:r w:rsidR="002C4FDC">
        <w:rPr>
          <w:lang w:eastAsia="cs-CZ"/>
        </w:rPr>
        <w:t> </w:t>
      </w:r>
      <w:r w:rsidR="00E83C37">
        <w:rPr>
          <w:lang w:eastAsia="cs-CZ"/>
        </w:rPr>
        <w:t>ztráty, a to účtů</w:t>
      </w:r>
      <w:r w:rsidR="00081F46">
        <w:rPr>
          <w:lang w:eastAsia="cs-CZ"/>
        </w:rPr>
        <w:t xml:space="preserve"> 432</w:t>
      </w:r>
      <w:r w:rsidR="00E83C37">
        <w:rPr>
          <w:lang w:eastAsia="cs-CZ"/>
        </w:rPr>
        <w:t xml:space="preserve"> – </w:t>
      </w:r>
      <w:r w:rsidR="00081F46">
        <w:rPr>
          <w:i/>
          <w:iCs/>
          <w:lang w:eastAsia="cs-CZ"/>
        </w:rPr>
        <w:t xml:space="preserve">Výsledek hospodaření předcházejících </w:t>
      </w:r>
      <w:r w:rsidR="00303AD6">
        <w:rPr>
          <w:i/>
          <w:iCs/>
          <w:lang w:eastAsia="cs-CZ"/>
        </w:rPr>
        <w:t>účetních období</w:t>
      </w:r>
      <w:r w:rsidR="00E83C37">
        <w:rPr>
          <w:lang w:eastAsia="cs-CZ"/>
        </w:rPr>
        <w:t xml:space="preserve"> (</w:t>
      </w:r>
      <w:r w:rsidR="00303AD6">
        <w:rPr>
          <w:lang w:eastAsia="cs-CZ"/>
        </w:rPr>
        <w:t>na</w:t>
      </w:r>
      <w:r w:rsidR="00E83C37">
        <w:rPr>
          <w:lang w:eastAsia="cs-CZ"/>
        </w:rPr>
        <w:t>dhodnocen o</w:t>
      </w:r>
      <w:r w:rsidR="00303AD6">
        <w:rPr>
          <w:lang w:eastAsia="cs-CZ"/>
        </w:rPr>
        <w:t xml:space="preserve"> 1,1</w:t>
      </w:r>
      <w:r w:rsidR="008343DE">
        <w:rPr>
          <w:lang w:eastAsia="cs-CZ"/>
        </w:rPr>
        <w:t xml:space="preserve"> mil.</w:t>
      </w:r>
      <w:r w:rsidR="00E83C37">
        <w:rPr>
          <w:lang w:eastAsia="cs-CZ"/>
        </w:rPr>
        <w:t xml:space="preserve"> Kč),</w:t>
      </w:r>
      <w:r w:rsidR="00303AD6">
        <w:rPr>
          <w:lang w:eastAsia="cs-CZ"/>
        </w:rPr>
        <w:t xml:space="preserve"> 502</w:t>
      </w:r>
      <w:r w:rsidR="008343DE">
        <w:rPr>
          <w:lang w:eastAsia="cs-CZ"/>
        </w:rPr>
        <w:t xml:space="preserve"> – </w:t>
      </w:r>
      <w:r w:rsidR="00303AD6">
        <w:rPr>
          <w:i/>
          <w:iCs/>
          <w:lang w:eastAsia="cs-CZ"/>
        </w:rPr>
        <w:t>Spotřeba energie</w:t>
      </w:r>
      <w:r w:rsidR="008343DE">
        <w:rPr>
          <w:lang w:eastAsia="cs-CZ"/>
        </w:rPr>
        <w:t xml:space="preserve"> (</w:t>
      </w:r>
      <w:r w:rsidR="00303AD6">
        <w:rPr>
          <w:lang w:eastAsia="cs-CZ"/>
        </w:rPr>
        <w:t>na</w:t>
      </w:r>
      <w:r w:rsidR="008343DE">
        <w:rPr>
          <w:lang w:eastAsia="cs-CZ"/>
        </w:rPr>
        <w:t>dhodnocen o</w:t>
      </w:r>
      <w:r w:rsidR="00303AD6">
        <w:rPr>
          <w:lang w:eastAsia="cs-CZ"/>
        </w:rPr>
        <w:t xml:space="preserve"> 96,7 tis.</w:t>
      </w:r>
      <w:r w:rsidR="008343DE">
        <w:rPr>
          <w:lang w:eastAsia="cs-CZ"/>
        </w:rPr>
        <w:t xml:space="preserve"> Kč)</w:t>
      </w:r>
      <w:r w:rsidR="00303AD6">
        <w:rPr>
          <w:lang w:eastAsia="cs-CZ"/>
        </w:rPr>
        <w:t xml:space="preserve"> a 518</w:t>
      </w:r>
      <w:r w:rsidR="00E83C37">
        <w:rPr>
          <w:lang w:eastAsia="cs-CZ"/>
        </w:rPr>
        <w:t xml:space="preserve"> – </w:t>
      </w:r>
      <w:r w:rsidR="00303AD6">
        <w:rPr>
          <w:i/>
          <w:iCs/>
          <w:lang w:eastAsia="cs-CZ"/>
        </w:rPr>
        <w:t>Ostatní služby</w:t>
      </w:r>
      <w:r w:rsidR="00E83C37">
        <w:rPr>
          <w:lang w:eastAsia="cs-CZ"/>
        </w:rPr>
        <w:t xml:space="preserve"> (nadhodnocen o</w:t>
      </w:r>
      <w:r w:rsidR="00303AD6">
        <w:rPr>
          <w:lang w:eastAsia="cs-CZ"/>
        </w:rPr>
        <w:t xml:space="preserve"> 1 mil.</w:t>
      </w:r>
      <w:r w:rsidR="00E83C37">
        <w:rPr>
          <w:lang w:eastAsia="cs-CZ"/>
        </w:rPr>
        <w:t xml:space="preserve"> Kč).</w:t>
      </w:r>
    </w:p>
    <w:p w14:paraId="365AB2FC" w14:textId="77777777" w:rsidR="00CB5A34" w:rsidRDefault="00CB5A34" w:rsidP="00CB5A34">
      <w:pPr>
        <w:spacing w:after="0"/>
        <w:jc w:val="both"/>
        <w:rPr>
          <w:rFonts w:asciiTheme="minorHAnsi" w:hAnsiTheme="minorHAnsi" w:cstheme="minorHAnsi"/>
          <w:spacing w:val="-2"/>
          <w:highlight w:val="yellow"/>
        </w:rPr>
      </w:pPr>
    </w:p>
    <w:p w14:paraId="50912FC8" w14:textId="77777777" w:rsidR="00083751" w:rsidRDefault="00283F9D" w:rsidP="00593BE0">
      <w:pPr>
        <w:pStyle w:val="Nadpis2"/>
        <w:keepNext/>
        <w:numPr>
          <w:ilvl w:val="0"/>
          <w:numId w:val="0"/>
        </w:numPr>
        <w:spacing w:after="120" w:line="240" w:lineRule="auto"/>
        <w:contextualSpacing w:val="0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1</w:t>
      </w:r>
      <w:r w:rsidR="00593BE0" w:rsidRPr="00685C5C">
        <w:rPr>
          <w:rFonts w:ascii="Calibri" w:hAnsi="Calibri" w:cs="Calibri"/>
          <w:lang w:eastAsia="cs-CZ"/>
        </w:rPr>
        <w:t>.</w:t>
      </w:r>
      <w:r w:rsidR="00F55060">
        <w:rPr>
          <w:rFonts w:ascii="Calibri" w:hAnsi="Calibri" w:cs="Calibri"/>
          <w:lang w:eastAsia="cs-CZ"/>
        </w:rPr>
        <w:t>1.</w:t>
      </w:r>
      <w:r w:rsidR="00E82CE8">
        <w:rPr>
          <w:rFonts w:ascii="Calibri" w:hAnsi="Calibri" w:cs="Calibri"/>
          <w:lang w:eastAsia="cs-CZ"/>
        </w:rPr>
        <w:t>3</w:t>
      </w:r>
      <w:r w:rsidR="00593BE0" w:rsidRPr="00685C5C">
        <w:rPr>
          <w:rFonts w:ascii="Calibri" w:hAnsi="Calibri" w:cs="Calibri"/>
          <w:lang w:eastAsia="cs-CZ"/>
        </w:rPr>
        <w:t xml:space="preserve"> </w:t>
      </w:r>
      <w:r w:rsidR="00083751">
        <w:rPr>
          <w:rFonts w:ascii="Calibri" w:hAnsi="Calibri" w:cs="Calibri"/>
          <w:lang w:eastAsia="cs-CZ"/>
        </w:rPr>
        <w:t>Odpisování dlouhodobého majetku – automatické prodlužování životnosti majetku</w:t>
      </w:r>
    </w:p>
    <w:p w14:paraId="6CE2FB5F" w14:textId="63179202" w:rsidR="00290260" w:rsidRPr="001F711E" w:rsidRDefault="00290260" w:rsidP="00EB764A">
      <w:pPr>
        <w:jc w:val="both"/>
        <w:rPr>
          <w:b/>
          <w:bCs/>
          <w:lang w:eastAsia="cs-CZ"/>
        </w:rPr>
      </w:pPr>
      <w:r w:rsidRPr="001F711E">
        <w:rPr>
          <w:b/>
          <w:bCs/>
          <w:lang w:eastAsia="cs-CZ"/>
        </w:rPr>
        <w:t>V aplikaci účetní metody odpisování dlouhodobého majetku byl zjištěn systémový nedostatek</w:t>
      </w:r>
      <w:r w:rsidR="005413F2">
        <w:rPr>
          <w:b/>
          <w:bCs/>
          <w:lang w:eastAsia="cs-CZ"/>
        </w:rPr>
        <w:t xml:space="preserve"> napříč všemi účetními okruhy MV</w:t>
      </w:r>
      <w:r w:rsidRPr="001F711E">
        <w:rPr>
          <w:b/>
          <w:bCs/>
          <w:lang w:eastAsia="cs-CZ"/>
        </w:rPr>
        <w:t>,</w:t>
      </w:r>
      <w:r w:rsidR="00BE051E">
        <w:rPr>
          <w:b/>
          <w:bCs/>
          <w:lang w:eastAsia="cs-CZ"/>
        </w:rPr>
        <w:t xml:space="preserve"> </w:t>
      </w:r>
      <w:r w:rsidR="001B654E">
        <w:rPr>
          <w:b/>
          <w:bCs/>
          <w:lang w:eastAsia="cs-CZ"/>
        </w:rPr>
        <w:t>nedostatek</w:t>
      </w:r>
      <w:r w:rsidR="00BE051E">
        <w:rPr>
          <w:b/>
          <w:bCs/>
          <w:lang w:eastAsia="cs-CZ"/>
        </w:rPr>
        <w:t xml:space="preserve"> spočíval</w:t>
      </w:r>
      <w:r w:rsidRPr="001F711E">
        <w:rPr>
          <w:b/>
          <w:bCs/>
          <w:lang w:eastAsia="cs-CZ"/>
        </w:rPr>
        <w:t>:</w:t>
      </w:r>
    </w:p>
    <w:p w14:paraId="5AD2650B" w14:textId="77777777" w:rsidR="00290260" w:rsidRPr="001F711E" w:rsidRDefault="00BE051E" w:rsidP="00101CB1">
      <w:pPr>
        <w:numPr>
          <w:ilvl w:val="0"/>
          <w:numId w:val="6"/>
        </w:numPr>
        <w:ind w:left="714" w:hanging="357"/>
        <w:jc w:val="both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 xml:space="preserve">v </w:t>
      </w:r>
      <w:r w:rsidR="00290260" w:rsidRPr="001F711E">
        <w:rPr>
          <w:rFonts w:asciiTheme="minorHAnsi" w:hAnsiTheme="minorHAnsi" w:cstheme="minorHAnsi"/>
          <w:b/>
          <w:bCs/>
          <w:iCs/>
        </w:rPr>
        <w:t>nesprávném stanovení předpokládané doby používání dlouhodobého majetku</w:t>
      </w:r>
      <w:r w:rsidR="00A3282F">
        <w:rPr>
          <w:rFonts w:asciiTheme="minorHAnsi" w:hAnsiTheme="minorHAnsi" w:cstheme="minorHAnsi"/>
          <w:b/>
          <w:bCs/>
          <w:iCs/>
        </w:rPr>
        <w:t>;</w:t>
      </w:r>
    </w:p>
    <w:p w14:paraId="547B48D0" w14:textId="77777777" w:rsidR="00290260" w:rsidRPr="00C221AB" w:rsidRDefault="00BE051E" w:rsidP="00205DE4">
      <w:pPr>
        <w:numPr>
          <w:ilvl w:val="0"/>
          <w:numId w:val="6"/>
        </w:numPr>
        <w:spacing w:after="0"/>
        <w:ind w:left="714" w:hanging="357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 xml:space="preserve">v </w:t>
      </w:r>
      <w:r w:rsidR="00290260" w:rsidRPr="001F711E">
        <w:rPr>
          <w:rFonts w:asciiTheme="minorHAnsi" w:hAnsiTheme="minorHAnsi" w:cstheme="minorHAnsi"/>
          <w:b/>
          <w:bCs/>
          <w:iCs/>
        </w:rPr>
        <w:t>nezjišťování, zda předpokládaná doba používání dlouhodobého majetku odpovídá odpisovému plánu</w:t>
      </w:r>
      <w:r w:rsidR="001F711E" w:rsidRPr="001F711E">
        <w:rPr>
          <w:rFonts w:asciiTheme="minorHAnsi" w:hAnsiTheme="minorHAnsi" w:cstheme="minorHAnsi"/>
          <w:b/>
          <w:bCs/>
          <w:iCs/>
        </w:rPr>
        <w:t>,</w:t>
      </w:r>
      <w:r w:rsidR="00290260" w:rsidRPr="001F711E">
        <w:rPr>
          <w:rFonts w:asciiTheme="minorHAnsi" w:hAnsiTheme="minorHAnsi" w:cstheme="minorHAnsi"/>
          <w:b/>
          <w:bCs/>
          <w:iCs/>
        </w:rPr>
        <w:t xml:space="preserve"> a nezohledňování této skutečnosti při úpravě odpisových plánů.</w:t>
      </w:r>
    </w:p>
    <w:p w14:paraId="18A52A08" w14:textId="77777777" w:rsidR="00205DE4" w:rsidRDefault="00205DE4" w:rsidP="00205DE4">
      <w:pPr>
        <w:spacing w:after="0"/>
        <w:jc w:val="both"/>
        <w:rPr>
          <w:lang w:eastAsia="cs-CZ"/>
        </w:rPr>
      </w:pPr>
    </w:p>
    <w:p w14:paraId="134A3FEA" w14:textId="7E3B0839" w:rsidR="00316BCB" w:rsidRDefault="00FE2590" w:rsidP="00EB764A">
      <w:pPr>
        <w:jc w:val="both"/>
        <w:rPr>
          <w:lang w:eastAsia="cs-CZ"/>
        </w:rPr>
      </w:pPr>
      <w:r>
        <w:rPr>
          <w:lang w:eastAsia="cs-CZ"/>
        </w:rPr>
        <w:t xml:space="preserve">MV nesprávně stanovilo </w:t>
      </w:r>
      <w:r w:rsidR="00EB764A">
        <w:rPr>
          <w:lang w:eastAsia="cs-CZ"/>
        </w:rPr>
        <w:t>předpokládanou dobu používání dlouhodobého majetku, když u majetku</w:t>
      </w:r>
      <w:r w:rsidR="00FB5471">
        <w:rPr>
          <w:lang w:eastAsia="cs-CZ"/>
        </w:rPr>
        <w:t xml:space="preserve"> vedeného na účtu 013 – </w:t>
      </w:r>
      <w:r w:rsidR="00FB5471" w:rsidRPr="00FB5471">
        <w:rPr>
          <w:i/>
          <w:iCs/>
          <w:lang w:eastAsia="cs-CZ"/>
        </w:rPr>
        <w:t>S</w:t>
      </w:r>
      <w:r w:rsidR="00EB764A" w:rsidRPr="00FB5471">
        <w:rPr>
          <w:i/>
          <w:iCs/>
          <w:lang w:eastAsia="cs-CZ"/>
        </w:rPr>
        <w:t>oftware</w:t>
      </w:r>
      <w:r w:rsidR="00EB764A">
        <w:rPr>
          <w:lang w:eastAsia="cs-CZ"/>
        </w:rPr>
        <w:t xml:space="preserve"> </w:t>
      </w:r>
      <w:r w:rsidR="003311E2">
        <w:rPr>
          <w:lang w:eastAsia="cs-CZ"/>
        </w:rPr>
        <w:t xml:space="preserve">nastavilo </w:t>
      </w:r>
      <w:r w:rsidR="00400943">
        <w:rPr>
          <w:lang w:eastAsia="cs-CZ"/>
        </w:rPr>
        <w:t xml:space="preserve">životnost nejprve na dobu </w:t>
      </w:r>
      <w:r w:rsidR="001B654E">
        <w:rPr>
          <w:lang w:eastAsia="cs-CZ"/>
        </w:rPr>
        <w:t>tří</w:t>
      </w:r>
      <w:r w:rsidR="00400943">
        <w:rPr>
          <w:lang w:eastAsia="cs-CZ"/>
        </w:rPr>
        <w:t xml:space="preserve"> </w:t>
      </w:r>
      <w:r w:rsidR="001B654E">
        <w:rPr>
          <w:lang w:eastAsia="cs-CZ"/>
        </w:rPr>
        <w:t>let</w:t>
      </w:r>
      <w:r w:rsidR="00400943">
        <w:rPr>
          <w:lang w:eastAsia="cs-CZ"/>
        </w:rPr>
        <w:t xml:space="preserve"> a poté provádělo její automatické přenastavení a opakované prodlužování na 6, 9 </w:t>
      </w:r>
      <w:r w:rsidR="001B654E">
        <w:rPr>
          <w:lang w:eastAsia="cs-CZ"/>
        </w:rPr>
        <w:t>č</w:t>
      </w:r>
      <w:r w:rsidR="00400943">
        <w:rPr>
          <w:lang w:eastAsia="cs-CZ"/>
        </w:rPr>
        <w:t xml:space="preserve">i 12 let nebo </w:t>
      </w:r>
      <w:r w:rsidR="001B654E">
        <w:rPr>
          <w:lang w:eastAsia="cs-CZ"/>
        </w:rPr>
        <w:t xml:space="preserve">i </w:t>
      </w:r>
      <w:r w:rsidR="00400943">
        <w:rPr>
          <w:lang w:eastAsia="cs-CZ"/>
        </w:rPr>
        <w:t xml:space="preserve">na dobu delší. </w:t>
      </w:r>
      <w:r w:rsidR="00316BCB">
        <w:rPr>
          <w:lang w:eastAsia="cs-CZ"/>
        </w:rPr>
        <w:t>V důsledku toho docház</w:t>
      </w:r>
      <w:r w:rsidR="00860294">
        <w:rPr>
          <w:lang w:eastAsia="cs-CZ"/>
        </w:rPr>
        <w:t>í</w:t>
      </w:r>
      <w:r w:rsidR="00316BCB">
        <w:rPr>
          <w:lang w:eastAsia="cs-CZ"/>
        </w:rPr>
        <w:t xml:space="preserve"> k hodnotově velkým odpisům, a </w:t>
      </w:r>
      <w:r w:rsidR="001B654E">
        <w:rPr>
          <w:lang w:eastAsia="cs-CZ"/>
        </w:rPr>
        <w:t>tudíž</w:t>
      </w:r>
      <w:r w:rsidR="00316BCB">
        <w:rPr>
          <w:lang w:eastAsia="cs-CZ"/>
        </w:rPr>
        <w:t xml:space="preserve"> i</w:t>
      </w:r>
      <w:r w:rsidR="007345FA">
        <w:rPr>
          <w:lang w:eastAsia="cs-CZ"/>
        </w:rPr>
        <w:t xml:space="preserve"> </w:t>
      </w:r>
      <w:r w:rsidR="00316BCB">
        <w:rPr>
          <w:lang w:eastAsia="cs-CZ"/>
        </w:rPr>
        <w:t>nadměrnému zatížení nákladů v</w:t>
      </w:r>
      <w:r w:rsidR="007345FA">
        <w:rPr>
          <w:lang w:eastAsia="cs-CZ"/>
        </w:rPr>
        <w:t xml:space="preserve"> </w:t>
      </w:r>
      <w:r w:rsidR="00316BCB">
        <w:rPr>
          <w:lang w:eastAsia="cs-CZ"/>
        </w:rPr>
        <w:t>prvních letech užívání majetku, a naopak s</w:t>
      </w:r>
      <w:r w:rsidR="007345FA">
        <w:rPr>
          <w:lang w:eastAsia="cs-CZ"/>
        </w:rPr>
        <w:t xml:space="preserve"> </w:t>
      </w:r>
      <w:r w:rsidR="00316BCB">
        <w:rPr>
          <w:lang w:eastAsia="cs-CZ"/>
        </w:rPr>
        <w:t>každým prodloužením doby životnosti jsou odpisy ve srovnání s prvním rokem užívání neúměrně nízké. Tato skutečnost pak</w:t>
      </w:r>
      <w:r w:rsidR="00860294">
        <w:rPr>
          <w:lang w:eastAsia="cs-CZ"/>
        </w:rPr>
        <w:t xml:space="preserve"> </w:t>
      </w:r>
      <w:r w:rsidR="00316BCB">
        <w:rPr>
          <w:lang w:eastAsia="cs-CZ"/>
        </w:rPr>
        <w:t>neodpovídá rovnoměrnému způsobu</w:t>
      </w:r>
      <w:r w:rsidR="00866425">
        <w:rPr>
          <w:lang w:eastAsia="cs-CZ"/>
        </w:rPr>
        <w:t xml:space="preserve"> </w:t>
      </w:r>
      <w:r w:rsidR="00316BCB">
        <w:rPr>
          <w:lang w:eastAsia="cs-CZ"/>
        </w:rPr>
        <w:t>odpisování, jehož použití si MV stanovilo vnitřním předpisem. Uvedený postup MV aplikovalo i</w:t>
      </w:r>
      <w:r w:rsidR="007345FA">
        <w:rPr>
          <w:lang w:eastAsia="cs-CZ"/>
        </w:rPr>
        <w:t xml:space="preserve"> </w:t>
      </w:r>
      <w:r w:rsidR="00316BCB">
        <w:rPr>
          <w:lang w:eastAsia="cs-CZ"/>
        </w:rPr>
        <w:t>v</w:t>
      </w:r>
      <w:r w:rsidR="007345FA">
        <w:rPr>
          <w:lang w:eastAsia="cs-CZ"/>
        </w:rPr>
        <w:t xml:space="preserve"> </w:t>
      </w:r>
      <w:r w:rsidR="00316BCB">
        <w:rPr>
          <w:lang w:eastAsia="cs-CZ"/>
        </w:rPr>
        <w:t xml:space="preserve">případě majetku </w:t>
      </w:r>
      <w:r w:rsidR="00FB5471">
        <w:rPr>
          <w:lang w:eastAsia="cs-CZ"/>
        </w:rPr>
        <w:t>vedeného na účtu 022</w:t>
      </w:r>
      <w:r w:rsidR="007A45A6">
        <w:rPr>
          <w:lang w:eastAsia="cs-CZ"/>
        </w:rPr>
        <w:t> </w:t>
      </w:r>
      <w:r w:rsidR="00FB5471">
        <w:rPr>
          <w:lang w:eastAsia="cs-CZ"/>
        </w:rPr>
        <w:t>–</w:t>
      </w:r>
      <w:r w:rsidR="007A45A6">
        <w:rPr>
          <w:lang w:eastAsia="cs-CZ"/>
        </w:rPr>
        <w:t> </w:t>
      </w:r>
      <w:r w:rsidR="00FB5471" w:rsidRPr="00D67738">
        <w:rPr>
          <w:i/>
          <w:iCs/>
          <w:lang w:eastAsia="cs-CZ"/>
        </w:rPr>
        <w:t>S</w:t>
      </w:r>
      <w:r w:rsidR="00316BCB" w:rsidRPr="00D67738">
        <w:rPr>
          <w:i/>
          <w:iCs/>
          <w:lang w:eastAsia="cs-CZ"/>
        </w:rPr>
        <w:t>amostatn</w:t>
      </w:r>
      <w:r w:rsidR="00FB5471" w:rsidRPr="00D67738">
        <w:rPr>
          <w:i/>
          <w:iCs/>
          <w:lang w:eastAsia="cs-CZ"/>
        </w:rPr>
        <w:t>é</w:t>
      </w:r>
      <w:r w:rsidR="00316BCB" w:rsidRPr="00D67738">
        <w:rPr>
          <w:i/>
          <w:iCs/>
          <w:lang w:eastAsia="cs-CZ"/>
        </w:rPr>
        <w:t xml:space="preserve"> hmotn</w:t>
      </w:r>
      <w:r w:rsidR="00FB5471" w:rsidRPr="00D67738">
        <w:rPr>
          <w:i/>
          <w:iCs/>
          <w:lang w:eastAsia="cs-CZ"/>
        </w:rPr>
        <w:t>é</w:t>
      </w:r>
      <w:r w:rsidR="00316BCB" w:rsidRPr="00D67738">
        <w:rPr>
          <w:i/>
          <w:iCs/>
          <w:lang w:eastAsia="cs-CZ"/>
        </w:rPr>
        <w:t xml:space="preserve"> movit</w:t>
      </w:r>
      <w:r w:rsidR="00FB5471" w:rsidRPr="00D67738">
        <w:rPr>
          <w:i/>
          <w:iCs/>
          <w:lang w:eastAsia="cs-CZ"/>
        </w:rPr>
        <w:t>é</w:t>
      </w:r>
      <w:r w:rsidR="00316BCB" w:rsidRPr="00D67738">
        <w:rPr>
          <w:i/>
          <w:iCs/>
          <w:lang w:eastAsia="cs-CZ"/>
        </w:rPr>
        <w:t xml:space="preserve"> věc</w:t>
      </w:r>
      <w:r w:rsidR="00FB5471" w:rsidRPr="00D67738">
        <w:rPr>
          <w:i/>
          <w:iCs/>
          <w:lang w:eastAsia="cs-CZ"/>
        </w:rPr>
        <w:t>i</w:t>
      </w:r>
      <w:r w:rsidR="00316BCB" w:rsidRPr="00D67738">
        <w:rPr>
          <w:i/>
          <w:iCs/>
          <w:lang w:eastAsia="cs-CZ"/>
        </w:rPr>
        <w:t xml:space="preserve"> a soubor</w:t>
      </w:r>
      <w:r w:rsidR="00FB5471" w:rsidRPr="00D67738">
        <w:rPr>
          <w:i/>
          <w:iCs/>
          <w:lang w:eastAsia="cs-CZ"/>
        </w:rPr>
        <w:t>y</w:t>
      </w:r>
      <w:r w:rsidR="00316BCB" w:rsidRPr="00D67738">
        <w:rPr>
          <w:i/>
          <w:iCs/>
          <w:lang w:eastAsia="cs-CZ"/>
        </w:rPr>
        <w:t xml:space="preserve"> hmotných movitých věcí</w:t>
      </w:r>
      <w:r w:rsidR="00316BCB">
        <w:rPr>
          <w:lang w:eastAsia="cs-CZ"/>
        </w:rPr>
        <w:t xml:space="preserve">, </w:t>
      </w:r>
      <w:r w:rsidR="00D67738">
        <w:rPr>
          <w:lang w:eastAsia="cs-CZ"/>
        </w:rPr>
        <w:t xml:space="preserve">nikoliv však </w:t>
      </w:r>
      <w:r w:rsidR="00860294">
        <w:rPr>
          <w:lang w:eastAsia="cs-CZ"/>
        </w:rPr>
        <w:t>v takové míře</w:t>
      </w:r>
      <w:r w:rsidR="00316BCB">
        <w:rPr>
          <w:lang w:eastAsia="cs-CZ"/>
        </w:rPr>
        <w:t xml:space="preserve"> jako v případě softwar</w:t>
      </w:r>
      <w:r w:rsidR="007345FA">
        <w:rPr>
          <w:lang w:eastAsia="cs-CZ"/>
        </w:rPr>
        <w:t>u</w:t>
      </w:r>
      <w:r w:rsidR="00316BCB">
        <w:rPr>
          <w:lang w:eastAsia="cs-CZ"/>
        </w:rPr>
        <w:t>.</w:t>
      </w:r>
    </w:p>
    <w:p w14:paraId="2282A0AB" w14:textId="77777777" w:rsidR="002E2CFA" w:rsidRDefault="00316BCB" w:rsidP="00EB764A">
      <w:pPr>
        <w:jc w:val="both"/>
        <w:rPr>
          <w:rFonts w:asciiTheme="minorHAnsi" w:hAnsiTheme="minorHAnsi" w:cstheme="minorHAnsi"/>
          <w:b/>
          <w:iCs/>
        </w:rPr>
      </w:pPr>
      <w:r w:rsidRPr="004320E0">
        <w:rPr>
          <w:rFonts w:asciiTheme="minorHAnsi" w:hAnsiTheme="minorHAnsi" w:cstheme="minorHAnsi"/>
          <w:b/>
          <w:iCs/>
        </w:rPr>
        <w:lastRenderedPageBreak/>
        <w:t>Systém automatického prodlužování životnosti majetku, kter</w:t>
      </w:r>
      <w:r w:rsidR="00290260">
        <w:rPr>
          <w:rFonts w:asciiTheme="minorHAnsi" w:hAnsiTheme="minorHAnsi" w:cstheme="minorHAnsi"/>
          <w:b/>
          <w:iCs/>
        </w:rPr>
        <w:t>ý</w:t>
      </w:r>
      <w:r w:rsidRPr="004320E0">
        <w:rPr>
          <w:rFonts w:asciiTheme="minorHAnsi" w:hAnsiTheme="minorHAnsi" w:cstheme="minorHAnsi"/>
          <w:b/>
          <w:iCs/>
        </w:rPr>
        <w:t xml:space="preserve"> MV u majetku nastavilo</w:t>
      </w:r>
      <w:r w:rsidR="0039075E">
        <w:rPr>
          <w:rFonts w:asciiTheme="minorHAnsi" w:hAnsiTheme="minorHAnsi" w:cstheme="minorHAnsi"/>
          <w:b/>
          <w:iCs/>
        </w:rPr>
        <w:t xml:space="preserve"> a</w:t>
      </w:r>
      <w:r w:rsidR="00E462B8">
        <w:rPr>
          <w:rFonts w:asciiTheme="minorHAnsi" w:hAnsiTheme="minorHAnsi" w:cstheme="minorHAnsi"/>
          <w:b/>
          <w:iCs/>
        </w:rPr>
        <w:t> </w:t>
      </w:r>
      <w:r w:rsidR="0039075E">
        <w:rPr>
          <w:rFonts w:asciiTheme="minorHAnsi" w:hAnsiTheme="minorHAnsi" w:cstheme="minorHAnsi"/>
          <w:b/>
          <w:iCs/>
        </w:rPr>
        <w:t>aplikovalo</w:t>
      </w:r>
      <w:r w:rsidRPr="004320E0">
        <w:rPr>
          <w:rFonts w:asciiTheme="minorHAnsi" w:hAnsiTheme="minorHAnsi" w:cstheme="minorHAnsi"/>
          <w:b/>
          <w:iCs/>
        </w:rPr>
        <w:t>, nevede ke stanovení správné doby jeho životnosti, která by zohledňovala jeho charakter, rychlost morálního zastarávání a další specifické podmínky.</w:t>
      </w:r>
      <w:r w:rsidR="002E2CFA">
        <w:rPr>
          <w:rFonts w:asciiTheme="minorHAnsi" w:hAnsiTheme="minorHAnsi" w:cstheme="minorHAnsi"/>
          <w:b/>
          <w:iCs/>
        </w:rPr>
        <w:t xml:space="preserve"> </w:t>
      </w:r>
    </w:p>
    <w:p w14:paraId="085A7D7E" w14:textId="74F21673" w:rsidR="00083751" w:rsidRDefault="002E2CFA" w:rsidP="002E2CFA">
      <w:pPr>
        <w:jc w:val="both"/>
        <w:rPr>
          <w:lang w:eastAsia="cs-CZ"/>
        </w:rPr>
      </w:pPr>
      <w:r>
        <w:rPr>
          <w:rFonts w:asciiTheme="minorHAnsi" w:hAnsiTheme="minorHAnsi" w:cstheme="minorHAnsi"/>
          <w:bCs/>
          <w:spacing w:val="-2"/>
        </w:rPr>
        <w:t xml:space="preserve">Tento systémový nedostatek měl dopad na správnost </w:t>
      </w:r>
      <w:r>
        <w:rPr>
          <w:lang w:eastAsia="cs-CZ"/>
        </w:rPr>
        <w:t>vykázaných zůstatků účtů</w:t>
      </w:r>
      <w:r>
        <w:rPr>
          <w:rFonts w:asciiTheme="minorHAnsi" w:hAnsiTheme="minorHAnsi" w:cstheme="minorHAnsi"/>
          <w:bCs/>
          <w:spacing w:val="-2"/>
        </w:rPr>
        <w:t xml:space="preserve"> </w:t>
      </w:r>
      <w:r>
        <w:rPr>
          <w:lang w:eastAsia="cs-CZ"/>
        </w:rPr>
        <w:t>rozvahy a</w:t>
      </w:r>
      <w:r w:rsidR="00E462B8">
        <w:rPr>
          <w:lang w:eastAsia="cs-CZ"/>
        </w:rPr>
        <w:t> </w:t>
      </w:r>
      <w:r>
        <w:rPr>
          <w:lang w:eastAsia="cs-CZ"/>
        </w:rPr>
        <w:t>výkazu zisku a</w:t>
      </w:r>
      <w:r w:rsidR="007345FA">
        <w:rPr>
          <w:lang w:eastAsia="cs-CZ"/>
        </w:rPr>
        <w:t xml:space="preserve"> </w:t>
      </w:r>
      <w:r>
        <w:rPr>
          <w:lang w:eastAsia="cs-CZ"/>
        </w:rPr>
        <w:t xml:space="preserve">ztráty, </w:t>
      </w:r>
      <w:r w:rsidR="007345FA">
        <w:rPr>
          <w:lang w:eastAsia="cs-CZ"/>
        </w:rPr>
        <w:t>konkrétně na správnost</w:t>
      </w:r>
      <w:r>
        <w:rPr>
          <w:lang w:eastAsia="cs-CZ"/>
        </w:rPr>
        <w:t xml:space="preserve"> účtů odpisovaného dlouhodobého majetku, účtu 551 – </w:t>
      </w:r>
      <w:r w:rsidRPr="002E2CFA">
        <w:rPr>
          <w:i/>
          <w:iCs/>
          <w:lang w:eastAsia="cs-CZ"/>
        </w:rPr>
        <w:t>Odpisy dlouhodobého majetku</w:t>
      </w:r>
      <w:r>
        <w:rPr>
          <w:i/>
          <w:iCs/>
          <w:lang w:eastAsia="cs-CZ"/>
        </w:rPr>
        <w:t xml:space="preserve"> </w:t>
      </w:r>
      <w:r w:rsidRPr="002E2CFA">
        <w:rPr>
          <w:rFonts w:asciiTheme="minorHAnsi" w:hAnsiTheme="minorHAnsi" w:cstheme="minorHAnsi"/>
          <w:iCs/>
        </w:rPr>
        <w:t>a účtů výsledk</w:t>
      </w:r>
      <w:r w:rsidR="007345FA">
        <w:rPr>
          <w:rFonts w:asciiTheme="minorHAnsi" w:hAnsiTheme="minorHAnsi" w:cstheme="minorHAnsi"/>
          <w:iCs/>
        </w:rPr>
        <w:t>u</w:t>
      </w:r>
      <w:r w:rsidRPr="002E2CFA">
        <w:rPr>
          <w:rFonts w:asciiTheme="minorHAnsi" w:hAnsiTheme="minorHAnsi" w:cstheme="minorHAnsi"/>
          <w:iCs/>
        </w:rPr>
        <w:t xml:space="preserve"> hospodaření, a to jak v účetním období roku 2021, tak v předch</w:t>
      </w:r>
      <w:r w:rsidR="007345FA">
        <w:rPr>
          <w:rFonts w:asciiTheme="minorHAnsi" w:hAnsiTheme="minorHAnsi" w:cstheme="minorHAnsi"/>
          <w:iCs/>
        </w:rPr>
        <w:t>ozích</w:t>
      </w:r>
      <w:r w:rsidRPr="002E2CFA">
        <w:rPr>
          <w:rFonts w:asciiTheme="minorHAnsi" w:hAnsiTheme="minorHAnsi" w:cstheme="minorHAnsi"/>
          <w:iCs/>
        </w:rPr>
        <w:t xml:space="preserve"> účetních období</w:t>
      </w:r>
      <w:r w:rsidR="007345FA">
        <w:rPr>
          <w:rFonts w:asciiTheme="minorHAnsi" w:hAnsiTheme="minorHAnsi" w:cstheme="minorHAnsi"/>
          <w:iCs/>
        </w:rPr>
        <w:t>ch</w:t>
      </w:r>
      <w:r w:rsidRPr="002E2CFA">
        <w:rPr>
          <w:rFonts w:asciiTheme="minorHAnsi" w:hAnsiTheme="minorHAnsi" w:cstheme="minorHAnsi"/>
          <w:iCs/>
        </w:rPr>
        <w:t>. Z hlediska údajů vykázaných v</w:t>
      </w:r>
      <w:r>
        <w:rPr>
          <w:rFonts w:asciiTheme="minorHAnsi" w:hAnsiTheme="minorHAnsi" w:cstheme="minorHAnsi"/>
          <w:iCs/>
        </w:rPr>
        <w:t> </w:t>
      </w:r>
      <w:r w:rsidRPr="002E2CFA">
        <w:rPr>
          <w:rFonts w:asciiTheme="minorHAnsi" w:hAnsiTheme="minorHAnsi" w:cstheme="minorHAnsi"/>
          <w:iCs/>
        </w:rPr>
        <w:t>ÚZ</w:t>
      </w:r>
      <w:r>
        <w:rPr>
          <w:rFonts w:asciiTheme="minorHAnsi" w:hAnsiTheme="minorHAnsi" w:cstheme="minorHAnsi"/>
          <w:iCs/>
        </w:rPr>
        <w:t xml:space="preserve"> kontrola neprokázala</w:t>
      </w:r>
      <w:r w:rsidRPr="002E2CFA">
        <w:rPr>
          <w:rFonts w:asciiTheme="minorHAnsi" w:hAnsiTheme="minorHAnsi" w:cstheme="minorHAnsi"/>
          <w:iCs/>
        </w:rPr>
        <w:t xml:space="preserve"> </w:t>
      </w:r>
      <w:r w:rsidR="007345FA">
        <w:rPr>
          <w:rFonts w:asciiTheme="minorHAnsi" w:hAnsiTheme="minorHAnsi" w:cstheme="minorHAnsi"/>
          <w:iCs/>
        </w:rPr>
        <w:t>(</w:t>
      </w:r>
      <w:r w:rsidRPr="002E2CFA">
        <w:rPr>
          <w:rFonts w:asciiTheme="minorHAnsi" w:hAnsiTheme="minorHAnsi" w:cstheme="minorHAnsi"/>
          <w:iCs/>
        </w:rPr>
        <w:t>a</w:t>
      </w:r>
      <w:r w:rsidR="007345FA">
        <w:rPr>
          <w:rFonts w:asciiTheme="minorHAnsi" w:hAnsiTheme="minorHAnsi" w:cstheme="minorHAnsi"/>
          <w:iCs/>
        </w:rPr>
        <w:t xml:space="preserve"> </w:t>
      </w:r>
      <w:r w:rsidRPr="002E2CFA">
        <w:rPr>
          <w:rFonts w:asciiTheme="minorHAnsi" w:hAnsiTheme="minorHAnsi" w:cstheme="minorHAnsi"/>
          <w:iCs/>
        </w:rPr>
        <w:t xml:space="preserve">ani </w:t>
      </w:r>
      <w:r w:rsidR="007345FA">
        <w:rPr>
          <w:rFonts w:asciiTheme="minorHAnsi" w:hAnsiTheme="minorHAnsi" w:cstheme="minorHAnsi"/>
          <w:iCs/>
        </w:rPr>
        <w:t>nepředpokládá)</w:t>
      </w:r>
      <w:r w:rsidRPr="002E2CFA">
        <w:rPr>
          <w:rFonts w:asciiTheme="minorHAnsi" w:hAnsiTheme="minorHAnsi" w:cstheme="minorHAnsi"/>
          <w:iCs/>
        </w:rPr>
        <w:t>, že by uvedený dopad byl významný.</w:t>
      </w:r>
      <w:r w:rsidR="00FA6988">
        <w:rPr>
          <w:rFonts w:asciiTheme="minorHAnsi" w:hAnsiTheme="minorHAnsi" w:cstheme="minorHAnsi"/>
          <w:iCs/>
        </w:rPr>
        <w:t xml:space="preserve"> </w:t>
      </w:r>
    </w:p>
    <w:p w14:paraId="128CF530" w14:textId="02204DDD" w:rsidR="00C83821" w:rsidRDefault="00C83821" w:rsidP="00801AD6">
      <w:pPr>
        <w:spacing w:after="0"/>
        <w:jc w:val="both"/>
        <w:rPr>
          <w:rFonts w:asciiTheme="minorHAnsi" w:hAnsiTheme="minorHAnsi" w:cstheme="minorHAnsi"/>
          <w:iCs/>
        </w:rPr>
      </w:pPr>
      <w:r w:rsidRPr="000C4F00">
        <w:rPr>
          <w:rFonts w:cs="Calibri"/>
        </w:rPr>
        <w:t>Zjištěné nedostatky byly identifikovány na vybraných</w:t>
      </w:r>
      <w:r>
        <w:rPr>
          <w:rFonts w:cs="Calibri"/>
        </w:rPr>
        <w:t xml:space="preserve"> </w:t>
      </w:r>
      <w:r w:rsidRPr="000C4F00">
        <w:rPr>
          <w:rFonts w:cs="Calibri"/>
        </w:rPr>
        <w:t>položkách odpisovaného dlouhodobého majetku, což je nutné vzít v úvahu při následné</w:t>
      </w:r>
      <w:r>
        <w:rPr>
          <w:rFonts w:cs="Calibri"/>
        </w:rPr>
        <w:t xml:space="preserve"> realizaci </w:t>
      </w:r>
      <w:r w:rsidR="007345FA">
        <w:rPr>
          <w:rFonts w:cs="Calibri"/>
        </w:rPr>
        <w:t xml:space="preserve">nápravných </w:t>
      </w:r>
      <w:r w:rsidRPr="000C4F00">
        <w:rPr>
          <w:rFonts w:cs="Calibri"/>
        </w:rPr>
        <w:t xml:space="preserve">opatření </w:t>
      </w:r>
      <w:r>
        <w:rPr>
          <w:rFonts w:cs="Calibri"/>
        </w:rPr>
        <w:t xml:space="preserve">ze strany MV. Určité kroky k nápravě provedlo </w:t>
      </w:r>
      <w:r w:rsidR="007345FA">
        <w:rPr>
          <w:rFonts w:cs="Calibri"/>
        </w:rPr>
        <w:t xml:space="preserve">MV </w:t>
      </w:r>
      <w:r>
        <w:rPr>
          <w:rFonts w:asciiTheme="minorHAnsi" w:hAnsiTheme="minorHAnsi" w:cstheme="minorHAnsi"/>
          <w:iCs/>
        </w:rPr>
        <w:t xml:space="preserve">již během kontroly </w:t>
      </w:r>
      <w:r w:rsidR="007345FA">
        <w:rPr>
          <w:rFonts w:asciiTheme="minorHAnsi" w:hAnsiTheme="minorHAnsi" w:cstheme="minorHAnsi"/>
          <w:iCs/>
        </w:rPr>
        <w:t>– měly dopad především na</w:t>
      </w:r>
      <w:r>
        <w:rPr>
          <w:rFonts w:asciiTheme="minorHAnsi" w:hAnsiTheme="minorHAnsi" w:cstheme="minorHAnsi"/>
          <w:iCs/>
        </w:rPr>
        <w:t xml:space="preserve"> odpisov</w:t>
      </w:r>
      <w:r w:rsidR="007345FA">
        <w:rPr>
          <w:rFonts w:asciiTheme="minorHAnsi" w:hAnsiTheme="minorHAnsi" w:cstheme="minorHAnsi"/>
          <w:iCs/>
        </w:rPr>
        <w:t>ý</w:t>
      </w:r>
      <w:r>
        <w:rPr>
          <w:rFonts w:asciiTheme="minorHAnsi" w:hAnsiTheme="minorHAnsi" w:cstheme="minorHAnsi"/>
          <w:iCs/>
        </w:rPr>
        <w:t xml:space="preserve"> plán rok</w:t>
      </w:r>
      <w:r w:rsidR="007345FA">
        <w:rPr>
          <w:rFonts w:asciiTheme="minorHAnsi" w:hAnsiTheme="minorHAnsi" w:cstheme="minorHAnsi"/>
          <w:iCs/>
        </w:rPr>
        <w:t>u</w:t>
      </w:r>
      <w:r>
        <w:rPr>
          <w:rFonts w:asciiTheme="minorHAnsi" w:hAnsiTheme="minorHAnsi" w:cstheme="minorHAnsi"/>
          <w:iCs/>
        </w:rPr>
        <w:t xml:space="preserve"> 2022.</w:t>
      </w:r>
    </w:p>
    <w:p w14:paraId="44A6DE92" w14:textId="77777777" w:rsidR="00B63BBF" w:rsidRPr="00FA6988" w:rsidRDefault="00B63BBF" w:rsidP="00801AD6">
      <w:pPr>
        <w:spacing w:after="0"/>
        <w:jc w:val="both"/>
        <w:rPr>
          <w:lang w:eastAsia="cs-CZ"/>
        </w:rPr>
      </w:pPr>
    </w:p>
    <w:p w14:paraId="50B5605A" w14:textId="77777777" w:rsidR="00D2666B" w:rsidRPr="00FA3D83" w:rsidRDefault="00D2666B" w:rsidP="00D2666B">
      <w:pPr>
        <w:pStyle w:val="Nadpis2"/>
        <w:keepNext/>
        <w:numPr>
          <w:ilvl w:val="0"/>
          <w:numId w:val="0"/>
        </w:numPr>
        <w:spacing w:after="120" w:line="240" w:lineRule="auto"/>
        <w:contextualSpacing w:val="0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1</w:t>
      </w:r>
      <w:r w:rsidRPr="00A24EEB">
        <w:rPr>
          <w:rFonts w:ascii="Calibri" w:hAnsi="Calibri" w:cs="Calibri"/>
          <w:lang w:eastAsia="cs-CZ"/>
        </w:rPr>
        <w:t>.</w:t>
      </w:r>
      <w:r w:rsidR="00F55060">
        <w:rPr>
          <w:rFonts w:ascii="Calibri" w:hAnsi="Calibri" w:cs="Calibri"/>
          <w:lang w:eastAsia="cs-CZ"/>
        </w:rPr>
        <w:t>2</w:t>
      </w:r>
      <w:r w:rsidRPr="00A24EEB">
        <w:rPr>
          <w:rFonts w:ascii="Calibri" w:hAnsi="Calibri" w:cs="Calibri"/>
          <w:lang w:eastAsia="cs-CZ"/>
        </w:rPr>
        <w:t xml:space="preserve"> </w:t>
      </w:r>
      <w:r w:rsidR="005772E3">
        <w:rPr>
          <w:rFonts w:ascii="Calibri" w:hAnsi="Calibri" w:cs="Calibri"/>
          <w:lang w:eastAsia="cs-CZ"/>
        </w:rPr>
        <w:t xml:space="preserve">Údaje za </w:t>
      </w:r>
      <w:r w:rsidR="00003812">
        <w:rPr>
          <w:rFonts w:ascii="Calibri" w:hAnsi="Calibri" w:cs="Calibri"/>
          <w:lang w:eastAsia="cs-CZ"/>
        </w:rPr>
        <w:t>jinou OSS</w:t>
      </w:r>
      <w:r w:rsidR="005772E3">
        <w:rPr>
          <w:rFonts w:ascii="Calibri" w:hAnsi="Calibri" w:cs="Calibri"/>
          <w:lang w:eastAsia="cs-CZ"/>
        </w:rPr>
        <w:t xml:space="preserve"> v účetní závěrce MV</w:t>
      </w:r>
    </w:p>
    <w:p w14:paraId="593E4A50" w14:textId="474509D6" w:rsidR="00F6689F" w:rsidRPr="00864D96" w:rsidRDefault="00864D96" w:rsidP="00A24407">
      <w:pPr>
        <w:jc w:val="both"/>
        <w:rPr>
          <w:rFonts w:asciiTheme="minorHAnsi" w:hAnsiTheme="minorHAnsi" w:cstheme="minorHAnsi"/>
        </w:rPr>
      </w:pPr>
      <w:r w:rsidRPr="00864D96">
        <w:rPr>
          <w:rFonts w:asciiTheme="minorHAnsi" w:hAnsiTheme="minorHAnsi" w:cstheme="minorHAnsi"/>
        </w:rPr>
        <w:t>MV v samostatném účetním okruhu vede a v účetní závěrce vykazuje údaje, které se týkají Úřadu pro zahraniční styky a informace.</w:t>
      </w:r>
      <w:r w:rsidR="003B36C3" w:rsidRPr="00864D96">
        <w:rPr>
          <w:rFonts w:asciiTheme="minorHAnsi" w:hAnsiTheme="minorHAnsi" w:cstheme="minorHAnsi"/>
        </w:rPr>
        <w:t xml:space="preserve"> ÚZSI je dle zákona č.</w:t>
      </w:r>
      <w:r w:rsidR="009E7696" w:rsidRPr="00864D96">
        <w:rPr>
          <w:rFonts w:asciiTheme="minorHAnsi" w:hAnsiTheme="minorHAnsi" w:cstheme="minorHAnsi"/>
        </w:rPr>
        <w:t> </w:t>
      </w:r>
      <w:r w:rsidR="003B36C3" w:rsidRPr="00864D96">
        <w:rPr>
          <w:rFonts w:asciiTheme="minorHAnsi" w:hAnsiTheme="minorHAnsi" w:cstheme="minorHAnsi"/>
        </w:rPr>
        <w:t>219/2000 Sb. organizační složkou státu</w:t>
      </w:r>
      <w:r w:rsidR="0061214E" w:rsidRPr="00864D96">
        <w:rPr>
          <w:rFonts w:asciiTheme="minorHAnsi" w:hAnsiTheme="minorHAnsi" w:cstheme="minorHAnsi"/>
        </w:rPr>
        <w:t>.</w:t>
      </w:r>
    </w:p>
    <w:p w14:paraId="45B5D54D" w14:textId="677DB601" w:rsidR="00F6689F" w:rsidRDefault="00F6689F" w:rsidP="00B63BBF">
      <w:pPr>
        <w:jc w:val="both"/>
        <w:rPr>
          <w:rFonts w:asciiTheme="minorHAnsi" w:hAnsiTheme="minorHAnsi" w:cstheme="minorHAnsi"/>
        </w:rPr>
      </w:pPr>
      <w:r w:rsidRPr="00CF2E41">
        <w:rPr>
          <w:rFonts w:asciiTheme="minorHAnsi" w:hAnsiTheme="minorHAnsi" w:cstheme="minorHAnsi"/>
          <w:lang w:eastAsia="cs-CZ"/>
        </w:rPr>
        <w:t xml:space="preserve">Ekonomické vztahy mezi ÚZSI a MV jsou upraveny </w:t>
      </w:r>
      <w:r w:rsidR="000957EE">
        <w:rPr>
          <w:rFonts w:asciiTheme="minorHAnsi" w:hAnsiTheme="minorHAnsi" w:cstheme="minorHAnsi"/>
          <w:lang w:eastAsia="cs-CZ"/>
        </w:rPr>
        <w:t>vnitřním předpisem</w:t>
      </w:r>
      <w:r w:rsidR="009E7696">
        <w:rPr>
          <w:rFonts w:asciiTheme="minorHAnsi" w:hAnsiTheme="minorHAnsi" w:cstheme="minorHAnsi"/>
          <w:lang w:eastAsia="cs-CZ"/>
        </w:rPr>
        <w:t>, který byl</w:t>
      </w:r>
      <w:r w:rsidR="000957EE">
        <w:rPr>
          <w:rFonts w:asciiTheme="minorHAnsi" w:hAnsiTheme="minorHAnsi" w:cstheme="minorHAnsi"/>
          <w:lang w:eastAsia="cs-CZ"/>
        </w:rPr>
        <w:t xml:space="preserve"> vyd</w:t>
      </w:r>
      <w:r w:rsidR="009E7696">
        <w:rPr>
          <w:rFonts w:asciiTheme="minorHAnsi" w:hAnsiTheme="minorHAnsi" w:cstheme="minorHAnsi"/>
          <w:lang w:eastAsia="cs-CZ"/>
        </w:rPr>
        <w:t>á</w:t>
      </w:r>
      <w:r w:rsidR="000957EE">
        <w:rPr>
          <w:rFonts w:asciiTheme="minorHAnsi" w:hAnsiTheme="minorHAnsi" w:cstheme="minorHAnsi"/>
          <w:lang w:eastAsia="cs-CZ"/>
        </w:rPr>
        <w:t>n ministrem vnitra</w:t>
      </w:r>
      <w:r w:rsidR="009E7696">
        <w:rPr>
          <w:rFonts w:asciiTheme="minorHAnsi" w:hAnsiTheme="minorHAnsi" w:cstheme="minorHAnsi"/>
          <w:lang w:eastAsia="cs-CZ"/>
        </w:rPr>
        <w:t xml:space="preserve"> a je</w:t>
      </w:r>
      <w:r w:rsidRPr="00CF2E41">
        <w:rPr>
          <w:rFonts w:asciiTheme="minorHAnsi" w:hAnsiTheme="minorHAnsi" w:cstheme="minorHAnsi"/>
        </w:rPr>
        <w:t xml:space="preserve"> v režimu utajení. </w:t>
      </w:r>
    </w:p>
    <w:p w14:paraId="6BC4B693" w14:textId="68DD0B36" w:rsidR="0021422E" w:rsidRPr="00D14FC9" w:rsidRDefault="009E7696" w:rsidP="009976A6">
      <w:pPr>
        <w:jc w:val="both"/>
        <w:rPr>
          <w:rFonts w:asciiTheme="minorHAnsi" w:hAnsiTheme="minorHAnsi" w:cstheme="minorHAnsi"/>
          <w:b/>
        </w:rPr>
      </w:pPr>
      <w:r w:rsidRPr="005B4AEA">
        <w:rPr>
          <w:rFonts w:asciiTheme="minorHAnsi" w:hAnsiTheme="minorHAnsi" w:cstheme="minorHAnsi"/>
        </w:rPr>
        <w:t xml:space="preserve">ÚZSI </w:t>
      </w:r>
      <w:r>
        <w:rPr>
          <w:rFonts w:asciiTheme="minorHAnsi" w:hAnsiTheme="minorHAnsi" w:cstheme="minorHAnsi"/>
        </w:rPr>
        <w:t>s</w:t>
      </w:r>
      <w:r w:rsidR="00B402EB">
        <w:rPr>
          <w:rFonts w:asciiTheme="minorHAnsi" w:hAnsiTheme="minorHAnsi" w:cstheme="minorHAnsi"/>
        </w:rPr>
        <w:t xml:space="preserve"> ohledem na výše uvedené </w:t>
      </w:r>
      <w:r w:rsidR="007F239C">
        <w:rPr>
          <w:rFonts w:asciiTheme="minorHAnsi" w:hAnsiTheme="minorHAnsi" w:cstheme="minorHAnsi"/>
        </w:rPr>
        <w:t xml:space="preserve">poskytuje Ministerstvu vnitra dohodou stanovené </w:t>
      </w:r>
      <w:r w:rsidR="007F239C" w:rsidRPr="00D14FC9">
        <w:rPr>
          <w:rFonts w:asciiTheme="minorHAnsi" w:hAnsiTheme="minorHAnsi" w:cstheme="minorHAnsi"/>
          <w:b/>
        </w:rPr>
        <w:t>účetní údaje v agregované podobě</w:t>
      </w:r>
      <w:r w:rsidR="007F239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 MV tyto údaje </w:t>
      </w:r>
      <w:r w:rsidR="007F239C">
        <w:rPr>
          <w:rFonts w:asciiTheme="minorHAnsi" w:hAnsiTheme="minorHAnsi" w:cstheme="minorHAnsi"/>
        </w:rPr>
        <w:t>přen</w:t>
      </w:r>
      <w:r>
        <w:rPr>
          <w:rFonts w:asciiTheme="minorHAnsi" w:hAnsiTheme="minorHAnsi" w:cstheme="minorHAnsi"/>
        </w:rPr>
        <w:t xml:space="preserve">áší </w:t>
      </w:r>
      <w:r w:rsidR="007F239C">
        <w:rPr>
          <w:rFonts w:asciiTheme="minorHAnsi" w:hAnsiTheme="minorHAnsi" w:cstheme="minorHAnsi"/>
        </w:rPr>
        <w:t>do svého ekonomického informačního systému.</w:t>
      </w:r>
    </w:p>
    <w:p w14:paraId="749D09CE" w14:textId="4EEC47F6" w:rsidR="00706A6C" w:rsidRPr="00D14FC9" w:rsidRDefault="00003812" w:rsidP="00A24407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Souhrnné </w:t>
      </w:r>
      <w:r w:rsidR="00D10294" w:rsidRPr="00D14FC9">
        <w:rPr>
          <w:rFonts w:asciiTheme="minorHAnsi" w:hAnsiTheme="minorHAnsi" w:cstheme="minorHAnsi"/>
          <w:b/>
        </w:rPr>
        <w:t>částky</w:t>
      </w:r>
      <w:r w:rsidR="009E7696">
        <w:rPr>
          <w:rFonts w:asciiTheme="minorHAnsi" w:hAnsiTheme="minorHAnsi" w:cstheme="minorHAnsi"/>
          <w:b/>
        </w:rPr>
        <w:t>, které byly</w:t>
      </w:r>
      <w:r w:rsidR="00D10294" w:rsidRPr="00D14FC9">
        <w:rPr>
          <w:rFonts w:asciiTheme="minorHAnsi" w:hAnsiTheme="minorHAnsi" w:cstheme="minorHAnsi"/>
          <w:b/>
        </w:rPr>
        <w:t xml:space="preserve"> </w:t>
      </w:r>
      <w:r w:rsidR="009E7696" w:rsidRPr="00D14FC9">
        <w:rPr>
          <w:rFonts w:asciiTheme="minorHAnsi" w:hAnsiTheme="minorHAnsi" w:cstheme="minorHAnsi"/>
          <w:b/>
        </w:rPr>
        <w:t xml:space="preserve">v rámci tohoto účetního okruhu </w:t>
      </w:r>
      <w:r w:rsidR="00D10294" w:rsidRPr="00D14FC9">
        <w:rPr>
          <w:rFonts w:asciiTheme="minorHAnsi" w:hAnsiTheme="minorHAnsi" w:cstheme="minorHAnsi"/>
          <w:b/>
        </w:rPr>
        <w:t>vykáz</w:t>
      </w:r>
      <w:r w:rsidR="009E7696">
        <w:rPr>
          <w:rFonts w:asciiTheme="minorHAnsi" w:hAnsiTheme="minorHAnsi" w:cstheme="minorHAnsi"/>
          <w:b/>
        </w:rPr>
        <w:t>ány</w:t>
      </w:r>
      <w:r>
        <w:rPr>
          <w:rFonts w:asciiTheme="minorHAnsi" w:hAnsiTheme="minorHAnsi" w:cstheme="minorHAnsi"/>
          <w:b/>
        </w:rPr>
        <w:t xml:space="preserve"> </w:t>
      </w:r>
      <w:r w:rsidR="00D10294" w:rsidRPr="00D14FC9">
        <w:rPr>
          <w:rFonts w:asciiTheme="minorHAnsi" w:hAnsiTheme="minorHAnsi" w:cstheme="minorHAnsi"/>
          <w:b/>
        </w:rPr>
        <w:t xml:space="preserve">k 31. </w:t>
      </w:r>
      <w:r w:rsidR="009447B5" w:rsidRPr="00D14FC9">
        <w:rPr>
          <w:rFonts w:asciiTheme="minorHAnsi" w:hAnsiTheme="minorHAnsi" w:cstheme="minorHAnsi"/>
          <w:b/>
        </w:rPr>
        <w:t>prosinci</w:t>
      </w:r>
      <w:r w:rsidR="00D10294" w:rsidRPr="00D14FC9">
        <w:rPr>
          <w:rFonts w:asciiTheme="minorHAnsi" w:hAnsiTheme="minorHAnsi" w:cstheme="minorHAnsi"/>
          <w:b/>
        </w:rPr>
        <w:t xml:space="preserve"> 2021 na syntetických účtech stálých aktiv, vlastního kapitálu a nákladů</w:t>
      </w:r>
      <w:r w:rsidR="00FC1967">
        <w:rPr>
          <w:rFonts w:asciiTheme="minorHAnsi" w:hAnsiTheme="minorHAnsi" w:cstheme="minorHAnsi"/>
          <w:b/>
        </w:rPr>
        <w:t>,</w:t>
      </w:r>
      <w:r w:rsidR="00D10294" w:rsidRPr="00D14FC9">
        <w:rPr>
          <w:rFonts w:asciiTheme="minorHAnsi" w:hAnsiTheme="minorHAnsi" w:cstheme="minorHAnsi"/>
          <w:b/>
        </w:rPr>
        <w:t xml:space="preserve"> byly významné. </w:t>
      </w:r>
    </w:p>
    <w:p w14:paraId="478E0CF6" w14:textId="77777777" w:rsidR="00071E3F" w:rsidRDefault="00071E3F" w:rsidP="00071E3F">
      <w:pPr>
        <w:jc w:val="both"/>
        <w:rPr>
          <w:rFonts w:asciiTheme="minorHAnsi" w:hAnsiTheme="minorHAnsi" w:cstheme="minorHAnsi"/>
          <w:b/>
          <w:bCs/>
        </w:rPr>
      </w:pPr>
      <w:r w:rsidRPr="00187B88">
        <w:rPr>
          <w:rFonts w:asciiTheme="minorHAnsi" w:hAnsiTheme="minorHAnsi" w:cstheme="minorHAnsi"/>
          <w:b/>
          <w:bCs/>
        </w:rPr>
        <w:t>Doplňující informaci o skutečnosti, že součástí účetní závěrky MV jsou</w:t>
      </w:r>
      <w:r w:rsidR="00003812">
        <w:rPr>
          <w:rFonts w:asciiTheme="minorHAnsi" w:hAnsiTheme="minorHAnsi" w:cstheme="minorHAnsi"/>
          <w:b/>
          <w:bCs/>
        </w:rPr>
        <w:t xml:space="preserve"> i</w:t>
      </w:r>
      <w:r w:rsidRPr="00187B88">
        <w:rPr>
          <w:rFonts w:asciiTheme="minorHAnsi" w:hAnsiTheme="minorHAnsi" w:cstheme="minorHAnsi"/>
          <w:b/>
          <w:bCs/>
        </w:rPr>
        <w:t xml:space="preserve"> údaje</w:t>
      </w:r>
      <w:r w:rsidR="00003812">
        <w:rPr>
          <w:rFonts w:asciiTheme="minorHAnsi" w:hAnsiTheme="minorHAnsi" w:cstheme="minorHAnsi"/>
          <w:b/>
          <w:bCs/>
        </w:rPr>
        <w:t xml:space="preserve"> za</w:t>
      </w:r>
      <w:r w:rsidRPr="00187B88">
        <w:rPr>
          <w:rFonts w:asciiTheme="minorHAnsi" w:hAnsiTheme="minorHAnsi" w:cstheme="minorHAnsi"/>
          <w:b/>
          <w:bCs/>
        </w:rPr>
        <w:t xml:space="preserve"> ÚZSI, uvedlo MV v</w:t>
      </w:r>
      <w:r>
        <w:rPr>
          <w:rFonts w:asciiTheme="minorHAnsi" w:hAnsiTheme="minorHAnsi" w:cstheme="minorHAnsi"/>
          <w:b/>
          <w:bCs/>
        </w:rPr>
        <w:t xml:space="preserve"> příloze </w:t>
      </w:r>
      <w:r w:rsidRPr="00187B88">
        <w:rPr>
          <w:rFonts w:asciiTheme="minorHAnsi" w:hAnsiTheme="minorHAnsi" w:cstheme="minorHAnsi"/>
          <w:b/>
          <w:bCs/>
        </w:rPr>
        <w:t>účetní závěr</w:t>
      </w:r>
      <w:r>
        <w:rPr>
          <w:rFonts w:asciiTheme="minorHAnsi" w:hAnsiTheme="minorHAnsi" w:cstheme="minorHAnsi"/>
          <w:b/>
          <w:bCs/>
        </w:rPr>
        <w:t>ky</w:t>
      </w:r>
      <w:r w:rsidRPr="00187B88">
        <w:rPr>
          <w:rFonts w:asciiTheme="minorHAnsi" w:hAnsiTheme="minorHAnsi" w:cstheme="minorHAnsi"/>
          <w:b/>
          <w:bCs/>
        </w:rPr>
        <w:t xml:space="preserve"> k 31. </w:t>
      </w:r>
      <w:r w:rsidR="00244B9B">
        <w:rPr>
          <w:rFonts w:asciiTheme="minorHAnsi" w:hAnsiTheme="minorHAnsi" w:cstheme="minorHAnsi"/>
          <w:b/>
          <w:bCs/>
        </w:rPr>
        <w:t>prosinci</w:t>
      </w:r>
      <w:r w:rsidRPr="00187B88">
        <w:rPr>
          <w:rFonts w:asciiTheme="minorHAnsi" w:hAnsiTheme="minorHAnsi" w:cstheme="minorHAnsi"/>
          <w:b/>
          <w:bCs/>
        </w:rPr>
        <w:t xml:space="preserve"> 2021</w:t>
      </w:r>
      <w:r w:rsidR="00003812">
        <w:rPr>
          <w:rFonts w:asciiTheme="minorHAnsi" w:hAnsiTheme="minorHAnsi" w:cstheme="minorHAnsi"/>
          <w:b/>
          <w:bCs/>
        </w:rPr>
        <w:t xml:space="preserve"> (</w:t>
      </w:r>
      <w:r>
        <w:rPr>
          <w:rFonts w:asciiTheme="minorHAnsi" w:hAnsiTheme="minorHAnsi" w:cstheme="minorHAnsi"/>
          <w:b/>
          <w:bCs/>
        </w:rPr>
        <w:t xml:space="preserve">v části A.3. </w:t>
      </w:r>
      <w:r w:rsidRPr="00BB0912">
        <w:rPr>
          <w:rFonts w:asciiTheme="minorHAnsi" w:hAnsiTheme="minorHAnsi" w:cstheme="minorHAnsi"/>
          <w:b/>
          <w:bCs/>
          <w:i/>
          <w:iCs/>
        </w:rPr>
        <w:t xml:space="preserve">Informace podle </w:t>
      </w:r>
      <w:r w:rsidR="00BF299D">
        <w:rPr>
          <w:rFonts w:asciiTheme="minorHAnsi" w:hAnsiTheme="minorHAnsi" w:cstheme="minorHAnsi"/>
          <w:b/>
          <w:bCs/>
          <w:i/>
          <w:iCs/>
        </w:rPr>
        <w:t xml:space="preserve">ustanovení </w:t>
      </w:r>
      <w:r w:rsidRPr="00BB0912">
        <w:rPr>
          <w:rFonts w:asciiTheme="minorHAnsi" w:hAnsiTheme="minorHAnsi" w:cstheme="minorHAnsi"/>
          <w:b/>
          <w:bCs/>
          <w:i/>
          <w:iCs/>
        </w:rPr>
        <w:t>§ 7 odst. 5 zákona</w:t>
      </w:r>
      <w:r w:rsidR="00003812">
        <w:rPr>
          <w:rFonts w:asciiTheme="minorHAnsi" w:hAnsiTheme="minorHAnsi" w:cstheme="minorHAnsi"/>
          <w:b/>
          <w:bCs/>
          <w:iCs/>
        </w:rPr>
        <w:t>)</w:t>
      </w:r>
      <w:r w:rsidRPr="007A45A6">
        <w:rPr>
          <w:rFonts w:asciiTheme="minorHAnsi" w:hAnsiTheme="minorHAnsi" w:cstheme="minorHAnsi"/>
          <w:b/>
        </w:rPr>
        <w:t>.</w:t>
      </w:r>
      <w:r w:rsidRPr="00187B88">
        <w:rPr>
          <w:rFonts w:asciiTheme="minorHAnsi" w:hAnsiTheme="minorHAnsi" w:cstheme="minorHAnsi"/>
          <w:b/>
          <w:bCs/>
        </w:rPr>
        <w:t xml:space="preserve"> </w:t>
      </w:r>
    </w:p>
    <w:p w14:paraId="2F940D37" w14:textId="77777777" w:rsidR="00AA6542" w:rsidRPr="005A02C0" w:rsidRDefault="00AA6542" w:rsidP="00AA6542">
      <w:pPr>
        <w:spacing w:after="0"/>
        <w:jc w:val="both"/>
        <w:rPr>
          <w:rFonts w:cs="Calibri"/>
          <w:b/>
        </w:rPr>
      </w:pPr>
    </w:p>
    <w:p w14:paraId="5DCBB445" w14:textId="6D84CF7E" w:rsidR="00C302DE" w:rsidRPr="00FA3D83" w:rsidRDefault="00C302DE" w:rsidP="00C302DE">
      <w:pPr>
        <w:pStyle w:val="Nadpis2"/>
        <w:keepNext/>
        <w:numPr>
          <w:ilvl w:val="0"/>
          <w:numId w:val="0"/>
        </w:numPr>
        <w:spacing w:after="120" w:line="240" w:lineRule="auto"/>
        <w:contextualSpacing w:val="0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1</w:t>
      </w:r>
      <w:r w:rsidRPr="00A24EEB">
        <w:rPr>
          <w:rFonts w:ascii="Calibri" w:hAnsi="Calibri" w:cs="Calibri"/>
          <w:lang w:eastAsia="cs-CZ"/>
        </w:rPr>
        <w:t>.</w:t>
      </w:r>
      <w:r w:rsidR="007D1DFC">
        <w:rPr>
          <w:rFonts w:ascii="Calibri" w:hAnsi="Calibri" w:cs="Calibri"/>
          <w:lang w:eastAsia="cs-CZ"/>
        </w:rPr>
        <w:t>3</w:t>
      </w:r>
      <w:r w:rsidRPr="00A24EEB">
        <w:rPr>
          <w:rFonts w:ascii="Calibri" w:hAnsi="Calibri" w:cs="Calibri"/>
          <w:lang w:eastAsia="cs-CZ"/>
        </w:rPr>
        <w:t xml:space="preserve"> </w:t>
      </w:r>
      <w:r w:rsidR="007B2FBD">
        <w:rPr>
          <w:rFonts w:ascii="Calibri" w:hAnsi="Calibri" w:cs="Calibri"/>
          <w:lang w:eastAsia="cs-CZ"/>
        </w:rPr>
        <w:t>Majetek užív</w:t>
      </w:r>
      <w:r w:rsidR="002C561D">
        <w:rPr>
          <w:rFonts w:ascii="Calibri" w:hAnsi="Calibri" w:cs="Calibri"/>
          <w:lang w:eastAsia="cs-CZ"/>
        </w:rPr>
        <w:t>aný</w:t>
      </w:r>
      <w:r w:rsidR="007B2FBD">
        <w:rPr>
          <w:rFonts w:ascii="Calibri" w:hAnsi="Calibri" w:cs="Calibri"/>
          <w:lang w:eastAsia="cs-CZ"/>
        </w:rPr>
        <w:t xml:space="preserve"> MV</w:t>
      </w:r>
      <w:r w:rsidR="00894656">
        <w:rPr>
          <w:rFonts w:ascii="Calibri" w:hAnsi="Calibri" w:cs="Calibri"/>
          <w:lang w:eastAsia="cs-CZ"/>
        </w:rPr>
        <w:t xml:space="preserve"> </w:t>
      </w:r>
      <w:r w:rsidR="002C561D">
        <w:rPr>
          <w:rFonts w:ascii="Calibri" w:hAnsi="Calibri" w:cs="Calibri"/>
          <w:lang w:eastAsia="cs-CZ"/>
        </w:rPr>
        <w:t>spadající</w:t>
      </w:r>
      <w:r w:rsidR="007A45A6">
        <w:rPr>
          <w:rFonts w:ascii="Calibri" w:hAnsi="Calibri" w:cs="Calibri"/>
          <w:lang w:eastAsia="cs-CZ"/>
        </w:rPr>
        <w:t xml:space="preserve"> </w:t>
      </w:r>
      <w:r w:rsidR="002C561D">
        <w:rPr>
          <w:rFonts w:ascii="Calibri" w:hAnsi="Calibri" w:cs="Calibri"/>
          <w:lang w:eastAsia="cs-CZ"/>
        </w:rPr>
        <w:t>do</w:t>
      </w:r>
      <w:r w:rsidR="00894656">
        <w:rPr>
          <w:rFonts w:ascii="Calibri" w:hAnsi="Calibri" w:cs="Calibri"/>
          <w:lang w:eastAsia="cs-CZ"/>
        </w:rPr>
        <w:t xml:space="preserve"> příslušnost</w:t>
      </w:r>
      <w:r w:rsidR="002C561D">
        <w:rPr>
          <w:rFonts w:ascii="Calibri" w:hAnsi="Calibri" w:cs="Calibri"/>
          <w:lang w:eastAsia="cs-CZ"/>
        </w:rPr>
        <w:t>i</w:t>
      </w:r>
      <w:r w:rsidR="00894656">
        <w:rPr>
          <w:rFonts w:ascii="Calibri" w:hAnsi="Calibri" w:cs="Calibri"/>
          <w:lang w:eastAsia="cs-CZ"/>
        </w:rPr>
        <w:t xml:space="preserve"> hospodař</w:t>
      </w:r>
      <w:r w:rsidR="00D123A9">
        <w:rPr>
          <w:rFonts w:ascii="Calibri" w:hAnsi="Calibri" w:cs="Calibri"/>
          <w:lang w:eastAsia="cs-CZ"/>
        </w:rPr>
        <w:t>it</w:t>
      </w:r>
      <w:r w:rsidR="002C561D">
        <w:rPr>
          <w:rFonts w:ascii="Calibri" w:hAnsi="Calibri" w:cs="Calibri"/>
          <w:lang w:eastAsia="cs-CZ"/>
        </w:rPr>
        <w:t xml:space="preserve"> </w:t>
      </w:r>
      <w:r w:rsidR="00D123A9">
        <w:rPr>
          <w:rFonts w:ascii="Calibri" w:hAnsi="Calibri" w:cs="Calibri"/>
          <w:lang w:eastAsia="cs-CZ"/>
        </w:rPr>
        <w:t>jeho PO</w:t>
      </w:r>
    </w:p>
    <w:p w14:paraId="6ACFAB3B" w14:textId="523C2B9C" w:rsidR="005A02C0" w:rsidRPr="00D14FC9" w:rsidRDefault="009447B5" w:rsidP="00D43CEF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 xml:space="preserve">MV neúčtuje o majetku, který </w:t>
      </w:r>
      <w:r w:rsidR="00E63173">
        <w:rPr>
          <w:rFonts w:asciiTheme="minorHAnsi" w:hAnsiTheme="minorHAnsi" w:cstheme="minorHAnsi"/>
          <w:bCs/>
        </w:rPr>
        <w:t xml:space="preserve">užívá </w:t>
      </w:r>
      <w:r w:rsidR="007C1D86">
        <w:rPr>
          <w:rFonts w:asciiTheme="minorHAnsi" w:hAnsiTheme="minorHAnsi" w:cstheme="minorHAnsi"/>
          <w:bCs/>
        </w:rPr>
        <w:t>na základě smluv upravujících</w:t>
      </w:r>
      <w:r>
        <w:rPr>
          <w:rFonts w:asciiTheme="minorHAnsi" w:hAnsiTheme="minorHAnsi" w:cstheme="minorHAnsi"/>
          <w:bCs/>
        </w:rPr>
        <w:t xml:space="preserve"> </w:t>
      </w:r>
      <w:r w:rsidR="007C1D86">
        <w:rPr>
          <w:rFonts w:asciiTheme="minorHAnsi" w:hAnsiTheme="minorHAnsi" w:cstheme="minorHAnsi"/>
          <w:bCs/>
        </w:rPr>
        <w:t>užívání</w:t>
      </w:r>
      <w:r>
        <w:rPr>
          <w:rFonts w:asciiTheme="minorHAnsi" w:hAnsiTheme="minorHAnsi" w:cstheme="minorHAnsi"/>
          <w:bCs/>
        </w:rPr>
        <w:t xml:space="preserve"> </w:t>
      </w:r>
      <w:r w:rsidR="005A02C0">
        <w:rPr>
          <w:rFonts w:asciiTheme="minorHAnsi" w:hAnsiTheme="minorHAnsi" w:cstheme="minorHAnsi"/>
          <w:bCs/>
        </w:rPr>
        <w:t>tohoto</w:t>
      </w:r>
      <w:r w:rsidR="007C1D86">
        <w:rPr>
          <w:rFonts w:asciiTheme="minorHAnsi" w:hAnsiTheme="minorHAnsi" w:cstheme="minorHAnsi"/>
          <w:bCs/>
        </w:rPr>
        <w:t xml:space="preserve"> movitého </w:t>
      </w:r>
      <w:r w:rsidR="00883298">
        <w:rPr>
          <w:rFonts w:asciiTheme="minorHAnsi" w:hAnsiTheme="minorHAnsi" w:cstheme="minorHAnsi"/>
          <w:bCs/>
        </w:rPr>
        <w:br/>
      </w:r>
      <w:r w:rsidR="007C1D86">
        <w:rPr>
          <w:rFonts w:asciiTheme="minorHAnsi" w:hAnsiTheme="minorHAnsi" w:cstheme="minorHAnsi"/>
          <w:bCs/>
        </w:rPr>
        <w:t>a</w:t>
      </w:r>
      <w:r w:rsidR="00883298">
        <w:rPr>
          <w:rFonts w:asciiTheme="minorHAnsi" w:hAnsiTheme="minorHAnsi" w:cstheme="minorHAnsi"/>
          <w:bCs/>
        </w:rPr>
        <w:t xml:space="preserve"> </w:t>
      </w:r>
      <w:r w:rsidR="007C1D86">
        <w:rPr>
          <w:rFonts w:asciiTheme="minorHAnsi" w:hAnsiTheme="minorHAnsi" w:cstheme="minorHAnsi"/>
          <w:bCs/>
        </w:rPr>
        <w:t xml:space="preserve">nemovitého majetku, </w:t>
      </w:r>
      <w:r>
        <w:rPr>
          <w:rFonts w:asciiTheme="minorHAnsi" w:hAnsiTheme="minorHAnsi" w:cstheme="minorHAnsi"/>
          <w:bCs/>
        </w:rPr>
        <w:t>neboť</w:t>
      </w:r>
      <w:r w:rsidR="00E63173">
        <w:rPr>
          <w:rFonts w:asciiTheme="minorHAnsi" w:hAnsiTheme="minorHAnsi" w:cstheme="minorHAnsi"/>
          <w:bCs/>
        </w:rPr>
        <w:t xml:space="preserve"> </w:t>
      </w:r>
      <w:r w:rsidR="00E63173" w:rsidRPr="003A1F21">
        <w:rPr>
          <w:rFonts w:asciiTheme="minorHAnsi" w:hAnsiTheme="minorHAnsi" w:cstheme="minorHAnsi"/>
          <w:bCs/>
        </w:rPr>
        <w:t>příslušnost</w:t>
      </w:r>
      <w:r w:rsidR="00E63173">
        <w:rPr>
          <w:rFonts w:asciiTheme="minorHAnsi" w:hAnsiTheme="minorHAnsi" w:cstheme="minorHAnsi"/>
          <w:bCs/>
        </w:rPr>
        <w:t xml:space="preserve"> hospodařit</w:t>
      </w:r>
      <w:r w:rsidR="00F60919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s ním má jeho </w:t>
      </w:r>
      <w:r w:rsidR="00E63173">
        <w:rPr>
          <w:rFonts w:asciiTheme="minorHAnsi" w:hAnsiTheme="minorHAnsi" w:cstheme="minorHAnsi"/>
          <w:bCs/>
        </w:rPr>
        <w:t>PO.</w:t>
      </w:r>
      <w:r w:rsidR="005A02C0">
        <w:rPr>
          <w:rFonts w:asciiTheme="minorHAnsi" w:hAnsiTheme="minorHAnsi" w:cstheme="minorHAnsi"/>
          <w:bCs/>
        </w:rPr>
        <w:t xml:space="preserve"> </w:t>
      </w:r>
      <w:r w:rsidR="00C210D1">
        <w:rPr>
          <w:rFonts w:asciiTheme="minorHAnsi" w:hAnsiTheme="minorHAnsi" w:cstheme="minorHAnsi"/>
          <w:bCs/>
        </w:rPr>
        <w:t>V roce 2007 MV převedlo činnost svého odboru ekonomického zabezpečení na svo</w:t>
      </w:r>
      <w:r w:rsidR="004E326B">
        <w:rPr>
          <w:rFonts w:asciiTheme="minorHAnsi" w:hAnsiTheme="minorHAnsi" w:cstheme="minorHAnsi"/>
          <w:bCs/>
        </w:rPr>
        <w:t>u</w:t>
      </w:r>
      <w:r w:rsidR="00A06092">
        <w:rPr>
          <w:rFonts w:asciiTheme="minorHAnsi" w:hAnsiTheme="minorHAnsi" w:cstheme="minorHAnsi"/>
          <w:bCs/>
        </w:rPr>
        <w:t xml:space="preserve"> již</w:t>
      </w:r>
      <w:r w:rsidR="00C210D1">
        <w:rPr>
          <w:rFonts w:asciiTheme="minorHAnsi" w:hAnsiTheme="minorHAnsi" w:cstheme="minorHAnsi"/>
          <w:bCs/>
        </w:rPr>
        <w:t xml:space="preserve"> existující PO</w:t>
      </w:r>
      <w:r w:rsidR="005C061D">
        <w:rPr>
          <w:rFonts w:asciiTheme="minorHAnsi" w:hAnsiTheme="minorHAnsi" w:cstheme="minorHAnsi"/>
          <w:bCs/>
        </w:rPr>
        <w:t>,</w:t>
      </w:r>
      <w:r w:rsidR="00C210D1">
        <w:rPr>
          <w:rFonts w:asciiTheme="minorHAnsi" w:hAnsiTheme="minorHAnsi" w:cstheme="minorHAnsi"/>
          <w:bCs/>
        </w:rPr>
        <w:t xml:space="preserve"> a to doplněním její zřizovací listiny o tento předmět činnosti. V souvislosti s tím převedlo </w:t>
      </w:r>
      <w:r w:rsidR="00A06092">
        <w:rPr>
          <w:rFonts w:asciiTheme="minorHAnsi" w:hAnsiTheme="minorHAnsi" w:cstheme="minorHAnsi"/>
          <w:bCs/>
        </w:rPr>
        <w:t xml:space="preserve">MV </w:t>
      </w:r>
      <w:r w:rsidR="00C210D1">
        <w:rPr>
          <w:rFonts w:asciiTheme="minorHAnsi" w:hAnsiTheme="minorHAnsi" w:cstheme="minorHAnsi"/>
          <w:bCs/>
        </w:rPr>
        <w:t xml:space="preserve">prostřednictvím zřizovací listiny </w:t>
      </w:r>
      <w:r w:rsidR="00A06092">
        <w:rPr>
          <w:rFonts w:asciiTheme="minorHAnsi" w:hAnsiTheme="minorHAnsi" w:cstheme="minorHAnsi"/>
          <w:bCs/>
        </w:rPr>
        <w:t xml:space="preserve">také </w:t>
      </w:r>
      <w:r w:rsidR="00C210D1">
        <w:rPr>
          <w:rFonts w:asciiTheme="minorHAnsi" w:hAnsiTheme="minorHAnsi" w:cstheme="minorHAnsi"/>
          <w:bCs/>
        </w:rPr>
        <w:t xml:space="preserve">příslušnost hospodařit s dalším majetkem, který byl v užívání MV. </w:t>
      </w:r>
      <w:r w:rsidR="002807DA" w:rsidRPr="00D14FC9">
        <w:rPr>
          <w:rFonts w:asciiTheme="minorHAnsi" w:hAnsiTheme="minorHAnsi" w:cstheme="minorHAnsi"/>
          <w:b/>
          <w:bCs/>
        </w:rPr>
        <w:t xml:space="preserve">MV </w:t>
      </w:r>
      <w:r w:rsidR="005A02C0" w:rsidRPr="00D14FC9">
        <w:rPr>
          <w:rFonts w:asciiTheme="minorHAnsi" w:hAnsiTheme="minorHAnsi" w:cstheme="minorHAnsi"/>
          <w:b/>
          <w:bCs/>
        </w:rPr>
        <w:t xml:space="preserve">následně uzavřelo </w:t>
      </w:r>
      <w:r w:rsidR="009C3CD0">
        <w:rPr>
          <w:rFonts w:asciiTheme="minorHAnsi" w:hAnsiTheme="minorHAnsi" w:cstheme="minorHAnsi"/>
          <w:b/>
          <w:bCs/>
        </w:rPr>
        <w:t xml:space="preserve">s PO </w:t>
      </w:r>
      <w:r w:rsidR="005A02C0" w:rsidRPr="00D14FC9">
        <w:rPr>
          <w:rFonts w:asciiTheme="minorHAnsi" w:hAnsiTheme="minorHAnsi" w:cstheme="minorHAnsi"/>
          <w:b/>
          <w:bCs/>
        </w:rPr>
        <w:t>smlouv</w:t>
      </w:r>
      <w:r w:rsidR="00BB725E">
        <w:rPr>
          <w:rFonts w:asciiTheme="minorHAnsi" w:hAnsiTheme="minorHAnsi" w:cstheme="minorHAnsi"/>
          <w:b/>
          <w:bCs/>
        </w:rPr>
        <w:t>y</w:t>
      </w:r>
      <w:r w:rsidR="005A02C0" w:rsidRPr="00D14FC9">
        <w:rPr>
          <w:rFonts w:asciiTheme="minorHAnsi" w:hAnsiTheme="minorHAnsi" w:cstheme="minorHAnsi"/>
          <w:b/>
          <w:bCs/>
        </w:rPr>
        <w:t xml:space="preserve"> o užívání tohoto majetku</w:t>
      </w:r>
      <w:r w:rsidR="002807DA" w:rsidRPr="00D14FC9">
        <w:rPr>
          <w:rFonts w:asciiTheme="minorHAnsi" w:hAnsiTheme="minorHAnsi" w:cstheme="minorHAnsi"/>
          <w:b/>
          <w:bCs/>
        </w:rPr>
        <w:t xml:space="preserve"> v</w:t>
      </w:r>
      <w:r w:rsidR="009C3CD0">
        <w:rPr>
          <w:rFonts w:asciiTheme="minorHAnsi" w:hAnsiTheme="minorHAnsi" w:cstheme="minorHAnsi"/>
          <w:b/>
          <w:bCs/>
        </w:rPr>
        <w:t xml:space="preserve"> rámci </w:t>
      </w:r>
      <w:r w:rsidR="002807DA" w:rsidRPr="00D14FC9">
        <w:rPr>
          <w:rFonts w:asciiTheme="minorHAnsi" w:hAnsiTheme="minorHAnsi" w:cstheme="minorHAnsi"/>
          <w:b/>
          <w:bCs/>
        </w:rPr>
        <w:t>činnosti MV.</w:t>
      </w:r>
      <w:r w:rsidR="005A02C0" w:rsidRPr="00D14FC9">
        <w:rPr>
          <w:rFonts w:asciiTheme="minorHAnsi" w:hAnsiTheme="minorHAnsi" w:cstheme="minorHAnsi"/>
          <w:b/>
          <w:bCs/>
        </w:rPr>
        <w:t xml:space="preserve"> </w:t>
      </w:r>
    </w:p>
    <w:p w14:paraId="3BE8F36A" w14:textId="77777777" w:rsidR="002807DA" w:rsidRPr="00D14FC9" w:rsidRDefault="002807DA" w:rsidP="00D43CEF">
      <w:pPr>
        <w:jc w:val="both"/>
        <w:rPr>
          <w:rFonts w:asciiTheme="minorHAnsi" w:hAnsiTheme="minorHAnsi" w:cstheme="minorHAnsi"/>
          <w:b/>
          <w:bCs/>
        </w:rPr>
      </w:pPr>
      <w:r w:rsidRPr="00D14FC9">
        <w:rPr>
          <w:rFonts w:asciiTheme="minorHAnsi" w:hAnsiTheme="minorHAnsi" w:cstheme="minorHAnsi"/>
          <w:b/>
          <w:bCs/>
        </w:rPr>
        <w:t>Jedná se mj. o budovy, v nichž MV sídlí</w:t>
      </w:r>
      <w:r w:rsidR="00F60919">
        <w:rPr>
          <w:rFonts w:asciiTheme="minorHAnsi" w:hAnsiTheme="minorHAnsi" w:cstheme="minorHAnsi"/>
          <w:b/>
          <w:bCs/>
        </w:rPr>
        <w:t>,</w:t>
      </w:r>
      <w:r w:rsidRPr="00D14FC9">
        <w:rPr>
          <w:rFonts w:asciiTheme="minorHAnsi" w:hAnsiTheme="minorHAnsi" w:cstheme="minorHAnsi"/>
          <w:b/>
          <w:bCs/>
        </w:rPr>
        <w:t xml:space="preserve"> a movitý majetek typu kancelářského vybavení umístěný v těchto budovách.</w:t>
      </w:r>
    </w:p>
    <w:p w14:paraId="72CF0272" w14:textId="77777777" w:rsidR="005A02C0" w:rsidRDefault="00E63173" w:rsidP="00D43CEF">
      <w:pPr>
        <w:jc w:val="both"/>
        <w:rPr>
          <w:rFonts w:asciiTheme="minorHAnsi" w:hAnsiTheme="minorHAnsi" w:cstheme="minorHAnsi"/>
          <w:bCs/>
        </w:rPr>
      </w:pPr>
      <w:r w:rsidRPr="002255A2">
        <w:rPr>
          <w:rFonts w:asciiTheme="minorHAnsi" w:hAnsiTheme="minorHAnsi" w:cstheme="minorHAnsi"/>
          <w:bCs/>
        </w:rPr>
        <w:t>MV je v tomto ohledu v určitém</w:t>
      </w:r>
      <w:r w:rsidRPr="00A235EA">
        <w:rPr>
          <w:rFonts w:asciiTheme="minorHAnsi" w:hAnsiTheme="minorHAnsi" w:cstheme="minorHAnsi"/>
          <w:bCs/>
        </w:rPr>
        <w:t xml:space="preserve"> specifickém postavení v porovnání s</w:t>
      </w:r>
      <w:r>
        <w:rPr>
          <w:rFonts w:asciiTheme="minorHAnsi" w:hAnsiTheme="minorHAnsi" w:cstheme="minorHAnsi"/>
          <w:bCs/>
        </w:rPr>
        <w:t> </w:t>
      </w:r>
      <w:r w:rsidRPr="00A235EA">
        <w:rPr>
          <w:rFonts w:asciiTheme="minorHAnsi" w:hAnsiTheme="minorHAnsi" w:cstheme="minorHAnsi"/>
          <w:bCs/>
        </w:rPr>
        <w:t>jinými ústředními orgány státní správy</w:t>
      </w:r>
      <w:r>
        <w:rPr>
          <w:rFonts w:asciiTheme="minorHAnsi" w:hAnsiTheme="minorHAnsi" w:cstheme="minorHAnsi"/>
          <w:bCs/>
        </w:rPr>
        <w:t xml:space="preserve">, u kterých obvykle nebývá </w:t>
      </w:r>
      <w:r w:rsidR="002807DA">
        <w:rPr>
          <w:rFonts w:asciiTheme="minorHAnsi" w:hAnsiTheme="minorHAnsi" w:cstheme="minorHAnsi"/>
          <w:bCs/>
        </w:rPr>
        <w:t>v tomto rozsahu</w:t>
      </w:r>
      <w:r>
        <w:rPr>
          <w:rFonts w:asciiTheme="minorHAnsi" w:hAnsiTheme="minorHAnsi" w:cstheme="minorHAnsi"/>
          <w:bCs/>
        </w:rPr>
        <w:t xml:space="preserve"> odděleno právo užívání takového majetku státu od příslušnosti s ním hospodařit.</w:t>
      </w:r>
      <w:r w:rsidR="007C1D86">
        <w:rPr>
          <w:rFonts w:asciiTheme="minorHAnsi" w:hAnsiTheme="minorHAnsi" w:cstheme="minorHAnsi"/>
          <w:bCs/>
        </w:rPr>
        <w:t xml:space="preserve"> </w:t>
      </w:r>
    </w:p>
    <w:p w14:paraId="0A9DC08F" w14:textId="77777777" w:rsidR="00C302DE" w:rsidRDefault="007C1D86" w:rsidP="00D43CE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eastAsiaTheme="minorHAnsi" w:hAnsiTheme="minorHAnsi" w:cstheme="minorHAnsi"/>
          <w:b/>
          <w:bCs/>
        </w:rPr>
        <w:lastRenderedPageBreak/>
        <w:t xml:space="preserve">Celková </w:t>
      </w:r>
      <w:r w:rsidR="007D1DFC">
        <w:rPr>
          <w:rFonts w:asciiTheme="minorHAnsi" w:eastAsiaTheme="minorHAnsi" w:hAnsiTheme="minorHAnsi" w:cstheme="minorHAnsi"/>
          <w:b/>
          <w:bCs/>
        </w:rPr>
        <w:t>historická pořizovací cena</w:t>
      </w:r>
      <w:r>
        <w:rPr>
          <w:rFonts w:asciiTheme="minorHAnsi" w:eastAsiaTheme="minorHAnsi" w:hAnsiTheme="minorHAnsi" w:cstheme="minorHAnsi"/>
          <w:b/>
          <w:bCs/>
        </w:rPr>
        <w:t xml:space="preserve"> užívaného nemovitého majetku ke dni uzavření předmětných smluv byla 1,15 mld. Kč. </w:t>
      </w:r>
      <w:r w:rsidRPr="008C74BF">
        <w:rPr>
          <w:rFonts w:asciiTheme="minorHAnsi" w:eastAsiaTheme="minorHAnsi" w:hAnsiTheme="minorHAnsi" w:cstheme="minorHAnsi"/>
          <w:b/>
          <w:bCs/>
        </w:rPr>
        <w:t>V</w:t>
      </w:r>
      <w:r>
        <w:rPr>
          <w:rFonts w:asciiTheme="minorHAnsi" w:eastAsiaTheme="minorHAnsi" w:hAnsiTheme="minorHAnsi" w:cstheme="minorHAnsi"/>
          <w:b/>
          <w:bCs/>
        </w:rPr>
        <w:t> </w:t>
      </w:r>
      <w:r w:rsidRPr="008C74BF">
        <w:rPr>
          <w:rFonts w:asciiTheme="minorHAnsi" w:eastAsiaTheme="minorHAnsi" w:hAnsiTheme="minorHAnsi" w:cstheme="minorHAnsi"/>
          <w:b/>
          <w:bCs/>
        </w:rPr>
        <w:t>případě</w:t>
      </w:r>
      <w:r>
        <w:rPr>
          <w:rFonts w:asciiTheme="minorHAnsi" w:eastAsiaTheme="minorHAnsi" w:hAnsiTheme="minorHAnsi" w:cstheme="minorHAnsi"/>
          <w:b/>
          <w:bCs/>
        </w:rPr>
        <w:t xml:space="preserve"> užívaného movitého majetku lze</w:t>
      </w:r>
      <w:r w:rsidR="009447B5">
        <w:rPr>
          <w:rFonts w:asciiTheme="minorHAnsi" w:eastAsiaTheme="minorHAnsi" w:hAnsiTheme="minorHAnsi" w:cstheme="minorHAnsi"/>
          <w:b/>
          <w:bCs/>
        </w:rPr>
        <w:t xml:space="preserve"> z předávacích podkladů</w:t>
      </w:r>
      <w:r>
        <w:rPr>
          <w:rFonts w:asciiTheme="minorHAnsi" w:eastAsiaTheme="minorHAnsi" w:hAnsiTheme="minorHAnsi" w:cstheme="minorHAnsi"/>
          <w:b/>
          <w:bCs/>
        </w:rPr>
        <w:t xml:space="preserve"> usuzovat, že se jeho celková </w:t>
      </w:r>
      <w:r w:rsidR="007D1DFC">
        <w:rPr>
          <w:rFonts w:asciiTheme="minorHAnsi" w:eastAsiaTheme="minorHAnsi" w:hAnsiTheme="minorHAnsi" w:cstheme="minorHAnsi"/>
          <w:b/>
          <w:bCs/>
        </w:rPr>
        <w:t>historická pořizovací cena</w:t>
      </w:r>
      <w:r>
        <w:rPr>
          <w:rFonts w:asciiTheme="minorHAnsi" w:eastAsiaTheme="minorHAnsi" w:hAnsiTheme="minorHAnsi" w:cstheme="minorHAnsi"/>
          <w:b/>
          <w:bCs/>
        </w:rPr>
        <w:t xml:space="preserve"> </w:t>
      </w:r>
      <w:r w:rsidRPr="008C74BF">
        <w:rPr>
          <w:rFonts w:asciiTheme="minorHAnsi" w:eastAsiaTheme="minorHAnsi" w:hAnsiTheme="minorHAnsi" w:cstheme="minorHAnsi"/>
          <w:b/>
          <w:bCs/>
        </w:rPr>
        <w:t>pohyb</w:t>
      </w:r>
      <w:r>
        <w:rPr>
          <w:rFonts w:asciiTheme="minorHAnsi" w:eastAsiaTheme="minorHAnsi" w:hAnsiTheme="minorHAnsi" w:cstheme="minorHAnsi"/>
          <w:b/>
          <w:bCs/>
        </w:rPr>
        <w:t>uje</w:t>
      </w:r>
      <w:r w:rsidRPr="008C74BF">
        <w:rPr>
          <w:rFonts w:asciiTheme="minorHAnsi" w:eastAsiaTheme="minorHAnsi" w:hAnsiTheme="minorHAnsi" w:cstheme="minorHAnsi"/>
          <w:b/>
          <w:bCs/>
        </w:rPr>
        <w:t xml:space="preserve"> v</w:t>
      </w:r>
      <w:r>
        <w:rPr>
          <w:rFonts w:asciiTheme="minorHAnsi" w:eastAsiaTheme="minorHAnsi" w:hAnsiTheme="minorHAnsi" w:cstheme="minorHAnsi"/>
          <w:b/>
          <w:bCs/>
        </w:rPr>
        <w:t> </w:t>
      </w:r>
      <w:r w:rsidRPr="008C74BF">
        <w:rPr>
          <w:rFonts w:asciiTheme="minorHAnsi" w:eastAsiaTheme="minorHAnsi" w:hAnsiTheme="minorHAnsi" w:cstheme="minorHAnsi"/>
          <w:b/>
          <w:bCs/>
        </w:rPr>
        <w:t>řád</w:t>
      </w:r>
      <w:r>
        <w:rPr>
          <w:rFonts w:asciiTheme="minorHAnsi" w:eastAsiaTheme="minorHAnsi" w:hAnsiTheme="minorHAnsi" w:cstheme="minorHAnsi"/>
          <w:b/>
          <w:bCs/>
        </w:rPr>
        <w:t>u desítek milionů korun</w:t>
      </w:r>
      <w:r w:rsidRPr="008C74BF">
        <w:rPr>
          <w:rFonts w:asciiTheme="minorHAnsi" w:eastAsia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</w:p>
    <w:p w14:paraId="60F0EC37" w14:textId="1917E9A7" w:rsidR="00997893" w:rsidRDefault="008B5183" w:rsidP="00C610CC">
      <w:pPr>
        <w:jc w:val="both"/>
        <w:rPr>
          <w:rFonts w:asciiTheme="minorHAnsi" w:hAnsiTheme="minorHAnsi" w:cstheme="minorHAnsi"/>
          <w:lang w:eastAsia="cs-CZ"/>
        </w:rPr>
      </w:pPr>
      <w:r w:rsidRPr="00CF630E">
        <w:rPr>
          <w:rFonts w:asciiTheme="minorHAnsi" w:hAnsiTheme="minorHAnsi" w:cstheme="minorHAnsi"/>
        </w:rPr>
        <w:t xml:space="preserve">MV </w:t>
      </w:r>
      <w:r w:rsidRPr="00CF630E">
        <w:rPr>
          <w:rFonts w:asciiTheme="minorHAnsi" w:hAnsiTheme="minorHAnsi" w:cstheme="minorHAnsi"/>
          <w:lang w:eastAsia="cs-CZ"/>
        </w:rPr>
        <w:t>o</w:t>
      </w:r>
      <w:r>
        <w:rPr>
          <w:rFonts w:asciiTheme="minorHAnsi" w:hAnsiTheme="minorHAnsi" w:cstheme="minorHAnsi"/>
          <w:lang w:eastAsia="cs-CZ"/>
        </w:rPr>
        <w:t xml:space="preserve"> uvedeném </w:t>
      </w:r>
      <w:r w:rsidRPr="00CF630E">
        <w:rPr>
          <w:rFonts w:asciiTheme="minorHAnsi" w:hAnsiTheme="minorHAnsi" w:cstheme="minorHAnsi"/>
          <w:lang w:eastAsia="cs-CZ"/>
        </w:rPr>
        <w:t>majetku, který</w:t>
      </w:r>
      <w:r>
        <w:rPr>
          <w:rFonts w:asciiTheme="minorHAnsi" w:hAnsiTheme="minorHAnsi" w:cstheme="minorHAnsi"/>
          <w:lang w:eastAsia="cs-CZ"/>
        </w:rPr>
        <w:t xml:space="preserve"> převedlo na </w:t>
      </w:r>
      <w:r w:rsidR="002255A2">
        <w:rPr>
          <w:rFonts w:asciiTheme="minorHAnsi" w:hAnsiTheme="minorHAnsi" w:cstheme="minorHAnsi"/>
          <w:lang w:eastAsia="cs-CZ"/>
        </w:rPr>
        <w:t>svou</w:t>
      </w:r>
      <w:r>
        <w:rPr>
          <w:rFonts w:asciiTheme="minorHAnsi" w:hAnsiTheme="minorHAnsi" w:cstheme="minorHAnsi"/>
          <w:lang w:eastAsia="cs-CZ"/>
        </w:rPr>
        <w:t xml:space="preserve"> PO</w:t>
      </w:r>
      <w:r w:rsidRPr="00CF630E">
        <w:rPr>
          <w:rFonts w:asciiTheme="minorHAnsi" w:hAnsiTheme="minorHAnsi" w:cstheme="minorHAnsi"/>
          <w:lang w:eastAsia="cs-CZ"/>
        </w:rPr>
        <w:t xml:space="preserve"> a který</w:t>
      </w:r>
      <w:r>
        <w:rPr>
          <w:rFonts w:asciiTheme="minorHAnsi" w:hAnsiTheme="minorHAnsi" w:cstheme="minorHAnsi"/>
          <w:lang w:eastAsia="cs-CZ"/>
        </w:rPr>
        <w:t xml:space="preserve"> zároveň </w:t>
      </w:r>
      <w:r w:rsidRPr="00CF630E">
        <w:rPr>
          <w:rFonts w:asciiTheme="minorHAnsi" w:hAnsiTheme="minorHAnsi" w:cstheme="minorHAnsi"/>
          <w:lang w:eastAsia="cs-CZ"/>
        </w:rPr>
        <w:t>užívá ke své činnosti</w:t>
      </w:r>
      <w:r>
        <w:rPr>
          <w:rFonts w:asciiTheme="minorHAnsi" w:hAnsiTheme="minorHAnsi" w:cstheme="minorHAnsi"/>
          <w:lang w:eastAsia="cs-CZ"/>
        </w:rPr>
        <w:t xml:space="preserve">, </w:t>
      </w:r>
      <w:r w:rsidR="009447B5">
        <w:rPr>
          <w:rFonts w:asciiTheme="minorHAnsi" w:hAnsiTheme="minorHAnsi" w:cstheme="minorHAnsi"/>
          <w:lang w:eastAsia="cs-CZ"/>
        </w:rPr>
        <w:t xml:space="preserve">neúčtuje </w:t>
      </w:r>
      <w:r>
        <w:rPr>
          <w:rFonts w:asciiTheme="minorHAnsi" w:hAnsiTheme="minorHAnsi" w:cstheme="minorHAnsi"/>
          <w:lang w:eastAsia="cs-CZ"/>
        </w:rPr>
        <w:t xml:space="preserve">na svých rozvahových ani podrozvahových účtech, </w:t>
      </w:r>
      <w:r w:rsidRPr="00CB2354">
        <w:rPr>
          <w:rFonts w:asciiTheme="minorHAnsi" w:hAnsiTheme="minorHAnsi" w:cstheme="minorHAnsi"/>
          <w:lang w:eastAsia="cs-CZ"/>
        </w:rPr>
        <w:t xml:space="preserve">potažmo jej </w:t>
      </w:r>
      <w:r w:rsidR="009447B5">
        <w:rPr>
          <w:rFonts w:asciiTheme="minorHAnsi" w:hAnsiTheme="minorHAnsi" w:cstheme="minorHAnsi"/>
          <w:lang w:eastAsia="cs-CZ"/>
        </w:rPr>
        <w:t xml:space="preserve">vůbec </w:t>
      </w:r>
      <w:r w:rsidRPr="00CB2354">
        <w:rPr>
          <w:rFonts w:asciiTheme="minorHAnsi" w:hAnsiTheme="minorHAnsi" w:cstheme="minorHAnsi"/>
          <w:lang w:eastAsia="cs-CZ"/>
        </w:rPr>
        <w:t>nevykazuje ve své</w:t>
      </w:r>
      <w:r>
        <w:rPr>
          <w:rFonts w:asciiTheme="minorHAnsi" w:hAnsiTheme="minorHAnsi" w:cstheme="minorHAnsi"/>
          <w:lang w:eastAsia="cs-CZ"/>
        </w:rPr>
        <w:t xml:space="preserve"> účetní závěrce</w:t>
      </w:r>
      <w:r w:rsidRPr="00CB2354">
        <w:rPr>
          <w:rFonts w:asciiTheme="minorHAnsi" w:hAnsiTheme="minorHAnsi" w:cstheme="minorHAnsi"/>
          <w:lang w:eastAsia="cs-CZ"/>
        </w:rPr>
        <w:t>.</w:t>
      </w:r>
      <w:r>
        <w:rPr>
          <w:rFonts w:asciiTheme="minorHAnsi" w:hAnsiTheme="minorHAnsi" w:cstheme="minorHAnsi"/>
          <w:lang w:eastAsia="cs-CZ"/>
        </w:rPr>
        <w:t xml:space="preserve"> N</w:t>
      </w:r>
      <w:r w:rsidRPr="00CF630E">
        <w:rPr>
          <w:rFonts w:asciiTheme="minorHAnsi" w:hAnsiTheme="minorHAnsi" w:cstheme="minorHAnsi"/>
          <w:lang w:eastAsia="cs-CZ"/>
        </w:rPr>
        <w:t>eúčtuje ani o nákladech souvisejících se správou</w:t>
      </w:r>
      <w:r w:rsidR="002807DA">
        <w:rPr>
          <w:rFonts w:asciiTheme="minorHAnsi" w:hAnsiTheme="minorHAnsi" w:cstheme="minorHAnsi"/>
          <w:lang w:eastAsia="cs-CZ"/>
        </w:rPr>
        <w:t>, opravami</w:t>
      </w:r>
      <w:r w:rsidRPr="00CF630E">
        <w:rPr>
          <w:rFonts w:asciiTheme="minorHAnsi" w:hAnsiTheme="minorHAnsi" w:cstheme="minorHAnsi"/>
          <w:lang w:eastAsia="cs-CZ"/>
        </w:rPr>
        <w:t xml:space="preserve"> a údržbou</w:t>
      </w:r>
      <w:r w:rsidR="002807DA">
        <w:rPr>
          <w:rFonts w:asciiTheme="minorHAnsi" w:hAnsiTheme="minorHAnsi" w:cstheme="minorHAnsi"/>
          <w:lang w:eastAsia="cs-CZ"/>
        </w:rPr>
        <w:t xml:space="preserve"> či </w:t>
      </w:r>
      <w:r w:rsidR="00883298">
        <w:rPr>
          <w:rFonts w:asciiTheme="minorHAnsi" w:hAnsiTheme="minorHAnsi" w:cstheme="minorHAnsi"/>
          <w:lang w:eastAsia="cs-CZ"/>
        </w:rPr>
        <w:br/>
      </w:r>
      <w:r w:rsidR="002807DA">
        <w:rPr>
          <w:rFonts w:asciiTheme="minorHAnsi" w:hAnsiTheme="minorHAnsi" w:cstheme="minorHAnsi"/>
          <w:lang w:eastAsia="cs-CZ"/>
        </w:rPr>
        <w:t>s</w:t>
      </w:r>
      <w:r w:rsidR="00883298">
        <w:rPr>
          <w:rFonts w:asciiTheme="minorHAnsi" w:hAnsiTheme="minorHAnsi" w:cstheme="minorHAnsi"/>
          <w:lang w:eastAsia="cs-CZ"/>
        </w:rPr>
        <w:t xml:space="preserve"> </w:t>
      </w:r>
      <w:r w:rsidR="002807DA">
        <w:rPr>
          <w:rFonts w:asciiTheme="minorHAnsi" w:hAnsiTheme="minorHAnsi" w:cstheme="minorHAnsi"/>
          <w:lang w:eastAsia="cs-CZ"/>
        </w:rPr>
        <w:t>technickým zhodnocením</w:t>
      </w:r>
      <w:r w:rsidRPr="00CF630E">
        <w:rPr>
          <w:rFonts w:asciiTheme="minorHAnsi" w:hAnsiTheme="minorHAnsi" w:cstheme="minorHAnsi"/>
          <w:lang w:eastAsia="cs-CZ"/>
        </w:rPr>
        <w:t xml:space="preserve"> tohoto majetku</w:t>
      </w:r>
      <w:r>
        <w:rPr>
          <w:rFonts w:asciiTheme="minorHAnsi" w:hAnsiTheme="minorHAnsi" w:cstheme="minorHAnsi"/>
          <w:lang w:eastAsia="cs-CZ"/>
        </w:rPr>
        <w:t>, neboť tyto činnosti zajišťuje a v</w:t>
      </w:r>
      <w:r w:rsidR="00883298">
        <w:rPr>
          <w:rFonts w:asciiTheme="minorHAnsi" w:hAnsiTheme="minorHAnsi" w:cstheme="minorHAnsi"/>
          <w:lang w:eastAsia="cs-CZ"/>
        </w:rPr>
        <w:t xml:space="preserve"> </w:t>
      </w:r>
      <w:r>
        <w:rPr>
          <w:rFonts w:asciiTheme="minorHAnsi" w:hAnsiTheme="minorHAnsi" w:cstheme="minorHAnsi"/>
          <w:lang w:eastAsia="cs-CZ"/>
        </w:rPr>
        <w:t>souladu s</w:t>
      </w:r>
      <w:r w:rsidR="00650215">
        <w:rPr>
          <w:rFonts w:asciiTheme="minorHAnsi" w:hAnsiTheme="minorHAnsi" w:cstheme="minorHAnsi"/>
          <w:lang w:eastAsia="cs-CZ"/>
        </w:rPr>
        <w:t> </w:t>
      </w:r>
      <w:r w:rsidR="009447B5">
        <w:rPr>
          <w:rFonts w:asciiTheme="minorHAnsi" w:hAnsiTheme="minorHAnsi" w:cstheme="minorHAnsi"/>
          <w:lang w:eastAsia="cs-CZ"/>
        </w:rPr>
        <w:t>existující právní</w:t>
      </w:r>
      <w:r>
        <w:rPr>
          <w:rFonts w:asciiTheme="minorHAnsi" w:hAnsiTheme="minorHAnsi" w:cstheme="minorHAnsi"/>
          <w:lang w:eastAsia="cs-CZ"/>
        </w:rPr>
        <w:t xml:space="preserve"> skutečností o nich </w:t>
      </w:r>
      <w:r w:rsidR="005A02C0">
        <w:rPr>
          <w:rFonts w:asciiTheme="minorHAnsi" w:hAnsiTheme="minorHAnsi" w:cstheme="minorHAnsi"/>
          <w:lang w:eastAsia="cs-CZ"/>
        </w:rPr>
        <w:t>má povinnost účtovat</w:t>
      </w:r>
      <w:r>
        <w:rPr>
          <w:rFonts w:asciiTheme="minorHAnsi" w:hAnsiTheme="minorHAnsi" w:cstheme="minorHAnsi"/>
          <w:lang w:eastAsia="cs-CZ"/>
        </w:rPr>
        <w:t xml:space="preserve"> </w:t>
      </w:r>
      <w:r w:rsidR="00D43CEF">
        <w:rPr>
          <w:rFonts w:asciiTheme="minorHAnsi" w:hAnsiTheme="minorHAnsi" w:cstheme="minorHAnsi"/>
          <w:lang w:eastAsia="cs-CZ"/>
        </w:rPr>
        <w:t>příslušná PO</w:t>
      </w:r>
      <w:r w:rsidR="0015279D">
        <w:rPr>
          <w:rFonts w:asciiTheme="minorHAnsi" w:hAnsiTheme="minorHAnsi" w:cstheme="minorHAnsi"/>
          <w:lang w:eastAsia="cs-CZ"/>
        </w:rPr>
        <w:t xml:space="preserve">, které MV poskytuje příspěvek na provoz. </w:t>
      </w:r>
    </w:p>
    <w:p w14:paraId="15A2D1A6" w14:textId="62F1CCA3" w:rsidR="005F6676" w:rsidRDefault="005F6676" w:rsidP="00E93E9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M</w:t>
      </w:r>
      <w:r w:rsidRPr="00130D6A">
        <w:rPr>
          <w:rFonts w:asciiTheme="minorHAnsi" w:eastAsiaTheme="minorHAnsi" w:hAnsiTheme="minorHAnsi" w:cstheme="minorHAnsi"/>
        </w:rPr>
        <w:t>V</w:t>
      </w:r>
      <w:r w:rsidR="002255A2"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>v</w:t>
      </w:r>
      <w:r w:rsidR="002255A2"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 xml:space="preserve">této souvislosti uvedlo v příloze </w:t>
      </w:r>
      <w:r w:rsidRPr="00130D6A">
        <w:rPr>
          <w:rFonts w:asciiTheme="minorHAnsi" w:eastAsiaTheme="minorHAnsi" w:hAnsiTheme="minorHAnsi" w:cstheme="minorHAnsi"/>
        </w:rPr>
        <w:t>ÚZ</w:t>
      </w:r>
      <w:r>
        <w:rPr>
          <w:rFonts w:asciiTheme="minorHAnsi" w:eastAsiaTheme="minorHAnsi" w:hAnsiTheme="minorHAnsi" w:cstheme="minorHAnsi"/>
        </w:rPr>
        <w:t xml:space="preserve"> </w:t>
      </w:r>
      <w:r w:rsidR="002255A2">
        <w:rPr>
          <w:rFonts w:asciiTheme="minorHAnsi" w:eastAsiaTheme="minorHAnsi" w:hAnsiTheme="minorHAnsi" w:cstheme="minorHAnsi"/>
        </w:rPr>
        <w:t>(</w:t>
      </w:r>
      <w:r>
        <w:rPr>
          <w:rFonts w:asciiTheme="minorHAnsi" w:eastAsiaTheme="minorHAnsi" w:hAnsiTheme="minorHAnsi" w:cstheme="minorHAnsi"/>
        </w:rPr>
        <w:t>v částech E.1 a E.2</w:t>
      </w:r>
      <w:r w:rsidR="002255A2">
        <w:rPr>
          <w:rFonts w:asciiTheme="minorHAnsi" w:eastAsiaTheme="minorHAnsi" w:hAnsiTheme="minorHAnsi" w:cstheme="minorHAnsi"/>
        </w:rPr>
        <w:t>)</w:t>
      </w:r>
      <w:r>
        <w:rPr>
          <w:rFonts w:asciiTheme="minorHAnsi" w:eastAsiaTheme="minorHAnsi" w:hAnsiTheme="minorHAnsi" w:cstheme="minorHAnsi"/>
        </w:rPr>
        <w:t xml:space="preserve"> doplňující </w:t>
      </w:r>
      <w:r w:rsidRPr="00130D6A">
        <w:rPr>
          <w:rFonts w:asciiTheme="minorHAnsi" w:eastAsiaTheme="minorHAnsi" w:hAnsiTheme="minorHAnsi" w:cstheme="minorHAnsi"/>
        </w:rPr>
        <w:t>informace</w:t>
      </w:r>
      <w:r w:rsidR="002255A2">
        <w:rPr>
          <w:rFonts w:asciiTheme="minorHAnsi" w:eastAsiaTheme="minorHAnsi" w:hAnsiTheme="minorHAnsi" w:cstheme="minorHAnsi"/>
        </w:rPr>
        <w:t>, ty se týkaly</w:t>
      </w:r>
      <w:r>
        <w:rPr>
          <w:rFonts w:asciiTheme="minorHAnsi" w:eastAsiaTheme="minorHAnsi" w:hAnsiTheme="minorHAnsi" w:cstheme="minorHAnsi"/>
        </w:rPr>
        <w:t xml:space="preserve"> </w:t>
      </w:r>
      <w:r w:rsidRPr="005F6676">
        <w:rPr>
          <w:rFonts w:asciiTheme="minorHAnsi" w:hAnsiTheme="minorHAnsi" w:cstheme="minorHAnsi"/>
          <w:color w:val="000000"/>
        </w:rPr>
        <w:t>polož</w:t>
      </w:r>
      <w:r w:rsidR="002255A2">
        <w:rPr>
          <w:rFonts w:asciiTheme="minorHAnsi" w:hAnsiTheme="minorHAnsi" w:cstheme="minorHAnsi"/>
          <w:color w:val="000000"/>
        </w:rPr>
        <w:t>e</w:t>
      </w:r>
      <w:r>
        <w:rPr>
          <w:rFonts w:asciiTheme="minorHAnsi" w:hAnsiTheme="minorHAnsi" w:cstheme="minorHAnsi"/>
          <w:color w:val="000000"/>
        </w:rPr>
        <w:t>k</w:t>
      </w:r>
      <w:r w:rsidR="00E93E9F">
        <w:rPr>
          <w:rFonts w:asciiTheme="minorHAnsi" w:hAnsiTheme="minorHAnsi" w:cstheme="minorHAnsi"/>
          <w:color w:val="000000"/>
        </w:rPr>
        <w:t xml:space="preserve"> rozvahy a výkazu zisku a ztráty</w:t>
      </w:r>
      <w:r w:rsidRPr="005F6676">
        <w:rPr>
          <w:rFonts w:asciiTheme="minorHAnsi" w:hAnsiTheme="minorHAnsi" w:cstheme="minorHAnsi"/>
          <w:color w:val="000000"/>
        </w:rPr>
        <w:t xml:space="preserve"> A.II.3 (</w:t>
      </w:r>
      <w:r w:rsidR="00E93E9F">
        <w:rPr>
          <w:rFonts w:asciiTheme="minorHAnsi" w:hAnsiTheme="minorHAnsi" w:cstheme="minorHAnsi"/>
          <w:color w:val="000000"/>
        </w:rPr>
        <w:t>účet</w:t>
      </w:r>
      <w:r w:rsidRPr="005F6676">
        <w:rPr>
          <w:rFonts w:asciiTheme="minorHAnsi" w:hAnsiTheme="minorHAnsi" w:cstheme="minorHAnsi"/>
          <w:color w:val="000000"/>
        </w:rPr>
        <w:t xml:space="preserve"> 021 – </w:t>
      </w:r>
      <w:r w:rsidRPr="005F6676">
        <w:rPr>
          <w:rFonts w:asciiTheme="minorHAnsi" w:hAnsiTheme="minorHAnsi" w:cstheme="minorHAnsi"/>
          <w:i/>
          <w:iCs/>
          <w:color w:val="000000"/>
        </w:rPr>
        <w:t>Stavby</w:t>
      </w:r>
      <w:r w:rsidRPr="005F6676">
        <w:rPr>
          <w:rFonts w:asciiTheme="minorHAnsi" w:hAnsiTheme="minorHAnsi" w:cstheme="minorHAnsi"/>
          <w:color w:val="000000"/>
        </w:rPr>
        <w:t>)</w:t>
      </w:r>
      <w:r w:rsidR="00E93E9F">
        <w:rPr>
          <w:rFonts w:asciiTheme="minorHAnsi" w:hAnsiTheme="minorHAnsi" w:cstheme="minorHAnsi"/>
          <w:color w:val="000000"/>
        </w:rPr>
        <w:t xml:space="preserve">, </w:t>
      </w:r>
      <w:r w:rsidRPr="00934395">
        <w:rPr>
          <w:rFonts w:asciiTheme="minorHAnsi" w:eastAsiaTheme="minorHAnsi" w:hAnsiTheme="minorHAnsi" w:cstheme="minorHAnsi"/>
        </w:rPr>
        <w:t xml:space="preserve">A.II.6 </w:t>
      </w:r>
      <w:r w:rsidR="00E93E9F">
        <w:rPr>
          <w:rFonts w:asciiTheme="minorHAnsi" w:eastAsiaTheme="minorHAnsi" w:hAnsiTheme="minorHAnsi" w:cstheme="minorHAnsi"/>
        </w:rPr>
        <w:t>(účet</w:t>
      </w:r>
      <w:r w:rsidRPr="00934395">
        <w:rPr>
          <w:rFonts w:asciiTheme="minorHAnsi" w:eastAsiaTheme="minorHAnsi" w:hAnsiTheme="minorHAnsi" w:cstheme="minorHAnsi"/>
        </w:rPr>
        <w:t xml:space="preserve"> 028</w:t>
      </w:r>
      <w:r>
        <w:rPr>
          <w:rFonts w:asciiTheme="minorHAnsi" w:eastAsiaTheme="minorHAnsi" w:hAnsiTheme="minorHAnsi" w:cstheme="minorHAnsi"/>
        </w:rPr>
        <w:t xml:space="preserve"> – </w:t>
      </w:r>
      <w:r w:rsidRPr="00B11FA8">
        <w:rPr>
          <w:rFonts w:asciiTheme="minorHAnsi" w:eastAsiaTheme="minorHAnsi" w:hAnsiTheme="minorHAnsi" w:cstheme="minorHAnsi"/>
          <w:i/>
          <w:iCs/>
        </w:rPr>
        <w:t>Drobný dlouhodobý hmotný majetek</w:t>
      </w:r>
      <w:r w:rsidRPr="00934395">
        <w:rPr>
          <w:rFonts w:asciiTheme="minorHAnsi" w:eastAsiaTheme="minorHAnsi" w:hAnsiTheme="minorHAnsi" w:cstheme="minorHAnsi"/>
        </w:rPr>
        <w:t>)</w:t>
      </w:r>
      <w:r w:rsidR="00E93E9F">
        <w:rPr>
          <w:rFonts w:asciiTheme="minorHAnsi" w:eastAsiaTheme="minorHAnsi" w:hAnsiTheme="minorHAnsi" w:cstheme="minorHAnsi"/>
        </w:rPr>
        <w:t xml:space="preserve">, </w:t>
      </w:r>
      <w:r w:rsidRPr="00E93E9F">
        <w:rPr>
          <w:rFonts w:asciiTheme="minorHAnsi" w:hAnsiTheme="minorHAnsi" w:cstheme="minorHAnsi"/>
          <w:color w:val="000000"/>
        </w:rPr>
        <w:t>A.I.2 (</w:t>
      </w:r>
      <w:r w:rsidR="00E93E9F">
        <w:rPr>
          <w:rFonts w:asciiTheme="minorHAnsi" w:hAnsiTheme="minorHAnsi" w:cstheme="minorHAnsi"/>
          <w:color w:val="000000"/>
        </w:rPr>
        <w:t>účet</w:t>
      </w:r>
      <w:r w:rsidRPr="00E93E9F">
        <w:rPr>
          <w:rFonts w:asciiTheme="minorHAnsi" w:hAnsiTheme="minorHAnsi" w:cstheme="minorHAnsi"/>
          <w:color w:val="000000"/>
        </w:rPr>
        <w:t xml:space="preserve"> 502 – </w:t>
      </w:r>
      <w:r w:rsidRPr="00E93E9F">
        <w:rPr>
          <w:rFonts w:asciiTheme="minorHAnsi" w:hAnsiTheme="minorHAnsi" w:cstheme="minorHAnsi"/>
          <w:i/>
          <w:iCs/>
          <w:color w:val="000000"/>
        </w:rPr>
        <w:t>Spotřeba energie</w:t>
      </w:r>
      <w:r w:rsidRPr="00E93E9F">
        <w:rPr>
          <w:rFonts w:asciiTheme="minorHAnsi" w:hAnsiTheme="minorHAnsi" w:cstheme="minorHAnsi"/>
          <w:color w:val="000000"/>
        </w:rPr>
        <w:t>)</w:t>
      </w:r>
      <w:r w:rsidR="00E93E9F">
        <w:rPr>
          <w:rFonts w:asciiTheme="minorHAnsi" w:hAnsiTheme="minorHAnsi" w:cstheme="minorHAnsi"/>
          <w:color w:val="000000"/>
        </w:rPr>
        <w:t xml:space="preserve"> a </w:t>
      </w:r>
      <w:r w:rsidRPr="00934395">
        <w:rPr>
          <w:rFonts w:asciiTheme="minorHAnsi" w:eastAsiaTheme="minorHAnsi" w:hAnsiTheme="minorHAnsi" w:cstheme="minorHAnsi"/>
        </w:rPr>
        <w:t>A.I.3 (</w:t>
      </w:r>
      <w:r w:rsidR="00E93E9F">
        <w:rPr>
          <w:rFonts w:asciiTheme="minorHAnsi" w:eastAsiaTheme="minorHAnsi" w:hAnsiTheme="minorHAnsi" w:cstheme="minorHAnsi"/>
        </w:rPr>
        <w:t>účet</w:t>
      </w:r>
      <w:r w:rsidRPr="00934395">
        <w:rPr>
          <w:rFonts w:asciiTheme="minorHAnsi" w:eastAsiaTheme="minorHAnsi" w:hAnsiTheme="minorHAnsi" w:cstheme="minorHAnsi"/>
        </w:rPr>
        <w:t xml:space="preserve"> 503</w:t>
      </w:r>
      <w:r>
        <w:rPr>
          <w:rFonts w:asciiTheme="minorHAnsi" w:eastAsiaTheme="minorHAnsi" w:hAnsiTheme="minorHAnsi" w:cstheme="minorHAnsi"/>
        </w:rPr>
        <w:t xml:space="preserve"> – </w:t>
      </w:r>
      <w:r w:rsidRPr="00B11FA8">
        <w:rPr>
          <w:rFonts w:asciiTheme="minorHAnsi" w:eastAsiaTheme="minorHAnsi" w:hAnsiTheme="minorHAnsi" w:cstheme="minorHAnsi"/>
          <w:i/>
          <w:iCs/>
        </w:rPr>
        <w:t>Spotřeba jiných neskladovatelných dodávek</w:t>
      </w:r>
      <w:r w:rsidRPr="00934395">
        <w:rPr>
          <w:rFonts w:asciiTheme="minorHAnsi" w:eastAsiaTheme="minorHAnsi" w:hAnsiTheme="minorHAnsi" w:cstheme="minorHAnsi"/>
        </w:rPr>
        <w:t>)</w:t>
      </w:r>
      <w:r w:rsidR="00E93E9F">
        <w:rPr>
          <w:rFonts w:asciiTheme="minorHAnsi" w:eastAsiaTheme="minorHAnsi" w:hAnsiTheme="minorHAnsi" w:cstheme="minorHAnsi"/>
        </w:rPr>
        <w:t>. Tyto informace jsou dle NKÚ relevantní pro doplnění vypovídací hodnoty účetní závěrky MV.</w:t>
      </w:r>
    </w:p>
    <w:p w14:paraId="225194B7" w14:textId="7D53FE41" w:rsidR="00E93E9F" w:rsidRDefault="00E93E9F" w:rsidP="00421551">
      <w:pPr>
        <w:pStyle w:val="Textkomente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NKÚ </w:t>
      </w:r>
      <w:r w:rsidR="00421551">
        <w:rPr>
          <w:rFonts w:asciiTheme="minorHAnsi" w:hAnsiTheme="minorHAnsi" w:cstheme="minorHAnsi"/>
          <w:b/>
          <w:sz w:val="24"/>
          <w:szCs w:val="24"/>
        </w:rPr>
        <w:t>považuje</w:t>
      </w:r>
      <w:r>
        <w:rPr>
          <w:rFonts w:asciiTheme="minorHAnsi" w:hAnsiTheme="minorHAnsi" w:cstheme="minorHAnsi"/>
          <w:b/>
          <w:sz w:val="24"/>
          <w:szCs w:val="24"/>
        </w:rPr>
        <w:t xml:space="preserve"> přístup MV k účetnímu zachycení </w:t>
      </w:r>
      <w:r w:rsidR="00154952">
        <w:rPr>
          <w:rFonts w:asciiTheme="minorHAnsi" w:hAnsiTheme="minorHAnsi" w:cstheme="minorHAnsi"/>
          <w:b/>
          <w:sz w:val="24"/>
          <w:szCs w:val="24"/>
        </w:rPr>
        <w:t>uvedené</w:t>
      </w:r>
      <w:r w:rsidR="00A65BF9">
        <w:rPr>
          <w:rFonts w:asciiTheme="minorHAnsi" w:hAnsiTheme="minorHAnsi" w:cstheme="minorHAnsi"/>
          <w:b/>
          <w:sz w:val="24"/>
          <w:szCs w:val="24"/>
        </w:rPr>
        <w:t xml:space="preserve"> oblasti</w:t>
      </w:r>
      <w:r w:rsidR="00154952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A65BF9">
        <w:rPr>
          <w:rFonts w:asciiTheme="minorHAnsi" w:hAnsiTheme="minorHAnsi" w:cstheme="minorHAnsi"/>
          <w:b/>
          <w:sz w:val="24"/>
          <w:szCs w:val="24"/>
        </w:rPr>
        <w:t xml:space="preserve">která je </w:t>
      </w:r>
      <w:r w:rsidR="003065F1">
        <w:rPr>
          <w:rFonts w:asciiTheme="minorHAnsi" w:hAnsiTheme="minorHAnsi" w:cstheme="minorHAnsi"/>
          <w:b/>
          <w:sz w:val="24"/>
          <w:szCs w:val="24"/>
        </w:rPr>
        <w:t>u</w:t>
      </w:r>
      <w:r w:rsidR="00154952">
        <w:rPr>
          <w:rFonts w:asciiTheme="minorHAnsi" w:hAnsiTheme="minorHAnsi" w:cstheme="minorHAnsi"/>
          <w:b/>
          <w:sz w:val="24"/>
          <w:szCs w:val="24"/>
        </w:rPr>
        <w:t xml:space="preserve"> MV určitým způsobem specifick</w:t>
      </w:r>
      <w:r w:rsidR="00A65BF9">
        <w:rPr>
          <w:rFonts w:asciiTheme="minorHAnsi" w:hAnsiTheme="minorHAnsi" w:cstheme="minorHAnsi"/>
          <w:b/>
          <w:sz w:val="24"/>
          <w:szCs w:val="24"/>
        </w:rPr>
        <w:t>á</w:t>
      </w:r>
      <w:r w:rsidR="00154952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421551">
        <w:rPr>
          <w:rFonts w:asciiTheme="minorHAnsi" w:hAnsiTheme="minorHAnsi" w:cstheme="minorHAnsi"/>
          <w:b/>
          <w:sz w:val="24"/>
          <w:szCs w:val="24"/>
        </w:rPr>
        <w:t xml:space="preserve">v tomto konkrétním případě </w:t>
      </w:r>
      <w:r>
        <w:rPr>
          <w:rFonts w:asciiTheme="minorHAnsi" w:hAnsiTheme="minorHAnsi" w:cstheme="minorHAnsi"/>
          <w:b/>
          <w:sz w:val="24"/>
          <w:szCs w:val="24"/>
        </w:rPr>
        <w:t>jako opodstatněný. Dle</w:t>
      </w:r>
      <w:r w:rsidR="009B148F">
        <w:rPr>
          <w:rFonts w:asciiTheme="minorHAnsi" w:hAnsiTheme="minorHAnsi" w:cstheme="minorHAnsi"/>
          <w:b/>
          <w:sz w:val="24"/>
          <w:szCs w:val="24"/>
        </w:rPr>
        <w:t xml:space="preserve"> NKÚ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55EBF">
        <w:rPr>
          <w:rFonts w:asciiTheme="minorHAnsi" w:hAnsiTheme="minorHAnsi" w:cstheme="minorHAnsi"/>
          <w:b/>
          <w:sz w:val="24"/>
          <w:szCs w:val="24"/>
        </w:rPr>
        <w:t xml:space="preserve">nevznikají </w:t>
      </w:r>
      <w:r>
        <w:rPr>
          <w:rFonts w:asciiTheme="minorHAnsi" w:hAnsiTheme="minorHAnsi" w:cstheme="minorHAnsi"/>
          <w:b/>
          <w:sz w:val="24"/>
          <w:szCs w:val="24"/>
        </w:rPr>
        <w:t>v </w:t>
      </w:r>
      <w:r w:rsidR="00421551">
        <w:rPr>
          <w:rFonts w:asciiTheme="minorHAnsi" w:hAnsiTheme="minorHAnsi" w:cstheme="minorHAnsi"/>
          <w:b/>
          <w:sz w:val="24"/>
          <w:szCs w:val="24"/>
        </w:rPr>
        <w:t>daném</w:t>
      </w:r>
      <w:r w:rsidR="00154952">
        <w:rPr>
          <w:rFonts w:asciiTheme="minorHAnsi" w:hAnsiTheme="minorHAnsi" w:cstheme="minorHAnsi"/>
          <w:b/>
          <w:sz w:val="24"/>
          <w:szCs w:val="24"/>
        </w:rPr>
        <w:t xml:space="preserve"> případě </w:t>
      </w:r>
      <w:r w:rsidR="009B148F">
        <w:rPr>
          <w:rFonts w:asciiTheme="minorHAnsi" w:hAnsiTheme="minorHAnsi" w:cstheme="minorHAnsi"/>
          <w:b/>
          <w:sz w:val="24"/>
          <w:szCs w:val="24"/>
        </w:rPr>
        <w:t xml:space="preserve">ani </w:t>
      </w:r>
      <w:r>
        <w:rPr>
          <w:rFonts w:asciiTheme="minorHAnsi" w:hAnsiTheme="minorHAnsi" w:cstheme="minorHAnsi"/>
          <w:b/>
          <w:sz w:val="24"/>
          <w:szCs w:val="24"/>
        </w:rPr>
        <w:t>skutečnosti, které by</w:t>
      </w:r>
      <w:r w:rsidR="00381D52">
        <w:rPr>
          <w:rFonts w:asciiTheme="minorHAnsi" w:hAnsiTheme="minorHAnsi" w:cstheme="minorHAnsi"/>
          <w:b/>
          <w:sz w:val="24"/>
          <w:szCs w:val="24"/>
        </w:rPr>
        <w:t xml:space="preserve"> měly být v účetnictví MV zachyceny v podobě</w:t>
      </w:r>
      <w:r>
        <w:rPr>
          <w:rFonts w:asciiTheme="minorHAnsi" w:hAnsiTheme="minorHAnsi" w:cstheme="minorHAnsi"/>
          <w:b/>
          <w:sz w:val="24"/>
          <w:szCs w:val="24"/>
        </w:rPr>
        <w:t xml:space="preserve"> podmíněných závazků</w:t>
      </w:r>
      <w:r w:rsidR="00E55EBF">
        <w:rPr>
          <w:rFonts w:asciiTheme="minorHAnsi" w:hAnsiTheme="minorHAnsi" w:cstheme="minorHAnsi"/>
          <w:b/>
          <w:sz w:val="24"/>
          <w:szCs w:val="24"/>
        </w:rPr>
        <w:t xml:space="preserve"> vůči zřízené PO</w:t>
      </w:r>
      <w:r>
        <w:rPr>
          <w:rFonts w:asciiTheme="minorHAnsi" w:hAnsiTheme="minorHAnsi" w:cstheme="minorHAnsi"/>
          <w:b/>
          <w:sz w:val="24"/>
          <w:szCs w:val="24"/>
        </w:rPr>
        <w:t>.</w:t>
      </w:r>
      <w:r w:rsidR="00421551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EC2E7EE" w14:textId="77777777" w:rsidR="00894656" w:rsidRPr="00672F55" w:rsidRDefault="00894656" w:rsidP="00AA6542">
      <w:pPr>
        <w:spacing w:after="0"/>
        <w:jc w:val="both"/>
        <w:rPr>
          <w:rFonts w:cs="Calibri"/>
        </w:rPr>
      </w:pPr>
    </w:p>
    <w:p w14:paraId="064858D3" w14:textId="77777777" w:rsidR="00211287" w:rsidRDefault="00211287" w:rsidP="00211287">
      <w:pPr>
        <w:pStyle w:val="Nadpis2"/>
        <w:keepNext/>
        <w:numPr>
          <w:ilvl w:val="0"/>
          <w:numId w:val="0"/>
        </w:numPr>
        <w:spacing w:after="120" w:line="24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Pr="009942A4">
        <w:rPr>
          <w:rFonts w:ascii="Calibri" w:hAnsi="Calibri" w:cs="Calibri"/>
        </w:rPr>
        <w:t xml:space="preserve">. </w:t>
      </w:r>
      <w:r w:rsidRPr="00C302DE">
        <w:rPr>
          <w:rFonts w:ascii="Calibri" w:hAnsi="Calibri" w:cs="Calibri"/>
        </w:rPr>
        <w:t>Účetní</w:t>
      </w:r>
      <w:r>
        <w:rPr>
          <w:rFonts w:ascii="Calibri" w:hAnsi="Calibri" w:cs="Calibri"/>
        </w:rPr>
        <w:t xml:space="preserve"> opravy realizované M</w:t>
      </w:r>
      <w:r w:rsidR="00C302DE">
        <w:rPr>
          <w:rFonts w:ascii="Calibri" w:hAnsi="Calibri" w:cs="Calibri"/>
        </w:rPr>
        <w:t>V</w:t>
      </w:r>
      <w:r>
        <w:rPr>
          <w:rFonts w:ascii="Calibri" w:hAnsi="Calibri" w:cs="Calibri"/>
        </w:rPr>
        <w:t xml:space="preserve"> v průběhu kontroly</w:t>
      </w:r>
      <w:r w:rsidR="007062A0">
        <w:rPr>
          <w:rFonts w:ascii="Calibri" w:hAnsi="Calibri" w:cs="Calibri"/>
        </w:rPr>
        <w:t>, vyhodnocení vedení účetnictví</w:t>
      </w:r>
      <w:r>
        <w:rPr>
          <w:rFonts w:ascii="Calibri" w:hAnsi="Calibri" w:cs="Calibri"/>
        </w:rPr>
        <w:t xml:space="preserve"> a</w:t>
      </w:r>
      <w:r w:rsidR="00650215">
        <w:rPr>
          <w:rFonts w:ascii="Calibri" w:hAnsi="Calibri" w:cs="Calibri"/>
        </w:rPr>
        <w:t> </w:t>
      </w:r>
      <w:r>
        <w:rPr>
          <w:rFonts w:ascii="Calibri" w:hAnsi="Calibri" w:cs="Calibri"/>
        </w:rPr>
        <w:t>spolehlivost údajů ÚZ</w:t>
      </w:r>
      <w:r w:rsidR="005451C0">
        <w:rPr>
          <w:rFonts w:ascii="Calibri" w:hAnsi="Calibri" w:cs="Calibri"/>
        </w:rPr>
        <w:t xml:space="preserve"> za KO MV</w:t>
      </w:r>
    </w:p>
    <w:p w14:paraId="20845572" w14:textId="77777777" w:rsidR="00211287" w:rsidRPr="00D40705" w:rsidRDefault="00211287" w:rsidP="00BF035D">
      <w:pPr>
        <w:ind w:left="426" w:hanging="426"/>
        <w:jc w:val="both"/>
        <w:rPr>
          <w:bCs/>
        </w:rPr>
      </w:pPr>
      <w:r>
        <w:rPr>
          <w:rFonts w:cs="Calibri"/>
          <w:b/>
          <w:bCs/>
          <w:lang w:eastAsia="cs-CZ"/>
        </w:rPr>
        <w:t xml:space="preserve">2.1 </w:t>
      </w:r>
      <w:r w:rsidRPr="00D40705">
        <w:rPr>
          <w:rFonts w:cs="Calibri"/>
          <w:b/>
          <w:bCs/>
          <w:lang w:eastAsia="cs-CZ"/>
        </w:rPr>
        <w:t xml:space="preserve">Opravy </w:t>
      </w:r>
      <w:r w:rsidR="00BF035D">
        <w:rPr>
          <w:rFonts w:cs="Calibri"/>
          <w:b/>
          <w:bCs/>
          <w:lang w:eastAsia="cs-CZ"/>
        </w:rPr>
        <w:t xml:space="preserve">chyb v účetnictví </w:t>
      </w:r>
      <w:r w:rsidR="00FB0C28">
        <w:rPr>
          <w:rFonts w:cs="Calibri"/>
          <w:b/>
          <w:bCs/>
          <w:lang w:eastAsia="cs-CZ"/>
        </w:rPr>
        <w:t>v</w:t>
      </w:r>
      <w:r w:rsidR="00BF035D">
        <w:rPr>
          <w:rFonts w:cs="Calibri"/>
          <w:b/>
          <w:bCs/>
          <w:lang w:eastAsia="cs-CZ"/>
        </w:rPr>
        <w:t> </w:t>
      </w:r>
      <w:r w:rsidR="00FB0C28">
        <w:rPr>
          <w:rFonts w:cs="Calibri"/>
          <w:b/>
          <w:bCs/>
          <w:lang w:eastAsia="cs-CZ"/>
        </w:rPr>
        <w:t>průběhu</w:t>
      </w:r>
      <w:r w:rsidR="00BF035D">
        <w:rPr>
          <w:rFonts w:cs="Calibri"/>
          <w:b/>
          <w:bCs/>
          <w:lang w:eastAsia="cs-CZ"/>
        </w:rPr>
        <w:t xml:space="preserve"> účetního období a po sestavení první účetní závěrky</w:t>
      </w:r>
    </w:p>
    <w:p w14:paraId="0FCEB223" w14:textId="71447C4D" w:rsidR="00211287" w:rsidRPr="0004536D" w:rsidRDefault="00211287" w:rsidP="0004536D">
      <w:pPr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theme="minorHAnsi"/>
          <w:spacing w:val="-2"/>
        </w:rPr>
        <w:t>Kontrola</w:t>
      </w:r>
      <w:r w:rsidRPr="009942A4">
        <w:rPr>
          <w:rFonts w:asciiTheme="minorHAnsi" w:hAnsiTheme="minorHAnsi" w:cstheme="minorHAnsi"/>
          <w:spacing w:val="-2"/>
        </w:rPr>
        <w:t xml:space="preserve"> byla zahájena</w:t>
      </w:r>
      <w:r w:rsidR="00634CBB">
        <w:rPr>
          <w:rFonts w:asciiTheme="minorHAnsi" w:hAnsiTheme="minorHAnsi" w:cstheme="minorHAnsi"/>
          <w:spacing w:val="-2"/>
        </w:rPr>
        <w:t xml:space="preserve"> v průběhu</w:t>
      </w:r>
      <w:r>
        <w:rPr>
          <w:rFonts w:asciiTheme="minorHAnsi" w:hAnsiTheme="minorHAnsi" w:cstheme="minorHAnsi"/>
          <w:spacing w:val="-2"/>
        </w:rPr>
        <w:t xml:space="preserve"> </w:t>
      </w:r>
      <w:r w:rsidRPr="009942A4">
        <w:rPr>
          <w:rFonts w:asciiTheme="minorHAnsi" w:hAnsiTheme="minorHAnsi" w:cstheme="minorHAnsi"/>
          <w:spacing w:val="-2"/>
        </w:rPr>
        <w:t>kontrolovaného účetního období 202</w:t>
      </w:r>
      <w:r w:rsidR="00E909E6">
        <w:rPr>
          <w:rFonts w:asciiTheme="minorHAnsi" w:hAnsiTheme="minorHAnsi" w:cstheme="minorHAnsi"/>
          <w:spacing w:val="-2"/>
        </w:rPr>
        <w:t>1</w:t>
      </w:r>
      <w:r w:rsidRPr="009942A4">
        <w:rPr>
          <w:rFonts w:asciiTheme="minorHAnsi" w:hAnsiTheme="minorHAnsi" w:cstheme="minorHAnsi"/>
          <w:spacing w:val="-2"/>
        </w:rPr>
        <w:t>, což</w:t>
      </w:r>
      <w:r>
        <w:rPr>
          <w:rFonts w:asciiTheme="minorHAnsi" w:hAnsiTheme="minorHAnsi" w:cstheme="minorHAnsi"/>
          <w:spacing w:val="-2"/>
        </w:rPr>
        <w:t xml:space="preserve"> </w:t>
      </w:r>
      <w:r w:rsidR="00AF050E">
        <w:rPr>
          <w:rFonts w:asciiTheme="minorHAnsi" w:hAnsiTheme="minorHAnsi" w:cstheme="minorHAnsi"/>
          <w:spacing w:val="-2"/>
        </w:rPr>
        <w:t>umožnilo</w:t>
      </w:r>
      <w:r>
        <w:rPr>
          <w:rFonts w:asciiTheme="minorHAnsi" w:hAnsiTheme="minorHAnsi" w:cstheme="minorHAnsi"/>
          <w:spacing w:val="-2"/>
        </w:rPr>
        <w:t xml:space="preserve"> </w:t>
      </w:r>
      <w:r w:rsidR="00E909E6">
        <w:rPr>
          <w:rFonts w:asciiTheme="minorHAnsi" w:hAnsiTheme="minorHAnsi" w:cstheme="minorHAnsi"/>
          <w:spacing w:val="-2"/>
        </w:rPr>
        <w:t xml:space="preserve">MV provést opravu v účetnictví identifikovaných nedostatků v průběhu kontroly ještě </w:t>
      </w:r>
      <w:r>
        <w:rPr>
          <w:rFonts w:asciiTheme="minorHAnsi" w:hAnsiTheme="minorHAnsi" w:cstheme="minorHAnsi"/>
          <w:spacing w:val="-2"/>
        </w:rPr>
        <w:t>před uzavřením účetního období 202</w:t>
      </w:r>
      <w:r w:rsidR="00E909E6">
        <w:rPr>
          <w:rFonts w:asciiTheme="minorHAnsi" w:hAnsiTheme="minorHAnsi" w:cstheme="minorHAnsi"/>
          <w:spacing w:val="-2"/>
        </w:rPr>
        <w:t>1</w:t>
      </w:r>
      <w:r w:rsidR="008033C3">
        <w:rPr>
          <w:rFonts w:asciiTheme="minorHAnsi" w:hAnsiTheme="minorHAnsi" w:cstheme="minorHAnsi"/>
          <w:spacing w:val="-2"/>
        </w:rPr>
        <w:t xml:space="preserve"> a sestavením účetní závěrky</w:t>
      </w:r>
      <w:r w:rsidRPr="00730759">
        <w:rPr>
          <w:rFonts w:asciiTheme="minorHAnsi" w:hAnsiTheme="minorHAnsi" w:cstheme="minorHAnsi"/>
          <w:spacing w:val="-2"/>
        </w:rPr>
        <w:t>.</w:t>
      </w:r>
      <w:r w:rsidR="008033C3">
        <w:rPr>
          <w:rFonts w:asciiTheme="minorHAnsi" w:hAnsiTheme="minorHAnsi" w:cstheme="minorHAnsi"/>
          <w:spacing w:val="-2"/>
        </w:rPr>
        <w:t xml:space="preserve"> </w:t>
      </w:r>
      <w:r w:rsidR="008033C3">
        <w:rPr>
          <w:rFonts w:asciiTheme="minorHAnsi" w:hAnsiTheme="minorHAnsi" w:cs="Calibri"/>
          <w:bCs/>
        </w:rPr>
        <w:t xml:space="preserve">MV </w:t>
      </w:r>
      <w:r w:rsidR="00176EDB">
        <w:rPr>
          <w:rFonts w:asciiTheme="minorHAnsi" w:hAnsiTheme="minorHAnsi" w:cs="Calibri"/>
          <w:bCs/>
        </w:rPr>
        <w:t xml:space="preserve">takto </w:t>
      </w:r>
      <w:r w:rsidR="008033C3">
        <w:rPr>
          <w:rFonts w:asciiTheme="minorHAnsi" w:hAnsiTheme="minorHAnsi" w:cs="Calibri"/>
          <w:bCs/>
        </w:rPr>
        <w:t xml:space="preserve">opravilo </w:t>
      </w:r>
      <w:r w:rsidR="00176EDB">
        <w:rPr>
          <w:rFonts w:asciiTheme="minorHAnsi" w:hAnsiTheme="minorHAnsi" w:cs="Calibri"/>
          <w:bCs/>
        </w:rPr>
        <w:t xml:space="preserve">většinu </w:t>
      </w:r>
      <w:r w:rsidR="00147320">
        <w:rPr>
          <w:rFonts w:asciiTheme="minorHAnsi" w:hAnsiTheme="minorHAnsi" w:cs="Calibri"/>
          <w:bCs/>
        </w:rPr>
        <w:t>zjištěných</w:t>
      </w:r>
      <w:r w:rsidR="009F469A">
        <w:rPr>
          <w:rFonts w:asciiTheme="minorHAnsi" w:hAnsiTheme="minorHAnsi" w:cs="Calibri"/>
          <w:bCs/>
        </w:rPr>
        <w:t xml:space="preserve"> </w:t>
      </w:r>
      <w:r w:rsidR="008033C3" w:rsidRPr="008033C3">
        <w:rPr>
          <w:rFonts w:asciiTheme="minorHAnsi" w:hAnsiTheme="minorHAnsi" w:cs="Calibri"/>
          <w:bCs/>
        </w:rPr>
        <w:t>nedostatk</w:t>
      </w:r>
      <w:r w:rsidR="00176EDB">
        <w:rPr>
          <w:rFonts w:asciiTheme="minorHAnsi" w:hAnsiTheme="minorHAnsi" w:cs="Calibri"/>
          <w:bCs/>
        </w:rPr>
        <w:t xml:space="preserve">ů. Provedené </w:t>
      </w:r>
      <w:r w:rsidR="009F469A">
        <w:rPr>
          <w:rFonts w:asciiTheme="minorHAnsi" w:hAnsiTheme="minorHAnsi" w:cs="Calibri"/>
          <w:bCs/>
        </w:rPr>
        <w:t xml:space="preserve">účetní </w:t>
      </w:r>
      <w:r w:rsidR="00176EDB">
        <w:rPr>
          <w:rFonts w:asciiTheme="minorHAnsi" w:hAnsiTheme="minorHAnsi" w:cs="Calibri"/>
          <w:bCs/>
        </w:rPr>
        <w:t>opravy</w:t>
      </w:r>
      <w:r w:rsidR="0004536D">
        <w:rPr>
          <w:rFonts w:asciiTheme="minorHAnsi" w:hAnsiTheme="minorHAnsi" w:cs="Calibri"/>
          <w:bCs/>
        </w:rPr>
        <w:t xml:space="preserve"> nedostatků</w:t>
      </w:r>
      <w:r w:rsidR="009F469A">
        <w:rPr>
          <w:rFonts w:asciiTheme="minorHAnsi" w:hAnsiTheme="minorHAnsi" w:cs="Calibri"/>
          <w:bCs/>
        </w:rPr>
        <w:t xml:space="preserve">, jejichž souhrnný dopad </w:t>
      </w:r>
      <w:r w:rsidR="002255A2">
        <w:rPr>
          <w:rFonts w:asciiTheme="minorHAnsi" w:hAnsiTheme="minorHAnsi" w:cs="Calibri"/>
          <w:bCs/>
        </w:rPr>
        <w:t>na</w:t>
      </w:r>
      <w:r w:rsidR="009F469A">
        <w:rPr>
          <w:rFonts w:asciiTheme="minorHAnsi" w:hAnsiTheme="minorHAnsi" w:cs="Calibri"/>
          <w:bCs/>
        </w:rPr>
        <w:t xml:space="preserve"> účetnictví MV činil 915,3 mil. Kč,</w:t>
      </w:r>
      <w:r w:rsidR="00176EDB">
        <w:rPr>
          <w:rFonts w:asciiTheme="minorHAnsi" w:hAnsiTheme="minorHAnsi" w:cs="Calibri"/>
          <w:bCs/>
        </w:rPr>
        <w:t xml:space="preserve"> </w:t>
      </w:r>
      <w:r w:rsidR="008033C3">
        <w:rPr>
          <w:rFonts w:asciiTheme="minorHAnsi" w:hAnsiTheme="minorHAnsi" w:cs="Calibri"/>
          <w:bCs/>
        </w:rPr>
        <w:t xml:space="preserve">spočívaly zejména v: </w:t>
      </w:r>
    </w:p>
    <w:p w14:paraId="07949347" w14:textId="1DE88F27" w:rsidR="002553C7" w:rsidRDefault="002553C7" w:rsidP="00101CB1">
      <w:pPr>
        <w:pStyle w:val="Odstavecseseznamem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přeúčtování dlouhodobého hmotného majetku</w:t>
      </w:r>
      <w:r w:rsidR="00A64646">
        <w:rPr>
          <w:rFonts w:asciiTheme="minorHAnsi" w:hAnsiTheme="minorHAnsi" w:cstheme="minorHAnsi"/>
          <w:spacing w:val="-2"/>
        </w:rPr>
        <w:t xml:space="preserve"> nesoucího utajovanou informaci</w:t>
      </w:r>
      <w:r>
        <w:rPr>
          <w:rFonts w:asciiTheme="minorHAnsi" w:hAnsiTheme="minorHAnsi" w:cstheme="minorHAnsi"/>
          <w:spacing w:val="-2"/>
        </w:rPr>
        <w:t xml:space="preserve"> v celkové výši 706,8 mil. Kč a obdobných případů majetku typu software v celkové výši 41,6 mil. Kč z účtů 022 </w:t>
      </w:r>
      <w:r w:rsidRPr="00DB14E2">
        <w:rPr>
          <w:rFonts w:asciiTheme="minorHAnsi" w:hAnsiTheme="minorHAnsi" w:cstheme="minorHAnsi"/>
        </w:rPr>
        <w:t xml:space="preserve">– </w:t>
      </w:r>
      <w:r w:rsidRPr="00DB14E2">
        <w:rPr>
          <w:rFonts w:asciiTheme="minorHAnsi" w:hAnsiTheme="minorHAnsi" w:cstheme="minorHAnsi"/>
          <w:i/>
          <w:iCs/>
        </w:rPr>
        <w:t>Samostatné hmotné movité věci a soubory hmotných movitých věcí</w:t>
      </w:r>
      <w:r w:rsidR="00854846">
        <w:rPr>
          <w:rFonts w:asciiTheme="minorHAnsi" w:hAnsiTheme="minorHAnsi" w:cstheme="minorHAnsi"/>
          <w:i/>
          <w:iCs/>
        </w:rPr>
        <w:t xml:space="preserve"> </w:t>
      </w:r>
      <w:r w:rsidR="00650215">
        <w:rPr>
          <w:rFonts w:asciiTheme="minorHAnsi" w:hAnsiTheme="minorHAnsi" w:cstheme="minorHAnsi"/>
          <w:i/>
          <w:iCs/>
        </w:rPr>
        <w:br/>
      </w:r>
      <w:r>
        <w:rPr>
          <w:rFonts w:asciiTheme="minorHAnsi" w:hAnsiTheme="minorHAnsi" w:cstheme="minorHAnsi"/>
        </w:rPr>
        <w:t xml:space="preserve">a </w:t>
      </w:r>
      <w:r w:rsidRPr="002F0603">
        <w:rPr>
          <w:rFonts w:asciiTheme="minorHAnsi" w:hAnsiTheme="minorHAnsi" w:cstheme="minorHAnsi"/>
        </w:rPr>
        <w:t>013</w:t>
      </w:r>
      <w:r>
        <w:rPr>
          <w:rFonts w:asciiTheme="minorHAnsi" w:hAnsiTheme="minorHAnsi" w:cstheme="minorHAnsi"/>
        </w:rPr>
        <w:t xml:space="preserve"> – </w:t>
      </w:r>
      <w:r w:rsidRPr="003F1572">
        <w:rPr>
          <w:rFonts w:asciiTheme="minorHAnsi" w:hAnsiTheme="minorHAnsi" w:cstheme="minorHAnsi"/>
          <w:i/>
          <w:iCs/>
        </w:rPr>
        <w:t>Software</w:t>
      </w:r>
      <w:r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</w:rPr>
        <w:t xml:space="preserve">na účty </w:t>
      </w:r>
      <w:r w:rsidRPr="004D727E">
        <w:rPr>
          <w:rFonts w:asciiTheme="minorHAnsi" w:hAnsiTheme="minorHAnsi" w:cstheme="minorHAnsi"/>
          <w:lang w:eastAsia="cs-CZ"/>
        </w:rPr>
        <w:t xml:space="preserve">029 – </w:t>
      </w:r>
      <w:r w:rsidRPr="004D727E">
        <w:rPr>
          <w:rFonts w:asciiTheme="minorHAnsi" w:hAnsiTheme="minorHAnsi" w:cstheme="minorHAnsi"/>
          <w:i/>
          <w:lang w:eastAsia="cs-CZ"/>
        </w:rPr>
        <w:t>Ostatní dlouhodobý hmotný majetek</w:t>
      </w:r>
      <w:r>
        <w:rPr>
          <w:rFonts w:asciiTheme="minorHAnsi" w:hAnsiTheme="minorHAnsi" w:cstheme="minorHAnsi"/>
          <w:i/>
          <w:lang w:eastAsia="cs-CZ"/>
        </w:rPr>
        <w:t xml:space="preserve"> </w:t>
      </w:r>
      <w:r w:rsidRPr="002553C7">
        <w:rPr>
          <w:rFonts w:asciiTheme="minorHAnsi" w:hAnsiTheme="minorHAnsi" w:cstheme="minorHAnsi"/>
          <w:iCs/>
          <w:lang w:eastAsia="cs-CZ"/>
        </w:rPr>
        <w:t>a</w:t>
      </w:r>
      <w:r>
        <w:rPr>
          <w:rFonts w:asciiTheme="minorHAnsi" w:hAnsiTheme="minorHAnsi" w:cstheme="minorHAnsi"/>
          <w:i/>
          <w:lang w:eastAsia="cs-CZ"/>
        </w:rPr>
        <w:t xml:space="preserve"> </w:t>
      </w:r>
      <w:r w:rsidRPr="002F0603">
        <w:rPr>
          <w:rFonts w:asciiTheme="minorHAnsi" w:hAnsiTheme="minorHAnsi" w:cstheme="minorHAnsi"/>
        </w:rPr>
        <w:t>019</w:t>
      </w:r>
      <w:r>
        <w:rPr>
          <w:rFonts w:asciiTheme="minorHAnsi" w:hAnsiTheme="minorHAnsi" w:cstheme="minorHAnsi"/>
        </w:rPr>
        <w:t xml:space="preserve"> – </w:t>
      </w:r>
      <w:r w:rsidRPr="004D727E">
        <w:rPr>
          <w:rFonts w:asciiTheme="minorHAnsi" w:hAnsiTheme="minorHAnsi" w:cstheme="minorHAnsi"/>
          <w:i/>
          <w:lang w:eastAsia="cs-CZ"/>
        </w:rPr>
        <w:t xml:space="preserve">Ostatní dlouhodobý </w:t>
      </w:r>
      <w:r>
        <w:rPr>
          <w:rFonts w:asciiTheme="minorHAnsi" w:hAnsiTheme="minorHAnsi" w:cstheme="minorHAnsi"/>
          <w:i/>
          <w:lang w:eastAsia="cs-CZ"/>
        </w:rPr>
        <w:t>ne</w:t>
      </w:r>
      <w:r w:rsidRPr="004D727E">
        <w:rPr>
          <w:rFonts w:asciiTheme="minorHAnsi" w:hAnsiTheme="minorHAnsi" w:cstheme="minorHAnsi"/>
          <w:i/>
          <w:lang w:eastAsia="cs-CZ"/>
        </w:rPr>
        <w:t>hmotný majetek</w:t>
      </w:r>
      <w:r w:rsidR="00A64646">
        <w:rPr>
          <w:rFonts w:asciiTheme="minorHAnsi" w:hAnsiTheme="minorHAnsi" w:cstheme="minorHAnsi"/>
          <w:iCs/>
          <w:lang w:eastAsia="cs-CZ"/>
        </w:rPr>
        <w:t xml:space="preserve"> a doplnění souvisejících informací do přílohy ÚZ</w:t>
      </w:r>
      <w:r w:rsidR="002255A2">
        <w:rPr>
          <w:rFonts w:asciiTheme="minorHAnsi" w:hAnsiTheme="minorHAnsi" w:cstheme="minorHAnsi"/>
          <w:iCs/>
          <w:lang w:eastAsia="cs-CZ"/>
        </w:rPr>
        <w:t>;</w:t>
      </w:r>
    </w:p>
    <w:p w14:paraId="69E2C4DC" w14:textId="22CA3CCA" w:rsidR="00C44AE0" w:rsidRDefault="00C44AE0" w:rsidP="006B5348">
      <w:pPr>
        <w:pStyle w:val="Odstavecseseznamem"/>
        <w:numPr>
          <w:ilvl w:val="0"/>
          <w:numId w:val="4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 xml:space="preserve">přeúčtování nákladů </w:t>
      </w:r>
      <w:r w:rsidR="002255A2">
        <w:rPr>
          <w:rFonts w:asciiTheme="minorHAnsi" w:hAnsiTheme="minorHAnsi" w:cstheme="minorHAnsi"/>
          <w:spacing w:val="-2"/>
        </w:rPr>
        <w:t xml:space="preserve">roku 2020 </w:t>
      </w:r>
      <w:r>
        <w:rPr>
          <w:rFonts w:asciiTheme="minorHAnsi" w:hAnsiTheme="minorHAnsi" w:cstheme="minorHAnsi"/>
          <w:spacing w:val="-2"/>
        </w:rPr>
        <w:t xml:space="preserve">zaúčtovaných </w:t>
      </w:r>
      <w:r w:rsidR="002255A2">
        <w:rPr>
          <w:rFonts w:asciiTheme="minorHAnsi" w:hAnsiTheme="minorHAnsi" w:cstheme="minorHAnsi"/>
          <w:spacing w:val="-2"/>
        </w:rPr>
        <w:t>do roku</w:t>
      </w:r>
      <w:r w:rsidR="00BD1BB5">
        <w:rPr>
          <w:rFonts w:asciiTheme="minorHAnsi" w:hAnsiTheme="minorHAnsi" w:cstheme="minorHAnsi"/>
          <w:spacing w:val="-2"/>
        </w:rPr>
        <w:t xml:space="preserve"> 2021 v celkové výši 157,8 mil. Kč z účtu 518 – </w:t>
      </w:r>
      <w:r w:rsidR="00BD1BB5" w:rsidRPr="00BD1BB5">
        <w:rPr>
          <w:rFonts w:asciiTheme="minorHAnsi" w:hAnsiTheme="minorHAnsi" w:cstheme="minorHAnsi"/>
          <w:i/>
          <w:iCs/>
          <w:spacing w:val="-2"/>
        </w:rPr>
        <w:t>Ostatní služby</w:t>
      </w:r>
      <w:r w:rsidR="00BD1BB5">
        <w:rPr>
          <w:rFonts w:asciiTheme="minorHAnsi" w:hAnsiTheme="minorHAnsi" w:cstheme="minorHAnsi"/>
          <w:spacing w:val="-2"/>
        </w:rPr>
        <w:t xml:space="preserve"> na účet 408 </w:t>
      </w:r>
      <w:r w:rsidR="00BD1BB5" w:rsidRPr="00022175">
        <w:rPr>
          <w:rFonts w:asciiTheme="minorHAnsi" w:hAnsiTheme="minorHAnsi" w:cstheme="minorHAnsi"/>
        </w:rPr>
        <w:t xml:space="preserve">– </w:t>
      </w:r>
      <w:r w:rsidR="00BD1BB5" w:rsidRPr="00022175">
        <w:rPr>
          <w:rFonts w:asciiTheme="minorHAnsi" w:hAnsiTheme="minorHAnsi" w:cstheme="minorHAnsi"/>
          <w:i/>
          <w:iCs/>
        </w:rPr>
        <w:t>Opravy předcházejících účetních období</w:t>
      </w:r>
      <w:r w:rsidR="00BD1BB5">
        <w:rPr>
          <w:rFonts w:asciiTheme="minorHAnsi" w:hAnsiTheme="minorHAnsi" w:cstheme="minorHAnsi"/>
          <w:spacing w:val="-2"/>
        </w:rPr>
        <w:t xml:space="preserve"> a doplnění související informace v příloze ÚZ</w:t>
      </w:r>
      <w:r w:rsidR="006B5348">
        <w:rPr>
          <w:rFonts w:asciiTheme="minorHAnsi" w:hAnsiTheme="minorHAnsi" w:cstheme="minorHAnsi"/>
          <w:spacing w:val="-2"/>
        </w:rPr>
        <w:t>.</w:t>
      </w:r>
    </w:p>
    <w:p w14:paraId="3BA7235C" w14:textId="77777777" w:rsidR="006B5348" w:rsidRDefault="006B5348" w:rsidP="006B5348">
      <w:pPr>
        <w:pStyle w:val="Odstavecseseznamem"/>
        <w:spacing w:after="0"/>
        <w:ind w:left="357"/>
        <w:contextualSpacing w:val="0"/>
        <w:jc w:val="both"/>
        <w:rPr>
          <w:rFonts w:asciiTheme="minorHAnsi" w:hAnsiTheme="minorHAnsi" w:cstheme="minorHAnsi"/>
          <w:spacing w:val="-2"/>
        </w:rPr>
      </w:pPr>
    </w:p>
    <w:p w14:paraId="1604486E" w14:textId="638D8F79" w:rsidR="007505CF" w:rsidRPr="00D14FC9" w:rsidRDefault="009F469A" w:rsidP="00D14FC9">
      <w:pPr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Opravy zjištěných nedostatků se dále týkaly</w:t>
      </w:r>
      <w:r w:rsidR="005735E6">
        <w:rPr>
          <w:rFonts w:asciiTheme="minorHAnsi" w:hAnsiTheme="minorHAnsi" w:cstheme="minorHAnsi"/>
          <w:spacing w:val="-2"/>
        </w:rPr>
        <w:t xml:space="preserve"> také </w:t>
      </w:r>
      <w:r w:rsidR="00C42DC4" w:rsidRPr="00D14FC9">
        <w:rPr>
          <w:rFonts w:asciiTheme="minorHAnsi" w:hAnsiTheme="minorHAnsi" w:cstheme="minorHAnsi"/>
          <w:spacing w:val="-2"/>
        </w:rPr>
        <w:t xml:space="preserve">doplnění informace </w:t>
      </w:r>
      <w:r w:rsidR="00A37B3C">
        <w:rPr>
          <w:rFonts w:asciiTheme="minorHAnsi" w:hAnsiTheme="minorHAnsi" w:cstheme="minorHAnsi"/>
          <w:spacing w:val="-2"/>
        </w:rPr>
        <w:t xml:space="preserve">do přílohy ÚZ </w:t>
      </w:r>
      <w:r w:rsidR="00C42DC4" w:rsidRPr="00D14FC9">
        <w:rPr>
          <w:rFonts w:asciiTheme="minorHAnsi" w:hAnsiTheme="minorHAnsi" w:cstheme="minorHAnsi"/>
          <w:spacing w:val="-2"/>
        </w:rPr>
        <w:t>o tom, že součástí účetní závěrky MV jsou i údaje vykázané za ÚZSI</w:t>
      </w:r>
      <w:r w:rsidR="005735E6">
        <w:rPr>
          <w:rFonts w:asciiTheme="minorHAnsi" w:hAnsiTheme="minorHAnsi" w:cstheme="minorHAnsi"/>
          <w:spacing w:val="-2"/>
        </w:rPr>
        <w:t>.</w:t>
      </w:r>
    </w:p>
    <w:p w14:paraId="3D5B6CCB" w14:textId="15DA4C9A" w:rsidR="00211287" w:rsidRPr="00677035" w:rsidRDefault="00944173" w:rsidP="006453B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M</w:t>
      </w:r>
      <w:r w:rsidR="008033C3">
        <w:rPr>
          <w:rFonts w:asciiTheme="minorHAnsi" w:hAnsiTheme="minorHAnsi" w:cstheme="minorHAnsi"/>
          <w:spacing w:val="-2"/>
        </w:rPr>
        <w:t>V</w:t>
      </w:r>
      <w:r>
        <w:rPr>
          <w:rFonts w:asciiTheme="minorHAnsi" w:hAnsiTheme="minorHAnsi" w:cstheme="minorHAnsi"/>
          <w:spacing w:val="-2"/>
        </w:rPr>
        <w:t xml:space="preserve"> </w:t>
      </w:r>
      <w:r w:rsidR="00482A55">
        <w:rPr>
          <w:rFonts w:asciiTheme="minorHAnsi" w:hAnsiTheme="minorHAnsi" w:cstheme="minorHAnsi"/>
          <w:spacing w:val="-2"/>
        </w:rPr>
        <w:t xml:space="preserve">následně </w:t>
      </w:r>
      <w:r>
        <w:rPr>
          <w:rFonts w:asciiTheme="minorHAnsi" w:hAnsiTheme="minorHAnsi" w:cstheme="minorHAnsi"/>
          <w:spacing w:val="-2"/>
        </w:rPr>
        <w:t xml:space="preserve">sestavilo </w:t>
      </w:r>
      <w:r w:rsidR="00211287" w:rsidRPr="00757313">
        <w:rPr>
          <w:rFonts w:asciiTheme="minorHAnsi" w:hAnsiTheme="minorHAnsi" w:cstheme="minorHAnsi"/>
          <w:spacing w:val="-2"/>
        </w:rPr>
        <w:t>účetní závěrk</w:t>
      </w:r>
      <w:r>
        <w:rPr>
          <w:rFonts w:asciiTheme="minorHAnsi" w:hAnsiTheme="minorHAnsi" w:cstheme="minorHAnsi"/>
          <w:spacing w:val="-2"/>
        </w:rPr>
        <w:t>u</w:t>
      </w:r>
      <w:r w:rsidR="00211287" w:rsidRPr="00757313">
        <w:rPr>
          <w:rFonts w:asciiTheme="minorHAnsi" w:hAnsiTheme="minorHAnsi" w:cstheme="minorHAnsi"/>
          <w:spacing w:val="-2"/>
        </w:rPr>
        <w:t xml:space="preserve"> k</w:t>
      </w:r>
      <w:r w:rsidR="00883298">
        <w:rPr>
          <w:rFonts w:asciiTheme="minorHAnsi" w:hAnsiTheme="minorHAnsi" w:cstheme="minorHAnsi"/>
          <w:spacing w:val="-2"/>
        </w:rPr>
        <w:t xml:space="preserve"> </w:t>
      </w:r>
      <w:r w:rsidR="00211287" w:rsidRPr="00757313">
        <w:rPr>
          <w:rFonts w:asciiTheme="minorHAnsi" w:hAnsiTheme="minorHAnsi" w:cstheme="minorHAnsi"/>
          <w:spacing w:val="-2"/>
        </w:rPr>
        <w:t>31.</w:t>
      </w:r>
      <w:r>
        <w:rPr>
          <w:rFonts w:asciiTheme="minorHAnsi" w:hAnsiTheme="minorHAnsi" w:cstheme="minorHAnsi"/>
          <w:spacing w:val="-2"/>
        </w:rPr>
        <w:t xml:space="preserve"> prosinci</w:t>
      </w:r>
      <w:r w:rsidR="00211287" w:rsidRPr="00757313">
        <w:rPr>
          <w:rFonts w:asciiTheme="minorHAnsi" w:hAnsiTheme="minorHAnsi" w:cstheme="minorHAnsi"/>
          <w:spacing w:val="-2"/>
        </w:rPr>
        <w:t xml:space="preserve"> 202</w:t>
      </w:r>
      <w:r w:rsidR="008033C3">
        <w:rPr>
          <w:rFonts w:asciiTheme="minorHAnsi" w:hAnsiTheme="minorHAnsi" w:cstheme="minorHAnsi"/>
          <w:spacing w:val="-2"/>
        </w:rPr>
        <w:t>1</w:t>
      </w:r>
      <w:r w:rsidR="00534B79">
        <w:rPr>
          <w:rFonts w:asciiTheme="minorHAnsi" w:hAnsiTheme="minorHAnsi" w:cstheme="minorHAnsi"/>
          <w:spacing w:val="-2"/>
        </w:rPr>
        <w:t xml:space="preserve"> dne 1. března 202</w:t>
      </w:r>
      <w:r w:rsidR="008033C3">
        <w:rPr>
          <w:rFonts w:asciiTheme="minorHAnsi" w:hAnsiTheme="minorHAnsi" w:cstheme="minorHAnsi"/>
          <w:spacing w:val="-2"/>
        </w:rPr>
        <w:t>2</w:t>
      </w:r>
      <w:r>
        <w:rPr>
          <w:rFonts w:asciiTheme="minorHAnsi" w:hAnsiTheme="minorHAnsi" w:cstheme="minorHAnsi"/>
        </w:rPr>
        <w:t xml:space="preserve">. </w:t>
      </w:r>
      <w:r w:rsidR="008033C3" w:rsidRPr="008033C3">
        <w:rPr>
          <w:rFonts w:asciiTheme="minorHAnsi" w:hAnsiTheme="minorHAnsi" w:cs="Calibri"/>
          <w:bCs/>
        </w:rPr>
        <w:t>V</w:t>
      </w:r>
      <w:r w:rsidR="00883298">
        <w:rPr>
          <w:rFonts w:asciiTheme="minorHAnsi" w:hAnsiTheme="minorHAnsi" w:cs="Calibri"/>
          <w:bCs/>
        </w:rPr>
        <w:t xml:space="preserve"> </w:t>
      </w:r>
      <w:r w:rsidR="008033C3" w:rsidRPr="008033C3">
        <w:rPr>
          <w:rFonts w:asciiTheme="minorHAnsi" w:hAnsiTheme="minorHAnsi" w:cs="Calibri"/>
          <w:bCs/>
        </w:rPr>
        <w:t xml:space="preserve">té byly kontrolou </w:t>
      </w:r>
      <w:r w:rsidR="00E0309E">
        <w:rPr>
          <w:rFonts w:asciiTheme="minorHAnsi" w:hAnsiTheme="minorHAnsi" w:cs="Calibri"/>
          <w:bCs/>
        </w:rPr>
        <w:t xml:space="preserve">NKÚ </w:t>
      </w:r>
      <w:r w:rsidR="008033C3" w:rsidRPr="008033C3">
        <w:rPr>
          <w:rFonts w:asciiTheme="minorHAnsi" w:hAnsiTheme="minorHAnsi" w:cs="Calibri"/>
          <w:bCs/>
        </w:rPr>
        <w:t xml:space="preserve">zjištěny nesprávnosti </w:t>
      </w:r>
      <w:r w:rsidR="007D1AE2">
        <w:rPr>
          <w:rFonts w:asciiTheme="minorHAnsi" w:hAnsiTheme="minorHAnsi" w:cs="Calibri"/>
          <w:bCs/>
        </w:rPr>
        <w:t>ve srovnávacích údajích</w:t>
      </w:r>
      <w:r w:rsidR="00BD6A61">
        <w:rPr>
          <w:rFonts w:asciiTheme="minorHAnsi" w:hAnsiTheme="minorHAnsi" w:cs="Calibri"/>
          <w:bCs/>
        </w:rPr>
        <w:t>, a to</w:t>
      </w:r>
      <w:r w:rsidR="006453B4">
        <w:rPr>
          <w:rFonts w:asciiTheme="minorHAnsi" w:hAnsiTheme="minorHAnsi" w:cs="Calibri"/>
          <w:bCs/>
        </w:rPr>
        <w:t xml:space="preserve"> v</w:t>
      </w:r>
      <w:r w:rsidR="00883298">
        <w:rPr>
          <w:rFonts w:asciiTheme="minorHAnsi" w:hAnsiTheme="minorHAnsi" w:cs="Calibri"/>
          <w:bCs/>
        </w:rPr>
        <w:t xml:space="preserve"> </w:t>
      </w:r>
      <w:r w:rsidR="006453B4">
        <w:rPr>
          <w:rFonts w:asciiTheme="minorHAnsi" w:hAnsiTheme="minorHAnsi" w:cs="Calibri"/>
          <w:bCs/>
        </w:rPr>
        <w:t>případě několika položek rozvahy,</w:t>
      </w:r>
      <w:r w:rsidR="00BD6A61">
        <w:rPr>
          <w:rFonts w:asciiTheme="minorHAnsi" w:hAnsiTheme="minorHAnsi" w:cs="Calibri"/>
          <w:bCs/>
        </w:rPr>
        <w:t xml:space="preserve"> s</w:t>
      </w:r>
      <w:r w:rsidR="00883298">
        <w:rPr>
          <w:rFonts w:asciiTheme="minorHAnsi" w:hAnsiTheme="minorHAnsi" w:cs="Calibri"/>
          <w:bCs/>
        </w:rPr>
        <w:t> </w:t>
      </w:r>
      <w:r w:rsidR="006453B4">
        <w:rPr>
          <w:rFonts w:asciiTheme="minorHAnsi" w:hAnsiTheme="minorHAnsi" w:cs="Calibri"/>
          <w:bCs/>
        </w:rPr>
        <w:t>dopad</w:t>
      </w:r>
      <w:r w:rsidR="00BD6A61">
        <w:rPr>
          <w:rFonts w:asciiTheme="minorHAnsi" w:hAnsiTheme="minorHAnsi" w:cs="Calibri"/>
          <w:bCs/>
        </w:rPr>
        <w:t>em</w:t>
      </w:r>
      <w:r w:rsidR="006453B4">
        <w:rPr>
          <w:rFonts w:asciiTheme="minorHAnsi" w:hAnsiTheme="minorHAnsi" w:cs="Calibri"/>
          <w:bCs/>
        </w:rPr>
        <w:t xml:space="preserve"> </w:t>
      </w:r>
      <w:r w:rsidR="002255A2">
        <w:rPr>
          <w:rFonts w:asciiTheme="minorHAnsi" w:hAnsiTheme="minorHAnsi" w:cs="Calibri"/>
          <w:bCs/>
        </w:rPr>
        <w:t>na</w:t>
      </w:r>
      <w:r w:rsidR="006453B4">
        <w:rPr>
          <w:rFonts w:asciiTheme="minorHAnsi" w:hAnsiTheme="minorHAnsi" w:cs="Calibri"/>
          <w:bCs/>
        </w:rPr>
        <w:t xml:space="preserve"> přehled o změnách vlastního kapitálu. Tyto nesprávnosti vznikly v důsledku technického pochybení MV v procesu sestavování účetní závěrky a týkaly se </w:t>
      </w:r>
      <w:r w:rsidR="008033C3" w:rsidRPr="008033C3">
        <w:rPr>
          <w:rFonts w:asciiTheme="minorHAnsi" w:hAnsiTheme="minorHAnsi" w:cs="Calibri"/>
          <w:bCs/>
        </w:rPr>
        <w:t>výhradně údajů vykázaných za minulé období (tj. za rok 2020). MV</w:t>
      </w:r>
      <w:r w:rsidR="0018590A">
        <w:rPr>
          <w:rFonts w:asciiTheme="minorHAnsi" w:hAnsiTheme="minorHAnsi" w:cs="Calibri"/>
          <w:bCs/>
        </w:rPr>
        <w:t xml:space="preserve"> uvedené</w:t>
      </w:r>
      <w:r w:rsidR="008033C3" w:rsidRPr="008033C3">
        <w:rPr>
          <w:rFonts w:asciiTheme="minorHAnsi" w:hAnsiTheme="minorHAnsi" w:cs="Calibri"/>
          <w:bCs/>
        </w:rPr>
        <w:t xml:space="preserve"> nesprávnosti opravilo a sestavilo </w:t>
      </w:r>
      <w:r w:rsidR="008033C3" w:rsidRPr="008033C3">
        <w:rPr>
          <w:rFonts w:asciiTheme="minorHAnsi" w:hAnsiTheme="minorHAnsi" w:cs="Calibri"/>
          <w:bCs/>
        </w:rPr>
        <w:lastRenderedPageBreak/>
        <w:t>novou účetní závěrku k 31. prosinci 2021 s datem sestavení 13.</w:t>
      </w:r>
      <w:r w:rsidR="00854846">
        <w:rPr>
          <w:rFonts w:asciiTheme="minorHAnsi" w:hAnsiTheme="minorHAnsi" w:cs="Calibri"/>
          <w:bCs/>
        </w:rPr>
        <w:t xml:space="preserve"> </w:t>
      </w:r>
      <w:r w:rsidR="008033C3" w:rsidRPr="008033C3">
        <w:rPr>
          <w:rFonts w:asciiTheme="minorHAnsi" w:hAnsiTheme="minorHAnsi" w:cs="Calibri"/>
          <w:bCs/>
        </w:rPr>
        <w:t>dubna</w:t>
      </w:r>
      <w:r w:rsidR="00854846">
        <w:rPr>
          <w:rFonts w:asciiTheme="minorHAnsi" w:hAnsiTheme="minorHAnsi" w:cs="Calibri"/>
          <w:bCs/>
        </w:rPr>
        <w:t xml:space="preserve"> </w:t>
      </w:r>
      <w:r w:rsidR="008033C3" w:rsidRPr="008033C3">
        <w:rPr>
          <w:rFonts w:asciiTheme="minorHAnsi" w:hAnsiTheme="minorHAnsi" w:cs="Calibri"/>
          <w:bCs/>
        </w:rPr>
        <w:t>2022</w:t>
      </w:r>
      <w:r w:rsidR="008033C3" w:rsidRPr="008033C3">
        <w:rPr>
          <w:rFonts w:asciiTheme="minorHAnsi" w:hAnsiTheme="minorHAnsi" w:cstheme="minorHAnsi"/>
          <w:spacing w:val="-2"/>
        </w:rPr>
        <w:t>, která se tak stala účetní závěrkou dle zákona č. 563/1991 Sb</w:t>
      </w:r>
      <w:r w:rsidR="008033C3">
        <w:rPr>
          <w:rFonts w:asciiTheme="minorHAnsi" w:hAnsiTheme="minorHAnsi" w:cstheme="minorHAnsi"/>
          <w:spacing w:val="-2"/>
        </w:rPr>
        <w:t xml:space="preserve">. </w:t>
      </w:r>
      <w:r w:rsidR="0018590A" w:rsidRPr="00903578">
        <w:rPr>
          <w:rFonts w:asciiTheme="minorHAnsi" w:hAnsiTheme="minorHAnsi" w:cstheme="minorHAnsi"/>
        </w:rPr>
        <w:t>Tato účetní závěrka byla schválena dne 28.</w:t>
      </w:r>
      <w:r w:rsidR="0018590A">
        <w:rPr>
          <w:rFonts w:asciiTheme="minorHAnsi" w:hAnsiTheme="minorHAnsi" w:cstheme="minorHAnsi"/>
        </w:rPr>
        <w:t xml:space="preserve"> dubna</w:t>
      </w:r>
      <w:r w:rsidR="0018590A" w:rsidRPr="00903578">
        <w:rPr>
          <w:rFonts w:asciiTheme="minorHAnsi" w:hAnsiTheme="minorHAnsi" w:cstheme="minorHAnsi"/>
        </w:rPr>
        <w:t xml:space="preserve"> 2022.</w:t>
      </w:r>
    </w:p>
    <w:p w14:paraId="77697080" w14:textId="0443273D" w:rsidR="00211287" w:rsidRDefault="008033C3" w:rsidP="007E24A3">
      <w:pPr>
        <w:widowControl w:val="0"/>
        <w:spacing w:after="0"/>
        <w:jc w:val="both"/>
        <w:rPr>
          <w:rFonts w:asciiTheme="minorHAnsi" w:hAnsiTheme="minorHAnsi" w:cstheme="minorHAnsi"/>
        </w:rPr>
      </w:pPr>
      <w:r w:rsidRPr="005451C0">
        <w:rPr>
          <w:rFonts w:asciiTheme="minorHAnsi" w:hAnsiTheme="minorHAnsi" w:cstheme="minorHAnsi"/>
        </w:rPr>
        <w:t xml:space="preserve">V nově sestavené </w:t>
      </w:r>
      <w:r w:rsidR="002255A2">
        <w:rPr>
          <w:rFonts w:asciiTheme="minorHAnsi" w:hAnsiTheme="minorHAnsi" w:cstheme="minorHAnsi"/>
        </w:rPr>
        <w:t>účetní závěrce</w:t>
      </w:r>
      <w:r w:rsidRPr="005451C0">
        <w:rPr>
          <w:rFonts w:asciiTheme="minorHAnsi" w:hAnsiTheme="minorHAnsi" w:cstheme="minorHAnsi"/>
        </w:rPr>
        <w:t xml:space="preserve"> kontrola identifikovala nesprávnosti popsané v část</w:t>
      </w:r>
      <w:r w:rsidR="007E24A3">
        <w:rPr>
          <w:rFonts w:asciiTheme="minorHAnsi" w:hAnsiTheme="minorHAnsi" w:cstheme="minorHAnsi"/>
        </w:rPr>
        <w:t>i</w:t>
      </w:r>
      <w:r w:rsidRPr="005451C0">
        <w:rPr>
          <w:rFonts w:asciiTheme="minorHAnsi" w:hAnsiTheme="minorHAnsi" w:cstheme="minorHAnsi"/>
        </w:rPr>
        <w:t xml:space="preserve"> </w:t>
      </w:r>
      <w:r w:rsidRPr="007E24A3">
        <w:rPr>
          <w:rFonts w:asciiTheme="minorHAnsi" w:hAnsiTheme="minorHAnsi" w:cstheme="minorHAnsi"/>
        </w:rPr>
        <w:t>IV.</w:t>
      </w:r>
      <w:r w:rsidR="005451C0" w:rsidRPr="007E24A3">
        <w:rPr>
          <w:rFonts w:asciiTheme="minorHAnsi" w:hAnsiTheme="minorHAnsi" w:cstheme="minorHAnsi"/>
        </w:rPr>
        <w:t>1</w:t>
      </w:r>
      <w:r w:rsidR="00A17F6A" w:rsidRPr="007E24A3">
        <w:rPr>
          <w:rFonts w:asciiTheme="minorHAnsi" w:hAnsiTheme="minorHAnsi" w:cstheme="minorHAnsi"/>
        </w:rPr>
        <w:t>.1</w:t>
      </w:r>
      <w:r w:rsidRPr="005451C0">
        <w:rPr>
          <w:rFonts w:asciiTheme="minorHAnsi" w:hAnsiTheme="minorHAnsi" w:cstheme="minorHAnsi"/>
        </w:rPr>
        <w:t xml:space="preserve"> </w:t>
      </w:r>
      <w:r w:rsidR="002255A2">
        <w:rPr>
          <w:rFonts w:asciiTheme="minorHAnsi" w:hAnsiTheme="minorHAnsi" w:cstheme="minorHAnsi"/>
        </w:rPr>
        <w:t xml:space="preserve">tohoto </w:t>
      </w:r>
      <w:r w:rsidRPr="005451C0">
        <w:rPr>
          <w:rFonts w:asciiTheme="minorHAnsi" w:hAnsiTheme="minorHAnsi" w:cstheme="minorHAnsi"/>
        </w:rPr>
        <w:t>kontrolního závěru.</w:t>
      </w:r>
    </w:p>
    <w:p w14:paraId="230DC6A7" w14:textId="77777777" w:rsidR="007E24A3" w:rsidRDefault="007E24A3" w:rsidP="007E24A3">
      <w:pPr>
        <w:widowControl w:val="0"/>
        <w:spacing w:after="0"/>
        <w:jc w:val="both"/>
        <w:rPr>
          <w:rFonts w:asciiTheme="minorHAnsi" w:hAnsiTheme="minorHAnsi" w:cstheme="minorHAnsi"/>
        </w:rPr>
      </w:pPr>
    </w:p>
    <w:p w14:paraId="628ABAB9" w14:textId="77777777" w:rsidR="003F65AE" w:rsidRDefault="003F65AE" w:rsidP="007E24A3">
      <w:pPr>
        <w:widowControl w:val="0"/>
        <w:jc w:val="both"/>
        <w:rPr>
          <w:rFonts w:asciiTheme="minorHAnsi" w:hAnsiTheme="minorHAnsi" w:cstheme="minorHAnsi"/>
          <w:spacing w:val="-2"/>
          <w:highlight w:val="yellow"/>
        </w:rPr>
      </w:pPr>
      <w:r>
        <w:rPr>
          <w:rFonts w:cs="Calibri"/>
          <w:b/>
          <w:bCs/>
          <w:lang w:eastAsia="cs-CZ"/>
        </w:rPr>
        <w:t>2.2 Vyhodnocení vedení účetnictví</w:t>
      </w:r>
    </w:p>
    <w:p w14:paraId="7F2A4509" w14:textId="77777777" w:rsidR="004E0006" w:rsidRDefault="004E0006" w:rsidP="007E24A3">
      <w:pPr>
        <w:widowControl w:val="0"/>
        <w:jc w:val="both"/>
        <w:rPr>
          <w:rFonts w:asciiTheme="minorHAnsi" w:hAnsiTheme="minorHAnsi" w:cstheme="minorHAnsi"/>
          <w:b/>
          <w:bCs/>
          <w:spacing w:val="-2"/>
        </w:rPr>
      </w:pPr>
      <w:r w:rsidRPr="00AB7571">
        <w:rPr>
          <w:rFonts w:cs="Calibri"/>
        </w:rPr>
        <w:t xml:space="preserve">Pro </w:t>
      </w:r>
      <w:r>
        <w:rPr>
          <w:rFonts w:cs="Calibri"/>
        </w:rPr>
        <w:t xml:space="preserve">vyhodnocení vedení účetnictví a </w:t>
      </w:r>
      <w:r w:rsidRPr="00AB7571">
        <w:rPr>
          <w:rFonts w:cs="Calibri"/>
        </w:rPr>
        <w:t>posouzení spolehlivosti</w:t>
      </w:r>
      <w:r>
        <w:rPr>
          <w:rFonts w:cs="Calibri"/>
        </w:rPr>
        <w:t xml:space="preserve"> údajů </w:t>
      </w:r>
      <w:r w:rsidRPr="00AB7571">
        <w:rPr>
          <w:rFonts w:cs="Calibri"/>
        </w:rPr>
        <w:t>ÚZ</w:t>
      </w:r>
      <w:r>
        <w:rPr>
          <w:rFonts w:cs="Calibri"/>
        </w:rPr>
        <w:t xml:space="preserve"> za KO MV</w:t>
      </w:r>
      <w:r w:rsidRPr="00AB7571">
        <w:rPr>
          <w:rFonts w:cs="Calibri"/>
        </w:rPr>
        <w:t xml:space="preserve"> byla stanovena </w:t>
      </w:r>
      <w:r w:rsidR="009C3CD0">
        <w:rPr>
          <w:rFonts w:cs="Calibri"/>
        </w:rPr>
        <w:t xml:space="preserve">hladina </w:t>
      </w:r>
      <w:r w:rsidRPr="00AB7571">
        <w:rPr>
          <w:rFonts w:cs="Calibri"/>
        </w:rPr>
        <w:t>významnost</w:t>
      </w:r>
      <w:r w:rsidR="009C3CD0">
        <w:rPr>
          <w:rFonts w:cs="Calibri"/>
        </w:rPr>
        <w:t>i</w:t>
      </w:r>
      <w:r>
        <w:rPr>
          <w:rStyle w:val="Znakapoznpodarou"/>
          <w:rFonts w:cs="Calibri"/>
        </w:rPr>
        <w:footnoteReference w:id="29"/>
      </w:r>
      <w:r w:rsidRPr="00AB7571">
        <w:rPr>
          <w:rFonts w:cs="Calibri"/>
        </w:rPr>
        <w:t xml:space="preserve"> ve výši </w:t>
      </w:r>
      <w:r>
        <w:rPr>
          <w:rFonts w:cs="Calibri"/>
        </w:rPr>
        <w:t>656</w:t>
      </w:r>
      <w:r w:rsidRPr="00AB7571">
        <w:rPr>
          <w:rFonts w:cs="Calibri"/>
        </w:rPr>
        <w:t xml:space="preserve"> mil. Kč</w:t>
      </w:r>
      <w:r>
        <w:rPr>
          <w:rStyle w:val="Znakapoznpodarou"/>
          <w:rFonts w:cs="Calibri"/>
        </w:rPr>
        <w:footnoteReference w:id="30"/>
      </w:r>
      <w:r w:rsidRPr="00AB7571">
        <w:rPr>
          <w:rFonts w:cs="Calibri"/>
        </w:rPr>
        <w:t>.</w:t>
      </w:r>
    </w:p>
    <w:p w14:paraId="13A777D0" w14:textId="1CEE71BF" w:rsidR="004E0006" w:rsidRDefault="00583C50" w:rsidP="007E24A3">
      <w:pPr>
        <w:widowControl w:val="0"/>
        <w:spacing w:after="0"/>
        <w:jc w:val="both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NKÚ</w:t>
      </w:r>
      <w:r w:rsidR="004E0006">
        <w:rPr>
          <w:rFonts w:asciiTheme="minorHAnsi" w:hAnsiTheme="minorHAnsi" w:cs="Calibri"/>
          <w:b/>
        </w:rPr>
        <w:t xml:space="preserve"> s ohledem na stanovenou </w:t>
      </w:r>
      <w:r>
        <w:rPr>
          <w:rFonts w:asciiTheme="minorHAnsi" w:hAnsiTheme="minorHAnsi" w:cs="Calibri"/>
          <w:b/>
        </w:rPr>
        <w:t xml:space="preserve">hladinu </w:t>
      </w:r>
      <w:r w:rsidR="004E0006">
        <w:rPr>
          <w:rFonts w:asciiTheme="minorHAnsi" w:hAnsiTheme="minorHAnsi" w:cs="Calibri"/>
          <w:b/>
        </w:rPr>
        <w:t>významnost</w:t>
      </w:r>
      <w:r>
        <w:rPr>
          <w:rFonts w:asciiTheme="minorHAnsi" w:hAnsiTheme="minorHAnsi" w:cs="Calibri"/>
          <w:b/>
        </w:rPr>
        <w:t>i</w:t>
      </w:r>
      <w:r w:rsidR="0081445F">
        <w:rPr>
          <w:rFonts w:asciiTheme="minorHAnsi" w:hAnsiTheme="minorHAnsi" w:cs="Calibri"/>
          <w:b/>
        </w:rPr>
        <w:t xml:space="preserve"> </w:t>
      </w:r>
      <w:r w:rsidR="004E0006">
        <w:rPr>
          <w:rFonts w:asciiTheme="minorHAnsi" w:hAnsiTheme="minorHAnsi" w:cs="Calibri"/>
          <w:b/>
        </w:rPr>
        <w:t>konstatuje</w:t>
      </w:r>
      <w:r w:rsidR="004E0006" w:rsidRPr="00FB2A0C">
        <w:rPr>
          <w:rFonts w:asciiTheme="minorHAnsi" w:hAnsiTheme="minorHAnsi" w:cs="Calibri"/>
          <w:b/>
        </w:rPr>
        <w:t xml:space="preserve">, že </w:t>
      </w:r>
      <w:r w:rsidR="00A37B3C">
        <w:rPr>
          <w:rFonts w:asciiTheme="minorHAnsi" w:hAnsiTheme="minorHAnsi" w:cs="Calibri"/>
          <w:b/>
        </w:rPr>
        <w:t xml:space="preserve">účetnictví KO </w:t>
      </w:r>
      <w:r w:rsidR="004E0006" w:rsidRPr="00FB2A0C">
        <w:rPr>
          <w:rFonts w:asciiTheme="minorHAnsi" w:hAnsiTheme="minorHAnsi" w:cs="Calibri"/>
          <w:b/>
        </w:rPr>
        <w:t>MV</w:t>
      </w:r>
      <w:r w:rsidR="00A37B3C">
        <w:rPr>
          <w:rFonts w:asciiTheme="minorHAnsi" w:hAnsiTheme="minorHAnsi" w:cs="Calibri"/>
          <w:b/>
        </w:rPr>
        <w:t xml:space="preserve"> </w:t>
      </w:r>
      <w:r>
        <w:rPr>
          <w:rFonts w:asciiTheme="minorHAnsi" w:hAnsiTheme="minorHAnsi" w:cs="Calibri"/>
          <w:b/>
        </w:rPr>
        <w:t>po provedení oprav</w:t>
      </w:r>
      <w:r w:rsidRPr="004E0006">
        <w:rPr>
          <w:rFonts w:eastAsia="Calibri" w:cs="Calibri"/>
          <w:b/>
          <w:bCs/>
        </w:rPr>
        <w:t xml:space="preserve"> </w:t>
      </w:r>
      <w:r>
        <w:rPr>
          <w:rFonts w:eastAsia="Calibri" w:cs="Calibri"/>
          <w:b/>
          <w:bCs/>
        </w:rPr>
        <w:t>uvedených v části IV.2.1 tohoto kontrolního závěru</w:t>
      </w:r>
      <w:r>
        <w:rPr>
          <w:rFonts w:asciiTheme="minorHAnsi" w:hAnsiTheme="minorHAnsi" w:cs="Calibri"/>
          <w:b/>
        </w:rPr>
        <w:t xml:space="preserve"> </w:t>
      </w:r>
      <w:r w:rsidR="00A37B3C">
        <w:rPr>
          <w:rFonts w:asciiTheme="minorHAnsi" w:hAnsiTheme="minorHAnsi" w:cs="Calibri"/>
          <w:b/>
        </w:rPr>
        <w:t>bylo</w:t>
      </w:r>
      <w:r w:rsidR="004E0006">
        <w:rPr>
          <w:rFonts w:asciiTheme="minorHAnsi" w:hAnsiTheme="minorHAnsi" w:cs="Calibri"/>
          <w:b/>
        </w:rPr>
        <w:t xml:space="preserve"> </w:t>
      </w:r>
      <w:r w:rsidR="004E0006" w:rsidRPr="00FB2A0C">
        <w:rPr>
          <w:rFonts w:asciiTheme="minorHAnsi" w:hAnsiTheme="minorHAnsi" w:cs="Calibri"/>
          <w:b/>
        </w:rPr>
        <w:t xml:space="preserve">správné, úplné, průkazné a srozumitelné </w:t>
      </w:r>
      <w:r w:rsidR="004E0006">
        <w:rPr>
          <w:rFonts w:asciiTheme="minorHAnsi" w:hAnsiTheme="minorHAnsi" w:cs="Calibri"/>
          <w:b/>
        </w:rPr>
        <w:t xml:space="preserve">ve smyslu </w:t>
      </w:r>
      <w:r w:rsidR="00FC3B7E">
        <w:rPr>
          <w:rFonts w:asciiTheme="minorHAnsi" w:hAnsiTheme="minorHAnsi" w:cs="Calibri"/>
          <w:b/>
        </w:rPr>
        <w:t xml:space="preserve">ustanovení </w:t>
      </w:r>
      <w:r w:rsidR="004E0006">
        <w:rPr>
          <w:rFonts w:asciiTheme="minorHAnsi" w:hAnsiTheme="minorHAnsi" w:cs="Calibri"/>
          <w:b/>
        </w:rPr>
        <w:t>§ 8 zákona č.</w:t>
      </w:r>
      <w:r w:rsidR="00FC3B7E">
        <w:rPr>
          <w:rFonts w:asciiTheme="minorHAnsi" w:hAnsiTheme="minorHAnsi" w:cs="Calibri"/>
          <w:b/>
        </w:rPr>
        <w:t> </w:t>
      </w:r>
      <w:r w:rsidR="004E0006">
        <w:rPr>
          <w:rFonts w:asciiTheme="minorHAnsi" w:hAnsiTheme="minorHAnsi" w:cs="Calibri"/>
          <w:b/>
        </w:rPr>
        <w:t>563/1991 Sb</w:t>
      </w:r>
      <w:r w:rsidR="004E0006" w:rsidRPr="00FB2A0C">
        <w:rPr>
          <w:rFonts w:asciiTheme="minorHAnsi" w:hAnsiTheme="minorHAnsi" w:cs="Calibri"/>
          <w:b/>
        </w:rPr>
        <w:t>.</w:t>
      </w:r>
    </w:p>
    <w:p w14:paraId="1AAC1EB0" w14:textId="77777777" w:rsidR="004E0006" w:rsidRDefault="004E0006" w:rsidP="007E24A3">
      <w:pPr>
        <w:widowControl w:val="0"/>
        <w:spacing w:after="0"/>
        <w:jc w:val="both"/>
        <w:rPr>
          <w:rFonts w:asciiTheme="minorHAnsi" w:hAnsiTheme="minorHAnsi" w:cstheme="minorHAnsi"/>
          <w:spacing w:val="-2"/>
          <w:highlight w:val="yellow"/>
        </w:rPr>
      </w:pPr>
    </w:p>
    <w:p w14:paraId="5821FB49" w14:textId="77777777" w:rsidR="0090755D" w:rsidRDefault="0090755D" w:rsidP="00D40705">
      <w:pPr>
        <w:jc w:val="both"/>
        <w:rPr>
          <w:rFonts w:asciiTheme="minorHAnsi" w:hAnsiTheme="minorHAnsi" w:cstheme="minorHAnsi"/>
          <w:spacing w:val="-2"/>
          <w:highlight w:val="yellow"/>
        </w:rPr>
      </w:pPr>
      <w:r>
        <w:rPr>
          <w:rFonts w:cs="Calibri"/>
          <w:b/>
          <w:bCs/>
          <w:lang w:eastAsia="cs-CZ"/>
        </w:rPr>
        <w:t>2.</w:t>
      </w:r>
      <w:r w:rsidR="003F65AE">
        <w:rPr>
          <w:rFonts w:cs="Calibri"/>
          <w:b/>
          <w:bCs/>
          <w:lang w:eastAsia="cs-CZ"/>
        </w:rPr>
        <w:t>3</w:t>
      </w:r>
      <w:r>
        <w:rPr>
          <w:rFonts w:cs="Calibri"/>
          <w:b/>
          <w:bCs/>
          <w:lang w:eastAsia="cs-CZ"/>
        </w:rPr>
        <w:t xml:space="preserve"> </w:t>
      </w:r>
      <w:r w:rsidR="003F65AE">
        <w:rPr>
          <w:rFonts w:cs="Calibri"/>
          <w:b/>
          <w:bCs/>
          <w:lang w:eastAsia="cs-CZ"/>
        </w:rPr>
        <w:t>S</w:t>
      </w:r>
      <w:r>
        <w:rPr>
          <w:rFonts w:cs="Calibri"/>
          <w:b/>
          <w:bCs/>
          <w:lang w:eastAsia="cs-CZ"/>
        </w:rPr>
        <w:t>polehlivost údajů ÚZ</w:t>
      </w:r>
      <w:r w:rsidR="00C86DF1">
        <w:rPr>
          <w:rFonts w:cs="Calibri"/>
          <w:b/>
          <w:bCs/>
          <w:lang w:eastAsia="cs-CZ"/>
        </w:rPr>
        <w:t xml:space="preserve"> za KO MV</w:t>
      </w:r>
    </w:p>
    <w:p w14:paraId="2AB205F3" w14:textId="77777777" w:rsidR="00CB5F84" w:rsidRPr="00723C33" w:rsidRDefault="00CB5F84" w:rsidP="00534B79">
      <w:pPr>
        <w:jc w:val="both"/>
        <w:rPr>
          <w:rFonts w:asciiTheme="minorHAnsi" w:hAnsiTheme="minorHAnsi" w:cstheme="minorHAnsi"/>
          <w:spacing w:val="-2"/>
        </w:rPr>
      </w:pPr>
      <w:r w:rsidRPr="00723C33">
        <w:rPr>
          <w:rFonts w:asciiTheme="minorHAnsi" w:hAnsiTheme="minorHAnsi" w:cstheme="minorHAnsi"/>
        </w:rPr>
        <w:t>Údaje ÚZ za KO MV byly vykázány v rozvaze, výkazu zisku a ztráty,</w:t>
      </w:r>
      <w:r w:rsidR="00583C50">
        <w:rPr>
          <w:rFonts w:asciiTheme="minorHAnsi" w:hAnsiTheme="minorHAnsi" w:cstheme="minorHAnsi"/>
        </w:rPr>
        <w:t xml:space="preserve"> v</w:t>
      </w:r>
      <w:r w:rsidRPr="00723C33">
        <w:rPr>
          <w:rFonts w:asciiTheme="minorHAnsi" w:hAnsiTheme="minorHAnsi" w:cstheme="minorHAnsi"/>
        </w:rPr>
        <w:t xml:space="preserve"> přehledu o peněžních tocích, přehledu o změnách vlastního kapitálu a v příloze.</w:t>
      </w:r>
    </w:p>
    <w:p w14:paraId="0A9AFA5F" w14:textId="1F454253" w:rsidR="002C44C1" w:rsidRPr="001B4D88" w:rsidRDefault="00350785" w:rsidP="00030656">
      <w:pPr>
        <w:spacing w:after="0"/>
        <w:jc w:val="both"/>
        <w:rPr>
          <w:rFonts w:asciiTheme="minorHAnsi" w:hAnsiTheme="minorHAnsi" w:cstheme="minorHAnsi"/>
          <w:spacing w:val="-2"/>
        </w:rPr>
      </w:pPr>
      <w:r w:rsidRPr="00872B70">
        <w:rPr>
          <w:rFonts w:asciiTheme="minorHAnsi" w:hAnsiTheme="minorHAnsi" w:cstheme="minorHAnsi"/>
          <w:spacing w:val="-2"/>
        </w:rPr>
        <w:t>V</w:t>
      </w:r>
      <w:r w:rsidR="00CF05CF" w:rsidRPr="00872B70">
        <w:rPr>
          <w:rFonts w:asciiTheme="minorHAnsi" w:hAnsiTheme="minorHAnsi" w:cstheme="minorHAnsi"/>
          <w:spacing w:val="-2"/>
        </w:rPr>
        <w:t> účetní závěrce</w:t>
      </w:r>
      <w:r w:rsidRPr="00872B70">
        <w:rPr>
          <w:rFonts w:eastAsia="Calibri" w:cs="Calibri"/>
        </w:rPr>
        <w:t xml:space="preserve"> </w:t>
      </w:r>
      <w:r w:rsidR="00EE2D5D" w:rsidRPr="00872B70">
        <w:rPr>
          <w:rFonts w:eastAsia="Calibri" w:cs="Calibri"/>
        </w:rPr>
        <w:t>sestavené po provedení oprav</w:t>
      </w:r>
      <w:r w:rsidR="00CB5F84" w:rsidRPr="00872B70">
        <w:rPr>
          <w:rFonts w:eastAsia="Calibri" w:cs="Calibri"/>
        </w:rPr>
        <w:t xml:space="preserve"> </w:t>
      </w:r>
      <w:r w:rsidR="00583C50">
        <w:rPr>
          <w:rFonts w:eastAsia="Calibri" w:cs="Calibri"/>
        </w:rPr>
        <w:t>(</w:t>
      </w:r>
      <w:r w:rsidR="00CB5F84" w:rsidRPr="00872B70">
        <w:rPr>
          <w:rFonts w:eastAsia="Calibri" w:cs="Calibri"/>
        </w:rPr>
        <w:t>uvedených v části IV.2.1</w:t>
      </w:r>
      <w:r w:rsidR="00583C50">
        <w:rPr>
          <w:rFonts w:eastAsia="Calibri" w:cs="Calibri"/>
        </w:rPr>
        <w:t>)</w:t>
      </w:r>
      <w:r w:rsidR="004E0006" w:rsidRPr="00872B70">
        <w:rPr>
          <w:rFonts w:eastAsia="Calibri" w:cs="Calibri"/>
        </w:rPr>
        <w:t xml:space="preserve"> </w:t>
      </w:r>
      <w:r w:rsidR="003F4DEB" w:rsidRPr="00872B70">
        <w:rPr>
          <w:rFonts w:eastAsia="Calibri" w:cs="Calibri"/>
        </w:rPr>
        <w:t>kontrola zjistila</w:t>
      </w:r>
      <w:r w:rsidRPr="00872B70">
        <w:rPr>
          <w:rFonts w:asciiTheme="minorHAnsi" w:hAnsiTheme="minorHAnsi" w:cstheme="minorHAnsi"/>
          <w:spacing w:val="-2"/>
        </w:rPr>
        <w:t xml:space="preserve">, že některé informace </w:t>
      </w:r>
      <w:r w:rsidR="003F4DEB" w:rsidRPr="00872B70">
        <w:rPr>
          <w:rFonts w:asciiTheme="minorHAnsi" w:hAnsiTheme="minorHAnsi" w:cstheme="minorHAnsi"/>
          <w:spacing w:val="-2"/>
        </w:rPr>
        <w:t>ne</w:t>
      </w:r>
      <w:r w:rsidR="00583C50">
        <w:rPr>
          <w:rFonts w:asciiTheme="minorHAnsi" w:hAnsiTheme="minorHAnsi" w:cstheme="minorHAnsi"/>
          <w:spacing w:val="-2"/>
        </w:rPr>
        <w:t>jsou</w:t>
      </w:r>
      <w:r w:rsidR="003F4DEB" w:rsidRPr="00872B70">
        <w:rPr>
          <w:rFonts w:asciiTheme="minorHAnsi" w:hAnsiTheme="minorHAnsi" w:cstheme="minorHAnsi"/>
          <w:spacing w:val="-2"/>
        </w:rPr>
        <w:t xml:space="preserve"> v</w:t>
      </w:r>
      <w:r w:rsidR="00AC7770">
        <w:rPr>
          <w:rFonts w:asciiTheme="minorHAnsi" w:hAnsiTheme="minorHAnsi" w:cstheme="minorHAnsi"/>
          <w:spacing w:val="-2"/>
        </w:rPr>
        <w:t xml:space="preserve"> </w:t>
      </w:r>
      <w:r w:rsidR="003F4DEB" w:rsidRPr="00872B70">
        <w:rPr>
          <w:rFonts w:asciiTheme="minorHAnsi" w:hAnsiTheme="minorHAnsi" w:cstheme="minorHAnsi"/>
          <w:spacing w:val="-2"/>
        </w:rPr>
        <w:t>údajích ÚZ za KO MV vykázány</w:t>
      </w:r>
      <w:r w:rsidRPr="00872B70">
        <w:rPr>
          <w:rFonts w:asciiTheme="minorHAnsi" w:hAnsiTheme="minorHAnsi" w:cstheme="minorHAnsi"/>
          <w:spacing w:val="-2"/>
        </w:rPr>
        <w:t xml:space="preserve"> v</w:t>
      </w:r>
      <w:r w:rsidR="00AC7770">
        <w:rPr>
          <w:rFonts w:asciiTheme="minorHAnsi" w:hAnsiTheme="minorHAnsi" w:cstheme="minorHAnsi"/>
          <w:spacing w:val="-2"/>
        </w:rPr>
        <w:t xml:space="preserve"> </w:t>
      </w:r>
      <w:r w:rsidRPr="00872B70">
        <w:rPr>
          <w:rFonts w:asciiTheme="minorHAnsi" w:hAnsiTheme="minorHAnsi" w:cstheme="minorHAnsi"/>
          <w:spacing w:val="-2"/>
        </w:rPr>
        <w:t>souladu s</w:t>
      </w:r>
      <w:r w:rsidR="00AC7770">
        <w:rPr>
          <w:rFonts w:asciiTheme="minorHAnsi" w:hAnsiTheme="minorHAnsi" w:cstheme="minorHAnsi"/>
          <w:spacing w:val="-2"/>
        </w:rPr>
        <w:t xml:space="preserve"> </w:t>
      </w:r>
      <w:r w:rsidRPr="00872B70">
        <w:rPr>
          <w:rFonts w:asciiTheme="minorHAnsi" w:hAnsiTheme="minorHAnsi" w:cstheme="minorHAnsi"/>
          <w:spacing w:val="-2"/>
        </w:rPr>
        <w:t>právními předpisy upravujícími vedení účetnictví, a to v údajích za běžné účetní období v celkové výši 1</w:t>
      </w:r>
      <w:r w:rsidR="003F4DEB" w:rsidRPr="00872B70">
        <w:rPr>
          <w:rFonts w:asciiTheme="minorHAnsi" w:hAnsiTheme="minorHAnsi" w:cstheme="minorHAnsi"/>
          <w:spacing w:val="-2"/>
        </w:rPr>
        <w:t>3,9</w:t>
      </w:r>
      <w:r w:rsidRPr="00872B70">
        <w:rPr>
          <w:rFonts w:asciiTheme="minorHAnsi" w:hAnsiTheme="minorHAnsi" w:cstheme="minorHAnsi"/>
          <w:spacing w:val="-2"/>
        </w:rPr>
        <w:t xml:space="preserve"> mil. Kč v rozsahu uvedeném v následující tabulce</w:t>
      </w:r>
      <w:r w:rsidRPr="001B4D88">
        <w:rPr>
          <w:rFonts w:asciiTheme="minorHAnsi" w:hAnsiTheme="minorHAnsi" w:cstheme="minorHAnsi"/>
          <w:spacing w:val="-2"/>
        </w:rPr>
        <w:t>.</w:t>
      </w:r>
    </w:p>
    <w:p w14:paraId="7683BFBD" w14:textId="77777777" w:rsidR="00076F89" w:rsidRPr="009F4DBB" w:rsidRDefault="00076F89" w:rsidP="00030656">
      <w:pPr>
        <w:spacing w:after="0"/>
        <w:jc w:val="both"/>
        <w:rPr>
          <w:rFonts w:asciiTheme="minorHAnsi" w:hAnsiTheme="minorHAnsi" w:cstheme="minorHAnsi"/>
          <w:spacing w:val="-2"/>
        </w:rPr>
      </w:pPr>
    </w:p>
    <w:p w14:paraId="375F9C76" w14:textId="77777777" w:rsidR="00350785" w:rsidRPr="00E415EE" w:rsidRDefault="00350785" w:rsidP="00350785">
      <w:pPr>
        <w:shd w:val="clear" w:color="auto" w:fill="FFFFFF" w:themeFill="background1"/>
        <w:tabs>
          <w:tab w:val="right" w:pos="9072"/>
        </w:tabs>
        <w:jc w:val="both"/>
        <w:rPr>
          <w:rFonts w:eastAsiaTheme="minorHAnsi" w:cs="Calibri"/>
          <w:b/>
        </w:rPr>
      </w:pPr>
      <w:r w:rsidRPr="00E415EE">
        <w:rPr>
          <w:rFonts w:eastAsiaTheme="minorHAnsi" w:cs="Calibri"/>
          <w:b/>
        </w:rPr>
        <w:t xml:space="preserve">Tabulka č. </w:t>
      </w:r>
      <w:r w:rsidR="00A64976">
        <w:rPr>
          <w:rFonts w:eastAsiaTheme="minorHAnsi" w:cs="Calibri"/>
          <w:b/>
        </w:rPr>
        <w:t>5</w:t>
      </w:r>
      <w:r w:rsidRPr="00E415EE">
        <w:rPr>
          <w:rFonts w:eastAsiaTheme="minorHAnsi" w:cs="Calibri"/>
          <w:b/>
        </w:rPr>
        <w:t>: Přehled vyčíslených nesprávností zjištěných v</w:t>
      </w:r>
      <w:r w:rsidR="00CF05CF">
        <w:rPr>
          <w:rFonts w:eastAsiaTheme="minorHAnsi" w:cs="Calibri"/>
          <w:b/>
        </w:rPr>
        <w:t xml:space="preserve"> údajích </w:t>
      </w:r>
      <w:r w:rsidRPr="00E415EE">
        <w:rPr>
          <w:rFonts w:eastAsiaTheme="minorHAnsi" w:cs="Calibri"/>
          <w:b/>
        </w:rPr>
        <w:t xml:space="preserve">ÚZ </w:t>
      </w:r>
      <w:r w:rsidR="00CF05CF">
        <w:rPr>
          <w:rFonts w:eastAsiaTheme="minorHAnsi" w:cs="Calibri"/>
          <w:b/>
        </w:rPr>
        <w:t xml:space="preserve">za KO MV </w:t>
      </w:r>
      <w:r w:rsidR="00583C50">
        <w:rPr>
          <w:rFonts w:eastAsiaTheme="minorHAnsi" w:cs="Calibri"/>
          <w:b/>
        </w:rPr>
        <w:tab/>
      </w:r>
      <w:r w:rsidRPr="00E415EE">
        <w:rPr>
          <w:rFonts w:eastAsiaTheme="minorHAnsi" w:cs="Calibri"/>
          <w:b/>
        </w:rPr>
        <w:t>(v Kč)</w:t>
      </w:r>
    </w:p>
    <w:tbl>
      <w:tblPr>
        <w:tblW w:w="907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1"/>
        <w:gridCol w:w="1417"/>
        <w:gridCol w:w="1560"/>
        <w:gridCol w:w="2409"/>
      </w:tblGrid>
      <w:tr w:rsidR="001130AB" w:rsidRPr="00683C72" w14:paraId="72C6811B" w14:textId="77777777" w:rsidTr="00B76C7C">
        <w:trPr>
          <w:trHeight w:val="300"/>
        </w:trPr>
        <w:tc>
          <w:tcPr>
            <w:tcW w:w="3691" w:type="dxa"/>
            <w:vMerge w:val="restart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E5F1FF"/>
            <w:vAlign w:val="center"/>
          </w:tcPr>
          <w:p w14:paraId="6A023CCC" w14:textId="77777777" w:rsidR="001130AB" w:rsidRPr="00E415EE" w:rsidRDefault="001130AB" w:rsidP="00914FA0">
            <w:pPr>
              <w:spacing w:after="0"/>
              <w:jc w:val="center"/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</w:pPr>
            <w:r w:rsidRPr="00E415EE"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  <w:t>Výkaz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F1FF"/>
            <w:vAlign w:val="center"/>
          </w:tcPr>
          <w:p w14:paraId="72E34775" w14:textId="77777777" w:rsidR="001130AB" w:rsidRDefault="001130AB" w:rsidP="00914FA0">
            <w:pPr>
              <w:spacing w:after="0"/>
              <w:jc w:val="center"/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  <w:t>Hodnotová chyba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E5F1FF"/>
            <w:vAlign w:val="center"/>
          </w:tcPr>
          <w:p w14:paraId="14393C2F" w14:textId="77777777" w:rsidR="001130AB" w:rsidRPr="00E415EE" w:rsidRDefault="00D63F70" w:rsidP="00914FA0">
            <w:pPr>
              <w:spacing w:after="0"/>
              <w:jc w:val="center"/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  <w:t>CELKOVÁ</w:t>
            </w:r>
            <w:r w:rsidR="00901897"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  <w:t xml:space="preserve"> ZAPOČTENÁ</w:t>
            </w:r>
            <w:r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  <w:t xml:space="preserve"> NESPRÁVNOST</w:t>
            </w:r>
          </w:p>
        </w:tc>
      </w:tr>
      <w:tr w:rsidR="001130AB" w:rsidRPr="00683C72" w14:paraId="436AD754" w14:textId="77777777" w:rsidTr="00B76C7C">
        <w:trPr>
          <w:trHeight w:val="300"/>
        </w:trPr>
        <w:tc>
          <w:tcPr>
            <w:tcW w:w="3691" w:type="dxa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F1FF"/>
            <w:vAlign w:val="center"/>
            <w:hideMark/>
          </w:tcPr>
          <w:p w14:paraId="4453E531" w14:textId="77777777" w:rsidR="001130AB" w:rsidRPr="00E415EE" w:rsidRDefault="001130AB" w:rsidP="00914FA0">
            <w:pPr>
              <w:spacing w:after="0"/>
              <w:jc w:val="center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F1FF"/>
            <w:vAlign w:val="center"/>
          </w:tcPr>
          <w:p w14:paraId="618C505B" w14:textId="77777777" w:rsidR="001130AB" w:rsidRPr="00E415EE" w:rsidRDefault="001130AB" w:rsidP="00914FA0">
            <w:pPr>
              <w:spacing w:after="0"/>
              <w:jc w:val="center"/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  <w:t>nadhodnocení</w:t>
            </w:r>
          </w:p>
        </w:tc>
        <w:tc>
          <w:tcPr>
            <w:tcW w:w="15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F1FF"/>
            <w:vAlign w:val="center"/>
          </w:tcPr>
          <w:p w14:paraId="5EF39ECE" w14:textId="61D2E7B9" w:rsidR="001130AB" w:rsidRPr="00E415EE" w:rsidRDefault="00583C50" w:rsidP="00914FA0">
            <w:pPr>
              <w:spacing w:after="0"/>
              <w:jc w:val="center"/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  <w:t>p</w:t>
            </w:r>
            <w:r w:rsidR="001130AB"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  <w:t>odhodnocení</w:t>
            </w:r>
          </w:p>
        </w:tc>
        <w:tc>
          <w:tcPr>
            <w:tcW w:w="240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5F1FF"/>
            <w:vAlign w:val="center"/>
            <w:hideMark/>
          </w:tcPr>
          <w:p w14:paraId="43202651" w14:textId="77777777" w:rsidR="001130AB" w:rsidRPr="00E415EE" w:rsidRDefault="001130AB" w:rsidP="00914FA0">
            <w:pPr>
              <w:spacing w:after="0"/>
              <w:jc w:val="center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</w:p>
        </w:tc>
      </w:tr>
      <w:tr w:rsidR="00D63F70" w:rsidRPr="00683C72" w14:paraId="0597DA8D" w14:textId="77777777" w:rsidTr="00B76C7C">
        <w:trPr>
          <w:trHeight w:val="300"/>
        </w:trPr>
        <w:tc>
          <w:tcPr>
            <w:tcW w:w="369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D38C8D" w14:textId="77777777" w:rsidR="003A4862" w:rsidRPr="00E415EE" w:rsidRDefault="001130AB" w:rsidP="00914FA0">
            <w:pPr>
              <w:spacing w:after="0"/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  <w:t>Celková nesprávnost vykázaných hodnot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C3F1A9" w14:textId="77777777" w:rsidR="003A4862" w:rsidRDefault="00CB5F84" w:rsidP="00B76C7C">
            <w:pPr>
              <w:spacing w:after="0"/>
              <w:ind w:right="129"/>
              <w:jc w:val="right"/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  <w:t>5 367 838</w:t>
            </w:r>
          </w:p>
        </w:tc>
        <w:tc>
          <w:tcPr>
            <w:tcW w:w="15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1AC4B9" w14:textId="77777777" w:rsidR="003A4862" w:rsidRDefault="00CB5F84" w:rsidP="00B76C7C">
            <w:pPr>
              <w:spacing w:after="0"/>
              <w:ind w:right="138"/>
              <w:jc w:val="right"/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  <w:t>8 543 728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F9CF70" w14:textId="77777777" w:rsidR="003A4862" w:rsidRPr="00E415EE" w:rsidRDefault="00CB5F84" w:rsidP="00B76C7C">
            <w:pPr>
              <w:spacing w:after="0"/>
              <w:ind w:right="66"/>
              <w:jc w:val="right"/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  <w:t>13 911</w:t>
            </w:r>
            <w:r w:rsidR="00E2221E"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  <w:t> </w:t>
            </w:r>
            <w:r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  <w:t>565</w:t>
            </w:r>
          </w:p>
        </w:tc>
      </w:tr>
      <w:tr w:rsidR="00D63F70" w:rsidRPr="00683C72" w14:paraId="674149B7" w14:textId="77777777" w:rsidTr="00B76C7C">
        <w:trPr>
          <w:trHeight w:val="300"/>
        </w:trPr>
        <w:tc>
          <w:tcPr>
            <w:tcW w:w="369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A8050D" w14:textId="77777777" w:rsidR="003A4862" w:rsidRPr="004E24D7" w:rsidRDefault="003A4862" w:rsidP="00914FA0">
            <w:pPr>
              <w:spacing w:after="0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 w:rsidRPr="004E24D7"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Rozvaha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1D6958C" w14:textId="77777777" w:rsidR="003A4862" w:rsidRDefault="00CB5F84" w:rsidP="001130AB">
            <w:pPr>
              <w:spacing w:after="0"/>
              <w:ind w:right="129"/>
              <w:jc w:val="right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4 230 000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33DCD3" w14:textId="77777777" w:rsidR="003A4862" w:rsidRDefault="00CB5F84" w:rsidP="001130AB">
            <w:pPr>
              <w:spacing w:after="0"/>
              <w:ind w:right="138"/>
              <w:jc w:val="right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7 584 885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AB50A3" w14:textId="77777777" w:rsidR="003A4862" w:rsidRPr="004E24D7" w:rsidRDefault="00CB5F84" w:rsidP="00B76C7C">
            <w:pPr>
              <w:spacing w:after="0"/>
              <w:ind w:right="66"/>
              <w:jc w:val="right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11 814 885</w:t>
            </w:r>
          </w:p>
        </w:tc>
      </w:tr>
      <w:tr w:rsidR="00D63F70" w:rsidRPr="004E24D7" w14:paraId="53314F9E" w14:textId="77777777" w:rsidTr="00B76C7C">
        <w:trPr>
          <w:trHeight w:val="300"/>
        </w:trPr>
        <w:tc>
          <w:tcPr>
            <w:tcW w:w="369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B5DCC7" w14:textId="77777777" w:rsidR="003A4862" w:rsidRPr="004E24D7" w:rsidRDefault="003A4862" w:rsidP="00914FA0">
            <w:pPr>
              <w:spacing w:after="0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 w:rsidRPr="004E24D7"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Výkaz zisku a ztráty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1E39C54" w14:textId="77777777" w:rsidR="003A4862" w:rsidRDefault="00CB5F84" w:rsidP="001130AB">
            <w:pPr>
              <w:spacing w:after="0"/>
              <w:ind w:right="129"/>
              <w:jc w:val="right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1 137 838</w:t>
            </w:r>
          </w:p>
        </w:tc>
        <w:tc>
          <w:tcPr>
            <w:tcW w:w="15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F11AC9" w14:textId="77777777" w:rsidR="003A4862" w:rsidRDefault="00CB5F84" w:rsidP="001130AB">
            <w:pPr>
              <w:spacing w:after="0"/>
              <w:ind w:right="138"/>
              <w:jc w:val="right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958 843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9D4372" w14:textId="77777777" w:rsidR="003A4862" w:rsidRPr="004E24D7" w:rsidRDefault="00CB5F84" w:rsidP="00B76C7C">
            <w:pPr>
              <w:spacing w:after="0"/>
              <w:ind w:right="66"/>
              <w:jc w:val="right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2 096 681</w:t>
            </w:r>
          </w:p>
        </w:tc>
      </w:tr>
      <w:tr w:rsidR="00D63F70" w:rsidRPr="004E24D7" w14:paraId="2CAE667D" w14:textId="77777777" w:rsidTr="00B76C7C">
        <w:trPr>
          <w:trHeight w:val="300"/>
        </w:trPr>
        <w:tc>
          <w:tcPr>
            <w:tcW w:w="369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C84D1F" w14:textId="77777777" w:rsidR="003A4862" w:rsidRPr="004E24D7" w:rsidRDefault="003A4862" w:rsidP="00914FA0">
            <w:pPr>
              <w:spacing w:after="0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 w:rsidRPr="004E24D7"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Přehled o peněžních tocích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043673F" w14:textId="77777777" w:rsidR="003A4862" w:rsidRPr="004E24D7" w:rsidRDefault="00CB5F84" w:rsidP="001130AB">
            <w:pPr>
              <w:spacing w:after="0"/>
              <w:ind w:right="129"/>
              <w:jc w:val="right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DC8C38" w14:textId="77777777" w:rsidR="003A4862" w:rsidRPr="004E24D7" w:rsidRDefault="00CB5F84" w:rsidP="00B76C7C">
            <w:pPr>
              <w:spacing w:after="0"/>
              <w:ind w:right="138"/>
              <w:jc w:val="right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FBF9E4" w14:textId="77777777" w:rsidR="003A4862" w:rsidRPr="004E24D7" w:rsidRDefault="003A4862" w:rsidP="00B76C7C">
            <w:pPr>
              <w:spacing w:after="0"/>
              <w:ind w:right="66"/>
              <w:jc w:val="right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 w:rsidRPr="004E24D7"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0</w:t>
            </w:r>
          </w:p>
        </w:tc>
      </w:tr>
      <w:tr w:rsidR="00D63F70" w:rsidRPr="00683C72" w14:paraId="13334444" w14:textId="77777777" w:rsidTr="00B76C7C">
        <w:trPr>
          <w:trHeight w:val="300"/>
        </w:trPr>
        <w:tc>
          <w:tcPr>
            <w:tcW w:w="369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9E87E7" w14:textId="77777777" w:rsidR="003A4862" w:rsidRPr="004E24D7" w:rsidRDefault="003A4862" w:rsidP="00914FA0">
            <w:pPr>
              <w:spacing w:after="0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 w:rsidRPr="004E24D7"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Přehled o změnách vlastního kapitálu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1D06F21" w14:textId="77777777" w:rsidR="003A4862" w:rsidRPr="004E24D7" w:rsidRDefault="00CB5F84" w:rsidP="001130AB">
            <w:pPr>
              <w:spacing w:after="0"/>
              <w:ind w:right="129"/>
              <w:jc w:val="right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440009" w14:textId="77777777" w:rsidR="003A4862" w:rsidRPr="004E24D7" w:rsidRDefault="00CB5F84" w:rsidP="001130AB">
            <w:pPr>
              <w:spacing w:after="0"/>
              <w:ind w:right="138"/>
              <w:jc w:val="right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C211D7" w14:textId="77777777" w:rsidR="003A4862" w:rsidRPr="004E24D7" w:rsidRDefault="003A4862" w:rsidP="00B76C7C">
            <w:pPr>
              <w:spacing w:after="0"/>
              <w:ind w:right="66"/>
              <w:jc w:val="right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 w:rsidRPr="004E24D7"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0</w:t>
            </w:r>
          </w:p>
        </w:tc>
      </w:tr>
      <w:tr w:rsidR="00D63F70" w:rsidRPr="00683C72" w14:paraId="14DF8167" w14:textId="77777777" w:rsidTr="00B76C7C">
        <w:trPr>
          <w:trHeight w:val="300"/>
        </w:trPr>
        <w:tc>
          <w:tcPr>
            <w:tcW w:w="3691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CEB268" w14:textId="77777777" w:rsidR="003A4862" w:rsidRPr="004E24D7" w:rsidRDefault="003A4862" w:rsidP="00914FA0">
            <w:pPr>
              <w:spacing w:after="0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 w:rsidRPr="004E24D7"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Příloha účetní závěrky (podrozvahové účty)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049F011F" w14:textId="77777777" w:rsidR="003A4862" w:rsidRPr="004E24D7" w:rsidRDefault="001130AB" w:rsidP="00B76C7C">
            <w:pPr>
              <w:spacing w:after="0"/>
              <w:ind w:right="129"/>
              <w:jc w:val="right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2FAC4B9" w14:textId="77777777" w:rsidR="003A4862" w:rsidRPr="004E24D7" w:rsidRDefault="001130AB" w:rsidP="00B76C7C">
            <w:pPr>
              <w:spacing w:after="0"/>
              <w:ind w:right="138"/>
              <w:jc w:val="right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9CB77" w14:textId="77777777" w:rsidR="003A4862" w:rsidRPr="004E24D7" w:rsidRDefault="003A4862" w:rsidP="00B76C7C">
            <w:pPr>
              <w:spacing w:after="0"/>
              <w:ind w:right="66"/>
              <w:jc w:val="right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 w:rsidRPr="004E24D7"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 xml:space="preserve"> 0</w:t>
            </w:r>
          </w:p>
        </w:tc>
      </w:tr>
    </w:tbl>
    <w:p w14:paraId="5D7418D8" w14:textId="7310A0A9" w:rsidR="00350785" w:rsidRDefault="00350785" w:rsidP="00124170">
      <w:pPr>
        <w:spacing w:after="0"/>
        <w:ind w:left="567" w:hanging="567"/>
        <w:rPr>
          <w:rFonts w:asciiTheme="minorHAnsi" w:eastAsiaTheme="minorHAnsi" w:hAnsiTheme="minorHAnsi" w:cs="Calibri"/>
          <w:bCs/>
          <w:sz w:val="20"/>
          <w:szCs w:val="20"/>
        </w:rPr>
      </w:pPr>
      <w:r w:rsidRPr="00D40705">
        <w:rPr>
          <w:rFonts w:asciiTheme="minorHAnsi" w:eastAsiaTheme="minorHAnsi" w:hAnsiTheme="minorHAnsi" w:cs="Calibri"/>
          <w:b/>
          <w:sz w:val="20"/>
          <w:szCs w:val="20"/>
        </w:rPr>
        <w:t>Zdroj:</w:t>
      </w:r>
      <w:r w:rsidRPr="00D40705">
        <w:rPr>
          <w:rFonts w:asciiTheme="minorHAnsi" w:eastAsiaTheme="minorHAnsi" w:hAnsiTheme="minorHAnsi" w:cs="Calibri"/>
          <w:bCs/>
          <w:sz w:val="20"/>
          <w:szCs w:val="20"/>
        </w:rPr>
        <w:t xml:space="preserve"> </w:t>
      </w:r>
      <w:r w:rsidR="00583C50">
        <w:rPr>
          <w:rFonts w:asciiTheme="minorHAnsi" w:eastAsiaTheme="minorHAnsi" w:hAnsiTheme="minorHAnsi" w:cs="Calibri"/>
          <w:bCs/>
          <w:sz w:val="20"/>
          <w:szCs w:val="20"/>
        </w:rPr>
        <w:tab/>
        <w:t>v</w:t>
      </w:r>
      <w:r w:rsidRPr="00D40705">
        <w:rPr>
          <w:rFonts w:asciiTheme="minorHAnsi" w:eastAsiaTheme="minorHAnsi" w:hAnsiTheme="minorHAnsi" w:cs="Calibri"/>
          <w:bCs/>
          <w:sz w:val="20"/>
          <w:szCs w:val="20"/>
        </w:rPr>
        <w:t>ýpočet provedl NKÚ na základě dat získaných kontrolou.</w:t>
      </w:r>
    </w:p>
    <w:p w14:paraId="49E9FACC" w14:textId="7A87DEC6" w:rsidR="001130AB" w:rsidRPr="00CB5F84" w:rsidRDefault="001130AB" w:rsidP="00124170">
      <w:pPr>
        <w:spacing w:after="0"/>
        <w:ind w:left="567" w:hanging="567"/>
        <w:jc w:val="both"/>
        <w:rPr>
          <w:rFonts w:asciiTheme="minorHAnsi" w:eastAsiaTheme="minorHAnsi" w:hAnsiTheme="minorHAnsi" w:cs="Calibri"/>
          <w:bCs/>
          <w:sz w:val="20"/>
          <w:szCs w:val="20"/>
        </w:rPr>
      </w:pPr>
      <w:r w:rsidRPr="00B76C7C">
        <w:rPr>
          <w:rFonts w:asciiTheme="minorHAnsi" w:eastAsiaTheme="minorHAnsi" w:hAnsiTheme="minorHAnsi" w:cs="Calibri"/>
          <w:b/>
          <w:sz w:val="20"/>
          <w:szCs w:val="20"/>
        </w:rPr>
        <w:t>Pozn.:</w:t>
      </w:r>
      <w:r>
        <w:rPr>
          <w:rFonts w:asciiTheme="minorHAnsi" w:eastAsiaTheme="minorHAnsi" w:hAnsiTheme="minorHAnsi" w:cs="Calibri"/>
          <w:b/>
          <w:sz w:val="20"/>
          <w:szCs w:val="20"/>
        </w:rPr>
        <w:t xml:space="preserve"> </w:t>
      </w:r>
      <w:r w:rsidR="00583C50">
        <w:rPr>
          <w:rFonts w:asciiTheme="minorHAnsi" w:eastAsiaTheme="minorHAnsi" w:hAnsiTheme="minorHAnsi" w:cs="Calibri"/>
          <w:b/>
          <w:sz w:val="20"/>
          <w:szCs w:val="20"/>
        </w:rPr>
        <w:tab/>
      </w:r>
      <w:r w:rsidR="00364649" w:rsidRPr="008E00DF">
        <w:rPr>
          <w:rFonts w:asciiTheme="minorHAnsi" w:eastAsiaTheme="minorHAnsi" w:hAnsiTheme="minorHAnsi" w:cs="Calibri"/>
          <w:bCs/>
          <w:sz w:val="20"/>
          <w:szCs w:val="20"/>
        </w:rPr>
        <w:t>V případě souvztažných pochybení v </w:t>
      </w:r>
      <w:r w:rsidR="00303BD9">
        <w:rPr>
          <w:rFonts w:asciiTheme="minorHAnsi" w:eastAsiaTheme="minorHAnsi" w:hAnsiTheme="minorHAnsi" w:cs="Calibri"/>
          <w:bCs/>
          <w:sz w:val="20"/>
          <w:szCs w:val="20"/>
        </w:rPr>
        <w:t>„</w:t>
      </w:r>
      <w:r w:rsidR="00583C50">
        <w:rPr>
          <w:rFonts w:asciiTheme="minorHAnsi" w:eastAsiaTheme="minorHAnsi" w:hAnsiTheme="minorHAnsi" w:cs="Calibri"/>
          <w:bCs/>
          <w:sz w:val="20"/>
          <w:szCs w:val="20"/>
        </w:rPr>
        <w:t>r</w:t>
      </w:r>
      <w:r w:rsidR="00364649" w:rsidRPr="008E00DF">
        <w:rPr>
          <w:rFonts w:asciiTheme="minorHAnsi" w:eastAsiaTheme="minorHAnsi" w:hAnsiTheme="minorHAnsi" w:cs="Calibri"/>
          <w:bCs/>
          <w:sz w:val="20"/>
          <w:szCs w:val="20"/>
        </w:rPr>
        <w:t>ozvaze</w:t>
      </w:r>
      <w:r w:rsidR="00303BD9">
        <w:rPr>
          <w:rFonts w:asciiTheme="minorHAnsi" w:eastAsiaTheme="minorHAnsi" w:hAnsiTheme="minorHAnsi" w:cs="Calibri"/>
          <w:bCs/>
          <w:sz w:val="20"/>
          <w:szCs w:val="20"/>
        </w:rPr>
        <w:t>“</w:t>
      </w:r>
      <w:r w:rsidR="00364649" w:rsidRPr="008E00DF">
        <w:rPr>
          <w:rFonts w:asciiTheme="minorHAnsi" w:eastAsiaTheme="minorHAnsi" w:hAnsiTheme="minorHAnsi" w:cs="Calibri"/>
          <w:bCs/>
          <w:sz w:val="20"/>
          <w:szCs w:val="20"/>
        </w:rPr>
        <w:t xml:space="preserve"> a </w:t>
      </w:r>
      <w:r w:rsidR="00303BD9">
        <w:rPr>
          <w:rFonts w:asciiTheme="minorHAnsi" w:eastAsiaTheme="minorHAnsi" w:hAnsiTheme="minorHAnsi" w:cs="Calibri"/>
          <w:bCs/>
          <w:sz w:val="20"/>
          <w:szCs w:val="20"/>
        </w:rPr>
        <w:t>„</w:t>
      </w:r>
      <w:r w:rsidR="00583C50">
        <w:rPr>
          <w:rFonts w:asciiTheme="minorHAnsi" w:eastAsiaTheme="minorHAnsi" w:hAnsiTheme="minorHAnsi" w:cs="Calibri"/>
          <w:bCs/>
          <w:sz w:val="20"/>
          <w:szCs w:val="20"/>
        </w:rPr>
        <w:t>v</w:t>
      </w:r>
      <w:r w:rsidR="00364649" w:rsidRPr="008E00DF">
        <w:rPr>
          <w:rFonts w:asciiTheme="minorHAnsi" w:eastAsiaTheme="minorHAnsi" w:hAnsiTheme="minorHAnsi" w:cs="Calibri"/>
          <w:bCs/>
          <w:sz w:val="20"/>
          <w:szCs w:val="20"/>
        </w:rPr>
        <w:t xml:space="preserve">ýkazu zisku </w:t>
      </w:r>
      <w:r w:rsidR="00583C50">
        <w:rPr>
          <w:rFonts w:asciiTheme="minorHAnsi" w:eastAsiaTheme="minorHAnsi" w:hAnsiTheme="minorHAnsi" w:cs="Calibri"/>
          <w:bCs/>
          <w:sz w:val="20"/>
          <w:szCs w:val="20"/>
        </w:rPr>
        <w:t xml:space="preserve">a </w:t>
      </w:r>
      <w:r w:rsidR="00364649" w:rsidRPr="008E00DF">
        <w:rPr>
          <w:rFonts w:asciiTheme="minorHAnsi" w:eastAsiaTheme="minorHAnsi" w:hAnsiTheme="minorHAnsi" w:cs="Calibri"/>
          <w:bCs/>
          <w:sz w:val="20"/>
          <w:szCs w:val="20"/>
        </w:rPr>
        <w:t>ztráty</w:t>
      </w:r>
      <w:r w:rsidR="00303BD9">
        <w:rPr>
          <w:rFonts w:asciiTheme="minorHAnsi" w:eastAsiaTheme="minorHAnsi" w:hAnsiTheme="minorHAnsi" w:cs="Calibri"/>
          <w:bCs/>
          <w:sz w:val="20"/>
          <w:szCs w:val="20"/>
        </w:rPr>
        <w:t>“</w:t>
      </w:r>
      <w:r w:rsidR="00364649" w:rsidRPr="008E00DF">
        <w:rPr>
          <w:rFonts w:asciiTheme="minorHAnsi" w:eastAsiaTheme="minorHAnsi" w:hAnsiTheme="minorHAnsi" w:cs="Calibri"/>
          <w:bCs/>
          <w:sz w:val="20"/>
          <w:szCs w:val="20"/>
        </w:rPr>
        <w:t xml:space="preserve"> je pro </w:t>
      </w:r>
      <w:r w:rsidR="00E23B2E">
        <w:rPr>
          <w:rFonts w:asciiTheme="minorHAnsi" w:eastAsiaTheme="minorHAnsi" w:hAnsiTheme="minorHAnsi" w:cs="Calibri"/>
          <w:bCs/>
          <w:sz w:val="20"/>
          <w:szCs w:val="20"/>
        </w:rPr>
        <w:t>účely vyčíslení</w:t>
      </w:r>
      <w:r w:rsidR="00364649" w:rsidRPr="008E00DF">
        <w:rPr>
          <w:rFonts w:asciiTheme="minorHAnsi" w:eastAsiaTheme="minorHAnsi" w:hAnsiTheme="minorHAnsi" w:cs="Calibri"/>
          <w:bCs/>
          <w:sz w:val="20"/>
          <w:szCs w:val="20"/>
        </w:rPr>
        <w:t xml:space="preserve"> celkových nesprávností</w:t>
      </w:r>
      <w:r w:rsidR="00034564">
        <w:rPr>
          <w:rFonts w:asciiTheme="minorHAnsi" w:eastAsiaTheme="minorHAnsi" w:hAnsiTheme="minorHAnsi" w:cs="Calibri"/>
          <w:bCs/>
          <w:sz w:val="20"/>
          <w:szCs w:val="20"/>
        </w:rPr>
        <w:t xml:space="preserve"> v ÚZ</w:t>
      </w:r>
      <w:r w:rsidR="00364649" w:rsidRPr="008E00DF">
        <w:rPr>
          <w:rFonts w:asciiTheme="minorHAnsi" w:eastAsiaTheme="minorHAnsi" w:hAnsiTheme="minorHAnsi" w:cs="Calibri"/>
          <w:bCs/>
          <w:sz w:val="20"/>
          <w:szCs w:val="20"/>
        </w:rPr>
        <w:t xml:space="preserve"> započtena z každého výkazu polovina </w:t>
      </w:r>
      <w:r w:rsidR="00364649">
        <w:rPr>
          <w:rFonts w:asciiTheme="minorHAnsi" w:eastAsiaTheme="minorHAnsi" w:hAnsiTheme="minorHAnsi" w:cs="Calibri"/>
          <w:bCs/>
          <w:sz w:val="20"/>
          <w:szCs w:val="20"/>
        </w:rPr>
        <w:t>hodnotové chyby.</w:t>
      </w:r>
      <w:r w:rsidR="00B169CD">
        <w:rPr>
          <w:rFonts w:asciiTheme="minorHAnsi" w:eastAsiaTheme="minorHAnsi" w:hAnsiTheme="minorHAnsi" w:cs="Calibri"/>
          <w:bCs/>
          <w:sz w:val="20"/>
          <w:szCs w:val="20"/>
        </w:rPr>
        <w:t xml:space="preserve"> Smyslem údaje o celkové započtené nesprávnosti je vyjádřit výši nesprávnosti jedním číslem pro potřeby porovnání </w:t>
      </w:r>
      <w:r w:rsidR="00583C50">
        <w:rPr>
          <w:rFonts w:asciiTheme="minorHAnsi" w:eastAsiaTheme="minorHAnsi" w:hAnsiTheme="minorHAnsi" w:cs="Calibri"/>
          <w:bCs/>
          <w:sz w:val="20"/>
          <w:szCs w:val="20"/>
        </w:rPr>
        <w:t>se</w:t>
      </w:r>
      <w:r w:rsidR="00B169CD">
        <w:rPr>
          <w:rFonts w:asciiTheme="minorHAnsi" w:eastAsiaTheme="minorHAnsi" w:hAnsiTheme="minorHAnsi" w:cs="Calibri"/>
          <w:bCs/>
          <w:sz w:val="20"/>
          <w:szCs w:val="20"/>
        </w:rPr>
        <w:t xml:space="preserve"> </w:t>
      </w:r>
      <w:r w:rsidR="004946A3">
        <w:rPr>
          <w:rFonts w:asciiTheme="minorHAnsi" w:eastAsiaTheme="minorHAnsi" w:hAnsiTheme="minorHAnsi" w:cs="Calibri"/>
          <w:bCs/>
          <w:sz w:val="20"/>
          <w:szCs w:val="20"/>
        </w:rPr>
        <w:t xml:space="preserve">stanovenou </w:t>
      </w:r>
      <w:r w:rsidR="00583C50">
        <w:rPr>
          <w:rFonts w:asciiTheme="minorHAnsi" w:eastAsiaTheme="minorHAnsi" w:hAnsiTheme="minorHAnsi" w:cs="Calibri"/>
          <w:bCs/>
          <w:sz w:val="20"/>
          <w:szCs w:val="20"/>
        </w:rPr>
        <w:t xml:space="preserve">hladinou </w:t>
      </w:r>
      <w:r w:rsidR="004946A3">
        <w:rPr>
          <w:rFonts w:asciiTheme="minorHAnsi" w:eastAsiaTheme="minorHAnsi" w:hAnsiTheme="minorHAnsi" w:cs="Calibri"/>
          <w:bCs/>
          <w:sz w:val="20"/>
          <w:szCs w:val="20"/>
        </w:rPr>
        <w:t>významnost</w:t>
      </w:r>
      <w:r w:rsidR="00583C50">
        <w:rPr>
          <w:rFonts w:asciiTheme="minorHAnsi" w:eastAsiaTheme="minorHAnsi" w:hAnsiTheme="minorHAnsi" w:cs="Calibri"/>
          <w:bCs/>
          <w:sz w:val="20"/>
          <w:szCs w:val="20"/>
        </w:rPr>
        <w:t>i</w:t>
      </w:r>
      <w:r w:rsidR="004946A3">
        <w:rPr>
          <w:rFonts w:asciiTheme="minorHAnsi" w:eastAsiaTheme="minorHAnsi" w:hAnsiTheme="minorHAnsi" w:cs="Calibri"/>
          <w:bCs/>
          <w:sz w:val="20"/>
          <w:szCs w:val="20"/>
        </w:rPr>
        <w:t>.</w:t>
      </w:r>
      <w:r w:rsidR="00B169CD">
        <w:rPr>
          <w:rFonts w:asciiTheme="minorHAnsi" w:eastAsiaTheme="minorHAnsi" w:hAnsiTheme="minorHAnsi" w:cs="Calibri"/>
          <w:bCs/>
          <w:sz w:val="20"/>
          <w:szCs w:val="20"/>
        </w:rPr>
        <w:t xml:space="preserve"> </w:t>
      </w:r>
      <w:r w:rsidR="00D63F70">
        <w:rPr>
          <w:rFonts w:asciiTheme="minorHAnsi" w:eastAsiaTheme="minorHAnsi" w:hAnsiTheme="minorHAnsi" w:cs="Calibri"/>
          <w:bCs/>
          <w:sz w:val="20"/>
          <w:szCs w:val="20"/>
        </w:rPr>
        <w:t>Z důvodu zaokrouhlování číselných údajů nemusí vždy souč</w:t>
      </w:r>
      <w:r w:rsidR="00583C50">
        <w:rPr>
          <w:rFonts w:asciiTheme="minorHAnsi" w:eastAsiaTheme="minorHAnsi" w:hAnsiTheme="minorHAnsi" w:cs="Calibri"/>
          <w:bCs/>
          <w:sz w:val="20"/>
          <w:szCs w:val="20"/>
        </w:rPr>
        <w:t>e</w:t>
      </w:r>
      <w:r w:rsidR="00D63F70">
        <w:rPr>
          <w:rFonts w:asciiTheme="minorHAnsi" w:eastAsiaTheme="minorHAnsi" w:hAnsiTheme="minorHAnsi" w:cs="Calibri"/>
          <w:bCs/>
          <w:sz w:val="20"/>
          <w:szCs w:val="20"/>
        </w:rPr>
        <w:t xml:space="preserve">t dílčích údajů </w:t>
      </w:r>
      <w:r w:rsidR="00583C50">
        <w:rPr>
          <w:rFonts w:asciiTheme="minorHAnsi" w:eastAsiaTheme="minorHAnsi" w:hAnsiTheme="minorHAnsi" w:cs="Calibri"/>
          <w:bCs/>
          <w:sz w:val="20"/>
          <w:szCs w:val="20"/>
        </w:rPr>
        <w:t>odpovídat částce celkové nesprávnosti</w:t>
      </w:r>
      <w:r w:rsidR="00D63F70">
        <w:rPr>
          <w:rFonts w:asciiTheme="minorHAnsi" w:eastAsiaTheme="minorHAnsi" w:hAnsiTheme="minorHAnsi" w:cs="Calibri"/>
          <w:bCs/>
          <w:sz w:val="20"/>
          <w:szCs w:val="20"/>
        </w:rPr>
        <w:t>.</w:t>
      </w:r>
      <w:r w:rsidRPr="00B76C7C">
        <w:rPr>
          <w:rFonts w:asciiTheme="minorHAnsi" w:eastAsiaTheme="minorHAnsi" w:hAnsiTheme="minorHAnsi" w:cs="Calibri"/>
          <w:b/>
          <w:sz w:val="20"/>
          <w:szCs w:val="20"/>
        </w:rPr>
        <w:t xml:space="preserve"> </w:t>
      </w:r>
    </w:p>
    <w:p w14:paraId="30474644" w14:textId="77777777" w:rsidR="00211287" w:rsidRDefault="00211287" w:rsidP="00B93CEB">
      <w:pPr>
        <w:spacing w:after="0"/>
        <w:jc w:val="both"/>
        <w:rPr>
          <w:rFonts w:asciiTheme="minorHAnsi" w:hAnsiTheme="minorHAnsi" w:cstheme="minorHAnsi"/>
          <w:spacing w:val="-2"/>
          <w:highlight w:val="yellow"/>
        </w:rPr>
      </w:pPr>
    </w:p>
    <w:p w14:paraId="395F7698" w14:textId="77777777" w:rsidR="004E1935" w:rsidRPr="001B4D88" w:rsidRDefault="00914FA0" w:rsidP="00315B0B">
      <w:pPr>
        <w:jc w:val="both"/>
        <w:rPr>
          <w:rFonts w:cs="Calibri"/>
        </w:rPr>
      </w:pPr>
      <w:r w:rsidRPr="00872B70">
        <w:rPr>
          <w:rFonts w:cs="Calibri"/>
        </w:rPr>
        <w:lastRenderedPageBreak/>
        <w:t xml:space="preserve">Celková </w:t>
      </w:r>
      <w:r w:rsidR="00A93504">
        <w:rPr>
          <w:rFonts w:cs="Calibri"/>
        </w:rPr>
        <w:t>výše</w:t>
      </w:r>
      <w:r w:rsidRPr="00872B70">
        <w:rPr>
          <w:rFonts w:cs="Calibri"/>
        </w:rPr>
        <w:t xml:space="preserve"> nesprávností</w:t>
      </w:r>
      <w:r w:rsidRPr="001B4D88">
        <w:rPr>
          <w:rFonts w:cs="Calibri"/>
        </w:rPr>
        <w:t>, které byly v</w:t>
      </w:r>
      <w:r w:rsidR="00CB5F84" w:rsidRPr="001B4D88">
        <w:rPr>
          <w:rFonts w:cs="Calibri"/>
        </w:rPr>
        <w:t xml:space="preserve"> údajích </w:t>
      </w:r>
      <w:r w:rsidRPr="001B4D88">
        <w:rPr>
          <w:rFonts w:cs="Calibri"/>
        </w:rPr>
        <w:t xml:space="preserve">ÚZ </w:t>
      </w:r>
      <w:r w:rsidR="00CB5F84" w:rsidRPr="001B4D88">
        <w:rPr>
          <w:rFonts w:cs="Calibri"/>
        </w:rPr>
        <w:t xml:space="preserve">za KO MV </w:t>
      </w:r>
      <w:r w:rsidRPr="001B4D88">
        <w:rPr>
          <w:rFonts w:cs="Calibri"/>
        </w:rPr>
        <w:t>zjištěny a vyčísleny,</w:t>
      </w:r>
      <w:r w:rsidR="00CB5F84" w:rsidRPr="001B4D88">
        <w:rPr>
          <w:rFonts w:cs="Calibri"/>
        </w:rPr>
        <w:t xml:space="preserve"> </w:t>
      </w:r>
      <w:r w:rsidR="00CB5F84" w:rsidRPr="00872B70">
        <w:rPr>
          <w:rFonts w:cs="Calibri"/>
        </w:rPr>
        <w:t>není</w:t>
      </w:r>
      <w:r w:rsidRPr="00872B70">
        <w:rPr>
          <w:rFonts w:cs="Calibri"/>
        </w:rPr>
        <w:t xml:space="preserve"> významná</w:t>
      </w:r>
      <w:r w:rsidRPr="001B4D88">
        <w:rPr>
          <w:rFonts w:cs="Calibri"/>
        </w:rPr>
        <w:t>.</w:t>
      </w:r>
    </w:p>
    <w:p w14:paraId="1E558188" w14:textId="77777777" w:rsidR="00914FA0" w:rsidRDefault="00983C54" w:rsidP="00315B0B">
      <w:pPr>
        <w:jc w:val="both"/>
        <w:rPr>
          <w:rFonts w:cs="Calibri"/>
        </w:rPr>
      </w:pPr>
      <w:r w:rsidRPr="00FB2A0C">
        <w:rPr>
          <w:rFonts w:asciiTheme="minorHAnsi" w:hAnsiTheme="minorHAnsi" w:cs="Calibri"/>
          <w:b/>
        </w:rPr>
        <w:t>Podle názoru</w:t>
      </w:r>
      <w:r>
        <w:rPr>
          <w:rFonts w:asciiTheme="minorHAnsi" w:hAnsiTheme="minorHAnsi" w:cs="Calibri"/>
          <w:b/>
        </w:rPr>
        <w:t xml:space="preserve"> NKÚ účetní závěrka MV sestavená k 31. prosinci 2021 v údajích za KO MV </w:t>
      </w:r>
      <w:r w:rsidR="001B4D88">
        <w:rPr>
          <w:rFonts w:asciiTheme="minorHAnsi" w:hAnsiTheme="minorHAnsi" w:cs="Calibri"/>
          <w:b/>
        </w:rPr>
        <w:t xml:space="preserve">podává </w:t>
      </w:r>
      <w:r>
        <w:rPr>
          <w:rFonts w:asciiTheme="minorHAnsi" w:hAnsiTheme="minorHAnsi" w:cs="Calibri"/>
          <w:b/>
        </w:rPr>
        <w:t>ve všech významných ohledech věrný a poctivý obraz předmětu účetnictví a finanční situace účetní jednotky dle účetních předpisů pro některé vybrané účetní jednotky.</w:t>
      </w:r>
      <w:r w:rsidR="00583B04">
        <w:rPr>
          <w:rFonts w:cs="Calibri"/>
        </w:rPr>
        <w:t xml:space="preserve"> </w:t>
      </w:r>
    </w:p>
    <w:p w14:paraId="51570FDA" w14:textId="77777777" w:rsidR="003664A1" w:rsidRPr="008C74BF" w:rsidRDefault="003664A1" w:rsidP="003664A1">
      <w:pPr>
        <w:jc w:val="both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NKÚ současně</w:t>
      </w:r>
      <w:r w:rsidRPr="008C74BF">
        <w:rPr>
          <w:rFonts w:asciiTheme="minorHAnsi" w:hAnsiTheme="minorHAnsi" w:cs="Calibri"/>
          <w:b/>
        </w:rPr>
        <w:t xml:space="preserve"> </w:t>
      </w:r>
      <w:r w:rsidR="001B4D88">
        <w:rPr>
          <w:rFonts w:asciiTheme="minorHAnsi" w:hAnsiTheme="minorHAnsi" w:cs="Calibri"/>
          <w:b/>
        </w:rPr>
        <w:t>upozorňuje na</w:t>
      </w:r>
      <w:r w:rsidRPr="008C74BF">
        <w:rPr>
          <w:rFonts w:asciiTheme="minorHAnsi" w:hAnsiTheme="minorHAnsi" w:cs="Calibri"/>
          <w:b/>
        </w:rPr>
        <w:t xml:space="preserve"> skutečnosti uvedené v příloze ÚZ</w:t>
      </w:r>
      <w:r w:rsidR="001B4D88">
        <w:rPr>
          <w:rFonts w:asciiTheme="minorHAnsi" w:hAnsiTheme="minorHAnsi" w:cs="Calibri"/>
          <w:b/>
        </w:rPr>
        <w:t xml:space="preserve"> v bodech</w:t>
      </w:r>
      <w:r w:rsidRPr="008C74BF">
        <w:rPr>
          <w:rFonts w:asciiTheme="minorHAnsi" w:hAnsiTheme="minorHAnsi" w:cs="Calibri"/>
          <w:b/>
        </w:rPr>
        <w:t>:</w:t>
      </w:r>
    </w:p>
    <w:p w14:paraId="1408090C" w14:textId="77777777" w:rsidR="003664A1" w:rsidRPr="008C74BF" w:rsidRDefault="003664A1" w:rsidP="00101CB1">
      <w:pPr>
        <w:pStyle w:val="Odstavecseseznamem"/>
        <w:numPr>
          <w:ilvl w:val="0"/>
          <w:numId w:val="10"/>
        </w:numPr>
        <w:ind w:left="714" w:hanging="357"/>
        <w:contextualSpacing w:val="0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theme="minorHAnsi"/>
          <w:b/>
          <w:bCs/>
        </w:rPr>
        <w:t xml:space="preserve">A.3. </w:t>
      </w:r>
      <w:r w:rsidRPr="00124170">
        <w:rPr>
          <w:rFonts w:asciiTheme="minorHAnsi" w:hAnsiTheme="minorHAnsi" w:cstheme="minorHAnsi"/>
          <w:b/>
          <w:bCs/>
          <w:i/>
        </w:rPr>
        <w:t>Informace podle § 7 odst. 5 zákona</w:t>
      </w:r>
      <w:r>
        <w:rPr>
          <w:rFonts w:asciiTheme="minorHAnsi" w:hAnsiTheme="minorHAnsi" w:cstheme="minorHAnsi"/>
          <w:b/>
          <w:bCs/>
        </w:rPr>
        <w:t xml:space="preserve"> k vykazování údajů za jinou OSS, čímž byly k 31. 12. 2021 průřezově ovlivněny zůstatky/stavy </w:t>
      </w:r>
      <w:r w:rsidR="001B4D88">
        <w:rPr>
          <w:rFonts w:asciiTheme="minorHAnsi" w:hAnsiTheme="minorHAnsi" w:cstheme="minorHAnsi"/>
          <w:b/>
          <w:bCs/>
        </w:rPr>
        <w:t>syntetických a</w:t>
      </w:r>
      <w:r w:rsidR="00FC3B7E">
        <w:rPr>
          <w:rFonts w:asciiTheme="minorHAnsi" w:hAnsiTheme="minorHAnsi" w:cstheme="minorHAnsi"/>
          <w:b/>
          <w:bCs/>
        </w:rPr>
        <w:t> </w:t>
      </w:r>
      <w:r w:rsidR="001B4D88">
        <w:rPr>
          <w:rFonts w:asciiTheme="minorHAnsi" w:hAnsiTheme="minorHAnsi" w:cstheme="minorHAnsi"/>
          <w:b/>
          <w:bCs/>
        </w:rPr>
        <w:t xml:space="preserve">podrozvahových </w:t>
      </w:r>
      <w:r>
        <w:rPr>
          <w:rFonts w:asciiTheme="minorHAnsi" w:hAnsiTheme="minorHAnsi" w:cstheme="minorHAnsi"/>
          <w:b/>
          <w:bCs/>
        </w:rPr>
        <w:t>účtů vykázaných v ÚZ;</w:t>
      </w:r>
    </w:p>
    <w:p w14:paraId="134FC596" w14:textId="3C63D687" w:rsidR="003664A1" w:rsidRPr="008C74BF" w:rsidRDefault="003664A1" w:rsidP="00101CB1">
      <w:pPr>
        <w:pStyle w:val="Odstavecseseznamem"/>
        <w:numPr>
          <w:ilvl w:val="0"/>
          <w:numId w:val="10"/>
        </w:numPr>
        <w:ind w:left="714" w:hanging="357"/>
        <w:contextualSpacing w:val="0"/>
        <w:jc w:val="both"/>
        <w:rPr>
          <w:rFonts w:asciiTheme="minorHAnsi" w:hAnsiTheme="minorHAnsi" w:cs="Calibri"/>
          <w:b/>
          <w:bCs/>
        </w:rPr>
      </w:pPr>
      <w:r w:rsidRPr="008C74BF">
        <w:rPr>
          <w:rFonts w:asciiTheme="minorHAnsi" w:eastAsiaTheme="minorHAnsi" w:hAnsiTheme="minorHAnsi" w:cstheme="minorHAnsi"/>
          <w:b/>
          <w:bCs/>
        </w:rPr>
        <w:t xml:space="preserve">E.1 </w:t>
      </w:r>
      <w:r w:rsidRPr="00124170">
        <w:rPr>
          <w:rFonts w:asciiTheme="minorHAnsi" w:eastAsiaTheme="minorHAnsi" w:hAnsiTheme="minorHAnsi" w:cstheme="minorHAnsi"/>
          <w:b/>
          <w:bCs/>
          <w:i/>
        </w:rPr>
        <w:t>Doplňující informace k položkám rozvahy</w:t>
      </w:r>
      <w:r w:rsidRPr="008C74BF">
        <w:rPr>
          <w:rFonts w:asciiTheme="minorHAnsi" w:eastAsiaTheme="minorHAnsi" w:hAnsiTheme="minorHAnsi" w:cstheme="minorHAnsi"/>
          <w:b/>
          <w:bCs/>
        </w:rPr>
        <w:t xml:space="preserve"> k</w:t>
      </w:r>
      <w:r w:rsidR="001B4D88">
        <w:rPr>
          <w:rFonts w:asciiTheme="minorHAnsi" w:eastAsiaTheme="minorHAnsi" w:hAnsiTheme="minorHAnsi" w:cstheme="minorHAnsi"/>
          <w:b/>
          <w:bCs/>
        </w:rPr>
        <w:t xml:space="preserve"> syntetickým </w:t>
      </w:r>
      <w:r>
        <w:rPr>
          <w:rFonts w:asciiTheme="minorHAnsi" w:eastAsiaTheme="minorHAnsi" w:hAnsiTheme="minorHAnsi" w:cstheme="minorHAnsi"/>
          <w:b/>
          <w:bCs/>
        </w:rPr>
        <w:t>účtům</w:t>
      </w:r>
      <w:r w:rsidRPr="008C74BF">
        <w:rPr>
          <w:rFonts w:asciiTheme="minorHAnsi" w:eastAsiaTheme="minorHAnsi" w:hAnsiTheme="minorHAnsi" w:cstheme="minorHAnsi"/>
          <w:b/>
          <w:bCs/>
        </w:rPr>
        <w:t xml:space="preserve"> 021 </w:t>
      </w:r>
      <w:r>
        <w:rPr>
          <w:rFonts w:asciiTheme="minorHAnsi" w:eastAsiaTheme="minorHAnsi" w:hAnsiTheme="minorHAnsi" w:cstheme="minorHAnsi"/>
          <w:b/>
          <w:bCs/>
        </w:rPr>
        <w:t xml:space="preserve">– </w:t>
      </w:r>
      <w:r w:rsidRPr="009D665D">
        <w:rPr>
          <w:rFonts w:asciiTheme="minorHAnsi" w:eastAsiaTheme="minorHAnsi" w:hAnsiTheme="minorHAnsi" w:cstheme="minorHAnsi"/>
          <w:b/>
          <w:bCs/>
          <w:i/>
          <w:iCs/>
        </w:rPr>
        <w:t>Stavby</w:t>
      </w:r>
      <w:r>
        <w:rPr>
          <w:rFonts w:asciiTheme="minorHAnsi" w:eastAsiaTheme="minorHAnsi" w:hAnsiTheme="minorHAnsi" w:cstheme="minorHAnsi"/>
          <w:b/>
          <w:bCs/>
        </w:rPr>
        <w:t xml:space="preserve"> </w:t>
      </w:r>
      <w:r w:rsidRPr="008C74BF">
        <w:rPr>
          <w:rFonts w:asciiTheme="minorHAnsi" w:eastAsiaTheme="minorHAnsi" w:hAnsiTheme="minorHAnsi" w:cstheme="minorHAnsi"/>
          <w:b/>
          <w:bCs/>
        </w:rPr>
        <w:t>a</w:t>
      </w:r>
      <w:r w:rsidR="00303BD9">
        <w:rPr>
          <w:rFonts w:asciiTheme="minorHAnsi" w:eastAsiaTheme="minorHAnsi" w:hAnsiTheme="minorHAnsi" w:cstheme="minorHAnsi"/>
          <w:b/>
          <w:bCs/>
        </w:rPr>
        <w:t> </w:t>
      </w:r>
      <w:r w:rsidRPr="008C74BF">
        <w:rPr>
          <w:rFonts w:asciiTheme="minorHAnsi" w:eastAsiaTheme="minorHAnsi" w:hAnsiTheme="minorHAnsi" w:cstheme="minorHAnsi"/>
          <w:b/>
          <w:bCs/>
        </w:rPr>
        <w:t>028</w:t>
      </w:r>
      <w:r w:rsidR="00303BD9">
        <w:rPr>
          <w:rFonts w:asciiTheme="minorHAnsi" w:eastAsiaTheme="minorHAnsi" w:hAnsiTheme="minorHAnsi" w:cstheme="minorHAnsi"/>
          <w:b/>
          <w:bCs/>
        </w:rPr>
        <w:t> </w:t>
      </w:r>
      <w:r>
        <w:rPr>
          <w:rFonts w:asciiTheme="minorHAnsi" w:eastAsiaTheme="minorHAnsi" w:hAnsiTheme="minorHAnsi" w:cstheme="minorHAnsi"/>
          <w:b/>
          <w:bCs/>
        </w:rPr>
        <w:t xml:space="preserve">– </w:t>
      </w:r>
      <w:r w:rsidRPr="009D665D">
        <w:rPr>
          <w:rFonts w:asciiTheme="minorHAnsi" w:eastAsiaTheme="minorHAnsi" w:hAnsiTheme="minorHAnsi" w:cstheme="minorHAnsi"/>
          <w:b/>
          <w:bCs/>
          <w:i/>
          <w:iCs/>
        </w:rPr>
        <w:t>Drobný dlouhodobý hmotný majetek</w:t>
      </w:r>
      <w:r>
        <w:rPr>
          <w:rFonts w:asciiTheme="minorHAnsi" w:eastAsiaTheme="minorHAnsi" w:hAnsiTheme="minorHAnsi" w:cstheme="minorHAnsi"/>
          <w:b/>
          <w:bCs/>
        </w:rPr>
        <w:t xml:space="preserve"> </w:t>
      </w:r>
      <w:r w:rsidRPr="008C74BF">
        <w:rPr>
          <w:rFonts w:asciiTheme="minorHAnsi" w:eastAsiaTheme="minorHAnsi" w:hAnsiTheme="minorHAnsi" w:cstheme="minorHAnsi"/>
          <w:b/>
          <w:bCs/>
        </w:rPr>
        <w:t xml:space="preserve">a E.2 </w:t>
      </w:r>
      <w:r w:rsidRPr="008C74BF">
        <w:rPr>
          <w:rFonts w:asciiTheme="minorHAnsi" w:eastAsiaTheme="minorHAnsi" w:hAnsiTheme="minorHAnsi" w:cstheme="minorHAnsi"/>
          <w:b/>
          <w:bCs/>
          <w:i/>
          <w:iCs/>
        </w:rPr>
        <w:t>Doplňující informace k položkám výkazu zisku a ztráty</w:t>
      </w:r>
      <w:r w:rsidRPr="008C74BF">
        <w:rPr>
          <w:rFonts w:asciiTheme="minorHAnsi" w:eastAsiaTheme="minorHAnsi" w:hAnsiTheme="minorHAnsi" w:cstheme="minorHAnsi"/>
          <w:b/>
          <w:bCs/>
        </w:rPr>
        <w:t xml:space="preserve"> </w:t>
      </w:r>
      <w:r>
        <w:rPr>
          <w:rFonts w:asciiTheme="minorHAnsi" w:eastAsiaTheme="minorHAnsi" w:hAnsiTheme="minorHAnsi" w:cstheme="minorHAnsi"/>
          <w:b/>
          <w:bCs/>
        </w:rPr>
        <w:t>k</w:t>
      </w:r>
      <w:r w:rsidR="001B4D88">
        <w:rPr>
          <w:rFonts w:asciiTheme="minorHAnsi" w:eastAsiaTheme="minorHAnsi" w:hAnsiTheme="minorHAnsi" w:cstheme="minorHAnsi"/>
          <w:b/>
          <w:bCs/>
        </w:rPr>
        <w:t xml:space="preserve"> syntetickým </w:t>
      </w:r>
      <w:r>
        <w:rPr>
          <w:rFonts w:asciiTheme="minorHAnsi" w:eastAsiaTheme="minorHAnsi" w:hAnsiTheme="minorHAnsi" w:cstheme="minorHAnsi"/>
          <w:b/>
          <w:bCs/>
        </w:rPr>
        <w:t>účtům</w:t>
      </w:r>
      <w:r w:rsidRPr="008C74BF">
        <w:rPr>
          <w:rFonts w:asciiTheme="minorHAnsi" w:eastAsiaTheme="minorHAnsi" w:hAnsiTheme="minorHAnsi" w:cstheme="minorHAnsi"/>
          <w:b/>
          <w:bCs/>
        </w:rPr>
        <w:t xml:space="preserve"> 502 </w:t>
      </w:r>
      <w:r>
        <w:rPr>
          <w:rFonts w:asciiTheme="minorHAnsi" w:eastAsiaTheme="minorHAnsi" w:hAnsiTheme="minorHAnsi" w:cstheme="minorHAnsi"/>
          <w:b/>
          <w:bCs/>
        </w:rPr>
        <w:t xml:space="preserve">– </w:t>
      </w:r>
      <w:r w:rsidRPr="009D665D">
        <w:rPr>
          <w:rFonts w:asciiTheme="minorHAnsi" w:eastAsiaTheme="minorHAnsi" w:hAnsiTheme="minorHAnsi" w:cstheme="minorHAnsi"/>
          <w:b/>
          <w:bCs/>
          <w:i/>
          <w:iCs/>
        </w:rPr>
        <w:t>Spotřeba energie</w:t>
      </w:r>
      <w:r>
        <w:rPr>
          <w:rFonts w:asciiTheme="minorHAnsi" w:eastAsiaTheme="minorHAnsi" w:hAnsiTheme="minorHAnsi" w:cstheme="minorHAnsi"/>
          <w:b/>
          <w:bCs/>
        </w:rPr>
        <w:t xml:space="preserve"> </w:t>
      </w:r>
      <w:r w:rsidRPr="008C74BF">
        <w:rPr>
          <w:rFonts w:asciiTheme="minorHAnsi" w:eastAsiaTheme="minorHAnsi" w:hAnsiTheme="minorHAnsi" w:cstheme="minorHAnsi"/>
          <w:b/>
          <w:bCs/>
        </w:rPr>
        <w:t>a</w:t>
      </w:r>
      <w:r>
        <w:rPr>
          <w:rFonts w:asciiTheme="minorHAnsi" w:eastAsiaTheme="minorHAnsi" w:hAnsiTheme="minorHAnsi" w:cstheme="minorHAnsi"/>
          <w:b/>
          <w:bCs/>
        </w:rPr>
        <w:t xml:space="preserve"> </w:t>
      </w:r>
      <w:r w:rsidRPr="008C74BF">
        <w:rPr>
          <w:rFonts w:asciiTheme="minorHAnsi" w:eastAsiaTheme="minorHAnsi" w:hAnsiTheme="minorHAnsi" w:cstheme="minorHAnsi"/>
          <w:b/>
          <w:bCs/>
        </w:rPr>
        <w:t>503</w:t>
      </w:r>
      <w:r>
        <w:rPr>
          <w:rFonts w:asciiTheme="minorHAnsi" w:eastAsiaTheme="minorHAnsi" w:hAnsiTheme="minorHAnsi" w:cstheme="minorHAnsi"/>
          <w:b/>
          <w:bCs/>
        </w:rPr>
        <w:t xml:space="preserve"> – </w:t>
      </w:r>
      <w:r w:rsidRPr="009D665D">
        <w:rPr>
          <w:rFonts w:asciiTheme="minorHAnsi" w:eastAsiaTheme="minorHAnsi" w:hAnsiTheme="minorHAnsi" w:cstheme="minorHAnsi"/>
          <w:b/>
          <w:bCs/>
          <w:i/>
          <w:iCs/>
        </w:rPr>
        <w:t>Spotřeba jiných neskladovatelných dodávek</w:t>
      </w:r>
      <w:r w:rsidRPr="008C74BF">
        <w:rPr>
          <w:rFonts w:asciiTheme="minorHAnsi" w:eastAsiaTheme="minorHAnsi" w:hAnsiTheme="minorHAnsi" w:cstheme="minorHAnsi"/>
          <w:b/>
          <w:bCs/>
        </w:rPr>
        <w:t xml:space="preserve"> v souvislosti s tím, že v rámci uvedených položek ÚZ nejsou vykázány údaje, které vykazuje PO, jež má příslušnost hospodařit s předmětným majetkem</w:t>
      </w:r>
      <w:r>
        <w:rPr>
          <w:rFonts w:asciiTheme="minorHAnsi" w:eastAsiaTheme="minorHAnsi" w:hAnsiTheme="minorHAnsi" w:cstheme="minorHAnsi"/>
          <w:b/>
          <w:bCs/>
        </w:rPr>
        <w:t xml:space="preserve">, </w:t>
      </w:r>
      <w:r w:rsidRPr="000663DC">
        <w:rPr>
          <w:rFonts w:asciiTheme="minorHAnsi" w:eastAsiaTheme="minorHAnsi" w:hAnsiTheme="minorHAnsi" w:cstheme="minorHAnsi"/>
          <w:b/>
          <w:bCs/>
        </w:rPr>
        <w:t xml:space="preserve">který užívá MV ke své činnosti. </w:t>
      </w:r>
      <w:r w:rsidRPr="0032797A">
        <w:rPr>
          <w:rFonts w:asciiTheme="minorHAnsi" w:hAnsiTheme="minorHAnsi" w:cstheme="minorHAnsi"/>
          <w:b/>
          <w:bCs/>
        </w:rPr>
        <w:t xml:space="preserve">MV neúčtuje o tomto majetku </w:t>
      </w:r>
      <w:r w:rsidRPr="0032797A">
        <w:rPr>
          <w:rFonts w:asciiTheme="minorHAnsi" w:hAnsiTheme="minorHAnsi" w:cstheme="minorHAnsi"/>
          <w:b/>
          <w:bCs/>
          <w:lang w:eastAsia="cs-CZ"/>
        </w:rPr>
        <w:t>ani o nákladech souvisejících se správou a údržbou tohoto majetku. Tyto činnosti zajišťuje a v souladu se skutečností o nich účtuje zřízená PO.</w:t>
      </w:r>
    </w:p>
    <w:p w14:paraId="765BD61E" w14:textId="77777777" w:rsidR="003664A1" w:rsidRDefault="003664A1" w:rsidP="003664A1">
      <w:pPr>
        <w:pStyle w:val="Odstavecseseznamem"/>
        <w:ind w:left="709"/>
        <w:contextualSpacing w:val="0"/>
        <w:jc w:val="both"/>
        <w:rPr>
          <w:rFonts w:asciiTheme="minorHAnsi" w:eastAsiaTheme="minorHAnsi" w:hAnsiTheme="minorHAnsi" w:cstheme="minorHAnsi"/>
          <w:b/>
          <w:bCs/>
        </w:rPr>
      </w:pPr>
      <w:r w:rsidRPr="008C74BF">
        <w:rPr>
          <w:rFonts w:asciiTheme="minorHAnsi" w:eastAsiaTheme="minorHAnsi" w:hAnsiTheme="minorHAnsi" w:cstheme="minorHAnsi"/>
          <w:b/>
          <w:bCs/>
        </w:rPr>
        <w:t>V</w:t>
      </w:r>
      <w:r>
        <w:rPr>
          <w:rFonts w:asciiTheme="minorHAnsi" w:eastAsiaTheme="minorHAnsi" w:hAnsiTheme="minorHAnsi" w:cstheme="minorHAnsi"/>
          <w:b/>
          <w:bCs/>
        </w:rPr>
        <w:t> </w:t>
      </w:r>
      <w:r w:rsidRPr="008C74BF">
        <w:rPr>
          <w:rFonts w:asciiTheme="minorHAnsi" w:eastAsiaTheme="minorHAnsi" w:hAnsiTheme="minorHAnsi" w:cstheme="minorHAnsi"/>
          <w:b/>
          <w:bCs/>
        </w:rPr>
        <w:t>případě</w:t>
      </w:r>
      <w:r>
        <w:rPr>
          <w:rFonts w:asciiTheme="minorHAnsi" w:eastAsiaTheme="minorHAnsi" w:hAnsiTheme="minorHAnsi" w:cstheme="minorHAnsi"/>
          <w:b/>
          <w:bCs/>
        </w:rPr>
        <w:t xml:space="preserve"> </w:t>
      </w:r>
      <w:r w:rsidR="001B4D88">
        <w:rPr>
          <w:rFonts w:asciiTheme="minorHAnsi" w:eastAsiaTheme="minorHAnsi" w:hAnsiTheme="minorHAnsi" w:cstheme="minorHAnsi"/>
          <w:b/>
          <w:bCs/>
        </w:rPr>
        <w:t xml:space="preserve">syntetického </w:t>
      </w:r>
      <w:r>
        <w:rPr>
          <w:rFonts w:asciiTheme="minorHAnsi" w:eastAsiaTheme="minorHAnsi" w:hAnsiTheme="minorHAnsi" w:cstheme="minorHAnsi"/>
          <w:b/>
          <w:bCs/>
        </w:rPr>
        <w:t>účtu</w:t>
      </w:r>
      <w:r w:rsidRPr="008C74BF">
        <w:rPr>
          <w:rFonts w:asciiTheme="minorHAnsi" w:eastAsiaTheme="minorHAnsi" w:hAnsiTheme="minorHAnsi" w:cstheme="minorHAnsi"/>
          <w:b/>
          <w:bCs/>
        </w:rPr>
        <w:t xml:space="preserve"> 021</w:t>
      </w:r>
      <w:r w:rsidR="001B4D88">
        <w:rPr>
          <w:rFonts w:asciiTheme="minorHAnsi" w:eastAsiaTheme="minorHAnsi" w:hAnsiTheme="minorHAnsi" w:cstheme="minorHAnsi"/>
          <w:b/>
          <w:bCs/>
        </w:rPr>
        <w:t xml:space="preserve"> – </w:t>
      </w:r>
      <w:r w:rsidR="001B4D88" w:rsidRPr="00872B70">
        <w:rPr>
          <w:rFonts w:asciiTheme="minorHAnsi" w:eastAsiaTheme="minorHAnsi" w:hAnsiTheme="minorHAnsi" w:cstheme="minorHAnsi"/>
          <w:b/>
          <w:bCs/>
          <w:i/>
          <w:iCs/>
        </w:rPr>
        <w:t>Stavby</w:t>
      </w:r>
      <w:r w:rsidRPr="008C74BF">
        <w:rPr>
          <w:rFonts w:asciiTheme="minorHAnsi" w:eastAsiaTheme="minorHAnsi" w:hAnsiTheme="minorHAnsi" w:cstheme="minorHAnsi"/>
          <w:b/>
          <w:bCs/>
        </w:rPr>
        <w:t xml:space="preserve"> se jedná o</w:t>
      </w:r>
      <w:r>
        <w:rPr>
          <w:rFonts w:asciiTheme="minorHAnsi" w:eastAsiaTheme="minorHAnsi" w:hAnsiTheme="minorHAnsi" w:cstheme="minorHAnsi"/>
          <w:b/>
          <w:bCs/>
        </w:rPr>
        <w:t xml:space="preserve"> majetek v </w:t>
      </w:r>
      <w:r w:rsidRPr="008C74BF">
        <w:rPr>
          <w:rFonts w:asciiTheme="minorHAnsi" w:eastAsiaTheme="minorHAnsi" w:hAnsiTheme="minorHAnsi" w:cstheme="minorHAnsi"/>
          <w:b/>
          <w:bCs/>
        </w:rPr>
        <w:t xml:space="preserve">ocenění </w:t>
      </w:r>
      <w:r>
        <w:rPr>
          <w:rFonts w:asciiTheme="minorHAnsi" w:eastAsiaTheme="minorHAnsi" w:hAnsiTheme="minorHAnsi" w:cstheme="minorHAnsi"/>
          <w:b/>
          <w:bCs/>
        </w:rPr>
        <w:t>(brutto) nejvýše 1,15 mld.</w:t>
      </w:r>
      <w:r w:rsidRPr="008C74BF">
        <w:rPr>
          <w:rFonts w:asciiTheme="minorHAnsi" w:eastAsiaTheme="minorHAnsi" w:hAnsiTheme="minorHAnsi" w:cstheme="minorHAnsi"/>
          <w:b/>
          <w:bCs/>
        </w:rPr>
        <w:t xml:space="preserve"> Kč</w:t>
      </w:r>
      <w:r>
        <w:rPr>
          <w:rFonts w:asciiTheme="minorHAnsi" w:eastAsiaTheme="minorHAnsi" w:hAnsiTheme="minorHAnsi" w:cstheme="minorHAnsi"/>
          <w:b/>
          <w:bCs/>
        </w:rPr>
        <w:t xml:space="preserve">, u </w:t>
      </w:r>
      <w:r w:rsidR="001B4D88">
        <w:rPr>
          <w:rFonts w:asciiTheme="minorHAnsi" w:eastAsiaTheme="minorHAnsi" w:hAnsiTheme="minorHAnsi" w:cstheme="minorHAnsi"/>
          <w:b/>
          <w:bCs/>
        </w:rPr>
        <w:t xml:space="preserve">syntetického </w:t>
      </w:r>
      <w:r>
        <w:rPr>
          <w:rFonts w:asciiTheme="minorHAnsi" w:eastAsiaTheme="minorHAnsi" w:hAnsiTheme="minorHAnsi" w:cstheme="minorHAnsi"/>
          <w:b/>
          <w:bCs/>
        </w:rPr>
        <w:t>účtu</w:t>
      </w:r>
      <w:r w:rsidRPr="008C74BF">
        <w:rPr>
          <w:rFonts w:asciiTheme="minorHAnsi" w:eastAsiaTheme="minorHAnsi" w:hAnsiTheme="minorHAnsi" w:cstheme="minorHAnsi"/>
          <w:b/>
          <w:bCs/>
        </w:rPr>
        <w:t xml:space="preserve"> 028</w:t>
      </w:r>
      <w:r w:rsidR="001B4D88">
        <w:rPr>
          <w:rFonts w:asciiTheme="minorHAnsi" w:eastAsiaTheme="minorHAnsi" w:hAnsiTheme="minorHAnsi" w:cstheme="minorHAnsi"/>
          <w:b/>
          <w:bCs/>
        </w:rPr>
        <w:t xml:space="preserve"> – </w:t>
      </w:r>
      <w:r w:rsidR="001B4D88" w:rsidRPr="00872B70">
        <w:rPr>
          <w:rFonts w:asciiTheme="minorHAnsi" w:eastAsiaTheme="minorHAnsi" w:hAnsiTheme="minorHAnsi" w:cstheme="minorHAnsi"/>
          <w:b/>
          <w:bCs/>
          <w:i/>
          <w:iCs/>
        </w:rPr>
        <w:t>Drobný dlouhodobý hmotný majetek</w:t>
      </w:r>
      <w:r w:rsidRPr="008C74BF">
        <w:rPr>
          <w:rFonts w:asciiTheme="minorHAnsi" w:eastAsiaTheme="minorHAnsi" w:hAnsiTheme="minorHAnsi" w:cstheme="minorHAnsi"/>
          <w:b/>
          <w:bCs/>
        </w:rPr>
        <w:t xml:space="preserve"> se</w:t>
      </w:r>
      <w:r>
        <w:rPr>
          <w:rFonts w:asciiTheme="minorHAnsi" w:eastAsiaTheme="minorHAnsi" w:hAnsiTheme="minorHAnsi" w:cstheme="minorHAnsi"/>
          <w:b/>
          <w:bCs/>
        </w:rPr>
        <w:t xml:space="preserve"> </w:t>
      </w:r>
      <w:r w:rsidRPr="008C74BF">
        <w:rPr>
          <w:rFonts w:asciiTheme="minorHAnsi" w:eastAsiaTheme="minorHAnsi" w:hAnsiTheme="minorHAnsi" w:cstheme="minorHAnsi"/>
          <w:b/>
          <w:bCs/>
        </w:rPr>
        <w:t>ocenění</w:t>
      </w:r>
      <w:r>
        <w:rPr>
          <w:rFonts w:asciiTheme="minorHAnsi" w:eastAsiaTheme="minorHAnsi" w:hAnsiTheme="minorHAnsi" w:cstheme="minorHAnsi"/>
          <w:b/>
          <w:bCs/>
        </w:rPr>
        <w:t xml:space="preserve"> (</w:t>
      </w:r>
      <w:r w:rsidRPr="008C74BF">
        <w:rPr>
          <w:rFonts w:asciiTheme="minorHAnsi" w:eastAsiaTheme="minorHAnsi" w:hAnsiTheme="minorHAnsi" w:cstheme="minorHAnsi"/>
          <w:b/>
          <w:bCs/>
        </w:rPr>
        <w:t>brutto</w:t>
      </w:r>
      <w:r>
        <w:rPr>
          <w:rFonts w:asciiTheme="minorHAnsi" w:eastAsiaTheme="minorHAnsi" w:hAnsiTheme="minorHAnsi" w:cstheme="minorHAnsi"/>
          <w:b/>
          <w:bCs/>
        </w:rPr>
        <w:t>)</w:t>
      </w:r>
      <w:r w:rsidRPr="008C74BF">
        <w:rPr>
          <w:rFonts w:asciiTheme="minorHAnsi" w:eastAsiaTheme="minorHAnsi" w:hAnsiTheme="minorHAnsi" w:cstheme="minorHAnsi"/>
          <w:b/>
          <w:bCs/>
        </w:rPr>
        <w:t xml:space="preserve"> </w:t>
      </w:r>
      <w:r>
        <w:rPr>
          <w:rFonts w:asciiTheme="minorHAnsi" w:eastAsiaTheme="minorHAnsi" w:hAnsiTheme="minorHAnsi" w:cstheme="minorHAnsi"/>
          <w:b/>
          <w:bCs/>
        </w:rPr>
        <w:t xml:space="preserve">daného majetku </w:t>
      </w:r>
      <w:r w:rsidRPr="008C74BF">
        <w:rPr>
          <w:rFonts w:asciiTheme="minorHAnsi" w:eastAsiaTheme="minorHAnsi" w:hAnsiTheme="minorHAnsi" w:cstheme="minorHAnsi"/>
          <w:b/>
          <w:bCs/>
        </w:rPr>
        <w:t>pohybuje v</w:t>
      </w:r>
      <w:r>
        <w:rPr>
          <w:rFonts w:asciiTheme="minorHAnsi" w:eastAsiaTheme="minorHAnsi" w:hAnsiTheme="minorHAnsi" w:cstheme="minorHAnsi"/>
          <w:b/>
          <w:bCs/>
        </w:rPr>
        <w:t> </w:t>
      </w:r>
      <w:r w:rsidRPr="008C74BF">
        <w:rPr>
          <w:rFonts w:asciiTheme="minorHAnsi" w:eastAsiaTheme="minorHAnsi" w:hAnsiTheme="minorHAnsi" w:cstheme="minorHAnsi"/>
          <w:b/>
          <w:bCs/>
        </w:rPr>
        <w:t>řád</w:t>
      </w:r>
      <w:r>
        <w:rPr>
          <w:rFonts w:asciiTheme="minorHAnsi" w:eastAsiaTheme="minorHAnsi" w:hAnsiTheme="minorHAnsi" w:cstheme="minorHAnsi"/>
          <w:b/>
          <w:bCs/>
        </w:rPr>
        <w:t>u desítek milionů korun</w:t>
      </w:r>
      <w:r w:rsidRPr="008C74BF">
        <w:rPr>
          <w:rFonts w:asciiTheme="minorHAnsi" w:eastAsiaTheme="minorHAnsi" w:hAnsiTheme="minorHAnsi" w:cstheme="minorHAnsi"/>
          <w:b/>
          <w:bCs/>
        </w:rPr>
        <w:t>.</w:t>
      </w:r>
    </w:p>
    <w:p w14:paraId="3C3239CE" w14:textId="5D29CFE2" w:rsidR="00C673C2" w:rsidRDefault="003664A1" w:rsidP="00030656">
      <w:pPr>
        <w:spacing w:after="0"/>
        <w:jc w:val="both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Tyto skutečnosti jsou relevantní pro doplnění vypovídací hodnoty ÚZ a získání komplexního pohledu na informace v ní vykázané</w:t>
      </w:r>
      <w:r w:rsidR="00FE56C6">
        <w:rPr>
          <w:rFonts w:asciiTheme="minorHAnsi" w:hAnsiTheme="minorHAnsi" w:cs="Calibri"/>
          <w:b/>
        </w:rPr>
        <w:t>. N</w:t>
      </w:r>
      <w:r w:rsidRPr="00F96E90">
        <w:rPr>
          <w:rFonts w:asciiTheme="minorHAnsi" w:hAnsiTheme="minorHAnsi" w:cs="Calibri"/>
          <w:b/>
        </w:rPr>
        <w:t xml:space="preserve">epředstavují modifikaci </w:t>
      </w:r>
      <w:r w:rsidR="00F068A3" w:rsidRPr="00872B70">
        <w:rPr>
          <w:b/>
          <w:bCs/>
        </w:rPr>
        <w:t>vyhodnocení údajů ÚZ za KO</w:t>
      </w:r>
      <w:r w:rsidR="00854846">
        <w:rPr>
          <w:b/>
          <w:bCs/>
        </w:rPr>
        <w:t> </w:t>
      </w:r>
      <w:r w:rsidR="00F068A3" w:rsidRPr="00872B70">
        <w:rPr>
          <w:b/>
          <w:bCs/>
        </w:rPr>
        <w:t>MV, jsou upozorněním na významné souvislosti týkající se údajů vykázaných v ÚZ</w:t>
      </w:r>
      <w:r w:rsidRPr="00F96E90">
        <w:rPr>
          <w:rFonts w:asciiTheme="minorHAnsi" w:hAnsiTheme="minorHAnsi" w:cs="Calibri"/>
          <w:b/>
        </w:rPr>
        <w:t>.</w:t>
      </w:r>
    </w:p>
    <w:p w14:paraId="6DE065E1" w14:textId="77777777" w:rsidR="003664A1" w:rsidRPr="00030656" w:rsidRDefault="003664A1" w:rsidP="00D40705">
      <w:pPr>
        <w:spacing w:after="0"/>
        <w:rPr>
          <w:iCs/>
        </w:rPr>
      </w:pPr>
    </w:p>
    <w:p w14:paraId="54B164F8" w14:textId="77777777" w:rsidR="00A75011" w:rsidRPr="005366D4" w:rsidRDefault="00A75011" w:rsidP="00E459A8">
      <w:pPr>
        <w:pStyle w:val="Nadpis2"/>
        <w:keepNext/>
        <w:numPr>
          <w:ilvl w:val="0"/>
          <w:numId w:val="0"/>
        </w:numPr>
        <w:spacing w:after="120" w:line="240" w:lineRule="auto"/>
        <w:ind w:left="284" w:hanging="284"/>
        <w:contextualSpacing w:val="0"/>
        <w:rPr>
          <w:rFonts w:ascii="Calibri" w:hAnsi="Calibri" w:cs="Calibri"/>
        </w:rPr>
      </w:pPr>
      <w:r w:rsidRPr="005366D4">
        <w:rPr>
          <w:rFonts w:ascii="Calibri" w:hAnsi="Calibri" w:cs="Calibri"/>
        </w:rPr>
        <w:t>3. Údaje předkládané M</w:t>
      </w:r>
      <w:r w:rsidR="00E459A8">
        <w:rPr>
          <w:rFonts w:ascii="Calibri" w:hAnsi="Calibri" w:cs="Calibri"/>
        </w:rPr>
        <w:t>inisterstvem vnitra</w:t>
      </w:r>
      <w:r w:rsidRPr="005366D4">
        <w:rPr>
          <w:rFonts w:ascii="Calibri" w:hAnsi="Calibri" w:cs="Calibri"/>
        </w:rPr>
        <w:t xml:space="preserve"> pro hodnocení plnění státního rozpočtu za rok 202</w:t>
      </w:r>
      <w:r w:rsidR="00E459A8">
        <w:rPr>
          <w:rFonts w:ascii="Calibri" w:hAnsi="Calibri" w:cs="Calibri"/>
        </w:rPr>
        <w:t>1</w:t>
      </w:r>
      <w:r w:rsidRPr="005366D4">
        <w:rPr>
          <w:rFonts w:ascii="Calibri" w:hAnsi="Calibri" w:cs="Calibri"/>
          <w:vertAlign w:val="superscript"/>
        </w:rPr>
        <w:footnoteReference w:id="31"/>
      </w:r>
    </w:p>
    <w:p w14:paraId="347B5E3A" w14:textId="7F84C583" w:rsidR="00034564" w:rsidRPr="00034564" w:rsidRDefault="00034564" w:rsidP="004F153B">
      <w:pPr>
        <w:jc w:val="both"/>
        <w:rPr>
          <w:b/>
          <w:bCs/>
        </w:rPr>
      </w:pPr>
      <w:r>
        <w:t xml:space="preserve">Pro posouzení významnosti zjištěných nesprávností v údajích předkládaných pro hodnocení plnění rozpočtu byla stanovena </w:t>
      </w:r>
      <w:r w:rsidR="009C3CD0">
        <w:t xml:space="preserve">hladina </w:t>
      </w:r>
      <w:r>
        <w:t>významnost</w:t>
      </w:r>
      <w:r w:rsidR="009C3CD0">
        <w:t>i</w:t>
      </w:r>
      <w:r>
        <w:t xml:space="preserve"> ve výši </w:t>
      </w:r>
      <w:r w:rsidR="00690CEB">
        <w:t>7</w:t>
      </w:r>
      <w:r>
        <w:t>25 mil. Kč</w:t>
      </w:r>
      <w:r>
        <w:rPr>
          <w:rStyle w:val="Znakapoznpodarou"/>
        </w:rPr>
        <w:footnoteReference w:id="32"/>
      </w:r>
      <w:r>
        <w:t>.</w:t>
      </w:r>
    </w:p>
    <w:p w14:paraId="7BDAB2A1" w14:textId="77777777" w:rsidR="00690CEB" w:rsidRDefault="0037115E" w:rsidP="004F153B">
      <w:pPr>
        <w:jc w:val="both"/>
      </w:pPr>
      <w:r w:rsidRPr="00690CEB">
        <w:rPr>
          <w:rFonts w:cs="Calibri"/>
          <w:lang w:eastAsia="cs-CZ"/>
        </w:rPr>
        <w:t xml:space="preserve">V údajích </w:t>
      </w:r>
      <w:r w:rsidR="00F76AE7" w:rsidRPr="00690CEB">
        <w:rPr>
          <w:rFonts w:cs="Calibri"/>
          <w:lang w:eastAsia="cs-CZ"/>
        </w:rPr>
        <w:t>před</w:t>
      </w:r>
      <w:r w:rsidR="00A85918">
        <w:rPr>
          <w:rFonts w:cs="Calibri"/>
          <w:lang w:eastAsia="cs-CZ"/>
        </w:rPr>
        <w:t>kládaných</w:t>
      </w:r>
      <w:r w:rsidR="00F76AE7" w:rsidRPr="00690CEB">
        <w:rPr>
          <w:rFonts w:cs="Calibri"/>
          <w:lang w:eastAsia="cs-CZ"/>
        </w:rPr>
        <w:t xml:space="preserve"> M</w:t>
      </w:r>
      <w:r w:rsidR="009C3CD0">
        <w:rPr>
          <w:rFonts w:cs="Calibri"/>
          <w:lang w:eastAsia="cs-CZ"/>
        </w:rPr>
        <w:t>inisterstvem vnitra</w:t>
      </w:r>
      <w:r w:rsidRPr="00690CEB">
        <w:rPr>
          <w:rFonts w:cs="Calibri"/>
          <w:lang w:eastAsia="cs-CZ"/>
        </w:rPr>
        <w:t xml:space="preserve"> </w:t>
      </w:r>
      <w:r w:rsidRPr="00690CEB">
        <w:t>pro hodnocení plnění</w:t>
      </w:r>
      <w:r w:rsidR="00EA06A4" w:rsidRPr="00690CEB">
        <w:t xml:space="preserve"> státního</w:t>
      </w:r>
      <w:r w:rsidRPr="00690CEB">
        <w:t xml:space="preserve"> rozpočtu</w:t>
      </w:r>
      <w:r w:rsidR="00235BAE">
        <w:rPr>
          <w:rStyle w:val="Znakapoznpodarou"/>
        </w:rPr>
        <w:footnoteReference w:id="33"/>
      </w:r>
      <w:r w:rsidRPr="00690CEB">
        <w:t xml:space="preserve"> </w:t>
      </w:r>
      <w:r w:rsidR="00DC6D7B" w:rsidRPr="00690CEB">
        <w:t xml:space="preserve">za rok </w:t>
      </w:r>
      <w:r w:rsidRPr="00690CEB">
        <w:t>20</w:t>
      </w:r>
      <w:r w:rsidR="00F76AE7" w:rsidRPr="00690CEB">
        <w:t>2</w:t>
      </w:r>
      <w:r w:rsidR="00690CEB" w:rsidRPr="00690CEB">
        <w:t>1</w:t>
      </w:r>
      <w:r w:rsidR="00F76AE7" w:rsidRPr="00690CEB">
        <w:t xml:space="preserve"> </w:t>
      </w:r>
      <w:r w:rsidR="00690CEB" w:rsidRPr="00690CEB">
        <w:t>ne</w:t>
      </w:r>
      <w:r w:rsidR="00F76AE7" w:rsidRPr="00690CEB">
        <w:t>byla zjištěna nesprávnost</w:t>
      </w:r>
      <w:r w:rsidR="00690CEB" w:rsidRPr="00690CEB">
        <w:t>.</w:t>
      </w:r>
    </w:p>
    <w:p w14:paraId="1003C958" w14:textId="61F96EB1" w:rsidR="004F153B" w:rsidRDefault="004B1E4C" w:rsidP="00366204">
      <w:pPr>
        <w:spacing w:after="0"/>
        <w:jc w:val="both"/>
        <w:rPr>
          <w:b/>
          <w:bCs/>
        </w:rPr>
      </w:pPr>
      <w:r w:rsidRPr="0080423C">
        <w:rPr>
          <w:rFonts w:cs="Calibri"/>
          <w:b/>
        </w:rPr>
        <w:t>NKÚ nezjistil žádné skutečnosti svědčící o tom, že údaje předkládané Ministerstvem</w:t>
      </w:r>
      <w:r>
        <w:rPr>
          <w:rFonts w:cs="Calibri"/>
          <w:b/>
        </w:rPr>
        <w:t xml:space="preserve"> vnitra</w:t>
      </w:r>
      <w:r w:rsidRPr="0080423C">
        <w:rPr>
          <w:rFonts w:cs="Calibri"/>
          <w:b/>
        </w:rPr>
        <w:t xml:space="preserve"> pro hodnocení plnění státního rozpočtu za rok 2021</w:t>
      </w:r>
      <w:r>
        <w:rPr>
          <w:rFonts w:cs="Calibri"/>
          <w:b/>
        </w:rPr>
        <w:t xml:space="preserve"> nejsou</w:t>
      </w:r>
      <w:r w:rsidRPr="0080423C">
        <w:rPr>
          <w:rFonts w:cs="Calibri"/>
          <w:b/>
        </w:rPr>
        <w:t xml:space="preserve"> tříděny ve všech významných ohledech v souladu s vyhláškou č. 323/2002 Sb.</w:t>
      </w:r>
    </w:p>
    <w:p w14:paraId="7C4FFC5F" w14:textId="391861E7" w:rsidR="00483085" w:rsidRDefault="00483085" w:rsidP="004C26CF">
      <w:pPr>
        <w:spacing w:after="0"/>
        <w:jc w:val="both"/>
        <w:rPr>
          <w:rFonts w:eastAsia="Calibri"/>
          <w:b/>
          <w:szCs w:val="22"/>
          <w:highlight w:val="yellow"/>
        </w:rPr>
      </w:pPr>
    </w:p>
    <w:p w14:paraId="2391CCB0" w14:textId="77777777" w:rsidR="00A75011" w:rsidRPr="00CD0A37" w:rsidRDefault="00A75011" w:rsidP="00C94EEE">
      <w:pPr>
        <w:pStyle w:val="Nadpis2"/>
        <w:keepNext/>
        <w:numPr>
          <w:ilvl w:val="0"/>
          <w:numId w:val="0"/>
        </w:numPr>
        <w:spacing w:after="120" w:line="24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</w:t>
      </w:r>
      <w:r w:rsidRPr="00CD0A37">
        <w:rPr>
          <w:rFonts w:ascii="Calibri" w:hAnsi="Calibri" w:cs="Calibri"/>
        </w:rPr>
        <w:t xml:space="preserve">. </w:t>
      </w:r>
      <w:r w:rsidRPr="00CD0A37">
        <w:rPr>
          <w:rFonts w:ascii="Calibri" w:hAnsi="Calibri" w:cs="Calibri"/>
        </w:rPr>
        <w:tab/>
      </w:r>
      <w:r w:rsidRPr="009B3540">
        <w:rPr>
          <w:rFonts w:cs="Calibri"/>
        </w:rPr>
        <w:t>Závěrečný</w:t>
      </w:r>
      <w:r w:rsidRPr="00CD0A37">
        <w:rPr>
          <w:rFonts w:ascii="Calibri" w:hAnsi="Calibri" w:cs="Calibri"/>
        </w:rPr>
        <w:t xml:space="preserve"> účet kapitoly 3</w:t>
      </w:r>
      <w:r w:rsidR="009B3540">
        <w:rPr>
          <w:rFonts w:ascii="Calibri" w:hAnsi="Calibri" w:cs="Calibri"/>
        </w:rPr>
        <w:t>14</w:t>
      </w:r>
      <w:r w:rsidR="004B1E4C">
        <w:rPr>
          <w:rFonts w:ascii="Calibri" w:hAnsi="Calibri" w:cs="Calibri"/>
        </w:rPr>
        <w:t xml:space="preserve"> </w:t>
      </w:r>
      <w:r w:rsidR="006B5348">
        <w:rPr>
          <w:rFonts w:ascii="Calibri" w:hAnsi="Calibri" w:cs="Calibri"/>
        </w:rPr>
        <w:t>–</w:t>
      </w:r>
      <w:r w:rsidR="004B1E4C">
        <w:rPr>
          <w:rFonts w:ascii="Calibri" w:hAnsi="Calibri" w:cs="Calibri"/>
        </w:rPr>
        <w:t xml:space="preserve"> </w:t>
      </w:r>
      <w:r w:rsidRPr="00872B70">
        <w:rPr>
          <w:rFonts w:ascii="Calibri" w:hAnsi="Calibri" w:cs="Calibri"/>
          <w:i/>
          <w:iCs/>
        </w:rPr>
        <w:t>Ministerstvo</w:t>
      </w:r>
      <w:r w:rsidR="009B3540" w:rsidRPr="00872B70">
        <w:rPr>
          <w:rFonts w:ascii="Calibri" w:hAnsi="Calibri" w:cs="Calibri"/>
          <w:i/>
          <w:iCs/>
        </w:rPr>
        <w:t xml:space="preserve"> vnitra</w:t>
      </w:r>
      <w:r w:rsidRPr="00CD0A37">
        <w:rPr>
          <w:rFonts w:ascii="Calibri" w:hAnsi="Calibri" w:cs="Calibri"/>
        </w:rPr>
        <w:t xml:space="preserve"> za rok 202</w:t>
      </w:r>
      <w:r w:rsidR="009B3540">
        <w:rPr>
          <w:rFonts w:ascii="Calibri" w:hAnsi="Calibri" w:cs="Calibri"/>
        </w:rPr>
        <w:t>1</w:t>
      </w:r>
    </w:p>
    <w:p w14:paraId="2B663F4D" w14:textId="77777777" w:rsidR="002B5BBD" w:rsidRPr="00FB0C28" w:rsidRDefault="002B5BBD" w:rsidP="00124170">
      <w:pPr>
        <w:pStyle w:val="Odstavecseseznamem"/>
        <w:keepNext/>
        <w:numPr>
          <w:ilvl w:val="1"/>
          <w:numId w:val="8"/>
        </w:numPr>
        <w:jc w:val="both"/>
        <w:rPr>
          <w:bCs/>
          <w:lang w:eastAsia="cs-CZ"/>
        </w:rPr>
      </w:pPr>
      <w:r w:rsidRPr="00FB0C28">
        <w:rPr>
          <w:rFonts w:cs="Calibri"/>
          <w:b/>
          <w:lang w:eastAsia="cs-CZ"/>
        </w:rPr>
        <w:t>Kontrola souladu závěrečného účtu s právními předpisy</w:t>
      </w:r>
    </w:p>
    <w:p w14:paraId="0C972BC4" w14:textId="2C6C3A4A" w:rsidR="00FB0C28" w:rsidRPr="00FB0C28" w:rsidRDefault="00333F86" w:rsidP="00261F08">
      <w:pPr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MV v</w:t>
      </w:r>
      <w:r w:rsidR="00FB0C28">
        <w:rPr>
          <w:rFonts w:asciiTheme="minorHAnsi" w:hAnsiTheme="minorHAnsi" w:cstheme="minorHAnsi"/>
          <w:spacing w:val="-2"/>
        </w:rPr>
        <w:t> průběhu kontroly</w:t>
      </w:r>
      <w:r>
        <w:rPr>
          <w:rFonts w:asciiTheme="minorHAnsi" w:hAnsiTheme="minorHAnsi" w:cstheme="minorHAnsi"/>
          <w:spacing w:val="-2"/>
        </w:rPr>
        <w:t xml:space="preserve"> doplnilo na základě upozornění NKÚ </w:t>
      </w:r>
      <w:r w:rsidR="00FB0C28">
        <w:rPr>
          <w:rFonts w:asciiTheme="minorHAnsi" w:hAnsiTheme="minorHAnsi" w:cstheme="minorHAnsi"/>
          <w:spacing w:val="-2"/>
        </w:rPr>
        <w:t>do ZÚ 202</w:t>
      </w:r>
      <w:r w:rsidR="0012677A">
        <w:rPr>
          <w:rFonts w:asciiTheme="minorHAnsi" w:hAnsiTheme="minorHAnsi" w:cstheme="minorHAnsi"/>
          <w:spacing w:val="-2"/>
        </w:rPr>
        <w:t>1</w:t>
      </w:r>
      <w:r w:rsidR="00FB0C28">
        <w:rPr>
          <w:rFonts w:asciiTheme="minorHAnsi" w:hAnsiTheme="minorHAnsi" w:cstheme="minorHAnsi"/>
          <w:spacing w:val="-2"/>
        </w:rPr>
        <w:t xml:space="preserve"> </w:t>
      </w:r>
      <w:r w:rsidR="0012677A">
        <w:rPr>
          <w:rFonts w:asciiTheme="minorHAnsi" w:hAnsiTheme="minorHAnsi" w:cstheme="minorHAnsi"/>
          <w:spacing w:val="-2"/>
        </w:rPr>
        <w:t xml:space="preserve">informace o výplatách odškodnění a náhrad </w:t>
      </w:r>
      <w:r w:rsidR="0012677A" w:rsidRPr="00261F08">
        <w:rPr>
          <w:rFonts w:asciiTheme="minorHAnsi" w:hAnsiTheme="minorHAnsi" w:cstheme="minorHAnsi"/>
          <w:spacing w:val="-2"/>
        </w:rPr>
        <w:t xml:space="preserve">dle příslušných zákonů či nařízení vlády ve </w:t>
      </w:r>
      <w:r w:rsidR="00FB0C28" w:rsidRPr="00261F08">
        <w:rPr>
          <w:rFonts w:asciiTheme="minorHAnsi" w:hAnsiTheme="minorHAnsi" w:cstheme="minorHAnsi"/>
          <w:bCs/>
        </w:rPr>
        <w:t>smyslu</w:t>
      </w:r>
      <w:r w:rsidR="00261F08" w:rsidRPr="00261F08">
        <w:rPr>
          <w:rFonts w:asciiTheme="minorHAnsi" w:hAnsiTheme="minorHAnsi" w:cstheme="minorHAnsi"/>
          <w:bCs/>
        </w:rPr>
        <w:t xml:space="preserve"> </w:t>
      </w:r>
      <w:r w:rsidR="00FB0C28" w:rsidRPr="00FB0C28">
        <w:rPr>
          <w:rFonts w:asciiTheme="minorHAnsi" w:hAnsiTheme="minorHAnsi" w:cstheme="minorHAnsi"/>
          <w:bCs/>
        </w:rPr>
        <w:t>vyhlášky č.</w:t>
      </w:r>
      <w:r w:rsidR="0012677A">
        <w:rPr>
          <w:rFonts w:asciiTheme="minorHAnsi" w:hAnsiTheme="minorHAnsi" w:cstheme="minorHAnsi"/>
          <w:bCs/>
        </w:rPr>
        <w:t> </w:t>
      </w:r>
      <w:r w:rsidR="00FB0C28" w:rsidRPr="00FB0C28">
        <w:rPr>
          <w:rFonts w:asciiTheme="minorHAnsi" w:hAnsiTheme="minorHAnsi" w:cstheme="minorHAnsi"/>
          <w:bCs/>
        </w:rPr>
        <w:t>419/2001</w:t>
      </w:r>
      <w:r w:rsidR="00303BD9">
        <w:rPr>
          <w:rFonts w:asciiTheme="minorHAnsi" w:hAnsiTheme="minorHAnsi" w:cstheme="minorHAnsi"/>
          <w:bCs/>
        </w:rPr>
        <w:t> </w:t>
      </w:r>
      <w:r w:rsidR="00FB0C28" w:rsidRPr="00FB0C28">
        <w:rPr>
          <w:rFonts w:asciiTheme="minorHAnsi" w:hAnsiTheme="minorHAnsi" w:cstheme="minorHAnsi"/>
          <w:bCs/>
        </w:rPr>
        <w:t>Sb.</w:t>
      </w:r>
      <w:r w:rsidR="0012677A">
        <w:rPr>
          <w:rFonts w:asciiTheme="minorHAnsi" w:hAnsiTheme="minorHAnsi" w:cstheme="minorHAnsi"/>
          <w:bCs/>
        </w:rPr>
        <w:t xml:space="preserve"> Tyto údaje </w:t>
      </w:r>
      <w:r w:rsidR="00FB0C28" w:rsidRPr="00FB0C28">
        <w:rPr>
          <w:rFonts w:asciiTheme="minorHAnsi" w:hAnsiTheme="minorHAnsi" w:cstheme="minorHAnsi"/>
          <w:bCs/>
        </w:rPr>
        <w:t>se v</w:t>
      </w:r>
      <w:r w:rsidR="00303BD9">
        <w:rPr>
          <w:rFonts w:asciiTheme="minorHAnsi" w:hAnsiTheme="minorHAnsi" w:cstheme="minorHAnsi"/>
          <w:bCs/>
        </w:rPr>
        <w:t> závěrečném účtu</w:t>
      </w:r>
      <w:r w:rsidR="00FB0C28" w:rsidRPr="00FB0C28">
        <w:rPr>
          <w:rFonts w:asciiTheme="minorHAnsi" w:hAnsiTheme="minorHAnsi" w:cstheme="minorHAnsi"/>
          <w:bCs/>
        </w:rPr>
        <w:t xml:space="preserve"> za rok 20</w:t>
      </w:r>
      <w:r w:rsidR="0012677A">
        <w:rPr>
          <w:rFonts w:asciiTheme="minorHAnsi" w:hAnsiTheme="minorHAnsi" w:cstheme="minorHAnsi"/>
          <w:bCs/>
        </w:rPr>
        <w:t>20</w:t>
      </w:r>
      <w:r w:rsidR="00FB0C28" w:rsidRPr="00FB0C28">
        <w:rPr>
          <w:rFonts w:asciiTheme="minorHAnsi" w:hAnsiTheme="minorHAnsi" w:cstheme="minorHAnsi"/>
          <w:bCs/>
        </w:rPr>
        <w:t xml:space="preserve"> nevyskytoval</w:t>
      </w:r>
      <w:r w:rsidR="0012677A">
        <w:rPr>
          <w:rFonts w:asciiTheme="minorHAnsi" w:hAnsiTheme="minorHAnsi" w:cstheme="minorHAnsi"/>
          <w:bCs/>
        </w:rPr>
        <w:t>y.</w:t>
      </w:r>
    </w:p>
    <w:p w14:paraId="1E76B9EC" w14:textId="5C38570D" w:rsidR="00565BC2" w:rsidRDefault="008A1FF1" w:rsidP="003F4BD0">
      <w:pPr>
        <w:jc w:val="both"/>
        <w:rPr>
          <w:bCs/>
          <w:lang w:eastAsia="cs-CZ"/>
        </w:rPr>
      </w:pPr>
      <w:r w:rsidRPr="008A1FF1">
        <w:rPr>
          <w:bCs/>
          <w:lang w:eastAsia="cs-CZ"/>
        </w:rPr>
        <w:t>Kontrolou bylo zjištěno, že M</w:t>
      </w:r>
      <w:r w:rsidR="0012677A">
        <w:rPr>
          <w:bCs/>
          <w:lang w:eastAsia="cs-CZ"/>
        </w:rPr>
        <w:t>V</w:t>
      </w:r>
      <w:r w:rsidRPr="008A1FF1">
        <w:rPr>
          <w:bCs/>
          <w:lang w:eastAsia="cs-CZ"/>
        </w:rPr>
        <w:t xml:space="preserve"> v průvodní zprávě</w:t>
      </w:r>
      <w:r w:rsidR="00FB0C28">
        <w:rPr>
          <w:bCs/>
          <w:lang w:eastAsia="cs-CZ"/>
        </w:rPr>
        <w:t xml:space="preserve"> k</w:t>
      </w:r>
      <w:r w:rsidRPr="008A1FF1">
        <w:rPr>
          <w:bCs/>
          <w:lang w:eastAsia="cs-CZ"/>
        </w:rPr>
        <w:t xml:space="preserve"> ZÚ 202</w:t>
      </w:r>
      <w:r w:rsidR="0012677A">
        <w:rPr>
          <w:bCs/>
          <w:lang w:eastAsia="cs-CZ"/>
        </w:rPr>
        <w:t>1</w:t>
      </w:r>
      <w:r w:rsidR="009748B7">
        <w:rPr>
          <w:bCs/>
          <w:lang w:eastAsia="cs-CZ"/>
        </w:rPr>
        <w:t xml:space="preserve"> </w:t>
      </w:r>
      <w:r w:rsidRPr="008A1FF1">
        <w:rPr>
          <w:bCs/>
          <w:lang w:eastAsia="cs-CZ"/>
        </w:rPr>
        <w:t>neuvedlo některé skutečnosti správně</w:t>
      </w:r>
      <w:r w:rsidR="007B2B0C">
        <w:rPr>
          <w:bCs/>
          <w:lang w:eastAsia="cs-CZ"/>
        </w:rPr>
        <w:t>. V</w:t>
      </w:r>
      <w:r w:rsidR="003F4BD0">
        <w:rPr>
          <w:bCs/>
          <w:lang w:eastAsia="cs-CZ"/>
        </w:rPr>
        <w:t xml:space="preserve">e dvou případech </w:t>
      </w:r>
      <w:r w:rsidR="007B2B0C">
        <w:rPr>
          <w:bCs/>
          <w:lang w:eastAsia="cs-CZ"/>
        </w:rPr>
        <w:t xml:space="preserve">nebyly uvedené údaje </w:t>
      </w:r>
      <w:r w:rsidR="003A2BAB">
        <w:rPr>
          <w:bCs/>
          <w:lang w:eastAsia="cs-CZ"/>
        </w:rPr>
        <w:t>v souladu s údaji prezentovanými ve finančních výkazech</w:t>
      </w:r>
      <w:r w:rsidR="003F4BD0">
        <w:rPr>
          <w:bCs/>
          <w:lang w:eastAsia="cs-CZ"/>
        </w:rPr>
        <w:t>; v</w:t>
      </w:r>
      <w:r w:rsidR="0012677A">
        <w:rPr>
          <w:bCs/>
          <w:lang w:eastAsia="cs-CZ"/>
        </w:rPr>
        <w:t xml:space="preserve"> jednom případě pak nebyl soulad </w:t>
      </w:r>
      <w:r w:rsidR="00303BD9">
        <w:rPr>
          <w:bCs/>
          <w:lang w:eastAsia="cs-CZ"/>
        </w:rPr>
        <w:t>mezi</w:t>
      </w:r>
      <w:r w:rsidR="0012677A">
        <w:rPr>
          <w:bCs/>
          <w:lang w:eastAsia="cs-CZ"/>
        </w:rPr>
        <w:t xml:space="preserve"> číselný</w:t>
      </w:r>
      <w:r w:rsidR="00303BD9">
        <w:rPr>
          <w:bCs/>
          <w:lang w:eastAsia="cs-CZ"/>
        </w:rPr>
        <w:t>m</w:t>
      </w:r>
      <w:r w:rsidR="0012677A">
        <w:rPr>
          <w:bCs/>
          <w:lang w:eastAsia="cs-CZ"/>
        </w:rPr>
        <w:t xml:space="preserve"> údaj</w:t>
      </w:r>
      <w:r w:rsidR="00303BD9">
        <w:rPr>
          <w:bCs/>
          <w:lang w:eastAsia="cs-CZ"/>
        </w:rPr>
        <w:t>em</w:t>
      </w:r>
      <w:r w:rsidR="0012677A">
        <w:rPr>
          <w:bCs/>
          <w:lang w:eastAsia="cs-CZ"/>
        </w:rPr>
        <w:t xml:space="preserve"> </w:t>
      </w:r>
      <w:r w:rsidR="00303BD9">
        <w:rPr>
          <w:bCs/>
          <w:lang w:eastAsia="cs-CZ"/>
        </w:rPr>
        <w:t xml:space="preserve">a </w:t>
      </w:r>
      <w:r w:rsidR="0012677A">
        <w:rPr>
          <w:bCs/>
          <w:lang w:eastAsia="cs-CZ"/>
        </w:rPr>
        <w:t xml:space="preserve">příslušným textem. </w:t>
      </w:r>
      <w:r w:rsidR="007B2B0C" w:rsidRPr="007B2B0C">
        <w:rPr>
          <w:bCs/>
          <w:lang w:eastAsia="cs-CZ"/>
        </w:rPr>
        <w:t>Tyto n</w:t>
      </w:r>
      <w:r w:rsidRPr="007B2B0C">
        <w:rPr>
          <w:bCs/>
          <w:lang w:eastAsia="cs-CZ"/>
        </w:rPr>
        <w:t>esprávnosti</w:t>
      </w:r>
      <w:r w:rsidR="007B2B0C" w:rsidRPr="007B2B0C">
        <w:rPr>
          <w:bCs/>
          <w:lang w:eastAsia="cs-CZ"/>
        </w:rPr>
        <w:t xml:space="preserve"> </w:t>
      </w:r>
      <w:r w:rsidR="00333F86">
        <w:rPr>
          <w:bCs/>
          <w:lang w:eastAsia="cs-CZ"/>
        </w:rPr>
        <w:t xml:space="preserve">však </w:t>
      </w:r>
      <w:r w:rsidRPr="003F4BD0">
        <w:rPr>
          <w:bCs/>
          <w:lang w:eastAsia="cs-CZ"/>
        </w:rPr>
        <w:t>neměly dopad na vypovídací schopnost ZÚ 202</w:t>
      </w:r>
      <w:r w:rsidR="003F4BD0">
        <w:rPr>
          <w:bCs/>
          <w:lang w:eastAsia="cs-CZ"/>
        </w:rPr>
        <w:t>1</w:t>
      </w:r>
      <w:r w:rsidRPr="003F4BD0">
        <w:rPr>
          <w:bCs/>
          <w:lang w:eastAsia="cs-CZ"/>
        </w:rPr>
        <w:t>.</w:t>
      </w:r>
    </w:p>
    <w:p w14:paraId="4BC763A8" w14:textId="2CDFC93B" w:rsidR="003F4BD0" w:rsidRPr="003F4BD0" w:rsidRDefault="003F4BD0" w:rsidP="009748B7">
      <w:pPr>
        <w:spacing w:after="0"/>
        <w:jc w:val="both"/>
        <w:rPr>
          <w:b/>
          <w:bCs/>
          <w:lang w:eastAsia="cs-CZ"/>
        </w:rPr>
      </w:pPr>
      <w:bookmarkStart w:id="4" w:name="_Toc105083305"/>
      <w:r w:rsidRPr="003F4BD0">
        <w:rPr>
          <w:b/>
          <w:bCs/>
        </w:rPr>
        <w:t>NKÚ nezjistil žádné skutečnosti svědčící o tom, že závěrečný úče</w:t>
      </w:r>
      <w:r w:rsidR="00147CF6">
        <w:rPr>
          <w:b/>
          <w:bCs/>
        </w:rPr>
        <w:t>t</w:t>
      </w:r>
      <w:r w:rsidRPr="003F4BD0">
        <w:rPr>
          <w:b/>
          <w:bCs/>
        </w:rPr>
        <w:t xml:space="preserve"> kapitoly státního rozpočtu </w:t>
      </w:r>
      <w:r w:rsidR="00883298">
        <w:rPr>
          <w:b/>
          <w:bCs/>
        </w:rPr>
        <w:br/>
      </w:r>
      <w:r w:rsidRPr="003F4BD0">
        <w:rPr>
          <w:b/>
          <w:bCs/>
        </w:rPr>
        <w:t>314</w:t>
      </w:r>
      <w:r w:rsidR="00883298">
        <w:rPr>
          <w:b/>
          <w:bCs/>
        </w:rPr>
        <w:t xml:space="preserve"> </w:t>
      </w:r>
      <w:r w:rsidR="00FC3B7E">
        <w:rPr>
          <w:b/>
          <w:bCs/>
        </w:rPr>
        <w:t>–</w:t>
      </w:r>
      <w:r w:rsidR="00883298">
        <w:rPr>
          <w:b/>
          <w:bCs/>
        </w:rPr>
        <w:t xml:space="preserve"> </w:t>
      </w:r>
      <w:r w:rsidRPr="00872B70">
        <w:rPr>
          <w:b/>
          <w:bCs/>
          <w:i/>
          <w:iCs/>
        </w:rPr>
        <w:t>Ministerstvo vnitra</w:t>
      </w:r>
      <w:r w:rsidRPr="003F4BD0">
        <w:rPr>
          <w:b/>
          <w:bCs/>
        </w:rPr>
        <w:t xml:space="preserve"> za rok 2021 není ve všech významných ohledech sestaven v</w:t>
      </w:r>
      <w:r w:rsidR="00333F86">
        <w:rPr>
          <w:b/>
          <w:bCs/>
        </w:rPr>
        <w:t> </w:t>
      </w:r>
      <w:r w:rsidRPr="003F4BD0">
        <w:rPr>
          <w:b/>
          <w:bCs/>
        </w:rPr>
        <w:t>souladu s vyhláškou č. 419/2001 Sb. Dále nezjistil, že informace v něm uvedené nejsou ve všech významných ohledech shodné s údaji v rozpočtovém systému, s</w:t>
      </w:r>
      <w:r w:rsidR="008F4BB3">
        <w:rPr>
          <w:b/>
          <w:bCs/>
        </w:rPr>
        <w:t xml:space="preserve"> údaji ve </w:t>
      </w:r>
      <w:r w:rsidRPr="003F4BD0">
        <w:rPr>
          <w:b/>
          <w:bCs/>
        </w:rPr>
        <w:t>finanční</w:t>
      </w:r>
      <w:r w:rsidR="008F4BB3">
        <w:rPr>
          <w:b/>
          <w:bCs/>
        </w:rPr>
        <w:t>ch</w:t>
      </w:r>
      <w:r w:rsidRPr="003F4BD0">
        <w:rPr>
          <w:b/>
          <w:bCs/>
        </w:rPr>
        <w:t xml:space="preserve"> výkaz</w:t>
      </w:r>
      <w:r w:rsidR="008F4BB3">
        <w:rPr>
          <w:b/>
          <w:bCs/>
        </w:rPr>
        <w:t>ech</w:t>
      </w:r>
      <w:r w:rsidRPr="003F4BD0">
        <w:rPr>
          <w:b/>
          <w:bCs/>
        </w:rPr>
        <w:t xml:space="preserve"> a</w:t>
      </w:r>
      <w:r w:rsidR="00FC3B7E">
        <w:rPr>
          <w:b/>
          <w:bCs/>
        </w:rPr>
        <w:t> </w:t>
      </w:r>
      <w:r w:rsidRPr="003F4BD0">
        <w:rPr>
          <w:b/>
          <w:bCs/>
        </w:rPr>
        <w:t xml:space="preserve">údaji </w:t>
      </w:r>
      <w:r w:rsidR="008F4BB3">
        <w:rPr>
          <w:b/>
          <w:bCs/>
        </w:rPr>
        <w:t xml:space="preserve">v </w:t>
      </w:r>
      <w:r w:rsidRPr="003F4BD0">
        <w:rPr>
          <w:b/>
          <w:bCs/>
        </w:rPr>
        <w:t>analytických evidencí</w:t>
      </w:r>
      <w:r w:rsidR="008F4BB3">
        <w:rPr>
          <w:b/>
          <w:bCs/>
        </w:rPr>
        <w:t>ch</w:t>
      </w:r>
      <w:r w:rsidRPr="003F4BD0">
        <w:rPr>
          <w:b/>
          <w:bCs/>
        </w:rPr>
        <w:t>.</w:t>
      </w:r>
      <w:bookmarkEnd w:id="4"/>
    </w:p>
    <w:p w14:paraId="2E831A4E" w14:textId="77777777" w:rsidR="004C26CF" w:rsidRDefault="004C26CF" w:rsidP="00D40705">
      <w:pPr>
        <w:spacing w:after="0"/>
        <w:jc w:val="both"/>
        <w:rPr>
          <w:bCs/>
          <w:lang w:eastAsia="cs-CZ"/>
        </w:rPr>
      </w:pPr>
    </w:p>
    <w:p w14:paraId="7694EA57" w14:textId="77777777" w:rsidR="002B5BBD" w:rsidRDefault="002B5BBD" w:rsidP="008A1FF1">
      <w:pPr>
        <w:jc w:val="both"/>
        <w:rPr>
          <w:bCs/>
          <w:lang w:eastAsia="cs-CZ"/>
        </w:rPr>
      </w:pPr>
      <w:r>
        <w:rPr>
          <w:rFonts w:cs="Calibri"/>
          <w:b/>
          <w:lang w:eastAsia="cs-CZ"/>
        </w:rPr>
        <w:t xml:space="preserve">4.2 </w:t>
      </w:r>
      <w:r w:rsidRPr="005E1F6A">
        <w:rPr>
          <w:rFonts w:cs="Calibri"/>
          <w:b/>
          <w:lang w:eastAsia="cs-CZ"/>
        </w:rPr>
        <w:t>Souhrnné údaje</w:t>
      </w:r>
      <w:r w:rsidRPr="003A523F">
        <w:rPr>
          <w:rFonts w:cs="Calibri"/>
          <w:b/>
          <w:lang w:eastAsia="cs-CZ"/>
        </w:rPr>
        <w:t xml:space="preserve"> o hospodaření kapitoly státního rozpočtu </w:t>
      </w:r>
      <w:r>
        <w:rPr>
          <w:rFonts w:cs="Calibri"/>
          <w:b/>
          <w:lang w:eastAsia="cs-CZ"/>
        </w:rPr>
        <w:t>3</w:t>
      </w:r>
      <w:r w:rsidR="005E1F6A">
        <w:rPr>
          <w:rFonts w:cs="Calibri"/>
          <w:b/>
          <w:lang w:eastAsia="cs-CZ"/>
        </w:rPr>
        <w:t>14</w:t>
      </w:r>
      <w:r w:rsidR="00AF750E">
        <w:rPr>
          <w:rFonts w:cs="Calibri"/>
          <w:b/>
          <w:lang w:eastAsia="cs-CZ"/>
        </w:rPr>
        <w:t xml:space="preserve"> </w:t>
      </w:r>
      <w:r w:rsidR="006B5348">
        <w:rPr>
          <w:rFonts w:cs="Calibri"/>
          <w:b/>
          <w:lang w:eastAsia="cs-CZ"/>
        </w:rPr>
        <w:t>–</w:t>
      </w:r>
      <w:r w:rsidR="00AF750E">
        <w:rPr>
          <w:rFonts w:cs="Calibri"/>
          <w:b/>
          <w:lang w:eastAsia="cs-CZ"/>
        </w:rPr>
        <w:t xml:space="preserve"> </w:t>
      </w:r>
      <w:r w:rsidRPr="00872B70">
        <w:rPr>
          <w:rFonts w:cs="Calibri"/>
          <w:b/>
          <w:i/>
          <w:iCs/>
          <w:lang w:eastAsia="cs-CZ"/>
        </w:rPr>
        <w:t>Ministerstvo</w:t>
      </w:r>
      <w:r w:rsidR="005E1F6A" w:rsidRPr="00872B70">
        <w:rPr>
          <w:rFonts w:cs="Calibri"/>
          <w:b/>
          <w:i/>
          <w:iCs/>
          <w:lang w:eastAsia="cs-CZ"/>
        </w:rPr>
        <w:t xml:space="preserve"> vnitra</w:t>
      </w:r>
    </w:p>
    <w:p w14:paraId="49EEFACC" w14:textId="77777777" w:rsidR="002B5BBD" w:rsidRDefault="002B5BBD" w:rsidP="008A1FF1">
      <w:pPr>
        <w:jc w:val="both"/>
      </w:pPr>
      <w:r>
        <w:rPr>
          <w:rFonts w:cs="Calibri"/>
          <w:b/>
        </w:rPr>
        <w:t xml:space="preserve">4.2.1 </w:t>
      </w:r>
      <w:r w:rsidRPr="00A41FA0">
        <w:rPr>
          <w:rFonts w:cs="Calibri"/>
          <w:b/>
        </w:rPr>
        <w:t xml:space="preserve">Souhrnné údaje </w:t>
      </w:r>
      <w:r w:rsidRPr="002F7564">
        <w:rPr>
          <w:rFonts w:cs="Calibri"/>
          <w:b/>
        </w:rPr>
        <w:t>o hospoda</w:t>
      </w:r>
      <w:r w:rsidRPr="003D5FA9">
        <w:rPr>
          <w:rFonts w:cs="Calibri"/>
          <w:b/>
        </w:rPr>
        <w:t>ření a jejich vývoj v čase</w:t>
      </w:r>
    </w:p>
    <w:p w14:paraId="7018533A" w14:textId="77777777" w:rsidR="00406CE8" w:rsidRPr="008B601B" w:rsidRDefault="002B5BBD" w:rsidP="00D00521">
      <w:pPr>
        <w:spacing w:after="0"/>
        <w:jc w:val="both"/>
      </w:pPr>
      <w:r w:rsidRPr="003F1244">
        <w:t>Obsahem závěrečného účtu kapitoly státního rozpočtu mají být dle vyhlášky č. 419/2001 Sb. údaje o výsledcích rozpočtového hospodaření. Vyhláška</w:t>
      </w:r>
      <w:r w:rsidR="002902ED">
        <w:t xml:space="preserve"> však</w:t>
      </w:r>
      <w:r w:rsidRPr="003F1244">
        <w:t xml:space="preserve"> nestanovuje v této oblasti konkrétní povinnost zveřejňovat o výsledcích tohoto hospodaření i</w:t>
      </w:r>
      <w:r w:rsidR="00622F49">
        <w:t> </w:t>
      </w:r>
      <w:r w:rsidRPr="003F1244">
        <w:t>údaje charakteru nákladů a výnosů, z jejichž rozdílu je možné určit výsledek tohoto hospodaření ve finančním účetnictví</w:t>
      </w:r>
      <w:r>
        <w:t xml:space="preserve">, </w:t>
      </w:r>
      <w:r w:rsidRPr="003F1244">
        <w:t>tj. na akruální</w:t>
      </w:r>
      <w:r>
        <w:t xml:space="preserve"> bázi.</w:t>
      </w:r>
      <w:r w:rsidRPr="003F1244">
        <w:rPr>
          <w:b/>
        </w:rPr>
        <w:t xml:space="preserve"> </w:t>
      </w:r>
      <w:r w:rsidRPr="003F1244">
        <w:t>Základní ekonomické charakteristiky související s hospodařením M</w:t>
      </w:r>
      <w:r w:rsidR="005E1F6A">
        <w:t>V</w:t>
      </w:r>
      <w:r w:rsidRPr="003F1244">
        <w:t xml:space="preserve"> jsou pro informaci uvedeny v </w:t>
      </w:r>
      <w:r w:rsidRPr="004C26CF">
        <w:t>příloze č. 1</w:t>
      </w:r>
      <w:r w:rsidRPr="003F1244">
        <w:t xml:space="preserve"> </w:t>
      </w:r>
      <w:r w:rsidR="002C3AA9">
        <w:t xml:space="preserve">tohoto </w:t>
      </w:r>
      <w:r w:rsidRPr="003F1244">
        <w:t>kontrolního závěru.</w:t>
      </w:r>
      <w:r>
        <w:t xml:space="preserve"> </w:t>
      </w:r>
    </w:p>
    <w:p w14:paraId="703DC038" w14:textId="77777777" w:rsidR="008B601B" w:rsidRDefault="008B601B" w:rsidP="00406CE8">
      <w:pPr>
        <w:spacing w:after="0"/>
        <w:jc w:val="both"/>
        <w:rPr>
          <w:rFonts w:cs="Calibri"/>
          <w:bCs/>
          <w:highlight w:val="yellow"/>
          <w:lang w:eastAsia="cs-CZ"/>
        </w:rPr>
      </w:pPr>
    </w:p>
    <w:p w14:paraId="0C0410C5" w14:textId="77777777" w:rsidR="002B5BBD" w:rsidRDefault="002B5BBD" w:rsidP="00D40705">
      <w:pPr>
        <w:jc w:val="both"/>
        <w:rPr>
          <w:rFonts w:cs="Calibri"/>
          <w:bCs/>
          <w:highlight w:val="yellow"/>
          <w:lang w:eastAsia="cs-CZ"/>
        </w:rPr>
      </w:pPr>
      <w:r>
        <w:rPr>
          <w:rFonts w:cs="Calibri"/>
          <w:b/>
        </w:rPr>
        <w:t xml:space="preserve">4.2.2 </w:t>
      </w:r>
      <w:r w:rsidRPr="00555345">
        <w:rPr>
          <w:rFonts w:cs="Calibri"/>
          <w:b/>
        </w:rPr>
        <w:t>Rozdíl</w:t>
      </w:r>
      <w:r>
        <w:rPr>
          <w:rFonts w:cs="Calibri"/>
          <w:b/>
        </w:rPr>
        <w:t xml:space="preserve"> mezi hospodářským výsledkem a saldem hospodaření u M</w:t>
      </w:r>
      <w:r w:rsidR="00555345">
        <w:rPr>
          <w:rFonts w:cs="Calibri"/>
          <w:b/>
        </w:rPr>
        <w:t>V</w:t>
      </w:r>
    </w:p>
    <w:p w14:paraId="130402C0" w14:textId="2064A3AE" w:rsidR="00685B79" w:rsidRDefault="00685B79" w:rsidP="00685B79">
      <w:pPr>
        <w:jc w:val="both"/>
        <w:rPr>
          <w:rFonts w:cs="Calibri"/>
        </w:rPr>
      </w:pPr>
      <w:r w:rsidRPr="00D40705">
        <w:rPr>
          <w:rFonts w:cs="Calibri"/>
          <w:b/>
          <w:bCs/>
        </w:rPr>
        <w:t>Porovnáním výsledku rozpočtového hospodaření M</w:t>
      </w:r>
      <w:r w:rsidR="00EE5C0F">
        <w:rPr>
          <w:rFonts w:cs="Calibri"/>
          <w:b/>
          <w:bCs/>
        </w:rPr>
        <w:t>V</w:t>
      </w:r>
      <w:r w:rsidRPr="00D40705">
        <w:rPr>
          <w:rFonts w:cs="Calibri"/>
          <w:b/>
          <w:bCs/>
        </w:rPr>
        <w:t xml:space="preserve"> za rok 202</w:t>
      </w:r>
      <w:r w:rsidR="008F24F1">
        <w:rPr>
          <w:rFonts w:cs="Calibri"/>
          <w:b/>
          <w:bCs/>
        </w:rPr>
        <w:t>1</w:t>
      </w:r>
      <w:r w:rsidRPr="00D40705">
        <w:rPr>
          <w:rFonts w:cs="Calibri"/>
          <w:b/>
          <w:bCs/>
        </w:rPr>
        <w:t xml:space="preserve"> hodnoceného na bázi peněžních toků a </w:t>
      </w:r>
      <w:r w:rsidR="00066F74">
        <w:rPr>
          <w:rFonts w:cs="Calibri"/>
          <w:b/>
          <w:bCs/>
        </w:rPr>
        <w:t>výsledku dle</w:t>
      </w:r>
      <w:r w:rsidRPr="00D40705">
        <w:rPr>
          <w:rFonts w:cs="Calibri"/>
          <w:b/>
          <w:bCs/>
        </w:rPr>
        <w:t xml:space="preserve"> akruální báz</w:t>
      </w:r>
      <w:r w:rsidR="00066F74">
        <w:rPr>
          <w:rFonts w:cs="Calibri"/>
          <w:b/>
          <w:bCs/>
        </w:rPr>
        <w:t>e</w:t>
      </w:r>
      <w:r w:rsidRPr="00D40705">
        <w:rPr>
          <w:rFonts w:cs="Calibri"/>
          <w:b/>
          <w:bCs/>
        </w:rPr>
        <w:t xml:space="preserve"> byl zjištěn rozdíl ve výši</w:t>
      </w:r>
      <w:r w:rsidR="008F24F1">
        <w:rPr>
          <w:rFonts w:cs="Calibri"/>
          <w:b/>
          <w:bCs/>
        </w:rPr>
        <w:t xml:space="preserve"> 1</w:t>
      </w:r>
      <w:r w:rsidR="00AC7770">
        <w:rPr>
          <w:rFonts w:cs="Calibri"/>
          <w:b/>
          <w:bCs/>
        </w:rPr>
        <w:t xml:space="preserve"> </w:t>
      </w:r>
      <w:r w:rsidR="008F24F1">
        <w:rPr>
          <w:rFonts w:cs="Calibri"/>
          <w:b/>
          <w:bCs/>
        </w:rPr>
        <w:t>207,1</w:t>
      </w:r>
      <w:r w:rsidRPr="00D40705">
        <w:rPr>
          <w:rFonts w:cs="Calibri"/>
          <w:b/>
          <w:bCs/>
        </w:rPr>
        <w:t xml:space="preserve"> mil. Kč.</w:t>
      </w:r>
      <w:r>
        <w:rPr>
          <w:rFonts w:cs="Calibri"/>
        </w:rPr>
        <w:t xml:space="preserve"> Výsledn</w:t>
      </w:r>
      <w:r w:rsidR="00066F74">
        <w:rPr>
          <w:rFonts w:cs="Calibri"/>
        </w:rPr>
        <w:t>ým</w:t>
      </w:r>
      <w:r>
        <w:rPr>
          <w:rFonts w:cs="Calibri"/>
        </w:rPr>
        <w:t xml:space="preserve"> sald</w:t>
      </w:r>
      <w:r w:rsidR="00066F74">
        <w:rPr>
          <w:rFonts w:cs="Calibri"/>
        </w:rPr>
        <w:t>em</w:t>
      </w:r>
      <w:r>
        <w:rPr>
          <w:rFonts w:cs="Calibri"/>
        </w:rPr>
        <w:t xml:space="preserve"> peněžních toků dle finančního výkazu byl deficit ve výši</w:t>
      </w:r>
      <w:r w:rsidR="002E38EF">
        <w:rPr>
          <w:rFonts w:cs="Calibri"/>
        </w:rPr>
        <w:t xml:space="preserve"> 33,8 mld</w:t>
      </w:r>
      <w:r>
        <w:rPr>
          <w:rFonts w:cs="Calibri"/>
        </w:rPr>
        <w:t>. Kč. Hospodářský</w:t>
      </w:r>
      <w:r w:rsidR="00066F74">
        <w:rPr>
          <w:rFonts w:cs="Calibri"/>
        </w:rPr>
        <w:t>m</w:t>
      </w:r>
      <w:r>
        <w:rPr>
          <w:rFonts w:cs="Calibri"/>
        </w:rPr>
        <w:t xml:space="preserve"> výsled</w:t>
      </w:r>
      <w:r w:rsidR="00066F74">
        <w:rPr>
          <w:rFonts w:cs="Calibri"/>
        </w:rPr>
        <w:t>kem</w:t>
      </w:r>
      <w:r>
        <w:rPr>
          <w:rFonts w:cs="Calibri"/>
        </w:rPr>
        <w:t xml:space="preserve"> běžného účetního období dle účetního výkazu zisku a ztráty byla ztráta ve výši</w:t>
      </w:r>
      <w:r w:rsidR="002E38EF">
        <w:rPr>
          <w:rFonts w:cs="Calibri"/>
        </w:rPr>
        <w:t xml:space="preserve"> 32,5 mld</w:t>
      </w:r>
      <w:r>
        <w:rPr>
          <w:rFonts w:cs="Calibri"/>
        </w:rPr>
        <w:t>. Kč.</w:t>
      </w:r>
    </w:p>
    <w:p w14:paraId="1BEA4789" w14:textId="126AF8C3" w:rsidR="00A75011" w:rsidRPr="006963EA" w:rsidRDefault="00C779B6" w:rsidP="006963EA">
      <w:pPr>
        <w:jc w:val="both"/>
        <w:rPr>
          <w:rFonts w:cs="Calibri"/>
          <w:bCs/>
          <w:lang w:eastAsia="cs-CZ"/>
        </w:rPr>
      </w:pPr>
      <w:r>
        <w:rPr>
          <w:rFonts w:cs="Calibri"/>
        </w:rPr>
        <w:t>R</w:t>
      </w:r>
      <w:r w:rsidR="00A75011" w:rsidRPr="00685B79">
        <w:rPr>
          <w:rFonts w:cs="Calibri"/>
        </w:rPr>
        <w:t>ozdíl mezi saldem peněžních toků dle finančního výkazu a hospodářským výsledkem běžného účetního období dle výkazu zisku a ztráty</w:t>
      </w:r>
      <w:r>
        <w:rPr>
          <w:rFonts w:cs="Calibri"/>
        </w:rPr>
        <w:t xml:space="preserve"> vznikl </w:t>
      </w:r>
      <w:r w:rsidR="00652728">
        <w:rPr>
          <w:rFonts w:cs="Calibri"/>
        </w:rPr>
        <w:t>mj.</w:t>
      </w:r>
      <w:r>
        <w:rPr>
          <w:rFonts w:cs="Calibri"/>
        </w:rPr>
        <w:t xml:space="preserve"> tím, že</w:t>
      </w:r>
      <w:r w:rsidR="00B1578F">
        <w:rPr>
          <w:rFonts w:cs="Calibri"/>
        </w:rPr>
        <w:t xml:space="preserve"> M</w:t>
      </w:r>
      <w:r w:rsidR="002E38EF">
        <w:rPr>
          <w:rFonts w:cs="Calibri"/>
        </w:rPr>
        <w:t>V</w:t>
      </w:r>
      <w:r w:rsidR="006963EA">
        <w:rPr>
          <w:rFonts w:cs="Calibri"/>
        </w:rPr>
        <w:t xml:space="preserve"> </w:t>
      </w:r>
      <w:r w:rsidR="00863945" w:rsidRPr="006963EA">
        <w:rPr>
          <w:rFonts w:cs="Calibri"/>
        </w:rPr>
        <w:t>vykázalo v roce 202</w:t>
      </w:r>
      <w:r w:rsidR="006963EA" w:rsidRPr="006963EA">
        <w:rPr>
          <w:rFonts w:cs="Calibri"/>
        </w:rPr>
        <w:t>1</w:t>
      </w:r>
      <w:r w:rsidR="00863945" w:rsidRPr="006963EA">
        <w:rPr>
          <w:rFonts w:cs="Calibri"/>
        </w:rPr>
        <w:t xml:space="preserve"> náklady bez realizace související</w:t>
      </w:r>
      <w:r w:rsidR="00CF6C7E">
        <w:rPr>
          <w:rFonts w:cs="Calibri"/>
        </w:rPr>
        <w:t>ch</w:t>
      </w:r>
      <w:r w:rsidR="00863945" w:rsidRPr="006963EA">
        <w:rPr>
          <w:rFonts w:cs="Calibri"/>
        </w:rPr>
        <w:t xml:space="preserve"> výdaj</w:t>
      </w:r>
      <w:r w:rsidR="00CF6C7E">
        <w:rPr>
          <w:rFonts w:cs="Calibri"/>
        </w:rPr>
        <w:t>ů</w:t>
      </w:r>
      <w:r w:rsidR="00863945" w:rsidRPr="006963EA">
        <w:rPr>
          <w:rFonts w:cs="Calibri"/>
        </w:rPr>
        <w:t xml:space="preserve">, a to zejména </w:t>
      </w:r>
      <w:r w:rsidR="00863945" w:rsidRPr="006963EA">
        <w:rPr>
          <w:rFonts w:asciiTheme="minorHAnsi" w:hAnsiTheme="minorHAnsi" w:cstheme="minorHAnsi"/>
        </w:rPr>
        <w:t>náklady na odpisy dlouhodobého majetku ve výši</w:t>
      </w:r>
      <w:r w:rsidR="006963EA" w:rsidRPr="006963EA">
        <w:rPr>
          <w:rFonts w:asciiTheme="minorHAnsi" w:hAnsiTheme="minorHAnsi" w:cstheme="minorHAnsi"/>
        </w:rPr>
        <w:t xml:space="preserve"> 1 730,2</w:t>
      </w:r>
      <w:r w:rsidR="00863945" w:rsidRPr="006963EA">
        <w:rPr>
          <w:rFonts w:asciiTheme="minorHAnsi" w:hAnsiTheme="minorHAnsi" w:cstheme="minorHAnsi"/>
        </w:rPr>
        <w:t xml:space="preserve"> mil. Kč</w:t>
      </w:r>
      <w:r w:rsidR="00652728">
        <w:rPr>
          <w:rFonts w:asciiTheme="minorHAnsi" w:hAnsiTheme="minorHAnsi" w:cstheme="minorHAnsi"/>
        </w:rPr>
        <w:t>,</w:t>
      </w:r>
      <w:r w:rsidR="00863945" w:rsidRPr="006963EA">
        <w:rPr>
          <w:rFonts w:asciiTheme="minorHAnsi" w:hAnsiTheme="minorHAnsi" w:cstheme="minorHAnsi"/>
        </w:rPr>
        <w:t xml:space="preserve"> </w:t>
      </w:r>
      <w:r w:rsidR="006963EA" w:rsidRPr="006963EA">
        <w:rPr>
          <w:rFonts w:asciiTheme="minorHAnsi" w:hAnsiTheme="minorHAnsi" w:cstheme="minorHAnsi"/>
        </w:rPr>
        <w:t>nebo</w:t>
      </w:r>
      <w:r w:rsidR="00863945" w:rsidRPr="006963EA">
        <w:rPr>
          <w:rFonts w:asciiTheme="minorHAnsi" w:hAnsiTheme="minorHAnsi" w:cstheme="minorHAnsi"/>
        </w:rPr>
        <w:t xml:space="preserve"> </w:t>
      </w:r>
      <w:r w:rsidR="00627EF3">
        <w:rPr>
          <w:rFonts w:asciiTheme="minorHAnsi" w:hAnsiTheme="minorHAnsi" w:cstheme="minorHAnsi"/>
        </w:rPr>
        <w:t>změnou stavu krátkodobých závazků</w:t>
      </w:r>
      <w:r w:rsidR="006963EA" w:rsidRPr="006963EA">
        <w:rPr>
          <w:rFonts w:asciiTheme="minorHAnsi" w:hAnsiTheme="minorHAnsi" w:cstheme="minorHAnsi"/>
        </w:rPr>
        <w:t xml:space="preserve"> </w:t>
      </w:r>
      <w:r w:rsidR="00863945" w:rsidRPr="006963EA">
        <w:rPr>
          <w:rFonts w:asciiTheme="minorHAnsi" w:hAnsiTheme="minorHAnsi" w:cstheme="minorHAnsi"/>
        </w:rPr>
        <w:t>ve výši</w:t>
      </w:r>
      <w:r w:rsidR="006963EA" w:rsidRPr="006963EA">
        <w:rPr>
          <w:rFonts w:asciiTheme="minorHAnsi" w:hAnsiTheme="minorHAnsi" w:cstheme="minorHAnsi"/>
        </w:rPr>
        <w:t xml:space="preserve"> </w:t>
      </w:r>
      <w:r w:rsidR="00066F74" w:rsidRPr="00124170">
        <w:rPr>
          <w:rFonts w:cs="Calibri"/>
        </w:rPr>
        <w:t>−</w:t>
      </w:r>
      <w:r w:rsidR="00627EF3">
        <w:rPr>
          <w:rFonts w:asciiTheme="minorHAnsi" w:hAnsiTheme="minorHAnsi" w:cstheme="minorHAnsi"/>
        </w:rPr>
        <w:t>611,1</w:t>
      </w:r>
      <w:r w:rsidR="00863945" w:rsidRPr="006963EA">
        <w:rPr>
          <w:rFonts w:asciiTheme="minorHAnsi" w:hAnsiTheme="minorHAnsi" w:cstheme="minorHAnsi"/>
        </w:rPr>
        <w:t xml:space="preserve"> mil. Kč</w:t>
      </w:r>
      <w:r w:rsidR="000A4749">
        <w:rPr>
          <w:rFonts w:asciiTheme="minorHAnsi" w:hAnsiTheme="minorHAnsi" w:cstheme="minorHAnsi"/>
        </w:rPr>
        <w:t>.</w:t>
      </w:r>
    </w:p>
    <w:p w14:paraId="05C706B3" w14:textId="2CD5FE53" w:rsidR="002B5BBD" w:rsidRDefault="00A75011" w:rsidP="00D40705">
      <w:pPr>
        <w:spacing w:after="0"/>
        <w:jc w:val="both"/>
        <w:rPr>
          <w:rFonts w:cs="Calibri"/>
        </w:rPr>
      </w:pPr>
      <w:r w:rsidRPr="0097061F">
        <w:rPr>
          <w:rFonts w:cs="Calibri"/>
        </w:rPr>
        <w:t xml:space="preserve">Další </w:t>
      </w:r>
      <w:r w:rsidR="000A4749">
        <w:rPr>
          <w:rFonts w:cs="Calibri"/>
        </w:rPr>
        <w:t xml:space="preserve">hlavní </w:t>
      </w:r>
      <w:r w:rsidRPr="0097061F">
        <w:rPr>
          <w:rFonts w:cs="Calibri"/>
        </w:rPr>
        <w:t xml:space="preserve">důvody </w:t>
      </w:r>
      <w:r w:rsidR="00847E60">
        <w:rPr>
          <w:rFonts w:cs="Calibri"/>
        </w:rPr>
        <w:t xml:space="preserve">vzniku </w:t>
      </w:r>
      <w:r w:rsidRPr="0097061F">
        <w:rPr>
          <w:rFonts w:cs="Calibri"/>
        </w:rPr>
        <w:t>rozdíl</w:t>
      </w:r>
      <w:r w:rsidR="00066F74">
        <w:rPr>
          <w:rFonts w:cs="Calibri"/>
        </w:rPr>
        <w:t>u</w:t>
      </w:r>
      <w:r w:rsidRPr="0097061F">
        <w:rPr>
          <w:rFonts w:cs="Calibri"/>
        </w:rPr>
        <w:t xml:space="preserve"> mezi saldem peněžních toků a hospodářským výsledkem běžného účetního období jsou uvedeny v </w:t>
      </w:r>
      <w:r w:rsidRPr="004C26CF">
        <w:rPr>
          <w:rFonts w:cs="Calibri"/>
        </w:rPr>
        <w:t>příloze č. 2</w:t>
      </w:r>
      <w:r w:rsidRPr="0097061F">
        <w:rPr>
          <w:rFonts w:cs="Calibri"/>
        </w:rPr>
        <w:t xml:space="preserve"> </w:t>
      </w:r>
      <w:r w:rsidR="00066F74">
        <w:rPr>
          <w:rFonts w:cs="Calibri"/>
        </w:rPr>
        <w:t xml:space="preserve">tohoto </w:t>
      </w:r>
      <w:r w:rsidRPr="0097061F">
        <w:rPr>
          <w:rFonts w:cs="Calibri"/>
        </w:rPr>
        <w:t>kontrolního závěru.</w:t>
      </w:r>
    </w:p>
    <w:p w14:paraId="3F58AFC8" w14:textId="77777777" w:rsidR="002B5BBD" w:rsidRDefault="002B5BBD" w:rsidP="00D40705">
      <w:pPr>
        <w:spacing w:after="0"/>
        <w:jc w:val="both"/>
        <w:rPr>
          <w:rFonts w:cs="Calibri"/>
        </w:rPr>
      </w:pPr>
    </w:p>
    <w:p w14:paraId="485C72AF" w14:textId="77777777" w:rsidR="00A75011" w:rsidRPr="0097061F" w:rsidRDefault="002B5BBD" w:rsidP="0097061F">
      <w:pPr>
        <w:jc w:val="both"/>
        <w:rPr>
          <w:rFonts w:cs="Calibri"/>
        </w:rPr>
      </w:pPr>
      <w:r>
        <w:rPr>
          <w:rFonts w:cs="Calibri"/>
          <w:b/>
        </w:rPr>
        <w:t xml:space="preserve">4.2.3 </w:t>
      </w:r>
      <w:r w:rsidRPr="003A523F">
        <w:rPr>
          <w:rFonts w:cs="Calibri"/>
          <w:b/>
        </w:rPr>
        <w:t>Podmíněné závazky M</w:t>
      </w:r>
      <w:r w:rsidR="00744718">
        <w:rPr>
          <w:rFonts w:cs="Calibri"/>
          <w:b/>
        </w:rPr>
        <w:t>V</w:t>
      </w:r>
      <w:r w:rsidRPr="003A523F">
        <w:rPr>
          <w:rFonts w:cs="Calibri"/>
          <w:b/>
        </w:rPr>
        <w:t xml:space="preserve"> jako nároky na budoucí rozpočty</w:t>
      </w:r>
      <w:r w:rsidR="00A75011" w:rsidRPr="0097061F">
        <w:rPr>
          <w:rFonts w:cs="Calibri"/>
        </w:rPr>
        <w:t xml:space="preserve"> </w:t>
      </w:r>
    </w:p>
    <w:p w14:paraId="1DA8740D" w14:textId="363DB7D8" w:rsidR="00A75011" w:rsidRPr="00EB1041" w:rsidRDefault="00066F74" w:rsidP="00EB1041">
      <w:pPr>
        <w:spacing w:after="0"/>
        <w:jc w:val="both"/>
        <w:rPr>
          <w:bCs/>
        </w:rPr>
      </w:pPr>
      <w:r>
        <w:rPr>
          <w:b/>
          <w:bCs/>
        </w:rPr>
        <w:t>V</w:t>
      </w:r>
      <w:r w:rsidR="00744718" w:rsidRPr="00744718">
        <w:rPr>
          <w:b/>
          <w:bCs/>
        </w:rPr>
        <w:t xml:space="preserve"> ÚZ vyk</w:t>
      </w:r>
      <w:r>
        <w:rPr>
          <w:b/>
          <w:bCs/>
        </w:rPr>
        <w:t>ázalo</w:t>
      </w:r>
      <w:r w:rsidR="00744718" w:rsidRPr="00744718">
        <w:rPr>
          <w:b/>
          <w:bCs/>
        </w:rPr>
        <w:t xml:space="preserve"> MV k rozvahovému dni podmíněné závazky ve výši </w:t>
      </w:r>
      <w:r w:rsidR="00744718" w:rsidRPr="00EA0855">
        <w:rPr>
          <w:b/>
          <w:bCs/>
        </w:rPr>
        <w:t>10,3 mld. Kč</w:t>
      </w:r>
      <w:r w:rsidR="00744718" w:rsidRPr="00124170">
        <w:rPr>
          <w:b/>
          <w:bCs/>
        </w:rPr>
        <w:t>,</w:t>
      </w:r>
      <w:r w:rsidR="00744718" w:rsidRPr="00EA0855">
        <w:rPr>
          <w:bCs/>
        </w:rPr>
        <w:t xml:space="preserve"> které </w:t>
      </w:r>
      <w:r>
        <w:rPr>
          <w:bCs/>
        </w:rPr>
        <w:t xml:space="preserve">vyplývají </w:t>
      </w:r>
      <w:r w:rsidR="00BC4BCC">
        <w:rPr>
          <w:rFonts w:eastAsiaTheme="minorHAnsi" w:cs="Calibri"/>
          <w:bCs/>
        </w:rPr>
        <w:t>zejména</w:t>
      </w:r>
      <w:r w:rsidR="00BC4BCC" w:rsidRPr="004751E7">
        <w:rPr>
          <w:rFonts w:eastAsiaTheme="minorHAnsi" w:cs="Calibri"/>
          <w:bCs/>
        </w:rPr>
        <w:t xml:space="preserve"> z</w:t>
      </w:r>
      <w:r w:rsidR="00BC4BCC">
        <w:rPr>
          <w:rFonts w:eastAsiaTheme="minorHAnsi" w:cs="Calibri"/>
          <w:bCs/>
        </w:rPr>
        <w:t> uzavřených smluv, z transferů (vydaná rozhodnutí o poskytnutí dotace), z titulu užívání cizího majetku na základě smlouvy</w:t>
      </w:r>
      <w:r w:rsidR="00F45712">
        <w:rPr>
          <w:rFonts w:eastAsiaTheme="minorHAnsi" w:cs="Calibri"/>
          <w:bCs/>
        </w:rPr>
        <w:t xml:space="preserve"> o výpůjčce</w:t>
      </w:r>
      <w:r w:rsidR="00BC4BCC">
        <w:rPr>
          <w:rFonts w:eastAsiaTheme="minorHAnsi" w:cs="Calibri"/>
          <w:bCs/>
        </w:rPr>
        <w:t xml:space="preserve"> (závazky z titulu nemožnosti případného vrácení tohoto majetku</w:t>
      </w:r>
      <w:r w:rsidR="002E4A55">
        <w:rPr>
          <w:rFonts w:eastAsiaTheme="minorHAnsi" w:cs="Calibri"/>
          <w:bCs/>
        </w:rPr>
        <w:t>)</w:t>
      </w:r>
      <w:r w:rsidR="00BC4BCC">
        <w:rPr>
          <w:rFonts w:eastAsiaTheme="minorHAnsi" w:cs="Calibri"/>
          <w:bCs/>
        </w:rPr>
        <w:t xml:space="preserve"> a ze soudních sporů. V procentním vyjádření je celková částka tvořena</w:t>
      </w:r>
      <w:r w:rsidR="00EB1041">
        <w:rPr>
          <w:bCs/>
        </w:rPr>
        <w:t xml:space="preserve"> </w:t>
      </w:r>
      <w:r w:rsidR="00BC4BCC">
        <w:rPr>
          <w:bCs/>
        </w:rPr>
        <w:t xml:space="preserve">z </w:t>
      </w:r>
      <w:r w:rsidR="00744718" w:rsidRPr="00EA0855">
        <w:rPr>
          <w:bCs/>
        </w:rPr>
        <w:t>62 % dlouhodobými podmíněnými závazky z</w:t>
      </w:r>
      <w:r w:rsidR="00EB1041">
        <w:rPr>
          <w:bCs/>
        </w:rPr>
        <w:t xml:space="preserve"> </w:t>
      </w:r>
      <w:r w:rsidR="00BC4BCC">
        <w:rPr>
          <w:bCs/>
        </w:rPr>
        <w:t>uzavřených</w:t>
      </w:r>
      <w:r w:rsidR="00744718" w:rsidRPr="00EA0855">
        <w:rPr>
          <w:bCs/>
        </w:rPr>
        <w:t xml:space="preserve"> smluv, z</w:t>
      </w:r>
      <w:r w:rsidR="00EF68A3">
        <w:rPr>
          <w:bCs/>
        </w:rPr>
        <w:t> </w:t>
      </w:r>
      <w:r w:rsidR="00744718" w:rsidRPr="00EA0855">
        <w:rPr>
          <w:bCs/>
        </w:rPr>
        <w:t>18</w:t>
      </w:r>
      <w:r w:rsidR="00EF68A3">
        <w:rPr>
          <w:bCs/>
        </w:rPr>
        <w:t>,1</w:t>
      </w:r>
      <w:r>
        <w:rPr>
          <w:bCs/>
        </w:rPr>
        <w:t> </w:t>
      </w:r>
      <w:r w:rsidR="00744718" w:rsidRPr="00EA0855">
        <w:rPr>
          <w:bCs/>
        </w:rPr>
        <w:t xml:space="preserve">% </w:t>
      </w:r>
      <w:r w:rsidR="00744718" w:rsidRPr="00EA0855">
        <w:rPr>
          <w:bCs/>
        </w:rPr>
        <w:lastRenderedPageBreak/>
        <w:t>ostatními dlouhodobými podmíněnými závazky z</w:t>
      </w:r>
      <w:r w:rsidR="00F92FE5">
        <w:rPr>
          <w:bCs/>
        </w:rPr>
        <w:t xml:space="preserve"> </w:t>
      </w:r>
      <w:r w:rsidR="00744718" w:rsidRPr="00EA0855">
        <w:rPr>
          <w:bCs/>
        </w:rPr>
        <w:t>transferů</w:t>
      </w:r>
      <w:r w:rsidR="00BC4BCC">
        <w:rPr>
          <w:bCs/>
        </w:rPr>
        <w:t>,</w:t>
      </w:r>
      <w:r w:rsidR="00EB1041">
        <w:rPr>
          <w:bCs/>
        </w:rPr>
        <w:t xml:space="preserve"> </w:t>
      </w:r>
      <w:r w:rsidR="00744718" w:rsidRPr="00EA0855">
        <w:rPr>
          <w:bCs/>
        </w:rPr>
        <w:t>z</w:t>
      </w:r>
      <w:r>
        <w:rPr>
          <w:bCs/>
        </w:rPr>
        <w:t xml:space="preserve"> </w:t>
      </w:r>
      <w:r w:rsidR="00744718" w:rsidRPr="00EA0855">
        <w:rPr>
          <w:bCs/>
        </w:rPr>
        <w:t>9</w:t>
      </w:r>
      <w:r w:rsidR="00EF68A3">
        <w:rPr>
          <w:bCs/>
        </w:rPr>
        <w:t>,4</w:t>
      </w:r>
      <w:r>
        <w:rPr>
          <w:bCs/>
        </w:rPr>
        <w:t> </w:t>
      </w:r>
      <w:r w:rsidR="00744718" w:rsidRPr="00EA0855">
        <w:rPr>
          <w:bCs/>
        </w:rPr>
        <w:t>% dlouhodobými podmíněnými závazky z důvodu užívání cizího majetku na základě smlouvy o</w:t>
      </w:r>
      <w:r w:rsidR="00CE3CCA">
        <w:rPr>
          <w:bCs/>
        </w:rPr>
        <w:t> </w:t>
      </w:r>
      <w:r w:rsidR="00744718" w:rsidRPr="00EA0855">
        <w:rPr>
          <w:bCs/>
        </w:rPr>
        <w:t>výpůjčce</w:t>
      </w:r>
      <w:r w:rsidR="00BC4BCC">
        <w:rPr>
          <w:bCs/>
        </w:rPr>
        <w:t>, z</w:t>
      </w:r>
      <w:r w:rsidR="00EF68A3">
        <w:rPr>
          <w:bCs/>
        </w:rPr>
        <w:t> </w:t>
      </w:r>
      <w:r w:rsidR="00BC4BCC">
        <w:rPr>
          <w:bCs/>
        </w:rPr>
        <w:t>6</w:t>
      </w:r>
      <w:r w:rsidR="00EF68A3">
        <w:rPr>
          <w:bCs/>
        </w:rPr>
        <w:t xml:space="preserve">,2 </w:t>
      </w:r>
      <w:r w:rsidR="00BC4BCC">
        <w:rPr>
          <w:bCs/>
        </w:rPr>
        <w:t xml:space="preserve">% dlouhodobými podmíněnými závazky ze soudních sporů a ze </w:t>
      </w:r>
      <w:r w:rsidR="00BC4BCC" w:rsidRPr="00BC4BCC">
        <w:rPr>
          <w:bCs/>
        </w:rPr>
        <w:t>4</w:t>
      </w:r>
      <w:r w:rsidR="00EF68A3">
        <w:rPr>
          <w:bCs/>
        </w:rPr>
        <w:t>,2</w:t>
      </w:r>
      <w:r w:rsidR="00BC4BCC" w:rsidRPr="00BC4BCC">
        <w:rPr>
          <w:bCs/>
        </w:rPr>
        <w:t xml:space="preserve"> </w:t>
      </w:r>
      <w:r w:rsidR="00EA0855" w:rsidRPr="00D14FC9">
        <w:rPr>
          <w:bCs/>
        </w:rPr>
        <w:t>%</w:t>
      </w:r>
      <w:r w:rsidR="00BC4BCC" w:rsidRPr="00D14FC9">
        <w:rPr>
          <w:bCs/>
        </w:rPr>
        <w:t xml:space="preserve"> dlouhodobými podmíněnými závazky z </w:t>
      </w:r>
      <w:r w:rsidR="0057232B">
        <w:rPr>
          <w:bCs/>
        </w:rPr>
        <w:t>u</w:t>
      </w:r>
      <w:r w:rsidR="00BC4BCC" w:rsidRPr="00D14FC9">
        <w:rPr>
          <w:bCs/>
        </w:rPr>
        <w:t>žívání cizího majetku.</w:t>
      </w:r>
      <w:r w:rsidR="00744718" w:rsidRPr="00BC4BCC">
        <w:rPr>
          <w:bCs/>
        </w:rPr>
        <w:t xml:space="preserve"> </w:t>
      </w:r>
      <w:r w:rsidR="00A75011" w:rsidRPr="00BC4BCC">
        <w:rPr>
          <w:rFonts w:eastAsiaTheme="minorHAnsi" w:cs="Calibri"/>
        </w:rPr>
        <w:t>Všechny</w:t>
      </w:r>
      <w:r w:rsidR="00744718" w:rsidRPr="00BC4BCC">
        <w:rPr>
          <w:rFonts w:eastAsiaTheme="minorHAnsi" w:cs="Calibri"/>
        </w:rPr>
        <w:t xml:space="preserve"> </w:t>
      </w:r>
      <w:r w:rsidR="00A75011" w:rsidRPr="00BC4BCC">
        <w:rPr>
          <w:rFonts w:eastAsiaTheme="minorHAnsi" w:cs="Calibri"/>
        </w:rPr>
        <w:t xml:space="preserve">tyto podmíněné závazky </w:t>
      </w:r>
      <w:r w:rsidR="00A75011" w:rsidRPr="00BC4BCC">
        <w:rPr>
          <w:rFonts w:eastAsiaTheme="minorHAnsi" w:cs="Calibri"/>
          <w:b/>
          <w:bCs/>
        </w:rPr>
        <w:t>p</w:t>
      </w:r>
      <w:r w:rsidR="00A75011" w:rsidRPr="00D40705">
        <w:rPr>
          <w:rFonts w:eastAsiaTheme="minorHAnsi" w:cs="Calibri"/>
          <w:b/>
          <w:bCs/>
        </w:rPr>
        <w:t>ředstavují potenciální nároky na rozpočty dalších období</w:t>
      </w:r>
      <w:r>
        <w:rPr>
          <w:rFonts w:eastAsiaTheme="minorHAnsi" w:cs="Calibri"/>
          <w:b/>
          <w:bCs/>
        </w:rPr>
        <w:t xml:space="preserve">, </w:t>
      </w:r>
      <w:r w:rsidRPr="00D40705">
        <w:rPr>
          <w:rFonts w:eastAsiaTheme="minorHAnsi" w:cs="Calibri"/>
          <w:b/>
          <w:bCs/>
        </w:rPr>
        <w:t>ve kterých budou realizovány související peněžní toky.</w:t>
      </w:r>
      <w:r w:rsidR="00A75011" w:rsidRPr="00D40705">
        <w:rPr>
          <w:rStyle w:val="Znakapoznpodarou"/>
          <w:rFonts w:eastAsiaTheme="minorHAnsi" w:cs="Calibri"/>
          <w:b/>
          <w:bCs/>
        </w:rPr>
        <w:footnoteReference w:id="34"/>
      </w:r>
    </w:p>
    <w:p w14:paraId="6278CD58" w14:textId="77777777" w:rsidR="00A75011" w:rsidRDefault="00A75011" w:rsidP="00831FC3">
      <w:pPr>
        <w:spacing w:after="0"/>
        <w:jc w:val="both"/>
        <w:rPr>
          <w:rFonts w:eastAsia="Calibri"/>
          <w:b/>
          <w:szCs w:val="22"/>
          <w:highlight w:val="yellow"/>
        </w:rPr>
      </w:pPr>
    </w:p>
    <w:p w14:paraId="4F6A92C4" w14:textId="77777777" w:rsidR="00A75011" w:rsidRPr="00865CC2" w:rsidRDefault="00A75011" w:rsidP="00A75011">
      <w:pPr>
        <w:pStyle w:val="Nadpis2"/>
        <w:keepNext/>
        <w:numPr>
          <w:ilvl w:val="0"/>
          <w:numId w:val="0"/>
        </w:numPr>
        <w:tabs>
          <w:tab w:val="center" w:pos="4535"/>
          <w:tab w:val="left" w:pos="5355"/>
          <w:tab w:val="left" w:pos="6525"/>
        </w:tabs>
        <w:spacing w:after="120" w:line="240" w:lineRule="auto"/>
        <w:ind w:left="284" w:hanging="284"/>
        <w:contextualSpacing w:val="0"/>
        <w:rPr>
          <w:rFonts w:ascii="Calibri" w:hAnsi="Calibri" w:cs="Calibri"/>
        </w:rPr>
      </w:pPr>
      <w:r w:rsidRPr="00865CC2">
        <w:rPr>
          <w:rFonts w:ascii="Calibri" w:hAnsi="Calibri" w:cs="Calibri"/>
        </w:rPr>
        <w:t xml:space="preserve">5. </w:t>
      </w:r>
      <w:r w:rsidRPr="008F117B">
        <w:rPr>
          <w:rFonts w:ascii="Calibri" w:hAnsi="Calibri" w:cs="Calibri"/>
        </w:rPr>
        <w:t>Vnitřní kontrolní systém</w:t>
      </w:r>
      <w:r w:rsidR="00652728">
        <w:rPr>
          <w:rFonts w:ascii="Calibri" w:hAnsi="Calibri" w:cs="Calibri"/>
        </w:rPr>
        <w:t xml:space="preserve"> MV</w:t>
      </w:r>
    </w:p>
    <w:p w14:paraId="468D5553" w14:textId="1BF72535" w:rsidR="000A4749" w:rsidRDefault="00905668" w:rsidP="000A4749">
      <w:pPr>
        <w:jc w:val="both"/>
        <w:rPr>
          <w:rFonts w:cs="Calibri"/>
        </w:rPr>
      </w:pPr>
      <w:r w:rsidRPr="00667599">
        <w:rPr>
          <w:rFonts w:cs="Calibri"/>
        </w:rPr>
        <w:t>Jedním z hlavních cílů finanční kontroly je zajistit správnost finančních a majetkových operací (tj. aby mj. probíhaly v souladu s právními předpisy), průkaznost jejich účetního zpracování a</w:t>
      </w:r>
      <w:r w:rsidR="00B95A07">
        <w:rPr>
          <w:rFonts w:cs="Calibri"/>
        </w:rPr>
        <w:t> </w:t>
      </w:r>
      <w:r w:rsidRPr="00667599">
        <w:rPr>
          <w:rFonts w:cs="Calibri"/>
        </w:rPr>
        <w:t>spolehlivost informací o nich na výstupu</w:t>
      </w:r>
      <w:r w:rsidRPr="00652728">
        <w:rPr>
          <w:rFonts w:cs="Calibri"/>
        </w:rPr>
        <w:t>.</w:t>
      </w:r>
    </w:p>
    <w:p w14:paraId="370F2F1D" w14:textId="2B99F877" w:rsidR="00466905" w:rsidRDefault="00466905" w:rsidP="0046690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průběhu kontroly zjistil NKÚ nedostatky ve vedení účetnictví v celkové výši 915,3 mil. Kč </w:t>
      </w:r>
      <w:r w:rsidR="00F92FE5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a</w:t>
      </w:r>
      <w:r w:rsidR="00F92FE5">
        <w:rPr>
          <w:rFonts w:asciiTheme="minorHAnsi" w:hAnsiTheme="minorHAnsi" w:cstheme="minorHAnsi"/>
        </w:rPr>
        <w:t xml:space="preserve"> </w:t>
      </w:r>
      <w:r w:rsidRPr="00091684">
        <w:rPr>
          <w:rFonts w:asciiTheme="minorHAnsi" w:hAnsiTheme="minorHAnsi" w:cstheme="minorHAnsi"/>
        </w:rPr>
        <w:t>nesprávnosti v</w:t>
      </w:r>
      <w:r w:rsidR="00F92FE5">
        <w:rPr>
          <w:rFonts w:asciiTheme="minorHAnsi" w:hAnsiTheme="minorHAnsi" w:cstheme="minorHAnsi"/>
        </w:rPr>
        <w:t xml:space="preserve"> </w:t>
      </w:r>
      <w:r w:rsidRPr="00091684">
        <w:rPr>
          <w:rFonts w:asciiTheme="minorHAnsi" w:hAnsiTheme="minorHAnsi" w:cstheme="minorHAnsi"/>
        </w:rPr>
        <w:t xml:space="preserve">původní </w:t>
      </w:r>
      <w:r>
        <w:rPr>
          <w:rFonts w:asciiTheme="minorHAnsi" w:hAnsiTheme="minorHAnsi" w:cstheme="minorHAnsi"/>
        </w:rPr>
        <w:t xml:space="preserve">účetní závěrce </w:t>
      </w:r>
      <w:r w:rsidRPr="00091684">
        <w:t>ve srovnávacích údajích</w:t>
      </w:r>
      <w:r w:rsidR="00B95A07">
        <w:rPr>
          <w:rFonts w:asciiTheme="minorHAnsi" w:hAnsiTheme="minorHAnsi" w:cstheme="minorHAnsi"/>
        </w:rPr>
        <w:t>.</w:t>
      </w:r>
      <w:r w:rsidRPr="00091684">
        <w:rPr>
          <w:rFonts w:asciiTheme="minorHAnsi" w:hAnsiTheme="minorHAnsi" w:cstheme="minorHAnsi"/>
        </w:rPr>
        <w:t xml:space="preserve"> VKS MV</w:t>
      </w:r>
      <w:r>
        <w:rPr>
          <w:rFonts w:asciiTheme="minorHAnsi" w:hAnsiTheme="minorHAnsi" w:cstheme="minorHAnsi"/>
        </w:rPr>
        <w:t xml:space="preserve"> </w:t>
      </w:r>
      <w:r w:rsidR="00B95A07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yto nedostatky </w:t>
      </w:r>
      <w:r w:rsidR="00F92FE5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a</w:t>
      </w:r>
      <w:r w:rsidR="00F92FE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nesprávnosti </w:t>
      </w:r>
      <w:r w:rsidR="00B95A07" w:rsidRPr="00091684">
        <w:rPr>
          <w:rFonts w:asciiTheme="minorHAnsi" w:hAnsiTheme="minorHAnsi" w:cstheme="minorHAnsi"/>
        </w:rPr>
        <w:t>neidentifikoval</w:t>
      </w:r>
      <w:r w:rsidR="00B95A07">
        <w:rPr>
          <w:rFonts w:asciiTheme="minorHAnsi" w:hAnsiTheme="minorHAnsi" w:cstheme="minorHAnsi"/>
        </w:rPr>
        <w:t>, avšak MV je následně</w:t>
      </w:r>
      <w:r w:rsidR="00F0366E">
        <w:rPr>
          <w:rFonts w:asciiTheme="minorHAnsi" w:hAnsiTheme="minorHAnsi" w:cstheme="minorHAnsi"/>
        </w:rPr>
        <w:t xml:space="preserve"> v průběhu kontroly </w:t>
      </w:r>
      <w:r>
        <w:rPr>
          <w:rFonts w:asciiTheme="minorHAnsi" w:hAnsiTheme="minorHAnsi" w:cstheme="minorHAnsi"/>
        </w:rPr>
        <w:t>řádně opravilo</w:t>
      </w:r>
      <w:r w:rsidRPr="00F37CB6">
        <w:rPr>
          <w:rFonts w:asciiTheme="minorHAnsi" w:hAnsiTheme="minorHAnsi" w:cstheme="minorHAnsi"/>
        </w:rPr>
        <w:t xml:space="preserve"> (v</w:t>
      </w:r>
      <w:r>
        <w:rPr>
          <w:rFonts w:asciiTheme="minorHAnsi" w:hAnsiTheme="minorHAnsi" w:cstheme="minorHAnsi"/>
        </w:rPr>
        <w:t>iz</w:t>
      </w:r>
      <w:r w:rsidR="00D123A9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část </w:t>
      </w:r>
      <w:r w:rsidRPr="00FA4E90">
        <w:rPr>
          <w:rFonts w:asciiTheme="minorHAnsi" w:hAnsiTheme="minorHAnsi" w:cstheme="minorHAnsi"/>
        </w:rPr>
        <w:t>IV.2.1</w:t>
      </w:r>
      <w:r>
        <w:rPr>
          <w:rFonts w:asciiTheme="minorHAnsi" w:hAnsiTheme="minorHAnsi" w:cstheme="minorHAnsi"/>
        </w:rPr>
        <w:t xml:space="preserve"> </w:t>
      </w:r>
      <w:r w:rsidR="00B95A07">
        <w:rPr>
          <w:rFonts w:asciiTheme="minorHAnsi" w:hAnsiTheme="minorHAnsi" w:cstheme="minorHAnsi"/>
        </w:rPr>
        <w:t xml:space="preserve">tohoto </w:t>
      </w:r>
      <w:r>
        <w:rPr>
          <w:rFonts w:asciiTheme="minorHAnsi" w:hAnsiTheme="minorHAnsi" w:cstheme="minorHAnsi"/>
        </w:rPr>
        <w:t>kontrolního závěru</w:t>
      </w:r>
      <w:r w:rsidRPr="00F37CB6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. </w:t>
      </w:r>
      <w:r w:rsidRPr="00091684">
        <w:rPr>
          <w:rFonts w:asciiTheme="minorHAnsi" w:hAnsiTheme="minorHAnsi" w:cstheme="minorHAnsi"/>
        </w:rPr>
        <w:t>Dále</w:t>
      </w:r>
      <w:r>
        <w:rPr>
          <w:rFonts w:asciiTheme="minorHAnsi" w:hAnsiTheme="minorHAnsi" w:cstheme="minorHAnsi"/>
        </w:rPr>
        <w:t xml:space="preserve"> NKÚ zjistil</w:t>
      </w:r>
      <w:r w:rsidRPr="00091684">
        <w:rPr>
          <w:rFonts w:asciiTheme="minorHAnsi" w:hAnsiTheme="minorHAnsi" w:cstheme="minorHAnsi"/>
        </w:rPr>
        <w:t xml:space="preserve"> nesprávnosti vzniklé v důsledku toho, že MV nepostupovalo v souladu s právními předpisy upravujícími vedení účetnictví.</w:t>
      </w:r>
      <w:r w:rsidRPr="00B9567A">
        <w:rPr>
          <w:rFonts w:asciiTheme="minorHAnsi" w:hAnsiTheme="minorHAnsi" w:cstheme="minorHAnsi"/>
        </w:rPr>
        <w:t xml:space="preserve"> </w:t>
      </w:r>
      <w:r w:rsidRPr="00091684">
        <w:rPr>
          <w:rFonts w:asciiTheme="minorHAnsi" w:hAnsiTheme="minorHAnsi" w:cstheme="minorHAnsi"/>
        </w:rPr>
        <w:t>Tyto nesprávnosti</w:t>
      </w:r>
      <w:r>
        <w:rPr>
          <w:rFonts w:asciiTheme="minorHAnsi" w:hAnsiTheme="minorHAnsi" w:cstheme="minorHAnsi"/>
        </w:rPr>
        <w:t xml:space="preserve"> v celkové výši 13,9 mil. Kč</w:t>
      </w:r>
      <w:r w:rsidRPr="00091684">
        <w:rPr>
          <w:rFonts w:asciiTheme="minorHAnsi" w:hAnsiTheme="minorHAnsi" w:cstheme="minorHAnsi"/>
        </w:rPr>
        <w:t>, které VKS</w:t>
      </w:r>
      <w:r>
        <w:rPr>
          <w:rFonts w:asciiTheme="minorHAnsi" w:hAnsiTheme="minorHAnsi" w:cstheme="minorHAnsi"/>
        </w:rPr>
        <w:t xml:space="preserve"> </w:t>
      </w:r>
      <w:r w:rsidRPr="00091684">
        <w:rPr>
          <w:rFonts w:asciiTheme="minorHAnsi" w:hAnsiTheme="minorHAnsi" w:cstheme="minorHAnsi"/>
        </w:rPr>
        <w:t>neidentifikoval, však nebyly významné</w:t>
      </w:r>
      <w:r>
        <w:rPr>
          <w:rFonts w:asciiTheme="minorHAnsi" w:hAnsiTheme="minorHAnsi" w:cstheme="minorHAnsi"/>
        </w:rPr>
        <w:t xml:space="preserve"> </w:t>
      </w:r>
      <w:r>
        <w:rPr>
          <w:rFonts w:cs="Calibri"/>
        </w:rPr>
        <w:t>(</w:t>
      </w:r>
      <w:r w:rsidR="00B95A07">
        <w:rPr>
          <w:rFonts w:cs="Calibri"/>
        </w:rPr>
        <w:t xml:space="preserve">blíže </w:t>
      </w:r>
      <w:r>
        <w:rPr>
          <w:rFonts w:cs="Calibri"/>
        </w:rPr>
        <w:t xml:space="preserve">viz část </w:t>
      </w:r>
      <w:r w:rsidRPr="00FA4E90">
        <w:rPr>
          <w:rFonts w:cs="Calibri"/>
        </w:rPr>
        <w:t>IV.1.1</w:t>
      </w:r>
      <w:r>
        <w:rPr>
          <w:rFonts w:cs="Calibri"/>
        </w:rPr>
        <w:t>)</w:t>
      </w:r>
      <w:r w:rsidRPr="0009168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5C8F3CD5" w14:textId="09157055" w:rsidR="00466905" w:rsidRPr="00420535" w:rsidRDefault="00466905" w:rsidP="00466905">
      <w:pPr>
        <w:jc w:val="both"/>
      </w:pPr>
      <w:r>
        <w:rPr>
          <w:rFonts w:asciiTheme="minorHAnsi" w:hAnsiTheme="minorHAnsi" w:cstheme="minorHAnsi"/>
        </w:rPr>
        <w:t>NKÚ</w:t>
      </w:r>
      <w:r w:rsidRPr="00420535">
        <w:rPr>
          <w:rFonts w:asciiTheme="minorHAnsi" w:hAnsiTheme="minorHAnsi" w:cstheme="minorHAnsi"/>
        </w:rPr>
        <w:t xml:space="preserve"> nezjistil žádné skutečnosti svědčící o tom, že </w:t>
      </w:r>
      <w:r>
        <w:rPr>
          <w:rFonts w:asciiTheme="minorHAnsi" w:hAnsiTheme="minorHAnsi" w:cstheme="minorHAnsi"/>
        </w:rPr>
        <w:t xml:space="preserve">by </w:t>
      </w:r>
      <w:r w:rsidRPr="00420535">
        <w:rPr>
          <w:rFonts w:asciiTheme="minorHAnsi" w:hAnsiTheme="minorHAnsi" w:cstheme="minorHAnsi"/>
        </w:rPr>
        <w:t>údaje předkládané Ministerstvem</w:t>
      </w:r>
      <w:r>
        <w:rPr>
          <w:rFonts w:asciiTheme="minorHAnsi" w:hAnsiTheme="minorHAnsi" w:cstheme="minorHAnsi"/>
        </w:rPr>
        <w:t xml:space="preserve"> vnitra</w:t>
      </w:r>
      <w:r w:rsidRPr="00420535">
        <w:rPr>
          <w:rFonts w:asciiTheme="minorHAnsi" w:hAnsiTheme="minorHAnsi" w:cstheme="minorHAnsi"/>
        </w:rPr>
        <w:t xml:space="preserve"> pro hodnocení plnění státního rozpočtu za rok 2021 nebyly tříděny ve všech významných ohledech v souladu s vyhláškou č. 323/2002 Sb.</w:t>
      </w:r>
      <w:r>
        <w:rPr>
          <w:rFonts w:asciiTheme="minorHAnsi" w:hAnsiTheme="minorHAnsi" w:cstheme="minorHAnsi"/>
        </w:rPr>
        <w:t xml:space="preserve"> (</w:t>
      </w:r>
      <w:r w:rsidR="00B95A07">
        <w:rPr>
          <w:rFonts w:asciiTheme="minorHAnsi" w:hAnsiTheme="minorHAnsi" w:cstheme="minorHAnsi"/>
        </w:rPr>
        <w:t xml:space="preserve">blíže </w:t>
      </w:r>
      <w:r>
        <w:rPr>
          <w:rFonts w:asciiTheme="minorHAnsi" w:hAnsiTheme="minorHAnsi" w:cstheme="minorHAnsi"/>
        </w:rPr>
        <w:t xml:space="preserve">viz část </w:t>
      </w:r>
      <w:r w:rsidRPr="00FA4E90">
        <w:rPr>
          <w:rFonts w:asciiTheme="minorHAnsi" w:hAnsiTheme="minorHAnsi" w:cstheme="minorHAnsi"/>
        </w:rPr>
        <w:t>IV.3</w:t>
      </w:r>
      <w:r>
        <w:rPr>
          <w:rFonts w:asciiTheme="minorHAnsi" w:hAnsiTheme="minorHAnsi" w:cstheme="minorHAnsi"/>
        </w:rPr>
        <w:t>).</w:t>
      </w:r>
    </w:p>
    <w:p w14:paraId="7E1D9449" w14:textId="168324DA" w:rsidR="00466905" w:rsidRDefault="00466905" w:rsidP="00466905">
      <w:pPr>
        <w:spacing w:after="0"/>
        <w:jc w:val="both"/>
        <w:rPr>
          <w:rFonts w:cs="Calibri"/>
          <w:highlight w:val="yellow"/>
        </w:rPr>
      </w:pPr>
      <w:r>
        <w:t>NKÚ rovněž</w:t>
      </w:r>
      <w:r w:rsidRPr="00420535">
        <w:t xml:space="preserve"> nezjistil žádné skutečnosti svědčící o tom, že </w:t>
      </w:r>
      <w:r>
        <w:t>ZÚ</w:t>
      </w:r>
      <w:r w:rsidRPr="00420535">
        <w:t xml:space="preserve"> </w:t>
      </w:r>
      <w:r>
        <w:t xml:space="preserve">2021 není </w:t>
      </w:r>
      <w:r w:rsidRPr="00420535">
        <w:t>ve všech významných ohledech sestaven v souladu s vyhláškou č. 419/2001 Sb., a nezjistil</w:t>
      </w:r>
      <w:r>
        <w:t xml:space="preserve"> ani žádné skutečnosti nasvědčující tomu</w:t>
      </w:r>
      <w:r w:rsidRPr="00420535">
        <w:t>, že</w:t>
      </w:r>
      <w:r>
        <w:t xml:space="preserve"> </w:t>
      </w:r>
      <w:r w:rsidRPr="00420535">
        <w:t xml:space="preserve">informace </w:t>
      </w:r>
      <w:r>
        <w:t xml:space="preserve">uvedené </w:t>
      </w:r>
      <w:r w:rsidRPr="00420535">
        <w:t>v</w:t>
      </w:r>
      <w:r>
        <w:t xml:space="preserve"> ZÚ 2021 </w:t>
      </w:r>
      <w:r w:rsidRPr="00420535">
        <w:t>ne</w:t>
      </w:r>
      <w:r>
        <w:t>jsou</w:t>
      </w:r>
      <w:r w:rsidRPr="00420535">
        <w:t xml:space="preserve"> ve všech významných ohledech shodné s údaji v</w:t>
      </w:r>
      <w:r>
        <w:t> </w:t>
      </w:r>
      <w:r w:rsidRPr="00420535">
        <w:t xml:space="preserve">rozpočtovém systému, </w:t>
      </w:r>
      <w:r>
        <w:t>údaji ve</w:t>
      </w:r>
      <w:r w:rsidRPr="00420535">
        <w:t xml:space="preserve"> finanční</w:t>
      </w:r>
      <w:r>
        <w:t>ch</w:t>
      </w:r>
      <w:r w:rsidRPr="00420535">
        <w:t xml:space="preserve"> výkaz</w:t>
      </w:r>
      <w:r>
        <w:t>ech</w:t>
      </w:r>
      <w:r w:rsidRPr="00420535">
        <w:t xml:space="preserve"> a údaji </w:t>
      </w:r>
      <w:r>
        <w:t xml:space="preserve">v </w:t>
      </w:r>
      <w:r w:rsidRPr="00420535">
        <w:t>analytických evidencí</w:t>
      </w:r>
      <w:r>
        <w:t>ch (</w:t>
      </w:r>
      <w:r w:rsidR="00B95A07">
        <w:t xml:space="preserve">blíže </w:t>
      </w:r>
      <w:r>
        <w:t xml:space="preserve">viz část </w:t>
      </w:r>
      <w:r w:rsidRPr="00FA4E90">
        <w:t>IV.4.1</w:t>
      </w:r>
      <w:r>
        <w:t>)</w:t>
      </w:r>
      <w:r w:rsidRPr="00420535">
        <w:t>.</w:t>
      </w:r>
    </w:p>
    <w:p w14:paraId="4FCEBDB6" w14:textId="77777777" w:rsidR="00466905" w:rsidRPr="00466905" w:rsidRDefault="00466905" w:rsidP="00466905">
      <w:pPr>
        <w:spacing w:after="0"/>
        <w:jc w:val="both"/>
        <w:rPr>
          <w:rFonts w:cs="Calibri"/>
          <w:highlight w:val="yellow"/>
        </w:rPr>
      </w:pPr>
    </w:p>
    <w:p w14:paraId="4950DF6F" w14:textId="5E905405" w:rsidR="00A3048B" w:rsidRPr="00667599" w:rsidRDefault="00A3048B" w:rsidP="006B5348">
      <w:pPr>
        <w:widowControl w:val="0"/>
        <w:jc w:val="both"/>
        <w:rPr>
          <w:rFonts w:cs="Calibri"/>
          <w:b/>
          <w:bCs/>
        </w:rPr>
      </w:pPr>
      <w:r w:rsidRPr="00667599">
        <w:rPr>
          <w:rFonts w:cs="Calibri"/>
          <w:b/>
          <w:bCs/>
        </w:rPr>
        <w:t>V</w:t>
      </w:r>
      <w:r w:rsidR="00883298">
        <w:rPr>
          <w:rFonts w:cs="Calibri"/>
          <w:b/>
          <w:bCs/>
        </w:rPr>
        <w:t xml:space="preserve"> </w:t>
      </w:r>
      <w:r w:rsidRPr="00667599">
        <w:rPr>
          <w:rFonts w:cs="Calibri"/>
          <w:b/>
          <w:bCs/>
        </w:rPr>
        <w:t xml:space="preserve">oblasti účetnictví MV </w:t>
      </w:r>
      <w:r w:rsidR="002D7DF3" w:rsidRPr="00667599">
        <w:rPr>
          <w:rFonts w:cs="Calibri"/>
          <w:b/>
          <w:bCs/>
        </w:rPr>
        <w:t>zjistil NKÚ v</w:t>
      </w:r>
      <w:r w:rsidR="00883298">
        <w:rPr>
          <w:rFonts w:cs="Calibri"/>
          <w:b/>
          <w:bCs/>
        </w:rPr>
        <w:t xml:space="preserve"> </w:t>
      </w:r>
      <w:r w:rsidR="002D7DF3" w:rsidRPr="00667599">
        <w:rPr>
          <w:rFonts w:cs="Calibri"/>
          <w:b/>
          <w:bCs/>
        </w:rPr>
        <w:t xml:space="preserve">průběhu kontroly nedostatky a nesprávnosti, které </w:t>
      </w:r>
      <w:r w:rsidRPr="00667599">
        <w:rPr>
          <w:rFonts w:cs="Calibri"/>
          <w:b/>
          <w:bCs/>
        </w:rPr>
        <w:t>VKS</w:t>
      </w:r>
      <w:r w:rsidR="00883298">
        <w:rPr>
          <w:rFonts w:cs="Calibri"/>
          <w:b/>
          <w:bCs/>
        </w:rPr>
        <w:t> </w:t>
      </w:r>
      <w:r w:rsidR="00466905">
        <w:rPr>
          <w:rFonts w:cs="Calibri"/>
          <w:b/>
          <w:bCs/>
        </w:rPr>
        <w:t xml:space="preserve">MV </w:t>
      </w:r>
      <w:r w:rsidRPr="00667599">
        <w:rPr>
          <w:rFonts w:cs="Calibri"/>
          <w:b/>
          <w:bCs/>
        </w:rPr>
        <w:t>neidentifikoval</w:t>
      </w:r>
      <w:r w:rsidR="00466905">
        <w:rPr>
          <w:rFonts w:cs="Calibri"/>
          <w:b/>
          <w:bCs/>
        </w:rPr>
        <w:t>.</w:t>
      </w:r>
      <w:r w:rsidR="002D7DF3" w:rsidRPr="00667599">
        <w:rPr>
          <w:rFonts w:cs="Calibri"/>
          <w:b/>
          <w:bCs/>
        </w:rPr>
        <w:t xml:space="preserve"> </w:t>
      </w:r>
      <w:r w:rsidRPr="00667599">
        <w:rPr>
          <w:rFonts w:cs="Calibri"/>
          <w:b/>
          <w:bCs/>
        </w:rPr>
        <w:t>MV většinu z nich řádně opravilo</w:t>
      </w:r>
      <w:r w:rsidR="00667599">
        <w:rPr>
          <w:rFonts w:cs="Calibri"/>
          <w:b/>
          <w:bCs/>
        </w:rPr>
        <w:t xml:space="preserve"> </w:t>
      </w:r>
      <w:r w:rsidR="00B95A07">
        <w:rPr>
          <w:rFonts w:cs="Calibri"/>
          <w:b/>
          <w:bCs/>
        </w:rPr>
        <w:t>a přistoupilo i k</w:t>
      </w:r>
      <w:r w:rsidR="00667599">
        <w:rPr>
          <w:rFonts w:cs="Calibri"/>
          <w:b/>
          <w:bCs/>
        </w:rPr>
        <w:t xml:space="preserve"> systémové</w:t>
      </w:r>
      <w:r w:rsidR="00B95A07">
        <w:rPr>
          <w:rFonts w:cs="Calibri"/>
          <w:b/>
          <w:bCs/>
        </w:rPr>
        <w:t>mu</w:t>
      </w:r>
      <w:r w:rsidR="00667599">
        <w:rPr>
          <w:rFonts w:cs="Calibri"/>
          <w:b/>
          <w:bCs/>
        </w:rPr>
        <w:t xml:space="preserve"> řešení dané oblasti</w:t>
      </w:r>
      <w:r w:rsidR="00667599">
        <w:rPr>
          <w:rStyle w:val="Znakapoznpodarou"/>
          <w:rFonts w:cs="Calibri"/>
          <w:b/>
          <w:bCs/>
        </w:rPr>
        <w:footnoteReference w:id="35"/>
      </w:r>
      <w:r w:rsidR="00B95A07">
        <w:rPr>
          <w:rFonts w:cs="Calibri"/>
          <w:b/>
          <w:bCs/>
        </w:rPr>
        <w:t>;</w:t>
      </w:r>
      <w:r w:rsidRPr="00667599">
        <w:rPr>
          <w:rFonts w:cs="Calibri"/>
          <w:b/>
          <w:bCs/>
        </w:rPr>
        <w:t xml:space="preserve"> nesprávnosti, které zůstaly neopraveny, nebyly významné. </w:t>
      </w:r>
    </w:p>
    <w:p w14:paraId="3E9889E1" w14:textId="15120A46" w:rsidR="00821ED3" w:rsidRPr="00821ED3" w:rsidRDefault="003E5981" w:rsidP="00804139">
      <w:pPr>
        <w:spacing w:after="0"/>
        <w:jc w:val="both"/>
      </w:pPr>
      <w:r>
        <w:rPr>
          <w:rFonts w:asciiTheme="minorHAnsi" w:hAnsiTheme="minorHAnsi" w:cstheme="minorHAnsi"/>
          <w:b/>
          <w:bCs/>
        </w:rPr>
        <w:t>Po</w:t>
      </w:r>
      <w:r w:rsidR="008F117B">
        <w:rPr>
          <w:rFonts w:asciiTheme="minorHAnsi" w:hAnsiTheme="minorHAnsi" w:cstheme="minorHAnsi"/>
          <w:b/>
          <w:bCs/>
        </w:rPr>
        <w:t xml:space="preserve"> těchto opravách</w:t>
      </w:r>
      <w:r w:rsidR="009420C1">
        <w:rPr>
          <w:rFonts w:asciiTheme="minorHAnsi" w:hAnsiTheme="minorHAnsi" w:cstheme="minorHAnsi"/>
          <w:b/>
          <w:bCs/>
        </w:rPr>
        <w:t xml:space="preserve"> </w:t>
      </w:r>
      <w:r w:rsidR="00B95A07">
        <w:rPr>
          <w:rFonts w:asciiTheme="minorHAnsi" w:hAnsiTheme="minorHAnsi" w:cstheme="minorHAnsi"/>
          <w:b/>
          <w:bCs/>
        </w:rPr>
        <w:t>(</w:t>
      </w:r>
      <w:r w:rsidR="009420C1">
        <w:rPr>
          <w:rFonts w:asciiTheme="minorHAnsi" w:hAnsiTheme="minorHAnsi" w:cstheme="minorHAnsi"/>
          <w:b/>
          <w:bCs/>
        </w:rPr>
        <w:t>vč. systémov</w:t>
      </w:r>
      <w:r w:rsidR="00B95A07">
        <w:rPr>
          <w:rFonts w:asciiTheme="minorHAnsi" w:hAnsiTheme="minorHAnsi" w:cstheme="minorHAnsi"/>
          <w:b/>
          <w:bCs/>
        </w:rPr>
        <w:t>ých)</w:t>
      </w:r>
      <w:r w:rsidR="008F117B">
        <w:rPr>
          <w:rFonts w:asciiTheme="minorHAnsi" w:hAnsiTheme="minorHAnsi" w:cstheme="minorHAnsi"/>
          <w:b/>
          <w:bCs/>
        </w:rPr>
        <w:t xml:space="preserve">, které byly na základě kontroly provedeny, </w:t>
      </w:r>
      <w:r w:rsidR="00652728">
        <w:rPr>
          <w:rFonts w:asciiTheme="minorHAnsi" w:hAnsiTheme="minorHAnsi" w:cstheme="minorHAnsi"/>
          <w:b/>
          <w:bCs/>
        </w:rPr>
        <w:t>mohl NKÚ</w:t>
      </w:r>
      <w:r w:rsidR="008F117B">
        <w:rPr>
          <w:rFonts w:asciiTheme="minorHAnsi" w:hAnsiTheme="minorHAnsi" w:cstheme="minorHAnsi"/>
          <w:b/>
          <w:bCs/>
        </w:rPr>
        <w:t xml:space="preserve"> konstatovat, že nez</w:t>
      </w:r>
      <w:r w:rsidR="00821ED3" w:rsidRPr="002A454B">
        <w:rPr>
          <w:rFonts w:asciiTheme="minorHAnsi" w:hAnsiTheme="minorHAnsi" w:cstheme="minorHAnsi"/>
          <w:b/>
          <w:bCs/>
        </w:rPr>
        <w:t xml:space="preserve">jistil žádné skutečnosti svědčící o tom, že vnitřní kontrolní systém </w:t>
      </w:r>
      <w:r w:rsidR="00A3048B">
        <w:rPr>
          <w:rFonts w:asciiTheme="minorHAnsi" w:hAnsiTheme="minorHAnsi" w:cstheme="minorHAnsi"/>
          <w:b/>
          <w:bCs/>
        </w:rPr>
        <w:t xml:space="preserve">MV </w:t>
      </w:r>
      <w:r w:rsidR="00821ED3" w:rsidRPr="002A454B">
        <w:rPr>
          <w:rFonts w:asciiTheme="minorHAnsi" w:hAnsiTheme="minorHAnsi" w:cstheme="minorHAnsi"/>
          <w:b/>
          <w:bCs/>
        </w:rPr>
        <w:t xml:space="preserve">v prověřovaných oblastech </w:t>
      </w:r>
      <w:r w:rsidR="0064135C">
        <w:rPr>
          <w:rFonts w:asciiTheme="minorHAnsi" w:hAnsiTheme="minorHAnsi" w:cstheme="minorHAnsi"/>
          <w:b/>
          <w:bCs/>
        </w:rPr>
        <w:t xml:space="preserve">výsledně </w:t>
      </w:r>
      <w:r w:rsidR="00821ED3" w:rsidRPr="002A454B">
        <w:rPr>
          <w:rFonts w:asciiTheme="minorHAnsi" w:hAnsiTheme="minorHAnsi" w:cstheme="minorHAnsi"/>
          <w:b/>
          <w:bCs/>
        </w:rPr>
        <w:t>není účinný.</w:t>
      </w:r>
    </w:p>
    <w:p w14:paraId="5D1D8D37" w14:textId="77777777" w:rsidR="008F117B" w:rsidRPr="00C01BE5" w:rsidRDefault="008F117B" w:rsidP="00466905">
      <w:pPr>
        <w:spacing w:after="0"/>
        <w:jc w:val="both"/>
        <w:rPr>
          <w:rFonts w:eastAsia="Calibri"/>
          <w:b/>
          <w:szCs w:val="22"/>
          <w:highlight w:val="yellow"/>
        </w:rPr>
      </w:pPr>
    </w:p>
    <w:p w14:paraId="51BF546A" w14:textId="77777777" w:rsidR="00970055" w:rsidRDefault="00970055">
      <w:pPr>
        <w:spacing w:after="160" w:line="259" w:lineRule="auto"/>
        <w:rPr>
          <w:rFonts w:eastAsia="Calibri" w:cs="Calibri"/>
          <w:b/>
        </w:rPr>
      </w:pPr>
      <w:r>
        <w:rPr>
          <w:rFonts w:cs="Calibri"/>
        </w:rPr>
        <w:br w:type="page"/>
      </w:r>
    </w:p>
    <w:p w14:paraId="341653C1" w14:textId="77777777" w:rsidR="00A75011" w:rsidRPr="001A5FB6" w:rsidRDefault="00A75011" w:rsidP="00585EF8">
      <w:pPr>
        <w:pStyle w:val="Nadpis2"/>
        <w:keepNext/>
        <w:numPr>
          <w:ilvl w:val="0"/>
          <w:numId w:val="0"/>
        </w:numPr>
        <w:spacing w:after="120" w:line="240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6</w:t>
      </w:r>
      <w:r w:rsidRPr="001A5FB6">
        <w:rPr>
          <w:rFonts w:ascii="Calibri" w:hAnsi="Calibri" w:cs="Calibri"/>
        </w:rPr>
        <w:t xml:space="preserve">. </w:t>
      </w:r>
      <w:r w:rsidRPr="002F02D9">
        <w:rPr>
          <w:rFonts w:ascii="Calibri" w:hAnsi="Calibri" w:cs="Calibri"/>
        </w:rPr>
        <w:t>Vyhodnocení opatření přijatých k nápravě nedostatků z KA č. 1</w:t>
      </w:r>
      <w:r w:rsidR="009C7016" w:rsidRPr="002F02D9">
        <w:rPr>
          <w:rFonts w:ascii="Calibri" w:hAnsi="Calibri" w:cs="Calibri"/>
        </w:rPr>
        <w:t>5/32</w:t>
      </w:r>
    </w:p>
    <w:p w14:paraId="5797E682" w14:textId="65A0BEE3" w:rsidR="009E0447" w:rsidRDefault="009E0447" w:rsidP="000D6F93">
      <w:pPr>
        <w:keepNext/>
        <w:jc w:val="both"/>
        <w:rPr>
          <w:rFonts w:asciiTheme="minorHAnsi" w:hAnsiTheme="minorHAnsi" w:cstheme="minorHAnsi"/>
          <w:b/>
          <w:bCs/>
        </w:rPr>
      </w:pPr>
      <w:r w:rsidRPr="000D6F93">
        <w:rPr>
          <w:rFonts w:cs="Calibri"/>
        </w:rPr>
        <w:t xml:space="preserve">Vláda ČR </w:t>
      </w:r>
      <w:r w:rsidR="00214446">
        <w:rPr>
          <w:rFonts w:cs="Calibri"/>
        </w:rPr>
        <w:t xml:space="preserve">svým </w:t>
      </w:r>
      <w:r w:rsidRPr="000D6F93">
        <w:rPr>
          <w:rFonts w:cs="Calibri"/>
        </w:rPr>
        <w:t>usnesením ze dne</w:t>
      </w:r>
      <w:r w:rsidR="00FC1099" w:rsidRPr="000D6F93">
        <w:rPr>
          <w:rFonts w:cs="Calibri"/>
        </w:rPr>
        <w:t xml:space="preserve"> </w:t>
      </w:r>
      <w:r w:rsidR="002F02D9">
        <w:rPr>
          <w:rFonts w:cs="Calibri"/>
        </w:rPr>
        <w:t>5</w:t>
      </w:r>
      <w:r w:rsidRPr="000D6F93">
        <w:rPr>
          <w:rFonts w:cs="Calibri"/>
        </w:rPr>
        <w:t>.</w:t>
      </w:r>
      <w:r w:rsidR="00FC1099" w:rsidRPr="000D6F93">
        <w:rPr>
          <w:rFonts w:cs="Calibri"/>
        </w:rPr>
        <w:t xml:space="preserve"> </w:t>
      </w:r>
      <w:r w:rsidR="002F02D9">
        <w:rPr>
          <w:rFonts w:cs="Calibri"/>
        </w:rPr>
        <w:t>prosince</w:t>
      </w:r>
      <w:r w:rsidRPr="000D6F93">
        <w:rPr>
          <w:rFonts w:cs="Calibri"/>
        </w:rPr>
        <w:t xml:space="preserve"> 201</w:t>
      </w:r>
      <w:r w:rsidR="002F02D9">
        <w:rPr>
          <w:rFonts w:cs="Calibri"/>
        </w:rPr>
        <w:t>6</w:t>
      </w:r>
      <w:r w:rsidRPr="000D6F93">
        <w:rPr>
          <w:rFonts w:cs="Calibri"/>
        </w:rPr>
        <w:t xml:space="preserve"> č.</w:t>
      </w:r>
      <w:r w:rsidR="002F02D9">
        <w:rPr>
          <w:rFonts w:cs="Calibri"/>
        </w:rPr>
        <w:t xml:space="preserve"> 1080</w:t>
      </w:r>
      <w:r w:rsidR="000C6C3C">
        <w:rPr>
          <w:rFonts w:cs="Calibri"/>
        </w:rPr>
        <w:t>,</w:t>
      </w:r>
      <w:r w:rsidRPr="000D6F93">
        <w:rPr>
          <w:rFonts w:cs="Calibri"/>
        </w:rPr>
        <w:t xml:space="preserve"> </w:t>
      </w:r>
      <w:r w:rsidRPr="00872B70">
        <w:rPr>
          <w:rFonts w:cs="Calibri"/>
          <w:i/>
          <w:iCs/>
        </w:rPr>
        <w:t>ke kontrolnímu závěru Nejvyššího kontrolního úřadu z </w:t>
      </w:r>
      <w:r w:rsidR="000377B3" w:rsidRPr="00872B70">
        <w:rPr>
          <w:rFonts w:cs="Calibri"/>
          <w:i/>
          <w:iCs/>
        </w:rPr>
        <w:t>KA č. 1</w:t>
      </w:r>
      <w:r w:rsidR="002F02D9" w:rsidRPr="00872B70">
        <w:rPr>
          <w:rFonts w:cs="Calibri"/>
          <w:i/>
          <w:iCs/>
        </w:rPr>
        <w:t>5/32</w:t>
      </w:r>
      <w:r w:rsidR="000C6C3C">
        <w:rPr>
          <w:rFonts w:cs="Calibri"/>
        </w:rPr>
        <w:t>,</w:t>
      </w:r>
      <w:r w:rsidRPr="000D6F93">
        <w:rPr>
          <w:rFonts w:cs="Calibri"/>
        </w:rPr>
        <w:t xml:space="preserve"> </w:t>
      </w:r>
      <w:r w:rsidR="00214446">
        <w:rPr>
          <w:rFonts w:cs="Calibri"/>
        </w:rPr>
        <w:t xml:space="preserve">stanovila </w:t>
      </w:r>
      <w:r w:rsidRPr="000D6F93">
        <w:rPr>
          <w:rFonts w:cs="Calibri"/>
        </w:rPr>
        <w:t>pro M</w:t>
      </w:r>
      <w:r w:rsidR="002F02D9">
        <w:rPr>
          <w:rFonts w:cs="Calibri"/>
        </w:rPr>
        <w:t>V</w:t>
      </w:r>
      <w:r w:rsidR="001F264B" w:rsidRPr="000D6F93">
        <w:rPr>
          <w:rFonts w:cs="Calibri"/>
        </w:rPr>
        <w:t xml:space="preserve"> celkem 20</w:t>
      </w:r>
      <w:r w:rsidRPr="000D6F93">
        <w:rPr>
          <w:rFonts w:cs="Calibri"/>
        </w:rPr>
        <w:t xml:space="preserve"> opatření k</w:t>
      </w:r>
      <w:r w:rsidR="00214446">
        <w:rPr>
          <w:rFonts w:cs="Calibri"/>
        </w:rPr>
        <w:t> </w:t>
      </w:r>
      <w:r w:rsidRPr="000D6F93">
        <w:rPr>
          <w:rFonts w:cs="Calibri"/>
        </w:rPr>
        <w:t xml:space="preserve">nápravě </w:t>
      </w:r>
      <w:r w:rsidR="00214446">
        <w:rPr>
          <w:rFonts w:cs="Calibri"/>
        </w:rPr>
        <w:t xml:space="preserve">zjištěných </w:t>
      </w:r>
      <w:r w:rsidRPr="000D6F93">
        <w:rPr>
          <w:rFonts w:cs="Calibri"/>
        </w:rPr>
        <w:t xml:space="preserve">nedostatků. </w:t>
      </w:r>
      <w:r w:rsidR="004670CA" w:rsidRPr="00D675C5">
        <w:rPr>
          <w:rFonts w:eastAsiaTheme="minorHAnsi" w:cs="Calibri"/>
          <w:b/>
        </w:rPr>
        <w:t>M</w:t>
      </w:r>
      <w:r w:rsidR="0031551F">
        <w:rPr>
          <w:rFonts w:eastAsiaTheme="minorHAnsi" w:cs="Calibri"/>
          <w:b/>
        </w:rPr>
        <w:t>V</w:t>
      </w:r>
      <w:r w:rsidR="004670CA" w:rsidRPr="00D675C5">
        <w:rPr>
          <w:rFonts w:eastAsiaTheme="minorHAnsi" w:cs="Calibri"/>
          <w:b/>
        </w:rPr>
        <w:t xml:space="preserve"> </w:t>
      </w:r>
      <w:r w:rsidR="00970055">
        <w:rPr>
          <w:rFonts w:eastAsiaTheme="minorHAnsi" w:cs="Calibri"/>
          <w:b/>
        </w:rPr>
        <w:t>provedlo</w:t>
      </w:r>
      <w:r w:rsidR="004670CA" w:rsidRPr="00D675C5">
        <w:rPr>
          <w:rFonts w:eastAsiaTheme="minorHAnsi" w:cs="Calibri"/>
          <w:b/>
        </w:rPr>
        <w:t xml:space="preserve"> úplně a správně</w:t>
      </w:r>
      <w:r w:rsidR="000C6C3C">
        <w:rPr>
          <w:rFonts w:eastAsiaTheme="minorHAnsi" w:cs="Calibri"/>
          <w:b/>
        </w:rPr>
        <w:t xml:space="preserve"> všech těchto 20 opatření</w:t>
      </w:r>
      <w:r w:rsidR="004670CA" w:rsidRPr="00D675C5">
        <w:rPr>
          <w:rFonts w:eastAsiaTheme="minorHAnsi" w:cs="Calibri"/>
          <w:b/>
        </w:rPr>
        <w:t>.</w:t>
      </w:r>
      <w:r w:rsidR="0031551F">
        <w:rPr>
          <w:rFonts w:eastAsiaTheme="minorHAnsi" w:cs="Calibri"/>
          <w:b/>
        </w:rPr>
        <w:t xml:space="preserve"> </w:t>
      </w:r>
      <w:r w:rsidR="0031551F" w:rsidRPr="00872B70">
        <w:rPr>
          <w:rFonts w:eastAsiaTheme="minorHAnsi" w:cs="Calibri"/>
          <w:bCs/>
        </w:rPr>
        <w:t>MV t</w:t>
      </w:r>
      <w:r w:rsidR="0019652C">
        <w:rPr>
          <w:rFonts w:eastAsiaTheme="minorHAnsi" w:cs="Calibri"/>
          <w:bCs/>
        </w:rPr>
        <w:t>ak</w:t>
      </w:r>
      <w:r w:rsidR="0031551F" w:rsidRPr="00872B70">
        <w:rPr>
          <w:rFonts w:eastAsiaTheme="minorHAnsi" w:cs="Calibri"/>
          <w:bCs/>
        </w:rPr>
        <w:t xml:space="preserve"> realizovalo opatření k</w:t>
      </w:r>
      <w:r w:rsidR="00F92FE5">
        <w:rPr>
          <w:rFonts w:eastAsiaTheme="minorHAnsi" w:cs="Calibri"/>
          <w:bCs/>
        </w:rPr>
        <w:t xml:space="preserve"> </w:t>
      </w:r>
      <w:r w:rsidR="0031551F" w:rsidRPr="00872B70">
        <w:rPr>
          <w:rFonts w:eastAsiaTheme="minorHAnsi" w:cs="Calibri"/>
          <w:bCs/>
        </w:rPr>
        <w:t xml:space="preserve">nápravě nedostatků ze 100 %. </w:t>
      </w:r>
      <w:r w:rsidR="0031551F" w:rsidRPr="00872B70">
        <w:rPr>
          <w:rFonts w:asciiTheme="minorHAnsi" w:hAnsiTheme="minorHAnsi" w:cstheme="minorHAnsi"/>
          <w:bCs/>
        </w:rPr>
        <w:t>K</w:t>
      </w:r>
      <w:r w:rsidR="00F92FE5">
        <w:rPr>
          <w:rFonts w:asciiTheme="minorHAnsi" w:hAnsiTheme="minorHAnsi" w:cstheme="minorHAnsi"/>
          <w:bCs/>
        </w:rPr>
        <w:t xml:space="preserve"> </w:t>
      </w:r>
      <w:r w:rsidR="0031551F" w:rsidRPr="00872B70">
        <w:rPr>
          <w:rFonts w:asciiTheme="minorHAnsi" w:hAnsiTheme="minorHAnsi" w:cstheme="minorHAnsi"/>
          <w:bCs/>
        </w:rPr>
        <w:t xml:space="preserve">realizaci </w:t>
      </w:r>
      <w:r w:rsidR="00970055">
        <w:rPr>
          <w:rFonts w:asciiTheme="minorHAnsi" w:hAnsiTheme="minorHAnsi" w:cstheme="minorHAnsi"/>
          <w:bCs/>
        </w:rPr>
        <w:t xml:space="preserve">nápravných </w:t>
      </w:r>
      <w:r w:rsidR="0031551F" w:rsidRPr="00872B70">
        <w:rPr>
          <w:rFonts w:asciiTheme="minorHAnsi" w:hAnsiTheme="minorHAnsi" w:cstheme="minorHAnsi"/>
          <w:bCs/>
        </w:rPr>
        <w:t xml:space="preserve">opatření přistoupilo systémově, tzn. provedlo nejen účetní opravy zjištěných nesprávností, ale </w:t>
      </w:r>
      <w:r w:rsidR="00585EF8">
        <w:rPr>
          <w:rFonts w:asciiTheme="minorHAnsi" w:hAnsiTheme="minorHAnsi" w:cstheme="minorHAnsi"/>
          <w:bCs/>
        </w:rPr>
        <w:t xml:space="preserve">jednotlivé </w:t>
      </w:r>
      <w:r w:rsidR="0031551F" w:rsidRPr="00872B70">
        <w:rPr>
          <w:rFonts w:asciiTheme="minorHAnsi" w:hAnsiTheme="minorHAnsi" w:cstheme="minorHAnsi"/>
          <w:bCs/>
        </w:rPr>
        <w:t>oblasti řešilo i</w:t>
      </w:r>
      <w:r w:rsidR="00CE3CCA">
        <w:rPr>
          <w:rFonts w:asciiTheme="minorHAnsi" w:hAnsiTheme="minorHAnsi" w:cstheme="minorHAnsi"/>
          <w:bCs/>
        </w:rPr>
        <w:t> </w:t>
      </w:r>
      <w:r w:rsidR="0031551F" w:rsidRPr="00872B70">
        <w:rPr>
          <w:rFonts w:asciiTheme="minorHAnsi" w:hAnsiTheme="minorHAnsi" w:cstheme="minorHAnsi"/>
          <w:bCs/>
        </w:rPr>
        <w:t>metodicky.</w:t>
      </w:r>
    </w:p>
    <w:p w14:paraId="7972E96E" w14:textId="4B99106F" w:rsidR="008020CA" w:rsidRDefault="00DA41D9" w:rsidP="00AC4D22">
      <w:pPr>
        <w:widowControl w:val="0"/>
        <w:spacing w:after="0"/>
        <w:jc w:val="both"/>
        <w:rPr>
          <w:rFonts w:asciiTheme="minorHAnsi" w:hAnsiTheme="minorHAnsi" w:cstheme="minorHAnsi"/>
        </w:rPr>
      </w:pPr>
      <w:r w:rsidRPr="00DA41D9">
        <w:rPr>
          <w:rFonts w:asciiTheme="minorHAnsi" w:hAnsiTheme="minorHAnsi" w:cstheme="minorHAnsi"/>
        </w:rPr>
        <w:t>V roce 202</w:t>
      </w:r>
      <w:r w:rsidR="0031551F">
        <w:rPr>
          <w:rFonts w:asciiTheme="minorHAnsi" w:hAnsiTheme="minorHAnsi" w:cstheme="minorHAnsi"/>
        </w:rPr>
        <w:t>1</w:t>
      </w:r>
      <w:r w:rsidRPr="00DA41D9">
        <w:rPr>
          <w:rFonts w:asciiTheme="minorHAnsi" w:hAnsiTheme="minorHAnsi" w:cstheme="minorHAnsi"/>
        </w:rPr>
        <w:t xml:space="preserve"> byly zjištěny </w:t>
      </w:r>
      <w:r w:rsidR="0031551F">
        <w:rPr>
          <w:rFonts w:asciiTheme="minorHAnsi" w:hAnsiTheme="minorHAnsi" w:cstheme="minorHAnsi"/>
        </w:rPr>
        <w:t xml:space="preserve">dva </w:t>
      </w:r>
      <w:r w:rsidRPr="00DA41D9">
        <w:rPr>
          <w:rFonts w:asciiTheme="minorHAnsi" w:hAnsiTheme="minorHAnsi" w:cstheme="minorHAnsi"/>
        </w:rPr>
        <w:t xml:space="preserve">případy </w:t>
      </w:r>
      <w:r w:rsidR="00C84A5E">
        <w:rPr>
          <w:rFonts w:asciiTheme="minorHAnsi" w:hAnsiTheme="minorHAnsi" w:cstheme="minorHAnsi"/>
        </w:rPr>
        <w:t>opakujících se nedostatků</w:t>
      </w:r>
      <w:r w:rsidR="0031551F">
        <w:rPr>
          <w:rFonts w:asciiTheme="minorHAnsi" w:hAnsiTheme="minorHAnsi" w:cstheme="minorHAnsi"/>
        </w:rPr>
        <w:t xml:space="preserve">, které </w:t>
      </w:r>
      <w:r w:rsidR="00581F77">
        <w:rPr>
          <w:rFonts w:asciiTheme="minorHAnsi" w:hAnsiTheme="minorHAnsi" w:cstheme="minorHAnsi"/>
        </w:rPr>
        <w:t>však nebyly systémového charakteru</w:t>
      </w:r>
      <w:r w:rsidR="00970055">
        <w:rPr>
          <w:rFonts w:asciiTheme="minorHAnsi" w:hAnsiTheme="minorHAnsi" w:cstheme="minorHAnsi"/>
        </w:rPr>
        <w:t>;</w:t>
      </w:r>
      <w:r w:rsidR="00EA37CC">
        <w:rPr>
          <w:rFonts w:asciiTheme="minorHAnsi" w:hAnsiTheme="minorHAnsi" w:cstheme="minorHAnsi"/>
        </w:rPr>
        <w:t xml:space="preserve"> ve zjištěných jednotlivých případech </w:t>
      </w:r>
      <w:r w:rsidR="00F67683">
        <w:rPr>
          <w:rFonts w:asciiTheme="minorHAnsi" w:hAnsiTheme="minorHAnsi" w:cstheme="minorHAnsi"/>
        </w:rPr>
        <w:t>se jednalo</w:t>
      </w:r>
      <w:r w:rsidR="00EA37CC">
        <w:rPr>
          <w:rFonts w:asciiTheme="minorHAnsi" w:hAnsiTheme="minorHAnsi" w:cstheme="minorHAnsi"/>
        </w:rPr>
        <w:t xml:space="preserve"> o nedodržení hranic pro ocenění drobného dlouhodobého majetku při jeho zařazení na příslušný účet</w:t>
      </w:r>
      <w:r w:rsidR="00EF68A3">
        <w:rPr>
          <w:rFonts w:asciiTheme="minorHAnsi" w:hAnsiTheme="minorHAnsi" w:cstheme="minorHAnsi"/>
        </w:rPr>
        <w:t xml:space="preserve"> a</w:t>
      </w:r>
      <w:r w:rsidR="00CE3CCA">
        <w:rPr>
          <w:rFonts w:asciiTheme="minorHAnsi" w:hAnsiTheme="minorHAnsi" w:cstheme="minorHAnsi"/>
        </w:rPr>
        <w:t> </w:t>
      </w:r>
      <w:r w:rsidR="00EF68A3">
        <w:rPr>
          <w:rFonts w:asciiTheme="minorHAnsi" w:hAnsiTheme="minorHAnsi" w:cstheme="minorHAnsi"/>
        </w:rPr>
        <w:t>o</w:t>
      </w:r>
      <w:r w:rsidR="00CE3CCA">
        <w:rPr>
          <w:rFonts w:asciiTheme="minorHAnsi" w:hAnsiTheme="minorHAnsi" w:cstheme="minorHAnsi"/>
        </w:rPr>
        <w:t> </w:t>
      </w:r>
      <w:r w:rsidR="00EF68A3">
        <w:rPr>
          <w:rFonts w:asciiTheme="minorHAnsi" w:hAnsiTheme="minorHAnsi" w:cstheme="minorHAnsi"/>
        </w:rPr>
        <w:t>neodpisování majetku</w:t>
      </w:r>
      <w:r w:rsidR="00581F77">
        <w:rPr>
          <w:rFonts w:asciiTheme="minorHAnsi" w:hAnsiTheme="minorHAnsi" w:cstheme="minorHAnsi"/>
        </w:rPr>
        <w:t xml:space="preserve">. V prvním případě provedlo MV opravu </w:t>
      </w:r>
      <w:r w:rsidR="0031551F">
        <w:rPr>
          <w:rFonts w:asciiTheme="minorHAnsi" w:hAnsiTheme="minorHAnsi" w:cstheme="minorHAnsi"/>
        </w:rPr>
        <w:t>v průběhu kontroly</w:t>
      </w:r>
      <w:r w:rsidR="00581F77">
        <w:rPr>
          <w:rFonts w:asciiTheme="minorHAnsi" w:hAnsiTheme="minorHAnsi" w:cstheme="minorHAnsi"/>
        </w:rPr>
        <w:t>, druhý</w:t>
      </w:r>
      <w:r w:rsidR="00196D13">
        <w:rPr>
          <w:rFonts w:asciiTheme="minorHAnsi" w:hAnsiTheme="minorHAnsi" w:cstheme="minorHAnsi"/>
        </w:rPr>
        <w:t xml:space="preserve"> </w:t>
      </w:r>
      <w:r w:rsidR="00581F77">
        <w:rPr>
          <w:rFonts w:asciiTheme="minorHAnsi" w:hAnsiTheme="minorHAnsi" w:cstheme="minorHAnsi"/>
        </w:rPr>
        <w:t>případ opraven nebyl</w:t>
      </w:r>
      <w:r w:rsidR="00D20A79">
        <w:rPr>
          <w:rFonts w:asciiTheme="minorHAnsi" w:hAnsiTheme="minorHAnsi" w:cstheme="minorHAnsi"/>
        </w:rPr>
        <w:t xml:space="preserve">, </w:t>
      </w:r>
      <w:r w:rsidR="0007038C">
        <w:rPr>
          <w:rFonts w:asciiTheme="minorHAnsi" w:hAnsiTheme="minorHAnsi" w:cstheme="minorHAnsi"/>
        </w:rPr>
        <w:t>avšak</w:t>
      </w:r>
      <w:r w:rsidR="00212478">
        <w:rPr>
          <w:rFonts w:asciiTheme="minorHAnsi" w:hAnsiTheme="minorHAnsi" w:cstheme="minorHAnsi"/>
        </w:rPr>
        <w:t xml:space="preserve"> jeho </w:t>
      </w:r>
      <w:r w:rsidR="0007038C">
        <w:rPr>
          <w:rFonts w:asciiTheme="minorHAnsi" w:hAnsiTheme="minorHAnsi" w:cstheme="minorHAnsi"/>
        </w:rPr>
        <w:t>dopad na ÚZ nebyl významný.</w:t>
      </w:r>
      <w:r w:rsidR="00EA60C1">
        <w:rPr>
          <w:rFonts w:asciiTheme="minorHAnsi" w:hAnsiTheme="minorHAnsi" w:cstheme="minorHAnsi"/>
        </w:rPr>
        <w:t xml:space="preserve"> </w:t>
      </w:r>
      <w:r w:rsidR="00EA60C1" w:rsidRPr="00EA60C1">
        <w:rPr>
          <w:rFonts w:asciiTheme="minorHAnsi" w:hAnsiTheme="minorHAnsi" w:cstheme="minorHAnsi"/>
          <w:b/>
          <w:bCs/>
        </w:rPr>
        <w:t>NKÚ tedy konstatuje, že ve většině případů přispěla realizovaná opatření k zamezení výskytu nedostatků v roce 2021.</w:t>
      </w:r>
    </w:p>
    <w:p w14:paraId="487229DB" w14:textId="77777777" w:rsidR="00A952C9" w:rsidRDefault="00A952C9">
      <w:pPr>
        <w:spacing w:after="160" w:line="259" w:lineRule="auto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</w:rPr>
        <w:br w:type="page"/>
      </w:r>
    </w:p>
    <w:p w14:paraId="5EBC8B00" w14:textId="77777777" w:rsidR="00112642" w:rsidRPr="00AD0BD6" w:rsidRDefault="00A640AE" w:rsidP="00124170">
      <w:pPr>
        <w:spacing w:after="240"/>
        <w:rPr>
          <w:rFonts w:asciiTheme="minorHAnsi" w:eastAsiaTheme="minorHAnsi" w:hAnsiTheme="minorHAnsi" w:cstheme="minorHAnsi"/>
          <w:b/>
        </w:rPr>
      </w:pPr>
      <w:r w:rsidRPr="00AD0BD6">
        <w:rPr>
          <w:rFonts w:asciiTheme="minorHAnsi" w:eastAsiaTheme="minorHAnsi" w:hAnsiTheme="minorHAnsi" w:cstheme="minorHAnsi"/>
          <w:b/>
        </w:rPr>
        <w:lastRenderedPageBreak/>
        <w:t>Seznam zkratek</w:t>
      </w:r>
    </w:p>
    <w:p w14:paraId="022D740B" w14:textId="77777777" w:rsidR="0019652C" w:rsidRDefault="0019652C" w:rsidP="00124170">
      <w:pPr>
        <w:tabs>
          <w:tab w:val="left" w:pos="2552"/>
        </w:tabs>
        <w:ind w:left="2552" w:hanging="2552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CSÚIS</w:t>
      </w:r>
      <w:r>
        <w:rPr>
          <w:rFonts w:asciiTheme="minorHAnsi" w:eastAsiaTheme="minorHAnsi" w:hAnsiTheme="minorHAnsi" w:cstheme="minorHAnsi"/>
        </w:rPr>
        <w:tab/>
      </w:r>
      <w:r w:rsidRPr="00124170">
        <w:rPr>
          <w:rFonts w:asciiTheme="minorHAnsi" w:eastAsiaTheme="minorHAnsi" w:hAnsiTheme="minorHAnsi" w:cstheme="minorHAnsi"/>
          <w:i/>
        </w:rPr>
        <w:t>Centrální systém účetních informací státu</w:t>
      </w:r>
    </w:p>
    <w:p w14:paraId="24C972D6" w14:textId="77777777" w:rsidR="00155F56" w:rsidRDefault="00155F56" w:rsidP="00124170">
      <w:pPr>
        <w:tabs>
          <w:tab w:val="left" w:pos="2552"/>
        </w:tabs>
        <w:ind w:left="2552" w:hanging="2552"/>
        <w:rPr>
          <w:rFonts w:asciiTheme="minorHAnsi" w:eastAsiaTheme="minorHAnsi" w:hAnsiTheme="minorHAnsi" w:cstheme="minorHAnsi"/>
        </w:rPr>
      </w:pPr>
      <w:r w:rsidRPr="008D4B68">
        <w:rPr>
          <w:rFonts w:asciiTheme="minorHAnsi" w:eastAsiaTheme="minorHAnsi" w:hAnsiTheme="minorHAnsi" w:cstheme="minorHAnsi"/>
        </w:rPr>
        <w:t>ČR</w:t>
      </w:r>
      <w:r w:rsidRPr="008D4B68">
        <w:rPr>
          <w:rFonts w:asciiTheme="minorHAnsi" w:eastAsiaTheme="minorHAnsi" w:hAnsiTheme="minorHAnsi" w:cstheme="minorHAnsi"/>
        </w:rPr>
        <w:tab/>
        <w:t xml:space="preserve">Česká republika </w:t>
      </w:r>
    </w:p>
    <w:p w14:paraId="5F472EFE" w14:textId="77777777" w:rsidR="0019652C" w:rsidRPr="000206ED" w:rsidRDefault="0019652C">
      <w:pPr>
        <w:tabs>
          <w:tab w:val="left" w:pos="2552"/>
        </w:tabs>
        <w:ind w:left="2552" w:hanging="2552"/>
        <w:rPr>
          <w:rFonts w:asciiTheme="minorHAnsi" w:eastAsiaTheme="minorHAnsi" w:hAnsiTheme="minorHAnsi" w:cstheme="minorHAnsi"/>
        </w:rPr>
      </w:pPr>
      <w:r w:rsidRPr="000206ED">
        <w:rPr>
          <w:rFonts w:asciiTheme="minorHAnsi" w:eastAsiaTheme="minorHAnsi" w:hAnsiTheme="minorHAnsi" w:cstheme="minorHAnsi"/>
        </w:rPr>
        <w:t>IČO</w:t>
      </w:r>
      <w:r w:rsidRPr="000206ED">
        <w:rPr>
          <w:rFonts w:asciiTheme="minorHAnsi" w:eastAsiaTheme="minorHAnsi" w:hAnsiTheme="minorHAnsi" w:cstheme="minorHAnsi"/>
        </w:rPr>
        <w:tab/>
        <w:t>identifikační číslo</w:t>
      </w:r>
    </w:p>
    <w:p w14:paraId="48E2C068" w14:textId="77777777" w:rsidR="000206ED" w:rsidRPr="000206ED" w:rsidRDefault="000206ED" w:rsidP="00124170">
      <w:pPr>
        <w:tabs>
          <w:tab w:val="left" w:pos="2552"/>
        </w:tabs>
        <w:ind w:left="2552" w:hanging="2552"/>
        <w:rPr>
          <w:rFonts w:asciiTheme="minorHAnsi" w:eastAsiaTheme="minorHAnsi" w:hAnsiTheme="minorHAnsi" w:cstheme="minorHAnsi"/>
        </w:rPr>
      </w:pPr>
      <w:r w:rsidRPr="000206ED">
        <w:rPr>
          <w:rFonts w:asciiTheme="minorHAnsi" w:eastAsiaTheme="minorHAnsi" w:hAnsiTheme="minorHAnsi" w:cstheme="minorHAnsi"/>
        </w:rPr>
        <w:t>IISSP</w:t>
      </w:r>
      <w:r w:rsidRPr="000206ED">
        <w:rPr>
          <w:rFonts w:asciiTheme="minorHAnsi" w:eastAsiaTheme="minorHAnsi" w:hAnsiTheme="minorHAnsi" w:cstheme="minorHAnsi"/>
        </w:rPr>
        <w:tab/>
      </w:r>
      <w:r w:rsidRPr="000206ED">
        <w:rPr>
          <w:rFonts w:asciiTheme="minorHAnsi" w:eastAsiaTheme="minorHAnsi" w:hAnsiTheme="minorHAnsi" w:cstheme="minorHAnsi"/>
          <w:i/>
        </w:rPr>
        <w:t>Integrovaný informační systém Státní pokladny</w:t>
      </w:r>
    </w:p>
    <w:p w14:paraId="3DFC3278" w14:textId="77777777" w:rsidR="00155F56" w:rsidRPr="000206ED" w:rsidRDefault="00155F56" w:rsidP="00124170">
      <w:pPr>
        <w:tabs>
          <w:tab w:val="left" w:pos="2552"/>
        </w:tabs>
        <w:rPr>
          <w:rFonts w:asciiTheme="minorHAnsi" w:eastAsiaTheme="minorHAnsi" w:hAnsiTheme="minorHAnsi" w:cstheme="minorHAnsi"/>
        </w:rPr>
      </w:pPr>
      <w:r w:rsidRPr="000206ED">
        <w:rPr>
          <w:rFonts w:asciiTheme="minorHAnsi" w:eastAsiaTheme="minorHAnsi" w:hAnsiTheme="minorHAnsi" w:cstheme="minorHAnsi"/>
        </w:rPr>
        <w:t>KA</w:t>
      </w:r>
      <w:r w:rsidRPr="000206ED">
        <w:rPr>
          <w:rFonts w:asciiTheme="minorHAnsi" w:eastAsiaTheme="minorHAnsi" w:hAnsiTheme="minorHAnsi" w:cstheme="minorHAnsi"/>
        </w:rPr>
        <w:tab/>
      </w:r>
      <w:r w:rsidR="003B23D8" w:rsidRPr="000206ED">
        <w:rPr>
          <w:rFonts w:asciiTheme="minorHAnsi" w:eastAsiaTheme="minorHAnsi" w:hAnsiTheme="minorHAnsi" w:cstheme="minorHAnsi"/>
        </w:rPr>
        <w:t>k</w:t>
      </w:r>
      <w:r w:rsidRPr="000206ED">
        <w:rPr>
          <w:rFonts w:asciiTheme="minorHAnsi" w:eastAsiaTheme="minorHAnsi" w:hAnsiTheme="minorHAnsi" w:cstheme="minorHAnsi"/>
        </w:rPr>
        <w:t>ontrolní akce</w:t>
      </w:r>
      <w:r w:rsidR="003B23D8" w:rsidRPr="000206ED">
        <w:rPr>
          <w:rFonts w:asciiTheme="minorHAnsi" w:eastAsiaTheme="minorHAnsi" w:hAnsiTheme="minorHAnsi" w:cstheme="minorHAnsi"/>
        </w:rPr>
        <w:t xml:space="preserve"> Nejvyššího kontrolního úřadu</w:t>
      </w:r>
    </w:p>
    <w:p w14:paraId="0F28F386" w14:textId="77777777" w:rsidR="0019652C" w:rsidRPr="000206ED" w:rsidRDefault="0019652C" w:rsidP="00124170">
      <w:pPr>
        <w:tabs>
          <w:tab w:val="left" w:pos="2552"/>
        </w:tabs>
        <w:rPr>
          <w:rFonts w:asciiTheme="minorHAnsi" w:eastAsiaTheme="minorHAnsi" w:hAnsiTheme="minorHAnsi" w:cstheme="minorHAnsi"/>
        </w:rPr>
      </w:pPr>
      <w:r w:rsidRPr="000206ED">
        <w:rPr>
          <w:rFonts w:asciiTheme="minorHAnsi" w:eastAsiaTheme="minorHAnsi" w:hAnsiTheme="minorHAnsi" w:cstheme="minorHAnsi"/>
        </w:rPr>
        <w:t>kapitola 314</w:t>
      </w:r>
      <w:r w:rsidRPr="000206ED">
        <w:rPr>
          <w:rFonts w:asciiTheme="minorHAnsi" w:eastAsiaTheme="minorHAnsi" w:hAnsiTheme="minorHAnsi" w:cstheme="minorHAnsi"/>
        </w:rPr>
        <w:tab/>
        <w:t xml:space="preserve">kapitola státního rozpočtu 314 – </w:t>
      </w:r>
      <w:r w:rsidRPr="000206ED">
        <w:rPr>
          <w:rFonts w:asciiTheme="minorHAnsi" w:eastAsiaTheme="minorHAnsi" w:hAnsiTheme="minorHAnsi" w:cstheme="minorHAnsi"/>
          <w:i/>
          <w:iCs/>
        </w:rPr>
        <w:t>Ministerstvo vnitra</w:t>
      </w:r>
      <w:r w:rsidRPr="000206ED">
        <w:rPr>
          <w:rFonts w:asciiTheme="minorHAnsi" w:eastAsiaTheme="minorHAnsi" w:hAnsiTheme="minorHAnsi" w:cstheme="minorHAnsi"/>
        </w:rPr>
        <w:t xml:space="preserve"> </w:t>
      </w:r>
    </w:p>
    <w:p w14:paraId="6C05E531" w14:textId="77777777" w:rsidR="00864D96" w:rsidRDefault="009B678D" w:rsidP="00864D96">
      <w:pPr>
        <w:tabs>
          <w:tab w:val="left" w:pos="2552"/>
        </w:tabs>
        <w:spacing w:after="0"/>
        <w:ind w:left="2552" w:hanging="2552"/>
        <w:rPr>
          <w:rFonts w:asciiTheme="minorHAnsi" w:eastAsiaTheme="minorHAnsi" w:hAnsiTheme="minorHAnsi" w:cstheme="minorHAnsi"/>
        </w:rPr>
      </w:pPr>
      <w:r w:rsidRPr="000206ED">
        <w:rPr>
          <w:rFonts w:asciiTheme="minorHAnsi" w:eastAsiaTheme="minorHAnsi" w:hAnsiTheme="minorHAnsi" w:cstheme="minorHAnsi"/>
        </w:rPr>
        <w:t>KO MV</w:t>
      </w:r>
      <w:r w:rsidRPr="000206ED">
        <w:rPr>
          <w:rFonts w:asciiTheme="minorHAnsi" w:eastAsiaTheme="minorHAnsi" w:hAnsiTheme="minorHAnsi" w:cstheme="minorHAnsi"/>
        </w:rPr>
        <w:tab/>
        <w:t>kontrolovaná osoba Ministerstvo vnitra</w:t>
      </w:r>
      <w:r w:rsidR="00A952C9" w:rsidRPr="000206ED">
        <w:rPr>
          <w:rFonts w:asciiTheme="minorHAnsi" w:eastAsiaTheme="minorHAnsi" w:hAnsiTheme="minorHAnsi" w:cstheme="minorHAnsi"/>
        </w:rPr>
        <w:t xml:space="preserve"> </w:t>
      </w:r>
    </w:p>
    <w:p w14:paraId="31130B8F" w14:textId="5A077AFB" w:rsidR="009B678D" w:rsidRPr="000206ED" w:rsidRDefault="00A952C9" w:rsidP="00864D96">
      <w:pPr>
        <w:tabs>
          <w:tab w:val="left" w:pos="2552"/>
        </w:tabs>
        <w:ind w:left="2552"/>
        <w:rPr>
          <w:rFonts w:asciiTheme="minorHAnsi" w:eastAsiaTheme="minorHAnsi" w:hAnsiTheme="minorHAnsi" w:cstheme="minorHAnsi"/>
        </w:rPr>
      </w:pPr>
      <w:r w:rsidRPr="000206ED">
        <w:rPr>
          <w:rFonts w:asciiTheme="minorHAnsi" w:eastAsiaTheme="minorHAnsi" w:hAnsiTheme="minorHAnsi" w:cstheme="minorHAnsi"/>
        </w:rPr>
        <w:t xml:space="preserve">(kontrolovanou osobu tvoří </w:t>
      </w:r>
      <w:r w:rsidR="004236A2" w:rsidRPr="000206ED">
        <w:rPr>
          <w:rFonts w:asciiTheme="minorHAnsi" w:eastAsiaTheme="minorHAnsi" w:hAnsiTheme="minorHAnsi" w:cstheme="minorHAnsi"/>
        </w:rPr>
        <w:t xml:space="preserve">účetní okruhy zobrazující činnost </w:t>
      </w:r>
      <w:r w:rsidRPr="000206ED">
        <w:rPr>
          <w:rFonts w:asciiTheme="minorHAnsi" w:eastAsiaTheme="minorHAnsi" w:hAnsiTheme="minorHAnsi" w:cstheme="minorHAnsi"/>
        </w:rPr>
        <w:t>ústřední</w:t>
      </w:r>
      <w:r w:rsidR="004236A2" w:rsidRPr="000206ED">
        <w:rPr>
          <w:rFonts w:asciiTheme="minorHAnsi" w:eastAsiaTheme="minorHAnsi" w:hAnsiTheme="minorHAnsi" w:cstheme="minorHAnsi"/>
        </w:rPr>
        <w:t>ho</w:t>
      </w:r>
      <w:r w:rsidRPr="000206ED">
        <w:rPr>
          <w:rFonts w:asciiTheme="minorHAnsi" w:eastAsiaTheme="minorHAnsi" w:hAnsiTheme="minorHAnsi" w:cstheme="minorHAnsi"/>
        </w:rPr>
        <w:t xml:space="preserve"> orgán</w:t>
      </w:r>
      <w:r w:rsidR="004236A2" w:rsidRPr="000206ED">
        <w:rPr>
          <w:rFonts w:asciiTheme="minorHAnsi" w:eastAsiaTheme="minorHAnsi" w:hAnsiTheme="minorHAnsi" w:cstheme="minorHAnsi"/>
        </w:rPr>
        <w:t>u</w:t>
      </w:r>
      <w:r w:rsidRPr="000206ED">
        <w:rPr>
          <w:rFonts w:asciiTheme="minorHAnsi" w:eastAsiaTheme="minorHAnsi" w:hAnsiTheme="minorHAnsi" w:cstheme="minorHAnsi"/>
        </w:rPr>
        <w:t xml:space="preserve"> MV, Generální</w:t>
      </w:r>
      <w:r w:rsidR="004236A2" w:rsidRPr="000206ED">
        <w:rPr>
          <w:rFonts w:asciiTheme="minorHAnsi" w:eastAsiaTheme="minorHAnsi" w:hAnsiTheme="minorHAnsi" w:cstheme="minorHAnsi"/>
        </w:rPr>
        <w:t>ho</w:t>
      </w:r>
      <w:r w:rsidRPr="000206ED">
        <w:rPr>
          <w:rFonts w:asciiTheme="minorHAnsi" w:eastAsiaTheme="minorHAnsi" w:hAnsiTheme="minorHAnsi" w:cstheme="minorHAnsi"/>
        </w:rPr>
        <w:t xml:space="preserve"> ředitelství Hasičského záchranného sboru České republiky, Policejní</w:t>
      </w:r>
      <w:r w:rsidR="004236A2" w:rsidRPr="000206ED">
        <w:rPr>
          <w:rFonts w:asciiTheme="minorHAnsi" w:eastAsiaTheme="minorHAnsi" w:hAnsiTheme="minorHAnsi" w:cstheme="minorHAnsi"/>
        </w:rPr>
        <w:t>ho</w:t>
      </w:r>
      <w:r w:rsidRPr="000206ED">
        <w:rPr>
          <w:rFonts w:asciiTheme="minorHAnsi" w:eastAsiaTheme="minorHAnsi" w:hAnsiTheme="minorHAnsi" w:cstheme="minorHAnsi"/>
        </w:rPr>
        <w:t xml:space="preserve"> prezidi</w:t>
      </w:r>
      <w:r w:rsidR="004236A2" w:rsidRPr="000206ED">
        <w:rPr>
          <w:rFonts w:asciiTheme="minorHAnsi" w:eastAsiaTheme="minorHAnsi" w:hAnsiTheme="minorHAnsi" w:cstheme="minorHAnsi"/>
        </w:rPr>
        <w:t>a</w:t>
      </w:r>
      <w:r w:rsidRPr="000206ED">
        <w:rPr>
          <w:rFonts w:asciiTheme="minorHAnsi" w:eastAsiaTheme="minorHAnsi" w:hAnsiTheme="minorHAnsi" w:cstheme="minorHAnsi"/>
        </w:rPr>
        <w:t xml:space="preserve"> České republiky a okruh technický; zahrnut naopak není samostatný okruh</w:t>
      </w:r>
      <w:r w:rsidR="004236A2" w:rsidRPr="000206ED">
        <w:rPr>
          <w:rFonts w:asciiTheme="minorHAnsi" w:eastAsiaTheme="minorHAnsi" w:hAnsiTheme="minorHAnsi" w:cstheme="minorHAnsi"/>
        </w:rPr>
        <w:t xml:space="preserve"> zobrazující činnost Úřadu pro zahraniční styky a informace) </w:t>
      </w:r>
    </w:p>
    <w:p w14:paraId="42AF4969" w14:textId="77777777" w:rsidR="008D4B68" w:rsidRPr="000206ED" w:rsidRDefault="008D4B68" w:rsidP="00124170">
      <w:pPr>
        <w:tabs>
          <w:tab w:val="left" w:pos="2552"/>
        </w:tabs>
        <w:rPr>
          <w:rFonts w:asciiTheme="minorHAnsi" w:eastAsiaTheme="minorHAnsi" w:hAnsiTheme="minorHAnsi" w:cstheme="minorHAnsi"/>
        </w:rPr>
      </w:pPr>
      <w:r w:rsidRPr="000206ED">
        <w:rPr>
          <w:rFonts w:asciiTheme="minorHAnsi" w:eastAsiaTheme="minorHAnsi" w:hAnsiTheme="minorHAnsi" w:cstheme="minorHAnsi"/>
        </w:rPr>
        <w:t>MIS</w:t>
      </w:r>
      <w:r w:rsidRPr="000206ED">
        <w:rPr>
          <w:rFonts w:asciiTheme="minorHAnsi" w:eastAsiaTheme="minorHAnsi" w:hAnsiTheme="minorHAnsi" w:cstheme="minorHAnsi"/>
        </w:rPr>
        <w:tab/>
        <w:t>manažerský informační systém</w:t>
      </w:r>
    </w:p>
    <w:p w14:paraId="59A02087" w14:textId="77777777" w:rsidR="006B570C" w:rsidRPr="000206ED" w:rsidRDefault="006B570C" w:rsidP="00124170">
      <w:pPr>
        <w:tabs>
          <w:tab w:val="left" w:pos="2552"/>
        </w:tabs>
        <w:rPr>
          <w:rFonts w:asciiTheme="minorHAnsi" w:eastAsiaTheme="minorHAnsi" w:hAnsiTheme="minorHAnsi" w:cstheme="minorHAnsi"/>
        </w:rPr>
      </w:pPr>
      <w:r w:rsidRPr="000206ED">
        <w:rPr>
          <w:rFonts w:asciiTheme="minorHAnsi" w:eastAsiaTheme="minorHAnsi" w:hAnsiTheme="minorHAnsi" w:cstheme="minorHAnsi"/>
        </w:rPr>
        <w:t>MF</w:t>
      </w:r>
      <w:r w:rsidRPr="000206ED">
        <w:rPr>
          <w:rFonts w:asciiTheme="minorHAnsi" w:eastAsiaTheme="minorHAnsi" w:hAnsiTheme="minorHAnsi" w:cstheme="minorHAnsi"/>
        </w:rPr>
        <w:tab/>
        <w:t>Ministerstvo financí</w:t>
      </w:r>
    </w:p>
    <w:p w14:paraId="6F0CBDA5" w14:textId="77777777" w:rsidR="00AD0BD6" w:rsidRPr="000206ED" w:rsidRDefault="00AD0BD6" w:rsidP="00124170">
      <w:pPr>
        <w:tabs>
          <w:tab w:val="left" w:pos="2552"/>
        </w:tabs>
        <w:ind w:left="2552" w:hanging="2552"/>
        <w:rPr>
          <w:rFonts w:asciiTheme="minorHAnsi" w:eastAsiaTheme="minorHAnsi" w:hAnsiTheme="minorHAnsi" w:cstheme="minorHAnsi"/>
        </w:rPr>
      </w:pPr>
      <w:r w:rsidRPr="000206ED">
        <w:rPr>
          <w:rFonts w:asciiTheme="minorHAnsi" w:eastAsiaTheme="minorHAnsi" w:hAnsiTheme="minorHAnsi" w:cstheme="minorHAnsi"/>
        </w:rPr>
        <w:t>M</w:t>
      </w:r>
      <w:r w:rsidR="007A4B60" w:rsidRPr="000206ED">
        <w:rPr>
          <w:rFonts w:asciiTheme="minorHAnsi" w:eastAsiaTheme="minorHAnsi" w:hAnsiTheme="minorHAnsi" w:cstheme="minorHAnsi"/>
        </w:rPr>
        <w:t>V</w:t>
      </w:r>
      <w:r w:rsidRPr="000206ED">
        <w:rPr>
          <w:rFonts w:asciiTheme="minorHAnsi" w:eastAsiaTheme="minorHAnsi" w:hAnsiTheme="minorHAnsi" w:cstheme="minorHAnsi"/>
        </w:rPr>
        <w:tab/>
        <w:t>Ministerstv</w:t>
      </w:r>
      <w:r w:rsidR="007A4B60" w:rsidRPr="000206ED">
        <w:rPr>
          <w:rFonts w:asciiTheme="minorHAnsi" w:eastAsiaTheme="minorHAnsi" w:hAnsiTheme="minorHAnsi" w:cstheme="minorHAnsi"/>
        </w:rPr>
        <w:t>o vnitra</w:t>
      </w:r>
    </w:p>
    <w:p w14:paraId="56D464A4" w14:textId="77777777" w:rsidR="00155F56" w:rsidRPr="000206ED" w:rsidRDefault="00155F56" w:rsidP="00124170">
      <w:pPr>
        <w:tabs>
          <w:tab w:val="left" w:pos="2552"/>
        </w:tabs>
        <w:ind w:left="2552" w:hanging="2552"/>
        <w:rPr>
          <w:rFonts w:asciiTheme="minorHAnsi" w:eastAsiaTheme="minorHAnsi" w:hAnsiTheme="minorHAnsi" w:cstheme="minorHAnsi"/>
        </w:rPr>
      </w:pPr>
      <w:r w:rsidRPr="000206ED">
        <w:rPr>
          <w:rFonts w:asciiTheme="minorHAnsi" w:eastAsiaTheme="minorHAnsi" w:hAnsiTheme="minorHAnsi" w:cstheme="minorHAnsi"/>
        </w:rPr>
        <w:t>NKÚ</w:t>
      </w:r>
      <w:r w:rsidRPr="000206ED">
        <w:rPr>
          <w:rFonts w:asciiTheme="minorHAnsi" w:eastAsiaTheme="minorHAnsi" w:hAnsiTheme="minorHAnsi" w:cstheme="minorHAnsi"/>
        </w:rPr>
        <w:tab/>
        <w:t>Nejvyšší kontrolní úřad</w:t>
      </w:r>
    </w:p>
    <w:p w14:paraId="2D25D19A" w14:textId="77777777" w:rsidR="00155F56" w:rsidRPr="000206ED" w:rsidRDefault="00155F56" w:rsidP="00124170">
      <w:pPr>
        <w:tabs>
          <w:tab w:val="left" w:pos="2552"/>
        </w:tabs>
        <w:ind w:left="2552" w:hanging="2552"/>
        <w:rPr>
          <w:rFonts w:asciiTheme="minorHAnsi" w:eastAsiaTheme="minorHAnsi" w:hAnsiTheme="minorHAnsi" w:cstheme="minorHAnsi"/>
        </w:rPr>
      </w:pPr>
      <w:r w:rsidRPr="000206ED">
        <w:rPr>
          <w:rFonts w:asciiTheme="minorHAnsi" w:eastAsiaTheme="minorHAnsi" w:hAnsiTheme="minorHAnsi" w:cstheme="minorHAnsi"/>
        </w:rPr>
        <w:t>OSS</w:t>
      </w:r>
      <w:r w:rsidRPr="000206ED">
        <w:rPr>
          <w:rFonts w:asciiTheme="minorHAnsi" w:eastAsiaTheme="minorHAnsi" w:hAnsiTheme="minorHAnsi" w:cstheme="minorHAnsi"/>
        </w:rPr>
        <w:tab/>
        <w:t>organizační složka/</w:t>
      </w:r>
      <w:r w:rsidR="005121AE" w:rsidRPr="000206ED">
        <w:rPr>
          <w:rFonts w:asciiTheme="minorHAnsi" w:eastAsiaTheme="minorHAnsi" w:hAnsiTheme="minorHAnsi" w:cstheme="minorHAnsi"/>
        </w:rPr>
        <w:t>složk</w:t>
      </w:r>
      <w:r w:rsidRPr="000206ED">
        <w:rPr>
          <w:rFonts w:asciiTheme="minorHAnsi" w:eastAsiaTheme="minorHAnsi" w:hAnsiTheme="minorHAnsi" w:cstheme="minorHAnsi"/>
        </w:rPr>
        <w:t>y státu</w:t>
      </w:r>
    </w:p>
    <w:p w14:paraId="1EE6DB9C" w14:textId="77777777" w:rsidR="00155F56" w:rsidRPr="000206ED" w:rsidRDefault="00155F56" w:rsidP="00124170">
      <w:pPr>
        <w:tabs>
          <w:tab w:val="left" w:pos="2552"/>
        </w:tabs>
        <w:ind w:left="2552" w:hanging="2552"/>
        <w:rPr>
          <w:rFonts w:asciiTheme="minorHAnsi" w:eastAsiaTheme="minorHAnsi" w:hAnsiTheme="minorHAnsi" w:cstheme="minorHAnsi"/>
        </w:rPr>
      </w:pPr>
      <w:r w:rsidRPr="000206ED">
        <w:rPr>
          <w:rFonts w:asciiTheme="minorHAnsi" w:eastAsiaTheme="minorHAnsi" w:hAnsiTheme="minorHAnsi" w:cstheme="minorHAnsi"/>
        </w:rPr>
        <w:t>PO</w:t>
      </w:r>
      <w:r w:rsidRPr="000206ED">
        <w:rPr>
          <w:rFonts w:asciiTheme="minorHAnsi" w:eastAsiaTheme="minorHAnsi" w:hAnsiTheme="minorHAnsi" w:cstheme="minorHAnsi"/>
        </w:rPr>
        <w:tab/>
        <w:t>příspěvková</w:t>
      </w:r>
      <w:r w:rsidR="005121AE" w:rsidRPr="000206ED">
        <w:rPr>
          <w:rFonts w:asciiTheme="minorHAnsi" w:eastAsiaTheme="minorHAnsi" w:hAnsiTheme="minorHAnsi" w:cstheme="minorHAnsi"/>
        </w:rPr>
        <w:t>/příspěvkové</w:t>
      </w:r>
      <w:r w:rsidRPr="000206ED">
        <w:rPr>
          <w:rFonts w:asciiTheme="minorHAnsi" w:eastAsiaTheme="minorHAnsi" w:hAnsiTheme="minorHAnsi" w:cstheme="minorHAnsi"/>
        </w:rPr>
        <w:t xml:space="preserve"> organizace</w:t>
      </w:r>
    </w:p>
    <w:p w14:paraId="1983C145" w14:textId="1FD6B1E5" w:rsidR="00A37B6F" w:rsidRPr="000206ED" w:rsidRDefault="00A37B6F" w:rsidP="00124170">
      <w:pPr>
        <w:tabs>
          <w:tab w:val="left" w:pos="2552"/>
        </w:tabs>
        <w:ind w:left="2552" w:hanging="2552"/>
        <w:rPr>
          <w:rFonts w:asciiTheme="minorHAnsi" w:eastAsiaTheme="minorHAnsi" w:hAnsiTheme="minorHAnsi" w:cstheme="minorHAnsi"/>
        </w:rPr>
      </w:pPr>
      <w:r w:rsidRPr="000206ED">
        <w:rPr>
          <w:rFonts w:asciiTheme="minorHAnsi" w:eastAsiaTheme="minorHAnsi" w:hAnsiTheme="minorHAnsi" w:cstheme="minorHAnsi"/>
        </w:rPr>
        <w:t>RP</w:t>
      </w:r>
      <w:r w:rsidRPr="000206ED">
        <w:rPr>
          <w:rFonts w:asciiTheme="minorHAnsi" w:eastAsiaTheme="minorHAnsi" w:hAnsiTheme="minorHAnsi" w:cstheme="minorHAnsi"/>
        </w:rPr>
        <w:tab/>
        <w:t>rozpočtov</w:t>
      </w:r>
      <w:r w:rsidR="00970055" w:rsidRPr="000206ED">
        <w:rPr>
          <w:rFonts w:asciiTheme="minorHAnsi" w:eastAsiaTheme="minorHAnsi" w:hAnsiTheme="minorHAnsi" w:cstheme="minorHAnsi"/>
        </w:rPr>
        <w:t>á</w:t>
      </w:r>
      <w:r w:rsidRPr="000206ED">
        <w:rPr>
          <w:rFonts w:asciiTheme="minorHAnsi" w:eastAsiaTheme="minorHAnsi" w:hAnsiTheme="minorHAnsi" w:cstheme="minorHAnsi"/>
        </w:rPr>
        <w:t xml:space="preserve"> </w:t>
      </w:r>
      <w:r w:rsidR="00970055" w:rsidRPr="000206ED">
        <w:rPr>
          <w:rFonts w:asciiTheme="minorHAnsi" w:eastAsiaTheme="minorHAnsi" w:hAnsiTheme="minorHAnsi" w:cstheme="minorHAnsi"/>
        </w:rPr>
        <w:t>položka</w:t>
      </w:r>
    </w:p>
    <w:p w14:paraId="6E9A467C" w14:textId="77777777" w:rsidR="00A37B6F" w:rsidRPr="000206ED" w:rsidRDefault="00A37B6F" w:rsidP="00124170">
      <w:pPr>
        <w:tabs>
          <w:tab w:val="left" w:pos="2552"/>
        </w:tabs>
        <w:ind w:left="2552" w:hanging="2552"/>
        <w:rPr>
          <w:rFonts w:asciiTheme="minorHAnsi" w:eastAsiaTheme="minorHAnsi" w:hAnsiTheme="minorHAnsi" w:cstheme="minorHAnsi"/>
        </w:rPr>
      </w:pPr>
      <w:r w:rsidRPr="000206ED">
        <w:rPr>
          <w:rFonts w:asciiTheme="minorHAnsi" w:eastAsiaTheme="minorHAnsi" w:hAnsiTheme="minorHAnsi" w:cstheme="minorHAnsi"/>
        </w:rPr>
        <w:t>SÚ</w:t>
      </w:r>
      <w:r w:rsidRPr="000206ED">
        <w:rPr>
          <w:rFonts w:asciiTheme="minorHAnsi" w:eastAsiaTheme="minorHAnsi" w:hAnsiTheme="minorHAnsi" w:cstheme="minorHAnsi"/>
        </w:rPr>
        <w:tab/>
        <w:t>syntetický účet</w:t>
      </w:r>
    </w:p>
    <w:p w14:paraId="2F8EFBC2" w14:textId="0735E618" w:rsidR="00155F56" w:rsidRPr="000206ED" w:rsidRDefault="00155F56" w:rsidP="00124170">
      <w:pPr>
        <w:tabs>
          <w:tab w:val="left" w:pos="2552"/>
        </w:tabs>
        <w:ind w:left="2552" w:hanging="2552"/>
        <w:rPr>
          <w:rFonts w:asciiTheme="minorHAnsi" w:eastAsiaTheme="minorHAnsi" w:hAnsiTheme="minorHAnsi" w:cstheme="minorHAnsi"/>
        </w:rPr>
      </w:pPr>
      <w:r w:rsidRPr="000206ED">
        <w:rPr>
          <w:rFonts w:asciiTheme="minorHAnsi" w:eastAsiaTheme="minorHAnsi" w:hAnsiTheme="minorHAnsi" w:cstheme="minorHAnsi"/>
        </w:rPr>
        <w:t>ÚZ</w:t>
      </w:r>
      <w:r w:rsidRPr="000206ED">
        <w:rPr>
          <w:rFonts w:asciiTheme="minorHAnsi" w:eastAsiaTheme="minorHAnsi" w:hAnsiTheme="minorHAnsi" w:cstheme="minorHAnsi"/>
        </w:rPr>
        <w:tab/>
        <w:t xml:space="preserve">účetní závěrka </w:t>
      </w:r>
      <w:r w:rsidR="00842B22" w:rsidRPr="000206ED">
        <w:rPr>
          <w:rFonts w:asciiTheme="minorHAnsi" w:eastAsiaTheme="minorHAnsi" w:hAnsiTheme="minorHAnsi" w:cstheme="minorHAnsi"/>
        </w:rPr>
        <w:t>M</w:t>
      </w:r>
      <w:r w:rsidR="0019652C" w:rsidRPr="000206ED">
        <w:rPr>
          <w:rFonts w:asciiTheme="minorHAnsi" w:eastAsiaTheme="minorHAnsi" w:hAnsiTheme="minorHAnsi" w:cstheme="minorHAnsi"/>
        </w:rPr>
        <w:t>inisterstva vnitra</w:t>
      </w:r>
      <w:r w:rsidRPr="000206ED">
        <w:rPr>
          <w:rFonts w:asciiTheme="minorHAnsi" w:eastAsiaTheme="minorHAnsi" w:hAnsiTheme="minorHAnsi" w:cstheme="minorHAnsi"/>
        </w:rPr>
        <w:t xml:space="preserve"> k 31. prosinci 20</w:t>
      </w:r>
      <w:r w:rsidR="00842B22" w:rsidRPr="000206ED">
        <w:rPr>
          <w:rFonts w:asciiTheme="minorHAnsi" w:eastAsiaTheme="minorHAnsi" w:hAnsiTheme="minorHAnsi" w:cstheme="minorHAnsi"/>
        </w:rPr>
        <w:t>2</w:t>
      </w:r>
      <w:r w:rsidR="009B678D" w:rsidRPr="000206ED">
        <w:rPr>
          <w:rFonts w:asciiTheme="minorHAnsi" w:eastAsiaTheme="minorHAnsi" w:hAnsiTheme="minorHAnsi" w:cstheme="minorHAnsi"/>
        </w:rPr>
        <w:t xml:space="preserve">1 </w:t>
      </w:r>
      <w:r w:rsidR="00970055" w:rsidRPr="000206ED">
        <w:rPr>
          <w:rFonts w:asciiTheme="minorHAnsi" w:eastAsiaTheme="minorHAnsi" w:hAnsiTheme="minorHAnsi" w:cstheme="minorHAnsi"/>
        </w:rPr>
        <w:t xml:space="preserve">sestavená </w:t>
      </w:r>
      <w:r w:rsidR="009B678D" w:rsidRPr="000206ED">
        <w:rPr>
          <w:rFonts w:asciiTheme="minorHAnsi" w:eastAsiaTheme="minorHAnsi" w:hAnsiTheme="minorHAnsi" w:cstheme="minorHAnsi"/>
        </w:rPr>
        <w:t>13</w:t>
      </w:r>
      <w:r w:rsidR="002A706D" w:rsidRPr="000206ED">
        <w:rPr>
          <w:rFonts w:asciiTheme="minorHAnsi" w:eastAsiaTheme="minorHAnsi" w:hAnsiTheme="minorHAnsi" w:cstheme="minorHAnsi"/>
        </w:rPr>
        <w:t xml:space="preserve">. </w:t>
      </w:r>
      <w:r w:rsidR="009B678D" w:rsidRPr="000206ED">
        <w:rPr>
          <w:rFonts w:asciiTheme="minorHAnsi" w:eastAsiaTheme="minorHAnsi" w:hAnsiTheme="minorHAnsi" w:cstheme="minorHAnsi"/>
        </w:rPr>
        <w:t>dubna</w:t>
      </w:r>
      <w:r w:rsidR="00056F1A" w:rsidRPr="000206ED">
        <w:rPr>
          <w:rFonts w:asciiTheme="minorHAnsi" w:eastAsiaTheme="minorHAnsi" w:hAnsiTheme="minorHAnsi" w:cstheme="minorHAnsi"/>
        </w:rPr>
        <w:t xml:space="preserve"> 202</w:t>
      </w:r>
      <w:r w:rsidR="009B678D" w:rsidRPr="000206ED">
        <w:rPr>
          <w:rFonts w:asciiTheme="minorHAnsi" w:eastAsiaTheme="minorHAnsi" w:hAnsiTheme="minorHAnsi" w:cstheme="minorHAnsi"/>
        </w:rPr>
        <w:t>2</w:t>
      </w:r>
    </w:p>
    <w:p w14:paraId="1B5D0CEF" w14:textId="77777777" w:rsidR="00BA71D5" w:rsidRPr="000206ED" w:rsidRDefault="00BA71D5" w:rsidP="00124170">
      <w:pPr>
        <w:tabs>
          <w:tab w:val="left" w:pos="2552"/>
        </w:tabs>
        <w:ind w:left="3540" w:hanging="3540"/>
        <w:rPr>
          <w:rFonts w:asciiTheme="minorHAnsi" w:eastAsiaTheme="minorHAnsi" w:hAnsiTheme="minorHAnsi" w:cstheme="minorHAnsi"/>
        </w:rPr>
      </w:pPr>
      <w:r w:rsidRPr="000206ED">
        <w:rPr>
          <w:rFonts w:asciiTheme="minorHAnsi" w:eastAsiaTheme="minorHAnsi" w:hAnsiTheme="minorHAnsi" w:cstheme="minorHAnsi"/>
        </w:rPr>
        <w:t>ÚZSI</w:t>
      </w:r>
      <w:r w:rsidRPr="000206ED">
        <w:rPr>
          <w:rFonts w:asciiTheme="minorHAnsi" w:eastAsiaTheme="minorHAnsi" w:hAnsiTheme="minorHAnsi" w:cstheme="minorHAnsi"/>
        </w:rPr>
        <w:tab/>
        <w:t>Úřad pro zahraniční styky a informace</w:t>
      </w:r>
    </w:p>
    <w:p w14:paraId="5BC5DCED" w14:textId="77777777" w:rsidR="00A045AE" w:rsidRPr="000206ED" w:rsidRDefault="00A045AE" w:rsidP="00124170">
      <w:pPr>
        <w:tabs>
          <w:tab w:val="left" w:pos="2552"/>
        </w:tabs>
        <w:ind w:left="2552" w:hanging="2552"/>
        <w:rPr>
          <w:rFonts w:asciiTheme="minorHAnsi" w:eastAsiaTheme="minorHAnsi" w:hAnsiTheme="minorHAnsi" w:cstheme="minorHAnsi"/>
        </w:rPr>
      </w:pPr>
      <w:r w:rsidRPr="000206ED">
        <w:rPr>
          <w:rFonts w:asciiTheme="minorHAnsi" w:eastAsiaTheme="minorHAnsi" w:hAnsiTheme="minorHAnsi" w:cstheme="minorHAnsi"/>
        </w:rPr>
        <w:t>VKS</w:t>
      </w:r>
      <w:r w:rsidRPr="000206ED">
        <w:rPr>
          <w:rFonts w:asciiTheme="minorHAnsi" w:eastAsiaTheme="minorHAnsi" w:hAnsiTheme="minorHAnsi" w:cstheme="minorHAnsi"/>
        </w:rPr>
        <w:tab/>
        <w:t>vnitřní kontrolní systém</w:t>
      </w:r>
      <w:r w:rsidR="0019652C" w:rsidRPr="000206ED">
        <w:rPr>
          <w:rFonts w:asciiTheme="minorHAnsi" w:eastAsiaTheme="minorHAnsi" w:hAnsiTheme="minorHAnsi" w:cstheme="minorHAnsi"/>
        </w:rPr>
        <w:t xml:space="preserve"> Ministerstva vnitra</w:t>
      </w:r>
    </w:p>
    <w:p w14:paraId="50B96177" w14:textId="39C8EC41" w:rsidR="0019652C" w:rsidRPr="000206ED" w:rsidRDefault="0019652C" w:rsidP="00124170">
      <w:pPr>
        <w:tabs>
          <w:tab w:val="left" w:pos="2552"/>
        </w:tabs>
        <w:ind w:left="2552" w:hanging="2552"/>
        <w:rPr>
          <w:rFonts w:asciiTheme="minorHAnsi" w:eastAsiaTheme="minorHAnsi" w:hAnsiTheme="minorHAnsi" w:cstheme="minorHAnsi"/>
        </w:rPr>
      </w:pPr>
      <w:r w:rsidRPr="000206ED">
        <w:rPr>
          <w:rFonts w:asciiTheme="minorHAnsi" w:eastAsiaTheme="minorHAnsi" w:hAnsiTheme="minorHAnsi" w:cstheme="minorHAnsi"/>
        </w:rPr>
        <w:t>VZZ</w:t>
      </w:r>
      <w:r w:rsidRPr="000206ED">
        <w:rPr>
          <w:rFonts w:asciiTheme="minorHAnsi" w:eastAsiaTheme="minorHAnsi" w:hAnsiTheme="minorHAnsi" w:cstheme="minorHAnsi"/>
        </w:rPr>
        <w:tab/>
        <w:t xml:space="preserve">účetní výkaz </w:t>
      </w:r>
      <w:r w:rsidR="007856E6" w:rsidRPr="000206ED">
        <w:rPr>
          <w:rFonts w:asciiTheme="minorHAnsi" w:eastAsiaTheme="minorHAnsi" w:hAnsiTheme="minorHAnsi" w:cstheme="minorHAnsi"/>
        </w:rPr>
        <w:t>„v</w:t>
      </w:r>
      <w:r w:rsidRPr="000206ED">
        <w:rPr>
          <w:rFonts w:asciiTheme="minorHAnsi" w:eastAsiaTheme="minorHAnsi" w:hAnsiTheme="minorHAnsi" w:cstheme="minorHAnsi"/>
        </w:rPr>
        <w:t>ýkaz zisku a ztráty</w:t>
      </w:r>
      <w:r w:rsidR="007856E6" w:rsidRPr="000206ED">
        <w:rPr>
          <w:rFonts w:asciiTheme="minorHAnsi" w:eastAsiaTheme="minorHAnsi" w:hAnsiTheme="minorHAnsi" w:cstheme="minorHAnsi"/>
        </w:rPr>
        <w:t>“</w:t>
      </w:r>
    </w:p>
    <w:p w14:paraId="72DCE540" w14:textId="6C1C42AA" w:rsidR="00B53D75" w:rsidRPr="000206ED" w:rsidRDefault="00155F56" w:rsidP="00970055">
      <w:pPr>
        <w:tabs>
          <w:tab w:val="left" w:pos="2552"/>
        </w:tabs>
        <w:ind w:left="2552" w:hanging="2552"/>
        <w:rPr>
          <w:rFonts w:asciiTheme="minorHAnsi" w:eastAsiaTheme="minorHAnsi" w:hAnsiTheme="minorHAnsi" w:cstheme="minorHAnsi"/>
        </w:rPr>
      </w:pPr>
      <w:r w:rsidRPr="000206ED">
        <w:rPr>
          <w:rFonts w:asciiTheme="minorHAnsi" w:eastAsiaTheme="minorHAnsi" w:hAnsiTheme="minorHAnsi" w:cstheme="minorHAnsi"/>
        </w:rPr>
        <w:t>výkaz FIN 1-12 OSS</w:t>
      </w:r>
      <w:r w:rsidRPr="000206ED">
        <w:rPr>
          <w:rFonts w:asciiTheme="minorHAnsi" w:eastAsiaTheme="minorHAnsi" w:hAnsiTheme="minorHAnsi" w:cstheme="minorHAnsi"/>
        </w:rPr>
        <w:tab/>
      </w:r>
      <w:r w:rsidR="00970055" w:rsidRPr="000206ED">
        <w:rPr>
          <w:rFonts w:asciiTheme="minorHAnsi" w:eastAsiaTheme="minorHAnsi" w:hAnsiTheme="minorHAnsi" w:cstheme="minorHAnsi"/>
        </w:rPr>
        <w:t>„</w:t>
      </w:r>
      <w:r w:rsidRPr="000206ED">
        <w:rPr>
          <w:rFonts w:asciiTheme="minorHAnsi" w:eastAsiaTheme="minorHAnsi" w:hAnsiTheme="minorHAnsi" w:cstheme="minorHAnsi"/>
        </w:rPr>
        <w:t>výkaz pro hodnocení plnění rozpočtu správců kapitol a organizačních složek státu</w:t>
      </w:r>
      <w:r w:rsidR="00970055" w:rsidRPr="000206ED">
        <w:rPr>
          <w:rFonts w:asciiTheme="minorHAnsi" w:eastAsiaTheme="minorHAnsi" w:hAnsiTheme="minorHAnsi" w:cstheme="minorHAnsi"/>
        </w:rPr>
        <w:t>“</w:t>
      </w:r>
      <w:r w:rsidR="00927ABA" w:rsidRPr="000206ED">
        <w:rPr>
          <w:rFonts w:asciiTheme="minorHAnsi" w:eastAsiaTheme="minorHAnsi" w:hAnsiTheme="minorHAnsi" w:cstheme="minorHAnsi"/>
        </w:rPr>
        <w:t xml:space="preserve"> M</w:t>
      </w:r>
      <w:r w:rsidR="00970055" w:rsidRPr="000206ED">
        <w:rPr>
          <w:rFonts w:asciiTheme="minorHAnsi" w:eastAsiaTheme="minorHAnsi" w:hAnsiTheme="minorHAnsi" w:cstheme="minorHAnsi"/>
        </w:rPr>
        <w:t>inisterstva vnitra</w:t>
      </w:r>
      <w:r w:rsidR="00786390" w:rsidRPr="000206ED">
        <w:rPr>
          <w:rFonts w:asciiTheme="minorHAnsi" w:eastAsiaTheme="minorHAnsi" w:hAnsiTheme="minorHAnsi" w:cstheme="minorHAnsi"/>
        </w:rPr>
        <w:t xml:space="preserve"> za rok </w:t>
      </w:r>
      <w:r w:rsidR="00842B22" w:rsidRPr="000206ED">
        <w:rPr>
          <w:rFonts w:asciiTheme="minorHAnsi" w:eastAsiaTheme="minorHAnsi" w:hAnsiTheme="minorHAnsi" w:cstheme="minorHAnsi"/>
        </w:rPr>
        <w:t>202</w:t>
      </w:r>
      <w:r w:rsidR="00A64976" w:rsidRPr="000206ED">
        <w:rPr>
          <w:rFonts w:asciiTheme="minorHAnsi" w:eastAsiaTheme="minorHAnsi" w:hAnsiTheme="minorHAnsi" w:cstheme="minorHAnsi"/>
        </w:rPr>
        <w:t>1</w:t>
      </w:r>
    </w:p>
    <w:p w14:paraId="1F53ABFB" w14:textId="77777777" w:rsidR="000206ED" w:rsidRPr="00124170" w:rsidRDefault="000206ED" w:rsidP="00124170">
      <w:pPr>
        <w:tabs>
          <w:tab w:val="left" w:pos="2552"/>
        </w:tabs>
        <w:ind w:left="2552" w:hanging="2552"/>
        <w:rPr>
          <w:rFonts w:asciiTheme="minorHAnsi" w:eastAsiaTheme="minorHAnsi" w:hAnsiTheme="minorHAnsi" w:cstheme="minorHAnsi"/>
        </w:rPr>
      </w:pPr>
      <w:r w:rsidRPr="00124170">
        <w:rPr>
          <w:rFonts w:asciiTheme="minorHAnsi" w:eastAsiaTheme="minorHAnsi" w:hAnsiTheme="minorHAnsi" w:cstheme="minorHAnsi"/>
        </w:rPr>
        <w:t>ZSVM</w:t>
      </w:r>
      <w:r w:rsidRPr="00124170">
        <w:rPr>
          <w:rFonts w:asciiTheme="minorHAnsi" w:eastAsiaTheme="minorHAnsi" w:hAnsiTheme="minorHAnsi" w:cstheme="minorHAnsi"/>
        </w:rPr>
        <w:tab/>
        <w:t>Zařízení služeb pro Ministerstvo vnitra</w:t>
      </w:r>
    </w:p>
    <w:p w14:paraId="67F98D07" w14:textId="77777777" w:rsidR="005F3E85" w:rsidRPr="000206ED" w:rsidRDefault="005F3E85" w:rsidP="00124170">
      <w:pPr>
        <w:tabs>
          <w:tab w:val="left" w:pos="2552"/>
        </w:tabs>
        <w:ind w:left="2552" w:hanging="2552"/>
        <w:rPr>
          <w:rFonts w:asciiTheme="minorHAnsi" w:eastAsiaTheme="minorHAnsi" w:hAnsiTheme="minorHAnsi" w:cstheme="minorHAnsi"/>
        </w:rPr>
      </w:pPr>
      <w:r w:rsidRPr="000206ED">
        <w:rPr>
          <w:rFonts w:asciiTheme="minorHAnsi" w:eastAsiaTheme="minorHAnsi" w:hAnsiTheme="minorHAnsi" w:cstheme="minorHAnsi"/>
        </w:rPr>
        <w:t>ZÚ 202</w:t>
      </w:r>
      <w:r w:rsidR="008601E3" w:rsidRPr="000206ED">
        <w:rPr>
          <w:rFonts w:asciiTheme="minorHAnsi" w:eastAsiaTheme="minorHAnsi" w:hAnsiTheme="minorHAnsi" w:cstheme="minorHAnsi"/>
        </w:rPr>
        <w:t>1</w:t>
      </w:r>
      <w:r w:rsidRPr="000206ED">
        <w:rPr>
          <w:rFonts w:asciiTheme="minorHAnsi" w:eastAsiaTheme="minorHAnsi" w:hAnsiTheme="minorHAnsi" w:cstheme="minorHAnsi"/>
        </w:rPr>
        <w:tab/>
        <w:t xml:space="preserve">Závěrečný účet kapitoly </w:t>
      </w:r>
      <w:r w:rsidR="0019652C" w:rsidRPr="000206ED">
        <w:rPr>
          <w:rFonts w:asciiTheme="minorHAnsi" w:eastAsiaTheme="minorHAnsi" w:hAnsiTheme="minorHAnsi" w:cstheme="minorHAnsi"/>
        </w:rPr>
        <w:t xml:space="preserve">státního rozpočtu </w:t>
      </w:r>
      <w:r w:rsidRPr="000206ED">
        <w:rPr>
          <w:rFonts w:asciiTheme="minorHAnsi" w:eastAsiaTheme="minorHAnsi" w:hAnsiTheme="minorHAnsi" w:cstheme="minorHAnsi"/>
        </w:rPr>
        <w:t>3</w:t>
      </w:r>
      <w:r w:rsidR="008601E3" w:rsidRPr="000206ED">
        <w:rPr>
          <w:rFonts w:asciiTheme="minorHAnsi" w:eastAsiaTheme="minorHAnsi" w:hAnsiTheme="minorHAnsi" w:cstheme="minorHAnsi"/>
        </w:rPr>
        <w:t>14</w:t>
      </w:r>
      <w:r w:rsidRPr="000206ED">
        <w:rPr>
          <w:rFonts w:asciiTheme="minorHAnsi" w:eastAsiaTheme="minorHAnsi" w:hAnsiTheme="minorHAnsi" w:cstheme="minorHAnsi"/>
        </w:rPr>
        <w:t xml:space="preserve"> – </w:t>
      </w:r>
      <w:r w:rsidRPr="000206ED">
        <w:rPr>
          <w:rFonts w:asciiTheme="minorHAnsi" w:eastAsiaTheme="minorHAnsi" w:hAnsiTheme="minorHAnsi" w:cstheme="minorHAnsi"/>
          <w:i/>
          <w:iCs/>
        </w:rPr>
        <w:t>Ministerstvo</w:t>
      </w:r>
      <w:r w:rsidR="00AD0BD6" w:rsidRPr="004F37FF">
        <w:rPr>
          <w:rFonts w:asciiTheme="minorHAnsi" w:eastAsiaTheme="minorHAnsi" w:hAnsiTheme="minorHAnsi" w:cstheme="minorHAnsi"/>
          <w:i/>
          <w:iCs/>
        </w:rPr>
        <w:t xml:space="preserve"> </w:t>
      </w:r>
      <w:r w:rsidR="008601E3" w:rsidRPr="000206ED">
        <w:rPr>
          <w:rFonts w:asciiTheme="minorHAnsi" w:eastAsiaTheme="minorHAnsi" w:hAnsiTheme="minorHAnsi" w:cstheme="minorHAnsi"/>
          <w:i/>
          <w:iCs/>
        </w:rPr>
        <w:t>vnitra</w:t>
      </w:r>
      <w:r w:rsidRPr="000206ED">
        <w:rPr>
          <w:rFonts w:asciiTheme="minorHAnsi" w:eastAsiaTheme="minorHAnsi" w:hAnsiTheme="minorHAnsi" w:cstheme="minorHAnsi"/>
        </w:rPr>
        <w:t xml:space="preserve"> za rok 202</w:t>
      </w:r>
      <w:r w:rsidR="008601E3" w:rsidRPr="000206ED">
        <w:rPr>
          <w:rFonts w:asciiTheme="minorHAnsi" w:eastAsiaTheme="minorHAnsi" w:hAnsiTheme="minorHAnsi" w:cstheme="minorHAnsi"/>
        </w:rPr>
        <w:t>1</w:t>
      </w:r>
    </w:p>
    <w:p w14:paraId="6BA4455E" w14:textId="77777777" w:rsidR="000D791D" w:rsidRDefault="000D791D" w:rsidP="00124170">
      <w:pPr>
        <w:tabs>
          <w:tab w:val="left" w:pos="2552"/>
        </w:tabs>
        <w:ind w:left="3540" w:hanging="3540"/>
        <w:rPr>
          <w:rFonts w:asciiTheme="minorHAnsi" w:eastAsiaTheme="minorHAnsi" w:hAnsiTheme="minorHAnsi" w:cstheme="minorHAnsi"/>
        </w:rPr>
      </w:pPr>
    </w:p>
    <w:p w14:paraId="180622B5" w14:textId="77777777" w:rsidR="000206ED" w:rsidRDefault="000206ED">
      <w:pPr>
        <w:spacing w:after="160" w:line="259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3E6E4176" w14:textId="77777777" w:rsidR="0092476E" w:rsidRDefault="0092476E" w:rsidP="00C234CE">
      <w:pPr>
        <w:ind w:right="-2"/>
        <w:rPr>
          <w:rFonts w:cstheme="minorHAnsi"/>
          <w:b/>
          <w:bCs/>
        </w:rPr>
      </w:pPr>
      <w:r w:rsidRPr="00F17E52">
        <w:rPr>
          <w:rFonts w:cstheme="minorHAnsi"/>
          <w:b/>
          <w:bCs/>
        </w:rPr>
        <w:lastRenderedPageBreak/>
        <w:t>Příloha č. 1 ke kontrolnímu závěru z kontrolní akce č. 21/27</w:t>
      </w:r>
    </w:p>
    <w:p w14:paraId="26D21F30" w14:textId="77777777" w:rsidR="0092476E" w:rsidRPr="00F17E52" w:rsidRDefault="0092476E" w:rsidP="0092476E">
      <w:pPr>
        <w:ind w:right="-2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Souhrn ekonomických ukazatelů </w:t>
      </w:r>
    </w:p>
    <w:p w14:paraId="66034DAD" w14:textId="77777777" w:rsidR="0092476E" w:rsidRPr="005B5B16" w:rsidRDefault="0092476E" w:rsidP="0092476E">
      <w:pPr>
        <w:spacing w:after="0"/>
        <w:ind w:right="-2"/>
        <w:jc w:val="both"/>
        <w:rPr>
          <w:rFonts w:cstheme="minorHAnsi"/>
        </w:rPr>
      </w:pPr>
      <w:r w:rsidRPr="005B5B16">
        <w:rPr>
          <w:rFonts w:cstheme="minorHAnsi"/>
        </w:rPr>
        <w:t>Příloha obsahuje výsledky rozpočtového hospodaření za rok 2021 vykázané v rámci kapitoly 314</w:t>
      </w:r>
      <w:r>
        <w:rPr>
          <w:rFonts w:cstheme="minorHAnsi"/>
        </w:rPr>
        <w:t xml:space="preserve"> </w:t>
      </w:r>
      <w:r w:rsidRPr="005B5B16">
        <w:rPr>
          <w:rFonts w:cstheme="minorHAnsi"/>
        </w:rPr>
        <w:t>na peněžní a akruální bázi. Informace níže uvedené vycház</w:t>
      </w:r>
      <w:r w:rsidR="0019652C">
        <w:rPr>
          <w:rFonts w:cstheme="minorHAnsi"/>
        </w:rPr>
        <w:t>ej</w:t>
      </w:r>
      <w:r w:rsidRPr="005B5B16">
        <w:rPr>
          <w:rFonts w:cstheme="minorHAnsi"/>
        </w:rPr>
        <w:t>í z finančních výkazů a</w:t>
      </w:r>
      <w:r w:rsidR="000206ED">
        <w:rPr>
          <w:rFonts w:cstheme="minorHAnsi"/>
        </w:rPr>
        <w:t> </w:t>
      </w:r>
      <w:r w:rsidRPr="005B5B16">
        <w:rPr>
          <w:rFonts w:cstheme="minorHAnsi"/>
        </w:rPr>
        <w:t>účetních závěrek za roky 2017</w:t>
      </w:r>
      <w:r>
        <w:rPr>
          <w:rFonts w:cstheme="minorHAnsi"/>
        </w:rPr>
        <w:t>–</w:t>
      </w:r>
      <w:r w:rsidRPr="005B5B16">
        <w:rPr>
          <w:rFonts w:cstheme="minorHAnsi"/>
        </w:rPr>
        <w:t xml:space="preserve">2021. </w:t>
      </w:r>
    </w:p>
    <w:p w14:paraId="27C7CC80" w14:textId="77777777" w:rsidR="0092476E" w:rsidRPr="005B5B16" w:rsidRDefault="0092476E" w:rsidP="0092476E">
      <w:pPr>
        <w:spacing w:after="0"/>
        <w:rPr>
          <w:rFonts w:cstheme="minorHAnsi"/>
        </w:rPr>
      </w:pPr>
    </w:p>
    <w:p w14:paraId="36FD1E7F" w14:textId="77777777" w:rsidR="0092476E" w:rsidRPr="006F55EC" w:rsidRDefault="0092476E" w:rsidP="0092476E">
      <w:pPr>
        <w:pStyle w:val="Nadpis1"/>
        <w:keepNext/>
        <w:numPr>
          <w:ilvl w:val="0"/>
          <w:numId w:val="17"/>
        </w:numPr>
        <w:spacing w:after="240" w:line="240" w:lineRule="auto"/>
        <w:ind w:left="284" w:hanging="284"/>
        <w:jc w:val="both"/>
      </w:pPr>
      <w:bookmarkStart w:id="5" w:name="_Toc519242487"/>
      <w:bookmarkStart w:id="6" w:name="_Toc39530419"/>
      <w:r w:rsidRPr="006F55EC">
        <w:t>OSS rozpočtové kapitoly 3</w:t>
      </w:r>
      <w:bookmarkEnd w:id="5"/>
      <w:bookmarkEnd w:id="6"/>
      <w:r w:rsidRPr="006F55EC">
        <w:t>14</w:t>
      </w:r>
    </w:p>
    <w:p w14:paraId="2787B95E" w14:textId="16D3154C" w:rsidR="0092476E" w:rsidRPr="000A598D" w:rsidRDefault="0092476E" w:rsidP="0092476E">
      <w:pPr>
        <w:pStyle w:val="Titulek"/>
        <w:spacing w:after="40"/>
        <w:rPr>
          <w:rFonts w:cstheme="minorHAnsi"/>
          <w:szCs w:val="24"/>
        </w:rPr>
      </w:pPr>
      <w:bookmarkStart w:id="7" w:name="_Toc520714625"/>
      <w:bookmarkStart w:id="8" w:name="_Toc8984832"/>
      <w:bookmarkStart w:id="9" w:name="_Toc69401680"/>
      <w:bookmarkStart w:id="10" w:name="_Toc101336447"/>
      <w:r w:rsidRPr="000A598D">
        <w:rPr>
          <w:rFonts w:cstheme="minorHAnsi"/>
          <w:szCs w:val="24"/>
        </w:rPr>
        <w:t xml:space="preserve">Tabulka č. </w:t>
      </w:r>
      <w:r w:rsidRPr="000A598D">
        <w:rPr>
          <w:rFonts w:cstheme="minorHAnsi"/>
          <w:szCs w:val="24"/>
        </w:rPr>
        <w:fldChar w:fldCharType="begin"/>
      </w:r>
      <w:r w:rsidRPr="000A598D">
        <w:rPr>
          <w:rFonts w:cstheme="minorHAnsi"/>
          <w:szCs w:val="24"/>
        </w:rPr>
        <w:instrText xml:space="preserve"> SEQ Tabulka \* ARABIC </w:instrText>
      </w:r>
      <w:r w:rsidRPr="000A598D">
        <w:rPr>
          <w:rFonts w:cstheme="minorHAnsi"/>
          <w:szCs w:val="24"/>
        </w:rPr>
        <w:fldChar w:fldCharType="separate"/>
      </w:r>
      <w:r w:rsidR="00F03FDF">
        <w:rPr>
          <w:rFonts w:cstheme="minorHAnsi"/>
          <w:noProof/>
          <w:szCs w:val="24"/>
        </w:rPr>
        <w:t>1</w:t>
      </w:r>
      <w:r w:rsidRPr="000A598D">
        <w:rPr>
          <w:rFonts w:cstheme="minorHAnsi"/>
          <w:noProof/>
          <w:szCs w:val="24"/>
        </w:rPr>
        <w:fldChar w:fldCharType="end"/>
      </w:r>
      <w:r w:rsidRPr="000A598D">
        <w:rPr>
          <w:rFonts w:cstheme="minorHAnsi"/>
          <w:szCs w:val="24"/>
        </w:rPr>
        <w:t>: OSS v rámci kapitoly 3</w:t>
      </w:r>
      <w:bookmarkEnd w:id="7"/>
      <w:bookmarkEnd w:id="8"/>
      <w:bookmarkEnd w:id="9"/>
      <w:r w:rsidRPr="000A598D">
        <w:rPr>
          <w:rFonts w:cstheme="minorHAnsi"/>
          <w:szCs w:val="24"/>
        </w:rPr>
        <w:t>14</w:t>
      </w:r>
      <w:bookmarkEnd w:id="1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6"/>
        <w:gridCol w:w="6964"/>
      </w:tblGrid>
      <w:tr w:rsidR="000206ED" w:rsidRPr="000A598D" w14:paraId="37FC5BF2" w14:textId="77777777" w:rsidTr="000206ED">
        <w:trPr>
          <w:trHeight w:val="255"/>
          <w:tblHeader/>
        </w:trPr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CDF0CB7" w14:textId="77777777" w:rsidR="0092476E" w:rsidRPr="000A598D" w:rsidRDefault="0092476E" w:rsidP="000206ED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3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3F7797C" w14:textId="77777777" w:rsidR="0092476E" w:rsidRPr="000A598D" w:rsidRDefault="0092476E" w:rsidP="0092476E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Účetní jednotka</w:t>
            </w:r>
          </w:p>
        </w:tc>
      </w:tr>
      <w:tr w:rsidR="000206ED" w:rsidRPr="000A598D" w14:paraId="36A4518B" w14:textId="77777777" w:rsidTr="000206ED">
        <w:trPr>
          <w:trHeight w:val="255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01AD8" w14:textId="77777777" w:rsidR="0092476E" w:rsidRPr="000A598D" w:rsidRDefault="0092476E" w:rsidP="000206ED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70884099</w:t>
            </w:r>
          </w:p>
        </w:tc>
        <w:tc>
          <w:tcPr>
            <w:tcW w:w="3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2B8B1" w14:textId="77777777" w:rsidR="0092476E" w:rsidRPr="000A598D" w:rsidRDefault="0092476E" w:rsidP="0092476E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Hasičský záchranný sbor Jihomoravského kraje</w:t>
            </w:r>
          </w:p>
        </w:tc>
      </w:tr>
      <w:tr w:rsidR="000206ED" w:rsidRPr="000A598D" w14:paraId="63857CD2" w14:textId="77777777" w:rsidTr="000206ED">
        <w:trPr>
          <w:trHeight w:val="255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9030F" w14:textId="77777777" w:rsidR="0092476E" w:rsidRPr="000A598D" w:rsidRDefault="0092476E" w:rsidP="000206ED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70882835</w:t>
            </w:r>
          </w:p>
        </w:tc>
        <w:tc>
          <w:tcPr>
            <w:tcW w:w="3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72DD1" w14:textId="77777777" w:rsidR="0092476E" w:rsidRPr="000A598D" w:rsidRDefault="0092476E" w:rsidP="0092476E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Hasičský záchranný sbor Jihočeského kraje</w:t>
            </w:r>
          </w:p>
        </w:tc>
      </w:tr>
      <w:tr w:rsidR="000206ED" w:rsidRPr="000A598D" w14:paraId="5774BDEF" w14:textId="77777777" w:rsidTr="000206ED">
        <w:trPr>
          <w:trHeight w:val="255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27296" w14:textId="77777777" w:rsidR="0092476E" w:rsidRPr="000A598D" w:rsidRDefault="0092476E" w:rsidP="000206ED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70883611</w:t>
            </w:r>
          </w:p>
        </w:tc>
        <w:tc>
          <w:tcPr>
            <w:tcW w:w="3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2A65B" w14:textId="77777777" w:rsidR="0092476E" w:rsidRPr="000A598D" w:rsidRDefault="0092476E" w:rsidP="0092476E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Hasičský záchranný sbor Karlovarského kraje</w:t>
            </w:r>
          </w:p>
        </w:tc>
      </w:tr>
      <w:tr w:rsidR="000206ED" w:rsidRPr="000A598D" w14:paraId="12F8AF04" w14:textId="77777777" w:rsidTr="000206ED">
        <w:trPr>
          <w:trHeight w:val="255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7619A" w14:textId="77777777" w:rsidR="0092476E" w:rsidRPr="000A598D" w:rsidRDefault="0092476E" w:rsidP="000206ED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70885184</w:t>
            </w:r>
          </w:p>
        </w:tc>
        <w:tc>
          <w:tcPr>
            <w:tcW w:w="3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81A61" w14:textId="77777777" w:rsidR="0092476E" w:rsidRPr="000A598D" w:rsidRDefault="0092476E" w:rsidP="0092476E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Hasičský záchranný sbor Kraje Vysočina</w:t>
            </w:r>
          </w:p>
        </w:tc>
      </w:tr>
      <w:tr w:rsidR="000206ED" w:rsidRPr="000A598D" w14:paraId="1F8DDDFD" w14:textId="77777777" w:rsidTr="000206ED">
        <w:trPr>
          <w:trHeight w:val="255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EF3A2" w14:textId="77777777" w:rsidR="0092476E" w:rsidRPr="000A598D" w:rsidRDefault="0092476E" w:rsidP="000206ED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70882525</w:t>
            </w:r>
          </w:p>
        </w:tc>
        <w:tc>
          <w:tcPr>
            <w:tcW w:w="3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57D1E" w14:textId="77777777" w:rsidR="0092476E" w:rsidRPr="000A598D" w:rsidRDefault="0092476E" w:rsidP="0092476E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Hasičský záchranný sbor Královéhradeckého kraje</w:t>
            </w:r>
          </w:p>
        </w:tc>
      </w:tr>
      <w:tr w:rsidR="000206ED" w:rsidRPr="000A598D" w14:paraId="1976C8BD" w14:textId="77777777" w:rsidTr="000206ED">
        <w:trPr>
          <w:trHeight w:val="255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9F094" w14:textId="77777777" w:rsidR="0092476E" w:rsidRPr="000A598D" w:rsidRDefault="0092476E" w:rsidP="000206ED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70888744</w:t>
            </w:r>
          </w:p>
        </w:tc>
        <w:tc>
          <w:tcPr>
            <w:tcW w:w="3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F240C" w14:textId="77777777" w:rsidR="0092476E" w:rsidRPr="000A598D" w:rsidRDefault="0092476E" w:rsidP="0092476E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Hasičský záchranný sbor Libereckého kraje</w:t>
            </w:r>
          </w:p>
        </w:tc>
      </w:tr>
      <w:tr w:rsidR="000206ED" w:rsidRPr="000A598D" w14:paraId="72D47E01" w14:textId="77777777" w:rsidTr="000206ED">
        <w:trPr>
          <w:trHeight w:val="255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FAF1B" w14:textId="77777777" w:rsidR="0092476E" w:rsidRPr="000A598D" w:rsidRDefault="0092476E" w:rsidP="000206ED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70884561</w:t>
            </w:r>
          </w:p>
        </w:tc>
        <w:tc>
          <w:tcPr>
            <w:tcW w:w="3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DA4B4" w14:textId="77777777" w:rsidR="0092476E" w:rsidRPr="000A598D" w:rsidRDefault="0092476E" w:rsidP="0092476E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Hasičský záchranný sbor Moravskoslezského kraje</w:t>
            </w:r>
          </w:p>
        </w:tc>
      </w:tr>
      <w:tr w:rsidR="000206ED" w:rsidRPr="000A598D" w14:paraId="3782DF28" w14:textId="77777777" w:rsidTr="000206ED">
        <w:trPr>
          <w:trHeight w:val="255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2ECDD" w14:textId="77777777" w:rsidR="0092476E" w:rsidRPr="000A598D" w:rsidRDefault="0092476E" w:rsidP="000206ED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70885940</w:t>
            </w:r>
          </w:p>
        </w:tc>
        <w:tc>
          <w:tcPr>
            <w:tcW w:w="3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5C7E7" w14:textId="77777777" w:rsidR="0092476E" w:rsidRPr="000A598D" w:rsidRDefault="0092476E" w:rsidP="0092476E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Hasičský záchranný sbor Olomouckého kraje</w:t>
            </w:r>
          </w:p>
        </w:tc>
      </w:tr>
      <w:tr w:rsidR="000206ED" w:rsidRPr="000A598D" w14:paraId="70502A04" w14:textId="77777777" w:rsidTr="000206ED">
        <w:trPr>
          <w:trHeight w:val="255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7CD49" w14:textId="77777777" w:rsidR="0092476E" w:rsidRPr="000A598D" w:rsidRDefault="0092476E" w:rsidP="000206ED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70885869</w:t>
            </w:r>
          </w:p>
        </w:tc>
        <w:tc>
          <w:tcPr>
            <w:tcW w:w="3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B357F" w14:textId="77777777" w:rsidR="0092476E" w:rsidRPr="000A598D" w:rsidRDefault="0092476E" w:rsidP="0092476E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Hasičský záchranný sbor Pardubického kraje</w:t>
            </w:r>
          </w:p>
        </w:tc>
      </w:tr>
      <w:tr w:rsidR="000206ED" w:rsidRPr="000A598D" w14:paraId="6524AD8B" w14:textId="77777777" w:rsidTr="000206ED">
        <w:trPr>
          <w:trHeight w:val="255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8D656" w14:textId="77777777" w:rsidR="0092476E" w:rsidRPr="000A598D" w:rsidRDefault="0092476E" w:rsidP="000206ED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70883378</w:t>
            </w:r>
          </w:p>
        </w:tc>
        <w:tc>
          <w:tcPr>
            <w:tcW w:w="3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376E3" w14:textId="77777777" w:rsidR="0092476E" w:rsidRPr="000A598D" w:rsidRDefault="0092476E" w:rsidP="0092476E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Hasičský záchranný sbor Plzeňského kraje</w:t>
            </w:r>
          </w:p>
        </w:tc>
      </w:tr>
      <w:tr w:rsidR="000206ED" w:rsidRPr="000A598D" w14:paraId="5592212D" w14:textId="77777777" w:rsidTr="000206ED">
        <w:trPr>
          <w:trHeight w:val="255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2877C" w14:textId="77777777" w:rsidR="0092476E" w:rsidRPr="000A598D" w:rsidRDefault="0092476E" w:rsidP="000206ED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70885371</w:t>
            </w:r>
          </w:p>
        </w:tc>
        <w:tc>
          <w:tcPr>
            <w:tcW w:w="3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47FA9" w14:textId="77777777" w:rsidR="0092476E" w:rsidRPr="000A598D" w:rsidRDefault="0092476E" w:rsidP="0092476E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Hasičský záchranný sbor Středočeského kraje</w:t>
            </w:r>
          </w:p>
        </w:tc>
      </w:tr>
      <w:tr w:rsidR="000206ED" w:rsidRPr="000A598D" w14:paraId="2AF6ED70" w14:textId="77777777" w:rsidTr="000206ED">
        <w:trPr>
          <w:trHeight w:val="255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FB0AF" w14:textId="77777777" w:rsidR="0092476E" w:rsidRPr="000A598D" w:rsidRDefault="0092476E" w:rsidP="000206ED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70887306</w:t>
            </w:r>
          </w:p>
        </w:tc>
        <w:tc>
          <w:tcPr>
            <w:tcW w:w="3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A14A6" w14:textId="77777777" w:rsidR="0092476E" w:rsidRPr="000A598D" w:rsidRDefault="0092476E" w:rsidP="0092476E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Hasičský záchranný sbor Zlínského kraje</w:t>
            </w:r>
          </w:p>
        </w:tc>
      </w:tr>
      <w:tr w:rsidR="000206ED" w:rsidRPr="000A598D" w14:paraId="78923D1A" w14:textId="77777777" w:rsidTr="000206ED">
        <w:trPr>
          <w:trHeight w:val="255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F9FF4" w14:textId="77777777" w:rsidR="0092476E" w:rsidRPr="000A598D" w:rsidRDefault="0092476E" w:rsidP="000206ED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70886288</w:t>
            </w:r>
          </w:p>
        </w:tc>
        <w:tc>
          <w:tcPr>
            <w:tcW w:w="3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82B4F" w14:textId="77777777" w:rsidR="0092476E" w:rsidRPr="000A598D" w:rsidRDefault="0092476E" w:rsidP="0092476E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Hasičský záchranný sbor hlavního města Prahy</w:t>
            </w:r>
          </w:p>
        </w:tc>
      </w:tr>
      <w:tr w:rsidR="000206ED" w:rsidRPr="000A598D" w14:paraId="5A95876A" w14:textId="77777777" w:rsidTr="000206ED">
        <w:trPr>
          <w:trHeight w:val="255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F129F" w14:textId="77777777" w:rsidR="0092476E" w:rsidRPr="000A598D" w:rsidRDefault="0092476E" w:rsidP="000206ED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70886300</w:t>
            </w:r>
          </w:p>
        </w:tc>
        <w:tc>
          <w:tcPr>
            <w:tcW w:w="3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A2120" w14:textId="77777777" w:rsidR="0092476E" w:rsidRPr="000A598D" w:rsidRDefault="0092476E" w:rsidP="0092476E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Hasičský záchranný sbor Ústeckého kraje</w:t>
            </w:r>
          </w:p>
        </w:tc>
      </w:tr>
      <w:tr w:rsidR="000206ED" w:rsidRPr="000A598D" w14:paraId="577E46B9" w14:textId="77777777" w:rsidTr="000206ED">
        <w:trPr>
          <w:trHeight w:val="255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8CF97" w14:textId="77777777" w:rsidR="0092476E" w:rsidRPr="000A598D" w:rsidRDefault="0092476E" w:rsidP="000206ED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75151499</w:t>
            </w:r>
          </w:p>
        </w:tc>
        <w:tc>
          <w:tcPr>
            <w:tcW w:w="3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0A4C6" w14:textId="77777777" w:rsidR="0092476E" w:rsidRPr="000A598D" w:rsidRDefault="0092476E" w:rsidP="0092476E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Krajské ředitelství policie Jihomoravského kraje</w:t>
            </w:r>
          </w:p>
        </w:tc>
      </w:tr>
      <w:tr w:rsidR="000206ED" w:rsidRPr="000A598D" w14:paraId="32470800" w14:textId="77777777" w:rsidTr="000206ED">
        <w:trPr>
          <w:trHeight w:val="255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C1EB8" w14:textId="77777777" w:rsidR="0092476E" w:rsidRPr="000A598D" w:rsidRDefault="0092476E" w:rsidP="000206ED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75151511</w:t>
            </w:r>
          </w:p>
        </w:tc>
        <w:tc>
          <w:tcPr>
            <w:tcW w:w="3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347D2" w14:textId="77777777" w:rsidR="0092476E" w:rsidRPr="000A598D" w:rsidRDefault="0092476E" w:rsidP="0092476E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Krajské ředitelství policie Jihočeského kraje</w:t>
            </w:r>
          </w:p>
        </w:tc>
      </w:tr>
      <w:tr w:rsidR="000206ED" w:rsidRPr="000A598D" w14:paraId="4C753C10" w14:textId="77777777" w:rsidTr="000206ED">
        <w:trPr>
          <w:trHeight w:val="255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AB121" w14:textId="77777777" w:rsidR="0092476E" w:rsidRPr="000A598D" w:rsidRDefault="0092476E" w:rsidP="000206ED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72051612</w:t>
            </w:r>
          </w:p>
        </w:tc>
        <w:tc>
          <w:tcPr>
            <w:tcW w:w="3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A239E" w14:textId="77777777" w:rsidR="0092476E" w:rsidRPr="000A598D" w:rsidRDefault="0092476E" w:rsidP="0092476E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Krajské ředitelství policie Karlovarského kraje</w:t>
            </w:r>
          </w:p>
        </w:tc>
      </w:tr>
      <w:tr w:rsidR="000206ED" w:rsidRPr="000A598D" w14:paraId="35B904EA" w14:textId="77777777" w:rsidTr="000206ED">
        <w:trPr>
          <w:trHeight w:val="255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E1F95" w14:textId="77777777" w:rsidR="0092476E" w:rsidRPr="000A598D" w:rsidRDefault="0092476E" w:rsidP="000206ED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75151545</w:t>
            </w:r>
          </w:p>
        </w:tc>
        <w:tc>
          <w:tcPr>
            <w:tcW w:w="3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E74F1" w14:textId="77777777" w:rsidR="0092476E" w:rsidRPr="000A598D" w:rsidRDefault="0092476E" w:rsidP="0092476E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Krajské ředitelství policie Královéhradeckého kraje</w:t>
            </w:r>
          </w:p>
        </w:tc>
      </w:tr>
      <w:tr w:rsidR="000206ED" w:rsidRPr="000A598D" w14:paraId="662EE7B9" w14:textId="77777777" w:rsidTr="000206ED">
        <w:trPr>
          <w:trHeight w:val="255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E43CD" w14:textId="77777777" w:rsidR="0092476E" w:rsidRPr="000A598D" w:rsidRDefault="0092476E" w:rsidP="000206ED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72050501</w:t>
            </w:r>
          </w:p>
        </w:tc>
        <w:tc>
          <w:tcPr>
            <w:tcW w:w="3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BCB31" w14:textId="77777777" w:rsidR="0092476E" w:rsidRPr="000A598D" w:rsidRDefault="0092476E" w:rsidP="0092476E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Krajské ředitelství policie Libereckého kraje</w:t>
            </w:r>
          </w:p>
        </w:tc>
      </w:tr>
      <w:tr w:rsidR="000206ED" w:rsidRPr="000A598D" w14:paraId="7FCAC6AC" w14:textId="77777777" w:rsidTr="000206ED">
        <w:trPr>
          <w:trHeight w:val="255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C84A4" w14:textId="77777777" w:rsidR="0092476E" w:rsidRPr="000A598D" w:rsidRDefault="0092476E" w:rsidP="000206ED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75151502</w:t>
            </w:r>
          </w:p>
        </w:tc>
        <w:tc>
          <w:tcPr>
            <w:tcW w:w="3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958A7" w14:textId="77777777" w:rsidR="0092476E" w:rsidRPr="000A598D" w:rsidRDefault="0092476E" w:rsidP="0092476E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Krajské ředitelství policie Moravskoslezského kraje</w:t>
            </w:r>
          </w:p>
        </w:tc>
      </w:tr>
      <w:tr w:rsidR="000206ED" w:rsidRPr="000A598D" w14:paraId="487C75E1" w14:textId="77777777" w:rsidTr="000206ED">
        <w:trPr>
          <w:trHeight w:val="255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4A3AE" w14:textId="77777777" w:rsidR="0092476E" w:rsidRPr="000A598D" w:rsidRDefault="0092476E" w:rsidP="000206ED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72051795</w:t>
            </w:r>
          </w:p>
        </w:tc>
        <w:tc>
          <w:tcPr>
            <w:tcW w:w="3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812F7" w14:textId="77777777" w:rsidR="0092476E" w:rsidRPr="000A598D" w:rsidRDefault="0092476E" w:rsidP="0092476E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Krajské ředitelství policie Olomouckého kraje</w:t>
            </w:r>
          </w:p>
        </w:tc>
      </w:tr>
      <w:tr w:rsidR="000206ED" w:rsidRPr="000A598D" w14:paraId="7957FBF5" w14:textId="77777777" w:rsidTr="000206ED">
        <w:trPr>
          <w:trHeight w:val="255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32528" w14:textId="77777777" w:rsidR="0092476E" w:rsidRPr="000A598D" w:rsidRDefault="0092476E" w:rsidP="000206ED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72050250</w:t>
            </w:r>
          </w:p>
        </w:tc>
        <w:tc>
          <w:tcPr>
            <w:tcW w:w="3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5695C" w14:textId="77777777" w:rsidR="0092476E" w:rsidRPr="000A598D" w:rsidRDefault="0092476E" w:rsidP="0092476E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Krajské ředitelství policie Pardubického kraje</w:t>
            </w:r>
          </w:p>
        </w:tc>
      </w:tr>
      <w:tr w:rsidR="000206ED" w:rsidRPr="000A598D" w14:paraId="4E8AF294" w14:textId="77777777" w:rsidTr="000206ED">
        <w:trPr>
          <w:trHeight w:val="255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9EADA" w14:textId="77777777" w:rsidR="0092476E" w:rsidRPr="000A598D" w:rsidRDefault="0092476E" w:rsidP="000206ED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75151529</w:t>
            </w:r>
          </w:p>
        </w:tc>
        <w:tc>
          <w:tcPr>
            <w:tcW w:w="3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388FB" w14:textId="77777777" w:rsidR="0092476E" w:rsidRPr="000A598D" w:rsidRDefault="0092476E" w:rsidP="0092476E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Krajské ředitelství policie Plzeňského kraje</w:t>
            </w:r>
          </w:p>
        </w:tc>
      </w:tr>
      <w:tr w:rsidR="000206ED" w:rsidRPr="000A598D" w14:paraId="53E00BA3" w14:textId="77777777" w:rsidTr="000206ED">
        <w:trPr>
          <w:trHeight w:val="255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8F919" w14:textId="77777777" w:rsidR="0092476E" w:rsidRPr="000A598D" w:rsidRDefault="0092476E" w:rsidP="000206ED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75151481</w:t>
            </w:r>
          </w:p>
        </w:tc>
        <w:tc>
          <w:tcPr>
            <w:tcW w:w="3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90C0B" w14:textId="77777777" w:rsidR="0092476E" w:rsidRPr="000A598D" w:rsidRDefault="0092476E" w:rsidP="0092476E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Krajské ředitelství policie Středočeského kraje</w:t>
            </w:r>
          </w:p>
        </w:tc>
      </w:tr>
      <w:tr w:rsidR="000206ED" w:rsidRPr="000A598D" w14:paraId="3D240209" w14:textId="77777777" w:rsidTr="000206ED">
        <w:trPr>
          <w:trHeight w:val="255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B5FFA" w14:textId="77777777" w:rsidR="0092476E" w:rsidRPr="000A598D" w:rsidRDefault="0092476E" w:rsidP="000206ED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72052767</w:t>
            </w:r>
          </w:p>
        </w:tc>
        <w:tc>
          <w:tcPr>
            <w:tcW w:w="3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DEC02" w14:textId="77777777" w:rsidR="0092476E" w:rsidRPr="000A598D" w:rsidRDefault="0092476E" w:rsidP="0092476E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Krajské ředitelství policie Zlínského kraje</w:t>
            </w:r>
          </w:p>
        </w:tc>
      </w:tr>
      <w:tr w:rsidR="000206ED" w:rsidRPr="000A598D" w14:paraId="71DEEF7B" w14:textId="77777777" w:rsidTr="000206ED">
        <w:trPr>
          <w:trHeight w:val="255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EF01B" w14:textId="77777777" w:rsidR="0092476E" w:rsidRPr="000A598D" w:rsidRDefault="0092476E" w:rsidP="000206ED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75151472</w:t>
            </w:r>
          </w:p>
        </w:tc>
        <w:tc>
          <w:tcPr>
            <w:tcW w:w="3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E17AC" w14:textId="77777777" w:rsidR="0092476E" w:rsidRPr="000A598D" w:rsidRDefault="0092476E" w:rsidP="0092476E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Krajské ředitelství policie hlavního města Prahy</w:t>
            </w:r>
          </w:p>
        </w:tc>
      </w:tr>
      <w:tr w:rsidR="000206ED" w:rsidRPr="000A598D" w14:paraId="44307C2F" w14:textId="77777777" w:rsidTr="000206ED">
        <w:trPr>
          <w:trHeight w:val="255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64543" w14:textId="77777777" w:rsidR="0092476E" w:rsidRPr="000A598D" w:rsidRDefault="0092476E" w:rsidP="000206ED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72052147</w:t>
            </w:r>
          </w:p>
        </w:tc>
        <w:tc>
          <w:tcPr>
            <w:tcW w:w="3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BCD50" w14:textId="77777777" w:rsidR="0092476E" w:rsidRPr="000A598D" w:rsidRDefault="0092476E" w:rsidP="0092476E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Krajské ředitelství policie kraje Vysočina</w:t>
            </w:r>
          </w:p>
        </w:tc>
      </w:tr>
      <w:tr w:rsidR="000206ED" w:rsidRPr="000A598D" w14:paraId="12AA3EBB" w14:textId="77777777" w:rsidTr="000206ED">
        <w:trPr>
          <w:trHeight w:val="255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8F650" w14:textId="77777777" w:rsidR="0092476E" w:rsidRPr="000A598D" w:rsidRDefault="0092476E" w:rsidP="000206ED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75151537</w:t>
            </w:r>
          </w:p>
        </w:tc>
        <w:tc>
          <w:tcPr>
            <w:tcW w:w="3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E095E" w14:textId="77777777" w:rsidR="0092476E" w:rsidRPr="000A598D" w:rsidRDefault="0092476E" w:rsidP="0092476E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Krajské ředitelství policie Ústeckého kraje</w:t>
            </w:r>
          </w:p>
        </w:tc>
      </w:tr>
      <w:tr w:rsidR="000206ED" w:rsidRPr="000A598D" w14:paraId="622DA6E6" w14:textId="77777777" w:rsidTr="000206ED">
        <w:trPr>
          <w:trHeight w:val="255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54EC5" w14:textId="77777777" w:rsidR="0092476E" w:rsidRPr="000A598D" w:rsidRDefault="0092476E" w:rsidP="000206ED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7064</w:t>
            </w:r>
          </w:p>
        </w:tc>
        <w:tc>
          <w:tcPr>
            <w:tcW w:w="3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BB64F" w14:textId="77777777" w:rsidR="0092476E" w:rsidRPr="000A598D" w:rsidRDefault="0092476E" w:rsidP="0092476E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Ministerstvo vnitra</w:t>
            </w:r>
          </w:p>
        </w:tc>
      </w:tr>
      <w:tr w:rsidR="000206ED" w:rsidRPr="000A598D" w14:paraId="6D7A5908" w14:textId="77777777" w:rsidTr="000206ED">
        <w:trPr>
          <w:trHeight w:val="255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8BA39" w14:textId="77777777" w:rsidR="0092476E" w:rsidRPr="000A598D" w:rsidRDefault="0092476E" w:rsidP="000206ED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70979146</w:t>
            </w:r>
          </w:p>
        </w:tc>
        <w:tc>
          <w:tcPr>
            <w:tcW w:w="3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CC911" w14:textId="133677C9" w:rsidR="0092476E" w:rsidRPr="000A598D" w:rsidRDefault="0092476E" w:rsidP="0092476E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Moravský zemský archiv v</w:t>
            </w:r>
            <w:r w:rsidR="00616FC6">
              <w:rPr>
                <w:rFonts w:cstheme="minorHAnsi"/>
                <w:sz w:val="20"/>
                <w:szCs w:val="20"/>
              </w:rPr>
              <w:t> </w:t>
            </w:r>
            <w:r w:rsidRPr="000A598D">
              <w:rPr>
                <w:rFonts w:cstheme="minorHAnsi"/>
                <w:sz w:val="20"/>
                <w:szCs w:val="20"/>
              </w:rPr>
              <w:t>Brně</w:t>
            </w:r>
          </w:p>
        </w:tc>
      </w:tr>
      <w:tr w:rsidR="000206ED" w:rsidRPr="000A598D" w14:paraId="69F301C1" w14:textId="77777777" w:rsidTr="000206ED">
        <w:trPr>
          <w:trHeight w:val="255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6692B" w14:textId="77777777" w:rsidR="0092476E" w:rsidRPr="000A598D" w:rsidRDefault="0092476E" w:rsidP="000206ED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60498030</w:t>
            </w:r>
          </w:p>
        </w:tc>
        <w:tc>
          <w:tcPr>
            <w:tcW w:w="3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D4168" w14:textId="77777777" w:rsidR="0092476E" w:rsidRPr="000A598D" w:rsidRDefault="0092476E" w:rsidP="0092476E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Muzeum Policie České republiky</w:t>
            </w:r>
          </w:p>
        </w:tc>
      </w:tr>
      <w:tr w:rsidR="000206ED" w:rsidRPr="000A598D" w14:paraId="469C454E" w14:textId="77777777" w:rsidTr="000206ED">
        <w:trPr>
          <w:trHeight w:val="255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73430" w14:textId="77777777" w:rsidR="0092476E" w:rsidRPr="000A598D" w:rsidRDefault="0092476E" w:rsidP="000206ED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70979821</w:t>
            </w:r>
          </w:p>
        </w:tc>
        <w:tc>
          <w:tcPr>
            <w:tcW w:w="3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9DE92" w14:textId="77777777" w:rsidR="0092476E" w:rsidRPr="000A598D" w:rsidRDefault="0092476E" w:rsidP="0092476E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Národní archiv</w:t>
            </w:r>
          </w:p>
        </w:tc>
      </w:tr>
      <w:tr w:rsidR="000206ED" w:rsidRPr="000A598D" w14:paraId="0AAA9D75" w14:textId="77777777" w:rsidTr="000206ED">
        <w:trPr>
          <w:trHeight w:val="255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B9900" w14:textId="77777777" w:rsidR="0092476E" w:rsidRPr="000A598D" w:rsidRDefault="0092476E" w:rsidP="000206ED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75151898</w:t>
            </w:r>
          </w:p>
        </w:tc>
        <w:tc>
          <w:tcPr>
            <w:tcW w:w="3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982C5" w14:textId="77777777" w:rsidR="0092476E" w:rsidRPr="000A598D" w:rsidRDefault="0092476E" w:rsidP="0092476E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Olymp Centrum sportu Ministerstva vnitra</w:t>
            </w:r>
          </w:p>
        </w:tc>
      </w:tr>
      <w:tr w:rsidR="000206ED" w:rsidRPr="000A598D" w14:paraId="562C6594" w14:textId="77777777" w:rsidTr="000206ED">
        <w:trPr>
          <w:trHeight w:val="255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73578" w14:textId="77777777" w:rsidR="0092476E" w:rsidRPr="000A598D" w:rsidRDefault="0092476E" w:rsidP="000206ED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48135445</w:t>
            </w:r>
          </w:p>
        </w:tc>
        <w:tc>
          <w:tcPr>
            <w:tcW w:w="3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B1DA0" w14:textId="77777777" w:rsidR="0092476E" w:rsidRPr="000A598D" w:rsidRDefault="0092476E" w:rsidP="0092476E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Policejní akademie České republiky v</w:t>
            </w:r>
            <w:r w:rsidR="002F19A3">
              <w:rPr>
                <w:rFonts w:cstheme="minorHAnsi"/>
                <w:sz w:val="20"/>
                <w:szCs w:val="20"/>
              </w:rPr>
              <w:t> </w:t>
            </w:r>
            <w:r w:rsidRPr="000A598D">
              <w:rPr>
                <w:rFonts w:cstheme="minorHAnsi"/>
                <w:sz w:val="20"/>
                <w:szCs w:val="20"/>
              </w:rPr>
              <w:t>Praze</w:t>
            </w:r>
          </w:p>
        </w:tc>
      </w:tr>
      <w:tr w:rsidR="000206ED" w:rsidRPr="000A598D" w14:paraId="5C890BBE" w14:textId="77777777" w:rsidTr="000206ED">
        <w:trPr>
          <w:trHeight w:val="255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1D289" w14:textId="77777777" w:rsidR="0092476E" w:rsidRPr="000A598D" w:rsidRDefault="0092476E" w:rsidP="000206ED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60498021</w:t>
            </w:r>
          </w:p>
        </w:tc>
        <w:tc>
          <w:tcPr>
            <w:tcW w:w="3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6773B" w14:textId="77777777" w:rsidR="0092476E" w:rsidRPr="000A598D" w:rsidRDefault="0092476E" w:rsidP="0092476E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Správa uprchlických zařízení Ministerstva vnitra</w:t>
            </w:r>
          </w:p>
        </w:tc>
      </w:tr>
      <w:tr w:rsidR="000206ED" w:rsidRPr="000A598D" w14:paraId="2F6BF307" w14:textId="77777777" w:rsidTr="000206ED">
        <w:trPr>
          <w:trHeight w:val="255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46340" w14:textId="77777777" w:rsidR="0092476E" w:rsidRPr="000A598D" w:rsidRDefault="0092476E" w:rsidP="000206ED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72054506</w:t>
            </w:r>
          </w:p>
        </w:tc>
        <w:tc>
          <w:tcPr>
            <w:tcW w:w="3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03EF5" w14:textId="77777777" w:rsidR="0092476E" w:rsidRPr="000A598D" w:rsidRDefault="0092476E" w:rsidP="0092476E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Správa základních registrů</w:t>
            </w:r>
          </w:p>
        </w:tc>
      </w:tr>
      <w:tr w:rsidR="000206ED" w:rsidRPr="000A598D" w14:paraId="00ACACE7" w14:textId="77777777" w:rsidTr="000206ED">
        <w:trPr>
          <w:trHeight w:val="255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72BF5" w14:textId="77777777" w:rsidR="0092476E" w:rsidRPr="000A598D" w:rsidRDefault="0092476E" w:rsidP="000206ED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70979464</w:t>
            </w:r>
          </w:p>
        </w:tc>
        <w:tc>
          <w:tcPr>
            <w:tcW w:w="3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E3CBB" w14:textId="2B9E0F98" w:rsidR="0092476E" w:rsidRPr="000A598D" w:rsidRDefault="0092476E" w:rsidP="0092476E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Státní oblastní archiv v</w:t>
            </w:r>
            <w:r w:rsidR="00616FC6">
              <w:rPr>
                <w:rFonts w:cstheme="minorHAnsi"/>
                <w:sz w:val="20"/>
                <w:szCs w:val="20"/>
              </w:rPr>
              <w:t> </w:t>
            </w:r>
            <w:r w:rsidRPr="000A598D">
              <w:rPr>
                <w:rFonts w:cstheme="minorHAnsi"/>
                <w:sz w:val="20"/>
                <w:szCs w:val="20"/>
              </w:rPr>
              <w:t>Litoměřicích</w:t>
            </w:r>
          </w:p>
        </w:tc>
      </w:tr>
      <w:tr w:rsidR="000206ED" w:rsidRPr="000A598D" w14:paraId="4D6A050C" w14:textId="77777777" w:rsidTr="000206ED">
        <w:trPr>
          <w:trHeight w:val="255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1BAA9" w14:textId="77777777" w:rsidR="0092476E" w:rsidRPr="000A598D" w:rsidRDefault="0092476E" w:rsidP="000206ED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70979090</w:t>
            </w:r>
          </w:p>
        </w:tc>
        <w:tc>
          <w:tcPr>
            <w:tcW w:w="3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2CDB2" w14:textId="69C90F2F" w:rsidR="0092476E" w:rsidRPr="000A598D" w:rsidRDefault="0092476E" w:rsidP="0092476E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Státní oblastní archiv v</w:t>
            </w:r>
            <w:r w:rsidR="00616FC6">
              <w:rPr>
                <w:rFonts w:cstheme="minorHAnsi"/>
                <w:sz w:val="20"/>
                <w:szCs w:val="20"/>
              </w:rPr>
              <w:t> </w:t>
            </w:r>
            <w:r w:rsidRPr="000A598D">
              <w:rPr>
                <w:rFonts w:cstheme="minorHAnsi"/>
                <w:sz w:val="20"/>
                <w:szCs w:val="20"/>
              </w:rPr>
              <w:t>Plzni</w:t>
            </w:r>
          </w:p>
        </w:tc>
      </w:tr>
      <w:tr w:rsidR="000206ED" w:rsidRPr="000A598D" w14:paraId="403E3033" w14:textId="77777777" w:rsidTr="000206ED">
        <w:trPr>
          <w:trHeight w:val="255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07FF6" w14:textId="77777777" w:rsidR="0092476E" w:rsidRPr="000A598D" w:rsidRDefault="0092476E" w:rsidP="000206ED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70979391</w:t>
            </w:r>
          </w:p>
        </w:tc>
        <w:tc>
          <w:tcPr>
            <w:tcW w:w="3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A0211" w14:textId="61587D87" w:rsidR="0092476E" w:rsidRPr="000A598D" w:rsidRDefault="0092476E" w:rsidP="0092476E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Státní oblastní archiv v</w:t>
            </w:r>
            <w:r w:rsidR="00616FC6">
              <w:rPr>
                <w:rFonts w:cstheme="minorHAnsi"/>
                <w:sz w:val="20"/>
                <w:szCs w:val="20"/>
              </w:rPr>
              <w:t> </w:t>
            </w:r>
            <w:r w:rsidRPr="000A598D">
              <w:rPr>
                <w:rFonts w:cstheme="minorHAnsi"/>
                <w:sz w:val="20"/>
                <w:szCs w:val="20"/>
              </w:rPr>
              <w:t>Praze</w:t>
            </w:r>
          </w:p>
        </w:tc>
      </w:tr>
      <w:tr w:rsidR="000206ED" w:rsidRPr="000A598D" w14:paraId="7C16A779" w14:textId="77777777" w:rsidTr="000206ED">
        <w:trPr>
          <w:trHeight w:val="255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BEF31" w14:textId="77777777" w:rsidR="0092476E" w:rsidRPr="000A598D" w:rsidRDefault="0092476E" w:rsidP="000206ED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70979201</w:t>
            </w:r>
          </w:p>
        </w:tc>
        <w:tc>
          <w:tcPr>
            <w:tcW w:w="3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3FC66" w14:textId="1AD47CC3" w:rsidR="0092476E" w:rsidRPr="000A598D" w:rsidRDefault="0092476E" w:rsidP="0092476E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Státní oblastní archiv v</w:t>
            </w:r>
            <w:r w:rsidR="00616FC6">
              <w:rPr>
                <w:rFonts w:cstheme="minorHAnsi"/>
                <w:sz w:val="20"/>
                <w:szCs w:val="20"/>
              </w:rPr>
              <w:t> </w:t>
            </w:r>
            <w:r w:rsidRPr="000A598D">
              <w:rPr>
                <w:rFonts w:cstheme="minorHAnsi"/>
                <w:sz w:val="20"/>
                <w:szCs w:val="20"/>
              </w:rPr>
              <w:t>Zámrsku</w:t>
            </w:r>
          </w:p>
        </w:tc>
      </w:tr>
      <w:tr w:rsidR="000206ED" w:rsidRPr="000A598D" w14:paraId="178069DF" w14:textId="77777777" w:rsidTr="000206ED">
        <w:trPr>
          <w:trHeight w:val="255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3C5AC" w14:textId="77777777" w:rsidR="0092476E" w:rsidRPr="000A598D" w:rsidRDefault="0092476E" w:rsidP="000206ED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lastRenderedPageBreak/>
              <w:t>64122654</w:t>
            </w:r>
          </w:p>
        </w:tc>
        <w:tc>
          <w:tcPr>
            <w:tcW w:w="3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2FC93" w14:textId="77777777" w:rsidR="0092476E" w:rsidRPr="000A598D" w:rsidRDefault="0092476E" w:rsidP="0092476E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Střední odborná škola požární ochrany a Vyšší odborná škola</w:t>
            </w:r>
          </w:p>
        </w:tc>
      </w:tr>
      <w:tr w:rsidR="000206ED" w:rsidRPr="000A598D" w14:paraId="7EB7B4AF" w14:textId="77777777" w:rsidTr="000206ED">
        <w:trPr>
          <w:trHeight w:val="255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A5B04" w14:textId="77777777" w:rsidR="0092476E" w:rsidRPr="000A598D" w:rsidRDefault="0092476E" w:rsidP="000206ED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48135453</w:t>
            </w:r>
          </w:p>
        </w:tc>
        <w:tc>
          <w:tcPr>
            <w:tcW w:w="3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27B79" w14:textId="77777777" w:rsidR="0092476E" w:rsidRPr="000A598D" w:rsidRDefault="0092476E" w:rsidP="0092476E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Vyšší policejní škola a Střední policejní škola Ministerstva</w:t>
            </w:r>
            <w:r w:rsidR="007856E6">
              <w:rPr>
                <w:rFonts w:cstheme="minorHAnsi"/>
                <w:sz w:val="20"/>
                <w:szCs w:val="20"/>
              </w:rPr>
              <w:t xml:space="preserve"> vnitra</w:t>
            </w:r>
          </w:p>
        </w:tc>
      </w:tr>
      <w:tr w:rsidR="000206ED" w:rsidRPr="000A598D" w14:paraId="44F9961C" w14:textId="77777777" w:rsidTr="000206ED">
        <w:trPr>
          <w:trHeight w:val="255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B94C8" w14:textId="77777777" w:rsidR="0092476E" w:rsidRPr="000A598D" w:rsidRDefault="0092476E" w:rsidP="000206ED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64422402</w:t>
            </w:r>
          </w:p>
        </w:tc>
        <w:tc>
          <w:tcPr>
            <w:tcW w:w="3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7BC8F" w14:textId="77777777" w:rsidR="0092476E" w:rsidRPr="000A598D" w:rsidRDefault="0092476E" w:rsidP="0092476E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Vyšší policejní škola a Střední policejní škola Ministerstva</w:t>
            </w:r>
            <w:r w:rsidR="007856E6">
              <w:rPr>
                <w:rFonts w:cstheme="minorHAnsi"/>
                <w:sz w:val="20"/>
                <w:szCs w:val="20"/>
              </w:rPr>
              <w:t xml:space="preserve"> vnitra</w:t>
            </w:r>
          </w:p>
        </w:tc>
      </w:tr>
      <w:tr w:rsidR="000206ED" w:rsidRPr="000A598D" w14:paraId="583EA4D4" w14:textId="77777777" w:rsidTr="000206ED">
        <w:trPr>
          <w:trHeight w:val="255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09A0C" w14:textId="77777777" w:rsidR="0092476E" w:rsidRPr="000A598D" w:rsidRDefault="0092476E" w:rsidP="000206ED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75154960</w:t>
            </w:r>
          </w:p>
        </w:tc>
        <w:tc>
          <w:tcPr>
            <w:tcW w:w="3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28B16" w14:textId="77777777" w:rsidR="0092476E" w:rsidRPr="000A598D" w:rsidRDefault="0092476E" w:rsidP="0092476E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Zdravotnické zařízení Ministerstva vnitra</w:t>
            </w:r>
          </w:p>
        </w:tc>
      </w:tr>
      <w:tr w:rsidR="000206ED" w:rsidRPr="000A598D" w14:paraId="57BBDBD6" w14:textId="77777777" w:rsidTr="000206ED">
        <w:trPr>
          <w:trHeight w:val="255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6510C" w14:textId="77777777" w:rsidR="0092476E" w:rsidRPr="000A598D" w:rsidRDefault="0092476E" w:rsidP="000206ED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70979057</w:t>
            </w:r>
          </w:p>
        </w:tc>
        <w:tc>
          <w:tcPr>
            <w:tcW w:w="3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0391E" w14:textId="64C2FAB6" w:rsidR="0092476E" w:rsidRPr="000A598D" w:rsidRDefault="0092476E" w:rsidP="0092476E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Zemský archiv v</w:t>
            </w:r>
            <w:r w:rsidR="00616FC6">
              <w:rPr>
                <w:rFonts w:cstheme="minorHAnsi"/>
                <w:sz w:val="20"/>
                <w:szCs w:val="20"/>
              </w:rPr>
              <w:t> </w:t>
            </w:r>
            <w:r w:rsidRPr="000A598D">
              <w:rPr>
                <w:rFonts w:cstheme="minorHAnsi"/>
                <w:sz w:val="20"/>
                <w:szCs w:val="20"/>
              </w:rPr>
              <w:t>Opavě</w:t>
            </w:r>
          </w:p>
        </w:tc>
      </w:tr>
      <w:tr w:rsidR="000206ED" w:rsidRPr="000A598D" w14:paraId="1545F98D" w14:textId="77777777" w:rsidTr="000206ED">
        <w:trPr>
          <w:trHeight w:val="255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D7377" w14:textId="77777777" w:rsidR="0092476E" w:rsidRPr="000A598D" w:rsidRDefault="0092476E" w:rsidP="000206ED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75152304</w:t>
            </w:r>
          </w:p>
        </w:tc>
        <w:tc>
          <w:tcPr>
            <w:tcW w:w="3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37B18" w14:textId="77777777" w:rsidR="0092476E" w:rsidRPr="000A598D" w:rsidRDefault="0092476E" w:rsidP="0092476E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Záchranný útvar Hasičského záchranného sboru České republiky</w:t>
            </w:r>
          </w:p>
        </w:tc>
      </w:tr>
      <w:tr w:rsidR="000206ED" w:rsidRPr="000A598D" w14:paraId="06714F1F" w14:textId="77777777" w:rsidTr="000206ED">
        <w:trPr>
          <w:trHeight w:val="255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341AF" w14:textId="77777777" w:rsidR="0092476E" w:rsidRPr="000A598D" w:rsidRDefault="0092476E" w:rsidP="000206ED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70978956</w:t>
            </w:r>
          </w:p>
        </w:tc>
        <w:tc>
          <w:tcPr>
            <w:tcW w:w="3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B978A" w14:textId="06798DFA" w:rsidR="0092476E" w:rsidRPr="000A598D" w:rsidRDefault="0092476E" w:rsidP="0092476E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0A598D">
              <w:rPr>
                <w:rFonts w:cstheme="minorHAnsi"/>
                <w:sz w:val="20"/>
                <w:szCs w:val="20"/>
              </w:rPr>
              <w:t>ČR</w:t>
            </w:r>
            <w:r w:rsidR="000206ED">
              <w:rPr>
                <w:rFonts w:cstheme="minorHAnsi"/>
                <w:sz w:val="20"/>
                <w:szCs w:val="20"/>
              </w:rPr>
              <w:t xml:space="preserve"> – </w:t>
            </w:r>
            <w:r w:rsidRPr="000A598D">
              <w:rPr>
                <w:rFonts w:cstheme="minorHAnsi"/>
                <w:sz w:val="20"/>
                <w:szCs w:val="20"/>
              </w:rPr>
              <w:t>Státní oblastní archiv v</w:t>
            </w:r>
            <w:r w:rsidR="00616FC6">
              <w:rPr>
                <w:rFonts w:cstheme="minorHAnsi"/>
                <w:sz w:val="20"/>
                <w:szCs w:val="20"/>
              </w:rPr>
              <w:t> </w:t>
            </w:r>
            <w:r w:rsidRPr="000A598D">
              <w:rPr>
                <w:rFonts w:cstheme="minorHAnsi"/>
                <w:sz w:val="20"/>
                <w:szCs w:val="20"/>
              </w:rPr>
              <w:t>Třeboni</w:t>
            </w:r>
          </w:p>
        </w:tc>
      </w:tr>
    </w:tbl>
    <w:p w14:paraId="43F4FE66" w14:textId="77777777" w:rsidR="0092476E" w:rsidRPr="0092476E" w:rsidRDefault="0092476E" w:rsidP="0092476E">
      <w:pPr>
        <w:pStyle w:val="Zdroj"/>
        <w:spacing w:before="40"/>
        <w:rPr>
          <w:rFonts w:asciiTheme="minorHAnsi" w:hAnsiTheme="minorHAnsi"/>
          <w:i w:val="0"/>
        </w:rPr>
      </w:pPr>
      <w:r w:rsidRPr="0092476E">
        <w:rPr>
          <w:rFonts w:asciiTheme="minorHAnsi" w:hAnsiTheme="minorHAnsi"/>
          <w:b/>
          <w:i w:val="0"/>
        </w:rPr>
        <w:t xml:space="preserve">Zdroj: </w:t>
      </w:r>
      <w:r w:rsidRPr="0092476E">
        <w:rPr>
          <w:rFonts w:asciiTheme="minorHAnsi" w:hAnsiTheme="minorHAnsi"/>
          <w:i w:val="0"/>
        </w:rPr>
        <w:t>informační portál MONITOR.</w:t>
      </w:r>
    </w:p>
    <w:p w14:paraId="28D07A5B" w14:textId="77777777" w:rsidR="00787578" w:rsidRDefault="00787578" w:rsidP="0092476E">
      <w:pPr>
        <w:keepNext/>
        <w:tabs>
          <w:tab w:val="left" w:pos="2552"/>
        </w:tabs>
        <w:spacing w:after="0"/>
        <w:rPr>
          <w:rFonts w:asciiTheme="minorHAnsi" w:eastAsiaTheme="minorHAnsi" w:hAnsiTheme="minorHAnsi" w:cstheme="minorHAnsi"/>
        </w:rPr>
      </w:pPr>
    </w:p>
    <w:p w14:paraId="60F2ACBB" w14:textId="77777777" w:rsidR="0092476E" w:rsidRPr="00862374" w:rsidRDefault="0092476E" w:rsidP="00DD3FBB">
      <w:pPr>
        <w:spacing w:after="240"/>
        <w:jc w:val="center"/>
        <w:rPr>
          <w:b/>
          <w:bCs/>
        </w:rPr>
      </w:pPr>
      <w:bookmarkStart w:id="11" w:name="_Toc39530420"/>
      <w:r w:rsidRPr="00862374">
        <w:rPr>
          <w:b/>
          <w:bCs/>
        </w:rPr>
        <w:t>Oddíl I. Příjmy v rozpočtové kapitole 314 v letech 2017–20</w:t>
      </w:r>
      <w:bookmarkEnd w:id="11"/>
      <w:r w:rsidRPr="00862374">
        <w:rPr>
          <w:b/>
          <w:bCs/>
        </w:rPr>
        <w:t>21</w:t>
      </w:r>
    </w:p>
    <w:p w14:paraId="58D95A33" w14:textId="1F0E2F29" w:rsidR="0092476E" w:rsidRPr="000A598D" w:rsidRDefault="0092476E" w:rsidP="00E41647">
      <w:pPr>
        <w:pStyle w:val="Titulek"/>
        <w:tabs>
          <w:tab w:val="right" w:pos="9070"/>
        </w:tabs>
        <w:spacing w:before="0" w:after="40"/>
        <w:rPr>
          <w:rFonts w:cstheme="minorHAnsi"/>
          <w:szCs w:val="24"/>
        </w:rPr>
      </w:pPr>
      <w:bookmarkStart w:id="12" w:name="_Toc520714626"/>
      <w:bookmarkStart w:id="13" w:name="_Toc8984833"/>
      <w:bookmarkStart w:id="14" w:name="_Toc69401681"/>
      <w:bookmarkStart w:id="15" w:name="_Toc101336448"/>
      <w:r w:rsidRPr="000A598D">
        <w:rPr>
          <w:rFonts w:cstheme="minorHAnsi"/>
          <w:szCs w:val="24"/>
        </w:rPr>
        <w:t xml:space="preserve">Tabulka č. </w:t>
      </w:r>
      <w:r w:rsidRPr="000A598D">
        <w:rPr>
          <w:rFonts w:cstheme="minorHAnsi"/>
          <w:szCs w:val="24"/>
        </w:rPr>
        <w:fldChar w:fldCharType="begin"/>
      </w:r>
      <w:r w:rsidRPr="000A598D">
        <w:rPr>
          <w:rFonts w:cstheme="minorHAnsi"/>
          <w:szCs w:val="24"/>
        </w:rPr>
        <w:instrText xml:space="preserve"> SEQ Tabulka \* ARABIC </w:instrText>
      </w:r>
      <w:r w:rsidRPr="000A598D">
        <w:rPr>
          <w:rFonts w:cstheme="minorHAnsi"/>
          <w:szCs w:val="24"/>
        </w:rPr>
        <w:fldChar w:fldCharType="separate"/>
      </w:r>
      <w:r w:rsidR="00F03FDF">
        <w:rPr>
          <w:rFonts w:cstheme="minorHAnsi"/>
          <w:noProof/>
          <w:szCs w:val="24"/>
        </w:rPr>
        <w:t>2</w:t>
      </w:r>
      <w:r w:rsidRPr="000A598D">
        <w:rPr>
          <w:rFonts w:cstheme="minorHAnsi"/>
          <w:noProof/>
          <w:szCs w:val="24"/>
        </w:rPr>
        <w:fldChar w:fldCharType="end"/>
      </w:r>
      <w:r w:rsidRPr="000A598D">
        <w:rPr>
          <w:rFonts w:cstheme="minorHAnsi"/>
          <w:szCs w:val="24"/>
        </w:rPr>
        <w:t xml:space="preserve">: Příjmy rozpočtové kapitoly 314 </w:t>
      </w:r>
      <w:r w:rsidR="00E41647">
        <w:rPr>
          <w:rFonts w:cstheme="minorHAnsi"/>
          <w:szCs w:val="24"/>
        </w:rPr>
        <w:tab/>
      </w:r>
      <w:r w:rsidRPr="000A598D">
        <w:rPr>
          <w:rFonts w:cstheme="minorHAnsi"/>
          <w:szCs w:val="24"/>
        </w:rPr>
        <w:t>(v Kč)</w:t>
      </w:r>
      <w:bookmarkEnd w:id="12"/>
      <w:bookmarkEnd w:id="13"/>
      <w:bookmarkEnd w:id="14"/>
      <w:bookmarkEnd w:id="15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1"/>
        <w:gridCol w:w="1548"/>
        <w:gridCol w:w="1444"/>
        <w:gridCol w:w="1444"/>
        <w:gridCol w:w="1444"/>
        <w:gridCol w:w="1589"/>
      </w:tblGrid>
      <w:tr w:rsidR="0092476E" w:rsidRPr="001527AB" w14:paraId="27D07F36" w14:textId="77777777" w:rsidTr="0092476E">
        <w:trPr>
          <w:trHeight w:val="255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25662F52" w14:textId="77777777" w:rsidR="0092476E" w:rsidRPr="001527AB" w:rsidRDefault="0092476E" w:rsidP="0092476E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1527AB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Ukazatel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5C3219A1" w14:textId="77777777" w:rsidR="0092476E" w:rsidRPr="001527AB" w:rsidRDefault="0092476E" w:rsidP="0092476E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1527AB">
              <w:rPr>
                <w:rFonts w:cstheme="minorHAnsi"/>
                <w:b/>
                <w:sz w:val="16"/>
                <w:szCs w:val="16"/>
              </w:rPr>
              <w:t>2017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090E2237" w14:textId="77777777" w:rsidR="0092476E" w:rsidRPr="001527AB" w:rsidRDefault="0092476E" w:rsidP="0092476E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1527AB">
              <w:rPr>
                <w:rFonts w:cstheme="minorHAnsi"/>
                <w:b/>
                <w:sz w:val="16"/>
                <w:szCs w:val="16"/>
              </w:rPr>
              <w:t>2018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7E433A98" w14:textId="77777777" w:rsidR="0092476E" w:rsidRPr="001527AB" w:rsidRDefault="0092476E" w:rsidP="0092476E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1527AB">
              <w:rPr>
                <w:rFonts w:cstheme="minorHAnsi"/>
                <w:b/>
                <w:sz w:val="16"/>
                <w:szCs w:val="16"/>
              </w:rPr>
              <w:t>2019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742BD645" w14:textId="77777777" w:rsidR="0092476E" w:rsidRPr="001527AB" w:rsidRDefault="0092476E" w:rsidP="0092476E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1527AB">
              <w:rPr>
                <w:rFonts w:cstheme="minorHAnsi"/>
                <w:b/>
                <w:sz w:val="16"/>
                <w:szCs w:val="16"/>
              </w:rPr>
              <w:t>2020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50C81B6A" w14:textId="77777777" w:rsidR="0092476E" w:rsidRPr="001527AB" w:rsidRDefault="0092476E" w:rsidP="0092476E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1527AB">
              <w:rPr>
                <w:rFonts w:cstheme="minorHAnsi"/>
                <w:b/>
                <w:sz w:val="16"/>
                <w:szCs w:val="16"/>
              </w:rPr>
              <w:t>2021</w:t>
            </w:r>
          </w:p>
        </w:tc>
      </w:tr>
      <w:tr w:rsidR="0092476E" w:rsidRPr="001527AB" w14:paraId="5B7FAF75" w14:textId="77777777" w:rsidTr="0092476E">
        <w:trPr>
          <w:trHeight w:val="255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CFBF5" w14:textId="77777777" w:rsidR="0092476E" w:rsidRPr="001527AB" w:rsidRDefault="0092476E" w:rsidP="0092476E">
            <w:pPr>
              <w:spacing w:after="0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1527AB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Schválený rozpočet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AA876" w14:textId="77777777" w:rsidR="0092476E" w:rsidRPr="001527AB" w:rsidRDefault="0092476E" w:rsidP="0092476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1527AB">
              <w:rPr>
                <w:rFonts w:cstheme="minorHAnsi"/>
                <w:sz w:val="16"/>
                <w:szCs w:val="16"/>
              </w:rPr>
              <w:t>8 119 944 466,00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DBB7D" w14:textId="77777777" w:rsidR="0092476E" w:rsidRPr="001527AB" w:rsidRDefault="0092476E" w:rsidP="0092476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1527AB">
              <w:rPr>
                <w:rFonts w:cstheme="minorHAnsi"/>
                <w:sz w:val="16"/>
                <w:szCs w:val="16"/>
              </w:rPr>
              <w:t>9 553 497 037,00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E97BB" w14:textId="77777777" w:rsidR="0092476E" w:rsidRPr="001527AB" w:rsidRDefault="0092476E" w:rsidP="0092476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1527AB">
              <w:rPr>
                <w:rFonts w:cstheme="minorHAnsi"/>
                <w:sz w:val="16"/>
                <w:szCs w:val="16"/>
              </w:rPr>
              <w:t>10 480 723 051,00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FBB5F" w14:textId="77777777" w:rsidR="0092476E" w:rsidRPr="001527AB" w:rsidRDefault="0092476E" w:rsidP="0092476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1527AB">
              <w:rPr>
                <w:rFonts w:cstheme="minorHAnsi"/>
                <w:sz w:val="16"/>
                <w:szCs w:val="16"/>
              </w:rPr>
              <w:t>10 685 258 777,00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40E91" w14:textId="77777777" w:rsidR="0092476E" w:rsidRPr="001527AB" w:rsidRDefault="0092476E" w:rsidP="0092476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1527AB">
              <w:rPr>
                <w:rFonts w:cstheme="minorHAnsi"/>
                <w:sz w:val="16"/>
                <w:szCs w:val="16"/>
              </w:rPr>
              <w:t>11 025 233 599,00</w:t>
            </w:r>
          </w:p>
        </w:tc>
      </w:tr>
      <w:tr w:rsidR="0092476E" w:rsidRPr="001527AB" w14:paraId="6F58E50C" w14:textId="77777777" w:rsidTr="0092476E">
        <w:trPr>
          <w:trHeight w:val="255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B1317" w14:textId="77777777" w:rsidR="0092476E" w:rsidRPr="001527AB" w:rsidRDefault="0092476E" w:rsidP="0092476E">
            <w:pPr>
              <w:spacing w:after="0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1527AB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Rozpočet po změnách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82F4D" w14:textId="77777777" w:rsidR="0092476E" w:rsidRPr="001527AB" w:rsidRDefault="0092476E" w:rsidP="0092476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1527AB">
              <w:rPr>
                <w:rFonts w:cstheme="minorHAnsi"/>
                <w:sz w:val="16"/>
                <w:szCs w:val="16"/>
              </w:rPr>
              <w:t>8 190 031 424,00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B5D8F" w14:textId="77777777" w:rsidR="0092476E" w:rsidRPr="001527AB" w:rsidRDefault="0092476E" w:rsidP="0092476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1527AB">
              <w:rPr>
                <w:rFonts w:cstheme="minorHAnsi"/>
                <w:sz w:val="16"/>
                <w:szCs w:val="16"/>
              </w:rPr>
              <w:t>9 573 794 953,00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126D1" w14:textId="77777777" w:rsidR="0092476E" w:rsidRPr="001527AB" w:rsidRDefault="0092476E" w:rsidP="0092476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1527AB">
              <w:rPr>
                <w:rFonts w:cstheme="minorHAnsi"/>
                <w:sz w:val="16"/>
                <w:szCs w:val="16"/>
              </w:rPr>
              <w:t>10 498 130 695,00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B011B" w14:textId="77777777" w:rsidR="0092476E" w:rsidRPr="001527AB" w:rsidRDefault="0092476E" w:rsidP="0092476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1527AB">
              <w:rPr>
                <w:rFonts w:cstheme="minorHAnsi"/>
                <w:sz w:val="16"/>
                <w:szCs w:val="16"/>
              </w:rPr>
              <w:t>10 685 258 777,00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65933" w14:textId="77777777" w:rsidR="0092476E" w:rsidRPr="001527AB" w:rsidRDefault="0092476E" w:rsidP="0092476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1527AB">
              <w:rPr>
                <w:rFonts w:cstheme="minorHAnsi"/>
                <w:sz w:val="16"/>
                <w:szCs w:val="16"/>
              </w:rPr>
              <w:t>11 034 526 009,00</w:t>
            </w:r>
          </w:p>
        </w:tc>
      </w:tr>
      <w:tr w:rsidR="0092476E" w:rsidRPr="001527AB" w14:paraId="65B375DB" w14:textId="77777777" w:rsidTr="0092476E">
        <w:trPr>
          <w:trHeight w:val="255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7F04D" w14:textId="77777777" w:rsidR="0092476E" w:rsidRPr="001527AB" w:rsidRDefault="0092476E" w:rsidP="0092476E">
            <w:pPr>
              <w:spacing w:after="0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1527AB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Skutečnost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A8607" w14:textId="77777777" w:rsidR="0092476E" w:rsidRPr="001527AB" w:rsidRDefault="0092476E" w:rsidP="0092476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1527AB">
              <w:rPr>
                <w:rFonts w:cstheme="minorHAnsi"/>
                <w:sz w:val="16"/>
                <w:szCs w:val="16"/>
              </w:rPr>
              <w:t>9 040 161 366,01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47C09" w14:textId="77777777" w:rsidR="0092476E" w:rsidRPr="001527AB" w:rsidRDefault="0092476E" w:rsidP="0092476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1527AB">
              <w:rPr>
                <w:rFonts w:cstheme="minorHAnsi"/>
                <w:sz w:val="16"/>
                <w:szCs w:val="16"/>
              </w:rPr>
              <w:t>11 303 277 708,49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70F4E" w14:textId="77777777" w:rsidR="0092476E" w:rsidRPr="001527AB" w:rsidRDefault="0092476E" w:rsidP="0092476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1527AB">
              <w:rPr>
                <w:rFonts w:cstheme="minorHAnsi"/>
                <w:sz w:val="16"/>
                <w:szCs w:val="16"/>
              </w:rPr>
              <w:t>11 279 672 258,65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2F95A" w14:textId="77777777" w:rsidR="0092476E" w:rsidRPr="001527AB" w:rsidRDefault="0092476E" w:rsidP="0092476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1527AB">
              <w:rPr>
                <w:rFonts w:cstheme="minorHAnsi"/>
                <w:sz w:val="16"/>
                <w:szCs w:val="16"/>
              </w:rPr>
              <w:t>12 623 305 778,38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4DF9D" w14:textId="77777777" w:rsidR="0092476E" w:rsidRPr="001527AB" w:rsidRDefault="0092476E" w:rsidP="0092476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1527AB">
              <w:rPr>
                <w:rFonts w:cstheme="minorHAnsi"/>
                <w:sz w:val="16"/>
                <w:szCs w:val="16"/>
              </w:rPr>
              <w:t>12 932 168 138,31</w:t>
            </w:r>
          </w:p>
        </w:tc>
      </w:tr>
    </w:tbl>
    <w:p w14:paraId="30BD3B16" w14:textId="77777777" w:rsidR="0092476E" w:rsidRPr="0092476E" w:rsidRDefault="0092476E" w:rsidP="0092476E">
      <w:pPr>
        <w:pStyle w:val="Zdroj"/>
        <w:spacing w:before="40" w:after="120"/>
        <w:rPr>
          <w:rFonts w:asciiTheme="minorHAnsi" w:hAnsiTheme="minorHAnsi"/>
          <w:i w:val="0"/>
        </w:rPr>
      </w:pPr>
      <w:bookmarkStart w:id="16" w:name="_Toc520714627"/>
      <w:r w:rsidRPr="0092476E">
        <w:rPr>
          <w:rFonts w:asciiTheme="minorHAnsi" w:hAnsiTheme="minorHAnsi"/>
          <w:b/>
          <w:i w:val="0"/>
        </w:rPr>
        <w:t xml:space="preserve">Zdroj: </w:t>
      </w:r>
      <w:r w:rsidRPr="0092476E">
        <w:rPr>
          <w:rFonts w:asciiTheme="minorHAnsi" w:hAnsiTheme="minorHAnsi"/>
          <w:i w:val="0"/>
        </w:rPr>
        <w:t>informační portál MONITOR.</w:t>
      </w:r>
    </w:p>
    <w:bookmarkEnd w:id="16"/>
    <w:p w14:paraId="66907D60" w14:textId="76B5FE49" w:rsidR="0092476E" w:rsidRPr="0092476E" w:rsidRDefault="0092476E" w:rsidP="0092476E">
      <w:pPr>
        <w:pStyle w:val="Zdroj"/>
        <w:spacing w:after="120"/>
        <w:ind w:right="-2"/>
        <w:jc w:val="both"/>
        <w:rPr>
          <w:rFonts w:asciiTheme="minorHAnsi" w:hAnsiTheme="minorHAnsi"/>
          <w:i w:val="0"/>
          <w:sz w:val="24"/>
        </w:rPr>
      </w:pPr>
      <w:r w:rsidRPr="0092476E">
        <w:rPr>
          <w:rFonts w:asciiTheme="minorHAnsi" w:hAnsiTheme="minorHAnsi"/>
          <w:i w:val="0"/>
          <w:sz w:val="24"/>
        </w:rPr>
        <w:t xml:space="preserve">Schválený rozpočet příjmů kapitoly 314 v roce 2021 činil 11,03 mld. Kč. Rozpočet po změnách ve výši 11,03 mld. Kč byl splněn na 117,20 %, tj. skutečné plnění činilo 12,93 mld. Kč. Zatímco v roce 2020 činily skutečné příjmy 12,62 mld. Kč, </w:t>
      </w:r>
      <w:r w:rsidR="00E41647" w:rsidRPr="0092476E">
        <w:rPr>
          <w:rFonts w:asciiTheme="minorHAnsi" w:hAnsiTheme="minorHAnsi"/>
          <w:i w:val="0"/>
          <w:sz w:val="24"/>
        </w:rPr>
        <w:t xml:space="preserve">v roce 2021 </w:t>
      </w:r>
      <w:r w:rsidRPr="0092476E">
        <w:rPr>
          <w:rFonts w:asciiTheme="minorHAnsi" w:hAnsiTheme="minorHAnsi"/>
          <w:i w:val="0"/>
          <w:sz w:val="24"/>
        </w:rPr>
        <w:t>bylo plnění příjmů o 309 mil. Kč vyšší.</w:t>
      </w:r>
    </w:p>
    <w:p w14:paraId="5026C987" w14:textId="0FFCD5F6" w:rsidR="0092476E" w:rsidRPr="0092476E" w:rsidRDefault="0092476E" w:rsidP="0092476E">
      <w:pPr>
        <w:ind w:right="-2"/>
        <w:jc w:val="both"/>
        <w:rPr>
          <w:rFonts w:asciiTheme="minorHAnsi" w:hAnsiTheme="minorHAnsi" w:cstheme="minorHAnsi"/>
        </w:rPr>
      </w:pPr>
      <w:r w:rsidRPr="0092476E">
        <w:rPr>
          <w:rFonts w:asciiTheme="minorHAnsi" w:hAnsiTheme="minorHAnsi" w:cstheme="minorHAnsi"/>
        </w:rPr>
        <w:t>Skutečné daňové příjmy kapitoly 314 za rok 2021 činily 9,52 mld. Kč, oproti roku 2020 se jedná o nárůst o 254,50 mil. Kč. Skutečné nedaňové příjmy za rok 2021 byly ve výši 797,20 mil. Kč, oproti roku 2020 došlo k nárůstu o 41 mil. Kč. V případě přijatých transferů došlo v roce 2021 k</w:t>
      </w:r>
      <w:r w:rsidR="00E41647">
        <w:rPr>
          <w:rFonts w:asciiTheme="minorHAnsi" w:hAnsiTheme="minorHAnsi" w:cstheme="minorHAnsi"/>
        </w:rPr>
        <w:t xml:space="preserve"> meziročnímu </w:t>
      </w:r>
      <w:r w:rsidRPr="0092476E">
        <w:rPr>
          <w:rFonts w:asciiTheme="minorHAnsi" w:hAnsiTheme="minorHAnsi" w:cstheme="minorHAnsi"/>
        </w:rPr>
        <w:t>nárůstu skutečného plnění o 5 mil. Kč</w:t>
      </w:r>
      <w:r w:rsidR="00E41647">
        <w:rPr>
          <w:rFonts w:asciiTheme="minorHAnsi" w:hAnsiTheme="minorHAnsi" w:cstheme="minorHAnsi"/>
        </w:rPr>
        <w:t>,</w:t>
      </w:r>
      <w:r w:rsidRPr="0092476E">
        <w:rPr>
          <w:rFonts w:asciiTheme="minorHAnsi" w:hAnsiTheme="minorHAnsi" w:cstheme="minorHAnsi"/>
        </w:rPr>
        <w:t xml:space="preserve"> jejich výše činila 2,56 mld. Kč.</w:t>
      </w:r>
    </w:p>
    <w:p w14:paraId="7B0E3155" w14:textId="77777777" w:rsidR="0092476E" w:rsidRDefault="0092476E" w:rsidP="0092476E">
      <w:pPr>
        <w:ind w:right="-2"/>
        <w:jc w:val="both"/>
        <w:rPr>
          <w:rFonts w:asciiTheme="minorHAnsi" w:hAnsiTheme="minorHAnsi" w:cstheme="minorHAnsi"/>
        </w:rPr>
      </w:pPr>
      <w:r w:rsidRPr="0092476E">
        <w:rPr>
          <w:rFonts w:asciiTheme="minorHAnsi" w:hAnsiTheme="minorHAnsi" w:cstheme="minorHAnsi"/>
        </w:rPr>
        <w:t>Podíl</w:t>
      </w:r>
      <w:r w:rsidR="00E41647">
        <w:rPr>
          <w:rFonts w:asciiTheme="minorHAnsi" w:hAnsiTheme="minorHAnsi" w:cstheme="minorHAnsi"/>
        </w:rPr>
        <w:t>y</w:t>
      </w:r>
      <w:r w:rsidRPr="0092476E">
        <w:rPr>
          <w:rFonts w:asciiTheme="minorHAnsi" w:hAnsiTheme="minorHAnsi" w:cstheme="minorHAnsi"/>
        </w:rPr>
        <w:t xml:space="preserve"> skutečných příjmů jednotlivých OSS na celkových skutečných příjmech kapitoly 314 za rok 2021 byl</w:t>
      </w:r>
      <w:r w:rsidR="00E41647">
        <w:rPr>
          <w:rFonts w:asciiTheme="minorHAnsi" w:hAnsiTheme="minorHAnsi" w:cstheme="minorHAnsi"/>
        </w:rPr>
        <w:t>y</w:t>
      </w:r>
      <w:r w:rsidRPr="0092476E">
        <w:rPr>
          <w:rFonts w:asciiTheme="minorHAnsi" w:hAnsiTheme="minorHAnsi" w:cstheme="minorHAnsi"/>
        </w:rPr>
        <w:t xml:space="preserve"> následující:</w:t>
      </w:r>
    </w:p>
    <w:tbl>
      <w:tblPr>
        <w:tblW w:w="4638" w:type="pct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4"/>
        <w:gridCol w:w="784"/>
      </w:tblGrid>
      <w:tr w:rsidR="00B51F7E" w:rsidRPr="005B5B16" w14:paraId="37433C5A" w14:textId="77777777" w:rsidTr="00B51F7E">
        <w:trPr>
          <w:trHeight w:val="300"/>
        </w:trPr>
        <w:tc>
          <w:tcPr>
            <w:tcW w:w="4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77C4B" w14:textId="77777777" w:rsidR="00B51F7E" w:rsidRPr="005B5B16" w:rsidRDefault="00B51F7E" w:rsidP="00B51F7E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5B5B16">
              <w:rPr>
                <w:rFonts w:cstheme="minorHAnsi"/>
                <w:sz w:val="20"/>
                <w:szCs w:val="20"/>
                <w:lang w:eastAsia="cs-CZ"/>
              </w:rPr>
              <w:t>Činnosti v oblasti veřejného pořádku a bezpečnosti (krajská ředitelství policie a samotné MV)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8312B" w14:textId="77777777" w:rsidR="00B51F7E" w:rsidRPr="005B5B16" w:rsidRDefault="00B51F7E" w:rsidP="00B51F7E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5B5B16">
              <w:rPr>
                <w:rFonts w:cstheme="minorHAnsi"/>
                <w:sz w:val="20"/>
                <w:szCs w:val="20"/>
                <w:lang w:eastAsia="cs-CZ"/>
              </w:rPr>
              <w:t>73,58</w:t>
            </w:r>
            <w:r w:rsidR="007856E6">
              <w:rPr>
                <w:rFonts w:cstheme="minorHAnsi"/>
                <w:sz w:val="20"/>
                <w:szCs w:val="20"/>
                <w:lang w:eastAsia="cs-CZ"/>
              </w:rPr>
              <w:t xml:space="preserve"> </w:t>
            </w:r>
            <w:r w:rsidRPr="005B5B16">
              <w:rPr>
                <w:rFonts w:cstheme="minorHAnsi"/>
                <w:sz w:val="20"/>
                <w:szCs w:val="20"/>
                <w:lang w:eastAsia="cs-CZ"/>
              </w:rPr>
              <w:t>%</w:t>
            </w:r>
          </w:p>
        </w:tc>
      </w:tr>
      <w:tr w:rsidR="00B51F7E" w:rsidRPr="005B5B16" w14:paraId="32A4F708" w14:textId="77777777" w:rsidTr="00B51F7E">
        <w:trPr>
          <w:trHeight w:val="300"/>
        </w:trPr>
        <w:tc>
          <w:tcPr>
            <w:tcW w:w="4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F1A98" w14:textId="77777777" w:rsidR="00B51F7E" w:rsidRPr="005B5B16" w:rsidRDefault="00B51F7E" w:rsidP="00B51F7E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5B5B16">
              <w:rPr>
                <w:rFonts w:cstheme="minorHAnsi"/>
                <w:sz w:val="20"/>
                <w:szCs w:val="20"/>
                <w:lang w:eastAsia="cs-CZ"/>
              </w:rPr>
              <w:t>Činnosti v oblasti protipožární ochrany (hasičské záchranné sbory)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C0127" w14:textId="77777777" w:rsidR="00B51F7E" w:rsidRPr="005B5B16" w:rsidRDefault="00B51F7E" w:rsidP="00B51F7E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5B5B16">
              <w:rPr>
                <w:rFonts w:cstheme="minorHAnsi"/>
                <w:sz w:val="20"/>
                <w:szCs w:val="20"/>
                <w:lang w:eastAsia="cs-CZ"/>
              </w:rPr>
              <w:t>24,57</w:t>
            </w:r>
            <w:r w:rsidR="007856E6">
              <w:rPr>
                <w:rFonts w:cstheme="minorHAnsi"/>
                <w:sz w:val="20"/>
                <w:szCs w:val="20"/>
                <w:lang w:eastAsia="cs-CZ"/>
              </w:rPr>
              <w:t xml:space="preserve"> </w:t>
            </w:r>
            <w:r w:rsidRPr="005B5B16">
              <w:rPr>
                <w:rFonts w:cstheme="minorHAnsi"/>
                <w:sz w:val="20"/>
                <w:szCs w:val="20"/>
                <w:lang w:eastAsia="cs-CZ"/>
              </w:rPr>
              <w:t>%</w:t>
            </w:r>
          </w:p>
        </w:tc>
      </w:tr>
      <w:tr w:rsidR="00B51F7E" w:rsidRPr="005B5B16" w14:paraId="1E61D5D5" w14:textId="77777777" w:rsidTr="00B51F7E">
        <w:trPr>
          <w:trHeight w:val="300"/>
        </w:trPr>
        <w:tc>
          <w:tcPr>
            <w:tcW w:w="4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5BAC7" w14:textId="77777777" w:rsidR="00B51F7E" w:rsidRPr="005B5B16" w:rsidRDefault="00B51F7E" w:rsidP="00B51F7E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5B5B16">
              <w:rPr>
                <w:rFonts w:cstheme="minorHAnsi"/>
                <w:sz w:val="20"/>
                <w:szCs w:val="20"/>
                <w:lang w:eastAsia="cs-CZ"/>
              </w:rPr>
              <w:t>Ambulantní a zubní zdravotní péče (Zdravotnické zařízení MV)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B726E" w14:textId="77777777" w:rsidR="00B51F7E" w:rsidRPr="005B5B16" w:rsidRDefault="00B51F7E" w:rsidP="00B51F7E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5B5B16">
              <w:rPr>
                <w:rFonts w:cstheme="minorHAnsi"/>
                <w:sz w:val="20"/>
                <w:szCs w:val="20"/>
                <w:lang w:eastAsia="cs-CZ"/>
              </w:rPr>
              <w:t>0,68</w:t>
            </w:r>
            <w:r w:rsidR="007856E6">
              <w:rPr>
                <w:rFonts w:cstheme="minorHAnsi"/>
                <w:sz w:val="20"/>
                <w:szCs w:val="20"/>
                <w:lang w:eastAsia="cs-CZ"/>
              </w:rPr>
              <w:t xml:space="preserve"> </w:t>
            </w:r>
            <w:r w:rsidRPr="005B5B16">
              <w:rPr>
                <w:rFonts w:cstheme="minorHAnsi"/>
                <w:sz w:val="20"/>
                <w:szCs w:val="20"/>
                <w:lang w:eastAsia="cs-CZ"/>
              </w:rPr>
              <w:t>%</w:t>
            </w:r>
          </w:p>
        </w:tc>
      </w:tr>
      <w:tr w:rsidR="00B51F7E" w:rsidRPr="005B5B16" w14:paraId="47893E38" w14:textId="77777777" w:rsidTr="00B51F7E">
        <w:trPr>
          <w:trHeight w:val="300"/>
        </w:trPr>
        <w:tc>
          <w:tcPr>
            <w:tcW w:w="4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50720" w14:textId="77777777" w:rsidR="00B51F7E" w:rsidRPr="005B5B16" w:rsidRDefault="00B51F7E" w:rsidP="00B51F7E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5B5B16">
              <w:rPr>
                <w:rFonts w:cstheme="minorHAnsi"/>
                <w:sz w:val="20"/>
                <w:szCs w:val="20"/>
                <w:lang w:eastAsia="cs-CZ"/>
              </w:rPr>
              <w:t>Činnosti v oblasti obrany (Správa uprchlických zařízení MV)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F19B0" w14:textId="77777777" w:rsidR="00B51F7E" w:rsidRPr="005B5B16" w:rsidRDefault="00B51F7E" w:rsidP="00B51F7E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5B5B16">
              <w:rPr>
                <w:rFonts w:cstheme="minorHAnsi"/>
                <w:sz w:val="20"/>
                <w:szCs w:val="20"/>
                <w:lang w:eastAsia="cs-CZ"/>
              </w:rPr>
              <w:t>0,64</w:t>
            </w:r>
            <w:r w:rsidR="007856E6">
              <w:rPr>
                <w:rFonts w:cstheme="minorHAnsi"/>
                <w:sz w:val="20"/>
                <w:szCs w:val="20"/>
                <w:lang w:eastAsia="cs-CZ"/>
              </w:rPr>
              <w:t xml:space="preserve"> </w:t>
            </w:r>
            <w:r w:rsidRPr="005B5B16">
              <w:rPr>
                <w:rFonts w:cstheme="minorHAnsi"/>
                <w:sz w:val="20"/>
                <w:szCs w:val="20"/>
                <w:lang w:eastAsia="cs-CZ"/>
              </w:rPr>
              <w:t>%</w:t>
            </w:r>
          </w:p>
        </w:tc>
      </w:tr>
      <w:tr w:rsidR="00B51F7E" w:rsidRPr="005B5B16" w14:paraId="6A8B00AC" w14:textId="77777777" w:rsidTr="00B51F7E">
        <w:trPr>
          <w:trHeight w:val="300"/>
        </w:trPr>
        <w:tc>
          <w:tcPr>
            <w:tcW w:w="4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4B68B" w14:textId="77777777" w:rsidR="00B51F7E" w:rsidRPr="005B5B16" w:rsidRDefault="00B51F7E" w:rsidP="00B51F7E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5B5B16">
              <w:rPr>
                <w:rFonts w:cstheme="minorHAnsi"/>
                <w:sz w:val="20"/>
                <w:szCs w:val="20"/>
                <w:lang w:eastAsia="cs-CZ"/>
              </w:rPr>
              <w:t>Střední odborné vzdělávání na středních odborných školách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BE848" w14:textId="77777777" w:rsidR="00B51F7E" w:rsidRPr="005B5B16" w:rsidRDefault="00B51F7E" w:rsidP="00B51F7E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5B5B16">
              <w:rPr>
                <w:rFonts w:cstheme="minorHAnsi"/>
                <w:sz w:val="20"/>
                <w:szCs w:val="20"/>
                <w:lang w:eastAsia="cs-CZ"/>
              </w:rPr>
              <w:t>0,33</w:t>
            </w:r>
            <w:r w:rsidR="007856E6">
              <w:rPr>
                <w:rFonts w:cstheme="minorHAnsi"/>
                <w:sz w:val="20"/>
                <w:szCs w:val="20"/>
                <w:lang w:eastAsia="cs-CZ"/>
              </w:rPr>
              <w:t xml:space="preserve"> </w:t>
            </w:r>
            <w:r w:rsidRPr="005B5B16">
              <w:rPr>
                <w:rFonts w:cstheme="minorHAnsi"/>
                <w:sz w:val="20"/>
                <w:szCs w:val="20"/>
                <w:lang w:eastAsia="cs-CZ"/>
              </w:rPr>
              <w:t>%</w:t>
            </w:r>
          </w:p>
        </w:tc>
      </w:tr>
      <w:tr w:rsidR="00B51F7E" w:rsidRPr="005B5B16" w14:paraId="78B6879E" w14:textId="77777777" w:rsidTr="00B51F7E">
        <w:trPr>
          <w:trHeight w:val="300"/>
        </w:trPr>
        <w:tc>
          <w:tcPr>
            <w:tcW w:w="4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5C39D" w14:textId="77777777" w:rsidR="00B51F7E" w:rsidRPr="005B5B16" w:rsidRDefault="00B51F7E" w:rsidP="00B51F7E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5B5B16">
              <w:rPr>
                <w:rFonts w:cstheme="minorHAnsi"/>
                <w:sz w:val="20"/>
                <w:szCs w:val="20"/>
                <w:lang w:eastAsia="cs-CZ"/>
              </w:rPr>
              <w:t>Činnosti knihoven a archivů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E44E8" w14:textId="77777777" w:rsidR="00B51F7E" w:rsidRPr="005B5B16" w:rsidRDefault="00B51F7E" w:rsidP="00B51F7E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5B5B16">
              <w:rPr>
                <w:rFonts w:cstheme="minorHAnsi"/>
                <w:sz w:val="20"/>
                <w:szCs w:val="20"/>
                <w:lang w:eastAsia="cs-CZ"/>
              </w:rPr>
              <w:t>0,12</w:t>
            </w:r>
            <w:r w:rsidR="007856E6">
              <w:rPr>
                <w:rFonts w:cstheme="minorHAnsi"/>
                <w:sz w:val="20"/>
                <w:szCs w:val="20"/>
                <w:lang w:eastAsia="cs-CZ"/>
              </w:rPr>
              <w:t xml:space="preserve"> </w:t>
            </w:r>
            <w:r w:rsidRPr="005B5B16">
              <w:rPr>
                <w:rFonts w:cstheme="minorHAnsi"/>
                <w:sz w:val="20"/>
                <w:szCs w:val="20"/>
                <w:lang w:eastAsia="cs-CZ"/>
              </w:rPr>
              <w:t>%</w:t>
            </w:r>
          </w:p>
        </w:tc>
      </w:tr>
      <w:tr w:rsidR="00B51F7E" w:rsidRPr="005B5B16" w14:paraId="669308BD" w14:textId="77777777" w:rsidTr="00B51F7E">
        <w:trPr>
          <w:trHeight w:val="300"/>
        </w:trPr>
        <w:tc>
          <w:tcPr>
            <w:tcW w:w="4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DA4AC" w14:textId="77777777" w:rsidR="00B51F7E" w:rsidRPr="005B5B16" w:rsidRDefault="00B51F7E" w:rsidP="00B51F7E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5B5B16">
              <w:rPr>
                <w:rFonts w:cstheme="minorHAnsi"/>
                <w:sz w:val="20"/>
                <w:szCs w:val="20"/>
                <w:lang w:eastAsia="cs-CZ"/>
              </w:rPr>
              <w:t>Terciární vzdělávání (Policejní akademie ČR v Praze)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32018" w14:textId="77777777" w:rsidR="00B51F7E" w:rsidRPr="005B5B16" w:rsidRDefault="00B51F7E" w:rsidP="00B51F7E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5B5B16">
              <w:rPr>
                <w:rFonts w:cstheme="minorHAnsi"/>
                <w:sz w:val="20"/>
                <w:szCs w:val="20"/>
                <w:lang w:eastAsia="cs-CZ"/>
              </w:rPr>
              <w:t>0,05</w:t>
            </w:r>
            <w:r w:rsidR="007856E6">
              <w:rPr>
                <w:rFonts w:cstheme="minorHAnsi"/>
                <w:sz w:val="20"/>
                <w:szCs w:val="20"/>
                <w:lang w:eastAsia="cs-CZ"/>
              </w:rPr>
              <w:t xml:space="preserve"> </w:t>
            </w:r>
            <w:r w:rsidRPr="005B5B16">
              <w:rPr>
                <w:rFonts w:cstheme="minorHAnsi"/>
                <w:sz w:val="20"/>
                <w:szCs w:val="20"/>
                <w:lang w:eastAsia="cs-CZ"/>
              </w:rPr>
              <w:t>%</w:t>
            </w:r>
          </w:p>
        </w:tc>
      </w:tr>
      <w:tr w:rsidR="00B51F7E" w:rsidRPr="005B5B16" w14:paraId="0D5C45D6" w14:textId="77777777" w:rsidTr="00B51F7E">
        <w:trPr>
          <w:trHeight w:val="300"/>
        </w:trPr>
        <w:tc>
          <w:tcPr>
            <w:tcW w:w="4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33A90" w14:textId="77777777" w:rsidR="00B51F7E" w:rsidRPr="005B5B16" w:rsidRDefault="00B51F7E" w:rsidP="00B51F7E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5B5B16">
              <w:rPr>
                <w:rFonts w:cstheme="minorHAnsi"/>
                <w:sz w:val="20"/>
                <w:szCs w:val="20"/>
                <w:lang w:eastAsia="cs-CZ"/>
              </w:rPr>
              <w:t>Provozování sportovních zařízení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A827A" w14:textId="77777777" w:rsidR="00B51F7E" w:rsidRPr="005B5B16" w:rsidRDefault="00B51F7E" w:rsidP="00B51F7E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5B5B16">
              <w:rPr>
                <w:rFonts w:cstheme="minorHAnsi"/>
                <w:sz w:val="20"/>
                <w:szCs w:val="20"/>
                <w:lang w:eastAsia="cs-CZ"/>
              </w:rPr>
              <w:t>0,03</w:t>
            </w:r>
            <w:r w:rsidR="007856E6">
              <w:rPr>
                <w:rFonts w:cstheme="minorHAnsi"/>
                <w:sz w:val="20"/>
                <w:szCs w:val="20"/>
                <w:lang w:eastAsia="cs-CZ"/>
              </w:rPr>
              <w:t xml:space="preserve"> </w:t>
            </w:r>
            <w:r w:rsidRPr="005B5B16">
              <w:rPr>
                <w:rFonts w:cstheme="minorHAnsi"/>
                <w:sz w:val="20"/>
                <w:szCs w:val="20"/>
                <w:lang w:eastAsia="cs-CZ"/>
              </w:rPr>
              <w:t>%</w:t>
            </w:r>
          </w:p>
        </w:tc>
      </w:tr>
      <w:tr w:rsidR="00B51F7E" w:rsidRPr="005B5B16" w14:paraId="4BF0B3FA" w14:textId="77777777" w:rsidTr="00B51F7E">
        <w:trPr>
          <w:trHeight w:val="300"/>
        </w:trPr>
        <w:tc>
          <w:tcPr>
            <w:tcW w:w="4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FC91B" w14:textId="77777777" w:rsidR="00B51F7E" w:rsidRPr="005B5B16" w:rsidRDefault="00B51F7E" w:rsidP="00B51F7E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5B5B16">
              <w:rPr>
                <w:rFonts w:cstheme="minorHAnsi"/>
                <w:sz w:val="20"/>
                <w:szCs w:val="20"/>
                <w:lang w:eastAsia="cs-CZ"/>
              </w:rPr>
              <w:t>Činnosti muzeí (Muzeum Policie ČR)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2EAA6" w14:textId="77777777" w:rsidR="00B51F7E" w:rsidRPr="005B5B16" w:rsidRDefault="00B51F7E" w:rsidP="00B51F7E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5B5B16">
              <w:rPr>
                <w:rFonts w:cstheme="minorHAnsi"/>
                <w:sz w:val="20"/>
                <w:szCs w:val="20"/>
                <w:lang w:eastAsia="cs-CZ"/>
              </w:rPr>
              <w:t>0,00</w:t>
            </w:r>
            <w:r w:rsidR="007856E6">
              <w:rPr>
                <w:rFonts w:cstheme="minorHAnsi"/>
                <w:sz w:val="20"/>
                <w:szCs w:val="20"/>
                <w:lang w:eastAsia="cs-CZ"/>
              </w:rPr>
              <w:t xml:space="preserve"> </w:t>
            </w:r>
            <w:r w:rsidRPr="005B5B16">
              <w:rPr>
                <w:rFonts w:cstheme="minorHAnsi"/>
                <w:sz w:val="20"/>
                <w:szCs w:val="20"/>
                <w:lang w:eastAsia="cs-CZ"/>
              </w:rPr>
              <w:t>%</w:t>
            </w:r>
          </w:p>
        </w:tc>
      </w:tr>
    </w:tbl>
    <w:p w14:paraId="6C355735" w14:textId="77777777" w:rsidR="00B51F7E" w:rsidRDefault="00B51F7E" w:rsidP="00DD3FBB">
      <w:pPr>
        <w:pStyle w:val="Titulek"/>
        <w:spacing w:before="0" w:after="0"/>
        <w:rPr>
          <w:rFonts w:cstheme="minorHAnsi"/>
          <w:szCs w:val="24"/>
        </w:rPr>
      </w:pPr>
      <w:bookmarkStart w:id="17" w:name="_Toc8984834"/>
      <w:bookmarkStart w:id="18" w:name="_Toc69325890"/>
      <w:bookmarkStart w:id="19" w:name="_Toc69401682"/>
      <w:bookmarkStart w:id="20" w:name="_Toc101336449"/>
    </w:p>
    <w:p w14:paraId="555F80D7" w14:textId="25025D16" w:rsidR="00B51F7E" w:rsidRPr="001527AB" w:rsidRDefault="00B51F7E" w:rsidP="000C2191">
      <w:pPr>
        <w:pStyle w:val="Titulek"/>
        <w:tabs>
          <w:tab w:val="right" w:pos="9070"/>
        </w:tabs>
        <w:spacing w:before="0" w:after="40"/>
        <w:rPr>
          <w:rFonts w:cstheme="minorHAnsi"/>
          <w:szCs w:val="24"/>
        </w:rPr>
      </w:pPr>
      <w:r w:rsidRPr="001527AB">
        <w:rPr>
          <w:rFonts w:cstheme="minorHAnsi"/>
          <w:szCs w:val="24"/>
        </w:rPr>
        <w:t xml:space="preserve">Tabulka č. </w:t>
      </w:r>
      <w:r w:rsidRPr="001527AB">
        <w:rPr>
          <w:rFonts w:cstheme="minorHAnsi"/>
          <w:szCs w:val="24"/>
        </w:rPr>
        <w:fldChar w:fldCharType="begin"/>
      </w:r>
      <w:r w:rsidRPr="001527AB">
        <w:rPr>
          <w:rFonts w:cstheme="minorHAnsi"/>
          <w:szCs w:val="24"/>
        </w:rPr>
        <w:instrText xml:space="preserve"> SEQ Tabulka \* ARABIC </w:instrText>
      </w:r>
      <w:r w:rsidRPr="001527AB">
        <w:rPr>
          <w:rFonts w:cstheme="minorHAnsi"/>
          <w:szCs w:val="24"/>
        </w:rPr>
        <w:fldChar w:fldCharType="separate"/>
      </w:r>
      <w:r w:rsidR="00F03FDF">
        <w:rPr>
          <w:rFonts w:cstheme="minorHAnsi"/>
          <w:noProof/>
          <w:szCs w:val="24"/>
        </w:rPr>
        <w:t>3</w:t>
      </w:r>
      <w:r w:rsidRPr="001527AB">
        <w:rPr>
          <w:rFonts w:cstheme="minorHAnsi"/>
          <w:noProof/>
          <w:szCs w:val="24"/>
        </w:rPr>
        <w:fldChar w:fldCharType="end"/>
      </w:r>
      <w:r w:rsidRPr="001527AB">
        <w:rPr>
          <w:rFonts w:cstheme="minorHAnsi"/>
          <w:szCs w:val="24"/>
        </w:rPr>
        <w:t xml:space="preserve">: Příjmy MV </w:t>
      </w:r>
      <w:r w:rsidR="00E41647">
        <w:rPr>
          <w:rFonts w:cstheme="minorHAnsi"/>
          <w:szCs w:val="24"/>
        </w:rPr>
        <w:tab/>
      </w:r>
      <w:r w:rsidRPr="001527AB">
        <w:rPr>
          <w:rFonts w:cstheme="minorHAnsi"/>
          <w:szCs w:val="24"/>
        </w:rPr>
        <w:t>(v Kč)</w:t>
      </w:r>
      <w:bookmarkEnd w:id="17"/>
      <w:bookmarkEnd w:id="18"/>
      <w:bookmarkEnd w:id="19"/>
      <w:bookmarkEnd w:id="2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4"/>
        <w:gridCol w:w="1448"/>
        <w:gridCol w:w="1448"/>
        <w:gridCol w:w="1448"/>
        <w:gridCol w:w="1448"/>
        <w:gridCol w:w="1444"/>
      </w:tblGrid>
      <w:tr w:rsidR="00B51F7E" w:rsidRPr="005B5B16" w14:paraId="5C2131ED" w14:textId="77777777" w:rsidTr="00B51F7E">
        <w:trPr>
          <w:trHeight w:val="255"/>
        </w:trPr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BDEAA39" w14:textId="77777777" w:rsidR="00B51F7E" w:rsidRPr="005B5B16" w:rsidRDefault="00B51F7E" w:rsidP="00B51F7E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Ukazatel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83518AF" w14:textId="77777777" w:rsidR="00B51F7E" w:rsidRPr="005B5B16" w:rsidRDefault="00B51F7E" w:rsidP="00B51F7E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2017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800D274" w14:textId="77777777" w:rsidR="00B51F7E" w:rsidRPr="005B5B16" w:rsidRDefault="00B51F7E" w:rsidP="00B51F7E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2018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0296A707" w14:textId="77777777" w:rsidR="00B51F7E" w:rsidRPr="005B5B16" w:rsidRDefault="00B51F7E" w:rsidP="00B51F7E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2019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689266D2" w14:textId="77777777" w:rsidR="00B51F7E" w:rsidRPr="005B5B16" w:rsidRDefault="00B51F7E" w:rsidP="00B51F7E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2020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537F77BB" w14:textId="77777777" w:rsidR="00B51F7E" w:rsidRPr="005B5B16" w:rsidRDefault="00B51F7E" w:rsidP="00B51F7E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2021</w:t>
            </w:r>
          </w:p>
        </w:tc>
      </w:tr>
      <w:tr w:rsidR="00B51F7E" w:rsidRPr="005B5B16" w14:paraId="55FAD4CE" w14:textId="77777777" w:rsidTr="00B51F7E">
        <w:trPr>
          <w:trHeight w:val="255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27A5" w14:textId="77777777" w:rsidR="00B51F7E" w:rsidRPr="005B5B16" w:rsidRDefault="00B51F7E" w:rsidP="00B51F7E">
            <w:pPr>
              <w:spacing w:after="0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Schválený rozpočet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908E" w14:textId="77777777" w:rsidR="00B51F7E" w:rsidRPr="005B5B16" w:rsidRDefault="00B51F7E" w:rsidP="00B51F7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1 750 581 150,00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401F" w14:textId="77777777" w:rsidR="00B51F7E" w:rsidRPr="005B5B16" w:rsidRDefault="00B51F7E" w:rsidP="00B51F7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2 062 401 106,00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4D4DD" w14:textId="77777777" w:rsidR="00B51F7E" w:rsidRPr="005B5B16" w:rsidRDefault="00B51F7E" w:rsidP="00B51F7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2 121 637 824,00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72482" w14:textId="77777777" w:rsidR="00B51F7E" w:rsidRPr="005B5B16" w:rsidRDefault="00B51F7E" w:rsidP="00B51F7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2 025 244 238,00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083BD" w14:textId="77777777" w:rsidR="00B51F7E" w:rsidRPr="005B5B16" w:rsidRDefault="00B51F7E" w:rsidP="00B51F7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2 731 266 940,00</w:t>
            </w:r>
          </w:p>
        </w:tc>
      </w:tr>
      <w:tr w:rsidR="00B51F7E" w:rsidRPr="005B5B16" w14:paraId="3B254074" w14:textId="77777777" w:rsidTr="00B51F7E">
        <w:trPr>
          <w:trHeight w:val="255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D973" w14:textId="77777777" w:rsidR="00B51F7E" w:rsidRPr="005B5B16" w:rsidRDefault="00B51F7E" w:rsidP="00B51F7E">
            <w:pPr>
              <w:spacing w:after="0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Rozpočet po změnách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D8DB" w14:textId="77777777" w:rsidR="00B51F7E" w:rsidRPr="005B5B16" w:rsidRDefault="00B51F7E" w:rsidP="00B51F7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1 667 614 024,00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3FB8" w14:textId="77777777" w:rsidR="00B51F7E" w:rsidRPr="005B5B16" w:rsidRDefault="00B51F7E" w:rsidP="00B51F7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1 909 629 906,00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160D7" w14:textId="77777777" w:rsidR="00B51F7E" w:rsidRPr="005B5B16" w:rsidRDefault="00B51F7E" w:rsidP="00B51F7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1 956 307 632,00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D00A1" w14:textId="77777777" w:rsidR="00B51F7E" w:rsidRPr="005B5B16" w:rsidRDefault="00B51F7E" w:rsidP="00B51F7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1 999 606 791,00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E093E" w14:textId="77777777" w:rsidR="00B51F7E" w:rsidRPr="005B5B16" w:rsidRDefault="00B51F7E" w:rsidP="00B51F7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2 489 955 056,00</w:t>
            </w:r>
          </w:p>
        </w:tc>
      </w:tr>
      <w:tr w:rsidR="00B51F7E" w:rsidRPr="005B5B16" w14:paraId="0E38F14D" w14:textId="77777777" w:rsidTr="00B51F7E">
        <w:trPr>
          <w:trHeight w:val="255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6D13" w14:textId="77777777" w:rsidR="00B51F7E" w:rsidRPr="005B5B16" w:rsidRDefault="00B51F7E" w:rsidP="00B51F7E">
            <w:pPr>
              <w:spacing w:after="0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Skutečnost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2E99" w14:textId="77777777" w:rsidR="00B51F7E" w:rsidRPr="005B5B16" w:rsidRDefault="00B51F7E" w:rsidP="00B51F7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1 796 530 267,76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5C00" w14:textId="77777777" w:rsidR="00B51F7E" w:rsidRPr="005B5B16" w:rsidRDefault="00B51F7E" w:rsidP="00B51F7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2 791 124 506,21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96396" w14:textId="77777777" w:rsidR="00B51F7E" w:rsidRPr="005B5B16" w:rsidRDefault="00B51F7E" w:rsidP="00B51F7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2 311 841 567,60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E476F" w14:textId="77777777" w:rsidR="00B51F7E" w:rsidRPr="005B5B16" w:rsidRDefault="00B51F7E" w:rsidP="00B51F7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2 671 265 555,68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75447" w14:textId="77777777" w:rsidR="00B51F7E" w:rsidRPr="005B5B16" w:rsidRDefault="00B51F7E" w:rsidP="00B51F7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2 489 231 300,30</w:t>
            </w:r>
          </w:p>
        </w:tc>
      </w:tr>
    </w:tbl>
    <w:p w14:paraId="398DD1B8" w14:textId="77777777" w:rsidR="00B51F7E" w:rsidRPr="00B51F7E" w:rsidRDefault="00B51F7E" w:rsidP="00B51F7E">
      <w:pPr>
        <w:pStyle w:val="Zdroj"/>
        <w:spacing w:before="40" w:after="120"/>
        <w:rPr>
          <w:rFonts w:asciiTheme="minorHAnsi" w:hAnsiTheme="minorHAnsi"/>
          <w:i w:val="0"/>
        </w:rPr>
      </w:pPr>
      <w:bookmarkStart w:id="21" w:name="_Toc520714628"/>
      <w:r w:rsidRPr="00B51F7E">
        <w:rPr>
          <w:rFonts w:asciiTheme="minorHAnsi" w:hAnsiTheme="minorHAnsi"/>
          <w:b/>
          <w:i w:val="0"/>
        </w:rPr>
        <w:t xml:space="preserve">Zdroj: </w:t>
      </w:r>
      <w:r w:rsidRPr="00B51F7E">
        <w:rPr>
          <w:rFonts w:asciiTheme="minorHAnsi" w:hAnsiTheme="minorHAnsi"/>
          <w:i w:val="0"/>
        </w:rPr>
        <w:t>informační portál MONITOR.</w:t>
      </w:r>
    </w:p>
    <w:bookmarkEnd w:id="21"/>
    <w:p w14:paraId="10B342E8" w14:textId="77777777" w:rsidR="00B51F7E" w:rsidRPr="008710C1" w:rsidRDefault="00B51F7E" w:rsidP="00B51F7E">
      <w:pPr>
        <w:ind w:right="-2"/>
        <w:jc w:val="both"/>
        <w:rPr>
          <w:rFonts w:cstheme="minorHAnsi"/>
        </w:rPr>
      </w:pPr>
      <w:r w:rsidRPr="00B51F7E">
        <w:rPr>
          <w:rFonts w:asciiTheme="minorHAnsi" w:hAnsiTheme="minorHAnsi" w:cstheme="minorHAnsi"/>
        </w:rPr>
        <w:t>Pro rok 2021 byl MV schválen rozpočet příjmů v celkové výši 2,73 mld. Kč, z toho nedaňové příjmy ve výši 269,22 mil. Kč a přijaté transfery ve výši 1,10 mld. Kč. Skutečné plnění příjmů</w:t>
      </w:r>
      <w:r w:rsidRPr="008710C1">
        <w:rPr>
          <w:rFonts w:cstheme="minorHAnsi"/>
        </w:rPr>
        <w:t xml:space="preserve"> </w:t>
      </w:r>
      <w:r w:rsidRPr="008710C1">
        <w:rPr>
          <w:rFonts w:cstheme="minorHAnsi"/>
        </w:rPr>
        <w:lastRenderedPageBreak/>
        <w:t>činilo 2</w:t>
      </w:r>
      <w:r>
        <w:rPr>
          <w:rFonts w:cstheme="minorHAnsi"/>
        </w:rPr>
        <w:t>,</w:t>
      </w:r>
      <w:r w:rsidRPr="008710C1">
        <w:rPr>
          <w:rFonts w:cstheme="minorHAnsi"/>
        </w:rPr>
        <w:t>49</w:t>
      </w:r>
      <w:r>
        <w:rPr>
          <w:rFonts w:cstheme="minorHAnsi"/>
        </w:rPr>
        <w:t xml:space="preserve"> mld. </w:t>
      </w:r>
      <w:r w:rsidRPr="008710C1">
        <w:rPr>
          <w:rFonts w:cstheme="minorHAnsi"/>
        </w:rPr>
        <w:t>Kč, tj. rozpočet po změnách byl splněn na 99,97 %. Plnění příjmů v roce 2021 bylo v porovnání s rokem 2020 o 182</w:t>
      </w:r>
      <w:r>
        <w:rPr>
          <w:rFonts w:cstheme="minorHAnsi"/>
        </w:rPr>
        <w:t xml:space="preserve"> mil.</w:t>
      </w:r>
      <w:r w:rsidRPr="008710C1">
        <w:rPr>
          <w:rFonts w:cstheme="minorHAnsi"/>
        </w:rPr>
        <w:t xml:space="preserve"> Kč nižší.</w:t>
      </w:r>
    </w:p>
    <w:p w14:paraId="481A8790" w14:textId="70D2B956" w:rsidR="00B51F7E" w:rsidRPr="008710C1" w:rsidRDefault="00B51F7E" w:rsidP="003252EC">
      <w:pPr>
        <w:spacing w:after="0"/>
        <w:ind w:right="-2"/>
        <w:jc w:val="both"/>
        <w:rPr>
          <w:rFonts w:cstheme="minorHAnsi"/>
        </w:rPr>
      </w:pPr>
      <w:r w:rsidRPr="008710C1">
        <w:rPr>
          <w:rFonts w:cstheme="minorHAnsi"/>
        </w:rPr>
        <w:t>Skutečné nedaňové příjmy MV za rok 2021 činily 313</w:t>
      </w:r>
      <w:r>
        <w:rPr>
          <w:rFonts w:cstheme="minorHAnsi"/>
        </w:rPr>
        <w:t>,</w:t>
      </w:r>
      <w:r w:rsidRPr="008710C1">
        <w:rPr>
          <w:rFonts w:cstheme="minorHAnsi"/>
        </w:rPr>
        <w:t>1</w:t>
      </w:r>
      <w:r>
        <w:rPr>
          <w:rFonts w:cstheme="minorHAnsi"/>
        </w:rPr>
        <w:t>0 mil.</w:t>
      </w:r>
      <w:r w:rsidRPr="008710C1">
        <w:rPr>
          <w:rFonts w:cstheme="minorHAnsi"/>
        </w:rPr>
        <w:t xml:space="preserve"> Kč, oproti roku 2020 se jedná o</w:t>
      </w:r>
      <w:r>
        <w:rPr>
          <w:rFonts w:cstheme="minorHAnsi"/>
        </w:rPr>
        <w:t> </w:t>
      </w:r>
      <w:r w:rsidRPr="008710C1">
        <w:rPr>
          <w:rFonts w:cstheme="minorHAnsi"/>
        </w:rPr>
        <w:t>pokles ve výši 15</w:t>
      </w:r>
      <w:r>
        <w:rPr>
          <w:rFonts w:cstheme="minorHAnsi"/>
        </w:rPr>
        <w:t>,</w:t>
      </w:r>
      <w:r w:rsidRPr="008710C1">
        <w:rPr>
          <w:rFonts w:cstheme="minorHAnsi"/>
        </w:rPr>
        <w:t>57</w:t>
      </w:r>
      <w:r>
        <w:rPr>
          <w:rFonts w:cstheme="minorHAnsi"/>
        </w:rPr>
        <w:t xml:space="preserve"> mil. </w:t>
      </w:r>
      <w:r w:rsidRPr="008710C1">
        <w:rPr>
          <w:rFonts w:cstheme="minorHAnsi"/>
        </w:rPr>
        <w:t>Kč. V případě přijatých transferů došlo v roce 2021 k</w:t>
      </w:r>
      <w:r w:rsidR="00E41647">
        <w:rPr>
          <w:rFonts w:cstheme="minorHAnsi"/>
        </w:rPr>
        <w:t xml:space="preserve"> meziročnímu </w:t>
      </w:r>
      <w:r w:rsidRPr="008710C1">
        <w:rPr>
          <w:rFonts w:cstheme="minorHAnsi"/>
        </w:rPr>
        <w:t>poklesu skutečného plnění o 196</w:t>
      </w:r>
      <w:r>
        <w:rPr>
          <w:rFonts w:cstheme="minorHAnsi"/>
        </w:rPr>
        <w:t>,20 mil.</w:t>
      </w:r>
      <w:r w:rsidRPr="008710C1">
        <w:rPr>
          <w:rFonts w:cstheme="minorHAnsi"/>
        </w:rPr>
        <w:t xml:space="preserve"> Kč</w:t>
      </w:r>
      <w:r w:rsidR="00E41647">
        <w:rPr>
          <w:rFonts w:cstheme="minorHAnsi"/>
        </w:rPr>
        <w:t>,</w:t>
      </w:r>
      <w:r w:rsidRPr="008710C1">
        <w:rPr>
          <w:rFonts w:cstheme="minorHAnsi"/>
        </w:rPr>
        <w:t xml:space="preserve"> jejich výše činila 840</w:t>
      </w:r>
      <w:r>
        <w:rPr>
          <w:rFonts w:cstheme="minorHAnsi"/>
        </w:rPr>
        <w:t>,</w:t>
      </w:r>
      <w:r w:rsidRPr="008710C1">
        <w:rPr>
          <w:rFonts w:cstheme="minorHAnsi"/>
        </w:rPr>
        <w:t>39</w:t>
      </w:r>
      <w:r>
        <w:rPr>
          <w:rFonts w:cstheme="minorHAnsi"/>
        </w:rPr>
        <w:t xml:space="preserve"> mil. </w:t>
      </w:r>
      <w:r w:rsidRPr="008710C1">
        <w:rPr>
          <w:rFonts w:cstheme="minorHAnsi"/>
        </w:rPr>
        <w:t>Kč.</w:t>
      </w:r>
    </w:p>
    <w:p w14:paraId="3CCF6B84" w14:textId="77777777" w:rsidR="00B51F7E" w:rsidRDefault="00B51F7E" w:rsidP="003252EC">
      <w:pPr>
        <w:spacing w:after="0"/>
        <w:ind w:right="-2"/>
        <w:jc w:val="both"/>
        <w:rPr>
          <w:rFonts w:asciiTheme="minorHAnsi" w:hAnsiTheme="minorHAnsi" w:cstheme="minorHAnsi"/>
        </w:rPr>
      </w:pPr>
    </w:p>
    <w:p w14:paraId="7C5C7660" w14:textId="0A25DBD1" w:rsidR="003252EC" w:rsidRPr="003A045E" w:rsidRDefault="003252EC" w:rsidP="00E41647">
      <w:pPr>
        <w:pStyle w:val="Titulek"/>
        <w:tabs>
          <w:tab w:val="right" w:pos="9070"/>
        </w:tabs>
        <w:spacing w:before="0" w:after="40"/>
        <w:rPr>
          <w:rFonts w:cstheme="minorHAnsi"/>
          <w:szCs w:val="24"/>
        </w:rPr>
      </w:pPr>
      <w:bookmarkStart w:id="22" w:name="_Toc8984835"/>
      <w:bookmarkStart w:id="23" w:name="_Toc69401429"/>
      <w:bookmarkStart w:id="24" w:name="_Toc69401683"/>
      <w:bookmarkStart w:id="25" w:name="_Toc101336450"/>
      <w:r w:rsidRPr="003A045E">
        <w:rPr>
          <w:rFonts w:cstheme="minorHAnsi"/>
          <w:szCs w:val="24"/>
        </w:rPr>
        <w:t xml:space="preserve">Tabulka č. </w:t>
      </w:r>
      <w:r w:rsidRPr="003A045E">
        <w:rPr>
          <w:rFonts w:cstheme="minorHAnsi"/>
          <w:szCs w:val="24"/>
        </w:rPr>
        <w:fldChar w:fldCharType="begin"/>
      </w:r>
      <w:r w:rsidRPr="003A045E">
        <w:rPr>
          <w:rFonts w:cstheme="minorHAnsi"/>
          <w:szCs w:val="24"/>
        </w:rPr>
        <w:instrText xml:space="preserve"> SEQ Tabulka \* ARABIC </w:instrText>
      </w:r>
      <w:r w:rsidRPr="003A045E">
        <w:rPr>
          <w:rFonts w:cstheme="minorHAnsi"/>
          <w:szCs w:val="24"/>
        </w:rPr>
        <w:fldChar w:fldCharType="separate"/>
      </w:r>
      <w:r w:rsidR="00F03FDF">
        <w:rPr>
          <w:rFonts w:cstheme="minorHAnsi"/>
          <w:noProof/>
          <w:szCs w:val="24"/>
        </w:rPr>
        <w:t>4</w:t>
      </w:r>
      <w:r w:rsidRPr="003A045E">
        <w:rPr>
          <w:rFonts w:cstheme="minorHAnsi"/>
          <w:noProof/>
          <w:szCs w:val="24"/>
        </w:rPr>
        <w:fldChar w:fldCharType="end"/>
      </w:r>
      <w:r w:rsidRPr="003A045E">
        <w:rPr>
          <w:rFonts w:cstheme="minorHAnsi"/>
          <w:szCs w:val="24"/>
        </w:rPr>
        <w:t>: Příjmy OSS rozpočtové kapitoly 314 (bez MV</w:t>
      </w:r>
      <w:r w:rsidR="009D6BD8">
        <w:rPr>
          <w:rFonts w:cstheme="minorHAnsi"/>
          <w:szCs w:val="24"/>
        </w:rPr>
        <w:t>)</w:t>
      </w:r>
      <w:r w:rsidR="001A730F">
        <w:rPr>
          <w:rFonts w:cstheme="minorHAnsi"/>
          <w:szCs w:val="24"/>
        </w:rPr>
        <w:t xml:space="preserve"> </w:t>
      </w:r>
      <w:r w:rsidR="00E41647">
        <w:rPr>
          <w:rFonts w:cstheme="minorHAnsi"/>
          <w:szCs w:val="24"/>
        </w:rPr>
        <w:tab/>
      </w:r>
      <w:r w:rsidR="009D6BD8">
        <w:rPr>
          <w:rFonts w:cstheme="minorHAnsi"/>
          <w:szCs w:val="24"/>
        </w:rPr>
        <w:t>(</w:t>
      </w:r>
      <w:r w:rsidRPr="003A045E">
        <w:rPr>
          <w:rFonts w:cstheme="minorHAnsi"/>
          <w:szCs w:val="24"/>
        </w:rPr>
        <w:t>v Kč)</w:t>
      </w:r>
      <w:bookmarkEnd w:id="22"/>
      <w:bookmarkEnd w:id="23"/>
      <w:bookmarkEnd w:id="24"/>
      <w:bookmarkEnd w:id="25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7"/>
        <w:gridCol w:w="1455"/>
        <w:gridCol w:w="1457"/>
        <w:gridCol w:w="1457"/>
        <w:gridCol w:w="1457"/>
        <w:gridCol w:w="1567"/>
      </w:tblGrid>
      <w:tr w:rsidR="003252EC" w:rsidRPr="005B5B16" w14:paraId="0079401C" w14:textId="77777777" w:rsidTr="003252EC">
        <w:trPr>
          <w:trHeight w:val="255"/>
          <w:tblHeader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2362F66" w14:textId="77777777" w:rsidR="003252EC" w:rsidRPr="005B5B16" w:rsidRDefault="003252EC" w:rsidP="003252EC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Ukazatel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3C50C88" w14:textId="77777777" w:rsidR="003252EC" w:rsidRPr="005B5B16" w:rsidRDefault="003252EC" w:rsidP="003252EC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2017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97EAB40" w14:textId="77777777" w:rsidR="003252EC" w:rsidRPr="005B5B16" w:rsidRDefault="003252EC" w:rsidP="003252EC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2018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3B7CB21B" w14:textId="77777777" w:rsidR="003252EC" w:rsidRPr="005B5B16" w:rsidRDefault="003252EC" w:rsidP="003252EC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2019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39C99950" w14:textId="77777777" w:rsidR="003252EC" w:rsidRPr="005B5B16" w:rsidRDefault="003252EC" w:rsidP="003252EC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2020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060B744C" w14:textId="77777777" w:rsidR="003252EC" w:rsidRPr="005B5B16" w:rsidRDefault="003252EC" w:rsidP="003252EC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2021</w:t>
            </w:r>
          </w:p>
        </w:tc>
      </w:tr>
      <w:tr w:rsidR="003252EC" w:rsidRPr="005B5B16" w14:paraId="7958C996" w14:textId="77777777" w:rsidTr="003252EC">
        <w:trPr>
          <w:trHeight w:val="255"/>
        </w:trPr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2400" w14:textId="77777777" w:rsidR="003252EC" w:rsidRPr="005B5B16" w:rsidRDefault="003252EC" w:rsidP="003252EC">
            <w:pPr>
              <w:spacing w:after="0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Schválený rozpočet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E5D3" w14:textId="77777777" w:rsidR="003252EC" w:rsidRPr="005B5B16" w:rsidRDefault="003252EC" w:rsidP="003252EC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6 369 363 316,00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9C15" w14:textId="77777777" w:rsidR="003252EC" w:rsidRPr="005B5B16" w:rsidRDefault="003252EC" w:rsidP="003252EC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7 491 095 931,00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38F99" w14:textId="77777777" w:rsidR="003252EC" w:rsidRPr="005B5B16" w:rsidRDefault="003252EC" w:rsidP="003252EC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8 359 085 227,00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89C5F" w14:textId="77777777" w:rsidR="003252EC" w:rsidRPr="005B5B16" w:rsidRDefault="003252EC" w:rsidP="003252EC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8 660 014 539,00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3E6C5" w14:textId="77777777" w:rsidR="003252EC" w:rsidRPr="005B5B16" w:rsidRDefault="003252EC" w:rsidP="003252EC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8 293 966 659,00</w:t>
            </w:r>
          </w:p>
        </w:tc>
      </w:tr>
      <w:tr w:rsidR="003252EC" w:rsidRPr="005B5B16" w14:paraId="7439DDB1" w14:textId="77777777" w:rsidTr="003252EC">
        <w:trPr>
          <w:trHeight w:val="255"/>
        </w:trPr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7E45" w14:textId="77777777" w:rsidR="003252EC" w:rsidRPr="005B5B16" w:rsidRDefault="003252EC" w:rsidP="003252EC">
            <w:pPr>
              <w:spacing w:after="0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Rozpočet po změnách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03CC" w14:textId="77777777" w:rsidR="003252EC" w:rsidRPr="005B5B16" w:rsidRDefault="003252EC" w:rsidP="003252EC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6 522 417 400,00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5DB6" w14:textId="77777777" w:rsidR="003252EC" w:rsidRPr="005B5B16" w:rsidRDefault="003252EC" w:rsidP="003252EC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7 664 165 047,00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0D63A" w14:textId="77777777" w:rsidR="003252EC" w:rsidRPr="005B5B16" w:rsidRDefault="003252EC" w:rsidP="003252EC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8 541 823 063,00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73103" w14:textId="77777777" w:rsidR="003252EC" w:rsidRPr="005B5B16" w:rsidRDefault="003252EC" w:rsidP="003252EC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8 685 651 986,00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FED93" w14:textId="77777777" w:rsidR="003252EC" w:rsidRPr="005B5B16" w:rsidRDefault="003252EC" w:rsidP="003252EC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8 544 570 953,00</w:t>
            </w:r>
          </w:p>
        </w:tc>
      </w:tr>
      <w:tr w:rsidR="003252EC" w:rsidRPr="005B5B16" w14:paraId="6C9D9510" w14:textId="77777777" w:rsidTr="003252EC">
        <w:trPr>
          <w:trHeight w:val="255"/>
        </w:trPr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BF77" w14:textId="77777777" w:rsidR="003252EC" w:rsidRPr="005B5B16" w:rsidRDefault="003252EC" w:rsidP="003252EC">
            <w:pPr>
              <w:spacing w:after="0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Skutečnost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03549" w14:textId="77777777" w:rsidR="003252EC" w:rsidRPr="005B5B16" w:rsidRDefault="003252EC" w:rsidP="003252EC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7 243 631 098,25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91181" w14:textId="77777777" w:rsidR="003252EC" w:rsidRPr="005B5B16" w:rsidRDefault="003252EC" w:rsidP="003252EC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8 512 153 202,28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14F7E" w14:textId="77777777" w:rsidR="003252EC" w:rsidRPr="005B5B16" w:rsidRDefault="003252EC" w:rsidP="003252EC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8 967 830 691,05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34F25" w14:textId="77777777" w:rsidR="003252EC" w:rsidRPr="005B5B16" w:rsidRDefault="003252EC" w:rsidP="003252EC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9 952 040 222,70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00506" w14:textId="77777777" w:rsidR="003252EC" w:rsidRPr="005B5B16" w:rsidRDefault="003252EC" w:rsidP="003252EC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10 442 936 838,01</w:t>
            </w:r>
          </w:p>
        </w:tc>
      </w:tr>
    </w:tbl>
    <w:p w14:paraId="746C7780" w14:textId="77777777" w:rsidR="003252EC" w:rsidRPr="003252EC" w:rsidRDefault="003252EC" w:rsidP="003252EC">
      <w:pPr>
        <w:pStyle w:val="Zdroj"/>
        <w:spacing w:before="40" w:after="120"/>
        <w:rPr>
          <w:rFonts w:asciiTheme="minorHAnsi" w:hAnsiTheme="minorHAnsi"/>
          <w:i w:val="0"/>
        </w:rPr>
      </w:pPr>
      <w:r w:rsidRPr="003252EC">
        <w:rPr>
          <w:rFonts w:asciiTheme="minorHAnsi" w:hAnsiTheme="minorHAnsi"/>
          <w:b/>
          <w:i w:val="0"/>
        </w:rPr>
        <w:t xml:space="preserve">Zdroj: </w:t>
      </w:r>
      <w:r w:rsidRPr="003252EC">
        <w:rPr>
          <w:rFonts w:asciiTheme="minorHAnsi" w:hAnsiTheme="minorHAnsi"/>
          <w:i w:val="0"/>
        </w:rPr>
        <w:t>informační portál MONITOR.</w:t>
      </w:r>
    </w:p>
    <w:p w14:paraId="003170E6" w14:textId="77777777" w:rsidR="003252EC" w:rsidRPr="003252EC" w:rsidRDefault="003252EC" w:rsidP="00D71194">
      <w:pPr>
        <w:spacing w:after="0"/>
        <w:ind w:right="-2"/>
        <w:jc w:val="both"/>
        <w:rPr>
          <w:rFonts w:asciiTheme="minorHAnsi" w:hAnsiTheme="minorHAnsi" w:cstheme="minorHAnsi"/>
        </w:rPr>
      </w:pPr>
      <w:r w:rsidRPr="003252EC">
        <w:rPr>
          <w:rFonts w:asciiTheme="minorHAnsi" w:hAnsiTheme="minorHAnsi" w:cstheme="minorHAnsi"/>
        </w:rPr>
        <w:t>Ve sledovaném období vykazují skutečné příjmy rostoucí tendenci. Skutečné příjmy OSS kapitoly 314 (bez MV) jsou v celém sledovaném období vyšší než schválený rozpočet a</w:t>
      </w:r>
      <w:r w:rsidR="00CE3CCA">
        <w:rPr>
          <w:rFonts w:asciiTheme="minorHAnsi" w:hAnsiTheme="minorHAnsi" w:cstheme="minorHAnsi"/>
        </w:rPr>
        <w:t> </w:t>
      </w:r>
      <w:r w:rsidRPr="003252EC">
        <w:rPr>
          <w:rFonts w:asciiTheme="minorHAnsi" w:hAnsiTheme="minorHAnsi" w:cstheme="minorHAnsi"/>
        </w:rPr>
        <w:t xml:space="preserve">rozpočet po změnách. </w:t>
      </w:r>
    </w:p>
    <w:p w14:paraId="03C4E3BA" w14:textId="77777777" w:rsidR="003252EC" w:rsidRDefault="003252EC" w:rsidP="00D71194">
      <w:pPr>
        <w:spacing w:after="0"/>
        <w:ind w:right="143"/>
        <w:jc w:val="both"/>
        <w:rPr>
          <w:rFonts w:cstheme="minorHAnsi"/>
        </w:rPr>
      </w:pPr>
    </w:p>
    <w:p w14:paraId="33610494" w14:textId="77777777" w:rsidR="00D71194" w:rsidRDefault="00D71194" w:rsidP="00D71194">
      <w:pPr>
        <w:spacing w:after="0"/>
        <w:ind w:right="143"/>
        <w:jc w:val="both"/>
        <w:rPr>
          <w:rFonts w:cstheme="minorHAnsi"/>
        </w:rPr>
      </w:pPr>
    </w:p>
    <w:p w14:paraId="2BF977D9" w14:textId="77777777" w:rsidR="00D71194" w:rsidRPr="00DD3FBB" w:rsidRDefault="00D71194" w:rsidP="00DD3FBB">
      <w:pPr>
        <w:spacing w:after="240"/>
        <w:jc w:val="center"/>
        <w:rPr>
          <w:b/>
          <w:bCs/>
        </w:rPr>
      </w:pPr>
      <w:bookmarkStart w:id="26" w:name="_Toc519242489"/>
      <w:bookmarkStart w:id="27" w:name="_Toc39530421"/>
      <w:r w:rsidRPr="00DD3FBB">
        <w:rPr>
          <w:b/>
          <w:bCs/>
        </w:rPr>
        <w:t>Oddíl II. Výdaje v rozpočtové kapitole 314 v letech 2017–20</w:t>
      </w:r>
      <w:bookmarkEnd w:id="26"/>
      <w:bookmarkEnd w:id="27"/>
      <w:r w:rsidRPr="00DD3FBB">
        <w:rPr>
          <w:b/>
          <w:bCs/>
        </w:rPr>
        <w:t>21</w:t>
      </w:r>
    </w:p>
    <w:p w14:paraId="1C777778" w14:textId="77777777" w:rsidR="00D71194" w:rsidRPr="00082723" w:rsidRDefault="00D71194" w:rsidP="00E41647">
      <w:pPr>
        <w:pStyle w:val="Titulek"/>
        <w:tabs>
          <w:tab w:val="right" w:pos="9070"/>
        </w:tabs>
        <w:spacing w:after="40"/>
        <w:rPr>
          <w:rFonts w:cstheme="minorHAnsi"/>
          <w:szCs w:val="24"/>
        </w:rPr>
      </w:pPr>
      <w:bookmarkStart w:id="28" w:name="_Toc520714629"/>
      <w:bookmarkStart w:id="29" w:name="_Toc8984836"/>
      <w:bookmarkStart w:id="30" w:name="_Toc69401687"/>
      <w:bookmarkStart w:id="31" w:name="_Toc101336454"/>
      <w:r w:rsidRPr="00082723">
        <w:rPr>
          <w:rFonts w:cstheme="minorHAnsi"/>
          <w:szCs w:val="24"/>
        </w:rPr>
        <w:t>Tabulka č.</w:t>
      </w:r>
      <w:r>
        <w:rPr>
          <w:rFonts w:cstheme="minorHAnsi"/>
          <w:szCs w:val="24"/>
        </w:rPr>
        <w:t xml:space="preserve"> 5</w:t>
      </w:r>
      <w:r w:rsidRPr="00082723">
        <w:rPr>
          <w:rFonts w:cstheme="minorHAnsi"/>
          <w:szCs w:val="24"/>
        </w:rPr>
        <w:t xml:space="preserve">: Výdaje rozpočtové kapitoly 314 </w:t>
      </w:r>
      <w:r w:rsidR="00E41647">
        <w:rPr>
          <w:rFonts w:cstheme="minorHAnsi"/>
          <w:szCs w:val="24"/>
        </w:rPr>
        <w:tab/>
      </w:r>
      <w:r w:rsidRPr="00082723">
        <w:rPr>
          <w:rFonts w:cstheme="minorHAnsi"/>
          <w:szCs w:val="24"/>
        </w:rPr>
        <w:t>(v Kč)</w:t>
      </w:r>
      <w:bookmarkEnd w:id="28"/>
      <w:bookmarkEnd w:id="29"/>
      <w:bookmarkEnd w:id="30"/>
      <w:bookmarkEnd w:id="31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2"/>
        <w:gridCol w:w="1451"/>
        <w:gridCol w:w="1451"/>
        <w:gridCol w:w="1451"/>
        <w:gridCol w:w="1497"/>
        <w:gridCol w:w="1518"/>
      </w:tblGrid>
      <w:tr w:rsidR="00D71194" w:rsidRPr="005B5B16" w14:paraId="7B9EACCC" w14:textId="77777777" w:rsidTr="00904232">
        <w:trPr>
          <w:trHeight w:val="255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E2EF832" w14:textId="77777777" w:rsidR="00D71194" w:rsidRPr="005B5B16" w:rsidRDefault="00D71194" w:rsidP="00D71194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Ukazatel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AF45DD5" w14:textId="77777777" w:rsidR="00D71194" w:rsidRPr="005B5B16" w:rsidRDefault="00D71194" w:rsidP="00D71194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2017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BC09765" w14:textId="77777777" w:rsidR="00D71194" w:rsidRPr="005B5B16" w:rsidRDefault="00D71194" w:rsidP="00D71194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2018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67CEC22" w14:textId="77777777" w:rsidR="00D71194" w:rsidRPr="005B5B16" w:rsidRDefault="00D71194" w:rsidP="00D71194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2019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117BCAAB" w14:textId="77777777" w:rsidR="00D71194" w:rsidRPr="005B5B16" w:rsidRDefault="00D71194" w:rsidP="00D71194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2020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551AAE54" w14:textId="77777777" w:rsidR="00D71194" w:rsidRPr="005B5B16" w:rsidRDefault="00D71194" w:rsidP="00D71194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2021</w:t>
            </w:r>
          </w:p>
        </w:tc>
      </w:tr>
      <w:tr w:rsidR="00D71194" w:rsidRPr="005B5B16" w14:paraId="71A69FA9" w14:textId="77777777" w:rsidTr="00904232">
        <w:trPr>
          <w:trHeight w:val="255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F79D" w14:textId="77777777" w:rsidR="00D71194" w:rsidRPr="005B5B16" w:rsidRDefault="00D71194" w:rsidP="00D71194">
            <w:pPr>
              <w:spacing w:after="0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Schválený rozpočet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2EBEB" w14:textId="77777777" w:rsidR="00D71194" w:rsidRPr="005B5B16" w:rsidRDefault="00D71194" w:rsidP="00D71194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63 347 441 625,00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184D1" w14:textId="77777777" w:rsidR="00D71194" w:rsidRPr="005B5B16" w:rsidRDefault="00D71194" w:rsidP="00D71194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71 882 370 020,00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115E0" w14:textId="77777777" w:rsidR="00D71194" w:rsidRPr="005B5B16" w:rsidRDefault="00D71194" w:rsidP="00D71194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77 605 048 113,00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104F2" w14:textId="77777777" w:rsidR="00D71194" w:rsidRPr="005B5B16" w:rsidRDefault="00D71194" w:rsidP="00D71194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82 269 358 975,00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79832" w14:textId="77777777" w:rsidR="00D71194" w:rsidRPr="005B5B16" w:rsidRDefault="00D71194" w:rsidP="00D71194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85 897 415 182,00</w:t>
            </w:r>
          </w:p>
        </w:tc>
      </w:tr>
      <w:tr w:rsidR="00D71194" w:rsidRPr="005B5B16" w14:paraId="4CBCBC53" w14:textId="77777777" w:rsidTr="00904232">
        <w:trPr>
          <w:trHeight w:val="255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0D02" w14:textId="77777777" w:rsidR="00D71194" w:rsidRPr="005B5B16" w:rsidRDefault="00D71194" w:rsidP="00D71194">
            <w:pPr>
              <w:spacing w:after="0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Rozpočet po změnách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7CDE3" w14:textId="77777777" w:rsidR="00D71194" w:rsidRPr="005B5B16" w:rsidRDefault="00D71194" w:rsidP="00D71194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66 144 438 247,00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22DDF" w14:textId="77777777" w:rsidR="00D71194" w:rsidRPr="005B5B16" w:rsidRDefault="00D71194" w:rsidP="00D71194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72 920 608 462,00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68486" w14:textId="77777777" w:rsidR="00D71194" w:rsidRPr="005B5B16" w:rsidRDefault="00D71194" w:rsidP="00D71194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80 301 890 619,00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6F195" w14:textId="77777777" w:rsidR="00D71194" w:rsidRPr="005B5B16" w:rsidRDefault="00D71194" w:rsidP="00D71194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92 259 210 699,00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E9FFF" w14:textId="77777777" w:rsidR="00D71194" w:rsidRPr="005B5B16" w:rsidRDefault="00D71194" w:rsidP="00D71194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89 703 304 247,00</w:t>
            </w:r>
          </w:p>
        </w:tc>
      </w:tr>
      <w:tr w:rsidR="00D71194" w:rsidRPr="005B5B16" w14:paraId="17C4732D" w14:textId="77777777" w:rsidTr="00904232">
        <w:trPr>
          <w:trHeight w:val="255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188F3" w14:textId="77777777" w:rsidR="00D71194" w:rsidRPr="005B5B16" w:rsidRDefault="00D71194" w:rsidP="00D71194">
            <w:pPr>
              <w:spacing w:after="0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Konečný rozpočet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FD974" w14:textId="77777777" w:rsidR="00D71194" w:rsidRPr="005B5B16" w:rsidRDefault="00D71194" w:rsidP="00D71194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69 558 485 118,04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5DE53" w14:textId="77777777" w:rsidR="00D71194" w:rsidRPr="005B5B16" w:rsidRDefault="00D71194" w:rsidP="00D71194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77 447 365 379,12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F1647" w14:textId="77777777" w:rsidR="00D71194" w:rsidRPr="005B5B16" w:rsidRDefault="00D71194" w:rsidP="00D71194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84 672 986 263,70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692DC" w14:textId="77777777" w:rsidR="00D71194" w:rsidRPr="005B5B16" w:rsidRDefault="00D71194" w:rsidP="00D71194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97 964 259 077,05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CDF6F" w14:textId="77777777" w:rsidR="00D71194" w:rsidRPr="005B5B16" w:rsidRDefault="00D71194" w:rsidP="00D71194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95 796 559 833,97</w:t>
            </w:r>
          </w:p>
        </w:tc>
      </w:tr>
      <w:tr w:rsidR="00D71194" w:rsidRPr="005B5B16" w14:paraId="55807E27" w14:textId="77777777" w:rsidTr="00904232">
        <w:trPr>
          <w:trHeight w:val="255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549F" w14:textId="77777777" w:rsidR="00D71194" w:rsidRPr="005B5B16" w:rsidRDefault="00D71194" w:rsidP="00D71194">
            <w:pPr>
              <w:spacing w:after="0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Skutečnost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23858" w14:textId="77777777" w:rsidR="00D71194" w:rsidRPr="005B5B16" w:rsidRDefault="00D71194" w:rsidP="00D71194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66 358 941 442,35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866FB" w14:textId="77777777" w:rsidR="00D71194" w:rsidRPr="005B5B16" w:rsidRDefault="00D71194" w:rsidP="00D71194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74 346 222 806,16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36AF2" w14:textId="77777777" w:rsidR="00D71194" w:rsidRPr="005B5B16" w:rsidRDefault="00D71194" w:rsidP="00D71194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80 471 495 632,22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AB5DC" w14:textId="77777777" w:rsidR="00D71194" w:rsidRPr="005B5B16" w:rsidRDefault="00D71194" w:rsidP="00D71194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93 001 503 903,84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F7AA2" w14:textId="77777777" w:rsidR="00D71194" w:rsidRPr="005B5B16" w:rsidRDefault="00D71194" w:rsidP="00D71194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90 880 157 072,88</w:t>
            </w:r>
          </w:p>
        </w:tc>
      </w:tr>
    </w:tbl>
    <w:p w14:paraId="3D748E30" w14:textId="77777777" w:rsidR="00D71194" w:rsidRPr="00124170" w:rsidRDefault="00D71194" w:rsidP="00D71194">
      <w:pPr>
        <w:pStyle w:val="Zdroj"/>
        <w:spacing w:before="40" w:after="120"/>
        <w:rPr>
          <w:rFonts w:asciiTheme="minorHAnsi" w:hAnsiTheme="minorHAnsi"/>
          <w:i w:val="0"/>
        </w:rPr>
      </w:pPr>
      <w:r w:rsidRPr="00124170">
        <w:rPr>
          <w:rFonts w:asciiTheme="minorHAnsi" w:hAnsiTheme="minorHAnsi"/>
          <w:b/>
          <w:i w:val="0"/>
        </w:rPr>
        <w:t xml:space="preserve">Zdroj: </w:t>
      </w:r>
      <w:r w:rsidRPr="00124170">
        <w:rPr>
          <w:rFonts w:asciiTheme="minorHAnsi" w:hAnsiTheme="minorHAnsi"/>
          <w:i w:val="0"/>
        </w:rPr>
        <w:t>informační portál MONITOR.</w:t>
      </w:r>
    </w:p>
    <w:p w14:paraId="3B7F901E" w14:textId="384E9006" w:rsidR="00D71194" w:rsidRPr="00904232" w:rsidRDefault="00D71194" w:rsidP="00904232">
      <w:pPr>
        <w:ind w:right="-2"/>
        <w:jc w:val="both"/>
        <w:rPr>
          <w:rFonts w:asciiTheme="minorHAnsi" w:hAnsiTheme="minorHAnsi" w:cstheme="minorHAnsi"/>
        </w:rPr>
      </w:pPr>
      <w:r w:rsidRPr="00904232">
        <w:rPr>
          <w:rFonts w:asciiTheme="minorHAnsi" w:hAnsiTheme="minorHAnsi" w:cstheme="minorHAnsi"/>
        </w:rPr>
        <w:t xml:space="preserve">Schválený rozpočet výdajů kapitoly 314 byl </w:t>
      </w:r>
      <w:r w:rsidR="00E41647">
        <w:rPr>
          <w:rFonts w:asciiTheme="minorHAnsi" w:hAnsiTheme="minorHAnsi" w:cstheme="minorHAnsi"/>
        </w:rPr>
        <w:t xml:space="preserve">pro rok 2021 </w:t>
      </w:r>
      <w:r w:rsidRPr="00904232">
        <w:rPr>
          <w:rFonts w:asciiTheme="minorHAnsi" w:hAnsiTheme="minorHAnsi" w:cstheme="minorHAnsi"/>
        </w:rPr>
        <w:t xml:space="preserve">stanoven ve výši 85,90 mld. Kč. Běžné výdaje byly čerpány v celkové výši 83,22 mld. Kč, z toho </w:t>
      </w:r>
      <w:r w:rsidR="00E41647">
        <w:rPr>
          <w:rFonts w:asciiTheme="minorHAnsi" w:hAnsiTheme="minorHAnsi" w:cstheme="minorHAnsi"/>
        </w:rPr>
        <w:t>na</w:t>
      </w:r>
      <w:r w:rsidRPr="00904232">
        <w:rPr>
          <w:rFonts w:asciiTheme="minorHAnsi" w:hAnsiTheme="minorHAnsi" w:cstheme="minorHAnsi"/>
        </w:rPr>
        <w:t xml:space="preserve"> </w:t>
      </w:r>
      <w:r w:rsidR="00E41647">
        <w:rPr>
          <w:rFonts w:asciiTheme="minorHAnsi" w:hAnsiTheme="minorHAnsi" w:cstheme="minorHAnsi"/>
        </w:rPr>
        <w:t>p</w:t>
      </w:r>
      <w:r w:rsidRPr="00904232">
        <w:rPr>
          <w:rFonts w:asciiTheme="minorHAnsi" w:hAnsiTheme="minorHAnsi" w:cstheme="minorHAnsi"/>
        </w:rPr>
        <w:t xml:space="preserve">laty a podobné a související výdaje </w:t>
      </w:r>
      <w:r w:rsidR="00E41647">
        <w:rPr>
          <w:rFonts w:asciiTheme="minorHAnsi" w:hAnsiTheme="minorHAnsi" w:cstheme="minorHAnsi"/>
        </w:rPr>
        <w:t xml:space="preserve">připadlo </w:t>
      </w:r>
      <w:r w:rsidRPr="00904232">
        <w:rPr>
          <w:rFonts w:asciiTheme="minorHAnsi" w:hAnsiTheme="minorHAnsi" w:cstheme="minorHAnsi"/>
        </w:rPr>
        <w:t>50,78 mld. Kč. Kapitálové výdaje byly čerpány ve výši 7,66 mld. Kč.</w:t>
      </w:r>
    </w:p>
    <w:p w14:paraId="27C8B015" w14:textId="77777777" w:rsidR="00D71194" w:rsidRPr="00904232" w:rsidRDefault="00D71194" w:rsidP="00904232">
      <w:pPr>
        <w:ind w:right="-2"/>
        <w:jc w:val="both"/>
        <w:rPr>
          <w:rFonts w:asciiTheme="minorHAnsi" w:hAnsiTheme="minorHAnsi" w:cstheme="minorHAnsi"/>
        </w:rPr>
      </w:pPr>
      <w:r w:rsidRPr="00904232">
        <w:rPr>
          <w:rFonts w:asciiTheme="minorHAnsi" w:hAnsiTheme="minorHAnsi" w:cstheme="minorHAnsi"/>
        </w:rPr>
        <w:t>Podíl</w:t>
      </w:r>
      <w:r w:rsidR="00E41647">
        <w:rPr>
          <w:rFonts w:asciiTheme="minorHAnsi" w:hAnsiTheme="minorHAnsi" w:cstheme="minorHAnsi"/>
        </w:rPr>
        <w:t>y</w:t>
      </w:r>
      <w:r w:rsidRPr="00904232">
        <w:rPr>
          <w:rFonts w:asciiTheme="minorHAnsi" w:hAnsiTheme="minorHAnsi" w:cstheme="minorHAnsi"/>
        </w:rPr>
        <w:t xml:space="preserve"> skutečných výdajů jednotlivých OSS na celkových skutečných výdajích kapitoly 314 za rok 2021 byl</w:t>
      </w:r>
      <w:r w:rsidR="00E41647">
        <w:rPr>
          <w:rFonts w:asciiTheme="minorHAnsi" w:hAnsiTheme="minorHAnsi" w:cstheme="minorHAnsi"/>
        </w:rPr>
        <w:t>y</w:t>
      </w:r>
      <w:r w:rsidRPr="00904232">
        <w:rPr>
          <w:rFonts w:asciiTheme="minorHAnsi" w:hAnsiTheme="minorHAnsi" w:cstheme="minorHAnsi"/>
        </w:rPr>
        <w:t xml:space="preserve"> následující:</w:t>
      </w:r>
    </w:p>
    <w:tbl>
      <w:tblPr>
        <w:tblW w:w="4846" w:type="pct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5"/>
        <w:gridCol w:w="1116"/>
      </w:tblGrid>
      <w:tr w:rsidR="00904232" w:rsidRPr="005B5B16" w14:paraId="13E9E32A" w14:textId="77777777" w:rsidTr="00904232">
        <w:trPr>
          <w:trHeight w:val="300"/>
        </w:trPr>
        <w:tc>
          <w:tcPr>
            <w:tcW w:w="4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7DFA8" w14:textId="77777777" w:rsidR="00904232" w:rsidRPr="005B5B16" w:rsidRDefault="00904232" w:rsidP="00904232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5B5B16">
              <w:rPr>
                <w:rFonts w:cstheme="minorHAnsi"/>
                <w:sz w:val="20"/>
                <w:szCs w:val="20"/>
                <w:lang w:eastAsia="cs-CZ"/>
              </w:rPr>
              <w:t>Činnosti v oblasti veřejného pořádku a bezpečnosti (krajská ředitelství policie a samotné MV)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C1B8F" w14:textId="77777777" w:rsidR="00904232" w:rsidRPr="005B5B16" w:rsidRDefault="00904232" w:rsidP="00904232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5B5B16">
              <w:rPr>
                <w:rFonts w:cstheme="minorHAnsi"/>
                <w:sz w:val="20"/>
                <w:szCs w:val="20"/>
                <w:lang w:eastAsia="cs-CZ"/>
              </w:rPr>
              <w:t>83,28</w:t>
            </w:r>
            <w:r w:rsidR="007856E6">
              <w:rPr>
                <w:rFonts w:cstheme="minorHAnsi"/>
                <w:sz w:val="20"/>
                <w:szCs w:val="20"/>
                <w:lang w:eastAsia="cs-CZ"/>
              </w:rPr>
              <w:t xml:space="preserve"> </w:t>
            </w:r>
            <w:r w:rsidRPr="005B5B16">
              <w:rPr>
                <w:rFonts w:cstheme="minorHAnsi"/>
                <w:sz w:val="20"/>
                <w:szCs w:val="20"/>
                <w:lang w:eastAsia="cs-CZ"/>
              </w:rPr>
              <w:t>%</w:t>
            </w:r>
          </w:p>
        </w:tc>
      </w:tr>
      <w:tr w:rsidR="00904232" w:rsidRPr="005B5B16" w14:paraId="7BA7A1D6" w14:textId="77777777" w:rsidTr="00904232">
        <w:trPr>
          <w:trHeight w:val="300"/>
        </w:trPr>
        <w:tc>
          <w:tcPr>
            <w:tcW w:w="4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C8E2A" w14:textId="77777777" w:rsidR="00904232" w:rsidRPr="005B5B16" w:rsidRDefault="00904232" w:rsidP="00904232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5B5B16">
              <w:rPr>
                <w:rFonts w:cstheme="minorHAnsi"/>
                <w:sz w:val="20"/>
                <w:szCs w:val="20"/>
                <w:lang w:eastAsia="cs-CZ"/>
              </w:rPr>
              <w:t>Činnosti v oblasti protipožární ochrany (hasičské záchranné sbory)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694CE" w14:textId="77777777" w:rsidR="00904232" w:rsidRPr="005B5B16" w:rsidRDefault="00904232" w:rsidP="00904232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5B5B16">
              <w:rPr>
                <w:rFonts w:cstheme="minorHAnsi"/>
                <w:sz w:val="20"/>
                <w:szCs w:val="20"/>
                <w:lang w:eastAsia="cs-CZ"/>
              </w:rPr>
              <w:t>13,07</w:t>
            </w:r>
            <w:r w:rsidR="007856E6">
              <w:rPr>
                <w:rFonts w:cstheme="minorHAnsi"/>
                <w:sz w:val="20"/>
                <w:szCs w:val="20"/>
                <w:lang w:eastAsia="cs-CZ"/>
              </w:rPr>
              <w:t xml:space="preserve"> </w:t>
            </w:r>
            <w:r w:rsidRPr="005B5B16">
              <w:rPr>
                <w:rFonts w:cstheme="minorHAnsi"/>
                <w:sz w:val="20"/>
                <w:szCs w:val="20"/>
                <w:lang w:eastAsia="cs-CZ"/>
              </w:rPr>
              <w:t>%</w:t>
            </w:r>
          </w:p>
        </w:tc>
      </w:tr>
      <w:tr w:rsidR="00904232" w:rsidRPr="005B5B16" w14:paraId="4A958150" w14:textId="77777777" w:rsidTr="00904232">
        <w:trPr>
          <w:trHeight w:val="300"/>
        </w:trPr>
        <w:tc>
          <w:tcPr>
            <w:tcW w:w="4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88A72" w14:textId="77777777" w:rsidR="00904232" w:rsidRPr="005B5B16" w:rsidRDefault="00904232" w:rsidP="00904232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5B5B16">
              <w:rPr>
                <w:rFonts w:cstheme="minorHAnsi"/>
                <w:sz w:val="20"/>
                <w:szCs w:val="20"/>
                <w:lang w:eastAsia="cs-CZ"/>
              </w:rPr>
              <w:t>Činnosti knihoven a archivů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4336C" w14:textId="77777777" w:rsidR="00904232" w:rsidRPr="005B5B16" w:rsidRDefault="00904232" w:rsidP="00904232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5B5B16">
              <w:rPr>
                <w:rFonts w:cstheme="minorHAnsi"/>
                <w:sz w:val="20"/>
                <w:szCs w:val="20"/>
                <w:lang w:eastAsia="cs-CZ"/>
              </w:rPr>
              <w:t>1,22</w:t>
            </w:r>
            <w:r w:rsidR="007856E6">
              <w:rPr>
                <w:rFonts w:cstheme="minorHAnsi"/>
                <w:sz w:val="20"/>
                <w:szCs w:val="20"/>
                <w:lang w:eastAsia="cs-CZ"/>
              </w:rPr>
              <w:t xml:space="preserve"> </w:t>
            </w:r>
            <w:r w:rsidRPr="005B5B16">
              <w:rPr>
                <w:rFonts w:cstheme="minorHAnsi"/>
                <w:sz w:val="20"/>
                <w:szCs w:val="20"/>
                <w:lang w:eastAsia="cs-CZ"/>
              </w:rPr>
              <w:t>%</w:t>
            </w:r>
          </w:p>
        </w:tc>
      </w:tr>
      <w:tr w:rsidR="00904232" w:rsidRPr="005B5B16" w14:paraId="3D972C07" w14:textId="77777777" w:rsidTr="00904232">
        <w:trPr>
          <w:trHeight w:val="300"/>
        </w:trPr>
        <w:tc>
          <w:tcPr>
            <w:tcW w:w="4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EB40D" w14:textId="77777777" w:rsidR="00904232" w:rsidRPr="005B5B16" w:rsidRDefault="00904232" w:rsidP="00904232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5B5B16">
              <w:rPr>
                <w:rFonts w:cstheme="minorHAnsi"/>
                <w:sz w:val="20"/>
                <w:szCs w:val="20"/>
                <w:lang w:eastAsia="cs-CZ"/>
              </w:rPr>
              <w:t>Činnosti v oblasti obrany (Správa uprchlických zařízení MV)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E3655" w14:textId="77777777" w:rsidR="00904232" w:rsidRPr="005B5B16" w:rsidRDefault="00904232" w:rsidP="00904232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5B5B16">
              <w:rPr>
                <w:rFonts w:cstheme="minorHAnsi"/>
                <w:sz w:val="20"/>
                <w:szCs w:val="20"/>
                <w:lang w:eastAsia="cs-CZ"/>
              </w:rPr>
              <w:t>0,73</w:t>
            </w:r>
            <w:r w:rsidR="007856E6">
              <w:rPr>
                <w:rFonts w:cstheme="minorHAnsi"/>
                <w:sz w:val="20"/>
                <w:szCs w:val="20"/>
                <w:lang w:eastAsia="cs-CZ"/>
              </w:rPr>
              <w:t xml:space="preserve"> </w:t>
            </w:r>
            <w:r w:rsidRPr="005B5B16">
              <w:rPr>
                <w:rFonts w:cstheme="minorHAnsi"/>
                <w:sz w:val="20"/>
                <w:szCs w:val="20"/>
                <w:lang w:eastAsia="cs-CZ"/>
              </w:rPr>
              <w:t>%</w:t>
            </w:r>
          </w:p>
        </w:tc>
      </w:tr>
      <w:tr w:rsidR="00904232" w:rsidRPr="005B5B16" w14:paraId="4064ABC0" w14:textId="77777777" w:rsidTr="00904232">
        <w:trPr>
          <w:trHeight w:val="300"/>
        </w:trPr>
        <w:tc>
          <w:tcPr>
            <w:tcW w:w="4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0D784" w14:textId="77777777" w:rsidR="00904232" w:rsidRPr="005B5B16" w:rsidRDefault="00904232" w:rsidP="00904232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5B5B16">
              <w:rPr>
                <w:rFonts w:cstheme="minorHAnsi"/>
                <w:sz w:val="20"/>
                <w:szCs w:val="20"/>
                <w:lang w:eastAsia="cs-CZ"/>
              </w:rPr>
              <w:t>Střední odborné vzdělávání na středních odborných školách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8CE07" w14:textId="77777777" w:rsidR="00904232" w:rsidRPr="005B5B16" w:rsidRDefault="00904232" w:rsidP="00904232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5B5B16">
              <w:rPr>
                <w:rFonts w:cstheme="minorHAnsi"/>
                <w:sz w:val="20"/>
                <w:szCs w:val="20"/>
                <w:lang w:eastAsia="cs-CZ"/>
              </w:rPr>
              <w:t>0,58</w:t>
            </w:r>
            <w:r w:rsidR="007856E6">
              <w:rPr>
                <w:rFonts w:cstheme="minorHAnsi"/>
                <w:sz w:val="20"/>
                <w:szCs w:val="20"/>
                <w:lang w:eastAsia="cs-CZ"/>
              </w:rPr>
              <w:t xml:space="preserve"> </w:t>
            </w:r>
            <w:r w:rsidRPr="005B5B16">
              <w:rPr>
                <w:rFonts w:cstheme="minorHAnsi"/>
                <w:sz w:val="20"/>
                <w:szCs w:val="20"/>
                <w:lang w:eastAsia="cs-CZ"/>
              </w:rPr>
              <w:t>%</w:t>
            </w:r>
          </w:p>
        </w:tc>
      </w:tr>
      <w:tr w:rsidR="00904232" w:rsidRPr="005B5B16" w14:paraId="4BE9EC93" w14:textId="77777777" w:rsidTr="00904232">
        <w:trPr>
          <w:trHeight w:val="300"/>
        </w:trPr>
        <w:tc>
          <w:tcPr>
            <w:tcW w:w="4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DA9FB" w14:textId="77777777" w:rsidR="00904232" w:rsidRPr="005B5B16" w:rsidRDefault="00904232" w:rsidP="00904232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5B5B16">
              <w:rPr>
                <w:rFonts w:cstheme="minorHAnsi"/>
                <w:sz w:val="20"/>
                <w:szCs w:val="20"/>
                <w:lang w:eastAsia="cs-CZ"/>
              </w:rPr>
              <w:t>Ambulantní a zubní zdravotní péče (Zdravotnické zařízení Ministerstva vnitra)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EFC18" w14:textId="77777777" w:rsidR="00904232" w:rsidRPr="005B5B16" w:rsidRDefault="00904232" w:rsidP="00904232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5B5B16">
              <w:rPr>
                <w:rFonts w:cstheme="minorHAnsi"/>
                <w:sz w:val="20"/>
                <w:szCs w:val="20"/>
                <w:lang w:eastAsia="cs-CZ"/>
              </w:rPr>
              <w:t>0,48</w:t>
            </w:r>
            <w:r w:rsidR="007856E6">
              <w:rPr>
                <w:rFonts w:cstheme="minorHAnsi"/>
                <w:sz w:val="20"/>
                <w:szCs w:val="20"/>
                <w:lang w:eastAsia="cs-CZ"/>
              </w:rPr>
              <w:t xml:space="preserve"> </w:t>
            </w:r>
            <w:r w:rsidRPr="005B5B16">
              <w:rPr>
                <w:rFonts w:cstheme="minorHAnsi"/>
                <w:sz w:val="20"/>
                <w:szCs w:val="20"/>
                <w:lang w:eastAsia="cs-CZ"/>
              </w:rPr>
              <w:t>%</w:t>
            </w:r>
          </w:p>
        </w:tc>
      </w:tr>
      <w:tr w:rsidR="00904232" w:rsidRPr="005B5B16" w14:paraId="0CF0BBBC" w14:textId="77777777" w:rsidTr="00904232">
        <w:trPr>
          <w:trHeight w:val="300"/>
        </w:trPr>
        <w:tc>
          <w:tcPr>
            <w:tcW w:w="4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5A4A8" w14:textId="77777777" w:rsidR="00904232" w:rsidRPr="005B5B16" w:rsidRDefault="00904232" w:rsidP="00904232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5B5B16">
              <w:rPr>
                <w:rFonts w:cstheme="minorHAnsi"/>
                <w:sz w:val="20"/>
                <w:szCs w:val="20"/>
                <w:lang w:eastAsia="cs-CZ"/>
              </w:rPr>
              <w:t xml:space="preserve">Provozování sportovních zařízení 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AB865" w14:textId="77777777" w:rsidR="00904232" w:rsidRPr="005B5B16" w:rsidRDefault="00904232" w:rsidP="00904232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5B5B16">
              <w:rPr>
                <w:rFonts w:cstheme="minorHAnsi"/>
                <w:sz w:val="20"/>
                <w:szCs w:val="20"/>
                <w:lang w:eastAsia="cs-CZ"/>
              </w:rPr>
              <w:t>0,35</w:t>
            </w:r>
            <w:r w:rsidR="007856E6">
              <w:rPr>
                <w:rFonts w:cstheme="minorHAnsi"/>
                <w:sz w:val="20"/>
                <w:szCs w:val="20"/>
                <w:lang w:eastAsia="cs-CZ"/>
              </w:rPr>
              <w:t xml:space="preserve"> </w:t>
            </w:r>
            <w:r w:rsidRPr="005B5B16">
              <w:rPr>
                <w:rFonts w:cstheme="minorHAnsi"/>
                <w:sz w:val="20"/>
                <w:szCs w:val="20"/>
                <w:lang w:eastAsia="cs-CZ"/>
              </w:rPr>
              <w:t>%</w:t>
            </w:r>
          </w:p>
        </w:tc>
      </w:tr>
      <w:tr w:rsidR="00904232" w:rsidRPr="005B5B16" w14:paraId="0557EF25" w14:textId="77777777" w:rsidTr="00904232">
        <w:trPr>
          <w:trHeight w:val="300"/>
        </w:trPr>
        <w:tc>
          <w:tcPr>
            <w:tcW w:w="4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EC1E3" w14:textId="77777777" w:rsidR="00904232" w:rsidRPr="005B5B16" w:rsidRDefault="00904232" w:rsidP="00904232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5B5B16">
              <w:rPr>
                <w:rFonts w:cstheme="minorHAnsi"/>
                <w:sz w:val="20"/>
                <w:szCs w:val="20"/>
                <w:lang w:eastAsia="cs-CZ"/>
              </w:rPr>
              <w:t>Terciární vzdělávání (Policejní akademie ČR v Praze)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0E9D8" w14:textId="77777777" w:rsidR="00904232" w:rsidRPr="005B5B16" w:rsidRDefault="00904232" w:rsidP="00904232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5B5B16">
              <w:rPr>
                <w:rFonts w:cstheme="minorHAnsi"/>
                <w:sz w:val="20"/>
                <w:szCs w:val="20"/>
                <w:lang w:eastAsia="cs-CZ"/>
              </w:rPr>
              <w:t>0,28</w:t>
            </w:r>
            <w:r w:rsidR="007856E6">
              <w:rPr>
                <w:rFonts w:cstheme="minorHAnsi"/>
                <w:sz w:val="20"/>
                <w:szCs w:val="20"/>
                <w:lang w:eastAsia="cs-CZ"/>
              </w:rPr>
              <w:t xml:space="preserve"> </w:t>
            </w:r>
            <w:r w:rsidRPr="005B5B16">
              <w:rPr>
                <w:rFonts w:cstheme="minorHAnsi"/>
                <w:sz w:val="20"/>
                <w:szCs w:val="20"/>
                <w:lang w:eastAsia="cs-CZ"/>
              </w:rPr>
              <w:t>%</w:t>
            </w:r>
          </w:p>
        </w:tc>
      </w:tr>
      <w:tr w:rsidR="00904232" w:rsidRPr="005B5B16" w14:paraId="3120404B" w14:textId="77777777" w:rsidTr="00904232">
        <w:trPr>
          <w:trHeight w:val="300"/>
        </w:trPr>
        <w:tc>
          <w:tcPr>
            <w:tcW w:w="4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12AB" w14:textId="77777777" w:rsidR="00904232" w:rsidRPr="005B5B16" w:rsidRDefault="00904232" w:rsidP="00904232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5B5B16">
              <w:rPr>
                <w:rFonts w:cstheme="minorHAnsi"/>
                <w:sz w:val="20"/>
                <w:szCs w:val="20"/>
                <w:lang w:eastAsia="cs-CZ"/>
              </w:rPr>
              <w:t>Činnosti muzeí (Muzeum Policie ČR)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EF4C1" w14:textId="77777777" w:rsidR="00904232" w:rsidRPr="005B5B16" w:rsidRDefault="00904232" w:rsidP="00904232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5B5B16">
              <w:rPr>
                <w:rFonts w:cstheme="minorHAnsi"/>
                <w:sz w:val="20"/>
                <w:szCs w:val="20"/>
                <w:lang w:eastAsia="cs-CZ"/>
              </w:rPr>
              <w:t>0,02</w:t>
            </w:r>
            <w:r w:rsidR="007856E6">
              <w:rPr>
                <w:rFonts w:cstheme="minorHAnsi"/>
                <w:sz w:val="20"/>
                <w:szCs w:val="20"/>
                <w:lang w:eastAsia="cs-CZ"/>
              </w:rPr>
              <w:t xml:space="preserve"> </w:t>
            </w:r>
            <w:r w:rsidRPr="005B5B16">
              <w:rPr>
                <w:rFonts w:cstheme="minorHAnsi"/>
                <w:sz w:val="20"/>
                <w:szCs w:val="20"/>
                <w:lang w:eastAsia="cs-CZ"/>
              </w:rPr>
              <w:t>%</w:t>
            </w:r>
          </w:p>
        </w:tc>
      </w:tr>
    </w:tbl>
    <w:p w14:paraId="3D4F4F38" w14:textId="77777777" w:rsidR="00D71194" w:rsidRDefault="00D71194" w:rsidP="0032762F">
      <w:pPr>
        <w:spacing w:after="0"/>
        <w:ind w:right="143"/>
        <w:jc w:val="both"/>
        <w:rPr>
          <w:rFonts w:cstheme="minorHAnsi"/>
        </w:rPr>
      </w:pPr>
    </w:p>
    <w:p w14:paraId="269EE63F" w14:textId="77777777" w:rsidR="00CE3CCA" w:rsidRDefault="00CE3CCA">
      <w:pPr>
        <w:spacing w:after="160" w:line="259" w:lineRule="auto"/>
        <w:rPr>
          <w:rFonts w:cstheme="minorHAnsi"/>
          <w:b/>
          <w:bCs/>
        </w:rPr>
      </w:pPr>
      <w:r>
        <w:rPr>
          <w:rFonts w:cstheme="minorHAnsi"/>
        </w:rPr>
        <w:br w:type="page"/>
      </w:r>
    </w:p>
    <w:p w14:paraId="38F3BCA1" w14:textId="77777777" w:rsidR="0032762F" w:rsidRPr="004F2A13" w:rsidRDefault="0032762F" w:rsidP="00E41647">
      <w:pPr>
        <w:pStyle w:val="Titulek"/>
        <w:tabs>
          <w:tab w:val="right" w:pos="9070"/>
        </w:tabs>
        <w:spacing w:before="0" w:after="40"/>
        <w:rPr>
          <w:rFonts w:cstheme="minorHAnsi"/>
          <w:szCs w:val="24"/>
        </w:rPr>
      </w:pPr>
      <w:r w:rsidRPr="004F2A13">
        <w:rPr>
          <w:rFonts w:cstheme="minorHAnsi"/>
          <w:szCs w:val="24"/>
        </w:rPr>
        <w:lastRenderedPageBreak/>
        <w:t xml:space="preserve">Tabulka č. 6: Výdaje MV </w:t>
      </w:r>
      <w:r w:rsidR="00E41647">
        <w:rPr>
          <w:rFonts w:cstheme="minorHAnsi"/>
          <w:szCs w:val="24"/>
        </w:rPr>
        <w:tab/>
      </w:r>
      <w:r w:rsidRPr="004F2A13">
        <w:rPr>
          <w:rFonts w:cstheme="minorHAnsi"/>
          <w:szCs w:val="24"/>
        </w:rPr>
        <w:t>(v Kč)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4"/>
        <w:gridCol w:w="1402"/>
        <w:gridCol w:w="1402"/>
        <w:gridCol w:w="1462"/>
        <w:gridCol w:w="1410"/>
        <w:gridCol w:w="1410"/>
      </w:tblGrid>
      <w:tr w:rsidR="0032762F" w:rsidRPr="005B5B16" w14:paraId="62AA8F05" w14:textId="77777777" w:rsidTr="0032762F">
        <w:trPr>
          <w:trHeight w:val="255"/>
        </w:trPr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99839BC" w14:textId="77777777" w:rsidR="0032762F" w:rsidRPr="005B5B16" w:rsidRDefault="0032762F" w:rsidP="0032762F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Ukazatel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FEBEBEA" w14:textId="77777777" w:rsidR="0032762F" w:rsidRPr="005B5B16" w:rsidRDefault="0032762F" w:rsidP="0032762F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2017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8C64B58" w14:textId="77777777" w:rsidR="0032762F" w:rsidRPr="005B5B16" w:rsidRDefault="0032762F" w:rsidP="0032762F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2018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A4558EA" w14:textId="77777777" w:rsidR="0032762F" w:rsidRPr="005B5B16" w:rsidRDefault="0032762F" w:rsidP="0032762F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2019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01710338" w14:textId="77777777" w:rsidR="0032762F" w:rsidRPr="005B5B16" w:rsidRDefault="0032762F" w:rsidP="0032762F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2020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679538A2" w14:textId="77777777" w:rsidR="0032762F" w:rsidRPr="005B5B16" w:rsidRDefault="0032762F" w:rsidP="0032762F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2021</w:t>
            </w:r>
          </w:p>
        </w:tc>
      </w:tr>
      <w:tr w:rsidR="0032762F" w:rsidRPr="005B5B16" w14:paraId="0AE0894C" w14:textId="77777777" w:rsidTr="0032762F">
        <w:trPr>
          <w:trHeight w:val="255"/>
        </w:trPr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94E6" w14:textId="77777777" w:rsidR="0032762F" w:rsidRPr="005B5B16" w:rsidRDefault="0032762F" w:rsidP="0032762F">
            <w:pPr>
              <w:spacing w:after="0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Schválený rozpočet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60C7B" w14:textId="77777777" w:rsidR="0032762F" w:rsidRPr="005B5B16" w:rsidRDefault="0032762F" w:rsidP="0032762F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27 893 878 945,00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984C0" w14:textId="77777777" w:rsidR="0032762F" w:rsidRPr="005B5B16" w:rsidRDefault="0032762F" w:rsidP="0032762F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29 809 090 090,00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6B12F" w14:textId="77777777" w:rsidR="0032762F" w:rsidRPr="005B5B16" w:rsidRDefault="0032762F" w:rsidP="0032762F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31 743 096 611,00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84699" w14:textId="77777777" w:rsidR="0032762F" w:rsidRPr="005B5B16" w:rsidRDefault="0032762F" w:rsidP="0032762F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34 468 366 823,00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90C10" w14:textId="77777777" w:rsidR="0032762F" w:rsidRPr="005B5B16" w:rsidRDefault="0032762F" w:rsidP="0032762F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37 031 170 690,00</w:t>
            </w:r>
          </w:p>
        </w:tc>
      </w:tr>
      <w:tr w:rsidR="0032762F" w:rsidRPr="005B5B16" w14:paraId="2774B099" w14:textId="77777777" w:rsidTr="0032762F">
        <w:trPr>
          <w:trHeight w:val="255"/>
        </w:trPr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E706" w14:textId="77777777" w:rsidR="0032762F" w:rsidRPr="005B5B16" w:rsidRDefault="0032762F" w:rsidP="0032762F">
            <w:pPr>
              <w:spacing w:after="0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Rozpočet po změnách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EB6C9" w14:textId="77777777" w:rsidR="0032762F" w:rsidRPr="005B5B16" w:rsidRDefault="0032762F" w:rsidP="0032762F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27 219 843 423,00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6FC2E" w14:textId="77777777" w:rsidR="0032762F" w:rsidRPr="005B5B16" w:rsidRDefault="0032762F" w:rsidP="0032762F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28 499 580 243,00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575A1" w14:textId="77777777" w:rsidR="0032762F" w:rsidRPr="005B5B16" w:rsidRDefault="0032762F" w:rsidP="0032762F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31 410 639 748,00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EAAAF" w14:textId="77777777" w:rsidR="0032762F" w:rsidRPr="005B5B16" w:rsidRDefault="0032762F" w:rsidP="0032762F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40 273 848 759,00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6C587" w14:textId="77777777" w:rsidR="0032762F" w:rsidRPr="005B5B16" w:rsidRDefault="0032762F" w:rsidP="0032762F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36 348 169 481,00</w:t>
            </w:r>
          </w:p>
        </w:tc>
      </w:tr>
      <w:tr w:rsidR="0032762F" w:rsidRPr="005B5B16" w14:paraId="26741EF3" w14:textId="77777777" w:rsidTr="0032762F">
        <w:trPr>
          <w:trHeight w:val="255"/>
        </w:trPr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7AE48" w14:textId="77777777" w:rsidR="0032762F" w:rsidRPr="005B5B16" w:rsidRDefault="0032762F" w:rsidP="0032762F">
            <w:pPr>
              <w:spacing w:after="0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Konečný rozpočet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5CBAF" w14:textId="77777777" w:rsidR="0032762F" w:rsidRPr="005B5B16" w:rsidRDefault="0032762F" w:rsidP="0032762F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29 133 166 436,05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3D602" w14:textId="77777777" w:rsidR="0032762F" w:rsidRPr="005B5B16" w:rsidRDefault="0032762F" w:rsidP="0032762F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31 080 678 620,77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5F7F9" w14:textId="77777777" w:rsidR="0032762F" w:rsidRPr="005B5B16" w:rsidRDefault="0032762F" w:rsidP="0032762F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33 678 773 298,68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6DEDB" w14:textId="77777777" w:rsidR="0032762F" w:rsidRPr="005B5B16" w:rsidRDefault="0032762F" w:rsidP="0032762F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43 006 861 929,05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03167" w14:textId="77777777" w:rsidR="0032762F" w:rsidRPr="005B5B16" w:rsidRDefault="0032762F" w:rsidP="0032762F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39 771 785 225,27</w:t>
            </w:r>
          </w:p>
        </w:tc>
      </w:tr>
      <w:tr w:rsidR="0032762F" w:rsidRPr="005B5B16" w14:paraId="0A6EB9E7" w14:textId="77777777" w:rsidTr="0032762F">
        <w:trPr>
          <w:trHeight w:val="255"/>
        </w:trPr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24A5" w14:textId="77777777" w:rsidR="0032762F" w:rsidRPr="005B5B16" w:rsidRDefault="0032762F" w:rsidP="0032762F">
            <w:pPr>
              <w:spacing w:after="0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Skutečnost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EBC04" w14:textId="77777777" w:rsidR="0032762F" w:rsidRPr="005B5B16" w:rsidRDefault="0032762F" w:rsidP="0032762F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26 901 497 907,61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F9269" w14:textId="77777777" w:rsidR="0032762F" w:rsidRPr="005B5B16" w:rsidRDefault="0032762F" w:rsidP="0032762F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29 143 210 183,34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09F62" w14:textId="77777777" w:rsidR="0032762F" w:rsidRPr="005B5B16" w:rsidRDefault="0032762F" w:rsidP="0032762F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31 195 149 307,43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F5940" w14:textId="77777777" w:rsidR="0032762F" w:rsidRPr="005B5B16" w:rsidRDefault="0032762F" w:rsidP="0032762F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39 657 644 912,37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FE69C" w14:textId="77777777" w:rsidR="0032762F" w:rsidRPr="005B5B16" w:rsidRDefault="0032762F" w:rsidP="0032762F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36 243 388 013,11</w:t>
            </w:r>
          </w:p>
        </w:tc>
      </w:tr>
    </w:tbl>
    <w:p w14:paraId="54DE947B" w14:textId="77777777" w:rsidR="0032762F" w:rsidRPr="0032762F" w:rsidRDefault="0032762F" w:rsidP="0032762F">
      <w:pPr>
        <w:pStyle w:val="Zdroj"/>
        <w:spacing w:before="40" w:after="120"/>
        <w:rPr>
          <w:rFonts w:asciiTheme="minorHAnsi" w:hAnsiTheme="minorHAnsi"/>
          <w:i w:val="0"/>
        </w:rPr>
      </w:pPr>
      <w:bookmarkStart w:id="32" w:name="_Toc520714631"/>
      <w:r w:rsidRPr="0032762F">
        <w:rPr>
          <w:rFonts w:asciiTheme="minorHAnsi" w:hAnsiTheme="minorHAnsi"/>
          <w:b/>
          <w:i w:val="0"/>
        </w:rPr>
        <w:t xml:space="preserve">Zdroj: </w:t>
      </w:r>
      <w:r w:rsidRPr="0032762F">
        <w:rPr>
          <w:rFonts w:asciiTheme="minorHAnsi" w:hAnsiTheme="minorHAnsi"/>
          <w:i w:val="0"/>
        </w:rPr>
        <w:t>informační portál MONITOR.</w:t>
      </w:r>
    </w:p>
    <w:p w14:paraId="79F30A0C" w14:textId="38F80947" w:rsidR="0032762F" w:rsidRDefault="0032762F" w:rsidP="0032762F">
      <w:pPr>
        <w:pStyle w:val="Zdroj"/>
        <w:spacing w:before="0"/>
        <w:jc w:val="both"/>
        <w:rPr>
          <w:rFonts w:asciiTheme="minorHAnsi" w:hAnsiTheme="minorHAnsi"/>
          <w:i w:val="0"/>
          <w:iCs/>
          <w:sz w:val="24"/>
        </w:rPr>
      </w:pPr>
      <w:r w:rsidRPr="0032762F">
        <w:rPr>
          <w:rFonts w:asciiTheme="minorHAnsi" w:hAnsiTheme="minorHAnsi"/>
          <w:i w:val="0"/>
          <w:iCs/>
          <w:sz w:val="24"/>
        </w:rPr>
        <w:t>Vývoj skutečných výdajů MV ve sledovaném období v podstatě kopír</w:t>
      </w:r>
      <w:r w:rsidR="00E41647">
        <w:rPr>
          <w:rFonts w:asciiTheme="minorHAnsi" w:hAnsiTheme="minorHAnsi"/>
          <w:i w:val="0"/>
          <w:iCs/>
          <w:sz w:val="24"/>
        </w:rPr>
        <w:t>oval</w:t>
      </w:r>
      <w:r w:rsidRPr="0032762F">
        <w:rPr>
          <w:rFonts w:asciiTheme="minorHAnsi" w:hAnsiTheme="minorHAnsi"/>
          <w:i w:val="0"/>
          <w:iCs/>
          <w:sz w:val="24"/>
        </w:rPr>
        <w:t xml:space="preserve"> vývoj výdajů celé kapitoly.</w:t>
      </w:r>
    </w:p>
    <w:p w14:paraId="7BD5669E" w14:textId="77777777" w:rsidR="0032762F" w:rsidRPr="0032762F" w:rsidRDefault="0032762F" w:rsidP="0032762F">
      <w:pPr>
        <w:pStyle w:val="Zdroj"/>
        <w:spacing w:before="0"/>
        <w:jc w:val="both"/>
        <w:rPr>
          <w:rFonts w:asciiTheme="minorHAnsi" w:hAnsiTheme="minorHAnsi"/>
          <w:bCs/>
          <w:i w:val="0"/>
          <w:iCs/>
          <w:sz w:val="24"/>
        </w:rPr>
      </w:pPr>
    </w:p>
    <w:p w14:paraId="44CEA9C5" w14:textId="77777777" w:rsidR="0032762F" w:rsidRPr="004F2A13" w:rsidRDefault="0032762F" w:rsidP="00E41647">
      <w:pPr>
        <w:pStyle w:val="Titulek"/>
        <w:tabs>
          <w:tab w:val="right" w:pos="9070"/>
        </w:tabs>
        <w:spacing w:before="0" w:after="40"/>
        <w:rPr>
          <w:rFonts w:cstheme="minorHAnsi"/>
          <w:szCs w:val="24"/>
        </w:rPr>
      </w:pPr>
      <w:bookmarkStart w:id="33" w:name="_Toc8984838"/>
      <w:bookmarkStart w:id="34" w:name="_Toc69401689"/>
      <w:bookmarkStart w:id="35" w:name="_Toc101336456"/>
      <w:r w:rsidRPr="004F2A13">
        <w:rPr>
          <w:rFonts w:cstheme="minorHAnsi"/>
          <w:szCs w:val="24"/>
        </w:rPr>
        <w:t>Tabulka č.</w:t>
      </w:r>
      <w:r>
        <w:rPr>
          <w:rFonts w:cstheme="minorHAnsi"/>
          <w:szCs w:val="24"/>
        </w:rPr>
        <w:t xml:space="preserve"> 7</w:t>
      </w:r>
      <w:r w:rsidRPr="004F2A13">
        <w:rPr>
          <w:rFonts w:cstheme="minorHAnsi"/>
          <w:szCs w:val="24"/>
        </w:rPr>
        <w:t>: Výdaje OSS rozpočtové kapitoly 314 (bez MV</w:t>
      </w:r>
      <w:r w:rsidR="009D6BD8">
        <w:rPr>
          <w:rFonts w:cstheme="minorHAnsi"/>
          <w:szCs w:val="24"/>
        </w:rPr>
        <w:t>)</w:t>
      </w:r>
      <w:r w:rsidR="001A730F">
        <w:rPr>
          <w:rFonts w:cstheme="minorHAnsi"/>
          <w:szCs w:val="24"/>
        </w:rPr>
        <w:t xml:space="preserve"> </w:t>
      </w:r>
      <w:r w:rsidR="00E41647">
        <w:rPr>
          <w:rFonts w:cstheme="minorHAnsi"/>
          <w:szCs w:val="24"/>
        </w:rPr>
        <w:tab/>
      </w:r>
      <w:r w:rsidR="009D6BD8">
        <w:rPr>
          <w:rFonts w:cstheme="minorHAnsi"/>
          <w:szCs w:val="24"/>
        </w:rPr>
        <w:t>(</w:t>
      </w:r>
      <w:r w:rsidRPr="004F2A13">
        <w:rPr>
          <w:rFonts w:cstheme="minorHAnsi"/>
          <w:szCs w:val="24"/>
        </w:rPr>
        <w:t>v Kč)</w:t>
      </w:r>
      <w:bookmarkEnd w:id="32"/>
      <w:bookmarkEnd w:id="33"/>
      <w:bookmarkEnd w:id="34"/>
      <w:bookmarkEnd w:id="35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8"/>
        <w:gridCol w:w="1508"/>
        <w:gridCol w:w="1441"/>
        <w:gridCol w:w="1441"/>
        <w:gridCol w:w="1486"/>
        <w:gridCol w:w="1506"/>
      </w:tblGrid>
      <w:tr w:rsidR="0032762F" w:rsidRPr="005B5B16" w14:paraId="779863B2" w14:textId="77777777" w:rsidTr="0032762F">
        <w:trPr>
          <w:trHeight w:val="255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753B379" w14:textId="77777777" w:rsidR="0032762F" w:rsidRPr="005B5B16" w:rsidRDefault="0032762F" w:rsidP="0032762F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Ukazatel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118F8AE" w14:textId="77777777" w:rsidR="0032762F" w:rsidRPr="005B5B16" w:rsidRDefault="0032762F" w:rsidP="0032762F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2017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6090F3D" w14:textId="77777777" w:rsidR="0032762F" w:rsidRPr="005B5B16" w:rsidRDefault="0032762F" w:rsidP="0032762F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2018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49A83E3" w14:textId="77777777" w:rsidR="0032762F" w:rsidRPr="005B5B16" w:rsidRDefault="0032762F" w:rsidP="0032762F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2019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36C23E15" w14:textId="77777777" w:rsidR="0032762F" w:rsidRPr="005B5B16" w:rsidRDefault="0032762F" w:rsidP="0032762F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2020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54D48252" w14:textId="77777777" w:rsidR="0032762F" w:rsidRPr="005B5B16" w:rsidRDefault="0032762F" w:rsidP="0032762F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2021</w:t>
            </w:r>
          </w:p>
        </w:tc>
      </w:tr>
      <w:tr w:rsidR="0032762F" w:rsidRPr="005B5B16" w14:paraId="3E76EE2F" w14:textId="77777777" w:rsidTr="0032762F">
        <w:trPr>
          <w:trHeight w:val="255"/>
        </w:trPr>
        <w:tc>
          <w:tcPr>
            <w:tcW w:w="9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90B0" w14:textId="77777777" w:rsidR="0032762F" w:rsidRPr="005B5B16" w:rsidRDefault="0032762F" w:rsidP="0032762F">
            <w:pPr>
              <w:spacing w:after="0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Schválený rozpočet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C6E81" w14:textId="77777777" w:rsidR="0032762F" w:rsidRPr="005B5B16" w:rsidRDefault="0032762F" w:rsidP="0032762F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35 453 562 680,00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81809" w14:textId="77777777" w:rsidR="0032762F" w:rsidRPr="005B5B16" w:rsidRDefault="0032762F" w:rsidP="0032762F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42 073 279 930,00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F14EB" w14:textId="77777777" w:rsidR="0032762F" w:rsidRPr="005B5B16" w:rsidRDefault="0032762F" w:rsidP="0032762F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45 861 951 502,00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25AC1" w14:textId="77777777" w:rsidR="0032762F" w:rsidRPr="005B5B16" w:rsidRDefault="0032762F" w:rsidP="0032762F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47 800 992 152,00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080B9" w14:textId="77777777" w:rsidR="0032762F" w:rsidRPr="005B5B16" w:rsidRDefault="0032762F" w:rsidP="0032762F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48 866 244 492,00</w:t>
            </w:r>
          </w:p>
        </w:tc>
      </w:tr>
      <w:tr w:rsidR="0032762F" w:rsidRPr="005B5B16" w14:paraId="70CDBEE1" w14:textId="77777777" w:rsidTr="0032762F">
        <w:trPr>
          <w:trHeight w:val="255"/>
        </w:trPr>
        <w:tc>
          <w:tcPr>
            <w:tcW w:w="9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44A8" w14:textId="77777777" w:rsidR="0032762F" w:rsidRPr="005B5B16" w:rsidRDefault="0032762F" w:rsidP="0032762F">
            <w:pPr>
              <w:spacing w:after="0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Rozpočet po změnách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2DB17" w14:textId="77777777" w:rsidR="0032762F" w:rsidRPr="005B5B16" w:rsidRDefault="0032762F" w:rsidP="0032762F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38 924 594 824,00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BD727" w14:textId="77777777" w:rsidR="0032762F" w:rsidRPr="005B5B16" w:rsidRDefault="0032762F" w:rsidP="0032762F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44 421 028 219,00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9A5D2" w14:textId="77777777" w:rsidR="0032762F" w:rsidRPr="005B5B16" w:rsidRDefault="0032762F" w:rsidP="0032762F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48 891 250 871,00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B3B09" w14:textId="77777777" w:rsidR="0032762F" w:rsidRPr="005B5B16" w:rsidRDefault="0032762F" w:rsidP="0032762F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51 985 361 940,00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4B417" w14:textId="77777777" w:rsidR="0032762F" w:rsidRPr="005B5B16" w:rsidRDefault="0032762F" w:rsidP="0032762F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53 355 134 766,00</w:t>
            </w:r>
          </w:p>
        </w:tc>
      </w:tr>
      <w:tr w:rsidR="0032762F" w:rsidRPr="005B5B16" w14:paraId="6AAA777F" w14:textId="77777777" w:rsidTr="0032762F">
        <w:trPr>
          <w:trHeight w:val="255"/>
        </w:trPr>
        <w:tc>
          <w:tcPr>
            <w:tcW w:w="9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0A691" w14:textId="77777777" w:rsidR="0032762F" w:rsidRPr="005B5B16" w:rsidRDefault="0032762F" w:rsidP="0032762F">
            <w:pPr>
              <w:spacing w:after="0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Konečný rozpočet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2C0A6" w14:textId="77777777" w:rsidR="0032762F" w:rsidRPr="005B5B16" w:rsidRDefault="0032762F" w:rsidP="0032762F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40 425 318 681,99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56E15" w14:textId="77777777" w:rsidR="0032762F" w:rsidRPr="005B5B16" w:rsidRDefault="0032762F" w:rsidP="0032762F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46 366 686 758,35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CE3EF" w14:textId="77777777" w:rsidR="0032762F" w:rsidRPr="005B5B16" w:rsidRDefault="0032762F" w:rsidP="0032762F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50 994 212 965,02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12C87" w14:textId="77777777" w:rsidR="0032762F" w:rsidRPr="005B5B16" w:rsidRDefault="0032762F" w:rsidP="0032762F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54 957 397 148,00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615AE" w14:textId="77777777" w:rsidR="0032762F" w:rsidRPr="005B5B16" w:rsidRDefault="0032762F" w:rsidP="0032762F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56 024 774 608,70</w:t>
            </w:r>
          </w:p>
        </w:tc>
      </w:tr>
      <w:tr w:rsidR="0032762F" w:rsidRPr="005B5B16" w14:paraId="72625966" w14:textId="77777777" w:rsidTr="0032762F">
        <w:trPr>
          <w:trHeight w:val="255"/>
        </w:trPr>
        <w:tc>
          <w:tcPr>
            <w:tcW w:w="9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2153" w14:textId="77777777" w:rsidR="0032762F" w:rsidRPr="005B5B16" w:rsidRDefault="0032762F" w:rsidP="0032762F">
            <w:pPr>
              <w:spacing w:after="0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Skutečnost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62CFF" w14:textId="77777777" w:rsidR="0032762F" w:rsidRPr="005B5B16" w:rsidRDefault="0032762F" w:rsidP="0032762F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39 457 443 534,74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8DCD1" w14:textId="77777777" w:rsidR="0032762F" w:rsidRPr="005B5B16" w:rsidRDefault="0032762F" w:rsidP="0032762F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45 203 012 622,82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C483F" w14:textId="77777777" w:rsidR="0032762F" w:rsidRPr="005B5B16" w:rsidRDefault="0032762F" w:rsidP="0032762F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49 276 346 324,79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C585B" w14:textId="77777777" w:rsidR="0032762F" w:rsidRPr="005B5B16" w:rsidRDefault="0032762F" w:rsidP="0032762F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53 343 858 991,47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648C4" w14:textId="77777777" w:rsidR="0032762F" w:rsidRPr="005B5B16" w:rsidRDefault="0032762F" w:rsidP="0032762F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54 636 769 059,77</w:t>
            </w:r>
          </w:p>
        </w:tc>
      </w:tr>
    </w:tbl>
    <w:p w14:paraId="420C81DC" w14:textId="77777777" w:rsidR="0032762F" w:rsidRPr="0032762F" w:rsidRDefault="0032762F" w:rsidP="0032762F">
      <w:pPr>
        <w:pStyle w:val="Zdroj"/>
        <w:spacing w:before="40" w:after="120"/>
        <w:rPr>
          <w:rFonts w:asciiTheme="minorHAnsi" w:hAnsiTheme="minorHAnsi"/>
          <w:i w:val="0"/>
        </w:rPr>
      </w:pPr>
      <w:bookmarkStart w:id="36" w:name="_Toc520715159"/>
      <w:r w:rsidRPr="0032762F">
        <w:rPr>
          <w:rFonts w:asciiTheme="minorHAnsi" w:hAnsiTheme="minorHAnsi"/>
          <w:b/>
          <w:i w:val="0"/>
        </w:rPr>
        <w:t xml:space="preserve">Zdroj: </w:t>
      </w:r>
      <w:bookmarkStart w:id="37" w:name="_Toc8985355"/>
      <w:bookmarkStart w:id="38" w:name="_Toc8990137"/>
      <w:r w:rsidRPr="0032762F">
        <w:rPr>
          <w:rFonts w:asciiTheme="minorHAnsi" w:hAnsiTheme="minorHAnsi"/>
          <w:i w:val="0"/>
        </w:rPr>
        <w:t>informační portál MONITOR.</w:t>
      </w:r>
    </w:p>
    <w:bookmarkEnd w:id="36"/>
    <w:bookmarkEnd w:id="37"/>
    <w:bookmarkEnd w:id="38"/>
    <w:p w14:paraId="74DEACA9" w14:textId="0CE43449" w:rsidR="0032762F" w:rsidRDefault="0032762F" w:rsidP="006353AB">
      <w:pPr>
        <w:spacing w:after="0"/>
        <w:jc w:val="both"/>
        <w:rPr>
          <w:rFonts w:asciiTheme="minorHAnsi" w:eastAsia="Calibri" w:hAnsiTheme="minorHAnsi" w:cstheme="minorHAnsi"/>
        </w:rPr>
      </w:pPr>
      <w:r w:rsidRPr="0032762F">
        <w:rPr>
          <w:rFonts w:asciiTheme="minorHAnsi" w:eastAsia="Calibri" w:hAnsiTheme="minorHAnsi" w:cstheme="minorHAnsi"/>
        </w:rPr>
        <w:t>Ve sledovaném období byly skutečné výdaje u OSS (bez MV) vyšší než rozpočet po změnách. Skutečné výdaje vykaz</w:t>
      </w:r>
      <w:r w:rsidR="00E41647">
        <w:rPr>
          <w:rFonts w:asciiTheme="minorHAnsi" w:eastAsia="Calibri" w:hAnsiTheme="minorHAnsi" w:cstheme="minorHAnsi"/>
        </w:rPr>
        <w:t>ovaly</w:t>
      </w:r>
      <w:r w:rsidRPr="0032762F">
        <w:rPr>
          <w:rFonts w:asciiTheme="minorHAnsi" w:eastAsia="Calibri" w:hAnsiTheme="minorHAnsi" w:cstheme="minorHAnsi"/>
        </w:rPr>
        <w:t xml:space="preserve"> rostoucí tendenci v celém sledovaném období.</w:t>
      </w:r>
    </w:p>
    <w:p w14:paraId="1D92C423" w14:textId="77777777" w:rsidR="006353AB" w:rsidRDefault="006353AB" w:rsidP="006353AB">
      <w:pPr>
        <w:spacing w:after="0"/>
        <w:jc w:val="both"/>
        <w:rPr>
          <w:rFonts w:eastAsia="Calibri" w:cs="Calibri"/>
        </w:rPr>
      </w:pPr>
    </w:p>
    <w:p w14:paraId="227B2631" w14:textId="77777777" w:rsidR="006353AB" w:rsidRDefault="006353AB" w:rsidP="006353AB">
      <w:pPr>
        <w:spacing w:after="0"/>
        <w:jc w:val="both"/>
        <w:rPr>
          <w:rFonts w:eastAsia="Calibri" w:cs="Calibri"/>
        </w:rPr>
      </w:pPr>
    </w:p>
    <w:p w14:paraId="6974F778" w14:textId="77777777" w:rsidR="006353AB" w:rsidRPr="004F2A13" w:rsidRDefault="006353AB" w:rsidP="006353AB">
      <w:pPr>
        <w:spacing w:after="240"/>
        <w:jc w:val="center"/>
        <w:rPr>
          <w:rFonts w:eastAsia="Calibri" w:cs="Calibri"/>
          <w:b/>
          <w:bCs/>
        </w:rPr>
      </w:pPr>
      <w:r w:rsidRPr="00F53337">
        <w:rPr>
          <w:rFonts w:eastAsia="Calibri" w:cs="Calibri"/>
          <w:b/>
          <w:bCs/>
        </w:rPr>
        <w:t>Oddíl III. Porovnání příjmů a výnosů v rozpočtové kapitole 314 v letech 2017–2021</w:t>
      </w:r>
    </w:p>
    <w:p w14:paraId="4746B659" w14:textId="77777777" w:rsidR="006353AB" w:rsidRPr="00F53337" w:rsidRDefault="006353AB" w:rsidP="00E41647">
      <w:pPr>
        <w:pStyle w:val="Titulek"/>
        <w:tabs>
          <w:tab w:val="right" w:pos="9070"/>
        </w:tabs>
        <w:spacing w:before="0" w:after="40"/>
        <w:rPr>
          <w:rFonts w:cstheme="minorHAnsi"/>
          <w:szCs w:val="24"/>
        </w:rPr>
      </w:pPr>
      <w:bookmarkStart w:id="39" w:name="_Toc520714632"/>
      <w:bookmarkStart w:id="40" w:name="_Toc8984839"/>
      <w:bookmarkStart w:id="41" w:name="_Toc69401684"/>
      <w:bookmarkStart w:id="42" w:name="_Toc101336451"/>
      <w:r w:rsidRPr="00F53337">
        <w:rPr>
          <w:rFonts w:cstheme="minorHAnsi"/>
          <w:szCs w:val="24"/>
        </w:rPr>
        <w:t xml:space="preserve">Tabulka č. 8: Porovnání příjmů a výnosů za všechny OSS v kapitole 314 vč. MV </w:t>
      </w:r>
      <w:r w:rsidR="00E41647">
        <w:rPr>
          <w:rFonts w:cstheme="minorHAnsi"/>
          <w:szCs w:val="24"/>
        </w:rPr>
        <w:tab/>
      </w:r>
      <w:r w:rsidRPr="00F53337">
        <w:rPr>
          <w:rFonts w:cstheme="minorHAnsi"/>
          <w:szCs w:val="24"/>
        </w:rPr>
        <w:t>(v Kč)</w:t>
      </w:r>
      <w:bookmarkEnd w:id="39"/>
      <w:bookmarkEnd w:id="40"/>
      <w:bookmarkEnd w:id="41"/>
      <w:bookmarkEnd w:id="42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5"/>
        <w:gridCol w:w="1456"/>
        <w:gridCol w:w="1455"/>
        <w:gridCol w:w="1455"/>
        <w:gridCol w:w="1455"/>
        <w:gridCol w:w="1464"/>
      </w:tblGrid>
      <w:tr w:rsidR="006353AB" w:rsidRPr="005B5B16" w14:paraId="5B6BC9D7" w14:textId="77777777" w:rsidTr="006353AB">
        <w:trPr>
          <w:trHeight w:val="255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ECE428E" w14:textId="77777777" w:rsidR="006353AB" w:rsidRPr="005B5B16" w:rsidRDefault="006353AB" w:rsidP="006353AB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Ukazatel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9DC33B4" w14:textId="77777777" w:rsidR="006353AB" w:rsidRPr="005B5B16" w:rsidRDefault="006353AB" w:rsidP="006353AB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2017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FB84C72" w14:textId="77777777" w:rsidR="006353AB" w:rsidRPr="005B5B16" w:rsidRDefault="006353AB" w:rsidP="006353AB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2018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C5972E6" w14:textId="77777777" w:rsidR="006353AB" w:rsidRPr="005B5B16" w:rsidRDefault="006353AB" w:rsidP="006353AB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2019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0E99D852" w14:textId="77777777" w:rsidR="006353AB" w:rsidRPr="005B5B16" w:rsidRDefault="006353AB" w:rsidP="006353AB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2020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3F0C7185" w14:textId="77777777" w:rsidR="006353AB" w:rsidRPr="005B5B16" w:rsidRDefault="006353AB" w:rsidP="006353AB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2021</w:t>
            </w:r>
          </w:p>
        </w:tc>
      </w:tr>
      <w:tr w:rsidR="006353AB" w:rsidRPr="005B5B16" w14:paraId="47E3BC64" w14:textId="77777777" w:rsidTr="006353AB">
        <w:trPr>
          <w:trHeight w:val="25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B24BB" w14:textId="77777777" w:rsidR="006353AB" w:rsidRPr="005B5B16" w:rsidRDefault="006353AB" w:rsidP="006353AB">
            <w:pPr>
              <w:spacing w:after="0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Příjmy (skutečnost)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CFBC9" w14:textId="77777777" w:rsidR="006353AB" w:rsidRPr="005B5B16" w:rsidRDefault="006353AB" w:rsidP="006353AB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9 040 161 366,01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456C3" w14:textId="77777777" w:rsidR="006353AB" w:rsidRPr="005B5B16" w:rsidRDefault="006353AB" w:rsidP="006353AB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11 303 277 708,49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163B6" w14:textId="77777777" w:rsidR="006353AB" w:rsidRPr="005B5B16" w:rsidRDefault="006353AB" w:rsidP="006353AB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11 279 672 258,65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B141D" w14:textId="77777777" w:rsidR="006353AB" w:rsidRPr="005B5B16" w:rsidRDefault="006353AB" w:rsidP="006353AB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12 623 305 778,38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F4B98" w14:textId="77777777" w:rsidR="006353AB" w:rsidRPr="005B5B16" w:rsidRDefault="006353AB" w:rsidP="006353AB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12 932 168 138,31</w:t>
            </w:r>
          </w:p>
        </w:tc>
      </w:tr>
      <w:tr w:rsidR="006353AB" w:rsidRPr="005B5B16" w14:paraId="72932089" w14:textId="77777777" w:rsidTr="006353AB">
        <w:trPr>
          <w:trHeight w:val="25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F2EAF" w14:textId="77777777" w:rsidR="006353AB" w:rsidRPr="005B5B16" w:rsidRDefault="006353AB" w:rsidP="006353AB">
            <w:pPr>
              <w:spacing w:after="0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Výnosy celkem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EA7B1" w14:textId="77777777" w:rsidR="006353AB" w:rsidRPr="005B5B16" w:rsidRDefault="006353AB" w:rsidP="006353AB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9 155 707 645,90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43361" w14:textId="77777777" w:rsidR="006353AB" w:rsidRPr="005B5B16" w:rsidRDefault="006353AB" w:rsidP="006353AB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11 137 871 751,84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3D04E" w14:textId="77777777" w:rsidR="006353AB" w:rsidRPr="005B5B16" w:rsidRDefault="006353AB" w:rsidP="006353AB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11 067 103 097,33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AFF6E" w14:textId="77777777" w:rsidR="006353AB" w:rsidRPr="005B5B16" w:rsidRDefault="006353AB" w:rsidP="006353AB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12 670 525 203,88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5E731" w14:textId="77777777" w:rsidR="006353AB" w:rsidRPr="005B5B16" w:rsidRDefault="006353AB" w:rsidP="006353AB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12 428 196 269,74</w:t>
            </w:r>
          </w:p>
        </w:tc>
      </w:tr>
    </w:tbl>
    <w:p w14:paraId="11540A87" w14:textId="77777777" w:rsidR="006353AB" w:rsidRPr="006353AB" w:rsidRDefault="006353AB" w:rsidP="006353AB">
      <w:pPr>
        <w:pStyle w:val="Zdroj"/>
        <w:spacing w:before="40" w:after="120"/>
        <w:rPr>
          <w:rFonts w:asciiTheme="minorHAnsi" w:hAnsiTheme="minorHAnsi"/>
          <w:bCs/>
          <w:i w:val="0"/>
        </w:rPr>
      </w:pPr>
      <w:r w:rsidRPr="006353AB">
        <w:rPr>
          <w:rFonts w:asciiTheme="minorHAnsi" w:hAnsiTheme="minorHAnsi"/>
          <w:b/>
          <w:i w:val="0"/>
        </w:rPr>
        <w:t xml:space="preserve">Zdroj: </w:t>
      </w:r>
      <w:r w:rsidRPr="006353AB">
        <w:rPr>
          <w:rFonts w:asciiTheme="minorHAnsi" w:hAnsiTheme="minorHAnsi"/>
          <w:bCs/>
          <w:i w:val="0"/>
        </w:rPr>
        <w:t>informační portál MONITOR.</w:t>
      </w:r>
    </w:p>
    <w:p w14:paraId="6024A01A" w14:textId="77777777" w:rsidR="006353AB" w:rsidRPr="006353AB" w:rsidRDefault="006353AB" w:rsidP="006353AB">
      <w:pPr>
        <w:jc w:val="both"/>
        <w:rPr>
          <w:rFonts w:asciiTheme="minorHAnsi" w:hAnsiTheme="minorHAnsi" w:cstheme="minorHAnsi"/>
        </w:rPr>
      </w:pPr>
      <w:r w:rsidRPr="006353AB">
        <w:rPr>
          <w:rFonts w:asciiTheme="minorHAnsi" w:hAnsiTheme="minorHAnsi" w:cstheme="minorHAnsi"/>
        </w:rPr>
        <w:t>Příjmy a výnosy kapitoly 314 se ve sledovaném období vyvíjely obdobně. Největší podíl výnosů kapitoly 314 tvořily v roce 2021 tyto syntetické účty:</w:t>
      </w:r>
    </w:p>
    <w:p w14:paraId="781EF516" w14:textId="77777777" w:rsidR="006353AB" w:rsidRPr="006353AB" w:rsidRDefault="006353AB" w:rsidP="006353AB">
      <w:pPr>
        <w:pStyle w:val="Odstavecseseznamem"/>
        <w:numPr>
          <w:ilvl w:val="0"/>
          <w:numId w:val="20"/>
        </w:numPr>
        <w:spacing w:after="0"/>
        <w:rPr>
          <w:rFonts w:asciiTheme="minorHAnsi" w:hAnsiTheme="minorHAnsi" w:cstheme="minorHAnsi"/>
          <w:i/>
        </w:rPr>
      </w:pPr>
      <w:r w:rsidRPr="006353AB">
        <w:rPr>
          <w:rFonts w:asciiTheme="minorHAnsi" w:hAnsiTheme="minorHAnsi" w:cstheme="minorHAnsi"/>
          <w:iCs/>
        </w:rPr>
        <w:t>633</w:t>
      </w:r>
      <w:r w:rsidRPr="006353AB">
        <w:rPr>
          <w:rFonts w:asciiTheme="minorHAnsi" w:hAnsiTheme="minorHAnsi" w:cstheme="minorHAnsi"/>
          <w:i/>
        </w:rPr>
        <w:t xml:space="preserve"> </w:t>
      </w:r>
      <w:r w:rsidR="000C6DC8">
        <w:rPr>
          <w:rFonts w:asciiTheme="minorHAnsi" w:hAnsiTheme="minorHAnsi" w:cstheme="minorHAnsi"/>
          <w:i/>
        </w:rPr>
        <w:t>–</w:t>
      </w:r>
      <w:r w:rsidRPr="006353AB">
        <w:rPr>
          <w:rFonts w:asciiTheme="minorHAnsi" w:hAnsiTheme="minorHAnsi" w:cstheme="minorHAnsi"/>
          <w:i/>
        </w:rPr>
        <w:t xml:space="preserve"> Výnosy ze sociálního pojištění </w:t>
      </w:r>
      <w:r w:rsidRPr="006353AB">
        <w:rPr>
          <w:rFonts w:asciiTheme="minorHAnsi" w:hAnsiTheme="minorHAnsi" w:cstheme="minorHAnsi"/>
        </w:rPr>
        <w:t>(76,40 %),</w:t>
      </w:r>
    </w:p>
    <w:p w14:paraId="56AD3F8E" w14:textId="77777777" w:rsidR="006353AB" w:rsidRPr="006353AB" w:rsidRDefault="006353AB" w:rsidP="006353AB">
      <w:pPr>
        <w:pStyle w:val="Odstavecseseznamem"/>
        <w:numPr>
          <w:ilvl w:val="0"/>
          <w:numId w:val="20"/>
        </w:numPr>
        <w:spacing w:after="0"/>
        <w:rPr>
          <w:rFonts w:asciiTheme="minorHAnsi" w:hAnsiTheme="minorHAnsi" w:cstheme="minorHAnsi"/>
          <w:i/>
        </w:rPr>
      </w:pPr>
      <w:r w:rsidRPr="006353AB">
        <w:rPr>
          <w:rFonts w:asciiTheme="minorHAnsi" w:hAnsiTheme="minorHAnsi" w:cstheme="minorHAnsi"/>
          <w:iCs/>
        </w:rPr>
        <w:t>649</w:t>
      </w:r>
      <w:r w:rsidRPr="006353AB">
        <w:rPr>
          <w:rFonts w:asciiTheme="minorHAnsi" w:hAnsiTheme="minorHAnsi" w:cstheme="minorHAnsi"/>
          <w:i/>
        </w:rPr>
        <w:t xml:space="preserve"> </w:t>
      </w:r>
      <w:r w:rsidR="000C6DC8">
        <w:rPr>
          <w:rFonts w:asciiTheme="minorHAnsi" w:hAnsiTheme="minorHAnsi" w:cstheme="minorHAnsi"/>
          <w:i/>
        </w:rPr>
        <w:t>–</w:t>
      </w:r>
      <w:r w:rsidRPr="006353AB">
        <w:rPr>
          <w:rFonts w:asciiTheme="minorHAnsi" w:hAnsiTheme="minorHAnsi" w:cstheme="minorHAnsi"/>
          <w:i/>
        </w:rPr>
        <w:t xml:space="preserve"> Ostatní výnosy z činnosti </w:t>
      </w:r>
      <w:r w:rsidRPr="006353AB">
        <w:rPr>
          <w:rFonts w:asciiTheme="minorHAnsi" w:hAnsiTheme="minorHAnsi" w:cstheme="minorHAnsi"/>
        </w:rPr>
        <w:t>(8,05 %)</w:t>
      </w:r>
      <w:r w:rsidRPr="006353AB">
        <w:rPr>
          <w:rFonts w:asciiTheme="minorHAnsi" w:hAnsiTheme="minorHAnsi" w:cstheme="minorHAnsi"/>
          <w:i/>
        </w:rPr>
        <w:t>,</w:t>
      </w:r>
    </w:p>
    <w:p w14:paraId="4F6C2073" w14:textId="77777777" w:rsidR="006353AB" w:rsidRPr="006353AB" w:rsidRDefault="006353AB" w:rsidP="006353AB">
      <w:pPr>
        <w:pStyle w:val="Odstavecseseznamem"/>
        <w:numPr>
          <w:ilvl w:val="0"/>
          <w:numId w:val="20"/>
        </w:numPr>
        <w:spacing w:after="0"/>
        <w:rPr>
          <w:rFonts w:asciiTheme="minorHAnsi" w:hAnsiTheme="minorHAnsi" w:cstheme="minorHAnsi"/>
          <w:i/>
        </w:rPr>
      </w:pPr>
      <w:r w:rsidRPr="006353AB">
        <w:rPr>
          <w:rFonts w:asciiTheme="minorHAnsi" w:hAnsiTheme="minorHAnsi" w:cstheme="minorHAnsi"/>
          <w:iCs/>
        </w:rPr>
        <w:t>648</w:t>
      </w:r>
      <w:r w:rsidRPr="006353AB">
        <w:rPr>
          <w:rFonts w:asciiTheme="minorHAnsi" w:hAnsiTheme="minorHAnsi" w:cstheme="minorHAnsi"/>
          <w:i/>
        </w:rPr>
        <w:t xml:space="preserve"> </w:t>
      </w:r>
      <w:r w:rsidR="000C6DC8">
        <w:rPr>
          <w:rFonts w:asciiTheme="minorHAnsi" w:hAnsiTheme="minorHAnsi" w:cstheme="minorHAnsi"/>
          <w:i/>
        </w:rPr>
        <w:t>–</w:t>
      </w:r>
      <w:r w:rsidRPr="006353AB">
        <w:rPr>
          <w:rFonts w:asciiTheme="minorHAnsi" w:hAnsiTheme="minorHAnsi" w:cstheme="minorHAnsi"/>
          <w:i/>
        </w:rPr>
        <w:t xml:space="preserve"> Čerpání fondů </w:t>
      </w:r>
      <w:r w:rsidRPr="006353AB">
        <w:rPr>
          <w:rFonts w:asciiTheme="minorHAnsi" w:hAnsiTheme="minorHAnsi" w:cstheme="minorHAnsi"/>
          <w:iCs/>
        </w:rPr>
        <w:t>(7,48 %).</w:t>
      </w:r>
    </w:p>
    <w:p w14:paraId="0225AAE8" w14:textId="77777777" w:rsidR="006353AB" w:rsidRPr="006353AB" w:rsidRDefault="006353AB" w:rsidP="006353AB">
      <w:pPr>
        <w:spacing w:after="0"/>
        <w:rPr>
          <w:rFonts w:asciiTheme="minorHAnsi" w:hAnsiTheme="minorHAnsi" w:cstheme="minorHAnsi"/>
        </w:rPr>
      </w:pPr>
    </w:p>
    <w:p w14:paraId="7A1A3290" w14:textId="77777777" w:rsidR="006353AB" w:rsidRPr="00F53337" w:rsidRDefault="006353AB" w:rsidP="006353AB">
      <w:pPr>
        <w:rPr>
          <w:rFonts w:cstheme="minorHAnsi"/>
        </w:rPr>
      </w:pPr>
      <w:r w:rsidRPr="00F53337">
        <w:rPr>
          <w:rFonts w:cstheme="minorHAnsi"/>
        </w:rPr>
        <w:t>Největší podíl příjmů kapitoly 314 tvořily v roce 2021 tyto rozpočtové položky:</w:t>
      </w:r>
    </w:p>
    <w:p w14:paraId="5A12A591" w14:textId="77777777" w:rsidR="006353AB" w:rsidRPr="00F53337" w:rsidRDefault="006353AB" w:rsidP="006353AB">
      <w:pPr>
        <w:pStyle w:val="Odstavecseseznamem"/>
        <w:numPr>
          <w:ilvl w:val="0"/>
          <w:numId w:val="20"/>
        </w:numPr>
        <w:spacing w:after="0"/>
        <w:rPr>
          <w:rFonts w:cstheme="minorHAnsi"/>
        </w:rPr>
      </w:pPr>
      <w:r w:rsidRPr="00F53337">
        <w:rPr>
          <w:rFonts w:cstheme="minorHAnsi"/>
          <w:iCs/>
        </w:rPr>
        <w:t>1611</w:t>
      </w:r>
      <w:r w:rsidRPr="00F53337">
        <w:rPr>
          <w:rFonts w:cstheme="minorHAnsi"/>
          <w:i/>
        </w:rPr>
        <w:t xml:space="preserve"> </w:t>
      </w:r>
      <w:r w:rsidR="002E75BF">
        <w:rPr>
          <w:rFonts w:cstheme="minorHAnsi"/>
          <w:i/>
        </w:rPr>
        <w:t>–</w:t>
      </w:r>
      <w:r w:rsidRPr="00F53337">
        <w:rPr>
          <w:rFonts w:cstheme="minorHAnsi"/>
          <w:i/>
        </w:rPr>
        <w:t xml:space="preserve"> Pojistné na důchodové pojištění od zaměstnavatelů </w:t>
      </w:r>
      <w:r w:rsidRPr="00F53337">
        <w:rPr>
          <w:rFonts w:cstheme="minorHAnsi"/>
        </w:rPr>
        <w:t>(51,82 %),</w:t>
      </w:r>
    </w:p>
    <w:p w14:paraId="186681C5" w14:textId="77777777" w:rsidR="006353AB" w:rsidRPr="00F53337" w:rsidRDefault="006353AB" w:rsidP="006353AB">
      <w:pPr>
        <w:pStyle w:val="Odstavecseseznamem"/>
        <w:numPr>
          <w:ilvl w:val="0"/>
          <w:numId w:val="20"/>
        </w:numPr>
        <w:spacing w:after="0"/>
        <w:rPr>
          <w:rFonts w:cstheme="minorHAnsi"/>
        </w:rPr>
      </w:pPr>
      <w:r w:rsidRPr="00F53337">
        <w:rPr>
          <w:rFonts w:cstheme="minorHAnsi"/>
          <w:iCs/>
        </w:rPr>
        <w:t>1612</w:t>
      </w:r>
      <w:r w:rsidRPr="00F53337">
        <w:rPr>
          <w:rFonts w:cstheme="minorHAnsi"/>
          <w:i/>
        </w:rPr>
        <w:t xml:space="preserve"> </w:t>
      </w:r>
      <w:r w:rsidR="002E75BF">
        <w:rPr>
          <w:rFonts w:cstheme="minorHAnsi"/>
          <w:i/>
        </w:rPr>
        <w:t>–</w:t>
      </w:r>
      <w:r w:rsidRPr="00F53337">
        <w:rPr>
          <w:rFonts w:cstheme="minorHAnsi"/>
          <w:i/>
        </w:rPr>
        <w:t xml:space="preserve"> Pojistné od zaměstnanců</w:t>
      </w:r>
      <w:r w:rsidRPr="00F53337">
        <w:rPr>
          <w:rFonts w:cstheme="minorHAnsi"/>
        </w:rPr>
        <w:t xml:space="preserve"> (15,67 %),</w:t>
      </w:r>
    </w:p>
    <w:p w14:paraId="2F8D3118" w14:textId="77777777" w:rsidR="006353AB" w:rsidRPr="00F53337" w:rsidRDefault="006353AB" w:rsidP="006353AB">
      <w:pPr>
        <w:pStyle w:val="Odstavecseseznamem"/>
        <w:numPr>
          <w:ilvl w:val="0"/>
          <w:numId w:val="20"/>
        </w:numPr>
        <w:spacing w:after="0"/>
        <w:rPr>
          <w:rFonts w:cstheme="minorHAnsi"/>
        </w:rPr>
      </w:pPr>
      <w:r w:rsidRPr="00F53337">
        <w:rPr>
          <w:rFonts w:cstheme="minorHAnsi"/>
          <w:iCs/>
        </w:rPr>
        <w:t>4135</w:t>
      </w:r>
      <w:r w:rsidRPr="00F53337">
        <w:rPr>
          <w:rFonts w:cstheme="minorHAnsi"/>
          <w:i/>
        </w:rPr>
        <w:t xml:space="preserve"> </w:t>
      </w:r>
      <w:r w:rsidR="002E75BF">
        <w:rPr>
          <w:rFonts w:cstheme="minorHAnsi"/>
          <w:i/>
        </w:rPr>
        <w:t>–</w:t>
      </w:r>
      <w:r w:rsidRPr="00F53337">
        <w:rPr>
          <w:rFonts w:cstheme="minorHAnsi"/>
          <w:i/>
        </w:rPr>
        <w:t xml:space="preserve"> Převody z rezervních fondů organizačních složek státu </w:t>
      </w:r>
      <w:r w:rsidRPr="00F53337">
        <w:rPr>
          <w:rFonts w:cstheme="minorHAnsi"/>
          <w:iCs/>
        </w:rPr>
        <w:t>(8,08 %).</w:t>
      </w:r>
    </w:p>
    <w:p w14:paraId="56A126FB" w14:textId="77777777" w:rsidR="0092482A" w:rsidRPr="005B5B16" w:rsidRDefault="0092482A" w:rsidP="0092482A">
      <w:pPr>
        <w:spacing w:after="0"/>
        <w:rPr>
          <w:rFonts w:cstheme="minorHAnsi"/>
          <w:sz w:val="22"/>
        </w:rPr>
      </w:pPr>
    </w:p>
    <w:p w14:paraId="7F614D09" w14:textId="77777777" w:rsidR="0092482A" w:rsidRPr="00F53337" w:rsidRDefault="0092482A" w:rsidP="00E41647">
      <w:pPr>
        <w:pStyle w:val="Titulek"/>
        <w:tabs>
          <w:tab w:val="right" w:pos="9070"/>
        </w:tabs>
        <w:spacing w:before="0" w:after="40"/>
        <w:rPr>
          <w:rFonts w:cstheme="minorHAnsi"/>
          <w:szCs w:val="24"/>
        </w:rPr>
      </w:pPr>
      <w:bookmarkStart w:id="43" w:name="_Toc8984840"/>
      <w:bookmarkStart w:id="44" w:name="_Toc69401685"/>
      <w:bookmarkStart w:id="45" w:name="_Toc101336452"/>
      <w:r w:rsidRPr="00F53337">
        <w:rPr>
          <w:rFonts w:cstheme="minorHAnsi"/>
          <w:szCs w:val="24"/>
        </w:rPr>
        <w:t>Tabulka č.</w:t>
      </w:r>
      <w:r>
        <w:rPr>
          <w:rFonts w:cstheme="minorHAnsi"/>
          <w:szCs w:val="24"/>
        </w:rPr>
        <w:t xml:space="preserve"> 9</w:t>
      </w:r>
      <w:r w:rsidRPr="00F53337">
        <w:rPr>
          <w:rFonts w:cstheme="minorHAnsi"/>
          <w:szCs w:val="24"/>
        </w:rPr>
        <w:t xml:space="preserve">: Porovnání příjmů a výnosů za MV </w:t>
      </w:r>
      <w:r w:rsidR="00E41647">
        <w:rPr>
          <w:rFonts w:cstheme="minorHAnsi"/>
          <w:szCs w:val="24"/>
        </w:rPr>
        <w:tab/>
      </w:r>
      <w:r w:rsidRPr="00F53337">
        <w:rPr>
          <w:rFonts w:cstheme="minorHAnsi"/>
          <w:szCs w:val="24"/>
        </w:rPr>
        <w:t>(v Kč)</w:t>
      </w:r>
      <w:bookmarkEnd w:id="43"/>
      <w:bookmarkEnd w:id="44"/>
      <w:bookmarkEnd w:id="45"/>
    </w:p>
    <w:tbl>
      <w:tblPr>
        <w:tblW w:w="499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4"/>
        <w:gridCol w:w="1456"/>
        <w:gridCol w:w="1457"/>
        <w:gridCol w:w="1457"/>
        <w:gridCol w:w="1457"/>
        <w:gridCol w:w="1457"/>
      </w:tblGrid>
      <w:tr w:rsidR="0092482A" w:rsidRPr="005B5B16" w14:paraId="722B3AA6" w14:textId="77777777" w:rsidTr="00D64495">
        <w:trPr>
          <w:trHeight w:val="255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2D55B03" w14:textId="77777777" w:rsidR="0092482A" w:rsidRPr="005B5B16" w:rsidRDefault="0092482A" w:rsidP="0092482A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Ukazatel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E116EF6" w14:textId="77777777" w:rsidR="0092482A" w:rsidRPr="005B5B16" w:rsidRDefault="0092482A" w:rsidP="0092482A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2017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DDAAA48" w14:textId="77777777" w:rsidR="0092482A" w:rsidRPr="005B5B16" w:rsidRDefault="0092482A" w:rsidP="0092482A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2018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8C380F9" w14:textId="77777777" w:rsidR="0092482A" w:rsidRPr="005B5B16" w:rsidRDefault="0092482A" w:rsidP="0092482A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2019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6F378AC0" w14:textId="77777777" w:rsidR="0092482A" w:rsidRPr="005B5B16" w:rsidRDefault="0092482A" w:rsidP="0092482A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2020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40D2CDBA" w14:textId="77777777" w:rsidR="0092482A" w:rsidRPr="005B5B16" w:rsidRDefault="0092482A" w:rsidP="0092482A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2021</w:t>
            </w:r>
          </w:p>
        </w:tc>
      </w:tr>
      <w:tr w:rsidR="0092482A" w:rsidRPr="005B5B16" w14:paraId="58E6DBEE" w14:textId="77777777" w:rsidTr="00D64495">
        <w:trPr>
          <w:trHeight w:val="255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5E996" w14:textId="77777777" w:rsidR="0092482A" w:rsidRPr="005B5B16" w:rsidRDefault="0092482A" w:rsidP="0092482A">
            <w:pPr>
              <w:spacing w:after="0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Příjmy (skutečnost)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F2649" w14:textId="77777777" w:rsidR="0092482A" w:rsidRPr="005B5B16" w:rsidRDefault="0092482A" w:rsidP="0092482A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1 796 530 267,76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CB608" w14:textId="77777777" w:rsidR="0092482A" w:rsidRPr="005B5B16" w:rsidRDefault="0092482A" w:rsidP="0092482A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2 791 124 506,21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01FE1" w14:textId="77777777" w:rsidR="0092482A" w:rsidRPr="005B5B16" w:rsidRDefault="0092482A" w:rsidP="0092482A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2 311 841 567,60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3E5D0" w14:textId="77777777" w:rsidR="0092482A" w:rsidRPr="005B5B16" w:rsidRDefault="0092482A" w:rsidP="0092482A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2 671 265 555,68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425B2" w14:textId="77777777" w:rsidR="0092482A" w:rsidRPr="005B5B16" w:rsidRDefault="0092482A" w:rsidP="0092482A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2 489 231 300,30</w:t>
            </w:r>
          </w:p>
        </w:tc>
      </w:tr>
      <w:tr w:rsidR="0092482A" w:rsidRPr="005B5B16" w14:paraId="6E3AB649" w14:textId="77777777" w:rsidTr="00D64495">
        <w:trPr>
          <w:trHeight w:val="255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01121" w14:textId="77777777" w:rsidR="0092482A" w:rsidRPr="005B5B16" w:rsidRDefault="0092482A" w:rsidP="0092482A">
            <w:pPr>
              <w:spacing w:after="0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Výnosy celkem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DE665" w14:textId="77777777" w:rsidR="0092482A" w:rsidRPr="005B5B16" w:rsidRDefault="0092482A" w:rsidP="0092482A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1 857 654 502,58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C8E80" w14:textId="77777777" w:rsidR="0092482A" w:rsidRPr="005B5B16" w:rsidRDefault="0092482A" w:rsidP="0092482A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2 348 871 544,58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3AE39" w14:textId="77777777" w:rsidR="0092482A" w:rsidRPr="005B5B16" w:rsidRDefault="0092482A" w:rsidP="0092482A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2 265 550 280,36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FA5DD" w14:textId="77777777" w:rsidR="0092482A" w:rsidRPr="005B5B16" w:rsidRDefault="0092482A" w:rsidP="0092482A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2 786 880 288,31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ACB00" w14:textId="77777777" w:rsidR="0092482A" w:rsidRPr="005B5B16" w:rsidRDefault="0092482A" w:rsidP="0092482A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2 346 828 383,47</w:t>
            </w:r>
          </w:p>
        </w:tc>
      </w:tr>
    </w:tbl>
    <w:p w14:paraId="5D6FEEF3" w14:textId="77777777" w:rsidR="0092482A" w:rsidRPr="0092482A" w:rsidRDefault="0092482A" w:rsidP="0092482A">
      <w:pPr>
        <w:pStyle w:val="Zdroj"/>
        <w:spacing w:before="40" w:after="120"/>
        <w:rPr>
          <w:rFonts w:asciiTheme="minorHAnsi" w:hAnsiTheme="minorHAnsi"/>
          <w:i w:val="0"/>
        </w:rPr>
      </w:pPr>
      <w:r w:rsidRPr="0092482A">
        <w:rPr>
          <w:rFonts w:asciiTheme="minorHAnsi" w:hAnsiTheme="minorHAnsi"/>
          <w:b/>
          <w:i w:val="0"/>
        </w:rPr>
        <w:t xml:space="preserve">Zdroj: </w:t>
      </w:r>
      <w:r w:rsidRPr="0092482A">
        <w:rPr>
          <w:rFonts w:asciiTheme="minorHAnsi" w:hAnsiTheme="minorHAnsi"/>
          <w:i w:val="0"/>
        </w:rPr>
        <w:t>informační portál MONITOR.</w:t>
      </w:r>
    </w:p>
    <w:p w14:paraId="2A2ED7CA" w14:textId="77777777" w:rsidR="0092482A" w:rsidRPr="0092482A" w:rsidRDefault="0092482A" w:rsidP="0092482A">
      <w:pPr>
        <w:spacing w:after="0"/>
        <w:jc w:val="both"/>
        <w:rPr>
          <w:rFonts w:asciiTheme="minorHAnsi" w:hAnsiTheme="minorHAnsi" w:cstheme="minorHAnsi"/>
        </w:rPr>
      </w:pPr>
      <w:r w:rsidRPr="0092482A">
        <w:rPr>
          <w:rFonts w:asciiTheme="minorHAnsi" w:hAnsiTheme="minorHAnsi" w:cstheme="minorHAnsi"/>
        </w:rPr>
        <w:t>Vývoj příjmů a výnosů MV byl ve sledovaném období podobný vývoji příjmů a výnosů celé kapitoly 314.</w:t>
      </w:r>
    </w:p>
    <w:p w14:paraId="62192F5B" w14:textId="77777777" w:rsidR="0092482A" w:rsidRPr="00F53337" w:rsidRDefault="0092482A" w:rsidP="0092482A">
      <w:pPr>
        <w:spacing w:after="0"/>
        <w:jc w:val="both"/>
        <w:rPr>
          <w:rFonts w:cstheme="minorHAnsi"/>
        </w:rPr>
      </w:pPr>
    </w:p>
    <w:p w14:paraId="7B3AA121" w14:textId="77777777" w:rsidR="0092482A" w:rsidRPr="00F53337" w:rsidRDefault="0092482A" w:rsidP="00E41647">
      <w:pPr>
        <w:pStyle w:val="Titulek"/>
        <w:tabs>
          <w:tab w:val="right" w:pos="9070"/>
        </w:tabs>
        <w:spacing w:before="0" w:after="40"/>
        <w:rPr>
          <w:rFonts w:cstheme="minorHAnsi"/>
          <w:szCs w:val="24"/>
        </w:rPr>
      </w:pPr>
      <w:bookmarkStart w:id="46" w:name="_Toc8984841"/>
      <w:bookmarkStart w:id="47" w:name="_Toc69401686"/>
      <w:bookmarkStart w:id="48" w:name="_Toc101336453"/>
      <w:r w:rsidRPr="00F53337">
        <w:rPr>
          <w:rFonts w:cstheme="minorHAnsi"/>
          <w:szCs w:val="24"/>
        </w:rPr>
        <w:t>Tabulka č.</w:t>
      </w:r>
      <w:r>
        <w:rPr>
          <w:rFonts w:cstheme="minorHAnsi"/>
          <w:szCs w:val="24"/>
        </w:rPr>
        <w:t xml:space="preserve"> 10</w:t>
      </w:r>
      <w:r w:rsidRPr="00F53337">
        <w:rPr>
          <w:rFonts w:cstheme="minorHAnsi"/>
          <w:szCs w:val="24"/>
        </w:rPr>
        <w:t>: Porovnání příjmů a výnosů OSS v rozpočtové kapitole 314 (bez MV</w:t>
      </w:r>
      <w:r w:rsidR="009D6BD8">
        <w:rPr>
          <w:rFonts w:cstheme="minorHAnsi"/>
          <w:szCs w:val="24"/>
        </w:rPr>
        <w:t>)</w:t>
      </w:r>
      <w:r w:rsidR="001A730F">
        <w:rPr>
          <w:rFonts w:cstheme="minorHAnsi"/>
          <w:szCs w:val="24"/>
        </w:rPr>
        <w:t xml:space="preserve"> </w:t>
      </w:r>
      <w:r w:rsidR="00E41647">
        <w:rPr>
          <w:rFonts w:cstheme="minorHAnsi"/>
          <w:szCs w:val="24"/>
        </w:rPr>
        <w:tab/>
      </w:r>
      <w:r w:rsidR="009D6BD8">
        <w:rPr>
          <w:rFonts w:cstheme="minorHAnsi"/>
          <w:szCs w:val="24"/>
        </w:rPr>
        <w:t>(</w:t>
      </w:r>
      <w:r w:rsidRPr="00F53337">
        <w:rPr>
          <w:rFonts w:cstheme="minorHAnsi"/>
          <w:szCs w:val="24"/>
        </w:rPr>
        <w:t>v Kč)</w:t>
      </w:r>
      <w:bookmarkEnd w:id="46"/>
      <w:bookmarkEnd w:id="47"/>
      <w:bookmarkEnd w:id="48"/>
    </w:p>
    <w:tbl>
      <w:tblPr>
        <w:tblW w:w="499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4"/>
        <w:gridCol w:w="1456"/>
        <w:gridCol w:w="1457"/>
        <w:gridCol w:w="1457"/>
        <w:gridCol w:w="1457"/>
        <w:gridCol w:w="1457"/>
      </w:tblGrid>
      <w:tr w:rsidR="0092482A" w:rsidRPr="005B5B16" w14:paraId="413B5196" w14:textId="77777777" w:rsidTr="00D64495">
        <w:trPr>
          <w:trHeight w:val="255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3445E7C" w14:textId="77777777" w:rsidR="0092482A" w:rsidRPr="005B5B16" w:rsidRDefault="0092482A" w:rsidP="0092482A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Ukazatel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0E97950" w14:textId="77777777" w:rsidR="0092482A" w:rsidRPr="005B5B16" w:rsidRDefault="0092482A" w:rsidP="0092482A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2017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7DFC9BA" w14:textId="77777777" w:rsidR="0092482A" w:rsidRPr="005B5B16" w:rsidRDefault="0092482A" w:rsidP="0092482A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2018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F4AD257" w14:textId="77777777" w:rsidR="0092482A" w:rsidRPr="005B5B16" w:rsidRDefault="0092482A" w:rsidP="0092482A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2019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3474316B" w14:textId="77777777" w:rsidR="0092482A" w:rsidRPr="005B5B16" w:rsidRDefault="0092482A" w:rsidP="0092482A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2020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6898993B" w14:textId="77777777" w:rsidR="0092482A" w:rsidRPr="005B5B16" w:rsidRDefault="0092482A" w:rsidP="0092482A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2021</w:t>
            </w:r>
          </w:p>
        </w:tc>
      </w:tr>
      <w:tr w:rsidR="0092482A" w:rsidRPr="005B5B16" w14:paraId="1DBB8A8A" w14:textId="77777777" w:rsidTr="00D64495">
        <w:trPr>
          <w:trHeight w:val="255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5C993" w14:textId="77777777" w:rsidR="0092482A" w:rsidRPr="005B5B16" w:rsidRDefault="0092482A" w:rsidP="0092482A">
            <w:pPr>
              <w:spacing w:after="0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Příjmy (skutečnost)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2DD54" w14:textId="77777777" w:rsidR="0092482A" w:rsidRPr="005B5B16" w:rsidRDefault="0092482A" w:rsidP="0092482A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7 243 631 098,25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19997" w14:textId="77777777" w:rsidR="0092482A" w:rsidRPr="005B5B16" w:rsidRDefault="0092482A" w:rsidP="0092482A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8 512 153 202,28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DE091" w14:textId="77777777" w:rsidR="0092482A" w:rsidRPr="005B5B16" w:rsidRDefault="0092482A" w:rsidP="0092482A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8 967 830 691,05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CE2B0" w14:textId="77777777" w:rsidR="0092482A" w:rsidRPr="005B5B16" w:rsidRDefault="0092482A" w:rsidP="0092482A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9 952 040 222,70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11C68" w14:textId="77777777" w:rsidR="0092482A" w:rsidRPr="005B5B16" w:rsidRDefault="0092482A" w:rsidP="0092482A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10 442 936 838,01</w:t>
            </w:r>
          </w:p>
        </w:tc>
      </w:tr>
      <w:tr w:rsidR="0092482A" w:rsidRPr="005B5B16" w14:paraId="1BE3FFFC" w14:textId="77777777" w:rsidTr="00D64495">
        <w:trPr>
          <w:trHeight w:val="255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E91EC" w14:textId="77777777" w:rsidR="0092482A" w:rsidRPr="005B5B16" w:rsidRDefault="0092482A" w:rsidP="0092482A">
            <w:pPr>
              <w:spacing w:after="0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Výnosy celkem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0D0A5" w14:textId="77777777" w:rsidR="0092482A" w:rsidRPr="005B5B16" w:rsidRDefault="0092482A" w:rsidP="0092482A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7 298 053 143,32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10F7A" w14:textId="77777777" w:rsidR="0092482A" w:rsidRPr="005B5B16" w:rsidRDefault="0092482A" w:rsidP="0092482A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8 789 000 207,26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B8461" w14:textId="77777777" w:rsidR="0092482A" w:rsidRPr="005B5B16" w:rsidRDefault="0092482A" w:rsidP="0092482A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8 801 552 816,97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23489" w14:textId="77777777" w:rsidR="0092482A" w:rsidRPr="005B5B16" w:rsidRDefault="0092482A" w:rsidP="0092482A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9 883 644 915,57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6478E" w14:textId="77777777" w:rsidR="0092482A" w:rsidRPr="005B5B16" w:rsidRDefault="0092482A" w:rsidP="0092482A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10 081 367 886,27</w:t>
            </w:r>
          </w:p>
        </w:tc>
      </w:tr>
    </w:tbl>
    <w:p w14:paraId="14E02185" w14:textId="77777777" w:rsidR="0092482A" w:rsidRPr="0092482A" w:rsidRDefault="0092482A" w:rsidP="0092482A">
      <w:pPr>
        <w:pStyle w:val="Zdroj"/>
        <w:spacing w:before="40" w:after="120"/>
        <w:rPr>
          <w:rFonts w:asciiTheme="minorHAnsi" w:hAnsiTheme="minorHAnsi"/>
          <w:i w:val="0"/>
        </w:rPr>
      </w:pPr>
      <w:bookmarkStart w:id="49" w:name="_Toc520715162"/>
      <w:r w:rsidRPr="0092482A">
        <w:rPr>
          <w:rFonts w:asciiTheme="minorHAnsi" w:hAnsiTheme="minorHAnsi"/>
          <w:b/>
          <w:i w:val="0"/>
        </w:rPr>
        <w:t xml:space="preserve">Zdroj: </w:t>
      </w:r>
      <w:bookmarkStart w:id="50" w:name="_Toc8985358"/>
      <w:bookmarkStart w:id="51" w:name="_Toc8990140"/>
      <w:r w:rsidRPr="0092482A">
        <w:rPr>
          <w:rFonts w:asciiTheme="minorHAnsi" w:hAnsiTheme="minorHAnsi"/>
          <w:i w:val="0"/>
        </w:rPr>
        <w:t>informační portál MONITOR.</w:t>
      </w:r>
    </w:p>
    <w:p w14:paraId="75729CEA" w14:textId="77777777" w:rsidR="003C023B" w:rsidRPr="00076F89" w:rsidRDefault="0092482A" w:rsidP="00124170">
      <w:pPr>
        <w:pStyle w:val="Zdroj"/>
        <w:spacing w:before="40"/>
        <w:rPr>
          <w:rFonts w:asciiTheme="minorHAnsi" w:hAnsiTheme="minorHAnsi"/>
          <w:bCs/>
          <w:i w:val="0"/>
          <w:iCs/>
          <w:sz w:val="24"/>
        </w:rPr>
      </w:pPr>
      <w:r w:rsidRPr="0092482A">
        <w:rPr>
          <w:rFonts w:asciiTheme="minorHAnsi" w:hAnsiTheme="minorHAnsi"/>
          <w:i w:val="0"/>
          <w:iCs/>
          <w:sz w:val="24"/>
        </w:rPr>
        <w:t>Příjmy a výnosy se ve sledovaném období u ostatních OSS (bez MV) vyvíjely obdobně.</w:t>
      </w:r>
      <w:bookmarkStart w:id="52" w:name="_Toc519242491"/>
      <w:bookmarkStart w:id="53" w:name="_Toc39530423"/>
      <w:bookmarkEnd w:id="49"/>
      <w:bookmarkEnd w:id="50"/>
      <w:bookmarkEnd w:id="51"/>
    </w:p>
    <w:p w14:paraId="48FAC6A7" w14:textId="77777777" w:rsidR="003C023B" w:rsidRPr="005B5B16" w:rsidRDefault="003C023B" w:rsidP="00E2221E">
      <w:pPr>
        <w:pStyle w:val="Odstavecseseznamem"/>
        <w:keepNext/>
        <w:keepLines/>
        <w:spacing w:after="0"/>
        <w:ind w:left="567"/>
        <w:contextualSpacing w:val="0"/>
        <w:jc w:val="both"/>
        <w:outlineLvl w:val="2"/>
        <w:rPr>
          <w:rFonts w:eastAsia="Calibri" w:cstheme="minorHAnsi"/>
          <w:b/>
          <w:vanish/>
        </w:rPr>
      </w:pPr>
    </w:p>
    <w:p w14:paraId="57A3C211" w14:textId="77777777" w:rsidR="003C023B" w:rsidRPr="005B5B16" w:rsidRDefault="003C023B" w:rsidP="00E2221E">
      <w:pPr>
        <w:pStyle w:val="Odstavecseseznamem"/>
        <w:keepNext/>
        <w:keepLines/>
        <w:spacing w:after="0"/>
        <w:ind w:left="567"/>
        <w:contextualSpacing w:val="0"/>
        <w:jc w:val="both"/>
        <w:outlineLvl w:val="2"/>
        <w:rPr>
          <w:rFonts w:eastAsia="Calibri" w:cstheme="minorHAnsi"/>
          <w:b/>
          <w:vanish/>
        </w:rPr>
      </w:pPr>
    </w:p>
    <w:p w14:paraId="4058F85E" w14:textId="77777777" w:rsidR="003C023B" w:rsidRPr="00DD3FBB" w:rsidRDefault="003C023B" w:rsidP="00DD3FBB">
      <w:pPr>
        <w:spacing w:after="240"/>
        <w:jc w:val="center"/>
        <w:rPr>
          <w:rFonts w:eastAsia="Calibri"/>
          <w:b/>
          <w:bCs/>
        </w:rPr>
      </w:pPr>
      <w:r w:rsidRPr="00DD3FBB">
        <w:rPr>
          <w:rFonts w:eastAsia="Calibri"/>
          <w:b/>
          <w:bCs/>
        </w:rPr>
        <w:t>Oddíl IV. Porovnání</w:t>
      </w:r>
      <w:r w:rsidRPr="00DD3FBB">
        <w:rPr>
          <w:b/>
          <w:bCs/>
        </w:rPr>
        <w:t xml:space="preserve"> výdajů a nákladů v rozpočtové kapitole 3</w:t>
      </w:r>
      <w:bookmarkEnd w:id="52"/>
      <w:bookmarkEnd w:id="53"/>
      <w:r w:rsidRPr="00DD3FBB">
        <w:rPr>
          <w:b/>
          <w:bCs/>
        </w:rPr>
        <w:t xml:space="preserve">14 </w:t>
      </w:r>
      <w:r w:rsidRPr="00DD3FBB">
        <w:rPr>
          <w:rFonts w:eastAsia="Calibri"/>
          <w:b/>
          <w:bCs/>
        </w:rPr>
        <w:t>v letech 2017–2021</w:t>
      </w:r>
    </w:p>
    <w:p w14:paraId="303D0118" w14:textId="77777777" w:rsidR="003C023B" w:rsidRPr="001F10C2" w:rsidRDefault="003C023B" w:rsidP="00124170">
      <w:pPr>
        <w:pStyle w:val="Titulek"/>
        <w:tabs>
          <w:tab w:val="right" w:pos="9070"/>
        </w:tabs>
        <w:spacing w:before="0" w:after="40"/>
        <w:rPr>
          <w:rFonts w:cstheme="minorHAnsi"/>
          <w:szCs w:val="24"/>
        </w:rPr>
      </w:pPr>
      <w:bookmarkStart w:id="54" w:name="_Toc520714635"/>
      <w:bookmarkStart w:id="55" w:name="_Toc8984842"/>
      <w:bookmarkStart w:id="56" w:name="_Toc69401690"/>
      <w:bookmarkStart w:id="57" w:name="_Toc101336457"/>
      <w:r w:rsidRPr="001F10C2">
        <w:rPr>
          <w:rFonts w:cstheme="minorHAnsi"/>
          <w:szCs w:val="24"/>
        </w:rPr>
        <w:t xml:space="preserve">Tabulka č. </w:t>
      </w:r>
      <w:r w:rsidR="00574536">
        <w:rPr>
          <w:rFonts w:cstheme="minorHAnsi"/>
          <w:szCs w:val="24"/>
        </w:rPr>
        <w:t>11</w:t>
      </w:r>
      <w:r w:rsidRPr="001F10C2">
        <w:rPr>
          <w:rFonts w:cstheme="minorHAnsi"/>
          <w:szCs w:val="24"/>
        </w:rPr>
        <w:t xml:space="preserve">: Porovnání výdajů a nákladů za všechny OSS v kapitole 314 vč. MV </w:t>
      </w:r>
      <w:r w:rsidR="00E41647">
        <w:rPr>
          <w:rFonts w:cstheme="minorHAnsi"/>
          <w:szCs w:val="24"/>
        </w:rPr>
        <w:tab/>
      </w:r>
      <w:r w:rsidRPr="001F10C2">
        <w:rPr>
          <w:rFonts w:cstheme="minorHAnsi"/>
          <w:szCs w:val="24"/>
        </w:rPr>
        <w:t>(v</w:t>
      </w:r>
      <w:r w:rsidR="00943257">
        <w:rPr>
          <w:rFonts w:cstheme="minorHAnsi"/>
          <w:szCs w:val="24"/>
        </w:rPr>
        <w:t xml:space="preserve"> </w:t>
      </w:r>
      <w:r w:rsidRPr="001F10C2">
        <w:rPr>
          <w:rFonts w:cstheme="minorHAnsi"/>
          <w:szCs w:val="24"/>
        </w:rPr>
        <w:t>Kč)</w:t>
      </w:r>
      <w:bookmarkEnd w:id="54"/>
      <w:bookmarkEnd w:id="55"/>
      <w:bookmarkEnd w:id="56"/>
      <w:bookmarkEnd w:id="57"/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1"/>
        <w:gridCol w:w="1582"/>
        <w:gridCol w:w="1535"/>
        <w:gridCol w:w="1522"/>
        <w:gridCol w:w="1522"/>
        <w:gridCol w:w="1518"/>
      </w:tblGrid>
      <w:tr w:rsidR="003C023B" w:rsidRPr="005B5B16" w14:paraId="2E46C350" w14:textId="77777777" w:rsidTr="00943257">
        <w:trPr>
          <w:trHeight w:val="255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F5FD27B" w14:textId="77777777" w:rsidR="003C023B" w:rsidRPr="005B5B16" w:rsidRDefault="003C023B" w:rsidP="00943257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A1A8D95" w14:textId="77777777" w:rsidR="003C023B" w:rsidRPr="005B5B16" w:rsidRDefault="003C023B" w:rsidP="00943257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7B638E3" w14:textId="77777777" w:rsidR="003C023B" w:rsidRPr="005B5B16" w:rsidRDefault="003C023B" w:rsidP="00943257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4B1394D" w14:textId="77777777" w:rsidR="003C023B" w:rsidRPr="005B5B16" w:rsidRDefault="003C023B" w:rsidP="00943257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7DF01AD5" w14:textId="77777777" w:rsidR="003C023B" w:rsidRPr="005B5B16" w:rsidRDefault="003C023B" w:rsidP="00943257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7F4251BD" w14:textId="77777777" w:rsidR="003C023B" w:rsidRPr="005B5B16" w:rsidRDefault="003C023B" w:rsidP="00943257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8"/>
                <w:szCs w:val="18"/>
              </w:rPr>
              <w:t>2021</w:t>
            </w:r>
          </w:p>
        </w:tc>
      </w:tr>
      <w:tr w:rsidR="003C023B" w:rsidRPr="005B5B16" w14:paraId="4658F027" w14:textId="77777777" w:rsidTr="00943257">
        <w:trPr>
          <w:trHeight w:val="255"/>
        </w:trPr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F8D15" w14:textId="77777777" w:rsidR="003C023B" w:rsidRPr="00124170" w:rsidRDefault="003C023B" w:rsidP="00943257">
            <w:pPr>
              <w:spacing w:after="0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124170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Výdaje (skutečnost)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4413C" w14:textId="77777777" w:rsidR="003C023B" w:rsidRPr="005B5B16" w:rsidRDefault="003C023B" w:rsidP="00943257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66 358 941 442,35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77623" w14:textId="77777777" w:rsidR="003C023B" w:rsidRPr="005B5B16" w:rsidRDefault="003C023B" w:rsidP="00943257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74 346 222 806,16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BE04D" w14:textId="77777777" w:rsidR="003C023B" w:rsidRPr="005B5B16" w:rsidRDefault="003C023B" w:rsidP="00943257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80 471 495 632,22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8BDAB" w14:textId="77777777" w:rsidR="003C023B" w:rsidRPr="005B5B16" w:rsidRDefault="003C023B" w:rsidP="00943257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93 001 503 903,84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11ED6" w14:textId="77777777" w:rsidR="003C023B" w:rsidRPr="005B5B16" w:rsidRDefault="003C023B" w:rsidP="00943257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90 880 157 072,88</w:t>
            </w:r>
          </w:p>
        </w:tc>
      </w:tr>
      <w:tr w:rsidR="003C023B" w:rsidRPr="005B5B16" w14:paraId="5061F241" w14:textId="77777777" w:rsidTr="00943257">
        <w:trPr>
          <w:trHeight w:val="255"/>
        </w:trPr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1DE09" w14:textId="77777777" w:rsidR="003C023B" w:rsidRPr="00124170" w:rsidRDefault="003C023B" w:rsidP="00943257">
            <w:pPr>
              <w:spacing w:after="0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124170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Náklady celkem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FDF41" w14:textId="77777777" w:rsidR="003C023B" w:rsidRPr="005B5B16" w:rsidRDefault="003C023B" w:rsidP="00943257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66 648 882 613,91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48E3E" w14:textId="77777777" w:rsidR="003C023B" w:rsidRPr="005B5B16" w:rsidRDefault="003C023B" w:rsidP="00943257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73 817 426 035,08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19AE4" w14:textId="77777777" w:rsidR="003C023B" w:rsidRPr="005B5B16" w:rsidRDefault="003C023B" w:rsidP="00943257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78 396 910 436,98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009C6" w14:textId="77777777" w:rsidR="003C023B" w:rsidRPr="005B5B16" w:rsidRDefault="003C023B" w:rsidP="00943257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88 337 057 072,26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3CED0" w14:textId="77777777" w:rsidR="003C023B" w:rsidRPr="005B5B16" w:rsidRDefault="003C023B" w:rsidP="00943257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88 272 221 452,75</w:t>
            </w:r>
          </w:p>
        </w:tc>
      </w:tr>
    </w:tbl>
    <w:p w14:paraId="589788A5" w14:textId="77777777" w:rsidR="003C023B" w:rsidRPr="00943257" w:rsidRDefault="003C023B" w:rsidP="003C023B">
      <w:pPr>
        <w:pStyle w:val="Zdroj"/>
        <w:spacing w:before="40" w:after="120"/>
        <w:rPr>
          <w:rFonts w:asciiTheme="minorHAnsi" w:hAnsiTheme="minorHAnsi"/>
          <w:i w:val="0"/>
        </w:rPr>
      </w:pPr>
      <w:r w:rsidRPr="00943257">
        <w:rPr>
          <w:rFonts w:asciiTheme="minorHAnsi" w:hAnsiTheme="minorHAnsi"/>
          <w:b/>
          <w:i w:val="0"/>
        </w:rPr>
        <w:t xml:space="preserve">Zdroj: </w:t>
      </w:r>
      <w:r w:rsidRPr="00943257">
        <w:rPr>
          <w:rFonts w:asciiTheme="minorHAnsi" w:hAnsiTheme="minorHAnsi"/>
          <w:bCs/>
          <w:i w:val="0"/>
        </w:rPr>
        <w:t>informační portál MONITOR.</w:t>
      </w:r>
    </w:p>
    <w:p w14:paraId="48620466" w14:textId="77777777" w:rsidR="003C023B" w:rsidRPr="00943257" w:rsidRDefault="003C023B" w:rsidP="00943257">
      <w:pPr>
        <w:ind w:right="-2"/>
        <w:jc w:val="both"/>
        <w:rPr>
          <w:rFonts w:asciiTheme="minorHAnsi" w:hAnsiTheme="minorHAnsi" w:cstheme="minorHAnsi"/>
        </w:rPr>
      </w:pPr>
      <w:r w:rsidRPr="00943257">
        <w:rPr>
          <w:rFonts w:asciiTheme="minorHAnsi" w:hAnsiTheme="minorHAnsi" w:cstheme="minorHAnsi"/>
        </w:rPr>
        <w:t xml:space="preserve">Výdaje a náklady kapitoly 314 se ve sledovaném období vyvíjely obdobně. Do roku 2020 vykazovaly obě veličiny rostoucí tendenci, v roce 2021 naopak zaznamenaly mírný pokles ve srovnání s rokem předchozím. </w:t>
      </w:r>
    </w:p>
    <w:p w14:paraId="734F8A74" w14:textId="77777777" w:rsidR="003C023B" w:rsidRPr="001F10C2" w:rsidRDefault="003C023B" w:rsidP="00943257">
      <w:pPr>
        <w:ind w:right="-2"/>
        <w:jc w:val="both"/>
        <w:rPr>
          <w:rFonts w:cstheme="minorHAnsi"/>
        </w:rPr>
      </w:pPr>
      <w:r w:rsidRPr="001F10C2">
        <w:rPr>
          <w:rFonts w:cstheme="minorHAnsi"/>
        </w:rPr>
        <w:t>Největší podíl nákladů kapitoly 314 tvořily v roce 2021 tyto syntetické účty:</w:t>
      </w:r>
    </w:p>
    <w:p w14:paraId="4D7F7655" w14:textId="77777777" w:rsidR="003C023B" w:rsidRPr="001F10C2" w:rsidRDefault="003C023B" w:rsidP="00943257">
      <w:pPr>
        <w:pStyle w:val="Odstavecseseznamem"/>
        <w:numPr>
          <w:ilvl w:val="0"/>
          <w:numId w:val="20"/>
        </w:numPr>
        <w:spacing w:after="0"/>
        <w:ind w:right="-2"/>
        <w:jc w:val="both"/>
        <w:rPr>
          <w:rFonts w:cstheme="minorHAnsi"/>
        </w:rPr>
      </w:pPr>
      <w:r w:rsidRPr="001F10C2">
        <w:rPr>
          <w:rFonts w:cstheme="minorHAnsi"/>
          <w:iCs/>
        </w:rPr>
        <w:t>521</w:t>
      </w:r>
      <w:r w:rsidR="00B727A4">
        <w:rPr>
          <w:rFonts w:cstheme="minorHAnsi"/>
          <w:iCs/>
        </w:rPr>
        <w:t>–</w:t>
      </w:r>
      <w:r w:rsidRPr="001F10C2">
        <w:rPr>
          <w:rFonts w:cstheme="minorHAnsi"/>
          <w:i/>
        </w:rPr>
        <w:t xml:space="preserve"> Mzdové náklady </w:t>
      </w:r>
      <w:r w:rsidRPr="001F10C2">
        <w:rPr>
          <w:rFonts w:cstheme="minorHAnsi"/>
        </w:rPr>
        <w:t>(43,30 %),</w:t>
      </w:r>
    </w:p>
    <w:p w14:paraId="2DEB6DD3" w14:textId="77777777" w:rsidR="003C023B" w:rsidRPr="001F10C2" w:rsidRDefault="003C023B" w:rsidP="00943257">
      <w:pPr>
        <w:pStyle w:val="Odstavecseseznamem"/>
        <w:numPr>
          <w:ilvl w:val="0"/>
          <w:numId w:val="20"/>
        </w:numPr>
        <w:spacing w:after="0"/>
        <w:ind w:right="-2"/>
        <w:jc w:val="both"/>
        <w:rPr>
          <w:rFonts w:cstheme="minorHAnsi"/>
          <w:i/>
        </w:rPr>
      </w:pPr>
      <w:r w:rsidRPr="001F10C2">
        <w:rPr>
          <w:rFonts w:cstheme="minorHAnsi"/>
          <w:iCs/>
        </w:rPr>
        <w:t xml:space="preserve">571 </w:t>
      </w:r>
      <w:r w:rsidR="00B727A4">
        <w:rPr>
          <w:rFonts w:cstheme="minorHAnsi"/>
          <w:iCs/>
        </w:rPr>
        <w:t>–</w:t>
      </w:r>
      <w:r w:rsidRPr="001F10C2">
        <w:rPr>
          <w:rFonts w:cstheme="minorHAnsi"/>
          <w:i/>
        </w:rPr>
        <w:t xml:space="preserve"> Náklady vybraných ústředních vládních institucí na transfery </w:t>
      </w:r>
      <w:r w:rsidRPr="001F10C2">
        <w:rPr>
          <w:rFonts w:cstheme="minorHAnsi"/>
        </w:rPr>
        <w:t>(17,63 %),</w:t>
      </w:r>
    </w:p>
    <w:p w14:paraId="3BE1146A" w14:textId="77777777" w:rsidR="003C023B" w:rsidRPr="001F10C2" w:rsidRDefault="003C023B" w:rsidP="00943257">
      <w:pPr>
        <w:pStyle w:val="Odstavecseseznamem"/>
        <w:numPr>
          <w:ilvl w:val="0"/>
          <w:numId w:val="20"/>
        </w:numPr>
        <w:spacing w:after="0"/>
        <w:ind w:right="-2"/>
        <w:jc w:val="both"/>
        <w:rPr>
          <w:rFonts w:cstheme="minorHAnsi"/>
          <w:i/>
        </w:rPr>
      </w:pPr>
      <w:r w:rsidRPr="001F10C2">
        <w:rPr>
          <w:rFonts w:cstheme="minorHAnsi"/>
          <w:iCs/>
        </w:rPr>
        <w:t>524</w:t>
      </w:r>
      <w:r w:rsidRPr="001F10C2">
        <w:rPr>
          <w:rFonts w:cstheme="minorHAnsi"/>
          <w:i/>
        </w:rPr>
        <w:t xml:space="preserve"> </w:t>
      </w:r>
      <w:r w:rsidR="00B727A4">
        <w:rPr>
          <w:rFonts w:cstheme="minorHAnsi"/>
          <w:i/>
        </w:rPr>
        <w:t>–</w:t>
      </w:r>
      <w:r w:rsidRPr="001F10C2">
        <w:rPr>
          <w:rFonts w:cstheme="minorHAnsi"/>
          <w:i/>
        </w:rPr>
        <w:t xml:space="preserve"> Zákonné sociální pojištění </w:t>
      </w:r>
      <w:r w:rsidRPr="00124170">
        <w:rPr>
          <w:rFonts w:cstheme="minorHAnsi"/>
        </w:rPr>
        <w:t>(14,25 %).</w:t>
      </w:r>
    </w:p>
    <w:p w14:paraId="44D8FB67" w14:textId="77777777" w:rsidR="003C023B" w:rsidRPr="001F10C2" w:rsidRDefault="003C023B" w:rsidP="00943257">
      <w:pPr>
        <w:spacing w:after="0"/>
        <w:ind w:right="-2"/>
        <w:jc w:val="both"/>
        <w:rPr>
          <w:rFonts w:cstheme="minorHAnsi"/>
        </w:rPr>
      </w:pPr>
    </w:p>
    <w:p w14:paraId="5331708A" w14:textId="77777777" w:rsidR="003C023B" w:rsidRPr="001F10C2" w:rsidRDefault="003C023B" w:rsidP="00943257">
      <w:pPr>
        <w:ind w:right="-2"/>
        <w:jc w:val="both"/>
        <w:rPr>
          <w:rFonts w:cstheme="minorHAnsi"/>
        </w:rPr>
      </w:pPr>
      <w:r w:rsidRPr="001F10C2">
        <w:rPr>
          <w:rFonts w:cstheme="minorHAnsi"/>
        </w:rPr>
        <w:t>Největší podíl výdajů kapitoly 314 tvořily v roce 2021 tyto rozpočtové položky:</w:t>
      </w:r>
    </w:p>
    <w:p w14:paraId="2AB73AF8" w14:textId="77777777" w:rsidR="003C023B" w:rsidRPr="001F10C2" w:rsidRDefault="003C023B" w:rsidP="00943257">
      <w:pPr>
        <w:pStyle w:val="Odstavecseseznamem"/>
        <w:numPr>
          <w:ilvl w:val="0"/>
          <w:numId w:val="20"/>
        </w:numPr>
        <w:spacing w:after="0"/>
        <w:ind w:right="-2"/>
        <w:jc w:val="both"/>
        <w:rPr>
          <w:rFonts w:cstheme="minorHAnsi"/>
        </w:rPr>
      </w:pPr>
      <w:r w:rsidRPr="001F10C2">
        <w:rPr>
          <w:rFonts w:cstheme="minorHAnsi"/>
          <w:iCs/>
        </w:rPr>
        <w:t>5012</w:t>
      </w:r>
      <w:r w:rsidRPr="001F10C2">
        <w:rPr>
          <w:rFonts w:cstheme="minorHAnsi"/>
          <w:i/>
        </w:rPr>
        <w:t xml:space="preserve"> </w:t>
      </w:r>
      <w:r w:rsidR="00B727A4">
        <w:rPr>
          <w:rFonts w:cstheme="minorHAnsi"/>
          <w:i/>
        </w:rPr>
        <w:t>–</w:t>
      </w:r>
      <w:r w:rsidRPr="001F10C2">
        <w:rPr>
          <w:rFonts w:cstheme="minorHAnsi"/>
          <w:i/>
        </w:rPr>
        <w:t xml:space="preserve"> Platy zaměstnanců bezpečnostních sborů a ozbrojených sil ve služebním poměru </w:t>
      </w:r>
      <w:r w:rsidRPr="001F10C2">
        <w:rPr>
          <w:rFonts w:cstheme="minorHAnsi"/>
        </w:rPr>
        <w:t>(34,27 %),</w:t>
      </w:r>
    </w:p>
    <w:p w14:paraId="525E17F4" w14:textId="77777777" w:rsidR="003C023B" w:rsidRPr="00E41647" w:rsidRDefault="003C023B" w:rsidP="00943257">
      <w:pPr>
        <w:pStyle w:val="Odstavecseseznamem"/>
        <w:numPr>
          <w:ilvl w:val="0"/>
          <w:numId w:val="20"/>
        </w:numPr>
        <w:spacing w:after="0"/>
        <w:ind w:right="-2"/>
        <w:jc w:val="both"/>
        <w:rPr>
          <w:rFonts w:cstheme="minorHAnsi"/>
        </w:rPr>
      </w:pPr>
      <w:r w:rsidRPr="001F10C2">
        <w:rPr>
          <w:rFonts w:cstheme="minorHAnsi"/>
          <w:iCs/>
        </w:rPr>
        <w:t>5410</w:t>
      </w:r>
      <w:r w:rsidRPr="001F10C2">
        <w:rPr>
          <w:rFonts w:cstheme="minorHAnsi"/>
          <w:i/>
        </w:rPr>
        <w:t xml:space="preserve"> </w:t>
      </w:r>
      <w:r w:rsidR="00B727A4">
        <w:rPr>
          <w:rFonts w:cstheme="minorHAnsi"/>
          <w:i/>
        </w:rPr>
        <w:t>–</w:t>
      </w:r>
      <w:r w:rsidRPr="001F10C2">
        <w:rPr>
          <w:rFonts w:cstheme="minorHAnsi"/>
          <w:i/>
        </w:rPr>
        <w:t xml:space="preserve"> Sociální dávky </w:t>
      </w:r>
      <w:r w:rsidRPr="00124170">
        <w:rPr>
          <w:rFonts w:cstheme="minorHAnsi"/>
        </w:rPr>
        <w:t>(13,93 %),</w:t>
      </w:r>
    </w:p>
    <w:p w14:paraId="7EC9E000" w14:textId="239E18B5" w:rsidR="003C023B" w:rsidRDefault="003C023B" w:rsidP="00943257">
      <w:pPr>
        <w:pStyle w:val="Odstavecseseznamem"/>
        <w:numPr>
          <w:ilvl w:val="0"/>
          <w:numId w:val="20"/>
        </w:numPr>
        <w:spacing w:after="0"/>
        <w:ind w:right="-2"/>
        <w:jc w:val="both"/>
        <w:rPr>
          <w:rFonts w:cstheme="minorHAnsi"/>
        </w:rPr>
      </w:pPr>
      <w:r w:rsidRPr="001F10C2">
        <w:rPr>
          <w:rFonts w:cstheme="minorHAnsi"/>
          <w:iCs/>
        </w:rPr>
        <w:t>5031</w:t>
      </w:r>
      <w:r w:rsidR="005C061D">
        <w:rPr>
          <w:rFonts w:cstheme="minorHAnsi"/>
          <w:i/>
        </w:rPr>
        <w:t xml:space="preserve"> </w:t>
      </w:r>
      <w:r w:rsidR="00E41647">
        <w:rPr>
          <w:rFonts w:cstheme="minorHAnsi"/>
          <w:i/>
        </w:rPr>
        <w:t>–</w:t>
      </w:r>
      <w:r w:rsidR="005C061D">
        <w:rPr>
          <w:rFonts w:cstheme="minorHAnsi"/>
          <w:i/>
        </w:rPr>
        <w:t xml:space="preserve"> </w:t>
      </w:r>
      <w:r w:rsidRPr="001F10C2">
        <w:rPr>
          <w:rFonts w:cstheme="minorHAnsi"/>
          <w:i/>
        </w:rPr>
        <w:t xml:space="preserve">Povinné pojistné na sociální zabezpečení a příspěvek na stát </w:t>
      </w:r>
      <w:r w:rsidRPr="001F10C2">
        <w:rPr>
          <w:rFonts w:cstheme="minorHAnsi"/>
        </w:rPr>
        <w:t>(10,08 %).</w:t>
      </w:r>
    </w:p>
    <w:p w14:paraId="21A36394" w14:textId="77777777" w:rsidR="00B068C9" w:rsidRPr="001F10C2" w:rsidRDefault="00B068C9" w:rsidP="00B068C9">
      <w:pPr>
        <w:pStyle w:val="Odstavecseseznamem"/>
        <w:spacing w:after="0"/>
        <w:ind w:right="143"/>
        <w:jc w:val="both"/>
        <w:rPr>
          <w:rFonts w:cstheme="minorHAnsi"/>
        </w:rPr>
      </w:pPr>
    </w:p>
    <w:p w14:paraId="142FD6BF" w14:textId="77777777" w:rsidR="00B068C9" w:rsidRPr="001F10C2" w:rsidRDefault="00B068C9" w:rsidP="00124170">
      <w:pPr>
        <w:pStyle w:val="Titulek"/>
        <w:tabs>
          <w:tab w:val="right" w:pos="9070"/>
        </w:tabs>
        <w:spacing w:before="0" w:after="40"/>
        <w:rPr>
          <w:rFonts w:cstheme="minorHAnsi"/>
          <w:szCs w:val="24"/>
        </w:rPr>
      </w:pPr>
      <w:bookmarkStart w:id="58" w:name="_Toc8984843"/>
      <w:bookmarkStart w:id="59" w:name="_Toc69401691"/>
      <w:bookmarkStart w:id="60" w:name="_Toc101336458"/>
      <w:r w:rsidRPr="001F10C2">
        <w:rPr>
          <w:rFonts w:cstheme="minorHAnsi"/>
          <w:szCs w:val="24"/>
        </w:rPr>
        <w:t xml:space="preserve">Tabulka č. </w:t>
      </w:r>
      <w:r w:rsidR="00574536">
        <w:rPr>
          <w:rFonts w:cstheme="minorHAnsi"/>
          <w:szCs w:val="24"/>
        </w:rPr>
        <w:t>12</w:t>
      </w:r>
      <w:r w:rsidRPr="001F10C2">
        <w:rPr>
          <w:rFonts w:cstheme="minorHAnsi"/>
          <w:szCs w:val="24"/>
        </w:rPr>
        <w:t xml:space="preserve">: Porovnání výdajů a nákladů za MV </w:t>
      </w:r>
      <w:r w:rsidR="00E211B4">
        <w:rPr>
          <w:rFonts w:cstheme="minorHAnsi"/>
          <w:szCs w:val="24"/>
        </w:rPr>
        <w:tab/>
      </w:r>
      <w:r w:rsidRPr="001F10C2">
        <w:rPr>
          <w:rFonts w:cstheme="minorHAnsi"/>
          <w:szCs w:val="24"/>
        </w:rPr>
        <w:t>(v Kč)</w:t>
      </w:r>
      <w:bookmarkEnd w:id="58"/>
      <w:bookmarkEnd w:id="59"/>
      <w:bookmarkEnd w:id="6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7"/>
        <w:gridCol w:w="1455"/>
        <w:gridCol w:w="1457"/>
        <w:gridCol w:w="1457"/>
        <w:gridCol w:w="1457"/>
        <w:gridCol w:w="1567"/>
      </w:tblGrid>
      <w:tr w:rsidR="00B068C9" w:rsidRPr="005B5B16" w14:paraId="63A4F3EB" w14:textId="77777777" w:rsidTr="00B068C9">
        <w:trPr>
          <w:trHeight w:val="255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A4E16C9" w14:textId="77777777" w:rsidR="00B068C9" w:rsidRPr="005B5B16" w:rsidRDefault="00B068C9" w:rsidP="00B068C9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Ukazatel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0CCD5BD" w14:textId="77777777" w:rsidR="00B068C9" w:rsidRPr="005B5B16" w:rsidRDefault="00B068C9" w:rsidP="00B068C9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D30A0C1" w14:textId="77777777" w:rsidR="00B068C9" w:rsidRPr="005B5B16" w:rsidRDefault="00B068C9" w:rsidP="00B068C9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D93F7EF" w14:textId="77777777" w:rsidR="00B068C9" w:rsidRPr="005B5B16" w:rsidRDefault="00B068C9" w:rsidP="00B068C9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409B7459" w14:textId="77777777" w:rsidR="00B068C9" w:rsidRPr="005B5B16" w:rsidRDefault="00B068C9" w:rsidP="00B068C9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26CB6315" w14:textId="77777777" w:rsidR="00B068C9" w:rsidRPr="005B5B16" w:rsidRDefault="00B068C9" w:rsidP="00B068C9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6"/>
                <w:szCs w:val="16"/>
              </w:rPr>
              <w:t>2021</w:t>
            </w:r>
          </w:p>
        </w:tc>
      </w:tr>
      <w:tr w:rsidR="00B068C9" w:rsidRPr="005B5B16" w14:paraId="5F518029" w14:textId="77777777" w:rsidTr="00B068C9">
        <w:trPr>
          <w:trHeight w:val="255"/>
        </w:trPr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E6FAA" w14:textId="77777777" w:rsidR="00B068C9" w:rsidRPr="005B5B16" w:rsidRDefault="00B068C9" w:rsidP="00B068C9">
            <w:pPr>
              <w:spacing w:after="0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Výdaje (skutečnost)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E98CF" w14:textId="77777777" w:rsidR="00B068C9" w:rsidRPr="005B5B16" w:rsidRDefault="00B068C9" w:rsidP="00B068C9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26 901 497 907,61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9250C" w14:textId="77777777" w:rsidR="00B068C9" w:rsidRPr="005B5B16" w:rsidRDefault="00B068C9" w:rsidP="00B068C9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29 143 210 183,34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F3445" w14:textId="77777777" w:rsidR="00B068C9" w:rsidRPr="005B5B16" w:rsidRDefault="00B068C9" w:rsidP="00B068C9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31 195 149 307,43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51F19" w14:textId="77777777" w:rsidR="00B068C9" w:rsidRPr="005B5B16" w:rsidRDefault="00B068C9" w:rsidP="00B068C9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39 657 644 912,37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6C85E" w14:textId="77777777" w:rsidR="00B068C9" w:rsidRPr="005B5B16" w:rsidRDefault="00B068C9" w:rsidP="00B068C9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36 243 388 013,11</w:t>
            </w:r>
          </w:p>
        </w:tc>
      </w:tr>
      <w:tr w:rsidR="00B068C9" w:rsidRPr="005B5B16" w14:paraId="0DD65482" w14:textId="77777777" w:rsidTr="00B068C9">
        <w:trPr>
          <w:trHeight w:val="255"/>
        </w:trPr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E7FB5" w14:textId="77777777" w:rsidR="00B068C9" w:rsidRPr="005B5B16" w:rsidRDefault="00B068C9" w:rsidP="00B068C9">
            <w:pPr>
              <w:spacing w:after="0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Náklady celkem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6224A" w14:textId="77777777" w:rsidR="00B068C9" w:rsidRPr="005B5B16" w:rsidRDefault="00B068C9" w:rsidP="00B068C9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26 692 803 713,91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E3B0F" w14:textId="77777777" w:rsidR="00B068C9" w:rsidRPr="005B5B16" w:rsidRDefault="00B068C9" w:rsidP="00B068C9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28 549 730 169,36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CA7E9" w14:textId="77777777" w:rsidR="00B068C9" w:rsidRPr="005B5B16" w:rsidRDefault="00B068C9" w:rsidP="00B068C9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30 481 233 517,88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25A0E" w14:textId="77777777" w:rsidR="00B068C9" w:rsidRPr="005B5B16" w:rsidRDefault="00B068C9" w:rsidP="00B068C9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37 415 245 847,07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59EB4" w14:textId="77777777" w:rsidR="00B068C9" w:rsidRPr="005B5B16" w:rsidRDefault="00B068C9" w:rsidP="00B068C9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34 893 859 186,99</w:t>
            </w:r>
          </w:p>
        </w:tc>
      </w:tr>
    </w:tbl>
    <w:p w14:paraId="7274AF1A" w14:textId="77777777" w:rsidR="00B068C9" w:rsidRPr="00B068C9" w:rsidRDefault="00B068C9" w:rsidP="00B068C9">
      <w:pPr>
        <w:pStyle w:val="Zdroj"/>
        <w:spacing w:before="40" w:after="120"/>
        <w:rPr>
          <w:rFonts w:asciiTheme="minorHAnsi" w:hAnsiTheme="minorHAnsi"/>
          <w:i w:val="0"/>
        </w:rPr>
      </w:pPr>
      <w:bookmarkStart w:id="61" w:name="_Toc520714637"/>
      <w:r w:rsidRPr="00B068C9">
        <w:rPr>
          <w:rFonts w:asciiTheme="minorHAnsi" w:hAnsiTheme="minorHAnsi"/>
          <w:b/>
          <w:i w:val="0"/>
        </w:rPr>
        <w:t xml:space="preserve">Zdroj: </w:t>
      </w:r>
      <w:r w:rsidRPr="00B068C9">
        <w:rPr>
          <w:rFonts w:asciiTheme="minorHAnsi" w:hAnsiTheme="minorHAnsi"/>
          <w:i w:val="0"/>
        </w:rPr>
        <w:t>informační portál MONITOR.</w:t>
      </w:r>
    </w:p>
    <w:p w14:paraId="016E7B46" w14:textId="77777777" w:rsidR="00B068C9" w:rsidRDefault="00B068C9" w:rsidP="00B068C9">
      <w:pPr>
        <w:pStyle w:val="Zdroj"/>
        <w:spacing w:before="0"/>
        <w:jc w:val="both"/>
        <w:rPr>
          <w:rFonts w:asciiTheme="minorHAnsi" w:hAnsiTheme="minorHAnsi"/>
          <w:i w:val="0"/>
          <w:iCs/>
          <w:sz w:val="24"/>
        </w:rPr>
      </w:pPr>
      <w:r w:rsidRPr="00B068C9">
        <w:rPr>
          <w:rFonts w:asciiTheme="minorHAnsi" w:hAnsiTheme="minorHAnsi"/>
          <w:i w:val="0"/>
          <w:iCs/>
          <w:sz w:val="24"/>
        </w:rPr>
        <w:t>Vývoj výdajů a nákladů MV byl ve sledovaném období podobný vývoji výdajů a nákladů celé kapitoly 314.</w:t>
      </w:r>
    </w:p>
    <w:p w14:paraId="067BE59B" w14:textId="77777777" w:rsidR="00B068C9" w:rsidRPr="00B068C9" w:rsidRDefault="00B068C9" w:rsidP="00B068C9">
      <w:pPr>
        <w:pStyle w:val="Zdroj"/>
        <w:spacing w:before="0"/>
        <w:jc w:val="both"/>
        <w:rPr>
          <w:rFonts w:asciiTheme="minorHAnsi" w:hAnsiTheme="minorHAnsi"/>
          <w:bCs/>
          <w:i w:val="0"/>
          <w:iCs/>
          <w:sz w:val="24"/>
        </w:rPr>
      </w:pPr>
    </w:p>
    <w:p w14:paraId="5A240F20" w14:textId="77777777" w:rsidR="00B068C9" w:rsidRPr="001F10C2" w:rsidRDefault="00B068C9" w:rsidP="00124170">
      <w:pPr>
        <w:pStyle w:val="Titulek"/>
        <w:tabs>
          <w:tab w:val="right" w:pos="9070"/>
        </w:tabs>
        <w:spacing w:before="0" w:after="40"/>
        <w:rPr>
          <w:rFonts w:cstheme="minorHAnsi"/>
          <w:szCs w:val="24"/>
        </w:rPr>
      </w:pPr>
      <w:bookmarkStart w:id="62" w:name="_Toc8984844"/>
      <w:bookmarkStart w:id="63" w:name="_Toc69401692"/>
      <w:bookmarkStart w:id="64" w:name="_Toc101336459"/>
      <w:r w:rsidRPr="001F10C2">
        <w:rPr>
          <w:rFonts w:cstheme="minorHAnsi"/>
          <w:szCs w:val="24"/>
        </w:rPr>
        <w:t xml:space="preserve">Tabulka č. </w:t>
      </w:r>
      <w:r w:rsidR="00574536">
        <w:rPr>
          <w:rFonts w:cstheme="minorHAnsi"/>
          <w:szCs w:val="24"/>
        </w:rPr>
        <w:t>13</w:t>
      </w:r>
      <w:r w:rsidRPr="001F10C2">
        <w:rPr>
          <w:rFonts w:cstheme="minorHAnsi"/>
          <w:szCs w:val="24"/>
        </w:rPr>
        <w:t>: Porovnání výdajů a nákladů OSS v rozpočtové kapitole 314 (bez MV</w:t>
      </w:r>
      <w:r w:rsidR="009D6BD8">
        <w:rPr>
          <w:rFonts w:cstheme="minorHAnsi"/>
          <w:szCs w:val="24"/>
        </w:rPr>
        <w:t xml:space="preserve">) </w:t>
      </w:r>
      <w:r w:rsidR="00E41647">
        <w:rPr>
          <w:rFonts w:cstheme="minorHAnsi"/>
          <w:szCs w:val="24"/>
        </w:rPr>
        <w:tab/>
      </w:r>
      <w:r w:rsidR="009D6BD8">
        <w:rPr>
          <w:rFonts w:cstheme="minorHAnsi"/>
          <w:szCs w:val="24"/>
        </w:rPr>
        <w:t>(</w:t>
      </w:r>
      <w:r w:rsidRPr="001F10C2">
        <w:rPr>
          <w:rFonts w:cstheme="minorHAnsi"/>
          <w:szCs w:val="24"/>
        </w:rPr>
        <w:t>v Kč)</w:t>
      </w:r>
      <w:bookmarkEnd w:id="61"/>
      <w:bookmarkEnd w:id="62"/>
      <w:bookmarkEnd w:id="63"/>
      <w:bookmarkEnd w:id="64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0"/>
        <w:gridCol w:w="1468"/>
        <w:gridCol w:w="1468"/>
        <w:gridCol w:w="1468"/>
        <w:gridCol w:w="1529"/>
        <w:gridCol w:w="1537"/>
      </w:tblGrid>
      <w:tr w:rsidR="00B068C9" w:rsidRPr="001F10C2" w14:paraId="7DFA6E92" w14:textId="77777777" w:rsidTr="00B068C9">
        <w:trPr>
          <w:trHeight w:val="255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4651D38" w14:textId="77777777" w:rsidR="00B068C9" w:rsidRPr="001F10C2" w:rsidRDefault="00B068C9" w:rsidP="00B068C9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1F10C2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Ukazatel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61EB8B9" w14:textId="77777777" w:rsidR="00B068C9" w:rsidRPr="001F10C2" w:rsidRDefault="00B068C9" w:rsidP="00B068C9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1F10C2">
              <w:rPr>
                <w:rFonts w:cstheme="minorHAnsi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3A160B6" w14:textId="77777777" w:rsidR="00B068C9" w:rsidRPr="001F10C2" w:rsidRDefault="00B068C9" w:rsidP="00B068C9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1F10C2">
              <w:rPr>
                <w:rFonts w:cstheme="minorHAnsi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107CEE0" w14:textId="77777777" w:rsidR="00B068C9" w:rsidRPr="001F10C2" w:rsidRDefault="00B068C9" w:rsidP="00B068C9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1F10C2">
              <w:rPr>
                <w:rFonts w:cstheme="minorHAnsi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03986063" w14:textId="77777777" w:rsidR="00B068C9" w:rsidRPr="001F10C2" w:rsidRDefault="00B068C9" w:rsidP="00B068C9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1F10C2">
              <w:rPr>
                <w:rFonts w:cstheme="minorHAnsi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07B676DB" w14:textId="77777777" w:rsidR="00B068C9" w:rsidRPr="001F10C2" w:rsidRDefault="00B068C9" w:rsidP="00B068C9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1F10C2">
              <w:rPr>
                <w:rFonts w:cstheme="minorHAnsi"/>
                <w:b/>
                <w:bCs/>
                <w:sz w:val="16"/>
                <w:szCs w:val="16"/>
              </w:rPr>
              <w:t>2021</w:t>
            </w:r>
          </w:p>
        </w:tc>
      </w:tr>
      <w:tr w:rsidR="00B068C9" w:rsidRPr="001F10C2" w14:paraId="559D1739" w14:textId="77777777" w:rsidTr="00B068C9">
        <w:trPr>
          <w:trHeight w:val="255"/>
        </w:trPr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0CE07" w14:textId="77777777" w:rsidR="00B068C9" w:rsidRPr="001F10C2" w:rsidRDefault="00B068C9" w:rsidP="00B068C9">
            <w:pPr>
              <w:spacing w:after="0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1F10C2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Výdaje (skutečnost)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CA71B" w14:textId="77777777" w:rsidR="00B068C9" w:rsidRPr="001F10C2" w:rsidRDefault="00B068C9" w:rsidP="00B068C9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1F10C2">
              <w:rPr>
                <w:rFonts w:cstheme="minorHAnsi"/>
                <w:sz w:val="16"/>
                <w:szCs w:val="16"/>
              </w:rPr>
              <w:t>39 457 443 534,74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37200" w14:textId="77777777" w:rsidR="00B068C9" w:rsidRPr="001F10C2" w:rsidRDefault="00B068C9" w:rsidP="00B068C9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1F10C2">
              <w:rPr>
                <w:rFonts w:cstheme="minorHAnsi"/>
                <w:sz w:val="16"/>
                <w:szCs w:val="16"/>
              </w:rPr>
              <w:t>45 203 012 622,82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956DF" w14:textId="77777777" w:rsidR="00B068C9" w:rsidRPr="001F10C2" w:rsidRDefault="00B068C9" w:rsidP="00B068C9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1F10C2">
              <w:rPr>
                <w:rFonts w:cstheme="minorHAnsi"/>
                <w:sz w:val="16"/>
                <w:szCs w:val="16"/>
              </w:rPr>
              <w:t>49 276 346 324,79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68B8C" w14:textId="77777777" w:rsidR="00B068C9" w:rsidRPr="001F10C2" w:rsidRDefault="00B068C9" w:rsidP="00B068C9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1F10C2">
              <w:rPr>
                <w:rFonts w:cstheme="minorHAnsi"/>
                <w:sz w:val="16"/>
                <w:szCs w:val="16"/>
              </w:rPr>
              <w:t>53 343 858 991,47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427F1" w14:textId="77777777" w:rsidR="00B068C9" w:rsidRPr="001F10C2" w:rsidRDefault="00B068C9" w:rsidP="00B068C9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1F10C2">
              <w:rPr>
                <w:rFonts w:cstheme="minorHAnsi"/>
                <w:sz w:val="16"/>
                <w:szCs w:val="16"/>
              </w:rPr>
              <w:t>54 636 769 059,77</w:t>
            </w:r>
          </w:p>
        </w:tc>
      </w:tr>
      <w:tr w:rsidR="00B068C9" w:rsidRPr="001F10C2" w14:paraId="669D8644" w14:textId="77777777" w:rsidTr="00B068C9">
        <w:trPr>
          <w:trHeight w:val="255"/>
        </w:trPr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0DB46" w14:textId="77777777" w:rsidR="00B068C9" w:rsidRPr="001F10C2" w:rsidRDefault="00B068C9" w:rsidP="00B068C9">
            <w:pPr>
              <w:spacing w:after="0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1F10C2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Náklady celkem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8BFAD" w14:textId="77777777" w:rsidR="00B068C9" w:rsidRPr="001F10C2" w:rsidRDefault="00B068C9" w:rsidP="00B068C9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1F10C2">
              <w:rPr>
                <w:rFonts w:cstheme="minorHAnsi"/>
                <w:sz w:val="16"/>
                <w:szCs w:val="16"/>
              </w:rPr>
              <w:t>39 956 078 900,00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E5957" w14:textId="77777777" w:rsidR="00B068C9" w:rsidRPr="001F10C2" w:rsidRDefault="00B068C9" w:rsidP="00B068C9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1F10C2">
              <w:rPr>
                <w:rFonts w:cstheme="minorHAnsi"/>
                <w:sz w:val="16"/>
                <w:szCs w:val="16"/>
              </w:rPr>
              <w:t>45 267 695 865,72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6446F" w14:textId="77777777" w:rsidR="00B068C9" w:rsidRPr="001F10C2" w:rsidRDefault="00B068C9" w:rsidP="00B068C9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1F10C2">
              <w:rPr>
                <w:rFonts w:cstheme="minorHAnsi"/>
                <w:sz w:val="16"/>
                <w:szCs w:val="16"/>
              </w:rPr>
              <w:t>47 915 676 919,10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C2A65" w14:textId="77777777" w:rsidR="00B068C9" w:rsidRPr="001F10C2" w:rsidRDefault="00B068C9" w:rsidP="00B068C9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1F10C2">
              <w:rPr>
                <w:rFonts w:cstheme="minorHAnsi"/>
                <w:sz w:val="16"/>
                <w:szCs w:val="16"/>
              </w:rPr>
              <w:t>50 921 811 225,19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336E4" w14:textId="77777777" w:rsidR="00B068C9" w:rsidRPr="001F10C2" w:rsidRDefault="00B068C9" w:rsidP="00B068C9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1F10C2">
              <w:rPr>
                <w:rFonts w:cstheme="minorHAnsi"/>
                <w:sz w:val="16"/>
                <w:szCs w:val="16"/>
              </w:rPr>
              <w:t>53 378 362 265,76</w:t>
            </w:r>
          </w:p>
        </w:tc>
      </w:tr>
    </w:tbl>
    <w:p w14:paraId="4434DCCF" w14:textId="77777777" w:rsidR="00B068C9" w:rsidRPr="00B068C9" w:rsidRDefault="00B068C9" w:rsidP="00B068C9">
      <w:pPr>
        <w:pStyle w:val="Zdroj"/>
        <w:spacing w:before="40" w:after="120"/>
        <w:rPr>
          <w:rFonts w:asciiTheme="minorHAnsi" w:hAnsiTheme="minorHAnsi"/>
          <w:i w:val="0"/>
        </w:rPr>
      </w:pPr>
      <w:r w:rsidRPr="00B068C9">
        <w:rPr>
          <w:rFonts w:asciiTheme="minorHAnsi" w:hAnsiTheme="minorHAnsi"/>
          <w:b/>
          <w:i w:val="0"/>
        </w:rPr>
        <w:t xml:space="preserve">Zdroj: </w:t>
      </w:r>
      <w:r w:rsidRPr="00B068C9">
        <w:rPr>
          <w:rFonts w:asciiTheme="minorHAnsi" w:hAnsiTheme="minorHAnsi"/>
          <w:i w:val="0"/>
        </w:rPr>
        <w:t>informační portál MONITOR.</w:t>
      </w:r>
    </w:p>
    <w:p w14:paraId="3B07BF93" w14:textId="7AE5CF03" w:rsidR="001C3BBD" w:rsidRDefault="00B068C9" w:rsidP="001C3BBD">
      <w:pPr>
        <w:pStyle w:val="Zdroj"/>
        <w:spacing w:before="0"/>
        <w:jc w:val="both"/>
        <w:rPr>
          <w:rFonts w:asciiTheme="minorHAnsi" w:hAnsiTheme="minorHAnsi"/>
          <w:bCs/>
          <w:i w:val="0"/>
          <w:sz w:val="24"/>
        </w:rPr>
      </w:pPr>
      <w:r w:rsidRPr="00B068C9">
        <w:rPr>
          <w:rFonts w:asciiTheme="minorHAnsi" w:hAnsiTheme="minorHAnsi"/>
          <w:bCs/>
          <w:i w:val="0"/>
          <w:sz w:val="24"/>
        </w:rPr>
        <w:t xml:space="preserve">V letech 2017 a 2018 </w:t>
      </w:r>
      <w:r w:rsidR="00C1340A">
        <w:rPr>
          <w:rFonts w:asciiTheme="minorHAnsi" w:hAnsiTheme="minorHAnsi"/>
          <w:bCs/>
          <w:i w:val="0"/>
          <w:sz w:val="24"/>
        </w:rPr>
        <w:t>měly</w:t>
      </w:r>
      <w:r w:rsidRPr="00B068C9">
        <w:rPr>
          <w:rFonts w:asciiTheme="minorHAnsi" w:hAnsiTheme="minorHAnsi"/>
          <w:bCs/>
          <w:i w:val="0"/>
          <w:sz w:val="24"/>
        </w:rPr>
        <w:t xml:space="preserve"> výdaje a náklady OSS </w:t>
      </w:r>
      <w:r w:rsidR="00C1340A">
        <w:rPr>
          <w:rFonts w:asciiTheme="minorHAnsi" w:hAnsiTheme="minorHAnsi"/>
          <w:bCs/>
          <w:i w:val="0"/>
          <w:sz w:val="24"/>
        </w:rPr>
        <w:t>podobnou výši</w:t>
      </w:r>
      <w:r w:rsidRPr="00B068C9">
        <w:rPr>
          <w:rFonts w:asciiTheme="minorHAnsi" w:hAnsiTheme="minorHAnsi"/>
          <w:bCs/>
          <w:i w:val="0"/>
          <w:sz w:val="24"/>
        </w:rPr>
        <w:t>, od roku 2019 pak začaly výdaje mírně převažovat nad náklady.</w:t>
      </w:r>
    </w:p>
    <w:p w14:paraId="6C9613C5" w14:textId="77777777" w:rsidR="001C3BBD" w:rsidRPr="00DD3FBB" w:rsidRDefault="001C3BBD" w:rsidP="00DD3FBB">
      <w:pPr>
        <w:spacing w:after="240"/>
        <w:jc w:val="center"/>
        <w:rPr>
          <w:b/>
          <w:bCs/>
        </w:rPr>
      </w:pPr>
      <w:bookmarkStart w:id="65" w:name="_Toc71514624"/>
      <w:r w:rsidRPr="00DD3FBB">
        <w:rPr>
          <w:b/>
          <w:bCs/>
        </w:rPr>
        <w:t>Oddíl V. Tempa růstu příjmů a výnosů / výdajů a nákladů</w:t>
      </w:r>
      <w:bookmarkEnd w:id="65"/>
      <w:r w:rsidRPr="00DD3FBB">
        <w:rPr>
          <w:b/>
          <w:bCs/>
        </w:rPr>
        <w:t xml:space="preserve"> v rozpočtové kapitole 314</w:t>
      </w:r>
    </w:p>
    <w:p w14:paraId="54816068" w14:textId="77777777" w:rsidR="001C3BBD" w:rsidRPr="00D40645" w:rsidRDefault="001C3BBD" w:rsidP="00124170">
      <w:pPr>
        <w:pStyle w:val="Titulek"/>
        <w:tabs>
          <w:tab w:val="right" w:pos="9070"/>
        </w:tabs>
        <w:rPr>
          <w:rFonts w:cstheme="minorHAnsi"/>
          <w:szCs w:val="24"/>
        </w:rPr>
      </w:pPr>
      <w:bookmarkStart w:id="66" w:name="_Toc520714638"/>
      <w:bookmarkStart w:id="67" w:name="_Toc8984845"/>
      <w:bookmarkStart w:id="68" w:name="_Toc69401698"/>
      <w:bookmarkStart w:id="69" w:name="_Toc101336465"/>
      <w:r w:rsidRPr="00D40645">
        <w:rPr>
          <w:rFonts w:cstheme="minorHAnsi"/>
          <w:szCs w:val="24"/>
        </w:rPr>
        <w:lastRenderedPageBreak/>
        <w:t>Tabulka č.</w:t>
      </w:r>
      <w:r>
        <w:rPr>
          <w:rFonts w:cstheme="minorHAnsi"/>
          <w:szCs w:val="24"/>
        </w:rPr>
        <w:t xml:space="preserve"> 14</w:t>
      </w:r>
      <w:r w:rsidRPr="00D40645">
        <w:rPr>
          <w:rFonts w:cstheme="minorHAnsi"/>
          <w:szCs w:val="24"/>
        </w:rPr>
        <w:t xml:space="preserve">: Příjmy a výdaje OSS v rozpočtové kapitole 314 vč. MV </w:t>
      </w:r>
      <w:r w:rsidR="00C1340A">
        <w:rPr>
          <w:rFonts w:cstheme="minorHAnsi"/>
          <w:szCs w:val="24"/>
        </w:rPr>
        <w:tab/>
      </w:r>
      <w:r w:rsidRPr="00D40645">
        <w:rPr>
          <w:rFonts w:cstheme="minorHAnsi"/>
          <w:szCs w:val="24"/>
        </w:rPr>
        <w:t>(v Kč)</w:t>
      </w:r>
      <w:bookmarkEnd w:id="66"/>
      <w:bookmarkEnd w:id="67"/>
      <w:bookmarkEnd w:id="68"/>
      <w:bookmarkEnd w:id="69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1"/>
        <w:gridCol w:w="1528"/>
        <w:gridCol w:w="1528"/>
        <w:gridCol w:w="1526"/>
        <w:gridCol w:w="1526"/>
        <w:gridCol w:w="1701"/>
      </w:tblGrid>
      <w:tr w:rsidR="001C3BBD" w:rsidRPr="005B5B16" w14:paraId="32321EE3" w14:textId="77777777" w:rsidTr="001C3BBD">
        <w:trPr>
          <w:trHeight w:val="255"/>
        </w:trPr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25C48BB" w14:textId="77777777" w:rsidR="001C3BBD" w:rsidRPr="005B5B16" w:rsidRDefault="001C3BBD" w:rsidP="001C3BBD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95EE455" w14:textId="77777777" w:rsidR="001C3BBD" w:rsidRPr="005B5B16" w:rsidRDefault="001C3BBD" w:rsidP="001C3BBD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2017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86A65C7" w14:textId="77777777" w:rsidR="001C3BBD" w:rsidRPr="005B5B16" w:rsidRDefault="001C3BBD" w:rsidP="001C3BBD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2018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4CF460D" w14:textId="77777777" w:rsidR="001C3BBD" w:rsidRPr="005B5B16" w:rsidRDefault="001C3BBD" w:rsidP="001C3BBD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2019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7EBF5ADA" w14:textId="77777777" w:rsidR="001C3BBD" w:rsidRPr="005B5B16" w:rsidRDefault="001C3BBD" w:rsidP="001C3BBD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2020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0E0D6040" w14:textId="77777777" w:rsidR="001C3BBD" w:rsidRPr="005B5B16" w:rsidRDefault="001C3BBD" w:rsidP="001C3BBD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2021</w:t>
            </w:r>
          </w:p>
        </w:tc>
      </w:tr>
      <w:tr w:rsidR="001C3BBD" w:rsidRPr="005B5B16" w14:paraId="46905AD0" w14:textId="77777777" w:rsidTr="001C3BBD">
        <w:trPr>
          <w:trHeight w:val="255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7C7AD" w14:textId="77777777" w:rsidR="001C3BBD" w:rsidRPr="005B5B16" w:rsidRDefault="001C3BBD" w:rsidP="001C3BBD">
            <w:pPr>
              <w:spacing w:after="0"/>
              <w:rPr>
                <w:rFonts w:cstheme="minorHAnsi"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Cs/>
                <w:sz w:val="18"/>
                <w:szCs w:val="18"/>
                <w:lang w:eastAsia="cs-CZ"/>
              </w:rPr>
              <w:t>Příjmy celkem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41030" w14:textId="77777777" w:rsidR="001C3BBD" w:rsidRPr="005B5B16" w:rsidRDefault="001C3BBD" w:rsidP="001C3BB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9 040 161 366,01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DE132" w14:textId="77777777" w:rsidR="001C3BBD" w:rsidRPr="005B5B16" w:rsidRDefault="001C3BBD" w:rsidP="001C3BB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11 303 277 708,49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51A3F" w14:textId="77777777" w:rsidR="001C3BBD" w:rsidRPr="005B5B16" w:rsidRDefault="001C3BBD" w:rsidP="001C3BB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11 279 672 258,65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CCFFC" w14:textId="77777777" w:rsidR="001C3BBD" w:rsidRPr="005B5B16" w:rsidRDefault="001C3BBD" w:rsidP="001C3BB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12 623 305 778,38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3BC01" w14:textId="77777777" w:rsidR="001C3BBD" w:rsidRPr="005B5B16" w:rsidRDefault="001C3BBD" w:rsidP="001C3BB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12 932 168 138,31</w:t>
            </w:r>
          </w:p>
        </w:tc>
      </w:tr>
      <w:tr w:rsidR="001C3BBD" w:rsidRPr="005B5B16" w14:paraId="463B31AD" w14:textId="77777777" w:rsidTr="001C3BBD">
        <w:trPr>
          <w:trHeight w:val="255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8BF58" w14:textId="77777777" w:rsidR="001C3BBD" w:rsidRPr="005B5B16" w:rsidRDefault="001C3BBD" w:rsidP="001C3BBD">
            <w:pPr>
              <w:spacing w:after="0"/>
              <w:rPr>
                <w:rFonts w:cstheme="minorHAnsi"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Cs/>
                <w:sz w:val="18"/>
                <w:szCs w:val="18"/>
                <w:lang w:eastAsia="cs-CZ"/>
              </w:rPr>
              <w:t>Výdaje celkem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16E62" w14:textId="77777777" w:rsidR="001C3BBD" w:rsidRPr="005B5B16" w:rsidRDefault="001C3BBD" w:rsidP="001C3BB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66 358 941 442,35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47028" w14:textId="77777777" w:rsidR="001C3BBD" w:rsidRPr="005B5B16" w:rsidRDefault="001C3BBD" w:rsidP="001C3BB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74 346 222 806,16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F7E1B" w14:textId="77777777" w:rsidR="001C3BBD" w:rsidRPr="005B5B16" w:rsidRDefault="001C3BBD" w:rsidP="001C3BB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80 471 495 632,22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5A7E7" w14:textId="77777777" w:rsidR="001C3BBD" w:rsidRPr="005B5B16" w:rsidRDefault="001C3BBD" w:rsidP="001C3BB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93 001 503 903,84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71772" w14:textId="77777777" w:rsidR="001C3BBD" w:rsidRPr="005B5B16" w:rsidRDefault="001C3BBD" w:rsidP="001C3BB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90 880 157 072,88</w:t>
            </w:r>
          </w:p>
        </w:tc>
      </w:tr>
    </w:tbl>
    <w:p w14:paraId="67ED9BB4" w14:textId="77777777" w:rsidR="001C3BBD" w:rsidRPr="001C3BBD" w:rsidRDefault="001C3BBD" w:rsidP="001C3BBD">
      <w:pPr>
        <w:pStyle w:val="Zdroj"/>
        <w:spacing w:before="40"/>
        <w:rPr>
          <w:rFonts w:asciiTheme="minorHAnsi" w:hAnsiTheme="minorHAnsi"/>
          <w:i w:val="0"/>
        </w:rPr>
      </w:pPr>
      <w:bookmarkStart w:id="70" w:name="_Toc520714639"/>
      <w:r w:rsidRPr="001C3BBD">
        <w:rPr>
          <w:rFonts w:asciiTheme="minorHAnsi" w:hAnsiTheme="minorHAnsi"/>
          <w:b/>
          <w:i w:val="0"/>
        </w:rPr>
        <w:t xml:space="preserve">Zdroj: </w:t>
      </w:r>
      <w:r w:rsidRPr="001C3BBD">
        <w:rPr>
          <w:rFonts w:asciiTheme="minorHAnsi" w:hAnsiTheme="minorHAnsi"/>
          <w:i w:val="0"/>
        </w:rPr>
        <w:t>informační portál MONITOR.</w:t>
      </w:r>
    </w:p>
    <w:p w14:paraId="217B2AC6" w14:textId="77777777" w:rsidR="001C3BBD" w:rsidRPr="00D40645" w:rsidRDefault="001C3BBD" w:rsidP="001C3BBD">
      <w:pPr>
        <w:pStyle w:val="Zdroj"/>
        <w:spacing w:before="0"/>
        <w:rPr>
          <w:bCs/>
          <w:i w:val="0"/>
          <w:sz w:val="24"/>
        </w:rPr>
      </w:pPr>
    </w:p>
    <w:p w14:paraId="0D24B45E" w14:textId="77777777" w:rsidR="001C3BBD" w:rsidRPr="00D40645" w:rsidRDefault="001C3BBD" w:rsidP="001C3BBD">
      <w:pPr>
        <w:pStyle w:val="Titulek"/>
        <w:spacing w:before="0" w:after="40"/>
        <w:rPr>
          <w:rFonts w:cstheme="minorHAnsi"/>
          <w:szCs w:val="24"/>
        </w:rPr>
      </w:pPr>
      <w:bookmarkStart w:id="71" w:name="_Toc8984846"/>
      <w:bookmarkStart w:id="72" w:name="_Toc69401699"/>
      <w:bookmarkStart w:id="73" w:name="_Toc101336466"/>
      <w:r w:rsidRPr="00D40645">
        <w:rPr>
          <w:rFonts w:cstheme="minorHAnsi"/>
          <w:szCs w:val="24"/>
        </w:rPr>
        <w:t>Tabulka č.</w:t>
      </w:r>
      <w:r>
        <w:rPr>
          <w:rFonts w:cstheme="minorHAnsi"/>
          <w:szCs w:val="24"/>
        </w:rPr>
        <w:t xml:space="preserve"> 15</w:t>
      </w:r>
      <w:r w:rsidRPr="00D40645">
        <w:rPr>
          <w:rFonts w:cstheme="minorHAnsi"/>
          <w:szCs w:val="24"/>
        </w:rPr>
        <w:t>: Tempo růstu příjmů a výdajů OSS v rozpočtové kapitole 314 vč. M</w:t>
      </w:r>
      <w:bookmarkEnd w:id="70"/>
      <w:bookmarkEnd w:id="71"/>
      <w:bookmarkEnd w:id="72"/>
      <w:r w:rsidRPr="00D40645">
        <w:rPr>
          <w:rFonts w:cstheme="minorHAnsi"/>
          <w:szCs w:val="24"/>
        </w:rPr>
        <w:t>V</w:t>
      </w:r>
      <w:bookmarkEnd w:id="73"/>
    </w:p>
    <w:tbl>
      <w:tblPr>
        <w:tblW w:w="9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1"/>
        <w:gridCol w:w="1485"/>
        <w:gridCol w:w="1531"/>
        <w:gridCol w:w="1531"/>
        <w:gridCol w:w="1599"/>
      </w:tblGrid>
      <w:tr w:rsidR="001C3BBD" w:rsidRPr="005B5B16" w14:paraId="1615327B" w14:textId="77777777" w:rsidTr="00124170">
        <w:trPr>
          <w:trHeight w:val="255"/>
        </w:trPr>
        <w:tc>
          <w:tcPr>
            <w:tcW w:w="2891" w:type="dxa"/>
            <w:shd w:val="clear" w:color="auto" w:fill="E5F1FF"/>
            <w:noWrap/>
            <w:vAlign w:val="center"/>
            <w:hideMark/>
          </w:tcPr>
          <w:p w14:paraId="542823BC" w14:textId="77777777" w:rsidR="001C3BBD" w:rsidRPr="00124170" w:rsidRDefault="001C3BBD" w:rsidP="001C3BBD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124170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Tempo růstu (absolutní změna)</w:t>
            </w:r>
          </w:p>
        </w:tc>
        <w:tc>
          <w:tcPr>
            <w:tcW w:w="1485" w:type="dxa"/>
            <w:shd w:val="clear" w:color="auto" w:fill="E5F1FF"/>
            <w:noWrap/>
            <w:vAlign w:val="center"/>
            <w:hideMark/>
          </w:tcPr>
          <w:p w14:paraId="22EFB5DF" w14:textId="5D43ABFD" w:rsidR="001C3BBD" w:rsidRPr="00124170" w:rsidRDefault="001C3BBD" w:rsidP="001C3BBD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124170">
              <w:rPr>
                <w:rFonts w:cstheme="minorHAnsi"/>
                <w:b/>
                <w:sz w:val="18"/>
                <w:szCs w:val="18"/>
              </w:rPr>
              <w:t>2018</w:t>
            </w:r>
            <w:r w:rsidR="00C1340A" w:rsidRPr="00C1340A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C1340A" w:rsidRPr="00124170">
              <w:rPr>
                <w:rFonts w:cs="Calibri"/>
                <w:b/>
                <w:sz w:val="18"/>
                <w:szCs w:val="18"/>
              </w:rPr>
              <w:t xml:space="preserve">− </w:t>
            </w:r>
            <w:r w:rsidRPr="00124170">
              <w:rPr>
                <w:rFonts w:cstheme="minorHAnsi"/>
                <w:b/>
                <w:sz w:val="18"/>
                <w:szCs w:val="18"/>
              </w:rPr>
              <w:t>2017</w:t>
            </w:r>
            <w:proofErr w:type="gramEnd"/>
          </w:p>
        </w:tc>
        <w:tc>
          <w:tcPr>
            <w:tcW w:w="1531" w:type="dxa"/>
            <w:shd w:val="clear" w:color="auto" w:fill="E5F1FF"/>
            <w:noWrap/>
            <w:vAlign w:val="center"/>
            <w:hideMark/>
          </w:tcPr>
          <w:p w14:paraId="6120E5EE" w14:textId="0829EA19" w:rsidR="001C3BBD" w:rsidRPr="00124170" w:rsidRDefault="001C3BBD" w:rsidP="001C3BBD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124170">
              <w:rPr>
                <w:rFonts w:cstheme="minorHAnsi"/>
                <w:b/>
                <w:sz w:val="18"/>
                <w:szCs w:val="18"/>
              </w:rPr>
              <w:t>2019</w:t>
            </w:r>
            <w:r w:rsidR="00C1340A" w:rsidRPr="00C1340A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C1340A" w:rsidRPr="00124170">
              <w:rPr>
                <w:rFonts w:cs="Calibri"/>
                <w:b/>
                <w:sz w:val="18"/>
                <w:szCs w:val="18"/>
              </w:rPr>
              <w:t xml:space="preserve">− </w:t>
            </w:r>
            <w:r w:rsidRPr="00124170">
              <w:rPr>
                <w:rFonts w:cstheme="minorHAnsi"/>
                <w:b/>
                <w:sz w:val="18"/>
                <w:szCs w:val="18"/>
              </w:rPr>
              <w:t>2018</w:t>
            </w:r>
            <w:proofErr w:type="gramEnd"/>
          </w:p>
        </w:tc>
        <w:tc>
          <w:tcPr>
            <w:tcW w:w="1531" w:type="dxa"/>
            <w:shd w:val="clear" w:color="auto" w:fill="E5F1FF"/>
            <w:vAlign w:val="center"/>
          </w:tcPr>
          <w:p w14:paraId="4621C4F6" w14:textId="4B0664BF" w:rsidR="001C3BBD" w:rsidRPr="00124170" w:rsidRDefault="001C3BBD" w:rsidP="001C3BBD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124170">
              <w:rPr>
                <w:rFonts w:cstheme="minorHAnsi"/>
                <w:b/>
                <w:sz w:val="18"/>
                <w:szCs w:val="18"/>
              </w:rPr>
              <w:t>2020</w:t>
            </w:r>
            <w:r w:rsidR="00C1340A" w:rsidRPr="00C1340A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C1340A" w:rsidRPr="00124170">
              <w:rPr>
                <w:rFonts w:cs="Calibri"/>
                <w:b/>
                <w:sz w:val="18"/>
                <w:szCs w:val="18"/>
              </w:rPr>
              <w:t xml:space="preserve">− </w:t>
            </w:r>
            <w:r w:rsidRPr="00124170">
              <w:rPr>
                <w:rFonts w:cstheme="minorHAnsi"/>
                <w:b/>
                <w:sz w:val="18"/>
                <w:szCs w:val="18"/>
              </w:rPr>
              <w:t>2019</w:t>
            </w:r>
            <w:proofErr w:type="gramEnd"/>
          </w:p>
        </w:tc>
        <w:tc>
          <w:tcPr>
            <w:tcW w:w="1599" w:type="dxa"/>
            <w:shd w:val="clear" w:color="auto" w:fill="E5F1FF"/>
            <w:vAlign w:val="center"/>
          </w:tcPr>
          <w:p w14:paraId="188DE19E" w14:textId="4F53DEE9" w:rsidR="001C3BBD" w:rsidRPr="00124170" w:rsidRDefault="001C3BBD" w:rsidP="001C3BBD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124170">
              <w:rPr>
                <w:rFonts w:cstheme="minorHAnsi"/>
                <w:b/>
                <w:sz w:val="18"/>
                <w:szCs w:val="18"/>
              </w:rPr>
              <w:t>2021</w:t>
            </w:r>
            <w:r w:rsidR="00C1340A" w:rsidRPr="00C1340A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C1340A" w:rsidRPr="00124170">
              <w:rPr>
                <w:rFonts w:cs="Calibri"/>
                <w:b/>
                <w:sz w:val="18"/>
                <w:szCs w:val="18"/>
              </w:rPr>
              <w:t xml:space="preserve">− </w:t>
            </w:r>
            <w:r w:rsidRPr="00124170">
              <w:rPr>
                <w:rFonts w:cstheme="minorHAnsi"/>
                <w:b/>
                <w:sz w:val="18"/>
                <w:szCs w:val="18"/>
              </w:rPr>
              <w:t>2020</w:t>
            </w:r>
            <w:proofErr w:type="gramEnd"/>
          </w:p>
        </w:tc>
      </w:tr>
      <w:tr w:rsidR="001C3BBD" w:rsidRPr="005B5B16" w14:paraId="38D91D6A" w14:textId="77777777" w:rsidTr="00124170">
        <w:trPr>
          <w:trHeight w:val="255"/>
        </w:trPr>
        <w:tc>
          <w:tcPr>
            <w:tcW w:w="2891" w:type="dxa"/>
            <w:shd w:val="clear" w:color="auto" w:fill="auto"/>
            <w:noWrap/>
            <w:vAlign w:val="center"/>
          </w:tcPr>
          <w:p w14:paraId="463E687B" w14:textId="77777777" w:rsidR="001C3BBD" w:rsidRPr="00124170" w:rsidRDefault="001C3BBD" w:rsidP="001C3BBD">
            <w:pPr>
              <w:spacing w:after="0"/>
              <w:rPr>
                <w:rFonts w:cstheme="minorHAnsi"/>
                <w:bCs/>
                <w:sz w:val="18"/>
                <w:szCs w:val="18"/>
                <w:lang w:eastAsia="cs-CZ"/>
              </w:rPr>
            </w:pPr>
            <w:r w:rsidRPr="00124170">
              <w:rPr>
                <w:rFonts w:cstheme="minorHAnsi"/>
                <w:bCs/>
                <w:sz w:val="18"/>
                <w:szCs w:val="18"/>
                <w:lang w:eastAsia="cs-CZ"/>
              </w:rPr>
              <w:t>Příjmy (v Kč)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633B21AE" w14:textId="77777777" w:rsidR="001C3BBD" w:rsidRPr="00124170" w:rsidRDefault="001C3BBD" w:rsidP="001C3BB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124170">
              <w:rPr>
                <w:rFonts w:cstheme="minorHAnsi"/>
                <w:sz w:val="18"/>
                <w:szCs w:val="18"/>
              </w:rPr>
              <w:t>2 263 116 342,48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6E87F8BC" w14:textId="5F9B5D38" w:rsidR="001C3BBD" w:rsidRPr="00124170" w:rsidRDefault="00C1340A" w:rsidP="001C3BB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115FC">
              <w:rPr>
                <w:rFonts w:cs="Calibri"/>
                <w:sz w:val="18"/>
                <w:szCs w:val="18"/>
              </w:rPr>
              <w:t>−</w:t>
            </w:r>
            <w:r w:rsidR="001C3BBD" w:rsidRPr="00124170">
              <w:rPr>
                <w:rFonts w:cstheme="minorHAnsi"/>
                <w:sz w:val="18"/>
                <w:szCs w:val="18"/>
              </w:rPr>
              <w:t>23 605 449,84</w:t>
            </w:r>
          </w:p>
        </w:tc>
        <w:tc>
          <w:tcPr>
            <w:tcW w:w="1531" w:type="dxa"/>
            <w:vAlign w:val="center"/>
          </w:tcPr>
          <w:p w14:paraId="715E2D0B" w14:textId="77777777" w:rsidR="001C3BBD" w:rsidRPr="00124170" w:rsidRDefault="001C3BBD" w:rsidP="001C3BB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124170">
              <w:rPr>
                <w:rFonts w:cstheme="minorHAnsi"/>
                <w:sz w:val="18"/>
                <w:szCs w:val="18"/>
              </w:rPr>
              <w:t>1 343 633 519,73</w:t>
            </w:r>
          </w:p>
        </w:tc>
        <w:tc>
          <w:tcPr>
            <w:tcW w:w="1599" w:type="dxa"/>
            <w:vAlign w:val="center"/>
          </w:tcPr>
          <w:p w14:paraId="44F2FCCD" w14:textId="77777777" w:rsidR="001C3BBD" w:rsidRPr="00124170" w:rsidRDefault="001C3BBD" w:rsidP="001C3BB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124170">
              <w:rPr>
                <w:rFonts w:cstheme="minorHAnsi"/>
                <w:sz w:val="18"/>
                <w:szCs w:val="18"/>
              </w:rPr>
              <w:t>308 862 359,93</w:t>
            </w:r>
          </w:p>
        </w:tc>
      </w:tr>
      <w:tr w:rsidR="001C3BBD" w:rsidRPr="005B5B16" w14:paraId="5F8B4C68" w14:textId="77777777" w:rsidTr="00124170">
        <w:trPr>
          <w:trHeight w:val="255"/>
        </w:trPr>
        <w:tc>
          <w:tcPr>
            <w:tcW w:w="2891" w:type="dxa"/>
            <w:shd w:val="clear" w:color="auto" w:fill="auto"/>
            <w:noWrap/>
            <w:vAlign w:val="center"/>
          </w:tcPr>
          <w:p w14:paraId="7C4A3648" w14:textId="77777777" w:rsidR="001C3BBD" w:rsidRPr="00124170" w:rsidRDefault="001C3BBD" w:rsidP="001C3BBD">
            <w:pPr>
              <w:spacing w:after="0"/>
              <w:rPr>
                <w:rFonts w:cstheme="minorHAnsi"/>
                <w:bCs/>
                <w:sz w:val="18"/>
                <w:szCs w:val="18"/>
                <w:lang w:eastAsia="cs-CZ"/>
              </w:rPr>
            </w:pPr>
            <w:r w:rsidRPr="00124170">
              <w:rPr>
                <w:rFonts w:cstheme="minorHAnsi"/>
                <w:bCs/>
                <w:sz w:val="18"/>
                <w:szCs w:val="18"/>
                <w:lang w:eastAsia="cs-CZ"/>
              </w:rPr>
              <w:t>Výdaje (v Kč)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46117300" w14:textId="77777777" w:rsidR="001C3BBD" w:rsidRPr="00124170" w:rsidRDefault="001C3BBD" w:rsidP="001C3BB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124170">
              <w:rPr>
                <w:rFonts w:cstheme="minorHAnsi"/>
                <w:sz w:val="18"/>
                <w:szCs w:val="18"/>
              </w:rPr>
              <w:t>7 987 281 363,81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267590CE" w14:textId="77777777" w:rsidR="001C3BBD" w:rsidRPr="00124170" w:rsidRDefault="001C3BBD" w:rsidP="001C3BB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124170">
              <w:rPr>
                <w:rFonts w:cstheme="minorHAnsi"/>
                <w:sz w:val="18"/>
                <w:szCs w:val="18"/>
              </w:rPr>
              <w:t>6 125 272 826,06</w:t>
            </w:r>
          </w:p>
        </w:tc>
        <w:tc>
          <w:tcPr>
            <w:tcW w:w="1531" w:type="dxa"/>
            <w:vAlign w:val="center"/>
          </w:tcPr>
          <w:p w14:paraId="07410575" w14:textId="77777777" w:rsidR="001C3BBD" w:rsidRPr="00124170" w:rsidRDefault="001C3BBD" w:rsidP="001C3BB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124170">
              <w:rPr>
                <w:rFonts w:cstheme="minorHAnsi"/>
                <w:sz w:val="18"/>
                <w:szCs w:val="18"/>
              </w:rPr>
              <w:t>12 530 008 271,62</w:t>
            </w:r>
          </w:p>
        </w:tc>
        <w:tc>
          <w:tcPr>
            <w:tcW w:w="1599" w:type="dxa"/>
            <w:vAlign w:val="center"/>
          </w:tcPr>
          <w:p w14:paraId="647B0C14" w14:textId="66541F9B" w:rsidR="001C3BBD" w:rsidRPr="00124170" w:rsidRDefault="00C1340A" w:rsidP="00124170">
            <w:pPr>
              <w:spacing w:after="0"/>
              <w:ind w:left="-38"/>
              <w:jc w:val="right"/>
              <w:rPr>
                <w:rFonts w:cstheme="minorHAnsi"/>
                <w:sz w:val="18"/>
                <w:szCs w:val="18"/>
              </w:rPr>
            </w:pPr>
            <w:r w:rsidRPr="009115FC">
              <w:rPr>
                <w:rFonts w:cs="Calibri"/>
                <w:sz w:val="18"/>
                <w:szCs w:val="18"/>
              </w:rPr>
              <w:t>−</w:t>
            </w:r>
            <w:r w:rsidR="001C3BBD" w:rsidRPr="00124170">
              <w:rPr>
                <w:rFonts w:cstheme="minorHAnsi"/>
                <w:sz w:val="18"/>
                <w:szCs w:val="18"/>
              </w:rPr>
              <w:t>2 121 346 830,96</w:t>
            </w:r>
          </w:p>
        </w:tc>
      </w:tr>
      <w:tr w:rsidR="001C3BBD" w:rsidRPr="005B5B16" w14:paraId="3CCDA64E" w14:textId="77777777" w:rsidTr="00124170">
        <w:trPr>
          <w:trHeight w:val="255"/>
        </w:trPr>
        <w:tc>
          <w:tcPr>
            <w:tcW w:w="2891" w:type="dxa"/>
            <w:shd w:val="clear" w:color="auto" w:fill="E5F1FF"/>
            <w:noWrap/>
            <w:vAlign w:val="center"/>
          </w:tcPr>
          <w:p w14:paraId="7DFF1642" w14:textId="6BD7BC21" w:rsidR="001C3BBD" w:rsidRPr="00124170" w:rsidRDefault="001C3BBD" w:rsidP="001C3BBD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124170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Tempo růstu v % (relativní změna) (((x+</w:t>
            </w:r>
            <w:proofErr w:type="gramStart"/>
            <w:r w:rsidRPr="00124170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1)</w:t>
            </w:r>
            <w:r w:rsidR="00C1340A" w:rsidRPr="00124170">
              <w:rPr>
                <w:rFonts w:cs="Calibri"/>
                <w:b/>
                <w:sz w:val="18"/>
                <w:szCs w:val="18"/>
              </w:rPr>
              <w:t>−</w:t>
            </w:r>
            <w:proofErr w:type="gramEnd"/>
            <w:r w:rsidRPr="00124170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x)/x)</w:t>
            </w:r>
            <w:r w:rsidR="00C1340A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×</w:t>
            </w:r>
            <w:r w:rsidRPr="00124170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1485" w:type="dxa"/>
            <w:shd w:val="clear" w:color="auto" w:fill="E5F1FF"/>
            <w:noWrap/>
            <w:vAlign w:val="center"/>
          </w:tcPr>
          <w:p w14:paraId="3E05D212" w14:textId="77777777" w:rsidR="001C3BBD" w:rsidRPr="00124170" w:rsidRDefault="001C3BBD" w:rsidP="001C3BBD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24170">
              <w:rPr>
                <w:rFonts w:cstheme="minorHAnsi"/>
                <w:b/>
                <w:sz w:val="18"/>
                <w:szCs w:val="18"/>
              </w:rPr>
              <w:t>2018/2017</w:t>
            </w:r>
          </w:p>
        </w:tc>
        <w:tc>
          <w:tcPr>
            <w:tcW w:w="1531" w:type="dxa"/>
            <w:shd w:val="clear" w:color="auto" w:fill="E5F1FF"/>
            <w:noWrap/>
            <w:vAlign w:val="center"/>
          </w:tcPr>
          <w:p w14:paraId="0058CC31" w14:textId="77777777" w:rsidR="001C3BBD" w:rsidRPr="00124170" w:rsidRDefault="001C3BBD" w:rsidP="001C3BBD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24170">
              <w:rPr>
                <w:rFonts w:cstheme="minorHAnsi"/>
                <w:b/>
                <w:sz w:val="18"/>
                <w:szCs w:val="18"/>
              </w:rPr>
              <w:t>2019/2018</w:t>
            </w:r>
          </w:p>
        </w:tc>
        <w:tc>
          <w:tcPr>
            <w:tcW w:w="1531" w:type="dxa"/>
            <w:shd w:val="clear" w:color="auto" w:fill="E5F1FF"/>
            <w:vAlign w:val="center"/>
          </w:tcPr>
          <w:p w14:paraId="699E2A7F" w14:textId="77777777" w:rsidR="001C3BBD" w:rsidRPr="00124170" w:rsidRDefault="001C3BBD" w:rsidP="001C3BBD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24170">
              <w:rPr>
                <w:rFonts w:cstheme="minorHAnsi"/>
                <w:b/>
                <w:sz w:val="18"/>
                <w:szCs w:val="18"/>
              </w:rPr>
              <w:t>2020/2019</w:t>
            </w:r>
          </w:p>
        </w:tc>
        <w:tc>
          <w:tcPr>
            <w:tcW w:w="1599" w:type="dxa"/>
            <w:shd w:val="clear" w:color="auto" w:fill="E5F1FF"/>
            <w:vAlign w:val="center"/>
          </w:tcPr>
          <w:p w14:paraId="73D13AE7" w14:textId="77777777" w:rsidR="001C3BBD" w:rsidRPr="00124170" w:rsidRDefault="001C3BBD" w:rsidP="001C3BBD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24170">
              <w:rPr>
                <w:rFonts w:cstheme="minorHAnsi"/>
                <w:b/>
                <w:sz w:val="18"/>
                <w:szCs w:val="18"/>
              </w:rPr>
              <w:t>2021/2020</w:t>
            </w:r>
          </w:p>
        </w:tc>
      </w:tr>
      <w:tr w:rsidR="001C3BBD" w:rsidRPr="005B5B16" w14:paraId="76F18F55" w14:textId="77777777" w:rsidTr="00124170">
        <w:trPr>
          <w:trHeight w:val="255"/>
        </w:trPr>
        <w:tc>
          <w:tcPr>
            <w:tcW w:w="2891" w:type="dxa"/>
            <w:shd w:val="clear" w:color="auto" w:fill="auto"/>
            <w:noWrap/>
            <w:vAlign w:val="center"/>
          </w:tcPr>
          <w:p w14:paraId="3871D7E0" w14:textId="77777777" w:rsidR="001C3BBD" w:rsidRPr="00124170" w:rsidRDefault="001C3BBD" w:rsidP="001C3BBD">
            <w:pPr>
              <w:spacing w:after="0"/>
              <w:rPr>
                <w:rFonts w:cstheme="minorHAnsi"/>
                <w:bCs/>
                <w:sz w:val="18"/>
                <w:szCs w:val="18"/>
                <w:lang w:eastAsia="cs-CZ"/>
              </w:rPr>
            </w:pPr>
            <w:r w:rsidRPr="00124170">
              <w:rPr>
                <w:rFonts w:cstheme="minorHAnsi"/>
                <w:bCs/>
                <w:sz w:val="18"/>
                <w:szCs w:val="18"/>
                <w:lang w:eastAsia="cs-CZ"/>
              </w:rPr>
              <w:t>Příjmy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0273888A" w14:textId="77777777" w:rsidR="001C3BBD" w:rsidRPr="00124170" w:rsidRDefault="001C3BBD" w:rsidP="001C3BB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124170">
              <w:rPr>
                <w:rFonts w:cstheme="minorHAnsi"/>
                <w:sz w:val="18"/>
                <w:szCs w:val="18"/>
              </w:rPr>
              <w:t>25,03</w:t>
            </w:r>
            <w:r w:rsidR="007856E6" w:rsidRPr="00124170">
              <w:rPr>
                <w:rFonts w:cstheme="minorHAnsi"/>
                <w:sz w:val="18"/>
                <w:szCs w:val="18"/>
              </w:rPr>
              <w:t xml:space="preserve"> </w:t>
            </w:r>
            <w:r w:rsidRPr="00124170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2549D9A5" w14:textId="4E59399F" w:rsidR="001C3BBD" w:rsidRPr="00124170" w:rsidRDefault="00C1340A" w:rsidP="001C3BB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115FC">
              <w:rPr>
                <w:rFonts w:cs="Calibri"/>
                <w:sz w:val="18"/>
                <w:szCs w:val="18"/>
              </w:rPr>
              <w:t>−</w:t>
            </w:r>
            <w:r w:rsidR="001C3BBD" w:rsidRPr="00124170">
              <w:rPr>
                <w:rFonts w:cstheme="minorHAnsi"/>
                <w:sz w:val="18"/>
                <w:szCs w:val="18"/>
              </w:rPr>
              <w:t>0,21</w:t>
            </w:r>
            <w:r w:rsidR="007856E6" w:rsidRPr="00124170">
              <w:rPr>
                <w:rFonts w:cstheme="minorHAnsi"/>
                <w:sz w:val="18"/>
                <w:szCs w:val="18"/>
              </w:rPr>
              <w:t xml:space="preserve"> </w:t>
            </w:r>
            <w:r w:rsidR="001C3BBD" w:rsidRPr="00124170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531" w:type="dxa"/>
            <w:vAlign w:val="center"/>
          </w:tcPr>
          <w:p w14:paraId="1D2F5BAC" w14:textId="77777777" w:rsidR="001C3BBD" w:rsidRPr="00124170" w:rsidRDefault="001C3BBD" w:rsidP="001C3BB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124170">
              <w:rPr>
                <w:rFonts w:cstheme="minorHAnsi"/>
                <w:sz w:val="18"/>
                <w:szCs w:val="18"/>
              </w:rPr>
              <w:t>11,91</w:t>
            </w:r>
            <w:r w:rsidR="007856E6" w:rsidRPr="00124170">
              <w:rPr>
                <w:rFonts w:cstheme="minorHAnsi"/>
                <w:sz w:val="18"/>
                <w:szCs w:val="18"/>
              </w:rPr>
              <w:t xml:space="preserve"> </w:t>
            </w:r>
            <w:r w:rsidRPr="00124170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599" w:type="dxa"/>
            <w:vAlign w:val="center"/>
          </w:tcPr>
          <w:p w14:paraId="3CDC9FF7" w14:textId="77777777" w:rsidR="001C3BBD" w:rsidRPr="00124170" w:rsidRDefault="001C3BBD" w:rsidP="001C3BB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124170">
              <w:rPr>
                <w:rFonts w:cstheme="minorHAnsi"/>
                <w:sz w:val="18"/>
                <w:szCs w:val="18"/>
              </w:rPr>
              <w:t>2,45</w:t>
            </w:r>
            <w:r w:rsidR="007856E6" w:rsidRPr="00124170">
              <w:rPr>
                <w:rFonts w:cstheme="minorHAnsi"/>
                <w:sz w:val="18"/>
                <w:szCs w:val="18"/>
              </w:rPr>
              <w:t xml:space="preserve"> </w:t>
            </w:r>
            <w:r w:rsidRPr="00124170">
              <w:rPr>
                <w:rFonts w:cstheme="minorHAnsi"/>
                <w:sz w:val="18"/>
                <w:szCs w:val="18"/>
              </w:rPr>
              <w:t>%</w:t>
            </w:r>
          </w:p>
        </w:tc>
      </w:tr>
      <w:tr w:rsidR="001C3BBD" w:rsidRPr="005B5B16" w14:paraId="4B17B2FA" w14:textId="77777777" w:rsidTr="00124170">
        <w:trPr>
          <w:trHeight w:val="255"/>
        </w:trPr>
        <w:tc>
          <w:tcPr>
            <w:tcW w:w="2891" w:type="dxa"/>
            <w:shd w:val="clear" w:color="auto" w:fill="auto"/>
            <w:noWrap/>
            <w:vAlign w:val="center"/>
          </w:tcPr>
          <w:p w14:paraId="2C14B075" w14:textId="77777777" w:rsidR="001C3BBD" w:rsidRPr="00124170" w:rsidRDefault="001C3BBD" w:rsidP="001C3BBD">
            <w:pPr>
              <w:spacing w:after="0"/>
              <w:rPr>
                <w:rFonts w:cstheme="minorHAnsi"/>
                <w:bCs/>
                <w:sz w:val="18"/>
                <w:szCs w:val="18"/>
                <w:lang w:eastAsia="cs-CZ"/>
              </w:rPr>
            </w:pPr>
            <w:r w:rsidRPr="00124170">
              <w:rPr>
                <w:rFonts w:cstheme="minorHAnsi"/>
                <w:bCs/>
                <w:sz w:val="18"/>
                <w:szCs w:val="18"/>
                <w:lang w:eastAsia="cs-CZ"/>
              </w:rPr>
              <w:t>Výdaje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30C246A8" w14:textId="77777777" w:rsidR="001C3BBD" w:rsidRPr="00124170" w:rsidRDefault="001C3BBD" w:rsidP="001C3BB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124170">
              <w:rPr>
                <w:rFonts w:cstheme="minorHAnsi"/>
                <w:sz w:val="18"/>
                <w:szCs w:val="18"/>
              </w:rPr>
              <w:t>12,04</w:t>
            </w:r>
            <w:r w:rsidR="007856E6" w:rsidRPr="00124170">
              <w:rPr>
                <w:rFonts w:cstheme="minorHAnsi"/>
                <w:sz w:val="18"/>
                <w:szCs w:val="18"/>
              </w:rPr>
              <w:t xml:space="preserve"> </w:t>
            </w:r>
            <w:r w:rsidRPr="00124170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281D5FD1" w14:textId="77777777" w:rsidR="001C3BBD" w:rsidRPr="00124170" w:rsidRDefault="001C3BBD" w:rsidP="001C3BB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124170">
              <w:rPr>
                <w:rFonts w:cstheme="minorHAnsi"/>
                <w:sz w:val="18"/>
                <w:szCs w:val="18"/>
              </w:rPr>
              <w:t>8,24</w:t>
            </w:r>
            <w:r w:rsidR="007856E6" w:rsidRPr="00124170">
              <w:rPr>
                <w:rFonts w:cstheme="minorHAnsi"/>
                <w:sz w:val="18"/>
                <w:szCs w:val="18"/>
              </w:rPr>
              <w:t xml:space="preserve"> </w:t>
            </w:r>
            <w:r w:rsidRPr="00124170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531" w:type="dxa"/>
            <w:vAlign w:val="center"/>
          </w:tcPr>
          <w:p w14:paraId="09F1A507" w14:textId="77777777" w:rsidR="001C3BBD" w:rsidRPr="00124170" w:rsidRDefault="001C3BBD" w:rsidP="001C3BB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124170">
              <w:rPr>
                <w:rFonts w:cstheme="minorHAnsi"/>
                <w:sz w:val="18"/>
                <w:szCs w:val="18"/>
              </w:rPr>
              <w:t>15,57</w:t>
            </w:r>
            <w:r w:rsidR="007856E6" w:rsidRPr="00124170">
              <w:rPr>
                <w:rFonts w:cstheme="minorHAnsi"/>
                <w:sz w:val="18"/>
                <w:szCs w:val="18"/>
              </w:rPr>
              <w:t xml:space="preserve"> </w:t>
            </w:r>
            <w:r w:rsidRPr="00124170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599" w:type="dxa"/>
            <w:vAlign w:val="center"/>
          </w:tcPr>
          <w:p w14:paraId="1654B7B1" w14:textId="50045783" w:rsidR="001C3BBD" w:rsidRPr="00124170" w:rsidRDefault="00C1340A" w:rsidP="001C3BB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115FC">
              <w:rPr>
                <w:rFonts w:cs="Calibri"/>
                <w:sz w:val="18"/>
                <w:szCs w:val="18"/>
              </w:rPr>
              <w:t>−</w:t>
            </w:r>
            <w:r w:rsidR="001C3BBD" w:rsidRPr="00124170">
              <w:rPr>
                <w:rFonts w:cstheme="minorHAnsi"/>
                <w:sz w:val="18"/>
                <w:szCs w:val="18"/>
              </w:rPr>
              <w:t>2,28</w:t>
            </w:r>
            <w:r w:rsidR="007856E6" w:rsidRPr="00124170">
              <w:rPr>
                <w:rFonts w:cstheme="minorHAnsi"/>
                <w:sz w:val="18"/>
                <w:szCs w:val="18"/>
              </w:rPr>
              <w:t xml:space="preserve"> </w:t>
            </w:r>
            <w:r w:rsidR="001C3BBD" w:rsidRPr="00124170">
              <w:rPr>
                <w:rFonts w:cstheme="minorHAnsi"/>
                <w:sz w:val="18"/>
                <w:szCs w:val="18"/>
              </w:rPr>
              <w:t>%</w:t>
            </w:r>
          </w:p>
        </w:tc>
      </w:tr>
    </w:tbl>
    <w:p w14:paraId="673A0B11" w14:textId="77777777" w:rsidR="001C3BBD" w:rsidRPr="001C3BBD" w:rsidRDefault="001C3BBD" w:rsidP="001C3BBD">
      <w:pPr>
        <w:pStyle w:val="Zdroj"/>
        <w:spacing w:before="40" w:after="120"/>
        <w:rPr>
          <w:rFonts w:asciiTheme="minorHAnsi" w:hAnsiTheme="minorHAnsi"/>
          <w:i w:val="0"/>
        </w:rPr>
      </w:pPr>
      <w:bookmarkStart w:id="74" w:name="_Toc520715168"/>
      <w:r w:rsidRPr="001C3BBD">
        <w:rPr>
          <w:rFonts w:asciiTheme="minorHAnsi" w:hAnsiTheme="minorHAnsi"/>
          <w:b/>
          <w:i w:val="0"/>
        </w:rPr>
        <w:t xml:space="preserve">Zdroj: </w:t>
      </w:r>
      <w:r w:rsidRPr="001C3BBD">
        <w:rPr>
          <w:rFonts w:asciiTheme="minorHAnsi" w:hAnsiTheme="minorHAnsi"/>
          <w:i w:val="0"/>
        </w:rPr>
        <w:t>výpočet NKÚ.</w:t>
      </w:r>
    </w:p>
    <w:p w14:paraId="38C77ABF" w14:textId="77777777" w:rsidR="001C3BBD" w:rsidRDefault="001C3BBD" w:rsidP="008C7A13">
      <w:pPr>
        <w:spacing w:after="0"/>
        <w:jc w:val="both"/>
        <w:rPr>
          <w:rFonts w:asciiTheme="minorHAnsi" w:hAnsiTheme="minorHAnsi" w:cstheme="minorHAnsi"/>
        </w:rPr>
      </w:pPr>
      <w:r w:rsidRPr="001C3BBD">
        <w:rPr>
          <w:rFonts w:asciiTheme="minorHAnsi" w:hAnsiTheme="minorHAnsi" w:cstheme="minorHAnsi"/>
        </w:rPr>
        <w:t>K největší relativní změně příjmů ve sledovaném období došlo v kapitole 314 mezi rokem 2017 a 2018 (nárůst o 25 %); v případě výdajů pak mezi rokem 2019 a 2020 (nárůst o téměř 16 %).</w:t>
      </w:r>
    </w:p>
    <w:p w14:paraId="57BCB69F" w14:textId="77777777" w:rsidR="008C7A13" w:rsidRPr="001C3BBD" w:rsidRDefault="008C7A13" w:rsidP="008C7A13">
      <w:pPr>
        <w:spacing w:after="0"/>
        <w:jc w:val="both"/>
        <w:rPr>
          <w:rFonts w:asciiTheme="minorHAnsi" w:hAnsiTheme="minorHAnsi" w:cstheme="minorHAnsi"/>
        </w:rPr>
      </w:pPr>
    </w:p>
    <w:p w14:paraId="7DB6C54E" w14:textId="77777777" w:rsidR="005D5236" w:rsidRPr="00D17835" w:rsidRDefault="005D5236" w:rsidP="00124170">
      <w:pPr>
        <w:pStyle w:val="Titulek"/>
        <w:tabs>
          <w:tab w:val="right" w:pos="9070"/>
        </w:tabs>
        <w:spacing w:before="0" w:after="40"/>
        <w:rPr>
          <w:rFonts w:cstheme="minorHAnsi"/>
          <w:szCs w:val="24"/>
        </w:rPr>
      </w:pPr>
      <w:bookmarkStart w:id="75" w:name="_Toc520714640"/>
      <w:bookmarkStart w:id="76" w:name="_Toc8984847"/>
      <w:bookmarkStart w:id="77" w:name="_Toc69401700"/>
      <w:bookmarkStart w:id="78" w:name="_Toc101336467"/>
      <w:bookmarkEnd w:id="74"/>
      <w:r w:rsidRPr="00D17835">
        <w:rPr>
          <w:rFonts w:cstheme="minorHAnsi"/>
          <w:szCs w:val="24"/>
        </w:rPr>
        <w:t xml:space="preserve">Tabulka č. 16: Příjmy a výdaje MV </w:t>
      </w:r>
      <w:r w:rsidR="00C1340A">
        <w:rPr>
          <w:rFonts w:cstheme="minorHAnsi"/>
          <w:szCs w:val="24"/>
        </w:rPr>
        <w:tab/>
      </w:r>
      <w:r w:rsidRPr="00D17835">
        <w:rPr>
          <w:rFonts w:cstheme="minorHAnsi"/>
          <w:szCs w:val="24"/>
        </w:rPr>
        <w:t>(v Kč)</w:t>
      </w:r>
      <w:bookmarkEnd w:id="75"/>
      <w:bookmarkEnd w:id="76"/>
      <w:bookmarkEnd w:id="77"/>
      <w:bookmarkEnd w:id="78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2"/>
        <w:gridCol w:w="1493"/>
        <w:gridCol w:w="1493"/>
        <w:gridCol w:w="1493"/>
        <w:gridCol w:w="1609"/>
        <w:gridCol w:w="1560"/>
      </w:tblGrid>
      <w:tr w:rsidR="008C7A13" w:rsidRPr="005B5B16" w14:paraId="796B2F4F" w14:textId="77777777" w:rsidTr="008C7A13">
        <w:trPr>
          <w:trHeight w:val="255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7BC2F7A" w14:textId="77777777" w:rsidR="005D5236" w:rsidRPr="005B5B16" w:rsidRDefault="005D5236" w:rsidP="008C7A13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9765C1F" w14:textId="77777777" w:rsidR="005D5236" w:rsidRPr="005B5B16" w:rsidRDefault="005D5236" w:rsidP="008C7A13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2017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CB8F452" w14:textId="77777777" w:rsidR="005D5236" w:rsidRPr="005B5B16" w:rsidRDefault="005D5236" w:rsidP="008C7A13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2018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E81A636" w14:textId="77777777" w:rsidR="005D5236" w:rsidRPr="005B5B16" w:rsidRDefault="005D5236" w:rsidP="008C7A13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2019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3ED236D7" w14:textId="77777777" w:rsidR="005D5236" w:rsidRPr="005B5B16" w:rsidRDefault="005D5236" w:rsidP="008C7A13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2020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218EAC0D" w14:textId="77777777" w:rsidR="005D5236" w:rsidRPr="005B5B16" w:rsidRDefault="005D5236" w:rsidP="008C7A13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2021</w:t>
            </w:r>
          </w:p>
        </w:tc>
      </w:tr>
      <w:tr w:rsidR="008C7A13" w:rsidRPr="005B5B16" w14:paraId="3BEAF0C8" w14:textId="77777777" w:rsidTr="008C7A13">
        <w:trPr>
          <w:trHeight w:val="255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2D992" w14:textId="77777777" w:rsidR="005D5236" w:rsidRPr="005B5B16" w:rsidRDefault="005D5236" w:rsidP="008C7A13">
            <w:pPr>
              <w:spacing w:after="0"/>
              <w:rPr>
                <w:rFonts w:cstheme="minorHAnsi"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Cs/>
                <w:sz w:val="18"/>
                <w:szCs w:val="18"/>
                <w:lang w:eastAsia="cs-CZ"/>
              </w:rPr>
              <w:t>Příjmy celkem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170DC" w14:textId="77777777" w:rsidR="005D5236" w:rsidRPr="005B5B16" w:rsidRDefault="005D5236" w:rsidP="008C7A13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1 796 530 267,76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371F4" w14:textId="77777777" w:rsidR="005D5236" w:rsidRPr="005B5B16" w:rsidRDefault="005D5236" w:rsidP="008C7A13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2 791 124 506,21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762CC" w14:textId="77777777" w:rsidR="005D5236" w:rsidRPr="005B5B16" w:rsidRDefault="005D5236" w:rsidP="008C7A13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2 311 841 567,60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61F0D" w14:textId="77777777" w:rsidR="005D5236" w:rsidRPr="005B5B16" w:rsidRDefault="005D5236" w:rsidP="008C7A13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2 671 265 555,68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201C7" w14:textId="77777777" w:rsidR="005D5236" w:rsidRPr="005B5B16" w:rsidRDefault="005D5236" w:rsidP="008C7A13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2 489 231 300,30</w:t>
            </w:r>
          </w:p>
        </w:tc>
      </w:tr>
      <w:tr w:rsidR="008C7A13" w:rsidRPr="005B5B16" w14:paraId="0422E331" w14:textId="77777777" w:rsidTr="008C7A13">
        <w:trPr>
          <w:trHeight w:val="255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3F90E" w14:textId="77777777" w:rsidR="005D5236" w:rsidRPr="005B5B16" w:rsidRDefault="005D5236" w:rsidP="008C7A13">
            <w:pPr>
              <w:spacing w:after="0"/>
              <w:rPr>
                <w:rFonts w:cstheme="minorHAnsi"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Cs/>
                <w:sz w:val="18"/>
                <w:szCs w:val="18"/>
                <w:lang w:eastAsia="cs-CZ"/>
              </w:rPr>
              <w:t>Výdaje celkem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6641A" w14:textId="77777777" w:rsidR="005D5236" w:rsidRPr="005B5B16" w:rsidRDefault="005D5236" w:rsidP="008C7A13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26 901 497 907,61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B275E" w14:textId="77777777" w:rsidR="005D5236" w:rsidRPr="005B5B16" w:rsidRDefault="005D5236" w:rsidP="008C7A13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29 143 210 183,34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20689" w14:textId="77777777" w:rsidR="005D5236" w:rsidRPr="005B5B16" w:rsidRDefault="005D5236" w:rsidP="008C7A13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31 195 149 307,43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170E3" w14:textId="77777777" w:rsidR="005D5236" w:rsidRPr="005B5B16" w:rsidRDefault="005D5236" w:rsidP="008C7A13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39 657 644 912,37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49A5F" w14:textId="77777777" w:rsidR="005D5236" w:rsidRPr="005B5B16" w:rsidRDefault="005D5236" w:rsidP="008C7A13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36 243 388 013,11</w:t>
            </w:r>
          </w:p>
        </w:tc>
      </w:tr>
    </w:tbl>
    <w:p w14:paraId="49727683" w14:textId="77777777" w:rsidR="005D5236" w:rsidRPr="008C7A13" w:rsidRDefault="005D5236" w:rsidP="005D5236">
      <w:pPr>
        <w:pStyle w:val="Zdroj"/>
        <w:spacing w:before="40"/>
        <w:rPr>
          <w:rFonts w:asciiTheme="minorHAnsi" w:hAnsiTheme="minorHAnsi"/>
          <w:i w:val="0"/>
        </w:rPr>
      </w:pPr>
      <w:bookmarkStart w:id="79" w:name="_Toc520714641"/>
      <w:r w:rsidRPr="008C7A13">
        <w:rPr>
          <w:rFonts w:asciiTheme="minorHAnsi" w:hAnsiTheme="minorHAnsi"/>
          <w:b/>
          <w:i w:val="0"/>
        </w:rPr>
        <w:t xml:space="preserve">Zdroj: </w:t>
      </w:r>
      <w:r w:rsidRPr="008C7A13">
        <w:rPr>
          <w:rFonts w:asciiTheme="minorHAnsi" w:hAnsiTheme="minorHAnsi"/>
          <w:i w:val="0"/>
        </w:rPr>
        <w:t>informační portál MONITOR.</w:t>
      </w:r>
    </w:p>
    <w:p w14:paraId="473963C5" w14:textId="77777777" w:rsidR="005D5236" w:rsidRPr="008C7A13" w:rsidRDefault="005D5236" w:rsidP="008C7A13">
      <w:pPr>
        <w:pStyle w:val="Zdroj"/>
        <w:spacing w:before="0"/>
        <w:rPr>
          <w:rFonts w:asciiTheme="minorHAnsi" w:hAnsiTheme="minorHAnsi"/>
          <w:bCs/>
          <w:i w:val="0"/>
          <w:sz w:val="24"/>
          <w:szCs w:val="24"/>
        </w:rPr>
      </w:pPr>
    </w:p>
    <w:p w14:paraId="7FB550C8" w14:textId="77777777" w:rsidR="005D5236" w:rsidRPr="001F29E6" w:rsidRDefault="005D5236" w:rsidP="008C7A13">
      <w:pPr>
        <w:pStyle w:val="Titulek"/>
        <w:spacing w:before="0" w:after="40"/>
        <w:rPr>
          <w:rFonts w:cstheme="minorHAnsi"/>
          <w:szCs w:val="24"/>
        </w:rPr>
      </w:pPr>
      <w:bookmarkStart w:id="80" w:name="_Toc8984848"/>
      <w:bookmarkStart w:id="81" w:name="_Toc69401701"/>
      <w:bookmarkStart w:id="82" w:name="_Toc101336468"/>
      <w:r w:rsidRPr="001F29E6">
        <w:rPr>
          <w:rFonts w:cstheme="minorHAnsi"/>
          <w:szCs w:val="24"/>
        </w:rPr>
        <w:t>Tabulka č.</w:t>
      </w:r>
      <w:r>
        <w:rPr>
          <w:rFonts w:cstheme="minorHAnsi"/>
          <w:szCs w:val="24"/>
        </w:rPr>
        <w:t xml:space="preserve"> 17</w:t>
      </w:r>
      <w:r w:rsidRPr="001F29E6">
        <w:rPr>
          <w:rFonts w:cstheme="minorHAnsi"/>
          <w:szCs w:val="24"/>
        </w:rPr>
        <w:t>: Tempo růstu příjmů a výdajů M</w:t>
      </w:r>
      <w:bookmarkEnd w:id="79"/>
      <w:bookmarkEnd w:id="80"/>
      <w:bookmarkEnd w:id="81"/>
      <w:r w:rsidRPr="001F29E6">
        <w:rPr>
          <w:rFonts w:cstheme="minorHAnsi"/>
          <w:szCs w:val="24"/>
        </w:rPr>
        <w:t>V</w:t>
      </w:r>
      <w:bookmarkEnd w:id="82"/>
    </w:p>
    <w:tbl>
      <w:tblPr>
        <w:tblW w:w="90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1"/>
        <w:gridCol w:w="1524"/>
        <w:gridCol w:w="1524"/>
        <w:gridCol w:w="1524"/>
        <w:gridCol w:w="1616"/>
      </w:tblGrid>
      <w:tr w:rsidR="005D5236" w:rsidRPr="005B5B16" w14:paraId="36518430" w14:textId="77777777" w:rsidTr="00124170">
        <w:trPr>
          <w:trHeight w:val="255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9E90F26" w14:textId="77777777" w:rsidR="005D5236" w:rsidRPr="005B5B16" w:rsidRDefault="005D5236" w:rsidP="008C7A13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Tempo růstu (absolutní změna)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CF726CF" w14:textId="093BC700" w:rsidR="005D5236" w:rsidRPr="00180BF7" w:rsidRDefault="005D5236" w:rsidP="008C7A13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180BF7">
              <w:rPr>
                <w:rFonts w:cstheme="minorHAnsi"/>
                <w:b/>
                <w:sz w:val="18"/>
                <w:szCs w:val="18"/>
              </w:rPr>
              <w:t>2018</w:t>
            </w:r>
            <w:r w:rsidR="00180BF7" w:rsidRPr="00180BF7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180BF7" w:rsidRPr="00124170">
              <w:rPr>
                <w:rFonts w:cs="Calibri"/>
                <w:b/>
                <w:sz w:val="18"/>
                <w:szCs w:val="18"/>
              </w:rPr>
              <w:t xml:space="preserve">− </w:t>
            </w:r>
            <w:r w:rsidRPr="00180BF7">
              <w:rPr>
                <w:rFonts w:cstheme="minorHAnsi"/>
                <w:b/>
                <w:sz w:val="18"/>
                <w:szCs w:val="18"/>
              </w:rPr>
              <w:t>2017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0988C4C" w14:textId="554DF0D6" w:rsidR="005D5236" w:rsidRPr="00180BF7" w:rsidRDefault="005D5236" w:rsidP="008C7A13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180BF7">
              <w:rPr>
                <w:rFonts w:cstheme="minorHAnsi"/>
                <w:b/>
                <w:sz w:val="18"/>
                <w:szCs w:val="18"/>
              </w:rPr>
              <w:t>2019</w:t>
            </w:r>
            <w:r w:rsidR="00180BF7" w:rsidRPr="00680E41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180BF7" w:rsidRPr="00124170">
              <w:rPr>
                <w:rFonts w:cs="Calibri"/>
                <w:b/>
                <w:sz w:val="18"/>
                <w:szCs w:val="18"/>
              </w:rPr>
              <w:t xml:space="preserve">− </w:t>
            </w:r>
            <w:r w:rsidRPr="00180BF7">
              <w:rPr>
                <w:rFonts w:cstheme="minorHAnsi"/>
                <w:b/>
                <w:sz w:val="18"/>
                <w:szCs w:val="18"/>
              </w:rPr>
              <w:t>2018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174B02D3" w14:textId="2A1D3788" w:rsidR="005D5236" w:rsidRPr="00180BF7" w:rsidRDefault="005D5236" w:rsidP="008C7A13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180BF7">
              <w:rPr>
                <w:rFonts w:cstheme="minorHAnsi"/>
                <w:b/>
                <w:sz w:val="18"/>
                <w:szCs w:val="18"/>
              </w:rPr>
              <w:t>2020</w:t>
            </w:r>
            <w:r w:rsidR="00180BF7" w:rsidRPr="00180BF7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180BF7" w:rsidRPr="00124170">
              <w:rPr>
                <w:rFonts w:cs="Calibri"/>
                <w:b/>
                <w:sz w:val="18"/>
                <w:szCs w:val="18"/>
              </w:rPr>
              <w:t xml:space="preserve">− </w:t>
            </w:r>
            <w:r w:rsidRPr="00180BF7">
              <w:rPr>
                <w:rFonts w:cstheme="minorHAnsi"/>
                <w:b/>
                <w:sz w:val="18"/>
                <w:szCs w:val="18"/>
              </w:rPr>
              <w:t>2019</w:t>
            </w:r>
            <w:proofErr w:type="gramEnd"/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33B80982" w14:textId="3DE82490" w:rsidR="005D5236" w:rsidRPr="00180BF7" w:rsidRDefault="005D5236" w:rsidP="008C7A13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180BF7">
              <w:rPr>
                <w:rFonts w:cstheme="minorHAnsi"/>
                <w:b/>
                <w:sz w:val="18"/>
                <w:szCs w:val="18"/>
              </w:rPr>
              <w:t>2021</w:t>
            </w:r>
            <w:r w:rsidR="00180BF7" w:rsidRPr="00180BF7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180BF7" w:rsidRPr="00124170">
              <w:rPr>
                <w:rFonts w:cs="Calibri"/>
                <w:b/>
                <w:sz w:val="18"/>
                <w:szCs w:val="18"/>
              </w:rPr>
              <w:t xml:space="preserve">− </w:t>
            </w:r>
            <w:r w:rsidRPr="00180BF7">
              <w:rPr>
                <w:rFonts w:cstheme="minorHAnsi"/>
                <w:b/>
                <w:sz w:val="18"/>
                <w:szCs w:val="18"/>
              </w:rPr>
              <w:t>2020</w:t>
            </w:r>
            <w:proofErr w:type="gramEnd"/>
          </w:p>
        </w:tc>
      </w:tr>
      <w:tr w:rsidR="005D5236" w:rsidRPr="005B5B16" w14:paraId="7D6F0701" w14:textId="77777777" w:rsidTr="00124170">
        <w:trPr>
          <w:trHeight w:val="255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8F59C" w14:textId="77777777" w:rsidR="005D5236" w:rsidRPr="005B5B16" w:rsidRDefault="005D5236" w:rsidP="008C7A13">
            <w:pPr>
              <w:spacing w:after="0"/>
              <w:rPr>
                <w:rFonts w:cstheme="minorHAnsi"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Cs/>
                <w:sz w:val="18"/>
                <w:szCs w:val="18"/>
                <w:lang w:eastAsia="cs-CZ"/>
              </w:rPr>
              <w:t>Příjmy (v Kč)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34926" w14:textId="77777777" w:rsidR="005D5236" w:rsidRPr="005B5B16" w:rsidRDefault="005D5236" w:rsidP="008C7A13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994 594 238,45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A0ACD" w14:textId="0DCF7F15" w:rsidR="005D5236" w:rsidRPr="005B5B16" w:rsidRDefault="00C1340A" w:rsidP="008C7A13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115FC">
              <w:rPr>
                <w:rFonts w:cs="Calibri"/>
                <w:sz w:val="18"/>
                <w:szCs w:val="18"/>
              </w:rPr>
              <w:t>−</w:t>
            </w:r>
            <w:r w:rsidR="005D5236" w:rsidRPr="005B5B16">
              <w:rPr>
                <w:rFonts w:cstheme="minorHAnsi"/>
                <w:sz w:val="18"/>
                <w:szCs w:val="18"/>
              </w:rPr>
              <w:t>479 282 938,61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D25B4" w14:textId="77777777" w:rsidR="005D5236" w:rsidRPr="005B5B16" w:rsidRDefault="005D5236" w:rsidP="008C7A13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359 423 988,08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C2BF3" w14:textId="6C4B0924" w:rsidR="005D5236" w:rsidRPr="005B5B16" w:rsidRDefault="00C1340A" w:rsidP="008C7A13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115FC">
              <w:rPr>
                <w:rFonts w:cs="Calibri"/>
                <w:sz w:val="18"/>
                <w:szCs w:val="18"/>
              </w:rPr>
              <w:t>−</w:t>
            </w:r>
            <w:r w:rsidR="005D5236" w:rsidRPr="005B5B16">
              <w:rPr>
                <w:rFonts w:cstheme="minorHAnsi"/>
                <w:sz w:val="18"/>
                <w:szCs w:val="18"/>
              </w:rPr>
              <w:t>182 034 255,38</w:t>
            </w:r>
          </w:p>
        </w:tc>
      </w:tr>
      <w:tr w:rsidR="005D5236" w:rsidRPr="005B5B16" w14:paraId="4E067D57" w14:textId="77777777" w:rsidTr="00124170">
        <w:trPr>
          <w:trHeight w:val="255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CA9C6" w14:textId="77777777" w:rsidR="005D5236" w:rsidRPr="005B5B16" w:rsidRDefault="005D5236" w:rsidP="008C7A13">
            <w:pPr>
              <w:spacing w:after="0"/>
              <w:rPr>
                <w:rFonts w:cstheme="minorHAnsi"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Cs/>
                <w:sz w:val="18"/>
                <w:szCs w:val="18"/>
                <w:lang w:eastAsia="cs-CZ"/>
              </w:rPr>
              <w:t>Výdaje (v Kč)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9E6E0" w14:textId="77777777" w:rsidR="005D5236" w:rsidRPr="005B5B16" w:rsidRDefault="005D5236" w:rsidP="008C7A13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2 241 712 275,73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ADFF7" w14:textId="77777777" w:rsidR="005D5236" w:rsidRPr="005B5B16" w:rsidRDefault="005D5236" w:rsidP="008C7A13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2 051 939 124,09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ED03C" w14:textId="77777777" w:rsidR="005D5236" w:rsidRPr="005B5B16" w:rsidRDefault="005D5236" w:rsidP="008C7A13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8 462 495 604,94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76EE7" w14:textId="15AA92FB" w:rsidR="005D5236" w:rsidRPr="005B5B16" w:rsidRDefault="00C1340A" w:rsidP="008C7A13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115FC">
              <w:rPr>
                <w:rFonts w:cs="Calibri"/>
                <w:sz w:val="18"/>
                <w:szCs w:val="18"/>
              </w:rPr>
              <w:t>−</w:t>
            </w:r>
            <w:r w:rsidR="005D5236" w:rsidRPr="005B5B16">
              <w:rPr>
                <w:rFonts w:cstheme="minorHAnsi"/>
                <w:sz w:val="18"/>
                <w:szCs w:val="18"/>
              </w:rPr>
              <w:t>3 414 256 899,26</w:t>
            </w:r>
          </w:p>
        </w:tc>
      </w:tr>
      <w:tr w:rsidR="005D5236" w:rsidRPr="005B5B16" w14:paraId="6AADC339" w14:textId="77777777" w:rsidTr="00124170">
        <w:trPr>
          <w:trHeight w:val="255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6A036252" w14:textId="54B8C368" w:rsidR="005D5236" w:rsidRPr="005B5B16" w:rsidRDefault="005D5236" w:rsidP="008C7A13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Tempo růstu v % (relativní změna) (((x+</w:t>
            </w:r>
            <w:proofErr w:type="gramStart"/>
            <w:r w:rsidRPr="005B5B16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1)</w:t>
            </w:r>
            <w:r w:rsidR="00C1340A" w:rsidRPr="00124170">
              <w:rPr>
                <w:rFonts w:cs="Calibri"/>
                <w:b/>
                <w:sz w:val="18"/>
                <w:szCs w:val="18"/>
              </w:rPr>
              <w:t>−</w:t>
            </w:r>
            <w:proofErr w:type="gramEnd"/>
            <w:r w:rsidRPr="005B5B16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x)/x)</w:t>
            </w:r>
            <w:r w:rsidR="00C1340A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×</w:t>
            </w:r>
            <w:r w:rsidRPr="005B5B16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1EDFDD53" w14:textId="77777777" w:rsidR="005D5236" w:rsidRPr="005B5B16" w:rsidRDefault="005D5236" w:rsidP="008C7A13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2018/2017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0D3A8475" w14:textId="77777777" w:rsidR="005D5236" w:rsidRPr="005B5B16" w:rsidRDefault="005D5236" w:rsidP="008C7A13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2019/2018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18F8450A" w14:textId="77777777" w:rsidR="005D5236" w:rsidRPr="005B5B16" w:rsidRDefault="005D5236" w:rsidP="008C7A13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2020/2019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077D3D85" w14:textId="77777777" w:rsidR="005D5236" w:rsidRPr="005B5B16" w:rsidRDefault="005D5236" w:rsidP="008C7A13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2021/2020</w:t>
            </w:r>
          </w:p>
        </w:tc>
      </w:tr>
      <w:tr w:rsidR="005D5236" w:rsidRPr="005B5B16" w14:paraId="5BD7F678" w14:textId="77777777" w:rsidTr="00124170">
        <w:trPr>
          <w:trHeight w:val="255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74C7B" w14:textId="77777777" w:rsidR="005D5236" w:rsidRPr="005B5B16" w:rsidRDefault="005D5236" w:rsidP="008C7A13">
            <w:pPr>
              <w:spacing w:after="0"/>
              <w:rPr>
                <w:rFonts w:cstheme="minorHAnsi"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Cs/>
                <w:sz w:val="18"/>
                <w:szCs w:val="18"/>
                <w:lang w:eastAsia="cs-CZ"/>
              </w:rPr>
              <w:t>Příjmy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DDE4E" w14:textId="77777777" w:rsidR="005D5236" w:rsidRPr="005B5B16" w:rsidRDefault="005D5236" w:rsidP="008C7A13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55,36</w:t>
            </w:r>
            <w:r w:rsidR="007856E6">
              <w:rPr>
                <w:rFonts w:cstheme="minorHAnsi"/>
                <w:sz w:val="18"/>
                <w:szCs w:val="18"/>
              </w:rPr>
              <w:t xml:space="preserve"> </w:t>
            </w:r>
            <w:r w:rsidRPr="005B5B16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62517" w14:textId="4F2D5FF2" w:rsidR="005D5236" w:rsidRPr="005B5B16" w:rsidRDefault="00C1340A" w:rsidP="008C7A13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115FC">
              <w:rPr>
                <w:rFonts w:cs="Calibri"/>
                <w:sz w:val="18"/>
                <w:szCs w:val="18"/>
              </w:rPr>
              <w:t>−</w:t>
            </w:r>
            <w:r w:rsidR="005D5236" w:rsidRPr="005B5B16">
              <w:rPr>
                <w:rFonts w:cstheme="minorHAnsi"/>
                <w:sz w:val="18"/>
                <w:szCs w:val="18"/>
              </w:rPr>
              <w:t>17,17</w:t>
            </w:r>
            <w:r w:rsidR="007856E6">
              <w:rPr>
                <w:rFonts w:cstheme="minorHAnsi"/>
                <w:sz w:val="18"/>
                <w:szCs w:val="18"/>
              </w:rPr>
              <w:t xml:space="preserve"> </w:t>
            </w:r>
            <w:r w:rsidR="005D5236" w:rsidRPr="005B5B16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99329" w14:textId="77777777" w:rsidR="005D5236" w:rsidRPr="005B5B16" w:rsidRDefault="005D5236" w:rsidP="008C7A13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15,55</w:t>
            </w:r>
            <w:r w:rsidR="007856E6">
              <w:rPr>
                <w:rFonts w:cstheme="minorHAnsi"/>
                <w:sz w:val="18"/>
                <w:szCs w:val="18"/>
              </w:rPr>
              <w:t xml:space="preserve"> </w:t>
            </w:r>
            <w:r w:rsidRPr="005B5B16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F6164" w14:textId="1AC6A7B9" w:rsidR="005D5236" w:rsidRPr="005B5B16" w:rsidRDefault="00C1340A" w:rsidP="008C7A13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115FC">
              <w:rPr>
                <w:rFonts w:cs="Calibri"/>
                <w:sz w:val="18"/>
                <w:szCs w:val="18"/>
              </w:rPr>
              <w:t>−</w:t>
            </w:r>
            <w:r w:rsidR="005D5236" w:rsidRPr="005B5B16">
              <w:rPr>
                <w:rFonts w:cstheme="minorHAnsi"/>
                <w:sz w:val="18"/>
                <w:szCs w:val="18"/>
              </w:rPr>
              <w:t>6,81</w:t>
            </w:r>
            <w:r w:rsidR="007856E6">
              <w:rPr>
                <w:rFonts w:cstheme="minorHAnsi"/>
                <w:sz w:val="18"/>
                <w:szCs w:val="18"/>
              </w:rPr>
              <w:t xml:space="preserve"> </w:t>
            </w:r>
            <w:r w:rsidR="005D5236" w:rsidRPr="005B5B16">
              <w:rPr>
                <w:rFonts w:cstheme="minorHAnsi"/>
                <w:sz w:val="18"/>
                <w:szCs w:val="18"/>
              </w:rPr>
              <w:t>%</w:t>
            </w:r>
          </w:p>
        </w:tc>
      </w:tr>
      <w:tr w:rsidR="005D5236" w:rsidRPr="005B5B16" w14:paraId="48CB5C4A" w14:textId="77777777" w:rsidTr="00124170">
        <w:trPr>
          <w:trHeight w:val="255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73BD4" w14:textId="77777777" w:rsidR="005D5236" w:rsidRPr="005B5B16" w:rsidRDefault="005D5236" w:rsidP="008C7A13">
            <w:pPr>
              <w:spacing w:after="0"/>
              <w:rPr>
                <w:rFonts w:cstheme="minorHAnsi"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Cs/>
                <w:sz w:val="18"/>
                <w:szCs w:val="18"/>
                <w:lang w:eastAsia="cs-CZ"/>
              </w:rPr>
              <w:t>Výdaje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EEC84" w14:textId="77777777" w:rsidR="005D5236" w:rsidRPr="005B5B16" w:rsidRDefault="005D5236" w:rsidP="008C7A13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8,33</w:t>
            </w:r>
            <w:r w:rsidR="007856E6">
              <w:rPr>
                <w:rFonts w:cstheme="minorHAnsi"/>
                <w:sz w:val="18"/>
                <w:szCs w:val="18"/>
              </w:rPr>
              <w:t xml:space="preserve"> </w:t>
            </w:r>
            <w:r w:rsidRPr="005B5B16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435C8" w14:textId="77777777" w:rsidR="005D5236" w:rsidRPr="005B5B16" w:rsidRDefault="005D5236" w:rsidP="008C7A13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7,04</w:t>
            </w:r>
            <w:r w:rsidR="007856E6">
              <w:rPr>
                <w:rFonts w:cstheme="minorHAnsi"/>
                <w:sz w:val="18"/>
                <w:szCs w:val="18"/>
              </w:rPr>
              <w:t xml:space="preserve"> </w:t>
            </w:r>
            <w:r w:rsidRPr="005B5B16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00B7B" w14:textId="77777777" w:rsidR="005D5236" w:rsidRPr="005B5B16" w:rsidRDefault="005D5236" w:rsidP="008C7A13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27,13</w:t>
            </w:r>
            <w:r w:rsidR="007856E6">
              <w:rPr>
                <w:rFonts w:cstheme="minorHAnsi"/>
                <w:sz w:val="18"/>
                <w:szCs w:val="18"/>
              </w:rPr>
              <w:t xml:space="preserve"> </w:t>
            </w:r>
            <w:r w:rsidRPr="005B5B16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52EA6" w14:textId="521D31C2" w:rsidR="005D5236" w:rsidRPr="005B5B16" w:rsidRDefault="00C1340A" w:rsidP="008C7A13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115FC">
              <w:rPr>
                <w:rFonts w:cs="Calibri"/>
                <w:sz w:val="18"/>
                <w:szCs w:val="18"/>
              </w:rPr>
              <w:t>−</w:t>
            </w:r>
            <w:r w:rsidR="005D5236" w:rsidRPr="005B5B16">
              <w:rPr>
                <w:rFonts w:cstheme="minorHAnsi"/>
                <w:sz w:val="18"/>
                <w:szCs w:val="18"/>
              </w:rPr>
              <w:t>8,61</w:t>
            </w:r>
            <w:r w:rsidR="007856E6">
              <w:rPr>
                <w:rFonts w:cstheme="minorHAnsi"/>
                <w:sz w:val="18"/>
                <w:szCs w:val="18"/>
              </w:rPr>
              <w:t xml:space="preserve"> </w:t>
            </w:r>
            <w:r w:rsidR="005D5236" w:rsidRPr="005B5B16">
              <w:rPr>
                <w:rFonts w:cstheme="minorHAnsi"/>
                <w:sz w:val="18"/>
                <w:szCs w:val="18"/>
              </w:rPr>
              <w:t>%</w:t>
            </w:r>
          </w:p>
        </w:tc>
      </w:tr>
    </w:tbl>
    <w:p w14:paraId="3CA04F63" w14:textId="77777777" w:rsidR="005D5236" w:rsidRPr="008C7A13" w:rsidRDefault="005D5236" w:rsidP="005D5236">
      <w:pPr>
        <w:pStyle w:val="Zdroj"/>
        <w:spacing w:before="40" w:after="120"/>
        <w:rPr>
          <w:rFonts w:asciiTheme="minorHAnsi" w:hAnsiTheme="minorHAnsi"/>
          <w:i w:val="0"/>
        </w:rPr>
      </w:pPr>
      <w:bookmarkStart w:id="83" w:name="_Toc520715169"/>
      <w:r w:rsidRPr="008C7A13">
        <w:rPr>
          <w:rFonts w:asciiTheme="minorHAnsi" w:hAnsiTheme="minorHAnsi"/>
          <w:b/>
          <w:i w:val="0"/>
        </w:rPr>
        <w:t xml:space="preserve">Zdroj: </w:t>
      </w:r>
      <w:r w:rsidRPr="008C7A13">
        <w:rPr>
          <w:rFonts w:asciiTheme="minorHAnsi" w:hAnsiTheme="minorHAnsi"/>
          <w:i w:val="0"/>
        </w:rPr>
        <w:t>výpočet NKÚ.</w:t>
      </w:r>
    </w:p>
    <w:p w14:paraId="6D124DE5" w14:textId="77777777" w:rsidR="005D5236" w:rsidRDefault="005D5236" w:rsidP="00A941A9">
      <w:pPr>
        <w:spacing w:after="0"/>
        <w:jc w:val="both"/>
        <w:rPr>
          <w:rFonts w:cs="Calibri"/>
        </w:rPr>
      </w:pPr>
      <w:r w:rsidRPr="00D40645">
        <w:rPr>
          <w:rFonts w:cs="Calibri"/>
        </w:rPr>
        <w:t>K největší relativní změně příjmů ve sledovaném období došlo</w:t>
      </w:r>
      <w:r>
        <w:rPr>
          <w:rFonts w:cs="Calibri"/>
        </w:rPr>
        <w:t xml:space="preserve"> u MV</w:t>
      </w:r>
      <w:r w:rsidRPr="00D40645">
        <w:rPr>
          <w:rFonts w:cs="Calibri"/>
        </w:rPr>
        <w:t xml:space="preserve"> </w:t>
      </w:r>
      <w:r>
        <w:rPr>
          <w:rFonts w:cs="Calibri"/>
        </w:rPr>
        <w:t xml:space="preserve">rovněž </w:t>
      </w:r>
      <w:r w:rsidRPr="00D40645">
        <w:rPr>
          <w:rFonts w:cs="Calibri"/>
        </w:rPr>
        <w:t>mezi rokem 20</w:t>
      </w:r>
      <w:r>
        <w:rPr>
          <w:rFonts w:cs="Calibri"/>
        </w:rPr>
        <w:t>17</w:t>
      </w:r>
      <w:r w:rsidRPr="00D40645">
        <w:rPr>
          <w:rFonts w:cs="Calibri"/>
        </w:rPr>
        <w:t xml:space="preserve"> a 20</w:t>
      </w:r>
      <w:r>
        <w:rPr>
          <w:rFonts w:cs="Calibri"/>
        </w:rPr>
        <w:t>18 (nárůst o 55 %); v případě výdajů pak, stejně jako v případě celé kapitoly, mezi rokem 2019 a 2020 (nárůst o 27 %)</w:t>
      </w:r>
      <w:r w:rsidRPr="00D40645">
        <w:rPr>
          <w:rFonts w:cs="Calibri"/>
        </w:rPr>
        <w:t>.</w:t>
      </w:r>
    </w:p>
    <w:p w14:paraId="72434E96" w14:textId="77777777" w:rsidR="00A941A9" w:rsidRPr="00D40645" w:rsidRDefault="00A941A9" w:rsidP="00A941A9">
      <w:pPr>
        <w:spacing w:after="0"/>
        <w:jc w:val="both"/>
        <w:rPr>
          <w:rFonts w:cs="Calibri"/>
        </w:rPr>
      </w:pPr>
    </w:p>
    <w:p w14:paraId="1B2ACF33" w14:textId="77777777" w:rsidR="005D5236" w:rsidRPr="005424CD" w:rsidRDefault="005D5236" w:rsidP="00124170">
      <w:pPr>
        <w:pStyle w:val="Titulek"/>
        <w:tabs>
          <w:tab w:val="right" w:pos="9070"/>
        </w:tabs>
        <w:spacing w:before="0" w:after="40"/>
        <w:rPr>
          <w:rFonts w:cstheme="minorHAnsi"/>
          <w:szCs w:val="24"/>
        </w:rPr>
      </w:pPr>
      <w:bookmarkStart w:id="84" w:name="_Toc520714642"/>
      <w:bookmarkStart w:id="85" w:name="_Toc8984849"/>
      <w:bookmarkStart w:id="86" w:name="_Toc69401702"/>
      <w:bookmarkStart w:id="87" w:name="_Toc101336469"/>
      <w:bookmarkEnd w:id="83"/>
      <w:r w:rsidRPr="005424CD">
        <w:rPr>
          <w:rFonts w:cstheme="minorHAnsi"/>
          <w:szCs w:val="24"/>
        </w:rPr>
        <w:t>Tabulka č. 18: Příjmy a výdaje OSS v rozpočtové kapitole 314 (bez MV</w:t>
      </w:r>
      <w:r w:rsidR="009D6BD8">
        <w:rPr>
          <w:rFonts w:cstheme="minorHAnsi"/>
          <w:szCs w:val="24"/>
        </w:rPr>
        <w:t xml:space="preserve">) </w:t>
      </w:r>
      <w:r w:rsidR="00C1340A">
        <w:rPr>
          <w:rFonts w:cstheme="minorHAnsi"/>
          <w:szCs w:val="24"/>
        </w:rPr>
        <w:tab/>
      </w:r>
      <w:r w:rsidR="009D6BD8">
        <w:rPr>
          <w:rFonts w:cstheme="minorHAnsi"/>
          <w:szCs w:val="24"/>
        </w:rPr>
        <w:t>(</w:t>
      </w:r>
      <w:r w:rsidRPr="005424CD">
        <w:rPr>
          <w:rFonts w:cstheme="minorHAnsi"/>
          <w:szCs w:val="24"/>
        </w:rPr>
        <w:t>v Kč)</w:t>
      </w:r>
      <w:bookmarkEnd w:id="84"/>
      <w:bookmarkEnd w:id="85"/>
      <w:bookmarkEnd w:id="86"/>
      <w:bookmarkEnd w:id="87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2"/>
        <w:gridCol w:w="1508"/>
        <w:gridCol w:w="1508"/>
        <w:gridCol w:w="1506"/>
        <w:gridCol w:w="1506"/>
        <w:gridCol w:w="1500"/>
      </w:tblGrid>
      <w:tr w:rsidR="005D5236" w:rsidRPr="005B5B16" w14:paraId="43B577B3" w14:textId="77777777" w:rsidTr="00A941A9">
        <w:trPr>
          <w:trHeight w:val="255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45B90FF" w14:textId="77777777" w:rsidR="005D5236" w:rsidRPr="005B5B16" w:rsidRDefault="005D5236" w:rsidP="00A941A9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7D66CB0" w14:textId="77777777" w:rsidR="005D5236" w:rsidRPr="005B5B16" w:rsidRDefault="005D5236" w:rsidP="00A941A9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2017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81484E9" w14:textId="77777777" w:rsidR="005D5236" w:rsidRPr="005B5B16" w:rsidRDefault="005D5236" w:rsidP="00A941A9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2018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63BCAD8" w14:textId="77777777" w:rsidR="005D5236" w:rsidRPr="005B5B16" w:rsidRDefault="005D5236" w:rsidP="00A941A9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2019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5EE17F08" w14:textId="77777777" w:rsidR="005D5236" w:rsidRPr="005B5B16" w:rsidRDefault="005D5236" w:rsidP="00A941A9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2020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0BD34973" w14:textId="77777777" w:rsidR="005D5236" w:rsidRPr="005B5B16" w:rsidRDefault="005D5236" w:rsidP="00A941A9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2021</w:t>
            </w:r>
          </w:p>
        </w:tc>
      </w:tr>
      <w:tr w:rsidR="005D5236" w:rsidRPr="005B5B16" w14:paraId="6D03D833" w14:textId="77777777" w:rsidTr="00A941A9">
        <w:trPr>
          <w:trHeight w:val="255"/>
        </w:trPr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DED57" w14:textId="77777777" w:rsidR="005D5236" w:rsidRPr="005B5B16" w:rsidRDefault="005D5236" w:rsidP="00A941A9">
            <w:pPr>
              <w:spacing w:after="0"/>
              <w:rPr>
                <w:rFonts w:cstheme="minorHAnsi"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Cs/>
                <w:sz w:val="18"/>
                <w:szCs w:val="18"/>
                <w:lang w:eastAsia="cs-CZ"/>
              </w:rPr>
              <w:t>Příjmy celkem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6D7E1" w14:textId="77777777" w:rsidR="005D5236" w:rsidRPr="005B5B16" w:rsidRDefault="005D5236" w:rsidP="00A941A9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7 243 631 098,25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4B232" w14:textId="77777777" w:rsidR="005D5236" w:rsidRPr="005B5B16" w:rsidRDefault="005D5236" w:rsidP="00A941A9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8 512 153 202,28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511BD" w14:textId="77777777" w:rsidR="005D5236" w:rsidRPr="005B5B16" w:rsidRDefault="005D5236" w:rsidP="00A941A9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8 967 830 691,05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656E0" w14:textId="77777777" w:rsidR="005D5236" w:rsidRPr="005B5B16" w:rsidRDefault="005D5236" w:rsidP="00A941A9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9 952 040 222,70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FB9B4" w14:textId="77777777" w:rsidR="005D5236" w:rsidRPr="005B5B16" w:rsidRDefault="005D5236" w:rsidP="00A941A9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10 442 936 838,01</w:t>
            </w:r>
          </w:p>
        </w:tc>
      </w:tr>
      <w:tr w:rsidR="005D5236" w:rsidRPr="005B5B16" w14:paraId="70755671" w14:textId="77777777" w:rsidTr="00A941A9">
        <w:trPr>
          <w:trHeight w:val="255"/>
        </w:trPr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A0401" w14:textId="77777777" w:rsidR="005D5236" w:rsidRPr="005B5B16" w:rsidRDefault="005D5236" w:rsidP="00A941A9">
            <w:pPr>
              <w:spacing w:after="0"/>
              <w:rPr>
                <w:rFonts w:cstheme="minorHAnsi"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Cs/>
                <w:sz w:val="18"/>
                <w:szCs w:val="18"/>
                <w:lang w:eastAsia="cs-CZ"/>
              </w:rPr>
              <w:t>Výdaje celkem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86E5C" w14:textId="77777777" w:rsidR="005D5236" w:rsidRPr="005B5B16" w:rsidRDefault="005D5236" w:rsidP="00A941A9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39 457 443 534,74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E8AA6" w14:textId="77777777" w:rsidR="005D5236" w:rsidRPr="005B5B16" w:rsidRDefault="005D5236" w:rsidP="00A941A9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45 203 012 622,82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9EA3B" w14:textId="77777777" w:rsidR="005D5236" w:rsidRPr="005B5B16" w:rsidRDefault="005D5236" w:rsidP="00A941A9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49 276 346 324,79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BB0CE" w14:textId="77777777" w:rsidR="005D5236" w:rsidRPr="005B5B16" w:rsidRDefault="005D5236" w:rsidP="00A941A9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53 343 858 991,47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A7A5F" w14:textId="77777777" w:rsidR="005D5236" w:rsidRPr="005B5B16" w:rsidRDefault="005D5236" w:rsidP="00A941A9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54 636 769 059,77</w:t>
            </w:r>
          </w:p>
        </w:tc>
      </w:tr>
    </w:tbl>
    <w:p w14:paraId="60821546" w14:textId="77777777" w:rsidR="005D5236" w:rsidRDefault="005D5236" w:rsidP="005D5236">
      <w:pPr>
        <w:pStyle w:val="Zdroj"/>
        <w:spacing w:before="40"/>
        <w:rPr>
          <w:rFonts w:asciiTheme="minorHAnsi" w:hAnsiTheme="minorHAnsi"/>
          <w:i w:val="0"/>
        </w:rPr>
      </w:pPr>
      <w:bookmarkStart w:id="88" w:name="_Toc520714643"/>
      <w:r w:rsidRPr="00A941A9">
        <w:rPr>
          <w:rFonts w:asciiTheme="minorHAnsi" w:hAnsiTheme="minorHAnsi"/>
          <w:b/>
          <w:i w:val="0"/>
        </w:rPr>
        <w:t xml:space="preserve">Zdroj: </w:t>
      </w:r>
      <w:r w:rsidRPr="00A941A9">
        <w:rPr>
          <w:rFonts w:asciiTheme="minorHAnsi" w:hAnsiTheme="minorHAnsi"/>
          <w:i w:val="0"/>
        </w:rPr>
        <w:t>informační portál MONITOR.</w:t>
      </w:r>
    </w:p>
    <w:p w14:paraId="797711BE" w14:textId="77777777" w:rsidR="00A941A9" w:rsidRPr="00A941A9" w:rsidRDefault="00A941A9" w:rsidP="005D5236">
      <w:pPr>
        <w:pStyle w:val="Zdroj"/>
        <w:spacing w:before="40"/>
        <w:rPr>
          <w:rFonts w:asciiTheme="minorHAnsi" w:hAnsiTheme="minorHAnsi"/>
          <w:i w:val="0"/>
          <w:sz w:val="24"/>
          <w:szCs w:val="24"/>
        </w:rPr>
      </w:pPr>
    </w:p>
    <w:p w14:paraId="09ABF0F7" w14:textId="77777777" w:rsidR="00124170" w:rsidRDefault="00124170">
      <w:pPr>
        <w:spacing w:after="160" w:line="259" w:lineRule="auto"/>
        <w:rPr>
          <w:rFonts w:cstheme="minorHAnsi"/>
          <w:b/>
          <w:bCs/>
        </w:rPr>
      </w:pPr>
      <w:bookmarkStart w:id="89" w:name="_Toc8984850"/>
      <w:bookmarkStart w:id="90" w:name="_Toc69401703"/>
      <w:bookmarkStart w:id="91" w:name="_Toc101336470"/>
      <w:r>
        <w:rPr>
          <w:rFonts w:cstheme="minorHAnsi"/>
        </w:rPr>
        <w:br w:type="page"/>
      </w:r>
    </w:p>
    <w:p w14:paraId="67F094C4" w14:textId="5D39B39A" w:rsidR="005D5236" w:rsidRPr="005424CD" w:rsidRDefault="005D5236" w:rsidP="00A941A9">
      <w:pPr>
        <w:pStyle w:val="Titulek"/>
        <w:spacing w:before="0" w:after="40"/>
        <w:rPr>
          <w:rFonts w:cstheme="minorHAnsi"/>
          <w:szCs w:val="24"/>
        </w:rPr>
      </w:pPr>
      <w:r w:rsidRPr="005424CD">
        <w:rPr>
          <w:rFonts w:cstheme="minorHAnsi"/>
          <w:szCs w:val="24"/>
        </w:rPr>
        <w:lastRenderedPageBreak/>
        <w:t>Tabulka č.</w:t>
      </w:r>
      <w:r>
        <w:rPr>
          <w:rFonts w:cstheme="minorHAnsi"/>
          <w:szCs w:val="24"/>
        </w:rPr>
        <w:t xml:space="preserve"> 19</w:t>
      </w:r>
      <w:r w:rsidRPr="005424CD">
        <w:rPr>
          <w:rFonts w:cstheme="minorHAnsi"/>
          <w:szCs w:val="24"/>
        </w:rPr>
        <w:t>: Tempo růstu příjmů a výdajů OSS v rozpočtové kapitole 314 (bez MV)</w:t>
      </w:r>
      <w:bookmarkEnd w:id="88"/>
      <w:bookmarkEnd w:id="89"/>
      <w:bookmarkEnd w:id="90"/>
      <w:bookmarkEnd w:id="91"/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524"/>
        <w:gridCol w:w="1524"/>
        <w:gridCol w:w="1524"/>
        <w:gridCol w:w="1524"/>
      </w:tblGrid>
      <w:tr w:rsidR="005D5236" w:rsidRPr="005B5B16" w14:paraId="786E05BB" w14:textId="77777777" w:rsidTr="00D64495">
        <w:trPr>
          <w:trHeight w:val="255"/>
        </w:trPr>
        <w:tc>
          <w:tcPr>
            <w:tcW w:w="2972" w:type="dxa"/>
            <w:shd w:val="clear" w:color="auto" w:fill="E5F1FF"/>
            <w:noWrap/>
            <w:vAlign w:val="center"/>
            <w:hideMark/>
          </w:tcPr>
          <w:p w14:paraId="13880F07" w14:textId="77777777" w:rsidR="005D5236" w:rsidRPr="005B5B16" w:rsidRDefault="005D5236" w:rsidP="00A941A9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Tempo růstu (absolutní změna)</w:t>
            </w:r>
          </w:p>
        </w:tc>
        <w:tc>
          <w:tcPr>
            <w:tcW w:w="1524" w:type="dxa"/>
            <w:shd w:val="clear" w:color="auto" w:fill="E5F1FF"/>
            <w:noWrap/>
            <w:vAlign w:val="center"/>
            <w:hideMark/>
          </w:tcPr>
          <w:p w14:paraId="65B541A1" w14:textId="1464F1F3" w:rsidR="005D5236" w:rsidRPr="005B5B16" w:rsidRDefault="005D5236" w:rsidP="00A941A9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5B5B16">
              <w:rPr>
                <w:rFonts w:cstheme="minorHAnsi"/>
                <w:b/>
                <w:sz w:val="18"/>
                <w:szCs w:val="18"/>
              </w:rPr>
              <w:t>2018</w:t>
            </w:r>
            <w:r w:rsidR="00180BF7" w:rsidRPr="0060002F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180BF7" w:rsidRPr="0060002F">
              <w:rPr>
                <w:rFonts w:cs="Calibri"/>
                <w:b/>
                <w:sz w:val="18"/>
                <w:szCs w:val="18"/>
              </w:rPr>
              <w:t xml:space="preserve">− </w:t>
            </w:r>
            <w:r w:rsidRPr="005B5B16">
              <w:rPr>
                <w:rFonts w:cstheme="minorHAnsi"/>
                <w:b/>
                <w:sz w:val="18"/>
                <w:szCs w:val="18"/>
              </w:rPr>
              <w:t>2017</w:t>
            </w:r>
            <w:proofErr w:type="gramEnd"/>
          </w:p>
        </w:tc>
        <w:tc>
          <w:tcPr>
            <w:tcW w:w="1524" w:type="dxa"/>
            <w:shd w:val="clear" w:color="auto" w:fill="E5F1FF"/>
            <w:noWrap/>
            <w:vAlign w:val="center"/>
            <w:hideMark/>
          </w:tcPr>
          <w:p w14:paraId="75A39F44" w14:textId="7FA2ADBF" w:rsidR="005D5236" w:rsidRPr="005B5B16" w:rsidRDefault="005D5236" w:rsidP="00A941A9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5B5B16">
              <w:rPr>
                <w:rFonts w:cstheme="minorHAnsi"/>
                <w:b/>
                <w:sz w:val="18"/>
                <w:szCs w:val="18"/>
              </w:rPr>
              <w:t>2019</w:t>
            </w:r>
            <w:r w:rsidR="00180BF7" w:rsidRPr="0060002F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180BF7" w:rsidRPr="0060002F">
              <w:rPr>
                <w:rFonts w:cs="Calibri"/>
                <w:b/>
                <w:sz w:val="18"/>
                <w:szCs w:val="18"/>
              </w:rPr>
              <w:t xml:space="preserve">− </w:t>
            </w:r>
            <w:r w:rsidRPr="005B5B16">
              <w:rPr>
                <w:rFonts w:cstheme="minorHAnsi"/>
                <w:b/>
                <w:sz w:val="18"/>
                <w:szCs w:val="18"/>
              </w:rPr>
              <w:t>2018</w:t>
            </w:r>
            <w:proofErr w:type="gramEnd"/>
          </w:p>
        </w:tc>
        <w:tc>
          <w:tcPr>
            <w:tcW w:w="1524" w:type="dxa"/>
            <w:shd w:val="clear" w:color="auto" w:fill="E5F1FF"/>
            <w:vAlign w:val="center"/>
          </w:tcPr>
          <w:p w14:paraId="2121F57B" w14:textId="1EF07A9D" w:rsidR="005D5236" w:rsidRPr="005B5B16" w:rsidRDefault="005D5236" w:rsidP="00A941A9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5B5B16">
              <w:rPr>
                <w:rFonts w:cstheme="minorHAnsi"/>
                <w:b/>
                <w:sz w:val="18"/>
                <w:szCs w:val="18"/>
              </w:rPr>
              <w:t>2020</w:t>
            </w:r>
            <w:r w:rsidR="00180BF7" w:rsidRPr="0060002F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180BF7" w:rsidRPr="0060002F">
              <w:rPr>
                <w:rFonts w:cs="Calibri"/>
                <w:b/>
                <w:sz w:val="18"/>
                <w:szCs w:val="18"/>
              </w:rPr>
              <w:t xml:space="preserve">− </w:t>
            </w:r>
            <w:r w:rsidRPr="005B5B16">
              <w:rPr>
                <w:rFonts w:cstheme="minorHAnsi"/>
                <w:b/>
                <w:sz w:val="18"/>
                <w:szCs w:val="18"/>
              </w:rPr>
              <w:t>2019</w:t>
            </w:r>
            <w:proofErr w:type="gramEnd"/>
          </w:p>
        </w:tc>
        <w:tc>
          <w:tcPr>
            <w:tcW w:w="1524" w:type="dxa"/>
            <w:shd w:val="clear" w:color="auto" w:fill="E5F1FF"/>
            <w:vAlign w:val="center"/>
          </w:tcPr>
          <w:p w14:paraId="2ED33A3D" w14:textId="0A9CA730" w:rsidR="005D5236" w:rsidRPr="005B5B16" w:rsidRDefault="005D5236" w:rsidP="00A941A9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5B5B16">
              <w:rPr>
                <w:rFonts w:cstheme="minorHAnsi"/>
                <w:b/>
                <w:sz w:val="18"/>
                <w:szCs w:val="18"/>
              </w:rPr>
              <w:t>2021</w:t>
            </w:r>
            <w:r w:rsidR="00180BF7" w:rsidRPr="0060002F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180BF7" w:rsidRPr="0060002F">
              <w:rPr>
                <w:rFonts w:cs="Calibri"/>
                <w:b/>
                <w:sz w:val="18"/>
                <w:szCs w:val="18"/>
              </w:rPr>
              <w:t xml:space="preserve">− </w:t>
            </w:r>
            <w:r w:rsidRPr="005B5B16">
              <w:rPr>
                <w:rFonts w:cstheme="minorHAnsi"/>
                <w:b/>
                <w:sz w:val="18"/>
                <w:szCs w:val="18"/>
              </w:rPr>
              <w:t>2020</w:t>
            </w:r>
            <w:proofErr w:type="gramEnd"/>
          </w:p>
        </w:tc>
      </w:tr>
      <w:tr w:rsidR="005D5236" w:rsidRPr="005B5B16" w14:paraId="54189A74" w14:textId="77777777" w:rsidTr="00D64495">
        <w:trPr>
          <w:trHeight w:val="255"/>
        </w:trPr>
        <w:tc>
          <w:tcPr>
            <w:tcW w:w="2972" w:type="dxa"/>
            <w:shd w:val="clear" w:color="auto" w:fill="auto"/>
            <w:noWrap/>
            <w:vAlign w:val="center"/>
          </w:tcPr>
          <w:p w14:paraId="2FDED364" w14:textId="77777777" w:rsidR="005D5236" w:rsidRPr="005B5B16" w:rsidRDefault="005D5236" w:rsidP="00A941A9">
            <w:pPr>
              <w:spacing w:after="0"/>
              <w:rPr>
                <w:rFonts w:cstheme="minorHAnsi"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Cs/>
                <w:sz w:val="18"/>
                <w:szCs w:val="18"/>
                <w:lang w:eastAsia="cs-CZ"/>
              </w:rPr>
              <w:t>Příjmy (v Kč)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126071EE" w14:textId="77777777" w:rsidR="005D5236" w:rsidRPr="005B5B16" w:rsidRDefault="005D5236" w:rsidP="00A941A9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1 268 522 104,03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18FF7FB2" w14:textId="77777777" w:rsidR="005D5236" w:rsidRPr="005B5B16" w:rsidRDefault="005D5236" w:rsidP="00A941A9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455 677 488,77</w:t>
            </w:r>
          </w:p>
        </w:tc>
        <w:tc>
          <w:tcPr>
            <w:tcW w:w="1524" w:type="dxa"/>
            <w:vAlign w:val="center"/>
          </w:tcPr>
          <w:p w14:paraId="1CD2870A" w14:textId="77777777" w:rsidR="005D5236" w:rsidRPr="005B5B16" w:rsidRDefault="005D5236" w:rsidP="00A941A9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984 209 531,65</w:t>
            </w:r>
          </w:p>
        </w:tc>
        <w:tc>
          <w:tcPr>
            <w:tcW w:w="1524" w:type="dxa"/>
            <w:vAlign w:val="center"/>
          </w:tcPr>
          <w:p w14:paraId="53934706" w14:textId="77777777" w:rsidR="005D5236" w:rsidRPr="005B5B16" w:rsidRDefault="005D5236" w:rsidP="00A941A9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490 896 615,31</w:t>
            </w:r>
          </w:p>
        </w:tc>
      </w:tr>
      <w:tr w:rsidR="005D5236" w:rsidRPr="005B5B16" w14:paraId="13784B8E" w14:textId="77777777" w:rsidTr="00D64495">
        <w:trPr>
          <w:trHeight w:val="255"/>
        </w:trPr>
        <w:tc>
          <w:tcPr>
            <w:tcW w:w="2972" w:type="dxa"/>
            <w:shd w:val="clear" w:color="auto" w:fill="auto"/>
            <w:noWrap/>
            <w:vAlign w:val="center"/>
          </w:tcPr>
          <w:p w14:paraId="4EEA35D9" w14:textId="77777777" w:rsidR="005D5236" w:rsidRPr="005B5B16" w:rsidRDefault="005D5236" w:rsidP="00A941A9">
            <w:pPr>
              <w:spacing w:after="0"/>
              <w:rPr>
                <w:rFonts w:cstheme="minorHAnsi"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Cs/>
                <w:sz w:val="18"/>
                <w:szCs w:val="18"/>
                <w:lang w:eastAsia="cs-CZ"/>
              </w:rPr>
              <w:t>Výdaje (v Kč)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0A209A48" w14:textId="77777777" w:rsidR="005D5236" w:rsidRPr="005B5B16" w:rsidRDefault="005D5236" w:rsidP="00A941A9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5 745 569 088,08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1FCB6478" w14:textId="77777777" w:rsidR="005D5236" w:rsidRPr="005B5B16" w:rsidRDefault="005D5236" w:rsidP="00A941A9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4 073 333 701,97</w:t>
            </w:r>
          </w:p>
        </w:tc>
        <w:tc>
          <w:tcPr>
            <w:tcW w:w="1524" w:type="dxa"/>
            <w:vAlign w:val="center"/>
          </w:tcPr>
          <w:p w14:paraId="58DA1ECB" w14:textId="77777777" w:rsidR="005D5236" w:rsidRPr="005B5B16" w:rsidRDefault="005D5236" w:rsidP="00A941A9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4 067 512 666,68</w:t>
            </w:r>
          </w:p>
        </w:tc>
        <w:tc>
          <w:tcPr>
            <w:tcW w:w="1524" w:type="dxa"/>
            <w:vAlign w:val="center"/>
          </w:tcPr>
          <w:p w14:paraId="42DC2B5C" w14:textId="77777777" w:rsidR="005D5236" w:rsidRPr="005B5B16" w:rsidRDefault="005D5236" w:rsidP="00A941A9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1 292 910 068,30</w:t>
            </w:r>
          </w:p>
        </w:tc>
      </w:tr>
      <w:tr w:rsidR="005D5236" w:rsidRPr="005B5B16" w14:paraId="374403F1" w14:textId="77777777" w:rsidTr="00D64495">
        <w:trPr>
          <w:trHeight w:val="255"/>
        </w:trPr>
        <w:tc>
          <w:tcPr>
            <w:tcW w:w="2972" w:type="dxa"/>
            <w:shd w:val="clear" w:color="auto" w:fill="E5F1FF"/>
            <w:noWrap/>
            <w:vAlign w:val="center"/>
          </w:tcPr>
          <w:p w14:paraId="08F745FB" w14:textId="7D23D7CD" w:rsidR="005D5236" w:rsidRPr="005B5B16" w:rsidRDefault="005D5236" w:rsidP="00A941A9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Tempo růstu v % (relativní změna) (((x+</w:t>
            </w:r>
            <w:proofErr w:type="gramStart"/>
            <w:r w:rsidRPr="005B5B16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1)</w:t>
            </w:r>
            <w:r w:rsidR="00180BF7" w:rsidRPr="0060002F">
              <w:rPr>
                <w:rFonts w:cs="Calibri"/>
                <w:b/>
                <w:sz w:val="18"/>
                <w:szCs w:val="18"/>
              </w:rPr>
              <w:t>−</w:t>
            </w:r>
            <w:proofErr w:type="gramEnd"/>
            <w:r w:rsidRPr="005B5B16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x)/x)</w:t>
            </w:r>
            <w:r w:rsidR="00180BF7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×</w:t>
            </w:r>
            <w:r w:rsidRPr="005B5B16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1524" w:type="dxa"/>
            <w:shd w:val="clear" w:color="auto" w:fill="E5F1FF"/>
            <w:noWrap/>
            <w:vAlign w:val="center"/>
          </w:tcPr>
          <w:p w14:paraId="114454ED" w14:textId="77777777" w:rsidR="005D5236" w:rsidRPr="005B5B16" w:rsidRDefault="005D5236" w:rsidP="00A941A9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2018/2017</w:t>
            </w:r>
          </w:p>
        </w:tc>
        <w:tc>
          <w:tcPr>
            <w:tcW w:w="1524" w:type="dxa"/>
            <w:shd w:val="clear" w:color="auto" w:fill="E5F1FF"/>
            <w:noWrap/>
            <w:vAlign w:val="center"/>
          </w:tcPr>
          <w:p w14:paraId="057AB80E" w14:textId="77777777" w:rsidR="005D5236" w:rsidRPr="005B5B16" w:rsidRDefault="005D5236" w:rsidP="00A941A9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2019/2018</w:t>
            </w:r>
          </w:p>
        </w:tc>
        <w:tc>
          <w:tcPr>
            <w:tcW w:w="1524" w:type="dxa"/>
            <w:shd w:val="clear" w:color="auto" w:fill="E5F1FF"/>
            <w:vAlign w:val="center"/>
          </w:tcPr>
          <w:p w14:paraId="4FF3AE27" w14:textId="77777777" w:rsidR="005D5236" w:rsidRPr="005B5B16" w:rsidRDefault="005D5236" w:rsidP="00A941A9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2020/2019</w:t>
            </w:r>
          </w:p>
        </w:tc>
        <w:tc>
          <w:tcPr>
            <w:tcW w:w="1524" w:type="dxa"/>
            <w:shd w:val="clear" w:color="auto" w:fill="E5F1FF"/>
            <w:vAlign w:val="center"/>
          </w:tcPr>
          <w:p w14:paraId="526CE96E" w14:textId="77777777" w:rsidR="005D5236" w:rsidRPr="005B5B16" w:rsidRDefault="005D5236" w:rsidP="00A941A9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2021/2020</w:t>
            </w:r>
          </w:p>
        </w:tc>
      </w:tr>
      <w:tr w:rsidR="005D5236" w:rsidRPr="005B5B16" w14:paraId="1DA488FB" w14:textId="77777777" w:rsidTr="00D64495">
        <w:trPr>
          <w:trHeight w:val="255"/>
        </w:trPr>
        <w:tc>
          <w:tcPr>
            <w:tcW w:w="2972" w:type="dxa"/>
            <w:shd w:val="clear" w:color="auto" w:fill="auto"/>
            <w:noWrap/>
            <w:vAlign w:val="center"/>
          </w:tcPr>
          <w:p w14:paraId="47580C5E" w14:textId="77777777" w:rsidR="005D5236" w:rsidRPr="005B5B16" w:rsidRDefault="005D5236" w:rsidP="00A941A9">
            <w:pPr>
              <w:spacing w:after="0"/>
              <w:rPr>
                <w:rFonts w:cstheme="minorHAnsi"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Cs/>
                <w:sz w:val="18"/>
                <w:szCs w:val="18"/>
                <w:lang w:eastAsia="cs-CZ"/>
              </w:rPr>
              <w:t>Příjmy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17DF477F" w14:textId="77777777" w:rsidR="005D5236" w:rsidRPr="005B5B16" w:rsidRDefault="005D5236" w:rsidP="00A941A9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17,51</w:t>
            </w:r>
            <w:r w:rsidR="007856E6">
              <w:rPr>
                <w:rFonts w:cstheme="minorHAnsi"/>
                <w:sz w:val="18"/>
                <w:szCs w:val="18"/>
              </w:rPr>
              <w:t xml:space="preserve"> </w:t>
            </w:r>
            <w:r w:rsidRPr="005B5B16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6BC68257" w14:textId="77777777" w:rsidR="005D5236" w:rsidRPr="005B5B16" w:rsidRDefault="005D5236" w:rsidP="00A941A9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5,35</w:t>
            </w:r>
            <w:r w:rsidR="007856E6">
              <w:rPr>
                <w:rFonts w:cstheme="minorHAnsi"/>
                <w:sz w:val="18"/>
                <w:szCs w:val="18"/>
              </w:rPr>
              <w:t xml:space="preserve"> </w:t>
            </w:r>
            <w:r w:rsidRPr="005B5B16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524" w:type="dxa"/>
            <w:vAlign w:val="center"/>
          </w:tcPr>
          <w:p w14:paraId="39832E14" w14:textId="77777777" w:rsidR="005D5236" w:rsidRPr="005B5B16" w:rsidRDefault="005D5236" w:rsidP="00A941A9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10,97</w:t>
            </w:r>
            <w:r w:rsidR="007856E6">
              <w:rPr>
                <w:rFonts w:cstheme="minorHAnsi"/>
                <w:sz w:val="18"/>
                <w:szCs w:val="18"/>
              </w:rPr>
              <w:t xml:space="preserve"> </w:t>
            </w:r>
            <w:r w:rsidRPr="005B5B16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524" w:type="dxa"/>
            <w:vAlign w:val="center"/>
          </w:tcPr>
          <w:p w14:paraId="788B9373" w14:textId="77777777" w:rsidR="005D5236" w:rsidRPr="005B5B16" w:rsidRDefault="005D5236" w:rsidP="00A941A9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4,93</w:t>
            </w:r>
            <w:r w:rsidR="007856E6">
              <w:rPr>
                <w:rFonts w:cstheme="minorHAnsi"/>
                <w:sz w:val="18"/>
                <w:szCs w:val="18"/>
              </w:rPr>
              <w:t xml:space="preserve"> </w:t>
            </w:r>
            <w:r w:rsidRPr="005B5B16">
              <w:rPr>
                <w:rFonts w:cstheme="minorHAnsi"/>
                <w:sz w:val="18"/>
                <w:szCs w:val="18"/>
              </w:rPr>
              <w:t>%</w:t>
            </w:r>
          </w:p>
        </w:tc>
      </w:tr>
      <w:tr w:rsidR="005D5236" w:rsidRPr="005B5B16" w14:paraId="30996D3D" w14:textId="77777777" w:rsidTr="00D64495">
        <w:trPr>
          <w:trHeight w:val="255"/>
        </w:trPr>
        <w:tc>
          <w:tcPr>
            <w:tcW w:w="2972" w:type="dxa"/>
            <w:shd w:val="clear" w:color="auto" w:fill="auto"/>
            <w:noWrap/>
            <w:vAlign w:val="center"/>
          </w:tcPr>
          <w:p w14:paraId="4C27D5BB" w14:textId="77777777" w:rsidR="005D5236" w:rsidRPr="005B5B16" w:rsidRDefault="005D5236" w:rsidP="00A941A9">
            <w:pPr>
              <w:spacing w:after="0"/>
              <w:rPr>
                <w:rFonts w:cstheme="minorHAnsi"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Cs/>
                <w:sz w:val="18"/>
                <w:szCs w:val="18"/>
                <w:lang w:eastAsia="cs-CZ"/>
              </w:rPr>
              <w:t>Výdaje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2F3F4AE4" w14:textId="77777777" w:rsidR="005D5236" w:rsidRPr="005B5B16" w:rsidRDefault="005D5236" w:rsidP="00A941A9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14,56</w:t>
            </w:r>
            <w:r w:rsidR="007856E6">
              <w:rPr>
                <w:rFonts w:cstheme="minorHAnsi"/>
                <w:sz w:val="18"/>
                <w:szCs w:val="18"/>
              </w:rPr>
              <w:t xml:space="preserve"> </w:t>
            </w:r>
            <w:r w:rsidRPr="005B5B16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2A28CC25" w14:textId="77777777" w:rsidR="005D5236" w:rsidRPr="005B5B16" w:rsidRDefault="005D5236" w:rsidP="00A941A9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9,01</w:t>
            </w:r>
            <w:r w:rsidR="007856E6">
              <w:rPr>
                <w:rFonts w:cstheme="minorHAnsi"/>
                <w:sz w:val="18"/>
                <w:szCs w:val="18"/>
              </w:rPr>
              <w:t xml:space="preserve"> </w:t>
            </w:r>
            <w:r w:rsidRPr="005B5B16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524" w:type="dxa"/>
            <w:vAlign w:val="center"/>
          </w:tcPr>
          <w:p w14:paraId="7A2C6D92" w14:textId="77777777" w:rsidR="005D5236" w:rsidRPr="005B5B16" w:rsidRDefault="005D5236" w:rsidP="00A941A9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8,25</w:t>
            </w:r>
            <w:r w:rsidR="007856E6">
              <w:rPr>
                <w:rFonts w:cstheme="minorHAnsi"/>
                <w:sz w:val="18"/>
                <w:szCs w:val="18"/>
              </w:rPr>
              <w:t xml:space="preserve"> </w:t>
            </w:r>
            <w:r w:rsidRPr="005B5B16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524" w:type="dxa"/>
            <w:vAlign w:val="center"/>
          </w:tcPr>
          <w:p w14:paraId="15747AD8" w14:textId="77777777" w:rsidR="005D5236" w:rsidRPr="005B5B16" w:rsidRDefault="005D5236" w:rsidP="00A941A9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2,42</w:t>
            </w:r>
            <w:r w:rsidR="007856E6">
              <w:rPr>
                <w:rFonts w:cstheme="minorHAnsi"/>
                <w:sz w:val="18"/>
                <w:szCs w:val="18"/>
              </w:rPr>
              <w:t xml:space="preserve"> </w:t>
            </w:r>
            <w:r w:rsidRPr="005B5B16">
              <w:rPr>
                <w:rFonts w:cstheme="minorHAnsi"/>
                <w:sz w:val="18"/>
                <w:szCs w:val="18"/>
              </w:rPr>
              <w:t>%</w:t>
            </w:r>
          </w:p>
        </w:tc>
      </w:tr>
    </w:tbl>
    <w:p w14:paraId="09007C8E" w14:textId="77777777" w:rsidR="005D5236" w:rsidRPr="00A941A9" w:rsidRDefault="005D5236" w:rsidP="005D5236">
      <w:pPr>
        <w:pStyle w:val="Zdroj"/>
        <w:spacing w:before="40" w:after="120"/>
        <w:rPr>
          <w:rFonts w:asciiTheme="minorHAnsi" w:hAnsiTheme="minorHAnsi"/>
          <w:i w:val="0"/>
        </w:rPr>
      </w:pPr>
      <w:bookmarkStart w:id="92" w:name="_Toc520715170"/>
      <w:r w:rsidRPr="00A941A9">
        <w:rPr>
          <w:rFonts w:asciiTheme="minorHAnsi" w:hAnsiTheme="minorHAnsi"/>
          <w:b/>
          <w:i w:val="0"/>
        </w:rPr>
        <w:t xml:space="preserve">Zdroj: </w:t>
      </w:r>
      <w:r w:rsidRPr="00A941A9">
        <w:rPr>
          <w:rFonts w:asciiTheme="minorHAnsi" w:hAnsiTheme="minorHAnsi"/>
          <w:i w:val="0"/>
        </w:rPr>
        <w:t>výpočet NKÚ.</w:t>
      </w:r>
    </w:p>
    <w:p w14:paraId="72B6FA52" w14:textId="77777777" w:rsidR="005D5236" w:rsidRDefault="005D5236" w:rsidP="00A941A9">
      <w:pPr>
        <w:pStyle w:val="Zdroj"/>
        <w:ind w:right="-2"/>
        <w:jc w:val="both"/>
        <w:rPr>
          <w:rFonts w:asciiTheme="minorHAnsi" w:hAnsiTheme="minorHAnsi"/>
          <w:i w:val="0"/>
          <w:sz w:val="24"/>
        </w:rPr>
      </w:pPr>
      <w:r w:rsidRPr="00A941A9">
        <w:rPr>
          <w:rFonts w:asciiTheme="minorHAnsi" w:hAnsiTheme="minorHAnsi"/>
          <w:i w:val="0"/>
          <w:sz w:val="24"/>
        </w:rPr>
        <w:t>K největší relativní změně příjmů i výdajů ve sledovaném období došlo u OSS (bez MV) mezi rokem 2017 a 2018 (nárůst o 18 % v případě příjmů a o 15 % v případě výdajů).</w:t>
      </w:r>
    </w:p>
    <w:p w14:paraId="70AE1878" w14:textId="77777777" w:rsidR="00A941A9" w:rsidRPr="00A941A9" w:rsidRDefault="00A941A9" w:rsidP="00A941A9">
      <w:pPr>
        <w:pStyle w:val="Zdroj"/>
        <w:spacing w:before="0"/>
        <w:jc w:val="both"/>
        <w:rPr>
          <w:rFonts w:asciiTheme="minorHAnsi" w:hAnsiTheme="minorHAnsi"/>
          <w:bCs/>
          <w:i w:val="0"/>
          <w:sz w:val="24"/>
        </w:rPr>
      </w:pPr>
    </w:p>
    <w:p w14:paraId="61ED9706" w14:textId="77777777" w:rsidR="005D5236" w:rsidRPr="00793469" w:rsidRDefault="005D5236" w:rsidP="00124170">
      <w:pPr>
        <w:pStyle w:val="Titulek"/>
        <w:tabs>
          <w:tab w:val="right" w:pos="9070"/>
        </w:tabs>
        <w:spacing w:before="0" w:after="40"/>
        <w:rPr>
          <w:rFonts w:cstheme="minorHAnsi"/>
          <w:szCs w:val="24"/>
        </w:rPr>
      </w:pPr>
      <w:bookmarkStart w:id="93" w:name="_Toc520714644"/>
      <w:bookmarkStart w:id="94" w:name="_Toc8984851"/>
      <w:bookmarkStart w:id="95" w:name="_Toc69401704"/>
      <w:bookmarkStart w:id="96" w:name="_Toc101336471"/>
      <w:bookmarkEnd w:id="92"/>
      <w:r w:rsidRPr="00793469">
        <w:rPr>
          <w:rFonts w:cstheme="minorHAnsi"/>
          <w:szCs w:val="24"/>
        </w:rPr>
        <w:t>Tabulka č.</w:t>
      </w:r>
      <w:r>
        <w:rPr>
          <w:rFonts w:cstheme="minorHAnsi"/>
          <w:szCs w:val="24"/>
        </w:rPr>
        <w:t xml:space="preserve"> 20</w:t>
      </w:r>
      <w:r w:rsidRPr="00793469">
        <w:rPr>
          <w:rFonts w:cstheme="minorHAnsi"/>
          <w:szCs w:val="24"/>
        </w:rPr>
        <w:t xml:space="preserve">: Výnosy a náklady OSS v rozpočtové kapitole 314 vč. MV </w:t>
      </w:r>
      <w:r w:rsidR="00180BF7">
        <w:rPr>
          <w:rFonts w:cstheme="minorHAnsi"/>
          <w:szCs w:val="24"/>
        </w:rPr>
        <w:tab/>
      </w:r>
      <w:r w:rsidRPr="00793469">
        <w:rPr>
          <w:rFonts w:cstheme="minorHAnsi"/>
          <w:szCs w:val="24"/>
        </w:rPr>
        <w:t>(v Kč)</w:t>
      </w:r>
      <w:bookmarkEnd w:id="93"/>
      <w:bookmarkEnd w:id="94"/>
      <w:bookmarkEnd w:id="95"/>
      <w:bookmarkEnd w:id="96"/>
    </w:p>
    <w:tbl>
      <w:tblPr>
        <w:tblW w:w="500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1570"/>
        <w:gridCol w:w="1570"/>
        <w:gridCol w:w="1493"/>
        <w:gridCol w:w="1587"/>
        <w:gridCol w:w="1556"/>
      </w:tblGrid>
      <w:tr w:rsidR="005D5236" w:rsidRPr="005B5B16" w14:paraId="430B3DC4" w14:textId="77777777" w:rsidTr="00A941A9">
        <w:trPr>
          <w:trHeight w:val="255"/>
        </w:trPr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2C79C84" w14:textId="77777777" w:rsidR="005D5236" w:rsidRPr="005B5B16" w:rsidRDefault="005D5236" w:rsidP="00A941A9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ECC5DE6" w14:textId="77777777" w:rsidR="005D5236" w:rsidRPr="005B5B16" w:rsidRDefault="005D5236" w:rsidP="00A941A9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2017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13B3AC4" w14:textId="77777777" w:rsidR="005D5236" w:rsidRPr="005B5B16" w:rsidRDefault="005D5236" w:rsidP="00A941A9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2018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84A2E92" w14:textId="77777777" w:rsidR="005D5236" w:rsidRPr="005B5B16" w:rsidRDefault="005D5236" w:rsidP="00A941A9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2019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60E967CF" w14:textId="77777777" w:rsidR="005D5236" w:rsidRPr="005B5B16" w:rsidRDefault="005D5236" w:rsidP="00A941A9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2020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7540690E" w14:textId="77777777" w:rsidR="005D5236" w:rsidRPr="005B5B16" w:rsidRDefault="005D5236" w:rsidP="00A941A9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2021</w:t>
            </w:r>
          </w:p>
        </w:tc>
      </w:tr>
      <w:tr w:rsidR="005D5236" w:rsidRPr="005B5B16" w14:paraId="43A76504" w14:textId="77777777" w:rsidTr="00A941A9">
        <w:trPr>
          <w:trHeight w:val="255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D4F76" w14:textId="77777777" w:rsidR="005D5236" w:rsidRPr="005B5B16" w:rsidRDefault="005D5236" w:rsidP="00A941A9">
            <w:pPr>
              <w:spacing w:after="0"/>
              <w:rPr>
                <w:rFonts w:cstheme="minorHAnsi"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Cs/>
                <w:sz w:val="18"/>
                <w:szCs w:val="18"/>
                <w:lang w:eastAsia="cs-CZ"/>
              </w:rPr>
              <w:t>Výnosy celkem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E31BE" w14:textId="77777777" w:rsidR="005D5236" w:rsidRPr="005B5B16" w:rsidRDefault="005D5236" w:rsidP="00A941A9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9 155 707 645,90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711A1" w14:textId="77777777" w:rsidR="005D5236" w:rsidRPr="005B5B16" w:rsidRDefault="005D5236" w:rsidP="00A941A9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11 137 871 751,84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C0B88" w14:textId="77777777" w:rsidR="005D5236" w:rsidRPr="005B5B16" w:rsidRDefault="005D5236" w:rsidP="00A941A9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11 067 103 097,33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3232B" w14:textId="77777777" w:rsidR="005D5236" w:rsidRPr="005B5B16" w:rsidRDefault="005D5236" w:rsidP="00A941A9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12 670 525 203,88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8FC64" w14:textId="77777777" w:rsidR="005D5236" w:rsidRPr="005B5B16" w:rsidRDefault="005D5236" w:rsidP="00A941A9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12 428 196 269,74</w:t>
            </w:r>
          </w:p>
        </w:tc>
      </w:tr>
      <w:tr w:rsidR="005D5236" w:rsidRPr="005B5B16" w14:paraId="3162CB6B" w14:textId="77777777" w:rsidTr="00A941A9">
        <w:trPr>
          <w:trHeight w:val="255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B1862" w14:textId="77777777" w:rsidR="005D5236" w:rsidRPr="005B5B16" w:rsidRDefault="005D5236" w:rsidP="00A941A9">
            <w:pPr>
              <w:spacing w:after="0"/>
              <w:rPr>
                <w:rFonts w:cstheme="minorHAnsi"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Cs/>
                <w:sz w:val="18"/>
                <w:szCs w:val="18"/>
                <w:lang w:eastAsia="cs-CZ"/>
              </w:rPr>
              <w:t>Náklady celkem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3177A" w14:textId="77777777" w:rsidR="005D5236" w:rsidRPr="005B5B16" w:rsidRDefault="005D5236" w:rsidP="00A941A9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66 648 882 613,91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8A625" w14:textId="77777777" w:rsidR="005D5236" w:rsidRPr="005B5B16" w:rsidRDefault="005D5236" w:rsidP="00A941A9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73 817 426 035,08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AB8FA" w14:textId="77777777" w:rsidR="005D5236" w:rsidRPr="005B5B16" w:rsidRDefault="005D5236" w:rsidP="00A941A9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78 396 910 436,98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71900" w14:textId="77777777" w:rsidR="005D5236" w:rsidRPr="005B5B16" w:rsidRDefault="005D5236" w:rsidP="00A941A9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88 337 057 072,26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6E819" w14:textId="77777777" w:rsidR="005D5236" w:rsidRPr="005B5B16" w:rsidRDefault="005D5236" w:rsidP="00A941A9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88 272 221 452,75</w:t>
            </w:r>
          </w:p>
        </w:tc>
      </w:tr>
    </w:tbl>
    <w:p w14:paraId="36229486" w14:textId="77777777" w:rsidR="005D5236" w:rsidRDefault="005D5236" w:rsidP="005D5236">
      <w:pPr>
        <w:pStyle w:val="Zdroj"/>
        <w:spacing w:before="40"/>
        <w:rPr>
          <w:rFonts w:asciiTheme="minorHAnsi" w:hAnsiTheme="minorHAnsi"/>
          <w:i w:val="0"/>
        </w:rPr>
      </w:pPr>
      <w:bookmarkStart w:id="97" w:name="_Toc520714645"/>
      <w:r w:rsidRPr="004F4B9C">
        <w:rPr>
          <w:rFonts w:asciiTheme="minorHAnsi" w:hAnsiTheme="minorHAnsi"/>
          <w:b/>
          <w:i w:val="0"/>
        </w:rPr>
        <w:t xml:space="preserve">Zdroj: </w:t>
      </w:r>
      <w:r w:rsidRPr="004F4B9C">
        <w:rPr>
          <w:rFonts w:asciiTheme="minorHAnsi" w:hAnsiTheme="minorHAnsi"/>
          <w:i w:val="0"/>
        </w:rPr>
        <w:t>informační portál MONITOR.</w:t>
      </w:r>
    </w:p>
    <w:p w14:paraId="67A8AB8C" w14:textId="77777777" w:rsidR="004F4B9C" w:rsidRPr="004F4B9C" w:rsidRDefault="004F4B9C" w:rsidP="005D5236">
      <w:pPr>
        <w:pStyle w:val="Zdroj"/>
        <w:spacing w:before="40"/>
        <w:rPr>
          <w:rFonts w:asciiTheme="minorHAnsi" w:hAnsiTheme="minorHAnsi"/>
          <w:i w:val="0"/>
          <w:sz w:val="24"/>
          <w:szCs w:val="24"/>
        </w:rPr>
      </w:pPr>
    </w:p>
    <w:p w14:paraId="4CCA1604" w14:textId="631ADA57" w:rsidR="005D5236" w:rsidRPr="00793469" w:rsidRDefault="005D5236" w:rsidP="004F4B9C">
      <w:pPr>
        <w:pStyle w:val="Titulek"/>
        <w:spacing w:before="0" w:after="40"/>
        <w:rPr>
          <w:rFonts w:cstheme="minorHAnsi"/>
          <w:szCs w:val="24"/>
        </w:rPr>
      </w:pPr>
      <w:bookmarkStart w:id="98" w:name="_Toc8984852"/>
      <w:bookmarkStart w:id="99" w:name="_Toc69401705"/>
      <w:bookmarkStart w:id="100" w:name="_Toc101336472"/>
      <w:r w:rsidRPr="00793469">
        <w:rPr>
          <w:rFonts w:cstheme="minorHAnsi"/>
          <w:szCs w:val="24"/>
        </w:rPr>
        <w:t>Tabulka č.</w:t>
      </w:r>
      <w:r>
        <w:rPr>
          <w:rFonts w:cstheme="minorHAnsi"/>
          <w:szCs w:val="24"/>
        </w:rPr>
        <w:t xml:space="preserve"> 21</w:t>
      </w:r>
      <w:r w:rsidRPr="00793469">
        <w:rPr>
          <w:rFonts w:cstheme="minorHAnsi"/>
          <w:szCs w:val="24"/>
        </w:rPr>
        <w:t>: Tempo růstu výnosů a nákladů OSS v rozpočtové kapitole 314 vč. M</w:t>
      </w:r>
      <w:bookmarkEnd w:id="97"/>
      <w:bookmarkEnd w:id="98"/>
      <w:bookmarkEnd w:id="99"/>
      <w:r w:rsidRPr="00793469">
        <w:rPr>
          <w:rFonts w:cstheme="minorHAnsi"/>
          <w:szCs w:val="24"/>
        </w:rPr>
        <w:t>V</w:t>
      </w:r>
      <w:bookmarkEnd w:id="100"/>
      <w:r w:rsidRPr="00793469">
        <w:rPr>
          <w:rFonts w:cstheme="minorHAnsi"/>
          <w:szCs w:val="24"/>
        </w:rPr>
        <w:t xml:space="preserve"> </w:t>
      </w:r>
    </w:p>
    <w:tbl>
      <w:tblPr>
        <w:tblW w:w="90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559"/>
        <w:gridCol w:w="1560"/>
        <w:gridCol w:w="1560"/>
        <w:gridCol w:w="1560"/>
      </w:tblGrid>
      <w:tr w:rsidR="005D5236" w:rsidRPr="005B5B16" w14:paraId="37F85BAC" w14:textId="77777777" w:rsidTr="00D64495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FBB7077" w14:textId="77777777" w:rsidR="005D5236" w:rsidRPr="005B5B16" w:rsidRDefault="005D5236" w:rsidP="004F4B9C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Tempo růstu (absolutní změna)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4D67D57" w14:textId="18373A03" w:rsidR="005D5236" w:rsidRPr="005B5B16" w:rsidRDefault="005D5236" w:rsidP="004F4B9C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5B5B16">
              <w:rPr>
                <w:rFonts w:cstheme="minorHAnsi"/>
                <w:b/>
                <w:sz w:val="18"/>
                <w:szCs w:val="18"/>
              </w:rPr>
              <w:t>2018</w:t>
            </w:r>
            <w:r w:rsidR="00180BF7" w:rsidRPr="0060002F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180BF7" w:rsidRPr="0060002F">
              <w:rPr>
                <w:rFonts w:cs="Calibri"/>
                <w:b/>
                <w:sz w:val="18"/>
                <w:szCs w:val="18"/>
              </w:rPr>
              <w:t xml:space="preserve">− </w:t>
            </w:r>
            <w:r w:rsidRPr="005B5B16">
              <w:rPr>
                <w:rFonts w:cstheme="minorHAnsi"/>
                <w:b/>
                <w:sz w:val="18"/>
                <w:szCs w:val="18"/>
              </w:rPr>
              <w:t>2017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393530A" w14:textId="19B948FA" w:rsidR="005D5236" w:rsidRPr="005B5B16" w:rsidRDefault="005D5236" w:rsidP="004F4B9C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5B5B16">
              <w:rPr>
                <w:rFonts w:cstheme="minorHAnsi"/>
                <w:b/>
                <w:sz w:val="18"/>
                <w:szCs w:val="18"/>
              </w:rPr>
              <w:t>2019</w:t>
            </w:r>
            <w:r w:rsidR="00180BF7" w:rsidRPr="0060002F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180BF7" w:rsidRPr="0060002F">
              <w:rPr>
                <w:rFonts w:cs="Calibri"/>
                <w:b/>
                <w:sz w:val="18"/>
                <w:szCs w:val="18"/>
              </w:rPr>
              <w:t xml:space="preserve">− </w:t>
            </w:r>
            <w:r w:rsidRPr="005B5B16">
              <w:rPr>
                <w:rFonts w:cstheme="minorHAnsi"/>
                <w:b/>
                <w:sz w:val="18"/>
                <w:szCs w:val="18"/>
              </w:rPr>
              <w:t>2018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05E577B6" w14:textId="74316806" w:rsidR="005D5236" w:rsidRPr="005B5B16" w:rsidRDefault="005D5236" w:rsidP="004F4B9C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5B5B16">
              <w:rPr>
                <w:rFonts w:cstheme="minorHAnsi"/>
                <w:b/>
                <w:sz w:val="18"/>
                <w:szCs w:val="18"/>
              </w:rPr>
              <w:t>2020</w:t>
            </w:r>
            <w:r w:rsidR="00180BF7" w:rsidRPr="0060002F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180BF7" w:rsidRPr="0060002F">
              <w:rPr>
                <w:rFonts w:cs="Calibri"/>
                <w:b/>
                <w:sz w:val="18"/>
                <w:szCs w:val="18"/>
              </w:rPr>
              <w:t xml:space="preserve">− </w:t>
            </w:r>
            <w:r w:rsidRPr="005B5B16">
              <w:rPr>
                <w:rFonts w:cstheme="minorHAnsi"/>
                <w:b/>
                <w:sz w:val="18"/>
                <w:szCs w:val="18"/>
              </w:rPr>
              <w:t>2019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4F2E22C2" w14:textId="267099C7" w:rsidR="005D5236" w:rsidRPr="005B5B16" w:rsidRDefault="005D5236" w:rsidP="004F4B9C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5B5B16">
              <w:rPr>
                <w:rFonts w:cstheme="minorHAnsi"/>
                <w:b/>
                <w:sz w:val="18"/>
                <w:szCs w:val="18"/>
              </w:rPr>
              <w:t>2021</w:t>
            </w:r>
            <w:r w:rsidR="00180BF7" w:rsidRPr="0060002F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180BF7" w:rsidRPr="0060002F">
              <w:rPr>
                <w:rFonts w:cs="Calibri"/>
                <w:b/>
                <w:sz w:val="18"/>
                <w:szCs w:val="18"/>
              </w:rPr>
              <w:t xml:space="preserve">− </w:t>
            </w:r>
            <w:r w:rsidRPr="005B5B16">
              <w:rPr>
                <w:rFonts w:cstheme="minorHAnsi"/>
                <w:b/>
                <w:sz w:val="18"/>
                <w:szCs w:val="18"/>
              </w:rPr>
              <w:t>2020</w:t>
            </w:r>
            <w:proofErr w:type="gramEnd"/>
          </w:p>
        </w:tc>
      </w:tr>
      <w:tr w:rsidR="005D5236" w:rsidRPr="005B5B16" w14:paraId="7662A22C" w14:textId="77777777" w:rsidTr="00D64495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19E3D" w14:textId="77777777" w:rsidR="005D5236" w:rsidRPr="005B5B16" w:rsidRDefault="005D5236" w:rsidP="004F4B9C">
            <w:pPr>
              <w:spacing w:after="0"/>
              <w:rPr>
                <w:rFonts w:cstheme="minorHAnsi"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Cs/>
                <w:sz w:val="18"/>
                <w:szCs w:val="18"/>
                <w:lang w:eastAsia="cs-CZ"/>
              </w:rPr>
              <w:t>Výnosy celkem (v Kč)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0724F" w14:textId="77777777" w:rsidR="005D5236" w:rsidRPr="005B5B16" w:rsidRDefault="005D5236" w:rsidP="004F4B9C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1 982 164 105,94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E2CF8" w14:textId="48C83AD6" w:rsidR="005D5236" w:rsidRPr="00180BF7" w:rsidRDefault="00180BF7" w:rsidP="004F4B9C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124170">
              <w:rPr>
                <w:rFonts w:cs="Calibri"/>
                <w:sz w:val="18"/>
                <w:szCs w:val="18"/>
              </w:rPr>
              <w:t>−</w:t>
            </w:r>
            <w:r w:rsidR="005D5236" w:rsidRPr="00180BF7">
              <w:rPr>
                <w:rFonts w:cstheme="minorHAnsi"/>
                <w:sz w:val="18"/>
                <w:szCs w:val="18"/>
              </w:rPr>
              <w:t>70 768 654,51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011FE" w14:textId="77777777" w:rsidR="005D5236" w:rsidRPr="00680E41" w:rsidRDefault="005D5236" w:rsidP="004F4B9C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680E41">
              <w:rPr>
                <w:rFonts w:cstheme="minorHAnsi"/>
                <w:sz w:val="18"/>
                <w:szCs w:val="18"/>
              </w:rPr>
              <w:t>1 603 422 106,55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F0653" w14:textId="448611E3" w:rsidR="005D5236" w:rsidRPr="00180BF7" w:rsidRDefault="00180BF7" w:rsidP="004F4B9C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124170">
              <w:rPr>
                <w:rFonts w:cs="Calibri"/>
                <w:sz w:val="18"/>
                <w:szCs w:val="18"/>
              </w:rPr>
              <w:t>−</w:t>
            </w:r>
            <w:r w:rsidR="005D5236" w:rsidRPr="00180BF7">
              <w:rPr>
                <w:rFonts w:cstheme="minorHAnsi"/>
                <w:sz w:val="18"/>
                <w:szCs w:val="18"/>
              </w:rPr>
              <w:t>242 328 934,14</w:t>
            </w:r>
          </w:p>
        </w:tc>
      </w:tr>
      <w:tr w:rsidR="005D5236" w:rsidRPr="005B5B16" w14:paraId="1E84C7D9" w14:textId="77777777" w:rsidTr="00D64495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47449" w14:textId="77777777" w:rsidR="005D5236" w:rsidRPr="005B5B16" w:rsidRDefault="005D5236" w:rsidP="004F4B9C">
            <w:pPr>
              <w:spacing w:after="0"/>
              <w:rPr>
                <w:rFonts w:cstheme="minorHAnsi"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Cs/>
                <w:sz w:val="18"/>
                <w:szCs w:val="18"/>
                <w:lang w:eastAsia="cs-CZ"/>
              </w:rPr>
              <w:t>Náklady celkem (v Kč)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DE98F" w14:textId="77777777" w:rsidR="005D5236" w:rsidRPr="005B5B16" w:rsidRDefault="005D5236" w:rsidP="004F4B9C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7 168 543 421,17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6195E" w14:textId="77777777" w:rsidR="005D5236" w:rsidRPr="00180BF7" w:rsidRDefault="005D5236" w:rsidP="004F4B9C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180BF7">
              <w:rPr>
                <w:rFonts w:cstheme="minorHAnsi"/>
                <w:sz w:val="18"/>
                <w:szCs w:val="18"/>
              </w:rPr>
              <w:t>4 579 484 401,90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82642" w14:textId="77777777" w:rsidR="005D5236" w:rsidRPr="00680E41" w:rsidRDefault="005D5236" w:rsidP="004F4B9C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680E41">
              <w:rPr>
                <w:rFonts w:cstheme="minorHAnsi"/>
                <w:sz w:val="18"/>
                <w:szCs w:val="18"/>
              </w:rPr>
              <w:t>9 940 146 635,28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0763D" w14:textId="66690BC0" w:rsidR="005D5236" w:rsidRPr="00180BF7" w:rsidRDefault="00180BF7" w:rsidP="004F4B9C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124170">
              <w:rPr>
                <w:rFonts w:cs="Calibri"/>
                <w:sz w:val="18"/>
                <w:szCs w:val="18"/>
              </w:rPr>
              <w:t>−</w:t>
            </w:r>
            <w:r w:rsidR="005D5236" w:rsidRPr="00180BF7">
              <w:rPr>
                <w:rFonts w:cstheme="minorHAnsi"/>
                <w:sz w:val="18"/>
                <w:szCs w:val="18"/>
              </w:rPr>
              <w:t>64 835 619,51</w:t>
            </w:r>
          </w:p>
        </w:tc>
      </w:tr>
      <w:tr w:rsidR="005D5236" w:rsidRPr="005B5B16" w14:paraId="10BE9AB3" w14:textId="77777777" w:rsidTr="00D64495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66F38075" w14:textId="567F7E75" w:rsidR="005D5236" w:rsidRPr="005B5B16" w:rsidRDefault="005D5236" w:rsidP="004F4B9C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Tempo růstu v % (relativní změna) (((x+</w:t>
            </w:r>
            <w:proofErr w:type="gramStart"/>
            <w:r w:rsidRPr="005B5B16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1)</w:t>
            </w:r>
            <w:r w:rsidR="00180BF7" w:rsidRPr="0060002F">
              <w:rPr>
                <w:rFonts w:cs="Calibri"/>
                <w:b/>
                <w:sz w:val="18"/>
                <w:szCs w:val="18"/>
              </w:rPr>
              <w:t>−</w:t>
            </w:r>
            <w:proofErr w:type="gramEnd"/>
            <w:r w:rsidRPr="005B5B16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x)/x)</w:t>
            </w:r>
            <w:r w:rsidR="00180BF7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×</w:t>
            </w:r>
            <w:r w:rsidRPr="005B5B16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2694044A" w14:textId="77777777" w:rsidR="005D5236" w:rsidRPr="005B5B16" w:rsidRDefault="005D5236" w:rsidP="004F4B9C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2018/2017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1775410F" w14:textId="77777777" w:rsidR="005D5236" w:rsidRPr="005B5B16" w:rsidRDefault="005D5236" w:rsidP="004F4B9C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2019/2018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084D9C71" w14:textId="77777777" w:rsidR="005D5236" w:rsidRPr="005B5B16" w:rsidRDefault="005D5236" w:rsidP="004F4B9C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2020/2019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2477532D" w14:textId="77777777" w:rsidR="005D5236" w:rsidRPr="005B5B16" w:rsidRDefault="005D5236" w:rsidP="004F4B9C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2021/2020</w:t>
            </w:r>
          </w:p>
        </w:tc>
      </w:tr>
      <w:tr w:rsidR="005D5236" w:rsidRPr="005B5B16" w14:paraId="3FD9C931" w14:textId="77777777" w:rsidTr="00D64495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18516" w14:textId="77777777" w:rsidR="005D5236" w:rsidRPr="005B5B16" w:rsidRDefault="005D5236" w:rsidP="004F4B9C">
            <w:pPr>
              <w:spacing w:after="0"/>
              <w:rPr>
                <w:rFonts w:cstheme="minorHAnsi"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Cs/>
                <w:sz w:val="18"/>
                <w:szCs w:val="18"/>
                <w:lang w:eastAsia="cs-CZ"/>
              </w:rPr>
              <w:t>Výnosy celkem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BA8D0" w14:textId="77777777" w:rsidR="005D5236" w:rsidRPr="005B5B16" w:rsidRDefault="005D5236" w:rsidP="004F4B9C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21,65</w:t>
            </w:r>
            <w:r w:rsidR="007856E6">
              <w:rPr>
                <w:rFonts w:cstheme="minorHAnsi"/>
                <w:sz w:val="18"/>
                <w:szCs w:val="18"/>
              </w:rPr>
              <w:t xml:space="preserve"> </w:t>
            </w:r>
            <w:r w:rsidRPr="005B5B16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7E4F1" w14:textId="74234556" w:rsidR="005D5236" w:rsidRPr="005B5B16" w:rsidRDefault="00180BF7" w:rsidP="004F4B9C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124170">
              <w:rPr>
                <w:rFonts w:cs="Calibri"/>
                <w:sz w:val="18"/>
                <w:szCs w:val="18"/>
              </w:rPr>
              <w:t>−</w:t>
            </w:r>
            <w:r w:rsidR="005D5236" w:rsidRPr="005B5B16">
              <w:rPr>
                <w:rFonts w:cstheme="minorHAnsi"/>
                <w:sz w:val="18"/>
                <w:szCs w:val="18"/>
              </w:rPr>
              <w:t>0,64</w:t>
            </w:r>
            <w:r w:rsidR="007856E6">
              <w:rPr>
                <w:rFonts w:cstheme="minorHAnsi"/>
                <w:sz w:val="18"/>
                <w:szCs w:val="18"/>
              </w:rPr>
              <w:t xml:space="preserve"> </w:t>
            </w:r>
            <w:r w:rsidR="005D5236" w:rsidRPr="005B5B16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6BFEC" w14:textId="77777777" w:rsidR="005D5236" w:rsidRPr="005B5B16" w:rsidRDefault="005D5236" w:rsidP="004F4B9C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14,49</w:t>
            </w:r>
            <w:r w:rsidR="007856E6">
              <w:rPr>
                <w:rFonts w:cstheme="minorHAnsi"/>
                <w:sz w:val="18"/>
                <w:szCs w:val="18"/>
              </w:rPr>
              <w:t xml:space="preserve"> </w:t>
            </w:r>
            <w:r w:rsidRPr="005B5B16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DC0CA" w14:textId="0827F798" w:rsidR="005D5236" w:rsidRPr="005B5B16" w:rsidRDefault="00180BF7" w:rsidP="004F4B9C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124170">
              <w:rPr>
                <w:rFonts w:cs="Calibri"/>
                <w:sz w:val="18"/>
                <w:szCs w:val="18"/>
              </w:rPr>
              <w:t>−</w:t>
            </w:r>
            <w:r w:rsidR="005D5236" w:rsidRPr="005B5B16">
              <w:rPr>
                <w:rFonts w:cstheme="minorHAnsi"/>
                <w:sz w:val="18"/>
                <w:szCs w:val="18"/>
              </w:rPr>
              <w:t>1,91</w:t>
            </w:r>
            <w:r w:rsidR="007856E6">
              <w:rPr>
                <w:rFonts w:cstheme="minorHAnsi"/>
                <w:sz w:val="18"/>
                <w:szCs w:val="18"/>
              </w:rPr>
              <w:t xml:space="preserve"> </w:t>
            </w:r>
            <w:r w:rsidR="005D5236" w:rsidRPr="005B5B16">
              <w:rPr>
                <w:rFonts w:cstheme="minorHAnsi"/>
                <w:sz w:val="18"/>
                <w:szCs w:val="18"/>
              </w:rPr>
              <w:t>%</w:t>
            </w:r>
          </w:p>
        </w:tc>
      </w:tr>
      <w:tr w:rsidR="005D5236" w:rsidRPr="005B5B16" w14:paraId="78407766" w14:textId="77777777" w:rsidTr="00D64495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84567" w14:textId="77777777" w:rsidR="005D5236" w:rsidRPr="005B5B16" w:rsidRDefault="005D5236" w:rsidP="004F4B9C">
            <w:pPr>
              <w:spacing w:after="0"/>
              <w:rPr>
                <w:rFonts w:cstheme="minorHAnsi"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Cs/>
                <w:sz w:val="18"/>
                <w:szCs w:val="18"/>
                <w:lang w:eastAsia="cs-CZ"/>
              </w:rPr>
              <w:t>Náklady celkem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B49C6" w14:textId="77777777" w:rsidR="005D5236" w:rsidRPr="005B5B16" w:rsidRDefault="005D5236" w:rsidP="004F4B9C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10,76</w:t>
            </w:r>
            <w:r w:rsidR="007856E6">
              <w:rPr>
                <w:rFonts w:cstheme="minorHAnsi"/>
                <w:sz w:val="18"/>
                <w:szCs w:val="18"/>
              </w:rPr>
              <w:t xml:space="preserve"> </w:t>
            </w:r>
            <w:r w:rsidRPr="005B5B16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A041A" w14:textId="77777777" w:rsidR="005D5236" w:rsidRPr="005B5B16" w:rsidRDefault="005D5236" w:rsidP="004F4B9C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6,20</w:t>
            </w:r>
            <w:r w:rsidR="007856E6">
              <w:rPr>
                <w:rFonts w:cstheme="minorHAnsi"/>
                <w:sz w:val="18"/>
                <w:szCs w:val="18"/>
              </w:rPr>
              <w:t xml:space="preserve"> </w:t>
            </w:r>
            <w:r w:rsidRPr="005B5B16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C24C0" w14:textId="77777777" w:rsidR="005D5236" w:rsidRPr="005B5B16" w:rsidRDefault="005D5236" w:rsidP="004F4B9C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12,68</w:t>
            </w:r>
            <w:r w:rsidR="007856E6">
              <w:rPr>
                <w:rFonts w:cstheme="minorHAnsi"/>
                <w:sz w:val="18"/>
                <w:szCs w:val="18"/>
              </w:rPr>
              <w:t xml:space="preserve"> </w:t>
            </w:r>
            <w:r w:rsidRPr="005B5B16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AA249" w14:textId="005245BC" w:rsidR="005D5236" w:rsidRPr="005B5B16" w:rsidRDefault="00180BF7" w:rsidP="004F4B9C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124170">
              <w:rPr>
                <w:rFonts w:cs="Calibri"/>
                <w:sz w:val="18"/>
                <w:szCs w:val="18"/>
              </w:rPr>
              <w:t>−</w:t>
            </w:r>
            <w:r w:rsidR="005D5236" w:rsidRPr="005B5B16">
              <w:rPr>
                <w:rFonts w:cstheme="minorHAnsi"/>
                <w:sz w:val="18"/>
                <w:szCs w:val="18"/>
              </w:rPr>
              <w:t>0,07</w:t>
            </w:r>
            <w:r w:rsidR="007856E6">
              <w:rPr>
                <w:rFonts w:cstheme="minorHAnsi"/>
                <w:sz w:val="18"/>
                <w:szCs w:val="18"/>
              </w:rPr>
              <w:t xml:space="preserve"> </w:t>
            </w:r>
            <w:r w:rsidR="005D5236" w:rsidRPr="005B5B16">
              <w:rPr>
                <w:rFonts w:cstheme="minorHAnsi"/>
                <w:sz w:val="18"/>
                <w:szCs w:val="18"/>
              </w:rPr>
              <w:t>%</w:t>
            </w:r>
          </w:p>
        </w:tc>
      </w:tr>
    </w:tbl>
    <w:p w14:paraId="5C317CB0" w14:textId="77777777" w:rsidR="005D5236" w:rsidRPr="004F4B9C" w:rsidRDefault="005D5236" w:rsidP="005D5236">
      <w:pPr>
        <w:pStyle w:val="Zdroj"/>
        <w:spacing w:before="40" w:after="120"/>
        <w:rPr>
          <w:rFonts w:asciiTheme="minorHAnsi" w:hAnsiTheme="minorHAnsi"/>
          <w:i w:val="0"/>
        </w:rPr>
      </w:pPr>
      <w:bookmarkStart w:id="101" w:name="_Toc520715171"/>
      <w:r w:rsidRPr="004F4B9C">
        <w:rPr>
          <w:rFonts w:asciiTheme="minorHAnsi" w:hAnsiTheme="minorHAnsi"/>
          <w:b/>
          <w:i w:val="0"/>
        </w:rPr>
        <w:t xml:space="preserve">Zdroj: </w:t>
      </w:r>
      <w:r w:rsidRPr="004F4B9C">
        <w:rPr>
          <w:rFonts w:asciiTheme="minorHAnsi" w:hAnsiTheme="minorHAnsi"/>
          <w:i w:val="0"/>
        </w:rPr>
        <w:t>výpočet NKÚ.</w:t>
      </w:r>
    </w:p>
    <w:p w14:paraId="718956DC" w14:textId="77777777" w:rsidR="005D5236" w:rsidRDefault="005D5236" w:rsidP="00AD3ED5">
      <w:pPr>
        <w:pStyle w:val="Zdroj"/>
        <w:spacing w:before="0"/>
        <w:jc w:val="both"/>
        <w:rPr>
          <w:rFonts w:asciiTheme="minorHAnsi" w:hAnsiTheme="minorHAnsi"/>
          <w:i w:val="0"/>
          <w:sz w:val="24"/>
        </w:rPr>
      </w:pPr>
      <w:r w:rsidRPr="004F4B9C">
        <w:rPr>
          <w:rFonts w:asciiTheme="minorHAnsi" w:hAnsiTheme="minorHAnsi"/>
          <w:i w:val="0"/>
          <w:sz w:val="24"/>
        </w:rPr>
        <w:t>K největší relativní změně výnosů ve sledovaném období došlo v kapitole 314 mezi rokem 2017 a 2018 (nárůst o 22 %); v případě nákladů pak mezi rokem 2019 a 2020 (nárůst o 13 %).</w:t>
      </w:r>
    </w:p>
    <w:p w14:paraId="3CD6177B" w14:textId="77777777" w:rsidR="00AD3ED5" w:rsidRPr="004F4B9C" w:rsidRDefault="00AD3ED5" w:rsidP="00AD3ED5">
      <w:pPr>
        <w:pStyle w:val="Zdroj"/>
        <w:spacing w:before="0"/>
        <w:jc w:val="both"/>
        <w:rPr>
          <w:rFonts w:asciiTheme="minorHAnsi" w:hAnsiTheme="minorHAnsi"/>
          <w:bCs/>
          <w:i w:val="0"/>
          <w:sz w:val="24"/>
        </w:rPr>
      </w:pPr>
    </w:p>
    <w:p w14:paraId="7C4F9056" w14:textId="77777777" w:rsidR="005D5236" w:rsidRPr="00595849" w:rsidRDefault="005D5236" w:rsidP="00124170">
      <w:pPr>
        <w:pStyle w:val="Titulek"/>
        <w:tabs>
          <w:tab w:val="right" w:pos="9070"/>
        </w:tabs>
        <w:spacing w:before="0" w:after="40"/>
        <w:rPr>
          <w:rFonts w:cstheme="minorHAnsi"/>
          <w:szCs w:val="24"/>
        </w:rPr>
      </w:pPr>
      <w:bookmarkStart w:id="102" w:name="_Toc520714646"/>
      <w:bookmarkStart w:id="103" w:name="_Toc8984853"/>
      <w:bookmarkStart w:id="104" w:name="_Toc69401706"/>
      <w:bookmarkStart w:id="105" w:name="_Toc101336473"/>
      <w:bookmarkEnd w:id="101"/>
      <w:r w:rsidRPr="00595849">
        <w:rPr>
          <w:rFonts w:cstheme="minorHAnsi"/>
          <w:szCs w:val="24"/>
        </w:rPr>
        <w:t>Tabulka č.</w:t>
      </w:r>
      <w:r>
        <w:rPr>
          <w:rFonts w:cstheme="minorHAnsi"/>
          <w:szCs w:val="24"/>
        </w:rPr>
        <w:t xml:space="preserve"> 22</w:t>
      </w:r>
      <w:r w:rsidRPr="00595849">
        <w:rPr>
          <w:rFonts w:cstheme="minorHAnsi"/>
          <w:szCs w:val="24"/>
        </w:rPr>
        <w:t xml:space="preserve">: Výnosy a náklady MV </w:t>
      </w:r>
      <w:r w:rsidR="00180BF7">
        <w:rPr>
          <w:rFonts w:cstheme="minorHAnsi"/>
          <w:szCs w:val="24"/>
        </w:rPr>
        <w:tab/>
      </w:r>
      <w:r w:rsidRPr="00595849">
        <w:rPr>
          <w:rFonts w:cstheme="minorHAnsi"/>
          <w:szCs w:val="24"/>
        </w:rPr>
        <w:t>(v Kč)</w:t>
      </w:r>
      <w:bookmarkEnd w:id="102"/>
      <w:bookmarkEnd w:id="103"/>
      <w:bookmarkEnd w:id="104"/>
      <w:bookmarkEnd w:id="105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1561"/>
        <w:gridCol w:w="1562"/>
        <w:gridCol w:w="1493"/>
        <w:gridCol w:w="1586"/>
        <w:gridCol w:w="1567"/>
      </w:tblGrid>
      <w:tr w:rsidR="005D5236" w:rsidRPr="005B5B16" w14:paraId="5A0E8AE5" w14:textId="77777777" w:rsidTr="00AD3ED5">
        <w:trPr>
          <w:trHeight w:val="255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3613E76" w14:textId="77777777" w:rsidR="005D5236" w:rsidRPr="005B5B16" w:rsidRDefault="005D5236" w:rsidP="00AD3ED5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4A5FB3A" w14:textId="77777777" w:rsidR="005D5236" w:rsidRPr="005B5B16" w:rsidRDefault="005D5236" w:rsidP="00AD3ED5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2017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EA3A90D" w14:textId="77777777" w:rsidR="005D5236" w:rsidRPr="005B5B16" w:rsidRDefault="005D5236" w:rsidP="00AD3ED5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2018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7992E6B" w14:textId="77777777" w:rsidR="005D5236" w:rsidRPr="005B5B16" w:rsidRDefault="005D5236" w:rsidP="00AD3ED5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2019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3A96786B" w14:textId="77777777" w:rsidR="005D5236" w:rsidRPr="005B5B16" w:rsidRDefault="005D5236" w:rsidP="00AD3ED5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2020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39966787" w14:textId="77777777" w:rsidR="005D5236" w:rsidRPr="005B5B16" w:rsidRDefault="005D5236" w:rsidP="00AD3ED5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2021</w:t>
            </w:r>
          </w:p>
        </w:tc>
      </w:tr>
      <w:tr w:rsidR="005D5236" w:rsidRPr="005B5B16" w14:paraId="7397B4A3" w14:textId="77777777" w:rsidTr="00AD3ED5">
        <w:trPr>
          <w:trHeight w:val="255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35FC2" w14:textId="77777777" w:rsidR="005D5236" w:rsidRPr="005B5B16" w:rsidRDefault="005D5236" w:rsidP="00AD3ED5">
            <w:pPr>
              <w:spacing w:after="0"/>
              <w:rPr>
                <w:rFonts w:cstheme="minorHAnsi"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Cs/>
                <w:sz w:val="18"/>
                <w:szCs w:val="18"/>
                <w:lang w:eastAsia="cs-CZ"/>
              </w:rPr>
              <w:t>Výnosy celkem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D9D3F" w14:textId="77777777" w:rsidR="005D5236" w:rsidRPr="005B5B16" w:rsidRDefault="005D5236" w:rsidP="00AD3ED5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1 857 654 502,58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658D2" w14:textId="77777777" w:rsidR="005D5236" w:rsidRPr="005B5B16" w:rsidRDefault="005D5236" w:rsidP="00AD3ED5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2 348 871 544,58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A4F72" w14:textId="77777777" w:rsidR="005D5236" w:rsidRPr="005B5B16" w:rsidRDefault="005D5236" w:rsidP="00AD3ED5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2 265 550 280,36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6BC7A" w14:textId="77777777" w:rsidR="005D5236" w:rsidRPr="005B5B16" w:rsidRDefault="005D5236" w:rsidP="00AD3ED5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2 786 880 288,31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97C05" w14:textId="77777777" w:rsidR="005D5236" w:rsidRPr="005B5B16" w:rsidRDefault="005D5236" w:rsidP="00AD3ED5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2 346 828 383,47</w:t>
            </w:r>
          </w:p>
        </w:tc>
      </w:tr>
      <w:tr w:rsidR="005D5236" w:rsidRPr="005B5B16" w14:paraId="338301A2" w14:textId="77777777" w:rsidTr="00AD3ED5">
        <w:trPr>
          <w:trHeight w:val="255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9D5EA" w14:textId="77777777" w:rsidR="005D5236" w:rsidRPr="005B5B16" w:rsidRDefault="005D5236" w:rsidP="00AD3ED5">
            <w:pPr>
              <w:spacing w:after="0"/>
              <w:rPr>
                <w:rFonts w:cstheme="minorHAnsi"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Cs/>
                <w:sz w:val="18"/>
                <w:szCs w:val="18"/>
                <w:lang w:eastAsia="cs-CZ"/>
              </w:rPr>
              <w:t>Náklady celkem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03FDC" w14:textId="77777777" w:rsidR="005D5236" w:rsidRPr="005B5B16" w:rsidRDefault="005D5236" w:rsidP="00AD3ED5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26 692 803 713,91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EAA31" w14:textId="77777777" w:rsidR="005D5236" w:rsidRPr="005B5B16" w:rsidRDefault="005D5236" w:rsidP="00AD3ED5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28 549 730 169,36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420BF" w14:textId="77777777" w:rsidR="005D5236" w:rsidRPr="005B5B16" w:rsidRDefault="005D5236" w:rsidP="00AD3ED5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30 481 233 517,88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91E79" w14:textId="77777777" w:rsidR="005D5236" w:rsidRPr="005B5B16" w:rsidRDefault="005D5236" w:rsidP="00AD3ED5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37 415 245 847,07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2CEC4" w14:textId="77777777" w:rsidR="005D5236" w:rsidRPr="005B5B16" w:rsidRDefault="005D5236" w:rsidP="00AD3ED5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34 893 859 186,99</w:t>
            </w:r>
          </w:p>
        </w:tc>
      </w:tr>
    </w:tbl>
    <w:p w14:paraId="43E261D1" w14:textId="77777777" w:rsidR="005D5236" w:rsidRPr="00AD3ED5" w:rsidRDefault="005D5236" w:rsidP="005D5236">
      <w:pPr>
        <w:pStyle w:val="Zdroj"/>
        <w:spacing w:before="40"/>
        <w:rPr>
          <w:rFonts w:asciiTheme="minorHAnsi" w:hAnsiTheme="minorHAnsi"/>
          <w:i w:val="0"/>
        </w:rPr>
      </w:pPr>
      <w:bookmarkStart w:id="106" w:name="_Toc520714647"/>
      <w:r w:rsidRPr="00AD3ED5">
        <w:rPr>
          <w:rFonts w:asciiTheme="minorHAnsi" w:hAnsiTheme="minorHAnsi"/>
          <w:b/>
          <w:i w:val="0"/>
        </w:rPr>
        <w:t xml:space="preserve">Zdroj: </w:t>
      </w:r>
      <w:r w:rsidRPr="00AD3ED5">
        <w:rPr>
          <w:rFonts w:asciiTheme="minorHAnsi" w:hAnsiTheme="minorHAnsi"/>
          <w:bCs/>
          <w:i w:val="0"/>
        </w:rPr>
        <w:t>informační portál MONITOR.</w:t>
      </w:r>
    </w:p>
    <w:p w14:paraId="5ECF7115" w14:textId="77777777" w:rsidR="005D5236" w:rsidRPr="00AD3ED5" w:rsidRDefault="005D5236" w:rsidP="005D5236">
      <w:pPr>
        <w:pStyle w:val="Zdroj"/>
        <w:spacing w:before="40"/>
        <w:rPr>
          <w:rFonts w:asciiTheme="minorHAnsi" w:hAnsiTheme="minorHAnsi"/>
          <w:bCs/>
          <w:i w:val="0"/>
          <w:sz w:val="24"/>
        </w:rPr>
      </w:pPr>
    </w:p>
    <w:p w14:paraId="57320A85" w14:textId="77777777" w:rsidR="005D5236" w:rsidRPr="00595849" w:rsidRDefault="005D5236" w:rsidP="00AD3ED5">
      <w:pPr>
        <w:pStyle w:val="Titulek"/>
        <w:spacing w:before="0" w:after="40"/>
        <w:rPr>
          <w:rFonts w:cstheme="minorHAnsi"/>
          <w:szCs w:val="24"/>
        </w:rPr>
      </w:pPr>
      <w:bookmarkStart w:id="107" w:name="_Toc8984854"/>
      <w:bookmarkStart w:id="108" w:name="_Toc69401707"/>
      <w:bookmarkStart w:id="109" w:name="_Toc101336474"/>
      <w:r w:rsidRPr="00595849">
        <w:rPr>
          <w:rFonts w:cstheme="minorHAnsi"/>
          <w:szCs w:val="24"/>
        </w:rPr>
        <w:t>Tabulka č.</w:t>
      </w:r>
      <w:r>
        <w:rPr>
          <w:rFonts w:cstheme="minorHAnsi"/>
          <w:szCs w:val="24"/>
        </w:rPr>
        <w:t xml:space="preserve"> 23</w:t>
      </w:r>
      <w:r w:rsidRPr="00595849">
        <w:rPr>
          <w:rFonts w:cstheme="minorHAnsi"/>
          <w:szCs w:val="24"/>
        </w:rPr>
        <w:t>: Tempo růstu výnosů a nákladů M</w:t>
      </w:r>
      <w:bookmarkEnd w:id="106"/>
      <w:bookmarkEnd w:id="107"/>
      <w:bookmarkEnd w:id="108"/>
      <w:r w:rsidRPr="00595849">
        <w:rPr>
          <w:rFonts w:cstheme="minorHAnsi"/>
          <w:szCs w:val="24"/>
        </w:rPr>
        <w:t>V</w:t>
      </w:r>
      <w:bookmarkEnd w:id="109"/>
    </w:p>
    <w:tbl>
      <w:tblPr>
        <w:tblW w:w="90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559"/>
        <w:gridCol w:w="1560"/>
        <w:gridCol w:w="1560"/>
        <w:gridCol w:w="1560"/>
      </w:tblGrid>
      <w:tr w:rsidR="005D5236" w:rsidRPr="005B5B16" w14:paraId="74143BF2" w14:textId="77777777" w:rsidTr="00D64495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5CA6CA1" w14:textId="77777777" w:rsidR="005D5236" w:rsidRPr="005B5B16" w:rsidRDefault="005D5236" w:rsidP="00AD3ED5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Tempo růstu (absolutní změna)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1B62DF0" w14:textId="6F49E3A8" w:rsidR="005D5236" w:rsidRPr="005B5B16" w:rsidRDefault="005D5236" w:rsidP="00AD3ED5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5B5B16">
              <w:rPr>
                <w:rFonts w:cstheme="minorHAnsi"/>
                <w:b/>
                <w:sz w:val="18"/>
                <w:szCs w:val="18"/>
              </w:rPr>
              <w:t>2018</w:t>
            </w:r>
            <w:r w:rsidR="00180BF7" w:rsidRPr="0060002F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180BF7" w:rsidRPr="0060002F">
              <w:rPr>
                <w:rFonts w:cs="Calibri"/>
                <w:b/>
                <w:sz w:val="18"/>
                <w:szCs w:val="18"/>
              </w:rPr>
              <w:t xml:space="preserve">− </w:t>
            </w:r>
            <w:r w:rsidRPr="005B5B16">
              <w:rPr>
                <w:rFonts w:cstheme="minorHAnsi"/>
                <w:b/>
                <w:sz w:val="18"/>
                <w:szCs w:val="18"/>
              </w:rPr>
              <w:t>2017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50D14AC" w14:textId="00AFA43D" w:rsidR="005D5236" w:rsidRPr="005B5B16" w:rsidRDefault="005D5236" w:rsidP="00AD3ED5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5B5B16">
              <w:rPr>
                <w:rFonts w:cstheme="minorHAnsi"/>
                <w:b/>
                <w:sz w:val="18"/>
                <w:szCs w:val="18"/>
              </w:rPr>
              <w:t>2019</w:t>
            </w:r>
            <w:r w:rsidR="00180BF7" w:rsidRPr="0060002F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180BF7" w:rsidRPr="0060002F">
              <w:rPr>
                <w:rFonts w:cs="Calibri"/>
                <w:b/>
                <w:sz w:val="18"/>
                <w:szCs w:val="18"/>
              </w:rPr>
              <w:t xml:space="preserve">− </w:t>
            </w:r>
            <w:r w:rsidRPr="005B5B16">
              <w:rPr>
                <w:rFonts w:cstheme="minorHAnsi"/>
                <w:b/>
                <w:sz w:val="18"/>
                <w:szCs w:val="18"/>
              </w:rPr>
              <w:t>2018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51DEE512" w14:textId="6D3C71ED" w:rsidR="005D5236" w:rsidRPr="005B5B16" w:rsidRDefault="005D5236" w:rsidP="00AD3ED5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5B5B16">
              <w:rPr>
                <w:rFonts w:cstheme="minorHAnsi"/>
                <w:b/>
                <w:sz w:val="18"/>
                <w:szCs w:val="18"/>
              </w:rPr>
              <w:t>2020</w:t>
            </w:r>
            <w:r w:rsidR="00180BF7" w:rsidRPr="0060002F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180BF7" w:rsidRPr="0060002F">
              <w:rPr>
                <w:rFonts w:cs="Calibri"/>
                <w:b/>
                <w:sz w:val="18"/>
                <w:szCs w:val="18"/>
              </w:rPr>
              <w:t xml:space="preserve">− </w:t>
            </w:r>
            <w:r w:rsidRPr="005B5B16">
              <w:rPr>
                <w:rFonts w:cstheme="minorHAnsi"/>
                <w:b/>
                <w:sz w:val="18"/>
                <w:szCs w:val="18"/>
              </w:rPr>
              <w:t>2019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6F06D487" w14:textId="42EB9306" w:rsidR="005D5236" w:rsidRPr="005B5B16" w:rsidRDefault="005D5236" w:rsidP="00AD3ED5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5B5B16">
              <w:rPr>
                <w:rFonts w:cstheme="minorHAnsi"/>
                <w:b/>
                <w:sz w:val="18"/>
                <w:szCs w:val="18"/>
              </w:rPr>
              <w:t>2021</w:t>
            </w:r>
            <w:r w:rsidR="00180BF7" w:rsidRPr="0060002F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180BF7" w:rsidRPr="0060002F">
              <w:rPr>
                <w:rFonts w:cs="Calibri"/>
                <w:b/>
                <w:sz w:val="18"/>
                <w:szCs w:val="18"/>
              </w:rPr>
              <w:t xml:space="preserve">− </w:t>
            </w:r>
            <w:r w:rsidRPr="005B5B16">
              <w:rPr>
                <w:rFonts w:cstheme="minorHAnsi"/>
                <w:b/>
                <w:sz w:val="18"/>
                <w:szCs w:val="18"/>
              </w:rPr>
              <w:t>2020</w:t>
            </w:r>
            <w:proofErr w:type="gramEnd"/>
          </w:p>
        </w:tc>
      </w:tr>
      <w:tr w:rsidR="005D5236" w:rsidRPr="005B5B16" w14:paraId="2C6178E1" w14:textId="77777777" w:rsidTr="00D64495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CAB53" w14:textId="77777777" w:rsidR="005D5236" w:rsidRPr="005B5B16" w:rsidRDefault="005D5236" w:rsidP="00AD3ED5">
            <w:pPr>
              <w:spacing w:after="0"/>
              <w:rPr>
                <w:rFonts w:cstheme="minorHAnsi"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Cs/>
                <w:sz w:val="18"/>
                <w:szCs w:val="18"/>
                <w:lang w:eastAsia="cs-CZ"/>
              </w:rPr>
              <w:t>Výnosy celkem (v Kč)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56518" w14:textId="77777777" w:rsidR="005D5236" w:rsidRPr="005B5B16" w:rsidRDefault="005D5236" w:rsidP="00AD3ED5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491 217 042,00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430AB" w14:textId="62743135" w:rsidR="005D5236" w:rsidRPr="005B5B16" w:rsidRDefault="00180BF7" w:rsidP="00AD3ED5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60002F">
              <w:rPr>
                <w:rFonts w:cs="Calibri"/>
                <w:sz w:val="18"/>
                <w:szCs w:val="18"/>
              </w:rPr>
              <w:t>−</w:t>
            </w:r>
            <w:r w:rsidR="005D5236" w:rsidRPr="005B5B16">
              <w:rPr>
                <w:rFonts w:cstheme="minorHAnsi"/>
                <w:sz w:val="18"/>
                <w:szCs w:val="18"/>
              </w:rPr>
              <w:t>83 321 264,22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BFFFD" w14:textId="77777777" w:rsidR="005D5236" w:rsidRPr="005B5B16" w:rsidRDefault="005D5236" w:rsidP="00AD3ED5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521 330 007,95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B86E04" w14:textId="1E90AAE7" w:rsidR="005D5236" w:rsidRPr="005B5B16" w:rsidRDefault="00180BF7" w:rsidP="00AD3ED5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60002F">
              <w:rPr>
                <w:rFonts w:cs="Calibri"/>
                <w:sz w:val="18"/>
                <w:szCs w:val="18"/>
              </w:rPr>
              <w:t>−</w:t>
            </w:r>
            <w:r w:rsidR="005D5236" w:rsidRPr="005B5B16">
              <w:rPr>
                <w:rFonts w:cstheme="minorHAnsi"/>
                <w:sz w:val="18"/>
                <w:szCs w:val="18"/>
              </w:rPr>
              <w:t>440 051 904,84</w:t>
            </w:r>
          </w:p>
        </w:tc>
      </w:tr>
      <w:tr w:rsidR="005D5236" w:rsidRPr="005B5B16" w14:paraId="1FB660B3" w14:textId="77777777" w:rsidTr="00D64495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71905" w14:textId="77777777" w:rsidR="005D5236" w:rsidRPr="005B5B16" w:rsidRDefault="005D5236" w:rsidP="00AD3ED5">
            <w:pPr>
              <w:spacing w:after="0"/>
              <w:rPr>
                <w:rFonts w:cstheme="minorHAnsi"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Cs/>
                <w:sz w:val="18"/>
                <w:szCs w:val="18"/>
                <w:lang w:eastAsia="cs-CZ"/>
              </w:rPr>
              <w:t>Náklady celkem (v Kč)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7A105" w14:textId="77777777" w:rsidR="005D5236" w:rsidRPr="005B5B16" w:rsidRDefault="005D5236" w:rsidP="00AD3ED5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1 856 926 455,45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90C3D" w14:textId="77777777" w:rsidR="005D5236" w:rsidRPr="005B5B16" w:rsidRDefault="005D5236" w:rsidP="00AD3ED5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1 931 503 348,52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76EAE" w14:textId="77777777" w:rsidR="005D5236" w:rsidRPr="005B5B16" w:rsidRDefault="005D5236" w:rsidP="00AD3ED5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6 934 012 329,19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EDDFFA" w14:textId="2EF921EE" w:rsidR="005D5236" w:rsidRPr="005B5B16" w:rsidRDefault="00180BF7" w:rsidP="00AD3ED5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60002F">
              <w:rPr>
                <w:rFonts w:cs="Calibri"/>
                <w:sz w:val="18"/>
                <w:szCs w:val="18"/>
              </w:rPr>
              <w:t>−</w:t>
            </w:r>
            <w:r w:rsidR="005D5236" w:rsidRPr="005B5B16">
              <w:rPr>
                <w:rFonts w:cstheme="minorHAnsi"/>
                <w:sz w:val="18"/>
                <w:szCs w:val="18"/>
              </w:rPr>
              <w:t>2 521 386 660,08</w:t>
            </w:r>
          </w:p>
        </w:tc>
      </w:tr>
      <w:tr w:rsidR="005D5236" w:rsidRPr="005B5B16" w14:paraId="7BEE2145" w14:textId="77777777" w:rsidTr="00D64495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32A875A4" w14:textId="1D6D96F7" w:rsidR="005D5236" w:rsidRPr="005B5B16" w:rsidRDefault="005D5236" w:rsidP="00AD3ED5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Tempo růstu v % (relativní změna) (((x+</w:t>
            </w:r>
            <w:proofErr w:type="gramStart"/>
            <w:r w:rsidRPr="005B5B16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1)</w:t>
            </w:r>
            <w:r w:rsidR="00180BF7" w:rsidRPr="0060002F">
              <w:rPr>
                <w:rFonts w:cs="Calibri"/>
                <w:b/>
                <w:sz w:val="18"/>
                <w:szCs w:val="18"/>
              </w:rPr>
              <w:t>−</w:t>
            </w:r>
            <w:proofErr w:type="gramEnd"/>
            <w:r w:rsidRPr="005B5B16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x)/x)</w:t>
            </w:r>
            <w:r w:rsidR="00180BF7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×</w:t>
            </w:r>
            <w:r w:rsidRPr="005B5B16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03B5DA6A" w14:textId="10454BEA" w:rsidR="005D5236" w:rsidRPr="005B5B16" w:rsidRDefault="005D5236" w:rsidP="00AD3ED5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2018</w:t>
            </w:r>
            <w:r w:rsidR="00180BF7">
              <w:rPr>
                <w:rFonts w:cstheme="minorHAnsi"/>
                <w:b/>
                <w:sz w:val="18"/>
                <w:szCs w:val="18"/>
              </w:rPr>
              <w:t>/</w:t>
            </w:r>
            <w:r w:rsidRPr="005B5B16">
              <w:rPr>
                <w:rFonts w:cstheme="minorHAnsi"/>
                <w:b/>
                <w:sz w:val="18"/>
                <w:szCs w:val="18"/>
              </w:rPr>
              <w:t>2017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7288D312" w14:textId="4D7DFCBD" w:rsidR="005D5236" w:rsidRPr="005B5B16" w:rsidRDefault="005D5236" w:rsidP="00AD3ED5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2019</w:t>
            </w:r>
            <w:r w:rsidR="00180BF7">
              <w:rPr>
                <w:rFonts w:cstheme="minorHAnsi"/>
                <w:b/>
                <w:sz w:val="18"/>
                <w:szCs w:val="18"/>
              </w:rPr>
              <w:t>/</w:t>
            </w:r>
            <w:r w:rsidRPr="005B5B16">
              <w:rPr>
                <w:rFonts w:cstheme="minorHAnsi"/>
                <w:b/>
                <w:sz w:val="18"/>
                <w:szCs w:val="18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06164D15" w14:textId="7555C95B" w:rsidR="005D5236" w:rsidRPr="005B5B16" w:rsidRDefault="005D5236" w:rsidP="00AD3ED5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2020</w:t>
            </w:r>
            <w:r w:rsidR="00180BF7">
              <w:rPr>
                <w:rFonts w:cstheme="minorHAnsi"/>
                <w:b/>
                <w:sz w:val="18"/>
                <w:szCs w:val="18"/>
              </w:rPr>
              <w:t>/</w:t>
            </w:r>
            <w:r w:rsidRPr="005B5B16">
              <w:rPr>
                <w:rFonts w:cstheme="minorHAnsi"/>
                <w:b/>
                <w:sz w:val="18"/>
                <w:szCs w:val="18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2097D5B4" w14:textId="771A9B12" w:rsidR="005D5236" w:rsidRPr="005B5B16" w:rsidRDefault="005D5236" w:rsidP="00AD3ED5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2021</w:t>
            </w:r>
            <w:r w:rsidR="00180BF7">
              <w:rPr>
                <w:rFonts w:cstheme="minorHAnsi"/>
                <w:b/>
                <w:sz w:val="18"/>
                <w:szCs w:val="18"/>
              </w:rPr>
              <w:t>/</w:t>
            </w:r>
            <w:r w:rsidRPr="005B5B16">
              <w:rPr>
                <w:rFonts w:cstheme="minorHAnsi"/>
                <w:b/>
                <w:sz w:val="18"/>
                <w:szCs w:val="18"/>
              </w:rPr>
              <w:t>2020</w:t>
            </w:r>
          </w:p>
        </w:tc>
      </w:tr>
      <w:tr w:rsidR="005D5236" w:rsidRPr="005B5B16" w14:paraId="5D985280" w14:textId="77777777" w:rsidTr="00D64495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F4DD2" w14:textId="77777777" w:rsidR="005D5236" w:rsidRPr="005B5B16" w:rsidRDefault="005D5236" w:rsidP="00AD3ED5">
            <w:pPr>
              <w:spacing w:after="0"/>
              <w:rPr>
                <w:rFonts w:cstheme="minorHAnsi"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Cs/>
                <w:sz w:val="18"/>
                <w:szCs w:val="18"/>
                <w:lang w:eastAsia="cs-CZ"/>
              </w:rPr>
              <w:t>Výnosy celkem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977F0" w14:textId="77777777" w:rsidR="005D5236" w:rsidRPr="005B5B16" w:rsidRDefault="005D5236" w:rsidP="00AD3ED5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26,44</w:t>
            </w:r>
            <w:r w:rsidR="007856E6">
              <w:rPr>
                <w:rFonts w:cstheme="minorHAnsi"/>
                <w:sz w:val="18"/>
                <w:szCs w:val="18"/>
              </w:rPr>
              <w:t xml:space="preserve"> </w:t>
            </w:r>
            <w:r w:rsidRPr="005B5B16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F565" w14:textId="52BBFAD9" w:rsidR="005D5236" w:rsidRPr="005B5B16" w:rsidRDefault="00180BF7" w:rsidP="00AD3ED5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60002F">
              <w:rPr>
                <w:rFonts w:cs="Calibri"/>
                <w:sz w:val="18"/>
                <w:szCs w:val="18"/>
              </w:rPr>
              <w:t>−</w:t>
            </w:r>
            <w:r w:rsidR="005D5236" w:rsidRPr="005B5B16">
              <w:rPr>
                <w:rFonts w:cstheme="minorHAnsi"/>
                <w:sz w:val="18"/>
                <w:szCs w:val="18"/>
              </w:rPr>
              <w:t>3,55</w:t>
            </w:r>
            <w:r w:rsidR="007856E6">
              <w:rPr>
                <w:rFonts w:cstheme="minorHAnsi"/>
                <w:sz w:val="18"/>
                <w:szCs w:val="18"/>
              </w:rPr>
              <w:t xml:space="preserve"> </w:t>
            </w:r>
            <w:r w:rsidR="005D5236" w:rsidRPr="005B5B16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52146" w14:textId="77777777" w:rsidR="005D5236" w:rsidRPr="005B5B16" w:rsidRDefault="005D5236" w:rsidP="00AD3ED5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23,01</w:t>
            </w:r>
            <w:r w:rsidR="007856E6">
              <w:rPr>
                <w:rFonts w:cstheme="minorHAnsi"/>
                <w:sz w:val="18"/>
                <w:szCs w:val="18"/>
              </w:rPr>
              <w:t xml:space="preserve"> </w:t>
            </w:r>
            <w:r w:rsidRPr="005B5B16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A3E63" w14:textId="109333AC" w:rsidR="005D5236" w:rsidRPr="005B5B16" w:rsidRDefault="00180BF7" w:rsidP="00AD3ED5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60002F">
              <w:rPr>
                <w:rFonts w:cs="Calibri"/>
                <w:sz w:val="18"/>
                <w:szCs w:val="18"/>
              </w:rPr>
              <w:t>−</w:t>
            </w:r>
            <w:r w:rsidR="005D5236" w:rsidRPr="005B5B16">
              <w:rPr>
                <w:rFonts w:cstheme="minorHAnsi"/>
                <w:sz w:val="18"/>
                <w:szCs w:val="18"/>
              </w:rPr>
              <w:t>15,79</w:t>
            </w:r>
            <w:r w:rsidR="007856E6">
              <w:rPr>
                <w:rFonts w:cstheme="minorHAnsi"/>
                <w:sz w:val="18"/>
                <w:szCs w:val="18"/>
              </w:rPr>
              <w:t xml:space="preserve"> </w:t>
            </w:r>
            <w:r w:rsidR="005D5236" w:rsidRPr="005B5B16">
              <w:rPr>
                <w:rFonts w:cstheme="minorHAnsi"/>
                <w:sz w:val="18"/>
                <w:szCs w:val="18"/>
              </w:rPr>
              <w:t>%</w:t>
            </w:r>
          </w:p>
        </w:tc>
      </w:tr>
      <w:tr w:rsidR="005D5236" w:rsidRPr="005B5B16" w14:paraId="3B792485" w14:textId="77777777" w:rsidTr="00D64495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1DFFA" w14:textId="77777777" w:rsidR="005D5236" w:rsidRPr="005B5B16" w:rsidRDefault="005D5236" w:rsidP="00AD3ED5">
            <w:pPr>
              <w:spacing w:after="0"/>
              <w:rPr>
                <w:rFonts w:cstheme="minorHAnsi"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Cs/>
                <w:sz w:val="18"/>
                <w:szCs w:val="18"/>
                <w:lang w:eastAsia="cs-CZ"/>
              </w:rPr>
              <w:t>Náklady celkem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A4DBD" w14:textId="77777777" w:rsidR="005D5236" w:rsidRPr="005B5B16" w:rsidRDefault="005D5236" w:rsidP="00AD3ED5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6,96</w:t>
            </w:r>
            <w:r w:rsidR="007856E6">
              <w:rPr>
                <w:rFonts w:cstheme="minorHAnsi"/>
                <w:sz w:val="18"/>
                <w:szCs w:val="18"/>
              </w:rPr>
              <w:t xml:space="preserve"> </w:t>
            </w:r>
            <w:r w:rsidRPr="005B5B16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53649" w14:textId="77777777" w:rsidR="005D5236" w:rsidRPr="005B5B16" w:rsidRDefault="005D5236" w:rsidP="00AD3ED5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6,77</w:t>
            </w:r>
            <w:r w:rsidR="007856E6">
              <w:rPr>
                <w:rFonts w:cstheme="minorHAnsi"/>
                <w:sz w:val="18"/>
                <w:szCs w:val="18"/>
              </w:rPr>
              <w:t xml:space="preserve"> </w:t>
            </w:r>
            <w:r w:rsidRPr="005B5B16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A05434" w14:textId="77777777" w:rsidR="005D5236" w:rsidRPr="005B5B16" w:rsidRDefault="005D5236" w:rsidP="00AD3ED5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22,75</w:t>
            </w:r>
            <w:r w:rsidR="007856E6">
              <w:rPr>
                <w:rFonts w:cstheme="minorHAnsi"/>
                <w:sz w:val="18"/>
                <w:szCs w:val="18"/>
              </w:rPr>
              <w:t xml:space="preserve"> </w:t>
            </w:r>
            <w:r w:rsidRPr="005B5B16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B25E1" w14:textId="7A3202FB" w:rsidR="005D5236" w:rsidRPr="005B5B16" w:rsidRDefault="00180BF7" w:rsidP="00AD3ED5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60002F">
              <w:rPr>
                <w:rFonts w:cs="Calibri"/>
                <w:sz w:val="18"/>
                <w:szCs w:val="18"/>
              </w:rPr>
              <w:t>−</w:t>
            </w:r>
            <w:r w:rsidR="005D5236" w:rsidRPr="005B5B16">
              <w:rPr>
                <w:rFonts w:cstheme="minorHAnsi"/>
                <w:sz w:val="18"/>
                <w:szCs w:val="18"/>
              </w:rPr>
              <w:t>6,74</w:t>
            </w:r>
            <w:r w:rsidR="007856E6">
              <w:rPr>
                <w:rFonts w:cstheme="minorHAnsi"/>
                <w:sz w:val="18"/>
                <w:szCs w:val="18"/>
              </w:rPr>
              <w:t xml:space="preserve"> </w:t>
            </w:r>
            <w:r w:rsidR="005D5236" w:rsidRPr="005B5B16">
              <w:rPr>
                <w:rFonts w:cstheme="minorHAnsi"/>
                <w:sz w:val="18"/>
                <w:szCs w:val="18"/>
              </w:rPr>
              <w:t>%</w:t>
            </w:r>
          </w:p>
        </w:tc>
      </w:tr>
    </w:tbl>
    <w:p w14:paraId="317ADEDB" w14:textId="77777777" w:rsidR="005D5236" w:rsidRPr="00AD3ED5" w:rsidRDefault="005D5236" w:rsidP="005D5236">
      <w:pPr>
        <w:pStyle w:val="Zdroj"/>
        <w:spacing w:before="40" w:after="120"/>
        <w:rPr>
          <w:rFonts w:asciiTheme="minorHAnsi" w:hAnsiTheme="minorHAnsi"/>
          <w:i w:val="0"/>
        </w:rPr>
      </w:pPr>
      <w:bookmarkStart w:id="110" w:name="_Toc520715172"/>
      <w:r w:rsidRPr="00AD3ED5">
        <w:rPr>
          <w:rFonts w:asciiTheme="minorHAnsi" w:hAnsiTheme="minorHAnsi"/>
          <w:b/>
          <w:i w:val="0"/>
        </w:rPr>
        <w:t xml:space="preserve">Zdroj: </w:t>
      </w:r>
      <w:r w:rsidRPr="00AD3ED5">
        <w:rPr>
          <w:rFonts w:asciiTheme="minorHAnsi" w:hAnsiTheme="minorHAnsi"/>
          <w:i w:val="0"/>
        </w:rPr>
        <w:t>výpočet NKÚ.</w:t>
      </w:r>
    </w:p>
    <w:p w14:paraId="51C4378C" w14:textId="77777777" w:rsidR="005D5236" w:rsidRPr="00D40645" w:rsidRDefault="005D5236" w:rsidP="009B10FD">
      <w:pPr>
        <w:spacing w:after="0"/>
        <w:ind w:right="-2"/>
        <w:jc w:val="both"/>
        <w:rPr>
          <w:rFonts w:cs="Calibri"/>
        </w:rPr>
      </w:pPr>
      <w:r w:rsidRPr="00D40645">
        <w:rPr>
          <w:rFonts w:cs="Calibri"/>
        </w:rPr>
        <w:t>K největší relativní změně</w:t>
      </w:r>
      <w:r>
        <w:rPr>
          <w:rFonts w:cs="Calibri"/>
        </w:rPr>
        <w:t xml:space="preserve"> výnosů</w:t>
      </w:r>
      <w:r w:rsidRPr="00D40645">
        <w:rPr>
          <w:rFonts w:cs="Calibri"/>
        </w:rPr>
        <w:t xml:space="preserve"> ve sledovaném období došlo</w:t>
      </w:r>
      <w:r>
        <w:rPr>
          <w:rFonts w:cs="Calibri"/>
        </w:rPr>
        <w:t xml:space="preserve"> u MV</w:t>
      </w:r>
      <w:r w:rsidRPr="00D40645">
        <w:rPr>
          <w:rFonts w:cs="Calibri"/>
        </w:rPr>
        <w:t xml:space="preserve"> </w:t>
      </w:r>
      <w:r>
        <w:rPr>
          <w:rFonts w:cs="Calibri"/>
        </w:rPr>
        <w:t xml:space="preserve">rovněž </w:t>
      </w:r>
      <w:r w:rsidRPr="00D40645">
        <w:rPr>
          <w:rFonts w:cs="Calibri"/>
        </w:rPr>
        <w:t>mezi rokem 20</w:t>
      </w:r>
      <w:r>
        <w:rPr>
          <w:rFonts w:cs="Calibri"/>
        </w:rPr>
        <w:t>17</w:t>
      </w:r>
      <w:r w:rsidRPr="00D40645">
        <w:rPr>
          <w:rFonts w:cs="Calibri"/>
        </w:rPr>
        <w:t xml:space="preserve"> a 20</w:t>
      </w:r>
      <w:r>
        <w:rPr>
          <w:rFonts w:cs="Calibri"/>
        </w:rPr>
        <w:t>18 (nárůst o 26 %); v případě nákladů pak, stejně jako v případě celé kapitoly, mezi rokem 2019 a 2020 (nárůst o 23 %)</w:t>
      </w:r>
      <w:r w:rsidRPr="00D40645">
        <w:rPr>
          <w:rFonts w:cs="Calibri"/>
        </w:rPr>
        <w:t>.</w:t>
      </w:r>
    </w:p>
    <w:p w14:paraId="15460FAF" w14:textId="77777777" w:rsidR="005D5236" w:rsidRPr="00EB61AB" w:rsidRDefault="005D5236" w:rsidP="00124170">
      <w:pPr>
        <w:pStyle w:val="Titulek"/>
        <w:tabs>
          <w:tab w:val="right" w:pos="9070"/>
        </w:tabs>
        <w:spacing w:before="0" w:after="40"/>
        <w:rPr>
          <w:rFonts w:cstheme="minorHAnsi"/>
          <w:szCs w:val="24"/>
        </w:rPr>
      </w:pPr>
      <w:bookmarkStart w:id="111" w:name="_Toc520714648"/>
      <w:bookmarkStart w:id="112" w:name="_Toc8984855"/>
      <w:bookmarkStart w:id="113" w:name="_Toc69401708"/>
      <w:bookmarkStart w:id="114" w:name="_Toc101336475"/>
      <w:bookmarkEnd w:id="110"/>
      <w:r w:rsidRPr="00EB61AB">
        <w:rPr>
          <w:rFonts w:cstheme="minorHAnsi"/>
          <w:szCs w:val="24"/>
        </w:rPr>
        <w:lastRenderedPageBreak/>
        <w:t>Tabulka č.</w:t>
      </w:r>
      <w:r>
        <w:rPr>
          <w:rFonts w:cstheme="minorHAnsi"/>
          <w:szCs w:val="24"/>
        </w:rPr>
        <w:t xml:space="preserve"> 24</w:t>
      </w:r>
      <w:r w:rsidRPr="00EB61AB">
        <w:rPr>
          <w:rFonts w:cstheme="minorHAnsi"/>
          <w:szCs w:val="24"/>
        </w:rPr>
        <w:t>: Výnosy a náklady OSS v rozpočtové kapitole 314 (bez MV</w:t>
      </w:r>
      <w:r w:rsidR="009D6BD8">
        <w:rPr>
          <w:rFonts w:cstheme="minorHAnsi"/>
          <w:szCs w:val="24"/>
        </w:rPr>
        <w:t>)</w:t>
      </w:r>
      <w:r w:rsidR="00574536">
        <w:rPr>
          <w:rFonts w:cstheme="minorHAnsi"/>
          <w:szCs w:val="24"/>
        </w:rPr>
        <w:t xml:space="preserve"> </w:t>
      </w:r>
      <w:r w:rsidR="00180BF7">
        <w:rPr>
          <w:rFonts w:cstheme="minorHAnsi"/>
          <w:szCs w:val="24"/>
        </w:rPr>
        <w:tab/>
      </w:r>
      <w:r w:rsidR="009D6BD8">
        <w:rPr>
          <w:rFonts w:cstheme="minorHAnsi"/>
          <w:szCs w:val="24"/>
        </w:rPr>
        <w:t>(</w:t>
      </w:r>
      <w:r w:rsidRPr="00EB61AB">
        <w:rPr>
          <w:rFonts w:cstheme="minorHAnsi"/>
          <w:szCs w:val="24"/>
        </w:rPr>
        <w:t>v Kč)</w:t>
      </w:r>
      <w:bookmarkEnd w:id="111"/>
      <w:bookmarkEnd w:id="112"/>
      <w:bookmarkEnd w:id="113"/>
      <w:bookmarkEnd w:id="114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1493"/>
        <w:gridCol w:w="1524"/>
        <w:gridCol w:w="1612"/>
        <w:gridCol w:w="1540"/>
        <w:gridCol w:w="1600"/>
      </w:tblGrid>
      <w:tr w:rsidR="009B10FD" w:rsidRPr="005B5B16" w14:paraId="19FA1377" w14:textId="77777777" w:rsidTr="009B10FD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BD46CA3" w14:textId="77777777" w:rsidR="005D5236" w:rsidRPr="005B5B16" w:rsidRDefault="005D5236" w:rsidP="009B10FD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F588EAB" w14:textId="77777777" w:rsidR="005D5236" w:rsidRPr="005B5B16" w:rsidRDefault="005D5236" w:rsidP="009B10FD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2017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3660DB6" w14:textId="77777777" w:rsidR="005D5236" w:rsidRPr="005B5B16" w:rsidRDefault="005D5236" w:rsidP="009B10FD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2018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D28E5EB" w14:textId="77777777" w:rsidR="005D5236" w:rsidRPr="005B5B16" w:rsidRDefault="005D5236" w:rsidP="009B10FD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2019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05094A4E" w14:textId="77777777" w:rsidR="005D5236" w:rsidRPr="005B5B16" w:rsidRDefault="005D5236" w:rsidP="009B10FD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2020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50745552" w14:textId="77777777" w:rsidR="005D5236" w:rsidRPr="005B5B16" w:rsidRDefault="005D5236" w:rsidP="009B10FD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2021</w:t>
            </w:r>
          </w:p>
        </w:tc>
      </w:tr>
      <w:tr w:rsidR="009B10FD" w:rsidRPr="005B5B16" w14:paraId="4A7FFC63" w14:textId="77777777" w:rsidTr="009B10FD">
        <w:trPr>
          <w:trHeight w:val="255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98C8E" w14:textId="77777777" w:rsidR="005D5236" w:rsidRPr="005B5B16" w:rsidRDefault="005D5236" w:rsidP="009B10FD">
            <w:pPr>
              <w:spacing w:after="0"/>
              <w:rPr>
                <w:rFonts w:cstheme="minorHAnsi"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Cs/>
                <w:sz w:val="18"/>
                <w:szCs w:val="18"/>
                <w:lang w:eastAsia="cs-CZ"/>
              </w:rPr>
              <w:t>Výnosy celkem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1F2A3" w14:textId="77777777" w:rsidR="005D5236" w:rsidRPr="005B5B16" w:rsidRDefault="005D5236" w:rsidP="009B10F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7 298 053 143,32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22E5" w14:textId="77777777" w:rsidR="005D5236" w:rsidRPr="005B5B16" w:rsidRDefault="005D5236" w:rsidP="009B10F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8 789 000 207,26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57034" w14:textId="77777777" w:rsidR="005D5236" w:rsidRPr="005B5B16" w:rsidRDefault="005D5236" w:rsidP="009B10F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8 801 552 816,97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E3989" w14:textId="77777777" w:rsidR="005D5236" w:rsidRPr="005B5B16" w:rsidRDefault="005D5236" w:rsidP="009B10F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9 883 644 915,57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1EA8D" w14:textId="77777777" w:rsidR="005D5236" w:rsidRPr="005B5B16" w:rsidRDefault="005D5236" w:rsidP="009B10F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10 081 367 886,27</w:t>
            </w:r>
          </w:p>
        </w:tc>
      </w:tr>
      <w:tr w:rsidR="009B10FD" w:rsidRPr="005B5B16" w14:paraId="46879F31" w14:textId="77777777" w:rsidTr="009B10FD">
        <w:trPr>
          <w:trHeight w:val="255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241A6" w14:textId="77777777" w:rsidR="005D5236" w:rsidRPr="005B5B16" w:rsidRDefault="005D5236" w:rsidP="009B10FD">
            <w:pPr>
              <w:spacing w:after="0"/>
              <w:rPr>
                <w:rFonts w:cstheme="minorHAnsi"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Cs/>
                <w:sz w:val="18"/>
                <w:szCs w:val="18"/>
                <w:lang w:eastAsia="cs-CZ"/>
              </w:rPr>
              <w:t>Náklady celkem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D556C" w14:textId="77777777" w:rsidR="005D5236" w:rsidRPr="005B5B16" w:rsidRDefault="005D5236" w:rsidP="009B10F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39 956 078 900,00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2DB16" w14:textId="77777777" w:rsidR="005D5236" w:rsidRPr="005B5B16" w:rsidRDefault="005D5236" w:rsidP="009B10F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45 267 695 865,72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BC670" w14:textId="77777777" w:rsidR="005D5236" w:rsidRPr="005B5B16" w:rsidRDefault="005D5236" w:rsidP="009B10F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47 915 676 919,10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8A2CF" w14:textId="77777777" w:rsidR="005D5236" w:rsidRPr="005B5B16" w:rsidRDefault="005D5236" w:rsidP="009B10F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50 921 811 225,19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ABD29" w14:textId="77777777" w:rsidR="005D5236" w:rsidRPr="005B5B16" w:rsidRDefault="005D5236" w:rsidP="009B10F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53 378 362 265,76</w:t>
            </w:r>
          </w:p>
        </w:tc>
      </w:tr>
    </w:tbl>
    <w:p w14:paraId="5BF2F7B6" w14:textId="77777777" w:rsidR="005D5236" w:rsidRPr="009B10FD" w:rsidRDefault="005D5236" w:rsidP="005D5236">
      <w:pPr>
        <w:pStyle w:val="Zdroj"/>
        <w:spacing w:before="40"/>
        <w:rPr>
          <w:rFonts w:asciiTheme="minorHAnsi" w:hAnsiTheme="minorHAnsi"/>
          <w:i w:val="0"/>
        </w:rPr>
      </w:pPr>
      <w:bookmarkStart w:id="115" w:name="_Toc520714649"/>
      <w:r w:rsidRPr="009B10FD">
        <w:rPr>
          <w:rFonts w:asciiTheme="minorHAnsi" w:hAnsiTheme="minorHAnsi"/>
          <w:b/>
          <w:i w:val="0"/>
        </w:rPr>
        <w:t xml:space="preserve">Zdroj: </w:t>
      </w:r>
      <w:r w:rsidRPr="009B10FD">
        <w:rPr>
          <w:rFonts w:asciiTheme="minorHAnsi" w:hAnsiTheme="minorHAnsi"/>
          <w:i w:val="0"/>
        </w:rPr>
        <w:t>informační portál MONITOR.</w:t>
      </w:r>
    </w:p>
    <w:p w14:paraId="1315E3F3" w14:textId="77777777" w:rsidR="009B10FD" w:rsidRDefault="009B10FD" w:rsidP="009B10FD">
      <w:pPr>
        <w:pStyle w:val="Titulek"/>
        <w:spacing w:before="0" w:after="40"/>
        <w:rPr>
          <w:rFonts w:cstheme="minorHAnsi"/>
          <w:szCs w:val="24"/>
        </w:rPr>
      </w:pPr>
      <w:bookmarkStart w:id="116" w:name="_Toc8984856"/>
      <w:bookmarkStart w:id="117" w:name="_Toc69401709"/>
      <w:bookmarkStart w:id="118" w:name="_Toc101336476"/>
    </w:p>
    <w:p w14:paraId="49D6AB28" w14:textId="77777777" w:rsidR="005D5236" w:rsidRPr="00EB61AB" w:rsidRDefault="005D5236" w:rsidP="009B10FD">
      <w:pPr>
        <w:pStyle w:val="Titulek"/>
        <w:spacing w:before="0" w:after="40"/>
        <w:rPr>
          <w:rFonts w:cstheme="minorHAnsi"/>
          <w:szCs w:val="24"/>
        </w:rPr>
      </w:pPr>
      <w:r w:rsidRPr="00EB61AB">
        <w:rPr>
          <w:rFonts w:cstheme="minorHAnsi"/>
          <w:szCs w:val="24"/>
        </w:rPr>
        <w:t>Tabulka č.</w:t>
      </w:r>
      <w:r>
        <w:rPr>
          <w:rFonts w:cstheme="minorHAnsi"/>
          <w:szCs w:val="24"/>
        </w:rPr>
        <w:t xml:space="preserve"> 25</w:t>
      </w:r>
      <w:r w:rsidRPr="00EB61AB">
        <w:rPr>
          <w:rFonts w:cstheme="minorHAnsi"/>
          <w:szCs w:val="24"/>
        </w:rPr>
        <w:t>: Tempo růstu výnosů a nákladů OSS v rozpočtové kapitole 314 (bez MV)</w:t>
      </w:r>
      <w:bookmarkEnd w:id="115"/>
      <w:bookmarkEnd w:id="116"/>
      <w:bookmarkEnd w:id="117"/>
      <w:bookmarkEnd w:id="118"/>
    </w:p>
    <w:tbl>
      <w:tblPr>
        <w:tblW w:w="90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559"/>
        <w:gridCol w:w="1560"/>
        <w:gridCol w:w="1560"/>
        <w:gridCol w:w="1560"/>
      </w:tblGrid>
      <w:tr w:rsidR="005D5236" w:rsidRPr="005B5B16" w14:paraId="102B8D05" w14:textId="77777777" w:rsidTr="00D64495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B70FB1E" w14:textId="77777777" w:rsidR="005D5236" w:rsidRPr="005B5B16" w:rsidRDefault="005D5236" w:rsidP="009B10FD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Tempo růstu (absolutní změna)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85E82B8" w14:textId="2F6571A9" w:rsidR="005D5236" w:rsidRPr="00180BF7" w:rsidRDefault="005D5236" w:rsidP="009B10FD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180BF7">
              <w:rPr>
                <w:rFonts w:cstheme="minorHAnsi"/>
                <w:b/>
                <w:sz w:val="18"/>
                <w:szCs w:val="18"/>
              </w:rPr>
              <w:t>2018</w:t>
            </w:r>
            <w:r w:rsidR="00180BF7" w:rsidRPr="00180BF7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180BF7" w:rsidRPr="00124170">
              <w:rPr>
                <w:rFonts w:cs="Calibri"/>
                <w:b/>
                <w:sz w:val="18"/>
                <w:szCs w:val="18"/>
              </w:rPr>
              <w:t>−</w:t>
            </w:r>
            <w:r w:rsidR="00180BF7" w:rsidRPr="00180BF7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180BF7">
              <w:rPr>
                <w:rFonts w:cstheme="minorHAnsi"/>
                <w:b/>
                <w:sz w:val="18"/>
                <w:szCs w:val="18"/>
              </w:rPr>
              <w:t>2017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CC997FF" w14:textId="61C63F07" w:rsidR="005D5236" w:rsidRPr="00180BF7" w:rsidRDefault="005D5236" w:rsidP="009B10FD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180BF7">
              <w:rPr>
                <w:rFonts w:cstheme="minorHAnsi"/>
                <w:b/>
                <w:sz w:val="18"/>
                <w:szCs w:val="18"/>
              </w:rPr>
              <w:t>2019</w:t>
            </w:r>
            <w:r w:rsidR="00180BF7" w:rsidRPr="00680E41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180BF7" w:rsidRPr="00124170">
              <w:rPr>
                <w:rFonts w:cs="Calibri"/>
                <w:b/>
                <w:sz w:val="18"/>
                <w:szCs w:val="18"/>
              </w:rPr>
              <w:t>−</w:t>
            </w:r>
            <w:r w:rsidR="00180BF7" w:rsidRPr="00180BF7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180BF7">
              <w:rPr>
                <w:rFonts w:cstheme="minorHAnsi"/>
                <w:b/>
                <w:sz w:val="18"/>
                <w:szCs w:val="18"/>
              </w:rPr>
              <w:t>2018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0CD8F299" w14:textId="0D6CD932" w:rsidR="005D5236" w:rsidRPr="00180BF7" w:rsidRDefault="005D5236" w:rsidP="009B10FD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180BF7">
              <w:rPr>
                <w:rFonts w:cstheme="minorHAnsi"/>
                <w:b/>
                <w:sz w:val="18"/>
                <w:szCs w:val="18"/>
              </w:rPr>
              <w:t>2020</w:t>
            </w:r>
            <w:r w:rsidR="00180BF7" w:rsidRPr="00680E41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180BF7" w:rsidRPr="00124170">
              <w:rPr>
                <w:rFonts w:cs="Calibri"/>
                <w:b/>
                <w:sz w:val="18"/>
                <w:szCs w:val="18"/>
              </w:rPr>
              <w:t>−</w:t>
            </w:r>
            <w:r w:rsidR="00180BF7" w:rsidRPr="00180BF7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180BF7">
              <w:rPr>
                <w:rFonts w:cstheme="minorHAnsi"/>
                <w:b/>
                <w:sz w:val="18"/>
                <w:szCs w:val="18"/>
              </w:rPr>
              <w:t>2019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79DF8CDA" w14:textId="23D50AFD" w:rsidR="005D5236" w:rsidRPr="00180BF7" w:rsidRDefault="005D5236" w:rsidP="009B10FD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180BF7">
              <w:rPr>
                <w:rFonts w:cstheme="minorHAnsi"/>
                <w:b/>
                <w:sz w:val="18"/>
                <w:szCs w:val="18"/>
              </w:rPr>
              <w:t>2021</w:t>
            </w:r>
            <w:r w:rsidR="00180BF7" w:rsidRPr="00680E41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180BF7" w:rsidRPr="00124170">
              <w:rPr>
                <w:rFonts w:cs="Calibri"/>
                <w:b/>
                <w:sz w:val="18"/>
                <w:szCs w:val="18"/>
              </w:rPr>
              <w:t>−</w:t>
            </w:r>
            <w:r w:rsidR="00180BF7" w:rsidRPr="00180BF7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180BF7">
              <w:rPr>
                <w:rFonts w:cstheme="minorHAnsi"/>
                <w:b/>
                <w:sz w:val="18"/>
                <w:szCs w:val="18"/>
              </w:rPr>
              <w:t>2020</w:t>
            </w:r>
            <w:proofErr w:type="gramEnd"/>
          </w:p>
        </w:tc>
      </w:tr>
      <w:tr w:rsidR="005D5236" w:rsidRPr="005B5B16" w14:paraId="52D3FD0D" w14:textId="77777777" w:rsidTr="00D64495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DBC2D" w14:textId="77777777" w:rsidR="005D5236" w:rsidRPr="005B5B16" w:rsidRDefault="005D5236" w:rsidP="009B10FD">
            <w:pPr>
              <w:spacing w:after="0"/>
              <w:rPr>
                <w:rFonts w:cstheme="minorHAnsi"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Cs/>
                <w:sz w:val="18"/>
                <w:szCs w:val="18"/>
                <w:lang w:eastAsia="cs-CZ"/>
              </w:rPr>
              <w:t>Výnosy celkem (v Kč)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8EF7F" w14:textId="77777777" w:rsidR="005D5236" w:rsidRPr="005B5B16" w:rsidRDefault="005D5236" w:rsidP="009B10F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1 490 947 063,94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8E3BB" w14:textId="77777777" w:rsidR="005D5236" w:rsidRPr="005B5B16" w:rsidRDefault="005D5236" w:rsidP="009B10F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12 552 609,71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55BDD" w14:textId="77777777" w:rsidR="005D5236" w:rsidRPr="005B5B16" w:rsidRDefault="005D5236" w:rsidP="009B10F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1 082 092 098,60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232CE" w14:textId="77777777" w:rsidR="005D5236" w:rsidRPr="005B5B16" w:rsidRDefault="005D5236" w:rsidP="009B10F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197 722 970,70</w:t>
            </w:r>
          </w:p>
        </w:tc>
      </w:tr>
      <w:tr w:rsidR="005D5236" w:rsidRPr="005B5B16" w14:paraId="471CD161" w14:textId="77777777" w:rsidTr="00D64495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FAB00" w14:textId="77777777" w:rsidR="005D5236" w:rsidRPr="005B5B16" w:rsidRDefault="005D5236" w:rsidP="009B10FD">
            <w:pPr>
              <w:spacing w:after="0"/>
              <w:rPr>
                <w:rFonts w:cstheme="minorHAnsi"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Cs/>
                <w:sz w:val="18"/>
                <w:szCs w:val="18"/>
                <w:lang w:eastAsia="cs-CZ"/>
              </w:rPr>
              <w:t>Náklady celkem (v Kč)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FD938" w14:textId="77777777" w:rsidR="005D5236" w:rsidRPr="005B5B16" w:rsidRDefault="005D5236" w:rsidP="009B10F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5 311 616 965,72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D185A" w14:textId="77777777" w:rsidR="005D5236" w:rsidRPr="005B5B16" w:rsidRDefault="005D5236" w:rsidP="009B10F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2 647 981 053,38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C1AD4" w14:textId="77777777" w:rsidR="005D5236" w:rsidRPr="005B5B16" w:rsidRDefault="005D5236" w:rsidP="009B10F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3 006 134 306,09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DDA4F" w14:textId="77777777" w:rsidR="005D5236" w:rsidRPr="005B5B16" w:rsidRDefault="005D5236" w:rsidP="009B10F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2 456 551 040,57</w:t>
            </w:r>
          </w:p>
        </w:tc>
      </w:tr>
      <w:tr w:rsidR="005D5236" w:rsidRPr="005B5B16" w14:paraId="1278EE2D" w14:textId="77777777" w:rsidTr="00D64495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379962EC" w14:textId="624DD54C" w:rsidR="005D5236" w:rsidRPr="005B5B16" w:rsidRDefault="005D5236" w:rsidP="009B10FD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Tempo růstu v % (relativní změna) (((x+</w:t>
            </w:r>
            <w:proofErr w:type="gramStart"/>
            <w:r w:rsidRPr="005B5B16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1)</w:t>
            </w:r>
            <w:r w:rsidR="00180BF7" w:rsidRPr="00124170">
              <w:rPr>
                <w:rFonts w:cs="Calibri"/>
                <w:b/>
                <w:sz w:val="18"/>
                <w:szCs w:val="18"/>
              </w:rPr>
              <w:t>−</w:t>
            </w:r>
            <w:proofErr w:type="gramEnd"/>
            <w:r w:rsidRPr="005B5B16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x)/x)</w:t>
            </w:r>
            <w:r w:rsidR="00180BF7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×</w:t>
            </w:r>
            <w:r w:rsidRPr="005B5B16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1274D074" w14:textId="5EFCA890" w:rsidR="005D5236" w:rsidRPr="005B5B16" w:rsidRDefault="005D5236" w:rsidP="009B10FD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2018</w:t>
            </w:r>
            <w:r w:rsidR="00180BF7">
              <w:rPr>
                <w:rFonts w:cstheme="minorHAnsi"/>
                <w:b/>
                <w:sz w:val="18"/>
                <w:szCs w:val="18"/>
              </w:rPr>
              <w:t>/</w:t>
            </w:r>
            <w:r w:rsidRPr="005B5B16">
              <w:rPr>
                <w:rFonts w:cstheme="minorHAnsi"/>
                <w:b/>
                <w:sz w:val="18"/>
                <w:szCs w:val="18"/>
              </w:rPr>
              <w:t>2017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266DA804" w14:textId="1DDB81FE" w:rsidR="005D5236" w:rsidRPr="005B5B16" w:rsidRDefault="005D5236" w:rsidP="009B10FD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2019</w:t>
            </w:r>
            <w:r w:rsidR="00180BF7">
              <w:rPr>
                <w:rFonts w:cstheme="minorHAnsi"/>
                <w:b/>
                <w:sz w:val="18"/>
                <w:szCs w:val="18"/>
              </w:rPr>
              <w:t>/</w:t>
            </w:r>
            <w:r w:rsidRPr="005B5B16">
              <w:rPr>
                <w:rFonts w:cstheme="minorHAnsi"/>
                <w:b/>
                <w:sz w:val="18"/>
                <w:szCs w:val="18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57D36BEE" w14:textId="0916B369" w:rsidR="005D5236" w:rsidRPr="005B5B16" w:rsidRDefault="005D5236" w:rsidP="009B10FD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2020</w:t>
            </w:r>
            <w:r w:rsidR="00180BF7">
              <w:rPr>
                <w:rFonts w:cstheme="minorHAnsi"/>
                <w:b/>
                <w:sz w:val="18"/>
                <w:szCs w:val="18"/>
              </w:rPr>
              <w:t>/</w:t>
            </w:r>
            <w:r w:rsidRPr="005B5B16">
              <w:rPr>
                <w:rFonts w:cstheme="minorHAnsi"/>
                <w:b/>
                <w:sz w:val="18"/>
                <w:szCs w:val="18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64E0786E" w14:textId="46ED7738" w:rsidR="005D5236" w:rsidRPr="005B5B16" w:rsidRDefault="005D5236" w:rsidP="009B10FD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2021</w:t>
            </w:r>
            <w:r w:rsidR="00180BF7">
              <w:rPr>
                <w:rFonts w:cstheme="minorHAnsi"/>
                <w:b/>
                <w:sz w:val="18"/>
                <w:szCs w:val="18"/>
              </w:rPr>
              <w:t>/</w:t>
            </w:r>
            <w:r w:rsidRPr="005B5B16">
              <w:rPr>
                <w:rFonts w:cstheme="minorHAnsi"/>
                <w:b/>
                <w:sz w:val="18"/>
                <w:szCs w:val="18"/>
              </w:rPr>
              <w:t>2020</w:t>
            </w:r>
          </w:p>
        </w:tc>
      </w:tr>
      <w:tr w:rsidR="005D5236" w:rsidRPr="005B5B16" w14:paraId="09C1920A" w14:textId="77777777" w:rsidTr="00D64495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6027F" w14:textId="77777777" w:rsidR="005D5236" w:rsidRPr="005B5B16" w:rsidRDefault="005D5236" w:rsidP="009B10FD">
            <w:pPr>
              <w:spacing w:after="0"/>
              <w:rPr>
                <w:rFonts w:cstheme="minorHAnsi"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Cs/>
                <w:sz w:val="18"/>
                <w:szCs w:val="18"/>
                <w:lang w:eastAsia="cs-CZ"/>
              </w:rPr>
              <w:t>Výnosy celkem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AAD49" w14:textId="77777777" w:rsidR="005D5236" w:rsidRPr="005B5B16" w:rsidRDefault="005D5236" w:rsidP="009B10F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20,43</w:t>
            </w:r>
            <w:r w:rsidR="007856E6">
              <w:rPr>
                <w:rFonts w:cstheme="minorHAnsi"/>
                <w:sz w:val="18"/>
                <w:szCs w:val="18"/>
              </w:rPr>
              <w:t xml:space="preserve"> </w:t>
            </w:r>
            <w:r w:rsidRPr="005B5B16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6999E" w14:textId="77777777" w:rsidR="005D5236" w:rsidRPr="005B5B16" w:rsidRDefault="005D5236" w:rsidP="009B10F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0,14</w:t>
            </w:r>
            <w:r w:rsidR="007856E6">
              <w:rPr>
                <w:rFonts w:cstheme="minorHAnsi"/>
                <w:sz w:val="18"/>
                <w:szCs w:val="18"/>
              </w:rPr>
              <w:t xml:space="preserve"> </w:t>
            </w:r>
            <w:r w:rsidRPr="005B5B16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022E8" w14:textId="77777777" w:rsidR="005D5236" w:rsidRPr="005B5B16" w:rsidRDefault="005D5236" w:rsidP="009B10F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12,29</w:t>
            </w:r>
            <w:r w:rsidR="007856E6">
              <w:rPr>
                <w:rFonts w:cstheme="minorHAnsi"/>
                <w:sz w:val="18"/>
                <w:szCs w:val="18"/>
              </w:rPr>
              <w:t xml:space="preserve"> </w:t>
            </w:r>
            <w:r w:rsidRPr="005B5B16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7F652" w14:textId="77777777" w:rsidR="005D5236" w:rsidRPr="005B5B16" w:rsidRDefault="005D5236" w:rsidP="009B10F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2,00</w:t>
            </w:r>
            <w:r w:rsidR="007856E6">
              <w:rPr>
                <w:rFonts w:cstheme="minorHAnsi"/>
                <w:sz w:val="18"/>
                <w:szCs w:val="18"/>
              </w:rPr>
              <w:t xml:space="preserve"> </w:t>
            </w:r>
            <w:r w:rsidRPr="005B5B16">
              <w:rPr>
                <w:rFonts w:cstheme="minorHAnsi"/>
                <w:sz w:val="18"/>
                <w:szCs w:val="18"/>
              </w:rPr>
              <w:t>%</w:t>
            </w:r>
          </w:p>
        </w:tc>
      </w:tr>
      <w:tr w:rsidR="005D5236" w:rsidRPr="005B5B16" w14:paraId="4870E2CB" w14:textId="77777777" w:rsidTr="00D64495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C52D6" w14:textId="77777777" w:rsidR="005D5236" w:rsidRPr="005B5B16" w:rsidRDefault="005D5236" w:rsidP="009B10FD">
            <w:pPr>
              <w:spacing w:after="0"/>
              <w:rPr>
                <w:rFonts w:cstheme="minorHAnsi"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Cs/>
                <w:sz w:val="18"/>
                <w:szCs w:val="18"/>
                <w:lang w:eastAsia="cs-CZ"/>
              </w:rPr>
              <w:t>Náklady celkem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2C758" w14:textId="77777777" w:rsidR="005D5236" w:rsidRPr="005B5B16" w:rsidRDefault="005D5236" w:rsidP="009B10F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13,29</w:t>
            </w:r>
            <w:r w:rsidR="007856E6">
              <w:rPr>
                <w:rFonts w:cstheme="minorHAnsi"/>
                <w:sz w:val="18"/>
                <w:szCs w:val="18"/>
              </w:rPr>
              <w:t xml:space="preserve"> </w:t>
            </w:r>
            <w:r w:rsidRPr="005B5B16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62826" w14:textId="77777777" w:rsidR="005D5236" w:rsidRPr="005B5B16" w:rsidRDefault="005D5236" w:rsidP="009B10F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5,85</w:t>
            </w:r>
            <w:r w:rsidR="007856E6">
              <w:rPr>
                <w:rFonts w:cstheme="minorHAnsi"/>
                <w:sz w:val="18"/>
                <w:szCs w:val="18"/>
              </w:rPr>
              <w:t xml:space="preserve"> </w:t>
            </w:r>
            <w:r w:rsidRPr="005B5B16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F27F3" w14:textId="77777777" w:rsidR="005D5236" w:rsidRPr="005B5B16" w:rsidRDefault="005D5236" w:rsidP="009B10F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6,27</w:t>
            </w:r>
            <w:r w:rsidR="007856E6">
              <w:rPr>
                <w:rFonts w:cstheme="minorHAnsi"/>
                <w:sz w:val="18"/>
                <w:szCs w:val="18"/>
              </w:rPr>
              <w:t xml:space="preserve"> </w:t>
            </w:r>
            <w:r w:rsidRPr="005B5B16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C6F90" w14:textId="77777777" w:rsidR="005D5236" w:rsidRPr="005B5B16" w:rsidRDefault="005D5236" w:rsidP="009B10F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4,82</w:t>
            </w:r>
            <w:r w:rsidR="007856E6">
              <w:rPr>
                <w:rFonts w:cstheme="minorHAnsi"/>
                <w:sz w:val="18"/>
                <w:szCs w:val="18"/>
              </w:rPr>
              <w:t xml:space="preserve"> </w:t>
            </w:r>
            <w:r w:rsidRPr="005B5B16">
              <w:rPr>
                <w:rFonts w:cstheme="minorHAnsi"/>
                <w:sz w:val="18"/>
                <w:szCs w:val="18"/>
              </w:rPr>
              <w:t>%</w:t>
            </w:r>
          </w:p>
        </w:tc>
      </w:tr>
    </w:tbl>
    <w:p w14:paraId="2DB96CC6" w14:textId="77777777" w:rsidR="005D5236" w:rsidRPr="009B10FD" w:rsidRDefault="005D5236" w:rsidP="005D5236">
      <w:pPr>
        <w:pStyle w:val="Zdroj"/>
        <w:spacing w:before="40" w:after="120"/>
        <w:rPr>
          <w:rFonts w:asciiTheme="minorHAnsi" w:hAnsiTheme="minorHAnsi"/>
          <w:i w:val="0"/>
        </w:rPr>
      </w:pPr>
      <w:r w:rsidRPr="009B10FD">
        <w:rPr>
          <w:rFonts w:asciiTheme="minorHAnsi" w:hAnsiTheme="minorHAnsi"/>
          <w:b/>
          <w:i w:val="0"/>
        </w:rPr>
        <w:t xml:space="preserve">Zdroj: </w:t>
      </w:r>
      <w:r w:rsidRPr="009B10FD">
        <w:rPr>
          <w:rFonts w:asciiTheme="minorHAnsi" w:hAnsiTheme="minorHAnsi"/>
          <w:i w:val="0"/>
        </w:rPr>
        <w:t>výpočet NKÚ.</w:t>
      </w:r>
    </w:p>
    <w:p w14:paraId="3D8EB867" w14:textId="77777777" w:rsidR="001C3BBD" w:rsidRDefault="005D5236" w:rsidP="00D64495">
      <w:pPr>
        <w:pStyle w:val="Zdroj"/>
        <w:spacing w:before="0"/>
        <w:jc w:val="both"/>
        <w:rPr>
          <w:rFonts w:asciiTheme="minorHAnsi" w:hAnsiTheme="minorHAnsi"/>
          <w:i w:val="0"/>
          <w:sz w:val="24"/>
        </w:rPr>
      </w:pPr>
      <w:r w:rsidRPr="009B10FD">
        <w:rPr>
          <w:rFonts w:asciiTheme="minorHAnsi" w:hAnsiTheme="minorHAnsi"/>
          <w:i w:val="0"/>
          <w:sz w:val="24"/>
        </w:rPr>
        <w:t>K největší relativní změně výnosů i nákladů ve sledovaném období došlo u OSS (bez MV) mezi rokem 2017 a 2018 (nárůst o 20 % v případě výnosů a o 13 % v případě nákladů).</w:t>
      </w:r>
    </w:p>
    <w:p w14:paraId="27452468" w14:textId="77777777" w:rsidR="00D64495" w:rsidRDefault="00D64495" w:rsidP="00D64495">
      <w:pPr>
        <w:pStyle w:val="Zdroj"/>
        <w:spacing w:before="0"/>
        <w:jc w:val="both"/>
        <w:rPr>
          <w:rFonts w:asciiTheme="minorHAnsi" w:hAnsiTheme="minorHAnsi"/>
          <w:bCs/>
          <w:i w:val="0"/>
          <w:sz w:val="24"/>
        </w:rPr>
      </w:pPr>
    </w:p>
    <w:p w14:paraId="22926D38" w14:textId="77777777" w:rsidR="00D64495" w:rsidRDefault="00D64495" w:rsidP="00D64495">
      <w:pPr>
        <w:pStyle w:val="Zdroj"/>
        <w:spacing w:before="0"/>
        <w:jc w:val="both"/>
        <w:rPr>
          <w:rFonts w:asciiTheme="minorHAnsi" w:hAnsiTheme="minorHAnsi"/>
          <w:bCs/>
          <w:i w:val="0"/>
          <w:sz w:val="24"/>
        </w:rPr>
      </w:pPr>
    </w:p>
    <w:p w14:paraId="6674C31A" w14:textId="77777777" w:rsidR="00D64495" w:rsidRPr="00DD3FBB" w:rsidRDefault="00D64495" w:rsidP="00DD3FBB">
      <w:pPr>
        <w:spacing w:after="240"/>
        <w:jc w:val="center"/>
        <w:rPr>
          <w:b/>
          <w:bCs/>
        </w:rPr>
      </w:pPr>
      <w:bookmarkStart w:id="119" w:name="_Toc519242493"/>
      <w:bookmarkStart w:id="120" w:name="_Toc39530425"/>
      <w:r w:rsidRPr="00DD3FBB">
        <w:rPr>
          <w:b/>
          <w:bCs/>
        </w:rPr>
        <w:t xml:space="preserve">Oddíl VI. </w:t>
      </w:r>
      <w:bookmarkEnd w:id="119"/>
      <w:bookmarkEnd w:id="120"/>
      <w:r w:rsidRPr="00DD3FBB">
        <w:rPr>
          <w:b/>
          <w:bCs/>
        </w:rPr>
        <w:t>Náklady z činnosti, náklady na transfery a výnosy z transferů vykázané M</w:t>
      </w:r>
      <w:r w:rsidR="003B2AF1">
        <w:rPr>
          <w:b/>
          <w:bCs/>
        </w:rPr>
        <w:t>inisterstvem vnitra</w:t>
      </w:r>
    </w:p>
    <w:p w14:paraId="286D9A68" w14:textId="77777777" w:rsidR="00D64495" w:rsidRPr="00A82612" w:rsidRDefault="00D64495" w:rsidP="00EF4B27">
      <w:pPr>
        <w:pStyle w:val="Titulek"/>
        <w:spacing w:after="40"/>
        <w:rPr>
          <w:rFonts w:cstheme="minorHAnsi"/>
          <w:szCs w:val="24"/>
        </w:rPr>
      </w:pPr>
      <w:bookmarkStart w:id="121" w:name="_Toc520714650"/>
      <w:bookmarkStart w:id="122" w:name="_Toc8984857"/>
      <w:bookmarkStart w:id="123" w:name="_Toc69401693"/>
      <w:bookmarkStart w:id="124" w:name="_Toc101336460"/>
      <w:r w:rsidRPr="00A82612">
        <w:rPr>
          <w:rFonts w:cstheme="minorHAnsi"/>
          <w:szCs w:val="24"/>
        </w:rPr>
        <w:t>Tabulka č.</w:t>
      </w:r>
      <w:r>
        <w:rPr>
          <w:rFonts w:cstheme="minorHAnsi"/>
          <w:szCs w:val="24"/>
        </w:rPr>
        <w:t xml:space="preserve"> 26</w:t>
      </w:r>
      <w:r w:rsidRPr="00A82612">
        <w:rPr>
          <w:rFonts w:cstheme="minorHAnsi"/>
          <w:szCs w:val="24"/>
        </w:rPr>
        <w:t>: Průměrný přepočtený počet zaměstnanců</w:t>
      </w:r>
      <w:bookmarkEnd w:id="121"/>
      <w:bookmarkEnd w:id="122"/>
      <w:bookmarkEnd w:id="123"/>
      <w:bookmarkEnd w:id="124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1246"/>
        <w:gridCol w:w="1247"/>
        <w:gridCol w:w="1247"/>
        <w:gridCol w:w="1247"/>
        <w:gridCol w:w="1245"/>
      </w:tblGrid>
      <w:tr w:rsidR="00D64495" w:rsidRPr="005A01F2" w14:paraId="722F0F09" w14:textId="77777777" w:rsidTr="00D64495">
        <w:trPr>
          <w:trHeight w:val="255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FC95915" w14:textId="77777777" w:rsidR="00D64495" w:rsidRPr="005A01F2" w:rsidRDefault="00D64495" w:rsidP="00D64495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A01F2">
              <w:rPr>
                <w:rFonts w:cstheme="minorHAnsi"/>
                <w:b/>
                <w:sz w:val="18"/>
                <w:szCs w:val="18"/>
              </w:rPr>
              <w:t>Organizace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A6B312D" w14:textId="77777777" w:rsidR="00D64495" w:rsidRPr="005A01F2" w:rsidRDefault="00D64495" w:rsidP="00D64495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A01F2">
              <w:rPr>
                <w:rFonts w:cstheme="minorHAnsi"/>
                <w:b/>
                <w:sz w:val="18"/>
                <w:szCs w:val="18"/>
              </w:rPr>
              <w:t>2017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D4A6E2E" w14:textId="77777777" w:rsidR="00D64495" w:rsidRPr="005A01F2" w:rsidRDefault="00D64495" w:rsidP="00D64495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A01F2">
              <w:rPr>
                <w:rFonts w:cstheme="minorHAnsi"/>
                <w:b/>
                <w:sz w:val="18"/>
                <w:szCs w:val="18"/>
              </w:rPr>
              <w:t>2018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B71A497" w14:textId="77777777" w:rsidR="00D64495" w:rsidRPr="005A01F2" w:rsidRDefault="00D64495" w:rsidP="00D64495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A01F2">
              <w:rPr>
                <w:rFonts w:cstheme="minorHAnsi"/>
                <w:b/>
                <w:sz w:val="18"/>
                <w:szCs w:val="18"/>
              </w:rPr>
              <w:t>2019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01C41272" w14:textId="77777777" w:rsidR="00D64495" w:rsidRPr="005A01F2" w:rsidRDefault="00D64495" w:rsidP="00D64495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A01F2">
              <w:rPr>
                <w:rFonts w:cstheme="minorHAnsi"/>
                <w:b/>
                <w:sz w:val="18"/>
                <w:szCs w:val="18"/>
              </w:rPr>
              <w:t>2020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5A044DF1" w14:textId="77777777" w:rsidR="00D64495" w:rsidRPr="005A01F2" w:rsidRDefault="00D64495" w:rsidP="00D64495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A01F2">
              <w:rPr>
                <w:rFonts w:cstheme="minorHAnsi"/>
                <w:b/>
                <w:sz w:val="18"/>
                <w:szCs w:val="18"/>
              </w:rPr>
              <w:t>2021</w:t>
            </w:r>
          </w:p>
        </w:tc>
      </w:tr>
      <w:tr w:rsidR="00D64495" w:rsidRPr="005A01F2" w14:paraId="00B2FC78" w14:textId="77777777" w:rsidTr="00D64495">
        <w:trPr>
          <w:trHeight w:val="255"/>
        </w:trPr>
        <w:tc>
          <w:tcPr>
            <w:tcW w:w="1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C01D" w14:textId="77777777" w:rsidR="00D64495" w:rsidRPr="005A01F2" w:rsidRDefault="00D64495" w:rsidP="00D64495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5A01F2">
              <w:rPr>
                <w:rFonts w:cstheme="minorHAnsi"/>
                <w:sz w:val="18"/>
                <w:szCs w:val="18"/>
              </w:rPr>
              <w:t>MV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6C51F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A01F2">
              <w:rPr>
                <w:sz w:val="18"/>
                <w:szCs w:val="18"/>
              </w:rPr>
              <w:t>9 959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4ECAA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A01F2">
              <w:rPr>
                <w:sz w:val="18"/>
                <w:szCs w:val="18"/>
              </w:rPr>
              <w:t>10 391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7E44A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A01F2">
              <w:rPr>
                <w:sz w:val="18"/>
                <w:szCs w:val="18"/>
              </w:rPr>
              <w:t>10 644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DBD00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A01F2">
              <w:rPr>
                <w:sz w:val="18"/>
                <w:szCs w:val="18"/>
              </w:rPr>
              <w:t>10 729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8AC34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A01F2">
              <w:rPr>
                <w:sz w:val="18"/>
                <w:szCs w:val="18"/>
              </w:rPr>
              <w:t>10 845</w:t>
            </w:r>
          </w:p>
        </w:tc>
      </w:tr>
      <w:tr w:rsidR="00D64495" w:rsidRPr="005A01F2" w14:paraId="19FB0929" w14:textId="77777777" w:rsidTr="00D64495">
        <w:trPr>
          <w:trHeight w:val="255"/>
        </w:trPr>
        <w:tc>
          <w:tcPr>
            <w:tcW w:w="1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C3632" w14:textId="77777777" w:rsidR="00D64495" w:rsidRPr="005A01F2" w:rsidRDefault="00D64495" w:rsidP="00D64495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5A01F2">
              <w:rPr>
                <w:rFonts w:cstheme="minorHAnsi"/>
                <w:sz w:val="18"/>
                <w:szCs w:val="18"/>
              </w:rPr>
              <w:t>OSS vč. MV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81B9E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A01F2">
              <w:rPr>
                <w:sz w:val="18"/>
                <w:szCs w:val="18"/>
              </w:rPr>
              <w:t>65 271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860BA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A01F2">
              <w:rPr>
                <w:sz w:val="18"/>
                <w:szCs w:val="18"/>
              </w:rPr>
              <w:t>65 761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3A1BA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A01F2">
              <w:rPr>
                <w:sz w:val="18"/>
                <w:szCs w:val="18"/>
              </w:rPr>
              <w:t>66 155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03476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A01F2">
              <w:rPr>
                <w:sz w:val="18"/>
                <w:szCs w:val="18"/>
              </w:rPr>
              <w:t>66 079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96F2E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A01F2">
              <w:rPr>
                <w:sz w:val="18"/>
                <w:szCs w:val="18"/>
              </w:rPr>
              <w:t>66 726</w:t>
            </w:r>
          </w:p>
        </w:tc>
      </w:tr>
      <w:tr w:rsidR="00D64495" w:rsidRPr="005A01F2" w14:paraId="7A977995" w14:textId="77777777" w:rsidTr="00D64495">
        <w:trPr>
          <w:trHeight w:val="255"/>
        </w:trPr>
        <w:tc>
          <w:tcPr>
            <w:tcW w:w="1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B2E61" w14:textId="77777777" w:rsidR="00D64495" w:rsidRPr="005A01F2" w:rsidRDefault="00D64495" w:rsidP="00D64495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5A01F2">
              <w:rPr>
                <w:rFonts w:cstheme="minorHAnsi"/>
                <w:sz w:val="18"/>
                <w:szCs w:val="18"/>
              </w:rPr>
              <w:t>OSS bez MV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F19D4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A01F2">
              <w:rPr>
                <w:sz w:val="18"/>
                <w:szCs w:val="18"/>
              </w:rPr>
              <w:t>55 312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EA4A6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A01F2">
              <w:rPr>
                <w:sz w:val="18"/>
                <w:szCs w:val="18"/>
              </w:rPr>
              <w:t>55 370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F247C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A01F2">
              <w:rPr>
                <w:sz w:val="18"/>
                <w:szCs w:val="18"/>
              </w:rPr>
              <w:t>55 511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77B04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A01F2">
              <w:rPr>
                <w:sz w:val="18"/>
                <w:szCs w:val="18"/>
              </w:rPr>
              <w:t>55 351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73DB7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A01F2">
              <w:rPr>
                <w:sz w:val="18"/>
                <w:szCs w:val="18"/>
              </w:rPr>
              <w:t>55 881</w:t>
            </w:r>
          </w:p>
        </w:tc>
      </w:tr>
      <w:tr w:rsidR="00D64495" w:rsidRPr="005A01F2" w14:paraId="62806A81" w14:textId="77777777" w:rsidTr="00D64495">
        <w:trPr>
          <w:trHeight w:val="255"/>
        </w:trPr>
        <w:tc>
          <w:tcPr>
            <w:tcW w:w="1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03CBF" w14:textId="77777777" w:rsidR="00D64495" w:rsidRPr="005A01F2" w:rsidRDefault="00D64495" w:rsidP="00D64495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5A01F2">
              <w:rPr>
                <w:rFonts w:cstheme="minorHAnsi"/>
                <w:sz w:val="18"/>
                <w:szCs w:val="18"/>
              </w:rPr>
              <w:t>PO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7295B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A01F2">
              <w:rPr>
                <w:sz w:val="18"/>
                <w:szCs w:val="18"/>
              </w:rPr>
              <w:t>988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A43D9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A01F2">
              <w:rPr>
                <w:sz w:val="18"/>
                <w:szCs w:val="18"/>
              </w:rPr>
              <w:t>1 000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9DA16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A01F2">
              <w:rPr>
                <w:sz w:val="18"/>
                <w:szCs w:val="18"/>
              </w:rPr>
              <w:t>996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05A4E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A01F2">
              <w:rPr>
                <w:sz w:val="18"/>
                <w:szCs w:val="18"/>
              </w:rPr>
              <w:t>975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533C9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A01F2">
              <w:rPr>
                <w:sz w:val="18"/>
                <w:szCs w:val="18"/>
              </w:rPr>
              <w:t>969</w:t>
            </w:r>
          </w:p>
        </w:tc>
      </w:tr>
      <w:tr w:rsidR="00D64495" w:rsidRPr="005A01F2" w14:paraId="32C85B92" w14:textId="77777777" w:rsidTr="00D64495">
        <w:trPr>
          <w:trHeight w:val="255"/>
        </w:trPr>
        <w:tc>
          <w:tcPr>
            <w:tcW w:w="1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7382B173" w14:textId="77777777" w:rsidR="00D64495" w:rsidRPr="005A01F2" w:rsidRDefault="00D64495" w:rsidP="00D64495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 w:rsidRPr="005A01F2">
              <w:rPr>
                <w:rFonts w:cstheme="minorHAnsi"/>
                <w:b/>
                <w:sz w:val="18"/>
                <w:szCs w:val="18"/>
              </w:rPr>
              <w:t>Celkem za kapitolu 314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77DE79C4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5A01F2">
              <w:rPr>
                <w:b/>
                <w:sz w:val="18"/>
                <w:szCs w:val="18"/>
              </w:rPr>
              <w:t>66 259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2CF2511C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5A01F2">
              <w:rPr>
                <w:b/>
                <w:sz w:val="18"/>
                <w:szCs w:val="18"/>
              </w:rPr>
              <w:t>66 761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671E7137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5A01F2">
              <w:rPr>
                <w:b/>
                <w:sz w:val="18"/>
                <w:szCs w:val="18"/>
              </w:rPr>
              <w:t>67 151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15EA4737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5A01F2">
              <w:rPr>
                <w:b/>
                <w:sz w:val="18"/>
                <w:szCs w:val="18"/>
              </w:rPr>
              <w:t>67 054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57BAC299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5A01F2">
              <w:rPr>
                <w:b/>
                <w:sz w:val="18"/>
                <w:szCs w:val="18"/>
              </w:rPr>
              <w:t>67 695</w:t>
            </w:r>
          </w:p>
        </w:tc>
      </w:tr>
    </w:tbl>
    <w:p w14:paraId="4B6DD0C5" w14:textId="77777777" w:rsidR="00D64495" w:rsidRPr="00D64495" w:rsidRDefault="00D64495" w:rsidP="00D64495">
      <w:pPr>
        <w:pStyle w:val="Zdroj"/>
        <w:spacing w:before="40" w:after="120"/>
        <w:rPr>
          <w:rFonts w:asciiTheme="minorHAnsi" w:hAnsiTheme="minorHAnsi"/>
          <w:i w:val="0"/>
        </w:rPr>
      </w:pPr>
      <w:bookmarkStart w:id="125" w:name="_Toc520715174"/>
      <w:r w:rsidRPr="00D64495">
        <w:rPr>
          <w:rFonts w:asciiTheme="minorHAnsi" w:hAnsiTheme="minorHAnsi"/>
          <w:b/>
          <w:i w:val="0"/>
        </w:rPr>
        <w:t xml:space="preserve">Zdroj: </w:t>
      </w:r>
      <w:r w:rsidRPr="00D64495">
        <w:rPr>
          <w:rFonts w:asciiTheme="minorHAnsi" w:hAnsiTheme="minorHAnsi"/>
          <w:i w:val="0"/>
        </w:rPr>
        <w:t xml:space="preserve">IISSP – finanční výkaz ZAM 1-04 U </w:t>
      </w:r>
      <w:r w:rsidRPr="00D64495">
        <w:rPr>
          <w:rFonts w:asciiTheme="minorHAnsi" w:hAnsiTheme="minorHAnsi"/>
          <w:iCs/>
        </w:rPr>
        <w:t>Výkaz o zaměstnanosti regulované vládou</w:t>
      </w:r>
      <w:r w:rsidRPr="00D64495">
        <w:rPr>
          <w:rFonts w:asciiTheme="minorHAnsi" w:hAnsiTheme="minorHAnsi"/>
          <w:i w:val="0"/>
        </w:rPr>
        <w:t>.</w:t>
      </w:r>
    </w:p>
    <w:p w14:paraId="4EEF0283" w14:textId="1F038267" w:rsidR="00D64495" w:rsidRPr="00D64495" w:rsidRDefault="00D64495" w:rsidP="00D64495">
      <w:pPr>
        <w:pStyle w:val="Zdroj"/>
        <w:spacing w:before="40"/>
        <w:ind w:right="-2"/>
        <w:jc w:val="both"/>
        <w:rPr>
          <w:rFonts w:asciiTheme="minorHAnsi" w:hAnsiTheme="minorHAnsi"/>
          <w:bCs/>
          <w:i w:val="0"/>
          <w:sz w:val="24"/>
        </w:rPr>
      </w:pPr>
      <w:bookmarkStart w:id="126" w:name="_Toc520714651"/>
      <w:bookmarkStart w:id="127" w:name="_Toc8984858"/>
      <w:bookmarkEnd w:id="125"/>
      <w:r w:rsidRPr="00D64495">
        <w:rPr>
          <w:rFonts w:asciiTheme="minorHAnsi" w:hAnsiTheme="minorHAnsi"/>
          <w:bCs/>
          <w:i w:val="0"/>
          <w:sz w:val="24"/>
        </w:rPr>
        <w:t>Počet zaměstnanců kapitoly 314 měl za posledních 5 let mírně rostoucí tendenci. Zaměstnanci MV tvořil</w:t>
      </w:r>
      <w:r w:rsidR="00180BF7">
        <w:rPr>
          <w:rFonts w:asciiTheme="minorHAnsi" w:hAnsiTheme="minorHAnsi"/>
          <w:bCs/>
          <w:i w:val="0"/>
          <w:sz w:val="24"/>
        </w:rPr>
        <w:t>i</w:t>
      </w:r>
      <w:r w:rsidRPr="00D64495">
        <w:rPr>
          <w:rFonts w:asciiTheme="minorHAnsi" w:hAnsiTheme="minorHAnsi"/>
          <w:bCs/>
          <w:i w:val="0"/>
          <w:sz w:val="24"/>
        </w:rPr>
        <w:t xml:space="preserve"> 16 % všech zaměstnanců organizací kapitoly 314. </w:t>
      </w:r>
    </w:p>
    <w:p w14:paraId="4240397A" w14:textId="77777777" w:rsidR="00D64495" w:rsidRPr="00A82612" w:rsidRDefault="00D64495" w:rsidP="00D64495">
      <w:pPr>
        <w:spacing w:after="0"/>
        <w:rPr>
          <w:rFonts w:cstheme="minorHAnsi"/>
        </w:rPr>
      </w:pPr>
    </w:p>
    <w:p w14:paraId="34E9C7A6" w14:textId="77777777" w:rsidR="00D64495" w:rsidRPr="00A82612" w:rsidRDefault="00D64495" w:rsidP="00124170">
      <w:pPr>
        <w:pStyle w:val="Titulek"/>
        <w:tabs>
          <w:tab w:val="right" w:pos="9070"/>
        </w:tabs>
        <w:spacing w:before="0" w:after="40"/>
        <w:rPr>
          <w:rFonts w:cstheme="minorHAnsi"/>
          <w:szCs w:val="24"/>
        </w:rPr>
      </w:pPr>
      <w:bookmarkStart w:id="128" w:name="_Toc69401694"/>
      <w:bookmarkStart w:id="129" w:name="_Toc101336461"/>
      <w:r w:rsidRPr="00A82612">
        <w:rPr>
          <w:rFonts w:cstheme="minorHAnsi"/>
          <w:szCs w:val="24"/>
        </w:rPr>
        <w:t>Tabulka č.</w:t>
      </w:r>
      <w:r>
        <w:rPr>
          <w:rFonts w:cstheme="minorHAnsi"/>
          <w:szCs w:val="24"/>
        </w:rPr>
        <w:t xml:space="preserve"> 27</w:t>
      </w:r>
      <w:r w:rsidRPr="00A82612">
        <w:rPr>
          <w:rFonts w:cstheme="minorHAnsi"/>
          <w:szCs w:val="24"/>
        </w:rPr>
        <w:t xml:space="preserve">: Náklady na </w:t>
      </w:r>
      <w:r w:rsidR="003B2AF1">
        <w:rPr>
          <w:rFonts w:cstheme="minorHAnsi"/>
          <w:szCs w:val="24"/>
        </w:rPr>
        <w:t>jednoho</w:t>
      </w:r>
      <w:r w:rsidRPr="00A82612">
        <w:rPr>
          <w:rFonts w:cstheme="minorHAnsi"/>
          <w:szCs w:val="24"/>
        </w:rPr>
        <w:t xml:space="preserve"> zaměstnance v rozpočtové kapitole 3</w:t>
      </w:r>
      <w:bookmarkEnd w:id="126"/>
      <w:bookmarkEnd w:id="127"/>
      <w:bookmarkEnd w:id="128"/>
      <w:r w:rsidRPr="00A82612">
        <w:rPr>
          <w:rFonts w:cstheme="minorHAnsi"/>
          <w:szCs w:val="24"/>
        </w:rPr>
        <w:t>14</w:t>
      </w:r>
      <w:bookmarkEnd w:id="129"/>
      <w:r w:rsidR="00EF4B27">
        <w:rPr>
          <w:rFonts w:cstheme="minorHAnsi"/>
          <w:szCs w:val="24"/>
        </w:rPr>
        <w:t xml:space="preserve"> </w:t>
      </w:r>
      <w:r w:rsidR="00180BF7">
        <w:rPr>
          <w:rFonts w:cstheme="minorHAnsi"/>
          <w:szCs w:val="24"/>
        </w:rPr>
        <w:tab/>
      </w:r>
      <w:r w:rsidR="00EF4B27">
        <w:rPr>
          <w:rFonts w:cstheme="minorHAnsi"/>
          <w:szCs w:val="24"/>
        </w:rPr>
        <w:t>(v Kč)</w:t>
      </w:r>
    </w:p>
    <w:tbl>
      <w:tblPr>
        <w:tblW w:w="90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1692"/>
        <w:gridCol w:w="1387"/>
        <w:gridCol w:w="1386"/>
        <w:gridCol w:w="1387"/>
        <w:gridCol w:w="1387"/>
        <w:gridCol w:w="1387"/>
      </w:tblGrid>
      <w:tr w:rsidR="00D64495" w:rsidRPr="005A01F2" w14:paraId="13C8DD10" w14:textId="77777777" w:rsidTr="00D64495">
        <w:trPr>
          <w:trHeight w:val="25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079D0C57" w14:textId="77777777" w:rsidR="00D64495" w:rsidRPr="005A01F2" w:rsidRDefault="00D64495" w:rsidP="00D64495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A01F2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Org.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EEF21B3" w14:textId="77777777" w:rsidR="00D64495" w:rsidRPr="005A01F2" w:rsidRDefault="00D64495" w:rsidP="00D64495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A01F2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Ukazatel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6EC9D6E" w14:textId="77777777" w:rsidR="00D64495" w:rsidRPr="005A01F2" w:rsidRDefault="00D64495" w:rsidP="00D64495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A01F2">
              <w:rPr>
                <w:rFonts w:cstheme="minorHAnsi"/>
                <w:b/>
                <w:sz w:val="16"/>
                <w:szCs w:val="16"/>
              </w:rPr>
              <w:t>2017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E6050C9" w14:textId="77777777" w:rsidR="00D64495" w:rsidRPr="005A01F2" w:rsidRDefault="00D64495" w:rsidP="00D64495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A01F2">
              <w:rPr>
                <w:rFonts w:cstheme="minorHAnsi"/>
                <w:b/>
                <w:sz w:val="16"/>
                <w:szCs w:val="16"/>
              </w:rPr>
              <w:t>2018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0082854" w14:textId="77777777" w:rsidR="00D64495" w:rsidRPr="005A01F2" w:rsidRDefault="00D64495" w:rsidP="00D64495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A01F2">
              <w:rPr>
                <w:rFonts w:cstheme="minorHAnsi"/>
                <w:b/>
                <w:sz w:val="16"/>
                <w:szCs w:val="16"/>
              </w:rPr>
              <w:t>2019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43FFFB47" w14:textId="77777777" w:rsidR="00D64495" w:rsidRPr="005A01F2" w:rsidRDefault="00D64495" w:rsidP="00D64495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A01F2">
              <w:rPr>
                <w:rFonts w:cstheme="minorHAnsi"/>
                <w:b/>
                <w:sz w:val="16"/>
                <w:szCs w:val="16"/>
              </w:rPr>
              <w:t>2020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4E57A7B0" w14:textId="77777777" w:rsidR="00D64495" w:rsidRPr="005A01F2" w:rsidRDefault="00D64495" w:rsidP="00D64495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A01F2">
              <w:rPr>
                <w:rFonts w:cstheme="minorHAnsi"/>
                <w:b/>
                <w:sz w:val="16"/>
                <w:szCs w:val="16"/>
              </w:rPr>
              <w:t>2021</w:t>
            </w:r>
          </w:p>
        </w:tc>
      </w:tr>
      <w:tr w:rsidR="00D64495" w:rsidRPr="005A01F2" w14:paraId="35391867" w14:textId="77777777" w:rsidTr="00D64495">
        <w:trPr>
          <w:trHeight w:val="255"/>
        </w:trPr>
        <w:tc>
          <w:tcPr>
            <w:tcW w:w="4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BD5654A" w14:textId="77777777" w:rsidR="00D64495" w:rsidRPr="005A01F2" w:rsidRDefault="00D64495" w:rsidP="00D64495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5A01F2">
              <w:rPr>
                <w:rFonts w:cstheme="minorHAnsi"/>
                <w:sz w:val="16"/>
                <w:szCs w:val="16"/>
              </w:rPr>
              <w:t>OSS vč. MV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B7D61" w14:textId="77777777" w:rsidR="00D64495" w:rsidRPr="005A01F2" w:rsidRDefault="00D64495" w:rsidP="00D64495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A01F2">
              <w:rPr>
                <w:rFonts w:cstheme="minorHAnsi"/>
                <w:sz w:val="16"/>
                <w:szCs w:val="16"/>
              </w:rPr>
              <w:t>Náklady celkem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5E69A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A01F2">
              <w:rPr>
                <w:sz w:val="16"/>
                <w:szCs w:val="16"/>
              </w:rPr>
              <w:t>66 648 882 613,91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C7F29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A01F2">
              <w:rPr>
                <w:sz w:val="16"/>
                <w:szCs w:val="16"/>
              </w:rPr>
              <w:t>73 817 426 035,08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6F9E0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A01F2">
              <w:rPr>
                <w:sz w:val="16"/>
                <w:szCs w:val="16"/>
              </w:rPr>
              <w:t>78 396 910 436,98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CBFC5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A01F2">
              <w:rPr>
                <w:sz w:val="16"/>
                <w:szCs w:val="16"/>
              </w:rPr>
              <w:t>88 337 057 072,26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5C7A7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A01F2">
              <w:rPr>
                <w:sz w:val="16"/>
                <w:szCs w:val="16"/>
              </w:rPr>
              <w:t>88 272 221 452,75</w:t>
            </w:r>
          </w:p>
        </w:tc>
      </w:tr>
      <w:tr w:rsidR="00D64495" w:rsidRPr="005A01F2" w14:paraId="43FEC21B" w14:textId="77777777" w:rsidTr="00D64495">
        <w:trPr>
          <w:trHeight w:val="255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9ECE0" w14:textId="77777777" w:rsidR="00D64495" w:rsidRPr="005A01F2" w:rsidRDefault="00D64495" w:rsidP="00D64495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135D2" w14:textId="77777777" w:rsidR="00D64495" w:rsidRPr="005A01F2" w:rsidRDefault="00D64495" w:rsidP="00D64495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A01F2">
              <w:rPr>
                <w:rFonts w:cstheme="minorHAnsi"/>
                <w:sz w:val="16"/>
                <w:szCs w:val="16"/>
              </w:rPr>
              <w:t>Počet zaměstnanců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AC16F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A01F2">
              <w:rPr>
                <w:sz w:val="16"/>
                <w:szCs w:val="16"/>
              </w:rPr>
              <w:t>65 271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B9ACF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A01F2">
              <w:rPr>
                <w:sz w:val="16"/>
                <w:szCs w:val="16"/>
              </w:rPr>
              <w:t>65 761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EEF16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A01F2">
              <w:rPr>
                <w:sz w:val="16"/>
                <w:szCs w:val="16"/>
              </w:rPr>
              <w:t>66 155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6EA72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A01F2">
              <w:rPr>
                <w:sz w:val="16"/>
                <w:szCs w:val="16"/>
              </w:rPr>
              <w:t>66 079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CEDE2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A01F2">
              <w:rPr>
                <w:sz w:val="16"/>
                <w:szCs w:val="16"/>
              </w:rPr>
              <w:t>66 726</w:t>
            </w:r>
          </w:p>
        </w:tc>
      </w:tr>
      <w:tr w:rsidR="00D64495" w:rsidRPr="005A01F2" w14:paraId="2C86C806" w14:textId="77777777" w:rsidTr="00D64495">
        <w:trPr>
          <w:trHeight w:val="255"/>
        </w:trPr>
        <w:tc>
          <w:tcPr>
            <w:tcW w:w="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58D5" w14:textId="77777777" w:rsidR="00D64495" w:rsidRPr="005A01F2" w:rsidRDefault="00D64495" w:rsidP="00D64495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2781A0BF" w14:textId="68DCC80A" w:rsidR="00D64495" w:rsidRPr="005A01F2" w:rsidRDefault="00D64495" w:rsidP="00D64495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5A01F2">
              <w:rPr>
                <w:rFonts w:cstheme="minorHAnsi"/>
                <w:b/>
                <w:sz w:val="16"/>
                <w:szCs w:val="16"/>
              </w:rPr>
              <w:t xml:space="preserve">Náklady na </w:t>
            </w:r>
            <w:r w:rsidR="00180BF7">
              <w:rPr>
                <w:rFonts w:cstheme="minorHAnsi"/>
                <w:b/>
                <w:sz w:val="16"/>
                <w:szCs w:val="16"/>
              </w:rPr>
              <w:t>jednoho</w:t>
            </w:r>
            <w:r w:rsidRPr="005A01F2">
              <w:rPr>
                <w:rFonts w:cstheme="minorHAnsi"/>
                <w:b/>
                <w:sz w:val="16"/>
                <w:szCs w:val="16"/>
              </w:rPr>
              <w:t xml:space="preserve"> zaměstnance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33009029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A01F2">
              <w:rPr>
                <w:b/>
                <w:sz w:val="16"/>
                <w:szCs w:val="16"/>
              </w:rPr>
              <w:t>1 021 110,18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37A74764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A01F2">
              <w:rPr>
                <w:b/>
                <w:sz w:val="16"/>
                <w:szCs w:val="16"/>
              </w:rPr>
              <w:t>1 122 510,19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276AA0A5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A01F2">
              <w:rPr>
                <w:b/>
                <w:sz w:val="16"/>
                <w:szCs w:val="16"/>
              </w:rPr>
              <w:t>1 185 045,50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40A1A133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A01F2">
              <w:rPr>
                <w:b/>
                <w:sz w:val="16"/>
                <w:szCs w:val="16"/>
              </w:rPr>
              <w:t>1 336 833,43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13B1F167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A01F2">
              <w:rPr>
                <w:b/>
                <w:sz w:val="16"/>
                <w:szCs w:val="16"/>
              </w:rPr>
              <w:t>1 322 900,19</w:t>
            </w:r>
          </w:p>
        </w:tc>
      </w:tr>
      <w:tr w:rsidR="00D64495" w:rsidRPr="005A01F2" w14:paraId="199EA659" w14:textId="77777777" w:rsidTr="00D64495">
        <w:trPr>
          <w:trHeight w:val="255"/>
        </w:trPr>
        <w:tc>
          <w:tcPr>
            <w:tcW w:w="4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9B44C38" w14:textId="77777777" w:rsidR="00D64495" w:rsidRPr="005A01F2" w:rsidRDefault="00D64495" w:rsidP="00D64495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5A01F2">
              <w:rPr>
                <w:rFonts w:cstheme="minorHAnsi"/>
                <w:sz w:val="16"/>
                <w:szCs w:val="16"/>
              </w:rPr>
              <w:t>MV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CE978" w14:textId="77777777" w:rsidR="00D64495" w:rsidRPr="005A01F2" w:rsidRDefault="00D64495" w:rsidP="00D64495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A01F2">
              <w:rPr>
                <w:rFonts w:cstheme="minorHAnsi"/>
                <w:sz w:val="16"/>
                <w:szCs w:val="16"/>
              </w:rPr>
              <w:t>Náklady celkem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5745D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A01F2">
              <w:rPr>
                <w:sz w:val="16"/>
                <w:szCs w:val="16"/>
              </w:rPr>
              <w:t>26 692 803 713,91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DF078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A01F2">
              <w:rPr>
                <w:sz w:val="16"/>
                <w:szCs w:val="16"/>
              </w:rPr>
              <w:t>28 549 730 169,36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F1FE2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A01F2">
              <w:rPr>
                <w:sz w:val="16"/>
                <w:szCs w:val="16"/>
              </w:rPr>
              <w:t>30 481 233 517,88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6F759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A01F2">
              <w:rPr>
                <w:sz w:val="16"/>
                <w:szCs w:val="16"/>
              </w:rPr>
              <w:t>37 415 245 847,07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BC76F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A01F2">
              <w:rPr>
                <w:sz w:val="16"/>
                <w:szCs w:val="16"/>
              </w:rPr>
              <w:t>34 893 859 186,99</w:t>
            </w:r>
          </w:p>
        </w:tc>
      </w:tr>
      <w:tr w:rsidR="00D64495" w:rsidRPr="005A01F2" w14:paraId="72287476" w14:textId="77777777" w:rsidTr="00D64495">
        <w:trPr>
          <w:trHeight w:val="255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06092" w14:textId="77777777" w:rsidR="00D64495" w:rsidRPr="005A01F2" w:rsidRDefault="00D64495" w:rsidP="00D64495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5C2BD" w14:textId="77777777" w:rsidR="00D64495" w:rsidRPr="005A01F2" w:rsidRDefault="00D64495" w:rsidP="00D64495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A01F2">
              <w:rPr>
                <w:rFonts w:cstheme="minorHAnsi"/>
                <w:sz w:val="16"/>
                <w:szCs w:val="16"/>
              </w:rPr>
              <w:t>Počet zaměstnanců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CB6AF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A01F2">
              <w:rPr>
                <w:sz w:val="16"/>
                <w:szCs w:val="16"/>
              </w:rPr>
              <w:t>9 959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9323E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A01F2">
              <w:rPr>
                <w:sz w:val="16"/>
                <w:szCs w:val="16"/>
              </w:rPr>
              <w:t>10 391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91FC2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A01F2">
              <w:rPr>
                <w:sz w:val="16"/>
                <w:szCs w:val="16"/>
              </w:rPr>
              <w:t>10 644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427E7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A01F2">
              <w:rPr>
                <w:sz w:val="16"/>
                <w:szCs w:val="16"/>
              </w:rPr>
              <w:t>10 729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B8349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A01F2">
              <w:rPr>
                <w:sz w:val="16"/>
                <w:szCs w:val="16"/>
              </w:rPr>
              <w:t>10 845</w:t>
            </w:r>
          </w:p>
        </w:tc>
      </w:tr>
      <w:tr w:rsidR="00D64495" w:rsidRPr="005A01F2" w14:paraId="0B7B9617" w14:textId="77777777" w:rsidTr="00D64495">
        <w:trPr>
          <w:trHeight w:val="255"/>
        </w:trPr>
        <w:tc>
          <w:tcPr>
            <w:tcW w:w="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D71E" w14:textId="77777777" w:rsidR="00D64495" w:rsidRPr="005A01F2" w:rsidRDefault="00D64495" w:rsidP="00D64495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0F31644E" w14:textId="78F31F5D" w:rsidR="00D64495" w:rsidRPr="005A01F2" w:rsidRDefault="00D64495" w:rsidP="00D64495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5A01F2">
              <w:rPr>
                <w:rFonts w:cstheme="minorHAnsi"/>
                <w:b/>
                <w:sz w:val="16"/>
                <w:szCs w:val="16"/>
              </w:rPr>
              <w:t xml:space="preserve">Náklady na </w:t>
            </w:r>
            <w:r w:rsidR="00180BF7">
              <w:rPr>
                <w:rFonts w:cstheme="minorHAnsi"/>
                <w:b/>
                <w:sz w:val="16"/>
                <w:szCs w:val="16"/>
              </w:rPr>
              <w:t>jednoho</w:t>
            </w:r>
            <w:r w:rsidRPr="005A01F2">
              <w:rPr>
                <w:rFonts w:cstheme="minorHAnsi"/>
                <w:b/>
                <w:sz w:val="16"/>
                <w:szCs w:val="16"/>
              </w:rPr>
              <w:t xml:space="preserve"> zaměstnance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74E1C5F8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A01F2">
              <w:rPr>
                <w:b/>
                <w:sz w:val="16"/>
                <w:szCs w:val="16"/>
              </w:rPr>
              <w:t>2 680 269,48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1474BFCB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A01F2">
              <w:rPr>
                <w:b/>
                <w:sz w:val="16"/>
                <w:szCs w:val="16"/>
              </w:rPr>
              <w:t>2 747 599,57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5DEE9C98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A01F2">
              <w:rPr>
                <w:b/>
                <w:sz w:val="16"/>
                <w:szCs w:val="16"/>
              </w:rPr>
              <w:t>2 863 779,03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25FA68DC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A01F2">
              <w:rPr>
                <w:b/>
                <w:sz w:val="16"/>
                <w:szCs w:val="16"/>
              </w:rPr>
              <w:t>3 487 410,90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12957A25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A01F2">
              <w:rPr>
                <w:b/>
                <w:sz w:val="16"/>
                <w:szCs w:val="16"/>
              </w:rPr>
              <w:t>3 217 503,64</w:t>
            </w:r>
          </w:p>
        </w:tc>
      </w:tr>
      <w:tr w:rsidR="00D64495" w:rsidRPr="005A01F2" w14:paraId="489A5E89" w14:textId="77777777" w:rsidTr="00D64495">
        <w:trPr>
          <w:trHeight w:val="255"/>
        </w:trPr>
        <w:tc>
          <w:tcPr>
            <w:tcW w:w="4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F39B01F" w14:textId="77777777" w:rsidR="00D64495" w:rsidRPr="005A01F2" w:rsidRDefault="00D64495" w:rsidP="00D64495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5A01F2">
              <w:rPr>
                <w:rFonts w:cstheme="minorHAnsi"/>
                <w:sz w:val="16"/>
                <w:szCs w:val="16"/>
              </w:rPr>
              <w:t>OSS bez MV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65ED8" w14:textId="77777777" w:rsidR="00D64495" w:rsidRPr="005A01F2" w:rsidRDefault="00D64495" w:rsidP="00D64495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A01F2">
              <w:rPr>
                <w:rFonts w:cstheme="minorHAnsi"/>
                <w:sz w:val="16"/>
                <w:szCs w:val="16"/>
              </w:rPr>
              <w:t>Náklady celkem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1462E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A01F2">
              <w:rPr>
                <w:sz w:val="16"/>
                <w:szCs w:val="16"/>
              </w:rPr>
              <w:t>39 956 078 900,00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E3805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A01F2">
              <w:rPr>
                <w:sz w:val="16"/>
                <w:szCs w:val="16"/>
              </w:rPr>
              <w:t>45 267 695 865,72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7D22F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A01F2">
              <w:rPr>
                <w:sz w:val="16"/>
                <w:szCs w:val="16"/>
              </w:rPr>
              <w:t>47 915 676 919,10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74204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A01F2">
              <w:rPr>
                <w:sz w:val="16"/>
                <w:szCs w:val="16"/>
              </w:rPr>
              <w:t>50 921 811 225,19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C97D9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A01F2">
              <w:rPr>
                <w:sz w:val="16"/>
                <w:szCs w:val="16"/>
              </w:rPr>
              <w:t>53 378 362 265,76</w:t>
            </w:r>
          </w:p>
        </w:tc>
      </w:tr>
      <w:tr w:rsidR="00D64495" w:rsidRPr="005A01F2" w14:paraId="36177B20" w14:textId="77777777" w:rsidTr="00D64495">
        <w:trPr>
          <w:trHeight w:val="255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98D9A" w14:textId="77777777" w:rsidR="00D64495" w:rsidRPr="005A01F2" w:rsidRDefault="00D64495" w:rsidP="00D64495">
            <w:pPr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A3300" w14:textId="77777777" w:rsidR="00D64495" w:rsidRPr="005A01F2" w:rsidRDefault="00D64495" w:rsidP="00D64495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A01F2">
              <w:rPr>
                <w:rFonts w:cstheme="minorHAnsi"/>
                <w:sz w:val="16"/>
                <w:szCs w:val="16"/>
              </w:rPr>
              <w:t>Počet zaměstnanců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3499D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A01F2">
              <w:rPr>
                <w:sz w:val="16"/>
                <w:szCs w:val="16"/>
              </w:rPr>
              <w:t>55 312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BD1DE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A01F2">
              <w:rPr>
                <w:sz w:val="16"/>
                <w:szCs w:val="16"/>
              </w:rPr>
              <w:t>55 370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F1693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A01F2">
              <w:rPr>
                <w:sz w:val="16"/>
                <w:szCs w:val="16"/>
              </w:rPr>
              <w:t>55 511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1F8F0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A01F2">
              <w:rPr>
                <w:sz w:val="16"/>
                <w:szCs w:val="16"/>
              </w:rPr>
              <w:t>55 351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812D7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A01F2">
              <w:rPr>
                <w:sz w:val="16"/>
                <w:szCs w:val="16"/>
              </w:rPr>
              <w:t>55 881</w:t>
            </w:r>
          </w:p>
        </w:tc>
      </w:tr>
      <w:tr w:rsidR="00D64495" w:rsidRPr="005A01F2" w14:paraId="34A8DC2C" w14:textId="77777777" w:rsidTr="00D64495">
        <w:trPr>
          <w:trHeight w:val="255"/>
        </w:trPr>
        <w:tc>
          <w:tcPr>
            <w:tcW w:w="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B5D3B" w14:textId="77777777" w:rsidR="00D64495" w:rsidRPr="005A01F2" w:rsidRDefault="00D64495" w:rsidP="00D64495">
            <w:pPr>
              <w:spacing w:after="0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23947BC6" w14:textId="22073D08" w:rsidR="00D64495" w:rsidRPr="005A01F2" w:rsidRDefault="00D64495" w:rsidP="00D64495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5A01F2">
              <w:rPr>
                <w:rFonts w:cstheme="minorHAnsi"/>
                <w:b/>
                <w:sz w:val="16"/>
                <w:szCs w:val="16"/>
              </w:rPr>
              <w:t xml:space="preserve">Náklady na </w:t>
            </w:r>
            <w:r w:rsidR="00180BF7">
              <w:rPr>
                <w:rFonts w:cstheme="minorHAnsi"/>
                <w:b/>
                <w:sz w:val="16"/>
                <w:szCs w:val="16"/>
              </w:rPr>
              <w:t>jednoho</w:t>
            </w:r>
            <w:r w:rsidRPr="005A01F2">
              <w:rPr>
                <w:rFonts w:cstheme="minorHAnsi"/>
                <w:b/>
                <w:sz w:val="16"/>
                <w:szCs w:val="16"/>
              </w:rPr>
              <w:t xml:space="preserve"> zaměstnance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125D1E85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A01F2">
              <w:rPr>
                <w:b/>
                <w:sz w:val="16"/>
                <w:szCs w:val="16"/>
              </w:rPr>
              <w:t>722 376,32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196881A7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A01F2">
              <w:rPr>
                <w:b/>
                <w:sz w:val="16"/>
                <w:szCs w:val="16"/>
              </w:rPr>
              <w:t>817 545,60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59429305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A01F2">
              <w:rPr>
                <w:b/>
                <w:sz w:val="16"/>
                <w:szCs w:val="16"/>
              </w:rPr>
              <w:t>863 166,99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6A0F1F39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A01F2">
              <w:rPr>
                <w:b/>
                <w:sz w:val="16"/>
                <w:szCs w:val="16"/>
              </w:rPr>
              <w:t>919 985,45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612DC9F0" w14:textId="77777777" w:rsidR="00D64495" w:rsidRPr="005A01F2" w:rsidRDefault="00D64495" w:rsidP="00D64495">
            <w:pPr>
              <w:spacing w:after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A01F2">
              <w:rPr>
                <w:b/>
                <w:sz w:val="16"/>
                <w:szCs w:val="16"/>
              </w:rPr>
              <w:t>955 210,09</w:t>
            </w:r>
          </w:p>
        </w:tc>
      </w:tr>
    </w:tbl>
    <w:p w14:paraId="4D13519C" w14:textId="0ABD1455" w:rsidR="00D64495" w:rsidRPr="00D64495" w:rsidRDefault="00D64495" w:rsidP="00D64495">
      <w:pPr>
        <w:pStyle w:val="Zdroj"/>
        <w:spacing w:before="40" w:after="120"/>
        <w:rPr>
          <w:rFonts w:asciiTheme="minorHAnsi" w:hAnsiTheme="minorHAnsi"/>
          <w:i w:val="0"/>
        </w:rPr>
      </w:pPr>
      <w:bookmarkStart w:id="130" w:name="_Toc520715175"/>
      <w:r w:rsidRPr="007F70AA">
        <w:rPr>
          <w:rFonts w:asciiTheme="minorHAnsi" w:hAnsiTheme="minorHAnsi"/>
          <w:b/>
          <w:bCs/>
          <w:i w:val="0"/>
        </w:rPr>
        <w:t>Zdroj:</w:t>
      </w:r>
      <w:r w:rsidRPr="00D64495">
        <w:rPr>
          <w:rFonts w:asciiTheme="minorHAnsi" w:hAnsiTheme="minorHAnsi"/>
          <w:i w:val="0"/>
        </w:rPr>
        <w:t xml:space="preserve"> informační portál MONITOR, IISSP – finanční výkaz ZAM 1-04 U</w:t>
      </w:r>
      <w:r w:rsidR="00180BF7">
        <w:rPr>
          <w:rFonts w:asciiTheme="minorHAnsi" w:hAnsiTheme="minorHAnsi"/>
          <w:i w:val="0"/>
        </w:rPr>
        <w:t>;</w:t>
      </w:r>
      <w:r w:rsidRPr="00D64495">
        <w:rPr>
          <w:rFonts w:asciiTheme="minorHAnsi" w:hAnsiTheme="minorHAnsi"/>
          <w:i w:val="0"/>
        </w:rPr>
        <w:t xml:space="preserve"> výpočet NKÚ.</w:t>
      </w:r>
    </w:p>
    <w:bookmarkEnd w:id="130"/>
    <w:p w14:paraId="792EAE67" w14:textId="02D4A722" w:rsidR="00D64495" w:rsidRPr="00D64495" w:rsidRDefault="00D64495" w:rsidP="00D64495">
      <w:pPr>
        <w:ind w:right="-2"/>
        <w:jc w:val="both"/>
        <w:rPr>
          <w:rFonts w:asciiTheme="minorHAnsi" w:hAnsiTheme="minorHAnsi" w:cstheme="minorHAnsi"/>
        </w:rPr>
      </w:pPr>
      <w:r w:rsidRPr="00D64495">
        <w:rPr>
          <w:rFonts w:asciiTheme="minorHAnsi" w:hAnsiTheme="minorHAnsi" w:cstheme="minorHAnsi"/>
        </w:rPr>
        <w:t xml:space="preserve">Celkové náklady na 1 zaměstnance kapitoly 314 mezi lety 2017–2021 </w:t>
      </w:r>
      <w:r w:rsidR="00680E41">
        <w:rPr>
          <w:rFonts w:asciiTheme="minorHAnsi" w:hAnsiTheme="minorHAnsi" w:cstheme="minorHAnsi"/>
        </w:rPr>
        <w:t>vz</w:t>
      </w:r>
      <w:r w:rsidRPr="00D64495">
        <w:rPr>
          <w:rFonts w:asciiTheme="minorHAnsi" w:hAnsiTheme="minorHAnsi" w:cstheme="minorHAnsi"/>
        </w:rPr>
        <w:t xml:space="preserve">rostly z 1,02 mil. Kč </w:t>
      </w:r>
      <w:r w:rsidR="00AF1BA7">
        <w:rPr>
          <w:rFonts w:asciiTheme="minorHAnsi" w:hAnsiTheme="minorHAnsi" w:cstheme="minorHAnsi"/>
        </w:rPr>
        <w:br/>
      </w:r>
      <w:r w:rsidRPr="00D64495">
        <w:rPr>
          <w:rFonts w:asciiTheme="minorHAnsi" w:hAnsiTheme="minorHAnsi" w:cstheme="minorHAnsi"/>
        </w:rPr>
        <w:t>až na 1,32 mil. Kč, přičemž v celém sledovaném období vykaz</w:t>
      </w:r>
      <w:r w:rsidR="00574536">
        <w:rPr>
          <w:rFonts w:asciiTheme="minorHAnsi" w:hAnsiTheme="minorHAnsi" w:cstheme="minorHAnsi"/>
        </w:rPr>
        <w:t>ovaly</w:t>
      </w:r>
      <w:r w:rsidRPr="00D64495">
        <w:rPr>
          <w:rFonts w:asciiTheme="minorHAnsi" w:hAnsiTheme="minorHAnsi" w:cstheme="minorHAnsi"/>
        </w:rPr>
        <w:t xml:space="preserve"> rostoucí tendenci.</w:t>
      </w:r>
    </w:p>
    <w:p w14:paraId="0EE5925E" w14:textId="77777777" w:rsidR="00D64495" w:rsidRPr="00A82612" w:rsidRDefault="00D64495" w:rsidP="00124170">
      <w:pPr>
        <w:pStyle w:val="Titulek"/>
        <w:tabs>
          <w:tab w:val="right" w:pos="9072"/>
        </w:tabs>
        <w:ind w:left="1418" w:right="-2" w:hanging="1418"/>
        <w:jc w:val="both"/>
        <w:rPr>
          <w:rFonts w:cstheme="minorHAnsi"/>
          <w:szCs w:val="24"/>
        </w:rPr>
      </w:pPr>
      <w:bookmarkStart w:id="131" w:name="_Toc8984860"/>
      <w:bookmarkStart w:id="132" w:name="_Toc520714653"/>
      <w:bookmarkStart w:id="133" w:name="_Toc69401711"/>
      <w:bookmarkStart w:id="134" w:name="_Toc101336478"/>
      <w:r w:rsidRPr="00A82612">
        <w:rPr>
          <w:rFonts w:cstheme="minorHAnsi"/>
          <w:szCs w:val="24"/>
        </w:rPr>
        <w:lastRenderedPageBreak/>
        <w:t xml:space="preserve">Tabulka č. 28: </w:t>
      </w:r>
      <w:r w:rsidR="00680E41">
        <w:rPr>
          <w:rFonts w:cstheme="minorHAnsi"/>
          <w:szCs w:val="24"/>
        </w:rPr>
        <w:tab/>
      </w:r>
      <w:r w:rsidRPr="00A82612">
        <w:rPr>
          <w:rFonts w:cstheme="minorHAnsi"/>
          <w:szCs w:val="24"/>
        </w:rPr>
        <w:t>Náklady z činnosti (položka A.I. výkazu zisku a ztráty) vykázané MV a OSS</w:t>
      </w:r>
      <w:bookmarkEnd w:id="131"/>
      <w:r w:rsidR="00574536">
        <w:rPr>
          <w:rFonts w:cstheme="minorHAnsi"/>
          <w:szCs w:val="24"/>
        </w:rPr>
        <w:t xml:space="preserve"> (bez MV)</w:t>
      </w:r>
      <w:r w:rsidRPr="00A82612">
        <w:rPr>
          <w:rFonts w:cstheme="minorHAnsi"/>
          <w:szCs w:val="24"/>
        </w:rPr>
        <w:t xml:space="preserve"> v rozpočtové kapitole 314</w:t>
      </w:r>
      <w:r w:rsidR="003B2AF1">
        <w:rPr>
          <w:rFonts w:cstheme="minorHAnsi"/>
          <w:szCs w:val="24"/>
        </w:rPr>
        <w:t xml:space="preserve"> </w:t>
      </w:r>
      <w:r w:rsidR="00680E41">
        <w:rPr>
          <w:rFonts w:cstheme="minorHAnsi"/>
          <w:szCs w:val="24"/>
        </w:rPr>
        <w:tab/>
      </w:r>
      <w:r w:rsidR="003B2AF1">
        <w:rPr>
          <w:rFonts w:cstheme="minorHAnsi"/>
          <w:szCs w:val="24"/>
        </w:rPr>
        <w:t>(</w:t>
      </w:r>
      <w:r w:rsidRPr="00A82612">
        <w:rPr>
          <w:rFonts w:cstheme="minorHAnsi"/>
          <w:szCs w:val="24"/>
        </w:rPr>
        <w:t>v Kč)</w:t>
      </w:r>
      <w:bookmarkEnd w:id="132"/>
      <w:bookmarkEnd w:id="133"/>
      <w:bookmarkEnd w:id="134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5"/>
        <w:gridCol w:w="1493"/>
        <w:gridCol w:w="1493"/>
        <w:gridCol w:w="1493"/>
        <w:gridCol w:w="1530"/>
        <w:gridCol w:w="1686"/>
      </w:tblGrid>
      <w:tr w:rsidR="00D64495" w:rsidRPr="005B5B16" w14:paraId="52D29B64" w14:textId="77777777" w:rsidTr="00862171">
        <w:trPr>
          <w:trHeight w:val="255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82CD7D3" w14:textId="77777777" w:rsidR="00D64495" w:rsidRPr="005B5B16" w:rsidRDefault="00D64495" w:rsidP="00862171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Organizace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B606B8F" w14:textId="77777777" w:rsidR="00D64495" w:rsidRPr="005B5B16" w:rsidRDefault="00D64495" w:rsidP="00862171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2017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D0AFF61" w14:textId="77777777" w:rsidR="00D64495" w:rsidRPr="005B5B16" w:rsidRDefault="00D64495" w:rsidP="00862171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2018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9F3E914" w14:textId="77777777" w:rsidR="00D64495" w:rsidRPr="005B5B16" w:rsidRDefault="00D64495" w:rsidP="00862171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2019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1D4190FD" w14:textId="77777777" w:rsidR="00D64495" w:rsidRPr="005B5B16" w:rsidRDefault="00D64495" w:rsidP="00862171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2020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776402F6" w14:textId="77777777" w:rsidR="00D64495" w:rsidRPr="005B5B16" w:rsidRDefault="00D64495" w:rsidP="00862171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2021</w:t>
            </w:r>
          </w:p>
        </w:tc>
      </w:tr>
      <w:tr w:rsidR="00D64495" w:rsidRPr="005B5B16" w14:paraId="44874C82" w14:textId="77777777" w:rsidTr="00862171">
        <w:trPr>
          <w:trHeight w:val="255"/>
        </w:trPr>
        <w:tc>
          <w:tcPr>
            <w:tcW w:w="7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02743" w14:textId="77777777" w:rsidR="00D64495" w:rsidRPr="005B5B16" w:rsidRDefault="00D64495" w:rsidP="00862171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MV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F30AC" w14:textId="77777777" w:rsidR="00D64495" w:rsidRPr="005B5B16" w:rsidRDefault="00D64495" w:rsidP="00862171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15 461 166 900,98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B0FB9" w14:textId="77777777" w:rsidR="00D64495" w:rsidRPr="005B5B16" w:rsidRDefault="00D64495" w:rsidP="00862171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16 914 483 844,42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712DC" w14:textId="77777777" w:rsidR="00D64495" w:rsidRPr="005B5B16" w:rsidRDefault="00D64495" w:rsidP="00862171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18 062 994 639,27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B55EB" w14:textId="77777777" w:rsidR="00D64495" w:rsidRPr="005B5B16" w:rsidRDefault="00D64495" w:rsidP="00862171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23 506 496 253,69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BE39A" w14:textId="77777777" w:rsidR="00D64495" w:rsidRPr="005B5B16" w:rsidRDefault="00D64495" w:rsidP="00862171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20 448 287 670,99</w:t>
            </w:r>
          </w:p>
        </w:tc>
      </w:tr>
      <w:tr w:rsidR="00D64495" w:rsidRPr="005B5B16" w14:paraId="56D45D8D" w14:textId="77777777" w:rsidTr="00862171">
        <w:trPr>
          <w:trHeight w:val="255"/>
        </w:trPr>
        <w:tc>
          <w:tcPr>
            <w:tcW w:w="7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EEE99" w14:textId="77777777" w:rsidR="00D64495" w:rsidRPr="005B5B16" w:rsidRDefault="00D64495" w:rsidP="00862171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OSS bez MV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40F1E" w14:textId="77777777" w:rsidR="00D64495" w:rsidRPr="005B5B16" w:rsidRDefault="00D64495" w:rsidP="00862171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39 562 358 708,22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4B9D4" w14:textId="77777777" w:rsidR="00D64495" w:rsidRPr="005B5B16" w:rsidRDefault="00D64495" w:rsidP="00862171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44 705 960 220,76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9E23D" w14:textId="77777777" w:rsidR="00D64495" w:rsidRPr="005B5B16" w:rsidRDefault="00D64495" w:rsidP="00862171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47 107 166 234,12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93167" w14:textId="77777777" w:rsidR="00D64495" w:rsidRPr="005B5B16" w:rsidRDefault="00D64495" w:rsidP="00862171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50 033 865 310,60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8FDFC" w14:textId="77777777" w:rsidR="00D64495" w:rsidRPr="005B5B16" w:rsidRDefault="00D64495" w:rsidP="00862171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52 104 283 818,17</w:t>
            </w:r>
          </w:p>
        </w:tc>
      </w:tr>
    </w:tbl>
    <w:p w14:paraId="2C15BC1F" w14:textId="77777777" w:rsidR="00D64495" w:rsidRPr="00862171" w:rsidRDefault="00D64495" w:rsidP="00D64495">
      <w:pPr>
        <w:pStyle w:val="Zdroj"/>
        <w:spacing w:before="40" w:after="120"/>
        <w:rPr>
          <w:rFonts w:asciiTheme="minorHAnsi" w:hAnsiTheme="minorHAnsi"/>
          <w:i w:val="0"/>
        </w:rPr>
      </w:pPr>
      <w:bookmarkStart w:id="135" w:name="_Toc520715177"/>
      <w:r w:rsidRPr="00862171">
        <w:rPr>
          <w:rFonts w:asciiTheme="minorHAnsi" w:hAnsiTheme="minorHAnsi"/>
          <w:b/>
          <w:i w:val="0"/>
        </w:rPr>
        <w:t xml:space="preserve">Zdroj: </w:t>
      </w:r>
      <w:r w:rsidRPr="00862171">
        <w:rPr>
          <w:rFonts w:asciiTheme="minorHAnsi" w:hAnsiTheme="minorHAnsi"/>
          <w:i w:val="0"/>
        </w:rPr>
        <w:t>informační portál MONITOR.</w:t>
      </w:r>
    </w:p>
    <w:bookmarkEnd w:id="135"/>
    <w:p w14:paraId="58DEB931" w14:textId="77777777" w:rsidR="00D64495" w:rsidRPr="00862171" w:rsidRDefault="00D64495" w:rsidP="00D64495">
      <w:pPr>
        <w:pStyle w:val="Zdroj"/>
        <w:spacing w:after="120"/>
        <w:rPr>
          <w:rFonts w:asciiTheme="minorHAnsi" w:hAnsiTheme="minorHAnsi"/>
          <w:bCs/>
          <w:i w:val="0"/>
          <w:sz w:val="24"/>
        </w:rPr>
      </w:pPr>
      <w:r w:rsidRPr="00862171">
        <w:rPr>
          <w:rFonts w:asciiTheme="minorHAnsi" w:hAnsiTheme="minorHAnsi"/>
          <w:bCs/>
          <w:i w:val="0"/>
          <w:sz w:val="24"/>
        </w:rPr>
        <w:t>Náklady z činnosti vykázané u OSS bez MV tvořily zejména tyto syntetické účty:</w:t>
      </w:r>
    </w:p>
    <w:p w14:paraId="73737506" w14:textId="77777777" w:rsidR="00D64495" w:rsidRPr="00862171" w:rsidRDefault="00D64495" w:rsidP="00862171">
      <w:pPr>
        <w:spacing w:after="40"/>
        <w:rPr>
          <w:rFonts w:asciiTheme="minorHAnsi" w:hAnsiTheme="minorHAnsi" w:cstheme="minorHAnsi"/>
          <w:iCs/>
        </w:rPr>
      </w:pPr>
      <w:r w:rsidRPr="00862171">
        <w:rPr>
          <w:rFonts w:asciiTheme="minorHAnsi" w:hAnsiTheme="minorHAnsi" w:cstheme="minorHAnsi"/>
          <w:iCs/>
        </w:rPr>
        <w:t xml:space="preserve">- 521 </w:t>
      </w:r>
      <w:r w:rsidR="00D73A36">
        <w:rPr>
          <w:rFonts w:asciiTheme="minorHAnsi" w:hAnsiTheme="minorHAnsi" w:cstheme="minorHAnsi"/>
          <w:iCs/>
        </w:rPr>
        <w:t>–</w:t>
      </w:r>
      <w:r w:rsidRPr="00862171">
        <w:rPr>
          <w:rFonts w:asciiTheme="minorHAnsi" w:hAnsiTheme="minorHAnsi" w:cstheme="minorHAnsi"/>
          <w:iCs/>
        </w:rPr>
        <w:t xml:space="preserve"> </w:t>
      </w:r>
      <w:r w:rsidRPr="00862171">
        <w:rPr>
          <w:rFonts w:asciiTheme="minorHAnsi" w:hAnsiTheme="minorHAnsi" w:cstheme="minorHAnsi"/>
          <w:i/>
        </w:rPr>
        <w:t>Mzdové náklady</w:t>
      </w:r>
      <w:r w:rsidRPr="00862171">
        <w:rPr>
          <w:rFonts w:asciiTheme="minorHAnsi" w:hAnsiTheme="minorHAnsi" w:cstheme="minorHAnsi"/>
          <w:iCs/>
        </w:rPr>
        <w:t xml:space="preserve"> (60,34 %),</w:t>
      </w:r>
    </w:p>
    <w:p w14:paraId="2F5D5A6C" w14:textId="77777777" w:rsidR="00D64495" w:rsidRPr="00862171" w:rsidRDefault="00D64495" w:rsidP="00862171">
      <w:pPr>
        <w:spacing w:after="40"/>
        <w:rPr>
          <w:rFonts w:asciiTheme="minorHAnsi" w:hAnsiTheme="minorHAnsi" w:cstheme="minorHAnsi"/>
          <w:iCs/>
        </w:rPr>
      </w:pPr>
      <w:r w:rsidRPr="00862171">
        <w:rPr>
          <w:rFonts w:asciiTheme="minorHAnsi" w:hAnsiTheme="minorHAnsi" w:cstheme="minorHAnsi"/>
          <w:iCs/>
        </w:rPr>
        <w:t xml:space="preserve">- 524 </w:t>
      </w:r>
      <w:r w:rsidR="00D73A36">
        <w:rPr>
          <w:rFonts w:asciiTheme="minorHAnsi" w:hAnsiTheme="minorHAnsi" w:cstheme="minorHAnsi"/>
          <w:iCs/>
        </w:rPr>
        <w:t>–</w:t>
      </w:r>
      <w:r w:rsidRPr="00862171">
        <w:rPr>
          <w:rFonts w:asciiTheme="minorHAnsi" w:hAnsiTheme="minorHAnsi" w:cstheme="minorHAnsi"/>
          <w:iCs/>
        </w:rPr>
        <w:t xml:space="preserve"> </w:t>
      </w:r>
      <w:r w:rsidRPr="00862171">
        <w:rPr>
          <w:rFonts w:asciiTheme="minorHAnsi" w:hAnsiTheme="minorHAnsi" w:cstheme="minorHAnsi"/>
          <w:i/>
        </w:rPr>
        <w:t>Zákonné sociální pojištění</w:t>
      </w:r>
      <w:r w:rsidRPr="00862171">
        <w:rPr>
          <w:rFonts w:asciiTheme="minorHAnsi" w:hAnsiTheme="minorHAnsi" w:cstheme="minorHAnsi"/>
          <w:iCs/>
        </w:rPr>
        <w:t xml:space="preserve"> (19,86 %),</w:t>
      </w:r>
    </w:p>
    <w:p w14:paraId="2B62A2CC" w14:textId="77777777" w:rsidR="00D64495" w:rsidRPr="00862171" w:rsidRDefault="00D64495" w:rsidP="00862171">
      <w:pPr>
        <w:spacing w:after="40"/>
        <w:rPr>
          <w:rFonts w:asciiTheme="minorHAnsi" w:hAnsiTheme="minorHAnsi" w:cstheme="minorHAnsi"/>
          <w:iCs/>
        </w:rPr>
      </w:pPr>
      <w:r w:rsidRPr="00862171">
        <w:rPr>
          <w:rFonts w:asciiTheme="minorHAnsi" w:hAnsiTheme="minorHAnsi" w:cstheme="minorHAnsi"/>
          <w:iCs/>
        </w:rPr>
        <w:t xml:space="preserve">- 551 </w:t>
      </w:r>
      <w:r w:rsidR="00D73A36">
        <w:rPr>
          <w:rFonts w:asciiTheme="minorHAnsi" w:hAnsiTheme="minorHAnsi" w:cstheme="minorHAnsi"/>
          <w:iCs/>
        </w:rPr>
        <w:t>–</w:t>
      </w:r>
      <w:r w:rsidRPr="00862171">
        <w:rPr>
          <w:rFonts w:asciiTheme="minorHAnsi" w:hAnsiTheme="minorHAnsi" w:cstheme="minorHAnsi"/>
          <w:iCs/>
        </w:rPr>
        <w:t xml:space="preserve"> </w:t>
      </w:r>
      <w:r w:rsidRPr="00862171">
        <w:rPr>
          <w:rFonts w:asciiTheme="minorHAnsi" w:hAnsiTheme="minorHAnsi" w:cstheme="minorHAnsi"/>
          <w:i/>
        </w:rPr>
        <w:t>Odpisy dlouhodobého majetku</w:t>
      </w:r>
      <w:r w:rsidRPr="00862171">
        <w:rPr>
          <w:rFonts w:asciiTheme="minorHAnsi" w:hAnsiTheme="minorHAnsi" w:cstheme="minorHAnsi"/>
          <w:iCs/>
        </w:rPr>
        <w:t xml:space="preserve"> (4,43 %),</w:t>
      </w:r>
    </w:p>
    <w:p w14:paraId="020C437B" w14:textId="77777777" w:rsidR="00D64495" w:rsidRPr="00862171" w:rsidRDefault="00D64495" w:rsidP="00862171">
      <w:pPr>
        <w:spacing w:after="40"/>
        <w:rPr>
          <w:rFonts w:asciiTheme="minorHAnsi" w:hAnsiTheme="minorHAnsi" w:cstheme="minorHAnsi"/>
          <w:iCs/>
        </w:rPr>
      </w:pPr>
      <w:r w:rsidRPr="00862171">
        <w:rPr>
          <w:rFonts w:asciiTheme="minorHAnsi" w:hAnsiTheme="minorHAnsi" w:cstheme="minorHAnsi"/>
          <w:iCs/>
        </w:rPr>
        <w:t xml:space="preserve">- 518 </w:t>
      </w:r>
      <w:r w:rsidR="00D73A36">
        <w:rPr>
          <w:rFonts w:asciiTheme="minorHAnsi" w:hAnsiTheme="minorHAnsi" w:cstheme="minorHAnsi"/>
          <w:iCs/>
        </w:rPr>
        <w:t>–</w:t>
      </w:r>
      <w:r w:rsidRPr="00862171">
        <w:rPr>
          <w:rFonts w:asciiTheme="minorHAnsi" w:hAnsiTheme="minorHAnsi" w:cstheme="minorHAnsi"/>
          <w:iCs/>
        </w:rPr>
        <w:t xml:space="preserve"> </w:t>
      </w:r>
      <w:r w:rsidRPr="00862171">
        <w:rPr>
          <w:rFonts w:asciiTheme="minorHAnsi" w:hAnsiTheme="minorHAnsi" w:cstheme="minorHAnsi"/>
          <w:i/>
        </w:rPr>
        <w:t>Ostatní služby</w:t>
      </w:r>
      <w:r w:rsidRPr="00862171">
        <w:rPr>
          <w:rFonts w:asciiTheme="minorHAnsi" w:hAnsiTheme="minorHAnsi" w:cstheme="minorHAnsi"/>
          <w:iCs/>
        </w:rPr>
        <w:t xml:space="preserve"> (3,65 %),</w:t>
      </w:r>
    </w:p>
    <w:p w14:paraId="2B857138" w14:textId="77777777" w:rsidR="00D64495" w:rsidRPr="00862171" w:rsidRDefault="00D64495" w:rsidP="00862171">
      <w:pPr>
        <w:spacing w:after="40"/>
        <w:rPr>
          <w:rFonts w:asciiTheme="minorHAnsi" w:hAnsiTheme="minorHAnsi" w:cstheme="minorHAnsi"/>
          <w:iCs/>
        </w:rPr>
      </w:pPr>
      <w:r w:rsidRPr="00862171">
        <w:rPr>
          <w:rFonts w:asciiTheme="minorHAnsi" w:hAnsiTheme="minorHAnsi" w:cstheme="minorHAnsi"/>
          <w:iCs/>
        </w:rPr>
        <w:t xml:space="preserve">- 501 </w:t>
      </w:r>
      <w:r w:rsidR="00D73A36">
        <w:rPr>
          <w:rFonts w:asciiTheme="minorHAnsi" w:hAnsiTheme="minorHAnsi" w:cstheme="minorHAnsi"/>
          <w:iCs/>
        </w:rPr>
        <w:t>–</w:t>
      </w:r>
      <w:r w:rsidRPr="00862171">
        <w:rPr>
          <w:rFonts w:asciiTheme="minorHAnsi" w:hAnsiTheme="minorHAnsi" w:cstheme="minorHAnsi"/>
          <w:iCs/>
        </w:rPr>
        <w:t xml:space="preserve"> </w:t>
      </w:r>
      <w:r w:rsidRPr="00862171">
        <w:rPr>
          <w:rFonts w:asciiTheme="minorHAnsi" w:hAnsiTheme="minorHAnsi" w:cstheme="minorHAnsi"/>
          <w:i/>
        </w:rPr>
        <w:t>Spotřeba materiálu</w:t>
      </w:r>
      <w:r w:rsidRPr="00862171">
        <w:rPr>
          <w:rFonts w:asciiTheme="minorHAnsi" w:hAnsiTheme="minorHAnsi" w:cstheme="minorHAnsi"/>
          <w:iCs/>
        </w:rPr>
        <w:t xml:space="preserve"> (3,30 %),</w:t>
      </w:r>
    </w:p>
    <w:p w14:paraId="39553947" w14:textId="77777777" w:rsidR="00D64495" w:rsidRPr="00862171" w:rsidRDefault="00D64495" w:rsidP="00862171">
      <w:pPr>
        <w:spacing w:after="40"/>
        <w:rPr>
          <w:rFonts w:asciiTheme="minorHAnsi" w:hAnsiTheme="minorHAnsi" w:cstheme="minorHAnsi"/>
          <w:iCs/>
        </w:rPr>
      </w:pPr>
      <w:r w:rsidRPr="00862171">
        <w:rPr>
          <w:rFonts w:asciiTheme="minorHAnsi" w:hAnsiTheme="minorHAnsi" w:cstheme="minorHAnsi"/>
          <w:iCs/>
        </w:rPr>
        <w:t xml:space="preserve">- 527 </w:t>
      </w:r>
      <w:r w:rsidR="00D73A36">
        <w:rPr>
          <w:rFonts w:asciiTheme="minorHAnsi" w:hAnsiTheme="minorHAnsi" w:cstheme="minorHAnsi"/>
          <w:iCs/>
        </w:rPr>
        <w:t>–</w:t>
      </w:r>
      <w:r w:rsidRPr="00862171">
        <w:rPr>
          <w:rFonts w:asciiTheme="minorHAnsi" w:hAnsiTheme="minorHAnsi" w:cstheme="minorHAnsi"/>
          <w:iCs/>
        </w:rPr>
        <w:t xml:space="preserve"> </w:t>
      </w:r>
      <w:r w:rsidRPr="00862171">
        <w:rPr>
          <w:rFonts w:asciiTheme="minorHAnsi" w:hAnsiTheme="minorHAnsi" w:cstheme="minorHAnsi"/>
          <w:i/>
        </w:rPr>
        <w:t>Zákonné sociální náklady</w:t>
      </w:r>
      <w:r w:rsidRPr="00862171">
        <w:rPr>
          <w:rFonts w:asciiTheme="minorHAnsi" w:hAnsiTheme="minorHAnsi" w:cstheme="minorHAnsi"/>
          <w:iCs/>
        </w:rPr>
        <w:t xml:space="preserve"> (2,18 %),</w:t>
      </w:r>
    </w:p>
    <w:p w14:paraId="158331A9" w14:textId="77777777" w:rsidR="00D64495" w:rsidRPr="00862171" w:rsidRDefault="00D64495" w:rsidP="00862171">
      <w:pPr>
        <w:spacing w:after="40"/>
        <w:rPr>
          <w:rFonts w:asciiTheme="minorHAnsi" w:hAnsiTheme="minorHAnsi" w:cstheme="minorHAnsi"/>
          <w:iCs/>
        </w:rPr>
      </w:pPr>
      <w:r w:rsidRPr="00862171">
        <w:rPr>
          <w:rFonts w:asciiTheme="minorHAnsi" w:hAnsiTheme="minorHAnsi" w:cstheme="minorHAnsi"/>
          <w:iCs/>
        </w:rPr>
        <w:t xml:space="preserve">- 511 </w:t>
      </w:r>
      <w:r w:rsidR="00D73A36">
        <w:rPr>
          <w:rFonts w:asciiTheme="minorHAnsi" w:hAnsiTheme="minorHAnsi" w:cstheme="minorHAnsi"/>
          <w:iCs/>
        </w:rPr>
        <w:t>–</w:t>
      </w:r>
      <w:r w:rsidRPr="00862171">
        <w:rPr>
          <w:rFonts w:asciiTheme="minorHAnsi" w:hAnsiTheme="minorHAnsi" w:cstheme="minorHAnsi"/>
          <w:iCs/>
        </w:rPr>
        <w:t xml:space="preserve"> </w:t>
      </w:r>
      <w:r w:rsidRPr="00862171">
        <w:rPr>
          <w:rFonts w:asciiTheme="minorHAnsi" w:hAnsiTheme="minorHAnsi" w:cstheme="minorHAnsi"/>
          <w:i/>
        </w:rPr>
        <w:t>Opravy a udržování</w:t>
      </w:r>
      <w:r w:rsidRPr="00862171">
        <w:rPr>
          <w:rFonts w:asciiTheme="minorHAnsi" w:hAnsiTheme="minorHAnsi" w:cstheme="minorHAnsi"/>
          <w:iCs/>
        </w:rPr>
        <w:t xml:space="preserve"> (1,75 %),</w:t>
      </w:r>
    </w:p>
    <w:p w14:paraId="6514E434" w14:textId="77777777" w:rsidR="00D64495" w:rsidRPr="00862171" w:rsidRDefault="00D64495" w:rsidP="00862171">
      <w:pPr>
        <w:spacing w:after="40"/>
        <w:rPr>
          <w:rFonts w:asciiTheme="minorHAnsi" w:hAnsiTheme="minorHAnsi" w:cstheme="minorHAnsi"/>
          <w:iCs/>
        </w:rPr>
      </w:pPr>
      <w:r w:rsidRPr="00862171">
        <w:rPr>
          <w:rFonts w:asciiTheme="minorHAnsi" w:hAnsiTheme="minorHAnsi" w:cstheme="minorHAnsi"/>
          <w:iCs/>
        </w:rPr>
        <w:t xml:space="preserve">- 558 </w:t>
      </w:r>
      <w:r w:rsidR="00D73A36">
        <w:rPr>
          <w:rFonts w:asciiTheme="minorHAnsi" w:hAnsiTheme="minorHAnsi" w:cstheme="minorHAnsi"/>
          <w:iCs/>
        </w:rPr>
        <w:t>–</w:t>
      </w:r>
      <w:r w:rsidRPr="00862171">
        <w:rPr>
          <w:rFonts w:asciiTheme="minorHAnsi" w:hAnsiTheme="minorHAnsi" w:cstheme="minorHAnsi"/>
          <w:iCs/>
        </w:rPr>
        <w:t xml:space="preserve"> </w:t>
      </w:r>
      <w:r w:rsidRPr="00862171">
        <w:rPr>
          <w:rFonts w:asciiTheme="minorHAnsi" w:hAnsiTheme="minorHAnsi" w:cstheme="minorHAnsi"/>
          <w:i/>
        </w:rPr>
        <w:t>Náklady z drobného dlouhodobého majetku</w:t>
      </w:r>
      <w:r w:rsidRPr="00862171">
        <w:rPr>
          <w:rFonts w:asciiTheme="minorHAnsi" w:hAnsiTheme="minorHAnsi" w:cstheme="minorHAnsi"/>
          <w:iCs/>
        </w:rPr>
        <w:t xml:space="preserve"> (1,55 %),</w:t>
      </w:r>
    </w:p>
    <w:p w14:paraId="6D83877D" w14:textId="37A92F80" w:rsidR="00D64495" w:rsidRDefault="00D64495" w:rsidP="00D64495">
      <w:pPr>
        <w:spacing w:after="40"/>
        <w:rPr>
          <w:rFonts w:asciiTheme="minorHAnsi" w:hAnsiTheme="minorHAnsi" w:cstheme="minorHAnsi"/>
          <w:iCs/>
        </w:rPr>
      </w:pPr>
      <w:r w:rsidRPr="00862171">
        <w:rPr>
          <w:rFonts w:asciiTheme="minorHAnsi" w:hAnsiTheme="minorHAnsi" w:cstheme="minorHAnsi"/>
          <w:iCs/>
        </w:rPr>
        <w:t xml:space="preserve">- 502 </w:t>
      </w:r>
      <w:r w:rsidR="00680E41">
        <w:rPr>
          <w:rFonts w:asciiTheme="minorHAnsi" w:hAnsiTheme="minorHAnsi" w:cstheme="minorHAnsi"/>
          <w:iCs/>
        </w:rPr>
        <w:t>–</w:t>
      </w:r>
      <w:r w:rsidRPr="00862171">
        <w:rPr>
          <w:rFonts w:asciiTheme="minorHAnsi" w:hAnsiTheme="minorHAnsi" w:cstheme="minorHAnsi"/>
          <w:iCs/>
        </w:rPr>
        <w:t xml:space="preserve"> </w:t>
      </w:r>
      <w:r w:rsidRPr="00862171">
        <w:rPr>
          <w:rFonts w:asciiTheme="minorHAnsi" w:hAnsiTheme="minorHAnsi" w:cstheme="minorHAnsi"/>
          <w:i/>
        </w:rPr>
        <w:t>Spotřeba energie</w:t>
      </w:r>
      <w:r w:rsidRPr="00862171">
        <w:rPr>
          <w:rFonts w:asciiTheme="minorHAnsi" w:hAnsiTheme="minorHAnsi" w:cstheme="minorHAnsi"/>
          <w:iCs/>
        </w:rPr>
        <w:t xml:space="preserve"> (1,51 %).</w:t>
      </w:r>
    </w:p>
    <w:p w14:paraId="69F1B620" w14:textId="77777777" w:rsidR="00862171" w:rsidRPr="00862171" w:rsidRDefault="00862171" w:rsidP="00D64495">
      <w:pPr>
        <w:spacing w:after="40"/>
        <w:rPr>
          <w:rFonts w:asciiTheme="minorHAnsi" w:hAnsiTheme="minorHAnsi" w:cstheme="minorHAnsi"/>
          <w:iCs/>
        </w:rPr>
      </w:pPr>
    </w:p>
    <w:p w14:paraId="78E4E33B" w14:textId="77777777" w:rsidR="00D64495" w:rsidRPr="00446692" w:rsidRDefault="00D64495" w:rsidP="00124170">
      <w:pPr>
        <w:pStyle w:val="Titulek"/>
        <w:tabs>
          <w:tab w:val="right" w:pos="9072"/>
        </w:tabs>
        <w:spacing w:before="0" w:after="40"/>
        <w:ind w:left="1418" w:right="-2" w:hanging="1418"/>
        <w:jc w:val="both"/>
        <w:rPr>
          <w:rFonts w:cstheme="minorHAnsi"/>
          <w:szCs w:val="24"/>
        </w:rPr>
      </w:pPr>
      <w:bookmarkStart w:id="136" w:name="_Toc69401712"/>
      <w:bookmarkStart w:id="137" w:name="_Toc101336479"/>
      <w:r w:rsidRPr="00446692">
        <w:rPr>
          <w:rFonts w:cstheme="minorHAnsi"/>
          <w:szCs w:val="24"/>
        </w:rPr>
        <w:t>Tabulka č.</w:t>
      </w:r>
      <w:r>
        <w:rPr>
          <w:rFonts w:cstheme="minorHAnsi"/>
          <w:szCs w:val="24"/>
        </w:rPr>
        <w:t xml:space="preserve"> 29</w:t>
      </w:r>
      <w:r w:rsidRPr="00446692">
        <w:rPr>
          <w:rFonts w:cstheme="minorHAnsi"/>
          <w:szCs w:val="24"/>
        </w:rPr>
        <w:t xml:space="preserve">: </w:t>
      </w:r>
      <w:r w:rsidR="00680E41">
        <w:rPr>
          <w:rFonts w:cstheme="minorHAnsi"/>
          <w:szCs w:val="24"/>
        </w:rPr>
        <w:tab/>
      </w:r>
      <w:r w:rsidRPr="00446692">
        <w:rPr>
          <w:rFonts w:cstheme="minorHAnsi"/>
          <w:szCs w:val="24"/>
        </w:rPr>
        <w:t xml:space="preserve">Náklady z činnosti </w:t>
      </w:r>
      <w:r w:rsidR="00574536">
        <w:rPr>
          <w:rFonts w:cstheme="minorHAnsi"/>
          <w:szCs w:val="24"/>
        </w:rPr>
        <w:t xml:space="preserve">v </w:t>
      </w:r>
      <w:r w:rsidRPr="00446692">
        <w:rPr>
          <w:rFonts w:cstheme="minorHAnsi"/>
          <w:szCs w:val="24"/>
        </w:rPr>
        <w:t>přepočt</w:t>
      </w:r>
      <w:r w:rsidR="00574536">
        <w:rPr>
          <w:rFonts w:cstheme="minorHAnsi"/>
          <w:szCs w:val="24"/>
        </w:rPr>
        <w:t>u</w:t>
      </w:r>
      <w:r w:rsidRPr="00446692">
        <w:rPr>
          <w:rFonts w:cstheme="minorHAnsi"/>
          <w:szCs w:val="24"/>
        </w:rPr>
        <w:t xml:space="preserve"> na </w:t>
      </w:r>
      <w:r w:rsidR="00574536">
        <w:rPr>
          <w:rFonts w:cstheme="minorHAnsi"/>
          <w:szCs w:val="24"/>
        </w:rPr>
        <w:t>jednoho</w:t>
      </w:r>
      <w:r w:rsidRPr="00446692">
        <w:rPr>
          <w:rFonts w:cstheme="minorHAnsi"/>
          <w:szCs w:val="24"/>
        </w:rPr>
        <w:t xml:space="preserve"> zaměstnance vykázané MV a OSS </w:t>
      </w:r>
      <w:r w:rsidR="00574536">
        <w:rPr>
          <w:rFonts w:cstheme="minorHAnsi"/>
          <w:szCs w:val="24"/>
        </w:rPr>
        <w:t xml:space="preserve">(bez MV) </w:t>
      </w:r>
      <w:r w:rsidRPr="00446692">
        <w:rPr>
          <w:rFonts w:cstheme="minorHAnsi"/>
          <w:szCs w:val="24"/>
        </w:rPr>
        <w:t>v rozpočtové kapitole 314</w:t>
      </w:r>
      <w:r w:rsidR="009D6BD8">
        <w:rPr>
          <w:rFonts w:cstheme="minorHAnsi"/>
          <w:szCs w:val="24"/>
        </w:rPr>
        <w:t xml:space="preserve"> </w:t>
      </w:r>
      <w:r w:rsidR="00680E41">
        <w:rPr>
          <w:rFonts w:cstheme="minorHAnsi"/>
          <w:szCs w:val="24"/>
        </w:rPr>
        <w:tab/>
      </w:r>
      <w:r w:rsidR="009D6BD8">
        <w:rPr>
          <w:rFonts w:cstheme="minorHAnsi"/>
          <w:szCs w:val="24"/>
        </w:rPr>
        <w:t>(</w:t>
      </w:r>
      <w:r w:rsidRPr="00446692">
        <w:rPr>
          <w:rFonts w:cstheme="minorHAnsi"/>
          <w:szCs w:val="24"/>
        </w:rPr>
        <w:t>v Kč)</w:t>
      </w:r>
      <w:bookmarkEnd w:id="136"/>
      <w:bookmarkEnd w:id="137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1"/>
        <w:gridCol w:w="1500"/>
        <w:gridCol w:w="1500"/>
        <w:gridCol w:w="1417"/>
        <w:gridCol w:w="1415"/>
        <w:gridCol w:w="1517"/>
      </w:tblGrid>
      <w:tr w:rsidR="00D64495" w:rsidRPr="002F4A23" w14:paraId="143603F3" w14:textId="77777777" w:rsidTr="00862171">
        <w:trPr>
          <w:trHeight w:val="255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FEE4711" w14:textId="77777777" w:rsidR="00D64495" w:rsidRPr="002F4A23" w:rsidRDefault="00D64495" w:rsidP="00862171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2F4A23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Organizace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3294218" w14:textId="77777777" w:rsidR="00D64495" w:rsidRPr="002F4A23" w:rsidRDefault="00D64495" w:rsidP="00862171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2F4A23">
              <w:rPr>
                <w:rFonts w:cstheme="minorHAnsi"/>
                <w:b/>
                <w:sz w:val="18"/>
                <w:szCs w:val="18"/>
              </w:rPr>
              <w:t>2017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0D99AB8" w14:textId="77777777" w:rsidR="00D64495" w:rsidRPr="002F4A23" w:rsidRDefault="00D64495" w:rsidP="00862171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2F4A23">
              <w:rPr>
                <w:rFonts w:cstheme="minorHAnsi"/>
                <w:b/>
                <w:sz w:val="18"/>
                <w:szCs w:val="18"/>
              </w:rPr>
              <w:t>2018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7112C09" w14:textId="77777777" w:rsidR="00D64495" w:rsidRPr="002F4A23" w:rsidRDefault="00D64495" w:rsidP="00862171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2F4A23">
              <w:rPr>
                <w:rFonts w:cstheme="minorHAnsi"/>
                <w:b/>
                <w:sz w:val="18"/>
                <w:szCs w:val="18"/>
              </w:rPr>
              <w:t>2019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38D308AC" w14:textId="77777777" w:rsidR="00D64495" w:rsidRPr="002F4A23" w:rsidRDefault="00D64495" w:rsidP="00862171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2F4A23">
              <w:rPr>
                <w:rFonts w:cstheme="minorHAnsi"/>
                <w:b/>
                <w:sz w:val="18"/>
                <w:szCs w:val="18"/>
              </w:rPr>
              <w:t>2020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13007931" w14:textId="77777777" w:rsidR="00D64495" w:rsidRPr="002F4A23" w:rsidRDefault="00D64495" w:rsidP="00862171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2F4A23">
              <w:rPr>
                <w:rFonts w:cstheme="minorHAnsi"/>
                <w:b/>
                <w:sz w:val="18"/>
                <w:szCs w:val="18"/>
              </w:rPr>
              <w:t>2021</w:t>
            </w:r>
          </w:p>
        </w:tc>
      </w:tr>
      <w:tr w:rsidR="00D64495" w:rsidRPr="002F4A23" w14:paraId="1A38C413" w14:textId="77777777" w:rsidTr="00862171">
        <w:trPr>
          <w:trHeight w:val="255"/>
        </w:trPr>
        <w:tc>
          <w:tcPr>
            <w:tcW w:w="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24F20" w14:textId="77777777" w:rsidR="00D64495" w:rsidRPr="002F4A23" w:rsidRDefault="00D64495" w:rsidP="00862171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2F4A23">
              <w:rPr>
                <w:rFonts w:cstheme="minorHAnsi"/>
                <w:sz w:val="18"/>
                <w:szCs w:val="18"/>
              </w:rPr>
              <w:t>MV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27443" w14:textId="77777777" w:rsidR="00D64495" w:rsidRPr="002F4A23" w:rsidRDefault="00D64495" w:rsidP="00862171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2F4A23">
              <w:rPr>
                <w:sz w:val="18"/>
                <w:szCs w:val="18"/>
              </w:rPr>
              <w:t>1 552 481,87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30F13" w14:textId="77777777" w:rsidR="00D64495" w:rsidRPr="002F4A23" w:rsidRDefault="00D64495" w:rsidP="00862171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2F4A23">
              <w:rPr>
                <w:sz w:val="18"/>
                <w:szCs w:val="18"/>
              </w:rPr>
              <w:t>1 627 834,25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6127B" w14:textId="77777777" w:rsidR="00D64495" w:rsidRPr="002F4A23" w:rsidRDefault="00D64495" w:rsidP="00862171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2F4A23">
              <w:rPr>
                <w:sz w:val="18"/>
                <w:szCs w:val="18"/>
              </w:rPr>
              <w:t>1 697 058,13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FFCEF" w14:textId="77777777" w:rsidR="00D64495" w:rsidRPr="002F4A23" w:rsidRDefault="00D64495" w:rsidP="00862171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2F4A23">
              <w:rPr>
                <w:sz w:val="18"/>
                <w:szCs w:val="18"/>
              </w:rPr>
              <w:t>2 191 000,20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7273A" w14:textId="77777777" w:rsidR="00D64495" w:rsidRPr="002F4A23" w:rsidRDefault="00D64495" w:rsidP="00862171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2F4A23">
              <w:rPr>
                <w:sz w:val="18"/>
                <w:szCs w:val="18"/>
              </w:rPr>
              <w:t>1 885 501,97</w:t>
            </w:r>
          </w:p>
        </w:tc>
      </w:tr>
      <w:tr w:rsidR="00D64495" w:rsidRPr="002F4A23" w14:paraId="225F6515" w14:textId="77777777" w:rsidTr="00862171">
        <w:trPr>
          <w:trHeight w:val="255"/>
        </w:trPr>
        <w:tc>
          <w:tcPr>
            <w:tcW w:w="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6C4E1" w14:textId="77777777" w:rsidR="00D64495" w:rsidRPr="002F4A23" w:rsidRDefault="00D64495" w:rsidP="00862171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2F4A23">
              <w:rPr>
                <w:rFonts w:cstheme="minorHAnsi"/>
                <w:sz w:val="18"/>
                <w:szCs w:val="18"/>
              </w:rPr>
              <w:t>OSS bez MV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B9326" w14:textId="77777777" w:rsidR="00D64495" w:rsidRPr="002F4A23" w:rsidRDefault="00D64495" w:rsidP="00862171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2F4A23">
              <w:rPr>
                <w:sz w:val="18"/>
                <w:szCs w:val="18"/>
              </w:rPr>
              <w:t>715 258,15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90779" w14:textId="77777777" w:rsidR="00D64495" w:rsidRPr="002F4A23" w:rsidRDefault="00D64495" w:rsidP="00862171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2F4A23">
              <w:rPr>
                <w:sz w:val="18"/>
                <w:szCs w:val="18"/>
              </w:rPr>
              <w:t>807 400,51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091BC" w14:textId="77777777" w:rsidR="00D64495" w:rsidRPr="002F4A23" w:rsidRDefault="00D64495" w:rsidP="00862171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2F4A23">
              <w:rPr>
                <w:sz w:val="18"/>
                <w:szCs w:val="18"/>
              </w:rPr>
              <w:t>848 602,24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3BEFA" w14:textId="77777777" w:rsidR="00D64495" w:rsidRPr="002F4A23" w:rsidRDefault="00D64495" w:rsidP="00862171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2F4A23">
              <w:rPr>
                <w:sz w:val="18"/>
                <w:szCs w:val="18"/>
              </w:rPr>
              <w:t>903 943,26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242F4" w14:textId="77777777" w:rsidR="00D64495" w:rsidRPr="002F4A23" w:rsidRDefault="00D64495" w:rsidP="00862171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2F4A23">
              <w:rPr>
                <w:sz w:val="18"/>
                <w:szCs w:val="18"/>
              </w:rPr>
              <w:t>932 410,35</w:t>
            </w:r>
          </w:p>
        </w:tc>
      </w:tr>
    </w:tbl>
    <w:p w14:paraId="40B59352" w14:textId="77777777" w:rsidR="00D64495" w:rsidRPr="00862171" w:rsidRDefault="00D64495" w:rsidP="00862171">
      <w:pPr>
        <w:pStyle w:val="Zdroj"/>
        <w:spacing w:before="40" w:after="120"/>
        <w:rPr>
          <w:rFonts w:asciiTheme="minorHAnsi" w:hAnsiTheme="minorHAnsi"/>
          <w:i w:val="0"/>
        </w:rPr>
      </w:pPr>
      <w:bookmarkStart w:id="138" w:name="_Toc520715178"/>
      <w:r w:rsidRPr="00862171">
        <w:rPr>
          <w:rFonts w:asciiTheme="minorHAnsi" w:hAnsiTheme="minorHAnsi"/>
          <w:b/>
          <w:i w:val="0"/>
        </w:rPr>
        <w:t>Zdroj</w:t>
      </w:r>
      <w:r w:rsidRPr="00862171">
        <w:rPr>
          <w:rFonts w:asciiTheme="minorHAnsi" w:hAnsiTheme="minorHAnsi"/>
          <w:i w:val="0"/>
        </w:rPr>
        <w:t>: výpočet NKÚ.</w:t>
      </w:r>
    </w:p>
    <w:p w14:paraId="10E18F94" w14:textId="77777777" w:rsidR="00D64495" w:rsidRPr="00862171" w:rsidRDefault="00D64495" w:rsidP="00862171">
      <w:pPr>
        <w:jc w:val="both"/>
        <w:rPr>
          <w:rFonts w:asciiTheme="minorHAnsi" w:hAnsiTheme="minorHAnsi" w:cstheme="minorHAnsi"/>
        </w:rPr>
      </w:pPr>
      <w:r w:rsidRPr="00862171">
        <w:rPr>
          <w:rFonts w:asciiTheme="minorHAnsi" w:hAnsiTheme="minorHAnsi" w:cstheme="minorHAnsi"/>
        </w:rPr>
        <w:t>Vývoj nákladů z činnosti přepočtený</w:t>
      </w:r>
      <w:r w:rsidR="00574536">
        <w:rPr>
          <w:rFonts w:asciiTheme="minorHAnsi" w:hAnsiTheme="minorHAnsi" w:cstheme="minorHAnsi"/>
        </w:rPr>
        <w:t>ch</w:t>
      </w:r>
      <w:r w:rsidRPr="00862171">
        <w:rPr>
          <w:rFonts w:asciiTheme="minorHAnsi" w:hAnsiTheme="minorHAnsi" w:cstheme="minorHAnsi"/>
        </w:rPr>
        <w:t xml:space="preserve"> na jednoho zaměstnance MV měl ve sledovaném období rostoucí tendenci, s výjimkou roku 2021, kdy ve srovnání s předchozím rokem došlo k mírnému poklesu. </w:t>
      </w:r>
    </w:p>
    <w:p w14:paraId="384DCBA0" w14:textId="77777777" w:rsidR="00D64495" w:rsidRPr="00862171" w:rsidRDefault="00D64495" w:rsidP="00862171">
      <w:pPr>
        <w:pStyle w:val="Zdroj"/>
        <w:spacing w:before="0"/>
        <w:jc w:val="both"/>
        <w:rPr>
          <w:rFonts w:asciiTheme="minorHAnsi" w:hAnsiTheme="minorHAnsi"/>
          <w:i w:val="0"/>
          <w:sz w:val="24"/>
        </w:rPr>
      </w:pPr>
      <w:r w:rsidRPr="00862171">
        <w:rPr>
          <w:rFonts w:asciiTheme="minorHAnsi" w:hAnsiTheme="minorHAnsi"/>
          <w:i w:val="0"/>
          <w:sz w:val="24"/>
        </w:rPr>
        <w:t xml:space="preserve">Náklady z činnosti </w:t>
      </w:r>
      <w:r w:rsidR="00574536">
        <w:rPr>
          <w:rFonts w:asciiTheme="minorHAnsi" w:hAnsiTheme="minorHAnsi"/>
          <w:i w:val="0"/>
          <w:sz w:val="24"/>
        </w:rPr>
        <w:t xml:space="preserve">v </w:t>
      </w:r>
      <w:r w:rsidRPr="00862171">
        <w:rPr>
          <w:rFonts w:asciiTheme="minorHAnsi" w:hAnsiTheme="minorHAnsi"/>
          <w:i w:val="0"/>
          <w:sz w:val="24"/>
        </w:rPr>
        <w:t>přepočt</w:t>
      </w:r>
      <w:r w:rsidR="00574536">
        <w:rPr>
          <w:rFonts w:asciiTheme="minorHAnsi" w:hAnsiTheme="minorHAnsi"/>
          <w:i w:val="0"/>
          <w:sz w:val="24"/>
        </w:rPr>
        <w:t>u</w:t>
      </w:r>
      <w:r w:rsidRPr="00862171">
        <w:rPr>
          <w:rFonts w:asciiTheme="minorHAnsi" w:hAnsiTheme="minorHAnsi"/>
          <w:i w:val="0"/>
          <w:sz w:val="24"/>
        </w:rPr>
        <w:t xml:space="preserve"> na jednoho zaměstnance vykázané OSS bez MV m</w:t>
      </w:r>
      <w:r w:rsidR="003B2AF1">
        <w:rPr>
          <w:rFonts w:asciiTheme="minorHAnsi" w:hAnsiTheme="minorHAnsi"/>
          <w:i w:val="0"/>
          <w:sz w:val="24"/>
        </w:rPr>
        <w:t>ěly</w:t>
      </w:r>
      <w:r w:rsidRPr="00862171">
        <w:rPr>
          <w:rFonts w:asciiTheme="minorHAnsi" w:hAnsiTheme="minorHAnsi"/>
          <w:i w:val="0"/>
          <w:sz w:val="24"/>
        </w:rPr>
        <w:t xml:space="preserve"> ve sledovaném obdobím rostoucí tendenci.</w:t>
      </w:r>
    </w:p>
    <w:p w14:paraId="1B898F12" w14:textId="77777777" w:rsidR="00D64495" w:rsidRPr="00446692" w:rsidRDefault="00D64495" w:rsidP="00862171">
      <w:pPr>
        <w:pStyle w:val="Zdroj"/>
        <w:spacing w:before="0"/>
        <w:ind w:right="142"/>
        <w:jc w:val="both"/>
        <w:rPr>
          <w:b/>
          <w:bCs/>
          <w:i w:val="0"/>
          <w:sz w:val="24"/>
        </w:rPr>
      </w:pPr>
    </w:p>
    <w:p w14:paraId="07426622" w14:textId="70901485" w:rsidR="00D64495" w:rsidRPr="0033645A" w:rsidRDefault="00D64495" w:rsidP="00124170">
      <w:pPr>
        <w:pStyle w:val="Titulek"/>
        <w:spacing w:before="0" w:after="40"/>
        <w:ind w:left="1474" w:hanging="1474"/>
        <w:jc w:val="both"/>
        <w:rPr>
          <w:rFonts w:cstheme="minorHAnsi"/>
          <w:szCs w:val="24"/>
        </w:rPr>
      </w:pPr>
      <w:bookmarkStart w:id="139" w:name="_Toc8984862"/>
      <w:bookmarkStart w:id="140" w:name="_Toc520714655"/>
      <w:bookmarkStart w:id="141" w:name="_Toc69401715"/>
      <w:bookmarkStart w:id="142" w:name="_Toc101336482"/>
      <w:bookmarkEnd w:id="138"/>
      <w:r w:rsidRPr="0033645A">
        <w:rPr>
          <w:rFonts w:cstheme="minorHAnsi"/>
          <w:szCs w:val="24"/>
        </w:rPr>
        <w:t>Tabulka č.</w:t>
      </w:r>
      <w:r>
        <w:rPr>
          <w:rFonts w:cstheme="minorHAnsi"/>
          <w:szCs w:val="24"/>
        </w:rPr>
        <w:t xml:space="preserve"> 30</w:t>
      </w:r>
      <w:r w:rsidRPr="0033645A">
        <w:rPr>
          <w:rFonts w:cstheme="minorHAnsi"/>
          <w:szCs w:val="24"/>
        </w:rPr>
        <w:t xml:space="preserve">: </w:t>
      </w:r>
      <w:r w:rsidR="00680E41">
        <w:rPr>
          <w:rFonts w:cstheme="minorHAnsi"/>
          <w:szCs w:val="24"/>
        </w:rPr>
        <w:tab/>
      </w:r>
      <w:r w:rsidRPr="0033645A">
        <w:rPr>
          <w:rFonts w:cstheme="minorHAnsi"/>
          <w:szCs w:val="24"/>
        </w:rPr>
        <w:t xml:space="preserve">Náklady na transfery (položka A.III. </w:t>
      </w:r>
      <w:r w:rsidR="00574536">
        <w:rPr>
          <w:rFonts w:cstheme="minorHAnsi"/>
          <w:szCs w:val="24"/>
        </w:rPr>
        <w:t>v</w:t>
      </w:r>
      <w:r w:rsidRPr="0033645A">
        <w:rPr>
          <w:rFonts w:cstheme="minorHAnsi"/>
          <w:szCs w:val="24"/>
        </w:rPr>
        <w:t>ýkazu zi</w:t>
      </w:r>
      <w:r w:rsidR="00680E41">
        <w:rPr>
          <w:rFonts w:cstheme="minorHAnsi"/>
          <w:szCs w:val="24"/>
        </w:rPr>
        <w:t>s</w:t>
      </w:r>
      <w:r w:rsidRPr="0033645A">
        <w:rPr>
          <w:rFonts w:cstheme="minorHAnsi"/>
          <w:szCs w:val="24"/>
        </w:rPr>
        <w:t>ku a ztráty) a jejich porovnání s</w:t>
      </w:r>
      <w:bookmarkEnd w:id="139"/>
      <w:r w:rsidR="00862171">
        <w:rPr>
          <w:rFonts w:cstheme="minorHAnsi"/>
          <w:szCs w:val="24"/>
        </w:rPr>
        <w:t> </w:t>
      </w:r>
      <w:r w:rsidRPr="0033645A">
        <w:rPr>
          <w:rFonts w:cstheme="minorHAnsi"/>
          <w:szCs w:val="24"/>
        </w:rPr>
        <w:t xml:space="preserve">celkovými náklady, které vykázalo MV a OSS </w:t>
      </w:r>
      <w:r w:rsidR="00574536">
        <w:rPr>
          <w:rFonts w:cstheme="minorHAnsi"/>
          <w:szCs w:val="24"/>
        </w:rPr>
        <w:t xml:space="preserve">(bez MV) </w:t>
      </w:r>
      <w:bookmarkEnd w:id="140"/>
      <w:bookmarkEnd w:id="141"/>
      <w:bookmarkEnd w:id="142"/>
    </w:p>
    <w:tbl>
      <w:tblPr>
        <w:tblW w:w="91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551"/>
        <w:gridCol w:w="1403"/>
        <w:gridCol w:w="1404"/>
        <w:gridCol w:w="1404"/>
        <w:gridCol w:w="1404"/>
        <w:gridCol w:w="1404"/>
      </w:tblGrid>
      <w:tr w:rsidR="00D64495" w:rsidRPr="005B5B16" w14:paraId="0FC53690" w14:textId="77777777" w:rsidTr="00D64495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1954C97F" w14:textId="77777777" w:rsidR="00D64495" w:rsidRPr="005B5B16" w:rsidRDefault="00D64495" w:rsidP="00862171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Org.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4C2C7E1" w14:textId="77777777" w:rsidR="00D64495" w:rsidRPr="005B5B16" w:rsidRDefault="00D64495" w:rsidP="00862171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Ukazatel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F7AEC2A" w14:textId="77777777" w:rsidR="00D64495" w:rsidRPr="005B5B16" w:rsidRDefault="00D64495" w:rsidP="00862171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2017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9C2D08A" w14:textId="77777777" w:rsidR="00D64495" w:rsidRPr="005B5B16" w:rsidRDefault="00D64495" w:rsidP="00862171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2018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1C70A56" w14:textId="77777777" w:rsidR="00D64495" w:rsidRPr="005B5B16" w:rsidRDefault="00D64495" w:rsidP="00862171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2019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5BE454AA" w14:textId="77777777" w:rsidR="00D64495" w:rsidRPr="005B5B16" w:rsidRDefault="00D64495" w:rsidP="00862171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2020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6190EC46" w14:textId="77777777" w:rsidR="00D64495" w:rsidRPr="005B5B16" w:rsidRDefault="00D64495" w:rsidP="00862171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2021</w:t>
            </w:r>
          </w:p>
        </w:tc>
      </w:tr>
      <w:tr w:rsidR="00D64495" w:rsidRPr="005B5B16" w14:paraId="0431C603" w14:textId="77777777" w:rsidTr="00D64495">
        <w:trPr>
          <w:trHeight w:val="25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BCAF2D4" w14:textId="77777777" w:rsidR="00D64495" w:rsidRPr="005B5B16" w:rsidRDefault="00D64495" w:rsidP="00862171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MV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2718D" w14:textId="77777777" w:rsidR="00D64495" w:rsidRPr="005B5B16" w:rsidRDefault="00D64495" w:rsidP="00862171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Náklady na transfery (v Kč)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B1373" w14:textId="77777777" w:rsidR="00D64495" w:rsidRPr="005B5B16" w:rsidRDefault="00D64495" w:rsidP="00862171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11 198 135 784,60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60BD5" w14:textId="77777777" w:rsidR="00D64495" w:rsidRPr="005B5B16" w:rsidRDefault="00D64495" w:rsidP="00862171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11 604 552 201,98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090D2" w14:textId="77777777" w:rsidR="00D64495" w:rsidRPr="005B5B16" w:rsidRDefault="00D64495" w:rsidP="00862171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12 396 614 038,34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082BC" w14:textId="77777777" w:rsidR="00D64495" w:rsidRPr="005B5B16" w:rsidRDefault="00D64495" w:rsidP="00862171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13 413 058 265,06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44181" w14:textId="77777777" w:rsidR="00D64495" w:rsidRPr="005B5B16" w:rsidRDefault="00D64495" w:rsidP="00862171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14 406 367 571,16</w:t>
            </w:r>
          </w:p>
        </w:tc>
      </w:tr>
      <w:tr w:rsidR="00D64495" w:rsidRPr="005B5B16" w14:paraId="30236154" w14:textId="77777777" w:rsidTr="00D6449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613E5" w14:textId="77777777" w:rsidR="00D64495" w:rsidRPr="005B5B16" w:rsidRDefault="00D64495" w:rsidP="00862171">
            <w:pPr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5F183" w14:textId="77777777" w:rsidR="00D64495" w:rsidRDefault="00D64495" w:rsidP="00862171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 xml:space="preserve">Náklady celkem </w:t>
            </w:r>
          </w:p>
          <w:p w14:paraId="2CFF06B5" w14:textId="77777777" w:rsidR="00D64495" w:rsidRPr="005B5B16" w:rsidRDefault="00D64495" w:rsidP="00862171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(v Kč)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1189B" w14:textId="77777777" w:rsidR="00D64495" w:rsidRPr="005B5B16" w:rsidRDefault="00D64495" w:rsidP="00862171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26 692 803 713,91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9DDC1" w14:textId="77777777" w:rsidR="00D64495" w:rsidRPr="005B5B16" w:rsidRDefault="00D64495" w:rsidP="00862171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28 549 730 169,36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D2116" w14:textId="77777777" w:rsidR="00D64495" w:rsidRPr="005B5B16" w:rsidRDefault="00D64495" w:rsidP="00862171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30 481 233 517,88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B1916" w14:textId="77777777" w:rsidR="00D64495" w:rsidRPr="005B5B16" w:rsidRDefault="00D64495" w:rsidP="00862171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37 415 245 847,07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E67DC" w14:textId="77777777" w:rsidR="00D64495" w:rsidRPr="005B5B16" w:rsidRDefault="00D64495" w:rsidP="00862171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34 893 859 186,99</w:t>
            </w:r>
          </w:p>
        </w:tc>
      </w:tr>
      <w:tr w:rsidR="00D64495" w:rsidRPr="005B5B16" w14:paraId="441CBA86" w14:textId="77777777" w:rsidTr="00D6449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9779" w14:textId="77777777" w:rsidR="00D64495" w:rsidRPr="005B5B16" w:rsidRDefault="00D64495" w:rsidP="00862171">
            <w:pPr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0014F37F" w14:textId="0EF119B9" w:rsidR="00D64495" w:rsidRPr="005B5B16" w:rsidRDefault="00D64495" w:rsidP="00862171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 xml:space="preserve">Podíl transferových nákladů </w:t>
            </w:r>
            <w:r w:rsidR="00680E41">
              <w:rPr>
                <w:rFonts w:cstheme="minorHAnsi"/>
                <w:b/>
                <w:sz w:val="16"/>
                <w:szCs w:val="16"/>
              </w:rPr>
              <w:t>na</w:t>
            </w:r>
            <w:r w:rsidRPr="005B5B16">
              <w:rPr>
                <w:rFonts w:cstheme="minorHAnsi"/>
                <w:b/>
                <w:sz w:val="16"/>
                <w:szCs w:val="16"/>
              </w:rPr>
              <w:t xml:space="preserve"> celkový</w:t>
            </w:r>
            <w:r w:rsidR="00680E41">
              <w:rPr>
                <w:rFonts w:cstheme="minorHAnsi"/>
                <w:b/>
                <w:sz w:val="16"/>
                <w:szCs w:val="16"/>
              </w:rPr>
              <w:t>ch</w:t>
            </w:r>
            <w:r w:rsidRPr="005B5B16">
              <w:rPr>
                <w:rFonts w:cstheme="minorHAnsi"/>
                <w:b/>
                <w:sz w:val="16"/>
                <w:szCs w:val="16"/>
              </w:rPr>
              <w:t xml:space="preserve"> náklad</w:t>
            </w:r>
            <w:r w:rsidR="00680E41">
              <w:rPr>
                <w:rFonts w:cstheme="minorHAnsi"/>
                <w:b/>
                <w:sz w:val="16"/>
                <w:szCs w:val="16"/>
              </w:rPr>
              <w:t>ech</w:t>
            </w:r>
            <w:r w:rsidRPr="005B5B16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(</w:t>
            </w:r>
            <w:r w:rsidRPr="005B5B16">
              <w:rPr>
                <w:rFonts w:cstheme="minorHAnsi"/>
                <w:b/>
                <w:sz w:val="16"/>
                <w:szCs w:val="16"/>
              </w:rPr>
              <w:t>v %</w:t>
            </w:r>
            <w:r>
              <w:rPr>
                <w:rFonts w:cstheme="minorHAnsi"/>
                <w:b/>
                <w:sz w:val="16"/>
                <w:szCs w:val="16"/>
              </w:rPr>
              <w:t>)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3ECE1040" w14:textId="77777777" w:rsidR="00D64495" w:rsidRPr="005B5B16" w:rsidRDefault="00D64495" w:rsidP="00862171">
            <w:pPr>
              <w:spacing w:after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41,95</w:t>
            </w:r>
            <w:r w:rsidR="002059FD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b/>
                <w:sz w:val="16"/>
                <w:szCs w:val="16"/>
              </w:rPr>
              <w:t>%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02523B2D" w14:textId="77777777" w:rsidR="00D64495" w:rsidRPr="005B5B16" w:rsidRDefault="00D64495" w:rsidP="00862171">
            <w:pPr>
              <w:spacing w:after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40,65</w:t>
            </w:r>
            <w:r w:rsidR="002059FD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b/>
                <w:sz w:val="16"/>
                <w:szCs w:val="16"/>
              </w:rPr>
              <w:t>%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27B4D8E2" w14:textId="77777777" w:rsidR="00D64495" w:rsidRPr="005B5B16" w:rsidRDefault="00D64495" w:rsidP="00862171">
            <w:pPr>
              <w:spacing w:after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40,67</w:t>
            </w:r>
            <w:r w:rsidR="002059FD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b/>
                <w:sz w:val="16"/>
                <w:szCs w:val="16"/>
              </w:rPr>
              <w:t>%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5FF11E09" w14:textId="77777777" w:rsidR="00D64495" w:rsidRPr="005B5B16" w:rsidRDefault="00D64495" w:rsidP="00862171">
            <w:pPr>
              <w:spacing w:after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35,85</w:t>
            </w:r>
            <w:r w:rsidR="002059FD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b/>
                <w:sz w:val="16"/>
                <w:szCs w:val="16"/>
              </w:rPr>
              <w:t>%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401A1823" w14:textId="77777777" w:rsidR="00D64495" w:rsidRPr="005B5B16" w:rsidRDefault="00D64495" w:rsidP="00862171">
            <w:pPr>
              <w:spacing w:after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41,29</w:t>
            </w:r>
            <w:r w:rsidR="002059FD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b/>
                <w:sz w:val="16"/>
                <w:szCs w:val="16"/>
              </w:rPr>
              <w:t>%</w:t>
            </w:r>
          </w:p>
        </w:tc>
      </w:tr>
      <w:tr w:rsidR="00D64495" w:rsidRPr="005B5B16" w14:paraId="501C255F" w14:textId="77777777" w:rsidTr="00D64495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C8F48" w14:textId="77777777" w:rsidR="00D64495" w:rsidRPr="005B5B16" w:rsidRDefault="00D64495" w:rsidP="00862171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OSS (bez MV)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18683" w14:textId="77777777" w:rsidR="00D64495" w:rsidRPr="005B5B16" w:rsidRDefault="00D64495" w:rsidP="00862171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Náklady na transfery (v Kč)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222C2" w14:textId="77777777" w:rsidR="00D64495" w:rsidRPr="005B5B16" w:rsidRDefault="00D64495" w:rsidP="00862171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358 067 325,00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C5E24" w14:textId="77777777" w:rsidR="00D64495" w:rsidRPr="005B5B16" w:rsidRDefault="00D64495" w:rsidP="00862171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487 139 127,69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47A0C" w14:textId="77777777" w:rsidR="00D64495" w:rsidRPr="005B5B16" w:rsidRDefault="00D64495" w:rsidP="00862171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771 596 737,38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AF892" w14:textId="77777777" w:rsidR="00D64495" w:rsidRPr="005B5B16" w:rsidRDefault="00D64495" w:rsidP="00862171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867 711 756,36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EED8E" w14:textId="77777777" w:rsidR="00D64495" w:rsidRPr="005B5B16" w:rsidRDefault="00D64495" w:rsidP="00862171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1 207 480 710,20</w:t>
            </w:r>
          </w:p>
        </w:tc>
      </w:tr>
      <w:tr w:rsidR="00D64495" w:rsidRPr="005B5B16" w14:paraId="4BC3224F" w14:textId="77777777" w:rsidTr="00D6449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27D9C" w14:textId="77777777" w:rsidR="00D64495" w:rsidRPr="005B5B16" w:rsidRDefault="00D64495" w:rsidP="00862171">
            <w:pPr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9AA2E" w14:textId="77777777" w:rsidR="00D64495" w:rsidRDefault="00D64495" w:rsidP="00862171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 xml:space="preserve">Náklady celkem </w:t>
            </w:r>
          </w:p>
          <w:p w14:paraId="19727EC1" w14:textId="77777777" w:rsidR="00D64495" w:rsidRPr="005B5B16" w:rsidRDefault="00D64495" w:rsidP="00862171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(v Kč)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575FF" w14:textId="77777777" w:rsidR="00D64495" w:rsidRPr="005B5B16" w:rsidRDefault="00D64495" w:rsidP="00862171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39 956 078 900,00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CA735" w14:textId="77777777" w:rsidR="00D64495" w:rsidRPr="005B5B16" w:rsidRDefault="00D64495" w:rsidP="00862171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45 267 695 865,72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7617E" w14:textId="77777777" w:rsidR="00D64495" w:rsidRPr="005B5B16" w:rsidRDefault="00D64495" w:rsidP="00862171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47 915 676 919,10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3CBF4" w14:textId="77777777" w:rsidR="00D64495" w:rsidRPr="005B5B16" w:rsidRDefault="00D64495" w:rsidP="00862171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50 921 811 225,19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43DC9" w14:textId="77777777" w:rsidR="00D64495" w:rsidRPr="005B5B16" w:rsidRDefault="00D64495" w:rsidP="00862171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53 378 362 265,76</w:t>
            </w:r>
          </w:p>
        </w:tc>
      </w:tr>
      <w:tr w:rsidR="00D64495" w:rsidRPr="005B5B16" w14:paraId="33FE1292" w14:textId="77777777" w:rsidTr="00D6449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05D2" w14:textId="77777777" w:rsidR="00D64495" w:rsidRPr="005B5B16" w:rsidRDefault="00D64495" w:rsidP="00862171">
            <w:pPr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06D409F5" w14:textId="1049292B" w:rsidR="00D64495" w:rsidRPr="005B5B16" w:rsidRDefault="00D64495" w:rsidP="00862171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 xml:space="preserve">Podíl transferových nákladů </w:t>
            </w:r>
            <w:r w:rsidR="00680E41">
              <w:rPr>
                <w:rFonts w:cstheme="minorHAnsi"/>
                <w:b/>
                <w:sz w:val="16"/>
                <w:szCs w:val="16"/>
              </w:rPr>
              <w:t>na</w:t>
            </w:r>
            <w:r w:rsidRPr="005B5B16">
              <w:rPr>
                <w:rFonts w:cstheme="minorHAnsi"/>
                <w:b/>
                <w:sz w:val="16"/>
                <w:szCs w:val="16"/>
              </w:rPr>
              <w:t xml:space="preserve"> celkový</w:t>
            </w:r>
            <w:r w:rsidR="00680E41">
              <w:rPr>
                <w:rFonts w:cstheme="minorHAnsi"/>
                <w:b/>
                <w:sz w:val="16"/>
                <w:szCs w:val="16"/>
              </w:rPr>
              <w:t>ch</w:t>
            </w:r>
            <w:r w:rsidRPr="005B5B16">
              <w:rPr>
                <w:rFonts w:cstheme="minorHAnsi"/>
                <w:b/>
                <w:sz w:val="16"/>
                <w:szCs w:val="16"/>
              </w:rPr>
              <w:t xml:space="preserve"> náklad</w:t>
            </w:r>
            <w:r w:rsidR="00680E41">
              <w:rPr>
                <w:rFonts w:cstheme="minorHAnsi"/>
                <w:b/>
                <w:sz w:val="16"/>
                <w:szCs w:val="16"/>
              </w:rPr>
              <w:t>ech</w:t>
            </w:r>
            <w:r w:rsidRPr="005B5B16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(</w:t>
            </w:r>
            <w:r w:rsidRPr="005B5B16">
              <w:rPr>
                <w:rFonts w:cstheme="minorHAnsi"/>
                <w:b/>
                <w:sz w:val="16"/>
                <w:szCs w:val="16"/>
              </w:rPr>
              <w:t>v %</w:t>
            </w:r>
            <w:r>
              <w:rPr>
                <w:rFonts w:cstheme="minorHAnsi"/>
                <w:b/>
                <w:sz w:val="16"/>
                <w:szCs w:val="16"/>
              </w:rPr>
              <w:t>)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0F8EA61E" w14:textId="77777777" w:rsidR="00D64495" w:rsidRPr="005B5B16" w:rsidRDefault="00D64495" w:rsidP="00862171">
            <w:pPr>
              <w:spacing w:after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0,90</w:t>
            </w:r>
            <w:r w:rsidR="002059FD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b/>
                <w:sz w:val="16"/>
                <w:szCs w:val="16"/>
              </w:rPr>
              <w:t>%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6E878385" w14:textId="77777777" w:rsidR="00D64495" w:rsidRPr="005B5B16" w:rsidRDefault="00D64495" w:rsidP="00862171">
            <w:pPr>
              <w:spacing w:after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1,08</w:t>
            </w:r>
            <w:r w:rsidR="002059FD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b/>
                <w:sz w:val="16"/>
                <w:szCs w:val="16"/>
              </w:rPr>
              <w:t>%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5FCD6F1D" w14:textId="77777777" w:rsidR="00D64495" w:rsidRPr="005B5B16" w:rsidRDefault="00D64495" w:rsidP="00862171">
            <w:pPr>
              <w:spacing w:after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1,61</w:t>
            </w:r>
            <w:r w:rsidR="002059FD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b/>
                <w:sz w:val="16"/>
                <w:szCs w:val="16"/>
              </w:rPr>
              <w:t>%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672C97A8" w14:textId="77777777" w:rsidR="00D64495" w:rsidRPr="005B5B16" w:rsidRDefault="00D64495" w:rsidP="00862171">
            <w:pPr>
              <w:spacing w:after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1,70</w:t>
            </w:r>
            <w:r w:rsidR="002059FD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b/>
                <w:sz w:val="16"/>
                <w:szCs w:val="16"/>
              </w:rPr>
              <w:t>%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34C2E5FE" w14:textId="77777777" w:rsidR="00D64495" w:rsidRPr="005B5B16" w:rsidRDefault="00D64495" w:rsidP="00862171">
            <w:pPr>
              <w:spacing w:after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2,26</w:t>
            </w:r>
            <w:r w:rsidR="002059FD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b/>
                <w:sz w:val="16"/>
                <w:szCs w:val="16"/>
              </w:rPr>
              <w:t>%</w:t>
            </w:r>
          </w:p>
        </w:tc>
      </w:tr>
    </w:tbl>
    <w:p w14:paraId="351B47F3" w14:textId="77777777" w:rsidR="00D64495" w:rsidRPr="00862171" w:rsidRDefault="00D64495" w:rsidP="00D64495">
      <w:pPr>
        <w:pStyle w:val="Zdroj"/>
        <w:spacing w:before="40" w:after="120"/>
        <w:rPr>
          <w:rFonts w:asciiTheme="minorHAnsi" w:hAnsiTheme="minorHAnsi"/>
          <w:i w:val="0"/>
        </w:rPr>
      </w:pPr>
      <w:bookmarkStart w:id="143" w:name="_Toc520715179"/>
      <w:r w:rsidRPr="00862171">
        <w:rPr>
          <w:rFonts w:asciiTheme="minorHAnsi" w:hAnsiTheme="minorHAnsi"/>
          <w:b/>
          <w:i w:val="0"/>
        </w:rPr>
        <w:t xml:space="preserve">Zdroj: </w:t>
      </w:r>
      <w:r w:rsidRPr="00862171">
        <w:rPr>
          <w:rFonts w:asciiTheme="minorHAnsi" w:hAnsiTheme="minorHAnsi"/>
          <w:i w:val="0"/>
        </w:rPr>
        <w:t>informační portál MONITOR.</w:t>
      </w:r>
    </w:p>
    <w:bookmarkEnd w:id="143"/>
    <w:p w14:paraId="72A4181B" w14:textId="77777777" w:rsidR="00D64495" w:rsidRDefault="00D64495" w:rsidP="00862171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>V</w:t>
      </w:r>
      <w:r w:rsidRPr="00D420AD">
        <w:rPr>
          <w:rFonts w:cstheme="minorHAnsi"/>
        </w:rPr>
        <w:t>e sledovaném období</w:t>
      </w:r>
      <w:r>
        <w:rPr>
          <w:rFonts w:cstheme="minorHAnsi"/>
        </w:rPr>
        <w:t xml:space="preserve"> </w:t>
      </w:r>
      <w:r w:rsidRPr="00D420AD">
        <w:rPr>
          <w:rFonts w:cstheme="minorHAnsi"/>
        </w:rPr>
        <w:t>vykazovalo náklady na transfery</w:t>
      </w:r>
      <w:r>
        <w:rPr>
          <w:rFonts w:cstheme="minorHAnsi"/>
        </w:rPr>
        <w:t xml:space="preserve"> zejména MV. Výše vykázaných transferových nákladů MV se pohybovala na úrovni zhruba 40 % celkových nákladů MV; největší podíl zaujímaly v roce 2017.</w:t>
      </w:r>
    </w:p>
    <w:p w14:paraId="1C3DB40E" w14:textId="77777777" w:rsidR="00D64495" w:rsidRPr="005B5B16" w:rsidRDefault="00D64495" w:rsidP="00862171">
      <w:pPr>
        <w:spacing w:after="0"/>
        <w:jc w:val="both"/>
        <w:rPr>
          <w:rFonts w:cstheme="minorHAnsi"/>
        </w:rPr>
      </w:pPr>
    </w:p>
    <w:p w14:paraId="06313476" w14:textId="4D770B36" w:rsidR="00D64495" w:rsidRPr="005E51B7" w:rsidRDefault="00D64495" w:rsidP="00124170">
      <w:pPr>
        <w:pStyle w:val="Titulek"/>
        <w:tabs>
          <w:tab w:val="right" w:pos="9070"/>
        </w:tabs>
        <w:spacing w:before="0" w:after="40"/>
        <w:jc w:val="both"/>
        <w:rPr>
          <w:rFonts w:cstheme="minorHAnsi"/>
          <w:szCs w:val="24"/>
        </w:rPr>
      </w:pPr>
      <w:bookmarkStart w:id="144" w:name="_Toc8984863"/>
      <w:bookmarkStart w:id="145" w:name="_Toc520714656"/>
      <w:bookmarkStart w:id="146" w:name="_Toc69401716"/>
      <w:bookmarkStart w:id="147" w:name="_Toc101336483"/>
      <w:r w:rsidRPr="005E51B7">
        <w:rPr>
          <w:rFonts w:cstheme="minorHAnsi"/>
          <w:szCs w:val="24"/>
        </w:rPr>
        <w:t>Tabulka č.</w:t>
      </w:r>
      <w:r>
        <w:rPr>
          <w:rFonts w:cstheme="minorHAnsi"/>
          <w:szCs w:val="24"/>
        </w:rPr>
        <w:t xml:space="preserve"> 31</w:t>
      </w:r>
      <w:r w:rsidRPr="005E51B7">
        <w:rPr>
          <w:rFonts w:cstheme="minorHAnsi"/>
          <w:szCs w:val="24"/>
        </w:rPr>
        <w:t>: Náklady na transfery přepočtené na 1 zaměstnance</w:t>
      </w:r>
      <w:bookmarkEnd w:id="144"/>
      <w:r w:rsidR="009D6BD8">
        <w:rPr>
          <w:rFonts w:cstheme="minorHAnsi"/>
          <w:szCs w:val="24"/>
        </w:rPr>
        <w:t xml:space="preserve"> </w:t>
      </w:r>
      <w:r w:rsidR="00680E41">
        <w:rPr>
          <w:rFonts w:cstheme="minorHAnsi"/>
          <w:szCs w:val="24"/>
        </w:rPr>
        <w:tab/>
      </w:r>
      <w:r w:rsidR="009D6BD8">
        <w:rPr>
          <w:rFonts w:cstheme="minorHAnsi"/>
          <w:szCs w:val="24"/>
        </w:rPr>
        <w:t>(</w:t>
      </w:r>
      <w:r w:rsidRPr="005E51B7">
        <w:rPr>
          <w:rFonts w:cstheme="minorHAnsi"/>
          <w:szCs w:val="24"/>
        </w:rPr>
        <w:t>v Kč)</w:t>
      </w:r>
      <w:bookmarkEnd w:id="145"/>
      <w:bookmarkEnd w:id="146"/>
      <w:bookmarkEnd w:id="147"/>
    </w:p>
    <w:tbl>
      <w:tblPr>
        <w:tblW w:w="499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2"/>
        <w:gridCol w:w="1491"/>
        <w:gridCol w:w="1491"/>
        <w:gridCol w:w="1491"/>
        <w:gridCol w:w="1487"/>
        <w:gridCol w:w="1486"/>
      </w:tblGrid>
      <w:tr w:rsidR="00D64495" w:rsidRPr="005B5B16" w14:paraId="2124B94C" w14:textId="77777777" w:rsidTr="00D64495">
        <w:trPr>
          <w:trHeight w:val="255"/>
        </w:trPr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8B64F43" w14:textId="77777777" w:rsidR="00D64495" w:rsidRPr="005B5B16" w:rsidRDefault="00D64495" w:rsidP="00862171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Organizace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50B803F" w14:textId="77777777" w:rsidR="00D64495" w:rsidRPr="005B5B16" w:rsidRDefault="00D64495" w:rsidP="00862171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2017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543F8F5" w14:textId="77777777" w:rsidR="00D64495" w:rsidRPr="005B5B16" w:rsidRDefault="00D64495" w:rsidP="00862171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2018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BB2A373" w14:textId="77777777" w:rsidR="00D64495" w:rsidRPr="005B5B16" w:rsidRDefault="00D64495" w:rsidP="00862171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2019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7F354173" w14:textId="77777777" w:rsidR="00D64495" w:rsidRPr="005B5B16" w:rsidRDefault="00D64495" w:rsidP="00862171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2020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391CCE57" w14:textId="77777777" w:rsidR="00D64495" w:rsidRPr="005B5B16" w:rsidRDefault="00D64495" w:rsidP="00862171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2021</w:t>
            </w:r>
          </w:p>
        </w:tc>
      </w:tr>
      <w:tr w:rsidR="00D64495" w:rsidRPr="005B5B16" w14:paraId="4C0E37FC" w14:textId="77777777" w:rsidTr="00D64495">
        <w:trPr>
          <w:trHeight w:val="25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55C59" w14:textId="77777777" w:rsidR="00D64495" w:rsidRPr="003B70AA" w:rsidRDefault="00D64495" w:rsidP="00862171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3B70AA">
              <w:rPr>
                <w:rFonts w:cstheme="minorHAnsi"/>
                <w:sz w:val="18"/>
                <w:szCs w:val="18"/>
              </w:rPr>
              <w:t>MV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47D9A" w14:textId="77777777" w:rsidR="00D64495" w:rsidRPr="003B70AA" w:rsidRDefault="00D64495" w:rsidP="00862171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3B70AA">
              <w:rPr>
                <w:sz w:val="18"/>
                <w:szCs w:val="18"/>
              </w:rPr>
              <w:t>1 124 423,72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34A6C" w14:textId="77777777" w:rsidR="00D64495" w:rsidRPr="003B70AA" w:rsidRDefault="00D64495" w:rsidP="00862171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3B70AA">
              <w:rPr>
                <w:sz w:val="18"/>
                <w:szCs w:val="18"/>
              </w:rPr>
              <w:t>1 116 811,35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AE407" w14:textId="77777777" w:rsidR="00D64495" w:rsidRPr="003B70AA" w:rsidRDefault="00D64495" w:rsidP="00862171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3B70AA">
              <w:rPr>
                <w:sz w:val="18"/>
                <w:szCs w:val="18"/>
              </w:rPr>
              <w:t>1 164 689,20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AD5BA" w14:textId="77777777" w:rsidR="00D64495" w:rsidRPr="003B70AA" w:rsidRDefault="00D64495" w:rsidP="00862171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3B70AA">
              <w:rPr>
                <w:sz w:val="18"/>
                <w:szCs w:val="18"/>
              </w:rPr>
              <w:t>1 250 208,16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64411" w14:textId="77777777" w:rsidR="00D64495" w:rsidRPr="003B70AA" w:rsidRDefault="00D64495" w:rsidP="00862171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3B70AA">
              <w:rPr>
                <w:sz w:val="18"/>
                <w:szCs w:val="18"/>
              </w:rPr>
              <w:t>1 328 386,75</w:t>
            </w:r>
          </w:p>
        </w:tc>
      </w:tr>
      <w:tr w:rsidR="00D64495" w:rsidRPr="005B5B16" w14:paraId="5AB27D47" w14:textId="77777777" w:rsidTr="00D64495">
        <w:trPr>
          <w:trHeight w:val="25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6A978" w14:textId="77777777" w:rsidR="00D64495" w:rsidRPr="003B70AA" w:rsidRDefault="00D64495" w:rsidP="00862171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3B70AA">
              <w:rPr>
                <w:rFonts w:cstheme="minorHAnsi"/>
                <w:sz w:val="18"/>
                <w:szCs w:val="18"/>
              </w:rPr>
              <w:t>OSS bez MV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04227" w14:textId="77777777" w:rsidR="00D64495" w:rsidRPr="003B70AA" w:rsidRDefault="00D64495" w:rsidP="00862171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3B70AA">
              <w:rPr>
                <w:sz w:val="18"/>
                <w:szCs w:val="18"/>
              </w:rPr>
              <w:t>6 473,59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698AE" w14:textId="77777777" w:rsidR="00D64495" w:rsidRPr="003B70AA" w:rsidRDefault="00D64495" w:rsidP="00862171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3B70AA">
              <w:rPr>
                <w:sz w:val="18"/>
                <w:szCs w:val="18"/>
              </w:rPr>
              <w:t>8 797,85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BFBC3" w14:textId="77777777" w:rsidR="00D64495" w:rsidRPr="003B70AA" w:rsidRDefault="00D64495" w:rsidP="00862171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3B70AA">
              <w:rPr>
                <w:sz w:val="18"/>
                <w:szCs w:val="18"/>
              </w:rPr>
              <w:t>13 899,77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65CA6" w14:textId="77777777" w:rsidR="00D64495" w:rsidRPr="003B70AA" w:rsidRDefault="00D64495" w:rsidP="00862171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3B70AA">
              <w:rPr>
                <w:sz w:val="18"/>
                <w:szCs w:val="18"/>
              </w:rPr>
              <w:t>15 676,63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D5353" w14:textId="77777777" w:rsidR="00D64495" w:rsidRPr="003B70AA" w:rsidRDefault="00D64495" w:rsidP="00862171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3B70AA">
              <w:rPr>
                <w:sz w:val="18"/>
                <w:szCs w:val="18"/>
              </w:rPr>
              <w:t>21 607,96</w:t>
            </w:r>
          </w:p>
        </w:tc>
      </w:tr>
    </w:tbl>
    <w:p w14:paraId="0C7CFCBD" w14:textId="77777777" w:rsidR="00D64495" w:rsidRPr="00862171" w:rsidRDefault="00D64495" w:rsidP="00D64495">
      <w:pPr>
        <w:pStyle w:val="Zdroj"/>
        <w:spacing w:before="40" w:after="120"/>
        <w:rPr>
          <w:rFonts w:asciiTheme="minorHAnsi" w:hAnsiTheme="minorHAnsi"/>
          <w:i w:val="0"/>
        </w:rPr>
      </w:pPr>
      <w:bookmarkStart w:id="148" w:name="_Toc520715180"/>
      <w:r w:rsidRPr="00862171">
        <w:rPr>
          <w:rFonts w:asciiTheme="minorHAnsi" w:hAnsiTheme="minorHAnsi"/>
          <w:b/>
          <w:i w:val="0"/>
        </w:rPr>
        <w:t xml:space="preserve">Zdroj: </w:t>
      </w:r>
      <w:r w:rsidRPr="00862171">
        <w:rPr>
          <w:rFonts w:asciiTheme="minorHAnsi" w:hAnsiTheme="minorHAnsi"/>
          <w:i w:val="0"/>
        </w:rPr>
        <w:t>výpočet NKÚ.</w:t>
      </w:r>
    </w:p>
    <w:p w14:paraId="31F8A060" w14:textId="6AF606C8" w:rsidR="00D64495" w:rsidRPr="00862171" w:rsidRDefault="00D64495" w:rsidP="00862171">
      <w:pPr>
        <w:pStyle w:val="Zdroj"/>
        <w:spacing w:before="0"/>
        <w:jc w:val="both"/>
        <w:rPr>
          <w:rFonts w:asciiTheme="minorHAnsi" w:hAnsiTheme="minorHAnsi"/>
          <w:i w:val="0"/>
          <w:iCs/>
          <w:sz w:val="24"/>
        </w:rPr>
      </w:pPr>
      <w:r w:rsidRPr="00862171">
        <w:rPr>
          <w:rFonts w:asciiTheme="minorHAnsi" w:hAnsiTheme="minorHAnsi"/>
          <w:i w:val="0"/>
          <w:iCs/>
          <w:sz w:val="24"/>
        </w:rPr>
        <w:t>Vývoj nákladů na transfery přepočten</w:t>
      </w:r>
      <w:r w:rsidR="00574536">
        <w:rPr>
          <w:rFonts w:asciiTheme="minorHAnsi" w:hAnsiTheme="minorHAnsi"/>
          <w:i w:val="0"/>
          <w:iCs/>
          <w:sz w:val="24"/>
        </w:rPr>
        <w:t>ých</w:t>
      </w:r>
      <w:r w:rsidRPr="00862171">
        <w:rPr>
          <w:rFonts w:asciiTheme="minorHAnsi" w:hAnsiTheme="minorHAnsi"/>
          <w:i w:val="0"/>
          <w:iCs/>
          <w:sz w:val="24"/>
        </w:rPr>
        <w:t xml:space="preserve"> na jednoho zaměstnance ve sledovaném období nekopíroval vývoj samotných nákladů na transfery. Nejvyšší hodnotu měly </w:t>
      </w:r>
      <w:r w:rsidR="00680E41">
        <w:rPr>
          <w:rFonts w:asciiTheme="minorHAnsi" w:hAnsiTheme="minorHAnsi"/>
          <w:i w:val="0"/>
          <w:iCs/>
          <w:sz w:val="24"/>
        </w:rPr>
        <w:t xml:space="preserve">tyto </w:t>
      </w:r>
      <w:r w:rsidRPr="00862171">
        <w:rPr>
          <w:rFonts w:asciiTheme="minorHAnsi" w:hAnsiTheme="minorHAnsi"/>
          <w:i w:val="0"/>
          <w:iCs/>
          <w:sz w:val="24"/>
        </w:rPr>
        <w:t>náklady v roce 2021.</w:t>
      </w:r>
    </w:p>
    <w:p w14:paraId="2A2D41D1" w14:textId="77777777" w:rsidR="00D64495" w:rsidRPr="00B249F9" w:rsidRDefault="00D64495" w:rsidP="00862171">
      <w:pPr>
        <w:pStyle w:val="Zdroj"/>
        <w:spacing w:before="0"/>
        <w:jc w:val="both"/>
        <w:rPr>
          <w:b/>
          <w:bCs/>
          <w:i w:val="0"/>
          <w:iCs/>
          <w:sz w:val="24"/>
        </w:rPr>
      </w:pPr>
    </w:p>
    <w:p w14:paraId="2542B895" w14:textId="77777777" w:rsidR="00D64495" w:rsidRPr="00727C0B" w:rsidRDefault="00D64495" w:rsidP="00124170">
      <w:pPr>
        <w:pStyle w:val="Titulek"/>
        <w:tabs>
          <w:tab w:val="right" w:pos="9070"/>
        </w:tabs>
        <w:spacing w:before="0" w:after="40"/>
        <w:ind w:left="1474" w:hanging="1474"/>
        <w:jc w:val="both"/>
        <w:rPr>
          <w:rFonts w:cstheme="minorHAnsi"/>
          <w:szCs w:val="24"/>
        </w:rPr>
      </w:pPr>
      <w:bookmarkStart w:id="149" w:name="_Toc8984864"/>
      <w:bookmarkStart w:id="150" w:name="_Toc520714657"/>
      <w:bookmarkStart w:id="151" w:name="_Toc69401717"/>
      <w:bookmarkStart w:id="152" w:name="_Toc101336484"/>
      <w:bookmarkEnd w:id="148"/>
      <w:r w:rsidRPr="00727C0B">
        <w:rPr>
          <w:rFonts w:cstheme="minorHAnsi"/>
          <w:szCs w:val="24"/>
        </w:rPr>
        <w:t>Tabulka č.</w:t>
      </w:r>
      <w:r>
        <w:rPr>
          <w:rFonts w:cstheme="minorHAnsi"/>
          <w:szCs w:val="24"/>
        </w:rPr>
        <w:t xml:space="preserve"> 32</w:t>
      </w:r>
      <w:r w:rsidRPr="00727C0B">
        <w:rPr>
          <w:rFonts w:cstheme="minorHAnsi"/>
          <w:szCs w:val="24"/>
        </w:rPr>
        <w:t xml:space="preserve">: </w:t>
      </w:r>
      <w:r w:rsidR="00680E41">
        <w:rPr>
          <w:rFonts w:cstheme="minorHAnsi"/>
          <w:szCs w:val="24"/>
        </w:rPr>
        <w:tab/>
      </w:r>
      <w:r w:rsidRPr="00727C0B">
        <w:rPr>
          <w:rFonts w:cstheme="minorHAnsi"/>
          <w:szCs w:val="24"/>
        </w:rPr>
        <w:t>Výnosy z transferů (položka B.IV. výkazu zisku a ztráty) u MV a OSS</w:t>
      </w:r>
      <w:bookmarkEnd w:id="149"/>
      <w:r w:rsidR="00574536">
        <w:rPr>
          <w:rFonts w:cstheme="minorHAnsi"/>
          <w:szCs w:val="24"/>
        </w:rPr>
        <w:t xml:space="preserve"> (bez MV)</w:t>
      </w:r>
      <w:r w:rsidRPr="00727C0B">
        <w:rPr>
          <w:rFonts w:cstheme="minorHAnsi"/>
          <w:szCs w:val="24"/>
        </w:rPr>
        <w:t xml:space="preserve"> v rozpočtové kapitole 314</w:t>
      </w:r>
      <w:r w:rsidR="009D6BD8">
        <w:rPr>
          <w:rFonts w:cstheme="minorHAnsi"/>
          <w:szCs w:val="24"/>
        </w:rPr>
        <w:t xml:space="preserve"> </w:t>
      </w:r>
      <w:r w:rsidR="00680E41">
        <w:rPr>
          <w:rFonts w:cstheme="minorHAnsi"/>
          <w:szCs w:val="24"/>
        </w:rPr>
        <w:tab/>
      </w:r>
      <w:r w:rsidR="009D6BD8">
        <w:rPr>
          <w:rFonts w:cstheme="minorHAnsi"/>
          <w:szCs w:val="24"/>
        </w:rPr>
        <w:t>(</w:t>
      </w:r>
      <w:r w:rsidRPr="00727C0B">
        <w:rPr>
          <w:rFonts w:cstheme="minorHAnsi"/>
          <w:szCs w:val="24"/>
        </w:rPr>
        <w:t>v Kč)</w:t>
      </w:r>
      <w:bookmarkEnd w:id="150"/>
      <w:bookmarkEnd w:id="151"/>
      <w:bookmarkEnd w:id="152"/>
    </w:p>
    <w:tbl>
      <w:tblPr>
        <w:tblW w:w="499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2"/>
        <w:gridCol w:w="1491"/>
        <w:gridCol w:w="1491"/>
        <w:gridCol w:w="1491"/>
        <w:gridCol w:w="1487"/>
        <w:gridCol w:w="1486"/>
      </w:tblGrid>
      <w:tr w:rsidR="00D64495" w:rsidRPr="005B5B16" w14:paraId="75253A17" w14:textId="77777777" w:rsidTr="00D64495">
        <w:trPr>
          <w:trHeight w:val="255"/>
        </w:trPr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BAFF4D0" w14:textId="77777777" w:rsidR="00D64495" w:rsidRPr="005B5B16" w:rsidRDefault="00D64495" w:rsidP="00862171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Organizace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84F8A61" w14:textId="77777777" w:rsidR="00D64495" w:rsidRPr="005B5B16" w:rsidRDefault="00D64495" w:rsidP="00862171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2017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E7C9BA2" w14:textId="77777777" w:rsidR="00D64495" w:rsidRPr="005B5B16" w:rsidRDefault="00D64495" w:rsidP="00862171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2018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D6B5B03" w14:textId="77777777" w:rsidR="00D64495" w:rsidRPr="005B5B16" w:rsidRDefault="00D64495" w:rsidP="00862171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2019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0A8F4EAC" w14:textId="77777777" w:rsidR="00D64495" w:rsidRPr="005B5B16" w:rsidRDefault="00D64495" w:rsidP="00862171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2020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36C9C206" w14:textId="77777777" w:rsidR="00D64495" w:rsidRPr="005B5B16" w:rsidRDefault="00D64495" w:rsidP="00862171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2021</w:t>
            </w:r>
          </w:p>
        </w:tc>
      </w:tr>
      <w:tr w:rsidR="00D64495" w:rsidRPr="005B5B16" w14:paraId="55DB6AA5" w14:textId="77777777" w:rsidTr="00D64495">
        <w:trPr>
          <w:trHeight w:val="25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2835C" w14:textId="77777777" w:rsidR="00D64495" w:rsidRPr="005B5B16" w:rsidRDefault="00D64495" w:rsidP="00862171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MV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635C5" w14:textId="77777777" w:rsidR="00D64495" w:rsidRPr="005B5B16" w:rsidRDefault="00D64495" w:rsidP="00862171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256 505 902,79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975C5" w14:textId="77777777" w:rsidR="00D64495" w:rsidRPr="005B5B16" w:rsidRDefault="00D64495" w:rsidP="00862171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441 714 869,71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7F109" w14:textId="77777777" w:rsidR="00D64495" w:rsidRPr="005B5B16" w:rsidRDefault="00D64495" w:rsidP="00862171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434 998 299,02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6EABF" w14:textId="77777777" w:rsidR="00D64495" w:rsidRPr="005B5B16" w:rsidRDefault="00D64495" w:rsidP="00862171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552 887 723,95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85A41" w14:textId="77777777" w:rsidR="00D64495" w:rsidRPr="005B5B16" w:rsidRDefault="00D64495" w:rsidP="00862171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257 153 468,12</w:t>
            </w:r>
          </w:p>
        </w:tc>
      </w:tr>
      <w:tr w:rsidR="00D64495" w:rsidRPr="005B5B16" w14:paraId="38E1BD2A" w14:textId="77777777" w:rsidTr="00D64495">
        <w:trPr>
          <w:trHeight w:val="25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71FAB" w14:textId="77777777" w:rsidR="00D64495" w:rsidRPr="005B5B16" w:rsidRDefault="00D64495" w:rsidP="00862171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OSS bez MV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6DA43" w14:textId="77777777" w:rsidR="00D64495" w:rsidRPr="005B5B16" w:rsidRDefault="00D64495" w:rsidP="00862171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121 700 937,22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FE879" w14:textId="77777777" w:rsidR="00D64495" w:rsidRPr="005B5B16" w:rsidRDefault="00D64495" w:rsidP="00862171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171 160 374,55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64346" w14:textId="77777777" w:rsidR="00D64495" w:rsidRPr="005B5B16" w:rsidRDefault="00D64495" w:rsidP="00862171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141 868 390,97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F9BB0" w14:textId="77777777" w:rsidR="00D64495" w:rsidRPr="005B5B16" w:rsidRDefault="00D64495" w:rsidP="00862171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189 493 635,22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47ECF" w14:textId="77777777" w:rsidR="00D64495" w:rsidRPr="005B5B16" w:rsidRDefault="00D64495" w:rsidP="00862171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106 932 096,00</w:t>
            </w:r>
          </w:p>
        </w:tc>
      </w:tr>
    </w:tbl>
    <w:p w14:paraId="4722D8A9" w14:textId="77777777" w:rsidR="00D64495" w:rsidRPr="00862171" w:rsidRDefault="00D64495" w:rsidP="00D64495">
      <w:pPr>
        <w:pStyle w:val="Zdroj"/>
        <w:spacing w:before="40" w:after="120"/>
        <w:rPr>
          <w:rFonts w:asciiTheme="minorHAnsi" w:hAnsiTheme="minorHAnsi"/>
          <w:bCs/>
          <w:i w:val="0"/>
        </w:rPr>
      </w:pPr>
      <w:r w:rsidRPr="00862171">
        <w:rPr>
          <w:rFonts w:asciiTheme="minorHAnsi" w:hAnsiTheme="minorHAnsi"/>
          <w:b/>
          <w:i w:val="0"/>
        </w:rPr>
        <w:t xml:space="preserve">Zdroj: </w:t>
      </w:r>
      <w:r w:rsidRPr="00862171">
        <w:rPr>
          <w:rFonts w:asciiTheme="minorHAnsi" w:hAnsiTheme="minorHAnsi"/>
          <w:bCs/>
          <w:i w:val="0"/>
        </w:rPr>
        <w:t>informační portál MONITOR.</w:t>
      </w:r>
    </w:p>
    <w:p w14:paraId="1EDEB485" w14:textId="77777777" w:rsidR="00D64495" w:rsidRPr="00862171" w:rsidRDefault="00D64495" w:rsidP="00A13158">
      <w:pPr>
        <w:spacing w:after="0"/>
        <w:jc w:val="both"/>
        <w:rPr>
          <w:rFonts w:asciiTheme="minorHAnsi" w:hAnsiTheme="minorHAnsi" w:cstheme="minorHAnsi"/>
        </w:rPr>
      </w:pPr>
      <w:r w:rsidRPr="00862171">
        <w:rPr>
          <w:rFonts w:asciiTheme="minorHAnsi" w:hAnsiTheme="minorHAnsi" w:cstheme="minorHAnsi"/>
        </w:rPr>
        <w:t xml:space="preserve">Výnosy z transferů, které vykázaly OSS bez MV, byly nejvyšší v roce 2020 a v roce 2021 představovaly necelou polovinu </w:t>
      </w:r>
      <w:r w:rsidR="00680E41">
        <w:rPr>
          <w:rFonts w:asciiTheme="minorHAnsi" w:hAnsiTheme="minorHAnsi" w:cstheme="minorHAnsi"/>
        </w:rPr>
        <w:t xml:space="preserve">transferových </w:t>
      </w:r>
      <w:r w:rsidRPr="00862171">
        <w:rPr>
          <w:rFonts w:asciiTheme="minorHAnsi" w:hAnsiTheme="minorHAnsi" w:cstheme="minorHAnsi"/>
        </w:rPr>
        <w:t>výnosů vykázaných MV.</w:t>
      </w:r>
    </w:p>
    <w:p w14:paraId="60C02616" w14:textId="77777777" w:rsidR="00D64495" w:rsidRDefault="00D64495" w:rsidP="00A13158">
      <w:pPr>
        <w:pStyle w:val="Zdroj"/>
        <w:spacing w:before="0"/>
        <w:jc w:val="both"/>
        <w:rPr>
          <w:rFonts w:asciiTheme="minorHAnsi" w:hAnsiTheme="minorHAnsi"/>
          <w:bCs/>
          <w:i w:val="0"/>
          <w:sz w:val="24"/>
        </w:rPr>
      </w:pPr>
    </w:p>
    <w:p w14:paraId="4681F6AE" w14:textId="77777777" w:rsidR="00A13158" w:rsidRDefault="00A13158" w:rsidP="00A13158">
      <w:pPr>
        <w:pStyle w:val="Zdroj"/>
        <w:spacing w:before="0"/>
        <w:jc w:val="both"/>
        <w:rPr>
          <w:rFonts w:asciiTheme="minorHAnsi" w:hAnsiTheme="minorHAnsi"/>
          <w:bCs/>
          <w:i w:val="0"/>
          <w:sz w:val="24"/>
        </w:rPr>
      </w:pPr>
    </w:p>
    <w:p w14:paraId="02E13F24" w14:textId="5B0B3FFA" w:rsidR="00A13158" w:rsidRPr="00DD3FBB" w:rsidRDefault="00A13158" w:rsidP="00DD3FBB">
      <w:pPr>
        <w:spacing w:after="240"/>
        <w:jc w:val="center"/>
        <w:rPr>
          <w:b/>
          <w:bCs/>
        </w:rPr>
      </w:pPr>
      <w:bookmarkStart w:id="153" w:name="_Toc519242495"/>
      <w:bookmarkStart w:id="154" w:name="_Toc39530427"/>
      <w:r w:rsidRPr="00DD3FBB">
        <w:rPr>
          <w:b/>
          <w:bCs/>
        </w:rPr>
        <w:t>Oddíl VII</w:t>
      </w:r>
      <w:r w:rsidR="00E325EB">
        <w:rPr>
          <w:b/>
          <w:bCs/>
        </w:rPr>
        <w:t>.</w:t>
      </w:r>
      <w:r w:rsidRPr="00DD3FBB">
        <w:rPr>
          <w:b/>
          <w:bCs/>
        </w:rPr>
        <w:t xml:space="preserve"> Struktura nákladů MV v roce 2020 a 20</w:t>
      </w:r>
      <w:bookmarkEnd w:id="153"/>
      <w:bookmarkEnd w:id="154"/>
      <w:r w:rsidRPr="00DD3FBB">
        <w:rPr>
          <w:b/>
          <w:bCs/>
        </w:rPr>
        <w:t>21</w:t>
      </w:r>
    </w:p>
    <w:p w14:paraId="163FF7F6" w14:textId="77777777" w:rsidR="00A13158" w:rsidRPr="00727C0B" w:rsidRDefault="00A13158" w:rsidP="00A13158">
      <w:pPr>
        <w:pStyle w:val="Titulek"/>
        <w:spacing w:before="0" w:after="40"/>
        <w:jc w:val="both"/>
        <w:rPr>
          <w:rFonts w:cstheme="minorHAnsi"/>
          <w:szCs w:val="24"/>
        </w:rPr>
      </w:pPr>
      <w:bookmarkStart w:id="155" w:name="_Toc520714658"/>
      <w:bookmarkStart w:id="156" w:name="_Toc8984865"/>
      <w:bookmarkStart w:id="157" w:name="_Toc69401710"/>
      <w:bookmarkStart w:id="158" w:name="_Toc101336477"/>
      <w:r w:rsidRPr="00727C0B">
        <w:rPr>
          <w:rFonts w:cstheme="minorHAnsi"/>
          <w:szCs w:val="24"/>
        </w:rPr>
        <w:t>Tabulka č.</w:t>
      </w:r>
      <w:r>
        <w:rPr>
          <w:rFonts w:cstheme="minorHAnsi"/>
          <w:szCs w:val="24"/>
        </w:rPr>
        <w:t xml:space="preserve"> 33</w:t>
      </w:r>
      <w:r w:rsidRPr="00727C0B">
        <w:rPr>
          <w:rFonts w:cstheme="minorHAnsi"/>
          <w:szCs w:val="24"/>
        </w:rPr>
        <w:t>: Struktura nákladů MV v roce 2020 a 20</w:t>
      </w:r>
      <w:bookmarkEnd w:id="155"/>
      <w:bookmarkEnd w:id="156"/>
      <w:r w:rsidRPr="00727C0B">
        <w:rPr>
          <w:rFonts w:cstheme="minorHAnsi"/>
          <w:szCs w:val="24"/>
        </w:rPr>
        <w:t>2</w:t>
      </w:r>
      <w:bookmarkEnd w:id="157"/>
      <w:r w:rsidRPr="00727C0B">
        <w:rPr>
          <w:rFonts w:cstheme="minorHAnsi"/>
          <w:szCs w:val="24"/>
        </w:rPr>
        <w:t>1</w:t>
      </w:r>
      <w:bookmarkEnd w:id="158"/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835"/>
        <w:gridCol w:w="425"/>
        <w:gridCol w:w="1630"/>
        <w:gridCol w:w="1631"/>
        <w:gridCol w:w="992"/>
        <w:gridCol w:w="992"/>
      </w:tblGrid>
      <w:tr w:rsidR="00A13158" w:rsidRPr="00727C0B" w14:paraId="74C025B7" w14:textId="77777777" w:rsidTr="00197FB2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2F184E78" w14:textId="77777777" w:rsidR="00A13158" w:rsidRPr="00727C0B" w:rsidRDefault="00A13158" w:rsidP="00197FB2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727C0B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Pol. VZZ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5287219E" w14:textId="77777777" w:rsidR="00A13158" w:rsidRPr="00727C0B" w:rsidRDefault="00A13158" w:rsidP="00197FB2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727C0B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Název položky VZZ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252183F1" w14:textId="77777777" w:rsidR="00A13158" w:rsidRPr="00727C0B" w:rsidRDefault="00A13158" w:rsidP="00197FB2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727C0B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SÚ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11CF6A5A" w14:textId="77777777" w:rsidR="00A13158" w:rsidRPr="00727C0B" w:rsidRDefault="00A13158" w:rsidP="00197FB2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727C0B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Částka v roce 2020</w:t>
            </w:r>
          </w:p>
          <w:p w14:paraId="5D2FC234" w14:textId="77777777" w:rsidR="00A13158" w:rsidRPr="00727C0B" w:rsidRDefault="00A13158" w:rsidP="00197FB2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727C0B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(v Kč)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0C3A37FC" w14:textId="77777777" w:rsidR="00A13158" w:rsidRPr="00727C0B" w:rsidRDefault="00A13158" w:rsidP="00197FB2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727C0B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Částka v roce 2021</w:t>
            </w:r>
          </w:p>
          <w:p w14:paraId="30827206" w14:textId="77777777" w:rsidR="00A13158" w:rsidRPr="00727C0B" w:rsidRDefault="00A13158" w:rsidP="00197FB2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727C0B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(v Kč)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75D21DB" w14:textId="77777777" w:rsidR="00A13158" w:rsidRPr="00727C0B" w:rsidRDefault="00A13158" w:rsidP="00197FB2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727C0B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Podíl v roce 2020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6AE88195" w14:textId="77777777" w:rsidR="00A13158" w:rsidRPr="00727C0B" w:rsidRDefault="00A13158" w:rsidP="00197FB2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727C0B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Podíl v roce 2021</w:t>
            </w:r>
          </w:p>
        </w:tc>
      </w:tr>
      <w:tr w:rsidR="00A13158" w:rsidRPr="00727C0B" w14:paraId="30EC2060" w14:textId="77777777" w:rsidTr="00197FB2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3CF9A" w14:textId="77777777" w:rsidR="00A13158" w:rsidRPr="00727C0B" w:rsidRDefault="00A13158" w:rsidP="00197FB2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727C0B">
              <w:rPr>
                <w:rFonts w:cstheme="minorHAnsi"/>
                <w:sz w:val="18"/>
                <w:szCs w:val="18"/>
              </w:rPr>
              <w:t>A.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FECA3" w14:textId="77777777" w:rsidR="00A13158" w:rsidRPr="00727C0B" w:rsidRDefault="00A13158" w:rsidP="00197FB2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727C0B">
              <w:rPr>
                <w:rFonts w:cstheme="minorHAnsi"/>
                <w:sz w:val="18"/>
                <w:szCs w:val="18"/>
              </w:rPr>
              <w:t>NÁKLADY CELKEM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5EAB3" w14:textId="7D93DD18" w:rsidR="00A13158" w:rsidRPr="00727C0B" w:rsidRDefault="00E325EB" w:rsidP="00197FB2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–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9CBC9" w14:textId="77777777" w:rsidR="00A13158" w:rsidRPr="00727C0B" w:rsidRDefault="00A13158" w:rsidP="00197FB2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727C0B">
              <w:rPr>
                <w:rFonts w:cstheme="minorHAnsi"/>
                <w:sz w:val="18"/>
                <w:szCs w:val="18"/>
              </w:rPr>
              <w:t>37 415 245 847,07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BDA66" w14:textId="77777777" w:rsidR="00A13158" w:rsidRPr="00727C0B" w:rsidRDefault="00A13158" w:rsidP="00197FB2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727C0B">
              <w:rPr>
                <w:rFonts w:cstheme="minorHAnsi"/>
                <w:sz w:val="18"/>
                <w:szCs w:val="18"/>
              </w:rPr>
              <w:t>34 893 859 186,99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668FA" w14:textId="77777777" w:rsidR="00A13158" w:rsidRPr="00727C0B" w:rsidRDefault="00A13158" w:rsidP="00197FB2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727C0B">
              <w:rPr>
                <w:rFonts w:cstheme="minorHAnsi"/>
                <w:sz w:val="18"/>
                <w:szCs w:val="18"/>
              </w:rPr>
              <w:t>100</w:t>
            </w:r>
            <w:r w:rsidR="002059FD">
              <w:rPr>
                <w:rFonts w:cstheme="minorHAnsi"/>
                <w:sz w:val="18"/>
                <w:szCs w:val="18"/>
              </w:rPr>
              <w:t xml:space="preserve"> </w:t>
            </w:r>
            <w:r w:rsidRPr="00727C0B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60434" w14:textId="77777777" w:rsidR="00A13158" w:rsidRPr="00727C0B" w:rsidRDefault="00A13158" w:rsidP="00197FB2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727C0B">
              <w:rPr>
                <w:rFonts w:cstheme="minorHAnsi"/>
                <w:sz w:val="18"/>
                <w:szCs w:val="18"/>
              </w:rPr>
              <w:t>100</w:t>
            </w:r>
            <w:r w:rsidR="002059FD">
              <w:rPr>
                <w:rFonts w:cstheme="minorHAnsi"/>
                <w:sz w:val="18"/>
                <w:szCs w:val="18"/>
              </w:rPr>
              <w:t xml:space="preserve"> </w:t>
            </w:r>
            <w:r w:rsidRPr="00727C0B">
              <w:rPr>
                <w:rFonts w:cstheme="minorHAnsi"/>
                <w:sz w:val="18"/>
                <w:szCs w:val="18"/>
              </w:rPr>
              <w:t>%</w:t>
            </w:r>
          </w:p>
        </w:tc>
      </w:tr>
      <w:tr w:rsidR="00A13158" w:rsidRPr="00727C0B" w14:paraId="22D0EC51" w14:textId="77777777" w:rsidTr="00197FB2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2C269" w14:textId="77777777" w:rsidR="00A13158" w:rsidRPr="00727C0B" w:rsidRDefault="00A13158" w:rsidP="00197FB2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727C0B">
              <w:rPr>
                <w:rFonts w:cstheme="minorHAnsi"/>
                <w:sz w:val="18"/>
                <w:szCs w:val="18"/>
              </w:rPr>
              <w:t>A.I.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9378C" w14:textId="77777777" w:rsidR="00A13158" w:rsidRPr="00727C0B" w:rsidRDefault="00A13158" w:rsidP="00197FB2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727C0B">
              <w:rPr>
                <w:rFonts w:cstheme="minorHAnsi"/>
                <w:sz w:val="18"/>
                <w:szCs w:val="18"/>
              </w:rPr>
              <w:t>Náklady z</w:t>
            </w:r>
            <w:r w:rsidR="00F71CBF">
              <w:rPr>
                <w:rFonts w:cstheme="minorHAnsi"/>
                <w:sz w:val="18"/>
                <w:szCs w:val="18"/>
              </w:rPr>
              <w:t> </w:t>
            </w:r>
            <w:r w:rsidRPr="00727C0B">
              <w:rPr>
                <w:rFonts w:cstheme="minorHAnsi"/>
                <w:sz w:val="18"/>
                <w:szCs w:val="18"/>
              </w:rPr>
              <w:t>činnosti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4C403" w14:textId="2C95EA17" w:rsidR="00A13158" w:rsidRPr="00727C0B" w:rsidRDefault="00E325EB" w:rsidP="00197FB2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–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06BE0" w14:textId="77777777" w:rsidR="00A13158" w:rsidRPr="00727C0B" w:rsidRDefault="00A13158" w:rsidP="00197FB2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727C0B">
              <w:rPr>
                <w:rFonts w:cstheme="minorHAnsi"/>
                <w:sz w:val="18"/>
                <w:szCs w:val="18"/>
              </w:rPr>
              <w:t>23 506 496 253,69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7407A" w14:textId="77777777" w:rsidR="00A13158" w:rsidRPr="00727C0B" w:rsidRDefault="00A13158" w:rsidP="00197FB2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727C0B">
              <w:rPr>
                <w:rFonts w:cstheme="minorHAnsi"/>
                <w:sz w:val="18"/>
                <w:szCs w:val="18"/>
              </w:rPr>
              <w:t>20 448 287 670,99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14277" w14:textId="77777777" w:rsidR="00A13158" w:rsidRPr="00727C0B" w:rsidRDefault="00A13158" w:rsidP="00197FB2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727C0B">
              <w:rPr>
                <w:rFonts w:cstheme="minorHAnsi"/>
                <w:sz w:val="18"/>
                <w:szCs w:val="18"/>
              </w:rPr>
              <w:t>63</w:t>
            </w:r>
            <w:r w:rsidR="002059FD">
              <w:rPr>
                <w:rFonts w:cstheme="minorHAnsi"/>
                <w:sz w:val="18"/>
                <w:szCs w:val="18"/>
              </w:rPr>
              <w:t xml:space="preserve"> </w:t>
            </w:r>
            <w:r w:rsidRPr="00727C0B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FA745" w14:textId="77777777" w:rsidR="00A13158" w:rsidRPr="00727C0B" w:rsidRDefault="00A13158" w:rsidP="00197FB2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727C0B">
              <w:rPr>
                <w:rFonts w:cstheme="minorHAnsi"/>
                <w:sz w:val="18"/>
                <w:szCs w:val="18"/>
              </w:rPr>
              <w:t>59</w:t>
            </w:r>
            <w:r w:rsidR="002059FD">
              <w:rPr>
                <w:rFonts w:cstheme="minorHAnsi"/>
                <w:sz w:val="18"/>
                <w:szCs w:val="18"/>
              </w:rPr>
              <w:t xml:space="preserve"> </w:t>
            </w:r>
            <w:r w:rsidRPr="00727C0B">
              <w:rPr>
                <w:rFonts w:cstheme="minorHAnsi"/>
                <w:sz w:val="18"/>
                <w:szCs w:val="18"/>
              </w:rPr>
              <w:t>%</w:t>
            </w:r>
          </w:p>
        </w:tc>
      </w:tr>
      <w:tr w:rsidR="00A13158" w:rsidRPr="00727C0B" w14:paraId="74772ACA" w14:textId="77777777" w:rsidTr="00197FB2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6A8C8" w14:textId="77777777" w:rsidR="00A13158" w:rsidRPr="00727C0B" w:rsidRDefault="00A13158" w:rsidP="00197FB2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727C0B">
              <w:rPr>
                <w:rFonts w:cstheme="minorHAnsi"/>
                <w:sz w:val="18"/>
                <w:szCs w:val="18"/>
              </w:rPr>
              <w:t>A.II.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5D3D3" w14:textId="77777777" w:rsidR="00A13158" w:rsidRPr="00727C0B" w:rsidRDefault="00A13158" w:rsidP="00197FB2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727C0B">
              <w:rPr>
                <w:rFonts w:cstheme="minorHAnsi"/>
                <w:sz w:val="18"/>
                <w:szCs w:val="18"/>
              </w:rPr>
              <w:t>Finanční náklady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C3751" w14:textId="0E423E50" w:rsidR="00A13158" w:rsidRPr="00727C0B" w:rsidRDefault="00E325EB" w:rsidP="00197FB2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–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30D51" w14:textId="77777777" w:rsidR="00A13158" w:rsidRPr="00727C0B" w:rsidRDefault="00A13158" w:rsidP="00197FB2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727C0B">
              <w:rPr>
                <w:rFonts w:cstheme="minorHAnsi"/>
                <w:sz w:val="18"/>
                <w:szCs w:val="18"/>
              </w:rPr>
              <w:t>495 691 328,32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2D609" w14:textId="77777777" w:rsidR="00A13158" w:rsidRPr="00727C0B" w:rsidRDefault="00A13158" w:rsidP="00197FB2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727C0B">
              <w:rPr>
                <w:rFonts w:cstheme="minorHAnsi"/>
                <w:sz w:val="18"/>
                <w:szCs w:val="18"/>
              </w:rPr>
              <w:t>39 203 944,84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9E99E" w14:textId="77777777" w:rsidR="00A13158" w:rsidRPr="00727C0B" w:rsidRDefault="00A13158" w:rsidP="00197FB2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727C0B">
              <w:rPr>
                <w:rFonts w:cstheme="minorHAnsi"/>
                <w:sz w:val="18"/>
                <w:szCs w:val="18"/>
              </w:rPr>
              <w:t>1</w:t>
            </w:r>
            <w:r w:rsidR="002059FD">
              <w:rPr>
                <w:rFonts w:cstheme="minorHAnsi"/>
                <w:sz w:val="18"/>
                <w:szCs w:val="18"/>
              </w:rPr>
              <w:t xml:space="preserve"> </w:t>
            </w:r>
            <w:r w:rsidRPr="00727C0B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41DC6" w14:textId="77777777" w:rsidR="00A13158" w:rsidRPr="00727C0B" w:rsidRDefault="00A13158" w:rsidP="00197FB2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727C0B">
              <w:rPr>
                <w:rFonts w:cstheme="minorHAnsi"/>
                <w:sz w:val="18"/>
                <w:szCs w:val="18"/>
              </w:rPr>
              <w:t>0</w:t>
            </w:r>
            <w:r w:rsidR="002059FD">
              <w:rPr>
                <w:rFonts w:cstheme="minorHAnsi"/>
                <w:sz w:val="18"/>
                <w:szCs w:val="18"/>
              </w:rPr>
              <w:t xml:space="preserve"> </w:t>
            </w:r>
            <w:r w:rsidRPr="00727C0B">
              <w:rPr>
                <w:rFonts w:cstheme="minorHAnsi"/>
                <w:sz w:val="18"/>
                <w:szCs w:val="18"/>
              </w:rPr>
              <w:t>%</w:t>
            </w:r>
          </w:p>
        </w:tc>
      </w:tr>
      <w:tr w:rsidR="00A13158" w:rsidRPr="00727C0B" w14:paraId="594A1F6F" w14:textId="77777777" w:rsidTr="00197FB2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17CF3" w14:textId="77777777" w:rsidR="00A13158" w:rsidRPr="00727C0B" w:rsidRDefault="00A13158" w:rsidP="00197FB2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727C0B">
              <w:rPr>
                <w:rFonts w:cstheme="minorHAnsi"/>
                <w:sz w:val="18"/>
                <w:szCs w:val="18"/>
              </w:rPr>
              <w:t>A.III.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3299B" w14:textId="77777777" w:rsidR="00A13158" w:rsidRPr="00727C0B" w:rsidRDefault="00A13158" w:rsidP="00197FB2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727C0B">
              <w:rPr>
                <w:rFonts w:cstheme="minorHAnsi"/>
                <w:sz w:val="18"/>
                <w:szCs w:val="18"/>
              </w:rPr>
              <w:t>Náklady na transfery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FE30B" w14:textId="1E5D4141" w:rsidR="00A13158" w:rsidRPr="00727C0B" w:rsidRDefault="00E325EB" w:rsidP="00197FB2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–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5FEA0" w14:textId="77777777" w:rsidR="00A13158" w:rsidRPr="00727C0B" w:rsidRDefault="00A13158" w:rsidP="00197FB2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727C0B">
              <w:rPr>
                <w:rFonts w:cstheme="minorHAnsi"/>
                <w:sz w:val="18"/>
                <w:szCs w:val="18"/>
              </w:rPr>
              <w:t>13 413 058 265,06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633F6" w14:textId="77777777" w:rsidR="00A13158" w:rsidRPr="00727C0B" w:rsidRDefault="00A13158" w:rsidP="00197FB2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727C0B">
              <w:rPr>
                <w:rFonts w:cstheme="minorHAnsi"/>
                <w:sz w:val="18"/>
                <w:szCs w:val="18"/>
              </w:rPr>
              <w:t>14 406 367 571,16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45DAE" w14:textId="77777777" w:rsidR="00A13158" w:rsidRPr="00727C0B" w:rsidRDefault="00A13158" w:rsidP="00197FB2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727C0B">
              <w:rPr>
                <w:rFonts w:cstheme="minorHAnsi"/>
                <w:sz w:val="18"/>
                <w:szCs w:val="18"/>
              </w:rPr>
              <w:t>36</w:t>
            </w:r>
            <w:r w:rsidR="002059FD">
              <w:rPr>
                <w:rFonts w:cstheme="minorHAnsi"/>
                <w:sz w:val="18"/>
                <w:szCs w:val="18"/>
              </w:rPr>
              <w:t xml:space="preserve"> </w:t>
            </w:r>
            <w:r w:rsidRPr="00727C0B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A92B0" w14:textId="77777777" w:rsidR="00A13158" w:rsidRPr="00727C0B" w:rsidRDefault="00A13158" w:rsidP="00197FB2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727C0B">
              <w:rPr>
                <w:rFonts w:cstheme="minorHAnsi"/>
                <w:sz w:val="18"/>
                <w:szCs w:val="18"/>
              </w:rPr>
              <w:t>41</w:t>
            </w:r>
            <w:r w:rsidR="002059FD">
              <w:rPr>
                <w:rFonts w:cstheme="minorHAnsi"/>
                <w:sz w:val="18"/>
                <w:szCs w:val="18"/>
              </w:rPr>
              <w:t xml:space="preserve"> </w:t>
            </w:r>
            <w:r w:rsidRPr="00727C0B">
              <w:rPr>
                <w:rFonts w:cstheme="minorHAnsi"/>
                <w:sz w:val="18"/>
                <w:szCs w:val="18"/>
              </w:rPr>
              <w:t>%</w:t>
            </w:r>
          </w:p>
        </w:tc>
      </w:tr>
      <w:tr w:rsidR="00A13158" w:rsidRPr="00727C0B" w14:paraId="4F88A822" w14:textId="77777777" w:rsidTr="00197FB2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4D9B1" w14:textId="77777777" w:rsidR="00A13158" w:rsidRPr="00727C0B" w:rsidRDefault="00A13158" w:rsidP="00197FB2">
            <w:pPr>
              <w:spacing w:after="0"/>
              <w:rPr>
                <w:rFonts w:cstheme="minorHAnsi"/>
                <w:i/>
                <w:sz w:val="18"/>
                <w:szCs w:val="18"/>
              </w:rPr>
            </w:pPr>
            <w:r w:rsidRPr="00727C0B">
              <w:rPr>
                <w:rFonts w:cstheme="minorHAnsi"/>
                <w:i/>
                <w:sz w:val="18"/>
                <w:szCs w:val="18"/>
              </w:rPr>
              <w:t>A.III.1.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1D9D" w14:textId="77777777" w:rsidR="00A13158" w:rsidRPr="00727C0B" w:rsidRDefault="00A13158" w:rsidP="00197FB2">
            <w:pPr>
              <w:spacing w:after="0"/>
              <w:rPr>
                <w:rFonts w:cstheme="minorHAnsi"/>
                <w:i/>
                <w:sz w:val="18"/>
                <w:szCs w:val="18"/>
              </w:rPr>
            </w:pPr>
            <w:r w:rsidRPr="00727C0B">
              <w:rPr>
                <w:rFonts w:cstheme="minorHAnsi"/>
                <w:i/>
                <w:sz w:val="18"/>
                <w:szCs w:val="18"/>
              </w:rPr>
              <w:t>Náklady vybraných ústředních vládních institucí na transfery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CE05D" w14:textId="77777777" w:rsidR="00A13158" w:rsidRPr="00A07476" w:rsidRDefault="00A13158" w:rsidP="00197FB2">
            <w:pPr>
              <w:spacing w:after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A07476">
              <w:rPr>
                <w:rFonts w:cstheme="minorHAnsi"/>
                <w:iCs/>
                <w:sz w:val="18"/>
                <w:szCs w:val="18"/>
              </w:rPr>
              <w:t>571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7F879" w14:textId="77777777" w:rsidR="00A13158" w:rsidRPr="00727C0B" w:rsidRDefault="00A13158" w:rsidP="00197FB2">
            <w:pPr>
              <w:spacing w:after="0"/>
              <w:jc w:val="right"/>
              <w:rPr>
                <w:rFonts w:cstheme="minorHAnsi"/>
                <w:i/>
                <w:sz w:val="18"/>
                <w:szCs w:val="18"/>
              </w:rPr>
            </w:pPr>
            <w:r w:rsidRPr="00727C0B">
              <w:rPr>
                <w:rFonts w:cstheme="minorHAnsi"/>
                <w:i/>
                <w:sz w:val="18"/>
                <w:szCs w:val="18"/>
              </w:rPr>
              <w:t>13 326 077 419,29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405A2" w14:textId="77777777" w:rsidR="00A13158" w:rsidRPr="00727C0B" w:rsidRDefault="00A13158" w:rsidP="00197FB2">
            <w:pPr>
              <w:spacing w:after="0"/>
              <w:jc w:val="right"/>
              <w:rPr>
                <w:rFonts w:cstheme="minorHAnsi"/>
                <w:i/>
                <w:sz w:val="18"/>
                <w:szCs w:val="18"/>
              </w:rPr>
            </w:pPr>
            <w:r w:rsidRPr="00727C0B">
              <w:rPr>
                <w:rFonts w:cstheme="minorHAnsi"/>
                <w:i/>
                <w:sz w:val="18"/>
                <w:szCs w:val="18"/>
              </w:rPr>
              <w:t>14 353 529 832,24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90339" w14:textId="77777777" w:rsidR="00A13158" w:rsidRPr="00727C0B" w:rsidRDefault="00A13158" w:rsidP="00197FB2">
            <w:pPr>
              <w:spacing w:after="0"/>
              <w:jc w:val="right"/>
              <w:rPr>
                <w:rFonts w:cstheme="minorHAnsi"/>
                <w:i/>
                <w:sz w:val="18"/>
                <w:szCs w:val="18"/>
              </w:rPr>
            </w:pPr>
            <w:r w:rsidRPr="00727C0B">
              <w:rPr>
                <w:rFonts w:cstheme="minorHAnsi"/>
                <w:i/>
                <w:sz w:val="18"/>
                <w:szCs w:val="18"/>
              </w:rPr>
              <w:t>36</w:t>
            </w:r>
            <w:r w:rsidR="002059FD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727C0B">
              <w:rPr>
                <w:rFonts w:cstheme="minorHAnsi"/>
                <w:i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D86C8" w14:textId="77777777" w:rsidR="00A13158" w:rsidRPr="00727C0B" w:rsidRDefault="00A13158" w:rsidP="00197FB2">
            <w:pPr>
              <w:spacing w:after="0"/>
              <w:jc w:val="right"/>
              <w:rPr>
                <w:rFonts w:cstheme="minorHAnsi"/>
                <w:i/>
                <w:sz w:val="18"/>
                <w:szCs w:val="18"/>
              </w:rPr>
            </w:pPr>
            <w:r w:rsidRPr="00727C0B">
              <w:rPr>
                <w:rFonts w:cstheme="minorHAnsi"/>
                <w:i/>
                <w:sz w:val="18"/>
                <w:szCs w:val="18"/>
              </w:rPr>
              <w:t>41</w:t>
            </w:r>
            <w:r w:rsidR="002059FD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727C0B">
              <w:rPr>
                <w:rFonts w:cstheme="minorHAnsi"/>
                <w:i/>
                <w:sz w:val="18"/>
                <w:szCs w:val="18"/>
              </w:rPr>
              <w:t>%</w:t>
            </w:r>
          </w:p>
        </w:tc>
      </w:tr>
      <w:tr w:rsidR="00A13158" w:rsidRPr="00727C0B" w14:paraId="04725718" w14:textId="77777777" w:rsidTr="00197FB2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6F565" w14:textId="77777777" w:rsidR="00A13158" w:rsidRPr="00727C0B" w:rsidRDefault="00A13158" w:rsidP="00197FB2">
            <w:pPr>
              <w:spacing w:after="0"/>
              <w:rPr>
                <w:rFonts w:cstheme="minorHAnsi"/>
                <w:i/>
                <w:sz w:val="18"/>
                <w:szCs w:val="18"/>
              </w:rPr>
            </w:pPr>
            <w:r w:rsidRPr="00727C0B">
              <w:rPr>
                <w:rFonts w:cstheme="minorHAnsi"/>
                <w:i/>
                <w:sz w:val="18"/>
                <w:szCs w:val="18"/>
              </w:rPr>
              <w:t>A.III.3.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103C0" w14:textId="77777777" w:rsidR="00A13158" w:rsidRPr="00727C0B" w:rsidRDefault="00A13158" w:rsidP="00197FB2">
            <w:pPr>
              <w:spacing w:after="0"/>
              <w:rPr>
                <w:rFonts w:cstheme="minorHAnsi"/>
                <w:i/>
                <w:sz w:val="18"/>
                <w:szCs w:val="18"/>
              </w:rPr>
            </w:pPr>
            <w:r w:rsidRPr="00727C0B">
              <w:rPr>
                <w:rFonts w:cstheme="minorHAnsi"/>
                <w:i/>
                <w:sz w:val="18"/>
                <w:szCs w:val="18"/>
              </w:rPr>
              <w:t>Náklady vybraných ústředních vládních institucí na předfinancování transferů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9B158" w14:textId="77777777" w:rsidR="00A13158" w:rsidRPr="00A07476" w:rsidRDefault="00A13158" w:rsidP="00197FB2">
            <w:pPr>
              <w:spacing w:after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A07476">
              <w:rPr>
                <w:rFonts w:cstheme="minorHAnsi"/>
                <w:iCs/>
                <w:sz w:val="18"/>
                <w:szCs w:val="18"/>
              </w:rPr>
              <w:t>575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55994" w14:textId="77777777" w:rsidR="00A13158" w:rsidRPr="00727C0B" w:rsidRDefault="00A13158" w:rsidP="00197FB2">
            <w:pPr>
              <w:spacing w:after="0"/>
              <w:jc w:val="right"/>
              <w:rPr>
                <w:rFonts w:cstheme="minorHAnsi"/>
                <w:i/>
                <w:sz w:val="18"/>
                <w:szCs w:val="18"/>
              </w:rPr>
            </w:pPr>
            <w:r w:rsidRPr="00727C0B">
              <w:rPr>
                <w:rFonts w:cstheme="minorHAnsi"/>
                <w:i/>
                <w:sz w:val="18"/>
                <w:szCs w:val="18"/>
              </w:rPr>
              <w:t>86 980 845,77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A7015" w14:textId="77777777" w:rsidR="00A13158" w:rsidRPr="00727C0B" w:rsidRDefault="00A13158" w:rsidP="00197FB2">
            <w:pPr>
              <w:spacing w:after="0"/>
              <w:jc w:val="right"/>
              <w:rPr>
                <w:rFonts w:cstheme="minorHAnsi"/>
                <w:i/>
                <w:sz w:val="18"/>
                <w:szCs w:val="18"/>
              </w:rPr>
            </w:pPr>
            <w:r w:rsidRPr="00727C0B">
              <w:rPr>
                <w:rFonts w:cstheme="minorHAnsi"/>
                <w:i/>
                <w:sz w:val="18"/>
                <w:szCs w:val="18"/>
              </w:rPr>
              <w:t>52 837 738,92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AD65C" w14:textId="77777777" w:rsidR="00A13158" w:rsidRPr="00727C0B" w:rsidRDefault="00A13158" w:rsidP="00197FB2">
            <w:pPr>
              <w:spacing w:after="0"/>
              <w:jc w:val="right"/>
              <w:rPr>
                <w:rFonts w:cstheme="minorHAnsi"/>
                <w:i/>
                <w:sz w:val="18"/>
                <w:szCs w:val="18"/>
              </w:rPr>
            </w:pPr>
            <w:r w:rsidRPr="00727C0B">
              <w:rPr>
                <w:rFonts w:cstheme="minorHAnsi"/>
                <w:i/>
                <w:sz w:val="18"/>
                <w:szCs w:val="18"/>
              </w:rPr>
              <w:t>0</w:t>
            </w:r>
            <w:r w:rsidR="002059FD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727C0B">
              <w:rPr>
                <w:rFonts w:cstheme="minorHAnsi"/>
                <w:i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E3D4C" w14:textId="77777777" w:rsidR="00A13158" w:rsidRPr="00727C0B" w:rsidRDefault="00A13158" w:rsidP="00197FB2">
            <w:pPr>
              <w:spacing w:after="0"/>
              <w:jc w:val="right"/>
              <w:rPr>
                <w:rFonts w:cstheme="minorHAnsi"/>
                <w:i/>
                <w:sz w:val="18"/>
                <w:szCs w:val="18"/>
              </w:rPr>
            </w:pPr>
            <w:r w:rsidRPr="00727C0B">
              <w:rPr>
                <w:rFonts w:cstheme="minorHAnsi"/>
                <w:i/>
                <w:sz w:val="18"/>
                <w:szCs w:val="18"/>
              </w:rPr>
              <w:t>0</w:t>
            </w:r>
            <w:r w:rsidR="002059FD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727C0B">
              <w:rPr>
                <w:rFonts w:cstheme="minorHAnsi"/>
                <w:i/>
                <w:sz w:val="18"/>
                <w:szCs w:val="18"/>
              </w:rPr>
              <w:t>%</w:t>
            </w:r>
          </w:p>
        </w:tc>
      </w:tr>
      <w:tr w:rsidR="00A13158" w:rsidRPr="00727C0B" w14:paraId="4F9DD699" w14:textId="77777777" w:rsidTr="00197FB2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3D5F6" w14:textId="77777777" w:rsidR="00A13158" w:rsidRPr="00727C0B" w:rsidRDefault="00A13158" w:rsidP="00197FB2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727C0B">
              <w:rPr>
                <w:rFonts w:cstheme="minorHAnsi"/>
                <w:sz w:val="18"/>
                <w:szCs w:val="18"/>
              </w:rPr>
              <w:t>A.IV.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41895" w14:textId="77777777" w:rsidR="00A13158" w:rsidRPr="00727C0B" w:rsidRDefault="00A13158" w:rsidP="00197FB2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727C0B">
              <w:rPr>
                <w:rFonts w:cstheme="minorHAnsi"/>
                <w:sz w:val="18"/>
                <w:szCs w:val="18"/>
              </w:rPr>
              <w:t>Náklady ze sdílených daní a poplatků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FDA47" w14:textId="7A9D2B4F" w:rsidR="00A13158" w:rsidRPr="00727C0B" w:rsidRDefault="00E325EB" w:rsidP="00197FB2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–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5C0F1" w14:textId="77777777" w:rsidR="00A13158" w:rsidRPr="00727C0B" w:rsidRDefault="00A13158" w:rsidP="00197FB2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727C0B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7ADCC" w14:textId="77777777" w:rsidR="00A13158" w:rsidRPr="00727C0B" w:rsidRDefault="00A13158" w:rsidP="00197FB2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727C0B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3598D" w14:textId="77777777" w:rsidR="00A13158" w:rsidRPr="00727C0B" w:rsidRDefault="00A13158" w:rsidP="00197FB2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727C0B">
              <w:rPr>
                <w:rFonts w:cstheme="minorHAnsi"/>
                <w:sz w:val="18"/>
                <w:szCs w:val="18"/>
              </w:rPr>
              <w:t>0</w:t>
            </w:r>
            <w:r w:rsidR="002059FD">
              <w:rPr>
                <w:rFonts w:cstheme="minorHAnsi"/>
                <w:sz w:val="18"/>
                <w:szCs w:val="18"/>
              </w:rPr>
              <w:t xml:space="preserve"> </w:t>
            </w:r>
            <w:r w:rsidRPr="00727C0B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F6C62" w14:textId="77777777" w:rsidR="00A13158" w:rsidRPr="00727C0B" w:rsidRDefault="00A13158" w:rsidP="00197FB2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727C0B">
              <w:rPr>
                <w:rFonts w:cstheme="minorHAnsi"/>
                <w:sz w:val="18"/>
                <w:szCs w:val="18"/>
              </w:rPr>
              <w:t>0</w:t>
            </w:r>
            <w:r w:rsidR="002059FD">
              <w:rPr>
                <w:rFonts w:cstheme="minorHAnsi"/>
                <w:sz w:val="18"/>
                <w:szCs w:val="18"/>
              </w:rPr>
              <w:t xml:space="preserve"> </w:t>
            </w:r>
            <w:r w:rsidRPr="00727C0B">
              <w:rPr>
                <w:rFonts w:cstheme="minorHAnsi"/>
                <w:sz w:val="18"/>
                <w:szCs w:val="18"/>
              </w:rPr>
              <w:t>%</w:t>
            </w:r>
          </w:p>
        </w:tc>
      </w:tr>
      <w:tr w:rsidR="00A13158" w:rsidRPr="00727C0B" w14:paraId="54AE153F" w14:textId="77777777" w:rsidTr="00197FB2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E941B" w14:textId="77777777" w:rsidR="00A13158" w:rsidRPr="00727C0B" w:rsidRDefault="00A13158" w:rsidP="00197FB2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727C0B">
              <w:rPr>
                <w:rFonts w:cstheme="minorHAnsi"/>
                <w:sz w:val="18"/>
                <w:szCs w:val="18"/>
              </w:rPr>
              <w:t>A.V.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4B88E" w14:textId="77777777" w:rsidR="00A13158" w:rsidRPr="00727C0B" w:rsidRDefault="00A13158" w:rsidP="00197FB2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727C0B">
              <w:rPr>
                <w:rFonts w:cstheme="minorHAnsi"/>
                <w:sz w:val="18"/>
                <w:szCs w:val="18"/>
              </w:rPr>
              <w:t>Daň z</w:t>
            </w:r>
            <w:r w:rsidR="00F71CBF">
              <w:rPr>
                <w:rFonts w:cstheme="minorHAnsi"/>
                <w:sz w:val="18"/>
                <w:szCs w:val="18"/>
              </w:rPr>
              <w:t> </w:t>
            </w:r>
            <w:r w:rsidRPr="00727C0B">
              <w:rPr>
                <w:rFonts w:cstheme="minorHAnsi"/>
                <w:sz w:val="18"/>
                <w:szCs w:val="18"/>
              </w:rPr>
              <w:t>příjmů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91D65" w14:textId="7A936796" w:rsidR="00A13158" w:rsidRPr="00727C0B" w:rsidRDefault="00E325EB" w:rsidP="00197FB2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–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95E46" w14:textId="77777777" w:rsidR="00A13158" w:rsidRPr="00727C0B" w:rsidRDefault="00A13158" w:rsidP="00197FB2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727C0B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247D8" w14:textId="77777777" w:rsidR="00A13158" w:rsidRPr="00727C0B" w:rsidRDefault="00A13158" w:rsidP="00197FB2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727C0B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B0DF2" w14:textId="77777777" w:rsidR="00A13158" w:rsidRPr="00727C0B" w:rsidRDefault="00A13158" w:rsidP="00197FB2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727C0B">
              <w:rPr>
                <w:rFonts w:cstheme="minorHAnsi"/>
                <w:sz w:val="18"/>
                <w:szCs w:val="18"/>
              </w:rPr>
              <w:t>0</w:t>
            </w:r>
            <w:r w:rsidR="002059FD">
              <w:rPr>
                <w:rFonts w:cstheme="minorHAnsi"/>
                <w:sz w:val="18"/>
                <w:szCs w:val="18"/>
              </w:rPr>
              <w:t xml:space="preserve"> </w:t>
            </w:r>
            <w:r w:rsidRPr="00727C0B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2ED16" w14:textId="77777777" w:rsidR="00A13158" w:rsidRPr="00727C0B" w:rsidRDefault="00A13158" w:rsidP="00197FB2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727C0B">
              <w:rPr>
                <w:rFonts w:cstheme="minorHAnsi"/>
                <w:sz w:val="18"/>
                <w:szCs w:val="18"/>
              </w:rPr>
              <w:t>0</w:t>
            </w:r>
            <w:r w:rsidR="002059FD">
              <w:rPr>
                <w:rFonts w:cstheme="minorHAnsi"/>
                <w:sz w:val="18"/>
                <w:szCs w:val="18"/>
              </w:rPr>
              <w:t xml:space="preserve"> </w:t>
            </w:r>
            <w:r w:rsidRPr="00727C0B">
              <w:rPr>
                <w:rFonts w:cstheme="minorHAnsi"/>
                <w:sz w:val="18"/>
                <w:szCs w:val="18"/>
              </w:rPr>
              <w:t>%</w:t>
            </w:r>
          </w:p>
        </w:tc>
      </w:tr>
    </w:tbl>
    <w:p w14:paraId="3571EAD4" w14:textId="77777777" w:rsidR="00A13158" w:rsidRPr="00197FB2" w:rsidRDefault="00A13158" w:rsidP="00A13158">
      <w:pPr>
        <w:pStyle w:val="Zdroj"/>
        <w:spacing w:before="40" w:after="120"/>
        <w:rPr>
          <w:rFonts w:asciiTheme="minorHAnsi" w:hAnsiTheme="minorHAnsi"/>
          <w:i w:val="0"/>
        </w:rPr>
      </w:pPr>
      <w:r w:rsidRPr="00197FB2">
        <w:rPr>
          <w:rFonts w:asciiTheme="minorHAnsi" w:hAnsiTheme="minorHAnsi"/>
          <w:b/>
          <w:i w:val="0"/>
        </w:rPr>
        <w:t xml:space="preserve">Zdroj: </w:t>
      </w:r>
      <w:r w:rsidRPr="00197FB2">
        <w:rPr>
          <w:rFonts w:asciiTheme="minorHAnsi" w:hAnsiTheme="minorHAnsi"/>
          <w:i w:val="0"/>
        </w:rPr>
        <w:t>informační portál MONITOR.</w:t>
      </w:r>
    </w:p>
    <w:p w14:paraId="6E4A91CB" w14:textId="77777777" w:rsidR="00A13158" w:rsidRPr="00197FB2" w:rsidRDefault="00A13158" w:rsidP="00A13158">
      <w:pPr>
        <w:pStyle w:val="Zdroj"/>
        <w:spacing w:before="40" w:after="120"/>
        <w:jc w:val="both"/>
        <w:rPr>
          <w:rFonts w:asciiTheme="minorHAnsi" w:hAnsiTheme="minorHAnsi"/>
          <w:bCs/>
          <w:i w:val="0"/>
          <w:sz w:val="24"/>
        </w:rPr>
      </w:pPr>
      <w:r w:rsidRPr="00197FB2">
        <w:rPr>
          <w:rFonts w:asciiTheme="minorHAnsi" w:hAnsiTheme="minorHAnsi"/>
          <w:bCs/>
          <w:i w:val="0"/>
          <w:sz w:val="24"/>
        </w:rPr>
        <w:t>Většinu všech nákladů MV tvořily v roce 2021 náklady z činnosti (59 %) a náklady na transfery (41 %)</w:t>
      </w:r>
      <w:r w:rsidR="003B2AF1">
        <w:rPr>
          <w:rFonts w:asciiTheme="minorHAnsi" w:hAnsiTheme="minorHAnsi"/>
          <w:bCs/>
          <w:i w:val="0"/>
          <w:sz w:val="24"/>
        </w:rPr>
        <w:t>. Na nákladech z činnosti MV se podílely zejména následující syntetické účty</w:t>
      </w:r>
      <w:r w:rsidRPr="00197FB2">
        <w:rPr>
          <w:rFonts w:asciiTheme="minorHAnsi" w:hAnsiTheme="minorHAnsi"/>
          <w:bCs/>
          <w:i w:val="0"/>
          <w:sz w:val="24"/>
        </w:rPr>
        <w:t>:</w:t>
      </w:r>
    </w:p>
    <w:p w14:paraId="3DC7FD3A" w14:textId="77777777" w:rsidR="00A13158" w:rsidRPr="00197FB2" w:rsidRDefault="00A13158" w:rsidP="00A13158">
      <w:pPr>
        <w:pStyle w:val="Zdroj"/>
        <w:spacing w:before="40"/>
        <w:jc w:val="both"/>
        <w:rPr>
          <w:rFonts w:asciiTheme="minorHAnsi" w:hAnsiTheme="minorHAnsi"/>
          <w:bCs/>
          <w:i w:val="0"/>
          <w:sz w:val="24"/>
        </w:rPr>
      </w:pPr>
      <w:r w:rsidRPr="00197FB2">
        <w:rPr>
          <w:rFonts w:asciiTheme="minorHAnsi" w:hAnsiTheme="minorHAnsi"/>
          <w:bCs/>
          <w:i w:val="0"/>
          <w:sz w:val="24"/>
        </w:rPr>
        <w:t xml:space="preserve">- 521 </w:t>
      </w:r>
      <w:r w:rsidR="00E00E2E">
        <w:rPr>
          <w:rFonts w:asciiTheme="minorHAnsi" w:hAnsiTheme="minorHAnsi"/>
          <w:bCs/>
          <w:i w:val="0"/>
          <w:sz w:val="24"/>
        </w:rPr>
        <w:t xml:space="preserve">– </w:t>
      </w:r>
      <w:r w:rsidRPr="00197FB2">
        <w:rPr>
          <w:rFonts w:asciiTheme="minorHAnsi" w:hAnsiTheme="minorHAnsi"/>
          <w:bCs/>
          <w:iCs/>
          <w:sz w:val="24"/>
        </w:rPr>
        <w:t>Mzdové náklady</w:t>
      </w:r>
      <w:r w:rsidRPr="00197FB2">
        <w:rPr>
          <w:rFonts w:asciiTheme="minorHAnsi" w:hAnsiTheme="minorHAnsi"/>
          <w:bCs/>
          <w:i w:val="0"/>
          <w:sz w:val="24"/>
        </w:rPr>
        <w:t xml:space="preserve"> (33,15 %),</w:t>
      </w:r>
    </w:p>
    <w:p w14:paraId="3C4A63E0" w14:textId="77777777" w:rsidR="00A13158" w:rsidRPr="00197FB2" w:rsidRDefault="00A13158" w:rsidP="00A13158">
      <w:pPr>
        <w:pStyle w:val="Zdroj"/>
        <w:spacing w:before="40"/>
        <w:jc w:val="both"/>
        <w:rPr>
          <w:rFonts w:asciiTheme="minorHAnsi" w:hAnsiTheme="minorHAnsi"/>
          <w:bCs/>
          <w:i w:val="0"/>
          <w:sz w:val="24"/>
        </w:rPr>
      </w:pPr>
      <w:r w:rsidRPr="00197FB2">
        <w:rPr>
          <w:rFonts w:asciiTheme="minorHAnsi" w:hAnsiTheme="minorHAnsi"/>
          <w:bCs/>
          <w:i w:val="0"/>
          <w:sz w:val="24"/>
        </w:rPr>
        <w:t xml:space="preserve">- 518 </w:t>
      </w:r>
      <w:r w:rsidR="00E00E2E">
        <w:rPr>
          <w:rFonts w:asciiTheme="minorHAnsi" w:hAnsiTheme="minorHAnsi"/>
          <w:bCs/>
          <w:i w:val="0"/>
          <w:sz w:val="24"/>
        </w:rPr>
        <w:t>–</w:t>
      </w:r>
      <w:r w:rsidRPr="00197FB2">
        <w:rPr>
          <w:rFonts w:asciiTheme="minorHAnsi" w:hAnsiTheme="minorHAnsi"/>
          <w:bCs/>
          <w:i w:val="0"/>
          <w:sz w:val="24"/>
        </w:rPr>
        <w:t xml:space="preserve"> </w:t>
      </w:r>
      <w:r w:rsidRPr="00197FB2">
        <w:rPr>
          <w:rFonts w:asciiTheme="minorHAnsi" w:hAnsiTheme="minorHAnsi"/>
          <w:bCs/>
          <w:iCs/>
          <w:sz w:val="24"/>
        </w:rPr>
        <w:t>Ostatní služby</w:t>
      </w:r>
      <w:r w:rsidRPr="00197FB2">
        <w:rPr>
          <w:rFonts w:asciiTheme="minorHAnsi" w:hAnsiTheme="minorHAnsi"/>
          <w:bCs/>
          <w:i w:val="0"/>
          <w:sz w:val="24"/>
        </w:rPr>
        <w:t xml:space="preserve"> (32,42 %),</w:t>
      </w:r>
    </w:p>
    <w:p w14:paraId="0CE65EFF" w14:textId="77777777" w:rsidR="00A13158" w:rsidRPr="00197FB2" w:rsidRDefault="00A13158" w:rsidP="00A13158">
      <w:pPr>
        <w:pStyle w:val="Zdroj"/>
        <w:spacing w:before="40"/>
        <w:jc w:val="both"/>
        <w:rPr>
          <w:rFonts w:asciiTheme="minorHAnsi" w:hAnsiTheme="minorHAnsi"/>
          <w:bCs/>
          <w:i w:val="0"/>
          <w:sz w:val="24"/>
        </w:rPr>
      </w:pPr>
      <w:r w:rsidRPr="00197FB2">
        <w:rPr>
          <w:rFonts w:asciiTheme="minorHAnsi" w:hAnsiTheme="minorHAnsi"/>
          <w:bCs/>
          <w:i w:val="0"/>
          <w:sz w:val="24"/>
        </w:rPr>
        <w:t xml:space="preserve">- 524 </w:t>
      </w:r>
      <w:r w:rsidR="00E00E2E">
        <w:rPr>
          <w:rFonts w:asciiTheme="minorHAnsi" w:hAnsiTheme="minorHAnsi"/>
          <w:bCs/>
          <w:i w:val="0"/>
          <w:sz w:val="24"/>
        </w:rPr>
        <w:t>–</w:t>
      </w:r>
      <w:r w:rsidRPr="00197FB2">
        <w:rPr>
          <w:rFonts w:asciiTheme="minorHAnsi" w:hAnsiTheme="minorHAnsi"/>
          <w:bCs/>
          <w:i w:val="0"/>
          <w:sz w:val="24"/>
        </w:rPr>
        <w:t xml:space="preserve"> </w:t>
      </w:r>
      <w:r w:rsidRPr="00197FB2">
        <w:rPr>
          <w:rFonts w:asciiTheme="minorHAnsi" w:hAnsiTheme="minorHAnsi"/>
          <w:bCs/>
          <w:iCs/>
          <w:sz w:val="24"/>
        </w:rPr>
        <w:t>Zákonné sociální pojištění</w:t>
      </w:r>
      <w:r w:rsidRPr="00197FB2">
        <w:rPr>
          <w:rFonts w:asciiTheme="minorHAnsi" w:hAnsiTheme="minorHAnsi"/>
          <w:bCs/>
          <w:i w:val="0"/>
          <w:sz w:val="24"/>
        </w:rPr>
        <w:t xml:space="preserve"> (10,90 %),</w:t>
      </w:r>
    </w:p>
    <w:p w14:paraId="7CD70F36" w14:textId="77777777" w:rsidR="00A13158" w:rsidRPr="00197FB2" w:rsidRDefault="00A13158" w:rsidP="00A13158">
      <w:pPr>
        <w:pStyle w:val="Zdroj"/>
        <w:spacing w:before="40"/>
        <w:jc w:val="both"/>
        <w:rPr>
          <w:rFonts w:asciiTheme="minorHAnsi" w:hAnsiTheme="minorHAnsi"/>
          <w:bCs/>
          <w:i w:val="0"/>
          <w:sz w:val="24"/>
        </w:rPr>
      </w:pPr>
      <w:r w:rsidRPr="00197FB2">
        <w:rPr>
          <w:rFonts w:asciiTheme="minorHAnsi" w:hAnsiTheme="minorHAnsi"/>
          <w:bCs/>
          <w:i w:val="0"/>
          <w:sz w:val="24"/>
        </w:rPr>
        <w:t xml:space="preserve">- 551 </w:t>
      </w:r>
      <w:r w:rsidR="00E00E2E">
        <w:rPr>
          <w:rFonts w:asciiTheme="minorHAnsi" w:hAnsiTheme="minorHAnsi"/>
          <w:bCs/>
          <w:i w:val="0"/>
          <w:sz w:val="24"/>
        </w:rPr>
        <w:t>–</w:t>
      </w:r>
      <w:r w:rsidRPr="00197FB2">
        <w:rPr>
          <w:rFonts w:asciiTheme="minorHAnsi" w:hAnsiTheme="minorHAnsi"/>
          <w:bCs/>
          <w:i w:val="0"/>
          <w:sz w:val="24"/>
        </w:rPr>
        <w:t xml:space="preserve"> </w:t>
      </w:r>
      <w:r w:rsidRPr="00197FB2">
        <w:rPr>
          <w:rFonts w:asciiTheme="minorHAnsi" w:hAnsiTheme="minorHAnsi"/>
          <w:bCs/>
          <w:iCs/>
          <w:sz w:val="24"/>
        </w:rPr>
        <w:t>Odpisy dlouhodobého majetku</w:t>
      </w:r>
      <w:r w:rsidRPr="00197FB2">
        <w:rPr>
          <w:rFonts w:asciiTheme="minorHAnsi" w:hAnsiTheme="minorHAnsi"/>
          <w:bCs/>
          <w:i w:val="0"/>
          <w:sz w:val="24"/>
        </w:rPr>
        <w:t xml:space="preserve"> (8,46 %),</w:t>
      </w:r>
    </w:p>
    <w:p w14:paraId="616F7BC2" w14:textId="77777777" w:rsidR="00A13158" w:rsidRPr="00197FB2" w:rsidRDefault="00A13158" w:rsidP="00124170">
      <w:pPr>
        <w:pStyle w:val="Zdroj"/>
        <w:keepNext/>
        <w:spacing w:before="40"/>
        <w:jc w:val="both"/>
        <w:rPr>
          <w:rFonts w:asciiTheme="minorHAnsi" w:hAnsiTheme="minorHAnsi"/>
          <w:bCs/>
          <w:i w:val="0"/>
          <w:sz w:val="24"/>
        </w:rPr>
      </w:pPr>
      <w:r w:rsidRPr="00197FB2">
        <w:rPr>
          <w:rFonts w:asciiTheme="minorHAnsi" w:hAnsiTheme="minorHAnsi"/>
          <w:bCs/>
          <w:i w:val="0"/>
          <w:sz w:val="24"/>
        </w:rPr>
        <w:lastRenderedPageBreak/>
        <w:t xml:space="preserve">- 549 </w:t>
      </w:r>
      <w:r w:rsidR="00E00E2E">
        <w:rPr>
          <w:rFonts w:asciiTheme="minorHAnsi" w:hAnsiTheme="minorHAnsi"/>
          <w:bCs/>
          <w:i w:val="0"/>
          <w:sz w:val="24"/>
        </w:rPr>
        <w:t>–</w:t>
      </w:r>
      <w:r w:rsidRPr="00197FB2">
        <w:rPr>
          <w:rFonts w:asciiTheme="minorHAnsi" w:hAnsiTheme="minorHAnsi"/>
          <w:bCs/>
          <w:i w:val="0"/>
          <w:sz w:val="24"/>
        </w:rPr>
        <w:t xml:space="preserve"> </w:t>
      </w:r>
      <w:r w:rsidRPr="00197FB2">
        <w:rPr>
          <w:rFonts w:asciiTheme="minorHAnsi" w:hAnsiTheme="minorHAnsi"/>
          <w:bCs/>
          <w:iCs/>
          <w:sz w:val="24"/>
        </w:rPr>
        <w:t>Ostatní náklady z činnosti</w:t>
      </w:r>
      <w:r w:rsidRPr="00197FB2">
        <w:rPr>
          <w:rFonts w:asciiTheme="minorHAnsi" w:hAnsiTheme="minorHAnsi"/>
          <w:bCs/>
          <w:i w:val="0"/>
          <w:sz w:val="24"/>
        </w:rPr>
        <w:t xml:space="preserve"> (5,22 %),</w:t>
      </w:r>
    </w:p>
    <w:p w14:paraId="0CEBA61C" w14:textId="77777777" w:rsidR="00A13158" w:rsidRPr="00197FB2" w:rsidRDefault="00A13158" w:rsidP="004D50FD">
      <w:pPr>
        <w:pStyle w:val="Zdroj"/>
        <w:spacing w:before="0"/>
        <w:jc w:val="both"/>
        <w:rPr>
          <w:rFonts w:asciiTheme="minorHAnsi" w:hAnsiTheme="minorHAnsi"/>
          <w:bCs/>
          <w:i w:val="0"/>
          <w:sz w:val="24"/>
        </w:rPr>
      </w:pPr>
      <w:r w:rsidRPr="00197FB2">
        <w:rPr>
          <w:rFonts w:asciiTheme="minorHAnsi" w:hAnsiTheme="minorHAnsi"/>
          <w:bCs/>
          <w:i w:val="0"/>
          <w:sz w:val="24"/>
        </w:rPr>
        <w:t xml:space="preserve">- 501 </w:t>
      </w:r>
      <w:r w:rsidR="00E00E2E">
        <w:rPr>
          <w:rFonts w:asciiTheme="minorHAnsi" w:hAnsiTheme="minorHAnsi"/>
          <w:bCs/>
          <w:i w:val="0"/>
          <w:sz w:val="24"/>
        </w:rPr>
        <w:t>–</w:t>
      </w:r>
      <w:r w:rsidRPr="00197FB2">
        <w:rPr>
          <w:rFonts w:asciiTheme="minorHAnsi" w:hAnsiTheme="minorHAnsi"/>
          <w:bCs/>
          <w:i w:val="0"/>
          <w:sz w:val="24"/>
        </w:rPr>
        <w:t xml:space="preserve"> </w:t>
      </w:r>
      <w:r w:rsidRPr="00197FB2">
        <w:rPr>
          <w:rFonts w:asciiTheme="minorHAnsi" w:hAnsiTheme="minorHAnsi"/>
          <w:bCs/>
          <w:iCs/>
          <w:sz w:val="24"/>
        </w:rPr>
        <w:t>Spotřeba materiálu</w:t>
      </w:r>
      <w:r w:rsidRPr="00197FB2">
        <w:rPr>
          <w:rFonts w:asciiTheme="minorHAnsi" w:hAnsiTheme="minorHAnsi"/>
          <w:bCs/>
          <w:i w:val="0"/>
          <w:sz w:val="24"/>
        </w:rPr>
        <w:t xml:space="preserve"> (3,62 %).</w:t>
      </w:r>
    </w:p>
    <w:p w14:paraId="47503179" w14:textId="77777777" w:rsidR="004D50FD" w:rsidRDefault="004D50FD" w:rsidP="004D50FD">
      <w:pPr>
        <w:pStyle w:val="Zdroj"/>
        <w:spacing w:before="0"/>
        <w:jc w:val="both"/>
        <w:rPr>
          <w:bCs/>
          <w:i w:val="0"/>
          <w:sz w:val="24"/>
        </w:rPr>
      </w:pPr>
    </w:p>
    <w:p w14:paraId="6A86DCBA" w14:textId="77777777" w:rsidR="004D50FD" w:rsidRDefault="004D50FD" w:rsidP="004D50FD">
      <w:pPr>
        <w:pStyle w:val="Zdroj"/>
        <w:spacing w:before="0"/>
        <w:jc w:val="both"/>
        <w:rPr>
          <w:bCs/>
          <w:i w:val="0"/>
          <w:sz w:val="24"/>
        </w:rPr>
      </w:pPr>
    </w:p>
    <w:p w14:paraId="52CEA961" w14:textId="58A1DBBF" w:rsidR="004D50FD" w:rsidRPr="00DD3FBB" w:rsidRDefault="004D50FD" w:rsidP="00DD3FBB">
      <w:pPr>
        <w:spacing w:after="240"/>
        <w:jc w:val="center"/>
        <w:rPr>
          <w:b/>
          <w:bCs/>
        </w:rPr>
      </w:pPr>
      <w:bookmarkStart w:id="159" w:name="_Toc519242496"/>
      <w:bookmarkStart w:id="160" w:name="_Toc39530428"/>
      <w:r w:rsidRPr="00DD3FBB">
        <w:rPr>
          <w:b/>
          <w:bCs/>
        </w:rPr>
        <w:t>Oddíl VIII</w:t>
      </w:r>
      <w:r w:rsidR="00E325EB">
        <w:rPr>
          <w:b/>
          <w:bCs/>
        </w:rPr>
        <w:t>.</w:t>
      </w:r>
      <w:r w:rsidRPr="00DD3FBB">
        <w:rPr>
          <w:b/>
          <w:bCs/>
        </w:rPr>
        <w:t xml:space="preserve"> Struktura výdajů z hlediska odvětvového </w:t>
      </w:r>
      <w:bookmarkEnd w:id="159"/>
      <w:bookmarkEnd w:id="160"/>
    </w:p>
    <w:p w14:paraId="5D44D7F6" w14:textId="77777777" w:rsidR="004D50FD" w:rsidRPr="00B800A8" w:rsidRDefault="004D50FD" w:rsidP="004D50FD">
      <w:pPr>
        <w:pStyle w:val="Titulek"/>
        <w:spacing w:before="0" w:after="40"/>
        <w:jc w:val="both"/>
        <w:rPr>
          <w:rFonts w:cstheme="minorHAnsi"/>
          <w:szCs w:val="24"/>
        </w:rPr>
      </w:pPr>
      <w:bookmarkStart w:id="161" w:name="_Toc520714659"/>
      <w:bookmarkStart w:id="162" w:name="_Toc8984866"/>
      <w:bookmarkStart w:id="163" w:name="_Toc69401696"/>
      <w:bookmarkStart w:id="164" w:name="_Toc101336463"/>
      <w:r w:rsidRPr="00B800A8">
        <w:rPr>
          <w:rFonts w:cstheme="minorHAnsi"/>
          <w:szCs w:val="24"/>
        </w:rPr>
        <w:t>Tabulka č.</w:t>
      </w:r>
      <w:r>
        <w:rPr>
          <w:rFonts w:cstheme="minorHAnsi"/>
          <w:szCs w:val="24"/>
        </w:rPr>
        <w:t xml:space="preserve"> 34</w:t>
      </w:r>
      <w:r w:rsidRPr="00B800A8">
        <w:rPr>
          <w:rFonts w:cstheme="minorHAnsi"/>
          <w:szCs w:val="24"/>
        </w:rPr>
        <w:t>: Struktura výdajů MV v roce 2021 z hlediska odvětvového třídění</w:t>
      </w:r>
      <w:bookmarkEnd w:id="161"/>
      <w:bookmarkEnd w:id="162"/>
      <w:bookmarkEnd w:id="163"/>
      <w:bookmarkEnd w:id="164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830"/>
        <w:gridCol w:w="1418"/>
        <w:gridCol w:w="1417"/>
        <w:gridCol w:w="1418"/>
        <w:gridCol w:w="1417"/>
      </w:tblGrid>
      <w:tr w:rsidR="004D50FD" w:rsidRPr="005B5B16" w14:paraId="79B0D2D0" w14:textId="77777777" w:rsidTr="004D50FD">
        <w:trPr>
          <w:trHeight w:val="255"/>
          <w:tblHeader/>
        </w:trPr>
        <w:tc>
          <w:tcPr>
            <w:tcW w:w="3397" w:type="dxa"/>
            <w:gridSpan w:val="2"/>
            <w:shd w:val="clear" w:color="auto" w:fill="E5F1FF"/>
            <w:vAlign w:val="center"/>
          </w:tcPr>
          <w:p w14:paraId="351DDD85" w14:textId="77777777" w:rsidR="004D50FD" w:rsidRPr="005B5B16" w:rsidRDefault="004D50FD" w:rsidP="004D50FD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Rozpočtový paragraf</w:t>
            </w:r>
          </w:p>
        </w:tc>
        <w:tc>
          <w:tcPr>
            <w:tcW w:w="1418" w:type="dxa"/>
            <w:shd w:val="clear" w:color="auto" w:fill="E5F1FF"/>
            <w:noWrap/>
            <w:vAlign w:val="center"/>
          </w:tcPr>
          <w:p w14:paraId="55C81966" w14:textId="77777777" w:rsidR="004D50FD" w:rsidRPr="005B5B16" w:rsidRDefault="004D50FD" w:rsidP="004D50FD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Schválený rozpočet (v Kč)</w:t>
            </w:r>
          </w:p>
        </w:tc>
        <w:tc>
          <w:tcPr>
            <w:tcW w:w="1417" w:type="dxa"/>
            <w:shd w:val="clear" w:color="auto" w:fill="E5F1FF"/>
            <w:noWrap/>
            <w:vAlign w:val="center"/>
          </w:tcPr>
          <w:p w14:paraId="78832EF9" w14:textId="77777777" w:rsidR="004D50FD" w:rsidRPr="005B5B16" w:rsidRDefault="004D50FD" w:rsidP="004D50FD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Skutečnost (v Kč)</w:t>
            </w:r>
          </w:p>
        </w:tc>
        <w:tc>
          <w:tcPr>
            <w:tcW w:w="1418" w:type="dxa"/>
            <w:shd w:val="clear" w:color="auto" w:fill="E5F1FF"/>
            <w:noWrap/>
            <w:vAlign w:val="center"/>
            <w:hideMark/>
          </w:tcPr>
          <w:p w14:paraId="5BAE0D40" w14:textId="2447FB4A" w:rsidR="004D50FD" w:rsidRPr="005B5B16" w:rsidRDefault="004D50FD" w:rsidP="004D50FD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 xml:space="preserve">Podíl rozpočtového paragrafu </w:t>
            </w:r>
            <w:r w:rsidR="00124170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br/>
            </w:r>
            <w:r w:rsidRPr="005B5B16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na celkových výdajích – schválený rozpočet</w:t>
            </w:r>
          </w:p>
        </w:tc>
        <w:tc>
          <w:tcPr>
            <w:tcW w:w="1417" w:type="dxa"/>
            <w:shd w:val="clear" w:color="auto" w:fill="E5F1FF"/>
            <w:vAlign w:val="center"/>
          </w:tcPr>
          <w:p w14:paraId="3F3F47C3" w14:textId="78800B43" w:rsidR="004D50FD" w:rsidRPr="005B5B16" w:rsidRDefault="004D50FD" w:rsidP="004D50FD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 xml:space="preserve">Podíl rozpočtového paragrafu </w:t>
            </w:r>
            <w:r w:rsidR="00124170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br/>
            </w:r>
            <w:r w:rsidRPr="005B5B16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na celkových výdajích – skutečnost</w:t>
            </w:r>
          </w:p>
        </w:tc>
      </w:tr>
      <w:tr w:rsidR="004D50FD" w:rsidRPr="005B5B16" w14:paraId="63605FBC" w14:textId="77777777" w:rsidTr="004D50FD">
        <w:trPr>
          <w:trHeight w:val="255"/>
        </w:trPr>
        <w:tc>
          <w:tcPr>
            <w:tcW w:w="567" w:type="dxa"/>
            <w:vAlign w:val="center"/>
          </w:tcPr>
          <w:p w14:paraId="0F9460A3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5311</w:t>
            </w:r>
          </w:p>
        </w:tc>
        <w:tc>
          <w:tcPr>
            <w:tcW w:w="2830" w:type="dxa"/>
            <w:vAlign w:val="center"/>
          </w:tcPr>
          <w:p w14:paraId="4A4C166B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Bezpečnost a veřejný pořádek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404F277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13 913 670 787,00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CD6B924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12 504 742 730,21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8961DC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37,57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1417" w:type="dxa"/>
            <w:vAlign w:val="center"/>
          </w:tcPr>
          <w:p w14:paraId="657C0F35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34,50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</w:tr>
      <w:tr w:rsidR="004D50FD" w:rsidRPr="005B5B16" w14:paraId="33012619" w14:textId="77777777" w:rsidTr="004D50FD">
        <w:trPr>
          <w:trHeight w:val="255"/>
        </w:trPr>
        <w:tc>
          <w:tcPr>
            <w:tcW w:w="567" w:type="dxa"/>
            <w:vAlign w:val="center"/>
          </w:tcPr>
          <w:p w14:paraId="03459654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5316</w:t>
            </w:r>
          </w:p>
        </w:tc>
        <w:tc>
          <w:tcPr>
            <w:tcW w:w="2830" w:type="dxa"/>
            <w:vAlign w:val="center"/>
          </w:tcPr>
          <w:p w14:paraId="1FA4BEA1" w14:textId="41CC36D6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Činnost ústředního orgánu státní správy v</w:t>
            </w:r>
            <w:r w:rsidR="00282DD5">
              <w:rPr>
                <w:rFonts w:cstheme="minorHAnsi"/>
                <w:sz w:val="16"/>
                <w:szCs w:val="16"/>
              </w:rPr>
              <w:t> </w:t>
            </w:r>
            <w:r w:rsidRPr="005B5B16">
              <w:rPr>
                <w:rFonts w:cstheme="minorHAnsi"/>
                <w:sz w:val="16"/>
                <w:szCs w:val="16"/>
              </w:rPr>
              <w:t>oblasti bezpečnosti a veřejného pořádku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E31DD1E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6 922 339 275,00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9FC7BFA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6 624 686 290,93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2CE283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18,69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1417" w:type="dxa"/>
            <w:vAlign w:val="center"/>
          </w:tcPr>
          <w:p w14:paraId="12FA9A61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18,28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</w:tr>
      <w:tr w:rsidR="004D50FD" w:rsidRPr="005B5B16" w14:paraId="58E8CD42" w14:textId="77777777" w:rsidTr="004D50FD">
        <w:trPr>
          <w:trHeight w:val="255"/>
        </w:trPr>
        <w:tc>
          <w:tcPr>
            <w:tcW w:w="567" w:type="dxa"/>
            <w:vAlign w:val="center"/>
          </w:tcPr>
          <w:p w14:paraId="4E1F6306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4111</w:t>
            </w:r>
          </w:p>
        </w:tc>
        <w:tc>
          <w:tcPr>
            <w:tcW w:w="2830" w:type="dxa"/>
            <w:vAlign w:val="center"/>
          </w:tcPr>
          <w:p w14:paraId="2526C422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Starobní důchody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B3F15DB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5 860 742 795,00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E3653AB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5 910 091 436,37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348A2F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15,83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1417" w:type="dxa"/>
            <w:vAlign w:val="center"/>
          </w:tcPr>
          <w:p w14:paraId="6BA5F65A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16,31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</w:tr>
      <w:tr w:rsidR="004D50FD" w:rsidRPr="005B5B16" w14:paraId="6AD33CA0" w14:textId="77777777" w:rsidTr="004D50FD">
        <w:trPr>
          <w:trHeight w:val="255"/>
        </w:trPr>
        <w:tc>
          <w:tcPr>
            <w:tcW w:w="567" w:type="dxa"/>
            <w:vAlign w:val="center"/>
          </w:tcPr>
          <w:p w14:paraId="761752D6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4152</w:t>
            </w:r>
          </w:p>
        </w:tc>
        <w:tc>
          <w:tcPr>
            <w:tcW w:w="2830" w:type="dxa"/>
            <w:vAlign w:val="center"/>
          </w:tcPr>
          <w:p w14:paraId="77D1D13A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Výsluhový příspěvek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7549714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4 778 958 000,00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334C198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5 039 406 565,83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9F3AA33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12,91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1417" w:type="dxa"/>
            <w:vAlign w:val="center"/>
          </w:tcPr>
          <w:p w14:paraId="43D55964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13,90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</w:tr>
      <w:tr w:rsidR="004D50FD" w:rsidRPr="005B5B16" w14:paraId="48060CD0" w14:textId="77777777" w:rsidTr="004D50FD">
        <w:trPr>
          <w:trHeight w:val="255"/>
        </w:trPr>
        <w:tc>
          <w:tcPr>
            <w:tcW w:w="567" w:type="dxa"/>
            <w:vAlign w:val="center"/>
          </w:tcPr>
          <w:p w14:paraId="44C9A429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6221</w:t>
            </w:r>
          </w:p>
        </w:tc>
        <w:tc>
          <w:tcPr>
            <w:tcW w:w="2830" w:type="dxa"/>
            <w:vAlign w:val="center"/>
          </w:tcPr>
          <w:p w14:paraId="06AB913D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Humanitární zahraniční pomoc přímá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EEF8A8D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1 195 217 318,00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6A348AB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1 260 484 958,09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27B54C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3,23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1417" w:type="dxa"/>
            <w:vAlign w:val="center"/>
          </w:tcPr>
          <w:p w14:paraId="6B62CAAC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3,48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</w:tr>
      <w:tr w:rsidR="004D50FD" w:rsidRPr="005B5B16" w14:paraId="27153498" w14:textId="77777777" w:rsidTr="004D50FD">
        <w:trPr>
          <w:trHeight w:val="255"/>
        </w:trPr>
        <w:tc>
          <w:tcPr>
            <w:tcW w:w="567" w:type="dxa"/>
            <w:vAlign w:val="center"/>
          </w:tcPr>
          <w:p w14:paraId="2B267556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2569</w:t>
            </w:r>
          </w:p>
        </w:tc>
        <w:tc>
          <w:tcPr>
            <w:tcW w:w="2830" w:type="dxa"/>
            <w:vAlign w:val="center"/>
          </w:tcPr>
          <w:p w14:paraId="7D701BB0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Všeobecná hospodářská správa jinde nezařazená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0E318A9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796 253 329,00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335F0A0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987 486 502,32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75CECD0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2,15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1417" w:type="dxa"/>
            <w:vAlign w:val="center"/>
          </w:tcPr>
          <w:p w14:paraId="02F5B45E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2,72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</w:tr>
      <w:tr w:rsidR="004D50FD" w:rsidRPr="005B5B16" w14:paraId="25B6312D" w14:textId="77777777" w:rsidTr="004D50FD">
        <w:trPr>
          <w:trHeight w:val="255"/>
        </w:trPr>
        <w:tc>
          <w:tcPr>
            <w:tcW w:w="567" w:type="dxa"/>
            <w:vAlign w:val="center"/>
          </w:tcPr>
          <w:p w14:paraId="738F78C5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5517</w:t>
            </w:r>
          </w:p>
        </w:tc>
        <w:tc>
          <w:tcPr>
            <w:tcW w:w="2830" w:type="dxa"/>
            <w:vAlign w:val="center"/>
          </w:tcPr>
          <w:p w14:paraId="62190E55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Vzdělávací a technická zařízení požární ochrany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47BAF4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383 045 102,00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8DC07F2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766 038 373,70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C299891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1,03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1417" w:type="dxa"/>
            <w:vAlign w:val="center"/>
          </w:tcPr>
          <w:p w14:paraId="12CEE1B9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2,11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</w:tr>
      <w:tr w:rsidR="004D50FD" w:rsidRPr="005B5B16" w14:paraId="595E2612" w14:textId="77777777" w:rsidTr="004D50FD">
        <w:trPr>
          <w:trHeight w:val="255"/>
        </w:trPr>
        <w:tc>
          <w:tcPr>
            <w:tcW w:w="567" w:type="dxa"/>
            <w:vAlign w:val="center"/>
          </w:tcPr>
          <w:p w14:paraId="59896350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5561</w:t>
            </w:r>
          </w:p>
        </w:tc>
        <w:tc>
          <w:tcPr>
            <w:tcW w:w="2830" w:type="dxa"/>
            <w:vAlign w:val="center"/>
          </w:tcPr>
          <w:p w14:paraId="06B3D759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Činnost ústředního orgánu státní správy v požární ochraně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59184C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830 263 945,00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105E078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693 776 180,49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98132AA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2,24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1417" w:type="dxa"/>
            <w:vAlign w:val="center"/>
          </w:tcPr>
          <w:p w14:paraId="0C8159C9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1,91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</w:tr>
      <w:tr w:rsidR="004D50FD" w:rsidRPr="005B5B16" w14:paraId="412FC66F" w14:textId="77777777" w:rsidTr="004D50FD">
        <w:trPr>
          <w:trHeight w:val="255"/>
        </w:trPr>
        <w:tc>
          <w:tcPr>
            <w:tcW w:w="567" w:type="dxa"/>
            <w:vAlign w:val="center"/>
          </w:tcPr>
          <w:p w14:paraId="0BE76745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6180</w:t>
            </w:r>
          </w:p>
        </w:tc>
        <w:tc>
          <w:tcPr>
            <w:tcW w:w="2830" w:type="dxa"/>
            <w:vAlign w:val="center"/>
          </w:tcPr>
          <w:p w14:paraId="477176AA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Výzkum ve státní správě a samosprávě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E2453A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739 536 300,00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186AA60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683 324 658,74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42D25A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2,00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1417" w:type="dxa"/>
            <w:vAlign w:val="center"/>
          </w:tcPr>
          <w:p w14:paraId="7C8CD0B6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1,89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</w:tr>
      <w:tr w:rsidR="004D50FD" w:rsidRPr="005B5B16" w14:paraId="13199C98" w14:textId="77777777" w:rsidTr="004D50FD">
        <w:trPr>
          <w:trHeight w:val="255"/>
        </w:trPr>
        <w:tc>
          <w:tcPr>
            <w:tcW w:w="567" w:type="dxa"/>
            <w:vAlign w:val="center"/>
          </w:tcPr>
          <w:p w14:paraId="60DC74F4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5512</w:t>
            </w:r>
          </w:p>
        </w:tc>
        <w:tc>
          <w:tcPr>
            <w:tcW w:w="2830" w:type="dxa"/>
            <w:vAlign w:val="center"/>
          </w:tcPr>
          <w:p w14:paraId="047F8C50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Požární ochrana - dobrovolná část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C367A1B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410 000 000,00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0F73B9E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454 739 121,13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7B7061F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1,11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1417" w:type="dxa"/>
            <w:vAlign w:val="center"/>
          </w:tcPr>
          <w:p w14:paraId="7372B869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1,25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</w:tr>
      <w:tr w:rsidR="004D50FD" w:rsidRPr="005B5B16" w14:paraId="55B1910E" w14:textId="77777777" w:rsidTr="004D50FD">
        <w:trPr>
          <w:trHeight w:val="255"/>
        </w:trPr>
        <w:tc>
          <w:tcPr>
            <w:tcW w:w="567" w:type="dxa"/>
            <w:vAlign w:val="center"/>
          </w:tcPr>
          <w:p w14:paraId="58991DDA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5272</w:t>
            </w:r>
          </w:p>
        </w:tc>
        <w:tc>
          <w:tcPr>
            <w:tcW w:w="2830" w:type="dxa"/>
            <w:vAlign w:val="center"/>
          </w:tcPr>
          <w:p w14:paraId="051B1B9A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Činnost orgánů krizového řízení na územní úrovni a dalších územních správních úřadů v oblasti krizového řízení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FE8988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EEF1526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238 610 700,20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50B3EA0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0,00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1417" w:type="dxa"/>
            <w:vAlign w:val="center"/>
          </w:tcPr>
          <w:p w14:paraId="7B6E68A6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0,66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</w:tr>
      <w:tr w:rsidR="004D50FD" w:rsidRPr="005B5B16" w14:paraId="77851151" w14:textId="77777777" w:rsidTr="004D50FD">
        <w:trPr>
          <w:trHeight w:val="255"/>
        </w:trPr>
        <w:tc>
          <w:tcPr>
            <w:tcW w:w="567" w:type="dxa"/>
            <w:vAlign w:val="center"/>
          </w:tcPr>
          <w:p w14:paraId="18169D88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4151</w:t>
            </w:r>
          </w:p>
        </w:tc>
        <w:tc>
          <w:tcPr>
            <w:tcW w:w="2830" w:type="dxa"/>
            <w:vAlign w:val="center"/>
          </w:tcPr>
          <w:p w14:paraId="36A61CE9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Odchodné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DAFDA75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171 559 000,00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E5C7CBD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171 127 646,00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D2A4E61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0,46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1417" w:type="dxa"/>
            <w:vAlign w:val="center"/>
          </w:tcPr>
          <w:p w14:paraId="1B0DB27C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0,47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</w:tr>
      <w:tr w:rsidR="004D50FD" w:rsidRPr="005B5B16" w14:paraId="33F81AEA" w14:textId="77777777" w:rsidTr="004D50FD">
        <w:trPr>
          <w:trHeight w:val="255"/>
        </w:trPr>
        <w:tc>
          <w:tcPr>
            <w:tcW w:w="567" w:type="dxa"/>
            <w:vAlign w:val="center"/>
          </w:tcPr>
          <w:p w14:paraId="46F63B33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4114</w:t>
            </w:r>
          </w:p>
        </w:tc>
        <w:tc>
          <w:tcPr>
            <w:tcW w:w="2830" w:type="dxa"/>
            <w:vAlign w:val="center"/>
          </w:tcPr>
          <w:p w14:paraId="6F49E738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Vdovské důchody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384B6E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135 428 985,00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7B266A4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126 451 283,79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2189DD0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0,37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1417" w:type="dxa"/>
            <w:vAlign w:val="center"/>
          </w:tcPr>
          <w:p w14:paraId="456AF9A5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0,35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</w:tr>
      <w:tr w:rsidR="004D50FD" w:rsidRPr="005B5B16" w14:paraId="0F68B59D" w14:textId="77777777" w:rsidTr="004D50FD">
        <w:trPr>
          <w:trHeight w:val="255"/>
        </w:trPr>
        <w:tc>
          <w:tcPr>
            <w:tcW w:w="567" w:type="dxa"/>
            <w:vAlign w:val="center"/>
          </w:tcPr>
          <w:p w14:paraId="502D5308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4112</w:t>
            </w:r>
          </w:p>
        </w:tc>
        <w:tc>
          <w:tcPr>
            <w:tcW w:w="2830" w:type="dxa"/>
            <w:vAlign w:val="center"/>
          </w:tcPr>
          <w:p w14:paraId="75D73371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Invalidní důchody pro invaliditu třetího stupně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BDD7893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136 929 953,00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A67896D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123 239 112,33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0FF543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0,37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1417" w:type="dxa"/>
            <w:vAlign w:val="center"/>
          </w:tcPr>
          <w:p w14:paraId="6C40DCEF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0,34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</w:tr>
      <w:tr w:rsidR="004D50FD" w:rsidRPr="005B5B16" w14:paraId="0B4CF899" w14:textId="77777777" w:rsidTr="004D50FD">
        <w:trPr>
          <w:trHeight w:val="255"/>
        </w:trPr>
        <w:tc>
          <w:tcPr>
            <w:tcW w:w="567" w:type="dxa"/>
            <w:vAlign w:val="center"/>
          </w:tcPr>
          <w:p w14:paraId="3F0BF405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4116</w:t>
            </w:r>
          </w:p>
        </w:tc>
        <w:tc>
          <w:tcPr>
            <w:tcW w:w="2830" w:type="dxa"/>
            <w:vAlign w:val="center"/>
          </w:tcPr>
          <w:p w14:paraId="489D2F32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Sirotčí důchody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2860AA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83 787 744,00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51128E3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79 111 731,00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E5A38BF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0,23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1417" w:type="dxa"/>
            <w:vAlign w:val="center"/>
          </w:tcPr>
          <w:p w14:paraId="763FDEA3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0,22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</w:tr>
      <w:tr w:rsidR="004D50FD" w:rsidRPr="005B5B16" w14:paraId="6F360811" w14:textId="77777777" w:rsidTr="004D50FD">
        <w:trPr>
          <w:trHeight w:val="255"/>
        </w:trPr>
        <w:tc>
          <w:tcPr>
            <w:tcW w:w="567" w:type="dxa"/>
            <w:vAlign w:val="center"/>
          </w:tcPr>
          <w:p w14:paraId="22E9AFEB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4115</w:t>
            </w:r>
          </w:p>
        </w:tc>
        <w:tc>
          <w:tcPr>
            <w:tcW w:w="2830" w:type="dxa"/>
            <w:vAlign w:val="center"/>
          </w:tcPr>
          <w:p w14:paraId="7A0E95E5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Vdovecké důchody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C9975FE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71 841 329,00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650583B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64 594 670,76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355A9CD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0,19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1417" w:type="dxa"/>
            <w:vAlign w:val="center"/>
          </w:tcPr>
          <w:p w14:paraId="585FD332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0,18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</w:tr>
      <w:tr w:rsidR="004D50FD" w:rsidRPr="005B5B16" w14:paraId="7DA4CFFA" w14:textId="77777777" w:rsidTr="004D50FD">
        <w:trPr>
          <w:trHeight w:val="255"/>
        </w:trPr>
        <w:tc>
          <w:tcPr>
            <w:tcW w:w="567" w:type="dxa"/>
            <w:vAlign w:val="center"/>
          </w:tcPr>
          <w:p w14:paraId="06E06B64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5399</w:t>
            </w:r>
          </w:p>
        </w:tc>
        <w:tc>
          <w:tcPr>
            <w:tcW w:w="2830" w:type="dxa"/>
            <w:vAlign w:val="center"/>
          </w:tcPr>
          <w:p w14:paraId="6A848E80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Ostatní záležitosti bezpečnosti,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veřejného pořádku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5BC706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61 500 000,00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DEF1B0E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61 565 137,79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8EDB4E3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0,17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1417" w:type="dxa"/>
            <w:vAlign w:val="center"/>
          </w:tcPr>
          <w:p w14:paraId="62414945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0,17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</w:tr>
      <w:tr w:rsidR="004D50FD" w:rsidRPr="005B5B16" w14:paraId="32B1487E" w14:textId="77777777" w:rsidTr="004D50FD">
        <w:trPr>
          <w:trHeight w:val="255"/>
        </w:trPr>
        <w:tc>
          <w:tcPr>
            <w:tcW w:w="567" w:type="dxa"/>
            <w:vAlign w:val="center"/>
          </w:tcPr>
          <w:p w14:paraId="36CBA9F3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3299</w:t>
            </w:r>
          </w:p>
        </w:tc>
        <w:tc>
          <w:tcPr>
            <w:tcW w:w="2830" w:type="dxa"/>
            <w:vAlign w:val="center"/>
          </w:tcPr>
          <w:p w14:paraId="3E439A22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Ostatní záležitosti vzdělávání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27CCF70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43 234 348,00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92EC14C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55 706 610,00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BA50A3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0,12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1417" w:type="dxa"/>
            <w:vAlign w:val="center"/>
          </w:tcPr>
          <w:p w14:paraId="03B43065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0,15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</w:tr>
      <w:tr w:rsidR="004D50FD" w:rsidRPr="005B5B16" w14:paraId="4688248D" w14:textId="77777777" w:rsidTr="004D50FD">
        <w:trPr>
          <w:trHeight w:val="255"/>
        </w:trPr>
        <w:tc>
          <w:tcPr>
            <w:tcW w:w="567" w:type="dxa"/>
            <w:vAlign w:val="center"/>
          </w:tcPr>
          <w:p w14:paraId="5636CD48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6114</w:t>
            </w:r>
          </w:p>
        </w:tc>
        <w:tc>
          <w:tcPr>
            <w:tcW w:w="2830" w:type="dxa"/>
            <w:vAlign w:val="center"/>
          </w:tcPr>
          <w:p w14:paraId="0F6E3640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Volby do Parlamentu ČR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223E8BB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6A3F93F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53 557 124,85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B9D98E9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0,00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1417" w:type="dxa"/>
            <w:vAlign w:val="center"/>
          </w:tcPr>
          <w:p w14:paraId="4800173C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0,15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</w:tr>
      <w:tr w:rsidR="004D50FD" w:rsidRPr="005B5B16" w14:paraId="7E5A7B99" w14:textId="77777777" w:rsidTr="004D50FD">
        <w:trPr>
          <w:trHeight w:val="255"/>
        </w:trPr>
        <w:tc>
          <w:tcPr>
            <w:tcW w:w="567" w:type="dxa"/>
            <w:vAlign w:val="center"/>
          </w:tcPr>
          <w:p w14:paraId="6FEF0133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4117</w:t>
            </w:r>
          </w:p>
        </w:tc>
        <w:tc>
          <w:tcPr>
            <w:tcW w:w="2830" w:type="dxa"/>
            <w:vAlign w:val="center"/>
          </w:tcPr>
          <w:p w14:paraId="3F0DE269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Invalidní důchody pro invaliditu prvního stupně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2B3AABE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50 666 901,00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1A9F146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48 442 232,00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F99D163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0,14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1417" w:type="dxa"/>
            <w:vAlign w:val="center"/>
          </w:tcPr>
          <w:p w14:paraId="0B029D55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0,13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</w:tr>
      <w:tr w:rsidR="004D50FD" w:rsidRPr="005B5B16" w14:paraId="35C651EF" w14:textId="77777777" w:rsidTr="004D50FD">
        <w:trPr>
          <w:trHeight w:val="255"/>
        </w:trPr>
        <w:tc>
          <w:tcPr>
            <w:tcW w:w="567" w:type="dxa"/>
            <w:vAlign w:val="center"/>
          </w:tcPr>
          <w:p w14:paraId="7044A5D9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3533</w:t>
            </w:r>
          </w:p>
        </w:tc>
        <w:tc>
          <w:tcPr>
            <w:tcW w:w="2830" w:type="dxa"/>
            <w:vAlign w:val="center"/>
          </w:tcPr>
          <w:p w14:paraId="149B6D0C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Zdravotnická záchranná služba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B31889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6C11BEE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44 945 376,52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596356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0,00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1417" w:type="dxa"/>
            <w:vAlign w:val="center"/>
          </w:tcPr>
          <w:p w14:paraId="0544A6F9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0,12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</w:tr>
      <w:tr w:rsidR="004D50FD" w:rsidRPr="005B5B16" w14:paraId="350366C1" w14:textId="77777777" w:rsidTr="004D50FD">
        <w:trPr>
          <w:trHeight w:val="255"/>
        </w:trPr>
        <w:tc>
          <w:tcPr>
            <w:tcW w:w="567" w:type="dxa"/>
            <w:vAlign w:val="center"/>
          </w:tcPr>
          <w:p w14:paraId="14420F80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5599</w:t>
            </w:r>
          </w:p>
        </w:tc>
        <w:tc>
          <w:tcPr>
            <w:tcW w:w="2830" w:type="dxa"/>
            <w:vAlign w:val="center"/>
          </w:tcPr>
          <w:p w14:paraId="45595487" w14:textId="54782479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Ostatní záležitosti požární ochrany a</w:t>
            </w:r>
            <w:r w:rsidR="00E325EB">
              <w:rPr>
                <w:rFonts w:cstheme="minorHAnsi"/>
                <w:sz w:val="16"/>
                <w:szCs w:val="16"/>
              </w:rPr>
              <w:t> </w:t>
            </w:r>
            <w:r w:rsidRPr="005B5B16">
              <w:rPr>
                <w:rFonts w:cstheme="minorHAnsi"/>
                <w:sz w:val="16"/>
                <w:szCs w:val="16"/>
              </w:rPr>
              <w:t>integrovaného záchranného systému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F0C8D45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58 000 000,00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F945BD1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44 729 684,11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935345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0,16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1417" w:type="dxa"/>
            <w:vAlign w:val="center"/>
          </w:tcPr>
          <w:p w14:paraId="13EE38BD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0,12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</w:tr>
      <w:tr w:rsidR="004D50FD" w:rsidRPr="005B5B16" w14:paraId="21CE6170" w14:textId="77777777" w:rsidTr="004D50FD">
        <w:trPr>
          <w:trHeight w:val="255"/>
        </w:trPr>
        <w:tc>
          <w:tcPr>
            <w:tcW w:w="567" w:type="dxa"/>
            <w:vAlign w:val="center"/>
          </w:tcPr>
          <w:p w14:paraId="5E89C783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6219</w:t>
            </w:r>
          </w:p>
        </w:tc>
        <w:tc>
          <w:tcPr>
            <w:tcW w:w="2830" w:type="dxa"/>
            <w:vAlign w:val="center"/>
          </w:tcPr>
          <w:p w14:paraId="66B7DEC7" w14:textId="201C19FD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Ostatní veřejné služby jinde nezařazené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6EA719A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29 157 766,00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B14FDB5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39 957 766,00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F55DDA6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0,08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1417" w:type="dxa"/>
            <w:vAlign w:val="center"/>
          </w:tcPr>
          <w:p w14:paraId="2C24FB6D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0,11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</w:tr>
      <w:tr w:rsidR="004D50FD" w:rsidRPr="005B5B16" w14:paraId="31758185" w14:textId="77777777" w:rsidTr="004D50FD">
        <w:trPr>
          <w:trHeight w:val="255"/>
        </w:trPr>
        <w:tc>
          <w:tcPr>
            <w:tcW w:w="567" w:type="dxa"/>
            <w:vAlign w:val="center"/>
          </w:tcPr>
          <w:p w14:paraId="057CBB31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4113</w:t>
            </w:r>
          </w:p>
        </w:tc>
        <w:tc>
          <w:tcPr>
            <w:tcW w:w="2830" w:type="dxa"/>
            <w:vAlign w:val="center"/>
          </w:tcPr>
          <w:p w14:paraId="1D25EE71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Invalidní důchody pro invaliditu druhého stupně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391BE6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39 717 293,00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0F01EE5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36 549 507,00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6DE16F4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0,11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1417" w:type="dxa"/>
            <w:vAlign w:val="center"/>
          </w:tcPr>
          <w:p w14:paraId="3123475D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0,10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</w:tr>
      <w:tr w:rsidR="004D50FD" w:rsidRPr="005B5B16" w14:paraId="5CD57F23" w14:textId="77777777" w:rsidTr="004D50FD">
        <w:trPr>
          <w:trHeight w:val="255"/>
        </w:trPr>
        <w:tc>
          <w:tcPr>
            <w:tcW w:w="567" w:type="dxa"/>
            <w:vAlign w:val="center"/>
          </w:tcPr>
          <w:p w14:paraId="03F690C7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5380</w:t>
            </w:r>
          </w:p>
        </w:tc>
        <w:tc>
          <w:tcPr>
            <w:tcW w:w="2830" w:type="dxa"/>
            <w:vAlign w:val="center"/>
          </w:tcPr>
          <w:p w14:paraId="251CE462" w14:textId="711DC531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Výzkum týkající se bezpečnosti a</w:t>
            </w:r>
            <w:r w:rsidR="00E325EB">
              <w:rPr>
                <w:rFonts w:cstheme="minorHAnsi"/>
                <w:sz w:val="16"/>
                <w:szCs w:val="16"/>
              </w:rPr>
              <w:t> </w:t>
            </w:r>
            <w:r w:rsidRPr="005B5B16">
              <w:rPr>
                <w:rFonts w:cstheme="minorHAnsi"/>
                <w:sz w:val="16"/>
                <w:szCs w:val="16"/>
              </w:rPr>
              <w:t>veřejného pořádku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723F05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4 599 000,00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9E87E3B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35 563 659,21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3F67FE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0,01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1417" w:type="dxa"/>
            <w:vAlign w:val="center"/>
          </w:tcPr>
          <w:p w14:paraId="2685247C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0,10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</w:tr>
      <w:tr w:rsidR="004D50FD" w:rsidRPr="005B5B16" w14:paraId="7E4830DE" w14:textId="77777777" w:rsidTr="004D50FD">
        <w:trPr>
          <w:trHeight w:val="255"/>
        </w:trPr>
        <w:tc>
          <w:tcPr>
            <w:tcW w:w="567" w:type="dxa"/>
            <w:vAlign w:val="center"/>
          </w:tcPr>
          <w:p w14:paraId="057B569B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4121</w:t>
            </w:r>
          </w:p>
        </w:tc>
        <w:tc>
          <w:tcPr>
            <w:tcW w:w="2830" w:type="dxa"/>
            <w:vAlign w:val="center"/>
          </w:tcPr>
          <w:p w14:paraId="67B63992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Nemocenské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4CB77E5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98 796 000,00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CC36E93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30 295 411,00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075C3D7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0,27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1417" w:type="dxa"/>
            <w:vAlign w:val="center"/>
          </w:tcPr>
          <w:p w14:paraId="10E6B8B2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0,08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</w:tr>
      <w:tr w:rsidR="004D50FD" w:rsidRPr="005B5B16" w14:paraId="1AEC0B9E" w14:textId="77777777" w:rsidTr="004D50FD">
        <w:trPr>
          <w:trHeight w:val="255"/>
        </w:trPr>
        <w:tc>
          <w:tcPr>
            <w:tcW w:w="567" w:type="dxa"/>
            <w:vAlign w:val="center"/>
          </w:tcPr>
          <w:p w14:paraId="3287BB4C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5281</w:t>
            </w:r>
          </w:p>
        </w:tc>
        <w:tc>
          <w:tcPr>
            <w:tcW w:w="2830" w:type="dxa"/>
            <w:vAlign w:val="center"/>
          </w:tcPr>
          <w:p w14:paraId="1C2915D3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Výzkum a vývoj v oblasti ochrany obyvatelstva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F36F081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954 110,00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9B56F30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17 883 065,53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07754B0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0,00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1417" w:type="dxa"/>
            <w:vAlign w:val="center"/>
          </w:tcPr>
          <w:p w14:paraId="6CF8AC04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0,05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</w:tr>
      <w:tr w:rsidR="004D50FD" w:rsidRPr="005B5B16" w14:paraId="5A2F1897" w14:textId="77777777" w:rsidTr="004D50FD">
        <w:trPr>
          <w:trHeight w:val="255"/>
        </w:trPr>
        <w:tc>
          <w:tcPr>
            <w:tcW w:w="567" w:type="dxa"/>
            <w:vAlign w:val="center"/>
          </w:tcPr>
          <w:p w14:paraId="6C86711B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6222</w:t>
            </w:r>
          </w:p>
        </w:tc>
        <w:tc>
          <w:tcPr>
            <w:tcW w:w="2830" w:type="dxa"/>
            <w:vAlign w:val="center"/>
          </w:tcPr>
          <w:p w14:paraId="7CAE084C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Rozvojová zahraniční pomoc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B81569A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BE429AF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14 367 425,42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B201350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0,00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1417" w:type="dxa"/>
            <w:vAlign w:val="center"/>
          </w:tcPr>
          <w:p w14:paraId="0891BDE8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0,04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</w:tr>
      <w:tr w:rsidR="004D50FD" w:rsidRPr="005B5B16" w14:paraId="483D1AB4" w14:textId="77777777" w:rsidTr="004D50FD">
        <w:trPr>
          <w:trHeight w:val="255"/>
        </w:trPr>
        <w:tc>
          <w:tcPr>
            <w:tcW w:w="567" w:type="dxa"/>
            <w:vAlign w:val="center"/>
          </w:tcPr>
          <w:p w14:paraId="5BCF323E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4153</w:t>
            </w:r>
          </w:p>
        </w:tc>
        <w:tc>
          <w:tcPr>
            <w:tcW w:w="2830" w:type="dxa"/>
            <w:vAlign w:val="center"/>
          </w:tcPr>
          <w:p w14:paraId="36C7691D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Úmrtné a příspěvek na pohřeb příslušníka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18494A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2 500 000,00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DC067DD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9 959 336,00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5D43CE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0,01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1417" w:type="dxa"/>
            <w:vAlign w:val="center"/>
          </w:tcPr>
          <w:p w14:paraId="79FF0A5A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0,03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</w:tr>
      <w:tr w:rsidR="004D50FD" w:rsidRPr="005B5B16" w14:paraId="65F21F40" w14:textId="77777777" w:rsidTr="004D50FD">
        <w:trPr>
          <w:trHeight w:val="255"/>
        </w:trPr>
        <w:tc>
          <w:tcPr>
            <w:tcW w:w="567" w:type="dxa"/>
            <w:vAlign w:val="center"/>
          </w:tcPr>
          <w:p w14:paraId="6B36368B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5580</w:t>
            </w:r>
          </w:p>
        </w:tc>
        <w:tc>
          <w:tcPr>
            <w:tcW w:w="2830" w:type="dxa"/>
            <w:vAlign w:val="center"/>
          </w:tcPr>
          <w:p w14:paraId="19D75375" w14:textId="1E22D12E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Výzkum a vývoj v požární ochraně a</w:t>
            </w:r>
            <w:r w:rsidR="00E325EB">
              <w:rPr>
                <w:rFonts w:cstheme="minorHAnsi"/>
                <w:sz w:val="16"/>
                <w:szCs w:val="16"/>
              </w:rPr>
              <w:t> </w:t>
            </w:r>
            <w:r w:rsidRPr="005B5B16">
              <w:rPr>
                <w:rFonts w:cstheme="minorHAnsi"/>
                <w:sz w:val="16"/>
                <w:szCs w:val="16"/>
              </w:rPr>
              <w:t>integrovaném záchranném systému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A964C6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2 421 410,00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18C05C1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9 602 135,53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3C5807A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0,01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1417" w:type="dxa"/>
            <w:vAlign w:val="center"/>
          </w:tcPr>
          <w:p w14:paraId="1ADE871D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0,03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</w:tr>
      <w:tr w:rsidR="004D50FD" w:rsidRPr="005B5B16" w14:paraId="1768B516" w14:textId="77777777" w:rsidTr="004D50FD">
        <w:trPr>
          <w:trHeight w:val="255"/>
        </w:trPr>
        <w:tc>
          <w:tcPr>
            <w:tcW w:w="567" w:type="dxa"/>
            <w:vAlign w:val="center"/>
          </w:tcPr>
          <w:p w14:paraId="14A5D18A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4124</w:t>
            </w:r>
          </w:p>
        </w:tc>
        <w:tc>
          <w:tcPr>
            <w:tcW w:w="2830" w:type="dxa"/>
            <w:vAlign w:val="center"/>
          </w:tcPr>
          <w:p w14:paraId="38645534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Peněžitá pomoc v mateřství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257CF6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10 300 000,00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537D7BD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8 195 548,00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A5C3692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0,03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1417" w:type="dxa"/>
            <w:vAlign w:val="center"/>
          </w:tcPr>
          <w:p w14:paraId="0EA62867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0,02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</w:tr>
      <w:tr w:rsidR="004D50FD" w:rsidRPr="005B5B16" w14:paraId="1216BABC" w14:textId="77777777" w:rsidTr="004D50FD">
        <w:trPr>
          <w:trHeight w:val="255"/>
        </w:trPr>
        <w:tc>
          <w:tcPr>
            <w:tcW w:w="567" w:type="dxa"/>
            <w:vAlign w:val="center"/>
          </w:tcPr>
          <w:p w14:paraId="26F7D347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lastRenderedPageBreak/>
              <w:t>4193</w:t>
            </w:r>
          </w:p>
        </w:tc>
        <w:tc>
          <w:tcPr>
            <w:tcW w:w="2830" w:type="dxa"/>
            <w:vAlign w:val="center"/>
          </w:tcPr>
          <w:p w14:paraId="0C710CCF" w14:textId="38BF863D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Dávky válečným veteránům a</w:t>
            </w:r>
            <w:r w:rsidR="00E325EB">
              <w:rPr>
                <w:rFonts w:cstheme="minorHAnsi"/>
                <w:sz w:val="16"/>
                <w:szCs w:val="16"/>
              </w:rPr>
              <w:t> </w:t>
            </w:r>
            <w:r w:rsidRPr="005B5B16">
              <w:rPr>
                <w:rFonts w:cstheme="minorHAnsi"/>
                <w:sz w:val="16"/>
                <w:szCs w:val="16"/>
              </w:rPr>
              <w:t>perzekvovaným osobám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0515A6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24 000 000,00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61C60D7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2 272 850,00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BBE249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0,06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1417" w:type="dxa"/>
            <w:vAlign w:val="center"/>
          </w:tcPr>
          <w:p w14:paraId="27E4DD9E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0,01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</w:tr>
      <w:tr w:rsidR="004D50FD" w:rsidRPr="005B5B16" w14:paraId="1CFF4F7C" w14:textId="77777777" w:rsidTr="004D50FD">
        <w:trPr>
          <w:trHeight w:val="255"/>
        </w:trPr>
        <w:tc>
          <w:tcPr>
            <w:tcW w:w="567" w:type="dxa"/>
            <w:vAlign w:val="center"/>
          </w:tcPr>
          <w:p w14:paraId="0D068AF4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4119</w:t>
            </w:r>
          </w:p>
        </w:tc>
        <w:tc>
          <w:tcPr>
            <w:tcW w:w="2830" w:type="dxa"/>
            <w:vAlign w:val="center"/>
          </w:tcPr>
          <w:p w14:paraId="4F0D5F26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Ostatní dávky důchodového pojištění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F080A99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175 000 000,00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28B689A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1 120 000,00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388754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0,47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1417" w:type="dxa"/>
            <w:vAlign w:val="center"/>
          </w:tcPr>
          <w:p w14:paraId="48AC81E0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0,00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</w:tr>
      <w:tr w:rsidR="004D50FD" w:rsidRPr="005B5B16" w14:paraId="5D9A9875" w14:textId="77777777" w:rsidTr="004D50FD">
        <w:trPr>
          <w:trHeight w:val="255"/>
        </w:trPr>
        <w:tc>
          <w:tcPr>
            <w:tcW w:w="567" w:type="dxa"/>
            <w:vAlign w:val="center"/>
          </w:tcPr>
          <w:p w14:paraId="09990B1D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4125</w:t>
            </w:r>
          </w:p>
        </w:tc>
        <w:tc>
          <w:tcPr>
            <w:tcW w:w="2830" w:type="dxa"/>
            <w:vAlign w:val="center"/>
          </w:tcPr>
          <w:p w14:paraId="4F4BFA73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Dávky otcovské poporodní péče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0D40058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700 000,00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01DFF64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558 802,00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DB8DD9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0,00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1417" w:type="dxa"/>
            <w:vAlign w:val="center"/>
          </w:tcPr>
          <w:p w14:paraId="66DD9499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0,00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</w:tr>
      <w:tr w:rsidR="004D50FD" w:rsidRPr="005B5B16" w14:paraId="7DBF5630" w14:textId="77777777" w:rsidTr="004D50FD">
        <w:trPr>
          <w:trHeight w:val="255"/>
        </w:trPr>
        <w:tc>
          <w:tcPr>
            <w:tcW w:w="567" w:type="dxa"/>
            <w:vAlign w:val="center"/>
          </w:tcPr>
          <w:p w14:paraId="0ED7A968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6115</w:t>
            </w:r>
          </w:p>
        </w:tc>
        <w:tc>
          <w:tcPr>
            <w:tcW w:w="2830" w:type="dxa"/>
            <w:vAlign w:val="center"/>
          </w:tcPr>
          <w:p w14:paraId="028AB9A6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Volby do zastupitelstev územních samosprávných celků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F00D7FE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E6AF813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148 268,26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BBE8B6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0,00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1417" w:type="dxa"/>
            <w:vAlign w:val="center"/>
          </w:tcPr>
          <w:p w14:paraId="0BDB790B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0,00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</w:tr>
      <w:tr w:rsidR="004D50FD" w:rsidRPr="005B5B16" w14:paraId="3B54345C" w14:textId="77777777" w:rsidTr="004D50FD">
        <w:trPr>
          <w:trHeight w:val="255"/>
        </w:trPr>
        <w:tc>
          <w:tcPr>
            <w:tcW w:w="567" w:type="dxa"/>
            <w:vAlign w:val="center"/>
          </w:tcPr>
          <w:p w14:paraId="305A5C4F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4126</w:t>
            </w:r>
          </w:p>
        </w:tc>
        <w:tc>
          <w:tcPr>
            <w:tcW w:w="2830" w:type="dxa"/>
            <w:vAlign w:val="center"/>
          </w:tcPr>
          <w:p w14:paraId="159419B2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Dlouhodobé ošetřovné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DAA70B7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EB31F61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48 648,00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C7B2AA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0,00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1417" w:type="dxa"/>
            <w:vAlign w:val="center"/>
          </w:tcPr>
          <w:p w14:paraId="201E0937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0,00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</w:tr>
      <w:tr w:rsidR="004D50FD" w:rsidRPr="005B5B16" w14:paraId="766FD63B" w14:textId="77777777" w:rsidTr="004D50FD">
        <w:trPr>
          <w:trHeight w:val="255"/>
        </w:trPr>
        <w:tc>
          <w:tcPr>
            <w:tcW w:w="567" w:type="dxa"/>
            <w:vAlign w:val="center"/>
          </w:tcPr>
          <w:p w14:paraId="28697BCC" w14:textId="77777777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4123</w:t>
            </w:r>
          </w:p>
        </w:tc>
        <w:tc>
          <w:tcPr>
            <w:tcW w:w="2830" w:type="dxa"/>
            <w:vAlign w:val="center"/>
          </w:tcPr>
          <w:p w14:paraId="71BF1ACC" w14:textId="268D924D" w:rsidR="004D50FD" w:rsidRPr="005B5B16" w:rsidRDefault="004D50FD" w:rsidP="004D50F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Vyrovnávací příspěvek v těhotenství a</w:t>
            </w:r>
            <w:r w:rsidR="00E325EB">
              <w:rPr>
                <w:rFonts w:cstheme="minorHAnsi"/>
                <w:sz w:val="16"/>
                <w:szCs w:val="16"/>
              </w:rPr>
              <w:t> </w:t>
            </w:r>
            <w:r w:rsidRPr="005B5B16">
              <w:rPr>
                <w:rFonts w:cstheme="minorHAnsi"/>
                <w:sz w:val="16"/>
                <w:szCs w:val="16"/>
              </w:rPr>
              <w:t>mateřství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73EE35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98648E3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7 464,00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FA6F9F0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0,00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1417" w:type="dxa"/>
            <w:vAlign w:val="center"/>
          </w:tcPr>
          <w:p w14:paraId="73CF6558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0,00</w:t>
            </w:r>
            <w:r w:rsidR="002059FD">
              <w:rPr>
                <w:rFonts w:cstheme="minorHAnsi"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sz w:val="16"/>
                <w:szCs w:val="16"/>
              </w:rPr>
              <w:t>%</w:t>
            </w:r>
          </w:p>
        </w:tc>
      </w:tr>
      <w:tr w:rsidR="004D50FD" w:rsidRPr="005B5B16" w14:paraId="4CC14944" w14:textId="77777777" w:rsidTr="004D50FD">
        <w:trPr>
          <w:trHeight w:val="255"/>
        </w:trPr>
        <w:tc>
          <w:tcPr>
            <w:tcW w:w="3397" w:type="dxa"/>
            <w:gridSpan w:val="2"/>
            <w:shd w:val="clear" w:color="auto" w:fill="F2C6C9"/>
            <w:vAlign w:val="center"/>
          </w:tcPr>
          <w:p w14:paraId="3B7A799D" w14:textId="77777777" w:rsidR="004D50FD" w:rsidRPr="005B5B16" w:rsidRDefault="004D50FD" w:rsidP="004D50FD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Celkem</w:t>
            </w:r>
          </w:p>
        </w:tc>
        <w:tc>
          <w:tcPr>
            <w:tcW w:w="1418" w:type="dxa"/>
            <w:shd w:val="clear" w:color="auto" w:fill="F2C6C9"/>
            <w:noWrap/>
            <w:vAlign w:val="center"/>
          </w:tcPr>
          <w:p w14:paraId="64985054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37 031 170 690,00</w:t>
            </w:r>
          </w:p>
        </w:tc>
        <w:tc>
          <w:tcPr>
            <w:tcW w:w="1417" w:type="dxa"/>
            <w:shd w:val="clear" w:color="auto" w:fill="F2C6C9"/>
            <w:noWrap/>
            <w:vAlign w:val="center"/>
          </w:tcPr>
          <w:p w14:paraId="424E8D9E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36 243 388 013,11</w:t>
            </w:r>
          </w:p>
        </w:tc>
        <w:tc>
          <w:tcPr>
            <w:tcW w:w="1418" w:type="dxa"/>
            <w:shd w:val="clear" w:color="auto" w:fill="F2C6C9"/>
            <w:noWrap/>
            <w:vAlign w:val="center"/>
          </w:tcPr>
          <w:p w14:paraId="5A9BBDD7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100,00</w:t>
            </w:r>
            <w:r w:rsidR="002059FD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b/>
                <w:sz w:val="16"/>
                <w:szCs w:val="16"/>
              </w:rPr>
              <w:t>%</w:t>
            </w:r>
          </w:p>
        </w:tc>
        <w:tc>
          <w:tcPr>
            <w:tcW w:w="1417" w:type="dxa"/>
            <w:shd w:val="clear" w:color="auto" w:fill="F2C6C9"/>
            <w:vAlign w:val="center"/>
          </w:tcPr>
          <w:p w14:paraId="23CEB9F9" w14:textId="77777777" w:rsidR="004D50FD" w:rsidRPr="005B5B16" w:rsidRDefault="004D50FD" w:rsidP="004D50FD">
            <w:pPr>
              <w:spacing w:after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100,00</w:t>
            </w:r>
            <w:r w:rsidR="002059FD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5B5B16">
              <w:rPr>
                <w:rFonts w:cstheme="minorHAnsi"/>
                <w:b/>
                <w:sz w:val="16"/>
                <w:szCs w:val="16"/>
              </w:rPr>
              <w:t>%</w:t>
            </w:r>
          </w:p>
        </w:tc>
      </w:tr>
    </w:tbl>
    <w:p w14:paraId="2E249E4E" w14:textId="77777777" w:rsidR="004D50FD" w:rsidRPr="004D50FD" w:rsidRDefault="004D50FD" w:rsidP="004D50FD">
      <w:pPr>
        <w:pStyle w:val="Zdroj"/>
        <w:spacing w:before="40" w:after="120"/>
        <w:rPr>
          <w:rFonts w:asciiTheme="minorHAnsi" w:hAnsiTheme="minorHAnsi"/>
          <w:b/>
          <w:bCs/>
          <w:i w:val="0"/>
        </w:rPr>
      </w:pPr>
      <w:r w:rsidRPr="004D50FD">
        <w:rPr>
          <w:rFonts w:asciiTheme="minorHAnsi" w:hAnsiTheme="minorHAnsi"/>
          <w:b/>
          <w:i w:val="0"/>
        </w:rPr>
        <w:t xml:space="preserve">Zdroj: </w:t>
      </w:r>
      <w:r w:rsidRPr="004D50FD">
        <w:rPr>
          <w:rFonts w:asciiTheme="minorHAnsi" w:hAnsiTheme="minorHAnsi"/>
          <w:i w:val="0"/>
        </w:rPr>
        <w:t>informační portál MONITOR.</w:t>
      </w:r>
    </w:p>
    <w:p w14:paraId="4DD9DFB1" w14:textId="46B4B860" w:rsidR="004D50FD" w:rsidRPr="004D50FD" w:rsidRDefault="004D50FD" w:rsidP="00840A6E">
      <w:pPr>
        <w:spacing w:after="0"/>
        <w:ind w:right="-2"/>
        <w:jc w:val="both"/>
        <w:rPr>
          <w:rFonts w:asciiTheme="minorHAnsi" w:hAnsiTheme="minorHAnsi" w:cstheme="minorHAnsi"/>
        </w:rPr>
      </w:pPr>
      <w:r w:rsidRPr="004D50FD">
        <w:rPr>
          <w:rFonts w:asciiTheme="minorHAnsi" w:hAnsiTheme="minorHAnsi" w:cstheme="minorHAnsi"/>
        </w:rPr>
        <w:t xml:space="preserve">Nejvíce výdajů </w:t>
      </w:r>
      <w:r w:rsidR="003B2AF1">
        <w:rPr>
          <w:rFonts w:asciiTheme="minorHAnsi" w:hAnsiTheme="minorHAnsi" w:cstheme="minorHAnsi"/>
        </w:rPr>
        <w:t xml:space="preserve">zatřídilo </w:t>
      </w:r>
      <w:r w:rsidRPr="004D50FD">
        <w:rPr>
          <w:rFonts w:asciiTheme="minorHAnsi" w:hAnsiTheme="minorHAnsi" w:cstheme="minorHAnsi"/>
        </w:rPr>
        <w:t>MV v roce 2021 na paragraf</w:t>
      </w:r>
      <w:r w:rsidR="00E325EB">
        <w:rPr>
          <w:rFonts w:asciiTheme="minorHAnsi" w:hAnsiTheme="minorHAnsi" w:cstheme="minorHAnsi"/>
        </w:rPr>
        <w:t>y</w:t>
      </w:r>
      <w:r w:rsidRPr="004D50FD">
        <w:rPr>
          <w:rFonts w:asciiTheme="minorHAnsi" w:hAnsiTheme="minorHAnsi" w:cstheme="minorHAnsi"/>
        </w:rPr>
        <w:t xml:space="preserve"> 5311 – </w:t>
      </w:r>
      <w:r w:rsidRPr="004D50FD">
        <w:rPr>
          <w:rFonts w:asciiTheme="minorHAnsi" w:hAnsiTheme="minorHAnsi" w:cstheme="minorHAnsi"/>
          <w:i/>
          <w:iCs/>
        </w:rPr>
        <w:t>Bezpečnost a veřejný pořádek</w:t>
      </w:r>
      <w:r w:rsidRPr="004D50FD">
        <w:rPr>
          <w:rFonts w:asciiTheme="minorHAnsi" w:hAnsiTheme="minorHAnsi" w:cstheme="minorHAnsi"/>
        </w:rPr>
        <w:t xml:space="preserve">, 5316 – </w:t>
      </w:r>
      <w:r w:rsidRPr="004D50FD">
        <w:rPr>
          <w:rFonts w:asciiTheme="minorHAnsi" w:hAnsiTheme="minorHAnsi" w:cstheme="minorHAnsi"/>
          <w:i/>
          <w:iCs/>
        </w:rPr>
        <w:t>Činnost ústředního orgánu státní správy v oblasti bezpečnosti a veřejného pořádku</w:t>
      </w:r>
      <w:r w:rsidRPr="004D50FD">
        <w:rPr>
          <w:rFonts w:asciiTheme="minorHAnsi" w:hAnsiTheme="minorHAnsi" w:cstheme="minorHAnsi"/>
        </w:rPr>
        <w:t xml:space="preserve"> a</w:t>
      </w:r>
      <w:r w:rsidR="00E00E2E">
        <w:rPr>
          <w:rFonts w:asciiTheme="minorHAnsi" w:hAnsiTheme="minorHAnsi" w:cstheme="minorHAnsi"/>
        </w:rPr>
        <w:t> </w:t>
      </w:r>
      <w:r w:rsidRPr="004D50FD">
        <w:rPr>
          <w:rFonts w:asciiTheme="minorHAnsi" w:hAnsiTheme="minorHAnsi" w:cstheme="minorHAnsi"/>
        </w:rPr>
        <w:t xml:space="preserve">4111 – </w:t>
      </w:r>
      <w:r w:rsidRPr="004D50FD">
        <w:rPr>
          <w:rFonts w:asciiTheme="minorHAnsi" w:hAnsiTheme="minorHAnsi" w:cstheme="minorHAnsi"/>
          <w:i/>
          <w:iCs/>
        </w:rPr>
        <w:t>Starobní důchody</w:t>
      </w:r>
      <w:r w:rsidRPr="004D50FD">
        <w:rPr>
          <w:rFonts w:asciiTheme="minorHAnsi" w:hAnsiTheme="minorHAnsi" w:cstheme="minorHAnsi"/>
        </w:rPr>
        <w:t>, což odpovídá agendám</w:t>
      </w:r>
      <w:r w:rsidR="00E325EB">
        <w:rPr>
          <w:rFonts w:asciiTheme="minorHAnsi" w:hAnsiTheme="minorHAnsi" w:cstheme="minorHAnsi"/>
        </w:rPr>
        <w:t>, které</w:t>
      </w:r>
      <w:r w:rsidRPr="004D50FD">
        <w:rPr>
          <w:rFonts w:asciiTheme="minorHAnsi" w:hAnsiTheme="minorHAnsi" w:cstheme="minorHAnsi"/>
        </w:rPr>
        <w:t xml:space="preserve"> </w:t>
      </w:r>
      <w:r w:rsidR="00E325EB" w:rsidRPr="004D50FD">
        <w:rPr>
          <w:rFonts w:asciiTheme="minorHAnsi" w:hAnsiTheme="minorHAnsi" w:cstheme="minorHAnsi"/>
        </w:rPr>
        <w:t xml:space="preserve">MV </w:t>
      </w:r>
      <w:r w:rsidRPr="004D50FD">
        <w:rPr>
          <w:rFonts w:asciiTheme="minorHAnsi" w:hAnsiTheme="minorHAnsi" w:cstheme="minorHAnsi"/>
        </w:rPr>
        <w:t>vykonáv</w:t>
      </w:r>
      <w:r w:rsidR="00E325EB">
        <w:rPr>
          <w:rFonts w:asciiTheme="minorHAnsi" w:hAnsiTheme="minorHAnsi" w:cstheme="minorHAnsi"/>
        </w:rPr>
        <w:t>á</w:t>
      </w:r>
      <w:r w:rsidRPr="004D50FD">
        <w:rPr>
          <w:rFonts w:asciiTheme="minorHAnsi" w:hAnsiTheme="minorHAnsi" w:cstheme="minorHAnsi"/>
        </w:rPr>
        <w:t>.</w:t>
      </w:r>
    </w:p>
    <w:p w14:paraId="3A675C79" w14:textId="77777777" w:rsidR="004D50FD" w:rsidRDefault="004D50FD" w:rsidP="00840A6E">
      <w:pPr>
        <w:pStyle w:val="Zdroj"/>
        <w:spacing w:before="0"/>
        <w:jc w:val="both"/>
        <w:rPr>
          <w:rFonts w:asciiTheme="minorHAnsi" w:hAnsiTheme="minorHAnsi"/>
          <w:bCs/>
          <w:i w:val="0"/>
          <w:sz w:val="24"/>
        </w:rPr>
      </w:pPr>
    </w:p>
    <w:p w14:paraId="2A535943" w14:textId="77777777" w:rsidR="00840A6E" w:rsidRDefault="00840A6E" w:rsidP="00840A6E">
      <w:pPr>
        <w:spacing w:after="0"/>
        <w:rPr>
          <w:rFonts w:cstheme="minorHAnsi"/>
        </w:rPr>
      </w:pPr>
    </w:p>
    <w:p w14:paraId="5A9427DE" w14:textId="1E12220E" w:rsidR="00840A6E" w:rsidRPr="00DD3FBB" w:rsidRDefault="00840A6E" w:rsidP="00DD3FBB">
      <w:pPr>
        <w:spacing w:after="240"/>
        <w:jc w:val="center"/>
        <w:rPr>
          <w:b/>
          <w:bCs/>
        </w:rPr>
      </w:pPr>
      <w:r w:rsidRPr="00DD3FBB">
        <w:rPr>
          <w:b/>
          <w:bCs/>
        </w:rPr>
        <w:t>Oddíl IX</w:t>
      </w:r>
      <w:r w:rsidR="00E325EB">
        <w:rPr>
          <w:b/>
          <w:bCs/>
        </w:rPr>
        <w:t>.</w:t>
      </w:r>
      <w:r w:rsidRPr="00DD3FBB">
        <w:rPr>
          <w:b/>
          <w:bCs/>
        </w:rPr>
        <w:t xml:space="preserve"> Využívání účetních informací MV</w:t>
      </w:r>
    </w:p>
    <w:p w14:paraId="00CA6943" w14:textId="77777777" w:rsidR="00742F9E" w:rsidRDefault="00840A6E" w:rsidP="00840A6E">
      <w:pPr>
        <w:keepNext/>
        <w:jc w:val="both"/>
        <w:rPr>
          <w:rFonts w:cstheme="minorHAnsi"/>
          <w:bCs/>
        </w:rPr>
      </w:pPr>
      <w:r w:rsidRPr="00315B0B">
        <w:rPr>
          <w:rFonts w:cstheme="minorHAnsi"/>
          <w:bCs/>
        </w:rPr>
        <w:t xml:space="preserve">V rámci kontroly </w:t>
      </w:r>
      <w:r w:rsidRPr="00D40705">
        <w:rPr>
          <w:rFonts w:cstheme="minorHAnsi"/>
          <w:bCs/>
        </w:rPr>
        <w:t>bylo rovněž zjišťováno, zda a jak M</w:t>
      </w:r>
      <w:r>
        <w:rPr>
          <w:rFonts w:cstheme="minorHAnsi"/>
          <w:bCs/>
        </w:rPr>
        <w:t>V</w:t>
      </w:r>
      <w:r w:rsidRPr="00D40705">
        <w:rPr>
          <w:rFonts w:cstheme="minorHAnsi"/>
          <w:bCs/>
        </w:rPr>
        <w:t xml:space="preserve"> využívá účetní informace.</w:t>
      </w:r>
      <w:r>
        <w:rPr>
          <w:rFonts w:cstheme="minorHAnsi"/>
          <w:bCs/>
        </w:rPr>
        <w:t xml:space="preserve"> </w:t>
      </w:r>
    </w:p>
    <w:p w14:paraId="7034DB3F" w14:textId="77777777" w:rsidR="00840A6E" w:rsidRDefault="00840A6E">
      <w:pPr>
        <w:keepNext/>
        <w:jc w:val="both"/>
        <w:rPr>
          <w:rFonts w:cstheme="minorHAnsi"/>
          <w:bCs/>
        </w:rPr>
      </w:pPr>
      <w:r w:rsidRPr="00EA60C1">
        <w:rPr>
          <w:rFonts w:cstheme="minorHAnsi"/>
        </w:rPr>
        <w:t>Zákon č.</w:t>
      </w:r>
      <w:r>
        <w:rPr>
          <w:rFonts w:cstheme="minorHAnsi"/>
        </w:rPr>
        <w:t> </w:t>
      </w:r>
      <w:r w:rsidRPr="00EA60C1">
        <w:rPr>
          <w:rFonts w:cstheme="minorHAnsi"/>
        </w:rPr>
        <w:t>563/1991 Sb. v</w:t>
      </w:r>
      <w:r w:rsidR="00E00E2E">
        <w:rPr>
          <w:rFonts w:cstheme="minorHAnsi"/>
        </w:rPr>
        <w:t xml:space="preserve"> ustanovení </w:t>
      </w:r>
      <w:r w:rsidRPr="00EA60C1">
        <w:rPr>
          <w:rFonts w:cstheme="minorHAnsi"/>
        </w:rPr>
        <w:t xml:space="preserve">§ 7 odst. 1 stanoví požadavek, aby </w:t>
      </w:r>
      <w:r w:rsidR="00742F9E">
        <w:rPr>
          <w:rFonts w:cstheme="minorHAnsi"/>
        </w:rPr>
        <w:t xml:space="preserve">sestavená účetní závěrka </w:t>
      </w:r>
      <w:r w:rsidRPr="00EA60C1">
        <w:rPr>
          <w:rFonts w:cstheme="minorHAnsi"/>
        </w:rPr>
        <w:t xml:space="preserve">mohla uživatelům sloužit k činění ekonomických rozhodnutí. </w:t>
      </w:r>
      <w:r w:rsidR="00742F9E">
        <w:rPr>
          <w:rFonts w:asciiTheme="minorHAnsi" w:eastAsiaTheme="minorHAnsi" w:hAnsiTheme="minorHAnsi" w:cstheme="minorHAnsi"/>
        </w:rPr>
        <w:t xml:space="preserve">Nevyžaduje však po účetní jednotce, aby akruální účetní informace použila, s výjimkou plnění zákonných povinností (např. pro účely povinné inventarizace). </w:t>
      </w:r>
    </w:p>
    <w:p w14:paraId="36CBEAA9" w14:textId="38B12B22" w:rsidR="00840A6E" w:rsidRDefault="00840A6E" w:rsidP="00840A6E">
      <w:pPr>
        <w:jc w:val="both"/>
        <w:rPr>
          <w:rFonts w:cstheme="minorHAnsi"/>
          <w:iCs/>
        </w:rPr>
      </w:pPr>
      <w:r w:rsidRPr="00916FF6">
        <w:rPr>
          <w:rFonts w:cstheme="minorHAnsi"/>
        </w:rPr>
        <w:t xml:space="preserve">Pro účely </w:t>
      </w:r>
      <w:r w:rsidRPr="002B1337">
        <w:rPr>
          <w:rFonts w:cstheme="minorHAnsi"/>
        </w:rPr>
        <w:t>vlastního rozhodování a řízení</w:t>
      </w:r>
      <w:r w:rsidRPr="00916FF6">
        <w:rPr>
          <w:rFonts w:cstheme="minorHAnsi"/>
        </w:rPr>
        <w:t xml:space="preserve"> byly nad celoresortními daty v</w:t>
      </w:r>
      <w:r>
        <w:rPr>
          <w:rFonts w:cstheme="minorHAnsi"/>
        </w:rPr>
        <w:t xml:space="preserve"> ekonomickém informačním systému MV </w:t>
      </w:r>
      <w:r w:rsidRPr="00916FF6">
        <w:rPr>
          <w:rFonts w:cstheme="minorHAnsi"/>
        </w:rPr>
        <w:t xml:space="preserve">naprogramovány agregované výstupy – tzv. </w:t>
      </w:r>
      <w:r w:rsidR="00E325EB">
        <w:rPr>
          <w:rFonts w:cstheme="minorHAnsi"/>
        </w:rPr>
        <w:t>m</w:t>
      </w:r>
      <w:r w:rsidRPr="00916FF6">
        <w:rPr>
          <w:rFonts w:cstheme="minorHAnsi"/>
        </w:rPr>
        <w:t xml:space="preserve">anažerský informační systém </w:t>
      </w:r>
      <w:r w:rsidRPr="002B1337">
        <w:rPr>
          <w:rFonts w:cstheme="minorHAnsi"/>
        </w:rPr>
        <w:t>(dále také „MIS“)</w:t>
      </w:r>
      <w:r w:rsidRPr="00916FF6">
        <w:rPr>
          <w:rFonts w:cstheme="minorHAnsi"/>
        </w:rPr>
        <w:t>.</w:t>
      </w:r>
      <w:r>
        <w:rPr>
          <w:rFonts w:cstheme="minorHAnsi"/>
        </w:rPr>
        <w:t xml:space="preserve"> Zástupci </w:t>
      </w:r>
      <w:r>
        <w:rPr>
          <w:rFonts w:cstheme="minorHAnsi"/>
          <w:bCs/>
          <w:lang w:eastAsia="cs-CZ"/>
        </w:rPr>
        <w:t>m</w:t>
      </w:r>
      <w:r w:rsidRPr="00495164">
        <w:rPr>
          <w:rFonts w:cstheme="minorHAnsi"/>
          <w:bCs/>
          <w:lang w:eastAsia="cs-CZ"/>
        </w:rPr>
        <w:t>anagement</w:t>
      </w:r>
      <w:r>
        <w:rPr>
          <w:rFonts w:cstheme="minorHAnsi"/>
          <w:bCs/>
          <w:lang w:eastAsia="cs-CZ"/>
        </w:rPr>
        <w:t>u</w:t>
      </w:r>
      <w:r w:rsidRPr="00495164">
        <w:rPr>
          <w:rFonts w:cstheme="minorHAnsi"/>
          <w:bCs/>
          <w:lang w:eastAsia="cs-CZ"/>
        </w:rPr>
        <w:t xml:space="preserve"> </w:t>
      </w:r>
      <w:r>
        <w:rPr>
          <w:rFonts w:cstheme="minorHAnsi"/>
          <w:bCs/>
          <w:lang w:eastAsia="cs-CZ"/>
        </w:rPr>
        <w:t xml:space="preserve">MV využívají </w:t>
      </w:r>
      <w:r w:rsidRPr="00495164">
        <w:rPr>
          <w:rFonts w:cstheme="minorHAnsi"/>
          <w:bCs/>
          <w:lang w:eastAsia="cs-CZ"/>
        </w:rPr>
        <w:t xml:space="preserve">data </w:t>
      </w:r>
      <w:r>
        <w:rPr>
          <w:rFonts w:cstheme="minorHAnsi"/>
          <w:bCs/>
          <w:lang w:eastAsia="cs-CZ"/>
        </w:rPr>
        <w:t>MIS</w:t>
      </w:r>
      <w:r w:rsidRPr="00495164">
        <w:rPr>
          <w:rFonts w:cstheme="minorHAnsi"/>
          <w:bCs/>
          <w:lang w:eastAsia="cs-CZ"/>
        </w:rPr>
        <w:t>.</w:t>
      </w:r>
    </w:p>
    <w:p w14:paraId="47F634A1" w14:textId="77777777" w:rsidR="00840A6E" w:rsidRPr="00A95084" w:rsidRDefault="00840A6E" w:rsidP="00840A6E">
      <w:pPr>
        <w:jc w:val="both"/>
        <w:rPr>
          <w:rFonts w:cstheme="minorHAnsi"/>
          <w:iCs/>
        </w:rPr>
      </w:pPr>
      <w:r>
        <w:rPr>
          <w:rFonts w:cstheme="minorHAnsi"/>
          <w:iCs/>
        </w:rPr>
        <w:t xml:space="preserve">MV </w:t>
      </w:r>
      <w:r w:rsidRPr="002B1337">
        <w:rPr>
          <w:rFonts w:cstheme="minorHAnsi"/>
          <w:iCs/>
        </w:rPr>
        <w:t xml:space="preserve">využívá </w:t>
      </w:r>
      <w:r>
        <w:rPr>
          <w:rFonts w:cstheme="minorHAnsi"/>
          <w:iCs/>
        </w:rPr>
        <w:t xml:space="preserve">účetní informace pro účely vlastního rozhodování a řízení zejména v rámci </w:t>
      </w:r>
      <w:r w:rsidRPr="004D3B82">
        <w:rPr>
          <w:rFonts w:cstheme="minorHAnsi"/>
          <w:iCs/>
        </w:rPr>
        <w:t>správy pohledávek,</w:t>
      </w:r>
      <w:r>
        <w:rPr>
          <w:rFonts w:cstheme="minorHAnsi"/>
          <w:iCs/>
        </w:rPr>
        <w:t xml:space="preserve"> </w:t>
      </w:r>
      <w:r w:rsidRPr="00A95084">
        <w:rPr>
          <w:rFonts w:cstheme="minorHAnsi"/>
          <w:iCs/>
        </w:rPr>
        <w:t>sledování energetických nákladů budov, které jsou v příslušnosti hospodaření MV</w:t>
      </w:r>
      <w:r>
        <w:rPr>
          <w:rFonts w:cstheme="minorHAnsi"/>
          <w:iCs/>
        </w:rPr>
        <w:t xml:space="preserve"> či v užívání MV, správy pohledávek z poskytnutých záloh na transfery, schvalování účetních závěrek nebo sledování nákladů organizačních útvarů Policie ČR.</w:t>
      </w:r>
      <w:r w:rsidRPr="00A95084">
        <w:rPr>
          <w:rFonts w:cstheme="minorHAnsi"/>
          <w:iCs/>
        </w:rPr>
        <w:t xml:space="preserve"> </w:t>
      </w:r>
    </w:p>
    <w:p w14:paraId="4B4DD928" w14:textId="7FD08C18" w:rsidR="00840A6E" w:rsidRPr="0093118E" w:rsidRDefault="00840A6E" w:rsidP="00840A6E">
      <w:pPr>
        <w:jc w:val="both"/>
        <w:rPr>
          <w:rFonts w:cstheme="minorHAnsi"/>
          <w:bCs/>
        </w:rPr>
      </w:pPr>
      <w:r>
        <w:rPr>
          <w:rFonts w:cstheme="minorHAnsi"/>
          <w:b/>
          <w:bCs/>
        </w:rPr>
        <w:t xml:space="preserve">Pro tyto účely </w:t>
      </w:r>
      <w:r w:rsidRPr="0093118E">
        <w:rPr>
          <w:rFonts w:cstheme="minorHAnsi"/>
          <w:b/>
          <w:bCs/>
        </w:rPr>
        <w:t>využívá</w:t>
      </w:r>
      <w:r>
        <w:rPr>
          <w:rFonts w:cstheme="minorHAnsi"/>
          <w:b/>
          <w:bCs/>
        </w:rPr>
        <w:t xml:space="preserve"> </w:t>
      </w:r>
      <w:r w:rsidR="00E325EB" w:rsidRPr="0093118E">
        <w:rPr>
          <w:rFonts w:cstheme="minorHAnsi"/>
          <w:b/>
          <w:bCs/>
        </w:rPr>
        <w:t xml:space="preserve">MV </w:t>
      </w:r>
      <w:r w:rsidRPr="0093118E">
        <w:rPr>
          <w:rFonts w:cstheme="minorHAnsi"/>
          <w:b/>
          <w:bCs/>
        </w:rPr>
        <w:t>především informace o stálých aktivech, oběžných aktivech, vlastním kapitálu, cizích zdrojích (především z hlediska potenciální tvorby rezerv), nákladech a výnosech z činnosti a podmíněn</w:t>
      </w:r>
      <w:r>
        <w:rPr>
          <w:rFonts w:cstheme="minorHAnsi"/>
          <w:b/>
          <w:bCs/>
        </w:rPr>
        <w:t>ých</w:t>
      </w:r>
      <w:r w:rsidRPr="0093118E">
        <w:rPr>
          <w:rFonts w:cstheme="minorHAnsi"/>
          <w:b/>
          <w:bCs/>
        </w:rPr>
        <w:t xml:space="preserve"> pohledávk</w:t>
      </w:r>
      <w:r>
        <w:rPr>
          <w:rFonts w:cstheme="minorHAnsi"/>
          <w:b/>
          <w:bCs/>
        </w:rPr>
        <w:t>ách</w:t>
      </w:r>
      <w:r w:rsidRPr="0093118E">
        <w:rPr>
          <w:rFonts w:cstheme="minorHAnsi"/>
          <w:b/>
          <w:bCs/>
        </w:rPr>
        <w:t xml:space="preserve"> a podmíněn</w:t>
      </w:r>
      <w:r>
        <w:rPr>
          <w:rFonts w:cstheme="minorHAnsi"/>
          <w:b/>
          <w:bCs/>
        </w:rPr>
        <w:t>ých</w:t>
      </w:r>
      <w:r w:rsidRPr="0093118E">
        <w:rPr>
          <w:rFonts w:cstheme="minorHAnsi"/>
          <w:b/>
          <w:bCs/>
        </w:rPr>
        <w:t xml:space="preserve"> závaz</w:t>
      </w:r>
      <w:r>
        <w:rPr>
          <w:rFonts w:cstheme="minorHAnsi"/>
          <w:b/>
          <w:bCs/>
        </w:rPr>
        <w:t>cích.</w:t>
      </w:r>
      <w:r w:rsidRPr="0093118E">
        <w:rPr>
          <w:rFonts w:cstheme="minorHAnsi"/>
          <w:bCs/>
        </w:rPr>
        <w:t xml:space="preserve"> </w:t>
      </w:r>
    </w:p>
    <w:p w14:paraId="0490B71D" w14:textId="77777777" w:rsidR="00840A6E" w:rsidRDefault="00840A6E" w:rsidP="00840A6E">
      <w:pPr>
        <w:spacing w:after="0"/>
        <w:jc w:val="both"/>
        <w:rPr>
          <w:rFonts w:cstheme="minorHAnsi"/>
          <w:bCs/>
        </w:rPr>
      </w:pPr>
      <w:r w:rsidRPr="00FD51E0">
        <w:rPr>
          <w:rFonts w:cstheme="minorHAnsi"/>
          <w:bCs/>
        </w:rPr>
        <w:t xml:space="preserve">Pro sestavování a hodnocení plnění rozpočtu pak </w:t>
      </w:r>
      <w:r>
        <w:rPr>
          <w:rFonts w:cstheme="minorHAnsi"/>
          <w:bCs/>
        </w:rPr>
        <w:t xml:space="preserve">MV </w:t>
      </w:r>
      <w:r w:rsidRPr="00FD51E0">
        <w:rPr>
          <w:rFonts w:cstheme="minorHAnsi"/>
          <w:bCs/>
        </w:rPr>
        <w:t>využívá některé účetní informace o</w:t>
      </w:r>
      <w:r>
        <w:rPr>
          <w:rFonts w:cstheme="minorHAnsi"/>
          <w:bCs/>
        </w:rPr>
        <w:t> </w:t>
      </w:r>
      <w:r w:rsidRPr="00FD51E0">
        <w:rPr>
          <w:rFonts w:cstheme="minorHAnsi"/>
          <w:bCs/>
        </w:rPr>
        <w:t>stálých a oběžných aktivech</w:t>
      </w:r>
      <w:r>
        <w:rPr>
          <w:rFonts w:cstheme="minorHAnsi"/>
          <w:bCs/>
        </w:rPr>
        <w:t>.</w:t>
      </w:r>
    </w:p>
    <w:p w14:paraId="3ECD965F" w14:textId="77777777" w:rsidR="00840A6E" w:rsidRDefault="00840A6E" w:rsidP="00840A6E">
      <w:pPr>
        <w:jc w:val="both"/>
        <w:rPr>
          <w:rFonts w:cstheme="minorHAnsi"/>
          <w:bCs/>
        </w:rPr>
      </w:pPr>
    </w:p>
    <w:p w14:paraId="700E953F" w14:textId="7E9B5F43" w:rsidR="00A7436E" w:rsidRPr="00DD3FBB" w:rsidRDefault="00A7436E" w:rsidP="00A7436E">
      <w:pPr>
        <w:spacing w:after="240"/>
        <w:jc w:val="center"/>
        <w:rPr>
          <w:b/>
          <w:bCs/>
        </w:rPr>
      </w:pPr>
      <w:r w:rsidRPr="00DD3FBB">
        <w:rPr>
          <w:b/>
          <w:bCs/>
        </w:rPr>
        <w:t>Oddíl X</w:t>
      </w:r>
      <w:r w:rsidR="00E325EB">
        <w:rPr>
          <w:b/>
          <w:bCs/>
        </w:rPr>
        <w:t>.</w:t>
      </w:r>
      <w:r w:rsidRPr="00DD3FBB">
        <w:rPr>
          <w:b/>
          <w:bCs/>
        </w:rPr>
        <w:t xml:space="preserve"> V</w:t>
      </w:r>
      <w:r>
        <w:rPr>
          <w:b/>
          <w:bCs/>
        </w:rPr>
        <w:t>liv pandemie covid</w:t>
      </w:r>
      <w:r w:rsidR="00E325EB">
        <w:rPr>
          <w:b/>
          <w:bCs/>
        </w:rPr>
        <w:t>u</w:t>
      </w:r>
      <w:r>
        <w:rPr>
          <w:b/>
          <w:bCs/>
        </w:rPr>
        <w:t>-19 na výdaje a náklady MV</w:t>
      </w:r>
    </w:p>
    <w:p w14:paraId="7A8090D0" w14:textId="40C478AA" w:rsidR="00A7436E" w:rsidRDefault="00A7436E" w:rsidP="00840A6E">
      <w:pPr>
        <w:jc w:val="both"/>
        <w:rPr>
          <w:rFonts w:cstheme="minorHAnsi"/>
          <w:bCs/>
        </w:rPr>
      </w:pPr>
      <w:r>
        <w:rPr>
          <w:rFonts w:asciiTheme="minorHAnsi" w:hAnsiTheme="minorHAnsi" w:cstheme="minorHAnsi"/>
        </w:rPr>
        <w:t>V souvislosti s pandemií covid</w:t>
      </w:r>
      <w:r w:rsidR="00E325EB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-19 bylo kontrolou zjištěno, že ovlivnila celkovou skladbu </w:t>
      </w:r>
      <w:r w:rsidR="00282DD5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a</w:t>
      </w:r>
      <w:r w:rsidR="00282DD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hodnotu výdajů a nákladů za rok 2021 v nevýznamné míře. V</w:t>
      </w:r>
      <w:r w:rsidRPr="004415E1">
        <w:rPr>
          <w:rFonts w:asciiTheme="minorHAnsi" w:hAnsiTheme="minorHAnsi" w:cstheme="minorHAnsi"/>
        </w:rPr>
        <w:t>ýdaje</w:t>
      </w:r>
      <w:r>
        <w:rPr>
          <w:rFonts w:asciiTheme="minorHAnsi" w:hAnsiTheme="minorHAnsi" w:cstheme="minorHAnsi"/>
        </w:rPr>
        <w:t xml:space="preserve"> </w:t>
      </w:r>
      <w:r w:rsidRPr="004415E1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V vynaložené v</w:t>
      </w:r>
      <w:r w:rsidR="00282DD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roce 2021 v souvislosti s pandemií covid</w:t>
      </w:r>
      <w:r w:rsidR="00E325EB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>-19 tvořil</w:t>
      </w:r>
      <w:r w:rsidR="00E325EB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1 % </w:t>
      </w:r>
      <w:r w:rsidRPr="004415E1">
        <w:rPr>
          <w:rFonts w:asciiTheme="minorHAnsi" w:hAnsiTheme="minorHAnsi" w:cstheme="minorHAnsi"/>
        </w:rPr>
        <w:t>celkových výdajů M</w:t>
      </w:r>
      <w:r>
        <w:rPr>
          <w:rFonts w:asciiTheme="minorHAnsi" w:hAnsiTheme="minorHAnsi" w:cstheme="minorHAnsi"/>
        </w:rPr>
        <w:t>V za daný rok</w:t>
      </w:r>
      <w:r w:rsidRPr="004415E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Podobně tomu bylo v případě nákladů.</w:t>
      </w:r>
    </w:p>
    <w:p w14:paraId="31407060" w14:textId="77777777" w:rsidR="00840A6E" w:rsidRDefault="00840A6E" w:rsidP="00840A6E">
      <w:pPr>
        <w:jc w:val="both"/>
        <w:rPr>
          <w:rFonts w:cstheme="minorHAnsi"/>
          <w:bCs/>
        </w:rPr>
      </w:pPr>
    </w:p>
    <w:p w14:paraId="1023F39C" w14:textId="77777777" w:rsidR="00840A6E" w:rsidRPr="006F55EC" w:rsidRDefault="00840A6E" w:rsidP="00124170">
      <w:pPr>
        <w:pStyle w:val="Nadpis1"/>
        <w:keepNext/>
        <w:numPr>
          <w:ilvl w:val="0"/>
          <w:numId w:val="17"/>
        </w:numPr>
        <w:spacing w:after="200" w:line="240" w:lineRule="auto"/>
        <w:ind w:left="284" w:hanging="284"/>
        <w:jc w:val="both"/>
      </w:pPr>
      <w:bookmarkStart w:id="165" w:name="_Toc519242497"/>
      <w:bookmarkStart w:id="166" w:name="_Toc39530429"/>
      <w:r w:rsidRPr="006F55EC">
        <w:lastRenderedPageBreak/>
        <w:t>Příspěvkové organizace v rozpočtové kapitol</w:t>
      </w:r>
      <w:r>
        <w:t>e</w:t>
      </w:r>
      <w:r w:rsidRPr="006F55EC">
        <w:t xml:space="preserve"> 3</w:t>
      </w:r>
      <w:bookmarkEnd w:id="165"/>
      <w:bookmarkEnd w:id="166"/>
      <w:r w:rsidRPr="006F55EC">
        <w:t>14</w:t>
      </w:r>
    </w:p>
    <w:p w14:paraId="4E456E41" w14:textId="77777777" w:rsidR="00840A6E" w:rsidRPr="006F55EC" w:rsidRDefault="00840A6E" w:rsidP="00124170">
      <w:pPr>
        <w:pStyle w:val="Titulek"/>
        <w:spacing w:before="0" w:after="0"/>
        <w:rPr>
          <w:rFonts w:cstheme="minorHAnsi"/>
          <w:szCs w:val="24"/>
        </w:rPr>
      </w:pPr>
      <w:bookmarkStart w:id="167" w:name="_Toc520714661"/>
      <w:bookmarkStart w:id="168" w:name="_Toc8984868"/>
      <w:bookmarkStart w:id="169" w:name="_Toc69401718"/>
      <w:bookmarkStart w:id="170" w:name="_Toc101336485"/>
      <w:r w:rsidRPr="006F55EC">
        <w:rPr>
          <w:rFonts w:cstheme="minorHAnsi"/>
          <w:szCs w:val="24"/>
        </w:rPr>
        <w:t>Tabulka č.</w:t>
      </w:r>
      <w:r>
        <w:rPr>
          <w:rFonts w:cstheme="minorHAnsi"/>
          <w:szCs w:val="24"/>
        </w:rPr>
        <w:t xml:space="preserve"> 35</w:t>
      </w:r>
      <w:r w:rsidRPr="006F55EC">
        <w:rPr>
          <w:rFonts w:cstheme="minorHAnsi"/>
          <w:szCs w:val="24"/>
        </w:rPr>
        <w:t>: PO v kapitol</w:t>
      </w:r>
      <w:r w:rsidR="003B2AF1">
        <w:rPr>
          <w:rFonts w:cstheme="minorHAnsi"/>
          <w:szCs w:val="24"/>
        </w:rPr>
        <w:t>e</w:t>
      </w:r>
      <w:r w:rsidRPr="006F55EC">
        <w:rPr>
          <w:rFonts w:cstheme="minorHAnsi"/>
          <w:szCs w:val="24"/>
        </w:rPr>
        <w:t xml:space="preserve"> 3</w:t>
      </w:r>
      <w:bookmarkEnd w:id="167"/>
      <w:bookmarkEnd w:id="168"/>
      <w:bookmarkEnd w:id="169"/>
      <w:r w:rsidRPr="006F55EC">
        <w:rPr>
          <w:rFonts w:cstheme="minorHAnsi"/>
          <w:szCs w:val="24"/>
        </w:rPr>
        <w:t>14</w:t>
      </w:r>
      <w:bookmarkEnd w:id="17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2"/>
        <w:gridCol w:w="5441"/>
        <w:gridCol w:w="2037"/>
      </w:tblGrid>
      <w:tr w:rsidR="00E325EB" w:rsidRPr="005B5B16" w14:paraId="109689D2" w14:textId="77777777" w:rsidTr="00124170">
        <w:trPr>
          <w:trHeight w:val="255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8A3917F" w14:textId="77777777" w:rsidR="00840A6E" w:rsidRPr="005B5B16" w:rsidRDefault="00840A6E" w:rsidP="00840A6E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IČO</w:t>
            </w:r>
          </w:p>
        </w:tc>
        <w:tc>
          <w:tcPr>
            <w:tcW w:w="3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611A5D5" w14:textId="77777777" w:rsidR="00840A6E" w:rsidRPr="005B5B16" w:rsidRDefault="00840A6E" w:rsidP="00840A6E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Účetní jednotka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E13970C" w14:textId="77777777" w:rsidR="00840A6E" w:rsidRPr="005B5B16" w:rsidRDefault="00840A6E" w:rsidP="00840A6E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Datum vzniku</w:t>
            </w:r>
          </w:p>
        </w:tc>
      </w:tr>
      <w:tr w:rsidR="00E325EB" w:rsidRPr="005B5B16" w14:paraId="3B500DC5" w14:textId="77777777" w:rsidTr="00124170">
        <w:trPr>
          <w:trHeight w:val="255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1E453" w14:textId="77777777" w:rsidR="00840A6E" w:rsidRPr="005B5B16" w:rsidRDefault="00840A6E" w:rsidP="00840A6E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65737393</w:t>
            </w:r>
          </w:p>
        </w:tc>
        <w:tc>
          <w:tcPr>
            <w:tcW w:w="3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13657" w14:textId="77777777" w:rsidR="00840A6E" w:rsidRPr="005B5B16" w:rsidRDefault="00840A6E" w:rsidP="00840A6E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Bytová správa Ministerstva vnitra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EA0EB" w14:textId="4DE968DF" w:rsidR="00840A6E" w:rsidRPr="005B5B16" w:rsidRDefault="00840A6E" w:rsidP="00124170">
            <w:pPr>
              <w:spacing w:after="0"/>
              <w:ind w:right="489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1.</w:t>
            </w:r>
            <w:r w:rsidR="00E325EB">
              <w:rPr>
                <w:rFonts w:cstheme="minorHAnsi"/>
                <w:sz w:val="18"/>
                <w:szCs w:val="18"/>
              </w:rPr>
              <w:t xml:space="preserve"> </w:t>
            </w:r>
            <w:r w:rsidRPr="005B5B16">
              <w:rPr>
                <w:rFonts w:cstheme="minorHAnsi"/>
                <w:sz w:val="18"/>
                <w:szCs w:val="18"/>
              </w:rPr>
              <w:t>1.</w:t>
            </w:r>
            <w:r w:rsidR="00E325EB">
              <w:rPr>
                <w:rFonts w:cstheme="minorHAnsi"/>
                <w:sz w:val="18"/>
                <w:szCs w:val="18"/>
              </w:rPr>
              <w:t xml:space="preserve"> </w:t>
            </w:r>
            <w:r w:rsidRPr="005B5B16">
              <w:rPr>
                <w:rFonts w:cstheme="minorHAnsi"/>
                <w:sz w:val="18"/>
                <w:szCs w:val="18"/>
              </w:rPr>
              <w:t>1997</w:t>
            </w:r>
          </w:p>
        </w:tc>
      </w:tr>
      <w:tr w:rsidR="00E325EB" w:rsidRPr="005B5B16" w14:paraId="632B483F" w14:textId="77777777" w:rsidTr="00124170">
        <w:trPr>
          <w:trHeight w:val="255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D1377" w14:textId="77777777" w:rsidR="00840A6E" w:rsidRPr="005B5B16" w:rsidRDefault="00840A6E" w:rsidP="00840A6E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70890293</w:t>
            </w:r>
          </w:p>
        </w:tc>
        <w:tc>
          <w:tcPr>
            <w:tcW w:w="3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067FE" w14:textId="77777777" w:rsidR="00840A6E" w:rsidRPr="005B5B16" w:rsidRDefault="00840A6E" w:rsidP="00840A6E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Institut pro veřejnou správu Praha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231C0" w14:textId="77777777" w:rsidR="00840A6E" w:rsidRPr="005B5B16" w:rsidRDefault="00840A6E" w:rsidP="00124170">
            <w:pPr>
              <w:spacing w:after="0"/>
              <w:ind w:right="489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31.</w:t>
            </w:r>
            <w:r w:rsidR="00E325EB">
              <w:rPr>
                <w:rFonts w:cstheme="minorHAnsi"/>
                <w:sz w:val="18"/>
                <w:szCs w:val="18"/>
              </w:rPr>
              <w:t xml:space="preserve"> </w:t>
            </w:r>
            <w:r w:rsidRPr="005B5B16">
              <w:rPr>
                <w:rFonts w:cstheme="minorHAnsi"/>
                <w:sz w:val="18"/>
                <w:szCs w:val="18"/>
              </w:rPr>
              <w:t>12.</w:t>
            </w:r>
            <w:r w:rsidR="00E325EB">
              <w:rPr>
                <w:rFonts w:cstheme="minorHAnsi"/>
                <w:sz w:val="18"/>
                <w:szCs w:val="18"/>
              </w:rPr>
              <w:t xml:space="preserve"> </w:t>
            </w:r>
            <w:r w:rsidRPr="005B5B16">
              <w:rPr>
                <w:rFonts w:cstheme="minorHAnsi"/>
                <w:sz w:val="18"/>
                <w:szCs w:val="18"/>
              </w:rPr>
              <w:t>2000</w:t>
            </w:r>
          </w:p>
        </w:tc>
      </w:tr>
      <w:tr w:rsidR="00E325EB" w:rsidRPr="005B5B16" w14:paraId="0720B104" w14:textId="77777777" w:rsidTr="00124170">
        <w:trPr>
          <w:trHeight w:val="255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F8D41" w14:textId="77777777" w:rsidR="00840A6E" w:rsidRPr="005B5B16" w:rsidRDefault="00840A6E" w:rsidP="00840A6E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60498005</w:t>
            </w:r>
          </w:p>
        </w:tc>
        <w:tc>
          <w:tcPr>
            <w:tcW w:w="3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AAD76" w14:textId="77777777" w:rsidR="00840A6E" w:rsidRPr="005B5B16" w:rsidRDefault="00840A6E" w:rsidP="00840A6E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Tiskárna Ministerstva vnitra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D6036" w14:textId="6E66E124" w:rsidR="00840A6E" w:rsidRPr="005B5B16" w:rsidRDefault="00840A6E" w:rsidP="00124170">
            <w:pPr>
              <w:spacing w:after="0"/>
              <w:ind w:right="489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1.</w:t>
            </w:r>
            <w:r w:rsidR="00E325EB">
              <w:rPr>
                <w:rFonts w:cstheme="minorHAnsi"/>
                <w:sz w:val="18"/>
                <w:szCs w:val="18"/>
              </w:rPr>
              <w:t xml:space="preserve"> </w:t>
            </w:r>
            <w:r w:rsidRPr="005B5B16">
              <w:rPr>
                <w:rFonts w:cstheme="minorHAnsi"/>
                <w:sz w:val="18"/>
                <w:szCs w:val="18"/>
              </w:rPr>
              <w:t>1.</w:t>
            </w:r>
            <w:r w:rsidR="00E325EB">
              <w:rPr>
                <w:rFonts w:cstheme="minorHAnsi"/>
                <w:sz w:val="18"/>
                <w:szCs w:val="18"/>
              </w:rPr>
              <w:t xml:space="preserve"> </w:t>
            </w:r>
            <w:r w:rsidRPr="005B5B16">
              <w:rPr>
                <w:rFonts w:cstheme="minorHAnsi"/>
                <w:sz w:val="18"/>
                <w:szCs w:val="18"/>
              </w:rPr>
              <w:t>1996</w:t>
            </w:r>
          </w:p>
        </w:tc>
      </w:tr>
      <w:tr w:rsidR="00E325EB" w:rsidRPr="005B5B16" w14:paraId="51791B71" w14:textId="77777777" w:rsidTr="00124170">
        <w:trPr>
          <w:trHeight w:val="255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39F2D" w14:textId="77777777" w:rsidR="00840A6E" w:rsidRPr="005B5B16" w:rsidRDefault="00840A6E" w:rsidP="00840A6E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67779999</w:t>
            </w:r>
          </w:p>
        </w:tc>
        <w:tc>
          <w:tcPr>
            <w:tcW w:w="3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E4815" w14:textId="77777777" w:rsidR="00840A6E" w:rsidRPr="005B5B16" w:rsidRDefault="00840A6E" w:rsidP="00840A6E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Zařízení služeb pro Ministerstvo vnitra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01317" w14:textId="2CDEBEF5" w:rsidR="00840A6E" w:rsidRPr="005B5B16" w:rsidRDefault="00840A6E" w:rsidP="00124170">
            <w:pPr>
              <w:spacing w:after="0"/>
              <w:ind w:right="489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1.</w:t>
            </w:r>
            <w:r w:rsidR="00E325EB">
              <w:rPr>
                <w:rFonts w:cstheme="minorHAnsi"/>
                <w:sz w:val="18"/>
                <w:szCs w:val="18"/>
              </w:rPr>
              <w:t xml:space="preserve"> </w:t>
            </w:r>
            <w:r w:rsidRPr="005B5B16">
              <w:rPr>
                <w:rFonts w:cstheme="minorHAnsi"/>
                <w:sz w:val="18"/>
                <w:szCs w:val="18"/>
              </w:rPr>
              <w:t>1.</w:t>
            </w:r>
            <w:r w:rsidR="00E325EB">
              <w:rPr>
                <w:rFonts w:cstheme="minorHAnsi"/>
                <w:sz w:val="18"/>
                <w:szCs w:val="18"/>
              </w:rPr>
              <w:t xml:space="preserve"> </w:t>
            </w:r>
            <w:r w:rsidRPr="005B5B16">
              <w:rPr>
                <w:rFonts w:cstheme="minorHAnsi"/>
                <w:sz w:val="18"/>
                <w:szCs w:val="18"/>
              </w:rPr>
              <w:t>1998</w:t>
            </w:r>
          </w:p>
        </w:tc>
      </w:tr>
    </w:tbl>
    <w:p w14:paraId="2E1E9FD5" w14:textId="77777777" w:rsidR="00840A6E" w:rsidRDefault="00840A6E" w:rsidP="00124170">
      <w:pPr>
        <w:pStyle w:val="Zdroj"/>
        <w:spacing w:before="0"/>
        <w:rPr>
          <w:rFonts w:asciiTheme="minorHAnsi" w:hAnsiTheme="minorHAnsi"/>
          <w:i w:val="0"/>
        </w:rPr>
      </w:pPr>
      <w:bookmarkStart w:id="171" w:name="_Toc519242498"/>
      <w:r w:rsidRPr="00840A6E">
        <w:rPr>
          <w:rFonts w:asciiTheme="minorHAnsi" w:hAnsiTheme="minorHAnsi"/>
          <w:b/>
          <w:i w:val="0"/>
        </w:rPr>
        <w:t xml:space="preserve">Zdroj: </w:t>
      </w:r>
      <w:r w:rsidRPr="00840A6E">
        <w:rPr>
          <w:rFonts w:asciiTheme="minorHAnsi" w:hAnsiTheme="minorHAnsi"/>
          <w:i w:val="0"/>
        </w:rPr>
        <w:t>informační portál MONITOR.</w:t>
      </w:r>
    </w:p>
    <w:p w14:paraId="67E689CA" w14:textId="77777777" w:rsidR="00840A6E" w:rsidRDefault="00840A6E" w:rsidP="007F70AA">
      <w:pPr>
        <w:pStyle w:val="Zdroj"/>
        <w:spacing w:before="0"/>
        <w:rPr>
          <w:rFonts w:asciiTheme="minorHAnsi" w:hAnsiTheme="minorHAnsi"/>
          <w:i w:val="0"/>
          <w:sz w:val="24"/>
          <w:szCs w:val="24"/>
        </w:rPr>
      </w:pPr>
    </w:p>
    <w:p w14:paraId="1240FB4E" w14:textId="0B7185A1" w:rsidR="00A57079" w:rsidRPr="00A57079" w:rsidRDefault="00A57079" w:rsidP="00A57079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eastAsia="cs-CZ"/>
        </w:rPr>
      </w:pPr>
      <w:r w:rsidRPr="00A57079">
        <w:rPr>
          <w:rFonts w:asciiTheme="minorHAnsi" w:hAnsiTheme="minorHAnsi"/>
          <w:bCs/>
        </w:rPr>
        <w:t>Specifi</w:t>
      </w:r>
      <w:r w:rsidR="00FE0D61">
        <w:rPr>
          <w:rFonts w:asciiTheme="minorHAnsi" w:hAnsiTheme="minorHAnsi"/>
          <w:bCs/>
        </w:rPr>
        <w:t xml:space="preserve">kum </w:t>
      </w:r>
      <w:r w:rsidR="00E325EB">
        <w:rPr>
          <w:rFonts w:asciiTheme="minorHAnsi" w:hAnsiTheme="minorHAnsi"/>
          <w:bCs/>
        </w:rPr>
        <w:t>Ministerstva vnitra</w:t>
      </w:r>
      <w:r w:rsidRPr="00A57079">
        <w:rPr>
          <w:rFonts w:asciiTheme="minorHAnsi" w:hAnsiTheme="minorHAnsi"/>
          <w:bCs/>
        </w:rPr>
        <w:t xml:space="preserve">, že </w:t>
      </w:r>
      <w:r w:rsidRPr="00A57079">
        <w:rPr>
          <w:rFonts w:asciiTheme="minorHAnsi" w:hAnsiTheme="minorHAnsi" w:cstheme="minorHAnsi"/>
          <w:bCs/>
        </w:rPr>
        <w:t xml:space="preserve">užívá majetek, s nímž má příslušnost hospodařit </w:t>
      </w:r>
      <w:r w:rsidR="00E325EB">
        <w:rPr>
          <w:rFonts w:asciiTheme="minorHAnsi" w:hAnsiTheme="minorHAnsi" w:cstheme="minorHAnsi"/>
          <w:bCs/>
        </w:rPr>
        <w:t>příspěvková organizace MV</w:t>
      </w:r>
      <w:r w:rsidRPr="00A57079">
        <w:rPr>
          <w:rFonts w:asciiTheme="minorHAnsi" w:hAnsiTheme="minorHAnsi" w:cstheme="minorHAnsi"/>
          <w:bCs/>
        </w:rPr>
        <w:t xml:space="preserve"> </w:t>
      </w:r>
      <w:r w:rsidRPr="00076F89">
        <w:rPr>
          <w:rFonts w:asciiTheme="minorHAnsi" w:hAnsiTheme="minorHAnsi" w:cstheme="minorHAnsi"/>
        </w:rPr>
        <w:t>Zařízení služeb pro Ministerstvo vnitra</w:t>
      </w:r>
      <w:r w:rsidR="00A06092" w:rsidRPr="00076F89">
        <w:rPr>
          <w:rFonts w:asciiTheme="minorHAnsi" w:hAnsiTheme="minorHAnsi" w:cstheme="minorHAnsi"/>
        </w:rPr>
        <w:t xml:space="preserve"> (dále </w:t>
      </w:r>
      <w:r w:rsidR="00E325EB">
        <w:rPr>
          <w:rFonts w:asciiTheme="minorHAnsi" w:hAnsiTheme="minorHAnsi" w:cstheme="minorHAnsi"/>
        </w:rPr>
        <w:t xml:space="preserve">také </w:t>
      </w:r>
      <w:r w:rsidR="00A06092" w:rsidRPr="00076F89">
        <w:rPr>
          <w:rFonts w:asciiTheme="minorHAnsi" w:hAnsiTheme="minorHAnsi" w:cstheme="minorHAnsi"/>
        </w:rPr>
        <w:t>„ZSMV“)</w:t>
      </w:r>
      <w:r w:rsidR="00FE0D61" w:rsidRPr="00076F89">
        <w:rPr>
          <w:rFonts w:asciiTheme="minorHAnsi" w:hAnsiTheme="minorHAnsi" w:cstheme="minorHAnsi"/>
        </w:rPr>
        <w:t xml:space="preserve">, </w:t>
      </w:r>
      <w:r w:rsidR="00124170">
        <w:rPr>
          <w:rFonts w:asciiTheme="minorHAnsi" w:hAnsiTheme="minorHAnsi" w:cstheme="minorHAnsi"/>
        </w:rPr>
        <w:br/>
      </w:r>
      <w:r w:rsidR="00FE0D61" w:rsidRPr="00076F89">
        <w:rPr>
          <w:rFonts w:asciiTheme="minorHAnsi" w:hAnsiTheme="minorHAnsi" w:cstheme="minorHAnsi"/>
        </w:rPr>
        <w:t>se</w:t>
      </w:r>
      <w:r w:rsidR="00FE0D61" w:rsidRPr="00076F89">
        <w:rPr>
          <w:rFonts w:asciiTheme="minorHAnsi" w:hAnsiTheme="minorHAnsi" w:cstheme="minorHAnsi"/>
          <w:lang w:eastAsia="cs-CZ"/>
        </w:rPr>
        <w:t xml:space="preserve"> u</w:t>
      </w:r>
      <w:r w:rsidR="00124170">
        <w:rPr>
          <w:rFonts w:asciiTheme="minorHAnsi" w:hAnsiTheme="minorHAnsi" w:cstheme="minorHAnsi"/>
          <w:lang w:eastAsia="cs-CZ"/>
        </w:rPr>
        <w:t xml:space="preserve"> </w:t>
      </w:r>
      <w:r w:rsidR="00FE0D61" w:rsidRPr="00076F89">
        <w:rPr>
          <w:rFonts w:asciiTheme="minorHAnsi" w:hAnsiTheme="minorHAnsi" w:cstheme="minorHAnsi"/>
          <w:lang w:eastAsia="cs-CZ"/>
        </w:rPr>
        <w:t xml:space="preserve">MV účetně a rozpočtově </w:t>
      </w:r>
      <w:r w:rsidR="00A06092" w:rsidRPr="00076F89">
        <w:rPr>
          <w:rFonts w:asciiTheme="minorHAnsi" w:hAnsiTheme="minorHAnsi" w:cstheme="minorHAnsi"/>
          <w:lang w:eastAsia="cs-CZ"/>
        </w:rPr>
        <w:t xml:space="preserve">zobrazuje </w:t>
      </w:r>
      <w:r w:rsidR="00FE0D61" w:rsidRPr="00076F89">
        <w:rPr>
          <w:rFonts w:asciiTheme="minorHAnsi" w:hAnsiTheme="minorHAnsi" w:cstheme="minorHAnsi"/>
          <w:lang w:eastAsia="cs-CZ"/>
        </w:rPr>
        <w:t xml:space="preserve">prostřednictvím příspěvku na provoz, který </w:t>
      </w:r>
      <w:r w:rsidR="0081739D">
        <w:rPr>
          <w:rFonts w:asciiTheme="minorHAnsi" w:hAnsiTheme="minorHAnsi" w:cstheme="minorHAnsi"/>
          <w:lang w:eastAsia="cs-CZ"/>
        </w:rPr>
        <w:t>Ministerstvo vnitra</w:t>
      </w:r>
      <w:r w:rsidR="00FE0D61" w:rsidRPr="00076F89">
        <w:rPr>
          <w:rFonts w:asciiTheme="minorHAnsi" w:hAnsiTheme="minorHAnsi" w:cstheme="minorHAnsi"/>
          <w:lang w:eastAsia="cs-CZ"/>
        </w:rPr>
        <w:t xml:space="preserve"> poskytuje ZSMV (účet 571 – </w:t>
      </w:r>
      <w:r w:rsidR="00FE0D61" w:rsidRPr="00076F89">
        <w:rPr>
          <w:rFonts w:asciiTheme="minorHAnsi" w:hAnsiTheme="minorHAnsi" w:cstheme="minorHAnsi"/>
          <w:i/>
          <w:iCs/>
          <w:lang w:eastAsia="cs-CZ"/>
        </w:rPr>
        <w:t>Náklady vybraných ústředních vládních institucí na transfery</w:t>
      </w:r>
      <w:r w:rsidR="00FE0D61" w:rsidRPr="00076F89">
        <w:rPr>
          <w:rFonts w:asciiTheme="minorHAnsi" w:hAnsiTheme="minorHAnsi" w:cstheme="minorHAnsi"/>
          <w:lang w:eastAsia="cs-CZ"/>
        </w:rPr>
        <w:t xml:space="preserve">; </w:t>
      </w:r>
      <w:r w:rsidR="00FE0D61" w:rsidRPr="00076F89">
        <w:rPr>
          <w:rFonts w:cs="Calibri"/>
          <w:bCs/>
        </w:rPr>
        <w:t xml:space="preserve">RP 5331 – </w:t>
      </w:r>
      <w:r w:rsidR="00FE0D61" w:rsidRPr="00076F89">
        <w:rPr>
          <w:rFonts w:cs="Calibri"/>
          <w:bCs/>
          <w:i/>
          <w:iCs/>
        </w:rPr>
        <w:t>Neinvestiční příspěvky zřízeným</w:t>
      </w:r>
      <w:r w:rsidR="00FE0D61" w:rsidRPr="00FE0D61">
        <w:rPr>
          <w:rFonts w:cs="Calibri"/>
          <w:bCs/>
          <w:i/>
          <w:iCs/>
        </w:rPr>
        <w:t xml:space="preserve"> příspěvkovým organizacím</w:t>
      </w:r>
      <w:r w:rsidR="00FE0D61" w:rsidRPr="00FE0D61">
        <w:rPr>
          <w:rFonts w:cs="Calibri"/>
          <w:bCs/>
        </w:rPr>
        <w:t xml:space="preserve"> </w:t>
      </w:r>
      <w:r w:rsidR="00FE0D61">
        <w:rPr>
          <w:rFonts w:cs="Calibri"/>
          <w:bCs/>
        </w:rPr>
        <w:t>a</w:t>
      </w:r>
      <w:r w:rsidR="00124170">
        <w:rPr>
          <w:rFonts w:cs="Calibri"/>
          <w:bCs/>
        </w:rPr>
        <w:t> </w:t>
      </w:r>
      <w:r w:rsidR="00FE0D61" w:rsidRPr="00FE0D61">
        <w:rPr>
          <w:rFonts w:cs="Calibri"/>
          <w:bCs/>
        </w:rPr>
        <w:t>§</w:t>
      </w:r>
      <w:r w:rsidR="00124170">
        <w:rPr>
          <w:rFonts w:cs="Calibri"/>
          <w:bCs/>
        </w:rPr>
        <w:t> </w:t>
      </w:r>
      <w:r w:rsidR="00FE0D61" w:rsidRPr="00FE0D61">
        <w:rPr>
          <w:rFonts w:cs="Calibri"/>
          <w:bCs/>
        </w:rPr>
        <w:t xml:space="preserve">2569 – </w:t>
      </w:r>
      <w:r w:rsidR="00FE0D61" w:rsidRPr="00FE0D61">
        <w:rPr>
          <w:rFonts w:cs="Calibri"/>
          <w:bCs/>
          <w:i/>
          <w:iCs/>
        </w:rPr>
        <w:t>Všeobecná hospodářská správa jinde nezařazená</w:t>
      </w:r>
      <w:r w:rsidR="00FE0D61">
        <w:rPr>
          <w:rFonts w:asciiTheme="minorHAnsi" w:hAnsiTheme="minorHAnsi" w:cstheme="minorHAnsi"/>
          <w:lang w:eastAsia="cs-CZ"/>
        </w:rPr>
        <w:t>).</w:t>
      </w:r>
      <w:r w:rsidRPr="00A57079">
        <w:rPr>
          <w:rFonts w:asciiTheme="minorHAnsi" w:hAnsiTheme="minorHAnsi" w:cstheme="minorHAnsi"/>
          <w:bCs/>
        </w:rPr>
        <w:t xml:space="preserve"> </w:t>
      </w:r>
      <w:r w:rsidRPr="00A57079">
        <w:rPr>
          <w:rFonts w:asciiTheme="minorHAnsi" w:hAnsiTheme="minorHAnsi" w:cstheme="minorHAnsi"/>
          <w:lang w:eastAsia="cs-CZ"/>
        </w:rPr>
        <w:t>MV neúčtuje o</w:t>
      </w:r>
      <w:r w:rsidR="00124170">
        <w:rPr>
          <w:rFonts w:asciiTheme="minorHAnsi" w:hAnsiTheme="minorHAnsi" w:cstheme="minorHAnsi"/>
          <w:lang w:eastAsia="cs-CZ"/>
        </w:rPr>
        <w:t xml:space="preserve"> </w:t>
      </w:r>
      <w:r>
        <w:rPr>
          <w:rFonts w:asciiTheme="minorHAnsi" w:hAnsiTheme="minorHAnsi" w:cstheme="minorHAnsi"/>
          <w:lang w:eastAsia="cs-CZ"/>
        </w:rPr>
        <w:t xml:space="preserve">tomto </w:t>
      </w:r>
      <w:r w:rsidRPr="00A57079">
        <w:rPr>
          <w:rFonts w:asciiTheme="minorHAnsi" w:hAnsiTheme="minorHAnsi" w:cstheme="minorHAnsi"/>
          <w:lang w:eastAsia="cs-CZ"/>
        </w:rPr>
        <w:t>majetku státu, s</w:t>
      </w:r>
      <w:r w:rsidR="007D4D7C">
        <w:rPr>
          <w:rFonts w:asciiTheme="minorHAnsi" w:hAnsiTheme="minorHAnsi" w:cstheme="minorHAnsi"/>
          <w:lang w:eastAsia="cs-CZ"/>
        </w:rPr>
        <w:t xml:space="preserve"> </w:t>
      </w:r>
      <w:r w:rsidRPr="00A57079">
        <w:rPr>
          <w:rFonts w:asciiTheme="minorHAnsi" w:hAnsiTheme="minorHAnsi" w:cstheme="minorHAnsi"/>
          <w:lang w:eastAsia="cs-CZ"/>
        </w:rPr>
        <w:t>nímž je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A57079">
        <w:rPr>
          <w:rFonts w:asciiTheme="minorHAnsi" w:hAnsiTheme="minorHAnsi" w:cstheme="minorHAnsi"/>
          <w:lang w:eastAsia="cs-CZ"/>
        </w:rPr>
        <w:t xml:space="preserve">příslušné hospodařit ZSMV, potažmo jej nevykazuje ve své účetní závěrce. </w:t>
      </w:r>
      <w:r w:rsidR="00124170">
        <w:rPr>
          <w:rFonts w:asciiTheme="minorHAnsi" w:hAnsiTheme="minorHAnsi" w:cstheme="minorHAnsi"/>
          <w:lang w:eastAsia="cs-CZ"/>
        </w:rPr>
        <w:br/>
      </w:r>
      <w:r w:rsidRPr="00A57079">
        <w:rPr>
          <w:rFonts w:asciiTheme="minorHAnsi" w:hAnsiTheme="minorHAnsi" w:cstheme="minorHAnsi"/>
          <w:lang w:eastAsia="cs-CZ"/>
        </w:rPr>
        <w:t>O</w:t>
      </w:r>
      <w:r w:rsidR="00124170">
        <w:rPr>
          <w:rFonts w:asciiTheme="minorHAnsi" w:hAnsiTheme="minorHAnsi" w:cstheme="minorHAnsi"/>
          <w:lang w:eastAsia="cs-CZ"/>
        </w:rPr>
        <w:t xml:space="preserve"> </w:t>
      </w:r>
      <w:r w:rsidRPr="00A57079">
        <w:rPr>
          <w:rFonts w:asciiTheme="minorHAnsi" w:hAnsiTheme="minorHAnsi" w:cstheme="minorHAnsi"/>
          <w:lang w:eastAsia="cs-CZ"/>
        </w:rPr>
        <w:t>tomto majetku účtuje, majetek odpisuje a ve své účetní závěrce jej vykazuje ZSMV, kter</w:t>
      </w:r>
      <w:r w:rsidR="00A06092">
        <w:rPr>
          <w:rFonts w:asciiTheme="minorHAnsi" w:hAnsiTheme="minorHAnsi" w:cstheme="minorHAnsi"/>
          <w:lang w:eastAsia="cs-CZ"/>
        </w:rPr>
        <w:t>é</w:t>
      </w:r>
      <w:r w:rsidRPr="00A57079">
        <w:rPr>
          <w:rFonts w:asciiTheme="minorHAnsi" w:hAnsiTheme="minorHAnsi" w:cstheme="minorHAnsi"/>
          <w:lang w:eastAsia="cs-CZ"/>
        </w:rPr>
        <w:t xml:space="preserve"> </w:t>
      </w:r>
      <w:r w:rsidR="007D4D7C">
        <w:rPr>
          <w:rFonts w:asciiTheme="minorHAnsi" w:hAnsiTheme="minorHAnsi" w:cstheme="minorHAnsi"/>
          <w:lang w:eastAsia="cs-CZ"/>
        </w:rPr>
        <w:br/>
      </w:r>
      <w:r w:rsidR="00ED42A5">
        <w:rPr>
          <w:rFonts w:asciiTheme="minorHAnsi" w:hAnsiTheme="minorHAnsi" w:cstheme="minorHAnsi"/>
          <w:lang w:eastAsia="cs-CZ"/>
        </w:rPr>
        <w:t>s</w:t>
      </w:r>
      <w:r w:rsidR="007D4D7C">
        <w:rPr>
          <w:rFonts w:asciiTheme="minorHAnsi" w:hAnsiTheme="minorHAnsi" w:cstheme="minorHAnsi"/>
          <w:lang w:eastAsia="cs-CZ"/>
        </w:rPr>
        <w:t xml:space="preserve"> </w:t>
      </w:r>
      <w:r w:rsidR="00ED42A5">
        <w:rPr>
          <w:rFonts w:asciiTheme="minorHAnsi" w:hAnsiTheme="minorHAnsi" w:cstheme="minorHAnsi"/>
          <w:lang w:eastAsia="cs-CZ"/>
        </w:rPr>
        <w:t>ním</w:t>
      </w:r>
      <w:r w:rsidRPr="00A57079">
        <w:rPr>
          <w:rFonts w:asciiTheme="minorHAnsi" w:hAnsiTheme="minorHAnsi" w:cstheme="minorHAnsi"/>
          <w:lang w:eastAsia="cs-CZ"/>
        </w:rPr>
        <w:t xml:space="preserve"> </w:t>
      </w:r>
      <w:r w:rsidR="00E325EB">
        <w:rPr>
          <w:rFonts w:asciiTheme="minorHAnsi" w:hAnsiTheme="minorHAnsi" w:cstheme="minorHAnsi"/>
          <w:lang w:eastAsia="cs-CZ"/>
        </w:rPr>
        <w:t xml:space="preserve">má </w:t>
      </w:r>
      <w:r w:rsidRPr="00A57079">
        <w:rPr>
          <w:rFonts w:asciiTheme="minorHAnsi" w:hAnsiTheme="minorHAnsi" w:cstheme="minorHAnsi"/>
          <w:lang w:eastAsia="cs-CZ"/>
        </w:rPr>
        <w:t>v</w:t>
      </w:r>
      <w:r w:rsidR="007D4D7C">
        <w:rPr>
          <w:rFonts w:asciiTheme="minorHAnsi" w:hAnsiTheme="minorHAnsi" w:cstheme="minorHAnsi"/>
          <w:lang w:eastAsia="cs-CZ"/>
        </w:rPr>
        <w:t xml:space="preserve"> </w:t>
      </w:r>
      <w:r w:rsidRPr="00A57079">
        <w:rPr>
          <w:rFonts w:asciiTheme="minorHAnsi" w:hAnsiTheme="minorHAnsi" w:cstheme="minorHAnsi"/>
          <w:lang w:eastAsia="cs-CZ"/>
        </w:rPr>
        <w:t>souladu se zřizovací listinou</w:t>
      </w:r>
      <w:r w:rsidR="00D67970">
        <w:rPr>
          <w:rFonts w:asciiTheme="minorHAnsi" w:hAnsiTheme="minorHAnsi" w:cstheme="minorHAnsi"/>
          <w:lang w:eastAsia="cs-CZ"/>
        </w:rPr>
        <w:t xml:space="preserve"> </w:t>
      </w:r>
      <w:r w:rsidR="00ED42A5">
        <w:rPr>
          <w:rFonts w:asciiTheme="minorHAnsi" w:hAnsiTheme="minorHAnsi" w:cstheme="minorHAnsi"/>
          <w:lang w:eastAsia="cs-CZ"/>
        </w:rPr>
        <w:t>příslušnost hospoda</w:t>
      </w:r>
      <w:r w:rsidR="00A06092">
        <w:rPr>
          <w:rFonts w:asciiTheme="minorHAnsi" w:hAnsiTheme="minorHAnsi" w:cstheme="minorHAnsi"/>
          <w:lang w:eastAsia="cs-CZ"/>
        </w:rPr>
        <w:t>ř</w:t>
      </w:r>
      <w:r w:rsidR="00D67970">
        <w:rPr>
          <w:rFonts w:asciiTheme="minorHAnsi" w:hAnsiTheme="minorHAnsi" w:cstheme="minorHAnsi"/>
          <w:lang w:eastAsia="cs-CZ"/>
        </w:rPr>
        <w:t>it</w:t>
      </w:r>
      <w:r w:rsidRPr="00A57079">
        <w:rPr>
          <w:rFonts w:asciiTheme="minorHAnsi" w:hAnsiTheme="minorHAnsi" w:cstheme="minorHAnsi"/>
          <w:lang w:eastAsia="cs-CZ"/>
        </w:rPr>
        <w:t>.</w:t>
      </w:r>
      <w:r>
        <w:rPr>
          <w:rFonts w:asciiTheme="minorHAnsi" w:hAnsiTheme="minorHAnsi" w:cstheme="minorHAnsi"/>
          <w:lang w:eastAsia="cs-CZ"/>
        </w:rPr>
        <w:t xml:space="preserve"> ZSMV </w:t>
      </w:r>
      <w:r w:rsidRPr="00CF630E">
        <w:rPr>
          <w:rFonts w:asciiTheme="minorHAnsi" w:hAnsiTheme="minorHAnsi" w:cstheme="minorHAnsi"/>
          <w:lang w:eastAsia="cs-CZ"/>
        </w:rPr>
        <w:t>účtuje</w:t>
      </w:r>
      <w:r>
        <w:rPr>
          <w:rFonts w:asciiTheme="minorHAnsi" w:hAnsiTheme="minorHAnsi" w:cstheme="minorHAnsi"/>
          <w:lang w:eastAsia="cs-CZ"/>
        </w:rPr>
        <w:t xml:space="preserve"> i </w:t>
      </w:r>
      <w:r w:rsidRPr="00CF630E">
        <w:rPr>
          <w:rFonts w:asciiTheme="minorHAnsi" w:hAnsiTheme="minorHAnsi" w:cstheme="minorHAnsi"/>
          <w:lang w:eastAsia="cs-CZ"/>
        </w:rPr>
        <w:t>o nákladech souvisejících se správou a údržbou tohoto majetku.</w:t>
      </w:r>
    </w:p>
    <w:p w14:paraId="61F5888B" w14:textId="77777777" w:rsidR="00A57079" w:rsidRPr="00840A6E" w:rsidRDefault="00A57079" w:rsidP="007F70AA">
      <w:pPr>
        <w:pStyle w:val="Zdroj"/>
        <w:spacing w:before="0"/>
        <w:rPr>
          <w:rFonts w:asciiTheme="minorHAnsi" w:hAnsiTheme="minorHAnsi"/>
          <w:i w:val="0"/>
          <w:sz w:val="24"/>
          <w:szCs w:val="24"/>
        </w:rPr>
      </w:pPr>
    </w:p>
    <w:p w14:paraId="238438F4" w14:textId="77777777" w:rsidR="00840A6E" w:rsidRPr="006F55EC" w:rsidRDefault="00840A6E" w:rsidP="00124170">
      <w:pPr>
        <w:pStyle w:val="Titulek"/>
        <w:tabs>
          <w:tab w:val="right" w:pos="9070"/>
        </w:tabs>
        <w:spacing w:before="0" w:after="0"/>
        <w:rPr>
          <w:rFonts w:cstheme="minorHAnsi"/>
          <w:szCs w:val="24"/>
        </w:rPr>
      </w:pPr>
      <w:bookmarkStart w:id="172" w:name="_Toc520714662"/>
      <w:bookmarkStart w:id="173" w:name="_Toc8984869"/>
      <w:bookmarkStart w:id="174" w:name="_Toc69401719"/>
      <w:bookmarkStart w:id="175" w:name="_Toc101336486"/>
      <w:bookmarkEnd w:id="171"/>
      <w:r w:rsidRPr="006F55EC">
        <w:rPr>
          <w:rFonts w:cstheme="minorHAnsi"/>
          <w:szCs w:val="24"/>
        </w:rPr>
        <w:t>Tabulka č.</w:t>
      </w:r>
      <w:r>
        <w:rPr>
          <w:rFonts w:cstheme="minorHAnsi"/>
          <w:szCs w:val="24"/>
        </w:rPr>
        <w:t xml:space="preserve"> 36</w:t>
      </w:r>
      <w:r w:rsidRPr="006F55EC">
        <w:rPr>
          <w:rFonts w:cstheme="minorHAnsi"/>
          <w:szCs w:val="24"/>
        </w:rPr>
        <w:t xml:space="preserve">: Celkové výnosy OSS a PO v kapitole 314 za období 2017–2021 </w:t>
      </w:r>
      <w:r w:rsidR="0081739D">
        <w:rPr>
          <w:rFonts w:cstheme="minorHAnsi"/>
          <w:szCs w:val="24"/>
        </w:rPr>
        <w:tab/>
      </w:r>
      <w:r w:rsidRPr="006F55EC">
        <w:rPr>
          <w:rFonts w:cstheme="minorHAnsi"/>
          <w:szCs w:val="24"/>
        </w:rPr>
        <w:t>(v Kč)</w:t>
      </w:r>
      <w:bookmarkEnd w:id="172"/>
      <w:bookmarkEnd w:id="173"/>
      <w:bookmarkEnd w:id="174"/>
      <w:bookmarkEnd w:id="175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0"/>
        <w:gridCol w:w="1491"/>
        <w:gridCol w:w="1491"/>
        <w:gridCol w:w="1491"/>
        <w:gridCol w:w="1486"/>
        <w:gridCol w:w="1691"/>
      </w:tblGrid>
      <w:tr w:rsidR="00840A6E" w:rsidRPr="005B5B16" w14:paraId="6DF49F02" w14:textId="77777777" w:rsidTr="00407D50">
        <w:trPr>
          <w:trHeight w:val="255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289B72B" w14:textId="77777777" w:rsidR="00840A6E" w:rsidRPr="005B5B16" w:rsidRDefault="00840A6E" w:rsidP="00840A6E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Organizace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844ADE3" w14:textId="77777777" w:rsidR="00840A6E" w:rsidRPr="005B5B16" w:rsidRDefault="00840A6E" w:rsidP="00840A6E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2017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DCF98F6" w14:textId="77777777" w:rsidR="00840A6E" w:rsidRPr="005B5B16" w:rsidRDefault="00840A6E" w:rsidP="00840A6E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2018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02BD163" w14:textId="77777777" w:rsidR="00840A6E" w:rsidRPr="005B5B16" w:rsidRDefault="00840A6E" w:rsidP="00840A6E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2019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6C0C8965" w14:textId="77777777" w:rsidR="00840A6E" w:rsidRPr="005B5B16" w:rsidRDefault="00840A6E" w:rsidP="00840A6E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2020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37FFDE01" w14:textId="77777777" w:rsidR="00840A6E" w:rsidRPr="005B5B16" w:rsidRDefault="00840A6E" w:rsidP="00840A6E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2021</w:t>
            </w:r>
          </w:p>
        </w:tc>
      </w:tr>
      <w:tr w:rsidR="00840A6E" w:rsidRPr="005B5B16" w14:paraId="3DD5E904" w14:textId="77777777" w:rsidTr="00407D50">
        <w:trPr>
          <w:trHeight w:val="255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4F6FA" w14:textId="77777777" w:rsidR="00840A6E" w:rsidRPr="005B5B16" w:rsidRDefault="00840A6E" w:rsidP="00840A6E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OSS bez MV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3BA58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7 298 053 143,32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0C6E4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8 789 000 207,26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AFBA8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8 801 552 816,97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54C46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9 883 644 915,57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BF72A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10 081 367 886,27</w:t>
            </w:r>
          </w:p>
        </w:tc>
      </w:tr>
      <w:tr w:rsidR="00840A6E" w:rsidRPr="005B5B16" w14:paraId="5E6CA84E" w14:textId="77777777" w:rsidTr="00407D50">
        <w:trPr>
          <w:trHeight w:val="255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9015D" w14:textId="77777777" w:rsidR="00840A6E" w:rsidRPr="005B5B16" w:rsidRDefault="00840A6E" w:rsidP="00840A6E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MV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62E7E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1 857 654 502,58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26C39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2 348 871 544,58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E6F05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2 265 550 280,36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5E203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2 786 880 288,31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C8D12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2 346 828 383,47</w:t>
            </w:r>
          </w:p>
        </w:tc>
      </w:tr>
      <w:tr w:rsidR="00840A6E" w:rsidRPr="005B5B16" w14:paraId="1F833733" w14:textId="77777777" w:rsidTr="00407D50">
        <w:trPr>
          <w:trHeight w:val="255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19E18" w14:textId="77777777" w:rsidR="00840A6E" w:rsidRPr="005B5B16" w:rsidRDefault="00840A6E" w:rsidP="00840A6E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PO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AA575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1 179 118 513,30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A4FD2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1 194 889 583,16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50EB8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1 180 902 212,28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2841B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1 231 087 274,22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2E2CB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1 313 924 741,44</w:t>
            </w:r>
          </w:p>
        </w:tc>
      </w:tr>
    </w:tbl>
    <w:p w14:paraId="07E974E0" w14:textId="77777777" w:rsidR="00840A6E" w:rsidRPr="00840A6E" w:rsidRDefault="00840A6E" w:rsidP="00124170">
      <w:pPr>
        <w:pStyle w:val="Zdroj"/>
        <w:spacing w:before="0"/>
        <w:rPr>
          <w:rFonts w:asciiTheme="minorHAnsi" w:hAnsiTheme="minorHAnsi"/>
          <w:b/>
          <w:bCs/>
          <w:i w:val="0"/>
        </w:rPr>
      </w:pPr>
      <w:bookmarkStart w:id="176" w:name="_Toc520715183"/>
      <w:r w:rsidRPr="00840A6E">
        <w:rPr>
          <w:rFonts w:asciiTheme="minorHAnsi" w:hAnsiTheme="minorHAnsi"/>
          <w:b/>
          <w:i w:val="0"/>
        </w:rPr>
        <w:t xml:space="preserve">Zdroj: </w:t>
      </w:r>
      <w:r w:rsidRPr="00840A6E">
        <w:rPr>
          <w:rFonts w:asciiTheme="minorHAnsi" w:hAnsiTheme="minorHAnsi"/>
          <w:i w:val="0"/>
        </w:rPr>
        <w:t>informační portál MONITOR.</w:t>
      </w:r>
    </w:p>
    <w:p w14:paraId="22356495" w14:textId="77777777" w:rsidR="00840A6E" w:rsidRPr="00840A6E" w:rsidRDefault="00840A6E" w:rsidP="00840A6E">
      <w:pPr>
        <w:spacing w:after="0"/>
        <w:rPr>
          <w:rFonts w:asciiTheme="minorHAnsi" w:hAnsiTheme="minorHAnsi" w:cstheme="minorHAnsi"/>
        </w:rPr>
      </w:pPr>
    </w:p>
    <w:p w14:paraId="75606C3C" w14:textId="77777777" w:rsidR="00840A6E" w:rsidRPr="006F55EC" w:rsidRDefault="00840A6E" w:rsidP="00124170">
      <w:pPr>
        <w:pStyle w:val="Titulek"/>
        <w:tabs>
          <w:tab w:val="right" w:pos="9072"/>
        </w:tabs>
        <w:spacing w:before="0" w:after="0"/>
        <w:ind w:right="-142"/>
        <w:rPr>
          <w:rFonts w:cstheme="minorHAnsi"/>
          <w:szCs w:val="24"/>
        </w:rPr>
      </w:pPr>
      <w:bookmarkStart w:id="177" w:name="_Toc520714663"/>
      <w:bookmarkStart w:id="178" w:name="_Toc8984870"/>
      <w:bookmarkStart w:id="179" w:name="_Toc69401720"/>
      <w:bookmarkStart w:id="180" w:name="_Toc101336487"/>
      <w:bookmarkEnd w:id="176"/>
      <w:r w:rsidRPr="006F55EC">
        <w:rPr>
          <w:rFonts w:cstheme="minorHAnsi"/>
          <w:szCs w:val="24"/>
        </w:rPr>
        <w:t>Tabulka č.</w:t>
      </w:r>
      <w:r>
        <w:rPr>
          <w:rFonts w:cstheme="minorHAnsi"/>
          <w:szCs w:val="24"/>
        </w:rPr>
        <w:t xml:space="preserve"> 37</w:t>
      </w:r>
      <w:r w:rsidRPr="006F55EC">
        <w:rPr>
          <w:rFonts w:cstheme="minorHAnsi"/>
          <w:szCs w:val="24"/>
        </w:rPr>
        <w:t>: Celkové výnosy PO v</w:t>
      </w:r>
      <w:r>
        <w:rPr>
          <w:rFonts w:cstheme="minorHAnsi"/>
          <w:szCs w:val="24"/>
        </w:rPr>
        <w:t xml:space="preserve"> </w:t>
      </w:r>
      <w:r w:rsidRPr="006F55EC">
        <w:rPr>
          <w:rFonts w:cstheme="minorHAnsi"/>
          <w:szCs w:val="24"/>
        </w:rPr>
        <w:t xml:space="preserve">kapitole 314 </w:t>
      </w:r>
      <w:r w:rsidR="0081739D">
        <w:rPr>
          <w:rFonts w:cstheme="minorHAnsi"/>
          <w:szCs w:val="24"/>
        </w:rPr>
        <w:tab/>
      </w:r>
      <w:r w:rsidRPr="006F55EC">
        <w:rPr>
          <w:rFonts w:cstheme="minorHAnsi"/>
          <w:szCs w:val="24"/>
        </w:rPr>
        <w:t>(v Kč)</w:t>
      </w:r>
      <w:bookmarkEnd w:id="177"/>
      <w:bookmarkEnd w:id="178"/>
      <w:bookmarkEnd w:id="179"/>
      <w:bookmarkEnd w:id="180"/>
    </w:p>
    <w:tbl>
      <w:tblPr>
        <w:tblW w:w="90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275"/>
        <w:gridCol w:w="1418"/>
        <w:gridCol w:w="1276"/>
        <w:gridCol w:w="1275"/>
        <w:gridCol w:w="1278"/>
      </w:tblGrid>
      <w:tr w:rsidR="00840A6E" w:rsidRPr="005B5B16" w14:paraId="4B617006" w14:textId="77777777" w:rsidTr="00840A6E">
        <w:trPr>
          <w:trHeight w:val="255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0F253E46" w14:textId="77777777" w:rsidR="00840A6E" w:rsidRPr="005B5B16" w:rsidRDefault="00840A6E" w:rsidP="00840A6E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IČO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2D2BC4D" w14:textId="77777777" w:rsidR="00840A6E" w:rsidRPr="005B5B16" w:rsidRDefault="00840A6E" w:rsidP="00840A6E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Účetní jednotka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98EAAA5" w14:textId="77777777" w:rsidR="00840A6E" w:rsidRPr="005B5B16" w:rsidRDefault="00840A6E" w:rsidP="00840A6E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1353928" w14:textId="77777777" w:rsidR="00840A6E" w:rsidRPr="005B5B16" w:rsidRDefault="00840A6E" w:rsidP="00840A6E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1DE9CBB" w14:textId="77777777" w:rsidR="00840A6E" w:rsidRPr="005B5B16" w:rsidRDefault="00840A6E" w:rsidP="00840A6E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442F8CAC" w14:textId="77777777" w:rsidR="00840A6E" w:rsidRPr="005B5B16" w:rsidRDefault="00840A6E" w:rsidP="00840A6E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6F347B0C" w14:textId="77777777" w:rsidR="00840A6E" w:rsidRPr="005B5B16" w:rsidRDefault="00840A6E" w:rsidP="00840A6E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2021</w:t>
            </w:r>
          </w:p>
        </w:tc>
      </w:tr>
      <w:tr w:rsidR="00840A6E" w:rsidRPr="005B5B16" w14:paraId="5D4966A0" w14:textId="77777777" w:rsidTr="00840A6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68F9" w14:textId="77777777" w:rsidR="00840A6E" w:rsidRPr="005B5B16" w:rsidRDefault="00840A6E" w:rsidP="00840A6E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65737393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F0DA6" w14:textId="77777777" w:rsidR="00840A6E" w:rsidRPr="005B5B16" w:rsidRDefault="00840A6E" w:rsidP="00840A6E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Bytová správa Ministerstva vnitra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B5015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114 320 297,99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BE0A4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111 753 775,14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5B119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103 411 257,10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7DB6E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111 993 252,76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9F283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106 930 116,51</w:t>
            </w:r>
          </w:p>
        </w:tc>
      </w:tr>
      <w:tr w:rsidR="00840A6E" w:rsidRPr="005B5B16" w14:paraId="1367759E" w14:textId="77777777" w:rsidTr="00840A6E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FC90" w14:textId="77777777" w:rsidR="00840A6E" w:rsidRPr="005B5B16" w:rsidRDefault="00840A6E" w:rsidP="00840A6E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70890293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0047D" w14:textId="77777777" w:rsidR="00840A6E" w:rsidRPr="005B5B16" w:rsidRDefault="00840A6E" w:rsidP="00840A6E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Institut pro veřejnou správu Praha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929FD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45 585 623,07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CD567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56 413 362,64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3D26C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54 194 718,72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C3267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58 593 728,22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689F6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70 265 833,87</w:t>
            </w:r>
          </w:p>
        </w:tc>
      </w:tr>
      <w:tr w:rsidR="00840A6E" w:rsidRPr="005B5B16" w14:paraId="0D934BB9" w14:textId="77777777" w:rsidTr="00840A6E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DA4F" w14:textId="77777777" w:rsidR="00840A6E" w:rsidRPr="005B5B16" w:rsidRDefault="00840A6E" w:rsidP="00840A6E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60498005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ECD1C" w14:textId="77777777" w:rsidR="00840A6E" w:rsidRPr="005B5B16" w:rsidRDefault="00840A6E" w:rsidP="00840A6E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Tiskárna Ministerstva vnitra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F7ECB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67 592 708,47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0177F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66 340 165,23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2569A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65 393 106,39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12856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61 957 705,14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555A5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62 758 860,29</w:t>
            </w:r>
          </w:p>
        </w:tc>
      </w:tr>
      <w:tr w:rsidR="00840A6E" w:rsidRPr="005B5B16" w14:paraId="0CFC0D00" w14:textId="77777777" w:rsidTr="00840A6E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B532" w14:textId="77777777" w:rsidR="00840A6E" w:rsidRPr="005B5B16" w:rsidRDefault="00840A6E" w:rsidP="00840A6E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67779999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039D2" w14:textId="77777777" w:rsidR="00840A6E" w:rsidRPr="005B5B16" w:rsidRDefault="00840A6E" w:rsidP="00840A6E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Zařízení služeb pro Ministerstvo vnitra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71464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951 619 883,77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617C6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960 382 280,15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AB96E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957 903 130,07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89B22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998 542 588,10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44FF4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1 073 969 930,77</w:t>
            </w:r>
          </w:p>
        </w:tc>
      </w:tr>
      <w:tr w:rsidR="00840A6E" w:rsidRPr="005B5B16" w14:paraId="26C4B228" w14:textId="77777777" w:rsidTr="00840A6E">
        <w:trPr>
          <w:trHeight w:val="255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3C8B65CF" w14:textId="77777777" w:rsidR="00840A6E" w:rsidRPr="005B5B16" w:rsidRDefault="00840A6E" w:rsidP="00840A6E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Celkem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4ACD8180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1 179 118 513,30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48EDFA65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1 194 889 583,16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6CABC7EF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1 180 902 212,28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15221476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1 231 087 274,22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5777B76D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1 313 924 741,44</w:t>
            </w:r>
          </w:p>
        </w:tc>
      </w:tr>
    </w:tbl>
    <w:p w14:paraId="62F36F09" w14:textId="77777777" w:rsidR="00840A6E" w:rsidRPr="00840A6E" w:rsidRDefault="00840A6E" w:rsidP="00124170">
      <w:pPr>
        <w:pStyle w:val="Zdroj"/>
        <w:spacing w:before="0"/>
        <w:rPr>
          <w:rFonts w:asciiTheme="minorHAnsi" w:hAnsiTheme="minorHAnsi"/>
          <w:i w:val="0"/>
        </w:rPr>
      </w:pPr>
      <w:bookmarkStart w:id="181" w:name="_Toc520715184"/>
      <w:r w:rsidRPr="00840A6E">
        <w:rPr>
          <w:rFonts w:asciiTheme="minorHAnsi" w:hAnsiTheme="minorHAnsi"/>
          <w:b/>
          <w:i w:val="0"/>
        </w:rPr>
        <w:t xml:space="preserve">Zdroj: </w:t>
      </w:r>
      <w:r w:rsidRPr="00840A6E">
        <w:rPr>
          <w:rFonts w:asciiTheme="minorHAnsi" w:hAnsiTheme="minorHAnsi"/>
          <w:i w:val="0"/>
        </w:rPr>
        <w:t>informační portál MONITOR.</w:t>
      </w:r>
    </w:p>
    <w:p w14:paraId="2FF7A98D" w14:textId="77777777" w:rsidR="00840A6E" w:rsidRPr="00840A6E" w:rsidRDefault="00840A6E" w:rsidP="00124170">
      <w:pPr>
        <w:spacing w:after="0"/>
        <w:jc w:val="both"/>
        <w:rPr>
          <w:rFonts w:asciiTheme="minorHAnsi" w:hAnsiTheme="minorHAnsi" w:cstheme="minorHAnsi"/>
          <w:b/>
          <w:iCs/>
        </w:rPr>
      </w:pPr>
      <w:bookmarkStart w:id="182" w:name="_Toc8984871"/>
      <w:bookmarkStart w:id="183" w:name="_Toc520714664"/>
      <w:bookmarkStart w:id="184" w:name="_Toc69401721"/>
      <w:bookmarkStart w:id="185" w:name="_Toc101336488"/>
      <w:bookmarkEnd w:id="181"/>
    </w:p>
    <w:p w14:paraId="4B3054AC" w14:textId="77777777" w:rsidR="00840A6E" w:rsidRPr="006F55EC" w:rsidRDefault="00840A6E" w:rsidP="00124170">
      <w:pPr>
        <w:tabs>
          <w:tab w:val="right" w:pos="9070"/>
        </w:tabs>
        <w:spacing w:after="0"/>
        <w:ind w:left="1418" w:hanging="1418"/>
        <w:jc w:val="both"/>
        <w:rPr>
          <w:rFonts w:cstheme="minorHAnsi"/>
          <w:b/>
          <w:iCs/>
        </w:rPr>
      </w:pPr>
      <w:r w:rsidRPr="006F55EC">
        <w:rPr>
          <w:rFonts w:cstheme="minorHAnsi"/>
          <w:b/>
          <w:iCs/>
        </w:rPr>
        <w:t>Tabulka č.</w:t>
      </w:r>
      <w:r>
        <w:rPr>
          <w:rFonts w:cstheme="minorHAnsi"/>
          <w:b/>
          <w:iCs/>
        </w:rPr>
        <w:t xml:space="preserve"> 38</w:t>
      </w:r>
      <w:r w:rsidRPr="006F55EC">
        <w:rPr>
          <w:rFonts w:cstheme="minorHAnsi"/>
          <w:b/>
          <w:iCs/>
        </w:rPr>
        <w:t xml:space="preserve">: </w:t>
      </w:r>
      <w:r w:rsidR="0081739D">
        <w:rPr>
          <w:rFonts w:cstheme="minorHAnsi"/>
          <w:b/>
          <w:iCs/>
        </w:rPr>
        <w:tab/>
      </w:r>
      <w:r w:rsidRPr="006F55EC">
        <w:rPr>
          <w:rFonts w:cstheme="minorHAnsi"/>
          <w:b/>
          <w:iCs/>
        </w:rPr>
        <w:t xml:space="preserve">Výnosy PO v kapitole 314 </w:t>
      </w:r>
      <w:r w:rsidR="003B2AF1">
        <w:rPr>
          <w:rFonts w:cstheme="minorHAnsi"/>
          <w:b/>
          <w:iCs/>
        </w:rPr>
        <w:t xml:space="preserve">vykázané ve VZZ </w:t>
      </w:r>
      <w:r w:rsidRPr="006F55EC">
        <w:rPr>
          <w:rFonts w:cstheme="minorHAnsi"/>
          <w:b/>
          <w:iCs/>
        </w:rPr>
        <w:t>na položce B.IV.1</w:t>
      </w:r>
      <w:r w:rsidR="003B2AF1">
        <w:rPr>
          <w:rFonts w:cstheme="minorHAnsi"/>
          <w:b/>
          <w:iCs/>
        </w:rPr>
        <w:t xml:space="preserve"> </w:t>
      </w:r>
      <w:r w:rsidRPr="00C234CE">
        <w:rPr>
          <w:rFonts w:cstheme="minorHAnsi"/>
          <w:b/>
          <w:i/>
        </w:rPr>
        <w:t>Výnosy</w:t>
      </w:r>
      <w:bookmarkEnd w:id="182"/>
      <w:r w:rsidRPr="00C234CE">
        <w:rPr>
          <w:rFonts w:cstheme="minorHAnsi"/>
          <w:b/>
          <w:i/>
        </w:rPr>
        <w:t xml:space="preserve"> vybraných ústředních vládních institucí z transferů</w:t>
      </w:r>
      <w:r w:rsidRPr="006F55EC">
        <w:rPr>
          <w:rFonts w:cstheme="minorHAnsi"/>
          <w:b/>
          <w:iCs/>
        </w:rPr>
        <w:t xml:space="preserve"> (SÚ 671</w:t>
      </w:r>
      <w:r w:rsidR="003B2AF1">
        <w:rPr>
          <w:rFonts w:cstheme="minorHAnsi"/>
          <w:b/>
          <w:iCs/>
        </w:rPr>
        <w:t xml:space="preserve">) </w:t>
      </w:r>
      <w:r w:rsidR="0081739D">
        <w:rPr>
          <w:rFonts w:cstheme="minorHAnsi"/>
          <w:b/>
          <w:iCs/>
        </w:rPr>
        <w:tab/>
      </w:r>
      <w:r w:rsidR="003B2AF1">
        <w:rPr>
          <w:rFonts w:cstheme="minorHAnsi"/>
          <w:b/>
          <w:iCs/>
        </w:rPr>
        <w:t>(</w:t>
      </w:r>
      <w:r w:rsidRPr="006F55EC">
        <w:rPr>
          <w:rFonts w:cstheme="minorHAnsi"/>
          <w:b/>
          <w:iCs/>
        </w:rPr>
        <w:t>v Kč)</w:t>
      </w:r>
      <w:bookmarkEnd w:id="183"/>
      <w:bookmarkEnd w:id="184"/>
      <w:bookmarkEnd w:id="185"/>
    </w:p>
    <w:tbl>
      <w:tblPr>
        <w:tblW w:w="90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275"/>
        <w:gridCol w:w="1276"/>
        <w:gridCol w:w="1276"/>
        <w:gridCol w:w="1417"/>
        <w:gridCol w:w="1278"/>
      </w:tblGrid>
      <w:tr w:rsidR="00840A6E" w:rsidRPr="005B5B16" w14:paraId="66EC3D37" w14:textId="77777777" w:rsidTr="00840A6E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182D2B25" w14:textId="77777777" w:rsidR="00840A6E" w:rsidRPr="005B5B16" w:rsidRDefault="00840A6E" w:rsidP="00840A6E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IČO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7DCEA0F" w14:textId="77777777" w:rsidR="00840A6E" w:rsidRPr="005B5B16" w:rsidRDefault="00840A6E" w:rsidP="00840A6E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Účetní jednotka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10BFD18" w14:textId="77777777" w:rsidR="00840A6E" w:rsidRPr="005B5B16" w:rsidRDefault="00840A6E" w:rsidP="00840A6E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3F94BAD" w14:textId="77777777" w:rsidR="00840A6E" w:rsidRPr="005B5B16" w:rsidRDefault="00840A6E" w:rsidP="00840A6E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DD8EA09" w14:textId="77777777" w:rsidR="00840A6E" w:rsidRPr="005B5B16" w:rsidRDefault="00840A6E" w:rsidP="00840A6E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65975254" w14:textId="77777777" w:rsidR="00840A6E" w:rsidRPr="005B5B16" w:rsidRDefault="00840A6E" w:rsidP="00840A6E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793E5267" w14:textId="77777777" w:rsidR="00840A6E" w:rsidRPr="005B5B16" w:rsidRDefault="00840A6E" w:rsidP="00840A6E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2021</w:t>
            </w:r>
          </w:p>
        </w:tc>
      </w:tr>
      <w:tr w:rsidR="00840A6E" w:rsidRPr="005B5B16" w14:paraId="1EFAECA4" w14:textId="77777777" w:rsidTr="00840A6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544E" w14:textId="77777777" w:rsidR="00840A6E" w:rsidRPr="005B5B16" w:rsidRDefault="00840A6E" w:rsidP="00840A6E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65737393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FE856" w14:textId="77777777" w:rsidR="00840A6E" w:rsidRPr="005B5B16" w:rsidRDefault="00840A6E" w:rsidP="00840A6E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Bytová správa Ministerstva vnitra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10754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65 385 134,00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3046B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63 081 086,00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D7415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49 536 795,00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B2318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52 258 815,00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E24EB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47 097 851,00</w:t>
            </w:r>
          </w:p>
        </w:tc>
      </w:tr>
      <w:tr w:rsidR="00840A6E" w:rsidRPr="005B5B16" w14:paraId="7134C1C3" w14:textId="77777777" w:rsidTr="00840A6E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1BEF" w14:textId="77777777" w:rsidR="00840A6E" w:rsidRPr="005B5B16" w:rsidRDefault="00840A6E" w:rsidP="00840A6E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70890293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D56D3" w14:textId="77777777" w:rsidR="00840A6E" w:rsidRPr="005B5B16" w:rsidRDefault="00840A6E" w:rsidP="00840A6E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Institut pro veřejnou správu Praha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89C92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24 115 499,00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B3E31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39 456 544,00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DBDA2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41 557 459,00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0D5E8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44 189 769,00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AE80B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55 706 610,00</w:t>
            </w:r>
          </w:p>
        </w:tc>
      </w:tr>
      <w:tr w:rsidR="00840A6E" w:rsidRPr="005B5B16" w14:paraId="553B5CBE" w14:textId="77777777" w:rsidTr="00840A6E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58E5" w14:textId="77777777" w:rsidR="00840A6E" w:rsidRPr="005B5B16" w:rsidRDefault="00840A6E" w:rsidP="00840A6E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60498005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0F0D5" w14:textId="77777777" w:rsidR="00840A6E" w:rsidRPr="005B5B16" w:rsidRDefault="00840A6E" w:rsidP="00840A6E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Tiskárna Ministerstva vnitra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3D239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43 094 927,00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4D36A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45 311 357,00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F42FB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44 790 547,42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956E0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41 534 516,42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691FD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40 368 625,25</w:t>
            </w:r>
          </w:p>
        </w:tc>
      </w:tr>
      <w:tr w:rsidR="00840A6E" w:rsidRPr="005B5B16" w14:paraId="435828CD" w14:textId="77777777" w:rsidTr="00840A6E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C9F3" w14:textId="77777777" w:rsidR="00840A6E" w:rsidRPr="005B5B16" w:rsidRDefault="00840A6E" w:rsidP="00840A6E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67779999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D62D0" w14:textId="77777777" w:rsidR="00840A6E" w:rsidRPr="005B5B16" w:rsidRDefault="00840A6E" w:rsidP="00840A6E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Zařízení služeb pro Ministerstvo vnitra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4C936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737 320 152,00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7FC01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778 937 213,25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B6EAE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800 891 178,00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1EB84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841 478 809,00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50CC7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897 362 607,00</w:t>
            </w:r>
          </w:p>
        </w:tc>
      </w:tr>
      <w:tr w:rsidR="00840A6E" w:rsidRPr="005B5B16" w14:paraId="5F7298D2" w14:textId="77777777" w:rsidTr="00840A6E">
        <w:trPr>
          <w:trHeight w:val="255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282219B7" w14:textId="77777777" w:rsidR="00840A6E" w:rsidRPr="005B5B16" w:rsidRDefault="00840A6E" w:rsidP="00840A6E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Celkem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3F4141C5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869 915 712,00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4584F690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926 786 200,25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18F3BD8B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936 775 979,42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59BB3F0F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979 461 909,42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7F6EF9D0" w14:textId="77777777" w:rsidR="00840A6E" w:rsidRPr="005B5B16" w:rsidRDefault="00840A6E" w:rsidP="00840A6E">
            <w:pPr>
              <w:spacing w:after="0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1 040 535 693,25</w:t>
            </w:r>
          </w:p>
        </w:tc>
      </w:tr>
    </w:tbl>
    <w:p w14:paraId="4A5D9EA8" w14:textId="77777777" w:rsidR="00840A6E" w:rsidRPr="00E313C2" w:rsidRDefault="00840A6E" w:rsidP="00E313C2">
      <w:pPr>
        <w:pStyle w:val="Zdroj"/>
        <w:spacing w:before="40"/>
        <w:rPr>
          <w:rFonts w:asciiTheme="minorHAnsi" w:hAnsiTheme="minorHAnsi"/>
          <w:i w:val="0"/>
        </w:rPr>
      </w:pPr>
      <w:bookmarkStart w:id="186" w:name="_Toc520715185"/>
      <w:r w:rsidRPr="00E313C2">
        <w:rPr>
          <w:rFonts w:asciiTheme="minorHAnsi" w:hAnsiTheme="minorHAnsi"/>
          <w:b/>
          <w:i w:val="0"/>
        </w:rPr>
        <w:t xml:space="preserve">Zdroj: </w:t>
      </w:r>
      <w:r w:rsidRPr="00E313C2">
        <w:rPr>
          <w:rFonts w:asciiTheme="minorHAnsi" w:hAnsiTheme="minorHAnsi"/>
          <w:i w:val="0"/>
        </w:rPr>
        <w:t>informační portál MONITOR.</w:t>
      </w:r>
    </w:p>
    <w:p w14:paraId="049C823B" w14:textId="77777777" w:rsidR="00840A6E" w:rsidRPr="00E313C2" w:rsidRDefault="00840A6E" w:rsidP="00E313C2">
      <w:pPr>
        <w:spacing w:after="0"/>
        <w:rPr>
          <w:rFonts w:asciiTheme="minorHAnsi" w:hAnsiTheme="minorHAnsi" w:cstheme="minorHAnsi"/>
        </w:rPr>
      </w:pPr>
      <w:bookmarkStart w:id="187" w:name="_Toc520714665"/>
      <w:bookmarkStart w:id="188" w:name="_Toc8984872"/>
      <w:bookmarkEnd w:id="186"/>
    </w:p>
    <w:p w14:paraId="033CB3D4" w14:textId="77777777" w:rsidR="00840A6E" w:rsidRPr="007631E8" w:rsidRDefault="00840A6E" w:rsidP="00124170">
      <w:pPr>
        <w:pStyle w:val="Titulek"/>
        <w:tabs>
          <w:tab w:val="right" w:pos="9070"/>
        </w:tabs>
        <w:spacing w:before="0" w:after="40"/>
        <w:jc w:val="both"/>
        <w:rPr>
          <w:rFonts w:cstheme="minorHAnsi"/>
          <w:szCs w:val="24"/>
        </w:rPr>
      </w:pPr>
      <w:bookmarkStart w:id="189" w:name="_Toc69401722"/>
      <w:bookmarkStart w:id="190" w:name="_Toc101336489"/>
      <w:r w:rsidRPr="007631E8">
        <w:rPr>
          <w:rFonts w:cstheme="minorHAnsi"/>
          <w:szCs w:val="24"/>
        </w:rPr>
        <w:t>Tabulka č.</w:t>
      </w:r>
      <w:r>
        <w:rPr>
          <w:rFonts w:cstheme="minorHAnsi"/>
          <w:szCs w:val="24"/>
        </w:rPr>
        <w:t xml:space="preserve"> 39</w:t>
      </w:r>
      <w:r w:rsidRPr="007631E8">
        <w:rPr>
          <w:rFonts w:cstheme="minorHAnsi"/>
          <w:szCs w:val="24"/>
        </w:rPr>
        <w:t xml:space="preserve">: Výše příspěvku na provoz PO dle zákona č. 218/2000 Sb. </w:t>
      </w:r>
      <w:r w:rsidR="00E211B4">
        <w:rPr>
          <w:rFonts w:cstheme="minorHAnsi"/>
          <w:szCs w:val="24"/>
        </w:rPr>
        <w:tab/>
      </w:r>
      <w:r w:rsidRPr="007631E8">
        <w:rPr>
          <w:rFonts w:cstheme="minorHAnsi"/>
          <w:szCs w:val="24"/>
        </w:rPr>
        <w:t>(v Kč)</w:t>
      </w:r>
      <w:bookmarkEnd w:id="187"/>
      <w:bookmarkEnd w:id="188"/>
      <w:bookmarkEnd w:id="189"/>
      <w:bookmarkEnd w:id="190"/>
    </w:p>
    <w:tbl>
      <w:tblPr>
        <w:tblW w:w="90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1276"/>
        <w:gridCol w:w="1276"/>
        <w:gridCol w:w="1276"/>
        <w:gridCol w:w="1275"/>
        <w:gridCol w:w="1278"/>
      </w:tblGrid>
      <w:tr w:rsidR="00840A6E" w:rsidRPr="005B5B16" w14:paraId="0FEE9CB4" w14:textId="77777777" w:rsidTr="00E313C2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4ACB8DCD" w14:textId="77777777" w:rsidR="00840A6E" w:rsidRPr="005B5B16" w:rsidRDefault="00840A6E" w:rsidP="00E313C2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IČO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E0BDDBE" w14:textId="77777777" w:rsidR="00840A6E" w:rsidRPr="005B5B16" w:rsidRDefault="00840A6E" w:rsidP="00E313C2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Účetní jednotka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846C4ED" w14:textId="77777777" w:rsidR="00840A6E" w:rsidRPr="005B5B16" w:rsidRDefault="00840A6E" w:rsidP="00E313C2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DFD7829" w14:textId="77777777" w:rsidR="00840A6E" w:rsidRPr="005B5B16" w:rsidRDefault="00840A6E" w:rsidP="00E313C2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FF7A259" w14:textId="77777777" w:rsidR="00840A6E" w:rsidRPr="005B5B16" w:rsidRDefault="00840A6E" w:rsidP="00E313C2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1A1C07ED" w14:textId="77777777" w:rsidR="00840A6E" w:rsidRPr="005B5B16" w:rsidRDefault="00840A6E" w:rsidP="00E313C2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4068CF89" w14:textId="77777777" w:rsidR="00840A6E" w:rsidRPr="005B5B16" w:rsidRDefault="00840A6E" w:rsidP="00E313C2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2021</w:t>
            </w:r>
          </w:p>
        </w:tc>
      </w:tr>
      <w:tr w:rsidR="00840A6E" w:rsidRPr="005B5B16" w14:paraId="72768059" w14:textId="77777777" w:rsidTr="00E313C2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6860" w14:textId="77777777" w:rsidR="00840A6E" w:rsidRPr="005B5B16" w:rsidRDefault="00840A6E" w:rsidP="00E313C2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60498005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7138C" w14:textId="77777777" w:rsidR="00840A6E" w:rsidRPr="005B5B16" w:rsidRDefault="00840A6E" w:rsidP="00E313C2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Tiskárna Ministerstva vnitra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5D88C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43 094 927,00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141E8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45 311 357,00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A5352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44 679 844,00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B5C51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41 157 766,00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135B7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39 957 766,00</w:t>
            </w:r>
          </w:p>
        </w:tc>
      </w:tr>
      <w:tr w:rsidR="00840A6E" w:rsidRPr="005B5B16" w14:paraId="079A53F4" w14:textId="77777777" w:rsidTr="00E313C2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D27D" w14:textId="77777777" w:rsidR="00840A6E" w:rsidRPr="005B5B16" w:rsidRDefault="00840A6E" w:rsidP="00E313C2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65737393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5DE80" w14:textId="77777777" w:rsidR="00840A6E" w:rsidRPr="005B5B16" w:rsidRDefault="00840A6E" w:rsidP="00E313C2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Bytová správa Ministerstva vnitra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5AD37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65 385 134,00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2F338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63 081 086,00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975D2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49 536 795,00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9E843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52 258 815,00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00631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47 097 851,00</w:t>
            </w:r>
          </w:p>
        </w:tc>
      </w:tr>
      <w:tr w:rsidR="00840A6E" w:rsidRPr="005B5B16" w14:paraId="3A3B421B" w14:textId="77777777" w:rsidTr="00E313C2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7C6D" w14:textId="77777777" w:rsidR="00840A6E" w:rsidRPr="005B5B16" w:rsidRDefault="00840A6E" w:rsidP="00E313C2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67779999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931B3" w14:textId="77777777" w:rsidR="00840A6E" w:rsidRPr="005B5B16" w:rsidRDefault="00840A6E" w:rsidP="00E313C2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Zařízení služeb pro Ministerstvo vnitra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45A2D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737 320 152,00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42207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766 867 119,00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A2A6D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800 891 178,00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A872B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841 272 142,00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41DA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897 158 607,00</w:t>
            </w:r>
          </w:p>
        </w:tc>
      </w:tr>
      <w:tr w:rsidR="00840A6E" w:rsidRPr="005B5B16" w14:paraId="6473A27A" w14:textId="77777777" w:rsidTr="00E313C2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CDAB" w14:textId="77777777" w:rsidR="00840A6E" w:rsidRPr="005B5B16" w:rsidRDefault="00840A6E" w:rsidP="00E313C2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70890293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5D404" w14:textId="77777777" w:rsidR="00840A6E" w:rsidRPr="005B5B16" w:rsidRDefault="00840A6E" w:rsidP="00E313C2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Institut pro veřejnou správu Praha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36E74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24 115 499,00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1192E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39 456 544,00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FC6AA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41 557 459,00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53023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44 189 769,00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49A63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55 706 610,00</w:t>
            </w:r>
          </w:p>
        </w:tc>
      </w:tr>
      <w:tr w:rsidR="00840A6E" w:rsidRPr="005B5B16" w14:paraId="4EE8199D" w14:textId="77777777" w:rsidTr="00E313C2">
        <w:trPr>
          <w:trHeight w:val="25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432D0C58" w14:textId="77777777" w:rsidR="00840A6E" w:rsidRPr="005B5B16" w:rsidRDefault="00840A6E" w:rsidP="00E313C2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Celkem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323F66A2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869 915 712,00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45512673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914 716 106,00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553CDC33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936 665 276,00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1AD862E0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978 878 492,00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7A55F6C0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1 039 920 834,00</w:t>
            </w:r>
          </w:p>
        </w:tc>
      </w:tr>
    </w:tbl>
    <w:p w14:paraId="392B6B3C" w14:textId="6B56E6DB" w:rsidR="00840A6E" w:rsidRPr="00E313C2" w:rsidRDefault="00840A6E" w:rsidP="00E313C2">
      <w:pPr>
        <w:pStyle w:val="Zdroj"/>
        <w:spacing w:before="40"/>
        <w:jc w:val="both"/>
        <w:rPr>
          <w:rFonts w:asciiTheme="minorHAnsi" w:hAnsiTheme="minorHAnsi"/>
          <w:i w:val="0"/>
        </w:rPr>
      </w:pPr>
      <w:bookmarkStart w:id="191" w:name="_Toc520714666"/>
      <w:r w:rsidRPr="00E313C2">
        <w:rPr>
          <w:rFonts w:asciiTheme="minorHAnsi" w:hAnsiTheme="minorHAnsi"/>
          <w:b/>
          <w:i w:val="0"/>
        </w:rPr>
        <w:t xml:space="preserve">Zdroj: </w:t>
      </w:r>
      <w:r w:rsidR="0081739D" w:rsidRPr="00124170">
        <w:rPr>
          <w:rFonts w:asciiTheme="minorHAnsi" w:hAnsiTheme="minorHAnsi"/>
          <w:i w:val="0"/>
        </w:rPr>
        <w:t>I</w:t>
      </w:r>
      <w:r w:rsidRPr="00E313C2">
        <w:rPr>
          <w:rFonts w:asciiTheme="minorHAnsi" w:hAnsiTheme="minorHAnsi"/>
          <w:i w:val="0"/>
        </w:rPr>
        <w:t xml:space="preserve">ISSP-CSÚIS – výkaz </w:t>
      </w:r>
      <w:r w:rsidR="0081739D">
        <w:rPr>
          <w:rFonts w:asciiTheme="minorHAnsi" w:hAnsiTheme="minorHAnsi"/>
          <w:iCs/>
        </w:rPr>
        <w:t>p</w:t>
      </w:r>
      <w:r w:rsidRPr="00E313C2">
        <w:rPr>
          <w:rFonts w:asciiTheme="minorHAnsi" w:hAnsiTheme="minorHAnsi"/>
          <w:iCs/>
        </w:rPr>
        <w:t>řehled o rozpočtu SPO</w:t>
      </w:r>
      <w:r w:rsidRPr="00E313C2">
        <w:rPr>
          <w:rFonts w:asciiTheme="minorHAnsi" w:hAnsiTheme="minorHAnsi"/>
          <w:i w:val="0"/>
        </w:rPr>
        <w:t xml:space="preserve"> – část II (údaje ze sloupce </w:t>
      </w:r>
      <w:r w:rsidRPr="00124170">
        <w:rPr>
          <w:rFonts w:asciiTheme="minorHAnsi" w:hAnsiTheme="minorHAnsi"/>
        </w:rPr>
        <w:t>Skutečnost minulého roku v Kč</w:t>
      </w:r>
      <w:r w:rsidRPr="00E313C2">
        <w:rPr>
          <w:rFonts w:asciiTheme="minorHAnsi" w:hAnsiTheme="minorHAnsi"/>
          <w:i w:val="0"/>
        </w:rPr>
        <w:t>).</w:t>
      </w:r>
    </w:p>
    <w:p w14:paraId="51BDB669" w14:textId="77777777" w:rsidR="00840A6E" w:rsidRPr="00E313C2" w:rsidRDefault="00840A6E" w:rsidP="00E313C2">
      <w:pPr>
        <w:pStyle w:val="Zdroj"/>
        <w:spacing w:before="40"/>
        <w:rPr>
          <w:rFonts w:asciiTheme="minorHAnsi" w:hAnsiTheme="minorHAnsi"/>
          <w:b/>
          <w:bCs/>
          <w:i w:val="0"/>
          <w:sz w:val="24"/>
        </w:rPr>
      </w:pPr>
    </w:p>
    <w:p w14:paraId="760BBD46" w14:textId="77777777" w:rsidR="00840A6E" w:rsidRPr="007631E8" w:rsidRDefault="00840A6E" w:rsidP="0081739D">
      <w:pPr>
        <w:pStyle w:val="Titulek"/>
        <w:tabs>
          <w:tab w:val="right" w:pos="9070"/>
        </w:tabs>
        <w:spacing w:before="0" w:after="40"/>
        <w:jc w:val="both"/>
        <w:rPr>
          <w:rFonts w:cstheme="minorHAnsi"/>
          <w:szCs w:val="24"/>
        </w:rPr>
      </w:pPr>
      <w:bookmarkStart w:id="192" w:name="_Toc8984873"/>
      <w:bookmarkStart w:id="193" w:name="_Toc69401723"/>
      <w:bookmarkStart w:id="194" w:name="_Toc101336490"/>
      <w:r w:rsidRPr="007631E8">
        <w:rPr>
          <w:rFonts w:cstheme="minorHAnsi"/>
          <w:szCs w:val="24"/>
        </w:rPr>
        <w:t>Tabulka č.</w:t>
      </w:r>
      <w:r>
        <w:rPr>
          <w:rFonts w:cstheme="minorHAnsi"/>
          <w:szCs w:val="24"/>
        </w:rPr>
        <w:t xml:space="preserve"> 40</w:t>
      </w:r>
      <w:r w:rsidRPr="007631E8">
        <w:rPr>
          <w:rFonts w:cstheme="minorHAnsi"/>
          <w:szCs w:val="24"/>
        </w:rPr>
        <w:t>: Podíl výnosů z transferů PO v</w:t>
      </w:r>
      <w:r>
        <w:rPr>
          <w:rFonts w:cstheme="minorHAnsi"/>
          <w:szCs w:val="24"/>
        </w:rPr>
        <w:t xml:space="preserve"> </w:t>
      </w:r>
      <w:r w:rsidRPr="007631E8">
        <w:rPr>
          <w:rFonts w:cstheme="minorHAnsi"/>
          <w:szCs w:val="24"/>
        </w:rPr>
        <w:t>kapitole 314 na celkových výnosech</w:t>
      </w:r>
      <w:bookmarkEnd w:id="192"/>
      <w:r>
        <w:rPr>
          <w:rFonts w:cstheme="minorHAnsi"/>
          <w:szCs w:val="24"/>
        </w:rPr>
        <w:t xml:space="preserve"> </w:t>
      </w:r>
      <w:r w:rsidRPr="007631E8">
        <w:rPr>
          <w:rFonts w:cstheme="minorHAnsi"/>
          <w:szCs w:val="24"/>
        </w:rPr>
        <w:t xml:space="preserve">PO </w:t>
      </w:r>
      <w:r w:rsidR="0081739D">
        <w:rPr>
          <w:rFonts w:cstheme="minorHAnsi"/>
          <w:szCs w:val="24"/>
        </w:rPr>
        <w:tab/>
      </w:r>
      <w:r w:rsidRPr="007631E8">
        <w:rPr>
          <w:rFonts w:cstheme="minorHAnsi"/>
          <w:szCs w:val="24"/>
        </w:rPr>
        <w:t>(v %)</w:t>
      </w:r>
      <w:bookmarkEnd w:id="191"/>
      <w:bookmarkEnd w:id="193"/>
      <w:bookmarkEnd w:id="194"/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260"/>
        <w:gridCol w:w="992"/>
        <w:gridCol w:w="993"/>
        <w:gridCol w:w="992"/>
        <w:gridCol w:w="992"/>
        <w:gridCol w:w="992"/>
      </w:tblGrid>
      <w:tr w:rsidR="00840A6E" w:rsidRPr="005B5B16" w14:paraId="65086525" w14:textId="77777777" w:rsidTr="00E313C2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3B690C2F" w14:textId="77777777" w:rsidR="00840A6E" w:rsidRPr="005B5B16" w:rsidRDefault="00840A6E" w:rsidP="00E313C2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IČO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8053453" w14:textId="77777777" w:rsidR="00840A6E" w:rsidRPr="005B5B16" w:rsidRDefault="00840A6E" w:rsidP="00E313C2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Účetní jednotka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AB53869" w14:textId="77777777" w:rsidR="00840A6E" w:rsidRPr="005B5B16" w:rsidRDefault="00840A6E" w:rsidP="00E313C2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541C8F8" w14:textId="77777777" w:rsidR="00840A6E" w:rsidRPr="005B5B16" w:rsidRDefault="00840A6E" w:rsidP="00E313C2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7C7AE1C" w14:textId="77777777" w:rsidR="00840A6E" w:rsidRPr="005B5B16" w:rsidRDefault="00840A6E" w:rsidP="00E313C2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326F1DBF" w14:textId="77777777" w:rsidR="00840A6E" w:rsidRPr="005B5B16" w:rsidRDefault="00840A6E" w:rsidP="00E313C2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6BD4FD5A" w14:textId="77777777" w:rsidR="00840A6E" w:rsidRPr="005B5B16" w:rsidRDefault="00840A6E" w:rsidP="00E313C2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2021</w:t>
            </w:r>
          </w:p>
        </w:tc>
      </w:tr>
      <w:tr w:rsidR="00840A6E" w:rsidRPr="005B5B16" w14:paraId="21938730" w14:textId="77777777" w:rsidTr="00E313C2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3B99" w14:textId="77777777" w:rsidR="00840A6E" w:rsidRPr="005B5B16" w:rsidRDefault="00840A6E" w:rsidP="00E313C2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60498005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4196D" w14:textId="77777777" w:rsidR="00840A6E" w:rsidRPr="005B5B16" w:rsidRDefault="00840A6E" w:rsidP="00E313C2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Tiskárna Ministerstva vnitra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030F4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63,76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2EFFB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D6D63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68,49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A5CE3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67,04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A35EC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64,32</w:t>
            </w:r>
          </w:p>
        </w:tc>
      </w:tr>
      <w:tr w:rsidR="00840A6E" w:rsidRPr="005B5B16" w14:paraId="5683054C" w14:textId="77777777" w:rsidTr="00E313C2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F802" w14:textId="77777777" w:rsidR="00840A6E" w:rsidRPr="005B5B16" w:rsidRDefault="00840A6E" w:rsidP="00E313C2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65737393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827B6" w14:textId="77777777" w:rsidR="00840A6E" w:rsidRPr="005B5B16" w:rsidRDefault="00840A6E" w:rsidP="00E313C2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Bytová správa Ministerstva vnitra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859CA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57,19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99112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56,45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F2E97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47,90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B2288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46,66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8A6C8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44,05</w:t>
            </w:r>
          </w:p>
        </w:tc>
      </w:tr>
      <w:tr w:rsidR="00840A6E" w:rsidRPr="005B5B16" w14:paraId="32C7E0DE" w14:textId="77777777" w:rsidTr="00E313C2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08C0" w14:textId="77777777" w:rsidR="00840A6E" w:rsidRPr="005B5B16" w:rsidRDefault="00840A6E" w:rsidP="00E313C2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67779999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FAD47" w14:textId="77777777" w:rsidR="00840A6E" w:rsidRPr="005B5B16" w:rsidRDefault="00840A6E" w:rsidP="00E313C2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Zařízení služeb pro Ministerstvo vnitra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75CA1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77,48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94C40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81,11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F2331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83,61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5F6E1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84,27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CD4AE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83,56</w:t>
            </w:r>
          </w:p>
        </w:tc>
      </w:tr>
      <w:tr w:rsidR="00840A6E" w:rsidRPr="005B5B16" w14:paraId="634F7144" w14:textId="77777777" w:rsidTr="00E313C2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6D54" w14:textId="77777777" w:rsidR="00840A6E" w:rsidRPr="005B5B16" w:rsidRDefault="00840A6E" w:rsidP="00E313C2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70890293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110B2" w14:textId="77777777" w:rsidR="00840A6E" w:rsidRPr="005B5B16" w:rsidRDefault="00840A6E" w:rsidP="00E313C2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Institut pro veřejnou správu Praha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A6D0F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52,90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69D9B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69,94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93640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76,68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30127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75,42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00F14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79,28</w:t>
            </w:r>
          </w:p>
        </w:tc>
      </w:tr>
      <w:tr w:rsidR="00840A6E" w:rsidRPr="005B5B16" w14:paraId="4F23395F" w14:textId="77777777" w:rsidTr="00124170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79B93968" w14:textId="77777777" w:rsidR="00840A6E" w:rsidRPr="005B5B16" w:rsidRDefault="00840A6E" w:rsidP="00124170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Podíl výnosů z transferů PO v rozpočtové kapitole 314 na celkových výnosech PO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51DC46B6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73,78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0A919EBE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77,56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0F83A4B6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79,33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48528ABF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79,56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21A196CF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79,19</w:t>
            </w:r>
          </w:p>
        </w:tc>
      </w:tr>
    </w:tbl>
    <w:p w14:paraId="155CD7DE" w14:textId="7EEAE049" w:rsidR="00840A6E" w:rsidRPr="00E313C2" w:rsidRDefault="00840A6E" w:rsidP="00E313C2">
      <w:pPr>
        <w:pStyle w:val="Zdroj"/>
        <w:spacing w:before="40"/>
        <w:rPr>
          <w:rFonts w:asciiTheme="minorHAnsi" w:hAnsiTheme="minorHAnsi"/>
          <w:i w:val="0"/>
        </w:rPr>
      </w:pPr>
      <w:bookmarkStart w:id="195" w:name="_Toc520715186"/>
      <w:r w:rsidRPr="00E313C2">
        <w:rPr>
          <w:rFonts w:asciiTheme="minorHAnsi" w:hAnsiTheme="minorHAnsi"/>
          <w:b/>
          <w:i w:val="0"/>
        </w:rPr>
        <w:t xml:space="preserve">Zdroj: </w:t>
      </w:r>
      <w:r w:rsidRPr="00E313C2">
        <w:rPr>
          <w:rFonts w:asciiTheme="minorHAnsi" w:hAnsiTheme="minorHAnsi"/>
          <w:i w:val="0"/>
        </w:rPr>
        <w:t>informační portál MONITOR</w:t>
      </w:r>
      <w:r w:rsidR="0081739D">
        <w:rPr>
          <w:rFonts w:asciiTheme="minorHAnsi" w:hAnsiTheme="minorHAnsi"/>
          <w:i w:val="0"/>
        </w:rPr>
        <w:t>;</w:t>
      </w:r>
      <w:r w:rsidRPr="00E313C2">
        <w:rPr>
          <w:rFonts w:asciiTheme="minorHAnsi" w:hAnsiTheme="minorHAnsi"/>
          <w:i w:val="0"/>
        </w:rPr>
        <w:t xml:space="preserve"> výpočet NKÚ.</w:t>
      </w:r>
    </w:p>
    <w:p w14:paraId="25D217C6" w14:textId="77777777" w:rsidR="00840A6E" w:rsidRPr="00E313C2" w:rsidRDefault="00840A6E" w:rsidP="00E313C2">
      <w:pPr>
        <w:spacing w:after="0"/>
        <w:rPr>
          <w:rFonts w:asciiTheme="minorHAnsi" w:hAnsiTheme="minorHAnsi" w:cstheme="minorHAnsi"/>
        </w:rPr>
      </w:pPr>
      <w:bookmarkStart w:id="196" w:name="_Toc520714667"/>
      <w:bookmarkStart w:id="197" w:name="_Toc8984874"/>
      <w:bookmarkEnd w:id="195"/>
    </w:p>
    <w:p w14:paraId="07E6BC48" w14:textId="77777777" w:rsidR="00840A6E" w:rsidRPr="007631E8" w:rsidRDefault="00840A6E" w:rsidP="0081739D">
      <w:pPr>
        <w:pStyle w:val="Titulek"/>
        <w:tabs>
          <w:tab w:val="right" w:pos="9070"/>
        </w:tabs>
        <w:spacing w:before="0" w:after="40"/>
        <w:jc w:val="both"/>
        <w:rPr>
          <w:rFonts w:cstheme="minorHAnsi"/>
          <w:szCs w:val="24"/>
        </w:rPr>
      </w:pPr>
      <w:bookmarkStart w:id="198" w:name="_Toc69401724"/>
      <w:bookmarkStart w:id="199" w:name="_Toc101336491"/>
      <w:r w:rsidRPr="007631E8">
        <w:rPr>
          <w:rFonts w:cstheme="minorHAnsi"/>
          <w:szCs w:val="24"/>
        </w:rPr>
        <w:t>Tabulka č.</w:t>
      </w:r>
      <w:r>
        <w:rPr>
          <w:rFonts w:cstheme="minorHAnsi"/>
          <w:szCs w:val="24"/>
        </w:rPr>
        <w:t xml:space="preserve"> 41</w:t>
      </w:r>
      <w:r w:rsidRPr="007631E8">
        <w:rPr>
          <w:rFonts w:cstheme="minorHAnsi"/>
          <w:szCs w:val="24"/>
        </w:rPr>
        <w:t>: Podíl příspěvku na provoz na celkových výnosech PO</w:t>
      </w:r>
      <w:bookmarkEnd w:id="196"/>
      <w:bookmarkEnd w:id="197"/>
      <w:r w:rsidRPr="007631E8">
        <w:rPr>
          <w:rFonts w:cstheme="minorHAnsi"/>
          <w:szCs w:val="24"/>
        </w:rPr>
        <w:t xml:space="preserve"> </w:t>
      </w:r>
      <w:r w:rsidR="0081739D">
        <w:rPr>
          <w:rFonts w:cstheme="minorHAnsi"/>
          <w:szCs w:val="24"/>
        </w:rPr>
        <w:tab/>
      </w:r>
      <w:r w:rsidRPr="007631E8">
        <w:rPr>
          <w:rFonts w:cstheme="minorHAnsi"/>
          <w:szCs w:val="24"/>
        </w:rPr>
        <w:t>(v %)</w:t>
      </w:r>
      <w:bookmarkEnd w:id="198"/>
      <w:bookmarkEnd w:id="199"/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260"/>
        <w:gridCol w:w="992"/>
        <w:gridCol w:w="992"/>
        <w:gridCol w:w="992"/>
        <w:gridCol w:w="993"/>
        <w:gridCol w:w="992"/>
      </w:tblGrid>
      <w:tr w:rsidR="00840A6E" w:rsidRPr="005B5B16" w14:paraId="5AA830C6" w14:textId="77777777" w:rsidTr="00E313C2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39D1D638" w14:textId="77777777" w:rsidR="00840A6E" w:rsidRPr="005B5B16" w:rsidRDefault="00840A6E" w:rsidP="00E313C2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IČO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21407CC" w14:textId="77777777" w:rsidR="00840A6E" w:rsidRPr="005B5B16" w:rsidRDefault="00840A6E" w:rsidP="00E313C2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Účetní jednotka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57BF4B4" w14:textId="77777777" w:rsidR="00840A6E" w:rsidRPr="005B5B16" w:rsidRDefault="00840A6E" w:rsidP="00E313C2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F675DD4" w14:textId="77777777" w:rsidR="00840A6E" w:rsidRPr="005B5B16" w:rsidRDefault="00840A6E" w:rsidP="00E313C2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B876FF2" w14:textId="77777777" w:rsidR="00840A6E" w:rsidRPr="005B5B16" w:rsidRDefault="00840A6E" w:rsidP="00E313C2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25DE8044" w14:textId="77777777" w:rsidR="00840A6E" w:rsidRPr="005B5B16" w:rsidRDefault="00840A6E" w:rsidP="00E313C2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63EB7303" w14:textId="77777777" w:rsidR="00840A6E" w:rsidRPr="005B5B16" w:rsidRDefault="00840A6E" w:rsidP="00E313C2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2021</w:t>
            </w:r>
          </w:p>
        </w:tc>
      </w:tr>
      <w:tr w:rsidR="00840A6E" w:rsidRPr="005B5B16" w14:paraId="2ED99AE3" w14:textId="77777777" w:rsidTr="00E313C2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1159" w14:textId="77777777" w:rsidR="00840A6E" w:rsidRPr="005B5B16" w:rsidRDefault="00840A6E" w:rsidP="00E313C2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65737393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A28A5" w14:textId="77777777" w:rsidR="00840A6E" w:rsidRPr="005B5B16" w:rsidRDefault="00840A6E" w:rsidP="00E313C2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Bytová správa Ministerstva vnitra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62D50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57,19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546AF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56,45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55B5A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47,90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E52E0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46,66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E5904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44,05</w:t>
            </w:r>
          </w:p>
        </w:tc>
      </w:tr>
      <w:tr w:rsidR="00840A6E" w:rsidRPr="005B5B16" w14:paraId="79924D03" w14:textId="77777777" w:rsidTr="00E313C2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C549" w14:textId="77777777" w:rsidR="00840A6E" w:rsidRPr="005B5B16" w:rsidRDefault="00840A6E" w:rsidP="00E313C2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70890293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88505" w14:textId="77777777" w:rsidR="00840A6E" w:rsidRPr="005B5B16" w:rsidRDefault="00840A6E" w:rsidP="00E313C2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Institut pro veřejnou správu Praha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3E244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52,90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C0F31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69,94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F7F06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76,68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8FA2C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75,42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24086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79,28</w:t>
            </w:r>
          </w:p>
        </w:tc>
      </w:tr>
      <w:tr w:rsidR="00840A6E" w:rsidRPr="005B5B16" w14:paraId="00A398DA" w14:textId="77777777" w:rsidTr="00E313C2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6159" w14:textId="77777777" w:rsidR="00840A6E" w:rsidRPr="005B5B16" w:rsidRDefault="00840A6E" w:rsidP="00E313C2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60498005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09DE0" w14:textId="77777777" w:rsidR="00840A6E" w:rsidRPr="005B5B16" w:rsidRDefault="00840A6E" w:rsidP="00E313C2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Tiskárna Ministerstva vnitra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56EAB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63,76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37D39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68,30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7CB26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68,33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949AC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66,43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C0F4C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63,67</w:t>
            </w:r>
          </w:p>
        </w:tc>
      </w:tr>
      <w:tr w:rsidR="00840A6E" w:rsidRPr="005B5B16" w14:paraId="1771F626" w14:textId="77777777" w:rsidTr="00E313C2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8630" w14:textId="77777777" w:rsidR="00840A6E" w:rsidRPr="005B5B16" w:rsidRDefault="00840A6E" w:rsidP="00E313C2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67779999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7B29B" w14:textId="77777777" w:rsidR="00840A6E" w:rsidRPr="005B5B16" w:rsidRDefault="00840A6E" w:rsidP="00E313C2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Zařízení služeb pro Ministerstvo vnitra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BE179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77,48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5DC89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79,85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A5E18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83,61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88EF8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84,25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1882C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83,54</w:t>
            </w:r>
          </w:p>
        </w:tc>
      </w:tr>
      <w:tr w:rsidR="00840A6E" w:rsidRPr="005B5B16" w14:paraId="49C61195" w14:textId="77777777" w:rsidTr="00E313C2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09FCD484" w14:textId="28FC39C7" w:rsidR="00840A6E" w:rsidRPr="005B5B16" w:rsidRDefault="00840A6E" w:rsidP="00E313C2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Podíl příspěvku na provoz na celkových výnosech PO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43719515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73,78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77712B41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76,55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4B955AA4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79,32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3BC33380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79,51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4A9B7AE2" w14:textId="77777777" w:rsidR="00840A6E" w:rsidRPr="005B5B16" w:rsidRDefault="00840A6E" w:rsidP="00E313C2">
            <w:pPr>
              <w:spacing w:after="0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79,15</w:t>
            </w:r>
          </w:p>
        </w:tc>
      </w:tr>
    </w:tbl>
    <w:p w14:paraId="4E9D6708" w14:textId="6D25B4FC" w:rsidR="00840A6E" w:rsidRPr="007F70AA" w:rsidRDefault="00840A6E" w:rsidP="007F70AA">
      <w:pPr>
        <w:pStyle w:val="Zdroj"/>
        <w:spacing w:before="40"/>
        <w:jc w:val="both"/>
        <w:rPr>
          <w:rFonts w:asciiTheme="minorHAnsi" w:hAnsiTheme="minorHAnsi"/>
          <w:i w:val="0"/>
          <w:iCs/>
        </w:rPr>
      </w:pPr>
      <w:bookmarkStart w:id="200" w:name="_Toc520715187"/>
      <w:r w:rsidRPr="007F70AA">
        <w:rPr>
          <w:rFonts w:asciiTheme="minorHAnsi" w:hAnsiTheme="minorHAnsi"/>
          <w:b/>
          <w:i w:val="0"/>
        </w:rPr>
        <w:t xml:space="preserve">Zdroj: </w:t>
      </w:r>
      <w:r w:rsidRPr="007F70AA">
        <w:rPr>
          <w:rFonts w:asciiTheme="minorHAnsi" w:hAnsiTheme="minorHAnsi"/>
          <w:i w:val="0"/>
        </w:rPr>
        <w:t>CSÚIS, I</w:t>
      </w:r>
      <w:r w:rsidR="0081739D">
        <w:rPr>
          <w:rFonts w:asciiTheme="minorHAnsi" w:hAnsiTheme="minorHAnsi"/>
          <w:i w:val="0"/>
        </w:rPr>
        <w:t>I</w:t>
      </w:r>
      <w:r w:rsidRPr="007F70AA">
        <w:rPr>
          <w:rFonts w:asciiTheme="minorHAnsi" w:hAnsiTheme="minorHAnsi"/>
          <w:i w:val="0"/>
        </w:rPr>
        <w:t xml:space="preserve">SSP-CSÚIS – výkaz </w:t>
      </w:r>
      <w:r w:rsidR="0081739D">
        <w:rPr>
          <w:rFonts w:asciiTheme="minorHAnsi" w:hAnsiTheme="minorHAnsi"/>
          <w:iCs/>
        </w:rPr>
        <w:t>p</w:t>
      </w:r>
      <w:r w:rsidRPr="007F70AA">
        <w:rPr>
          <w:rFonts w:asciiTheme="minorHAnsi" w:hAnsiTheme="minorHAnsi"/>
          <w:iCs/>
        </w:rPr>
        <w:t>řehled o rozpočtu SPO</w:t>
      </w:r>
      <w:r w:rsidRPr="007F70AA">
        <w:rPr>
          <w:rFonts w:asciiTheme="minorHAnsi" w:hAnsiTheme="minorHAnsi"/>
          <w:i w:val="0"/>
        </w:rPr>
        <w:t xml:space="preserve"> – část II (údaje ze sloupce </w:t>
      </w:r>
      <w:r w:rsidRPr="00124170">
        <w:rPr>
          <w:rFonts w:asciiTheme="minorHAnsi" w:hAnsiTheme="minorHAnsi"/>
        </w:rPr>
        <w:t>Skutečnost minulého roku v Kč</w:t>
      </w:r>
      <w:r w:rsidRPr="007F70AA">
        <w:rPr>
          <w:rFonts w:asciiTheme="minorHAnsi" w:hAnsiTheme="minorHAnsi"/>
          <w:i w:val="0"/>
        </w:rPr>
        <w:t>)</w:t>
      </w:r>
      <w:r w:rsidR="0081739D">
        <w:rPr>
          <w:rFonts w:asciiTheme="minorHAnsi" w:hAnsiTheme="minorHAnsi"/>
          <w:i w:val="0"/>
        </w:rPr>
        <w:t>;</w:t>
      </w:r>
      <w:r w:rsidRPr="007F70AA">
        <w:rPr>
          <w:rFonts w:asciiTheme="minorHAnsi" w:hAnsiTheme="minorHAnsi"/>
        </w:rPr>
        <w:t xml:space="preserve"> </w:t>
      </w:r>
      <w:r w:rsidRPr="007F70AA">
        <w:rPr>
          <w:rFonts w:asciiTheme="minorHAnsi" w:hAnsiTheme="minorHAnsi"/>
          <w:i w:val="0"/>
          <w:iCs/>
        </w:rPr>
        <w:t>výpočet NKÚ.</w:t>
      </w:r>
    </w:p>
    <w:bookmarkEnd w:id="200"/>
    <w:p w14:paraId="078678F3" w14:textId="77777777" w:rsidR="00840A6E" w:rsidRPr="007F70AA" w:rsidRDefault="00840A6E" w:rsidP="007F70AA">
      <w:pPr>
        <w:spacing w:after="0"/>
        <w:rPr>
          <w:rFonts w:asciiTheme="minorHAnsi" w:hAnsiTheme="minorHAnsi" w:cstheme="minorHAnsi"/>
        </w:rPr>
      </w:pPr>
    </w:p>
    <w:p w14:paraId="4CDAA9FD" w14:textId="77777777" w:rsidR="00840A6E" w:rsidRPr="007631E8" w:rsidRDefault="00840A6E" w:rsidP="00124170">
      <w:pPr>
        <w:pStyle w:val="Titulek"/>
        <w:tabs>
          <w:tab w:val="right" w:pos="9070"/>
        </w:tabs>
        <w:spacing w:before="0" w:after="40"/>
        <w:jc w:val="both"/>
        <w:rPr>
          <w:rFonts w:cstheme="minorHAnsi"/>
          <w:szCs w:val="24"/>
        </w:rPr>
      </w:pPr>
      <w:bookmarkStart w:id="201" w:name="_Toc520714668"/>
      <w:bookmarkStart w:id="202" w:name="_Toc8984875"/>
      <w:bookmarkStart w:id="203" w:name="_Toc69401725"/>
      <w:bookmarkStart w:id="204" w:name="_Toc101336492"/>
      <w:r w:rsidRPr="007631E8">
        <w:rPr>
          <w:rFonts w:cstheme="minorHAnsi"/>
          <w:szCs w:val="24"/>
        </w:rPr>
        <w:t>Tabulka č.</w:t>
      </w:r>
      <w:r>
        <w:rPr>
          <w:rFonts w:cstheme="minorHAnsi"/>
          <w:szCs w:val="24"/>
        </w:rPr>
        <w:t xml:space="preserve"> 42</w:t>
      </w:r>
      <w:r w:rsidRPr="007631E8">
        <w:rPr>
          <w:rFonts w:cstheme="minorHAnsi"/>
          <w:szCs w:val="24"/>
        </w:rPr>
        <w:t>: Podíl příspěvku na provoz na výnosech z transferů PO (účet 671</w:t>
      </w:r>
      <w:bookmarkEnd w:id="201"/>
      <w:bookmarkEnd w:id="202"/>
      <w:r w:rsidR="00A37B6F">
        <w:rPr>
          <w:rFonts w:cstheme="minorHAnsi"/>
          <w:szCs w:val="24"/>
        </w:rPr>
        <w:t xml:space="preserve">) </w:t>
      </w:r>
      <w:r w:rsidR="00E211B4">
        <w:rPr>
          <w:rFonts w:cstheme="minorHAnsi"/>
          <w:szCs w:val="24"/>
        </w:rPr>
        <w:tab/>
      </w:r>
      <w:r w:rsidR="00A37B6F">
        <w:rPr>
          <w:rFonts w:cstheme="minorHAnsi"/>
          <w:szCs w:val="24"/>
        </w:rPr>
        <w:t>(</w:t>
      </w:r>
      <w:r w:rsidRPr="007631E8">
        <w:rPr>
          <w:rFonts w:cstheme="minorHAnsi"/>
          <w:szCs w:val="24"/>
        </w:rPr>
        <w:t>v %)</w:t>
      </w:r>
      <w:bookmarkEnd w:id="203"/>
      <w:bookmarkEnd w:id="204"/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260"/>
        <w:gridCol w:w="992"/>
        <w:gridCol w:w="993"/>
        <w:gridCol w:w="992"/>
        <w:gridCol w:w="992"/>
        <w:gridCol w:w="992"/>
      </w:tblGrid>
      <w:tr w:rsidR="00840A6E" w:rsidRPr="005B5B16" w14:paraId="5958666F" w14:textId="77777777" w:rsidTr="007F70AA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7BB83316" w14:textId="77777777" w:rsidR="00840A6E" w:rsidRPr="005B5B16" w:rsidRDefault="00840A6E" w:rsidP="007F70AA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IČO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48CCD93" w14:textId="77777777" w:rsidR="00840A6E" w:rsidRPr="005B5B16" w:rsidRDefault="00840A6E" w:rsidP="007F70AA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6"/>
                <w:szCs w:val="16"/>
                <w:lang w:eastAsia="cs-CZ"/>
              </w:rPr>
              <w:t>Účetní jednotka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8B7608A" w14:textId="77777777" w:rsidR="00840A6E" w:rsidRPr="005B5B16" w:rsidRDefault="00840A6E" w:rsidP="007F70AA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DFF4354" w14:textId="77777777" w:rsidR="00840A6E" w:rsidRPr="005B5B16" w:rsidRDefault="00840A6E" w:rsidP="007F70AA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4C6EC5F" w14:textId="77777777" w:rsidR="00840A6E" w:rsidRPr="005B5B16" w:rsidRDefault="00840A6E" w:rsidP="007F70AA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1E66BFEC" w14:textId="77777777" w:rsidR="00840A6E" w:rsidRPr="005B5B16" w:rsidRDefault="00840A6E" w:rsidP="007F70AA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66DD782E" w14:textId="77777777" w:rsidR="00840A6E" w:rsidRPr="005B5B16" w:rsidRDefault="00840A6E" w:rsidP="007F70AA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2021</w:t>
            </w:r>
          </w:p>
        </w:tc>
      </w:tr>
      <w:tr w:rsidR="00840A6E" w:rsidRPr="005B5B16" w14:paraId="7E93783C" w14:textId="77777777" w:rsidTr="007F70AA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957B" w14:textId="77777777" w:rsidR="00840A6E" w:rsidRPr="005B5B16" w:rsidRDefault="00840A6E" w:rsidP="007F70AA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65737393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94B66" w14:textId="77777777" w:rsidR="00840A6E" w:rsidRPr="005B5B16" w:rsidRDefault="00840A6E" w:rsidP="007F70AA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Bytová správa Ministerstva vnitra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E7F57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80D09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909B5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62CC2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FFDAB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100,00</w:t>
            </w:r>
          </w:p>
        </w:tc>
      </w:tr>
      <w:tr w:rsidR="00840A6E" w:rsidRPr="005B5B16" w14:paraId="0B06E5AB" w14:textId="77777777" w:rsidTr="007F70AA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A462" w14:textId="77777777" w:rsidR="00840A6E" w:rsidRPr="005B5B16" w:rsidRDefault="00840A6E" w:rsidP="007F70AA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70890293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736EC" w14:textId="77777777" w:rsidR="00840A6E" w:rsidRPr="005B5B16" w:rsidRDefault="00840A6E" w:rsidP="007F70AA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Institut pro veřejnou správu Praha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29DD4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D9A4A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51124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F64E0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DB433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100,00</w:t>
            </w:r>
          </w:p>
        </w:tc>
      </w:tr>
      <w:tr w:rsidR="00840A6E" w:rsidRPr="005B5B16" w14:paraId="745040D9" w14:textId="77777777" w:rsidTr="007F70AA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7C22" w14:textId="77777777" w:rsidR="00840A6E" w:rsidRPr="005B5B16" w:rsidRDefault="00840A6E" w:rsidP="007F70AA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60498005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7E1DE" w14:textId="77777777" w:rsidR="00840A6E" w:rsidRPr="005B5B16" w:rsidRDefault="00840A6E" w:rsidP="007F70AA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Tiskárna Ministerstva vnitra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0E05B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BF3AD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00DFC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99,75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56A19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99,09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3E39F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98,98</w:t>
            </w:r>
          </w:p>
        </w:tc>
      </w:tr>
      <w:tr w:rsidR="00840A6E" w:rsidRPr="005B5B16" w14:paraId="3D9FCF66" w14:textId="77777777" w:rsidTr="007F70AA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BFF0" w14:textId="77777777" w:rsidR="00840A6E" w:rsidRPr="005B5B16" w:rsidRDefault="00840A6E" w:rsidP="007F70AA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67779999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444D0" w14:textId="77777777" w:rsidR="00840A6E" w:rsidRPr="005B5B16" w:rsidRDefault="00840A6E" w:rsidP="007F70AA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Zařízení služeb pro Ministerstvo vnitra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0A53F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038E1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98,45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2E527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E0C11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99,98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1CE99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  <w:r w:rsidRPr="005B5B16">
              <w:rPr>
                <w:rFonts w:cstheme="minorHAnsi"/>
                <w:sz w:val="16"/>
                <w:szCs w:val="16"/>
              </w:rPr>
              <w:t>99,98</w:t>
            </w:r>
          </w:p>
        </w:tc>
      </w:tr>
      <w:tr w:rsidR="00840A6E" w:rsidRPr="005B5B16" w14:paraId="6E4E3809" w14:textId="77777777" w:rsidTr="007F70AA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36E453CC" w14:textId="708D543D" w:rsidR="0081739D" w:rsidRDefault="00840A6E" w:rsidP="0081739D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 xml:space="preserve">Podíl příspěvku na provoz na výnosech z transferů PO </w:t>
            </w:r>
          </w:p>
          <w:p w14:paraId="706F877B" w14:textId="77777777" w:rsidR="00840A6E" w:rsidRPr="005B5B16" w:rsidRDefault="00840A6E" w:rsidP="00124170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(účet 671)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01AD79BD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77240B78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98,70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3CD8E332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99,99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6790D598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99,94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3A5F1FA8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5B5B16">
              <w:rPr>
                <w:rFonts w:cstheme="minorHAnsi"/>
                <w:b/>
                <w:sz w:val="16"/>
                <w:szCs w:val="16"/>
              </w:rPr>
              <w:t>99,94</w:t>
            </w:r>
          </w:p>
        </w:tc>
      </w:tr>
    </w:tbl>
    <w:p w14:paraId="49C8A076" w14:textId="327AA7C5" w:rsidR="00840A6E" w:rsidRPr="007F70AA" w:rsidRDefault="00840A6E" w:rsidP="007F70AA">
      <w:pPr>
        <w:pStyle w:val="Zdroj"/>
        <w:spacing w:before="40"/>
        <w:jc w:val="both"/>
        <w:rPr>
          <w:rFonts w:asciiTheme="minorHAnsi" w:hAnsiTheme="minorHAnsi"/>
          <w:i w:val="0"/>
        </w:rPr>
      </w:pPr>
      <w:bookmarkStart w:id="205" w:name="_Toc520715188"/>
      <w:r w:rsidRPr="007F70AA">
        <w:rPr>
          <w:rFonts w:asciiTheme="minorHAnsi" w:hAnsiTheme="minorHAnsi"/>
          <w:b/>
          <w:i w:val="0"/>
        </w:rPr>
        <w:t xml:space="preserve">Zdroj: </w:t>
      </w:r>
      <w:r w:rsidRPr="007F70AA">
        <w:rPr>
          <w:rFonts w:asciiTheme="minorHAnsi" w:hAnsiTheme="minorHAnsi"/>
          <w:i w:val="0"/>
        </w:rPr>
        <w:t xml:space="preserve">CSÚIS, </w:t>
      </w:r>
      <w:r w:rsidR="0081739D">
        <w:rPr>
          <w:rFonts w:asciiTheme="minorHAnsi" w:hAnsiTheme="minorHAnsi"/>
          <w:i w:val="0"/>
        </w:rPr>
        <w:t>I</w:t>
      </w:r>
      <w:r w:rsidRPr="007F70AA">
        <w:rPr>
          <w:rFonts w:asciiTheme="minorHAnsi" w:hAnsiTheme="minorHAnsi"/>
          <w:i w:val="0"/>
        </w:rPr>
        <w:t xml:space="preserve">ISSP-CSÚIS – výkaz </w:t>
      </w:r>
      <w:r w:rsidR="0081739D">
        <w:rPr>
          <w:rFonts w:asciiTheme="minorHAnsi" w:hAnsiTheme="minorHAnsi"/>
          <w:iCs/>
        </w:rPr>
        <w:t>p</w:t>
      </w:r>
      <w:r w:rsidRPr="007F70AA">
        <w:rPr>
          <w:rFonts w:asciiTheme="minorHAnsi" w:hAnsiTheme="minorHAnsi"/>
          <w:iCs/>
        </w:rPr>
        <w:t>řehled o rozpočtu SPO</w:t>
      </w:r>
      <w:r w:rsidRPr="007F70AA">
        <w:rPr>
          <w:rFonts w:asciiTheme="minorHAnsi" w:hAnsiTheme="minorHAnsi"/>
          <w:i w:val="0"/>
        </w:rPr>
        <w:t xml:space="preserve"> – část II (údaje ze sloupce </w:t>
      </w:r>
      <w:r w:rsidRPr="00124170">
        <w:rPr>
          <w:rFonts w:asciiTheme="minorHAnsi" w:hAnsiTheme="minorHAnsi"/>
        </w:rPr>
        <w:t>Skutečnost minulého roku v Kč</w:t>
      </w:r>
      <w:r w:rsidRPr="007F70AA">
        <w:rPr>
          <w:rFonts w:asciiTheme="minorHAnsi" w:hAnsiTheme="minorHAnsi"/>
          <w:i w:val="0"/>
        </w:rPr>
        <w:t>)</w:t>
      </w:r>
      <w:r w:rsidR="0081739D">
        <w:rPr>
          <w:rFonts w:asciiTheme="minorHAnsi" w:hAnsiTheme="minorHAnsi"/>
          <w:i w:val="0"/>
        </w:rPr>
        <w:t>;</w:t>
      </w:r>
      <w:r w:rsidRPr="007F70AA">
        <w:rPr>
          <w:rFonts w:asciiTheme="minorHAnsi" w:hAnsiTheme="minorHAnsi"/>
        </w:rPr>
        <w:t xml:space="preserve"> </w:t>
      </w:r>
      <w:r w:rsidRPr="007F70AA">
        <w:rPr>
          <w:rFonts w:asciiTheme="minorHAnsi" w:hAnsiTheme="minorHAnsi"/>
          <w:i w:val="0"/>
        </w:rPr>
        <w:t>výpočet NKÚ.</w:t>
      </w:r>
    </w:p>
    <w:bookmarkEnd w:id="205"/>
    <w:p w14:paraId="30C0BDFD" w14:textId="77777777" w:rsidR="00840A6E" w:rsidRPr="007F70AA" w:rsidRDefault="00840A6E" w:rsidP="007F70AA">
      <w:pPr>
        <w:spacing w:after="0"/>
        <w:rPr>
          <w:rFonts w:asciiTheme="minorHAnsi" w:hAnsiTheme="minorHAnsi" w:cstheme="minorHAnsi"/>
        </w:rPr>
      </w:pPr>
    </w:p>
    <w:p w14:paraId="6D4554B2" w14:textId="77777777" w:rsidR="00840A6E" w:rsidRPr="007631E8" w:rsidRDefault="00840A6E" w:rsidP="00124170">
      <w:pPr>
        <w:pStyle w:val="Titulek"/>
        <w:tabs>
          <w:tab w:val="right" w:pos="9070"/>
        </w:tabs>
        <w:spacing w:before="0" w:after="40"/>
        <w:ind w:left="1474" w:hanging="1474"/>
        <w:jc w:val="both"/>
        <w:rPr>
          <w:rFonts w:cstheme="minorHAnsi"/>
          <w:szCs w:val="24"/>
        </w:rPr>
      </w:pPr>
      <w:bookmarkStart w:id="206" w:name="_Toc8984876"/>
      <w:bookmarkStart w:id="207" w:name="_Toc520714669"/>
      <w:bookmarkStart w:id="208" w:name="_Toc69401726"/>
      <w:bookmarkStart w:id="209" w:name="_Toc101336493"/>
      <w:r w:rsidRPr="007631E8">
        <w:rPr>
          <w:rFonts w:cstheme="minorHAnsi"/>
          <w:szCs w:val="24"/>
        </w:rPr>
        <w:t>Tabulka č.</w:t>
      </w:r>
      <w:r>
        <w:rPr>
          <w:rFonts w:cstheme="minorHAnsi"/>
          <w:szCs w:val="24"/>
        </w:rPr>
        <w:t xml:space="preserve"> 43</w:t>
      </w:r>
      <w:r w:rsidRPr="007631E8">
        <w:rPr>
          <w:rFonts w:cstheme="minorHAnsi"/>
          <w:szCs w:val="24"/>
        </w:rPr>
        <w:t xml:space="preserve">: </w:t>
      </w:r>
      <w:r w:rsidR="0081739D">
        <w:rPr>
          <w:rFonts w:cstheme="minorHAnsi"/>
          <w:szCs w:val="24"/>
        </w:rPr>
        <w:tab/>
      </w:r>
      <w:r w:rsidRPr="007631E8">
        <w:rPr>
          <w:rFonts w:cstheme="minorHAnsi"/>
          <w:szCs w:val="24"/>
        </w:rPr>
        <w:t>Po</w:t>
      </w:r>
      <w:r w:rsidR="00A37B6F">
        <w:rPr>
          <w:rFonts w:cstheme="minorHAnsi"/>
          <w:szCs w:val="24"/>
        </w:rPr>
        <w:t xml:space="preserve">díl </w:t>
      </w:r>
      <w:r w:rsidRPr="007631E8">
        <w:rPr>
          <w:rFonts w:cstheme="minorHAnsi"/>
          <w:szCs w:val="24"/>
        </w:rPr>
        <w:t>příspěvku na provoz</w:t>
      </w:r>
      <w:r w:rsidR="00A37B6F">
        <w:rPr>
          <w:rFonts w:cstheme="minorHAnsi"/>
          <w:szCs w:val="24"/>
        </w:rPr>
        <w:t xml:space="preserve"> na</w:t>
      </w:r>
      <w:r w:rsidRPr="007631E8">
        <w:rPr>
          <w:rFonts w:cstheme="minorHAnsi"/>
          <w:szCs w:val="24"/>
        </w:rPr>
        <w:t> celkový</w:t>
      </w:r>
      <w:r w:rsidR="00A37B6F">
        <w:rPr>
          <w:rFonts w:cstheme="minorHAnsi"/>
          <w:szCs w:val="24"/>
        </w:rPr>
        <w:t>ch</w:t>
      </w:r>
      <w:r w:rsidRPr="007631E8">
        <w:rPr>
          <w:rFonts w:cstheme="minorHAnsi"/>
          <w:szCs w:val="24"/>
        </w:rPr>
        <w:t xml:space="preserve"> výnos</w:t>
      </w:r>
      <w:r w:rsidR="00A37B6F">
        <w:rPr>
          <w:rFonts w:cstheme="minorHAnsi"/>
          <w:szCs w:val="24"/>
        </w:rPr>
        <w:t>ech</w:t>
      </w:r>
      <w:r w:rsidRPr="007631E8">
        <w:rPr>
          <w:rFonts w:cstheme="minorHAnsi"/>
          <w:szCs w:val="24"/>
        </w:rPr>
        <w:t xml:space="preserve"> a </w:t>
      </w:r>
      <w:r w:rsidR="00A37B6F">
        <w:rPr>
          <w:rFonts w:cstheme="minorHAnsi"/>
          <w:szCs w:val="24"/>
        </w:rPr>
        <w:t>na</w:t>
      </w:r>
      <w:r w:rsidRPr="007631E8">
        <w:rPr>
          <w:rFonts w:cstheme="minorHAnsi"/>
          <w:szCs w:val="24"/>
        </w:rPr>
        <w:t> výnos</w:t>
      </w:r>
      <w:r w:rsidR="00A37B6F">
        <w:rPr>
          <w:rFonts w:cstheme="minorHAnsi"/>
          <w:szCs w:val="24"/>
        </w:rPr>
        <w:t>ech</w:t>
      </w:r>
      <w:r w:rsidRPr="007631E8">
        <w:rPr>
          <w:rFonts w:cstheme="minorHAnsi"/>
          <w:szCs w:val="24"/>
        </w:rPr>
        <w:t xml:space="preserve"> z transferů</w:t>
      </w:r>
      <w:bookmarkEnd w:id="206"/>
      <w:r w:rsidRPr="007631E8">
        <w:rPr>
          <w:rFonts w:cstheme="minorHAnsi"/>
          <w:szCs w:val="24"/>
        </w:rPr>
        <w:t xml:space="preserve"> (za všechny PO kapitol</w:t>
      </w:r>
      <w:r w:rsidR="00A37B6F">
        <w:rPr>
          <w:rFonts w:cstheme="minorHAnsi"/>
          <w:szCs w:val="24"/>
        </w:rPr>
        <w:t>y</w:t>
      </w:r>
      <w:r w:rsidRPr="007631E8">
        <w:rPr>
          <w:rFonts w:cstheme="minorHAnsi"/>
          <w:szCs w:val="24"/>
        </w:rPr>
        <w:t xml:space="preserve"> 314</w:t>
      </w:r>
      <w:bookmarkEnd w:id="207"/>
      <w:r w:rsidR="00A37B6F">
        <w:rPr>
          <w:rFonts w:cstheme="minorHAnsi"/>
          <w:szCs w:val="24"/>
        </w:rPr>
        <w:t>)</w:t>
      </w:r>
      <w:r w:rsidR="00A07476">
        <w:rPr>
          <w:rFonts w:cstheme="minorHAnsi"/>
          <w:szCs w:val="24"/>
        </w:rPr>
        <w:t xml:space="preserve"> </w:t>
      </w:r>
      <w:r w:rsidR="0081739D">
        <w:rPr>
          <w:rFonts w:cstheme="minorHAnsi"/>
          <w:szCs w:val="24"/>
        </w:rPr>
        <w:tab/>
      </w:r>
      <w:r w:rsidR="00A37B6F">
        <w:rPr>
          <w:rFonts w:cstheme="minorHAnsi"/>
          <w:szCs w:val="24"/>
        </w:rPr>
        <w:t>(</w:t>
      </w:r>
      <w:r w:rsidRPr="007631E8">
        <w:rPr>
          <w:rFonts w:cstheme="minorHAnsi"/>
          <w:szCs w:val="24"/>
        </w:rPr>
        <w:t>v %)</w:t>
      </w:r>
      <w:bookmarkEnd w:id="208"/>
      <w:bookmarkEnd w:id="209"/>
    </w:p>
    <w:tbl>
      <w:tblPr>
        <w:tblW w:w="499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3"/>
        <w:gridCol w:w="1195"/>
        <w:gridCol w:w="1194"/>
        <w:gridCol w:w="1194"/>
        <w:gridCol w:w="1190"/>
        <w:gridCol w:w="1190"/>
      </w:tblGrid>
      <w:tr w:rsidR="00840A6E" w:rsidRPr="005B5B16" w14:paraId="06EFC7C0" w14:textId="77777777" w:rsidTr="007C6483">
        <w:trPr>
          <w:trHeight w:val="255"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7CF1CF0" w14:textId="77777777" w:rsidR="00840A6E" w:rsidRPr="005B5B16" w:rsidRDefault="00840A6E" w:rsidP="007F70AA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F95E8CB" w14:textId="77777777" w:rsidR="00840A6E" w:rsidRPr="005B5B16" w:rsidRDefault="00840A6E" w:rsidP="007F70AA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2017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510AA22" w14:textId="77777777" w:rsidR="00840A6E" w:rsidRPr="005B5B16" w:rsidRDefault="00840A6E" w:rsidP="007F70AA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2018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B5BB3E4" w14:textId="77777777" w:rsidR="00840A6E" w:rsidRPr="005B5B16" w:rsidRDefault="00840A6E" w:rsidP="007F70AA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2019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68110DFD" w14:textId="77777777" w:rsidR="00840A6E" w:rsidRPr="005B5B16" w:rsidRDefault="00840A6E" w:rsidP="007F70AA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2020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71528CC8" w14:textId="77777777" w:rsidR="00840A6E" w:rsidRPr="005B5B16" w:rsidRDefault="00840A6E" w:rsidP="007F70AA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2021</w:t>
            </w:r>
          </w:p>
        </w:tc>
      </w:tr>
      <w:tr w:rsidR="00840A6E" w:rsidRPr="005B5B16" w14:paraId="4895520F" w14:textId="77777777" w:rsidTr="007C6483">
        <w:trPr>
          <w:trHeight w:val="255"/>
        </w:trPr>
        <w:tc>
          <w:tcPr>
            <w:tcW w:w="1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EC43A" w14:textId="77777777" w:rsidR="00840A6E" w:rsidRPr="005B5B16" w:rsidRDefault="00840A6E" w:rsidP="007F70AA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Příspěvek na provoz / celkové výnosy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AB6BF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73,78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17069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76,55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260BB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79,32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5D80C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79,51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E36B2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79,15</w:t>
            </w:r>
          </w:p>
        </w:tc>
      </w:tr>
      <w:tr w:rsidR="00840A6E" w:rsidRPr="005B5B16" w14:paraId="7E3F6C63" w14:textId="77777777" w:rsidTr="007C6483">
        <w:trPr>
          <w:trHeight w:val="255"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9EBFB" w14:textId="77777777" w:rsidR="00840A6E" w:rsidRPr="005B5B16" w:rsidRDefault="00840A6E" w:rsidP="007F70AA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Příspěvek na provoz / výnosy z transferů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ED08E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100,00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39F4B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98,70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2D392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99,99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B3AEB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99,94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009A9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99,94</w:t>
            </w:r>
          </w:p>
        </w:tc>
      </w:tr>
    </w:tbl>
    <w:p w14:paraId="622E038E" w14:textId="77777777" w:rsidR="00840A6E" w:rsidRPr="007F70AA" w:rsidRDefault="00840A6E" w:rsidP="007F70AA">
      <w:pPr>
        <w:pStyle w:val="Zdroj"/>
        <w:spacing w:before="40"/>
        <w:rPr>
          <w:rFonts w:asciiTheme="minorHAnsi" w:hAnsiTheme="minorHAnsi"/>
          <w:i w:val="0"/>
        </w:rPr>
      </w:pPr>
      <w:bookmarkStart w:id="210" w:name="_Toc520715189"/>
      <w:r w:rsidRPr="007F70AA">
        <w:rPr>
          <w:rFonts w:asciiTheme="minorHAnsi" w:hAnsiTheme="minorHAnsi"/>
          <w:b/>
          <w:i w:val="0"/>
        </w:rPr>
        <w:t xml:space="preserve">Zdroj: </w:t>
      </w:r>
      <w:r w:rsidR="00A37B6F" w:rsidRPr="00C234CE">
        <w:rPr>
          <w:rFonts w:asciiTheme="minorHAnsi" w:hAnsiTheme="minorHAnsi"/>
          <w:bCs/>
          <w:i w:val="0"/>
        </w:rPr>
        <w:t>data získaná v průběhu kontroly;</w:t>
      </w:r>
      <w:r w:rsidR="00A37B6F">
        <w:rPr>
          <w:rFonts w:asciiTheme="minorHAnsi" w:hAnsiTheme="minorHAnsi"/>
          <w:b/>
          <w:i w:val="0"/>
        </w:rPr>
        <w:t xml:space="preserve"> </w:t>
      </w:r>
      <w:r w:rsidRPr="007F70AA">
        <w:rPr>
          <w:rFonts w:asciiTheme="minorHAnsi" w:hAnsiTheme="minorHAnsi"/>
          <w:i w:val="0"/>
        </w:rPr>
        <w:t>výpočet NKÚ.</w:t>
      </w:r>
    </w:p>
    <w:p w14:paraId="1A4B4684" w14:textId="77777777" w:rsidR="00840A6E" w:rsidRPr="007F70AA" w:rsidRDefault="00840A6E" w:rsidP="007F70AA">
      <w:pPr>
        <w:pStyle w:val="Zdroj"/>
        <w:spacing w:before="0"/>
        <w:rPr>
          <w:rFonts w:asciiTheme="minorHAnsi" w:hAnsiTheme="minorHAnsi"/>
          <w:b/>
          <w:bCs/>
          <w:i w:val="0"/>
          <w:sz w:val="24"/>
        </w:rPr>
      </w:pPr>
    </w:p>
    <w:p w14:paraId="54DCE6F5" w14:textId="77777777" w:rsidR="00840A6E" w:rsidRPr="007631E8" w:rsidRDefault="00840A6E" w:rsidP="007F70AA">
      <w:pPr>
        <w:pStyle w:val="Titulek"/>
        <w:spacing w:before="0" w:after="40"/>
        <w:jc w:val="both"/>
        <w:rPr>
          <w:rFonts w:cstheme="minorHAnsi"/>
          <w:szCs w:val="24"/>
        </w:rPr>
      </w:pPr>
      <w:bookmarkStart w:id="211" w:name="_Toc520714670"/>
      <w:bookmarkStart w:id="212" w:name="_Toc8984877"/>
      <w:bookmarkStart w:id="213" w:name="_Toc69401727"/>
      <w:bookmarkStart w:id="214" w:name="_Toc101336494"/>
      <w:bookmarkEnd w:id="210"/>
      <w:r w:rsidRPr="007631E8">
        <w:rPr>
          <w:rFonts w:cstheme="minorHAnsi"/>
          <w:szCs w:val="24"/>
        </w:rPr>
        <w:lastRenderedPageBreak/>
        <w:t>Tabulka č.</w:t>
      </w:r>
      <w:r>
        <w:rPr>
          <w:rFonts w:cstheme="minorHAnsi"/>
          <w:szCs w:val="24"/>
        </w:rPr>
        <w:t xml:space="preserve"> 44</w:t>
      </w:r>
      <w:r w:rsidRPr="007631E8">
        <w:rPr>
          <w:rFonts w:cstheme="minorHAnsi"/>
          <w:szCs w:val="24"/>
        </w:rPr>
        <w:t>: Tempo růstu výnosů a příspěvku na provoz PO kapitoly 3</w:t>
      </w:r>
      <w:bookmarkEnd w:id="211"/>
      <w:bookmarkEnd w:id="212"/>
      <w:bookmarkEnd w:id="213"/>
      <w:r w:rsidRPr="007631E8">
        <w:rPr>
          <w:rFonts w:cstheme="minorHAnsi"/>
          <w:szCs w:val="24"/>
        </w:rPr>
        <w:t>14</w:t>
      </w:r>
      <w:bookmarkEnd w:id="214"/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417"/>
        <w:gridCol w:w="1418"/>
        <w:gridCol w:w="1417"/>
        <w:gridCol w:w="1418"/>
      </w:tblGrid>
      <w:tr w:rsidR="00840A6E" w:rsidRPr="005B5B16" w14:paraId="03886EE5" w14:textId="77777777" w:rsidTr="007F70AA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99516E7" w14:textId="77777777" w:rsidR="00840A6E" w:rsidRPr="005B5B16" w:rsidRDefault="00840A6E" w:rsidP="007F70AA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Tempo růstu (absolutní změna)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79C63DA" w14:textId="505119DD" w:rsidR="00840A6E" w:rsidRPr="00281BAF" w:rsidRDefault="00840A6E" w:rsidP="007F70AA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281BAF">
              <w:rPr>
                <w:rFonts w:cstheme="minorHAnsi"/>
                <w:b/>
                <w:sz w:val="18"/>
                <w:szCs w:val="18"/>
              </w:rPr>
              <w:t>2018</w:t>
            </w:r>
            <w:r w:rsidR="0081739D" w:rsidRPr="00281BAF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81739D" w:rsidRPr="00124170">
              <w:rPr>
                <w:rFonts w:cs="Calibri"/>
                <w:b/>
                <w:sz w:val="18"/>
                <w:szCs w:val="18"/>
              </w:rPr>
              <w:t>−</w:t>
            </w:r>
            <w:r w:rsidR="0081739D" w:rsidRPr="00281BAF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281BAF">
              <w:rPr>
                <w:rFonts w:cstheme="minorHAnsi"/>
                <w:b/>
                <w:sz w:val="18"/>
                <w:szCs w:val="18"/>
              </w:rPr>
              <w:t>2017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5AF640F" w14:textId="525A20D4" w:rsidR="00840A6E" w:rsidRPr="00281BAF" w:rsidRDefault="00840A6E" w:rsidP="007F70AA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81739D">
              <w:rPr>
                <w:rFonts w:cstheme="minorHAnsi"/>
                <w:b/>
                <w:sz w:val="18"/>
                <w:szCs w:val="18"/>
              </w:rPr>
              <w:t>2019</w:t>
            </w:r>
            <w:r w:rsidR="0081739D" w:rsidRPr="0081739D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81739D" w:rsidRPr="00124170">
              <w:rPr>
                <w:rFonts w:cs="Calibri"/>
                <w:b/>
                <w:sz w:val="18"/>
                <w:szCs w:val="18"/>
              </w:rPr>
              <w:t xml:space="preserve">− </w:t>
            </w:r>
            <w:r w:rsidRPr="00281BAF">
              <w:rPr>
                <w:rFonts w:cstheme="minorHAnsi"/>
                <w:b/>
                <w:sz w:val="18"/>
                <w:szCs w:val="18"/>
              </w:rPr>
              <w:t>2018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249E6054" w14:textId="66AA5448" w:rsidR="00840A6E" w:rsidRPr="00281BAF" w:rsidRDefault="00840A6E" w:rsidP="007F70AA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281BAF">
              <w:rPr>
                <w:rFonts w:cstheme="minorHAnsi"/>
                <w:b/>
                <w:sz w:val="18"/>
                <w:szCs w:val="18"/>
              </w:rPr>
              <w:t>2020</w:t>
            </w:r>
            <w:r w:rsidR="0081739D" w:rsidRPr="0081739D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81739D" w:rsidRPr="00124170">
              <w:rPr>
                <w:rFonts w:cs="Calibri"/>
                <w:b/>
                <w:sz w:val="18"/>
                <w:szCs w:val="18"/>
              </w:rPr>
              <w:t xml:space="preserve">− </w:t>
            </w:r>
            <w:r w:rsidRPr="00281BAF">
              <w:rPr>
                <w:rFonts w:cstheme="minorHAnsi"/>
                <w:b/>
                <w:sz w:val="18"/>
                <w:szCs w:val="18"/>
              </w:rPr>
              <w:t>2019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6AE237ED" w14:textId="2F70443F" w:rsidR="00840A6E" w:rsidRPr="00281BAF" w:rsidRDefault="00840A6E" w:rsidP="007F70AA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281BAF">
              <w:rPr>
                <w:rFonts w:cstheme="minorHAnsi"/>
                <w:b/>
                <w:sz w:val="18"/>
                <w:szCs w:val="18"/>
              </w:rPr>
              <w:t>2021</w:t>
            </w:r>
            <w:r w:rsidR="0081739D" w:rsidRPr="0081739D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81739D" w:rsidRPr="00124170">
              <w:rPr>
                <w:rFonts w:cs="Calibri"/>
                <w:b/>
                <w:sz w:val="18"/>
                <w:szCs w:val="18"/>
              </w:rPr>
              <w:t xml:space="preserve">− </w:t>
            </w:r>
            <w:r w:rsidRPr="00281BAF">
              <w:rPr>
                <w:rFonts w:cstheme="minorHAnsi"/>
                <w:b/>
                <w:sz w:val="18"/>
                <w:szCs w:val="18"/>
              </w:rPr>
              <w:t>2020</w:t>
            </w:r>
            <w:proofErr w:type="gramEnd"/>
          </w:p>
        </w:tc>
      </w:tr>
      <w:tr w:rsidR="00840A6E" w:rsidRPr="005B5B16" w14:paraId="1FD6A4F1" w14:textId="77777777" w:rsidTr="007F70AA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2FAF8" w14:textId="77777777" w:rsidR="00840A6E" w:rsidRPr="005B5B16" w:rsidRDefault="00840A6E" w:rsidP="007F70AA">
            <w:pPr>
              <w:spacing w:after="0"/>
              <w:rPr>
                <w:rFonts w:cstheme="minorHAnsi"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Cs/>
                <w:sz w:val="18"/>
                <w:szCs w:val="18"/>
                <w:lang w:eastAsia="cs-CZ"/>
              </w:rPr>
              <w:t>Výnosy celkem (v Kč)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2C348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15 771 069,86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A43B3" w14:textId="00F6E28F" w:rsidR="00840A6E" w:rsidRPr="005B5B16" w:rsidRDefault="0081739D" w:rsidP="007F70AA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60002F">
              <w:rPr>
                <w:rFonts w:cs="Calibri"/>
                <w:sz w:val="18"/>
                <w:szCs w:val="18"/>
              </w:rPr>
              <w:t>−</w:t>
            </w:r>
            <w:r w:rsidR="00840A6E" w:rsidRPr="005B5B16">
              <w:rPr>
                <w:rFonts w:cstheme="minorHAnsi"/>
                <w:sz w:val="18"/>
                <w:szCs w:val="18"/>
              </w:rPr>
              <w:t>13 987 370,88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3F9C1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50 185 061,94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11EC9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82 837 467,22</w:t>
            </w:r>
          </w:p>
        </w:tc>
      </w:tr>
      <w:tr w:rsidR="00840A6E" w:rsidRPr="005B5B16" w14:paraId="4F855469" w14:textId="77777777" w:rsidTr="007F70AA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27391" w14:textId="77777777" w:rsidR="00840A6E" w:rsidRPr="005B5B16" w:rsidRDefault="00840A6E" w:rsidP="007F70AA">
            <w:pPr>
              <w:spacing w:after="0"/>
              <w:rPr>
                <w:rFonts w:cstheme="minorHAnsi"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Cs/>
                <w:sz w:val="18"/>
                <w:szCs w:val="18"/>
                <w:lang w:eastAsia="cs-CZ"/>
              </w:rPr>
              <w:t>Výnosy transferové (účet 671) (v Kč)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83621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56 870 488,25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14928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9 989 779,17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07412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42 685 930,00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1CFFF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61 073 783,83</w:t>
            </w:r>
          </w:p>
        </w:tc>
      </w:tr>
      <w:tr w:rsidR="00840A6E" w:rsidRPr="005B5B16" w14:paraId="255D6212" w14:textId="77777777" w:rsidTr="007F70AA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413C4" w14:textId="77777777" w:rsidR="00840A6E" w:rsidRPr="005B5B16" w:rsidRDefault="00840A6E" w:rsidP="007F70AA">
            <w:pPr>
              <w:spacing w:after="0"/>
              <w:rPr>
                <w:rFonts w:cstheme="minorHAnsi"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Cs/>
                <w:sz w:val="18"/>
                <w:szCs w:val="18"/>
                <w:lang w:eastAsia="cs-CZ"/>
              </w:rPr>
              <w:t>Příspěvek na provoz (v Kč)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714F4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44 800 394,00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BAACF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21 949 170,00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49CB2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42 213 216,00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C15CF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61 042 342,00</w:t>
            </w:r>
          </w:p>
        </w:tc>
      </w:tr>
      <w:tr w:rsidR="00840A6E" w:rsidRPr="005B5B16" w14:paraId="09E6FCE1" w14:textId="77777777" w:rsidTr="007F70AA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0A88050A" w14:textId="77777777" w:rsidR="007F70AA" w:rsidRDefault="00840A6E" w:rsidP="007F70AA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 xml:space="preserve">Tempo růstu v % (relativní změna) </w:t>
            </w:r>
          </w:p>
          <w:p w14:paraId="1F360276" w14:textId="292C5807" w:rsidR="00840A6E" w:rsidRPr="005B5B16" w:rsidRDefault="00840A6E" w:rsidP="007F70AA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(((x+</w:t>
            </w:r>
            <w:proofErr w:type="gramStart"/>
            <w:r w:rsidRPr="005B5B16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1)</w:t>
            </w:r>
            <w:r w:rsidR="0081739D" w:rsidRPr="00124170">
              <w:rPr>
                <w:rFonts w:cs="Calibri"/>
                <w:b/>
                <w:sz w:val="18"/>
                <w:szCs w:val="18"/>
              </w:rPr>
              <w:t>−</w:t>
            </w:r>
            <w:proofErr w:type="gramEnd"/>
            <w:r w:rsidRPr="005B5B16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x)/x)</w:t>
            </w:r>
            <w:r w:rsidR="0081739D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×</w:t>
            </w:r>
            <w:r w:rsidRPr="005B5B16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76093AB0" w14:textId="2539C47F" w:rsidR="00840A6E" w:rsidRPr="005B5B16" w:rsidRDefault="00840A6E" w:rsidP="007F70AA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2018</w:t>
            </w:r>
            <w:r w:rsidR="0081739D">
              <w:rPr>
                <w:rFonts w:cstheme="minorHAnsi"/>
                <w:b/>
                <w:sz w:val="18"/>
                <w:szCs w:val="18"/>
              </w:rPr>
              <w:t>/</w:t>
            </w:r>
            <w:r w:rsidRPr="005B5B16">
              <w:rPr>
                <w:rFonts w:cstheme="minorHAnsi"/>
                <w:b/>
                <w:sz w:val="18"/>
                <w:szCs w:val="18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5B1D5943" w14:textId="343403F5" w:rsidR="00840A6E" w:rsidRPr="005B5B16" w:rsidRDefault="00840A6E" w:rsidP="007F70AA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2019</w:t>
            </w:r>
            <w:r w:rsidR="0081739D">
              <w:rPr>
                <w:rFonts w:cstheme="minorHAnsi"/>
                <w:b/>
                <w:sz w:val="18"/>
                <w:szCs w:val="18"/>
              </w:rPr>
              <w:t>/</w:t>
            </w:r>
            <w:r w:rsidRPr="005B5B16">
              <w:rPr>
                <w:rFonts w:cstheme="minorHAnsi"/>
                <w:b/>
                <w:sz w:val="18"/>
                <w:szCs w:val="18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0FF64BC4" w14:textId="4A889898" w:rsidR="00840A6E" w:rsidRPr="005B5B16" w:rsidRDefault="00840A6E" w:rsidP="007F70AA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2020</w:t>
            </w:r>
            <w:r w:rsidR="0081739D">
              <w:rPr>
                <w:rFonts w:cstheme="minorHAnsi"/>
                <w:b/>
                <w:sz w:val="18"/>
                <w:szCs w:val="18"/>
              </w:rPr>
              <w:t>/</w:t>
            </w:r>
            <w:r w:rsidRPr="005B5B16">
              <w:rPr>
                <w:rFonts w:cstheme="minorHAnsi"/>
                <w:b/>
                <w:sz w:val="18"/>
                <w:szCs w:val="18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76C54B4F" w14:textId="7552E575" w:rsidR="00840A6E" w:rsidRPr="005B5B16" w:rsidRDefault="00840A6E" w:rsidP="007F70AA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B5B16">
              <w:rPr>
                <w:rFonts w:cstheme="minorHAnsi"/>
                <w:b/>
                <w:sz w:val="18"/>
                <w:szCs w:val="18"/>
              </w:rPr>
              <w:t>2021</w:t>
            </w:r>
            <w:r w:rsidR="0081739D">
              <w:rPr>
                <w:rFonts w:cstheme="minorHAnsi"/>
                <w:b/>
                <w:sz w:val="18"/>
                <w:szCs w:val="18"/>
              </w:rPr>
              <w:t>/</w:t>
            </w:r>
            <w:r w:rsidRPr="005B5B16">
              <w:rPr>
                <w:rFonts w:cstheme="minorHAnsi"/>
                <w:b/>
                <w:sz w:val="18"/>
                <w:szCs w:val="18"/>
              </w:rPr>
              <w:t>2020</w:t>
            </w:r>
          </w:p>
        </w:tc>
      </w:tr>
      <w:tr w:rsidR="00840A6E" w:rsidRPr="005B5B16" w14:paraId="0D866B20" w14:textId="77777777" w:rsidTr="007F70AA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FFBDB" w14:textId="77777777" w:rsidR="00840A6E" w:rsidRPr="005B5B16" w:rsidRDefault="00840A6E" w:rsidP="007F70AA">
            <w:pPr>
              <w:spacing w:after="0"/>
              <w:rPr>
                <w:rFonts w:cstheme="minorHAnsi"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Cs/>
                <w:sz w:val="18"/>
                <w:szCs w:val="18"/>
                <w:lang w:eastAsia="cs-CZ"/>
              </w:rPr>
              <w:t>Výnosy celkem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E02A3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1,34</w:t>
            </w:r>
            <w:r w:rsidR="002059FD">
              <w:rPr>
                <w:rFonts w:cstheme="minorHAnsi"/>
                <w:sz w:val="18"/>
                <w:szCs w:val="18"/>
              </w:rPr>
              <w:t xml:space="preserve"> </w:t>
            </w:r>
            <w:r w:rsidRPr="005B5B16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7E748" w14:textId="0839A0C2" w:rsidR="00840A6E" w:rsidRPr="005B5B16" w:rsidRDefault="0081739D" w:rsidP="007F70AA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60002F">
              <w:rPr>
                <w:rFonts w:cs="Calibri"/>
                <w:sz w:val="18"/>
                <w:szCs w:val="18"/>
              </w:rPr>
              <w:t>−</w:t>
            </w:r>
            <w:r w:rsidR="00840A6E" w:rsidRPr="005B5B16">
              <w:rPr>
                <w:rFonts w:cstheme="minorHAnsi"/>
                <w:sz w:val="18"/>
                <w:szCs w:val="18"/>
              </w:rPr>
              <w:t>1,17</w:t>
            </w:r>
            <w:r w:rsidR="002059FD">
              <w:rPr>
                <w:rFonts w:cstheme="minorHAnsi"/>
                <w:sz w:val="18"/>
                <w:szCs w:val="18"/>
              </w:rPr>
              <w:t xml:space="preserve"> </w:t>
            </w:r>
            <w:r w:rsidR="00840A6E" w:rsidRPr="005B5B16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0743E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4,25</w:t>
            </w:r>
            <w:r w:rsidR="002059FD">
              <w:rPr>
                <w:rFonts w:cstheme="minorHAnsi"/>
                <w:sz w:val="18"/>
                <w:szCs w:val="18"/>
              </w:rPr>
              <w:t xml:space="preserve"> </w:t>
            </w:r>
            <w:r w:rsidRPr="005B5B16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86C7A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6,73</w:t>
            </w:r>
            <w:r w:rsidR="002059FD">
              <w:rPr>
                <w:rFonts w:cstheme="minorHAnsi"/>
                <w:sz w:val="18"/>
                <w:szCs w:val="18"/>
              </w:rPr>
              <w:t xml:space="preserve"> </w:t>
            </w:r>
            <w:r w:rsidRPr="005B5B16">
              <w:rPr>
                <w:rFonts w:cstheme="minorHAnsi"/>
                <w:sz w:val="18"/>
                <w:szCs w:val="18"/>
              </w:rPr>
              <w:t>%</w:t>
            </w:r>
          </w:p>
        </w:tc>
      </w:tr>
      <w:tr w:rsidR="00840A6E" w:rsidRPr="005B5B16" w14:paraId="755F0560" w14:textId="77777777" w:rsidTr="007F70AA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86631" w14:textId="77777777" w:rsidR="00840A6E" w:rsidRPr="005B5B16" w:rsidRDefault="00840A6E" w:rsidP="007F70AA">
            <w:pPr>
              <w:spacing w:after="0"/>
              <w:rPr>
                <w:rFonts w:cstheme="minorHAnsi"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Cs/>
                <w:sz w:val="18"/>
                <w:szCs w:val="18"/>
                <w:lang w:eastAsia="cs-CZ"/>
              </w:rPr>
              <w:t>Výnosy transferové (účet 671)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54F27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6,54</w:t>
            </w:r>
            <w:r w:rsidR="002059FD">
              <w:rPr>
                <w:rFonts w:cstheme="minorHAnsi"/>
                <w:sz w:val="18"/>
                <w:szCs w:val="18"/>
              </w:rPr>
              <w:t xml:space="preserve"> </w:t>
            </w:r>
            <w:r w:rsidRPr="005B5B16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A4DA1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1,08</w:t>
            </w:r>
            <w:r w:rsidR="002059FD">
              <w:rPr>
                <w:rFonts w:cstheme="minorHAnsi"/>
                <w:sz w:val="18"/>
                <w:szCs w:val="18"/>
              </w:rPr>
              <w:t xml:space="preserve"> </w:t>
            </w:r>
            <w:r w:rsidRPr="005B5B16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0F7BF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4,56</w:t>
            </w:r>
            <w:r w:rsidR="002059FD">
              <w:rPr>
                <w:rFonts w:cstheme="minorHAnsi"/>
                <w:sz w:val="18"/>
                <w:szCs w:val="18"/>
              </w:rPr>
              <w:t xml:space="preserve"> </w:t>
            </w:r>
            <w:r w:rsidRPr="005B5B16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D478F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6,24</w:t>
            </w:r>
            <w:r w:rsidR="002059FD">
              <w:rPr>
                <w:rFonts w:cstheme="minorHAnsi"/>
                <w:sz w:val="18"/>
                <w:szCs w:val="18"/>
              </w:rPr>
              <w:t xml:space="preserve"> </w:t>
            </w:r>
            <w:r w:rsidRPr="005B5B16">
              <w:rPr>
                <w:rFonts w:cstheme="minorHAnsi"/>
                <w:sz w:val="18"/>
                <w:szCs w:val="18"/>
              </w:rPr>
              <w:t>%</w:t>
            </w:r>
          </w:p>
        </w:tc>
      </w:tr>
      <w:tr w:rsidR="00840A6E" w:rsidRPr="005B5B16" w14:paraId="137079B2" w14:textId="77777777" w:rsidTr="007F70AA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E1834" w14:textId="77777777" w:rsidR="00840A6E" w:rsidRPr="005B5B16" w:rsidRDefault="00840A6E" w:rsidP="007F70AA">
            <w:pPr>
              <w:spacing w:after="0"/>
              <w:rPr>
                <w:rFonts w:cstheme="minorHAnsi"/>
                <w:bCs/>
                <w:sz w:val="18"/>
                <w:szCs w:val="18"/>
                <w:lang w:eastAsia="cs-CZ"/>
              </w:rPr>
            </w:pPr>
            <w:r w:rsidRPr="005B5B16">
              <w:rPr>
                <w:rFonts w:cstheme="minorHAnsi"/>
                <w:bCs/>
                <w:sz w:val="18"/>
                <w:szCs w:val="18"/>
                <w:lang w:eastAsia="cs-CZ"/>
              </w:rPr>
              <w:t>Příspěvek na provoz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36520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5,15</w:t>
            </w:r>
            <w:r w:rsidR="002059FD">
              <w:rPr>
                <w:rFonts w:cstheme="minorHAnsi"/>
                <w:sz w:val="18"/>
                <w:szCs w:val="18"/>
              </w:rPr>
              <w:t xml:space="preserve"> </w:t>
            </w:r>
            <w:r w:rsidRPr="005B5B16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B3520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2,40</w:t>
            </w:r>
            <w:r w:rsidR="002059FD">
              <w:rPr>
                <w:rFonts w:cstheme="minorHAnsi"/>
                <w:sz w:val="18"/>
                <w:szCs w:val="18"/>
              </w:rPr>
              <w:t xml:space="preserve"> </w:t>
            </w:r>
            <w:r w:rsidRPr="005B5B16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1BE74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4,51</w:t>
            </w:r>
            <w:r w:rsidR="002059FD">
              <w:rPr>
                <w:rFonts w:cstheme="minorHAnsi"/>
                <w:sz w:val="18"/>
                <w:szCs w:val="18"/>
              </w:rPr>
              <w:t xml:space="preserve"> </w:t>
            </w:r>
            <w:r w:rsidRPr="005B5B16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439F6" w14:textId="77777777" w:rsidR="00840A6E" w:rsidRPr="005B5B16" w:rsidRDefault="00840A6E" w:rsidP="007F70AA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5B16">
              <w:rPr>
                <w:rFonts w:cstheme="minorHAnsi"/>
                <w:sz w:val="18"/>
                <w:szCs w:val="18"/>
              </w:rPr>
              <w:t>6,24</w:t>
            </w:r>
            <w:r w:rsidR="002059FD">
              <w:rPr>
                <w:rFonts w:cstheme="minorHAnsi"/>
                <w:sz w:val="18"/>
                <w:szCs w:val="18"/>
              </w:rPr>
              <w:t xml:space="preserve"> </w:t>
            </w:r>
            <w:r w:rsidRPr="005B5B16">
              <w:rPr>
                <w:rFonts w:cstheme="minorHAnsi"/>
                <w:sz w:val="18"/>
                <w:szCs w:val="18"/>
              </w:rPr>
              <w:t>%</w:t>
            </w:r>
          </w:p>
        </w:tc>
      </w:tr>
    </w:tbl>
    <w:p w14:paraId="5CF967A5" w14:textId="77777777" w:rsidR="00840A6E" w:rsidRPr="007F70AA" w:rsidRDefault="00840A6E" w:rsidP="007F70AA">
      <w:pPr>
        <w:pStyle w:val="Zdroj"/>
        <w:spacing w:before="40"/>
        <w:rPr>
          <w:rFonts w:asciiTheme="minorHAnsi" w:hAnsiTheme="minorHAnsi"/>
          <w:i w:val="0"/>
        </w:rPr>
      </w:pPr>
      <w:bookmarkStart w:id="215" w:name="_Toc520715190"/>
      <w:r w:rsidRPr="007F70AA">
        <w:rPr>
          <w:rFonts w:asciiTheme="minorHAnsi" w:hAnsiTheme="minorHAnsi"/>
          <w:b/>
          <w:i w:val="0"/>
        </w:rPr>
        <w:t xml:space="preserve">Zdroj: </w:t>
      </w:r>
      <w:r w:rsidR="00A37B6F" w:rsidRPr="00C234CE">
        <w:rPr>
          <w:rFonts w:asciiTheme="minorHAnsi" w:hAnsiTheme="minorHAnsi"/>
          <w:bCs/>
          <w:i w:val="0"/>
        </w:rPr>
        <w:t>data získaná v průběhu kontroly;</w:t>
      </w:r>
      <w:r w:rsidR="00A37B6F" w:rsidRPr="00124170">
        <w:rPr>
          <w:rFonts w:asciiTheme="minorHAnsi" w:hAnsiTheme="minorHAnsi"/>
          <w:i w:val="0"/>
        </w:rPr>
        <w:t xml:space="preserve"> </w:t>
      </w:r>
      <w:r w:rsidRPr="007F70AA">
        <w:rPr>
          <w:rFonts w:asciiTheme="minorHAnsi" w:hAnsiTheme="minorHAnsi"/>
          <w:i w:val="0"/>
        </w:rPr>
        <w:t>výpočet NKÚ.</w:t>
      </w:r>
    </w:p>
    <w:bookmarkEnd w:id="215"/>
    <w:p w14:paraId="670A17CE" w14:textId="77777777" w:rsidR="00076F89" w:rsidRDefault="00076F89" w:rsidP="00076F89">
      <w:pPr>
        <w:spacing w:after="160" w:line="259" w:lineRule="auto"/>
        <w:rPr>
          <w:rFonts w:cstheme="minorHAnsi"/>
          <w:b/>
        </w:rPr>
      </w:pPr>
    </w:p>
    <w:p w14:paraId="09402523" w14:textId="77777777" w:rsidR="00076F89" w:rsidRDefault="00076F89" w:rsidP="00076F89">
      <w:pPr>
        <w:spacing w:after="160" w:line="259" w:lineRule="auto"/>
        <w:rPr>
          <w:rFonts w:cstheme="minorHAnsi"/>
          <w:b/>
        </w:rPr>
      </w:pPr>
    </w:p>
    <w:p w14:paraId="7CDD6762" w14:textId="77777777" w:rsidR="00281BAF" w:rsidRDefault="00281BAF">
      <w:pPr>
        <w:spacing w:after="160" w:line="259" w:lineRule="auto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54D4193B" w14:textId="77777777" w:rsidR="00840A6E" w:rsidRPr="00AA15AA" w:rsidRDefault="00840A6E" w:rsidP="00C234CE">
      <w:pPr>
        <w:spacing w:after="160" w:line="259" w:lineRule="auto"/>
        <w:rPr>
          <w:rFonts w:cstheme="minorHAnsi"/>
          <w:b/>
        </w:rPr>
      </w:pPr>
      <w:r w:rsidRPr="00AA15AA">
        <w:rPr>
          <w:rFonts w:cstheme="minorHAnsi"/>
          <w:b/>
        </w:rPr>
        <w:lastRenderedPageBreak/>
        <w:t>Příloha č. 2</w:t>
      </w:r>
      <w:r>
        <w:rPr>
          <w:rFonts w:cstheme="minorHAnsi"/>
          <w:b/>
        </w:rPr>
        <w:t xml:space="preserve"> ke kontrolnímu závěru z kontrolní akce č. 21/27</w:t>
      </w:r>
    </w:p>
    <w:p w14:paraId="67D8C55F" w14:textId="77777777" w:rsidR="00840A6E" w:rsidRDefault="00840A6E" w:rsidP="00124170">
      <w:pPr>
        <w:tabs>
          <w:tab w:val="right" w:pos="9070"/>
        </w:tabs>
        <w:spacing w:after="40"/>
        <w:rPr>
          <w:b/>
          <w:bCs/>
          <w:iCs/>
        </w:rPr>
      </w:pPr>
      <w:r w:rsidRPr="00AA15AA">
        <w:rPr>
          <w:b/>
          <w:bCs/>
          <w:iCs/>
        </w:rPr>
        <w:t>Významné účetní operace způsobující rozdíl mezi saldem peněžních toků a výsledkem hospodaření M</w:t>
      </w:r>
      <w:r>
        <w:rPr>
          <w:b/>
          <w:bCs/>
          <w:iCs/>
        </w:rPr>
        <w:t>V</w:t>
      </w:r>
      <w:r w:rsidRPr="00AA15AA">
        <w:rPr>
          <w:b/>
          <w:bCs/>
          <w:iCs/>
        </w:rPr>
        <w:t xml:space="preserve"> k 31. prosinci 2021 </w:t>
      </w:r>
      <w:r w:rsidR="00E211B4">
        <w:rPr>
          <w:b/>
          <w:bCs/>
          <w:iCs/>
        </w:rPr>
        <w:tab/>
      </w:r>
      <w:r w:rsidRPr="00AA15AA">
        <w:rPr>
          <w:b/>
          <w:bCs/>
          <w:iCs/>
        </w:rPr>
        <w:t>(v mil. Kč)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1276"/>
        <w:gridCol w:w="1275"/>
        <w:gridCol w:w="1134"/>
      </w:tblGrid>
      <w:tr w:rsidR="00840A6E" w:rsidRPr="004E095E" w14:paraId="0A56F127" w14:textId="77777777" w:rsidTr="00A9052F">
        <w:trPr>
          <w:trHeight w:val="315"/>
        </w:trPr>
        <w:tc>
          <w:tcPr>
            <w:tcW w:w="9072" w:type="dxa"/>
            <w:gridSpan w:val="4"/>
            <w:shd w:val="clear" w:color="auto" w:fill="E5F1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18BEA8" w14:textId="77777777" w:rsidR="00840A6E" w:rsidRPr="004E095E" w:rsidRDefault="00840A6E" w:rsidP="00A9052F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  <w:t>Účetní operace způsobující rozdíl mezi příjmy a výnosy</w:t>
            </w:r>
          </w:p>
        </w:tc>
      </w:tr>
      <w:tr w:rsidR="00A9052F" w:rsidRPr="004E095E" w14:paraId="12EC2C97" w14:textId="77777777" w:rsidTr="00A9052F">
        <w:trPr>
          <w:trHeight w:val="315"/>
        </w:trPr>
        <w:tc>
          <w:tcPr>
            <w:tcW w:w="5387" w:type="dxa"/>
            <w:shd w:val="clear" w:color="auto" w:fill="E5F1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6E0889" w14:textId="77777777" w:rsidR="00840A6E" w:rsidRPr="004E095E" w:rsidRDefault="00840A6E" w:rsidP="00A9052F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  <w:t>Účetní operace</w:t>
            </w:r>
          </w:p>
        </w:tc>
        <w:tc>
          <w:tcPr>
            <w:tcW w:w="1276" w:type="dxa"/>
            <w:shd w:val="clear" w:color="auto" w:fill="E5F1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4A5669" w14:textId="77777777" w:rsidR="00840A6E" w:rsidRPr="004E095E" w:rsidRDefault="00840A6E" w:rsidP="00A9052F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  <w:t>Vliv na příjmy</w:t>
            </w:r>
          </w:p>
        </w:tc>
        <w:tc>
          <w:tcPr>
            <w:tcW w:w="1275" w:type="dxa"/>
            <w:shd w:val="clear" w:color="auto" w:fill="E5F1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E1E537" w14:textId="77777777" w:rsidR="00840A6E" w:rsidRPr="004E095E" w:rsidRDefault="00840A6E" w:rsidP="00A9052F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  <w:t>Vliv na výnosy</w:t>
            </w:r>
          </w:p>
        </w:tc>
        <w:tc>
          <w:tcPr>
            <w:tcW w:w="1134" w:type="dxa"/>
            <w:shd w:val="clear" w:color="auto" w:fill="E5F1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235E7A" w14:textId="77777777" w:rsidR="00840A6E" w:rsidRPr="004E095E" w:rsidRDefault="00840A6E" w:rsidP="00A9052F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  <w:t>Rozdíl</w:t>
            </w:r>
          </w:p>
        </w:tc>
      </w:tr>
      <w:tr w:rsidR="00A9052F" w:rsidRPr="004E095E" w14:paraId="48F6B177" w14:textId="77777777" w:rsidTr="00A9052F">
        <w:trPr>
          <w:trHeight w:val="315"/>
        </w:trPr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774E29" w14:textId="77777777" w:rsidR="00840A6E" w:rsidRPr="004E095E" w:rsidRDefault="00840A6E" w:rsidP="00A9052F">
            <w:pPr>
              <w:spacing w:after="0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Rozdíl v kurzových rozdílech (porovnání RP 2143 a SÚ 663)</w:t>
            </w:r>
          </w:p>
        </w:tc>
        <w:tc>
          <w:tcPr>
            <w:tcW w:w="12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FE424D" w14:textId="77777777" w:rsidR="00840A6E" w:rsidRPr="004E095E" w:rsidRDefault="00840A6E" w:rsidP="00A9052F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0,01</w:t>
            </w: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4261C8" w14:textId="77777777" w:rsidR="00840A6E" w:rsidRPr="004E095E" w:rsidRDefault="00840A6E" w:rsidP="00A9052F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29,73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AE1F62" w14:textId="25D8F1A5" w:rsidR="00840A6E" w:rsidRPr="004E095E" w:rsidRDefault="00E211B4" w:rsidP="00A9052F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60002F">
              <w:rPr>
                <w:rFonts w:cs="Calibri"/>
                <w:sz w:val="18"/>
                <w:szCs w:val="18"/>
              </w:rPr>
              <w:t>−</w:t>
            </w:r>
            <w:r w:rsidR="00840A6E"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29,72</w:t>
            </w:r>
          </w:p>
        </w:tc>
      </w:tr>
      <w:tr w:rsidR="00A9052F" w:rsidRPr="004E095E" w14:paraId="7DFA1F4C" w14:textId="77777777" w:rsidTr="00A9052F">
        <w:trPr>
          <w:trHeight w:val="512"/>
        </w:trPr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030B48" w14:textId="77777777" w:rsidR="00840A6E" w:rsidRPr="004E095E" w:rsidRDefault="00840A6E" w:rsidP="00A9052F">
            <w:pPr>
              <w:spacing w:after="0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Rozdíl v</w:t>
            </w:r>
            <w:r w:rsidR="00A9052F">
              <w:rPr>
                <w:rFonts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transferech (porovnání RP 2125, 4118, 4153, 4218, 4233 a SÚ 671 a 675)</w:t>
            </w:r>
          </w:p>
        </w:tc>
        <w:tc>
          <w:tcPr>
            <w:tcW w:w="12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D495F4" w14:textId="77777777" w:rsidR="00840A6E" w:rsidRPr="004E095E" w:rsidRDefault="00840A6E" w:rsidP="00A9052F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430,98</w:t>
            </w: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89B8D0" w14:textId="77777777" w:rsidR="00840A6E" w:rsidRPr="004E095E" w:rsidRDefault="00840A6E" w:rsidP="00A9052F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257,15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83D11E" w14:textId="77777777" w:rsidR="00840A6E" w:rsidRPr="004E095E" w:rsidRDefault="00840A6E" w:rsidP="00A9052F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173,83</w:t>
            </w:r>
          </w:p>
        </w:tc>
      </w:tr>
      <w:tr w:rsidR="00A9052F" w:rsidRPr="004E095E" w14:paraId="0961F812" w14:textId="77777777" w:rsidTr="00A9052F">
        <w:trPr>
          <w:trHeight w:val="315"/>
        </w:trPr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8F97AC" w14:textId="77777777" w:rsidR="00840A6E" w:rsidRPr="004E095E" w:rsidRDefault="00840A6E" w:rsidP="00A9052F">
            <w:pPr>
              <w:spacing w:after="0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Ostatní</w:t>
            </w:r>
          </w:p>
        </w:tc>
        <w:tc>
          <w:tcPr>
            <w:tcW w:w="12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BAA56F" w14:textId="77777777" w:rsidR="00840A6E" w:rsidRPr="004E095E" w:rsidRDefault="00840A6E" w:rsidP="00A9052F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696839" w14:textId="77777777" w:rsidR="00840A6E" w:rsidRPr="004E095E" w:rsidRDefault="00840A6E" w:rsidP="00A9052F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1,70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CFFE78" w14:textId="0EBAFF24" w:rsidR="00840A6E" w:rsidRPr="004E095E" w:rsidRDefault="00E211B4" w:rsidP="00A9052F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60002F">
              <w:rPr>
                <w:rFonts w:cs="Calibri"/>
                <w:sz w:val="18"/>
                <w:szCs w:val="18"/>
              </w:rPr>
              <w:t>−</w:t>
            </w:r>
            <w:r w:rsidR="00840A6E"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1,70</w:t>
            </w:r>
          </w:p>
        </w:tc>
      </w:tr>
      <w:tr w:rsidR="00840A6E" w:rsidRPr="004E095E" w14:paraId="664F9D0F" w14:textId="77777777" w:rsidTr="00A9052F">
        <w:trPr>
          <w:trHeight w:val="315"/>
        </w:trPr>
        <w:tc>
          <w:tcPr>
            <w:tcW w:w="7938" w:type="dxa"/>
            <w:gridSpan w:val="3"/>
            <w:shd w:val="clear" w:color="auto" w:fill="F2C6C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76800B" w14:textId="77777777" w:rsidR="00840A6E" w:rsidRPr="004E095E" w:rsidRDefault="00840A6E" w:rsidP="00A9052F">
            <w:pPr>
              <w:spacing w:after="0"/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  <w:t>Rozdíl mezi příjmy a výnosy za významné operace celkem</w:t>
            </w:r>
          </w:p>
        </w:tc>
        <w:tc>
          <w:tcPr>
            <w:tcW w:w="1134" w:type="dxa"/>
            <w:shd w:val="clear" w:color="auto" w:fill="F2C6C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1ACDA1" w14:textId="77777777" w:rsidR="00840A6E" w:rsidRPr="004E095E" w:rsidRDefault="00840A6E" w:rsidP="00A9052F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  <w:t>142,40</w:t>
            </w:r>
          </w:p>
        </w:tc>
      </w:tr>
      <w:tr w:rsidR="00840A6E" w:rsidRPr="004E095E" w14:paraId="713B82EC" w14:textId="77777777" w:rsidTr="00A9052F">
        <w:trPr>
          <w:trHeight w:val="315"/>
        </w:trPr>
        <w:tc>
          <w:tcPr>
            <w:tcW w:w="9072" w:type="dxa"/>
            <w:gridSpan w:val="4"/>
            <w:shd w:val="clear" w:color="auto" w:fill="E5F1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494728" w14:textId="77777777" w:rsidR="00840A6E" w:rsidRPr="004E095E" w:rsidRDefault="00840A6E" w:rsidP="00A9052F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  <w:t>Účetní operace způsobující rozdíl mezi výdaji a náklady</w:t>
            </w:r>
          </w:p>
        </w:tc>
      </w:tr>
      <w:tr w:rsidR="00A9052F" w:rsidRPr="004E095E" w14:paraId="35731DAB" w14:textId="77777777" w:rsidTr="00A9052F">
        <w:trPr>
          <w:trHeight w:val="315"/>
        </w:trPr>
        <w:tc>
          <w:tcPr>
            <w:tcW w:w="5387" w:type="dxa"/>
            <w:shd w:val="clear" w:color="auto" w:fill="E5F1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1A9D2F" w14:textId="77777777" w:rsidR="00840A6E" w:rsidRPr="004E095E" w:rsidRDefault="00840A6E" w:rsidP="00A9052F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  <w:t>Účetní operace</w:t>
            </w:r>
          </w:p>
        </w:tc>
        <w:tc>
          <w:tcPr>
            <w:tcW w:w="1276" w:type="dxa"/>
            <w:shd w:val="clear" w:color="auto" w:fill="E5F1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0CDAE1" w14:textId="77777777" w:rsidR="00840A6E" w:rsidRPr="004E095E" w:rsidRDefault="00840A6E" w:rsidP="00A9052F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  <w:t>Vliv na výdaje</w:t>
            </w:r>
          </w:p>
        </w:tc>
        <w:tc>
          <w:tcPr>
            <w:tcW w:w="1275" w:type="dxa"/>
            <w:shd w:val="clear" w:color="auto" w:fill="E5F1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35DC88" w14:textId="77777777" w:rsidR="00840A6E" w:rsidRPr="004E095E" w:rsidRDefault="00840A6E" w:rsidP="00A9052F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  <w:t>Vliv na náklady</w:t>
            </w:r>
          </w:p>
        </w:tc>
        <w:tc>
          <w:tcPr>
            <w:tcW w:w="1134" w:type="dxa"/>
            <w:shd w:val="clear" w:color="auto" w:fill="E5F1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5A0B5F" w14:textId="77777777" w:rsidR="00840A6E" w:rsidRPr="004E095E" w:rsidRDefault="00840A6E" w:rsidP="00A9052F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  <w:t>Rozdíl</w:t>
            </w:r>
          </w:p>
        </w:tc>
      </w:tr>
      <w:tr w:rsidR="00A9052F" w:rsidRPr="004E095E" w14:paraId="1E17D3F1" w14:textId="77777777" w:rsidTr="00A9052F">
        <w:trPr>
          <w:trHeight w:val="315"/>
        </w:trPr>
        <w:tc>
          <w:tcPr>
            <w:tcW w:w="538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460104" w14:textId="77777777" w:rsidR="00840A6E" w:rsidRPr="004E095E" w:rsidRDefault="00840A6E" w:rsidP="00A9052F">
            <w:pPr>
              <w:spacing w:after="0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Odpisy</w:t>
            </w:r>
            <w:r>
              <w:rPr>
                <w:rFonts w:cstheme="minorHAnsi"/>
                <w:color w:val="000000"/>
                <w:sz w:val="18"/>
                <w:szCs w:val="18"/>
                <w:lang w:eastAsia="cs-CZ"/>
              </w:rPr>
              <w:t xml:space="preserve"> dlouhodobého majetku</w:t>
            </w:r>
          </w:p>
        </w:tc>
        <w:tc>
          <w:tcPr>
            <w:tcW w:w="12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A1AC67" w14:textId="77777777" w:rsidR="00840A6E" w:rsidRPr="004E095E" w:rsidRDefault="00840A6E" w:rsidP="00A9052F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5FBCDE" w14:textId="77777777" w:rsidR="00840A6E" w:rsidRPr="004E095E" w:rsidRDefault="00840A6E" w:rsidP="00A9052F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1 730,18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DD5522" w14:textId="36DAC465" w:rsidR="00840A6E" w:rsidRPr="004E095E" w:rsidRDefault="00E211B4" w:rsidP="00A9052F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60002F">
              <w:rPr>
                <w:rFonts w:cs="Calibri"/>
                <w:sz w:val="18"/>
                <w:szCs w:val="18"/>
              </w:rPr>
              <w:t>−</w:t>
            </w:r>
            <w:r w:rsidR="00840A6E"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1 730,18</w:t>
            </w:r>
          </w:p>
        </w:tc>
      </w:tr>
      <w:tr w:rsidR="00A9052F" w:rsidRPr="004E095E" w14:paraId="08CF1270" w14:textId="77777777" w:rsidTr="00A9052F">
        <w:trPr>
          <w:trHeight w:val="315"/>
        </w:trPr>
        <w:tc>
          <w:tcPr>
            <w:tcW w:w="538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2A8F2F" w14:textId="77777777" w:rsidR="00840A6E" w:rsidRPr="004E095E" w:rsidRDefault="00840A6E" w:rsidP="00A9052F">
            <w:pPr>
              <w:spacing w:after="0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Opravné položky</w:t>
            </w:r>
          </w:p>
        </w:tc>
        <w:tc>
          <w:tcPr>
            <w:tcW w:w="12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C3AE40" w14:textId="77777777" w:rsidR="00840A6E" w:rsidRPr="004E095E" w:rsidRDefault="00840A6E" w:rsidP="00A9052F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00C597" w14:textId="01AD3900" w:rsidR="00840A6E" w:rsidRPr="004E095E" w:rsidRDefault="00E211B4" w:rsidP="00A9052F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60002F">
              <w:rPr>
                <w:rFonts w:cs="Calibri"/>
                <w:sz w:val="18"/>
                <w:szCs w:val="18"/>
              </w:rPr>
              <w:t>−</w:t>
            </w:r>
            <w:r w:rsidR="00840A6E"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55,15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A8DA65" w14:textId="77777777" w:rsidR="00840A6E" w:rsidRPr="004E095E" w:rsidRDefault="00840A6E" w:rsidP="00A9052F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55,15</w:t>
            </w:r>
          </w:p>
        </w:tc>
      </w:tr>
      <w:tr w:rsidR="00A9052F" w:rsidRPr="004E095E" w14:paraId="45F9E6FF" w14:textId="77777777" w:rsidTr="00A9052F">
        <w:trPr>
          <w:trHeight w:val="315"/>
        </w:trPr>
        <w:tc>
          <w:tcPr>
            <w:tcW w:w="538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02F994" w14:textId="77777777" w:rsidR="00840A6E" w:rsidRPr="004E095E" w:rsidRDefault="00840A6E" w:rsidP="00A9052F">
            <w:pPr>
              <w:spacing w:after="0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Vyřazené pohledávky</w:t>
            </w:r>
          </w:p>
        </w:tc>
        <w:tc>
          <w:tcPr>
            <w:tcW w:w="12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2D60A9" w14:textId="77777777" w:rsidR="00840A6E" w:rsidRPr="004E095E" w:rsidRDefault="00840A6E" w:rsidP="00A9052F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E1E838" w14:textId="77777777" w:rsidR="00840A6E" w:rsidRPr="004E095E" w:rsidRDefault="00840A6E" w:rsidP="00A9052F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8,14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96885B" w14:textId="6D707476" w:rsidR="00840A6E" w:rsidRPr="004E095E" w:rsidRDefault="00E211B4" w:rsidP="00A9052F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60002F">
              <w:rPr>
                <w:rFonts w:cs="Calibri"/>
                <w:sz w:val="18"/>
                <w:szCs w:val="18"/>
              </w:rPr>
              <w:t>−</w:t>
            </w:r>
            <w:r w:rsidR="00840A6E"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8,14</w:t>
            </w:r>
          </w:p>
        </w:tc>
      </w:tr>
      <w:tr w:rsidR="00A9052F" w:rsidRPr="004E095E" w14:paraId="0F511751" w14:textId="77777777" w:rsidTr="00A9052F">
        <w:trPr>
          <w:trHeight w:val="315"/>
        </w:trPr>
        <w:tc>
          <w:tcPr>
            <w:tcW w:w="538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1F999C" w14:textId="77777777" w:rsidR="00840A6E" w:rsidRPr="004E095E" w:rsidRDefault="00840A6E" w:rsidP="00A9052F">
            <w:pPr>
              <w:spacing w:after="0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Přecenění na reálnou hodnotu</w:t>
            </w:r>
          </w:p>
        </w:tc>
        <w:tc>
          <w:tcPr>
            <w:tcW w:w="12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54A867" w14:textId="77777777" w:rsidR="00840A6E" w:rsidRPr="004E095E" w:rsidRDefault="00840A6E" w:rsidP="00A9052F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CD29C5" w14:textId="77777777" w:rsidR="00840A6E" w:rsidRPr="004E095E" w:rsidRDefault="00840A6E" w:rsidP="00A9052F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4,94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C846CE" w14:textId="0E30CD4E" w:rsidR="00840A6E" w:rsidRPr="004E095E" w:rsidRDefault="00E211B4" w:rsidP="00A9052F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60002F">
              <w:rPr>
                <w:rFonts w:cs="Calibri"/>
                <w:sz w:val="18"/>
                <w:szCs w:val="18"/>
              </w:rPr>
              <w:t>−</w:t>
            </w:r>
            <w:r w:rsidR="00840A6E"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4,94</w:t>
            </w:r>
          </w:p>
        </w:tc>
      </w:tr>
      <w:tr w:rsidR="00A9052F" w:rsidRPr="004E095E" w14:paraId="60963B58" w14:textId="77777777" w:rsidTr="00A9052F">
        <w:trPr>
          <w:trHeight w:val="615"/>
        </w:trPr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F84708" w14:textId="283E5F78" w:rsidR="00840A6E" w:rsidRPr="004E095E" w:rsidRDefault="00840A6E" w:rsidP="00124170">
            <w:pPr>
              <w:spacing w:after="0"/>
              <w:ind w:right="65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 xml:space="preserve">Bezúplatné pozbytí zásob v souvislosti s pandemií </w:t>
            </w:r>
            <w:r w:rsidR="00A37B6F">
              <w:rPr>
                <w:rFonts w:cstheme="minorHAnsi"/>
                <w:color w:val="000000"/>
                <w:sz w:val="18"/>
                <w:szCs w:val="18"/>
                <w:lang w:eastAsia="cs-CZ"/>
              </w:rPr>
              <w:t>covid</w:t>
            </w:r>
            <w:r w:rsidR="00E211B4">
              <w:rPr>
                <w:rFonts w:cstheme="minorHAnsi"/>
                <w:color w:val="000000"/>
                <w:sz w:val="18"/>
                <w:szCs w:val="18"/>
                <w:lang w:eastAsia="cs-CZ"/>
              </w:rPr>
              <w:t>u</w:t>
            </w:r>
            <w:r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 xml:space="preserve">-19 </w:t>
            </w:r>
            <w:r w:rsidR="00124170">
              <w:rPr>
                <w:rFonts w:cstheme="minorHAnsi"/>
                <w:color w:val="000000"/>
                <w:sz w:val="18"/>
                <w:szCs w:val="18"/>
                <w:lang w:eastAsia="cs-CZ"/>
              </w:rPr>
              <w:br/>
            </w:r>
            <w:r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 xml:space="preserve">ve prospěch jiných </w:t>
            </w:r>
            <w:r w:rsidR="00A37B6F">
              <w:rPr>
                <w:rFonts w:cstheme="minorHAnsi"/>
                <w:color w:val="000000"/>
                <w:sz w:val="18"/>
                <w:szCs w:val="18"/>
                <w:lang w:eastAsia="cs-CZ"/>
              </w:rPr>
              <w:t>vybraných účetních jednotek</w:t>
            </w:r>
          </w:p>
        </w:tc>
        <w:tc>
          <w:tcPr>
            <w:tcW w:w="12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C9D81F" w14:textId="77777777" w:rsidR="00840A6E" w:rsidRPr="004E095E" w:rsidRDefault="00840A6E" w:rsidP="00A9052F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74EB69" w14:textId="77777777" w:rsidR="00840A6E" w:rsidRPr="004E095E" w:rsidRDefault="00840A6E" w:rsidP="00A9052F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761,18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78064A" w14:textId="0140EC40" w:rsidR="00840A6E" w:rsidRPr="004E095E" w:rsidRDefault="00E211B4" w:rsidP="00A9052F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60002F">
              <w:rPr>
                <w:rFonts w:cs="Calibri"/>
                <w:sz w:val="18"/>
                <w:szCs w:val="18"/>
              </w:rPr>
              <w:t>−</w:t>
            </w:r>
            <w:r w:rsidR="00840A6E"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761,18</w:t>
            </w:r>
          </w:p>
        </w:tc>
      </w:tr>
      <w:tr w:rsidR="00A9052F" w:rsidRPr="004E095E" w14:paraId="58828293" w14:textId="77777777" w:rsidTr="00A9052F">
        <w:trPr>
          <w:trHeight w:val="315"/>
        </w:trPr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6F7F79" w14:textId="77777777" w:rsidR="00840A6E" w:rsidRPr="004E095E" w:rsidRDefault="00840A6E" w:rsidP="00A9052F">
            <w:pPr>
              <w:spacing w:after="0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Dary a jiná bezúplatná př</w:t>
            </w:r>
            <w:r>
              <w:rPr>
                <w:rFonts w:cstheme="minorHAnsi"/>
                <w:color w:val="000000"/>
                <w:sz w:val="18"/>
                <w:szCs w:val="18"/>
                <w:lang w:eastAsia="cs-CZ"/>
              </w:rPr>
              <w:t>e</w:t>
            </w:r>
            <w:r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dání (porovnání SÚ 543 a RP 5194)</w:t>
            </w:r>
          </w:p>
        </w:tc>
        <w:tc>
          <w:tcPr>
            <w:tcW w:w="12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7A435D" w14:textId="77777777" w:rsidR="00840A6E" w:rsidRPr="004E095E" w:rsidRDefault="00840A6E" w:rsidP="00A9052F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9,94</w:t>
            </w: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770ABE" w14:textId="77777777" w:rsidR="00840A6E" w:rsidRPr="004E095E" w:rsidRDefault="00840A6E" w:rsidP="00A9052F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39,54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E4118F" w14:textId="32B40E98" w:rsidR="00840A6E" w:rsidRPr="004E095E" w:rsidRDefault="00E211B4" w:rsidP="00A9052F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60002F">
              <w:rPr>
                <w:rFonts w:cs="Calibri"/>
                <w:sz w:val="18"/>
                <w:szCs w:val="18"/>
              </w:rPr>
              <w:t>−</w:t>
            </w:r>
            <w:r w:rsidR="00840A6E"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29,60</w:t>
            </w:r>
          </w:p>
        </w:tc>
      </w:tr>
      <w:tr w:rsidR="00A9052F" w:rsidRPr="004E095E" w14:paraId="50B282CC" w14:textId="77777777" w:rsidTr="00A9052F">
        <w:trPr>
          <w:trHeight w:val="315"/>
        </w:trPr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D82343" w14:textId="77777777" w:rsidR="00840A6E" w:rsidRPr="004E095E" w:rsidRDefault="00840A6E" w:rsidP="00A9052F">
            <w:pPr>
              <w:spacing w:after="0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Změna stavu zásob vypočítaná nepřímou metodou</w:t>
            </w:r>
          </w:p>
        </w:tc>
        <w:tc>
          <w:tcPr>
            <w:tcW w:w="12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CD7D5B" w14:textId="77777777" w:rsidR="00840A6E" w:rsidRPr="004E095E" w:rsidRDefault="00840A6E" w:rsidP="00A9052F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4EF8DB" w14:textId="40A0B1AA" w:rsidR="00840A6E" w:rsidRPr="004E095E" w:rsidRDefault="00E211B4" w:rsidP="00A9052F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60002F">
              <w:rPr>
                <w:rFonts w:cs="Calibri"/>
                <w:sz w:val="18"/>
                <w:szCs w:val="18"/>
              </w:rPr>
              <w:t>−</w:t>
            </w:r>
            <w:r w:rsidR="00840A6E"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268,86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ADB983" w14:textId="77777777" w:rsidR="00840A6E" w:rsidRPr="004E095E" w:rsidRDefault="00840A6E" w:rsidP="00A9052F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268,86</w:t>
            </w:r>
          </w:p>
        </w:tc>
      </w:tr>
      <w:tr w:rsidR="00A9052F" w:rsidRPr="004E095E" w14:paraId="69D8E8D1" w14:textId="77777777" w:rsidTr="00A9052F">
        <w:trPr>
          <w:trHeight w:val="549"/>
        </w:trPr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50AC64" w14:textId="77777777" w:rsidR="00840A6E" w:rsidRPr="004E095E" w:rsidRDefault="00840A6E" w:rsidP="00A9052F">
            <w:pPr>
              <w:spacing w:after="0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Tvorba fondu kultury a sportu (porovnání SÚ 527 - část a RP 5342)</w:t>
            </w:r>
          </w:p>
        </w:tc>
        <w:tc>
          <w:tcPr>
            <w:tcW w:w="12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F261D5" w14:textId="77777777" w:rsidR="00840A6E" w:rsidRPr="004E095E" w:rsidRDefault="00840A6E" w:rsidP="00A9052F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133,40</w:t>
            </w: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9FD244" w14:textId="77777777" w:rsidR="00840A6E" w:rsidRPr="004E095E" w:rsidRDefault="00840A6E" w:rsidP="00A9052F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151,39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5242C9" w14:textId="6FCCA0EE" w:rsidR="00840A6E" w:rsidRPr="004E095E" w:rsidRDefault="00E211B4" w:rsidP="00A9052F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60002F">
              <w:rPr>
                <w:rFonts w:cs="Calibri"/>
                <w:sz w:val="18"/>
                <w:szCs w:val="18"/>
              </w:rPr>
              <w:t>−</w:t>
            </w:r>
            <w:r w:rsidR="00840A6E"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17,99</w:t>
            </w:r>
          </w:p>
        </w:tc>
      </w:tr>
      <w:tr w:rsidR="00A9052F" w:rsidRPr="004E095E" w14:paraId="358F5537" w14:textId="77777777" w:rsidTr="00A9052F">
        <w:trPr>
          <w:trHeight w:val="557"/>
        </w:trPr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6884EC" w14:textId="77777777" w:rsidR="00840A6E" w:rsidRPr="004E095E" w:rsidRDefault="00840A6E" w:rsidP="00A9052F">
            <w:pPr>
              <w:spacing w:after="0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Změna stavu krátkodobých závazků z titulu úhrad</w:t>
            </w:r>
          </w:p>
        </w:tc>
        <w:tc>
          <w:tcPr>
            <w:tcW w:w="12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C03A42" w14:textId="77777777" w:rsidR="00840A6E" w:rsidRPr="004E095E" w:rsidRDefault="00840A6E" w:rsidP="00A9052F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87DEBA" w14:textId="1846CEA3" w:rsidR="00840A6E" w:rsidRPr="004E095E" w:rsidRDefault="00E211B4" w:rsidP="00A9052F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60002F">
              <w:rPr>
                <w:rFonts w:cs="Calibri"/>
                <w:sz w:val="18"/>
                <w:szCs w:val="18"/>
              </w:rPr>
              <w:t>−</w:t>
            </w:r>
            <w:r w:rsidR="00840A6E"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611,13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785CDD" w14:textId="77777777" w:rsidR="00840A6E" w:rsidRPr="004E095E" w:rsidRDefault="00840A6E" w:rsidP="00A9052F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611,13</w:t>
            </w:r>
          </w:p>
        </w:tc>
      </w:tr>
      <w:tr w:rsidR="00A9052F" w:rsidRPr="004E095E" w14:paraId="26E52440" w14:textId="77777777" w:rsidTr="00A9052F">
        <w:trPr>
          <w:trHeight w:val="565"/>
        </w:trPr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C4EB08" w14:textId="77777777" w:rsidR="00840A6E" w:rsidRPr="004E095E" w:rsidRDefault="00840A6E" w:rsidP="00A9052F">
            <w:pPr>
              <w:spacing w:after="0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Změna stavu</w:t>
            </w:r>
            <w:r>
              <w:rPr>
                <w:rFonts w:cstheme="minorHAnsi"/>
                <w:color w:val="000000"/>
                <w:sz w:val="18"/>
                <w:szCs w:val="18"/>
                <w:lang w:eastAsia="cs-CZ"/>
              </w:rPr>
              <w:t xml:space="preserve"> dlouhodobých</w:t>
            </w:r>
            <w:r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 xml:space="preserve"> závazků z titulu úhrad</w:t>
            </w:r>
          </w:p>
        </w:tc>
        <w:tc>
          <w:tcPr>
            <w:tcW w:w="12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7979C1" w14:textId="77777777" w:rsidR="00840A6E" w:rsidRPr="004E095E" w:rsidRDefault="00840A6E" w:rsidP="00A9052F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40D7E0" w14:textId="6F720693" w:rsidR="00840A6E" w:rsidRPr="004E095E" w:rsidRDefault="00E211B4" w:rsidP="00A9052F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60002F">
              <w:rPr>
                <w:rFonts w:cs="Calibri"/>
                <w:sz w:val="18"/>
                <w:szCs w:val="18"/>
              </w:rPr>
              <w:t>−</w:t>
            </w:r>
            <w:r w:rsidR="00840A6E"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20,07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A68264" w14:textId="77777777" w:rsidR="00840A6E" w:rsidRPr="004E095E" w:rsidRDefault="00840A6E" w:rsidP="00A9052F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20,07</w:t>
            </w:r>
          </w:p>
        </w:tc>
      </w:tr>
      <w:tr w:rsidR="00A9052F" w:rsidRPr="004E095E" w14:paraId="5134631C" w14:textId="77777777" w:rsidTr="00A9052F">
        <w:trPr>
          <w:trHeight w:val="315"/>
        </w:trPr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AC70B5" w14:textId="77777777" w:rsidR="00840A6E" w:rsidRPr="004E095E" w:rsidRDefault="00840A6E" w:rsidP="00A9052F">
            <w:pPr>
              <w:spacing w:after="0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Ostatní</w:t>
            </w:r>
          </w:p>
        </w:tc>
        <w:tc>
          <w:tcPr>
            <w:tcW w:w="12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6CB834" w14:textId="77777777" w:rsidR="00840A6E" w:rsidRPr="004E095E" w:rsidRDefault="00840A6E" w:rsidP="00A9052F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E384AC" w14:textId="04731A8F" w:rsidR="00840A6E" w:rsidRPr="004E095E" w:rsidRDefault="00E211B4" w:rsidP="00A9052F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60002F">
              <w:rPr>
                <w:rFonts w:cs="Calibri"/>
                <w:sz w:val="18"/>
                <w:szCs w:val="18"/>
              </w:rPr>
              <w:t>−</w:t>
            </w:r>
            <w:r w:rsidR="00840A6E"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247,28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6595E6" w14:textId="77777777" w:rsidR="00840A6E" w:rsidRPr="004E095E" w:rsidRDefault="00840A6E" w:rsidP="00A9052F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color w:val="000000"/>
                <w:sz w:val="18"/>
                <w:szCs w:val="18"/>
                <w:lang w:eastAsia="cs-CZ"/>
              </w:rPr>
              <w:t>247,28</w:t>
            </w:r>
          </w:p>
        </w:tc>
      </w:tr>
      <w:tr w:rsidR="00840A6E" w:rsidRPr="004E095E" w14:paraId="4A017635" w14:textId="77777777" w:rsidTr="00A9052F">
        <w:trPr>
          <w:trHeight w:val="315"/>
        </w:trPr>
        <w:tc>
          <w:tcPr>
            <w:tcW w:w="7938" w:type="dxa"/>
            <w:gridSpan w:val="3"/>
            <w:shd w:val="clear" w:color="auto" w:fill="F2C6C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CAF8BE" w14:textId="77777777" w:rsidR="00840A6E" w:rsidRPr="004E095E" w:rsidRDefault="00840A6E" w:rsidP="00A9052F">
            <w:pPr>
              <w:spacing w:after="0"/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  <w:t>Rozdíl mezi výdaji a náklady za významné operace celkem</w:t>
            </w:r>
          </w:p>
        </w:tc>
        <w:tc>
          <w:tcPr>
            <w:tcW w:w="1134" w:type="dxa"/>
            <w:shd w:val="clear" w:color="auto" w:fill="F2C6C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B58D7B" w14:textId="4ECE9BD1" w:rsidR="00840A6E" w:rsidRPr="004E095E" w:rsidRDefault="00E211B4" w:rsidP="00A9052F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24170">
              <w:rPr>
                <w:rFonts w:cs="Calibri"/>
                <w:b/>
                <w:sz w:val="18"/>
                <w:szCs w:val="18"/>
              </w:rPr>
              <w:t>−</w:t>
            </w:r>
            <w:r w:rsidR="00840A6E" w:rsidRPr="004E095E"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  <w:t>1 349,53</w:t>
            </w:r>
          </w:p>
        </w:tc>
      </w:tr>
      <w:tr w:rsidR="00840A6E" w:rsidRPr="004E095E" w14:paraId="0CD4249A" w14:textId="77777777" w:rsidTr="00A9052F">
        <w:trPr>
          <w:trHeight w:val="315"/>
        </w:trPr>
        <w:tc>
          <w:tcPr>
            <w:tcW w:w="7938" w:type="dxa"/>
            <w:gridSpan w:val="3"/>
            <w:shd w:val="clear" w:color="auto" w:fill="F2C6C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20B6E1" w14:textId="77777777" w:rsidR="00840A6E" w:rsidRPr="004E095E" w:rsidRDefault="00840A6E" w:rsidP="00A9052F">
            <w:pPr>
              <w:spacing w:after="0"/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E095E"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  <w:t>Rozdíl mezi saldem peněžních toků a výsledkem hospodaření MV za významné operace celkem</w:t>
            </w:r>
          </w:p>
        </w:tc>
        <w:tc>
          <w:tcPr>
            <w:tcW w:w="1134" w:type="dxa"/>
            <w:shd w:val="clear" w:color="auto" w:fill="F2C6C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14B798" w14:textId="673C7FC8" w:rsidR="00840A6E" w:rsidRPr="004E095E" w:rsidRDefault="00E211B4" w:rsidP="00A9052F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24170">
              <w:rPr>
                <w:rFonts w:cs="Calibri"/>
                <w:b/>
                <w:sz w:val="18"/>
                <w:szCs w:val="18"/>
              </w:rPr>
              <w:t>−</w:t>
            </w:r>
            <w:r w:rsidR="00840A6E" w:rsidRPr="004E095E"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  <w:t>1 207,13</w:t>
            </w:r>
          </w:p>
        </w:tc>
      </w:tr>
    </w:tbl>
    <w:p w14:paraId="418CEE61" w14:textId="16FF1A37" w:rsidR="00840A6E" w:rsidRPr="000011BF" w:rsidRDefault="00840A6E" w:rsidP="00A9052F">
      <w:pPr>
        <w:spacing w:before="40"/>
        <w:jc w:val="both"/>
        <w:rPr>
          <w:rFonts w:eastAsia="Calibri" w:cs="Calibri"/>
          <w:sz w:val="20"/>
          <w:szCs w:val="20"/>
        </w:rPr>
      </w:pPr>
      <w:r w:rsidRPr="000011BF">
        <w:rPr>
          <w:rFonts w:eastAsia="Calibri" w:cs="Calibri"/>
          <w:b/>
          <w:bCs/>
          <w:sz w:val="20"/>
          <w:szCs w:val="20"/>
        </w:rPr>
        <w:t>Zdroj:</w:t>
      </w:r>
      <w:r w:rsidRPr="000011BF">
        <w:rPr>
          <w:rFonts w:eastAsia="Calibri" w:cs="Calibri"/>
          <w:sz w:val="20"/>
          <w:szCs w:val="20"/>
        </w:rPr>
        <w:t xml:space="preserve"> účetní d</w:t>
      </w:r>
      <w:r>
        <w:rPr>
          <w:rFonts w:eastAsia="Calibri" w:cs="Calibri"/>
          <w:sz w:val="20"/>
          <w:szCs w:val="20"/>
        </w:rPr>
        <w:t>ata</w:t>
      </w:r>
      <w:r w:rsidRPr="000011BF">
        <w:rPr>
          <w:rFonts w:eastAsia="Calibri" w:cs="Calibri"/>
          <w:sz w:val="20"/>
          <w:szCs w:val="20"/>
        </w:rPr>
        <w:t xml:space="preserve"> MV za rok 2021, ÚZ</w:t>
      </w:r>
      <w:r w:rsidR="00E211B4">
        <w:rPr>
          <w:rFonts w:eastAsia="Calibri" w:cs="Calibri"/>
          <w:sz w:val="20"/>
          <w:szCs w:val="20"/>
        </w:rPr>
        <w:t>;</w:t>
      </w:r>
      <w:r>
        <w:rPr>
          <w:rFonts w:eastAsia="Calibri" w:cs="Calibri"/>
          <w:sz w:val="20"/>
          <w:szCs w:val="20"/>
        </w:rPr>
        <w:t xml:space="preserve"> zpracování NKÚ.</w:t>
      </w:r>
    </w:p>
    <w:p w14:paraId="56A1CF30" w14:textId="539D5B70" w:rsidR="00840A6E" w:rsidRDefault="00840A6E" w:rsidP="00840A6E">
      <w:pPr>
        <w:jc w:val="both"/>
        <w:rPr>
          <w:rFonts w:cs="Calibri"/>
        </w:rPr>
      </w:pPr>
      <w:bookmarkStart w:id="216" w:name="_Hlk77770840"/>
      <w:r w:rsidRPr="00646CD4">
        <w:rPr>
          <w:rFonts w:cstheme="minorHAnsi"/>
        </w:rPr>
        <w:t>Hlavními důvody rozdílu mezi saldem peněžních toků dle finančního výkazu a</w:t>
      </w:r>
      <w:r w:rsidR="00281BAF">
        <w:rPr>
          <w:rFonts w:cstheme="minorHAnsi"/>
        </w:rPr>
        <w:t xml:space="preserve"> </w:t>
      </w:r>
      <w:r w:rsidRPr="00646CD4">
        <w:rPr>
          <w:rFonts w:cstheme="minorHAnsi"/>
        </w:rPr>
        <w:t>hospodářským výsledkem běžného účetního období dle výkazu zisku a ztráty jsou:</w:t>
      </w:r>
      <w:bookmarkEnd w:id="216"/>
    </w:p>
    <w:p w14:paraId="18963703" w14:textId="77777777" w:rsidR="00840A6E" w:rsidRDefault="00840A6E" w:rsidP="00124170">
      <w:pPr>
        <w:pStyle w:val="Odstavecseseznamem"/>
        <w:numPr>
          <w:ilvl w:val="0"/>
          <w:numId w:val="25"/>
        </w:numPr>
        <w:spacing w:after="0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náklady bez realizace souvisejícího výdaje</w:t>
      </w:r>
      <w:r w:rsidRPr="00646CD4">
        <w:rPr>
          <w:rStyle w:val="Znakapoznpodarou"/>
          <w:rFonts w:cstheme="minorHAnsi"/>
        </w:rPr>
        <w:footnoteReference w:id="36"/>
      </w:r>
      <w:r>
        <w:rPr>
          <w:rFonts w:cstheme="minorHAnsi"/>
        </w:rPr>
        <w:t>, a to zejména:</w:t>
      </w:r>
    </w:p>
    <w:p w14:paraId="55C92802" w14:textId="695C1601" w:rsidR="00840A6E" w:rsidRDefault="00840A6E" w:rsidP="00840A6E">
      <w:pPr>
        <w:pStyle w:val="Odstavecseseznamem"/>
        <w:numPr>
          <w:ilvl w:val="1"/>
          <w:numId w:val="25"/>
        </w:numPr>
        <w:spacing w:after="0"/>
        <w:jc w:val="both"/>
        <w:rPr>
          <w:rFonts w:cstheme="minorHAnsi"/>
        </w:rPr>
      </w:pPr>
      <w:bookmarkStart w:id="217" w:name="_Hlk77772185"/>
      <w:r>
        <w:rPr>
          <w:rFonts w:cstheme="minorHAnsi"/>
        </w:rPr>
        <w:t>náklady na odpisy dlouhodobého majetku</w:t>
      </w:r>
      <w:r w:rsidR="00E211B4">
        <w:rPr>
          <w:rFonts w:cstheme="minorHAnsi"/>
        </w:rPr>
        <w:t xml:space="preserve"> (</w:t>
      </w:r>
      <w:r>
        <w:rPr>
          <w:rFonts w:cstheme="minorHAnsi"/>
        </w:rPr>
        <w:t>1 730,18 mil. Kč</w:t>
      </w:r>
      <w:bookmarkEnd w:id="217"/>
      <w:r w:rsidR="00E211B4">
        <w:rPr>
          <w:rFonts w:cstheme="minorHAnsi"/>
        </w:rPr>
        <w:t>)</w:t>
      </w:r>
      <w:r>
        <w:rPr>
          <w:rFonts w:cstheme="minorHAnsi"/>
        </w:rPr>
        <w:t>;</w:t>
      </w:r>
    </w:p>
    <w:p w14:paraId="2110BE3A" w14:textId="74DAED8A" w:rsidR="00840A6E" w:rsidRDefault="00840A6E" w:rsidP="007D4D7C">
      <w:pPr>
        <w:pStyle w:val="Odstavecseseznamem"/>
        <w:numPr>
          <w:ilvl w:val="1"/>
          <w:numId w:val="25"/>
        </w:numPr>
        <w:spacing w:after="0"/>
        <w:rPr>
          <w:rFonts w:cstheme="minorHAnsi"/>
        </w:rPr>
      </w:pPr>
      <w:r>
        <w:rPr>
          <w:rFonts w:cstheme="minorHAnsi"/>
        </w:rPr>
        <w:t xml:space="preserve">náklady z bezúplatného pozbytí zásob v souvislosti s pandemií </w:t>
      </w:r>
      <w:r w:rsidR="00E211B4">
        <w:rPr>
          <w:rFonts w:cstheme="minorHAnsi"/>
        </w:rPr>
        <w:t>covidu</w:t>
      </w:r>
      <w:r>
        <w:rPr>
          <w:rFonts w:cstheme="minorHAnsi"/>
        </w:rPr>
        <w:t>-19 ve</w:t>
      </w:r>
      <w:r w:rsidR="007D4D7C">
        <w:rPr>
          <w:rFonts w:cstheme="minorHAnsi"/>
        </w:rPr>
        <w:t> </w:t>
      </w:r>
      <w:r>
        <w:rPr>
          <w:rFonts w:cstheme="minorHAnsi"/>
        </w:rPr>
        <w:t xml:space="preserve">prospěch jiných </w:t>
      </w:r>
      <w:r w:rsidR="00E211B4" w:rsidRPr="00281BAF">
        <w:rPr>
          <w:rFonts w:cstheme="minorHAnsi"/>
        </w:rPr>
        <w:t>vybraných účetních jednotek</w:t>
      </w:r>
      <w:r w:rsidR="00E211B4" w:rsidRPr="00281BAF" w:rsidDel="00E211B4">
        <w:rPr>
          <w:rFonts w:cstheme="minorHAnsi"/>
        </w:rPr>
        <w:t xml:space="preserve"> </w:t>
      </w:r>
      <w:r w:rsidR="00E211B4">
        <w:rPr>
          <w:rFonts w:cstheme="minorHAnsi"/>
        </w:rPr>
        <w:t>(</w:t>
      </w:r>
      <w:r>
        <w:rPr>
          <w:rFonts w:cstheme="minorHAnsi"/>
        </w:rPr>
        <w:t>761,18 mil. Kč</w:t>
      </w:r>
      <w:r w:rsidR="00E211B4">
        <w:rPr>
          <w:rFonts w:cstheme="minorHAnsi"/>
        </w:rPr>
        <w:t>)</w:t>
      </w:r>
      <w:r>
        <w:rPr>
          <w:rFonts w:cstheme="minorHAnsi"/>
        </w:rPr>
        <w:t>;</w:t>
      </w:r>
    </w:p>
    <w:p w14:paraId="1A5E8752" w14:textId="26C40917" w:rsidR="00840A6E" w:rsidRDefault="00840A6E" w:rsidP="00840A6E">
      <w:pPr>
        <w:pStyle w:val="Odstavecseseznamem"/>
        <w:numPr>
          <w:ilvl w:val="1"/>
          <w:numId w:val="25"/>
        </w:numPr>
        <w:ind w:left="1434" w:hanging="357"/>
        <w:contextualSpacing w:val="0"/>
        <w:jc w:val="both"/>
        <w:rPr>
          <w:rFonts w:cstheme="minorHAnsi"/>
        </w:rPr>
      </w:pPr>
      <w:r w:rsidRPr="00B46B06">
        <w:rPr>
          <w:rFonts w:cstheme="minorHAnsi"/>
        </w:rPr>
        <w:t xml:space="preserve">změna stavu krátkodobých závazků </w:t>
      </w:r>
      <w:r w:rsidR="00E211B4">
        <w:rPr>
          <w:rFonts w:cstheme="minorHAnsi"/>
        </w:rPr>
        <w:t>(</w:t>
      </w:r>
      <w:r w:rsidR="00E211B4" w:rsidRPr="00281BAF">
        <w:rPr>
          <w:rFonts w:cstheme="minorHAnsi"/>
        </w:rPr>
        <w:t>−</w:t>
      </w:r>
      <w:r>
        <w:rPr>
          <w:rFonts w:cstheme="minorHAnsi"/>
        </w:rPr>
        <w:t>611,13</w:t>
      </w:r>
      <w:r w:rsidRPr="00B46B06">
        <w:rPr>
          <w:rFonts w:cstheme="minorHAnsi"/>
        </w:rPr>
        <w:t> mil. Kč</w:t>
      </w:r>
      <w:r w:rsidR="00E211B4">
        <w:rPr>
          <w:rFonts w:cstheme="minorHAnsi"/>
        </w:rPr>
        <w:t>)</w:t>
      </w:r>
      <w:r>
        <w:rPr>
          <w:rFonts w:cstheme="minorHAnsi"/>
        </w:rPr>
        <w:t>;</w:t>
      </w:r>
    </w:p>
    <w:p w14:paraId="711EFE32" w14:textId="77777777" w:rsidR="00840A6E" w:rsidRDefault="00840A6E" w:rsidP="00124170">
      <w:pPr>
        <w:pStyle w:val="Odstavecseseznamem"/>
        <w:numPr>
          <w:ilvl w:val="0"/>
          <w:numId w:val="25"/>
        </w:numPr>
        <w:spacing w:after="0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příjmy se souvisejícím výnosem v jiné výši:</w:t>
      </w:r>
    </w:p>
    <w:p w14:paraId="7F7C4B19" w14:textId="69D8A598" w:rsidR="0032762F" w:rsidRDefault="00840A6E" w:rsidP="00124170">
      <w:pPr>
        <w:pStyle w:val="Odstavecseseznamem"/>
        <w:numPr>
          <w:ilvl w:val="1"/>
          <w:numId w:val="25"/>
        </w:numPr>
        <w:rPr>
          <w:rFonts w:cstheme="minorHAnsi"/>
        </w:rPr>
      </w:pPr>
      <w:r w:rsidRPr="00281BAF">
        <w:rPr>
          <w:rFonts w:cstheme="minorHAnsi"/>
          <w:color w:val="000000"/>
          <w:lang w:eastAsia="cs-CZ"/>
        </w:rPr>
        <w:t xml:space="preserve">rozdíl v transferech (porovnání </w:t>
      </w:r>
      <w:r w:rsidR="00E211B4" w:rsidRPr="00281BAF">
        <w:rPr>
          <w:rFonts w:cstheme="minorHAnsi"/>
          <w:color w:val="000000"/>
          <w:lang w:eastAsia="cs-CZ"/>
        </w:rPr>
        <w:t>rozpočtových položek</w:t>
      </w:r>
      <w:r w:rsidRPr="00281BAF">
        <w:rPr>
          <w:rFonts w:cstheme="minorHAnsi"/>
          <w:color w:val="000000"/>
          <w:lang w:eastAsia="cs-CZ"/>
        </w:rPr>
        <w:t xml:space="preserve"> 2125, 4118, 4153, 4218, 4233 a</w:t>
      </w:r>
      <w:r w:rsidR="00281BAF">
        <w:rPr>
          <w:rFonts w:cstheme="minorHAnsi"/>
          <w:color w:val="000000"/>
          <w:lang w:eastAsia="cs-CZ"/>
        </w:rPr>
        <w:t> </w:t>
      </w:r>
      <w:r w:rsidR="00281BAF" w:rsidRPr="00281BAF">
        <w:rPr>
          <w:rFonts w:cstheme="minorHAnsi"/>
          <w:color w:val="000000"/>
          <w:lang w:eastAsia="cs-CZ"/>
        </w:rPr>
        <w:t>syntetických účtů</w:t>
      </w:r>
      <w:r w:rsidRPr="00281BAF">
        <w:rPr>
          <w:rFonts w:cstheme="minorHAnsi"/>
          <w:color w:val="000000"/>
          <w:lang w:eastAsia="cs-CZ"/>
        </w:rPr>
        <w:t xml:space="preserve"> 671 a </w:t>
      </w:r>
      <w:r w:rsidR="00A9052F" w:rsidRPr="00281BAF">
        <w:rPr>
          <w:rFonts w:cstheme="minorHAnsi"/>
          <w:color w:val="000000"/>
          <w:lang w:eastAsia="cs-CZ"/>
        </w:rPr>
        <w:t>675) ve výši 173,83 mil. Kč.</w:t>
      </w:r>
    </w:p>
    <w:sectPr w:rsidR="0032762F" w:rsidSect="005B3ED7">
      <w:headerReference w:type="default" r:id="rId13"/>
      <w:footerReference w:type="default" r:id="rId14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ED385" w14:textId="77777777" w:rsidR="002A3B98" w:rsidRDefault="002A3B98">
      <w:pPr>
        <w:spacing w:after="0"/>
      </w:pPr>
      <w:r>
        <w:separator/>
      </w:r>
    </w:p>
  </w:endnote>
  <w:endnote w:type="continuationSeparator" w:id="0">
    <w:p w14:paraId="561BA708" w14:textId="77777777" w:rsidR="002A3B98" w:rsidRDefault="002A3B98">
      <w:pPr>
        <w:spacing w:after="0"/>
      </w:pPr>
      <w:r>
        <w:continuationSeparator/>
      </w:r>
    </w:p>
  </w:endnote>
  <w:endnote w:type="continuationNotice" w:id="1">
    <w:p w14:paraId="230D1792" w14:textId="77777777" w:rsidR="002A3B98" w:rsidRDefault="002A3B9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8242651"/>
      <w:docPartObj>
        <w:docPartGallery w:val="Page Numbers (Bottom of Page)"/>
        <w:docPartUnique/>
      </w:docPartObj>
    </w:sdtPr>
    <w:sdtEndPr/>
    <w:sdtContent>
      <w:p w14:paraId="2DF18039" w14:textId="77777777" w:rsidR="002A3B98" w:rsidRDefault="002A3B9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4D0C621" w14:textId="77777777" w:rsidR="002A3B98" w:rsidRDefault="002A3B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9E7BA" w14:textId="77777777" w:rsidR="002A3B98" w:rsidRDefault="002A3B98" w:rsidP="002B7978">
      <w:pPr>
        <w:spacing w:after="0"/>
      </w:pPr>
      <w:r>
        <w:separator/>
      </w:r>
    </w:p>
  </w:footnote>
  <w:footnote w:type="continuationSeparator" w:id="0">
    <w:p w14:paraId="260C7C43" w14:textId="77777777" w:rsidR="002A3B98" w:rsidRDefault="002A3B98" w:rsidP="002B7978">
      <w:pPr>
        <w:spacing w:after="0"/>
      </w:pPr>
      <w:r>
        <w:continuationSeparator/>
      </w:r>
    </w:p>
  </w:footnote>
  <w:footnote w:type="continuationNotice" w:id="1">
    <w:p w14:paraId="706E2AB9" w14:textId="77777777" w:rsidR="002A3B98" w:rsidRDefault="002A3B98">
      <w:pPr>
        <w:spacing w:after="0"/>
      </w:pPr>
    </w:p>
  </w:footnote>
  <w:footnote w:id="2">
    <w:p w14:paraId="59D6A8A3" w14:textId="77777777" w:rsidR="002A3B98" w:rsidRPr="006115F5" w:rsidRDefault="002A3B98" w:rsidP="00F45904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6115F5">
        <w:rPr>
          <w:rStyle w:val="Znakapoznpodarou"/>
          <w:rFonts w:ascii="Calibri" w:hAnsi="Calibri" w:cs="Calibri"/>
        </w:rPr>
        <w:footnoteRef/>
      </w:r>
      <w:r w:rsidRPr="006115F5">
        <w:rPr>
          <w:rFonts w:ascii="Calibri" w:hAnsi="Calibri" w:cs="Calibri"/>
        </w:rPr>
        <w:t xml:space="preserve"> </w:t>
      </w:r>
      <w:r w:rsidRPr="006115F5">
        <w:rPr>
          <w:rFonts w:ascii="Calibri" w:hAnsi="Calibri" w:cs="Calibri"/>
        </w:rPr>
        <w:tab/>
        <w:t xml:space="preserve">Informace zveřejňované správcem kapitoly státního rozpočtu o hospodaření </w:t>
      </w:r>
      <w:r>
        <w:rPr>
          <w:rFonts w:ascii="Calibri" w:hAnsi="Calibri" w:cs="Calibri"/>
        </w:rPr>
        <w:t xml:space="preserve">dané kapitoly </w:t>
      </w:r>
      <w:r w:rsidRPr="006115F5">
        <w:rPr>
          <w:rFonts w:ascii="Calibri" w:hAnsi="Calibri" w:cs="Calibri"/>
        </w:rPr>
        <w:t>v příslušném rozpočtovém roce</w:t>
      </w:r>
      <w:r>
        <w:rPr>
          <w:rFonts w:ascii="Calibri" w:hAnsi="Calibri" w:cs="Calibri"/>
        </w:rPr>
        <w:t>. Tyto informace jsou obsaženy v</w:t>
      </w:r>
      <w:r w:rsidRPr="006115F5">
        <w:rPr>
          <w:rFonts w:ascii="Calibri" w:hAnsi="Calibri" w:cs="Calibri"/>
        </w:rPr>
        <w:t xml:space="preserve"> účetní závěr</w:t>
      </w:r>
      <w:r>
        <w:rPr>
          <w:rFonts w:ascii="Calibri" w:hAnsi="Calibri" w:cs="Calibri"/>
        </w:rPr>
        <w:t>ce</w:t>
      </w:r>
      <w:r w:rsidRPr="006115F5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ve </w:t>
      </w:r>
      <w:r w:rsidRPr="006115F5">
        <w:rPr>
          <w:rFonts w:ascii="Calibri" w:hAnsi="Calibri" w:cs="Calibri"/>
        </w:rPr>
        <w:t>výkazu pro hodnocení plnění rozpočtu</w:t>
      </w:r>
      <w:r>
        <w:rPr>
          <w:rFonts w:ascii="Calibri" w:hAnsi="Calibri" w:cs="Calibri"/>
        </w:rPr>
        <w:t xml:space="preserve"> správců kapitol a organizačních složek státu</w:t>
      </w:r>
      <w:r w:rsidRPr="006115F5">
        <w:rPr>
          <w:rFonts w:ascii="Calibri" w:hAnsi="Calibri" w:cs="Calibri"/>
        </w:rPr>
        <w:t xml:space="preserve"> a </w:t>
      </w:r>
      <w:r>
        <w:rPr>
          <w:rFonts w:ascii="Calibri" w:hAnsi="Calibri" w:cs="Calibri"/>
        </w:rPr>
        <w:t xml:space="preserve">v </w:t>
      </w:r>
      <w:r w:rsidRPr="006115F5">
        <w:rPr>
          <w:rFonts w:ascii="Calibri" w:hAnsi="Calibri" w:cs="Calibri"/>
        </w:rPr>
        <w:t>závěrečné</w:t>
      </w:r>
      <w:r>
        <w:rPr>
          <w:rFonts w:ascii="Calibri" w:hAnsi="Calibri" w:cs="Calibri"/>
        </w:rPr>
        <w:t>m</w:t>
      </w:r>
      <w:r w:rsidRPr="006115F5">
        <w:rPr>
          <w:rFonts w:ascii="Calibri" w:hAnsi="Calibri" w:cs="Calibri"/>
        </w:rPr>
        <w:t xml:space="preserve"> účtu</w:t>
      </w:r>
      <w:r>
        <w:rPr>
          <w:rFonts w:ascii="Calibri" w:hAnsi="Calibri" w:cs="Calibri"/>
        </w:rPr>
        <w:t xml:space="preserve"> kapitoly státního rozpočtu </w:t>
      </w:r>
      <w:r w:rsidRPr="006115F5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 xml:space="preserve">slouží </w:t>
      </w:r>
      <w:r w:rsidRPr="006115F5">
        <w:rPr>
          <w:rFonts w:ascii="Calibri" w:hAnsi="Calibri" w:cs="Calibri"/>
        </w:rPr>
        <w:t>pro účely kontroly a vyvozování odpovědnosti za hospodaření.</w:t>
      </w:r>
    </w:p>
  </w:footnote>
  <w:footnote w:id="3">
    <w:p w14:paraId="1B106B28" w14:textId="77777777" w:rsidR="002A3B98" w:rsidRPr="00872B70" w:rsidRDefault="002A3B98" w:rsidP="00872B70">
      <w:pPr>
        <w:pStyle w:val="Textpoznpodarou"/>
        <w:ind w:left="284" w:hanging="284"/>
        <w:rPr>
          <w:rFonts w:asciiTheme="minorHAnsi" w:hAnsiTheme="minorHAnsi" w:cstheme="minorHAnsi"/>
        </w:rPr>
      </w:pPr>
      <w:r w:rsidRPr="00872B70">
        <w:rPr>
          <w:rStyle w:val="Znakapoznpodarou"/>
          <w:rFonts w:asciiTheme="minorHAnsi" w:hAnsiTheme="minorHAnsi" w:cstheme="minorHAnsi"/>
        </w:rPr>
        <w:footnoteRef/>
      </w:r>
      <w:r w:rsidRPr="00872B70">
        <w:rPr>
          <w:rFonts w:asciiTheme="minorHAnsi" w:hAnsiTheme="minorHAnsi" w:cstheme="minorHAnsi"/>
        </w:rPr>
        <w:t xml:space="preserve"> </w:t>
      </w:r>
      <w:r w:rsidRPr="00872B7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Celkové zjištěné a vyčíslené nesprávnosti v účetní závěrce.</w:t>
      </w:r>
    </w:p>
  </w:footnote>
  <w:footnote w:id="4">
    <w:p w14:paraId="5FEB8D42" w14:textId="0111BC99" w:rsidR="002A3B98" w:rsidRPr="00C04B9F" w:rsidRDefault="002A3B98" w:rsidP="00124170">
      <w:pPr>
        <w:spacing w:after="0"/>
        <w:ind w:left="284" w:hanging="284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C04B9F">
        <w:rPr>
          <w:rStyle w:val="Znakapoznpodarou"/>
          <w:sz w:val="20"/>
          <w:szCs w:val="20"/>
        </w:rPr>
        <w:footnoteRef/>
      </w:r>
      <w:r w:rsidRPr="00C04B9F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C04B9F">
        <w:rPr>
          <w:rFonts w:asciiTheme="minorHAnsi" w:eastAsiaTheme="minorHAnsi" w:hAnsiTheme="minorHAnsi" w:cstheme="minorHAnsi"/>
          <w:sz w:val="20"/>
          <w:szCs w:val="20"/>
        </w:rPr>
        <w:t>NKÚ při kontrole neprověřoval jednotlivé účetní případy ÚZSI.</w:t>
      </w:r>
    </w:p>
  </w:footnote>
  <w:footnote w:id="5">
    <w:p w14:paraId="6A9711DD" w14:textId="207CFCB8" w:rsidR="002A3B98" w:rsidRPr="00C04B9F" w:rsidRDefault="002A3B98" w:rsidP="006659FE">
      <w:pPr>
        <w:pStyle w:val="Textpoznpodarou"/>
        <w:ind w:left="284" w:hanging="284"/>
        <w:jc w:val="both"/>
      </w:pPr>
      <w:r w:rsidRPr="00C04B9F">
        <w:rPr>
          <w:rStyle w:val="Znakapoznpodarou"/>
          <w:rFonts w:asciiTheme="minorHAnsi" w:hAnsiTheme="minorHAnsi" w:cstheme="minorHAnsi"/>
        </w:rPr>
        <w:footnoteRef/>
      </w:r>
      <w:r w:rsidRPr="00C04B9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C04B9F">
        <w:rPr>
          <w:rFonts w:ascii="Calibri" w:hAnsi="Calibri" w:cs="Calibri"/>
        </w:rPr>
        <w:t>Zákon č. 320/2001 Sb., o finanční kontrole ve veřejné správě a o změně některých zákonů (zákon o finanční kontrole).</w:t>
      </w:r>
    </w:p>
  </w:footnote>
  <w:footnote w:id="6">
    <w:p w14:paraId="409532E9" w14:textId="77777777" w:rsidR="002A3B98" w:rsidRPr="00C04B9F" w:rsidRDefault="002A3B98" w:rsidP="0036729E">
      <w:pPr>
        <w:pStyle w:val="Textpoznpodarou"/>
        <w:ind w:left="284" w:hanging="284"/>
        <w:rPr>
          <w:rFonts w:asciiTheme="minorHAnsi" w:hAnsiTheme="minorHAnsi" w:cstheme="minorHAnsi"/>
        </w:rPr>
      </w:pPr>
      <w:r w:rsidRPr="00C04B9F">
        <w:rPr>
          <w:rStyle w:val="Znakapoznpodarou"/>
          <w:rFonts w:asciiTheme="minorHAnsi" w:hAnsiTheme="minorHAnsi" w:cstheme="minorHAnsi"/>
        </w:rPr>
        <w:footnoteRef/>
      </w:r>
      <w:r w:rsidRPr="00C04B9F">
        <w:rPr>
          <w:rFonts w:asciiTheme="minorHAnsi" w:hAnsiTheme="minorHAnsi" w:cstheme="minorHAnsi"/>
        </w:rPr>
        <w:t xml:space="preserve"> </w:t>
      </w:r>
      <w:r w:rsidRPr="00C04B9F">
        <w:rPr>
          <w:rFonts w:asciiTheme="minorHAnsi" w:hAnsiTheme="minorHAnsi" w:cstheme="minorHAnsi"/>
        </w:rPr>
        <w:tab/>
        <w:t>Zákon č. 563/1991 Sb., o účetnictví.</w:t>
      </w:r>
    </w:p>
  </w:footnote>
  <w:footnote w:id="7">
    <w:p w14:paraId="36CEF680" w14:textId="77777777" w:rsidR="002A3B98" w:rsidRPr="00B67E6D" w:rsidRDefault="002A3B98" w:rsidP="00A45C55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B67E6D">
        <w:rPr>
          <w:rStyle w:val="Znakapoznpodarou"/>
          <w:rFonts w:asciiTheme="minorHAnsi" w:hAnsiTheme="minorHAnsi" w:cstheme="minorHAnsi"/>
        </w:rPr>
        <w:footnoteRef/>
      </w:r>
      <w:r w:rsidRPr="00B67E6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Vybranými účetními jednotkami jsou podle ustanovení § 1 odst. 3 zákona č. 563/1991 Sb. organizační složky státu, státní fondy podle rozpočtových pravidel, územní samosprávné celky, dobrovolné svazky obcí, příspěvkové organizace a zdravotní pojišťovny.</w:t>
      </w:r>
    </w:p>
  </w:footnote>
  <w:footnote w:id="8">
    <w:p w14:paraId="3CD36EE2" w14:textId="77777777" w:rsidR="002A3B98" w:rsidRDefault="002A3B98" w:rsidP="00D40705">
      <w:pPr>
        <w:pStyle w:val="Textpoznpodarou"/>
        <w:ind w:left="284" w:hanging="284"/>
      </w:pPr>
      <w:r w:rsidRPr="00D40705">
        <w:rPr>
          <w:rStyle w:val="Znakapoznpodarou"/>
          <w:rFonts w:asciiTheme="minorHAnsi" w:hAnsiTheme="minorHAnsi" w:cstheme="minorHAnsi"/>
        </w:rPr>
        <w:footnoteRef/>
      </w:r>
      <w:r w:rsidRPr="00D4070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Viz</w:t>
      </w:r>
      <w:r w:rsidRPr="00870930">
        <w:rPr>
          <w:rFonts w:asciiTheme="minorHAnsi" w:hAnsiTheme="minorHAnsi" w:cstheme="minorHAnsi"/>
        </w:rPr>
        <w:t xml:space="preserve"> </w:t>
      </w:r>
      <w:r w:rsidRPr="008601E3">
        <w:rPr>
          <w:rStyle w:val="Hypertextovodkaz"/>
          <w:rFonts w:asciiTheme="minorHAnsi" w:hAnsiTheme="minorHAnsi" w:cstheme="minorHAnsi"/>
          <w:color w:val="auto"/>
          <w:u w:val="none"/>
        </w:rPr>
        <w:t>https://monitor.statnipokladna.cz/ucetni-jednotka/00007064/rozpocet/vydaje-druhovy?rad=t&amp;obdobi=2112</w:t>
      </w:r>
      <w:r>
        <w:rPr>
          <w:rStyle w:val="Hypertextovodkaz"/>
          <w:rFonts w:asciiTheme="minorHAnsi" w:hAnsiTheme="minorHAnsi" w:cstheme="minorHAnsi"/>
          <w:color w:val="auto"/>
          <w:u w:val="none"/>
        </w:rPr>
        <w:t>.</w:t>
      </w:r>
    </w:p>
  </w:footnote>
  <w:footnote w:id="9">
    <w:p w14:paraId="16519A89" w14:textId="75F7EF17" w:rsidR="002A3B98" w:rsidRPr="0071270C" w:rsidRDefault="002A3B98" w:rsidP="0071270C">
      <w:pPr>
        <w:spacing w:after="0"/>
        <w:ind w:left="284" w:hanging="284"/>
        <w:jc w:val="both"/>
        <w:rPr>
          <w:rFonts w:cs="Calibri"/>
          <w:b/>
          <w:sz w:val="20"/>
          <w:szCs w:val="20"/>
        </w:rPr>
      </w:pPr>
      <w:r w:rsidRPr="00B14B51">
        <w:rPr>
          <w:rStyle w:val="Znakapoznpodarou"/>
          <w:sz w:val="20"/>
          <w:szCs w:val="20"/>
        </w:rPr>
        <w:footnoteRef/>
      </w:r>
      <w:r w:rsidRPr="00B14B51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71270C">
        <w:rPr>
          <w:sz w:val="20"/>
          <w:szCs w:val="20"/>
        </w:rPr>
        <w:t>Výkaz pro hodnocení plnění rozpočtu MV neobsahuje údaje ÚZSI.</w:t>
      </w:r>
    </w:p>
  </w:footnote>
  <w:footnote w:id="10">
    <w:p w14:paraId="53A249B8" w14:textId="77777777" w:rsidR="002A3B98" w:rsidRPr="00DC0696" w:rsidRDefault="002A3B98" w:rsidP="00DC0696">
      <w:pPr>
        <w:pStyle w:val="Textpoznpodarou"/>
        <w:ind w:left="284" w:hanging="284"/>
        <w:rPr>
          <w:rFonts w:asciiTheme="minorHAnsi" w:hAnsiTheme="minorHAnsi" w:cstheme="minorHAnsi"/>
        </w:rPr>
      </w:pPr>
      <w:r w:rsidRPr="00DC0696">
        <w:rPr>
          <w:rStyle w:val="Znakapoznpodarou"/>
          <w:rFonts w:asciiTheme="minorHAnsi" w:hAnsiTheme="minorHAnsi" w:cstheme="minorHAnsi"/>
        </w:rPr>
        <w:footnoteRef/>
      </w:r>
      <w:r w:rsidRPr="00DC069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Viz </w:t>
      </w:r>
      <w:r w:rsidRPr="008D5035">
        <w:rPr>
          <w:rFonts w:asciiTheme="minorHAnsi" w:hAnsiTheme="minorHAnsi" w:cstheme="minorHAnsi"/>
        </w:rPr>
        <w:t>https://www.mvcr.cz/sluzba/docDetail.aspx?docid=10568&amp;docType=ART&amp;chnum=3 (stav k 23.</w:t>
      </w:r>
      <w:r>
        <w:rPr>
          <w:rFonts w:asciiTheme="minorHAnsi" w:hAnsiTheme="minorHAnsi" w:cstheme="minorHAnsi"/>
        </w:rPr>
        <w:t> </w:t>
      </w:r>
      <w:r w:rsidRPr="008D5035">
        <w:rPr>
          <w:rFonts w:asciiTheme="minorHAnsi" w:hAnsiTheme="minorHAnsi" w:cstheme="minorHAnsi"/>
        </w:rPr>
        <w:t>červnu 2022)</w:t>
      </w:r>
      <w:r>
        <w:rPr>
          <w:rFonts w:asciiTheme="minorHAnsi" w:hAnsiTheme="minorHAnsi" w:cstheme="minorHAnsi"/>
        </w:rPr>
        <w:t>.</w:t>
      </w:r>
      <w:r w:rsidRPr="008D5035">
        <w:rPr>
          <w:rFonts w:asciiTheme="minorHAnsi" w:hAnsiTheme="minorHAnsi" w:cstheme="minorHAnsi"/>
        </w:rPr>
        <w:t xml:space="preserve"> </w:t>
      </w:r>
    </w:p>
  </w:footnote>
  <w:footnote w:id="11">
    <w:p w14:paraId="13F2EA6B" w14:textId="77777777" w:rsidR="002A3B98" w:rsidRPr="00BA0F46" w:rsidRDefault="002A3B98" w:rsidP="006B570C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5B042E">
        <w:rPr>
          <w:rStyle w:val="Znakapoznpodarou"/>
          <w:rFonts w:asciiTheme="minorHAnsi" w:hAnsiTheme="minorHAnsi" w:cstheme="minorHAnsi"/>
        </w:rPr>
        <w:footnoteRef/>
      </w:r>
      <w:r w:rsidRPr="005B042E">
        <w:rPr>
          <w:rFonts w:asciiTheme="minorHAnsi" w:hAnsiTheme="minorHAnsi" w:cstheme="minorHAnsi"/>
        </w:rPr>
        <w:t xml:space="preserve"> </w:t>
      </w:r>
      <w:r w:rsidRPr="005B042E">
        <w:rPr>
          <w:rFonts w:asciiTheme="minorHAnsi" w:hAnsiTheme="minorHAnsi" w:cstheme="minorHAnsi"/>
        </w:rPr>
        <w:tab/>
        <w:t>Viz např. kontrolní závěr z</w:t>
      </w:r>
      <w:r>
        <w:rPr>
          <w:rFonts w:asciiTheme="minorHAnsi" w:hAnsiTheme="minorHAnsi" w:cstheme="minorHAnsi"/>
        </w:rPr>
        <w:t xml:space="preserve"> KA č. 20/25 – </w:t>
      </w:r>
      <w:r w:rsidRPr="005B02BD">
        <w:rPr>
          <w:rFonts w:asciiTheme="minorHAnsi" w:hAnsiTheme="minorHAnsi" w:cstheme="minorHAnsi"/>
          <w:i/>
          <w:iCs/>
        </w:rPr>
        <w:t>Závěrečný účet kapitoly státního rozpočtu Ministerstvo spravedlnosti za rok 2020, účetní závěrka Ministerstva spravedlnosti za rok 2020 a údaje předkládané Ministerstvem spravedlnosti pro hodnocení plnění státního rozpočtu za rok 2020</w:t>
      </w:r>
      <w:r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</w:rPr>
        <w:t xml:space="preserve">(kontrolní závěr byl zveřejněn v částce 6/2021 </w:t>
      </w:r>
      <w:r w:rsidRPr="005B02BD">
        <w:rPr>
          <w:rFonts w:asciiTheme="minorHAnsi" w:hAnsiTheme="minorHAnsi" w:cstheme="minorHAnsi"/>
          <w:i/>
          <w:iCs/>
        </w:rPr>
        <w:t>Věstníku NKÚ</w:t>
      </w:r>
      <w:r>
        <w:rPr>
          <w:rFonts w:asciiTheme="minorHAnsi" w:hAnsiTheme="minorHAnsi" w:cstheme="minorHAnsi"/>
        </w:rPr>
        <w:t xml:space="preserve">), kontrolní závěr z KA </w:t>
      </w:r>
      <w:r w:rsidRPr="005B042E">
        <w:rPr>
          <w:rFonts w:asciiTheme="minorHAnsi" w:hAnsiTheme="minorHAnsi" w:cstheme="minorHAnsi"/>
        </w:rPr>
        <w:t xml:space="preserve">č. 19/21 – </w:t>
      </w:r>
      <w:r w:rsidRPr="005B042E">
        <w:rPr>
          <w:rFonts w:asciiTheme="minorHAnsi" w:hAnsiTheme="minorHAnsi" w:cstheme="minorHAnsi"/>
          <w:i/>
        </w:rPr>
        <w:t>Závěrečný účet kapitoly státního rozpočtu Ministerstvo pro místní rozvoj za rok 2018, účetní závěrka Ministerstva pro místní rozvoj za rok 2018 a údaje předkládané Ministerstvem pro místní rozvoj pro hodnocení plnění státního rozpočtu za rok 2018</w:t>
      </w:r>
      <w:r w:rsidRPr="005B042E">
        <w:rPr>
          <w:rFonts w:asciiTheme="minorHAnsi" w:hAnsiTheme="minorHAnsi" w:cstheme="minorHAnsi"/>
        </w:rPr>
        <w:t xml:space="preserve"> (kontrolní závěr byl zveřejněn v částce 6/</w:t>
      </w:r>
      <w:r>
        <w:rPr>
          <w:rFonts w:asciiTheme="minorHAnsi" w:hAnsiTheme="minorHAnsi" w:cstheme="minorHAnsi"/>
        </w:rPr>
        <w:t xml:space="preserve">2020 </w:t>
      </w:r>
      <w:r w:rsidRPr="005B042E">
        <w:rPr>
          <w:rFonts w:asciiTheme="minorHAnsi" w:hAnsiTheme="minorHAnsi" w:cstheme="minorHAnsi"/>
          <w:i/>
        </w:rPr>
        <w:t>Věstníku NKÚ</w:t>
      </w:r>
      <w:r w:rsidRPr="005B042E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nebo kontrolní závěr z KA </w:t>
      </w:r>
      <w:r w:rsidRPr="005B042E">
        <w:rPr>
          <w:rFonts w:asciiTheme="minorHAnsi" w:hAnsiTheme="minorHAnsi" w:cstheme="minorHAnsi"/>
        </w:rPr>
        <w:t>č. 18/13 –</w:t>
      </w:r>
      <w:r w:rsidRPr="005B042E">
        <w:rPr>
          <w:rFonts w:asciiTheme="minorHAnsi" w:hAnsiTheme="minorHAnsi" w:cstheme="minorHAnsi"/>
          <w:i/>
        </w:rPr>
        <w:t xml:space="preserve"> Závěrečný účet kapitoly státního rozpočtu Ministerstvo zdravotnictví za rok 2017, účetní závěrka Ministerstva zdravotnictví za rok 2017 a údaje předkládané Ministerstvem zdravotnictví pro hodnocení plnění státního rozpočtu za rok 2017</w:t>
      </w:r>
      <w:r w:rsidRPr="005B042E">
        <w:rPr>
          <w:rFonts w:asciiTheme="minorHAnsi" w:hAnsiTheme="minorHAnsi" w:cstheme="minorHAnsi"/>
        </w:rPr>
        <w:t xml:space="preserve"> (kontrolní závěr byl zveřejněn v částce 1/2019</w:t>
      </w:r>
      <w:r w:rsidRPr="005B042E">
        <w:rPr>
          <w:rFonts w:asciiTheme="minorHAnsi" w:hAnsiTheme="minorHAnsi" w:cstheme="minorHAnsi"/>
          <w:i/>
        </w:rPr>
        <w:t xml:space="preserve"> Věstníku NKÚ</w:t>
      </w:r>
      <w:r w:rsidRPr="005B042E">
        <w:rPr>
          <w:rFonts w:asciiTheme="minorHAnsi" w:hAnsiTheme="minorHAnsi" w:cstheme="minorHAnsi"/>
        </w:rPr>
        <w:t>).</w:t>
      </w:r>
    </w:p>
  </w:footnote>
  <w:footnote w:id="12">
    <w:p w14:paraId="6917C4CA" w14:textId="77777777" w:rsidR="002A3B98" w:rsidRPr="0066297E" w:rsidRDefault="002A3B98" w:rsidP="006B570C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66297E">
        <w:rPr>
          <w:rStyle w:val="Znakapoznpodarou"/>
          <w:rFonts w:asciiTheme="minorHAnsi" w:hAnsiTheme="minorHAnsi" w:cstheme="minorHAnsi"/>
        </w:rPr>
        <w:footnoteRef/>
      </w:r>
      <w:r w:rsidRPr="0066297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427755">
        <w:rPr>
          <w:rFonts w:asciiTheme="minorHAnsi" w:hAnsiTheme="minorHAnsi" w:cstheme="minorHAnsi"/>
        </w:rPr>
        <w:t>Zákon č. 218/2000 Sb., o rozpočtových pravidlech a o změně některých souvisejících zákonů (rozpočtová pravidla)</w:t>
      </w:r>
      <w:r w:rsidRPr="00503962">
        <w:rPr>
          <w:rFonts w:asciiTheme="minorHAnsi" w:hAnsiTheme="minorHAnsi" w:cstheme="minorHAnsi"/>
        </w:rPr>
        <w:t>.</w:t>
      </w:r>
    </w:p>
  </w:footnote>
  <w:footnote w:id="13">
    <w:p w14:paraId="4FE562E2" w14:textId="439C3F4D" w:rsidR="002A3B98" w:rsidRPr="001F3453" w:rsidRDefault="002A3B98" w:rsidP="00813857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485A80">
        <w:rPr>
          <w:rStyle w:val="Znakapoznpodarou"/>
          <w:rFonts w:ascii="Calibri" w:hAnsi="Calibri" w:cs="Calibri"/>
        </w:rPr>
        <w:footnoteRef/>
      </w:r>
      <w:r w:rsidRPr="00485A80">
        <w:rPr>
          <w:rFonts w:ascii="Calibri" w:hAnsi="Calibri" w:cs="Calibri"/>
        </w:rPr>
        <w:t xml:space="preserve"> </w:t>
      </w:r>
      <w:r w:rsidRPr="00485A80">
        <w:rPr>
          <w:rFonts w:ascii="Calibri" w:hAnsi="Calibri" w:cs="Calibri"/>
        </w:rPr>
        <w:tab/>
        <w:t>Zákon č. 304/2008 Sb., kterým se mění zákon č. 563/1991 Sb., o účetnictví, ve znění pozdějších předpisů, a některé zákony. Důvodová zpráva k tomuto zákonu uvádí, že jedním ze základních cílů účetní reformy je také: „</w:t>
      </w:r>
      <w:r w:rsidRPr="00485A80">
        <w:rPr>
          <w:rFonts w:ascii="Calibri" w:hAnsi="Calibri" w:cs="Calibri"/>
          <w:i/>
        </w:rPr>
        <w:t>zajištění důvěryhodných informací pro účely vykazování, a to opět na úrovni státu i jednotlivých účetních jednotek</w:t>
      </w:r>
      <w:r>
        <w:rPr>
          <w:rFonts w:ascii="Calibri" w:hAnsi="Calibri" w:cs="Calibri"/>
          <w:i/>
        </w:rPr>
        <w:t>,</w:t>
      </w:r>
      <w:r w:rsidRPr="00485A80">
        <w:rPr>
          <w:rFonts w:ascii="Calibri" w:hAnsi="Calibri" w:cs="Calibri"/>
          <w:i/>
        </w:rPr>
        <w:t xml:space="preserve"> např. správců kapitol státního rozpočtu</w:t>
      </w:r>
      <w:r w:rsidRPr="00124170">
        <w:rPr>
          <w:rFonts w:ascii="Calibri" w:hAnsi="Calibri" w:cs="Calibri"/>
        </w:rPr>
        <w:t>.</w:t>
      </w:r>
      <w:r w:rsidRPr="00241BCB">
        <w:rPr>
          <w:rFonts w:ascii="Calibri" w:hAnsi="Calibri" w:cs="Calibri"/>
        </w:rPr>
        <w:t>“</w:t>
      </w:r>
    </w:p>
  </w:footnote>
  <w:footnote w:id="14">
    <w:p w14:paraId="2E0F485A" w14:textId="77777777" w:rsidR="002A3B98" w:rsidRPr="00485A80" w:rsidRDefault="002A3B98" w:rsidP="00813857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485A80">
        <w:rPr>
          <w:rStyle w:val="Znakapoznpodarou"/>
          <w:rFonts w:ascii="Calibri" w:hAnsi="Calibri" w:cs="Calibri"/>
        </w:rPr>
        <w:footnoteRef/>
      </w:r>
      <w:r w:rsidRPr="00485A80">
        <w:rPr>
          <w:rFonts w:ascii="Calibri" w:hAnsi="Calibri" w:cs="Calibri"/>
        </w:rPr>
        <w:t xml:space="preserve"> </w:t>
      </w:r>
      <w:r w:rsidRPr="00485A80">
        <w:rPr>
          <w:rFonts w:ascii="Calibri" w:hAnsi="Calibri" w:cs="Calibri"/>
        </w:rPr>
        <w:tab/>
        <w:t xml:space="preserve">Viz kontrolní závěr z KA č. 13/11 – </w:t>
      </w:r>
      <w:r w:rsidRPr="00485A80">
        <w:rPr>
          <w:rFonts w:ascii="Calibri" w:hAnsi="Calibri" w:cs="Calibri"/>
          <w:i/>
        </w:rPr>
        <w:t>Údaje pro účely monitorování a řízení veřejných financí předávané Ministerstvem průmyslu a obchodu k 31. 12. 2012 ve formě pomocného analytického přehledu prostřednictvím centrálního systému účetních informací státu</w:t>
      </w:r>
      <w:r w:rsidRPr="00485A80">
        <w:rPr>
          <w:rFonts w:ascii="Calibri" w:hAnsi="Calibri" w:cs="Calibri"/>
        </w:rPr>
        <w:t xml:space="preserve"> (kontrolní závěr byl zveřejněn v částce 4/2013 </w:t>
      </w:r>
      <w:r w:rsidRPr="00485A80">
        <w:rPr>
          <w:rFonts w:ascii="Calibri" w:hAnsi="Calibri" w:cs="Calibri"/>
          <w:i/>
        </w:rPr>
        <w:t>Věstníku NKÚ</w:t>
      </w:r>
      <w:r w:rsidRPr="00485A80">
        <w:rPr>
          <w:rFonts w:ascii="Calibri" w:hAnsi="Calibri" w:cs="Calibri"/>
        </w:rPr>
        <w:t xml:space="preserve">). </w:t>
      </w:r>
    </w:p>
  </w:footnote>
  <w:footnote w:id="15">
    <w:p w14:paraId="1B576CC7" w14:textId="2C758A3C" w:rsidR="002A3B98" w:rsidRPr="006B0F77" w:rsidRDefault="002A3B98" w:rsidP="00813857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485A80">
        <w:rPr>
          <w:rStyle w:val="Znakapoznpodarou"/>
          <w:rFonts w:ascii="Calibri" w:hAnsi="Calibri" w:cs="Calibri"/>
        </w:rPr>
        <w:footnoteRef/>
      </w:r>
      <w:r w:rsidRPr="00485A80">
        <w:rPr>
          <w:rFonts w:ascii="Calibri" w:hAnsi="Calibri" w:cs="Calibri"/>
        </w:rPr>
        <w:t xml:space="preserve"> </w:t>
      </w:r>
      <w:r w:rsidRPr="00485A80">
        <w:rPr>
          <w:rFonts w:ascii="Calibri" w:hAnsi="Calibri" w:cs="Calibri"/>
        </w:rPr>
        <w:tab/>
        <w:t>V souladu s </w:t>
      </w:r>
      <w:r w:rsidRPr="0031237E">
        <w:rPr>
          <w:rFonts w:ascii="Calibri" w:hAnsi="Calibri" w:cs="Calibri"/>
          <w:i/>
          <w:iCs/>
        </w:rPr>
        <w:t>koncepčním rámcem mezinárodních účetních standardů pro veřejný sektor</w:t>
      </w:r>
      <w:r w:rsidRPr="00485A80">
        <w:rPr>
          <w:rFonts w:ascii="Calibri" w:hAnsi="Calibri" w:cs="Calibri"/>
        </w:rPr>
        <w:t xml:space="preserve"> (dále </w:t>
      </w:r>
      <w:r>
        <w:rPr>
          <w:rFonts w:ascii="Calibri" w:hAnsi="Calibri" w:cs="Calibri"/>
        </w:rPr>
        <w:t>jen</w:t>
      </w:r>
      <w:r w:rsidRPr="00485A80">
        <w:rPr>
          <w:rFonts w:ascii="Calibri" w:hAnsi="Calibri" w:cs="Calibri"/>
        </w:rPr>
        <w:t xml:space="preserve"> „Koncepční rámec“) je </w:t>
      </w:r>
      <w:r w:rsidRPr="0031237E">
        <w:rPr>
          <w:rFonts w:ascii="Calibri" w:hAnsi="Calibri" w:cs="Calibri"/>
          <w:b/>
        </w:rPr>
        <w:t xml:space="preserve">cílem účetního výkaznictví účetních jednotek veřejného sektoru poskytnout </w:t>
      </w:r>
      <w:r>
        <w:rPr>
          <w:rFonts w:ascii="Calibri" w:hAnsi="Calibri" w:cs="Calibri"/>
          <w:b/>
        </w:rPr>
        <w:t xml:space="preserve">uživateli účetní závěrky </w:t>
      </w:r>
      <w:r w:rsidRPr="0031237E">
        <w:rPr>
          <w:rFonts w:ascii="Calibri" w:hAnsi="Calibri" w:cs="Calibri"/>
          <w:b/>
        </w:rPr>
        <w:t>informace</w:t>
      </w:r>
      <w:r w:rsidRPr="007C6483">
        <w:rPr>
          <w:rFonts w:ascii="Calibri" w:hAnsi="Calibri" w:cs="Calibri"/>
          <w:bCs/>
        </w:rPr>
        <w:t xml:space="preserve"> o účetní jednotce</w:t>
      </w:r>
      <w:r>
        <w:rPr>
          <w:rFonts w:ascii="Calibri" w:hAnsi="Calibri" w:cs="Calibri"/>
          <w:bCs/>
        </w:rPr>
        <w:t xml:space="preserve"> </w:t>
      </w:r>
      <w:r w:rsidRPr="001F3453">
        <w:rPr>
          <w:rFonts w:ascii="Calibri" w:hAnsi="Calibri" w:cs="Calibri"/>
          <w:b/>
          <w:bCs/>
        </w:rPr>
        <w:t>za účelem</w:t>
      </w:r>
      <w:r w:rsidRPr="007C6483">
        <w:rPr>
          <w:rFonts w:ascii="Calibri" w:hAnsi="Calibri" w:cs="Calibri"/>
          <w:bCs/>
        </w:rPr>
        <w:t xml:space="preserve"> </w:t>
      </w:r>
      <w:r w:rsidRPr="0031237E">
        <w:rPr>
          <w:rFonts w:ascii="Calibri" w:hAnsi="Calibri" w:cs="Calibri"/>
          <w:b/>
        </w:rPr>
        <w:t>skládání účtů</w:t>
      </w:r>
      <w:r w:rsidRPr="00485A80">
        <w:rPr>
          <w:rFonts w:ascii="Calibri" w:hAnsi="Calibri" w:cs="Calibri"/>
        </w:rPr>
        <w:t xml:space="preserve"> a</w:t>
      </w:r>
      <w:r>
        <w:rPr>
          <w:rFonts w:ascii="Calibri" w:hAnsi="Calibri" w:cs="Calibri"/>
        </w:rPr>
        <w:t xml:space="preserve"> </w:t>
      </w:r>
      <w:r w:rsidRPr="00485A80">
        <w:rPr>
          <w:rFonts w:ascii="Calibri" w:hAnsi="Calibri" w:cs="Calibri"/>
        </w:rPr>
        <w:t xml:space="preserve">za </w:t>
      </w:r>
      <w:r w:rsidRPr="00FE6FAD">
        <w:rPr>
          <w:rFonts w:ascii="Calibri" w:hAnsi="Calibri" w:cs="Calibri"/>
        </w:rPr>
        <w:t>účelem rozhodování. V Koncepčním rámci je uvedeno, že vlády a jiné účetní jednotky veřejného sektoru jsou</w:t>
      </w:r>
      <w:r w:rsidRPr="00485A80">
        <w:rPr>
          <w:rFonts w:ascii="Calibri" w:hAnsi="Calibri" w:cs="Calibri"/>
        </w:rPr>
        <w:t xml:space="preserve"> odpovědny těm, kteří jim poskytují prostředky, a těm, kteří tyto prostředky přijímají. Splnění povinnosti skládání účtů vyžaduje poskytování informací občanům o tom, jak účetní jednotka veřejného sektoru hospodaří s</w:t>
      </w:r>
      <w:r>
        <w:rPr>
          <w:rFonts w:ascii="Calibri" w:hAnsi="Calibri" w:cs="Calibri"/>
        </w:rPr>
        <w:t>e</w:t>
      </w:r>
      <w:r w:rsidRPr="00485A80">
        <w:rPr>
          <w:rFonts w:ascii="Calibri" w:hAnsi="Calibri" w:cs="Calibri"/>
        </w:rPr>
        <w:t xml:space="preserve"> svěřenými </w:t>
      </w:r>
      <w:r w:rsidRPr="006B0F77">
        <w:rPr>
          <w:rFonts w:ascii="Calibri" w:hAnsi="Calibri" w:cs="Calibri"/>
        </w:rPr>
        <w:t>prostředky určenými na poskytování služeb občanům a dalším subjektům.</w:t>
      </w:r>
    </w:p>
  </w:footnote>
  <w:footnote w:id="16">
    <w:p w14:paraId="03F4DE18" w14:textId="77777777" w:rsidR="002A3B98" w:rsidRPr="006B0F77" w:rsidRDefault="002A3B98" w:rsidP="00813857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6B0F77">
        <w:rPr>
          <w:rStyle w:val="Znakapoznpodarou"/>
          <w:rFonts w:asciiTheme="minorHAnsi" w:hAnsiTheme="minorHAnsi" w:cstheme="minorHAnsi"/>
        </w:rPr>
        <w:footnoteRef/>
      </w:r>
      <w:r w:rsidRPr="006B0F77">
        <w:rPr>
          <w:rFonts w:asciiTheme="minorHAnsi" w:hAnsiTheme="minorHAnsi" w:cstheme="minorHAnsi"/>
        </w:rPr>
        <w:t xml:space="preserve"> </w:t>
      </w:r>
      <w:r w:rsidRPr="006B0F7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Údaje v</w:t>
      </w:r>
      <w:r w:rsidRPr="006B0F77">
        <w:rPr>
          <w:rFonts w:asciiTheme="minorHAnsi" w:hAnsiTheme="minorHAnsi" w:cstheme="minorHAnsi"/>
        </w:rPr>
        <w:t>ypovídající o skutečnostech, které zatím nebyly</w:t>
      </w:r>
      <w:r>
        <w:rPr>
          <w:rFonts w:asciiTheme="minorHAnsi" w:hAnsiTheme="minorHAnsi" w:cstheme="minorHAnsi"/>
        </w:rPr>
        <w:t xml:space="preserve"> v příslušném rozpočtovém roce</w:t>
      </w:r>
      <w:r w:rsidRPr="006B0F77">
        <w:rPr>
          <w:rFonts w:asciiTheme="minorHAnsi" w:hAnsiTheme="minorHAnsi" w:cstheme="minorHAnsi"/>
        </w:rPr>
        <w:t xml:space="preserve"> spojeny s peněžním tokem, ale jedná se např. o již existující spotřebu zdrojů nebo o finanční rizika.</w:t>
      </w:r>
    </w:p>
  </w:footnote>
  <w:footnote w:id="17">
    <w:p w14:paraId="63F9035A" w14:textId="77777777" w:rsidR="002A3B98" w:rsidRPr="00DC0696" w:rsidRDefault="002A3B98" w:rsidP="00DC0696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DC0696">
        <w:rPr>
          <w:rStyle w:val="Znakapoznpodarou"/>
          <w:rFonts w:asciiTheme="minorHAnsi" w:hAnsiTheme="minorHAnsi" w:cstheme="minorHAnsi"/>
        </w:rPr>
        <w:footnoteRef/>
      </w:r>
      <w:r w:rsidRPr="00DC069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DC0696">
        <w:rPr>
          <w:rFonts w:asciiTheme="minorHAnsi" w:hAnsiTheme="minorHAnsi" w:cstheme="minorHAnsi"/>
        </w:rPr>
        <w:t>Konsolidac</w:t>
      </w:r>
      <w:r>
        <w:rPr>
          <w:rFonts w:asciiTheme="minorHAnsi" w:hAnsiTheme="minorHAnsi" w:cstheme="minorHAnsi"/>
        </w:rPr>
        <w:t xml:space="preserve">í </w:t>
      </w:r>
      <w:r w:rsidRPr="00DC0696">
        <w:rPr>
          <w:rFonts w:asciiTheme="minorHAnsi" w:hAnsiTheme="minorHAnsi" w:cstheme="minorHAnsi"/>
        </w:rPr>
        <w:t xml:space="preserve">se rozumí </w:t>
      </w:r>
      <w:r>
        <w:rPr>
          <w:rFonts w:asciiTheme="minorHAnsi" w:hAnsiTheme="minorHAnsi" w:cstheme="minorHAnsi"/>
        </w:rPr>
        <w:t xml:space="preserve">sestavení účetní závěrky za skupinu propojených účetních jednotek </w:t>
      </w:r>
      <w:r w:rsidRPr="00DC0696">
        <w:rPr>
          <w:rFonts w:asciiTheme="minorHAnsi" w:hAnsiTheme="minorHAnsi" w:cstheme="minorHAnsi"/>
        </w:rPr>
        <w:t>tvořících jeden ekonomický celek.</w:t>
      </w:r>
    </w:p>
  </w:footnote>
  <w:footnote w:id="18">
    <w:p w14:paraId="63027C38" w14:textId="77777777" w:rsidR="002A3B98" w:rsidRPr="00C3443D" w:rsidRDefault="002A3B98" w:rsidP="00865A96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C3443D">
        <w:rPr>
          <w:rStyle w:val="Znakapoznpodarou"/>
          <w:rFonts w:asciiTheme="minorHAnsi" w:hAnsiTheme="minorHAnsi" w:cstheme="minorHAnsi"/>
        </w:rPr>
        <w:footnoteRef/>
      </w:r>
      <w:r w:rsidRPr="00C3443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Vyhláška č. 312/2014 Sb., o podmínkách sestavení účetních výkazů za Českou republiku (konsolidační vyhláška státu).</w:t>
      </w:r>
    </w:p>
  </w:footnote>
  <w:footnote w:id="19">
    <w:p w14:paraId="71645917" w14:textId="77777777" w:rsidR="002A3B98" w:rsidRPr="0021631C" w:rsidRDefault="002A3B98" w:rsidP="00006F9D">
      <w:pPr>
        <w:pStyle w:val="Textpoznpodarou"/>
        <w:tabs>
          <w:tab w:val="left" w:pos="284"/>
        </w:tabs>
        <w:rPr>
          <w:rFonts w:asciiTheme="minorHAnsi" w:hAnsiTheme="minorHAnsi" w:cstheme="minorHAnsi"/>
        </w:rPr>
      </w:pPr>
      <w:r w:rsidRPr="0021631C">
        <w:rPr>
          <w:rStyle w:val="Znakapoznpodarou"/>
          <w:rFonts w:asciiTheme="minorHAnsi" w:hAnsiTheme="minorHAnsi" w:cstheme="minorHAnsi"/>
        </w:rPr>
        <w:footnoteRef/>
      </w:r>
      <w:r w:rsidRPr="0021631C">
        <w:rPr>
          <w:rFonts w:asciiTheme="minorHAnsi" w:hAnsiTheme="minorHAnsi" w:cstheme="minorHAnsi"/>
        </w:rPr>
        <w:t xml:space="preserve"> </w:t>
      </w:r>
      <w:r w:rsidRPr="0021631C">
        <w:rPr>
          <w:rFonts w:asciiTheme="minorHAnsi" w:hAnsiTheme="minorHAnsi" w:cstheme="minorHAnsi"/>
        </w:rPr>
        <w:tab/>
        <w:t>Zákon č. 255/2012 Sb., o kontrole (kontrolní řád).</w:t>
      </w:r>
    </w:p>
  </w:footnote>
  <w:footnote w:id="20">
    <w:p w14:paraId="31BAC503" w14:textId="3444F764" w:rsidR="002A3B98" w:rsidRPr="0078187C" w:rsidRDefault="002A3B98" w:rsidP="00124170">
      <w:pPr>
        <w:pStyle w:val="Textpoznpodarou"/>
        <w:ind w:left="284" w:hanging="284"/>
        <w:rPr>
          <w:rFonts w:asciiTheme="minorHAnsi" w:hAnsiTheme="minorHAnsi" w:cstheme="minorHAnsi"/>
        </w:rPr>
      </w:pPr>
      <w:r w:rsidRPr="0078187C">
        <w:rPr>
          <w:rStyle w:val="Znakapoznpodarou"/>
          <w:rFonts w:asciiTheme="minorHAnsi" w:hAnsiTheme="minorHAnsi" w:cstheme="minorHAnsi"/>
        </w:rPr>
        <w:footnoteRef/>
      </w:r>
      <w:r w:rsidRPr="0078187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78187C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ákon č. 219/2000 Sb., </w:t>
      </w:r>
      <w:r w:rsidRPr="00FE06C6">
        <w:rPr>
          <w:rFonts w:asciiTheme="minorHAnsi" w:hAnsiTheme="minorHAnsi" w:cstheme="minorHAnsi"/>
        </w:rPr>
        <w:t>o majetku České republiky a jejím vystupování v právních vztazích</w:t>
      </w:r>
      <w:r>
        <w:rPr>
          <w:rFonts w:asciiTheme="minorHAnsi" w:hAnsiTheme="minorHAnsi" w:cstheme="minorHAnsi"/>
        </w:rPr>
        <w:t>.</w:t>
      </w:r>
      <w:r w:rsidRPr="0078187C">
        <w:rPr>
          <w:rFonts w:asciiTheme="minorHAnsi" w:hAnsiTheme="minorHAnsi" w:cstheme="minorHAnsi"/>
        </w:rPr>
        <w:t xml:space="preserve"> </w:t>
      </w:r>
    </w:p>
  </w:footnote>
  <w:footnote w:id="21">
    <w:p w14:paraId="6524CF17" w14:textId="77777777" w:rsidR="002A3B98" w:rsidRPr="00B406C8" w:rsidRDefault="002A3B98" w:rsidP="00DB408A">
      <w:pPr>
        <w:pStyle w:val="Textpoznpodarou"/>
        <w:ind w:left="278" w:hanging="278"/>
        <w:jc w:val="both"/>
        <w:rPr>
          <w:rFonts w:asciiTheme="minorHAnsi" w:hAnsiTheme="minorHAnsi" w:cstheme="minorHAnsi"/>
        </w:rPr>
      </w:pPr>
      <w:r w:rsidRPr="00B406C8">
        <w:rPr>
          <w:rStyle w:val="Znakapoznpodarou"/>
          <w:rFonts w:asciiTheme="minorHAnsi" w:hAnsiTheme="minorHAnsi" w:cstheme="minorHAnsi"/>
        </w:rPr>
        <w:footnoteRef/>
      </w:r>
      <w:r w:rsidRPr="00B406C8">
        <w:rPr>
          <w:rFonts w:asciiTheme="minorHAnsi" w:hAnsiTheme="minorHAnsi" w:cstheme="minorHAnsi"/>
        </w:rPr>
        <w:t xml:space="preserve"> </w:t>
      </w:r>
      <w:r w:rsidRPr="00B406C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Dle ustanovení § 3 písm. o) rozpočtových pravidel je rozpočtový systém informačním systémem veřejné správy, v němž se mj. soustřeďují údaje pro hodnocení plnění státního rozpočtu</w:t>
      </w:r>
      <w:r w:rsidRPr="00B406C8">
        <w:rPr>
          <w:rFonts w:asciiTheme="minorHAnsi" w:hAnsiTheme="minorHAnsi" w:cstheme="minorHAnsi"/>
        </w:rPr>
        <w:t>.</w:t>
      </w:r>
    </w:p>
  </w:footnote>
  <w:footnote w:id="22">
    <w:p w14:paraId="50299EBD" w14:textId="77777777" w:rsidR="002A3B98" w:rsidRPr="00B30899" w:rsidRDefault="002A3B98" w:rsidP="00F45904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B30899">
        <w:rPr>
          <w:rStyle w:val="Znakapoznpodarou"/>
          <w:rFonts w:ascii="Calibri" w:hAnsi="Calibri" w:cs="Calibri"/>
        </w:rPr>
        <w:footnoteRef/>
      </w:r>
      <w:r w:rsidRPr="00B30899">
        <w:rPr>
          <w:rFonts w:ascii="Calibri" w:hAnsi="Calibri" w:cs="Calibri"/>
        </w:rPr>
        <w:t xml:space="preserve"> </w:t>
      </w:r>
      <w:r w:rsidRPr="00B30899">
        <w:rPr>
          <w:rFonts w:ascii="Calibri" w:hAnsi="Calibri" w:cs="Calibri"/>
        </w:rPr>
        <w:tab/>
        <w:t>Dle ustanovení § 20</w:t>
      </w:r>
      <w:r>
        <w:rPr>
          <w:rFonts w:ascii="Calibri" w:hAnsi="Calibri" w:cs="Calibri"/>
        </w:rPr>
        <w:t xml:space="preserve"> odst. 4</w:t>
      </w:r>
      <w:r w:rsidRPr="00B30899">
        <w:rPr>
          <w:rFonts w:ascii="Calibri" w:hAnsi="Calibri" w:cs="Calibri"/>
        </w:rPr>
        <w:t xml:space="preserve"> rozpočtových pravid</w:t>
      </w:r>
      <w:r>
        <w:rPr>
          <w:rFonts w:ascii="Calibri" w:hAnsi="Calibri" w:cs="Calibri"/>
        </w:rPr>
        <w:t>e</w:t>
      </w:r>
      <w:r w:rsidRPr="00B30899">
        <w:rPr>
          <w:rFonts w:ascii="Calibri" w:hAnsi="Calibri" w:cs="Calibri"/>
        </w:rPr>
        <w:t>l</w:t>
      </w:r>
      <w:r>
        <w:rPr>
          <w:rFonts w:ascii="Calibri" w:hAnsi="Calibri" w:cs="Calibri"/>
        </w:rPr>
        <w:t xml:space="preserve"> jsou OSS</w:t>
      </w:r>
      <w:r w:rsidRPr="00B30899">
        <w:rPr>
          <w:rFonts w:ascii="Calibri" w:hAnsi="Calibri" w:cs="Calibri"/>
        </w:rPr>
        <w:t xml:space="preserve"> povinny předkládat údaje potřebné pro průběžné hodnocení plnění státního rozpočtu. Způsob a termíny předkládání údajů a jejich rozsah stanovuje vyhláška č. 5/2014 Sb., o způsobu, termínech a rozsahu údajů předkládaných pro hodnocení plnění státního rozpočtu, rozpočtů státních fondů, rozpočtů územních samosprávných celků, rozpočtů dobrovolných svazků obcí a</w:t>
      </w:r>
      <w:r>
        <w:rPr>
          <w:rFonts w:ascii="Calibri" w:hAnsi="Calibri" w:cs="Calibri"/>
        </w:rPr>
        <w:t> </w:t>
      </w:r>
      <w:r w:rsidRPr="00B30899">
        <w:rPr>
          <w:rFonts w:ascii="Calibri" w:hAnsi="Calibri" w:cs="Calibri"/>
        </w:rPr>
        <w:t xml:space="preserve">rozpočtů </w:t>
      </w:r>
      <w:r>
        <w:rPr>
          <w:rFonts w:ascii="Calibri" w:hAnsi="Calibri" w:cs="Calibri"/>
        </w:rPr>
        <w:t>R</w:t>
      </w:r>
      <w:r w:rsidRPr="00B30899">
        <w:rPr>
          <w:rFonts w:ascii="Calibri" w:hAnsi="Calibri" w:cs="Calibri"/>
        </w:rPr>
        <w:t xml:space="preserve">egionálních rad regionů soudržnosti. Dle </w:t>
      </w:r>
      <w:r>
        <w:rPr>
          <w:rFonts w:ascii="Calibri" w:hAnsi="Calibri" w:cs="Calibri"/>
        </w:rPr>
        <w:t>ustanovení § 5 odst. 1 a</w:t>
      </w:r>
      <w:r w:rsidRPr="00B30899">
        <w:rPr>
          <w:rFonts w:ascii="Calibri" w:hAnsi="Calibri" w:cs="Calibri"/>
        </w:rPr>
        <w:t xml:space="preserve"> dle přílohy č. </w:t>
      </w:r>
      <w:r>
        <w:rPr>
          <w:rFonts w:ascii="Calibri" w:hAnsi="Calibri" w:cs="Calibri"/>
        </w:rPr>
        <w:t>1 této vyhlášky zpracovávají OSS</w:t>
      </w:r>
      <w:r w:rsidRPr="00B30899">
        <w:rPr>
          <w:rFonts w:ascii="Calibri" w:hAnsi="Calibri" w:cs="Calibri"/>
        </w:rPr>
        <w:t xml:space="preserve"> údaje pro hodnocení p</w:t>
      </w:r>
      <w:r>
        <w:rPr>
          <w:rFonts w:ascii="Calibri" w:hAnsi="Calibri" w:cs="Calibri"/>
        </w:rPr>
        <w:t>lnění státního rozpočtu přímo v </w:t>
      </w:r>
      <w:r w:rsidRPr="00B30899">
        <w:rPr>
          <w:rFonts w:ascii="Calibri" w:hAnsi="Calibri" w:cs="Calibri"/>
        </w:rPr>
        <w:t>rozpočtovém systému, ve kterém je z </w:t>
      </w:r>
      <w:r>
        <w:rPr>
          <w:rFonts w:ascii="Calibri" w:hAnsi="Calibri" w:cs="Calibri"/>
        </w:rPr>
        <w:t>nich následně sestavován výkaz FIN 1-12 OSS</w:t>
      </w:r>
      <w:r w:rsidRPr="00B30899">
        <w:rPr>
          <w:rFonts w:ascii="Calibri" w:hAnsi="Calibri" w:cs="Calibri"/>
        </w:rPr>
        <w:t>.</w:t>
      </w:r>
    </w:p>
  </w:footnote>
  <w:footnote w:id="23">
    <w:p w14:paraId="67BB9C63" w14:textId="77777777" w:rsidR="002A3B98" w:rsidRPr="009013D4" w:rsidRDefault="002A3B98" w:rsidP="009013D4">
      <w:pPr>
        <w:pStyle w:val="Textpoznpodarou"/>
        <w:ind w:left="284" w:hanging="284"/>
        <w:rPr>
          <w:rFonts w:asciiTheme="minorHAnsi" w:hAnsiTheme="minorHAnsi" w:cstheme="minorHAnsi"/>
        </w:rPr>
      </w:pPr>
      <w:r w:rsidRPr="009013D4">
        <w:rPr>
          <w:rStyle w:val="Znakapoznpodarou"/>
          <w:rFonts w:asciiTheme="minorHAnsi" w:hAnsiTheme="minorHAnsi" w:cstheme="minorHAnsi"/>
        </w:rPr>
        <w:footnoteRef/>
      </w:r>
      <w:r w:rsidRPr="009013D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Výkaz pro hodnocení plnění rozpočtu MV neobsahuje údaje za jinou OSS.</w:t>
      </w:r>
    </w:p>
  </w:footnote>
  <w:footnote w:id="24">
    <w:p w14:paraId="236B791A" w14:textId="77777777" w:rsidR="002A3B98" w:rsidRPr="00306CED" w:rsidRDefault="002A3B98" w:rsidP="00916785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306CED">
        <w:rPr>
          <w:rStyle w:val="Znakapoznpodarou"/>
          <w:rFonts w:asciiTheme="minorHAnsi" w:hAnsiTheme="minorHAnsi" w:cstheme="minorHAnsi"/>
        </w:rPr>
        <w:footnoteRef/>
      </w:r>
      <w:r w:rsidRPr="00306CE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MV</w:t>
      </w:r>
      <w:r w:rsidRPr="00ED3F4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je </w:t>
      </w:r>
      <w:r w:rsidRPr="00ED3F44">
        <w:rPr>
          <w:rFonts w:asciiTheme="minorHAnsi" w:hAnsiTheme="minorHAnsi" w:cstheme="minorHAnsi"/>
        </w:rPr>
        <w:t>jako</w:t>
      </w:r>
      <w:r>
        <w:rPr>
          <w:rFonts w:asciiTheme="minorHAnsi" w:hAnsiTheme="minorHAnsi" w:cstheme="minorHAnsi"/>
        </w:rPr>
        <w:t>žto</w:t>
      </w:r>
      <w:r w:rsidRPr="00ED3F44">
        <w:rPr>
          <w:rFonts w:asciiTheme="minorHAnsi" w:hAnsiTheme="minorHAnsi" w:cstheme="minorHAnsi"/>
        </w:rPr>
        <w:t xml:space="preserve"> OSS povinno v soulad</w:t>
      </w:r>
      <w:r>
        <w:rPr>
          <w:rFonts w:asciiTheme="minorHAnsi" w:hAnsiTheme="minorHAnsi" w:cstheme="minorHAnsi"/>
        </w:rPr>
        <w:t>u se zákonem č. 563/1991 Sb.</w:t>
      </w:r>
      <w:r w:rsidRPr="00ED3F44">
        <w:rPr>
          <w:rFonts w:asciiTheme="minorHAnsi" w:hAnsiTheme="minorHAnsi" w:cstheme="minorHAnsi"/>
        </w:rPr>
        <w:t xml:space="preserve"> účtovat o stavu a pohybu majetku a jiných aktiv, závazků a jiných pasiv, o nákladech a výnosech a o výsledku hospodaření. Informace, které předkládá v účetní závěrce, musí být spolehlivé, srovnatelné, srozumitelné a posuzují se z hlediska významnosti.</w:t>
      </w:r>
    </w:p>
  </w:footnote>
  <w:footnote w:id="25">
    <w:p w14:paraId="6D11ACF0" w14:textId="77777777" w:rsidR="002A3B98" w:rsidRPr="00410F93" w:rsidRDefault="002A3B98" w:rsidP="00410F93">
      <w:pPr>
        <w:pStyle w:val="Textpoznpodarou"/>
        <w:ind w:left="284" w:hanging="284"/>
        <w:rPr>
          <w:rFonts w:asciiTheme="minorHAnsi" w:hAnsiTheme="minorHAnsi" w:cstheme="minorHAnsi"/>
        </w:rPr>
      </w:pPr>
      <w:r w:rsidRPr="00410F93">
        <w:rPr>
          <w:rStyle w:val="Znakapoznpodarou"/>
          <w:rFonts w:asciiTheme="minorHAnsi" w:hAnsiTheme="minorHAnsi" w:cstheme="minorHAnsi"/>
        </w:rPr>
        <w:footnoteRef/>
      </w:r>
      <w:r w:rsidRPr="00410F9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Vyhláška č. 323/2002 Sb., o rozpočtové skladbě.</w:t>
      </w:r>
    </w:p>
  </w:footnote>
  <w:footnote w:id="26">
    <w:p w14:paraId="5A2472DD" w14:textId="54D377C4" w:rsidR="002A3B98" w:rsidRPr="003A523F" w:rsidRDefault="002A3B98" w:rsidP="00BA2B3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3A523F">
        <w:rPr>
          <w:rStyle w:val="Znakapoznpodarou"/>
          <w:rFonts w:asciiTheme="minorHAnsi" w:hAnsiTheme="minorHAnsi" w:cstheme="minorHAnsi"/>
        </w:rPr>
        <w:footnoteRef/>
      </w:r>
      <w:r w:rsidRPr="003A523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8F6EA5">
        <w:rPr>
          <w:rFonts w:asciiTheme="minorHAnsi" w:hAnsiTheme="minorHAnsi" w:cstheme="minorHAnsi"/>
        </w:rPr>
        <w:t>Zákon č. 340/2015 Sb., o zvláštních podmínkách účinnosti některých smluv, u</w:t>
      </w:r>
      <w:r w:rsidRPr="009D504B">
        <w:rPr>
          <w:rFonts w:asciiTheme="minorHAnsi" w:hAnsiTheme="minorHAnsi" w:cstheme="minorHAnsi"/>
        </w:rPr>
        <w:t>veřejňování těchto smluv a </w:t>
      </w:r>
      <w:r w:rsidRPr="00B76C7C">
        <w:rPr>
          <w:rFonts w:asciiTheme="minorHAnsi" w:hAnsiTheme="minorHAnsi" w:cstheme="minorHAnsi"/>
        </w:rPr>
        <w:t>o registru</w:t>
      </w:r>
      <w:r w:rsidRPr="008F6EA5">
        <w:rPr>
          <w:rFonts w:asciiTheme="minorHAnsi" w:hAnsiTheme="minorHAnsi" w:cstheme="minorHAnsi"/>
        </w:rPr>
        <w:t xml:space="preserve"> smluv (zákon o registru smluv).</w:t>
      </w:r>
    </w:p>
  </w:footnote>
  <w:footnote w:id="27">
    <w:p w14:paraId="435775E8" w14:textId="77777777" w:rsidR="002A3B98" w:rsidRPr="003624E5" w:rsidRDefault="002A3B98" w:rsidP="00C20965">
      <w:pPr>
        <w:pStyle w:val="Textpoznpodarou"/>
        <w:ind w:left="284" w:hanging="284"/>
        <w:jc w:val="both"/>
        <w:rPr>
          <w:rFonts w:asciiTheme="minorHAnsi" w:hAnsiTheme="minorHAnsi" w:cstheme="minorHAnsi"/>
          <w:highlight w:val="yellow"/>
        </w:rPr>
      </w:pPr>
      <w:r w:rsidRPr="003624E5">
        <w:rPr>
          <w:rStyle w:val="Znakapoznpodarou"/>
          <w:rFonts w:asciiTheme="minorHAnsi" w:hAnsiTheme="minorHAnsi" w:cstheme="minorHAnsi"/>
        </w:rPr>
        <w:footnoteRef/>
      </w:r>
      <w:r w:rsidRPr="003624E5">
        <w:rPr>
          <w:rFonts w:asciiTheme="minorHAnsi" w:hAnsiTheme="minorHAnsi" w:cstheme="minorHAnsi"/>
        </w:rPr>
        <w:t xml:space="preserve"> </w:t>
      </w:r>
      <w:r w:rsidRPr="003624E5">
        <w:rPr>
          <w:rFonts w:asciiTheme="minorHAnsi" w:hAnsiTheme="minorHAnsi" w:cstheme="minorHAnsi"/>
        </w:rPr>
        <w:tab/>
        <w:t>Vyhláška č. 416/2004 Sb., kterou se provádí zákon č. 320/2001 Sb., o finanční kontrole ve veřejné správě a o změně některých zákonů (zákon o finanční kontrole), ve znění zákona č. 309/2002 Sb., zákona č. 320/2002 Sb. a zákona č. 123/2003 Sb.</w:t>
      </w:r>
    </w:p>
  </w:footnote>
  <w:footnote w:id="28">
    <w:p w14:paraId="0D531529" w14:textId="4FA67C22" w:rsidR="002A3B98" w:rsidRPr="003A523F" w:rsidRDefault="002A3B98" w:rsidP="00283F9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3A523F">
        <w:rPr>
          <w:rStyle w:val="Znakapoznpodarou"/>
          <w:rFonts w:asciiTheme="minorHAnsi" w:hAnsiTheme="minorHAnsi" w:cstheme="minorHAnsi"/>
        </w:rPr>
        <w:footnoteRef/>
      </w:r>
      <w:r w:rsidRPr="003A523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3A523F">
        <w:rPr>
          <w:rFonts w:asciiTheme="minorHAnsi" w:hAnsiTheme="minorHAnsi" w:cstheme="minorHAnsi"/>
        </w:rPr>
        <w:t>Vyhlášk</w:t>
      </w:r>
      <w:r>
        <w:rPr>
          <w:rFonts w:asciiTheme="minorHAnsi" w:hAnsiTheme="minorHAnsi" w:cstheme="minorHAnsi"/>
        </w:rPr>
        <w:t>a</w:t>
      </w:r>
      <w:r w:rsidRPr="003A523F">
        <w:rPr>
          <w:rFonts w:asciiTheme="minorHAnsi" w:hAnsiTheme="minorHAnsi" w:cstheme="minorHAnsi"/>
        </w:rPr>
        <w:t xml:space="preserve"> č. 419/2001 Sb., o rozsahu, struktuře a termínech údajů předkládaných pro vypracování návrhu státního závěrečného účtu a o rozsahu a termínech sestavení návrhů závěrečných účtů kapitol státního rozpočtu</w:t>
      </w:r>
      <w:r>
        <w:rPr>
          <w:rFonts w:asciiTheme="minorHAnsi" w:hAnsiTheme="minorHAnsi" w:cstheme="minorHAnsi"/>
        </w:rPr>
        <w:t>.</w:t>
      </w:r>
    </w:p>
  </w:footnote>
  <w:footnote w:id="29">
    <w:p w14:paraId="475F6B22" w14:textId="77777777" w:rsidR="002A3B98" w:rsidRPr="00534B79" w:rsidRDefault="002A3B98" w:rsidP="004E0006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534B79">
        <w:rPr>
          <w:rStyle w:val="Znakapoznpodarou"/>
          <w:rFonts w:asciiTheme="minorHAnsi" w:hAnsiTheme="minorHAnsi" w:cstheme="minorHAnsi"/>
        </w:rPr>
        <w:footnoteRef/>
      </w:r>
      <w:r w:rsidRPr="00534B7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V</w:t>
      </w:r>
      <w:r w:rsidRPr="00B16BE9">
        <w:rPr>
          <w:rFonts w:asciiTheme="minorHAnsi" w:hAnsiTheme="minorHAnsi" w:cstheme="minorHAnsi"/>
        </w:rPr>
        <w:t>ýznamnost</w:t>
      </w:r>
      <w:r>
        <w:rPr>
          <w:rFonts w:asciiTheme="minorHAnsi" w:hAnsiTheme="minorHAnsi" w:cstheme="minorHAnsi"/>
        </w:rPr>
        <w:t xml:space="preserve"> (materialita)</w:t>
      </w:r>
      <w:r w:rsidRPr="00B16BE9">
        <w:rPr>
          <w:rFonts w:asciiTheme="minorHAnsi" w:hAnsiTheme="minorHAnsi" w:cstheme="minorHAnsi"/>
        </w:rPr>
        <w:t xml:space="preserve"> reprezentuje u ÚZ hodnotu nesprávností, jejíž překročení by již mohlo ovlivnit přiměřeně znalého uživatele. Při stanovení významnosti postupuje NKÚ v souladu s </w:t>
      </w:r>
      <w:r w:rsidRPr="00124170">
        <w:rPr>
          <w:rFonts w:asciiTheme="minorHAnsi" w:hAnsiTheme="minorHAnsi" w:cstheme="minorHAnsi"/>
          <w:i/>
        </w:rPr>
        <w:t>Kontrolními standardy NKÚ</w:t>
      </w:r>
      <w:r>
        <w:rPr>
          <w:rFonts w:asciiTheme="minorHAnsi" w:hAnsiTheme="minorHAnsi" w:cstheme="minorHAnsi"/>
        </w:rPr>
        <w:t xml:space="preserve"> a zohledňuje příklady dobré praxe vyplývající z mezinárodních standardů nejvyšších kontrolních institucí (ISSAI) pro finanční audit</w:t>
      </w:r>
      <w:r w:rsidRPr="00B16BE9">
        <w:rPr>
          <w:rFonts w:asciiTheme="minorHAnsi" w:hAnsiTheme="minorHAnsi" w:cstheme="minorHAnsi"/>
        </w:rPr>
        <w:t>.</w:t>
      </w:r>
    </w:p>
  </w:footnote>
  <w:footnote w:id="30">
    <w:p w14:paraId="329DDBC2" w14:textId="7AA45487" w:rsidR="002A3B98" w:rsidRPr="00534B79" w:rsidRDefault="002A3B98" w:rsidP="004E0006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534B79">
        <w:rPr>
          <w:rStyle w:val="Znakapoznpodarou"/>
          <w:rFonts w:asciiTheme="minorHAnsi" w:hAnsiTheme="minorHAnsi" w:cstheme="minorHAnsi"/>
        </w:rPr>
        <w:footnoteRef/>
      </w:r>
      <w:r w:rsidRPr="00534B7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B16BE9">
        <w:rPr>
          <w:rFonts w:asciiTheme="minorHAnsi" w:hAnsiTheme="minorHAnsi" w:cstheme="minorHAnsi"/>
        </w:rPr>
        <w:t>Pro posouzení významnosti zjištěných nesprávností v</w:t>
      </w:r>
      <w:r>
        <w:rPr>
          <w:rFonts w:asciiTheme="minorHAnsi" w:hAnsiTheme="minorHAnsi" w:cstheme="minorHAnsi"/>
        </w:rPr>
        <w:t> </w:t>
      </w:r>
      <w:r w:rsidRPr="00B16BE9">
        <w:rPr>
          <w:rFonts w:asciiTheme="minorHAnsi" w:hAnsiTheme="minorHAnsi" w:cstheme="minorHAnsi"/>
        </w:rPr>
        <w:t>údajích</w:t>
      </w:r>
      <w:r>
        <w:rPr>
          <w:rFonts w:asciiTheme="minorHAnsi" w:hAnsiTheme="minorHAnsi" w:cstheme="minorHAnsi"/>
        </w:rPr>
        <w:t xml:space="preserve"> ÚZ</w:t>
      </w:r>
      <w:r w:rsidRPr="00B16BE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za KO MV </w:t>
      </w:r>
      <w:r w:rsidRPr="00B16BE9">
        <w:rPr>
          <w:rFonts w:asciiTheme="minorHAnsi" w:hAnsiTheme="minorHAnsi" w:cstheme="minorHAnsi"/>
        </w:rPr>
        <w:t xml:space="preserve">byla stanovena </w:t>
      </w:r>
      <w:r>
        <w:rPr>
          <w:rFonts w:asciiTheme="minorHAnsi" w:hAnsiTheme="minorHAnsi" w:cstheme="minorHAnsi"/>
        </w:rPr>
        <w:t xml:space="preserve">hladina </w:t>
      </w:r>
      <w:r w:rsidRPr="00B16BE9">
        <w:rPr>
          <w:rFonts w:asciiTheme="minorHAnsi" w:hAnsiTheme="minorHAnsi" w:cstheme="minorHAnsi"/>
        </w:rPr>
        <w:t>významnost</w:t>
      </w:r>
      <w:r>
        <w:rPr>
          <w:rFonts w:asciiTheme="minorHAnsi" w:hAnsiTheme="minorHAnsi" w:cstheme="minorHAnsi"/>
        </w:rPr>
        <w:t xml:space="preserve">i ve výši </w:t>
      </w:r>
      <w:r w:rsidRPr="00B16BE9">
        <w:rPr>
          <w:rFonts w:asciiTheme="minorHAnsi" w:hAnsiTheme="minorHAnsi" w:cstheme="minorHAnsi"/>
        </w:rPr>
        <w:t>2 % z</w:t>
      </w:r>
      <w:r>
        <w:rPr>
          <w:rFonts w:asciiTheme="minorHAnsi" w:hAnsiTheme="minorHAnsi" w:cstheme="minorHAnsi"/>
        </w:rPr>
        <w:t> </w:t>
      </w:r>
      <w:r w:rsidRPr="00B16BE9">
        <w:rPr>
          <w:rFonts w:asciiTheme="minorHAnsi" w:hAnsiTheme="minorHAnsi" w:cstheme="minorHAnsi"/>
        </w:rPr>
        <w:t>nákladů</w:t>
      </w:r>
      <w:r>
        <w:rPr>
          <w:rFonts w:asciiTheme="minorHAnsi" w:hAnsiTheme="minorHAnsi" w:cstheme="minorHAnsi"/>
        </w:rPr>
        <w:t xml:space="preserve"> v hodnotě za KO MV (tj. dvě procenta z 32,8 mld. Kč)</w:t>
      </w:r>
      <w:r w:rsidRPr="00B16BE9">
        <w:rPr>
          <w:rFonts w:asciiTheme="minorHAnsi" w:hAnsiTheme="minorHAnsi" w:cstheme="minorHAnsi"/>
        </w:rPr>
        <w:t>.</w:t>
      </w:r>
    </w:p>
  </w:footnote>
  <w:footnote w:id="31">
    <w:p w14:paraId="6D04643C" w14:textId="77777777" w:rsidR="002A3B98" w:rsidRPr="00790A4A" w:rsidRDefault="002A3B98" w:rsidP="00F22575">
      <w:pPr>
        <w:pStyle w:val="Textpoznpodarou"/>
        <w:ind w:left="284" w:hanging="284"/>
        <w:rPr>
          <w:rFonts w:asciiTheme="minorHAnsi" w:hAnsiTheme="minorHAnsi" w:cstheme="minorHAnsi"/>
        </w:rPr>
      </w:pPr>
      <w:r w:rsidRPr="00790A4A">
        <w:rPr>
          <w:rStyle w:val="Znakapoznpodarou"/>
          <w:rFonts w:asciiTheme="minorHAnsi" w:hAnsiTheme="minorHAnsi" w:cstheme="minorHAnsi"/>
        </w:rPr>
        <w:footnoteRef/>
      </w:r>
      <w:r w:rsidRPr="00790A4A">
        <w:rPr>
          <w:rFonts w:asciiTheme="minorHAnsi" w:hAnsiTheme="minorHAnsi" w:cstheme="minorHAnsi"/>
        </w:rPr>
        <w:t xml:space="preserve"> </w:t>
      </w:r>
      <w:r w:rsidRPr="00790A4A">
        <w:rPr>
          <w:rFonts w:asciiTheme="minorHAnsi" w:hAnsiTheme="minorHAnsi" w:cstheme="minorHAnsi"/>
        </w:rPr>
        <w:tab/>
      </w:r>
      <w:r w:rsidRPr="005705EE">
        <w:rPr>
          <w:rFonts w:asciiTheme="minorHAnsi" w:hAnsiTheme="minorHAnsi" w:cstheme="minorHAnsi"/>
        </w:rPr>
        <w:t>Dostupné z:</w:t>
      </w:r>
      <w:r>
        <w:rPr>
          <w:rFonts w:asciiTheme="minorHAnsi" w:hAnsiTheme="minorHAnsi" w:cstheme="minorHAnsi"/>
        </w:rPr>
        <w:t xml:space="preserve"> </w:t>
      </w:r>
      <w:r w:rsidRPr="008601E3">
        <w:rPr>
          <w:rStyle w:val="Hypertextovodkaz"/>
          <w:rFonts w:asciiTheme="minorHAnsi" w:hAnsiTheme="minorHAnsi" w:cstheme="minorHAnsi"/>
          <w:color w:val="auto"/>
          <w:u w:val="none"/>
        </w:rPr>
        <w:t>https://monitor.statnipokladna.cz/ucetni-jednotka/00007064/rozpocet/vydaje-druhovy?rad=t&amp;obdobi=2112</w:t>
      </w:r>
      <w:r>
        <w:rPr>
          <w:rStyle w:val="Hypertextovodkaz"/>
          <w:rFonts w:asciiTheme="minorHAnsi" w:hAnsiTheme="minorHAnsi" w:cstheme="minorHAnsi"/>
          <w:color w:val="auto"/>
          <w:u w:val="none"/>
        </w:rPr>
        <w:t>.</w:t>
      </w:r>
      <w:r w:rsidRPr="005705EE">
        <w:rPr>
          <w:rFonts w:asciiTheme="minorHAnsi" w:hAnsiTheme="minorHAnsi" w:cstheme="minorHAnsi"/>
        </w:rPr>
        <w:t xml:space="preserve"> </w:t>
      </w:r>
    </w:p>
  </w:footnote>
  <w:footnote w:id="32">
    <w:p w14:paraId="5C864BEE" w14:textId="239A374A" w:rsidR="002A3B98" w:rsidRDefault="002A3B98" w:rsidP="00883298">
      <w:pPr>
        <w:spacing w:after="0"/>
        <w:ind w:left="284" w:hanging="284"/>
        <w:jc w:val="both"/>
      </w:pPr>
      <w:r w:rsidRPr="00907808">
        <w:rPr>
          <w:rStyle w:val="Znakapoznpodarou"/>
          <w:sz w:val="20"/>
          <w:szCs w:val="20"/>
        </w:rPr>
        <w:footnoteRef/>
      </w:r>
      <w:r w:rsidRPr="00907808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907808">
        <w:rPr>
          <w:rFonts w:asciiTheme="minorHAnsi" w:hAnsiTheme="minorHAnsi" w:cstheme="minorHAnsi"/>
          <w:sz w:val="20"/>
          <w:szCs w:val="20"/>
          <w:lang w:eastAsia="cs-CZ"/>
        </w:rPr>
        <w:t>Pro posouzení významnosti zjištěných nesprávností v údajích předkládaných pro hodnocení plnění rozpočtu byla stanovena</w:t>
      </w:r>
      <w:r>
        <w:rPr>
          <w:rFonts w:asciiTheme="minorHAnsi" w:hAnsiTheme="minorHAnsi" w:cstheme="minorHAnsi"/>
          <w:sz w:val="20"/>
          <w:szCs w:val="20"/>
          <w:lang w:eastAsia="cs-CZ"/>
        </w:rPr>
        <w:t xml:space="preserve"> hladina</w:t>
      </w:r>
      <w:r w:rsidRPr="00907808">
        <w:rPr>
          <w:rFonts w:asciiTheme="minorHAnsi" w:hAnsiTheme="minorHAnsi" w:cstheme="minorHAnsi"/>
          <w:sz w:val="20"/>
          <w:szCs w:val="20"/>
          <w:lang w:eastAsia="cs-CZ"/>
        </w:rPr>
        <w:t xml:space="preserve"> významnost</w:t>
      </w:r>
      <w:r>
        <w:rPr>
          <w:rFonts w:asciiTheme="minorHAnsi" w:hAnsiTheme="minorHAnsi" w:cstheme="minorHAnsi"/>
          <w:sz w:val="20"/>
          <w:szCs w:val="20"/>
          <w:lang w:eastAsia="cs-CZ"/>
        </w:rPr>
        <w:t>i</w:t>
      </w:r>
      <w:r w:rsidRPr="00907808">
        <w:rPr>
          <w:rFonts w:asciiTheme="minorHAnsi" w:hAnsiTheme="minorHAnsi" w:cstheme="minorHAnsi"/>
          <w:sz w:val="20"/>
          <w:szCs w:val="20"/>
          <w:lang w:eastAsia="cs-CZ"/>
        </w:rPr>
        <w:t xml:space="preserve"> ve výši 2 % z výdajů, které byly vykázány ve výši 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36,2 mld. Kč</w:t>
      </w:r>
      <w:r w:rsidRPr="00907808">
        <w:rPr>
          <w:rFonts w:asciiTheme="minorHAnsi" w:hAnsiTheme="minorHAnsi" w:cstheme="minorHAnsi"/>
          <w:sz w:val="20"/>
          <w:szCs w:val="20"/>
          <w:lang w:eastAsia="cs-CZ"/>
        </w:rPr>
        <w:t>.</w:t>
      </w:r>
    </w:p>
  </w:footnote>
  <w:footnote w:id="33">
    <w:p w14:paraId="271BC64D" w14:textId="77777777" w:rsidR="002A3B98" w:rsidRDefault="002A3B98" w:rsidP="00667599">
      <w:pPr>
        <w:pStyle w:val="Textkomente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Výkaz pro hodnocení plnění rozpočtu MV neobsahuje údaje ÚZSI.</w:t>
      </w:r>
    </w:p>
    <w:p w14:paraId="6F932D78" w14:textId="77777777" w:rsidR="002A3B98" w:rsidRDefault="002A3B98">
      <w:pPr>
        <w:pStyle w:val="Textpoznpodarou"/>
      </w:pPr>
    </w:p>
  </w:footnote>
  <w:footnote w:id="34">
    <w:p w14:paraId="7C4448F4" w14:textId="0D4BB12A" w:rsidR="002A3B98" w:rsidRPr="00223E25" w:rsidRDefault="002A3B98" w:rsidP="00A75011">
      <w:pPr>
        <w:spacing w:after="0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6E0067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6E0067">
        <w:rPr>
          <w:rFonts w:asciiTheme="minorHAnsi" w:hAnsiTheme="minorHAnsi" w:cstheme="minorHAnsi"/>
          <w:sz w:val="20"/>
          <w:szCs w:val="20"/>
        </w:rPr>
        <w:tab/>
      </w:r>
      <w:r w:rsidRPr="006E0067">
        <w:rPr>
          <w:rFonts w:asciiTheme="minorHAnsi" w:eastAsia="Calibri" w:hAnsiTheme="minorHAnsi" w:cstheme="minorHAnsi"/>
          <w:sz w:val="20"/>
          <w:szCs w:val="20"/>
        </w:rPr>
        <w:t xml:space="preserve">U podmíněných závazků lze očekávat, resp. nelze vyloučit, potenciálně významný dopad na budoucí výdaje státního rozpočtu, což vyplývá ze zákona č. 23/2017 Sb., o pravidlech rozpočtové odpovědnosti. Přesto nejsou vyhláškou č. 419/2001 Sb. tyto skutečnosti stanoveny jako informace </w:t>
      </w:r>
      <w:r>
        <w:rPr>
          <w:rFonts w:asciiTheme="minorHAnsi" w:eastAsia="Calibri" w:hAnsiTheme="minorHAnsi" w:cstheme="minorHAnsi"/>
          <w:sz w:val="20"/>
          <w:szCs w:val="20"/>
        </w:rPr>
        <w:t xml:space="preserve">uváděné </w:t>
      </w:r>
      <w:r w:rsidRPr="006E0067">
        <w:rPr>
          <w:rFonts w:asciiTheme="minorHAnsi" w:eastAsia="Calibri" w:hAnsiTheme="minorHAnsi" w:cstheme="minorHAnsi"/>
          <w:sz w:val="20"/>
          <w:szCs w:val="20"/>
        </w:rPr>
        <w:t>povinn</w:t>
      </w:r>
      <w:r>
        <w:rPr>
          <w:rFonts w:asciiTheme="minorHAnsi" w:eastAsia="Calibri" w:hAnsiTheme="minorHAnsi" w:cstheme="minorHAnsi"/>
          <w:sz w:val="20"/>
          <w:szCs w:val="20"/>
        </w:rPr>
        <w:t>ě</w:t>
      </w:r>
      <w:r w:rsidRPr="006E0067">
        <w:rPr>
          <w:rFonts w:asciiTheme="minorHAnsi" w:eastAsia="Calibri" w:hAnsiTheme="minorHAnsi" w:cstheme="minorHAnsi"/>
          <w:sz w:val="20"/>
          <w:szCs w:val="20"/>
        </w:rPr>
        <w:t xml:space="preserve"> v průvodní zprávě závěrečného účtu.</w:t>
      </w:r>
    </w:p>
  </w:footnote>
  <w:footnote w:id="35">
    <w:p w14:paraId="62AFBC4A" w14:textId="21CD54C4" w:rsidR="002A3B98" w:rsidRPr="00667599" w:rsidRDefault="002A3B98" w:rsidP="00883298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667599">
        <w:rPr>
          <w:rStyle w:val="Znakapoznpodarou"/>
          <w:rFonts w:asciiTheme="minorHAnsi" w:hAnsiTheme="minorHAnsi" w:cstheme="minorHAnsi"/>
        </w:rPr>
        <w:footnoteRef/>
      </w:r>
      <w:r w:rsidRPr="0066759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Provedenými opravami uvedlo MV skutečnost do souladu jak s právními předpisy, tak se svými vnitřními předpisy a následně i rozšířilo metodickou podporu a kontrolu v daných oblastech.</w:t>
      </w:r>
    </w:p>
  </w:footnote>
  <w:footnote w:id="36">
    <w:p w14:paraId="0AD74245" w14:textId="77777777" w:rsidR="002A3B98" w:rsidRPr="00A9052F" w:rsidRDefault="002A3B98" w:rsidP="00840A6E">
      <w:pPr>
        <w:pStyle w:val="Textpoznpodarou"/>
        <w:spacing w:after="120"/>
        <w:ind w:left="284" w:hanging="284"/>
        <w:jc w:val="both"/>
        <w:rPr>
          <w:rFonts w:asciiTheme="minorHAnsi" w:hAnsiTheme="minorHAnsi" w:cstheme="minorHAnsi"/>
        </w:rPr>
      </w:pPr>
      <w:r w:rsidRPr="00A9052F">
        <w:rPr>
          <w:rStyle w:val="Znakapoznpodarou"/>
          <w:rFonts w:asciiTheme="minorHAnsi" w:hAnsiTheme="minorHAnsi" w:cstheme="minorHAnsi"/>
        </w:rPr>
        <w:footnoteRef/>
      </w:r>
      <w:r w:rsidRPr="00A9052F">
        <w:rPr>
          <w:rFonts w:asciiTheme="minorHAnsi" w:hAnsiTheme="minorHAnsi" w:cstheme="minorHAnsi"/>
        </w:rPr>
        <w:t xml:space="preserve"> </w:t>
      </w:r>
      <w:r w:rsidRPr="00A9052F">
        <w:rPr>
          <w:rFonts w:asciiTheme="minorHAnsi" w:hAnsiTheme="minorHAnsi" w:cstheme="minorHAnsi"/>
        </w:rPr>
        <w:tab/>
        <w:t>Náklady jsou v příslušném roce spotřebované ekonomické zdroje bez ohledu na to, zda v tomto období došlo k jejich úhradě.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35E23" w14:textId="08CFA1C7" w:rsidR="002A3B98" w:rsidRDefault="002A3B98" w:rsidP="00124170">
    <w:pPr>
      <w:pStyle w:val="Zhlav"/>
      <w:tabs>
        <w:tab w:val="clear" w:pos="9072"/>
        <w:tab w:val="right" w:pos="90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3" o:spid="_x0000_i1026" type="#_x0000_t75" style="width:8.45pt;height:8.45pt;visibility:visible;mso-wrap-style:square" o:bullet="t">
        <v:imagedata r:id="rId1" o:title=""/>
      </v:shape>
    </w:pict>
  </w:numPicBullet>
  <w:numPicBullet w:numPicBulletId="1">
    <w:pict>
      <v:shape id="_x0000_i1027" type="#_x0000_t75" style="width:8.45pt;height:8.45pt;visibility:visible;mso-wrap-style:square" o:bullet="t">
        <v:imagedata r:id="rId2" o:title=""/>
      </v:shape>
    </w:pict>
  </w:numPicBullet>
  <w:numPicBullet w:numPicBulletId="2">
    <w:pict>
      <v:shape id="_x0000_i1028" type="#_x0000_t75" style="width:9.55pt;height:9.55pt;visibility:visible;mso-wrap-style:square" o:bullet="t">
        <v:imagedata r:id="rId3" o:title=""/>
      </v:shape>
    </w:pict>
  </w:numPicBullet>
  <w:abstractNum w:abstractNumId="0" w15:restartNumberingAfterBreak="0">
    <w:nsid w:val="00B37122"/>
    <w:multiLevelType w:val="hybridMultilevel"/>
    <w:tmpl w:val="1654D38A"/>
    <w:lvl w:ilvl="0" w:tplc="E6C841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E3894"/>
    <w:multiLevelType w:val="hybridMultilevel"/>
    <w:tmpl w:val="A642B5EE"/>
    <w:lvl w:ilvl="0" w:tplc="E6C8412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FE2F74"/>
    <w:multiLevelType w:val="hybridMultilevel"/>
    <w:tmpl w:val="2CF05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B6A5F"/>
    <w:multiLevelType w:val="hybridMultilevel"/>
    <w:tmpl w:val="E6AC1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C45DF"/>
    <w:multiLevelType w:val="hybridMultilevel"/>
    <w:tmpl w:val="0BC61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25E8C"/>
    <w:multiLevelType w:val="hybridMultilevel"/>
    <w:tmpl w:val="CA187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27FFA"/>
    <w:multiLevelType w:val="hybridMultilevel"/>
    <w:tmpl w:val="4BF42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4090A"/>
    <w:multiLevelType w:val="hybridMultilevel"/>
    <w:tmpl w:val="62408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76D26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A77EF"/>
    <w:multiLevelType w:val="hybridMultilevel"/>
    <w:tmpl w:val="05805B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A6F2F"/>
    <w:multiLevelType w:val="hybridMultilevel"/>
    <w:tmpl w:val="4ECE846A"/>
    <w:lvl w:ilvl="0" w:tplc="CE2CED62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</w:rPr>
    </w:lvl>
    <w:lvl w:ilvl="1" w:tplc="5E02F03C">
      <w:start w:val="1"/>
      <w:numFmt w:val="lowerLetter"/>
      <w:lvlText w:val="%2."/>
      <w:lvlJc w:val="left"/>
      <w:pPr>
        <w:ind w:left="1440" w:hanging="360"/>
      </w:pPr>
    </w:lvl>
    <w:lvl w:ilvl="2" w:tplc="ADE6C7EE" w:tentative="1">
      <w:start w:val="1"/>
      <w:numFmt w:val="lowerRoman"/>
      <w:lvlText w:val="%3."/>
      <w:lvlJc w:val="right"/>
      <w:pPr>
        <w:ind w:left="2160" w:hanging="180"/>
      </w:pPr>
    </w:lvl>
    <w:lvl w:ilvl="3" w:tplc="A98E3622" w:tentative="1">
      <w:start w:val="1"/>
      <w:numFmt w:val="decimal"/>
      <w:lvlText w:val="%4."/>
      <w:lvlJc w:val="left"/>
      <w:pPr>
        <w:ind w:left="2880" w:hanging="360"/>
      </w:pPr>
    </w:lvl>
    <w:lvl w:ilvl="4" w:tplc="FE6AD990" w:tentative="1">
      <w:start w:val="1"/>
      <w:numFmt w:val="lowerLetter"/>
      <w:lvlText w:val="%5."/>
      <w:lvlJc w:val="left"/>
      <w:pPr>
        <w:ind w:left="3600" w:hanging="360"/>
      </w:pPr>
    </w:lvl>
    <w:lvl w:ilvl="5" w:tplc="F84C1D10" w:tentative="1">
      <w:start w:val="1"/>
      <w:numFmt w:val="lowerRoman"/>
      <w:lvlText w:val="%6."/>
      <w:lvlJc w:val="right"/>
      <w:pPr>
        <w:ind w:left="4320" w:hanging="180"/>
      </w:pPr>
    </w:lvl>
    <w:lvl w:ilvl="6" w:tplc="4F10AFD4" w:tentative="1">
      <w:start w:val="1"/>
      <w:numFmt w:val="decimal"/>
      <w:lvlText w:val="%7."/>
      <w:lvlJc w:val="left"/>
      <w:pPr>
        <w:ind w:left="5040" w:hanging="360"/>
      </w:pPr>
    </w:lvl>
    <w:lvl w:ilvl="7" w:tplc="C2E42DB0" w:tentative="1">
      <w:start w:val="1"/>
      <w:numFmt w:val="lowerLetter"/>
      <w:lvlText w:val="%8."/>
      <w:lvlJc w:val="left"/>
      <w:pPr>
        <w:ind w:left="5760" w:hanging="360"/>
      </w:pPr>
    </w:lvl>
    <w:lvl w:ilvl="8" w:tplc="0DF025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F3090"/>
    <w:multiLevelType w:val="multilevel"/>
    <w:tmpl w:val="C0F295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6A02137"/>
    <w:multiLevelType w:val="hybridMultilevel"/>
    <w:tmpl w:val="F2AE92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A7966"/>
    <w:multiLevelType w:val="multilevel"/>
    <w:tmpl w:val="62C22C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FAE1F65"/>
    <w:multiLevelType w:val="multilevel"/>
    <w:tmpl w:val="48126486"/>
    <w:lvl w:ilvl="0">
      <w:start w:val="4"/>
      <w:numFmt w:val="decimal"/>
      <w:lvlText w:val="%1"/>
      <w:lvlJc w:val="left"/>
      <w:pPr>
        <w:ind w:left="360" w:hanging="360"/>
      </w:pPr>
      <w:rPr>
        <w:rFonts w:cs="Calibri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Calibri" w:hint="default"/>
        <w:b/>
      </w:rPr>
    </w:lvl>
  </w:abstractNum>
  <w:abstractNum w:abstractNumId="14" w15:restartNumberingAfterBreak="0">
    <w:nsid w:val="50C90730"/>
    <w:multiLevelType w:val="hybridMultilevel"/>
    <w:tmpl w:val="BE5E92FC"/>
    <w:lvl w:ilvl="0" w:tplc="E6C8412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0B6A8A"/>
    <w:multiLevelType w:val="hybridMultilevel"/>
    <w:tmpl w:val="D84EA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12D45"/>
    <w:multiLevelType w:val="hybridMultilevel"/>
    <w:tmpl w:val="F934E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741BF"/>
    <w:multiLevelType w:val="hybridMultilevel"/>
    <w:tmpl w:val="78D2920E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EBD456A"/>
    <w:multiLevelType w:val="multilevel"/>
    <w:tmpl w:val="EBA6C6CC"/>
    <w:lvl w:ilvl="0">
      <w:start w:val="1"/>
      <w:numFmt w:val="decimal"/>
      <w:lvlText w:val="%1"/>
      <w:lvlJc w:val="left"/>
      <w:pPr>
        <w:ind w:left="1248" w:hanging="396"/>
      </w:pPr>
      <w:rPr>
        <w:rFonts w:hint="default"/>
        <w:b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277" w:hanging="567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850" w:hanging="850"/>
      </w:pPr>
      <w:rPr>
        <w:rFonts w:hint="default"/>
        <w:color w:val="auto"/>
        <w:sz w:val="26"/>
        <w:szCs w:val="26"/>
      </w:rPr>
    </w:lvl>
    <w:lvl w:ilvl="3">
      <w:start w:val="1"/>
      <w:numFmt w:val="decimal"/>
      <w:isLgl/>
      <w:lvlText w:val="%1.%2.%3.%4"/>
      <w:lvlJc w:val="left"/>
      <w:pPr>
        <w:ind w:left="1304" w:hanging="10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18" w:hanging="1134"/>
      </w:pPr>
      <w:rPr>
        <w:rFonts w:hint="default"/>
        <w:i w:val="0"/>
        <w:iCs w:val="0"/>
        <w:sz w:val="24"/>
        <w:szCs w:val="24"/>
      </w:rPr>
    </w:lvl>
    <w:lvl w:ilvl="5">
      <w:start w:val="1"/>
      <w:numFmt w:val="decimal"/>
      <w:isLgl/>
      <w:lvlText w:val="%1.%2.%3.%4.%5.%6"/>
      <w:lvlJc w:val="left"/>
      <w:pPr>
        <w:ind w:left="2157" w:hanging="45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1" w:hanging="45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5" w:hanging="45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9" w:hanging="453"/>
      </w:pPr>
      <w:rPr>
        <w:rFonts w:hint="default"/>
      </w:rPr>
    </w:lvl>
  </w:abstractNum>
  <w:abstractNum w:abstractNumId="19" w15:restartNumberingAfterBreak="0">
    <w:nsid w:val="60B25487"/>
    <w:multiLevelType w:val="hybridMultilevel"/>
    <w:tmpl w:val="EE3E3E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1B52A6E"/>
    <w:multiLevelType w:val="hybridMultilevel"/>
    <w:tmpl w:val="0CC654D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B04034"/>
    <w:multiLevelType w:val="multilevel"/>
    <w:tmpl w:val="5CE650D2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4AA0B9B"/>
    <w:multiLevelType w:val="multilevel"/>
    <w:tmpl w:val="B4F6C2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928657D"/>
    <w:multiLevelType w:val="hybridMultilevel"/>
    <w:tmpl w:val="7CBCAFEC"/>
    <w:lvl w:ilvl="0" w:tplc="E6C8412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9FF28B5"/>
    <w:multiLevelType w:val="hybridMultilevel"/>
    <w:tmpl w:val="D1A43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430D4"/>
    <w:multiLevelType w:val="hybridMultilevel"/>
    <w:tmpl w:val="2DEC1CF0"/>
    <w:lvl w:ilvl="0" w:tplc="4F76D2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85224"/>
    <w:multiLevelType w:val="hybridMultilevel"/>
    <w:tmpl w:val="4D7ACC9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F6A7721"/>
    <w:multiLevelType w:val="hybridMultilevel"/>
    <w:tmpl w:val="F95CD6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241668"/>
    <w:multiLevelType w:val="hybridMultilevel"/>
    <w:tmpl w:val="9B2ECF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6"/>
  </w:num>
  <w:num w:numId="4">
    <w:abstractNumId w:val="27"/>
  </w:num>
  <w:num w:numId="5">
    <w:abstractNumId w:val="26"/>
  </w:num>
  <w:num w:numId="6">
    <w:abstractNumId w:val="15"/>
  </w:num>
  <w:num w:numId="7">
    <w:abstractNumId w:val="4"/>
  </w:num>
  <w:num w:numId="8">
    <w:abstractNumId w:val="13"/>
  </w:num>
  <w:num w:numId="9">
    <w:abstractNumId w:val="2"/>
  </w:num>
  <w:num w:numId="10">
    <w:abstractNumId w:val="24"/>
  </w:num>
  <w:num w:numId="11">
    <w:abstractNumId w:val="3"/>
  </w:num>
  <w:num w:numId="12">
    <w:abstractNumId w:val="5"/>
  </w:num>
  <w:num w:numId="13">
    <w:abstractNumId w:val="28"/>
  </w:num>
  <w:num w:numId="14">
    <w:abstractNumId w:val="17"/>
  </w:num>
  <w:num w:numId="15">
    <w:abstractNumId w:val="11"/>
  </w:num>
  <w:num w:numId="16">
    <w:abstractNumId w:val="16"/>
  </w:num>
  <w:num w:numId="17">
    <w:abstractNumId w:val="20"/>
  </w:num>
  <w:num w:numId="18">
    <w:abstractNumId w:val="21"/>
  </w:num>
  <w:num w:numId="19">
    <w:abstractNumId w:val="9"/>
    <w:lvlOverride w:ilvl="0">
      <w:startOverride w:val="1"/>
    </w:lvlOverride>
  </w:num>
  <w:num w:numId="20">
    <w:abstractNumId w:val="0"/>
  </w:num>
  <w:num w:numId="21">
    <w:abstractNumId w:val="12"/>
  </w:num>
  <w:num w:numId="22">
    <w:abstractNumId w:val="10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</w:num>
  <w:num w:numId="25">
    <w:abstractNumId w:val="7"/>
  </w:num>
  <w:num w:numId="26">
    <w:abstractNumId w:val="18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5"/>
  </w:num>
  <w:num w:numId="30">
    <w:abstractNumId w:val="1"/>
  </w:num>
  <w:num w:numId="31">
    <w:abstractNumId w:val="23"/>
  </w:num>
  <w:num w:numId="32">
    <w:abstractNumId w:val="19"/>
  </w:num>
  <w:num w:numId="33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262"/>
    <w:rsid w:val="00000293"/>
    <w:rsid w:val="00000F8C"/>
    <w:rsid w:val="000010CB"/>
    <w:rsid w:val="000015DC"/>
    <w:rsid w:val="00001659"/>
    <w:rsid w:val="00001D77"/>
    <w:rsid w:val="00002B29"/>
    <w:rsid w:val="00002B9A"/>
    <w:rsid w:val="00002F92"/>
    <w:rsid w:val="000030C9"/>
    <w:rsid w:val="00003812"/>
    <w:rsid w:val="00003878"/>
    <w:rsid w:val="000039E4"/>
    <w:rsid w:val="00003EC4"/>
    <w:rsid w:val="00003F86"/>
    <w:rsid w:val="000042FB"/>
    <w:rsid w:val="00004DA7"/>
    <w:rsid w:val="00004EF9"/>
    <w:rsid w:val="000050EC"/>
    <w:rsid w:val="00005413"/>
    <w:rsid w:val="0000654C"/>
    <w:rsid w:val="00006589"/>
    <w:rsid w:val="00006AE8"/>
    <w:rsid w:val="00006F9D"/>
    <w:rsid w:val="000102DC"/>
    <w:rsid w:val="000102EF"/>
    <w:rsid w:val="00010565"/>
    <w:rsid w:val="00010948"/>
    <w:rsid w:val="00010B7B"/>
    <w:rsid w:val="00010BF4"/>
    <w:rsid w:val="000116D6"/>
    <w:rsid w:val="000116ED"/>
    <w:rsid w:val="000118B2"/>
    <w:rsid w:val="00012047"/>
    <w:rsid w:val="00012090"/>
    <w:rsid w:val="000121C2"/>
    <w:rsid w:val="00012334"/>
    <w:rsid w:val="00012409"/>
    <w:rsid w:val="0001308F"/>
    <w:rsid w:val="000136D6"/>
    <w:rsid w:val="00013D01"/>
    <w:rsid w:val="00013F4A"/>
    <w:rsid w:val="00014250"/>
    <w:rsid w:val="00014278"/>
    <w:rsid w:val="000150C6"/>
    <w:rsid w:val="0001554C"/>
    <w:rsid w:val="00015BEA"/>
    <w:rsid w:val="00015EAA"/>
    <w:rsid w:val="00015F85"/>
    <w:rsid w:val="0001655D"/>
    <w:rsid w:val="000178C8"/>
    <w:rsid w:val="00017CCE"/>
    <w:rsid w:val="00017D5E"/>
    <w:rsid w:val="00017EA4"/>
    <w:rsid w:val="000205FD"/>
    <w:rsid w:val="000206ED"/>
    <w:rsid w:val="000209B1"/>
    <w:rsid w:val="0002107A"/>
    <w:rsid w:val="00021226"/>
    <w:rsid w:val="00022153"/>
    <w:rsid w:val="000221DC"/>
    <w:rsid w:val="000233DE"/>
    <w:rsid w:val="0002359A"/>
    <w:rsid w:val="00024CEB"/>
    <w:rsid w:val="000254A6"/>
    <w:rsid w:val="00025582"/>
    <w:rsid w:val="000263DE"/>
    <w:rsid w:val="00026B84"/>
    <w:rsid w:val="00026FB4"/>
    <w:rsid w:val="00027067"/>
    <w:rsid w:val="0002708F"/>
    <w:rsid w:val="000274A8"/>
    <w:rsid w:val="00027C18"/>
    <w:rsid w:val="000305CE"/>
    <w:rsid w:val="00030656"/>
    <w:rsid w:val="00031611"/>
    <w:rsid w:val="00031DBA"/>
    <w:rsid w:val="00031FF6"/>
    <w:rsid w:val="000325A3"/>
    <w:rsid w:val="00033006"/>
    <w:rsid w:val="000339E8"/>
    <w:rsid w:val="000342EB"/>
    <w:rsid w:val="00034564"/>
    <w:rsid w:val="00034649"/>
    <w:rsid w:val="00034672"/>
    <w:rsid w:val="0003469E"/>
    <w:rsid w:val="0003552A"/>
    <w:rsid w:val="00035C23"/>
    <w:rsid w:val="000365ED"/>
    <w:rsid w:val="00036961"/>
    <w:rsid w:val="00036B07"/>
    <w:rsid w:val="000370E9"/>
    <w:rsid w:val="000377B3"/>
    <w:rsid w:val="00037E92"/>
    <w:rsid w:val="000404C7"/>
    <w:rsid w:val="0004116C"/>
    <w:rsid w:val="00041308"/>
    <w:rsid w:val="00041B06"/>
    <w:rsid w:val="00042662"/>
    <w:rsid w:val="000428C2"/>
    <w:rsid w:val="00042F32"/>
    <w:rsid w:val="00042F6E"/>
    <w:rsid w:val="0004311E"/>
    <w:rsid w:val="00043ED9"/>
    <w:rsid w:val="00044446"/>
    <w:rsid w:val="00044496"/>
    <w:rsid w:val="00044B71"/>
    <w:rsid w:val="00044F4C"/>
    <w:rsid w:val="0004536D"/>
    <w:rsid w:val="000453AD"/>
    <w:rsid w:val="0004554B"/>
    <w:rsid w:val="0004593F"/>
    <w:rsid w:val="00045D1D"/>
    <w:rsid w:val="00045D4B"/>
    <w:rsid w:val="0004614B"/>
    <w:rsid w:val="00046890"/>
    <w:rsid w:val="000473BB"/>
    <w:rsid w:val="00047B94"/>
    <w:rsid w:val="00050275"/>
    <w:rsid w:val="00050674"/>
    <w:rsid w:val="00050BF8"/>
    <w:rsid w:val="00050E07"/>
    <w:rsid w:val="00051A3C"/>
    <w:rsid w:val="000521DE"/>
    <w:rsid w:val="000521FD"/>
    <w:rsid w:val="0005245C"/>
    <w:rsid w:val="00052B02"/>
    <w:rsid w:val="00052C46"/>
    <w:rsid w:val="00052EE3"/>
    <w:rsid w:val="0005321F"/>
    <w:rsid w:val="0005356E"/>
    <w:rsid w:val="000542D1"/>
    <w:rsid w:val="00054662"/>
    <w:rsid w:val="000547CF"/>
    <w:rsid w:val="000548CE"/>
    <w:rsid w:val="00054A5F"/>
    <w:rsid w:val="00054D70"/>
    <w:rsid w:val="00054DA8"/>
    <w:rsid w:val="00055401"/>
    <w:rsid w:val="00055581"/>
    <w:rsid w:val="000562E0"/>
    <w:rsid w:val="0005659D"/>
    <w:rsid w:val="00056E1C"/>
    <w:rsid w:val="00056E58"/>
    <w:rsid w:val="00056F1A"/>
    <w:rsid w:val="000570C7"/>
    <w:rsid w:val="00057428"/>
    <w:rsid w:val="00057CB7"/>
    <w:rsid w:val="00060485"/>
    <w:rsid w:val="00060CDE"/>
    <w:rsid w:val="000615D0"/>
    <w:rsid w:val="00062738"/>
    <w:rsid w:val="00063109"/>
    <w:rsid w:val="00063528"/>
    <w:rsid w:val="00063906"/>
    <w:rsid w:val="00063C45"/>
    <w:rsid w:val="000641B2"/>
    <w:rsid w:val="0006539C"/>
    <w:rsid w:val="00065568"/>
    <w:rsid w:val="000663B6"/>
    <w:rsid w:val="00066AC4"/>
    <w:rsid w:val="00066AD0"/>
    <w:rsid w:val="00066F74"/>
    <w:rsid w:val="00067305"/>
    <w:rsid w:val="000679D3"/>
    <w:rsid w:val="0007038C"/>
    <w:rsid w:val="00071B5F"/>
    <w:rsid w:val="00071E3F"/>
    <w:rsid w:val="0007244A"/>
    <w:rsid w:val="000728F2"/>
    <w:rsid w:val="00072E4C"/>
    <w:rsid w:val="00073218"/>
    <w:rsid w:val="00073F3C"/>
    <w:rsid w:val="0007439D"/>
    <w:rsid w:val="000744FC"/>
    <w:rsid w:val="00074829"/>
    <w:rsid w:val="0007561C"/>
    <w:rsid w:val="00075A94"/>
    <w:rsid w:val="00075BC6"/>
    <w:rsid w:val="00075CF8"/>
    <w:rsid w:val="00076191"/>
    <w:rsid w:val="00076557"/>
    <w:rsid w:val="00076EA6"/>
    <w:rsid w:val="00076F89"/>
    <w:rsid w:val="000773AB"/>
    <w:rsid w:val="00077ACA"/>
    <w:rsid w:val="00080728"/>
    <w:rsid w:val="00080832"/>
    <w:rsid w:val="00080853"/>
    <w:rsid w:val="00080C2B"/>
    <w:rsid w:val="00080C55"/>
    <w:rsid w:val="0008172A"/>
    <w:rsid w:val="00081853"/>
    <w:rsid w:val="00081916"/>
    <w:rsid w:val="000819E2"/>
    <w:rsid w:val="00081F46"/>
    <w:rsid w:val="00082128"/>
    <w:rsid w:val="000822BF"/>
    <w:rsid w:val="00082C74"/>
    <w:rsid w:val="00082D91"/>
    <w:rsid w:val="0008321B"/>
    <w:rsid w:val="000834FD"/>
    <w:rsid w:val="0008352C"/>
    <w:rsid w:val="00083751"/>
    <w:rsid w:val="0008453D"/>
    <w:rsid w:val="00084BDF"/>
    <w:rsid w:val="000851F9"/>
    <w:rsid w:val="00085476"/>
    <w:rsid w:val="000855CD"/>
    <w:rsid w:val="00085C0A"/>
    <w:rsid w:val="00085D01"/>
    <w:rsid w:val="00085F24"/>
    <w:rsid w:val="00086337"/>
    <w:rsid w:val="00086431"/>
    <w:rsid w:val="000867C9"/>
    <w:rsid w:val="000872BF"/>
    <w:rsid w:val="00090DB9"/>
    <w:rsid w:val="00090F01"/>
    <w:rsid w:val="00090FA5"/>
    <w:rsid w:val="00091AD5"/>
    <w:rsid w:val="0009214F"/>
    <w:rsid w:val="0009232A"/>
    <w:rsid w:val="0009258D"/>
    <w:rsid w:val="00092816"/>
    <w:rsid w:val="00093120"/>
    <w:rsid w:val="00093B70"/>
    <w:rsid w:val="00094908"/>
    <w:rsid w:val="00095418"/>
    <w:rsid w:val="000957EE"/>
    <w:rsid w:val="0009689F"/>
    <w:rsid w:val="00096FA3"/>
    <w:rsid w:val="0009702E"/>
    <w:rsid w:val="00097E88"/>
    <w:rsid w:val="000A0E8B"/>
    <w:rsid w:val="000A13E8"/>
    <w:rsid w:val="000A1657"/>
    <w:rsid w:val="000A1E9B"/>
    <w:rsid w:val="000A2C62"/>
    <w:rsid w:val="000A36E9"/>
    <w:rsid w:val="000A3E7E"/>
    <w:rsid w:val="000A3F7E"/>
    <w:rsid w:val="000A4006"/>
    <w:rsid w:val="000A4749"/>
    <w:rsid w:val="000A49D5"/>
    <w:rsid w:val="000A5267"/>
    <w:rsid w:val="000A56F7"/>
    <w:rsid w:val="000A5714"/>
    <w:rsid w:val="000A5A79"/>
    <w:rsid w:val="000A5BDF"/>
    <w:rsid w:val="000A5C4F"/>
    <w:rsid w:val="000A5D44"/>
    <w:rsid w:val="000A5ECA"/>
    <w:rsid w:val="000A5F4A"/>
    <w:rsid w:val="000A61B3"/>
    <w:rsid w:val="000A7032"/>
    <w:rsid w:val="000A7370"/>
    <w:rsid w:val="000A75DF"/>
    <w:rsid w:val="000A78B3"/>
    <w:rsid w:val="000B08C1"/>
    <w:rsid w:val="000B0C14"/>
    <w:rsid w:val="000B0DBC"/>
    <w:rsid w:val="000B169C"/>
    <w:rsid w:val="000B1794"/>
    <w:rsid w:val="000B2255"/>
    <w:rsid w:val="000B2425"/>
    <w:rsid w:val="000B25A8"/>
    <w:rsid w:val="000B3825"/>
    <w:rsid w:val="000B3B5F"/>
    <w:rsid w:val="000B4ABD"/>
    <w:rsid w:val="000B4B25"/>
    <w:rsid w:val="000B4B91"/>
    <w:rsid w:val="000B57EF"/>
    <w:rsid w:val="000B59DC"/>
    <w:rsid w:val="000B63A1"/>
    <w:rsid w:val="000B78EB"/>
    <w:rsid w:val="000B7B7B"/>
    <w:rsid w:val="000B7E39"/>
    <w:rsid w:val="000B7ED0"/>
    <w:rsid w:val="000C04E6"/>
    <w:rsid w:val="000C06CC"/>
    <w:rsid w:val="000C1D99"/>
    <w:rsid w:val="000C1DDA"/>
    <w:rsid w:val="000C2191"/>
    <w:rsid w:val="000C2C88"/>
    <w:rsid w:val="000C3CE9"/>
    <w:rsid w:val="000C3F19"/>
    <w:rsid w:val="000C48B1"/>
    <w:rsid w:val="000C499E"/>
    <w:rsid w:val="000C4CB0"/>
    <w:rsid w:val="000C591E"/>
    <w:rsid w:val="000C656B"/>
    <w:rsid w:val="000C69E5"/>
    <w:rsid w:val="000C6C3C"/>
    <w:rsid w:val="000C6DC8"/>
    <w:rsid w:val="000C7BCB"/>
    <w:rsid w:val="000C7DE9"/>
    <w:rsid w:val="000C7E19"/>
    <w:rsid w:val="000D0E97"/>
    <w:rsid w:val="000D1BFE"/>
    <w:rsid w:val="000D1EC1"/>
    <w:rsid w:val="000D22A5"/>
    <w:rsid w:val="000D2D2B"/>
    <w:rsid w:val="000D2F73"/>
    <w:rsid w:val="000D3C04"/>
    <w:rsid w:val="000D6F93"/>
    <w:rsid w:val="000D70F7"/>
    <w:rsid w:val="000D72DE"/>
    <w:rsid w:val="000D791D"/>
    <w:rsid w:val="000D7A6A"/>
    <w:rsid w:val="000D7A9E"/>
    <w:rsid w:val="000D7EB0"/>
    <w:rsid w:val="000E044D"/>
    <w:rsid w:val="000E04F4"/>
    <w:rsid w:val="000E0723"/>
    <w:rsid w:val="000E082C"/>
    <w:rsid w:val="000E0A92"/>
    <w:rsid w:val="000E0B18"/>
    <w:rsid w:val="000E12F1"/>
    <w:rsid w:val="000E220A"/>
    <w:rsid w:val="000E25B5"/>
    <w:rsid w:val="000E2690"/>
    <w:rsid w:val="000E2836"/>
    <w:rsid w:val="000E295D"/>
    <w:rsid w:val="000E31D2"/>
    <w:rsid w:val="000E3621"/>
    <w:rsid w:val="000E38D3"/>
    <w:rsid w:val="000E4E62"/>
    <w:rsid w:val="000E4ED7"/>
    <w:rsid w:val="000E4F78"/>
    <w:rsid w:val="000E5E80"/>
    <w:rsid w:val="000E6A8C"/>
    <w:rsid w:val="000E7644"/>
    <w:rsid w:val="000E7694"/>
    <w:rsid w:val="000E7D3E"/>
    <w:rsid w:val="000F09F5"/>
    <w:rsid w:val="000F209F"/>
    <w:rsid w:val="000F2220"/>
    <w:rsid w:val="000F25E0"/>
    <w:rsid w:val="000F2B19"/>
    <w:rsid w:val="000F3D0A"/>
    <w:rsid w:val="000F3E30"/>
    <w:rsid w:val="000F42EF"/>
    <w:rsid w:val="000F449D"/>
    <w:rsid w:val="000F49CB"/>
    <w:rsid w:val="000F55E2"/>
    <w:rsid w:val="000F5927"/>
    <w:rsid w:val="000F5C65"/>
    <w:rsid w:val="000F635B"/>
    <w:rsid w:val="000F707F"/>
    <w:rsid w:val="000F7A2B"/>
    <w:rsid w:val="000F7AA7"/>
    <w:rsid w:val="00100233"/>
    <w:rsid w:val="00100FAA"/>
    <w:rsid w:val="00101036"/>
    <w:rsid w:val="00101CB1"/>
    <w:rsid w:val="00101CEF"/>
    <w:rsid w:val="0010292B"/>
    <w:rsid w:val="00103B0E"/>
    <w:rsid w:val="00103E92"/>
    <w:rsid w:val="001055C3"/>
    <w:rsid w:val="00105C43"/>
    <w:rsid w:val="00106409"/>
    <w:rsid w:val="00106704"/>
    <w:rsid w:val="001076FC"/>
    <w:rsid w:val="00107771"/>
    <w:rsid w:val="001077EB"/>
    <w:rsid w:val="001106BD"/>
    <w:rsid w:val="001118F1"/>
    <w:rsid w:val="00111FB1"/>
    <w:rsid w:val="00112642"/>
    <w:rsid w:val="00112DFF"/>
    <w:rsid w:val="001130AB"/>
    <w:rsid w:val="001137F7"/>
    <w:rsid w:val="00113B06"/>
    <w:rsid w:val="00113F2D"/>
    <w:rsid w:val="00114033"/>
    <w:rsid w:val="001141E0"/>
    <w:rsid w:val="00114527"/>
    <w:rsid w:val="00114660"/>
    <w:rsid w:val="00114968"/>
    <w:rsid w:val="00115015"/>
    <w:rsid w:val="001158C5"/>
    <w:rsid w:val="00115AEA"/>
    <w:rsid w:val="00116A85"/>
    <w:rsid w:val="00116DD9"/>
    <w:rsid w:val="00117093"/>
    <w:rsid w:val="0011741A"/>
    <w:rsid w:val="00120064"/>
    <w:rsid w:val="001202CB"/>
    <w:rsid w:val="00121D77"/>
    <w:rsid w:val="00121D7E"/>
    <w:rsid w:val="0012286C"/>
    <w:rsid w:val="00122BD1"/>
    <w:rsid w:val="00122E3A"/>
    <w:rsid w:val="00122E42"/>
    <w:rsid w:val="001231C4"/>
    <w:rsid w:val="00124170"/>
    <w:rsid w:val="00124183"/>
    <w:rsid w:val="001248DC"/>
    <w:rsid w:val="00124C3F"/>
    <w:rsid w:val="00124CA1"/>
    <w:rsid w:val="00124FA7"/>
    <w:rsid w:val="0012538B"/>
    <w:rsid w:val="001256DB"/>
    <w:rsid w:val="0012623F"/>
    <w:rsid w:val="00126542"/>
    <w:rsid w:val="00126597"/>
    <w:rsid w:val="0012677A"/>
    <w:rsid w:val="001268C7"/>
    <w:rsid w:val="001276E3"/>
    <w:rsid w:val="001316F9"/>
    <w:rsid w:val="001317BD"/>
    <w:rsid w:val="001318BD"/>
    <w:rsid w:val="0013203D"/>
    <w:rsid w:val="00132721"/>
    <w:rsid w:val="001327CC"/>
    <w:rsid w:val="00133A17"/>
    <w:rsid w:val="00133CBE"/>
    <w:rsid w:val="001343CE"/>
    <w:rsid w:val="001344EE"/>
    <w:rsid w:val="00134B8F"/>
    <w:rsid w:val="00135042"/>
    <w:rsid w:val="00135658"/>
    <w:rsid w:val="00135727"/>
    <w:rsid w:val="00135C1E"/>
    <w:rsid w:val="00136983"/>
    <w:rsid w:val="00136A02"/>
    <w:rsid w:val="00137C89"/>
    <w:rsid w:val="00141652"/>
    <w:rsid w:val="00141ABF"/>
    <w:rsid w:val="00141F5F"/>
    <w:rsid w:val="001426BF"/>
    <w:rsid w:val="001426DD"/>
    <w:rsid w:val="001433FE"/>
    <w:rsid w:val="001441BA"/>
    <w:rsid w:val="00144E09"/>
    <w:rsid w:val="00144E9E"/>
    <w:rsid w:val="00145A5E"/>
    <w:rsid w:val="001468C2"/>
    <w:rsid w:val="00146B0E"/>
    <w:rsid w:val="00147136"/>
    <w:rsid w:val="00147308"/>
    <w:rsid w:val="00147320"/>
    <w:rsid w:val="00147575"/>
    <w:rsid w:val="00147CF6"/>
    <w:rsid w:val="0015019D"/>
    <w:rsid w:val="00150253"/>
    <w:rsid w:val="0015058F"/>
    <w:rsid w:val="00150A18"/>
    <w:rsid w:val="001519E4"/>
    <w:rsid w:val="0015279D"/>
    <w:rsid w:val="00152A8D"/>
    <w:rsid w:val="00152AD3"/>
    <w:rsid w:val="00153444"/>
    <w:rsid w:val="00153EAA"/>
    <w:rsid w:val="00154191"/>
    <w:rsid w:val="00154952"/>
    <w:rsid w:val="001556C6"/>
    <w:rsid w:val="0015589D"/>
    <w:rsid w:val="00155F56"/>
    <w:rsid w:val="001569F8"/>
    <w:rsid w:val="00157675"/>
    <w:rsid w:val="001579AE"/>
    <w:rsid w:val="00157F5E"/>
    <w:rsid w:val="001601CC"/>
    <w:rsid w:val="001604D9"/>
    <w:rsid w:val="00160F7E"/>
    <w:rsid w:val="00161C6F"/>
    <w:rsid w:val="0016246A"/>
    <w:rsid w:val="001629E7"/>
    <w:rsid w:val="00163B83"/>
    <w:rsid w:val="00163CD9"/>
    <w:rsid w:val="001645E7"/>
    <w:rsid w:val="00164B81"/>
    <w:rsid w:val="00164D18"/>
    <w:rsid w:val="0016566E"/>
    <w:rsid w:val="001658FB"/>
    <w:rsid w:val="00166481"/>
    <w:rsid w:val="0016709F"/>
    <w:rsid w:val="00167536"/>
    <w:rsid w:val="0016764F"/>
    <w:rsid w:val="00167779"/>
    <w:rsid w:val="00171017"/>
    <w:rsid w:val="00171682"/>
    <w:rsid w:val="00172348"/>
    <w:rsid w:val="001746CB"/>
    <w:rsid w:val="00174F1F"/>
    <w:rsid w:val="001755B0"/>
    <w:rsid w:val="00175C4F"/>
    <w:rsid w:val="00175DD4"/>
    <w:rsid w:val="00175EAB"/>
    <w:rsid w:val="00175F87"/>
    <w:rsid w:val="00176D6E"/>
    <w:rsid w:val="00176EDB"/>
    <w:rsid w:val="0017780A"/>
    <w:rsid w:val="00177BB7"/>
    <w:rsid w:val="00180384"/>
    <w:rsid w:val="00180B90"/>
    <w:rsid w:val="00180BF7"/>
    <w:rsid w:val="00180F04"/>
    <w:rsid w:val="00181225"/>
    <w:rsid w:val="00181402"/>
    <w:rsid w:val="00181725"/>
    <w:rsid w:val="00181B91"/>
    <w:rsid w:val="0018212D"/>
    <w:rsid w:val="0018243E"/>
    <w:rsid w:val="00182811"/>
    <w:rsid w:val="00182A77"/>
    <w:rsid w:val="00182DA3"/>
    <w:rsid w:val="00182ED1"/>
    <w:rsid w:val="00183A42"/>
    <w:rsid w:val="00183D64"/>
    <w:rsid w:val="00183E45"/>
    <w:rsid w:val="001842ED"/>
    <w:rsid w:val="00184895"/>
    <w:rsid w:val="001848D6"/>
    <w:rsid w:val="00184BF9"/>
    <w:rsid w:val="0018590A"/>
    <w:rsid w:val="001866A7"/>
    <w:rsid w:val="00186742"/>
    <w:rsid w:val="00186EEC"/>
    <w:rsid w:val="00186F3C"/>
    <w:rsid w:val="00187AEF"/>
    <w:rsid w:val="00187C99"/>
    <w:rsid w:val="0019218B"/>
    <w:rsid w:val="001922C8"/>
    <w:rsid w:val="0019297D"/>
    <w:rsid w:val="00192BAA"/>
    <w:rsid w:val="001937B5"/>
    <w:rsid w:val="001937CB"/>
    <w:rsid w:val="00193A3D"/>
    <w:rsid w:val="0019444D"/>
    <w:rsid w:val="00194BE1"/>
    <w:rsid w:val="00194BE8"/>
    <w:rsid w:val="00194E00"/>
    <w:rsid w:val="0019652C"/>
    <w:rsid w:val="001967A4"/>
    <w:rsid w:val="00196D13"/>
    <w:rsid w:val="00197FB2"/>
    <w:rsid w:val="001A07D1"/>
    <w:rsid w:val="001A1027"/>
    <w:rsid w:val="001A1065"/>
    <w:rsid w:val="001A164B"/>
    <w:rsid w:val="001A2699"/>
    <w:rsid w:val="001A2929"/>
    <w:rsid w:val="001A3920"/>
    <w:rsid w:val="001A3A51"/>
    <w:rsid w:val="001A447E"/>
    <w:rsid w:val="001A4824"/>
    <w:rsid w:val="001A482C"/>
    <w:rsid w:val="001A4B3A"/>
    <w:rsid w:val="001A5200"/>
    <w:rsid w:val="001A58EA"/>
    <w:rsid w:val="001A5FB6"/>
    <w:rsid w:val="001A601C"/>
    <w:rsid w:val="001A6174"/>
    <w:rsid w:val="001A6A35"/>
    <w:rsid w:val="001A6D72"/>
    <w:rsid w:val="001A7309"/>
    <w:rsid w:val="001A730F"/>
    <w:rsid w:val="001A77C1"/>
    <w:rsid w:val="001A79A3"/>
    <w:rsid w:val="001B06A1"/>
    <w:rsid w:val="001B0BE7"/>
    <w:rsid w:val="001B1165"/>
    <w:rsid w:val="001B189F"/>
    <w:rsid w:val="001B19A8"/>
    <w:rsid w:val="001B1CD4"/>
    <w:rsid w:val="001B2E9E"/>
    <w:rsid w:val="001B35E0"/>
    <w:rsid w:val="001B4272"/>
    <w:rsid w:val="001B461B"/>
    <w:rsid w:val="001B48A7"/>
    <w:rsid w:val="001B4D88"/>
    <w:rsid w:val="001B5272"/>
    <w:rsid w:val="001B571E"/>
    <w:rsid w:val="001B5B1F"/>
    <w:rsid w:val="001B5FEE"/>
    <w:rsid w:val="001B654E"/>
    <w:rsid w:val="001B65AD"/>
    <w:rsid w:val="001B67E6"/>
    <w:rsid w:val="001B76BE"/>
    <w:rsid w:val="001B7A5B"/>
    <w:rsid w:val="001B7E65"/>
    <w:rsid w:val="001C0001"/>
    <w:rsid w:val="001C088A"/>
    <w:rsid w:val="001C0B74"/>
    <w:rsid w:val="001C1977"/>
    <w:rsid w:val="001C1C2E"/>
    <w:rsid w:val="001C2B16"/>
    <w:rsid w:val="001C2F89"/>
    <w:rsid w:val="001C3B96"/>
    <w:rsid w:val="001C3BBD"/>
    <w:rsid w:val="001C456E"/>
    <w:rsid w:val="001C48EB"/>
    <w:rsid w:val="001C492F"/>
    <w:rsid w:val="001C4B29"/>
    <w:rsid w:val="001C4BBF"/>
    <w:rsid w:val="001C555C"/>
    <w:rsid w:val="001C649A"/>
    <w:rsid w:val="001C718B"/>
    <w:rsid w:val="001C7DCC"/>
    <w:rsid w:val="001C7EAA"/>
    <w:rsid w:val="001D0A2A"/>
    <w:rsid w:val="001D0B2E"/>
    <w:rsid w:val="001D0C3D"/>
    <w:rsid w:val="001D10FA"/>
    <w:rsid w:val="001D163A"/>
    <w:rsid w:val="001D1680"/>
    <w:rsid w:val="001D1E4D"/>
    <w:rsid w:val="001D24A7"/>
    <w:rsid w:val="001D24FB"/>
    <w:rsid w:val="001D2A6F"/>
    <w:rsid w:val="001D2F47"/>
    <w:rsid w:val="001D2FF8"/>
    <w:rsid w:val="001D3546"/>
    <w:rsid w:val="001D3757"/>
    <w:rsid w:val="001D383E"/>
    <w:rsid w:val="001D4050"/>
    <w:rsid w:val="001D4C2D"/>
    <w:rsid w:val="001D5309"/>
    <w:rsid w:val="001D57E4"/>
    <w:rsid w:val="001D794A"/>
    <w:rsid w:val="001D7EAE"/>
    <w:rsid w:val="001E0315"/>
    <w:rsid w:val="001E0C8B"/>
    <w:rsid w:val="001E0CB2"/>
    <w:rsid w:val="001E1607"/>
    <w:rsid w:val="001E1956"/>
    <w:rsid w:val="001E2F46"/>
    <w:rsid w:val="001E389E"/>
    <w:rsid w:val="001E416B"/>
    <w:rsid w:val="001E43F6"/>
    <w:rsid w:val="001E453B"/>
    <w:rsid w:val="001E45D2"/>
    <w:rsid w:val="001E4748"/>
    <w:rsid w:val="001E4832"/>
    <w:rsid w:val="001E58E4"/>
    <w:rsid w:val="001E5A98"/>
    <w:rsid w:val="001E5C3B"/>
    <w:rsid w:val="001E5E41"/>
    <w:rsid w:val="001E63C1"/>
    <w:rsid w:val="001E641B"/>
    <w:rsid w:val="001E668D"/>
    <w:rsid w:val="001E68B2"/>
    <w:rsid w:val="001E68F5"/>
    <w:rsid w:val="001E6D4C"/>
    <w:rsid w:val="001E6D9E"/>
    <w:rsid w:val="001E76D5"/>
    <w:rsid w:val="001E79D0"/>
    <w:rsid w:val="001E7AE0"/>
    <w:rsid w:val="001E7D4B"/>
    <w:rsid w:val="001E7FFC"/>
    <w:rsid w:val="001F0066"/>
    <w:rsid w:val="001F0BB9"/>
    <w:rsid w:val="001F0BC1"/>
    <w:rsid w:val="001F1A92"/>
    <w:rsid w:val="001F1F57"/>
    <w:rsid w:val="001F217D"/>
    <w:rsid w:val="001F24A6"/>
    <w:rsid w:val="001F264B"/>
    <w:rsid w:val="001F2AF2"/>
    <w:rsid w:val="001F3453"/>
    <w:rsid w:val="001F396F"/>
    <w:rsid w:val="001F3DD9"/>
    <w:rsid w:val="001F41D0"/>
    <w:rsid w:val="001F4BFD"/>
    <w:rsid w:val="001F4F92"/>
    <w:rsid w:val="001F5A2A"/>
    <w:rsid w:val="001F6076"/>
    <w:rsid w:val="001F6159"/>
    <w:rsid w:val="001F6607"/>
    <w:rsid w:val="001F68CD"/>
    <w:rsid w:val="001F711E"/>
    <w:rsid w:val="001F740C"/>
    <w:rsid w:val="001F78DB"/>
    <w:rsid w:val="001F7AB7"/>
    <w:rsid w:val="0020003C"/>
    <w:rsid w:val="0020035A"/>
    <w:rsid w:val="002007B3"/>
    <w:rsid w:val="002008C3"/>
    <w:rsid w:val="002010CA"/>
    <w:rsid w:val="002014C2"/>
    <w:rsid w:val="00201C4F"/>
    <w:rsid w:val="00201CD3"/>
    <w:rsid w:val="00202AEC"/>
    <w:rsid w:val="00202D4D"/>
    <w:rsid w:val="00202E1D"/>
    <w:rsid w:val="00203788"/>
    <w:rsid w:val="002038B2"/>
    <w:rsid w:val="00203DF0"/>
    <w:rsid w:val="00203F77"/>
    <w:rsid w:val="00204070"/>
    <w:rsid w:val="0020473E"/>
    <w:rsid w:val="0020520F"/>
    <w:rsid w:val="002053F1"/>
    <w:rsid w:val="002055DA"/>
    <w:rsid w:val="002059FD"/>
    <w:rsid w:val="00205C1D"/>
    <w:rsid w:val="00205DE4"/>
    <w:rsid w:val="0020630C"/>
    <w:rsid w:val="002065FA"/>
    <w:rsid w:val="00206C3F"/>
    <w:rsid w:val="00206F66"/>
    <w:rsid w:val="0020705B"/>
    <w:rsid w:val="002072B8"/>
    <w:rsid w:val="002073BC"/>
    <w:rsid w:val="0020792D"/>
    <w:rsid w:val="00207A52"/>
    <w:rsid w:val="00207AE7"/>
    <w:rsid w:val="00207EEB"/>
    <w:rsid w:val="0021020D"/>
    <w:rsid w:val="0021095E"/>
    <w:rsid w:val="00210EA9"/>
    <w:rsid w:val="00211287"/>
    <w:rsid w:val="002112A1"/>
    <w:rsid w:val="00211708"/>
    <w:rsid w:val="00211909"/>
    <w:rsid w:val="00211E0B"/>
    <w:rsid w:val="00212478"/>
    <w:rsid w:val="0021388F"/>
    <w:rsid w:val="002141AD"/>
    <w:rsid w:val="0021422E"/>
    <w:rsid w:val="002142FC"/>
    <w:rsid w:val="00214446"/>
    <w:rsid w:val="002145B6"/>
    <w:rsid w:val="00215612"/>
    <w:rsid w:val="00215974"/>
    <w:rsid w:val="002202D3"/>
    <w:rsid w:val="0022055C"/>
    <w:rsid w:val="00220657"/>
    <w:rsid w:val="00220FB8"/>
    <w:rsid w:val="00221698"/>
    <w:rsid w:val="00221B06"/>
    <w:rsid w:val="00221E5F"/>
    <w:rsid w:val="00221ED8"/>
    <w:rsid w:val="002239F2"/>
    <w:rsid w:val="00223C06"/>
    <w:rsid w:val="00223E25"/>
    <w:rsid w:val="00224178"/>
    <w:rsid w:val="00224342"/>
    <w:rsid w:val="00224417"/>
    <w:rsid w:val="0022512B"/>
    <w:rsid w:val="002255A2"/>
    <w:rsid w:val="002256BA"/>
    <w:rsid w:val="00225771"/>
    <w:rsid w:val="002257CC"/>
    <w:rsid w:val="00225E1A"/>
    <w:rsid w:val="002263EC"/>
    <w:rsid w:val="00226BA6"/>
    <w:rsid w:val="00227273"/>
    <w:rsid w:val="002272FC"/>
    <w:rsid w:val="00227A36"/>
    <w:rsid w:val="00230275"/>
    <w:rsid w:val="00230568"/>
    <w:rsid w:val="00230AA0"/>
    <w:rsid w:val="00230C75"/>
    <w:rsid w:val="002310EC"/>
    <w:rsid w:val="00231A23"/>
    <w:rsid w:val="00231E37"/>
    <w:rsid w:val="00232029"/>
    <w:rsid w:val="00232234"/>
    <w:rsid w:val="002322B2"/>
    <w:rsid w:val="00232A76"/>
    <w:rsid w:val="00232F32"/>
    <w:rsid w:val="00233035"/>
    <w:rsid w:val="00233606"/>
    <w:rsid w:val="00233B65"/>
    <w:rsid w:val="00233F17"/>
    <w:rsid w:val="00234399"/>
    <w:rsid w:val="002352D7"/>
    <w:rsid w:val="00235911"/>
    <w:rsid w:val="0023597E"/>
    <w:rsid w:val="0023599C"/>
    <w:rsid w:val="00235BAE"/>
    <w:rsid w:val="00236288"/>
    <w:rsid w:val="00236493"/>
    <w:rsid w:val="00236760"/>
    <w:rsid w:val="00236DA8"/>
    <w:rsid w:val="00237D37"/>
    <w:rsid w:val="0024097D"/>
    <w:rsid w:val="00241495"/>
    <w:rsid w:val="00241B52"/>
    <w:rsid w:val="00241BCB"/>
    <w:rsid w:val="00241C95"/>
    <w:rsid w:val="0024277A"/>
    <w:rsid w:val="00243613"/>
    <w:rsid w:val="0024378E"/>
    <w:rsid w:val="00243906"/>
    <w:rsid w:val="00243A2D"/>
    <w:rsid w:val="00243D16"/>
    <w:rsid w:val="00244B9B"/>
    <w:rsid w:val="00245288"/>
    <w:rsid w:val="002454E6"/>
    <w:rsid w:val="00245850"/>
    <w:rsid w:val="002468A1"/>
    <w:rsid w:val="00247040"/>
    <w:rsid w:val="00247441"/>
    <w:rsid w:val="002477D6"/>
    <w:rsid w:val="00247804"/>
    <w:rsid w:val="00247A0D"/>
    <w:rsid w:val="00247A8C"/>
    <w:rsid w:val="00247AFD"/>
    <w:rsid w:val="00247EF9"/>
    <w:rsid w:val="0025010E"/>
    <w:rsid w:val="00250115"/>
    <w:rsid w:val="002513FC"/>
    <w:rsid w:val="0025166D"/>
    <w:rsid w:val="00252262"/>
    <w:rsid w:val="00252999"/>
    <w:rsid w:val="00252CA2"/>
    <w:rsid w:val="00252E43"/>
    <w:rsid w:val="00253B9C"/>
    <w:rsid w:val="00253D78"/>
    <w:rsid w:val="0025480F"/>
    <w:rsid w:val="00254A73"/>
    <w:rsid w:val="002553C7"/>
    <w:rsid w:val="00255EB2"/>
    <w:rsid w:val="002560D8"/>
    <w:rsid w:val="002565D8"/>
    <w:rsid w:val="00256992"/>
    <w:rsid w:val="002576B1"/>
    <w:rsid w:val="00260562"/>
    <w:rsid w:val="00260714"/>
    <w:rsid w:val="00261A10"/>
    <w:rsid w:val="00261E6F"/>
    <w:rsid w:val="00261EB6"/>
    <w:rsid w:val="00261F08"/>
    <w:rsid w:val="002633BE"/>
    <w:rsid w:val="00263AF9"/>
    <w:rsid w:val="00263E20"/>
    <w:rsid w:val="00263FC0"/>
    <w:rsid w:val="002640B7"/>
    <w:rsid w:val="00264B64"/>
    <w:rsid w:val="002653B6"/>
    <w:rsid w:val="0026553D"/>
    <w:rsid w:val="0026684F"/>
    <w:rsid w:val="002668D3"/>
    <w:rsid w:val="0026773F"/>
    <w:rsid w:val="00267A31"/>
    <w:rsid w:val="00267DF1"/>
    <w:rsid w:val="0027012B"/>
    <w:rsid w:val="002701E8"/>
    <w:rsid w:val="00270555"/>
    <w:rsid w:val="002705EA"/>
    <w:rsid w:val="002706A7"/>
    <w:rsid w:val="00270CEC"/>
    <w:rsid w:val="00270EFB"/>
    <w:rsid w:val="00271621"/>
    <w:rsid w:val="0027260F"/>
    <w:rsid w:val="00273C0E"/>
    <w:rsid w:val="002748AE"/>
    <w:rsid w:val="00274F84"/>
    <w:rsid w:val="00275193"/>
    <w:rsid w:val="00276907"/>
    <w:rsid w:val="00276D86"/>
    <w:rsid w:val="00276FF1"/>
    <w:rsid w:val="0028022D"/>
    <w:rsid w:val="002806CD"/>
    <w:rsid w:val="00280738"/>
    <w:rsid w:val="002807DA"/>
    <w:rsid w:val="00280913"/>
    <w:rsid w:val="00280CE6"/>
    <w:rsid w:val="002811B0"/>
    <w:rsid w:val="00281339"/>
    <w:rsid w:val="00281B56"/>
    <w:rsid w:val="00281BAF"/>
    <w:rsid w:val="0028239D"/>
    <w:rsid w:val="00282745"/>
    <w:rsid w:val="00282A5D"/>
    <w:rsid w:val="00282CC9"/>
    <w:rsid w:val="00282DD5"/>
    <w:rsid w:val="00282F47"/>
    <w:rsid w:val="00282F61"/>
    <w:rsid w:val="002831E1"/>
    <w:rsid w:val="0028335E"/>
    <w:rsid w:val="00283E98"/>
    <w:rsid w:val="00283F9D"/>
    <w:rsid w:val="00283FE5"/>
    <w:rsid w:val="0028508F"/>
    <w:rsid w:val="002856DF"/>
    <w:rsid w:val="00285731"/>
    <w:rsid w:val="00285B82"/>
    <w:rsid w:val="00285C02"/>
    <w:rsid w:val="00286527"/>
    <w:rsid w:val="00286962"/>
    <w:rsid w:val="00286992"/>
    <w:rsid w:val="00286A25"/>
    <w:rsid w:val="00286B8D"/>
    <w:rsid w:val="00287651"/>
    <w:rsid w:val="00287DDE"/>
    <w:rsid w:val="00290260"/>
    <w:rsid w:val="002902ED"/>
    <w:rsid w:val="002902F1"/>
    <w:rsid w:val="0029075C"/>
    <w:rsid w:val="00290CBF"/>
    <w:rsid w:val="00291417"/>
    <w:rsid w:val="002914B3"/>
    <w:rsid w:val="002922C5"/>
    <w:rsid w:val="00292355"/>
    <w:rsid w:val="0029287A"/>
    <w:rsid w:val="0029328F"/>
    <w:rsid w:val="002940F9"/>
    <w:rsid w:val="00294E64"/>
    <w:rsid w:val="0029520A"/>
    <w:rsid w:val="00295A93"/>
    <w:rsid w:val="00295B5D"/>
    <w:rsid w:val="00295EFC"/>
    <w:rsid w:val="0029650F"/>
    <w:rsid w:val="00296AA5"/>
    <w:rsid w:val="00297661"/>
    <w:rsid w:val="0029772B"/>
    <w:rsid w:val="00297BF1"/>
    <w:rsid w:val="00297D3D"/>
    <w:rsid w:val="002A0082"/>
    <w:rsid w:val="002A0552"/>
    <w:rsid w:val="002A091A"/>
    <w:rsid w:val="002A1679"/>
    <w:rsid w:val="002A1F17"/>
    <w:rsid w:val="002A20E9"/>
    <w:rsid w:val="002A2279"/>
    <w:rsid w:val="002A28B1"/>
    <w:rsid w:val="002A2937"/>
    <w:rsid w:val="002A2D90"/>
    <w:rsid w:val="002A39A3"/>
    <w:rsid w:val="002A3A62"/>
    <w:rsid w:val="002A3B98"/>
    <w:rsid w:val="002A4667"/>
    <w:rsid w:val="002A46D6"/>
    <w:rsid w:val="002A4B22"/>
    <w:rsid w:val="002A4CFB"/>
    <w:rsid w:val="002A5276"/>
    <w:rsid w:val="002A60BD"/>
    <w:rsid w:val="002A6752"/>
    <w:rsid w:val="002A6C4B"/>
    <w:rsid w:val="002A7059"/>
    <w:rsid w:val="002A706D"/>
    <w:rsid w:val="002A77B5"/>
    <w:rsid w:val="002A7B0C"/>
    <w:rsid w:val="002B0534"/>
    <w:rsid w:val="002B0775"/>
    <w:rsid w:val="002B0C1D"/>
    <w:rsid w:val="002B1337"/>
    <w:rsid w:val="002B25DC"/>
    <w:rsid w:val="002B2D52"/>
    <w:rsid w:val="002B33D1"/>
    <w:rsid w:val="002B33E9"/>
    <w:rsid w:val="002B3F57"/>
    <w:rsid w:val="002B4541"/>
    <w:rsid w:val="002B48A1"/>
    <w:rsid w:val="002B4ACE"/>
    <w:rsid w:val="002B4BE1"/>
    <w:rsid w:val="002B4FE0"/>
    <w:rsid w:val="002B5103"/>
    <w:rsid w:val="002B520E"/>
    <w:rsid w:val="002B593E"/>
    <w:rsid w:val="002B59BC"/>
    <w:rsid w:val="002B5BBD"/>
    <w:rsid w:val="002B5BE9"/>
    <w:rsid w:val="002B5E89"/>
    <w:rsid w:val="002B6311"/>
    <w:rsid w:val="002B6C82"/>
    <w:rsid w:val="002B70D5"/>
    <w:rsid w:val="002B738A"/>
    <w:rsid w:val="002B7978"/>
    <w:rsid w:val="002B7E11"/>
    <w:rsid w:val="002B7F11"/>
    <w:rsid w:val="002C0371"/>
    <w:rsid w:val="002C06ED"/>
    <w:rsid w:val="002C113A"/>
    <w:rsid w:val="002C1255"/>
    <w:rsid w:val="002C1566"/>
    <w:rsid w:val="002C1F2D"/>
    <w:rsid w:val="002C1FF8"/>
    <w:rsid w:val="002C3AA9"/>
    <w:rsid w:val="002C3C7D"/>
    <w:rsid w:val="002C4053"/>
    <w:rsid w:val="002C44C1"/>
    <w:rsid w:val="002C4512"/>
    <w:rsid w:val="002C45B7"/>
    <w:rsid w:val="002C4FDC"/>
    <w:rsid w:val="002C561D"/>
    <w:rsid w:val="002C58BB"/>
    <w:rsid w:val="002C5963"/>
    <w:rsid w:val="002C5BF8"/>
    <w:rsid w:val="002C5DFF"/>
    <w:rsid w:val="002C610A"/>
    <w:rsid w:val="002C616D"/>
    <w:rsid w:val="002C6339"/>
    <w:rsid w:val="002C6539"/>
    <w:rsid w:val="002C66A8"/>
    <w:rsid w:val="002C6A7C"/>
    <w:rsid w:val="002C7334"/>
    <w:rsid w:val="002C7709"/>
    <w:rsid w:val="002C78CF"/>
    <w:rsid w:val="002D0B15"/>
    <w:rsid w:val="002D0C97"/>
    <w:rsid w:val="002D0F71"/>
    <w:rsid w:val="002D139F"/>
    <w:rsid w:val="002D24CD"/>
    <w:rsid w:val="002D2A4C"/>
    <w:rsid w:val="002D30C7"/>
    <w:rsid w:val="002D3495"/>
    <w:rsid w:val="002D42BE"/>
    <w:rsid w:val="002D454E"/>
    <w:rsid w:val="002D48CE"/>
    <w:rsid w:val="002D5086"/>
    <w:rsid w:val="002D512A"/>
    <w:rsid w:val="002D6C5A"/>
    <w:rsid w:val="002D7DF3"/>
    <w:rsid w:val="002E0571"/>
    <w:rsid w:val="002E090C"/>
    <w:rsid w:val="002E0E60"/>
    <w:rsid w:val="002E0FF5"/>
    <w:rsid w:val="002E16B9"/>
    <w:rsid w:val="002E1B90"/>
    <w:rsid w:val="002E1E39"/>
    <w:rsid w:val="002E291B"/>
    <w:rsid w:val="002E2B4E"/>
    <w:rsid w:val="002E2CFA"/>
    <w:rsid w:val="002E324C"/>
    <w:rsid w:val="002E38EF"/>
    <w:rsid w:val="002E391D"/>
    <w:rsid w:val="002E391F"/>
    <w:rsid w:val="002E41BB"/>
    <w:rsid w:val="002E46CB"/>
    <w:rsid w:val="002E4A55"/>
    <w:rsid w:val="002E4D79"/>
    <w:rsid w:val="002E54F7"/>
    <w:rsid w:val="002E55E4"/>
    <w:rsid w:val="002E5FCA"/>
    <w:rsid w:val="002E71F6"/>
    <w:rsid w:val="002E74EE"/>
    <w:rsid w:val="002E75BF"/>
    <w:rsid w:val="002E78A7"/>
    <w:rsid w:val="002E7E66"/>
    <w:rsid w:val="002F02D9"/>
    <w:rsid w:val="002F03D1"/>
    <w:rsid w:val="002F05A9"/>
    <w:rsid w:val="002F13D4"/>
    <w:rsid w:val="002F196C"/>
    <w:rsid w:val="002F19A3"/>
    <w:rsid w:val="002F222D"/>
    <w:rsid w:val="002F271F"/>
    <w:rsid w:val="002F2E23"/>
    <w:rsid w:val="002F375E"/>
    <w:rsid w:val="002F5762"/>
    <w:rsid w:val="002F584E"/>
    <w:rsid w:val="002F62E6"/>
    <w:rsid w:val="002F660E"/>
    <w:rsid w:val="002F6F90"/>
    <w:rsid w:val="002F71C4"/>
    <w:rsid w:val="002F7BA5"/>
    <w:rsid w:val="003008F2"/>
    <w:rsid w:val="00300DE8"/>
    <w:rsid w:val="00301691"/>
    <w:rsid w:val="003026D8"/>
    <w:rsid w:val="00302EA8"/>
    <w:rsid w:val="003033EF"/>
    <w:rsid w:val="00303714"/>
    <w:rsid w:val="00303AD6"/>
    <w:rsid w:val="00303BD9"/>
    <w:rsid w:val="00303DFA"/>
    <w:rsid w:val="0030463F"/>
    <w:rsid w:val="00304A16"/>
    <w:rsid w:val="003060FB"/>
    <w:rsid w:val="003061F0"/>
    <w:rsid w:val="003065EB"/>
    <w:rsid w:val="003065F1"/>
    <w:rsid w:val="00306A28"/>
    <w:rsid w:val="00306CED"/>
    <w:rsid w:val="00306DB7"/>
    <w:rsid w:val="00307089"/>
    <w:rsid w:val="003074CF"/>
    <w:rsid w:val="00310273"/>
    <w:rsid w:val="003125AE"/>
    <w:rsid w:val="003135C0"/>
    <w:rsid w:val="00313968"/>
    <w:rsid w:val="0031446D"/>
    <w:rsid w:val="00314558"/>
    <w:rsid w:val="0031459F"/>
    <w:rsid w:val="0031551F"/>
    <w:rsid w:val="00315B0B"/>
    <w:rsid w:val="00315F85"/>
    <w:rsid w:val="00315FB7"/>
    <w:rsid w:val="003165D4"/>
    <w:rsid w:val="00316BCB"/>
    <w:rsid w:val="00317CD3"/>
    <w:rsid w:val="00321595"/>
    <w:rsid w:val="003216DC"/>
    <w:rsid w:val="00323475"/>
    <w:rsid w:val="00323ED7"/>
    <w:rsid w:val="00324328"/>
    <w:rsid w:val="00325142"/>
    <w:rsid w:val="003252EC"/>
    <w:rsid w:val="00325610"/>
    <w:rsid w:val="00325D2E"/>
    <w:rsid w:val="00326274"/>
    <w:rsid w:val="00326719"/>
    <w:rsid w:val="00326D70"/>
    <w:rsid w:val="003271E7"/>
    <w:rsid w:val="003275F1"/>
    <w:rsid w:val="0032762F"/>
    <w:rsid w:val="00330263"/>
    <w:rsid w:val="003309DF"/>
    <w:rsid w:val="003311E2"/>
    <w:rsid w:val="003319DD"/>
    <w:rsid w:val="003319F8"/>
    <w:rsid w:val="0033247B"/>
    <w:rsid w:val="00333E78"/>
    <w:rsid w:val="00333F86"/>
    <w:rsid w:val="0033466E"/>
    <w:rsid w:val="00334C15"/>
    <w:rsid w:val="00334D28"/>
    <w:rsid w:val="003356AC"/>
    <w:rsid w:val="00335A64"/>
    <w:rsid w:val="003367E9"/>
    <w:rsid w:val="00336C97"/>
    <w:rsid w:val="00336FCE"/>
    <w:rsid w:val="0033740F"/>
    <w:rsid w:val="00337885"/>
    <w:rsid w:val="00337CCB"/>
    <w:rsid w:val="0034002E"/>
    <w:rsid w:val="003403DF"/>
    <w:rsid w:val="003411FB"/>
    <w:rsid w:val="0034133D"/>
    <w:rsid w:val="00341D71"/>
    <w:rsid w:val="00341F93"/>
    <w:rsid w:val="003422CC"/>
    <w:rsid w:val="003426E4"/>
    <w:rsid w:val="003432D5"/>
    <w:rsid w:val="00343AB1"/>
    <w:rsid w:val="00343EC8"/>
    <w:rsid w:val="003444C4"/>
    <w:rsid w:val="0034549B"/>
    <w:rsid w:val="00346ADF"/>
    <w:rsid w:val="00346E29"/>
    <w:rsid w:val="00347457"/>
    <w:rsid w:val="00347A93"/>
    <w:rsid w:val="00347EDF"/>
    <w:rsid w:val="00350785"/>
    <w:rsid w:val="00350CE5"/>
    <w:rsid w:val="0035229C"/>
    <w:rsid w:val="00352670"/>
    <w:rsid w:val="003539A6"/>
    <w:rsid w:val="00354510"/>
    <w:rsid w:val="003546DF"/>
    <w:rsid w:val="00354B16"/>
    <w:rsid w:val="0035533B"/>
    <w:rsid w:val="00355AB0"/>
    <w:rsid w:val="00356B7D"/>
    <w:rsid w:val="00356C66"/>
    <w:rsid w:val="003570EC"/>
    <w:rsid w:val="00357F64"/>
    <w:rsid w:val="00360D8E"/>
    <w:rsid w:val="0036124F"/>
    <w:rsid w:val="00361537"/>
    <w:rsid w:val="00361C7A"/>
    <w:rsid w:val="00362548"/>
    <w:rsid w:val="003634E8"/>
    <w:rsid w:val="003637BB"/>
    <w:rsid w:val="00363867"/>
    <w:rsid w:val="003640D1"/>
    <w:rsid w:val="00364606"/>
    <w:rsid w:val="00364649"/>
    <w:rsid w:val="00364878"/>
    <w:rsid w:val="00364A5C"/>
    <w:rsid w:val="00365115"/>
    <w:rsid w:val="003652CE"/>
    <w:rsid w:val="00365903"/>
    <w:rsid w:val="00366026"/>
    <w:rsid w:val="0036604E"/>
    <w:rsid w:val="00366204"/>
    <w:rsid w:val="00366365"/>
    <w:rsid w:val="003664A1"/>
    <w:rsid w:val="00366983"/>
    <w:rsid w:val="00366B32"/>
    <w:rsid w:val="00366BC2"/>
    <w:rsid w:val="00366F60"/>
    <w:rsid w:val="0036729E"/>
    <w:rsid w:val="00367CD1"/>
    <w:rsid w:val="00367E2A"/>
    <w:rsid w:val="00370481"/>
    <w:rsid w:val="00370637"/>
    <w:rsid w:val="00370E6F"/>
    <w:rsid w:val="00371092"/>
    <w:rsid w:val="0037115E"/>
    <w:rsid w:val="003715A0"/>
    <w:rsid w:val="00371BF4"/>
    <w:rsid w:val="00371D47"/>
    <w:rsid w:val="00371E79"/>
    <w:rsid w:val="00372237"/>
    <w:rsid w:val="00372E24"/>
    <w:rsid w:val="00373044"/>
    <w:rsid w:val="00373721"/>
    <w:rsid w:val="003738A8"/>
    <w:rsid w:val="00373F7B"/>
    <w:rsid w:val="00374646"/>
    <w:rsid w:val="00375032"/>
    <w:rsid w:val="003759B6"/>
    <w:rsid w:val="00376FAE"/>
    <w:rsid w:val="0037709C"/>
    <w:rsid w:val="00377130"/>
    <w:rsid w:val="0037750C"/>
    <w:rsid w:val="00377C5F"/>
    <w:rsid w:val="00380502"/>
    <w:rsid w:val="0038058B"/>
    <w:rsid w:val="00380685"/>
    <w:rsid w:val="003808DA"/>
    <w:rsid w:val="00380FFF"/>
    <w:rsid w:val="0038145B"/>
    <w:rsid w:val="00381D52"/>
    <w:rsid w:val="00381DAD"/>
    <w:rsid w:val="003823BD"/>
    <w:rsid w:val="00382976"/>
    <w:rsid w:val="00382BBC"/>
    <w:rsid w:val="00382FBD"/>
    <w:rsid w:val="0038314C"/>
    <w:rsid w:val="0038395C"/>
    <w:rsid w:val="00383F1A"/>
    <w:rsid w:val="003841A5"/>
    <w:rsid w:val="0038445D"/>
    <w:rsid w:val="003861AF"/>
    <w:rsid w:val="003862F0"/>
    <w:rsid w:val="00387118"/>
    <w:rsid w:val="00387263"/>
    <w:rsid w:val="003873A4"/>
    <w:rsid w:val="00387654"/>
    <w:rsid w:val="003879E9"/>
    <w:rsid w:val="00387A0E"/>
    <w:rsid w:val="00387D65"/>
    <w:rsid w:val="00390044"/>
    <w:rsid w:val="0039075E"/>
    <w:rsid w:val="0039087D"/>
    <w:rsid w:val="00391B34"/>
    <w:rsid w:val="003921D0"/>
    <w:rsid w:val="00392303"/>
    <w:rsid w:val="00392434"/>
    <w:rsid w:val="003929D8"/>
    <w:rsid w:val="00393398"/>
    <w:rsid w:val="003933AB"/>
    <w:rsid w:val="00393A72"/>
    <w:rsid w:val="003948F4"/>
    <w:rsid w:val="00395031"/>
    <w:rsid w:val="00395544"/>
    <w:rsid w:val="003957E2"/>
    <w:rsid w:val="00395ED1"/>
    <w:rsid w:val="003964D2"/>
    <w:rsid w:val="00396FF7"/>
    <w:rsid w:val="00397AD4"/>
    <w:rsid w:val="00397C78"/>
    <w:rsid w:val="003A00C2"/>
    <w:rsid w:val="003A0216"/>
    <w:rsid w:val="003A04B9"/>
    <w:rsid w:val="003A0501"/>
    <w:rsid w:val="003A0800"/>
    <w:rsid w:val="003A1E97"/>
    <w:rsid w:val="003A21C5"/>
    <w:rsid w:val="003A2BAB"/>
    <w:rsid w:val="003A2FA5"/>
    <w:rsid w:val="003A3AFF"/>
    <w:rsid w:val="003A4395"/>
    <w:rsid w:val="003A4602"/>
    <w:rsid w:val="003A4862"/>
    <w:rsid w:val="003A4B77"/>
    <w:rsid w:val="003A5587"/>
    <w:rsid w:val="003A5F72"/>
    <w:rsid w:val="003A61A5"/>
    <w:rsid w:val="003A6213"/>
    <w:rsid w:val="003A6939"/>
    <w:rsid w:val="003A6C7D"/>
    <w:rsid w:val="003A6E50"/>
    <w:rsid w:val="003A72B7"/>
    <w:rsid w:val="003A73FE"/>
    <w:rsid w:val="003A78E6"/>
    <w:rsid w:val="003B09A2"/>
    <w:rsid w:val="003B0AC7"/>
    <w:rsid w:val="003B0C90"/>
    <w:rsid w:val="003B0E12"/>
    <w:rsid w:val="003B0F9A"/>
    <w:rsid w:val="003B1447"/>
    <w:rsid w:val="003B21F7"/>
    <w:rsid w:val="003B23D8"/>
    <w:rsid w:val="003B2AF1"/>
    <w:rsid w:val="003B2F3E"/>
    <w:rsid w:val="003B32FC"/>
    <w:rsid w:val="003B3341"/>
    <w:rsid w:val="003B36C3"/>
    <w:rsid w:val="003B392E"/>
    <w:rsid w:val="003B3B2E"/>
    <w:rsid w:val="003B42BC"/>
    <w:rsid w:val="003B4E0F"/>
    <w:rsid w:val="003B54C8"/>
    <w:rsid w:val="003B5B51"/>
    <w:rsid w:val="003B5E7F"/>
    <w:rsid w:val="003B6303"/>
    <w:rsid w:val="003B668F"/>
    <w:rsid w:val="003B6769"/>
    <w:rsid w:val="003B699F"/>
    <w:rsid w:val="003B6CDF"/>
    <w:rsid w:val="003B702B"/>
    <w:rsid w:val="003C023B"/>
    <w:rsid w:val="003C0A57"/>
    <w:rsid w:val="003C1E0F"/>
    <w:rsid w:val="003C1FEE"/>
    <w:rsid w:val="003C21D3"/>
    <w:rsid w:val="003C2AF9"/>
    <w:rsid w:val="003C30C4"/>
    <w:rsid w:val="003C3550"/>
    <w:rsid w:val="003C3C48"/>
    <w:rsid w:val="003C3F82"/>
    <w:rsid w:val="003C3FA7"/>
    <w:rsid w:val="003C4974"/>
    <w:rsid w:val="003C5AF5"/>
    <w:rsid w:val="003C6B59"/>
    <w:rsid w:val="003C6C3A"/>
    <w:rsid w:val="003C6E4B"/>
    <w:rsid w:val="003C7D04"/>
    <w:rsid w:val="003C7EA9"/>
    <w:rsid w:val="003D0007"/>
    <w:rsid w:val="003D0A7A"/>
    <w:rsid w:val="003D0BF4"/>
    <w:rsid w:val="003D138C"/>
    <w:rsid w:val="003D167A"/>
    <w:rsid w:val="003D2077"/>
    <w:rsid w:val="003D2240"/>
    <w:rsid w:val="003D22BE"/>
    <w:rsid w:val="003D2549"/>
    <w:rsid w:val="003D2874"/>
    <w:rsid w:val="003D2AEE"/>
    <w:rsid w:val="003D2C17"/>
    <w:rsid w:val="003D3350"/>
    <w:rsid w:val="003D3386"/>
    <w:rsid w:val="003D4130"/>
    <w:rsid w:val="003D43EB"/>
    <w:rsid w:val="003D4CF9"/>
    <w:rsid w:val="003D5D9E"/>
    <w:rsid w:val="003D7BCD"/>
    <w:rsid w:val="003D7F0F"/>
    <w:rsid w:val="003E0084"/>
    <w:rsid w:val="003E0CEF"/>
    <w:rsid w:val="003E0E52"/>
    <w:rsid w:val="003E1666"/>
    <w:rsid w:val="003E177A"/>
    <w:rsid w:val="003E1793"/>
    <w:rsid w:val="003E1DB6"/>
    <w:rsid w:val="003E2252"/>
    <w:rsid w:val="003E2779"/>
    <w:rsid w:val="003E298D"/>
    <w:rsid w:val="003E466F"/>
    <w:rsid w:val="003E4AEB"/>
    <w:rsid w:val="003E5981"/>
    <w:rsid w:val="003E5E47"/>
    <w:rsid w:val="003E5F30"/>
    <w:rsid w:val="003E5FE8"/>
    <w:rsid w:val="003E60DB"/>
    <w:rsid w:val="003E71FF"/>
    <w:rsid w:val="003E75D3"/>
    <w:rsid w:val="003E7636"/>
    <w:rsid w:val="003F0136"/>
    <w:rsid w:val="003F0379"/>
    <w:rsid w:val="003F06AC"/>
    <w:rsid w:val="003F0EB8"/>
    <w:rsid w:val="003F0EE8"/>
    <w:rsid w:val="003F12C5"/>
    <w:rsid w:val="003F1BB0"/>
    <w:rsid w:val="003F1D52"/>
    <w:rsid w:val="003F247B"/>
    <w:rsid w:val="003F31C8"/>
    <w:rsid w:val="003F327E"/>
    <w:rsid w:val="003F36CA"/>
    <w:rsid w:val="003F40F6"/>
    <w:rsid w:val="003F4B91"/>
    <w:rsid w:val="003F4BD0"/>
    <w:rsid w:val="003F4DEB"/>
    <w:rsid w:val="003F4E76"/>
    <w:rsid w:val="003F5954"/>
    <w:rsid w:val="003F65AE"/>
    <w:rsid w:val="003F66C4"/>
    <w:rsid w:val="003F6D54"/>
    <w:rsid w:val="003F709A"/>
    <w:rsid w:val="003F731A"/>
    <w:rsid w:val="003F77EA"/>
    <w:rsid w:val="003F7927"/>
    <w:rsid w:val="00400943"/>
    <w:rsid w:val="00401044"/>
    <w:rsid w:val="00401592"/>
    <w:rsid w:val="00401CFF"/>
    <w:rsid w:val="00401DFC"/>
    <w:rsid w:val="00402643"/>
    <w:rsid w:val="00402B73"/>
    <w:rsid w:val="00402F5B"/>
    <w:rsid w:val="00403262"/>
    <w:rsid w:val="004035F3"/>
    <w:rsid w:val="00403FB0"/>
    <w:rsid w:val="00404F7D"/>
    <w:rsid w:val="00405668"/>
    <w:rsid w:val="00405F08"/>
    <w:rsid w:val="00406CE8"/>
    <w:rsid w:val="00406FE3"/>
    <w:rsid w:val="00407D50"/>
    <w:rsid w:val="00410562"/>
    <w:rsid w:val="00410963"/>
    <w:rsid w:val="00410F0E"/>
    <w:rsid w:val="00410F93"/>
    <w:rsid w:val="00411296"/>
    <w:rsid w:val="00411527"/>
    <w:rsid w:val="00411630"/>
    <w:rsid w:val="004117CE"/>
    <w:rsid w:val="004123A2"/>
    <w:rsid w:val="004132BA"/>
    <w:rsid w:val="004136E6"/>
    <w:rsid w:val="0041378F"/>
    <w:rsid w:val="004139C8"/>
    <w:rsid w:val="00413AA2"/>
    <w:rsid w:val="00414014"/>
    <w:rsid w:val="004142BC"/>
    <w:rsid w:val="004145B5"/>
    <w:rsid w:val="00414922"/>
    <w:rsid w:val="00415138"/>
    <w:rsid w:val="00415F77"/>
    <w:rsid w:val="00416341"/>
    <w:rsid w:val="004163D3"/>
    <w:rsid w:val="00416B49"/>
    <w:rsid w:val="004173DA"/>
    <w:rsid w:val="00417569"/>
    <w:rsid w:val="00417F82"/>
    <w:rsid w:val="00420B57"/>
    <w:rsid w:val="00420E03"/>
    <w:rsid w:val="00421551"/>
    <w:rsid w:val="004218DF"/>
    <w:rsid w:val="0042198F"/>
    <w:rsid w:val="004219C5"/>
    <w:rsid w:val="00421C51"/>
    <w:rsid w:val="00421CCE"/>
    <w:rsid w:val="004228A6"/>
    <w:rsid w:val="00422CFF"/>
    <w:rsid w:val="0042309E"/>
    <w:rsid w:val="004232AD"/>
    <w:rsid w:val="004236A2"/>
    <w:rsid w:val="00423EA0"/>
    <w:rsid w:val="00423F09"/>
    <w:rsid w:val="004240B5"/>
    <w:rsid w:val="004241CD"/>
    <w:rsid w:val="004245EB"/>
    <w:rsid w:val="0042481C"/>
    <w:rsid w:val="004249DB"/>
    <w:rsid w:val="00424DE4"/>
    <w:rsid w:val="0042576A"/>
    <w:rsid w:val="00425BA9"/>
    <w:rsid w:val="00426B40"/>
    <w:rsid w:val="00426C29"/>
    <w:rsid w:val="00426C9B"/>
    <w:rsid w:val="004270B8"/>
    <w:rsid w:val="00427658"/>
    <w:rsid w:val="00427D98"/>
    <w:rsid w:val="0043045F"/>
    <w:rsid w:val="00430D48"/>
    <w:rsid w:val="0043145D"/>
    <w:rsid w:val="0043187C"/>
    <w:rsid w:val="00431D15"/>
    <w:rsid w:val="00431F30"/>
    <w:rsid w:val="00432127"/>
    <w:rsid w:val="00432855"/>
    <w:rsid w:val="0043303A"/>
    <w:rsid w:val="00433FFC"/>
    <w:rsid w:val="004340BC"/>
    <w:rsid w:val="004340F7"/>
    <w:rsid w:val="004343FB"/>
    <w:rsid w:val="00434AE7"/>
    <w:rsid w:val="00434F47"/>
    <w:rsid w:val="004360FE"/>
    <w:rsid w:val="00436F99"/>
    <w:rsid w:val="00436FAE"/>
    <w:rsid w:val="004378C7"/>
    <w:rsid w:val="00437C41"/>
    <w:rsid w:val="004409DB"/>
    <w:rsid w:val="00441288"/>
    <w:rsid w:val="004412F2"/>
    <w:rsid w:val="00441627"/>
    <w:rsid w:val="0044274D"/>
    <w:rsid w:val="00443BAF"/>
    <w:rsid w:val="00445147"/>
    <w:rsid w:val="00445738"/>
    <w:rsid w:val="00445900"/>
    <w:rsid w:val="00445CBB"/>
    <w:rsid w:val="00445E50"/>
    <w:rsid w:val="004469C7"/>
    <w:rsid w:val="00446B25"/>
    <w:rsid w:val="00446B75"/>
    <w:rsid w:val="00447180"/>
    <w:rsid w:val="0044736D"/>
    <w:rsid w:val="00447728"/>
    <w:rsid w:val="00450781"/>
    <w:rsid w:val="00450883"/>
    <w:rsid w:val="004508AB"/>
    <w:rsid w:val="0045093D"/>
    <w:rsid w:val="00450C45"/>
    <w:rsid w:val="004512E1"/>
    <w:rsid w:val="00452ACB"/>
    <w:rsid w:val="00452CBF"/>
    <w:rsid w:val="00453B6A"/>
    <w:rsid w:val="00454860"/>
    <w:rsid w:val="00454A54"/>
    <w:rsid w:val="004550FC"/>
    <w:rsid w:val="0045581D"/>
    <w:rsid w:val="00456329"/>
    <w:rsid w:val="004566B8"/>
    <w:rsid w:val="00456AEA"/>
    <w:rsid w:val="00456FCA"/>
    <w:rsid w:val="00457435"/>
    <w:rsid w:val="00457B47"/>
    <w:rsid w:val="00457D3E"/>
    <w:rsid w:val="00460377"/>
    <w:rsid w:val="0046154A"/>
    <w:rsid w:val="00461A34"/>
    <w:rsid w:val="00462094"/>
    <w:rsid w:val="00462BF9"/>
    <w:rsid w:val="00462E1E"/>
    <w:rsid w:val="00463376"/>
    <w:rsid w:val="004638F2"/>
    <w:rsid w:val="00464118"/>
    <w:rsid w:val="004641C2"/>
    <w:rsid w:val="00464329"/>
    <w:rsid w:val="00464393"/>
    <w:rsid w:val="004649BF"/>
    <w:rsid w:val="00465B7F"/>
    <w:rsid w:val="00465DAF"/>
    <w:rsid w:val="00466905"/>
    <w:rsid w:val="00466BA1"/>
    <w:rsid w:val="00466F8F"/>
    <w:rsid w:val="004670CA"/>
    <w:rsid w:val="0046732E"/>
    <w:rsid w:val="00467C0B"/>
    <w:rsid w:val="004702F1"/>
    <w:rsid w:val="004707B3"/>
    <w:rsid w:val="00470BE0"/>
    <w:rsid w:val="00470CEF"/>
    <w:rsid w:val="00471A12"/>
    <w:rsid w:val="00471CBB"/>
    <w:rsid w:val="004726A3"/>
    <w:rsid w:val="004728E1"/>
    <w:rsid w:val="00473588"/>
    <w:rsid w:val="0047376D"/>
    <w:rsid w:val="004743AC"/>
    <w:rsid w:val="004749DB"/>
    <w:rsid w:val="00474B53"/>
    <w:rsid w:val="00474B60"/>
    <w:rsid w:val="004751E7"/>
    <w:rsid w:val="004751E9"/>
    <w:rsid w:val="004753F9"/>
    <w:rsid w:val="00476545"/>
    <w:rsid w:val="0047654A"/>
    <w:rsid w:val="0047696E"/>
    <w:rsid w:val="00476B20"/>
    <w:rsid w:val="004776B3"/>
    <w:rsid w:val="00477F42"/>
    <w:rsid w:val="00480446"/>
    <w:rsid w:val="00480AAF"/>
    <w:rsid w:val="00480BF6"/>
    <w:rsid w:val="00481008"/>
    <w:rsid w:val="0048142A"/>
    <w:rsid w:val="004814C4"/>
    <w:rsid w:val="00481547"/>
    <w:rsid w:val="00481E9E"/>
    <w:rsid w:val="004825FB"/>
    <w:rsid w:val="00482A55"/>
    <w:rsid w:val="00483085"/>
    <w:rsid w:val="004830A7"/>
    <w:rsid w:val="00483F2C"/>
    <w:rsid w:val="004845A2"/>
    <w:rsid w:val="00484687"/>
    <w:rsid w:val="004850D2"/>
    <w:rsid w:val="00485E1A"/>
    <w:rsid w:val="00485FED"/>
    <w:rsid w:val="004876AD"/>
    <w:rsid w:val="004907BB"/>
    <w:rsid w:val="004907D9"/>
    <w:rsid w:val="00491140"/>
    <w:rsid w:val="00491B61"/>
    <w:rsid w:val="00491E98"/>
    <w:rsid w:val="00492821"/>
    <w:rsid w:val="0049296C"/>
    <w:rsid w:val="004931F3"/>
    <w:rsid w:val="00493351"/>
    <w:rsid w:val="00493895"/>
    <w:rsid w:val="00493991"/>
    <w:rsid w:val="00493A7D"/>
    <w:rsid w:val="00493FDA"/>
    <w:rsid w:val="004946A3"/>
    <w:rsid w:val="004947A7"/>
    <w:rsid w:val="00494B0F"/>
    <w:rsid w:val="00494B9F"/>
    <w:rsid w:val="00494D7D"/>
    <w:rsid w:val="00495715"/>
    <w:rsid w:val="004957E9"/>
    <w:rsid w:val="00495AA8"/>
    <w:rsid w:val="00495EFD"/>
    <w:rsid w:val="004966AD"/>
    <w:rsid w:val="004967CB"/>
    <w:rsid w:val="00497D9A"/>
    <w:rsid w:val="00497DD3"/>
    <w:rsid w:val="00497E3E"/>
    <w:rsid w:val="00497F32"/>
    <w:rsid w:val="004A017B"/>
    <w:rsid w:val="004A052B"/>
    <w:rsid w:val="004A0534"/>
    <w:rsid w:val="004A0949"/>
    <w:rsid w:val="004A0ADF"/>
    <w:rsid w:val="004A0E04"/>
    <w:rsid w:val="004A1717"/>
    <w:rsid w:val="004A17E9"/>
    <w:rsid w:val="004A2DEB"/>
    <w:rsid w:val="004A2E8F"/>
    <w:rsid w:val="004A30BA"/>
    <w:rsid w:val="004A31AC"/>
    <w:rsid w:val="004A3606"/>
    <w:rsid w:val="004A3BB1"/>
    <w:rsid w:val="004A43A8"/>
    <w:rsid w:val="004A482D"/>
    <w:rsid w:val="004A4AEB"/>
    <w:rsid w:val="004A4FC0"/>
    <w:rsid w:val="004A4FD6"/>
    <w:rsid w:val="004A52DD"/>
    <w:rsid w:val="004A5A3E"/>
    <w:rsid w:val="004A60A3"/>
    <w:rsid w:val="004A6ED0"/>
    <w:rsid w:val="004A7344"/>
    <w:rsid w:val="004B022C"/>
    <w:rsid w:val="004B04D2"/>
    <w:rsid w:val="004B0569"/>
    <w:rsid w:val="004B16DD"/>
    <w:rsid w:val="004B172D"/>
    <w:rsid w:val="004B1E4C"/>
    <w:rsid w:val="004B2913"/>
    <w:rsid w:val="004B3919"/>
    <w:rsid w:val="004B3999"/>
    <w:rsid w:val="004B4069"/>
    <w:rsid w:val="004B45EC"/>
    <w:rsid w:val="004B4AF0"/>
    <w:rsid w:val="004B583B"/>
    <w:rsid w:val="004B588D"/>
    <w:rsid w:val="004B645D"/>
    <w:rsid w:val="004B6B24"/>
    <w:rsid w:val="004C0A38"/>
    <w:rsid w:val="004C15A4"/>
    <w:rsid w:val="004C1B38"/>
    <w:rsid w:val="004C1EC8"/>
    <w:rsid w:val="004C2048"/>
    <w:rsid w:val="004C25B7"/>
    <w:rsid w:val="004C26CF"/>
    <w:rsid w:val="004C287D"/>
    <w:rsid w:val="004C2AA2"/>
    <w:rsid w:val="004C2AF7"/>
    <w:rsid w:val="004C2E08"/>
    <w:rsid w:val="004C33C8"/>
    <w:rsid w:val="004C3BD3"/>
    <w:rsid w:val="004C5471"/>
    <w:rsid w:val="004C5487"/>
    <w:rsid w:val="004C5793"/>
    <w:rsid w:val="004C5BCF"/>
    <w:rsid w:val="004C5C8D"/>
    <w:rsid w:val="004C6E57"/>
    <w:rsid w:val="004C73BA"/>
    <w:rsid w:val="004C759B"/>
    <w:rsid w:val="004C76A5"/>
    <w:rsid w:val="004D05B3"/>
    <w:rsid w:val="004D0AC8"/>
    <w:rsid w:val="004D1174"/>
    <w:rsid w:val="004D1438"/>
    <w:rsid w:val="004D19E7"/>
    <w:rsid w:val="004D1C8E"/>
    <w:rsid w:val="004D2490"/>
    <w:rsid w:val="004D271D"/>
    <w:rsid w:val="004D2F5D"/>
    <w:rsid w:val="004D303D"/>
    <w:rsid w:val="004D3692"/>
    <w:rsid w:val="004D3B82"/>
    <w:rsid w:val="004D3BC8"/>
    <w:rsid w:val="004D3CAA"/>
    <w:rsid w:val="004D45A2"/>
    <w:rsid w:val="004D4B30"/>
    <w:rsid w:val="004D4CE9"/>
    <w:rsid w:val="004D50FD"/>
    <w:rsid w:val="004D5986"/>
    <w:rsid w:val="004D5A4F"/>
    <w:rsid w:val="004D5EA9"/>
    <w:rsid w:val="004D6020"/>
    <w:rsid w:val="004D653C"/>
    <w:rsid w:val="004D6D6E"/>
    <w:rsid w:val="004D7694"/>
    <w:rsid w:val="004E0006"/>
    <w:rsid w:val="004E0283"/>
    <w:rsid w:val="004E0354"/>
    <w:rsid w:val="004E0EF5"/>
    <w:rsid w:val="004E1935"/>
    <w:rsid w:val="004E1DEA"/>
    <w:rsid w:val="004E1F14"/>
    <w:rsid w:val="004E24D7"/>
    <w:rsid w:val="004E2AF6"/>
    <w:rsid w:val="004E2BD6"/>
    <w:rsid w:val="004E2DFE"/>
    <w:rsid w:val="004E2EFE"/>
    <w:rsid w:val="004E326B"/>
    <w:rsid w:val="004E37D7"/>
    <w:rsid w:val="004E3929"/>
    <w:rsid w:val="004E45DC"/>
    <w:rsid w:val="004E47F2"/>
    <w:rsid w:val="004E51D8"/>
    <w:rsid w:val="004E5CB5"/>
    <w:rsid w:val="004E5F90"/>
    <w:rsid w:val="004E62D1"/>
    <w:rsid w:val="004E64E1"/>
    <w:rsid w:val="004E681A"/>
    <w:rsid w:val="004E6877"/>
    <w:rsid w:val="004E6DB5"/>
    <w:rsid w:val="004E75BD"/>
    <w:rsid w:val="004F0384"/>
    <w:rsid w:val="004F0B43"/>
    <w:rsid w:val="004F153B"/>
    <w:rsid w:val="004F17CC"/>
    <w:rsid w:val="004F2707"/>
    <w:rsid w:val="004F3336"/>
    <w:rsid w:val="004F373C"/>
    <w:rsid w:val="004F37FF"/>
    <w:rsid w:val="004F3C4D"/>
    <w:rsid w:val="004F408E"/>
    <w:rsid w:val="004F4B9C"/>
    <w:rsid w:val="004F5BF8"/>
    <w:rsid w:val="004F5C73"/>
    <w:rsid w:val="004F6213"/>
    <w:rsid w:val="004F66EA"/>
    <w:rsid w:val="004F6901"/>
    <w:rsid w:val="004F7A10"/>
    <w:rsid w:val="004F7DC0"/>
    <w:rsid w:val="0050080C"/>
    <w:rsid w:val="00500A39"/>
    <w:rsid w:val="00500A46"/>
    <w:rsid w:val="00501308"/>
    <w:rsid w:val="00501406"/>
    <w:rsid w:val="0050225B"/>
    <w:rsid w:val="005022D7"/>
    <w:rsid w:val="00502A56"/>
    <w:rsid w:val="00502E84"/>
    <w:rsid w:val="005037D0"/>
    <w:rsid w:val="005039D3"/>
    <w:rsid w:val="00503EC8"/>
    <w:rsid w:val="005041A5"/>
    <w:rsid w:val="005042EA"/>
    <w:rsid w:val="00504F77"/>
    <w:rsid w:val="005058AE"/>
    <w:rsid w:val="00505E75"/>
    <w:rsid w:val="00506710"/>
    <w:rsid w:val="00506EB4"/>
    <w:rsid w:val="00507C05"/>
    <w:rsid w:val="00507F82"/>
    <w:rsid w:val="00510107"/>
    <w:rsid w:val="00510195"/>
    <w:rsid w:val="00510368"/>
    <w:rsid w:val="00511295"/>
    <w:rsid w:val="00511B04"/>
    <w:rsid w:val="005121AE"/>
    <w:rsid w:val="0051220C"/>
    <w:rsid w:val="005122C8"/>
    <w:rsid w:val="005127E7"/>
    <w:rsid w:val="00512D9D"/>
    <w:rsid w:val="0051353E"/>
    <w:rsid w:val="005138A0"/>
    <w:rsid w:val="005141FD"/>
    <w:rsid w:val="00514807"/>
    <w:rsid w:val="00514888"/>
    <w:rsid w:val="00514AB2"/>
    <w:rsid w:val="00515564"/>
    <w:rsid w:val="005167CF"/>
    <w:rsid w:val="005172C4"/>
    <w:rsid w:val="0052081C"/>
    <w:rsid w:val="00521611"/>
    <w:rsid w:val="005226B4"/>
    <w:rsid w:val="005229EA"/>
    <w:rsid w:val="00522D34"/>
    <w:rsid w:val="00523F3B"/>
    <w:rsid w:val="00523F52"/>
    <w:rsid w:val="0052401E"/>
    <w:rsid w:val="005243D9"/>
    <w:rsid w:val="00524918"/>
    <w:rsid w:val="00524C7A"/>
    <w:rsid w:val="0052587D"/>
    <w:rsid w:val="00525D4F"/>
    <w:rsid w:val="00525FE4"/>
    <w:rsid w:val="0052634B"/>
    <w:rsid w:val="0052665D"/>
    <w:rsid w:val="00526B56"/>
    <w:rsid w:val="00526CA5"/>
    <w:rsid w:val="00526ED1"/>
    <w:rsid w:val="00531239"/>
    <w:rsid w:val="00531553"/>
    <w:rsid w:val="00531F20"/>
    <w:rsid w:val="005322AA"/>
    <w:rsid w:val="0053282F"/>
    <w:rsid w:val="00533382"/>
    <w:rsid w:val="005335DE"/>
    <w:rsid w:val="0053413D"/>
    <w:rsid w:val="00534338"/>
    <w:rsid w:val="005346C6"/>
    <w:rsid w:val="00534B79"/>
    <w:rsid w:val="00535BBA"/>
    <w:rsid w:val="00535EDF"/>
    <w:rsid w:val="00535FCD"/>
    <w:rsid w:val="005362DD"/>
    <w:rsid w:val="005366D4"/>
    <w:rsid w:val="00536BDC"/>
    <w:rsid w:val="005375BA"/>
    <w:rsid w:val="005377D4"/>
    <w:rsid w:val="00537A17"/>
    <w:rsid w:val="0054059A"/>
    <w:rsid w:val="005407AE"/>
    <w:rsid w:val="005408FF"/>
    <w:rsid w:val="005409DD"/>
    <w:rsid w:val="00541078"/>
    <w:rsid w:val="005413F2"/>
    <w:rsid w:val="005413F5"/>
    <w:rsid w:val="00541808"/>
    <w:rsid w:val="00542098"/>
    <w:rsid w:val="005422BD"/>
    <w:rsid w:val="005425BF"/>
    <w:rsid w:val="005433DB"/>
    <w:rsid w:val="0054480A"/>
    <w:rsid w:val="005449FF"/>
    <w:rsid w:val="005451C0"/>
    <w:rsid w:val="005453FA"/>
    <w:rsid w:val="0054565C"/>
    <w:rsid w:val="0054571C"/>
    <w:rsid w:val="00545F54"/>
    <w:rsid w:val="005463C0"/>
    <w:rsid w:val="005465F2"/>
    <w:rsid w:val="005466A4"/>
    <w:rsid w:val="0054674E"/>
    <w:rsid w:val="00546DCA"/>
    <w:rsid w:val="00547CC6"/>
    <w:rsid w:val="00547D0C"/>
    <w:rsid w:val="00547F59"/>
    <w:rsid w:val="0055014D"/>
    <w:rsid w:val="00550879"/>
    <w:rsid w:val="00550D79"/>
    <w:rsid w:val="00550F2D"/>
    <w:rsid w:val="005511B4"/>
    <w:rsid w:val="005512FE"/>
    <w:rsid w:val="0055132B"/>
    <w:rsid w:val="005517FD"/>
    <w:rsid w:val="005529DF"/>
    <w:rsid w:val="00552DE6"/>
    <w:rsid w:val="00552E2B"/>
    <w:rsid w:val="00553060"/>
    <w:rsid w:val="005530D4"/>
    <w:rsid w:val="00553238"/>
    <w:rsid w:val="005537E3"/>
    <w:rsid w:val="00554620"/>
    <w:rsid w:val="00554E3B"/>
    <w:rsid w:val="00555345"/>
    <w:rsid w:val="00555820"/>
    <w:rsid w:val="0055653C"/>
    <w:rsid w:val="00556590"/>
    <w:rsid w:val="0055661D"/>
    <w:rsid w:val="00556A45"/>
    <w:rsid w:val="00556BF1"/>
    <w:rsid w:val="00556D1E"/>
    <w:rsid w:val="00557201"/>
    <w:rsid w:val="00557379"/>
    <w:rsid w:val="00557716"/>
    <w:rsid w:val="005604FE"/>
    <w:rsid w:val="00560E20"/>
    <w:rsid w:val="0056112E"/>
    <w:rsid w:val="00561D7A"/>
    <w:rsid w:val="00562411"/>
    <w:rsid w:val="00562690"/>
    <w:rsid w:val="0056281B"/>
    <w:rsid w:val="005630B8"/>
    <w:rsid w:val="00563186"/>
    <w:rsid w:val="00563BD7"/>
    <w:rsid w:val="00563BEB"/>
    <w:rsid w:val="00563D05"/>
    <w:rsid w:val="00563E22"/>
    <w:rsid w:val="00563FEE"/>
    <w:rsid w:val="00564083"/>
    <w:rsid w:val="00564B23"/>
    <w:rsid w:val="00564E8F"/>
    <w:rsid w:val="00565349"/>
    <w:rsid w:val="00565512"/>
    <w:rsid w:val="005655FB"/>
    <w:rsid w:val="00565BC2"/>
    <w:rsid w:val="00566D43"/>
    <w:rsid w:val="00567815"/>
    <w:rsid w:val="00567866"/>
    <w:rsid w:val="005700F1"/>
    <w:rsid w:val="005705EE"/>
    <w:rsid w:val="00570FB0"/>
    <w:rsid w:val="0057113F"/>
    <w:rsid w:val="0057162B"/>
    <w:rsid w:val="0057196D"/>
    <w:rsid w:val="00571BE9"/>
    <w:rsid w:val="00571C45"/>
    <w:rsid w:val="00571F58"/>
    <w:rsid w:val="005721CF"/>
    <w:rsid w:val="0057232B"/>
    <w:rsid w:val="0057256E"/>
    <w:rsid w:val="0057330E"/>
    <w:rsid w:val="00573430"/>
    <w:rsid w:val="00573587"/>
    <w:rsid w:val="005735E6"/>
    <w:rsid w:val="00573729"/>
    <w:rsid w:val="00574536"/>
    <w:rsid w:val="005745AB"/>
    <w:rsid w:val="00574826"/>
    <w:rsid w:val="00574E94"/>
    <w:rsid w:val="005759AF"/>
    <w:rsid w:val="00575BE8"/>
    <w:rsid w:val="00575E1B"/>
    <w:rsid w:val="00576C0A"/>
    <w:rsid w:val="005772E3"/>
    <w:rsid w:val="005773AE"/>
    <w:rsid w:val="005775F0"/>
    <w:rsid w:val="0057798A"/>
    <w:rsid w:val="00577F86"/>
    <w:rsid w:val="0058089B"/>
    <w:rsid w:val="00580947"/>
    <w:rsid w:val="0058153C"/>
    <w:rsid w:val="00581B21"/>
    <w:rsid w:val="00581BC6"/>
    <w:rsid w:val="00581CE8"/>
    <w:rsid w:val="00581D6B"/>
    <w:rsid w:val="00581F77"/>
    <w:rsid w:val="00581F8E"/>
    <w:rsid w:val="00582484"/>
    <w:rsid w:val="005825EF"/>
    <w:rsid w:val="00582C01"/>
    <w:rsid w:val="005838FC"/>
    <w:rsid w:val="00583B04"/>
    <w:rsid w:val="00583C50"/>
    <w:rsid w:val="00584EF9"/>
    <w:rsid w:val="00584F2C"/>
    <w:rsid w:val="0058538D"/>
    <w:rsid w:val="005858DA"/>
    <w:rsid w:val="00585A06"/>
    <w:rsid w:val="00585DC0"/>
    <w:rsid w:val="00585EF8"/>
    <w:rsid w:val="00585F30"/>
    <w:rsid w:val="005863F1"/>
    <w:rsid w:val="00586C12"/>
    <w:rsid w:val="005874C0"/>
    <w:rsid w:val="0058758A"/>
    <w:rsid w:val="00590193"/>
    <w:rsid w:val="0059028E"/>
    <w:rsid w:val="005903C0"/>
    <w:rsid w:val="005913B7"/>
    <w:rsid w:val="00591832"/>
    <w:rsid w:val="00592193"/>
    <w:rsid w:val="00592864"/>
    <w:rsid w:val="005928CF"/>
    <w:rsid w:val="00593273"/>
    <w:rsid w:val="00593BE0"/>
    <w:rsid w:val="005949A4"/>
    <w:rsid w:val="00595357"/>
    <w:rsid w:val="00595A8B"/>
    <w:rsid w:val="00595C6F"/>
    <w:rsid w:val="00595E0E"/>
    <w:rsid w:val="00596B90"/>
    <w:rsid w:val="00596BDB"/>
    <w:rsid w:val="005975ED"/>
    <w:rsid w:val="00597612"/>
    <w:rsid w:val="0059781D"/>
    <w:rsid w:val="005A02C0"/>
    <w:rsid w:val="005A07A0"/>
    <w:rsid w:val="005A0F92"/>
    <w:rsid w:val="005A1156"/>
    <w:rsid w:val="005A1523"/>
    <w:rsid w:val="005A194D"/>
    <w:rsid w:val="005A260B"/>
    <w:rsid w:val="005A26D1"/>
    <w:rsid w:val="005A3F1A"/>
    <w:rsid w:val="005A4DBA"/>
    <w:rsid w:val="005A50CA"/>
    <w:rsid w:val="005A528B"/>
    <w:rsid w:val="005A66F4"/>
    <w:rsid w:val="005A689C"/>
    <w:rsid w:val="005A6A6F"/>
    <w:rsid w:val="005A6EBA"/>
    <w:rsid w:val="005A7618"/>
    <w:rsid w:val="005B0176"/>
    <w:rsid w:val="005B02BD"/>
    <w:rsid w:val="005B02D0"/>
    <w:rsid w:val="005B02E5"/>
    <w:rsid w:val="005B042E"/>
    <w:rsid w:val="005B0805"/>
    <w:rsid w:val="005B1200"/>
    <w:rsid w:val="005B12F6"/>
    <w:rsid w:val="005B1FC6"/>
    <w:rsid w:val="005B29AF"/>
    <w:rsid w:val="005B2A02"/>
    <w:rsid w:val="005B2C05"/>
    <w:rsid w:val="005B3644"/>
    <w:rsid w:val="005B379B"/>
    <w:rsid w:val="005B385D"/>
    <w:rsid w:val="005B3C72"/>
    <w:rsid w:val="005B3ED7"/>
    <w:rsid w:val="005B3F29"/>
    <w:rsid w:val="005B41D9"/>
    <w:rsid w:val="005B4815"/>
    <w:rsid w:val="005B4BB8"/>
    <w:rsid w:val="005B4C77"/>
    <w:rsid w:val="005B584C"/>
    <w:rsid w:val="005B5988"/>
    <w:rsid w:val="005B70AC"/>
    <w:rsid w:val="005B73E0"/>
    <w:rsid w:val="005B7807"/>
    <w:rsid w:val="005B7F8B"/>
    <w:rsid w:val="005C025E"/>
    <w:rsid w:val="005C061D"/>
    <w:rsid w:val="005C0B8E"/>
    <w:rsid w:val="005C1299"/>
    <w:rsid w:val="005C15FF"/>
    <w:rsid w:val="005C25B2"/>
    <w:rsid w:val="005C304C"/>
    <w:rsid w:val="005C3250"/>
    <w:rsid w:val="005C3755"/>
    <w:rsid w:val="005C3BCA"/>
    <w:rsid w:val="005C3BF4"/>
    <w:rsid w:val="005C3C2B"/>
    <w:rsid w:val="005C411C"/>
    <w:rsid w:val="005C4475"/>
    <w:rsid w:val="005C44D1"/>
    <w:rsid w:val="005C451D"/>
    <w:rsid w:val="005C4956"/>
    <w:rsid w:val="005C4963"/>
    <w:rsid w:val="005C4D00"/>
    <w:rsid w:val="005C519D"/>
    <w:rsid w:val="005C56B4"/>
    <w:rsid w:val="005C5B58"/>
    <w:rsid w:val="005C5E11"/>
    <w:rsid w:val="005C5EB9"/>
    <w:rsid w:val="005C6382"/>
    <w:rsid w:val="005C65B5"/>
    <w:rsid w:val="005C66C2"/>
    <w:rsid w:val="005C692A"/>
    <w:rsid w:val="005C7088"/>
    <w:rsid w:val="005C70C8"/>
    <w:rsid w:val="005C7D48"/>
    <w:rsid w:val="005D0173"/>
    <w:rsid w:val="005D031D"/>
    <w:rsid w:val="005D033A"/>
    <w:rsid w:val="005D0F32"/>
    <w:rsid w:val="005D1545"/>
    <w:rsid w:val="005D207F"/>
    <w:rsid w:val="005D2441"/>
    <w:rsid w:val="005D2E6D"/>
    <w:rsid w:val="005D3033"/>
    <w:rsid w:val="005D39A7"/>
    <w:rsid w:val="005D3ABB"/>
    <w:rsid w:val="005D3F57"/>
    <w:rsid w:val="005D4DD4"/>
    <w:rsid w:val="005D5236"/>
    <w:rsid w:val="005D5D2C"/>
    <w:rsid w:val="005D5FF4"/>
    <w:rsid w:val="005D6067"/>
    <w:rsid w:val="005D62FB"/>
    <w:rsid w:val="005D665F"/>
    <w:rsid w:val="005D67D6"/>
    <w:rsid w:val="005D723B"/>
    <w:rsid w:val="005D79F3"/>
    <w:rsid w:val="005D7D07"/>
    <w:rsid w:val="005E09BA"/>
    <w:rsid w:val="005E1329"/>
    <w:rsid w:val="005E1998"/>
    <w:rsid w:val="005E1B69"/>
    <w:rsid w:val="005E1F6A"/>
    <w:rsid w:val="005E231D"/>
    <w:rsid w:val="005E23AC"/>
    <w:rsid w:val="005E2524"/>
    <w:rsid w:val="005E273E"/>
    <w:rsid w:val="005E2C33"/>
    <w:rsid w:val="005E2F9B"/>
    <w:rsid w:val="005E387D"/>
    <w:rsid w:val="005E3951"/>
    <w:rsid w:val="005E41D6"/>
    <w:rsid w:val="005E5E30"/>
    <w:rsid w:val="005E6054"/>
    <w:rsid w:val="005E6841"/>
    <w:rsid w:val="005E7C33"/>
    <w:rsid w:val="005F0312"/>
    <w:rsid w:val="005F0A0B"/>
    <w:rsid w:val="005F0BAE"/>
    <w:rsid w:val="005F1C00"/>
    <w:rsid w:val="005F237A"/>
    <w:rsid w:val="005F2754"/>
    <w:rsid w:val="005F2A20"/>
    <w:rsid w:val="005F327A"/>
    <w:rsid w:val="005F3BC0"/>
    <w:rsid w:val="005F3DD6"/>
    <w:rsid w:val="005F3E85"/>
    <w:rsid w:val="005F462F"/>
    <w:rsid w:val="005F4DAE"/>
    <w:rsid w:val="005F4E99"/>
    <w:rsid w:val="005F51F6"/>
    <w:rsid w:val="005F5320"/>
    <w:rsid w:val="005F56C3"/>
    <w:rsid w:val="005F59BC"/>
    <w:rsid w:val="005F5F9E"/>
    <w:rsid w:val="005F5FA7"/>
    <w:rsid w:val="005F6102"/>
    <w:rsid w:val="005F61DD"/>
    <w:rsid w:val="005F6676"/>
    <w:rsid w:val="005F6886"/>
    <w:rsid w:val="005F6DA2"/>
    <w:rsid w:val="005F7187"/>
    <w:rsid w:val="005F745F"/>
    <w:rsid w:val="005F7727"/>
    <w:rsid w:val="005F7AE1"/>
    <w:rsid w:val="006005A6"/>
    <w:rsid w:val="0060076C"/>
    <w:rsid w:val="00600E54"/>
    <w:rsid w:val="0060106A"/>
    <w:rsid w:val="006016CF"/>
    <w:rsid w:val="0060227B"/>
    <w:rsid w:val="006027A3"/>
    <w:rsid w:val="006043BA"/>
    <w:rsid w:val="00604D2C"/>
    <w:rsid w:val="00604FB2"/>
    <w:rsid w:val="00604FC7"/>
    <w:rsid w:val="00605746"/>
    <w:rsid w:val="00606269"/>
    <w:rsid w:val="0060687A"/>
    <w:rsid w:val="00606AFB"/>
    <w:rsid w:val="00607066"/>
    <w:rsid w:val="006070FB"/>
    <w:rsid w:val="00607210"/>
    <w:rsid w:val="00607FF5"/>
    <w:rsid w:val="006102DE"/>
    <w:rsid w:val="0061037D"/>
    <w:rsid w:val="00611102"/>
    <w:rsid w:val="006115F5"/>
    <w:rsid w:val="0061190F"/>
    <w:rsid w:val="0061214E"/>
    <w:rsid w:val="00612A11"/>
    <w:rsid w:val="00612D84"/>
    <w:rsid w:val="00614E11"/>
    <w:rsid w:val="00615A72"/>
    <w:rsid w:val="00615B53"/>
    <w:rsid w:val="00615E4C"/>
    <w:rsid w:val="00615F42"/>
    <w:rsid w:val="00616144"/>
    <w:rsid w:val="0061633E"/>
    <w:rsid w:val="00616A11"/>
    <w:rsid w:val="00616FC6"/>
    <w:rsid w:val="00617045"/>
    <w:rsid w:val="00617271"/>
    <w:rsid w:val="0061735F"/>
    <w:rsid w:val="00617556"/>
    <w:rsid w:val="0061766C"/>
    <w:rsid w:val="00617B27"/>
    <w:rsid w:val="00617E2D"/>
    <w:rsid w:val="006202A7"/>
    <w:rsid w:val="006204DA"/>
    <w:rsid w:val="00620640"/>
    <w:rsid w:val="00620AB5"/>
    <w:rsid w:val="0062177D"/>
    <w:rsid w:val="00621846"/>
    <w:rsid w:val="006221B8"/>
    <w:rsid w:val="00622561"/>
    <w:rsid w:val="00622AA1"/>
    <w:rsid w:val="00622DEC"/>
    <w:rsid w:val="00622F49"/>
    <w:rsid w:val="0062404B"/>
    <w:rsid w:val="00624A7F"/>
    <w:rsid w:val="00624F83"/>
    <w:rsid w:val="0062642D"/>
    <w:rsid w:val="0062674F"/>
    <w:rsid w:val="006268C3"/>
    <w:rsid w:val="00627021"/>
    <w:rsid w:val="00627EF3"/>
    <w:rsid w:val="0063180E"/>
    <w:rsid w:val="00631C8F"/>
    <w:rsid w:val="006325DF"/>
    <w:rsid w:val="00632EB8"/>
    <w:rsid w:val="006335D5"/>
    <w:rsid w:val="006335DD"/>
    <w:rsid w:val="00633830"/>
    <w:rsid w:val="00633C2B"/>
    <w:rsid w:val="006347BE"/>
    <w:rsid w:val="006348B8"/>
    <w:rsid w:val="00634A5E"/>
    <w:rsid w:val="00634CBB"/>
    <w:rsid w:val="0063520C"/>
    <w:rsid w:val="00635224"/>
    <w:rsid w:val="006353AB"/>
    <w:rsid w:val="00635CD5"/>
    <w:rsid w:val="00635D62"/>
    <w:rsid w:val="0063621B"/>
    <w:rsid w:val="006366D4"/>
    <w:rsid w:val="00637284"/>
    <w:rsid w:val="006378F2"/>
    <w:rsid w:val="00637D23"/>
    <w:rsid w:val="00637D90"/>
    <w:rsid w:val="00640193"/>
    <w:rsid w:val="00640C33"/>
    <w:rsid w:val="0064135C"/>
    <w:rsid w:val="006419A8"/>
    <w:rsid w:val="006421C7"/>
    <w:rsid w:val="0064287A"/>
    <w:rsid w:val="006432CB"/>
    <w:rsid w:val="006439C2"/>
    <w:rsid w:val="0064527C"/>
    <w:rsid w:val="006453B4"/>
    <w:rsid w:val="006455AD"/>
    <w:rsid w:val="00646D22"/>
    <w:rsid w:val="00646E23"/>
    <w:rsid w:val="006479F3"/>
    <w:rsid w:val="00650215"/>
    <w:rsid w:val="0065031F"/>
    <w:rsid w:val="00650738"/>
    <w:rsid w:val="00650CD7"/>
    <w:rsid w:val="00651E08"/>
    <w:rsid w:val="00652728"/>
    <w:rsid w:val="00652B25"/>
    <w:rsid w:val="00652BB4"/>
    <w:rsid w:val="00652E21"/>
    <w:rsid w:val="006538FD"/>
    <w:rsid w:val="006548B8"/>
    <w:rsid w:val="00655F71"/>
    <w:rsid w:val="00656961"/>
    <w:rsid w:val="00656B7E"/>
    <w:rsid w:val="0066026C"/>
    <w:rsid w:val="00661742"/>
    <w:rsid w:val="00661E69"/>
    <w:rsid w:val="006621E5"/>
    <w:rsid w:val="00662E03"/>
    <w:rsid w:val="00663442"/>
    <w:rsid w:val="00663657"/>
    <w:rsid w:val="00663ED6"/>
    <w:rsid w:val="00664091"/>
    <w:rsid w:val="00664567"/>
    <w:rsid w:val="006645BB"/>
    <w:rsid w:val="006647CF"/>
    <w:rsid w:val="00664A0E"/>
    <w:rsid w:val="00664D24"/>
    <w:rsid w:val="00664DC0"/>
    <w:rsid w:val="006659FE"/>
    <w:rsid w:val="0066647F"/>
    <w:rsid w:val="00666C8F"/>
    <w:rsid w:val="00666DCA"/>
    <w:rsid w:val="00666FB3"/>
    <w:rsid w:val="0066717D"/>
    <w:rsid w:val="00667396"/>
    <w:rsid w:val="00667599"/>
    <w:rsid w:val="006678BB"/>
    <w:rsid w:val="00667F99"/>
    <w:rsid w:val="006700B2"/>
    <w:rsid w:val="00671290"/>
    <w:rsid w:val="00671DA0"/>
    <w:rsid w:val="00671F37"/>
    <w:rsid w:val="006722DD"/>
    <w:rsid w:val="0067235D"/>
    <w:rsid w:val="00672F55"/>
    <w:rsid w:val="00672F76"/>
    <w:rsid w:val="00673511"/>
    <w:rsid w:val="00673642"/>
    <w:rsid w:val="00673AEF"/>
    <w:rsid w:val="00673EB8"/>
    <w:rsid w:val="006744B0"/>
    <w:rsid w:val="006744FD"/>
    <w:rsid w:val="00674982"/>
    <w:rsid w:val="00674FF2"/>
    <w:rsid w:val="00675283"/>
    <w:rsid w:val="00675A11"/>
    <w:rsid w:val="00676B98"/>
    <w:rsid w:val="00677035"/>
    <w:rsid w:val="0068060F"/>
    <w:rsid w:val="00680AF5"/>
    <w:rsid w:val="00680D51"/>
    <w:rsid w:val="00680E41"/>
    <w:rsid w:val="00680F28"/>
    <w:rsid w:val="00681B87"/>
    <w:rsid w:val="00681C83"/>
    <w:rsid w:val="00681D82"/>
    <w:rsid w:val="0068234C"/>
    <w:rsid w:val="0068234D"/>
    <w:rsid w:val="006823AB"/>
    <w:rsid w:val="0068285B"/>
    <w:rsid w:val="00682A34"/>
    <w:rsid w:val="00682FEA"/>
    <w:rsid w:val="00683C72"/>
    <w:rsid w:val="0068404C"/>
    <w:rsid w:val="006840FC"/>
    <w:rsid w:val="006847C5"/>
    <w:rsid w:val="00684871"/>
    <w:rsid w:val="00684BE4"/>
    <w:rsid w:val="00684F20"/>
    <w:rsid w:val="00684FE1"/>
    <w:rsid w:val="00685420"/>
    <w:rsid w:val="006855EE"/>
    <w:rsid w:val="00685B79"/>
    <w:rsid w:val="00685C5C"/>
    <w:rsid w:val="00686898"/>
    <w:rsid w:val="00686A98"/>
    <w:rsid w:val="00686CF7"/>
    <w:rsid w:val="00687A4F"/>
    <w:rsid w:val="00687D48"/>
    <w:rsid w:val="00690CC4"/>
    <w:rsid w:val="00690CEB"/>
    <w:rsid w:val="00691047"/>
    <w:rsid w:val="006917CF"/>
    <w:rsid w:val="00691F01"/>
    <w:rsid w:val="0069206B"/>
    <w:rsid w:val="00692D27"/>
    <w:rsid w:val="006934D4"/>
    <w:rsid w:val="00693FEF"/>
    <w:rsid w:val="00694594"/>
    <w:rsid w:val="00694BD3"/>
    <w:rsid w:val="006957FD"/>
    <w:rsid w:val="00695A31"/>
    <w:rsid w:val="006960EB"/>
    <w:rsid w:val="006963EA"/>
    <w:rsid w:val="0069760A"/>
    <w:rsid w:val="006976BB"/>
    <w:rsid w:val="00697969"/>
    <w:rsid w:val="00697C52"/>
    <w:rsid w:val="006A161C"/>
    <w:rsid w:val="006A2096"/>
    <w:rsid w:val="006A2419"/>
    <w:rsid w:val="006A2890"/>
    <w:rsid w:val="006A3369"/>
    <w:rsid w:val="006A4948"/>
    <w:rsid w:val="006A4E4E"/>
    <w:rsid w:val="006A5F7C"/>
    <w:rsid w:val="006A6565"/>
    <w:rsid w:val="006A7365"/>
    <w:rsid w:val="006A763D"/>
    <w:rsid w:val="006A7CAA"/>
    <w:rsid w:val="006A7E85"/>
    <w:rsid w:val="006B01C7"/>
    <w:rsid w:val="006B05F9"/>
    <w:rsid w:val="006B13FF"/>
    <w:rsid w:val="006B1BCA"/>
    <w:rsid w:val="006B25A0"/>
    <w:rsid w:val="006B270A"/>
    <w:rsid w:val="006B2761"/>
    <w:rsid w:val="006B30AD"/>
    <w:rsid w:val="006B3281"/>
    <w:rsid w:val="006B4171"/>
    <w:rsid w:val="006B4DEB"/>
    <w:rsid w:val="006B5348"/>
    <w:rsid w:val="006B570C"/>
    <w:rsid w:val="006B59F6"/>
    <w:rsid w:val="006B5E4A"/>
    <w:rsid w:val="006B685D"/>
    <w:rsid w:val="006B6A77"/>
    <w:rsid w:val="006B6AD1"/>
    <w:rsid w:val="006B6CF2"/>
    <w:rsid w:val="006B71B6"/>
    <w:rsid w:val="006B7F5A"/>
    <w:rsid w:val="006C0537"/>
    <w:rsid w:val="006C0608"/>
    <w:rsid w:val="006C0725"/>
    <w:rsid w:val="006C0E9F"/>
    <w:rsid w:val="006C11D9"/>
    <w:rsid w:val="006C236A"/>
    <w:rsid w:val="006C2664"/>
    <w:rsid w:val="006C2990"/>
    <w:rsid w:val="006C29BB"/>
    <w:rsid w:val="006C2BF4"/>
    <w:rsid w:val="006C2F01"/>
    <w:rsid w:val="006C3E1F"/>
    <w:rsid w:val="006C3FC5"/>
    <w:rsid w:val="006C4114"/>
    <w:rsid w:val="006C468D"/>
    <w:rsid w:val="006C5A9E"/>
    <w:rsid w:val="006C5D57"/>
    <w:rsid w:val="006C5FF3"/>
    <w:rsid w:val="006C60CB"/>
    <w:rsid w:val="006C650B"/>
    <w:rsid w:val="006C6938"/>
    <w:rsid w:val="006C6A42"/>
    <w:rsid w:val="006C6B19"/>
    <w:rsid w:val="006C6E80"/>
    <w:rsid w:val="006C7027"/>
    <w:rsid w:val="006C76DC"/>
    <w:rsid w:val="006C7725"/>
    <w:rsid w:val="006C781D"/>
    <w:rsid w:val="006D1134"/>
    <w:rsid w:val="006D19AE"/>
    <w:rsid w:val="006D1C09"/>
    <w:rsid w:val="006D249F"/>
    <w:rsid w:val="006D28BD"/>
    <w:rsid w:val="006D29C7"/>
    <w:rsid w:val="006D35D1"/>
    <w:rsid w:val="006D3799"/>
    <w:rsid w:val="006D42F4"/>
    <w:rsid w:val="006D4A26"/>
    <w:rsid w:val="006D5259"/>
    <w:rsid w:val="006D52EC"/>
    <w:rsid w:val="006D53BF"/>
    <w:rsid w:val="006D5C75"/>
    <w:rsid w:val="006D6480"/>
    <w:rsid w:val="006D64B1"/>
    <w:rsid w:val="006D77F8"/>
    <w:rsid w:val="006E0067"/>
    <w:rsid w:val="006E0B6F"/>
    <w:rsid w:val="006E0BA4"/>
    <w:rsid w:val="006E0C3E"/>
    <w:rsid w:val="006E1090"/>
    <w:rsid w:val="006E214E"/>
    <w:rsid w:val="006E2F21"/>
    <w:rsid w:val="006E42AC"/>
    <w:rsid w:val="006E4D88"/>
    <w:rsid w:val="006E4F11"/>
    <w:rsid w:val="006E504C"/>
    <w:rsid w:val="006E6758"/>
    <w:rsid w:val="006E693A"/>
    <w:rsid w:val="006E7435"/>
    <w:rsid w:val="006F0279"/>
    <w:rsid w:val="006F0ECE"/>
    <w:rsid w:val="006F151D"/>
    <w:rsid w:val="006F1961"/>
    <w:rsid w:val="006F1CD5"/>
    <w:rsid w:val="006F20BA"/>
    <w:rsid w:val="006F2E83"/>
    <w:rsid w:val="006F2FA0"/>
    <w:rsid w:val="006F3417"/>
    <w:rsid w:val="006F3F69"/>
    <w:rsid w:val="006F4FE2"/>
    <w:rsid w:val="006F592E"/>
    <w:rsid w:val="006F5B9A"/>
    <w:rsid w:val="006F649E"/>
    <w:rsid w:val="006F655F"/>
    <w:rsid w:val="006F6874"/>
    <w:rsid w:val="0070021B"/>
    <w:rsid w:val="00700DDE"/>
    <w:rsid w:val="007012B8"/>
    <w:rsid w:val="00702396"/>
    <w:rsid w:val="00702D4B"/>
    <w:rsid w:val="007030FE"/>
    <w:rsid w:val="0070334C"/>
    <w:rsid w:val="00703420"/>
    <w:rsid w:val="007034EE"/>
    <w:rsid w:val="00703907"/>
    <w:rsid w:val="007040AA"/>
    <w:rsid w:val="00704387"/>
    <w:rsid w:val="007048FA"/>
    <w:rsid w:val="007050C7"/>
    <w:rsid w:val="0070588C"/>
    <w:rsid w:val="007058D8"/>
    <w:rsid w:val="007062A0"/>
    <w:rsid w:val="0070660A"/>
    <w:rsid w:val="00706A27"/>
    <w:rsid w:val="00706A6C"/>
    <w:rsid w:val="00706F07"/>
    <w:rsid w:val="00707C82"/>
    <w:rsid w:val="00707E4A"/>
    <w:rsid w:val="00707FFE"/>
    <w:rsid w:val="007102F6"/>
    <w:rsid w:val="007104C2"/>
    <w:rsid w:val="007109D7"/>
    <w:rsid w:val="00710DCE"/>
    <w:rsid w:val="00711621"/>
    <w:rsid w:val="0071270C"/>
    <w:rsid w:val="00713BE7"/>
    <w:rsid w:val="007143E4"/>
    <w:rsid w:val="00714F53"/>
    <w:rsid w:val="00714F84"/>
    <w:rsid w:val="007150C6"/>
    <w:rsid w:val="007153BF"/>
    <w:rsid w:val="00715624"/>
    <w:rsid w:val="007161EF"/>
    <w:rsid w:val="007165F3"/>
    <w:rsid w:val="0071755D"/>
    <w:rsid w:val="00717569"/>
    <w:rsid w:val="00717B10"/>
    <w:rsid w:val="00717FC5"/>
    <w:rsid w:val="00720C07"/>
    <w:rsid w:val="00720F55"/>
    <w:rsid w:val="007215AD"/>
    <w:rsid w:val="007217CE"/>
    <w:rsid w:val="007222F8"/>
    <w:rsid w:val="0072283D"/>
    <w:rsid w:val="00723343"/>
    <w:rsid w:val="007233AF"/>
    <w:rsid w:val="00723890"/>
    <w:rsid w:val="00723C33"/>
    <w:rsid w:val="00723D8E"/>
    <w:rsid w:val="00725015"/>
    <w:rsid w:val="007254E8"/>
    <w:rsid w:val="00725BFD"/>
    <w:rsid w:val="00725FF3"/>
    <w:rsid w:val="007266D1"/>
    <w:rsid w:val="00727131"/>
    <w:rsid w:val="00727173"/>
    <w:rsid w:val="00730759"/>
    <w:rsid w:val="00731036"/>
    <w:rsid w:val="007320C8"/>
    <w:rsid w:val="007321E0"/>
    <w:rsid w:val="0073319F"/>
    <w:rsid w:val="007331FA"/>
    <w:rsid w:val="007340FF"/>
    <w:rsid w:val="007345FA"/>
    <w:rsid w:val="00734988"/>
    <w:rsid w:val="00735157"/>
    <w:rsid w:val="00736F0B"/>
    <w:rsid w:val="00736F70"/>
    <w:rsid w:val="007372F3"/>
    <w:rsid w:val="00737568"/>
    <w:rsid w:val="00737849"/>
    <w:rsid w:val="00740753"/>
    <w:rsid w:val="00741367"/>
    <w:rsid w:val="007421DB"/>
    <w:rsid w:val="00742506"/>
    <w:rsid w:val="0074292C"/>
    <w:rsid w:val="00742E28"/>
    <w:rsid w:val="00742F61"/>
    <w:rsid w:val="00742F9E"/>
    <w:rsid w:val="00743797"/>
    <w:rsid w:val="00743B19"/>
    <w:rsid w:val="007440F8"/>
    <w:rsid w:val="00744135"/>
    <w:rsid w:val="00744482"/>
    <w:rsid w:val="0074455A"/>
    <w:rsid w:val="00744718"/>
    <w:rsid w:val="00744848"/>
    <w:rsid w:val="00744B55"/>
    <w:rsid w:val="00744E74"/>
    <w:rsid w:val="00744F09"/>
    <w:rsid w:val="00745253"/>
    <w:rsid w:val="007461F4"/>
    <w:rsid w:val="007467AC"/>
    <w:rsid w:val="00746938"/>
    <w:rsid w:val="00746C9B"/>
    <w:rsid w:val="00747AB8"/>
    <w:rsid w:val="00747F0D"/>
    <w:rsid w:val="00747FFC"/>
    <w:rsid w:val="007505CF"/>
    <w:rsid w:val="00750FBA"/>
    <w:rsid w:val="007514A1"/>
    <w:rsid w:val="00751A84"/>
    <w:rsid w:val="00751CE9"/>
    <w:rsid w:val="00751F00"/>
    <w:rsid w:val="00752399"/>
    <w:rsid w:val="007525AE"/>
    <w:rsid w:val="00752A7B"/>
    <w:rsid w:val="00752AD1"/>
    <w:rsid w:val="0075404C"/>
    <w:rsid w:val="007558B8"/>
    <w:rsid w:val="00755C99"/>
    <w:rsid w:val="00755DD7"/>
    <w:rsid w:val="007567C6"/>
    <w:rsid w:val="00757313"/>
    <w:rsid w:val="00757611"/>
    <w:rsid w:val="00757862"/>
    <w:rsid w:val="0076032B"/>
    <w:rsid w:val="007603FF"/>
    <w:rsid w:val="00760ABF"/>
    <w:rsid w:val="00761129"/>
    <w:rsid w:val="00761B25"/>
    <w:rsid w:val="00761ED4"/>
    <w:rsid w:val="007620B8"/>
    <w:rsid w:val="007626B8"/>
    <w:rsid w:val="00763197"/>
    <w:rsid w:val="007631C1"/>
    <w:rsid w:val="007638E7"/>
    <w:rsid w:val="007640A8"/>
    <w:rsid w:val="00764375"/>
    <w:rsid w:val="00765366"/>
    <w:rsid w:val="00765737"/>
    <w:rsid w:val="00765792"/>
    <w:rsid w:val="00765818"/>
    <w:rsid w:val="00765BC9"/>
    <w:rsid w:val="00765E2A"/>
    <w:rsid w:val="00766569"/>
    <w:rsid w:val="00766589"/>
    <w:rsid w:val="007668FB"/>
    <w:rsid w:val="00766A9F"/>
    <w:rsid w:val="00767827"/>
    <w:rsid w:val="00770322"/>
    <w:rsid w:val="007704AB"/>
    <w:rsid w:val="00770506"/>
    <w:rsid w:val="00770CF6"/>
    <w:rsid w:val="007719D3"/>
    <w:rsid w:val="00772221"/>
    <w:rsid w:val="00772A28"/>
    <w:rsid w:val="00774227"/>
    <w:rsid w:val="00774240"/>
    <w:rsid w:val="00774579"/>
    <w:rsid w:val="007745F6"/>
    <w:rsid w:val="00774805"/>
    <w:rsid w:val="00774A7B"/>
    <w:rsid w:val="00774E76"/>
    <w:rsid w:val="0077574B"/>
    <w:rsid w:val="0077709F"/>
    <w:rsid w:val="00777119"/>
    <w:rsid w:val="007771C2"/>
    <w:rsid w:val="007771FA"/>
    <w:rsid w:val="00777390"/>
    <w:rsid w:val="007774C3"/>
    <w:rsid w:val="007777A7"/>
    <w:rsid w:val="00780970"/>
    <w:rsid w:val="007812C4"/>
    <w:rsid w:val="007814C9"/>
    <w:rsid w:val="00782503"/>
    <w:rsid w:val="00782830"/>
    <w:rsid w:val="00782FF9"/>
    <w:rsid w:val="00783492"/>
    <w:rsid w:val="00783550"/>
    <w:rsid w:val="0078374F"/>
    <w:rsid w:val="0078422D"/>
    <w:rsid w:val="00784650"/>
    <w:rsid w:val="00785614"/>
    <w:rsid w:val="007856E6"/>
    <w:rsid w:val="00786318"/>
    <w:rsid w:val="00786390"/>
    <w:rsid w:val="00787578"/>
    <w:rsid w:val="00787729"/>
    <w:rsid w:val="00787F69"/>
    <w:rsid w:val="007900C8"/>
    <w:rsid w:val="0079022A"/>
    <w:rsid w:val="0079035C"/>
    <w:rsid w:val="0079078A"/>
    <w:rsid w:val="00790A4A"/>
    <w:rsid w:val="00790ECD"/>
    <w:rsid w:val="007917EF"/>
    <w:rsid w:val="007932B5"/>
    <w:rsid w:val="00794491"/>
    <w:rsid w:val="007950B2"/>
    <w:rsid w:val="007955B1"/>
    <w:rsid w:val="00795D3E"/>
    <w:rsid w:val="007961E6"/>
    <w:rsid w:val="007966BE"/>
    <w:rsid w:val="0079712A"/>
    <w:rsid w:val="0079722E"/>
    <w:rsid w:val="00797997"/>
    <w:rsid w:val="007A04E4"/>
    <w:rsid w:val="007A062A"/>
    <w:rsid w:val="007A08CA"/>
    <w:rsid w:val="007A0E0E"/>
    <w:rsid w:val="007A1057"/>
    <w:rsid w:val="007A1349"/>
    <w:rsid w:val="007A1654"/>
    <w:rsid w:val="007A1B5D"/>
    <w:rsid w:val="007A1D4F"/>
    <w:rsid w:val="007A22F9"/>
    <w:rsid w:val="007A2400"/>
    <w:rsid w:val="007A29CA"/>
    <w:rsid w:val="007A2C17"/>
    <w:rsid w:val="007A31B7"/>
    <w:rsid w:val="007A34F0"/>
    <w:rsid w:val="007A3C4B"/>
    <w:rsid w:val="007A45A6"/>
    <w:rsid w:val="007A4B60"/>
    <w:rsid w:val="007A53D6"/>
    <w:rsid w:val="007A63FF"/>
    <w:rsid w:val="007A64BA"/>
    <w:rsid w:val="007A66A1"/>
    <w:rsid w:val="007A67D6"/>
    <w:rsid w:val="007A748F"/>
    <w:rsid w:val="007A7522"/>
    <w:rsid w:val="007A7591"/>
    <w:rsid w:val="007A7757"/>
    <w:rsid w:val="007B01E8"/>
    <w:rsid w:val="007B0677"/>
    <w:rsid w:val="007B100C"/>
    <w:rsid w:val="007B1148"/>
    <w:rsid w:val="007B1430"/>
    <w:rsid w:val="007B1AC1"/>
    <w:rsid w:val="007B2B0C"/>
    <w:rsid w:val="007B2DC7"/>
    <w:rsid w:val="007B2FBD"/>
    <w:rsid w:val="007B309C"/>
    <w:rsid w:val="007B3BA0"/>
    <w:rsid w:val="007B46B9"/>
    <w:rsid w:val="007B498C"/>
    <w:rsid w:val="007B4E02"/>
    <w:rsid w:val="007B553A"/>
    <w:rsid w:val="007B6245"/>
    <w:rsid w:val="007B6924"/>
    <w:rsid w:val="007C05E5"/>
    <w:rsid w:val="007C088E"/>
    <w:rsid w:val="007C0E64"/>
    <w:rsid w:val="007C1D16"/>
    <w:rsid w:val="007C1D86"/>
    <w:rsid w:val="007C1E01"/>
    <w:rsid w:val="007C2EE5"/>
    <w:rsid w:val="007C34C4"/>
    <w:rsid w:val="007C3530"/>
    <w:rsid w:val="007C389D"/>
    <w:rsid w:val="007C3C40"/>
    <w:rsid w:val="007C3F78"/>
    <w:rsid w:val="007C40EC"/>
    <w:rsid w:val="007C4176"/>
    <w:rsid w:val="007C43B0"/>
    <w:rsid w:val="007C48B9"/>
    <w:rsid w:val="007C49AC"/>
    <w:rsid w:val="007C5750"/>
    <w:rsid w:val="007C5D7D"/>
    <w:rsid w:val="007C5E0B"/>
    <w:rsid w:val="007C6483"/>
    <w:rsid w:val="007C6607"/>
    <w:rsid w:val="007C70F9"/>
    <w:rsid w:val="007C726D"/>
    <w:rsid w:val="007C7C81"/>
    <w:rsid w:val="007D0244"/>
    <w:rsid w:val="007D05BC"/>
    <w:rsid w:val="007D0987"/>
    <w:rsid w:val="007D0B38"/>
    <w:rsid w:val="007D15FE"/>
    <w:rsid w:val="007D18DF"/>
    <w:rsid w:val="007D1AE2"/>
    <w:rsid w:val="007D1BDA"/>
    <w:rsid w:val="007D1DFC"/>
    <w:rsid w:val="007D251A"/>
    <w:rsid w:val="007D2B98"/>
    <w:rsid w:val="007D2F7E"/>
    <w:rsid w:val="007D3126"/>
    <w:rsid w:val="007D39CE"/>
    <w:rsid w:val="007D3B53"/>
    <w:rsid w:val="007D3EC2"/>
    <w:rsid w:val="007D4146"/>
    <w:rsid w:val="007D42C6"/>
    <w:rsid w:val="007D44C4"/>
    <w:rsid w:val="007D4CAA"/>
    <w:rsid w:val="007D4D7C"/>
    <w:rsid w:val="007D50B9"/>
    <w:rsid w:val="007D5C02"/>
    <w:rsid w:val="007D6987"/>
    <w:rsid w:val="007D7EE3"/>
    <w:rsid w:val="007D7F74"/>
    <w:rsid w:val="007E0113"/>
    <w:rsid w:val="007E146D"/>
    <w:rsid w:val="007E1669"/>
    <w:rsid w:val="007E207B"/>
    <w:rsid w:val="007E22DF"/>
    <w:rsid w:val="007E24A3"/>
    <w:rsid w:val="007E24CE"/>
    <w:rsid w:val="007E2903"/>
    <w:rsid w:val="007E3BF4"/>
    <w:rsid w:val="007E3F8F"/>
    <w:rsid w:val="007E467D"/>
    <w:rsid w:val="007E4881"/>
    <w:rsid w:val="007E48AB"/>
    <w:rsid w:val="007E490A"/>
    <w:rsid w:val="007E4F1C"/>
    <w:rsid w:val="007E519A"/>
    <w:rsid w:val="007E5640"/>
    <w:rsid w:val="007E58AE"/>
    <w:rsid w:val="007E5DD4"/>
    <w:rsid w:val="007E6100"/>
    <w:rsid w:val="007E6185"/>
    <w:rsid w:val="007E6AE6"/>
    <w:rsid w:val="007E6DE3"/>
    <w:rsid w:val="007E6F1A"/>
    <w:rsid w:val="007E72FB"/>
    <w:rsid w:val="007E755D"/>
    <w:rsid w:val="007E7613"/>
    <w:rsid w:val="007F0574"/>
    <w:rsid w:val="007F0A88"/>
    <w:rsid w:val="007F120A"/>
    <w:rsid w:val="007F196A"/>
    <w:rsid w:val="007F1CE1"/>
    <w:rsid w:val="007F239C"/>
    <w:rsid w:val="007F23E6"/>
    <w:rsid w:val="007F2456"/>
    <w:rsid w:val="007F2704"/>
    <w:rsid w:val="007F2798"/>
    <w:rsid w:val="007F2B6B"/>
    <w:rsid w:val="007F2E81"/>
    <w:rsid w:val="007F325E"/>
    <w:rsid w:val="007F352D"/>
    <w:rsid w:val="007F391B"/>
    <w:rsid w:val="007F4097"/>
    <w:rsid w:val="007F40EC"/>
    <w:rsid w:val="007F42B0"/>
    <w:rsid w:val="007F4AF3"/>
    <w:rsid w:val="007F4B00"/>
    <w:rsid w:val="007F5317"/>
    <w:rsid w:val="007F55F5"/>
    <w:rsid w:val="007F5915"/>
    <w:rsid w:val="007F5B5C"/>
    <w:rsid w:val="007F646A"/>
    <w:rsid w:val="007F70AA"/>
    <w:rsid w:val="007F7406"/>
    <w:rsid w:val="007F74B2"/>
    <w:rsid w:val="007F75E3"/>
    <w:rsid w:val="007F766D"/>
    <w:rsid w:val="00800204"/>
    <w:rsid w:val="00800516"/>
    <w:rsid w:val="00801AD6"/>
    <w:rsid w:val="00802046"/>
    <w:rsid w:val="008020CA"/>
    <w:rsid w:val="0080259A"/>
    <w:rsid w:val="0080282E"/>
    <w:rsid w:val="008033C3"/>
    <w:rsid w:val="008033FE"/>
    <w:rsid w:val="00804139"/>
    <w:rsid w:val="008046B3"/>
    <w:rsid w:val="0080552E"/>
    <w:rsid w:val="00805B7A"/>
    <w:rsid w:val="00806D30"/>
    <w:rsid w:val="00810189"/>
    <w:rsid w:val="00810D39"/>
    <w:rsid w:val="00811613"/>
    <w:rsid w:val="00811C28"/>
    <w:rsid w:val="00811CF7"/>
    <w:rsid w:val="00812390"/>
    <w:rsid w:val="00812617"/>
    <w:rsid w:val="008126B8"/>
    <w:rsid w:val="00812CBE"/>
    <w:rsid w:val="00813203"/>
    <w:rsid w:val="0081324E"/>
    <w:rsid w:val="00813437"/>
    <w:rsid w:val="0081347E"/>
    <w:rsid w:val="00813857"/>
    <w:rsid w:val="00813BFC"/>
    <w:rsid w:val="00813EF6"/>
    <w:rsid w:val="0081445F"/>
    <w:rsid w:val="008144FE"/>
    <w:rsid w:val="008149BA"/>
    <w:rsid w:val="00814CF6"/>
    <w:rsid w:val="00814E79"/>
    <w:rsid w:val="00815346"/>
    <w:rsid w:val="0081557C"/>
    <w:rsid w:val="00816C6F"/>
    <w:rsid w:val="00816E58"/>
    <w:rsid w:val="0081730C"/>
    <w:rsid w:val="0081739D"/>
    <w:rsid w:val="00817526"/>
    <w:rsid w:val="008203C0"/>
    <w:rsid w:val="0082057F"/>
    <w:rsid w:val="00820829"/>
    <w:rsid w:val="00820AC0"/>
    <w:rsid w:val="00820E5C"/>
    <w:rsid w:val="00821266"/>
    <w:rsid w:val="00821ED3"/>
    <w:rsid w:val="008222AC"/>
    <w:rsid w:val="00824D16"/>
    <w:rsid w:val="00825348"/>
    <w:rsid w:val="0082603F"/>
    <w:rsid w:val="008269E4"/>
    <w:rsid w:val="008273C3"/>
    <w:rsid w:val="00827E24"/>
    <w:rsid w:val="00830DD9"/>
    <w:rsid w:val="008312A0"/>
    <w:rsid w:val="0083141C"/>
    <w:rsid w:val="008315D7"/>
    <w:rsid w:val="0083186F"/>
    <w:rsid w:val="00831872"/>
    <w:rsid w:val="00831FC3"/>
    <w:rsid w:val="008324E3"/>
    <w:rsid w:val="00832DBA"/>
    <w:rsid w:val="0083314C"/>
    <w:rsid w:val="00833A3E"/>
    <w:rsid w:val="008341ED"/>
    <w:rsid w:val="008343DE"/>
    <w:rsid w:val="008348B0"/>
    <w:rsid w:val="00834976"/>
    <w:rsid w:val="00834E7E"/>
    <w:rsid w:val="008353FE"/>
    <w:rsid w:val="00835618"/>
    <w:rsid w:val="0083594B"/>
    <w:rsid w:val="0083604E"/>
    <w:rsid w:val="008363E6"/>
    <w:rsid w:val="008379F2"/>
    <w:rsid w:val="00837EDF"/>
    <w:rsid w:val="0084031C"/>
    <w:rsid w:val="0084044E"/>
    <w:rsid w:val="0084049B"/>
    <w:rsid w:val="00840A6E"/>
    <w:rsid w:val="0084115F"/>
    <w:rsid w:val="008416B4"/>
    <w:rsid w:val="00841975"/>
    <w:rsid w:val="00841FBE"/>
    <w:rsid w:val="0084279E"/>
    <w:rsid w:val="00842B22"/>
    <w:rsid w:val="00842C6A"/>
    <w:rsid w:val="00843327"/>
    <w:rsid w:val="00843DF1"/>
    <w:rsid w:val="00843F0C"/>
    <w:rsid w:val="00843FA7"/>
    <w:rsid w:val="0084436D"/>
    <w:rsid w:val="00845240"/>
    <w:rsid w:val="00845827"/>
    <w:rsid w:val="00845CDF"/>
    <w:rsid w:val="008465AF"/>
    <w:rsid w:val="008467AB"/>
    <w:rsid w:val="00846B49"/>
    <w:rsid w:val="00847737"/>
    <w:rsid w:val="00847D64"/>
    <w:rsid w:val="00847E60"/>
    <w:rsid w:val="00850510"/>
    <w:rsid w:val="0085093F"/>
    <w:rsid w:val="00851238"/>
    <w:rsid w:val="008513DC"/>
    <w:rsid w:val="00851DC3"/>
    <w:rsid w:val="00852210"/>
    <w:rsid w:val="00853140"/>
    <w:rsid w:val="0085346A"/>
    <w:rsid w:val="00853A11"/>
    <w:rsid w:val="00854846"/>
    <w:rsid w:val="008551B0"/>
    <w:rsid w:val="00856025"/>
    <w:rsid w:val="00856754"/>
    <w:rsid w:val="008571E7"/>
    <w:rsid w:val="0085777C"/>
    <w:rsid w:val="00857C61"/>
    <w:rsid w:val="00857CB8"/>
    <w:rsid w:val="00857E67"/>
    <w:rsid w:val="008601E3"/>
    <w:rsid w:val="00860294"/>
    <w:rsid w:val="00860AB2"/>
    <w:rsid w:val="00860D14"/>
    <w:rsid w:val="00860D6A"/>
    <w:rsid w:val="00861261"/>
    <w:rsid w:val="008615D8"/>
    <w:rsid w:val="00861E3F"/>
    <w:rsid w:val="00862171"/>
    <w:rsid w:val="008621B6"/>
    <w:rsid w:val="00862374"/>
    <w:rsid w:val="008630B0"/>
    <w:rsid w:val="00863945"/>
    <w:rsid w:val="00864D96"/>
    <w:rsid w:val="00865A96"/>
    <w:rsid w:val="00865CC2"/>
    <w:rsid w:val="00866402"/>
    <w:rsid w:val="00866425"/>
    <w:rsid w:val="008664C0"/>
    <w:rsid w:val="00866505"/>
    <w:rsid w:val="0086705E"/>
    <w:rsid w:val="00867315"/>
    <w:rsid w:val="00867AC8"/>
    <w:rsid w:val="00870767"/>
    <w:rsid w:val="0087086A"/>
    <w:rsid w:val="00870930"/>
    <w:rsid w:val="0087180F"/>
    <w:rsid w:val="00871F13"/>
    <w:rsid w:val="008728F6"/>
    <w:rsid w:val="008729D8"/>
    <w:rsid w:val="00872B70"/>
    <w:rsid w:val="0087383B"/>
    <w:rsid w:val="00873BDF"/>
    <w:rsid w:val="00873EAF"/>
    <w:rsid w:val="008743CF"/>
    <w:rsid w:val="00874981"/>
    <w:rsid w:val="00874FE5"/>
    <w:rsid w:val="00876A46"/>
    <w:rsid w:val="00876B67"/>
    <w:rsid w:val="00877036"/>
    <w:rsid w:val="008770EC"/>
    <w:rsid w:val="00877106"/>
    <w:rsid w:val="00877DC8"/>
    <w:rsid w:val="00880B4B"/>
    <w:rsid w:val="00880DAA"/>
    <w:rsid w:val="008810F4"/>
    <w:rsid w:val="008814BA"/>
    <w:rsid w:val="008818D0"/>
    <w:rsid w:val="00881AF7"/>
    <w:rsid w:val="00881C61"/>
    <w:rsid w:val="008827CC"/>
    <w:rsid w:val="00883298"/>
    <w:rsid w:val="00884D89"/>
    <w:rsid w:val="00884E6E"/>
    <w:rsid w:val="00885A50"/>
    <w:rsid w:val="00885ACA"/>
    <w:rsid w:val="008862B9"/>
    <w:rsid w:val="00886315"/>
    <w:rsid w:val="00886497"/>
    <w:rsid w:val="00886903"/>
    <w:rsid w:val="008872DE"/>
    <w:rsid w:val="008873E9"/>
    <w:rsid w:val="008876A2"/>
    <w:rsid w:val="00890040"/>
    <w:rsid w:val="00890197"/>
    <w:rsid w:val="00890925"/>
    <w:rsid w:val="00890B80"/>
    <w:rsid w:val="00890F72"/>
    <w:rsid w:val="008921A7"/>
    <w:rsid w:val="0089247E"/>
    <w:rsid w:val="008940E5"/>
    <w:rsid w:val="00894656"/>
    <w:rsid w:val="008946B9"/>
    <w:rsid w:val="00894C8E"/>
    <w:rsid w:val="0089628F"/>
    <w:rsid w:val="00896409"/>
    <w:rsid w:val="00896E6E"/>
    <w:rsid w:val="00897C8D"/>
    <w:rsid w:val="008A0176"/>
    <w:rsid w:val="008A03BD"/>
    <w:rsid w:val="008A113F"/>
    <w:rsid w:val="008A160F"/>
    <w:rsid w:val="008A1A05"/>
    <w:rsid w:val="008A1D6D"/>
    <w:rsid w:val="008A1FF1"/>
    <w:rsid w:val="008A265D"/>
    <w:rsid w:val="008A26DF"/>
    <w:rsid w:val="008A2FF6"/>
    <w:rsid w:val="008A3054"/>
    <w:rsid w:val="008A31C1"/>
    <w:rsid w:val="008A3328"/>
    <w:rsid w:val="008A34C3"/>
    <w:rsid w:val="008A3DEC"/>
    <w:rsid w:val="008A49CA"/>
    <w:rsid w:val="008A49F7"/>
    <w:rsid w:val="008A4CC0"/>
    <w:rsid w:val="008A4EED"/>
    <w:rsid w:val="008A53A8"/>
    <w:rsid w:val="008A66B6"/>
    <w:rsid w:val="008A7077"/>
    <w:rsid w:val="008A7641"/>
    <w:rsid w:val="008A7E7C"/>
    <w:rsid w:val="008B0836"/>
    <w:rsid w:val="008B2046"/>
    <w:rsid w:val="008B350A"/>
    <w:rsid w:val="008B36C2"/>
    <w:rsid w:val="008B48D4"/>
    <w:rsid w:val="008B4910"/>
    <w:rsid w:val="008B4AB2"/>
    <w:rsid w:val="008B4BAA"/>
    <w:rsid w:val="008B514B"/>
    <w:rsid w:val="008B5183"/>
    <w:rsid w:val="008B56C9"/>
    <w:rsid w:val="008B59A0"/>
    <w:rsid w:val="008B5D16"/>
    <w:rsid w:val="008B601B"/>
    <w:rsid w:val="008B6763"/>
    <w:rsid w:val="008B797C"/>
    <w:rsid w:val="008B7A59"/>
    <w:rsid w:val="008B7A99"/>
    <w:rsid w:val="008B7B0C"/>
    <w:rsid w:val="008B7EC5"/>
    <w:rsid w:val="008C0614"/>
    <w:rsid w:val="008C06F3"/>
    <w:rsid w:val="008C072D"/>
    <w:rsid w:val="008C14D7"/>
    <w:rsid w:val="008C1CDF"/>
    <w:rsid w:val="008C1F91"/>
    <w:rsid w:val="008C3C42"/>
    <w:rsid w:val="008C3F00"/>
    <w:rsid w:val="008C4A3A"/>
    <w:rsid w:val="008C54C3"/>
    <w:rsid w:val="008C5754"/>
    <w:rsid w:val="008C5896"/>
    <w:rsid w:val="008C62BE"/>
    <w:rsid w:val="008C6461"/>
    <w:rsid w:val="008C6B5E"/>
    <w:rsid w:val="008C6C35"/>
    <w:rsid w:val="008C7A13"/>
    <w:rsid w:val="008D027C"/>
    <w:rsid w:val="008D07F6"/>
    <w:rsid w:val="008D0A0E"/>
    <w:rsid w:val="008D2181"/>
    <w:rsid w:val="008D230E"/>
    <w:rsid w:val="008D2BCC"/>
    <w:rsid w:val="008D2F65"/>
    <w:rsid w:val="008D313B"/>
    <w:rsid w:val="008D381A"/>
    <w:rsid w:val="008D49BB"/>
    <w:rsid w:val="008D4B68"/>
    <w:rsid w:val="008D5035"/>
    <w:rsid w:val="008D562A"/>
    <w:rsid w:val="008D5A72"/>
    <w:rsid w:val="008D5F5E"/>
    <w:rsid w:val="008D6124"/>
    <w:rsid w:val="008D6130"/>
    <w:rsid w:val="008D655F"/>
    <w:rsid w:val="008D6D79"/>
    <w:rsid w:val="008D7339"/>
    <w:rsid w:val="008D77C2"/>
    <w:rsid w:val="008D77C5"/>
    <w:rsid w:val="008D7A23"/>
    <w:rsid w:val="008D7FE9"/>
    <w:rsid w:val="008E00DF"/>
    <w:rsid w:val="008E0642"/>
    <w:rsid w:val="008E077B"/>
    <w:rsid w:val="008E18AD"/>
    <w:rsid w:val="008E1AA9"/>
    <w:rsid w:val="008E1C89"/>
    <w:rsid w:val="008E1CBC"/>
    <w:rsid w:val="008E2479"/>
    <w:rsid w:val="008E2B4A"/>
    <w:rsid w:val="008E3663"/>
    <w:rsid w:val="008E4736"/>
    <w:rsid w:val="008E498B"/>
    <w:rsid w:val="008E4E1E"/>
    <w:rsid w:val="008E56BF"/>
    <w:rsid w:val="008E58FF"/>
    <w:rsid w:val="008E5DA3"/>
    <w:rsid w:val="008E5E28"/>
    <w:rsid w:val="008E5FBA"/>
    <w:rsid w:val="008E62DB"/>
    <w:rsid w:val="008E6938"/>
    <w:rsid w:val="008E6E48"/>
    <w:rsid w:val="008E71A5"/>
    <w:rsid w:val="008E7F33"/>
    <w:rsid w:val="008F0508"/>
    <w:rsid w:val="008F0BC4"/>
    <w:rsid w:val="008F117B"/>
    <w:rsid w:val="008F1B3E"/>
    <w:rsid w:val="008F24F1"/>
    <w:rsid w:val="008F2934"/>
    <w:rsid w:val="008F2E27"/>
    <w:rsid w:val="008F310C"/>
    <w:rsid w:val="008F44BC"/>
    <w:rsid w:val="008F46EE"/>
    <w:rsid w:val="008F4798"/>
    <w:rsid w:val="008F490C"/>
    <w:rsid w:val="008F4BB3"/>
    <w:rsid w:val="008F4DAA"/>
    <w:rsid w:val="008F6EA5"/>
    <w:rsid w:val="008F7230"/>
    <w:rsid w:val="008F73A9"/>
    <w:rsid w:val="008F7D80"/>
    <w:rsid w:val="008F7F32"/>
    <w:rsid w:val="00901331"/>
    <w:rsid w:val="009013D4"/>
    <w:rsid w:val="0090153E"/>
    <w:rsid w:val="00901897"/>
    <w:rsid w:val="00902397"/>
    <w:rsid w:val="00902664"/>
    <w:rsid w:val="0090292C"/>
    <w:rsid w:val="00902CF1"/>
    <w:rsid w:val="00902E90"/>
    <w:rsid w:val="00903359"/>
    <w:rsid w:val="00903D51"/>
    <w:rsid w:val="00904187"/>
    <w:rsid w:val="00904232"/>
    <w:rsid w:val="0090450E"/>
    <w:rsid w:val="00904871"/>
    <w:rsid w:val="00904F96"/>
    <w:rsid w:val="0090552B"/>
    <w:rsid w:val="00905668"/>
    <w:rsid w:val="00906654"/>
    <w:rsid w:val="00906808"/>
    <w:rsid w:val="00906C63"/>
    <w:rsid w:val="00906D08"/>
    <w:rsid w:val="00906E8F"/>
    <w:rsid w:val="0090721E"/>
    <w:rsid w:val="0090755D"/>
    <w:rsid w:val="00907808"/>
    <w:rsid w:val="00907DD2"/>
    <w:rsid w:val="009107FE"/>
    <w:rsid w:val="00910C92"/>
    <w:rsid w:val="00911643"/>
    <w:rsid w:val="00911D19"/>
    <w:rsid w:val="009121D7"/>
    <w:rsid w:val="00912554"/>
    <w:rsid w:val="009127B0"/>
    <w:rsid w:val="00912B31"/>
    <w:rsid w:val="00913200"/>
    <w:rsid w:val="0091376A"/>
    <w:rsid w:val="00914E7F"/>
    <w:rsid w:val="00914FA0"/>
    <w:rsid w:val="00915F3D"/>
    <w:rsid w:val="00916072"/>
    <w:rsid w:val="00916785"/>
    <w:rsid w:val="009172AF"/>
    <w:rsid w:val="0091775D"/>
    <w:rsid w:val="00917D91"/>
    <w:rsid w:val="0092005D"/>
    <w:rsid w:val="00920135"/>
    <w:rsid w:val="00920BDB"/>
    <w:rsid w:val="00920E6B"/>
    <w:rsid w:val="00921B54"/>
    <w:rsid w:val="00921D7F"/>
    <w:rsid w:val="00921FAA"/>
    <w:rsid w:val="0092230C"/>
    <w:rsid w:val="00922B87"/>
    <w:rsid w:val="0092312B"/>
    <w:rsid w:val="00923633"/>
    <w:rsid w:val="00923725"/>
    <w:rsid w:val="00923D0D"/>
    <w:rsid w:val="0092400A"/>
    <w:rsid w:val="00924384"/>
    <w:rsid w:val="0092441A"/>
    <w:rsid w:val="0092476E"/>
    <w:rsid w:val="0092482A"/>
    <w:rsid w:val="00924D4E"/>
    <w:rsid w:val="0092527D"/>
    <w:rsid w:val="00925451"/>
    <w:rsid w:val="00925B64"/>
    <w:rsid w:val="00926311"/>
    <w:rsid w:val="00926363"/>
    <w:rsid w:val="00926B71"/>
    <w:rsid w:val="0092707C"/>
    <w:rsid w:val="009273FF"/>
    <w:rsid w:val="009276CE"/>
    <w:rsid w:val="009277AD"/>
    <w:rsid w:val="00927ABA"/>
    <w:rsid w:val="00927DAB"/>
    <w:rsid w:val="00927F39"/>
    <w:rsid w:val="00930479"/>
    <w:rsid w:val="00930576"/>
    <w:rsid w:val="0093118E"/>
    <w:rsid w:val="009315FE"/>
    <w:rsid w:val="0093166E"/>
    <w:rsid w:val="009317ED"/>
    <w:rsid w:val="00931D82"/>
    <w:rsid w:val="00931F13"/>
    <w:rsid w:val="0093276B"/>
    <w:rsid w:val="00933D6A"/>
    <w:rsid w:val="009348E8"/>
    <w:rsid w:val="00934952"/>
    <w:rsid w:val="00934A8D"/>
    <w:rsid w:val="00934AB7"/>
    <w:rsid w:val="009350ED"/>
    <w:rsid w:val="00935DF3"/>
    <w:rsid w:val="009363E5"/>
    <w:rsid w:val="00936C02"/>
    <w:rsid w:val="00936D3F"/>
    <w:rsid w:val="00936D60"/>
    <w:rsid w:val="00936E37"/>
    <w:rsid w:val="009374F1"/>
    <w:rsid w:val="00937703"/>
    <w:rsid w:val="00937A73"/>
    <w:rsid w:val="009402CE"/>
    <w:rsid w:val="009416E0"/>
    <w:rsid w:val="00941984"/>
    <w:rsid w:val="00941B6E"/>
    <w:rsid w:val="00941CA4"/>
    <w:rsid w:val="00941E2F"/>
    <w:rsid w:val="00941E8B"/>
    <w:rsid w:val="00941E90"/>
    <w:rsid w:val="00941F14"/>
    <w:rsid w:val="009420C1"/>
    <w:rsid w:val="00942463"/>
    <w:rsid w:val="00942492"/>
    <w:rsid w:val="009425DD"/>
    <w:rsid w:val="00942B30"/>
    <w:rsid w:val="00942BF3"/>
    <w:rsid w:val="00942E3E"/>
    <w:rsid w:val="009431F8"/>
    <w:rsid w:val="00943257"/>
    <w:rsid w:val="00943CBE"/>
    <w:rsid w:val="00944173"/>
    <w:rsid w:val="009447B5"/>
    <w:rsid w:val="00945618"/>
    <w:rsid w:val="00945B98"/>
    <w:rsid w:val="0094606F"/>
    <w:rsid w:val="009478E1"/>
    <w:rsid w:val="00950912"/>
    <w:rsid w:val="00950D12"/>
    <w:rsid w:val="00951261"/>
    <w:rsid w:val="0095134F"/>
    <w:rsid w:val="00952D1F"/>
    <w:rsid w:val="00952FA0"/>
    <w:rsid w:val="0095304B"/>
    <w:rsid w:val="0095341D"/>
    <w:rsid w:val="00953BB7"/>
    <w:rsid w:val="00953F8F"/>
    <w:rsid w:val="0095492C"/>
    <w:rsid w:val="00955325"/>
    <w:rsid w:val="0095566B"/>
    <w:rsid w:val="00955BFB"/>
    <w:rsid w:val="00955DA1"/>
    <w:rsid w:val="00955E99"/>
    <w:rsid w:val="00956567"/>
    <w:rsid w:val="00957889"/>
    <w:rsid w:val="009603A1"/>
    <w:rsid w:val="00960FE9"/>
    <w:rsid w:val="009610AC"/>
    <w:rsid w:val="009620BE"/>
    <w:rsid w:val="0096299D"/>
    <w:rsid w:val="009634A1"/>
    <w:rsid w:val="0096405F"/>
    <w:rsid w:val="009643C8"/>
    <w:rsid w:val="0096488A"/>
    <w:rsid w:val="0096495F"/>
    <w:rsid w:val="009652C2"/>
    <w:rsid w:val="009652DC"/>
    <w:rsid w:val="00965820"/>
    <w:rsid w:val="00965F90"/>
    <w:rsid w:val="00966331"/>
    <w:rsid w:val="009674A3"/>
    <w:rsid w:val="009675BF"/>
    <w:rsid w:val="00967A31"/>
    <w:rsid w:val="00970055"/>
    <w:rsid w:val="0097061F"/>
    <w:rsid w:val="009706C3"/>
    <w:rsid w:val="009710D3"/>
    <w:rsid w:val="009712DF"/>
    <w:rsid w:val="00972764"/>
    <w:rsid w:val="00973537"/>
    <w:rsid w:val="009748B7"/>
    <w:rsid w:val="0097519D"/>
    <w:rsid w:val="00975A15"/>
    <w:rsid w:val="00975E4C"/>
    <w:rsid w:val="00976762"/>
    <w:rsid w:val="009773EE"/>
    <w:rsid w:val="0097756E"/>
    <w:rsid w:val="0097792E"/>
    <w:rsid w:val="009812E4"/>
    <w:rsid w:val="009817CF"/>
    <w:rsid w:val="00981B3C"/>
    <w:rsid w:val="00981BEB"/>
    <w:rsid w:val="00981E2D"/>
    <w:rsid w:val="00983025"/>
    <w:rsid w:val="0098311D"/>
    <w:rsid w:val="0098384B"/>
    <w:rsid w:val="00983C54"/>
    <w:rsid w:val="00984055"/>
    <w:rsid w:val="009845A6"/>
    <w:rsid w:val="00985587"/>
    <w:rsid w:val="0098569D"/>
    <w:rsid w:val="0098622B"/>
    <w:rsid w:val="0098626D"/>
    <w:rsid w:val="00986748"/>
    <w:rsid w:val="00986F24"/>
    <w:rsid w:val="009870AA"/>
    <w:rsid w:val="00987C68"/>
    <w:rsid w:val="00987C9F"/>
    <w:rsid w:val="00991368"/>
    <w:rsid w:val="009919D8"/>
    <w:rsid w:val="00991BFC"/>
    <w:rsid w:val="009925F7"/>
    <w:rsid w:val="00992A5D"/>
    <w:rsid w:val="00993667"/>
    <w:rsid w:val="00993907"/>
    <w:rsid w:val="00994290"/>
    <w:rsid w:val="009942A4"/>
    <w:rsid w:val="0099622C"/>
    <w:rsid w:val="0099645D"/>
    <w:rsid w:val="00996850"/>
    <w:rsid w:val="00997573"/>
    <w:rsid w:val="0099768D"/>
    <w:rsid w:val="009976A6"/>
    <w:rsid w:val="00997893"/>
    <w:rsid w:val="009A0289"/>
    <w:rsid w:val="009A02B1"/>
    <w:rsid w:val="009A0566"/>
    <w:rsid w:val="009A0CA5"/>
    <w:rsid w:val="009A19A3"/>
    <w:rsid w:val="009A1F98"/>
    <w:rsid w:val="009A267D"/>
    <w:rsid w:val="009A3647"/>
    <w:rsid w:val="009A4156"/>
    <w:rsid w:val="009A4237"/>
    <w:rsid w:val="009A5088"/>
    <w:rsid w:val="009A50E5"/>
    <w:rsid w:val="009A5755"/>
    <w:rsid w:val="009A5ED2"/>
    <w:rsid w:val="009A6157"/>
    <w:rsid w:val="009A6A9B"/>
    <w:rsid w:val="009A74F8"/>
    <w:rsid w:val="009A785F"/>
    <w:rsid w:val="009B0828"/>
    <w:rsid w:val="009B10FD"/>
    <w:rsid w:val="009B1465"/>
    <w:rsid w:val="009B148F"/>
    <w:rsid w:val="009B1581"/>
    <w:rsid w:val="009B2607"/>
    <w:rsid w:val="009B3540"/>
    <w:rsid w:val="009B386A"/>
    <w:rsid w:val="009B4738"/>
    <w:rsid w:val="009B57B3"/>
    <w:rsid w:val="009B59DC"/>
    <w:rsid w:val="009B5B9E"/>
    <w:rsid w:val="009B6040"/>
    <w:rsid w:val="009B60D4"/>
    <w:rsid w:val="009B6778"/>
    <w:rsid w:val="009B678D"/>
    <w:rsid w:val="009B6ABB"/>
    <w:rsid w:val="009B6B90"/>
    <w:rsid w:val="009B6FFA"/>
    <w:rsid w:val="009B71EA"/>
    <w:rsid w:val="009C01FF"/>
    <w:rsid w:val="009C1214"/>
    <w:rsid w:val="009C1432"/>
    <w:rsid w:val="009C16AC"/>
    <w:rsid w:val="009C1955"/>
    <w:rsid w:val="009C295F"/>
    <w:rsid w:val="009C301F"/>
    <w:rsid w:val="009C3736"/>
    <w:rsid w:val="009C3A50"/>
    <w:rsid w:val="009C3CD0"/>
    <w:rsid w:val="009C4862"/>
    <w:rsid w:val="009C4CCE"/>
    <w:rsid w:val="009C5484"/>
    <w:rsid w:val="009C54D5"/>
    <w:rsid w:val="009C559B"/>
    <w:rsid w:val="009C6098"/>
    <w:rsid w:val="009C6BE5"/>
    <w:rsid w:val="009C6CCA"/>
    <w:rsid w:val="009C7016"/>
    <w:rsid w:val="009D1037"/>
    <w:rsid w:val="009D10CF"/>
    <w:rsid w:val="009D182C"/>
    <w:rsid w:val="009D254F"/>
    <w:rsid w:val="009D355F"/>
    <w:rsid w:val="009D3780"/>
    <w:rsid w:val="009D3800"/>
    <w:rsid w:val="009D397E"/>
    <w:rsid w:val="009D3CEA"/>
    <w:rsid w:val="009D42AF"/>
    <w:rsid w:val="009D4806"/>
    <w:rsid w:val="009D4B10"/>
    <w:rsid w:val="009D504B"/>
    <w:rsid w:val="009D5159"/>
    <w:rsid w:val="009D6BD8"/>
    <w:rsid w:val="009D6FEE"/>
    <w:rsid w:val="009D7C97"/>
    <w:rsid w:val="009D7CE8"/>
    <w:rsid w:val="009D7EB8"/>
    <w:rsid w:val="009E0289"/>
    <w:rsid w:val="009E0447"/>
    <w:rsid w:val="009E060C"/>
    <w:rsid w:val="009E1123"/>
    <w:rsid w:val="009E1D5E"/>
    <w:rsid w:val="009E1F6A"/>
    <w:rsid w:val="009E2554"/>
    <w:rsid w:val="009E25C3"/>
    <w:rsid w:val="009E46A4"/>
    <w:rsid w:val="009E52D7"/>
    <w:rsid w:val="009E57D6"/>
    <w:rsid w:val="009E5BD7"/>
    <w:rsid w:val="009E6906"/>
    <w:rsid w:val="009E69F0"/>
    <w:rsid w:val="009E712F"/>
    <w:rsid w:val="009E715B"/>
    <w:rsid w:val="009E7304"/>
    <w:rsid w:val="009E753F"/>
    <w:rsid w:val="009E7696"/>
    <w:rsid w:val="009E775D"/>
    <w:rsid w:val="009E7F05"/>
    <w:rsid w:val="009F018F"/>
    <w:rsid w:val="009F0793"/>
    <w:rsid w:val="009F0CA6"/>
    <w:rsid w:val="009F1B47"/>
    <w:rsid w:val="009F20AA"/>
    <w:rsid w:val="009F2E65"/>
    <w:rsid w:val="009F35C8"/>
    <w:rsid w:val="009F38B1"/>
    <w:rsid w:val="009F3BD4"/>
    <w:rsid w:val="009F44E6"/>
    <w:rsid w:val="009F469A"/>
    <w:rsid w:val="009F4763"/>
    <w:rsid w:val="009F485A"/>
    <w:rsid w:val="009F4DBB"/>
    <w:rsid w:val="009F53DB"/>
    <w:rsid w:val="009F57CC"/>
    <w:rsid w:val="009F6D1C"/>
    <w:rsid w:val="009F6F55"/>
    <w:rsid w:val="009F7037"/>
    <w:rsid w:val="009F797B"/>
    <w:rsid w:val="009F7D01"/>
    <w:rsid w:val="00A00010"/>
    <w:rsid w:val="00A00033"/>
    <w:rsid w:val="00A00963"/>
    <w:rsid w:val="00A00F11"/>
    <w:rsid w:val="00A01F1B"/>
    <w:rsid w:val="00A02511"/>
    <w:rsid w:val="00A02900"/>
    <w:rsid w:val="00A02C0D"/>
    <w:rsid w:val="00A02D75"/>
    <w:rsid w:val="00A0370E"/>
    <w:rsid w:val="00A039D0"/>
    <w:rsid w:val="00A039F2"/>
    <w:rsid w:val="00A03D68"/>
    <w:rsid w:val="00A045AE"/>
    <w:rsid w:val="00A04607"/>
    <w:rsid w:val="00A04800"/>
    <w:rsid w:val="00A04AED"/>
    <w:rsid w:val="00A054E6"/>
    <w:rsid w:val="00A06092"/>
    <w:rsid w:val="00A06EE9"/>
    <w:rsid w:val="00A07476"/>
    <w:rsid w:val="00A0762F"/>
    <w:rsid w:val="00A07DE6"/>
    <w:rsid w:val="00A100BE"/>
    <w:rsid w:val="00A10162"/>
    <w:rsid w:val="00A11FF6"/>
    <w:rsid w:val="00A121D3"/>
    <w:rsid w:val="00A12882"/>
    <w:rsid w:val="00A12D3A"/>
    <w:rsid w:val="00A13158"/>
    <w:rsid w:val="00A13246"/>
    <w:rsid w:val="00A138A9"/>
    <w:rsid w:val="00A139AA"/>
    <w:rsid w:val="00A13A73"/>
    <w:rsid w:val="00A15F37"/>
    <w:rsid w:val="00A160A1"/>
    <w:rsid w:val="00A160DA"/>
    <w:rsid w:val="00A16619"/>
    <w:rsid w:val="00A1675E"/>
    <w:rsid w:val="00A16E32"/>
    <w:rsid w:val="00A1771E"/>
    <w:rsid w:val="00A17978"/>
    <w:rsid w:val="00A17F6A"/>
    <w:rsid w:val="00A200CD"/>
    <w:rsid w:val="00A204D4"/>
    <w:rsid w:val="00A21360"/>
    <w:rsid w:val="00A21415"/>
    <w:rsid w:val="00A21459"/>
    <w:rsid w:val="00A2184F"/>
    <w:rsid w:val="00A219F0"/>
    <w:rsid w:val="00A21FD5"/>
    <w:rsid w:val="00A22952"/>
    <w:rsid w:val="00A24407"/>
    <w:rsid w:val="00A2472A"/>
    <w:rsid w:val="00A24AAC"/>
    <w:rsid w:val="00A24C8F"/>
    <w:rsid w:val="00A24EEB"/>
    <w:rsid w:val="00A25186"/>
    <w:rsid w:val="00A2585B"/>
    <w:rsid w:val="00A25BE9"/>
    <w:rsid w:val="00A25F14"/>
    <w:rsid w:val="00A26691"/>
    <w:rsid w:val="00A269ED"/>
    <w:rsid w:val="00A26C28"/>
    <w:rsid w:val="00A2778E"/>
    <w:rsid w:val="00A278EA"/>
    <w:rsid w:val="00A3048B"/>
    <w:rsid w:val="00A30CD9"/>
    <w:rsid w:val="00A3170C"/>
    <w:rsid w:val="00A322CB"/>
    <w:rsid w:val="00A3282F"/>
    <w:rsid w:val="00A32BFF"/>
    <w:rsid w:val="00A33361"/>
    <w:rsid w:val="00A33719"/>
    <w:rsid w:val="00A34AFB"/>
    <w:rsid w:val="00A34C9E"/>
    <w:rsid w:val="00A35684"/>
    <w:rsid w:val="00A35838"/>
    <w:rsid w:val="00A35F6B"/>
    <w:rsid w:val="00A36905"/>
    <w:rsid w:val="00A36C62"/>
    <w:rsid w:val="00A36F3A"/>
    <w:rsid w:val="00A37324"/>
    <w:rsid w:val="00A3736C"/>
    <w:rsid w:val="00A3756B"/>
    <w:rsid w:val="00A379EB"/>
    <w:rsid w:val="00A37B3C"/>
    <w:rsid w:val="00A37B6F"/>
    <w:rsid w:val="00A4077C"/>
    <w:rsid w:val="00A40A8C"/>
    <w:rsid w:val="00A414C8"/>
    <w:rsid w:val="00A41DA2"/>
    <w:rsid w:val="00A41E4F"/>
    <w:rsid w:val="00A428DD"/>
    <w:rsid w:val="00A42FE7"/>
    <w:rsid w:val="00A449CE"/>
    <w:rsid w:val="00A45819"/>
    <w:rsid w:val="00A45C55"/>
    <w:rsid w:val="00A46339"/>
    <w:rsid w:val="00A46958"/>
    <w:rsid w:val="00A46FBF"/>
    <w:rsid w:val="00A4707E"/>
    <w:rsid w:val="00A473DF"/>
    <w:rsid w:val="00A500B4"/>
    <w:rsid w:val="00A50219"/>
    <w:rsid w:val="00A50B68"/>
    <w:rsid w:val="00A5208D"/>
    <w:rsid w:val="00A52745"/>
    <w:rsid w:val="00A52BF7"/>
    <w:rsid w:val="00A52F21"/>
    <w:rsid w:val="00A5396F"/>
    <w:rsid w:val="00A54100"/>
    <w:rsid w:val="00A54AE1"/>
    <w:rsid w:val="00A5506D"/>
    <w:rsid w:val="00A5665E"/>
    <w:rsid w:val="00A56AEA"/>
    <w:rsid w:val="00A56B67"/>
    <w:rsid w:val="00A57079"/>
    <w:rsid w:val="00A602EE"/>
    <w:rsid w:val="00A60C5D"/>
    <w:rsid w:val="00A60E2B"/>
    <w:rsid w:val="00A60F40"/>
    <w:rsid w:val="00A6157A"/>
    <w:rsid w:val="00A628FA"/>
    <w:rsid w:val="00A63102"/>
    <w:rsid w:val="00A637FA"/>
    <w:rsid w:val="00A640AE"/>
    <w:rsid w:val="00A644FC"/>
    <w:rsid w:val="00A64646"/>
    <w:rsid w:val="00A647F4"/>
    <w:rsid w:val="00A64976"/>
    <w:rsid w:val="00A64B1B"/>
    <w:rsid w:val="00A65BF9"/>
    <w:rsid w:val="00A66CE1"/>
    <w:rsid w:val="00A67C1C"/>
    <w:rsid w:val="00A67F9E"/>
    <w:rsid w:val="00A707AB"/>
    <w:rsid w:val="00A70D4E"/>
    <w:rsid w:val="00A71002"/>
    <w:rsid w:val="00A7261F"/>
    <w:rsid w:val="00A72717"/>
    <w:rsid w:val="00A72919"/>
    <w:rsid w:val="00A7348F"/>
    <w:rsid w:val="00A73898"/>
    <w:rsid w:val="00A7436E"/>
    <w:rsid w:val="00A7490F"/>
    <w:rsid w:val="00A75011"/>
    <w:rsid w:val="00A752F1"/>
    <w:rsid w:val="00A75773"/>
    <w:rsid w:val="00A75D02"/>
    <w:rsid w:val="00A75F33"/>
    <w:rsid w:val="00A771A5"/>
    <w:rsid w:val="00A77239"/>
    <w:rsid w:val="00A772B2"/>
    <w:rsid w:val="00A7759D"/>
    <w:rsid w:val="00A77642"/>
    <w:rsid w:val="00A77C5B"/>
    <w:rsid w:val="00A8039A"/>
    <w:rsid w:val="00A80924"/>
    <w:rsid w:val="00A80B37"/>
    <w:rsid w:val="00A81C41"/>
    <w:rsid w:val="00A8236D"/>
    <w:rsid w:val="00A83AB5"/>
    <w:rsid w:val="00A83D7A"/>
    <w:rsid w:val="00A857A5"/>
    <w:rsid w:val="00A85918"/>
    <w:rsid w:val="00A859D0"/>
    <w:rsid w:val="00A86A19"/>
    <w:rsid w:val="00A86D2F"/>
    <w:rsid w:val="00A87013"/>
    <w:rsid w:val="00A870A6"/>
    <w:rsid w:val="00A877B4"/>
    <w:rsid w:val="00A87800"/>
    <w:rsid w:val="00A9052F"/>
    <w:rsid w:val="00A9194D"/>
    <w:rsid w:val="00A91CF0"/>
    <w:rsid w:val="00A93504"/>
    <w:rsid w:val="00A93E91"/>
    <w:rsid w:val="00A941A9"/>
    <w:rsid w:val="00A94CCD"/>
    <w:rsid w:val="00A94FB6"/>
    <w:rsid w:val="00A95084"/>
    <w:rsid w:val="00A952C9"/>
    <w:rsid w:val="00A95548"/>
    <w:rsid w:val="00A956E7"/>
    <w:rsid w:val="00A959A4"/>
    <w:rsid w:val="00A95AE3"/>
    <w:rsid w:val="00A95B4F"/>
    <w:rsid w:val="00A95DCE"/>
    <w:rsid w:val="00A96ACC"/>
    <w:rsid w:val="00A96EC8"/>
    <w:rsid w:val="00A96FF6"/>
    <w:rsid w:val="00A973F3"/>
    <w:rsid w:val="00A97466"/>
    <w:rsid w:val="00A97504"/>
    <w:rsid w:val="00A97EE7"/>
    <w:rsid w:val="00AA0261"/>
    <w:rsid w:val="00AA04F9"/>
    <w:rsid w:val="00AA099C"/>
    <w:rsid w:val="00AA09C4"/>
    <w:rsid w:val="00AA0E4E"/>
    <w:rsid w:val="00AA18A7"/>
    <w:rsid w:val="00AA197B"/>
    <w:rsid w:val="00AA20E7"/>
    <w:rsid w:val="00AA2533"/>
    <w:rsid w:val="00AA28DF"/>
    <w:rsid w:val="00AA2B67"/>
    <w:rsid w:val="00AA34F9"/>
    <w:rsid w:val="00AA3707"/>
    <w:rsid w:val="00AA3C31"/>
    <w:rsid w:val="00AA3C3C"/>
    <w:rsid w:val="00AA3F92"/>
    <w:rsid w:val="00AA4143"/>
    <w:rsid w:val="00AA4E17"/>
    <w:rsid w:val="00AA4FD5"/>
    <w:rsid w:val="00AA633C"/>
    <w:rsid w:val="00AA6542"/>
    <w:rsid w:val="00AA6AA1"/>
    <w:rsid w:val="00AA72A1"/>
    <w:rsid w:val="00AB0849"/>
    <w:rsid w:val="00AB0B60"/>
    <w:rsid w:val="00AB0DFB"/>
    <w:rsid w:val="00AB0FF4"/>
    <w:rsid w:val="00AB0FFB"/>
    <w:rsid w:val="00AB10C6"/>
    <w:rsid w:val="00AB129E"/>
    <w:rsid w:val="00AB3083"/>
    <w:rsid w:val="00AB4161"/>
    <w:rsid w:val="00AB46AB"/>
    <w:rsid w:val="00AB49AD"/>
    <w:rsid w:val="00AB4BA0"/>
    <w:rsid w:val="00AB50E7"/>
    <w:rsid w:val="00AB5A6D"/>
    <w:rsid w:val="00AB5DF0"/>
    <w:rsid w:val="00AB60D9"/>
    <w:rsid w:val="00AB61E3"/>
    <w:rsid w:val="00AB7571"/>
    <w:rsid w:val="00AB7EA8"/>
    <w:rsid w:val="00AC07EB"/>
    <w:rsid w:val="00AC0ACE"/>
    <w:rsid w:val="00AC0D6A"/>
    <w:rsid w:val="00AC112F"/>
    <w:rsid w:val="00AC1417"/>
    <w:rsid w:val="00AC15F8"/>
    <w:rsid w:val="00AC1867"/>
    <w:rsid w:val="00AC2412"/>
    <w:rsid w:val="00AC334F"/>
    <w:rsid w:val="00AC34D2"/>
    <w:rsid w:val="00AC3932"/>
    <w:rsid w:val="00AC39BD"/>
    <w:rsid w:val="00AC3D08"/>
    <w:rsid w:val="00AC4259"/>
    <w:rsid w:val="00AC44B1"/>
    <w:rsid w:val="00AC4596"/>
    <w:rsid w:val="00AC4D22"/>
    <w:rsid w:val="00AC5728"/>
    <w:rsid w:val="00AC5806"/>
    <w:rsid w:val="00AC5B2E"/>
    <w:rsid w:val="00AC5CDD"/>
    <w:rsid w:val="00AC6B2D"/>
    <w:rsid w:val="00AC738F"/>
    <w:rsid w:val="00AC7770"/>
    <w:rsid w:val="00AC7CAF"/>
    <w:rsid w:val="00AC7DB5"/>
    <w:rsid w:val="00AC7DF4"/>
    <w:rsid w:val="00AD0109"/>
    <w:rsid w:val="00AD0BD6"/>
    <w:rsid w:val="00AD0D04"/>
    <w:rsid w:val="00AD2396"/>
    <w:rsid w:val="00AD330B"/>
    <w:rsid w:val="00AD3ED5"/>
    <w:rsid w:val="00AD4107"/>
    <w:rsid w:val="00AD4ADD"/>
    <w:rsid w:val="00AD6D5A"/>
    <w:rsid w:val="00AD7002"/>
    <w:rsid w:val="00AD7007"/>
    <w:rsid w:val="00AD7C22"/>
    <w:rsid w:val="00AD7C84"/>
    <w:rsid w:val="00AD7D39"/>
    <w:rsid w:val="00AD7F2B"/>
    <w:rsid w:val="00AE1893"/>
    <w:rsid w:val="00AE1FFB"/>
    <w:rsid w:val="00AE224A"/>
    <w:rsid w:val="00AE26FF"/>
    <w:rsid w:val="00AE378A"/>
    <w:rsid w:val="00AE4708"/>
    <w:rsid w:val="00AE4B12"/>
    <w:rsid w:val="00AE5596"/>
    <w:rsid w:val="00AE55B5"/>
    <w:rsid w:val="00AE5B52"/>
    <w:rsid w:val="00AE6249"/>
    <w:rsid w:val="00AE7A36"/>
    <w:rsid w:val="00AF004C"/>
    <w:rsid w:val="00AF022B"/>
    <w:rsid w:val="00AF050E"/>
    <w:rsid w:val="00AF0AB0"/>
    <w:rsid w:val="00AF0C4B"/>
    <w:rsid w:val="00AF12FA"/>
    <w:rsid w:val="00AF1BA7"/>
    <w:rsid w:val="00AF2925"/>
    <w:rsid w:val="00AF2BE9"/>
    <w:rsid w:val="00AF3204"/>
    <w:rsid w:val="00AF379A"/>
    <w:rsid w:val="00AF3A64"/>
    <w:rsid w:val="00AF3C62"/>
    <w:rsid w:val="00AF3FC2"/>
    <w:rsid w:val="00AF4A6C"/>
    <w:rsid w:val="00AF4B43"/>
    <w:rsid w:val="00AF5183"/>
    <w:rsid w:val="00AF5440"/>
    <w:rsid w:val="00AF6D72"/>
    <w:rsid w:val="00AF74A2"/>
    <w:rsid w:val="00AF750E"/>
    <w:rsid w:val="00AF751F"/>
    <w:rsid w:val="00AF758E"/>
    <w:rsid w:val="00AF7599"/>
    <w:rsid w:val="00AF7B55"/>
    <w:rsid w:val="00B003C8"/>
    <w:rsid w:val="00B0051F"/>
    <w:rsid w:val="00B007A2"/>
    <w:rsid w:val="00B00AEC"/>
    <w:rsid w:val="00B01CAE"/>
    <w:rsid w:val="00B01E55"/>
    <w:rsid w:val="00B022F8"/>
    <w:rsid w:val="00B027D7"/>
    <w:rsid w:val="00B02E65"/>
    <w:rsid w:val="00B03460"/>
    <w:rsid w:val="00B0347B"/>
    <w:rsid w:val="00B035D1"/>
    <w:rsid w:val="00B0383A"/>
    <w:rsid w:val="00B03BEC"/>
    <w:rsid w:val="00B03EA6"/>
    <w:rsid w:val="00B03FEA"/>
    <w:rsid w:val="00B048D5"/>
    <w:rsid w:val="00B057B3"/>
    <w:rsid w:val="00B05F4F"/>
    <w:rsid w:val="00B06707"/>
    <w:rsid w:val="00B068C9"/>
    <w:rsid w:val="00B07170"/>
    <w:rsid w:val="00B078B1"/>
    <w:rsid w:val="00B1117E"/>
    <w:rsid w:val="00B1171E"/>
    <w:rsid w:val="00B12570"/>
    <w:rsid w:val="00B12B25"/>
    <w:rsid w:val="00B131BF"/>
    <w:rsid w:val="00B13568"/>
    <w:rsid w:val="00B143AD"/>
    <w:rsid w:val="00B144F7"/>
    <w:rsid w:val="00B14B4C"/>
    <w:rsid w:val="00B14B51"/>
    <w:rsid w:val="00B15087"/>
    <w:rsid w:val="00B15320"/>
    <w:rsid w:val="00B1578F"/>
    <w:rsid w:val="00B15DF8"/>
    <w:rsid w:val="00B15EA8"/>
    <w:rsid w:val="00B160BC"/>
    <w:rsid w:val="00B169CD"/>
    <w:rsid w:val="00B16BE9"/>
    <w:rsid w:val="00B171F6"/>
    <w:rsid w:val="00B17FF9"/>
    <w:rsid w:val="00B209EE"/>
    <w:rsid w:val="00B21492"/>
    <w:rsid w:val="00B223ED"/>
    <w:rsid w:val="00B237C8"/>
    <w:rsid w:val="00B246DA"/>
    <w:rsid w:val="00B25776"/>
    <w:rsid w:val="00B27066"/>
    <w:rsid w:val="00B2722B"/>
    <w:rsid w:val="00B2755C"/>
    <w:rsid w:val="00B27974"/>
    <w:rsid w:val="00B279AF"/>
    <w:rsid w:val="00B3079B"/>
    <w:rsid w:val="00B30899"/>
    <w:rsid w:val="00B30F37"/>
    <w:rsid w:val="00B31304"/>
    <w:rsid w:val="00B3239A"/>
    <w:rsid w:val="00B327E0"/>
    <w:rsid w:val="00B32C03"/>
    <w:rsid w:val="00B33394"/>
    <w:rsid w:val="00B339DE"/>
    <w:rsid w:val="00B33BF7"/>
    <w:rsid w:val="00B33CC7"/>
    <w:rsid w:val="00B34FDB"/>
    <w:rsid w:val="00B351C5"/>
    <w:rsid w:val="00B35632"/>
    <w:rsid w:val="00B35C4A"/>
    <w:rsid w:val="00B35CB1"/>
    <w:rsid w:val="00B35F48"/>
    <w:rsid w:val="00B360DC"/>
    <w:rsid w:val="00B36609"/>
    <w:rsid w:val="00B370E8"/>
    <w:rsid w:val="00B37CEC"/>
    <w:rsid w:val="00B402EB"/>
    <w:rsid w:val="00B406C8"/>
    <w:rsid w:val="00B40BB1"/>
    <w:rsid w:val="00B41084"/>
    <w:rsid w:val="00B41352"/>
    <w:rsid w:val="00B4161E"/>
    <w:rsid w:val="00B41E33"/>
    <w:rsid w:val="00B41F11"/>
    <w:rsid w:val="00B4276F"/>
    <w:rsid w:val="00B42AE8"/>
    <w:rsid w:val="00B438FA"/>
    <w:rsid w:val="00B43E0A"/>
    <w:rsid w:val="00B44033"/>
    <w:rsid w:val="00B442CE"/>
    <w:rsid w:val="00B45498"/>
    <w:rsid w:val="00B45F00"/>
    <w:rsid w:val="00B4665B"/>
    <w:rsid w:val="00B468C8"/>
    <w:rsid w:val="00B472B4"/>
    <w:rsid w:val="00B4738C"/>
    <w:rsid w:val="00B500E7"/>
    <w:rsid w:val="00B5079B"/>
    <w:rsid w:val="00B507A7"/>
    <w:rsid w:val="00B5096E"/>
    <w:rsid w:val="00B5098D"/>
    <w:rsid w:val="00B5152A"/>
    <w:rsid w:val="00B51F7E"/>
    <w:rsid w:val="00B5318E"/>
    <w:rsid w:val="00B53D75"/>
    <w:rsid w:val="00B54F45"/>
    <w:rsid w:val="00B55890"/>
    <w:rsid w:val="00B56AA2"/>
    <w:rsid w:val="00B56CEA"/>
    <w:rsid w:val="00B57013"/>
    <w:rsid w:val="00B6192D"/>
    <w:rsid w:val="00B62493"/>
    <w:rsid w:val="00B630BC"/>
    <w:rsid w:val="00B6380A"/>
    <w:rsid w:val="00B638AB"/>
    <w:rsid w:val="00B63BBF"/>
    <w:rsid w:val="00B63DFD"/>
    <w:rsid w:val="00B63E5D"/>
    <w:rsid w:val="00B647D9"/>
    <w:rsid w:val="00B64CF6"/>
    <w:rsid w:val="00B65AA7"/>
    <w:rsid w:val="00B65B6A"/>
    <w:rsid w:val="00B65BDC"/>
    <w:rsid w:val="00B660AB"/>
    <w:rsid w:val="00B671A7"/>
    <w:rsid w:val="00B671FC"/>
    <w:rsid w:val="00B6741C"/>
    <w:rsid w:val="00B67C67"/>
    <w:rsid w:val="00B67E6D"/>
    <w:rsid w:val="00B7018D"/>
    <w:rsid w:val="00B70C6C"/>
    <w:rsid w:val="00B71402"/>
    <w:rsid w:val="00B7140B"/>
    <w:rsid w:val="00B718E0"/>
    <w:rsid w:val="00B7190B"/>
    <w:rsid w:val="00B71C3A"/>
    <w:rsid w:val="00B71EB5"/>
    <w:rsid w:val="00B7238F"/>
    <w:rsid w:val="00B727A4"/>
    <w:rsid w:val="00B72D4A"/>
    <w:rsid w:val="00B733E5"/>
    <w:rsid w:val="00B73817"/>
    <w:rsid w:val="00B7485A"/>
    <w:rsid w:val="00B7495C"/>
    <w:rsid w:val="00B74CBD"/>
    <w:rsid w:val="00B754DD"/>
    <w:rsid w:val="00B7593C"/>
    <w:rsid w:val="00B75F66"/>
    <w:rsid w:val="00B76C7C"/>
    <w:rsid w:val="00B776CC"/>
    <w:rsid w:val="00B77ECB"/>
    <w:rsid w:val="00B8061C"/>
    <w:rsid w:val="00B807C5"/>
    <w:rsid w:val="00B819C1"/>
    <w:rsid w:val="00B82E1F"/>
    <w:rsid w:val="00B83057"/>
    <w:rsid w:val="00B839E3"/>
    <w:rsid w:val="00B8437D"/>
    <w:rsid w:val="00B844B8"/>
    <w:rsid w:val="00B84ED8"/>
    <w:rsid w:val="00B85259"/>
    <w:rsid w:val="00B85592"/>
    <w:rsid w:val="00B85827"/>
    <w:rsid w:val="00B85D2E"/>
    <w:rsid w:val="00B85E6B"/>
    <w:rsid w:val="00B8607C"/>
    <w:rsid w:val="00B9024A"/>
    <w:rsid w:val="00B90A56"/>
    <w:rsid w:val="00B922BC"/>
    <w:rsid w:val="00B9236E"/>
    <w:rsid w:val="00B9251A"/>
    <w:rsid w:val="00B92712"/>
    <w:rsid w:val="00B92BDD"/>
    <w:rsid w:val="00B92D9A"/>
    <w:rsid w:val="00B931B2"/>
    <w:rsid w:val="00B936B2"/>
    <w:rsid w:val="00B93BAE"/>
    <w:rsid w:val="00B93CEB"/>
    <w:rsid w:val="00B94144"/>
    <w:rsid w:val="00B9426B"/>
    <w:rsid w:val="00B94677"/>
    <w:rsid w:val="00B94944"/>
    <w:rsid w:val="00B950BD"/>
    <w:rsid w:val="00B95554"/>
    <w:rsid w:val="00B95A07"/>
    <w:rsid w:val="00B964BE"/>
    <w:rsid w:val="00B96841"/>
    <w:rsid w:val="00B97465"/>
    <w:rsid w:val="00B9754B"/>
    <w:rsid w:val="00B97C4B"/>
    <w:rsid w:val="00B97D51"/>
    <w:rsid w:val="00BA001C"/>
    <w:rsid w:val="00BA0414"/>
    <w:rsid w:val="00BA0F46"/>
    <w:rsid w:val="00BA10E7"/>
    <w:rsid w:val="00BA1342"/>
    <w:rsid w:val="00BA157C"/>
    <w:rsid w:val="00BA1A35"/>
    <w:rsid w:val="00BA20EC"/>
    <w:rsid w:val="00BA273E"/>
    <w:rsid w:val="00BA2B34"/>
    <w:rsid w:val="00BA2B93"/>
    <w:rsid w:val="00BA33D4"/>
    <w:rsid w:val="00BA40F3"/>
    <w:rsid w:val="00BA429B"/>
    <w:rsid w:val="00BA4A08"/>
    <w:rsid w:val="00BA61B4"/>
    <w:rsid w:val="00BA6374"/>
    <w:rsid w:val="00BA6850"/>
    <w:rsid w:val="00BA6990"/>
    <w:rsid w:val="00BA6E7E"/>
    <w:rsid w:val="00BA71D5"/>
    <w:rsid w:val="00BA7A07"/>
    <w:rsid w:val="00BA7F5E"/>
    <w:rsid w:val="00BB0827"/>
    <w:rsid w:val="00BB174F"/>
    <w:rsid w:val="00BB1A96"/>
    <w:rsid w:val="00BB1D4B"/>
    <w:rsid w:val="00BB20C2"/>
    <w:rsid w:val="00BB21E7"/>
    <w:rsid w:val="00BB2B8B"/>
    <w:rsid w:val="00BB36DA"/>
    <w:rsid w:val="00BB39A6"/>
    <w:rsid w:val="00BB4028"/>
    <w:rsid w:val="00BB4B3B"/>
    <w:rsid w:val="00BB522A"/>
    <w:rsid w:val="00BB5BEC"/>
    <w:rsid w:val="00BB6720"/>
    <w:rsid w:val="00BB6844"/>
    <w:rsid w:val="00BB7053"/>
    <w:rsid w:val="00BB7137"/>
    <w:rsid w:val="00BB725E"/>
    <w:rsid w:val="00BB7329"/>
    <w:rsid w:val="00BB74C7"/>
    <w:rsid w:val="00BB76D4"/>
    <w:rsid w:val="00BB77D1"/>
    <w:rsid w:val="00BB7D14"/>
    <w:rsid w:val="00BB7DA9"/>
    <w:rsid w:val="00BB7ECE"/>
    <w:rsid w:val="00BC00C1"/>
    <w:rsid w:val="00BC0C34"/>
    <w:rsid w:val="00BC13B9"/>
    <w:rsid w:val="00BC18A7"/>
    <w:rsid w:val="00BC2383"/>
    <w:rsid w:val="00BC47BC"/>
    <w:rsid w:val="00BC4BCC"/>
    <w:rsid w:val="00BC6074"/>
    <w:rsid w:val="00BC60EA"/>
    <w:rsid w:val="00BC6C74"/>
    <w:rsid w:val="00BC6C9B"/>
    <w:rsid w:val="00BC6D95"/>
    <w:rsid w:val="00BC7A40"/>
    <w:rsid w:val="00BD0976"/>
    <w:rsid w:val="00BD0A52"/>
    <w:rsid w:val="00BD0DA4"/>
    <w:rsid w:val="00BD1756"/>
    <w:rsid w:val="00BD17EB"/>
    <w:rsid w:val="00BD1851"/>
    <w:rsid w:val="00BD1935"/>
    <w:rsid w:val="00BD1BB5"/>
    <w:rsid w:val="00BD23A2"/>
    <w:rsid w:val="00BD4356"/>
    <w:rsid w:val="00BD47DE"/>
    <w:rsid w:val="00BD4838"/>
    <w:rsid w:val="00BD4892"/>
    <w:rsid w:val="00BD489D"/>
    <w:rsid w:val="00BD4B1F"/>
    <w:rsid w:val="00BD4E31"/>
    <w:rsid w:val="00BD5488"/>
    <w:rsid w:val="00BD55A4"/>
    <w:rsid w:val="00BD5E93"/>
    <w:rsid w:val="00BD6244"/>
    <w:rsid w:val="00BD6285"/>
    <w:rsid w:val="00BD6A61"/>
    <w:rsid w:val="00BD6CCF"/>
    <w:rsid w:val="00BE051E"/>
    <w:rsid w:val="00BE08D3"/>
    <w:rsid w:val="00BE0DA1"/>
    <w:rsid w:val="00BE0E9F"/>
    <w:rsid w:val="00BE1738"/>
    <w:rsid w:val="00BE17E5"/>
    <w:rsid w:val="00BE1F4E"/>
    <w:rsid w:val="00BE272F"/>
    <w:rsid w:val="00BE2766"/>
    <w:rsid w:val="00BE28C6"/>
    <w:rsid w:val="00BE4A12"/>
    <w:rsid w:val="00BE4CFF"/>
    <w:rsid w:val="00BE5004"/>
    <w:rsid w:val="00BE52B3"/>
    <w:rsid w:val="00BE5F9D"/>
    <w:rsid w:val="00BE6F64"/>
    <w:rsid w:val="00BE73C9"/>
    <w:rsid w:val="00BF035D"/>
    <w:rsid w:val="00BF0440"/>
    <w:rsid w:val="00BF07E8"/>
    <w:rsid w:val="00BF0C6B"/>
    <w:rsid w:val="00BF0C81"/>
    <w:rsid w:val="00BF0DAB"/>
    <w:rsid w:val="00BF0F90"/>
    <w:rsid w:val="00BF299D"/>
    <w:rsid w:val="00BF29E2"/>
    <w:rsid w:val="00BF36E0"/>
    <w:rsid w:val="00BF3B13"/>
    <w:rsid w:val="00BF4251"/>
    <w:rsid w:val="00BF433E"/>
    <w:rsid w:val="00BF51C0"/>
    <w:rsid w:val="00BF536A"/>
    <w:rsid w:val="00BF59BC"/>
    <w:rsid w:val="00BF5BC2"/>
    <w:rsid w:val="00BF5F53"/>
    <w:rsid w:val="00BF634C"/>
    <w:rsid w:val="00BF6772"/>
    <w:rsid w:val="00BF6997"/>
    <w:rsid w:val="00BF6E9E"/>
    <w:rsid w:val="00BF726F"/>
    <w:rsid w:val="00BF749F"/>
    <w:rsid w:val="00BF7606"/>
    <w:rsid w:val="00BF7B4C"/>
    <w:rsid w:val="00C0030F"/>
    <w:rsid w:val="00C004D6"/>
    <w:rsid w:val="00C0057C"/>
    <w:rsid w:val="00C006CE"/>
    <w:rsid w:val="00C00B71"/>
    <w:rsid w:val="00C01049"/>
    <w:rsid w:val="00C014E4"/>
    <w:rsid w:val="00C01538"/>
    <w:rsid w:val="00C01BE5"/>
    <w:rsid w:val="00C01F55"/>
    <w:rsid w:val="00C01FE3"/>
    <w:rsid w:val="00C02436"/>
    <w:rsid w:val="00C02608"/>
    <w:rsid w:val="00C02639"/>
    <w:rsid w:val="00C02855"/>
    <w:rsid w:val="00C03629"/>
    <w:rsid w:val="00C03A4A"/>
    <w:rsid w:val="00C03B01"/>
    <w:rsid w:val="00C04075"/>
    <w:rsid w:val="00C04489"/>
    <w:rsid w:val="00C04B9F"/>
    <w:rsid w:val="00C05510"/>
    <w:rsid w:val="00C05582"/>
    <w:rsid w:val="00C05A88"/>
    <w:rsid w:val="00C0657A"/>
    <w:rsid w:val="00C06665"/>
    <w:rsid w:val="00C0679B"/>
    <w:rsid w:val="00C074F1"/>
    <w:rsid w:val="00C07715"/>
    <w:rsid w:val="00C07986"/>
    <w:rsid w:val="00C107F1"/>
    <w:rsid w:val="00C11DE4"/>
    <w:rsid w:val="00C12C40"/>
    <w:rsid w:val="00C12DE0"/>
    <w:rsid w:val="00C130DC"/>
    <w:rsid w:val="00C13157"/>
    <w:rsid w:val="00C132CC"/>
    <w:rsid w:val="00C132DE"/>
    <w:rsid w:val="00C1340A"/>
    <w:rsid w:val="00C13B15"/>
    <w:rsid w:val="00C13CB8"/>
    <w:rsid w:val="00C14926"/>
    <w:rsid w:val="00C14C19"/>
    <w:rsid w:val="00C14D2E"/>
    <w:rsid w:val="00C156EF"/>
    <w:rsid w:val="00C15718"/>
    <w:rsid w:val="00C15752"/>
    <w:rsid w:val="00C159BE"/>
    <w:rsid w:val="00C160E1"/>
    <w:rsid w:val="00C166AE"/>
    <w:rsid w:val="00C16899"/>
    <w:rsid w:val="00C1695F"/>
    <w:rsid w:val="00C16A35"/>
    <w:rsid w:val="00C16E3A"/>
    <w:rsid w:val="00C172CD"/>
    <w:rsid w:val="00C17855"/>
    <w:rsid w:val="00C1796B"/>
    <w:rsid w:val="00C2002F"/>
    <w:rsid w:val="00C2018D"/>
    <w:rsid w:val="00C20336"/>
    <w:rsid w:val="00C20965"/>
    <w:rsid w:val="00C210D1"/>
    <w:rsid w:val="00C212D0"/>
    <w:rsid w:val="00C21FB6"/>
    <w:rsid w:val="00C22291"/>
    <w:rsid w:val="00C22D02"/>
    <w:rsid w:val="00C22E30"/>
    <w:rsid w:val="00C23184"/>
    <w:rsid w:val="00C231DE"/>
    <w:rsid w:val="00C234CE"/>
    <w:rsid w:val="00C23A97"/>
    <w:rsid w:val="00C245BF"/>
    <w:rsid w:val="00C24CD6"/>
    <w:rsid w:val="00C26892"/>
    <w:rsid w:val="00C26CB1"/>
    <w:rsid w:val="00C271FD"/>
    <w:rsid w:val="00C2751F"/>
    <w:rsid w:val="00C2778F"/>
    <w:rsid w:val="00C277E2"/>
    <w:rsid w:val="00C302DE"/>
    <w:rsid w:val="00C30899"/>
    <w:rsid w:val="00C310A7"/>
    <w:rsid w:val="00C317B0"/>
    <w:rsid w:val="00C31821"/>
    <w:rsid w:val="00C31BF9"/>
    <w:rsid w:val="00C32364"/>
    <w:rsid w:val="00C32A01"/>
    <w:rsid w:val="00C32C07"/>
    <w:rsid w:val="00C33132"/>
    <w:rsid w:val="00C331DA"/>
    <w:rsid w:val="00C3322A"/>
    <w:rsid w:val="00C33362"/>
    <w:rsid w:val="00C33752"/>
    <w:rsid w:val="00C341C2"/>
    <w:rsid w:val="00C34CC0"/>
    <w:rsid w:val="00C35359"/>
    <w:rsid w:val="00C3595F"/>
    <w:rsid w:val="00C35D38"/>
    <w:rsid w:val="00C35E3B"/>
    <w:rsid w:val="00C366FC"/>
    <w:rsid w:val="00C36755"/>
    <w:rsid w:val="00C36889"/>
    <w:rsid w:val="00C36D3F"/>
    <w:rsid w:val="00C404F6"/>
    <w:rsid w:val="00C40653"/>
    <w:rsid w:val="00C40742"/>
    <w:rsid w:val="00C40841"/>
    <w:rsid w:val="00C40956"/>
    <w:rsid w:val="00C409E7"/>
    <w:rsid w:val="00C40DD4"/>
    <w:rsid w:val="00C417B7"/>
    <w:rsid w:val="00C4180E"/>
    <w:rsid w:val="00C424ED"/>
    <w:rsid w:val="00C42DC4"/>
    <w:rsid w:val="00C42E11"/>
    <w:rsid w:val="00C439E8"/>
    <w:rsid w:val="00C43B6A"/>
    <w:rsid w:val="00C43C6E"/>
    <w:rsid w:val="00C4486B"/>
    <w:rsid w:val="00C44ADE"/>
    <w:rsid w:val="00C44AE0"/>
    <w:rsid w:val="00C451F0"/>
    <w:rsid w:val="00C452A0"/>
    <w:rsid w:val="00C45B56"/>
    <w:rsid w:val="00C46423"/>
    <w:rsid w:val="00C46F6A"/>
    <w:rsid w:val="00C47251"/>
    <w:rsid w:val="00C47AB0"/>
    <w:rsid w:val="00C47BC0"/>
    <w:rsid w:val="00C5131D"/>
    <w:rsid w:val="00C51914"/>
    <w:rsid w:val="00C51F0F"/>
    <w:rsid w:val="00C51F38"/>
    <w:rsid w:val="00C520E8"/>
    <w:rsid w:val="00C52804"/>
    <w:rsid w:val="00C52A59"/>
    <w:rsid w:val="00C52E1A"/>
    <w:rsid w:val="00C538CA"/>
    <w:rsid w:val="00C53B82"/>
    <w:rsid w:val="00C546B6"/>
    <w:rsid w:val="00C55985"/>
    <w:rsid w:val="00C56885"/>
    <w:rsid w:val="00C56B0C"/>
    <w:rsid w:val="00C56DED"/>
    <w:rsid w:val="00C57B17"/>
    <w:rsid w:val="00C60D60"/>
    <w:rsid w:val="00C60EDD"/>
    <w:rsid w:val="00C610CC"/>
    <w:rsid w:val="00C6174B"/>
    <w:rsid w:val="00C617AE"/>
    <w:rsid w:val="00C61E7D"/>
    <w:rsid w:val="00C62B22"/>
    <w:rsid w:val="00C633EB"/>
    <w:rsid w:val="00C63FBD"/>
    <w:rsid w:val="00C64E66"/>
    <w:rsid w:val="00C656D0"/>
    <w:rsid w:val="00C65D93"/>
    <w:rsid w:val="00C6684D"/>
    <w:rsid w:val="00C66B9F"/>
    <w:rsid w:val="00C66C5F"/>
    <w:rsid w:val="00C673C2"/>
    <w:rsid w:val="00C67835"/>
    <w:rsid w:val="00C67C92"/>
    <w:rsid w:val="00C7194B"/>
    <w:rsid w:val="00C71B0C"/>
    <w:rsid w:val="00C71B56"/>
    <w:rsid w:val="00C721BF"/>
    <w:rsid w:val="00C727F6"/>
    <w:rsid w:val="00C72EA3"/>
    <w:rsid w:val="00C7349C"/>
    <w:rsid w:val="00C73645"/>
    <w:rsid w:val="00C73754"/>
    <w:rsid w:val="00C73D75"/>
    <w:rsid w:val="00C746E4"/>
    <w:rsid w:val="00C74B55"/>
    <w:rsid w:val="00C75699"/>
    <w:rsid w:val="00C7651B"/>
    <w:rsid w:val="00C76B39"/>
    <w:rsid w:val="00C771B9"/>
    <w:rsid w:val="00C777AA"/>
    <w:rsid w:val="00C779B6"/>
    <w:rsid w:val="00C801D9"/>
    <w:rsid w:val="00C80B0F"/>
    <w:rsid w:val="00C811A3"/>
    <w:rsid w:val="00C81244"/>
    <w:rsid w:val="00C81454"/>
    <w:rsid w:val="00C814EE"/>
    <w:rsid w:val="00C817FB"/>
    <w:rsid w:val="00C81AD9"/>
    <w:rsid w:val="00C81DB5"/>
    <w:rsid w:val="00C824F8"/>
    <w:rsid w:val="00C82699"/>
    <w:rsid w:val="00C83265"/>
    <w:rsid w:val="00C83821"/>
    <w:rsid w:val="00C83FD1"/>
    <w:rsid w:val="00C84584"/>
    <w:rsid w:val="00C8482D"/>
    <w:rsid w:val="00C84949"/>
    <w:rsid w:val="00C84A5E"/>
    <w:rsid w:val="00C853A1"/>
    <w:rsid w:val="00C853FE"/>
    <w:rsid w:val="00C854EE"/>
    <w:rsid w:val="00C857DF"/>
    <w:rsid w:val="00C85F67"/>
    <w:rsid w:val="00C863D5"/>
    <w:rsid w:val="00C8645C"/>
    <w:rsid w:val="00C86DF1"/>
    <w:rsid w:val="00C86E71"/>
    <w:rsid w:val="00C8761C"/>
    <w:rsid w:val="00C87CA3"/>
    <w:rsid w:val="00C87D77"/>
    <w:rsid w:val="00C90644"/>
    <w:rsid w:val="00C907BA"/>
    <w:rsid w:val="00C90E95"/>
    <w:rsid w:val="00C910FE"/>
    <w:rsid w:val="00C91418"/>
    <w:rsid w:val="00C91659"/>
    <w:rsid w:val="00C919FB"/>
    <w:rsid w:val="00C936AD"/>
    <w:rsid w:val="00C937C0"/>
    <w:rsid w:val="00C94485"/>
    <w:rsid w:val="00C94EEE"/>
    <w:rsid w:val="00C9525D"/>
    <w:rsid w:val="00C952E0"/>
    <w:rsid w:val="00C95394"/>
    <w:rsid w:val="00C95F58"/>
    <w:rsid w:val="00C96B06"/>
    <w:rsid w:val="00C97371"/>
    <w:rsid w:val="00C975CE"/>
    <w:rsid w:val="00C97ED8"/>
    <w:rsid w:val="00CA063F"/>
    <w:rsid w:val="00CA0747"/>
    <w:rsid w:val="00CA113C"/>
    <w:rsid w:val="00CA1396"/>
    <w:rsid w:val="00CA1E22"/>
    <w:rsid w:val="00CA1E8D"/>
    <w:rsid w:val="00CA221F"/>
    <w:rsid w:val="00CA2D2A"/>
    <w:rsid w:val="00CA30C9"/>
    <w:rsid w:val="00CA3561"/>
    <w:rsid w:val="00CA4F9F"/>
    <w:rsid w:val="00CA50F5"/>
    <w:rsid w:val="00CA519E"/>
    <w:rsid w:val="00CA587F"/>
    <w:rsid w:val="00CA5B95"/>
    <w:rsid w:val="00CA5C04"/>
    <w:rsid w:val="00CA6819"/>
    <w:rsid w:val="00CA72AE"/>
    <w:rsid w:val="00CA744D"/>
    <w:rsid w:val="00CA7B4E"/>
    <w:rsid w:val="00CA7D90"/>
    <w:rsid w:val="00CB0944"/>
    <w:rsid w:val="00CB0B53"/>
    <w:rsid w:val="00CB100C"/>
    <w:rsid w:val="00CB1690"/>
    <w:rsid w:val="00CB2851"/>
    <w:rsid w:val="00CB2BAC"/>
    <w:rsid w:val="00CB304D"/>
    <w:rsid w:val="00CB39F5"/>
    <w:rsid w:val="00CB3E98"/>
    <w:rsid w:val="00CB3EC2"/>
    <w:rsid w:val="00CB4645"/>
    <w:rsid w:val="00CB4ED4"/>
    <w:rsid w:val="00CB4EE1"/>
    <w:rsid w:val="00CB51BB"/>
    <w:rsid w:val="00CB530B"/>
    <w:rsid w:val="00CB541E"/>
    <w:rsid w:val="00CB5A34"/>
    <w:rsid w:val="00CB5F84"/>
    <w:rsid w:val="00CB6633"/>
    <w:rsid w:val="00CB6E32"/>
    <w:rsid w:val="00CB7A50"/>
    <w:rsid w:val="00CB7B14"/>
    <w:rsid w:val="00CC0706"/>
    <w:rsid w:val="00CC07F8"/>
    <w:rsid w:val="00CC09DC"/>
    <w:rsid w:val="00CC0B2A"/>
    <w:rsid w:val="00CC0E75"/>
    <w:rsid w:val="00CC1AFE"/>
    <w:rsid w:val="00CC207A"/>
    <w:rsid w:val="00CC21FD"/>
    <w:rsid w:val="00CC2710"/>
    <w:rsid w:val="00CC272D"/>
    <w:rsid w:val="00CC2ADF"/>
    <w:rsid w:val="00CC4E20"/>
    <w:rsid w:val="00CC583A"/>
    <w:rsid w:val="00CC594A"/>
    <w:rsid w:val="00CC62DF"/>
    <w:rsid w:val="00CC68CE"/>
    <w:rsid w:val="00CC75E7"/>
    <w:rsid w:val="00CD03AB"/>
    <w:rsid w:val="00CD0A37"/>
    <w:rsid w:val="00CD2009"/>
    <w:rsid w:val="00CD2142"/>
    <w:rsid w:val="00CD26E7"/>
    <w:rsid w:val="00CD2841"/>
    <w:rsid w:val="00CD2FE1"/>
    <w:rsid w:val="00CD41AB"/>
    <w:rsid w:val="00CD4AE2"/>
    <w:rsid w:val="00CD5914"/>
    <w:rsid w:val="00CD5C63"/>
    <w:rsid w:val="00CD5CFD"/>
    <w:rsid w:val="00CD609F"/>
    <w:rsid w:val="00CD6334"/>
    <w:rsid w:val="00CD6F48"/>
    <w:rsid w:val="00CD739C"/>
    <w:rsid w:val="00CD75D0"/>
    <w:rsid w:val="00CD7785"/>
    <w:rsid w:val="00CE0036"/>
    <w:rsid w:val="00CE0195"/>
    <w:rsid w:val="00CE0DC1"/>
    <w:rsid w:val="00CE1601"/>
    <w:rsid w:val="00CE1D2B"/>
    <w:rsid w:val="00CE2317"/>
    <w:rsid w:val="00CE25BF"/>
    <w:rsid w:val="00CE3276"/>
    <w:rsid w:val="00CE360E"/>
    <w:rsid w:val="00CE3980"/>
    <w:rsid w:val="00CE3CCA"/>
    <w:rsid w:val="00CE4009"/>
    <w:rsid w:val="00CE43ED"/>
    <w:rsid w:val="00CE4424"/>
    <w:rsid w:val="00CE44E0"/>
    <w:rsid w:val="00CE4D3D"/>
    <w:rsid w:val="00CE5746"/>
    <w:rsid w:val="00CE5E3A"/>
    <w:rsid w:val="00CE5E4F"/>
    <w:rsid w:val="00CE649D"/>
    <w:rsid w:val="00CE668D"/>
    <w:rsid w:val="00CE748B"/>
    <w:rsid w:val="00CE7A77"/>
    <w:rsid w:val="00CF0464"/>
    <w:rsid w:val="00CF05CF"/>
    <w:rsid w:val="00CF14A6"/>
    <w:rsid w:val="00CF1835"/>
    <w:rsid w:val="00CF18F9"/>
    <w:rsid w:val="00CF2F57"/>
    <w:rsid w:val="00CF31E5"/>
    <w:rsid w:val="00CF32E5"/>
    <w:rsid w:val="00CF35ED"/>
    <w:rsid w:val="00CF3DC3"/>
    <w:rsid w:val="00CF3DC6"/>
    <w:rsid w:val="00CF3F86"/>
    <w:rsid w:val="00CF4288"/>
    <w:rsid w:val="00CF46DA"/>
    <w:rsid w:val="00CF48DC"/>
    <w:rsid w:val="00CF5141"/>
    <w:rsid w:val="00CF5191"/>
    <w:rsid w:val="00CF6602"/>
    <w:rsid w:val="00CF6C7E"/>
    <w:rsid w:val="00CF6E17"/>
    <w:rsid w:val="00CF6F2F"/>
    <w:rsid w:val="00CF72B0"/>
    <w:rsid w:val="00CF7492"/>
    <w:rsid w:val="00D000E9"/>
    <w:rsid w:val="00D00521"/>
    <w:rsid w:val="00D010F5"/>
    <w:rsid w:val="00D0179F"/>
    <w:rsid w:val="00D01870"/>
    <w:rsid w:val="00D01DFA"/>
    <w:rsid w:val="00D01E14"/>
    <w:rsid w:val="00D02265"/>
    <w:rsid w:val="00D029FF"/>
    <w:rsid w:val="00D02C5A"/>
    <w:rsid w:val="00D0424A"/>
    <w:rsid w:val="00D04F88"/>
    <w:rsid w:val="00D0512F"/>
    <w:rsid w:val="00D05209"/>
    <w:rsid w:val="00D05A27"/>
    <w:rsid w:val="00D05CF9"/>
    <w:rsid w:val="00D05DC3"/>
    <w:rsid w:val="00D05E4C"/>
    <w:rsid w:val="00D06D43"/>
    <w:rsid w:val="00D100CD"/>
    <w:rsid w:val="00D10294"/>
    <w:rsid w:val="00D10374"/>
    <w:rsid w:val="00D104F0"/>
    <w:rsid w:val="00D10667"/>
    <w:rsid w:val="00D10C0B"/>
    <w:rsid w:val="00D113F2"/>
    <w:rsid w:val="00D1177A"/>
    <w:rsid w:val="00D118FD"/>
    <w:rsid w:val="00D123A9"/>
    <w:rsid w:val="00D129A7"/>
    <w:rsid w:val="00D12A57"/>
    <w:rsid w:val="00D12E29"/>
    <w:rsid w:val="00D148CE"/>
    <w:rsid w:val="00D14FC9"/>
    <w:rsid w:val="00D1552C"/>
    <w:rsid w:val="00D16053"/>
    <w:rsid w:val="00D1607C"/>
    <w:rsid w:val="00D16408"/>
    <w:rsid w:val="00D16A1D"/>
    <w:rsid w:val="00D16D62"/>
    <w:rsid w:val="00D16EAD"/>
    <w:rsid w:val="00D17E40"/>
    <w:rsid w:val="00D201FC"/>
    <w:rsid w:val="00D20529"/>
    <w:rsid w:val="00D2056F"/>
    <w:rsid w:val="00D207EA"/>
    <w:rsid w:val="00D20A79"/>
    <w:rsid w:val="00D20A84"/>
    <w:rsid w:val="00D20ADB"/>
    <w:rsid w:val="00D211D5"/>
    <w:rsid w:val="00D213E8"/>
    <w:rsid w:val="00D22252"/>
    <w:rsid w:val="00D223F2"/>
    <w:rsid w:val="00D224D8"/>
    <w:rsid w:val="00D226BB"/>
    <w:rsid w:val="00D22BDC"/>
    <w:rsid w:val="00D24148"/>
    <w:rsid w:val="00D24AF4"/>
    <w:rsid w:val="00D25171"/>
    <w:rsid w:val="00D258F4"/>
    <w:rsid w:val="00D25BD9"/>
    <w:rsid w:val="00D2616D"/>
    <w:rsid w:val="00D263E6"/>
    <w:rsid w:val="00D26592"/>
    <w:rsid w:val="00D2666B"/>
    <w:rsid w:val="00D2679A"/>
    <w:rsid w:val="00D26B45"/>
    <w:rsid w:val="00D26BAC"/>
    <w:rsid w:val="00D275F9"/>
    <w:rsid w:val="00D27704"/>
    <w:rsid w:val="00D30AE6"/>
    <w:rsid w:val="00D30EF2"/>
    <w:rsid w:val="00D31D2D"/>
    <w:rsid w:val="00D31E6E"/>
    <w:rsid w:val="00D32BC9"/>
    <w:rsid w:val="00D32D62"/>
    <w:rsid w:val="00D32E37"/>
    <w:rsid w:val="00D32FF5"/>
    <w:rsid w:val="00D3347A"/>
    <w:rsid w:val="00D335A0"/>
    <w:rsid w:val="00D33605"/>
    <w:rsid w:val="00D33C70"/>
    <w:rsid w:val="00D34071"/>
    <w:rsid w:val="00D34E69"/>
    <w:rsid w:val="00D3510A"/>
    <w:rsid w:val="00D3522D"/>
    <w:rsid w:val="00D354C2"/>
    <w:rsid w:val="00D35A8B"/>
    <w:rsid w:val="00D35EB6"/>
    <w:rsid w:val="00D35F62"/>
    <w:rsid w:val="00D365B8"/>
    <w:rsid w:val="00D365F9"/>
    <w:rsid w:val="00D366A4"/>
    <w:rsid w:val="00D367E6"/>
    <w:rsid w:val="00D370D4"/>
    <w:rsid w:val="00D37A9B"/>
    <w:rsid w:val="00D37E4D"/>
    <w:rsid w:val="00D40705"/>
    <w:rsid w:val="00D4126E"/>
    <w:rsid w:val="00D416E6"/>
    <w:rsid w:val="00D417E3"/>
    <w:rsid w:val="00D42FC4"/>
    <w:rsid w:val="00D43444"/>
    <w:rsid w:val="00D43A95"/>
    <w:rsid w:val="00D43CEF"/>
    <w:rsid w:val="00D44055"/>
    <w:rsid w:val="00D4412C"/>
    <w:rsid w:val="00D44352"/>
    <w:rsid w:val="00D44814"/>
    <w:rsid w:val="00D4489F"/>
    <w:rsid w:val="00D44F9E"/>
    <w:rsid w:val="00D4751B"/>
    <w:rsid w:val="00D47ACB"/>
    <w:rsid w:val="00D47F83"/>
    <w:rsid w:val="00D50375"/>
    <w:rsid w:val="00D510FC"/>
    <w:rsid w:val="00D515FB"/>
    <w:rsid w:val="00D51A1F"/>
    <w:rsid w:val="00D52A12"/>
    <w:rsid w:val="00D53232"/>
    <w:rsid w:val="00D537F9"/>
    <w:rsid w:val="00D53856"/>
    <w:rsid w:val="00D5389A"/>
    <w:rsid w:val="00D53A6E"/>
    <w:rsid w:val="00D542D3"/>
    <w:rsid w:val="00D54758"/>
    <w:rsid w:val="00D54DAC"/>
    <w:rsid w:val="00D559EC"/>
    <w:rsid w:val="00D55B2D"/>
    <w:rsid w:val="00D56081"/>
    <w:rsid w:val="00D5627E"/>
    <w:rsid w:val="00D5772A"/>
    <w:rsid w:val="00D57B0C"/>
    <w:rsid w:val="00D6011A"/>
    <w:rsid w:val="00D605C4"/>
    <w:rsid w:val="00D6064E"/>
    <w:rsid w:val="00D6078C"/>
    <w:rsid w:val="00D60C26"/>
    <w:rsid w:val="00D60E50"/>
    <w:rsid w:val="00D60F5E"/>
    <w:rsid w:val="00D61033"/>
    <w:rsid w:val="00D61187"/>
    <w:rsid w:val="00D61605"/>
    <w:rsid w:val="00D61A7A"/>
    <w:rsid w:val="00D61A7F"/>
    <w:rsid w:val="00D61EA5"/>
    <w:rsid w:val="00D624A5"/>
    <w:rsid w:val="00D6286B"/>
    <w:rsid w:val="00D62D53"/>
    <w:rsid w:val="00D62F68"/>
    <w:rsid w:val="00D6379A"/>
    <w:rsid w:val="00D63F70"/>
    <w:rsid w:val="00D6436C"/>
    <w:rsid w:val="00D64495"/>
    <w:rsid w:val="00D65274"/>
    <w:rsid w:val="00D6552A"/>
    <w:rsid w:val="00D6629E"/>
    <w:rsid w:val="00D6680B"/>
    <w:rsid w:val="00D66ADA"/>
    <w:rsid w:val="00D66B50"/>
    <w:rsid w:val="00D675C5"/>
    <w:rsid w:val="00D67738"/>
    <w:rsid w:val="00D67801"/>
    <w:rsid w:val="00D67970"/>
    <w:rsid w:val="00D67E9C"/>
    <w:rsid w:val="00D700AC"/>
    <w:rsid w:val="00D71194"/>
    <w:rsid w:val="00D72107"/>
    <w:rsid w:val="00D72428"/>
    <w:rsid w:val="00D73036"/>
    <w:rsid w:val="00D7331F"/>
    <w:rsid w:val="00D73A36"/>
    <w:rsid w:val="00D74128"/>
    <w:rsid w:val="00D74282"/>
    <w:rsid w:val="00D744E4"/>
    <w:rsid w:val="00D74791"/>
    <w:rsid w:val="00D74D66"/>
    <w:rsid w:val="00D75277"/>
    <w:rsid w:val="00D75415"/>
    <w:rsid w:val="00D75A0B"/>
    <w:rsid w:val="00D75EAE"/>
    <w:rsid w:val="00D75F19"/>
    <w:rsid w:val="00D7644E"/>
    <w:rsid w:val="00D76A27"/>
    <w:rsid w:val="00D76A4D"/>
    <w:rsid w:val="00D76AC4"/>
    <w:rsid w:val="00D80263"/>
    <w:rsid w:val="00D816F4"/>
    <w:rsid w:val="00D81912"/>
    <w:rsid w:val="00D8238F"/>
    <w:rsid w:val="00D825D6"/>
    <w:rsid w:val="00D84EC5"/>
    <w:rsid w:val="00D8512C"/>
    <w:rsid w:val="00D85452"/>
    <w:rsid w:val="00D85514"/>
    <w:rsid w:val="00D85D8F"/>
    <w:rsid w:val="00D8683C"/>
    <w:rsid w:val="00D86A30"/>
    <w:rsid w:val="00D879BB"/>
    <w:rsid w:val="00D9059D"/>
    <w:rsid w:val="00D90A66"/>
    <w:rsid w:val="00D90B09"/>
    <w:rsid w:val="00D92085"/>
    <w:rsid w:val="00D9217D"/>
    <w:rsid w:val="00D9218A"/>
    <w:rsid w:val="00D9229A"/>
    <w:rsid w:val="00D9255C"/>
    <w:rsid w:val="00D92EA4"/>
    <w:rsid w:val="00D9354C"/>
    <w:rsid w:val="00D93FE4"/>
    <w:rsid w:val="00D941DE"/>
    <w:rsid w:val="00D9452A"/>
    <w:rsid w:val="00D95C64"/>
    <w:rsid w:val="00D95F53"/>
    <w:rsid w:val="00D960EB"/>
    <w:rsid w:val="00D96176"/>
    <w:rsid w:val="00D96206"/>
    <w:rsid w:val="00D966F6"/>
    <w:rsid w:val="00D96722"/>
    <w:rsid w:val="00D9681D"/>
    <w:rsid w:val="00D96F12"/>
    <w:rsid w:val="00D97069"/>
    <w:rsid w:val="00D979EE"/>
    <w:rsid w:val="00D97E65"/>
    <w:rsid w:val="00DA031C"/>
    <w:rsid w:val="00DA040F"/>
    <w:rsid w:val="00DA0869"/>
    <w:rsid w:val="00DA13E2"/>
    <w:rsid w:val="00DA1772"/>
    <w:rsid w:val="00DA1D73"/>
    <w:rsid w:val="00DA24ED"/>
    <w:rsid w:val="00DA26B6"/>
    <w:rsid w:val="00DA26D8"/>
    <w:rsid w:val="00DA2E28"/>
    <w:rsid w:val="00DA3169"/>
    <w:rsid w:val="00DA3605"/>
    <w:rsid w:val="00DA38B0"/>
    <w:rsid w:val="00DA41D9"/>
    <w:rsid w:val="00DA56BB"/>
    <w:rsid w:val="00DA5B07"/>
    <w:rsid w:val="00DA5F54"/>
    <w:rsid w:val="00DA609B"/>
    <w:rsid w:val="00DA6583"/>
    <w:rsid w:val="00DA6A88"/>
    <w:rsid w:val="00DA7442"/>
    <w:rsid w:val="00DA77D7"/>
    <w:rsid w:val="00DB01B1"/>
    <w:rsid w:val="00DB0290"/>
    <w:rsid w:val="00DB2AC1"/>
    <w:rsid w:val="00DB31F1"/>
    <w:rsid w:val="00DB3899"/>
    <w:rsid w:val="00DB408A"/>
    <w:rsid w:val="00DB40CF"/>
    <w:rsid w:val="00DB44A2"/>
    <w:rsid w:val="00DB44C5"/>
    <w:rsid w:val="00DB49B4"/>
    <w:rsid w:val="00DB5321"/>
    <w:rsid w:val="00DB5A84"/>
    <w:rsid w:val="00DB5E19"/>
    <w:rsid w:val="00DB5EA6"/>
    <w:rsid w:val="00DB63C9"/>
    <w:rsid w:val="00DB6B6B"/>
    <w:rsid w:val="00DB6C92"/>
    <w:rsid w:val="00DB6CF2"/>
    <w:rsid w:val="00DB783D"/>
    <w:rsid w:val="00DC0696"/>
    <w:rsid w:val="00DC06D0"/>
    <w:rsid w:val="00DC0A33"/>
    <w:rsid w:val="00DC0B9C"/>
    <w:rsid w:val="00DC0F11"/>
    <w:rsid w:val="00DC1380"/>
    <w:rsid w:val="00DC1D48"/>
    <w:rsid w:val="00DC1F27"/>
    <w:rsid w:val="00DC2378"/>
    <w:rsid w:val="00DC2519"/>
    <w:rsid w:val="00DC3639"/>
    <w:rsid w:val="00DC4129"/>
    <w:rsid w:val="00DC663F"/>
    <w:rsid w:val="00DC68F7"/>
    <w:rsid w:val="00DC6D7B"/>
    <w:rsid w:val="00DC7496"/>
    <w:rsid w:val="00DC7A44"/>
    <w:rsid w:val="00DD1E81"/>
    <w:rsid w:val="00DD25B5"/>
    <w:rsid w:val="00DD2EDD"/>
    <w:rsid w:val="00DD2FF3"/>
    <w:rsid w:val="00DD321E"/>
    <w:rsid w:val="00DD3464"/>
    <w:rsid w:val="00DD3903"/>
    <w:rsid w:val="00DD3FBB"/>
    <w:rsid w:val="00DD516E"/>
    <w:rsid w:val="00DD517A"/>
    <w:rsid w:val="00DD56F0"/>
    <w:rsid w:val="00DD5AEB"/>
    <w:rsid w:val="00DD5C1A"/>
    <w:rsid w:val="00DD5F2D"/>
    <w:rsid w:val="00DD6B68"/>
    <w:rsid w:val="00DD6C78"/>
    <w:rsid w:val="00DD72E9"/>
    <w:rsid w:val="00DD7863"/>
    <w:rsid w:val="00DD7970"/>
    <w:rsid w:val="00DE0188"/>
    <w:rsid w:val="00DE03E4"/>
    <w:rsid w:val="00DE06F3"/>
    <w:rsid w:val="00DE11C2"/>
    <w:rsid w:val="00DE13D3"/>
    <w:rsid w:val="00DE17F7"/>
    <w:rsid w:val="00DE23D3"/>
    <w:rsid w:val="00DE25AC"/>
    <w:rsid w:val="00DE25C1"/>
    <w:rsid w:val="00DE2737"/>
    <w:rsid w:val="00DE3790"/>
    <w:rsid w:val="00DE3CF0"/>
    <w:rsid w:val="00DE3F53"/>
    <w:rsid w:val="00DE410E"/>
    <w:rsid w:val="00DE42E3"/>
    <w:rsid w:val="00DE4D51"/>
    <w:rsid w:val="00DE51EE"/>
    <w:rsid w:val="00DE6626"/>
    <w:rsid w:val="00DE7025"/>
    <w:rsid w:val="00DE78CB"/>
    <w:rsid w:val="00DE7AAD"/>
    <w:rsid w:val="00DE7BC3"/>
    <w:rsid w:val="00DF1568"/>
    <w:rsid w:val="00DF19B1"/>
    <w:rsid w:val="00DF1B14"/>
    <w:rsid w:val="00DF1C73"/>
    <w:rsid w:val="00DF2873"/>
    <w:rsid w:val="00DF28B3"/>
    <w:rsid w:val="00DF373B"/>
    <w:rsid w:val="00DF37D3"/>
    <w:rsid w:val="00DF4D59"/>
    <w:rsid w:val="00DF573B"/>
    <w:rsid w:val="00DF5EC8"/>
    <w:rsid w:val="00DF6276"/>
    <w:rsid w:val="00DF63F9"/>
    <w:rsid w:val="00DF676F"/>
    <w:rsid w:val="00DF6819"/>
    <w:rsid w:val="00DF6987"/>
    <w:rsid w:val="00E002C5"/>
    <w:rsid w:val="00E00B66"/>
    <w:rsid w:val="00E00E2E"/>
    <w:rsid w:val="00E00F70"/>
    <w:rsid w:val="00E0117C"/>
    <w:rsid w:val="00E01478"/>
    <w:rsid w:val="00E016D0"/>
    <w:rsid w:val="00E01895"/>
    <w:rsid w:val="00E01C21"/>
    <w:rsid w:val="00E022C3"/>
    <w:rsid w:val="00E028E5"/>
    <w:rsid w:val="00E02D50"/>
    <w:rsid w:val="00E02ED8"/>
    <w:rsid w:val="00E02F7D"/>
    <w:rsid w:val="00E0309E"/>
    <w:rsid w:val="00E0387D"/>
    <w:rsid w:val="00E04821"/>
    <w:rsid w:val="00E04E50"/>
    <w:rsid w:val="00E05753"/>
    <w:rsid w:val="00E058BB"/>
    <w:rsid w:val="00E058F6"/>
    <w:rsid w:val="00E0626F"/>
    <w:rsid w:val="00E0671D"/>
    <w:rsid w:val="00E06FB3"/>
    <w:rsid w:val="00E0735B"/>
    <w:rsid w:val="00E073A2"/>
    <w:rsid w:val="00E0797F"/>
    <w:rsid w:val="00E07C86"/>
    <w:rsid w:val="00E10332"/>
    <w:rsid w:val="00E1052F"/>
    <w:rsid w:val="00E10598"/>
    <w:rsid w:val="00E1077D"/>
    <w:rsid w:val="00E108AF"/>
    <w:rsid w:val="00E1090B"/>
    <w:rsid w:val="00E10CE1"/>
    <w:rsid w:val="00E11157"/>
    <w:rsid w:val="00E111AA"/>
    <w:rsid w:val="00E112A5"/>
    <w:rsid w:val="00E11ED6"/>
    <w:rsid w:val="00E11F05"/>
    <w:rsid w:val="00E11F44"/>
    <w:rsid w:val="00E1206A"/>
    <w:rsid w:val="00E12426"/>
    <w:rsid w:val="00E12918"/>
    <w:rsid w:val="00E1340F"/>
    <w:rsid w:val="00E13BD4"/>
    <w:rsid w:val="00E13E06"/>
    <w:rsid w:val="00E14C27"/>
    <w:rsid w:val="00E14DF3"/>
    <w:rsid w:val="00E14F49"/>
    <w:rsid w:val="00E153D6"/>
    <w:rsid w:val="00E15B38"/>
    <w:rsid w:val="00E15BD3"/>
    <w:rsid w:val="00E1609A"/>
    <w:rsid w:val="00E16149"/>
    <w:rsid w:val="00E16299"/>
    <w:rsid w:val="00E16499"/>
    <w:rsid w:val="00E16C86"/>
    <w:rsid w:val="00E20209"/>
    <w:rsid w:val="00E20979"/>
    <w:rsid w:val="00E20D3B"/>
    <w:rsid w:val="00E211B4"/>
    <w:rsid w:val="00E21231"/>
    <w:rsid w:val="00E21748"/>
    <w:rsid w:val="00E21FE5"/>
    <w:rsid w:val="00E22024"/>
    <w:rsid w:val="00E2221E"/>
    <w:rsid w:val="00E23194"/>
    <w:rsid w:val="00E232F0"/>
    <w:rsid w:val="00E235CA"/>
    <w:rsid w:val="00E23807"/>
    <w:rsid w:val="00E23B2E"/>
    <w:rsid w:val="00E243CE"/>
    <w:rsid w:val="00E24B84"/>
    <w:rsid w:val="00E253AD"/>
    <w:rsid w:val="00E2659A"/>
    <w:rsid w:val="00E2678B"/>
    <w:rsid w:val="00E27A10"/>
    <w:rsid w:val="00E27E54"/>
    <w:rsid w:val="00E27E65"/>
    <w:rsid w:val="00E301D2"/>
    <w:rsid w:val="00E311D9"/>
    <w:rsid w:val="00E313C2"/>
    <w:rsid w:val="00E319E0"/>
    <w:rsid w:val="00E31A3B"/>
    <w:rsid w:val="00E3250E"/>
    <w:rsid w:val="00E325EB"/>
    <w:rsid w:val="00E32AFC"/>
    <w:rsid w:val="00E32D63"/>
    <w:rsid w:val="00E3337E"/>
    <w:rsid w:val="00E33943"/>
    <w:rsid w:val="00E3406A"/>
    <w:rsid w:val="00E3419E"/>
    <w:rsid w:val="00E35131"/>
    <w:rsid w:val="00E35685"/>
    <w:rsid w:val="00E360E3"/>
    <w:rsid w:val="00E366BF"/>
    <w:rsid w:val="00E368D8"/>
    <w:rsid w:val="00E37232"/>
    <w:rsid w:val="00E3748D"/>
    <w:rsid w:val="00E376BE"/>
    <w:rsid w:val="00E40494"/>
    <w:rsid w:val="00E4114E"/>
    <w:rsid w:val="00E415EE"/>
    <w:rsid w:val="00E4163B"/>
    <w:rsid w:val="00E41647"/>
    <w:rsid w:val="00E418A4"/>
    <w:rsid w:val="00E41AF3"/>
    <w:rsid w:val="00E424A1"/>
    <w:rsid w:val="00E42812"/>
    <w:rsid w:val="00E43E22"/>
    <w:rsid w:val="00E43E8A"/>
    <w:rsid w:val="00E43F6E"/>
    <w:rsid w:val="00E4425E"/>
    <w:rsid w:val="00E452F5"/>
    <w:rsid w:val="00E455D4"/>
    <w:rsid w:val="00E459A8"/>
    <w:rsid w:val="00E45AFC"/>
    <w:rsid w:val="00E45F42"/>
    <w:rsid w:val="00E462B8"/>
    <w:rsid w:val="00E462CE"/>
    <w:rsid w:val="00E468AC"/>
    <w:rsid w:val="00E468DD"/>
    <w:rsid w:val="00E47BA8"/>
    <w:rsid w:val="00E50060"/>
    <w:rsid w:val="00E500A1"/>
    <w:rsid w:val="00E500FD"/>
    <w:rsid w:val="00E50587"/>
    <w:rsid w:val="00E50600"/>
    <w:rsid w:val="00E50B34"/>
    <w:rsid w:val="00E50CB0"/>
    <w:rsid w:val="00E51204"/>
    <w:rsid w:val="00E51C0B"/>
    <w:rsid w:val="00E51FDF"/>
    <w:rsid w:val="00E525CC"/>
    <w:rsid w:val="00E534B0"/>
    <w:rsid w:val="00E5430D"/>
    <w:rsid w:val="00E5459F"/>
    <w:rsid w:val="00E55A17"/>
    <w:rsid w:val="00E55D04"/>
    <w:rsid w:val="00E55EBF"/>
    <w:rsid w:val="00E55EED"/>
    <w:rsid w:val="00E55FAC"/>
    <w:rsid w:val="00E56191"/>
    <w:rsid w:val="00E56B76"/>
    <w:rsid w:val="00E57CFB"/>
    <w:rsid w:val="00E57F84"/>
    <w:rsid w:val="00E612A2"/>
    <w:rsid w:val="00E613A1"/>
    <w:rsid w:val="00E61C51"/>
    <w:rsid w:val="00E6240D"/>
    <w:rsid w:val="00E62519"/>
    <w:rsid w:val="00E626B7"/>
    <w:rsid w:val="00E6291C"/>
    <w:rsid w:val="00E63173"/>
    <w:rsid w:val="00E636EB"/>
    <w:rsid w:val="00E64BFF"/>
    <w:rsid w:val="00E64EBD"/>
    <w:rsid w:val="00E65114"/>
    <w:rsid w:val="00E6515A"/>
    <w:rsid w:val="00E65F8D"/>
    <w:rsid w:val="00E65FAC"/>
    <w:rsid w:val="00E65FFF"/>
    <w:rsid w:val="00E66394"/>
    <w:rsid w:val="00E66681"/>
    <w:rsid w:val="00E674DF"/>
    <w:rsid w:val="00E676DA"/>
    <w:rsid w:val="00E67DBF"/>
    <w:rsid w:val="00E67F77"/>
    <w:rsid w:val="00E705A4"/>
    <w:rsid w:val="00E706AA"/>
    <w:rsid w:val="00E70A20"/>
    <w:rsid w:val="00E70D32"/>
    <w:rsid w:val="00E70E87"/>
    <w:rsid w:val="00E70F1A"/>
    <w:rsid w:val="00E71D49"/>
    <w:rsid w:val="00E720D7"/>
    <w:rsid w:val="00E72C9A"/>
    <w:rsid w:val="00E73343"/>
    <w:rsid w:val="00E73779"/>
    <w:rsid w:val="00E74095"/>
    <w:rsid w:val="00E74C2D"/>
    <w:rsid w:val="00E74CF9"/>
    <w:rsid w:val="00E75224"/>
    <w:rsid w:val="00E7535E"/>
    <w:rsid w:val="00E75AFA"/>
    <w:rsid w:val="00E75CF2"/>
    <w:rsid w:val="00E76612"/>
    <w:rsid w:val="00E76D23"/>
    <w:rsid w:val="00E77BBF"/>
    <w:rsid w:val="00E77D9E"/>
    <w:rsid w:val="00E80263"/>
    <w:rsid w:val="00E80277"/>
    <w:rsid w:val="00E805FE"/>
    <w:rsid w:val="00E80840"/>
    <w:rsid w:val="00E80D8B"/>
    <w:rsid w:val="00E80DD0"/>
    <w:rsid w:val="00E80E88"/>
    <w:rsid w:val="00E81474"/>
    <w:rsid w:val="00E81D3A"/>
    <w:rsid w:val="00E82839"/>
    <w:rsid w:val="00E82CE8"/>
    <w:rsid w:val="00E83304"/>
    <w:rsid w:val="00E833CD"/>
    <w:rsid w:val="00E83899"/>
    <w:rsid w:val="00E83C37"/>
    <w:rsid w:val="00E84A53"/>
    <w:rsid w:val="00E84C9A"/>
    <w:rsid w:val="00E84EA4"/>
    <w:rsid w:val="00E851D5"/>
    <w:rsid w:val="00E85A61"/>
    <w:rsid w:val="00E85EFE"/>
    <w:rsid w:val="00E86085"/>
    <w:rsid w:val="00E87CCE"/>
    <w:rsid w:val="00E9004D"/>
    <w:rsid w:val="00E9032A"/>
    <w:rsid w:val="00E909E6"/>
    <w:rsid w:val="00E91034"/>
    <w:rsid w:val="00E915EB"/>
    <w:rsid w:val="00E917E1"/>
    <w:rsid w:val="00E919A1"/>
    <w:rsid w:val="00E91FF5"/>
    <w:rsid w:val="00E9262F"/>
    <w:rsid w:val="00E92D6D"/>
    <w:rsid w:val="00E92FC0"/>
    <w:rsid w:val="00E93037"/>
    <w:rsid w:val="00E933AF"/>
    <w:rsid w:val="00E93B2F"/>
    <w:rsid w:val="00E93E4A"/>
    <w:rsid w:val="00E93E9F"/>
    <w:rsid w:val="00E9563C"/>
    <w:rsid w:val="00E95E7D"/>
    <w:rsid w:val="00E96004"/>
    <w:rsid w:val="00E960EE"/>
    <w:rsid w:val="00E9679A"/>
    <w:rsid w:val="00E96E6B"/>
    <w:rsid w:val="00E97DED"/>
    <w:rsid w:val="00EA0637"/>
    <w:rsid w:val="00EA06A4"/>
    <w:rsid w:val="00EA0855"/>
    <w:rsid w:val="00EA0BDA"/>
    <w:rsid w:val="00EA0DB3"/>
    <w:rsid w:val="00EA1240"/>
    <w:rsid w:val="00EA129E"/>
    <w:rsid w:val="00EA1E03"/>
    <w:rsid w:val="00EA1F6B"/>
    <w:rsid w:val="00EA2406"/>
    <w:rsid w:val="00EA296E"/>
    <w:rsid w:val="00EA29CC"/>
    <w:rsid w:val="00EA2AF8"/>
    <w:rsid w:val="00EA3340"/>
    <w:rsid w:val="00EA37AC"/>
    <w:rsid w:val="00EA37CC"/>
    <w:rsid w:val="00EA3FD4"/>
    <w:rsid w:val="00EA4390"/>
    <w:rsid w:val="00EA44A3"/>
    <w:rsid w:val="00EA4CF3"/>
    <w:rsid w:val="00EA563D"/>
    <w:rsid w:val="00EA573B"/>
    <w:rsid w:val="00EA60C1"/>
    <w:rsid w:val="00EA628D"/>
    <w:rsid w:val="00EA6647"/>
    <w:rsid w:val="00EA66CC"/>
    <w:rsid w:val="00EA6C1D"/>
    <w:rsid w:val="00EA6CA8"/>
    <w:rsid w:val="00EA6E7C"/>
    <w:rsid w:val="00EA71EB"/>
    <w:rsid w:val="00EA736C"/>
    <w:rsid w:val="00EB0560"/>
    <w:rsid w:val="00EB0724"/>
    <w:rsid w:val="00EB0A96"/>
    <w:rsid w:val="00EB100C"/>
    <w:rsid w:val="00EB1041"/>
    <w:rsid w:val="00EB212D"/>
    <w:rsid w:val="00EB25EA"/>
    <w:rsid w:val="00EB3291"/>
    <w:rsid w:val="00EB3448"/>
    <w:rsid w:val="00EB3FE1"/>
    <w:rsid w:val="00EB50B6"/>
    <w:rsid w:val="00EB57E9"/>
    <w:rsid w:val="00EB5838"/>
    <w:rsid w:val="00EB5A98"/>
    <w:rsid w:val="00EB5F6F"/>
    <w:rsid w:val="00EB60F3"/>
    <w:rsid w:val="00EB764A"/>
    <w:rsid w:val="00EC1B25"/>
    <w:rsid w:val="00EC20BA"/>
    <w:rsid w:val="00EC2BBE"/>
    <w:rsid w:val="00EC2FB2"/>
    <w:rsid w:val="00EC339E"/>
    <w:rsid w:val="00EC3A0D"/>
    <w:rsid w:val="00EC3E31"/>
    <w:rsid w:val="00EC4136"/>
    <w:rsid w:val="00EC4B64"/>
    <w:rsid w:val="00EC4E38"/>
    <w:rsid w:val="00EC5B74"/>
    <w:rsid w:val="00EC60DD"/>
    <w:rsid w:val="00EC6196"/>
    <w:rsid w:val="00EC6B2A"/>
    <w:rsid w:val="00EC6F03"/>
    <w:rsid w:val="00EC722B"/>
    <w:rsid w:val="00EC7650"/>
    <w:rsid w:val="00EC79D2"/>
    <w:rsid w:val="00EC7FEE"/>
    <w:rsid w:val="00ED0B0F"/>
    <w:rsid w:val="00ED1ECF"/>
    <w:rsid w:val="00ED1EF3"/>
    <w:rsid w:val="00ED2790"/>
    <w:rsid w:val="00ED2DBF"/>
    <w:rsid w:val="00ED2F1E"/>
    <w:rsid w:val="00ED3047"/>
    <w:rsid w:val="00ED3205"/>
    <w:rsid w:val="00ED347C"/>
    <w:rsid w:val="00ED3C1B"/>
    <w:rsid w:val="00ED3E43"/>
    <w:rsid w:val="00ED3F44"/>
    <w:rsid w:val="00ED42A5"/>
    <w:rsid w:val="00ED5143"/>
    <w:rsid w:val="00ED6174"/>
    <w:rsid w:val="00ED6741"/>
    <w:rsid w:val="00ED6997"/>
    <w:rsid w:val="00ED69DA"/>
    <w:rsid w:val="00ED6C77"/>
    <w:rsid w:val="00ED73DF"/>
    <w:rsid w:val="00ED7820"/>
    <w:rsid w:val="00ED7FAD"/>
    <w:rsid w:val="00EE018D"/>
    <w:rsid w:val="00EE1666"/>
    <w:rsid w:val="00EE189C"/>
    <w:rsid w:val="00EE1DA4"/>
    <w:rsid w:val="00EE1E93"/>
    <w:rsid w:val="00EE27A5"/>
    <w:rsid w:val="00EE2B02"/>
    <w:rsid w:val="00EE2D5D"/>
    <w:rsid w:val="00EE2E74"/>
    <w:rsid w:val="00EE36C4"/>
    <w:rsid w:val="00EE492B"/>
    <w:rsid w:val="00EE4D8E"/>
    <w:rsid w:val="00EE5C0F"/>
    <w:rsid w:val="00EE63BB"/>
    <w:rsid w:val="00EE6F0D"/>
    <w:rsid w:val="00EE7930"/>
    <w:rsid w:val="00EE7AF3"/>
    <w:rsid w:val="00EE7C77"/>
    <w:rsid w:val="00EF0089"/>
    <w:rsid w:val="00EF05DE"/>
    <w:rsid w:val="00EF2443"/>
    <w:rsid w:val="00EF284B"/>
    <w:rsid w:val="00EF3204"/>
    <w:rsid w:val="00EF32F8"/>
    <w:rsid w:val="00EF4B27"/>
    <w:rsid w:val="00EF5D04"/>
    <w:rsid w:val="00EF6018"/>
    <w:rsid w:val="00EF6151"/>
    <w:rsid w:val="00EF663E"/>
    <w:rsid w:val="00EF6828"/>
    <w:rsid w:val="00EF68A3"/>
    <w:rsid w:val="00EF70B9"/>
    <w:rsid w:val="00F004FC"/>
    <w:rsid w:val="00F00A24"/>
    <w:rsid w:val="00F00C1B"/>
    <w:rsid w:val="00F0144D"/>
    <w:rsid w:val="00F01C29"/>
    <w:rsid w:val="00F020C3"/>
    <w:rsid w:val="00F02134"/>
    <w:rsid w:val="00F0213D"/>
    <w:rsid w:val="00F0275F"/>
    <w:rsid w:val="00F034B3"/>
    <w:rsid w:val="00F0366E"/>
    <w:rsid w:val="00F038B7"/>
    <w:rsid w:val="00F03BD1"/>
    <w:rsid w:val="00F03FDF"/>
    <w:rsid w:val="00F04633"/>
    <w:rsid w:val="00F04BD7"/>
    <w:rsid w:val="00F05073"/>
    <w:rsid w:val="00F054EE"/>
    <w:rsid w:val="00F06243"/>
    <w:rsid w:val="00F063A5"/>
    <w:rsid w:val="00F063BC"/>
    <w:rsid w:val="00F068A3"/>
    <w:rsid w:val="00F06F8E"/>
    <w:rsid w:val="00F0746C"/>
    <w:rsid w:val="00F0755A"/>
    <w:rsid w:val="00F07D07"/>
    <w:rsid w:val="00F07FB3"/>
    <w:rsid w:val="00F11332"/>
    <w:rsid w:val="00F11463"/>
    <w:rsid w:val="00F11D2B"/>
    <w:rsid w:val="00F11D8F"/>
    <w:rsid w:val="00F124C6"/>
    <w:rsid w:val="00F127DF"/>
    <w:rsid w:val="00F1295A"/>
    <w:rsid w:val="00F1328E"/>
    <w:rsid w:val="00F13BB9"/>
    <w:rsid w:val="00F13C39"/>
    <w:rsid w:val="00F14289"/>
    <w:rsid w:val="00F142FA"/>
    <w:rsid w:val="00F143F7"/>
    <w:rsid w:val="00F145F5"/>
    <w:rsid w:val="00F14722"/>
    <w:rsid w:val="00F14BE6"/>
    <w:rsid w:val="00F1558F"/>
    <w:rsid w:val="00F15777"/>
    <w:rsid w:val="00F15907"/>
    <w:rsid w:val="00F15AE8"/>
    <w:rsid w:val="00F15E93"/>
    <w:rsid w:val="00F15F28"/>
    <w:rsid w:val="00F160BE"/>
    <w:rsid w:val="00F16CC4"/>
    <w:rsid w:val="00F16E98"/>
    <w:rsid w:val="00F1719F"/>
    <w:rsid w:val="00F172AF"/>
    <w:rsid w:val="00F17530"/>
    <w:rsid w:val="00F17CB7"/>
    <w:rsid w:val="00F21C42"/>
    <w:rsid w:val="00F21E06"/>
    <w:rsid w:val="00F21E3B"/>
    <w:rsid w:val="00F21FAB"/>
    <w:rsid w:val="00F2233D"/>
    <w:rsid w:val="00F22575"/>
    <w:rsid w:val="00F2295D"/>
    <w:rsid w:val="00F2298B"/>
    <w:rsid w:val="00F230DA"/>
    <w:rsid w:val="00F233E1"/>
    <w:rsid w:val="00F23A8D"/>
    <w:rsid w:val="00F23E0C"/>
    <w:rsid w:val="00F24D4F"/>
    <w:rsid w:val="00F254E7"/>
    <w:rsid w:val="00F25AA6"/>
    <w:rsid w:val="00F26302"/>
    <w:rsid w:val="00F26646"/>
    <w:rsid w:val="00F26A7B"/>
    <w:rsid w:val="00F270A2"/>
    <w:rsid w:val="00F27594"/>
    <w:rsid w:val="00F279C1"/>
    <w:rsid w:val="00F27C73"/>
    <w:rsid w:val="00F27DC8"/>
    <w:rsid w:val="00F30112"/>
    <w:rsid w:val="00F30BA1"/>
    <w:rsid w:val="00F30F2D"/>
    <w:rsid w:val="00F31657"/>
    <w:rsid w:val="00F323B3"/>
    <w:rsid w:val="00F32448"/>
    <w:rsid w:val="00F32922"/>
    <w:rsid w:val="00F32C40"/>
    <w:rsid w:val="00F33638"/>
    <w:rsid w:val="00F3395E"/>
    <w:rsid w:val="00F33FBC"/>
    <w:rsid w:val="00F34EC5"/>
    <w:rsid w:val="00F34FCB"/>
    <w:rsid w:val="00F3504D"/>
    <w:rsid w:val="00F3598C"/>
    <w:rsid w:val="00F37279"/>
    <w:rsid w:val="00F37663"/>
    <w:rsid w:val="00F37799"/>
    <w:rsid w:val="00F37D4B"/>
    <w:rsid w:val="00F400EB"/>
    <w:rsid w:val="00F40713"/>
    <w:rsid w:val="00F4099F"/>
    <w:rsid w:val="00F40CE2"/>
    <w:rsid w:val="00F410B5"/>
    <w:rsid w:val="00F41954"/>
    <w:rsid w:val="00F41A40"/>
    <w:rsid w:val="00F42496"/>
    <w:rsid w:val="00F4297B"/>
    <w:rsid w:val="00F42BEB"/>
    <w:rsid w:val="00F42D25"/>
    <w:rsid w:val="00F4342A"/>
    <w:rsid w:val="00F43BD3"/>
    <w:rsid w:val="00F4469E"/>
    <w:rsid w:val="00F44E64"/>
    <w:rsid w:val="00F45712"/>
    <w:rsid w:val="00F45904"/>
    <w:rsid w:val="00F45AA0"/>
    <w:rsid w:val="00F45D35"/>
    <w:rsid w:val="00F46CDD"/>
    <w:rsid w:val="00F47FFB"/>
    <w:rsid w:val="00F502C4"/>
    <w:rsid w:val="00F50EFC"/>
    <w:rsid w:val="00F5117E"/>
    <w:rsid w:val="00F51365"/>
    <w:rsid w:val="00F51D71"/>
    <w:rsid w:val="00F520D0"/>
    <w:rsid w:val="00F52215"/>
    <w:rsid w:val="00F526E0"/>
    <w:rsid w:val="00F52D53"/>
    <w:rsid w:val="00F53CB6"/>
    <w:rsid w:val="00F545FE"/>
    <w:rsid w:val="00F54BD6"/>
    <w:rsid w:val="00F55060"/>
    <w:rsid w:val="00F5532B"/>
    <w:rsid w:val="00F55A83"/>
    <w:rsid w:val="00F56051"/>
    <w:rsid w:val="00F561D0"/>
    <w:rsid w:val="00F563A5"/>
    <w:rsid w:val="00F564D5"/>
    <w:rsid w:val="00F56A6C"/>
    <w:rsid w:val="00F56C49"/>
    <w:rsid w:val="00F57351"/>
    <w:rsid w:val="00F57790"/>
    <w:rsid w:val="00F57B2D"/>
    <w:rsid w:val="00F608F9"/>
    <w:rsid w:val="00F60919"/>
    <w:rsid w:val="00F617AD"/>
    <w:rsid w:val="00F61D7F"/>
    <w:rsid w:val="00F6225B"/>
    <w:rsid w:val="00F62882"/>
    <w:rsid w:val="00F633CE"/>
    <w:rsid w:val="00F63871"/>
    <w:rsid w:val="00F64046"/>
    <w:rsid w:val="00F64160"/>
    <w:rsid w:val="00F647F8"/>
    <w:rsid w:val="00F64ABD"/>
    <w:rsid w:val="00F65158"/>
    <w:rsid w:val="00F65353"/>
    <w:rsid w:val="00F654BA"/>
    <w:rsid w:val="00F657C0"/>
    <w:rsid w:val="00F667EA"/>
    <w:rsid w:val="00F6689F"/>
    <w:rsid w:val="00F6696E"/>
    <w:rsid w:val="00F67554"/>
    <w:rsid w:val="00F67683"/>
    <w:rsid w:val="00F67693"/>
    <w:rsid w:val="00F676E4"/>
    <w:rsid w:val="00F70464"/>
    <w:rsid w:val="00F70932"/>
    <w:rsid w:val="00F70EAC"/>
    <w:rsid w:val="00F710D1"/>
    <w:rsid w:val="00F7140E"/>
    <w:rsid w:val="00F71588"/>
    <w:rsid w:val="00F71891"/>
    <w:rsid w:val="00F71A27"/>
    <w:rsid w:val="00F71CBF"/>
    <w:rsid w:val="00F71FC9"/>
    <w:rsid w:val="00F72425"/>
    <w:rsid w:val="00F725CF"/>
    <w:rsid w:val="00F72678"/>
    <w:rsid w:val="00F727D7"/>
    <w:rsid w:val="00F73BEB"/>
    <w:rsid w:val="00F73C4A"/>
    <w:rsid w:val="00F73E57"/>
    <w:rsid w:val="00F741D2"/>
    <w:rsid w:val="00F74AD4"/>
    <w:rsid w:val="00F74C0E"/>
    <w:rsid w:val="00F754C2"/>
    <w:rsid w:val="00F762BF"/>
    <w:rsid w:val="00F76AE7"/>
    <w:rsid w:val="00F7741A"/>
    <w:rsid w:val="00F77E1F"/>
    <w:rsid w:val="00F80074"/>
    <w:rsid w:val="00F802FB"/>
    <w:rsid w:val="00F80462"/>
    <w:rsid w:val="00F8142C"/>
    <w:rsid w:val="00F82318"/>
    <w:rsid w:val="00F8246C"/>
    <w:rsid w:val="00F835BA"/>
    <w:rsid w:val="00F83A3B"/>
    <w:rsid w:val="00F8401C"/>
    <w:rsid w:val="00F84367"/>
    <w:rsid w:val="00F84DF6"/>
    <w:rsid w:val="00F856EE"/>
    <w:rsid w:val="00F85AA8"/>
    <w:rsid w:val="00F85B6F"/>
    <w:rsid w:val="00F85EEF"/>
    <w:rsid w:val="00F860C4"/>
    <w:rsid w:val="00F8743A"/>
    <w:rsid w:val="00F87C66"/>
    <w:rsid w:val="00F90072"/>
    <w:rsid w:val="00F91286"/>
    <w:rsid w:val="00F91483"/>
    <w:rsid w:val="00F921A7"/>
    <w:rsid w:val="00F92B8C"/>
    <w:rsid w:val="00F92FE5"/>
    <w:rsid w:val="00F938C3"/>
    <w:rsid w:val="00F93A3B"/>
    <w:rsid w:val="00F93B03"/>
    <w:rsid w:val="00F93D3D"/>
    <w:rsid w:val="00F94683"/>
    <w:rsid w:val="00F946C1"/>
    <w:rsid w:val="00F94732"/>
    <w:rsid w:val="00F94AFE"/>
    <w:rsid w:val="00F94EE7"/>
    <w:rsid w:val="00F94F3C"/>
    <w:rsid w:val="00F957E2"/>
    <w:rsid w:val="00F9608B"/>
    <w:rsid w:val="00F96647"/>
    <w:rsid w:val="00F96F26"/>
    <w:rsid w:val="00F97A53"/>
    <w:rsid w:val="00F97BE1"/>
    <w:rsid w:val="00F97C68"/>
    <w:rsid w:val="00FA08FC"/>
    <w:rsid w:val="00FA0928"/>
    <w:rsid w:val="00FA1361"/>
    <w:rsid w:val="00FA17CE"/>
    <w:rsid w:val="00FA1A3E"/>
    <w:rsid w:val="00FA1B5D"/>
    <w:rsid w:val="00FA1C67"/>
    <w:rsid w:val="00FA1F9F"/>
    <w:rsid w:val="00FA1FEB"/>
    <w:rsid w:val="00FA2FE2"/>
    <w:rsid w:val="00FA347F"/>
    <w:rsid w:val="00FA3A2E"/>
    <w:rsid w:val="00FA3D83"/>
    <w:rsid w:val="00FA3F34"/>
    <w:rsid w:val="00FA4217"/>
    <w:rsid w:val="00FA430A"/>
    <w:rsid w:val="00FA46DC"/>
    <w:rsid w:val="00FA4CA0"/>
    <w:rsid w:val="00FA4E90"/>
    <w:rsid w:val="00FA59C5"/>
    <w:rsid w:val="00FA5A96"/>
    <w:rsid w:val="00FA5FAB"/>
    <w:rsid w:val="00FA673B"/>
    <w:rsid w:val="00FA6988"/>
    <w:rsid w:val="00FA739C"/>
    <w:rsid w:val="00FA7E9D"/>
    <w:rsid w:val="00FB06CC"/>
    <w:rsid w:val="00FB0C28"/>
    <w:rsid w:val="00FB12CD"/>
    <w:rsid w:val="00FB15C1"/>
    <w:rsid w:val="00FB2152"/>
    <w:rsid w:val="00FB2260"/>
    <w:rsid w:val="00FB2D9F"/>
    <w:rsid w:val="00FB30C0"/>
    <w:rsid w:val="00FB38AA"/>
    <w:rsid w:val="00FB3B00"/>
    <w:rsid w:val="00FB3BBE"/>
    <w:rsid w:val="00FB3BF5"/>
    <w:rsid w:val="00FB3E27"/>
    <w:rsid w:val="00FB4E08"/>
    <w:rsid w:val="00FB4F9E"/>
    <w:rsid w:val="00FB50A5"/>
    <w:rsid w:val="00FB518D"/>
    <w:rsid w:val="00FB5471"/>
    <w:rsid w:val="00FB54EB"/>
    <w:rsid w:val="00FB6581"/>
    <w:rsid w:val="00FB67B9"/>
    <w:rsid w:val="00FB7387"/>
    <w:rsid w:val="00FB7802"/>
    <w:rsid w:val="00FC010F"/>
    <w:rsid w:val="00FC0886"/>
    <w:rsid w:val="00FC1099"/>
    <w:rsid w:val="00FC1382"/>
    <w:rsid w:val="00FC14E4"/>
    <w:rsid w:val="00FC18FB"/>
    <w:rsid w:val="00FC1967"/>
    <w:rsid w:val="00FC2246"/>
    <w:rsid w:val="00FC25C0"/>
    <w:rsid w:val="00FC26A7"/>
    <w:rsid w:val="00FC289A"/>
    <w:rsid w:val="00FC2C95"/>
    <w:rsid w:val="00FC2E22"/>
    <w:rsid w:val="00FC33CB"/>
    <w:rsid w:val="00FC3463"/>
    <w:rsid w:val="00FC3B7E"/>
    <w:rsid w:val="00FC46E9"/>
    <w:rsid w:val="00FC4832"/>
    <w:rsid w:val="00FC4A54"/>
    <w:rsid w:val="00FC4A9D"/>
    <w:rsid w:val="00FC4DE7"/>
    <w:rsid w:val="00FC5172"/>
    <w:rsid w:val="00FC517B"/>
    <w:rsid w:val="00FC53F8"/>
    <w:rsid w:val="00FC5B72"/>
    <w:rsid w:val="00FC5F8D"/>
    <w:rsid w:val="00FC606C"/>
    <w:rsid w:val="00FC6F63"/>
    <w:rsid w:val="00FC728E"/>
    <w:rsid w:val="00FD03E7"/>
    <w:rsid w:val="00FD17E3"/>
    <w:rsid w:val="00FD1B81"/>
    <w:rsid w:val="00FD364D"/>
    <w:rsid w:val="00FD417D"/>
    <w:rsid w:val="00FD4424"/>
    <w:rsid w:val="00FD4E62"/>
    <w:rsid w:val="00FD51E0"/>
    <w:rsid w:val="00FD598D"/>
    <w:rsid w:val="00FD5E03"/>
    <w:rsid w:val="00FD5F9E"/>
    <w:rsid w:val="00FD606C"/>
    <w:rsid w:val="00FD643A"/>
    <w:rsid w:val="00FD713B"/>
    <w:rsid w:val="00FD7464"/>
    <w:rsid w:val="00FD7CB7"/>
    <w:rsid w:val="00FD7DA7"/>
    <w:rsid w:val="00FD7F20"/>
    <w:rsid w:val="00FE0BEE"/>
    <w:rsid w:val="00FE0C3E"/>
    <w:rsid w:val="00FE0D61"/>
    <w:rsid w:val="00FE1AB7"/>
    <w:rsid w:val="00FE22FF"/>
    <w:rsid w:val="00FE2590"/>
    <w:rsid w:val="00FE2C6E"/>
    <w:rsid w:val="00FE3CA3"/>
    <w:rsid w:val="00FE479E"/>
    <w:rsid w:val="00FE5672"/>
    <w:rsid w:val="00FE56C6"/>
    <w:rsid w:val="00FE5D0E"/>
    <w:rsid w:val="00FE62B5"/>
    <w:rsid w:val="00FE63AA"/>
    <w:rsid w:val="00FE68FB"/>
    <w:rsid w:val="00FE6FAD"/>
    <w:rsid w:val="00FE78BA"/>
    <w:rsid w:val="00FE79CF"/>
    <w:rsid w:val="00FF054A"/>
    <w:rsid w:val="00FF0785"/>
    <w:rsid w:val="00FF0989"/>
    <w:rsid w:val="00FF100A"/>
    <w:rsid w:val="00FF12E5"/>
    <w:rsid w:val="00FF141F"/>
    <w:rsid w:val="00FF1830"/>
    <w:rsid w:val="00FF23C6"/>
    <w:rsid w:val="00FF2554"/>
    <w:rsid w:val="00FF39DF"/>
    <w:rsid w:val="00FF41EF"/>
    <w:rsid w:val="00FF4223"/>
    <w:rsid w:val="00FF4466"/>
    <w:rsid w:val="00FF474B"/>
    <w:rsid w:val="00FF480A"/>
    <w:rsid w:val="00FF5260"/>
    <w:rsid w:val="00FF5995"/>
    <w:rsid w:val="00FF64F9"/>
    <w:rsid w:val="00FF714A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829E76"/>
  <w15:chartTrackingRefBased/>
  <w15:docId w15:val="{1BDA39A0-5B88-4DD6-A0F4-E3E9F521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67801"/>
    <w:pPr>
      <w:spacing w:after="120" w:line="240" w:lineRule="auto"/>
    </w:pPr>
    <w:rPr>
      <w:rFonts w:ascii="Calibri" w:hAnsi="Calibri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3466E"/>
    <w:pPr>
      <w:spacing w:after="160" w:line="259" w:lineRule="auto"/>
      <w:jc w:val="center"/>
      <w:outlineLvl w:val="0"/>
    </w:pPr>
    <w:rPr>
      <w:rFonts w:asciiTheme="minorHAnsi" w:eastAsiaTheme="minorHAnsi" w:hAnsiTheme="minorHAnsi" w:cstheme="minorHAnsi"/>
      <w:b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6F3F69"/>
    <w:pPr>
      <w:numPr>
        <w:numId w:val="1"/>
      </w:numPr>
      <w:spacing w:after="60" w:line="259" w:lineRule="auto"/>
      <w:jc w:val="both"/>
      <w:outlineLvl w:val="1"/>
    </w:pPr>
    <w:rPr>
      <w:rFonts w:asciiTheme="minorHAnsi" w:eastAsia="Calibri" w:hAnsiTheme="minorHAnsi" w:cstheme="minorHAnsi"/>
      <w:b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43045F"/>
    <w:pPr>
      <w:keepNext/>
      <w:numPr>
        <w:ilvl w:val="1"/>
        <w:numId w:val="2"/>
      </w:numPr>
      <w:spacing w:after="0"/>
      <w:jc w:val="both"/>
      <w:outlineLvl w:val="2"/>
    </w:pPr>
    <w:rPr>
      <w:rFonts w:cs="Calibri"/>
      <w:b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15015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15015"/>
    <w:pPr>
      <w:keepNext/>
      <w:keepLines/>
      <w:spacing w:before="40" w:after="0"/>
      <w:ind w:left="1008" w:hanging="1008"/>
      <w:outlineLvl w:val="4"/>
    </w:pPr>
    <w:rPr>
      <w:rFonts w:ascii="Arial" w:hAnsi="Arial"/>
      <w:b/>
      <w:bCs/>
      <w:sz w:val="22"/>
      <w:szCs w:val="26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22055C"/>
    <w:pPr>
      <w:keepNext/>
      <w:spacing w:before="120" w:after="0"/>
      <w:jc w:val="center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5015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5015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5015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466E"/>
    <w:rPr>
      <w:rFonts w:eastAsiaTheme="minorHAnsi" w:cstheme="minorHAnsi"/>
      <w:b/>
      <w:sz w:val="28"/>
      <w:szCs w:val="28"/>
    </w:rPr>
  </w:style>
  <w:style w:type="paragraph" w:styleId="Odstavecseseznamem">
    <w:name w:val="List Paragraph"/>
    <w:aliases w:val="Nad,Nadpis pro KZ,Odstavec_muj,odrážky,List Paragraph_0,List Paragraph,Odstavec cíl se seznamem,List Paragraph (Czech Tourism),Odstavec se seznamem5,Odstavec_muj1,Odstavec_muj2,Odstavec_muj3,Nad1,List Paragraph1,Odstavec_muj4,Nad2,3"/>
    <w:basedOn w:val="Normln"/>
    <w:link w:val="OdstavecseseznamemChar"/>
    <w:uiPriority w:val="34"/>
    <w:qFormat/>
    <w:rsid w:val="00F21FAB"/>
    <w:pPr>
      <w:ind w:left="720"/>
      <w:contextualSpacing/>
    </w:pPr>
  </w:style>
  <w:style w:type="character" w:customStyle="1" w:styleId="OdstavecseseznamemChar">
    <w:name w:val="Odstavec se seznamem Char"/>
    <w:aliases w:val="Nad Char,Nadpis pro KZ Char,Odstavec_muj Char,odrážky Char,List Paragraph_0 Char,List Paragraph Char,Odstavec cíl se seznamem Char,List Paragraph (Czech Tourism) Char,Odstavec se seznamem5 Char,Odstavec_muj1 Char,Nad1 Char"/>
    <w:link w:val="Odstavecseseznamem"/>
    <w:uiPriority w:val="34"/>
    <w:qFormat/>
    <w:locked/>
    <w:rsid w:val="004139C8"/>
    <w:rPr>
      <w:rFonts w:ascii="Calibri" w:hAnsi="Calibri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6F3F69"/>
    <w:rPr>
      <w:rFonts w:eastAsia="Calibri" w:cstheme="minorHAnsi"/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3045F"/>
    <w:rPr>
      <w:rFonts w:ascii="Calibri" w:hAnsi="Calibri" w:cs="Calibri"/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1501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2E1A"/>
    <w:rPr>
      <w:rFonts w:ascii="Arial" w:hAnsi="Arial" w:cs="Times New Roman"/>
      <w:b/>
      <w:bCs/>
      <w:szCs w:val="26"/>
      <w:u w:val="single"/>
    </w:rPr>
  </w:style>
  <w:style w:type="character" w:customStyle="1" w:styleId="Nadpis6Char">
    <w:name w:val="Nadpis 6 Char"/>
    <w:basedOn w:val="Standardnpsmoodstavce"/>
    <w:link w:val="Nadpis6"/>
    <w:rsid w:val="0022055C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501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501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501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nakapoznpodarou">
    <w:name w:val="footnote reference"/>
    <w:aliases w:val="12 b.,PGI Fußnote Ziffer,PGI Fußnote Ziffer + Times New Roman,Zúžené o ...,number,BVI fnr,Footnote symbol,Footnote Reference Superscript,Appel note de bas de p,Appel note de bas de page,Légende,Char Car Car Car Car"/>
    <w:basedOn w:val="Standardnpsmoodstavce"/>
    <w:uiPriority w:val="99"/>
    <w:qFormat/>
    <w:rsid w:val="002B7978"/>
    <w:rPr>
      <w:vertAlign w:val="superscript"/>
    </w:rPr>
  </w:style>
  <w:style w:type="paragraph" w:styleId="Textpoznpodarou">
    <w:name w:val="footnote text"/>
    <w:aliases w:val="Boston 10,Font: Geneva 9,Footnote,Fußnotentextf,Geneva 9,Podrozdzia3,Podrozdział,Schriftart: 10 pt,Schriftart: 8 pt,Schriftart: 9 pt,Text pozn. pod čarou times,Text poznámky pod čiarou 007,f,pozn. pod čarou,Char Char Char Char"/>
    <w:basedOn w:val="Normln"/>
    <w:link w:val="TextpoznpodarouChar"/>
    <w:uiPriority w:val="99"/>
    <w:qFormat/>
    <w:rsid w:val="002B7978"/>
    <w:pPr>
      <w:spacing w:after="0"/>
    </w:pPr>
    <w:rPr>
      <w:rFonts w:ascii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Boston 10 Char,Font: Geneva 9 Char,Footnote Char,Fußnotentextf Char,Geneva 9 Char,Podrozdzia3 Char,Podrozdział Char,Schriftart: 10 pt Char,Schriftart: 8 pt Char,Schriftart: 9 pt Char,Text pozn. pod čarou times Char,f Char"/>
    <w:basedOn w:val="Standardnpsmoodstavce"/>
    <w:link w:val="Textpoznpodarou"/>
    <w:uiPriority w:val="99"/>
    <w:rsid w:val="002B7978"/>
    <w:rPr>
      <w:rFonts w:ascii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E78BA"/>
    <w:rPr>
      <w:color w:val="0563C1" w:themeColor="hyperlink"/>
      <w:u w:val="single"/>
    </w:rPr>
  </w:style>
  <w:style w:type="paragraph" w:customStyle="1" w:styleId="textKZ">
    <w:name w:val="text KZ"/>
    <w:basedOn w:val="Normln"/>
    <w:link w:val="textKZChar"/>
    <w:qFormat/>
    <w:rsid w:val="00833A3E"/>
    <w:pPr>
      <w:jc w:val="both"/>
    </w:pPr>
  </w:style>
  <w:style w:type="character" w:customStyle="1" w:styleId="textKZChar">
    <w:name w:val="text KZ Char"/>
    <w:basedOn w:val="Standardnpsmoodstavce"/>
    <w:link w:val="textKZ"/>
    <w:rsid w:val="00833A3E"/>
    <w:rPr>
      <w:rFonts w:ascii="Calibri" w:hAnsi="Calibri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E564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E5640"/>
    <w:rPr>
      <w:rFonts w:ascii="Calibri" w:hAnsi="Calibri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E564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E5640"/>
    <w:rPr>
      <w:rFonts w:ascii="Calibri" w:hAnsi="Calibri" w:cs="Times New Roman"/>
      <w:sz w:val="24"/>
      <w:szCs w:val="24"/>
    </w:rPr>
  </w:style>
  <w:style w:type="paragraph" w:customStyle="1" w:styleId="NormlnKZ">
    <w:name w:val="Normální KZ"/>
    <w:basedOn w:val="Normln"/>
    <w:rsid w:val="001B19A8"/>
    <w:pPr>
      <w:ind w:firstLine="425"/>
      <w:jc w:val="both"/>
    </w:pPr>
    <w:rPr>
      <w:rFonts w:ascii="Times New Roman" w:hAnsi="Times New Roman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272D"/>
    <w:pPr>
      <w:spacing w:after="0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272D"/>
    <w:rPr>
      <w:rFonts w:ascii="Arial" w:hAnsi="Arial" w:cs="Arial"/>
      <w:sz w:val="18"/>
      <w:szCs w:val="18"/>
    </w:rPr>
  </w:style>
  <w:style w:type="table" w:customStyle="1" w:styleId="Mkatabulky21">
    <w:name w:val="Mřížka tabulky21"/>
    <w:basedOn w:val="Normlntabulka"/>
    <w:next w:val="Mkatabulky"/>
    <w:uiPriority w:val="59"/>
    <w:rsid w:val="006B1BC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6B1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134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134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1347E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34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347E"/>
    <w:rPr>
      <w:rFonts w:ascii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F667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138A0"/>
    <w:pPr>
      <w:spacing w:after="0" w:line="240" w:lineRule="auto"/>
    </w:pPr>
    <w:rPr>
      <w:rFonts w:ascii="Calibri" w:hAnsi="Calibri" w:cs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F120A"/>
    <w:rPr>
      <w:color w:val="954F72" w:themeColor="followedHyperlink"/>
      <w:u w:val="single"/>
    </w:rPr>
  </w:style>
  <w:style w:type="paragraph" w:customStyle="1" w:styleId="msonormal0">
    <w:name w:val="msonormal"/>
    <w:basedOn w:val="Normln"/>
    <w:rsid w:val="0022055C"/>
    <w:pPr>
      <w:spacing w:before="100" w:beforeAutospacing="1" w:after="100" w:afterAutospacing="1"/>
    </w:pPr>
    <w:rPr>
      <w:rFonts w:ascii="Times New Roman" w:hAnsi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22055C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22055C"/>
    <w:pPr>
      <w:spacing w:after="0"/>
      <w:ind w:left="1200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22055C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22055C"/>
    <w:pPr>
      <w:keepNext/>
      <w:spacing w:before="240"/>
    </w:pPr>
    <w:rPr>
      <w:rFonts w:cs="Calibri"/>
      <w:b/>
      <w:bCs/>
      <w:szCs w:val="20"/>
    </w:rPr>
  </w:style>
  <w:style w:type="character" w:customStyle="1" w:styleId="SeznamobrzkChar">
    <w:name w:val="Seznam obrázků Char"/>
    <w:basedOn w:val="Standardnpsmoodstavce"/>
    <w:link w:val="Seznamobrzk"/>
    <w:uiPriority w:val="99"/>
    <w:semiHidden/>
    <w:locked/>
    <w:rsid w:val="0022055C"/>
    <w:rPr>
      <w:rFonts w:ascii="Times New Roman" w:hAnsi="Times New Roman" w:cs="Times New Roman"/>
      <w:iCs/>
      <w:sz w:val="24"/>
      <w:szCs w:val="20"/>
    </w:rPr>
  </w:style>
  <w:style w:type="paragraph" w:styleId="Seznamobrzk">
    <w:name w:val="table of figures"/>
    <w:basedOn w:val="Normln"/>
    <w:next w:val="Normln"/>
    <w:link w:val="SeznamobrzkChar"/>
    <w:uiPriority w:val="99"/>
    <w:unhideWhenUsed/>
    <w:rsid w:val="0022055C"/>
    <w:pPr>
      <w:spacing w:after="0"/>
    </w:pPr>
    <w:rPr>
      <w:rFonts w:ascii="Times New Roman" w:hAnsi="Times New Roman"/>
      <w:iCs/>
      <w:szCs w:val="20"/>
    </w:rPr>
  </w:style>
  <w:style w:type="character" w:customStyle="1" w:styleId="ZdrojChar">
    <w:name w:val="Zdroj Char"/>
    <w:basedOn w:val="Standardnpsmoodstavce"/>
    <w:link w:val="Zdroj"/>
    <w:locked/>
    <w:rsid w:val="0022055C"/>
    <w:rPr>
      <w:rFonts w:ascii="Times New Roman" w:hAnsi="Times New Roman" w:cstheme="minorHAnsi"/>
      <w:i/>
      <w:sz w:val="20"/>
      <w:szCs w:val="20"/>
    </w:rPr>
  </w:style>
  <w:style w:type="paragraph" w:customStyle="1" w:styleId="Zdroj">
    <w:name w:val="Zdroj"/>
    <w:basedOn w:val="Normln"/>
    <w:link w:val="ZdrojChar"/>
    <w:qFormat/>
    <w:rsid w:val="0022055C"/>
    <w:pPr>
      <w:spacing w:before="120" w:after="0"/>
    </w:pPr>
    <w:rPr>
      <w:rFonts w:ascii="Times New Roman" w:hAnsi="Times New Roman" w:cstheme="minorHAnsi"/>
      <w:i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2055C"/>
    <w:pPr>
      <w:spacing w:line="480" w:lineRule="auto"/>
      <w:ind w:left="283"/>
    </w:pPr>
    <w:rPr>
      <w:rFonts w:ascii="Times New Roman" w:hAnsi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2055C"/>
    <w:rPr>
      <w:rFonts w:ascii="Times New Roman" w:hAnsi="Times New Roman" w:cs="Times New Roman"/>
      <w:sz w:val="24"/>
      <w:szCs w:val="24"/>
    </w:rPr>
  </w:style>
  <w:style w:type="paragraph" w:customStyle="1" w:styleId="textodstavce">
    <w:name w:val="text odstavce"/>
    <w:basedOn w:val="Normln"/>
    <w:link w:val="textodstavceChar"/>
    <w:qFormat/>
    <w:rsid w:val="006C468D"/>
    <w:pPr>
      <w:jc w:val="both"/>
    </w:pPr>
    <w:rPr>
      <w:rFonts w:cs="Calibri"/>
    </w:rPr>
  </w:style>
  <w:style w:type="character" w:customStyle="1" w:styleId="textodstavceChar">
    <w:name w:val="text odstavce Char"/>
    <w:basedOn w:val="Standardnpsmoodstavce"/>
    <w:link w:val="textodstavce"/>
    <w:rsid w:val="006C468D"/>
    <w:rPr>
      <w:rFonts w:ascii="Calibri" w:hAnsi="Calibri" w:cs="Calibri"/>
      <w:sz w:val="24"/>
      <w:szCs w:val="24"/>
    </w:rPr>
  </w:style>
  <w:style w:type="character" w:styleId="Siln">
    <w:name w:val="Strong"/>
    <w:uiPriority w:val="99"/>
    <w:qFormat/>
    <w:rsid w:val="00C14D2E"/>
    <w:rPr>
      <w:rFonts w:ascii="Calibri" w:hAnsi="Calibri" w:cs="Calibri"/>
      <w:b/>
      <w:sz w:val="24"/>
    </w:rPr>
  </w:style>
  <w:style w:type="paragraph" w:customStyle="1" w:styleId="Bezmezer1">
    <w:name w:val="Bez mezer1"/>
    <w:aliases w:val="KP,No Spacing"/>
    <w:basedOn w:val="Normln"/>
    <w:link w:val="Bezmezer1Char"/>
    <w:uiPriority w:val="1"/>
    <w:qFormat/>
    <w:rsid w:val="00C854EE"/>
    <w:pPr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Bezmezer1Char">
    <w:name w:val="Bez mezer1 Char"/>
    <w:aliases w:val="KP Char,No Spacing Char"/>
    <w:basedOn w:val="Standardnpsmoodstavce"/>
    <w:link w:val="Bezmezer1"/>
    <w:uiPriority w:val="1"/>
    <w:rsid w:val="00C854EE"/>
    <w:rPr>
      <w:rFonts w:ascii="Arial" w:hAnsi="Arial" w:cs="Arial"/>
    </w:rPr>
  </w:style>
  <w:style w:type="paragraph" w:styleId="Prosttext">
    <w:name w:val="Plain Text"/>
    <w:basedOn w:val="Normln"/>
    <w:link w:val="ProsttextChar"/>
    <w:uiPriority w:val="99"/>
    <w:unhideWhenUsed/>
    <w:rsid w:val="00C67C92"/>
    <w:pPr>
      <w:spacing w:after="0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67C92"/>
    <w:rPr>
      <w:rFonts w:ascii="Consolas" w:hAnsi="Consolas" w:cs="Times New Roman"/>
      <w:sz w:val="21"/>
      <w:szCs w:val="21"/>
    </w:rPr>
  </w:style>
  <w:style w:type="character" w:customStyle="1" w:styleId="Nadpis5Char1">
    <w:name w:val="Nadpis 5 Char1"/>
    <w:basedOn w:val="Standardnpsmoodstavce"/>
    <w:uiPriority w:val="9"/>
    <w:semiHidden/>
    <w:rsid w:val="0011501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5015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5015"/>
    <w:pPr>
      <w:spacing w:after="0"/>
    </w:pPr>
    <w:rPr>
      <w:rFonts w:ascii="Tahoma" w:hAnsi="Tahoma" w:cs="Tahoma"/>
      <w:sz w:val="16"/>
      <w:szCs w:val="16"/>
    </w:rPr>
  </w:style>
  <w:style w:type="character" w:customStyle="1" w:styleId="NormalChar">
    <w:name w:val="Normal Char"/>
    <w:basedOn w:val="Standardnpsmoodstavce"/>
    <w:link w:val="Normln1"/>
    <w:locked/>
    <w:rsid w:val="00673511"/>
    <w:rPr>
      <w:rFonts w:ascii="Times New Roman" w:hAnsi="Times New Roman" w:cstheme="minorHAnsi"/>
      <w:sz w:val="24"/>
      <w:szCs w:val="24"/>
    </w:rPr>
  </w:style>
  <w:style w:type="paragraph" w:customStyle="1" w:styleId="Normln1">
    <w:name w:val="Normální1"/>
    <w:basedOn w:val="Normln"/>
    <w:link w:val="NormalChar"/>
    <w:qFormat/>
    <w:rsid w:val="00673511"/>
    <w:pPr>
      <w:spacing w:after="0"/>
    </w:pPr>
    <w:rPr>
      <w:rFonts w:ascii="Times New Roman" w:hAnsi="Times New Roman" w:cstheme="minorHAnsi"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AD7C22"/>
    <w:pPr>
      <w:spacing w:after="100"/>
      <w:ind w:left="240"/>
    </w:pPr>
  </w:style>
  <w:style w:type="numbering" w:customStyle="1" w:styleId="Bezseznamu1">
    <w:name w:val="Bez seznamu1"/>
    <w:next w:val="Bezseznamu"/>
    <w:uiPriority w:val="99"/>
    <w:semiHidden/>
    <w:unhideWhenUsed/>
    <w:rsid w:val="00B53D75"/>
  </w:style>
  <w:style w:type="table" w:customStyle="1" w:styleId="Mkatabulky1">
    <w:name w:val="Mřížka tabulky1"/>
    <w:basedOn w:val="Normlntabulka"/>
    <w:next w:val="Mkatabulky"/>
    <w:uiPriority w:val="59"/>
    <w:rsid w:val="00B53D75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236DA8"/>
    <w:rPr>
      <w:i/>
      <w:iCs/>
    </w:rPr>
  </w:style>
  <w:style w:type="numbering" w:customStyle="1" w:styleId="Bezseznamu2">
    <w:name w:val="Bez seznamu2"/>
    <w:next w:val="Bezseznamu"/>
    <w:uiPriority w:val="99"/>
    <w:semiHidden/>
    <w:unhideWhenUsed/>
    <w:rsid w:val="00E6240D"/>
  </w:style>
  <w:style w:type="character" w:styleId="slostrnky">
    <w:name w:val="page number"/>
    <w:basedOn w:val="Standardnpsmoodstavce"/>
    <w:semiHidden/>
    <w:rsid w:val="00E6240D"/>
  </w:style>
  <w:style w:type="numbering" w:customStyle="1" w:styleId="Bezseznamu11">
    <w:name w:val="Bez seznamu11"/>
    <w:next w:val="Bezseznamu"/>
    <w:uiPriority w:val="99"/>
    <w:semiHidden/>
    <w:unhideWhenUsed/>
    <w:rsid w:val="00E6240D"/>
  </w:style>
  <w:style w:type="paragraph" w:customStyle="1" w:styleId="Titulek1">
    <w:name w:val="Titulek1"/>
    <w:basedOn w:val="Normln"/>
    <w:next w:val="Normln"/>
    <w:uiPriority w:val="35"/>
    <w:unhideWhenUsed/>
    <w:qFormat/>
    <w:rsid w:val="00E6240D"/>
    <w:pPr>
      <w:keepNext/>
      <w:tabs>
        <w:tab w:val="left" w:pos="1134"/>
        <w:tab w:val="right" w:pos="9356"/>
      </w:tabs>
      <w:spacing w:after="40"/>
      <w:jc w:val="both"/>
    </w:pPr>
    <w:rPr>
      <w:b/>
      <w:iCs/>
      <w:sz w:val="20"/>
      <w:szCs w:val="18"/>
    </w:rPr>
  </w:style>
  <w:style w:type="paragraph" w:customStyle="1" w:styleId="Textpoznpodarou1">
    <w:name w:val="Text pozn. pod čarou1"/>
    <w:basedOn w:val="Normln"/>
    <w:next w:val="Textpoznpodarou"/>
    <w:uiPriority w:val="99"/>
    <w:semiHidden/>
    <w:unhideWhenUsed/>
    <w:rsid w:val="00E6240D"/>
    <w:pPr>
      <w:spacing w:after="0"/>
      <w:jc w:val="both"/>
    </w:pPr>
    <w:rPr>
      <w:sz w:val="20"/>
      <w:szCs w:val="20"/>
    </w:rPr>
  </w:style>
  <w:style w:type="paragraph" w:customStyle="1" w:styleId="Nadpisobsahu1">
    <w:name w:val="Nadpis obsahu1"/>
    <w:basedOn w:val="Nadpis1"/>
    <w:next w:val="Normln"/>
    <w:uiPriority w:val="39"/>
    <w:unhideWhenUsed/>
    <w:qFormat/>
    <w:rsid w:val="00E6240D"/>
    <w:pPr>
      <w:keepNext/>
      <w:keepLines/>
      <w:pageBreakBefore/>
      <w:spacing w:before="240" w:after="240"/>
      <w:ind w:left="432" w:hanging="432"/>
      <w:jc w:val="both"/>
      <w:outlineLvl w:val="9"/>
    </w:pPr>
    <w:rPr>
      <w:rFonts w:ascii="Calibri Light" w:eastAsia="Times New Roman" w:hAnsi="Calibri Light" w:cs="Times New Roman"/>
      <w:b w:val="0"/>
      <w:color w:val="2E74B5"/>
      <w:sz w:val="32"/>
      <w:szCs w:val="32"/>
      <w:lang w:eastAsia="cs-CZ"/>
    </w:rPr>
  </w:style>
  <w:style w:type="paragraph" w:customStyle="1" w:styleId="Obsah11">
    <w:name w:val="Obsah 11"/>
    <w:basedOn w:val="Normln"/>
    <w:next w:val="Normln"/>
    <w:autoRedefine/>
    <w:uiPriority w:val="39"/>
    <w:unhideWhenUsed/>
    <w:rsid w:val="00E6240D"/>
    <w:pPr>
      <w:spacing w:after="100"/>
      <w:jc w:val="both"/>
    </w:pPr>
    <w:rPr>
      <w:rFonts w:eastAsia="Calibri"/>
      <w:szCs w:val="22"/>
    </w:rPr>
  </w:style>
  <w:style w:type="paragraph" w:customStyle="1" w:styleId="Obsah21">
    <w:name w:val="Obsah 21"/>
    <w:basedOn w:val="Normln"/>
    <w:next w:val="Normln"/>
    <w:autoRedefine/>
    <w:uiPriority w:val="39"/>
    <w:unhideWhenUsed/>
    <w:rsid w:val="00E6240D"/>
    <w:pPr>
      <w:spacing w:after="100"/>
      <w:ind w:left="240"/>
      <w:jc w:val="both"/>
    </w:pPr>
    <w:rPr>
      <w:rFonts w:eastAsia="Calibri"/>
      <w:szCs w:val="22"/>
    </w:rPr>
  </w:style>
  <w:style w:type="paragraph" w:customStyle="1" w:styleId="Obsah31">
    <w:name w:val="Obsah 31"/>
    <w:basedOn w:val="Normln"/>
    <w:next w:val="Normln"/>
    <w:autoRedefine/>
    <w:uiPriority w:val="39"/>
    <w:unhideWhenUsed/>
    <w:rsid w:val="00E6240D"/>
    <w:pPr>
      <w:spacing w:after="100"/>
      <w:ind w:left="480"/>
      <w:jc w:val="both"/>
    </w:pPr>
    <w:rPr>
      <w:rFonts w:eastAsia="Calibri"/>
      <w:szCs w:val="22"/>
    </w:rPr>
  </w:style>
  <w:style w:type="paragraph" w:customStyle="1" w:styleId="Obsah41">
    <w:name w:val="Obsah 41"/>
    <w:basedOn w:val="Normln"/>
    <w:next w:val="Normln"/>
    <w:autoRedefine/>
    <w:uiPriority w:val="39"/>
    <w:unhideWhenUsed/>
    <w:rsid w:val="00E6240D"/>
    <w:pPr>
      <w:spacing w:after="100" w:line="259" w:lineRule="auto"/>
      <w:ind w:left="660"/>
      <w:jc w:val="both"/>
    </w:pPr>
    <w:rPr>
      <w:sz w:val="22"/>
      <w:szCs w:val="22"/>
      <w:lang w:eastAsia="cs-CZ"/>
    </w:rPr>
  </w:style>
  <w:style w:type="paragraph" w:customStyle="1" w:styleId="Obsah51">
    <w:name w:val="Obsah 51"/>
    <w:basedOn w:val="Normln"/>
    <w:next w:val="Normln"/>
    <w:autoRedefine/>
    <w:uiPriority w:val="39"/>
    <w:unhideWhenUsed/>
    <w:rsid w:val="00E6240D"/>
    <w:pPr>
      <w:spacing w:after="100" w:line="259" w:lineRule="auto"/>
      <w:ind w:left="880"/>
      <w:jc w:val="both"/>
    </w:pPr>
    <w:rPr>
      <w:sz w:val="22"/>
      <w:szCs w:val="22"/>
      <w:lang w:eastAsia="cs-CZ"/>
    </w:rPr>
  </w:style>
  <w:style w:type="paragraph" w:customStyle="1" w:styleId="Obsah61">
    <w:name w:val="Obsah 61"/>
    <w:basedOn w:val="Normln"/>
    <w:next w:val="Normln"/>
    <w:autoRedefine/>
    <w:uiPriority w:val="39"/>
    <w:unhideWhenUsed/>
    <w:rsid w:val="00E6240D"/>
    <w:pPr>
      <w:spacing w:after="100" w:line="259" w:lineRule="auto"/>
      <w:ind w:left="1100"/>
      <w:jc w:val="both"/>
    </w:pPr>
    <w:rPr>
      <w:sz w:val="22"/>
      <w:szCs w:val="22"/>
      <w:lang w:eastAsia="cs-CZ"/>
    </w:rPr>
  </w:style>
  <w:style w:type="paragraph" w:customStyle="1" w:styleId="Obsah71">
    <w:name w:val="Obsah 71"/>
    <w:basedOn w:val="Normln"/>
    <w:next w:val="Normln"/>
    <w:autoRedefine/>
    <w:uiPriority w:val="39"/>
    <w:unhideWhenUsed/>
    <w:rsid w:val="00E6240D"/>
    <w:pPr>
      <w:spacing w:after="100" w:line="259" w:lineRule="auto"/>
      <w:ind w:left="1320"/>
      <w:jc w:val="both"/>
    </w:pPr>
    <w:rPr>
      <w:sz w:val="22"/>
      <w:szCs w:val="22"/>
      <w:lang w:eastAsia="cs-CZ"/>
    </w:rPr>
  </w:style>
  <w:style w:type="paragraph" w:customStyle="1" w:styleId="Obsah81">
    <w:name w:val="Obsah 81"/>
    <w:basedOn w:val="Normln"/>
    <w:next w:val="Normln"/>
    <w:autoRedefine/>
    <w:uiPriority w:val="39"/>
    <w:unhideWhenUsed/>
    <w:rsid w:val="00E6240D"/>
    <w:pPr>
      <w:spacing w:after="100" w:line="259" w:lineRule="auto"/>
      <w:ind w:left="1540"/>
      <w:jc w:val="both"/>
    </w:pPr>
    <w:rPr>
      <w:sz w:val="22"/>
      <w:szCs w:val="22"/>
      <w:lang w:eastAsia="cs-CZ"/>
    </w:rPr>
  </w:style>
  <w:style w:type="paragraph" w:customStyle="1" w:styleId="Obsah91">
    <w:name w:val="Obsah 91"/>
    <w:basedOn w:val="Normln"/>
    <w:next w:val="Normln"/>
    <w:autoRedefine/>
    <w:uiPriority w:val="39"/>
    <w:unhideWhenUsed/>
    <w:rsid w:val="00E6240D"/>
    <w:pPr>
      <w:spacing w:after="100" w:line="259" w:lineRule="auto"/>
      <w:ind w:left="1760"/>
      <w:jc w:val="both"/>
    </w:pPr>
    <w:rPr>
      <w:sz w:val="22"/>
      <w:szCs w:val="22"/>
      <w:lang w:eastAsia="cs-CZ"/>
    </w:rPr>
  </w:style>
  <w:style w:type="character" w:customStyle="1" w:styleId="Hypertextovodkaz1">
    <w:name w:val="Hypertextový odkaz1"/>
    <w:basedOn w:val="Standardnpsmoodstavce"/>
    <w:uiPriority w:val="99"/>
    <w:unhideWhenUsed/>
    <w:rsid w:val="00E6240D"/>
    <w:rPr>
      <w:color w:val="0563C1"/>
      <w:u w:val="single"/>
    </w:rPr>
  </w:style>
  <w:style w:type="paragraph" w:customStyle="1" w:styleId="Seznamobrzk1">
    <w:name w:val="Seznam obrázků1"/>
    <w:basedOn w:val="Normln"/>
    <w:next w:val="Normln"/>
    <w:uiPriority w:val="99"/>
    <w:unhideWhenUsed/>
    <w:rsid w:val="00E6240D"/>
    <w:pPr>
      <w:spacing w:after="0"/>
      <w:jc w:val="both"/>
    </w:pPr>
    <w:rPr>
      <w:rFonts w:eastAsia="Calibri"/>
      <w:szCs w:val="22"/>
    </w:rPr>
  </w:style>
  <w:style w:type="paragraph" w:customStyle="1" w:styleId="Textkomente1">
    <w:name w:val="Text komentáře1"/>
    <w:basedOn w:val="Normln"/>
    <w:next w:val="Textkomente"/>
    <w:uiPriority w:val="99"/>
    <w:semiHidden/>
    <w:unhideWhenUsed/>
    <w:rsid w:val="00E6240D"/>
    <w:pPr>
      <w:spacing w:after="0"/>
      <w:jc w:val="both"/>
    </w:pPr>
    <w:rPr>
      <w:rFonts w:eastAsia="Calibri"/>
      <w:sz w:val="20"/>
      <w:szCs w:val="20"/>
    </w:rPr>
  </w:style>
  <w:style w:type="paragraph" w:customStyle="1" w:styleId="Pedmtkomente1">
    <w:name w:val="Předmět komentáře1"/>
    <w:basedOn w:val="Textkomente"/>
    <w:next w:val="Textkomente"/>
    <w:uiPriority w:val="99"/>
    <w:semiHidden/>
    <w:unhideWhenUsed/>
    <w:rsid w:val="00E6240D"/>
    <w:pPr>
      <w:spacing w:after="0"/>
      <w:jc w:val="both"/>
    </w:pPr>
    <w:rPr>
      <w:rFonts w:eastAsia="Calibri"/>
      <w:b/>
      <w:bCs/>
    </w:rPr>
  </w:style>
  <w:style w:type="table" w:customStyle="1" w:styleId="Mkatabulky11">
    <w:name w:val="Mřížka tabulky11"/>
    <w:basedOn w:val="Normlntabulka"/>
    <w:next w:val="Mkatabulky"/>
    <w:uiPriority w:val="39"/>
    <w:rsid w:val="00E6240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poznpodarouChar1">
    <w:name w:val="Text pozn. pod čarou Char1"/>
    <w:basedOn w:val="Standardnpsmoodstavce"/>
    <w:uiPriority w:val="99"/>
    <w:semiHidden/>
    <w:rsid w:val="00E6240D"/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1">
    <w:name w:val="Text komentáře Char1"/>
    <w:basedOn w:val="Standardnpsmoodstavce"/>
    <w:uiPriority w:val="99"/>
    <w:semiHidden/>
    <w:rsid w:val="00E6240D"/>
    <w:rPr>
      <w:rFonts w:ascii="Times New Roman" w:eastAsia="Times New Roman" w:hAnsi="Times New Roman" w:cs="Times New Roman"/>
      <w:sz w:val="20"/>
      <w:szCs w:val="20"/>
    </w:rPr>
  </w:style>
  <w:style w:type="character" w:customStyle="1" w:styleId="PedmtkomenteChar1">
    <w:name w:val="Předmět komentáře Char1"/>
    <w:basedOn w:val="TextkomenteChar1"/>
    <w:uiPriority w:val="99"/>
    <w:semiHidden/>
    <w:rsid w:val="00E6240D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Mkatabulky2">
    <w:name w:val="Mřížka tabulky2"/>
    <w:basedOn w:val="Normlntabulka"/>
    <w:next w:val="Mkatabulky"/>
    <w:uiPriority w:val="59"/>
    <w:rsid w:val="00E6240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A1"/>
    <w:uiPriority w:val="99"/>
    <w:rsid w:val="00597612"/>
    <w:rPr>
      <w:color w:val="000000"/>
      <w:sz w:val="28"/>
      <w:szCs w:val="28"/>
    </w:rPr>
  </w:style>
  <w:style w:type="character" w:customStyle="1" w:styleId="A4">
    <w:name w:val="A4"/>
    <w:uiPriority w:val="99"/>
    <w:rsid w:val="00597612"/>
    <w:rPr>
      <w:color w:val="000000"/>
      <w:sz w:val="60"/>
      <w:szCs w:val="60"/>
    </w:rPr>
  </w:style>
  <w:style w:type="character" w:customStyle="1" w:styleId="A5">
    <w:name w:val="A5"/>
    <w:uiPriority w:val="99"/>
    <w:rsid w:val="00597612"/>
    <w:rPr>
      <w:b/>
      <w:bCs/>
      <w:color w:val="000000"/>
      <w:sz w:val="40"/>
      <w:szCs w:val="4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05EE"/>
    <w:rPr>
      <w:color w:val="605E5C"/>
      <w:shd w:val="clear" w:color="auto" w:fill="E1DFDD"/>
    </w:rPr>
  </w:style>
  <w:style w:type="character" w:customStyle="1" w:styleId="TitulekChar">
    <w:name w:val="Titulek Char"/>
    <w:basedOn w:val="Standardnpsmoodstavce"/>
    <w:link w:val="Titulek"/>
    <w:uiPriority w:val="35"/>
    <w:locked/>
    <w:rsid w:val="00D50375"/>
    <w:rPr>
      <w:rFonts w:ascii="Calibri" w:hAnsi="Calibri" w:cs="Calibri"/>
      <w:b/>
      <w:bCs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8D50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 Přehled o změnách vlastního kapitálu</c:v>
                </c:pt>
              </c:strCache>
            </c:strRef>
          </c:tx>
          <c:spPr>
            <a:solidFill>
              <a:srgbClr val="2EB3A1"/>
            </a:solidFill>
          </c:spPr>
          <c:dPt>
            <c:idx val="0"/>
            <c:bubble3D val="0"/>
            <c:spPr>
              <a:solidFill>
                <a:srgbClr val="2EB3A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12C-4AFF-8AE2-EB0B9A3135FB}"/>
              </c:ext>
            </c:extLst>
          </c:dPt>
          <c:dPt>
            <c:idx val="1"/>
            <c:bubble3D val="0"/>
            <c:spPr>
              <a:solidFill>
                <a:srgbClr val="2EB3A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12C-4AFF-8AE2-EB0B9A3135FB}"/>
              </c:ext>
            </c:extLst>
          </c:dPt>
          <c:dPt>
            <c:idx val="2"/>
            <c:bubble3D val="0"/>
            <c:spPr>
              <a:solidFill>
                <a:srgbClr val="2EB3A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12C-4AFF-8AE2-EB0B9A3135FB}"/>
              </c:ext>
            </c:extLst>
          </c:dPt>
          <c:dPt>
            <c:idx val="3"/>
            <c:bubble3D val="0"/>
            <c:spPr>
              <a:solidFill>
                <a:srgbClr val="2EB3A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12C-4AFF-8AE2-EB0B9A3135FB}"/>
              </c:ext>
            </c:extLst>
          </c:dPt>
          <c:dPt>
            <c:idx val="4"/>
            <c:bubble3D val="0"/>
            <c:spPr>
              <a:solidFill>
                <a:srgbClr val="2EB3A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12C-4AFF-8AE2-EB0B9A3135FB}"/>
              </c:ext>
            </c:extLst>
          </c:dPt>
          <c:dLbls>
            <c:dLbl>
              <c:idx val="0"/>
              <c:layout>
                <c:manualLayout>
                  <c:x val="0.19264745635867053"/>
                  <c:y val="-0.1096071096613084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Přehled o změnách vlastního kapitálu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768801160128954"/>
                      <c:h val="0.2247668060469604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312C-4AFF-8AE2-EB0B9A3135FB}"/>
                </c:ext>
              </c:extLst>
            </c:dLbl>
            <c:dLbl>
              <c:idx val="1"/>
              <c:layout>
                <c:manualLayout>
                  <c:x val="0.1481479658792651"/>
                  <c:y val="4.5634920634920632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Výkaz zisku </a:t>
                    </a:r>
                    <a:br>
                      <a:rPr lang="en-US">
                        <a:solidFill>
                          <a:sysClr val="windowText" lastClr="000000"/>
                        </a:solidFill>
                      </a:rPr>
                    </a:br>
                    <a:r>
                      <a:rPr lang="en-US">
                        <a:solidFill>
                          <a:sysClr val="windowText" lastClr="000000"/>
                        </a:solidFill>
                      </a:rPr>
                      <a:t>a ztráty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12C-4AFF-8AE2-EB0B9A3135FB}"/>
                </c:ext>
              </c:extLst>
            </c:dLbl>
            <c:dLbl>
              <c:idx val="2"/>
              <c:layout>
                <c:manualLayout>
                  <c:x val="3.0231000424794695E-3"/>
                  <c:y val="0.16311698573863523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tx1"/>
                        </a:solidFill>
                      </a:rPr>
                      <a:t>Příloha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12C-4AFF-8AE2-EB0B9A3135FB}"/>
                </c:ext>
              </c:extLst>
            </c:dLbl>
            <c:dLbl>
              <c:idx val="3"/>
              <c:layout>
                <c:manualLayout>
                  <c:x val="-0.12428134458839525"/>
                  <c:y val="3.6675336779428788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tx1"/>
                        </a:solidFill>
                      </a:rPr>
                      <a:t>Rozvaha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12C-4AFF-8AE2-EB0B9A3135FB}"/>
                </c:ext>
              </c:extLst>
            </c:dLbl>
            <c:dLbl>
              <c:idx val="4"/>
              <c:layout>
                <c:manualLayout>
                  <c:x val="-0.19710793380659991"/>
                  <c:y val="-9.8454575616130968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 algn="ctr">
                      <a:defRPr sz="900" b="0" i="0" u="none" strike="noStrike" kern="1200" baseline="0">
                        <a:ln>
                          <a:noFill/>
                        </a:ln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Přehled </a:t>
                    </a:r>
                    <a:br>
                      <a:rPr lang="en-US">
                        <a:solidFill>
                          <a:schemeClr val="tx1"/>
                        </a:solidFill>
                      </a:rPr>
                    </a:br>
                    <a:r>
                      <a:rPr lang="en-US">
                        <a:solidFill>
                          <a:schemeClr val="tx1"/>
                        </a:solidFill>
                      </a:rPr>
                      <a:t>o peněžních tocích</a:t>
                    </a:r>
                  </a:p>
                </c:rich>
              </c:tx>
              <c:spPr>
                <a:solidFill>
                  <a:schemeClr val="lt1"/>
                </a:solidFill>
                <a:ln>
                  <a:noFill/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 algn="ctr">
                    <a:defRPr sz="900" b="0" i="0" u="none" strike="noStrike" kern="1200" baseline="0">
                      <a:ln>
                        <a:noFill/>
                      </a:ln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oundRec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7577857942795203"/>
                      <c:h val="0.2262367573947112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312C-4AFF-8AE2-EB0B9A3135FB}"/>
                </c:ext>
              </c:extLst>
            </c:dLbl>
            <c:spPr>
              <a:solidFill>
                <a:schemeClr val="lt1"/>
              </a:solidFill>
              <a:ln>
                <a:noFill/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ln>
                      <a:noFill/>
                    </a:ln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List1!$A$2:$A$6</c:f>
              <c:strCache>
                <c:ptCount val="5"/>
                <c:pt idx="0">
                  <c:v>Sloupec 2</c:v>
                </c:pt>
                <c:pt idx="3">
                  <c:v>Příloha</c:v>
                </c:pt>
                <c:pt idx="4">
                  <c:v>5. čtvrt</c:v>
                </c:pt>
              </c:strCache>
            </c:strRef>
          </c:cat>
          <c:val>
            <c:numRef>
              <c:f>List1!$B$2:$B$6</c:f>
              <c:numCache>
                <c:formatCode>General</c:formatCode>
                <c:ptCount val="5"/>
                <c:pt idx="0">
                  <c:v>20</c:v>
                </c:pt>
                <c:pt idx="1">
                  <c:v>20</c:v>
                </c:pt>
                <c:pt idx="2">
                  <c:v>20</c:v>
                </c:pt>
                <c:pt idx="3">
                  <c:v>20</c:v>
                </c:pt>
                <c:pt idx="4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12C-4AFF-8AE2-EB0B9A3135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5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</a:defRPr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A625AE9F5AB4A939F92BCAA7FEC02" ma:contentTypeVersion="1" ma:contentTypeDescription="Vytvoří nový dokument" ma:contentTypeScope="" ma:versionID="09736fd4d2dc7a7ec8b641ae14df0e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91a41dfb025b41eb9943aabee43187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0F923-7150-41FF-A829-D5640C567F8E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sharepoint/v3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2EE732-A3B1-4BC1-B881-AEA3FB9EE5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25B72B-5633-455C-9C8D-7ED237617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04282A-C09C-4663-8D52-799390490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37</Pages>
  <Words>12374</Words>
  <Characters>73013</Characters>
  <Application>Microsoft Office Word</Application>
  <DocSecurity>0</DocSecurity>
  <Lines>608</Lines>
  <Paragraphs>170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19/21 - Závěrečný účet kapitoly státního rozpočtu Ministerstvo pro místní rozvoj za rok 2018, účetní závěrka Ministerstva pro místní rozvoj za rok 2018 a údaje předkládané Ministerstvem pro místní rozvoj</vt:lpstr>
    </vt:vector>
  </TitlesOfParts>
  <Company>NKU</Company>
  <LinksUpToDate>false</LinksUpToDate>
  <CharactersWithSpaces>85217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21/27 - Závěrečný účet kapitoly státního rozpočtu Ministerstvo vnitra za rok 2021, účetnictví Ministerstva vnitra za rok 2021 a údaje předkládané Ministerstvem vnitra pro hodnocení plnění státního rozpočtu za rok 2021</dc:title>
  <dc:subject>Kontrolní závěr z kontrolní akce NKÚ č. 21/27 - Závěrečný účet kapitoly státního rozpočtu Ministerstvo vnitra za rok 2021, účetnictví Ministerstva vnitra za rok 2021 a údaje předkládané Ministerstvem vnitra pro hodnocení plnění státního rozpočtu za rok 2021</dc:subject>
  <dc:creator>Nejvyšší kontrolní úřad</dc:creator>
  <cp:keywords>kontrolní závěr, MV, účetnictví</cp:keywords>
  <cp:lastModifiedBy>KOKRDA Daniel</cp:lastModifiedBy>
  <cp:revision>3</cp:revision>
  <cp:lastPrinted>2022-09-09T06:07:00Z</cp:lastPrinted>
  <dcterms:created xsi:type="dcterms:W3CDTF">2022-09-09T06:05:00Z</dcterms:created>
  <dcterms:modified xsi:type="dcterms:W3CDTF">2022-09-09T06:09:00Z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19/03-NKU30/1082/19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510/142/18</vt:lpwstr>
  </property>
  <property fmtid="{D5CDD505-2E9C-101B-9397-08002B2CF9AE}" pid="7" name="Contact_PostaOdes_All">
    <vt:lpwstr>ROZDĚLOVNÍK...</vt:lpwstr>
  </property>
  <property fmtid="{D5CDD505-2E9C-101B-9397-08002B2CF9AE}" pid="8" name="ContentTypeId">
    <vt:lpwstr>0x0101002F7A625AE9F5AB4A939F92BCAA7FEC02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7.10.2019</vt:lpwstr>
  </property>
  <property fmtid="{D5CDD505-2E9C-101B-9397-08002B2CF9AE}" pid="12" name="DisplayName_CJCol">
    <vt:lpwstr>&lt;TABLE&gt;&lt;TR&gt;&lt;TD&gt;Č.j.:&lt;/TD&gt;&lt;TD&gt;19/03-NKU30/1082/19&lt;/TD&gt;&lt;/TR&gt;&lt;TR&gt;&lt;TD&gt;&lt;/TD&gt;&lt;TD&gt;&lt;/TD&gt;&lt;/TR&gt;&lt;/TABLE&gt;</vt:lpwstr>
  </property>
  <property fmtid="{D5CDD505-2E9C-101B-9397-08002B2CF9AE}" pid="13" name="DisplayName_SlozkaStupenUtajeniCollection_Slozka_Pisemnost">
    <vt:lpwstr/>
  </property>
  <property fmtid="{D5CDD505-2E9C-101B-9397-08002B2CF9AE}" pid="14" name="DisplayName_SpisovyUzel_PoziceZodpo_Pisemnost">
    <vt:lpwstr>Členové Úřadu</vt:lpwstr>
  </property>
  <property fmtid="{D5CDD505-2E9C-101B-9397-08002B2CF9AE}" pid="15" name="DisplayName_UserPoriz_Pisemnost">
    <vt:lpwstr>Bc. Jana Pokorná</vt:lpwstr>
  </property>
  <property fmtid="{D5CDD505-2E9C-101B-9397-08002B2CF9AE}" pid="16" name="DuvodZmeny_SlozkaStupenUtajeniCollection_Slozka_Pisemnost">
    <vt:lpwstr/>
  </property>
  <property fmtid="{D5CDD505-2E9C-101B-9397-08002B2CF9AE}" pid="17" name="EC_Pisemnost">
    <vt:lpwstr>19-13020/NKU</vt:lpwstr>
  </property>
  <property fmtid="{D5CDD505-2E9C-101B-9397-08002B2CF9AE}" pid="18" name="Key_BarCode_Pisemnost">
    <vt:lpwstr>*B000344466*</vt:lpwstr>
  </property>
  <property fmtid="{D5CDD505-2E9C-101B-9397-08002B2CF9AE}" pid="19" name="KRukam">
    <vt:lpwstr>{KRukam}</vt:lpwstr>
  </property>
  <property fmtid="{D5CDD505-2E9C-101B-9397-08002B2CF9AE}" pid="20" name="NameAddress_Contact_SpisovyUzel_PoziceZodpo_Pisemnost">
    <vt:lpwstr>ADRESÁT SU...</vt:lpwstr>
  </property>
  <property fmtid="{D5CDD505-2E9C-101B-9397-08002B2CF9AE}" pid="21" name="NamePostalAddress_Contact_PostaOdes">
    <vt:lpwstr>{NameAddress_Contact_PostaOdes}
{PostalAddress_Contact_PostaOdes}</vt:lpwstr>
  </property>
  <property fmtid="{D5CDD505-2E9C-101B-9397-08002B2CF9AE}" pid="22" name="Odkaz">
    <vt:lpwstr>ODKAZ</vt:lpwstr>
  </property>
  <property fmtid="{D5CDD505-2E9C-101B-9397-08002B2CF9AE}" pid="23" name="Password_PisemnostTypZpristupneniInformaciZOSZ_Pisemnost">
    <vt:lpwstr>ZOSZ_Password</vt:lpwstr>
  </property>
  <property fmtid="{D5CDD505-2E9C-101B-9397-08002B2CF9AE}" pid="24" name="PocetListuDokumentu_Pisemnost">
    <vt:lpwstr>1</vt:lpwstr>
  </property>
  <property fmtid="{D5CDD505-2E9C-101B-9397-08002B2CF9AE}" pid="25" name="PocetListu_Pisemnost">
    <vt:lpwstr>1</vt:lpwstr>
  </property>
  <property fmtid="{D5CDD505-2E9C-101B-9397-08002B2CF9AE}" pid="26" name="PocetPriloh_Pisemnost">
    <vt:lpwstr>POČET PŘÍLOH</vt:lpwstr>
  </property>
  <property fmtid="{D5CDD505-2E9C-101B-9397-08002B2CF9AE}" pid="27" name="Podpis">
    <vt:lpwstr/>
  </property>
  <property fmtid="{D5CDD505-2E9C-101B-9397-08002B2CF9AE}" pid="28" name="PostalAddress_Contact_SpisovyUzel_PoziceZodpo_Pisemnost">
    <vt:lpwstr>ADRESA SU...</vt:lpwstr>
  </property>
  <property fmtid="{D5CDD505-2E9C-101B-9397-08002B2CF9AE}" pid="29" name="RC">
    <vt:lpwstr/>
  </property>
  <property fmtid="{D5CDD505-2E9C-101B-9397-08002B2CF9AE}" pid="30" name="SkartacniZnakLhuta_PisemnostZnak">
    <vt:lpwstr>?/?</vt:lpwstr>
  </property>
  <property fmtid="{D5CDD505-2E9C-101B-9397-08002B2CF9AE}" pid="31" name="SmlouvaCislo">
    <vt:lpwstr>ČÍSLO SMLOUVY</vt:lpwstr>
  </property>
  <property fmtid="{D5CDD505-2E9C-101B-9397-08002B2CF9AE}" pid="32" name="SZ_Spis_Pisemnost">
    <vt:lpwstr>19/03</vt:lpwstr>
  </property>
  <property fmtid="{D5CDD505-2E9C-101B-9397-08002B2CF9AE}" pid="33" name="TEST">
    <vt:lpwstr>testovací pole</vt:lpwstr>
  </property>
  <property fmtid="{D5CDD505-2E9C-101B-9397-08002B2CF9AE}" pid="34" name="TypPrilohy_Pisemnost">
    <vt:lpwstr>TYP PŘÍLOHY</vt:lpwstr>
  </property>
  <property fmtid="{D5CDD505-2E9C-101B-9397-08002B2CF9AE}" pid="35" name="UserName_PisemnostTypZpristupneniInformaciZOSZ_Pisemnost">
    <vt:lpwstr>ZOSZ_UserName</vt:lpwstr>
  </property>
  <property fmtid="{D5CDD505-2E9C-101B-9397-08002B2CF9AE}" pid="36" name="Vec_Pisemnost">
    <vt:lpwstr>Návrh kontrolního závěru 19/03 – do připomínek</vt:lpwstr>
  </property>
  <property fmtid="{D5CDD505-2E9C-101B-9397-08002B2CF9AE}" pid="37" name="Zkratka_SpisovyUzel_PoziceZodpo_Pisemnost">
    <vt:lpwstr>30</vt:lpwstr>
  </property>
</Properties>
</file>