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E8834" w14:textId="77777777" w:rsidR="00ED2E71" w:rsidRDefault="000A5F6C" w:rsidP="00ED2E71">
      <w:pPr>
        <w:jc w:val="center"/>
      </w:pPr>
      <w:bookmarkStart w:id="0" w:name="_GoBack"/>
      <w:bookmarkEnd w:id="0"/>
      <w:r w:rsidRPr="00C3396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99F5969" wp14:editId="5135EA3C">
            <wp:simplePos x="0" y="0"/>
            <wp:positionH relativeFrom="margin">
              <wp:posOffset>2522855</wp:posOffset>
            </wp:positionH>
            <wp:positionV relativeFrom="paragraph">
              <wp:posOffset>559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C1BA4" w14:textId="77777777" w:rsidR="00ED2E71" w:rsidRDefault="00ED2E71" w:rsidP="00ED2E71">
      <w:pPr>
        <w:jc w:val="center"/>
      </w:pPr>
    </w:p>
    <w:p w14:paraId="303D39DF" w14:textId="77777777" w:rsidR="00ED2E71" w:rsidRPr="00C3396A" w:rsidRDefault="00ED2E71" w:rsidP="00ED2E71">
      <w:pPr>
        <w:jc w:val="center"/>
      </w:pPr>
    </w:p>
    <w:p w14:paraId="37E1EAF1" w14:textId="77777777" w:rsidR="00ED2E71" w:rsidRPr="00C3396A" w:rsidRDefault="000A5F6C" w:rsidP="00ED2E71">
      <w:pPr>
        <w:jc w:val="center"/>
        <w:outlineLvl w:val="0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Kontrolní závěr z kontrolní akce</w:t>
      </w:r>
    </w:p>
    <w:p w14:paraId="70FEEB9A" w14:textId="77777777" w:rsidR="00ED2E71" w:rsidRPr="008F74E8" w:rsidRDefault="00ED2E71" w:rsidP="00ED2E71">
      <w:pPr>
        <w:jc w:val="center"/>
      </w:pPr>
    </w:p>
    <w:p w14:paraId="7EA15ACB" w14:textId="77777777" w:rsidR="00ED2E71" w:rsidRDefault="000A5F6C" w:rsidP="00ED2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3396A">
        <w:rPr>
          <w:b/>
          <w:sz w:val="28"/>
          <w:szCs w:val="28"/>
        </w:rPr>
        <w:t>1/</w:t>
      </w:r>
      <w:r>
        <w:rPr>
          <w:b/>
          <w:sz w:val="28"/>
          <w:szCs w:val="28"/>
        </w:rPr>
        <w:t>06</w:t>
      </w:r>
    </w:p>
    <w:p w14:paraId="0F2514A9" w14:textId="77777777" w:rsidR="00ED2E71" w:rsidRDefault="00ED2E71" w:rsidP="00ED2E71">
      <w:pPr>
        <w:jc w:val="center"/>
      </w:pPr>
    </w:p>
    <w:p w14:paraId="1C965510" w14:textId="77777777" w:rsidR="00ED2E71" w:rsidRPr="009F1964" w:rsidRDefault="000A5F6C" w:rsidP="00ED2E71">
      <w:pPr>
        <w:jc w:val="center"/>
        <w:rPr>
          <w:b/>
          <w:sz w:val="28"/>
          <w:szCs w:val="28"/>
        </w:rPr>
      </w:pPr>
      <w:r w:rsidRPr="009F1964">
        <w:rPr>
          <w:b/>
          <w:sz w:val="28"/>
          <w:szCs w:val="28"/>
        </w:rPr>
        <w:t>Peněžní prostředky státu a Evropské unie určené na realizaci opatření</w:t>
      </w:r>
    </w:p>
    <w:p w14:paraId="4E4A0D18" w14:textId="77777777" w:rsidR="00ED2E71" w:rsidRDefault="000A5F6C" w:rsidP="00ED2E71">
      <w:pPr>
        <w:jc w:val="center"/>
      </w:pPr>
      <w:r w:rsidRPr="009F1964">
        <w:rPr>
          <w:b/>
          <w:sz w:val="28"/>
          <w:szCs w:val="28"/>
        </w:rPr>
        <w:t>v oblasti nakládání s odpady</w:t>
      </w:r>
    </w:p>
    <w:p w14:paraId="09E53A19" w14:textId="77777777" w:rsidR="00ED2E71" w:rsidRDefault="00ED2E71" w:rsidP="00ED2E71">
      <w:pPr>
        <w:jc w:val="both"/>
      </w:pPr>
    </w:p>
    <w:p w14:paraId="39F28588" w14:textId="77777777" w:rsidR="00ED2E71" w:rsidRPr="00321AB1" w:rsidRDefault="000A5F6C" w:rsidP="00ED2E71">
      <w:pPr>
        <w:pStyle w:val="Text"/>
        <w:spacing w:after="120" w:line="264" w:lineRule="auto"/>
      </w:pPr>
      <w:r w:rsidRPr="00321AB1">
        <w:t>Kontrolní akce byla zařazena do plánu kontrolní činnosti Nejvyš</w:t>
      </w:r>
      <w:r>
        <w:t>šího kontrolního úřadu (dále také</w:t>
      </w:r>
      <w:r w:rsidRPr="00321AB1">
        <w:t xml:space="preserve"> „NKÚ“) na rok 20</w:t>
      </w:r>
      <w:r>
        <w:t>21</w:t>
      </w:r>
      <w:r w:rsidRPr="00321AB1">
        <w:t xml:space="preserve"> pod číslem </w:t>
      </w:r>
      <w:r>
        <w:t>21</w:t>
      </w:r>
      <w:r w:rsidRPr="00321AB1">
        <w:t>/</w:t>
      </w:r>
      <w:r>
        <w:t>06</w:t>
      </w:r>
      <w:r w:rsidRPr="00321AB1">
        <w:t xml:space="preserve">. Kontrolní akci řídil a kontrolní závěr vypracoval člen NKÚ RNDr. Petr </w:t>
      </w:r>
      <w:proofErr w:type="spellStart"/>
      <w:r w:rsidRPr="00321AB1">
        <w:t>Neuvirt</w:t>
      </w:r>
      <w:proofErr w:type="spellEnd"/>
      <w:r w:rsidRPr="00321AB1">
        <w:t>.</w:t>
      </w:r>
    </w:p>
    <w:p w14:paraId="27F991F1" w14:textId="77777777" w:rsidR="00ED2E71" w:rsidRDefault="000A5F6C" w:rsidP="00ED2E71">
      <w:pPr>
        <w:pStyle w:val="Text"/>
        <w:spacing w:before="240" w:after="120" w:line="264" w:lineRule="auto"/>
      </w:pPr>
      <w:r w:rsidRPr="00321AB1">
        <w:t>Cílem kontroly bylo</w:t>
      </w:r>
      <w:r w:rsidRPr="009C5669">
        <w:t xml:space="preserve"> </w:t>
      </w:r>
      <w:r>
        <w:t>p</w:t>
      </w:r>
      <w:r w:rsidRPr="009C5669">
        <w:t>rověřit</w:t>
      </w:r>
      <w:r w:rsidRPr="00193A3C">
        <w:t xml:space="preserve">, </w:t>
      </w:r>
      <w:r w:rsidRPr="009F1964">
        <w:t>zda peněžní prostředky určené na realizaci opatření v oblasti nakládání s odpady přispěly k realizaci stanovených cílů a zda byly poskytovány a čerpány v</w:t>
      </w:r>
      <w:r>
        <w:t> </w:t>
      </w:r>
      <w:r w:rsidRPr="009F1964">
        <w:t>souladu s právními předpisy.</w:t>
      </w:r>
    </w:p>
    <w:p w14:paraId="2C6094BB" w14:textId="77777777" w:rsidR="00ED2E71" w:rsidRPr="00321AB1" w:rsidRDefault="000A5F6C" w:rsidP="00ED2E71">
      <w:pPr>
        <w:pStyle w:val="Text"/>
        <w:spacing w:before="240" w:after="120" w:line="264" w:lineRule="auto"/>
      </w:pPr>
      <w:r w:rsidRPr="00321AB1">
        <w:t xml:space="preserve">Kontrola byla prováděna u kontrolovaných osob v období od </w:t>
      </w:r>
      <w:r>
        <w:t>března</w:t>
      </w:r>
      <w:r w:rsidRPr="00321AB1">
        <w:t xml:space="preserve"> 20</w:t>
      </w:r>
      <w:r>
        <w:t>21</w:t>
      </w:r>
      <w:r w:rsidRPr="00321AB1">
        <w:t xml:space="preserve"> do </w:t>
      </w:r>
      <w:r>
        <w:t>listopadu 2021.</w:t>
      </w:r>
    </w:p>
    <w:p w14:paraId="10369D08" w14:textId="601EB98E" w:rsidR="00ED2E71" w:rsidRDefault="000A5F6C" w:rsidP="00ED2E71">
      <w:pPr>
        <w:pStyle w:val="Text"/>
        <w:spacing w:before="240" w:after="120" w:line="264" w:lineRule="auto"/>
      </w:pPr>
      <w:r w:rsidRPr="00321AB1">
        <w:t>Kontrolovaným obdobím byly roky 20</w:t>
      </w:r>
      <w:r>
        <w:t>18</w:t>
      </w:r>
      <w:r w:rsidRPr="00321AB1">
        <w:t xml:space="preserve"> až 20</w:t>
      </w:r>
      <w:r>
        <w:t>20</w:t>
      </w:r>
      <w:r w:rsidRPr="00321AB1">
        <w:t>, v</w:t>
      </w:r>
      <w:r w:rsidR="0000077A">
        <w:t xml:space="preserve"> </w:t>
      </w:r>
      <w:r w:rsidRPr="00321AB1">
        <w:t>případě věcných souvislostí i</w:t>
      </w:r>
      <w:r w:rsidR="007265D4">
        <w:t xml:space="preserve"> </w:t>
      </w:r>
      <w:r w:rsidRPr="00321AB1">
        <w:t>období předcházející a následující.</w:t>
      </w:r>
    </w:p>
    <w:p w14:paraId="1A33003E" w14:textId="1C51CC10" w:rsidR="00ED2E71" w:rsidRPr="009C5669" w:rsidRDefault="000A5F6C" w:rsidP="00ED2E71">
      <w:pPr>
        <w:pStyle w:val="Text"/>
        <w:spacing w:before="240" w:after="120" w:line="264" w:lineRule="auto"/>
      </w:pPr>
      <w:r w:rsidRPr="007F5880">
        <w:rPr>
          <w:b/>
        </w:rPr>
        <w:t>Kontrolované osoby:</w:t>
      </w:r>
      <w:r w:rsidRPr="00321AB1">
        <w:cr/>
      </w:r>
      <w:bookmarkStart w:id="1" w:name="_Hlk100739285"/>
      <w:r w:rsidRPr="0014296D">
        <w:t>Ministerstvo životního prostředí (dále také „MŽP“);</w:t>
      </w:r>
      <w:r>
        <w:t xml:space="preserve"> </w:t>
      </w:r>
      <w:r w:rsidRPr="0014296D">
        <w:t>Státní fond životního prostředí České republiky</w:t>
      </w:r>
      <w:bookmarkEnd w:id="1"/>
      <w:r w:rsidRPr="0014296D">
        <w:t>, Praha (dále také „SFŽP“);</w:t>
      </w:r>
      <w:r>
        <w:t xml:space="preserve"> </w:t>
      </w:r>
      <w:r w:rsidR="001B5C1E">
        <w:t>měs</w:t>
      </w:r>
      <w:r>
        <w:t xml:space="preserve">to Kolín; </w:t>
      </w:r>
      <w:r w:rsidR="00F91F00">
        <w:t>m</w:t>
      </w:r>
      <w:r>
        <w:t xml:space="preserve">ěsto Luže; </w:t>
      </w:r>
      <w:r w:rsidR="00F91F00">
        <w:t>m</w:t>
      </w:r>
      <w:r>
        <w:t xml:space="preserve">ěsto Polná; </w:t>
      </w:r>
      <w:r w:rsidR="00F91F00">
        <w:t>o</w:t>
      </w:r>
      <w:r>
        <w:t xml:space="preserve">bec Sivice; </w:t>
      </w:r>
      <w:r w:rsidR="00F91F00">
        <w:t>o</w:t>
      </w:r>
      <w:r>
        <w:t>bec Šakvice; SVAZEK OBCÍ NOVOBORSKA, Nový Bor; Svazek obcí Peklo, Zahrádky; MIKROREGION ÚDOLÍ LIDICKÉHO POTOKA, Buštěhrad; METAL TRADE COMAX, a.s.</w:t>
      </w:r>
      <w:r w:rsidR="00D40FCE">
        <w:t>,</w:t>
      </w:r>
      <w:r>
        <w:t xml:space="preserve"> Velvary; </w:t>
      </w:r>
      <w:proofErr w:type="spellStart"/>
      <w:r>
        <w:t>goodooga</w:t>
      </w:r>
      <w:proofErr w:type="spellEnd"/>
      <w:r>
        <w:t xml:space="preserve"> s.r.o., Praha; Tomáš </w:t>
      </w:r>
      <w:proofErr w:type="spellStart"/>
      <w:r>
        <w:t>Chrbolka</w:t>
      </w:r>
      <w:proofErr w:type="spellEnd"/>
      <w:r>
        <w:t xml:space="preserve"> s.r.o., Kutná Hora.</w:t>
      </w:r>
    </w:p>
    <w:p w14:paraId="319D172D" w14:textId="77777777" w:rsidR="00ED2E71" w:rsidRPr="00D8596E" w:rsidRDefault="00ED2E71" w:rsidP="00ED2E71">
      <w:pPr>
        <w:spacing w:before="120" w:after="120" w:line="264" w:lineRule="auto"/>
      </w:pPr>
    </w:p>
    <w:p w14:paraId="728EEC37" w14:textId="77777777" w:rsidR="00ED2E71" w:rsidRPr="00D93E0B" w:rsidRDefault="000A5F6C" w:rsidP="00ED2E71">
      <w:pPr>
        <w:spacing w:after="120"/>
      </w:pPr>
      <w:r w:rsidRPr="006054F8">
        <w:rPr>
          <w:b/>
          <w:i/>
          <w:spacing w:val="40"/>
        </w:rPr>
        <w:t>Kolegium</w:t>
      </w:r>
      <w:r w:rsidRPr="006054F8">
        <w:rPr>
          <w:b/>
          <w:i/>
        </w:rPr>
        <w:t xml:space="preserve">   </w:t>
      </w:r>
      <w:r w:rsidRPr="006054F8">
        <w:rPr>
          <w:b/>
          <w:i/>
          <w:spacing w:val="40"/>
        </w:rPr>
        <w:t>NKÚ</w:t>
      </w:r>
      <w:r w:rsidRPr="006054F8">
        <w:rPr>
          <w:b/>
          <w:i/>
        </w:rPr>
        <w:t xml:space="preserve">   </w:t>
      </w:r>
      <w:r w:rsidRPr="00D93E0B">
        <w:t xml:space="preserve">na svém </w:t>
      </w:r>
      <w:r w:rsidR="009C26CC">
        <w:t>VI</w:t>
      </w:r>
      <w:r w:rsidRPr="00D93E0B">
        <w:t xml:space="preserve">. jednání, které se konalo dne </w:t>
      </w:r>
      <w:r w:rsidR="009C26CC">
        <w:t>11. dubna</w:t>
      </w:r>
      <w:r w:rsidR="008F77D5" w:rsidRPr="00D93E0B">
        <w:t xml:space="preserve"> </w:t>
      </w:r>
      <w:r w:rsidRPr="00D93E0B">
        <w:t>2022,</w:t>
      </w:r>
    </w:p>
    <w:p w14:paraId="7008F622" w14:textId="77777777" w:rsidR="00ED2E71" w:rsidRPr="00D8596E" w:rsidRDefault="000A5F6C" w:rsidP="00ED2E71">
      <w:pPr>
        <w:spacing w:after="120"/>
      </w:pPr>
      <w:r w:rsidRPr="00D93E0B">
        <w:rPr>
          <w:b/>
          <w:i/>
          <w:spacing w:val="40"/>
        </w:rPr>
        <w:t>schválilo</w:t>
      </w:r>
      <w:r w:rsidRPr="00D93E0B">
        <w:rPr>
          <w:b/>
          <w:i/>
        </w:rPr>
        <w:t xml:space="preserve">   </w:t>
      </w:r>
      <w:r w:rsidRPr="00D93E0B">
        <w:t xml:space="preserve">usnesením č. </w:t>
      </w:r>
      <w:r w:rsidR="002939BF">
        <w:t>12</w:t>
      </w:r>
      <w:r w:rsidRPr="00D93E0B">
        <w:t>/</w:t>
      </w:r>
      <w:r w:rsidR="009C26CC">
        <w:t>VI</w:t>
      </w:r>
      <w:r w:rsidRPr="00D93E0B">
        <w:t>/2022</w:t>
      </w:r>
    </w:p>
    <w:p w14:paraId="22D775CF" w14:textId="77777777" w:rsidR="00CA2C1A" w:rsidRDefault="000A5F6C" w:rsidP="00ED2E71">
      <w:r w:rsidRPr="007F5880">
        <w:rPr>
          <w:b/>
          <w:i/>
          <w:spacing w:val="40"/>
        </w:rPr>
        <w:t>kontrolní</w:t>
      </w:r>
      <w:r w:rsidRPr="007F5880">
        <w:rPr>
          <w:b/>
          <w:i/>
        </w:rPr>
        <w:t xml:space="preserve">   </w:t>
      </w:r>
      <w:r w:rsidRPr="007F5880">
        <w:rPr>
          <w:b/>
          <w:i/>
          <w:spacing w:val="40"/>
        </w:rPr>
        <w:t>závěr</w:t>
      </w:r>
      <w:r w:rsidRPr="00D8596E">
        <w:t xml:space="preserve">   v to</w:t>
      </w:r>
      <w:r>
        <w:t>mto znění:</w:t>
      </w:r>
      <w:r>
        <w:br w:type="page"/>
      </w:r>
    </w:p>
    <w:p w14:paraId="3ECF38A0" w14:textId="77777777" w:rsidR="00883A22" w:rsidRPr="00B55A79" w:rsidRDefault="00883A22" w:rsidP="00883A22">
      <w:pPr>
        <w:spacing w:after="120"/>
        <w:rPr>
          <w:rFonts w:cs="Calibri"/>
          <w:color w:val="5B9BD5" w:themeColor="accent1"/>
          <w:sz w:val="36"/>
          <w:szCs w:val="36"/>
        </w:rPr>
      </w:pPr>
      <w:r w:rsidRPr="00B55A79">
        <w:rPr>
          <w:rFonts w:eastAsiaTheme="majorEastAsia" w:cs="Calibri"/>
          <w:bCs/>
          <w:color w:val="5B9BD5" w:themeColor="accent1"/>
          <w:sz w:val="36"/>
          <w:szCs w:val="36"/>
        </w:rPr>
        <w:lastRenderedPageBreak/>
        <w:t>Odpadové hospod</w:t>
      </w:r>
      <w:r>
        <w:rPr>
          <w:rFonts w:eastAsiaTheme="majorEastAsia" w:cs="Calibri"/>
          <w:bCs/>
          <w:color w:val="5B9BD5" w:themeColor="accent1"/>
          <w:sz w:val="36"/>
          <w:szCs w:val="36"/>
        </w:rPr>
        <w:t>á</w:t>
      </w:r>
      <w:r w:rsidRPr="00B55A79">
        <w:rPr>
          <w:rFonts w:eastAsiaTheme="majorEastAsia" w:cs="Calibri"/>
          <w:bCs/>
          <w:color w:val="5B9BD5" w:themeColor="accent1"/>
          <w:sz w:val="36"/>
          <w:szCs w:val="36"/>
        </w:rPr>
        <w:t>řství</w:t>
      </w:r>
    </w:p>
    <w:p w14:paraId="2EBC3555" w14:textId="77777777" w:rsidR="00883A22" w:rsidRPr="00383FAC" w:rsidRDefault="00883A22" w:rsidP="00883A22">
      <w:pPr>
        <w:rPr>
          <w:rStyle w:val="A1"/>
          <w:rFonts w:ascii="Calibri Light" w:hAnsi="Calibri Light" w:cs="Calibri Light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3A22" w:rsidRPr="00FA5DFC" w14:paraId="2F0B38C6" w14:textId="77777777" w:rsidTr="004F661B">
        <w:trPr>
          <w:trHeight w:val="227"/>
        </w:trPr>
        <w:tc>
          <w:tcPr>
            <w:tcW w:w="3020" w:type="dxa"/>
          </w:tcPr>
          <w:p w14:paraId="0556C43E" w14:textId="77777777" w:rsidR="00883A22" w:rsidRPr="00FA5DFC" w:rsidRDefault="00883A22" w:rsidP="004F661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042" w:type="dxa"/>
            <w:gridSpan w:val="2"/>
          </w:tcPr>
          <w:p w14:paraId="6CB32123" w14:textId="77777777" w:rsidR="00883A22" w:rsidRPr="00FA5DFC" w:rsidRDefault="00FA52F4" w:rsidP="004F661B">
            <w:pPr>
              <w:jc w:val="center"/>
              <w:rPr>
                <w:rStyle w:val="A1"/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Style w:val="A1"/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Style w:val="A1"/>
                <w:sz w:val="22"/>
                <w:szCs w:val="22"/>
              </w:rPr>
              <w:t>ízké p</w:t>
            </w:r>
            <w:r w:rsidR="00883A22" w:rsidRPr="00FA5DFC">
              <w:rPr>
                <w:rStyle w:val="A1"/>
                <w:rFonts w:ascii="Calibri" w:hAnsi="Calibri" w:cs="Calibri"/>
                <w:sz w:val="22"/>
                <w:szCs w:val="22"/>
              </w:rPr>
              <w:t>lnění indikátorů OPŽP</w:t>
            </w:r>
            <w:r w:rsidR="00FA532E">
              <w:rPr>
                <w:rStyle w:val="A1"/>
                <w:rFonts w:ascii="Calibri" w:hAnsi="Calibri" w:cs="Calibri"/>
                <w:sz w:val="22"/>
                <w:szCs w:val="22"/>
              </w:rPr>
              <w:t xml:space="preserve"> 2014</w:t>
            </w:r>
            <w:r w:rsidR="0039408D" w:rsidRPr="008C1FD3">
              <w:rPr>
                <w:i/>
              </w:rPr>
              <w:t>–</w:t>
            </w:r>
            <w:r w:rsidR="00FA532E">
              <w:rPr>
                <w:rStyle w:val="A1"/>
                <w:rFonts w:ascii="Calibri" w:hAnsi="Calibri" w:cs="Calibri"/>
                <w:sz w:val="22"/>
                <w:szCs w:val="22"/>
              </w:rPr>
              <w:t>2020</w:t>
            </w:r>
            <w:r w:rsidR="00883A22" w:rsidRPr="00FA5DFC">
              <w:rPr>
                <w:rStyle w:val="A1"/>
                <w:rFonts w:ascii="Calibri" w:hAnsi="Calibri" w:cs="Calibri"/>
                <w:sz w:val="22"/>
                <w:szCs w:val="22"/>
              </w:rPr>
              <w:t xml:space="preserve"> k 31. 12. 2020</w:t>
            </w:r>
          </w:p>
        </w:tc>
      </w:tr>
      <w:tr w:rsidR="00883A22" w:rsidRPr="00B55A79" w14:paraId="02751E87" w14:textId="77777777" w:rsidTr="004F661B">
        <w:trPr>
          <w:trHeight w:val="1918"/>
        </w:trPr>
        <w:tc>
          <w:tcPr>
            <w:tcW w:w="3020" w:type="dxa"/>
          </w:tcPr>
          <w:p w14:paraId="5C8DBD8C" w14:textId="77777777" w:rsidR="00883A22" w:rsidRPr="00B55A79" w:rsidRDefault="00883A22" w:rsidP="004F661B">
            <w:pPr>
              <w:jc w:val="center"/>
              <w:rPr>
                <w:rFonts w:cstheme="minorHAnsi"/>
                <w:b/>
              </w:rPr>
            </w:pPr>
            <w:r w:rsidRPr="00B55A79">
              <w:rPr>
                <w:rFonts w:cstheme="minorHAnsi"/>
                <w:b/>
                <w:sz w:val="40"/>
                <w:szCs w:val="40"/>
              </w:rPr>
              <w:t>8,9 mld. Kč</w:t>
            </w:r>
          </w:p>
          <w:p w14:paraId="44AD97D9" w14:textId="77777777" w:rsidR="00883A22" w:rsidRPr="00B55A79" w:rsidRDefault="00883A22" w:rsidP="004F661B">
            <w:pPr>
              <w:jc w:val="center"/>
              <w:rPr>
                <w:rStyle w:val="A1"/>
                <w:rFonts w:cstheme="minorHAnsi"/>
                <w:b/>
                <w:bCs/>
                <w:sz w:val="22"/>
                <w:szCs w:val="22"/>
              </w:rPr>
            </w:pPr>
            <w:r w:rsidRPr="00B55A79">
              <w:rPr>
                <w:rStyle w:val="A1"/>
                <w:rFonts w:cstheme="minorHAnsi"/>
                <w:bCs/>
                <w:sz w:val="22"/>
                <w:szCs w:val="22"/>
              </w:rPr>
              <w:t>Peněžní prostředky OPŽP</w:t>
            </w:r>
            <w:r w:rsidR="00FA532E">
              <w:rPr>
                <w:rStyle w:val="A1"/>
                <w:rFonts w:cstheme="minorHAnsi"/>
                <w:bCs/>
                <w:sz w:val="22"/>
                <w:szCs w:val="22"/>
              </w:rPr>
              <w:t xml:space="preserve"> 2014</w:t>
            </w:r>
            <w:r w:rsidR="0039408D" w:rsidRPr="008C1FD3">
              <w:rPr>
                <w:i/>
              </w:rPr>
              <w:t>–</w:t>
            </w:r>
            <w:r w:rsidR="00FA532E">
              <w:rPr>
                <w:rStyle w:val="A1"/>
                <w:rFonts w:cstheme="minorHAnsi"/>
                <w:bCs/>
                <w:sz w:val="22"/>
                <w:szCs w:val="22"/>
              </w:rPr>
              <w:t>2020</w:t>
            </w:r>
            <w:r w:rsidRPr="00B55A79">
              <w:rPr>
                <w:rStyle w:val="A1"/>
                <w:rFonts w:cstheme="minorHAnsi"/>
                <w:bCs/>
                <w:sz w:val="22"/>
                <w:szCs w:val="22"/>
              </w:rPr>
              <w:br/>
            </w:r>
            <w:r w:rsidR="0046177D">
              <w:rPr>
                <w:rStyle w:val="A1"/>
                <w:rFonts w:cstheme="minorHAnsi"/>
                <w:sz w:val="22"/>
                <w:szCs w:val="22"/>
              </w:rPr>
              <w:t xml:space="preserve">v projektech v </w:t>
            </w:r>
            <w:r w:rsidRPr="00B55A79">
              <w:rPr>
                <w:rStyle w:val="A1"/>
                <w:rFonts w:cstheme="minorHAnsi"/>
                <w:sz w:val="22"/>
                <w:szCs w:val="22"/>
              </w:rPr>
              <w:t xml:space="preserve">realizaci </w:t>
            </w:r>
            <w:r w:rsidR="00FA532E" w:rsidRPr="00B55A79">
              <w:rPr>
                <w:rStyle w:val="A1"/>
                <w:rFonts w:cstheme="minorHAnsi"/>
                <w:sz w:val="22"/>
                <w:szCs w:val="22"/>
              </w:rPr>
              <w:t>k 31.</w:t>
            </w:r>
            <w:r w:rsidR="00FA532E">
              <w:rPr>
                <w:rStyle w:val="A1"/>
                <w:rFonts w:cstheme="minorHAnsi"/>
                <w:sz w:val="22"/>
                <w:szCs w:val="22"/>
              </w:rPr>
              <w:t> </w:t>
            </w:r>
            <w:r w:rsidR="00FA532E" w:rsidRPr="00B55A79">
              <w:rPr>
                <w:rStyle w:val="A1"/>
                <w:rFonts w:cstheme="minorHAnsi"/>
                <w:sz w:val="22"/>
                <w:szCs w:val="22"/>
              </w:rPr>
              <w:t>12.</w:t>
            </w:r>
            <w:r w:rsidR="00FA532E">
              <w:rPr>
                <w:rStyle w:val="A1"/>
                <w:rFonts w:cstheme="minorHAnsi"/>
                <w:sz w:val="22"/>
                <w:szCs w:val="22"/>
              </w:rPr>
              <w:t> </w:t>
            </w:r>
            <w:r w:rsidR="00FA532E" w:rsidRPr="00B55A79">
              <w:rPr>
                <w:rStyle w:val="A1"/>
                <w:rFonts w:cstheme="minorHAnsi"/>
                <w:sz w:val="22"/>
                <w:szCs w:val="22"/>
              </w:rPr>
              <w:t>2020</w:t>
            </w:r>
          </w:p>
          <w:p w14:paraId="52A74090" w14:textId="77777777" w:rsidR="00883A22" w:rsidRPr="00B55A79" w:rsidRDefault="00883A22" w:rsidP="004F661B">
            <w:pPr>
              <w:jc w:val="center"/>
              <w:rPr>
                <w:rStyle w:val="A1"/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564C141" w14:textId="77777777" w:rsidR="00883A22" w:rsidRPr="00B55A79" w:rsidRDefault="00883A22" w:rsidP="004F661B">
            <w:pPr>
              <w:jc w:val="center"/>
              <w:rPr>
                <w:rFonts w:cstheme="minorHAnsi"/>
                <w:b/>
              </w:rPr>
            </w:pPr>
            <w:r w:rsidRPr="00B55A79">
              <w:rPr>
                <w:rFonts w:cstheme="minorHAnsi"/>
                <w:b/>
                <w:sz w:val="40"/>
                <w:szCs w:val="40"/>
              </w:rPr>
              <w:t>1,2 %</w:t>
            </w:r>
            <w:r w:rsidRPr="00B55A79">
              <w:rPr>
                <w:rFonts w:cstheme="minorHAnsi"/>
                <w:b/>
              </w:rPr>
              <w:t xml:space="preserve"> </w:t>
            </w:r>
          </w:p>
          <w:p w14:paraId="3556DEDD" w14:textId="77777777" w:rsidR="00883A22" w:rsidRPr="00B55A79" w:rsidRDefault="00883A22" w:rsidP="004F661B">
            <w:pPr>
              <w:jc w:val="center"/>
              <w:rPr>
                <w:rStyle w:val="A1"/>
                <w:rFonts w:cstheme="minorHAnsi"/>
                <w:sz w:val="22"/>
                <w:szCs w:val="22"/>
              </w:rPr>
            </w:pPr>
            <w:r w:rsidRPr="00FA5DFC">
              <w:rPr>
                <w:rStyle w:val="A1"/>
                <w:rFonts w:ascii="Calibri" w:hAnsi="Calibri" w:cs="Calibri"/>
                <w:sz w:val="22"/>
              </w:rPr>
              <w:t>Kapacita nově vybudovaných nebo zmodernizovaných zařízení na energetické využití ostatních odpadů</w:t>
            </w:r>
          </w:p>
        </w:tc>
        <w:tc>
          <w:tcPr>
            <w:tcW w:w="3021" w:type="dxa"/>
          </w:tcPr>
          <w:p w14:paraId="60B08EB0" w14:textId="77777777" w:rsidR="00883A22" w:rsidRPr="00190C73" w:rsidRDefault="00883A22" w:rsidP="004F661B">
            <w:pPr>
              <w:jc w:val="center"/>
              <w:rPr>
                <w:rFonts w:cstheme="minorHAnsi"/>
                <w:b/>
                <w:sz w:val="48"/>
                <w:szCs w:val="40"/>
              </w:rPr>
            </w:pPr>
            <w:r w:rsidRPr="00190C73">
              <w:rPr>
                <w:rStyle w:val="A1"/>
                <w:rFonts w:ascii="Calibri" w:hAnsi="Calibri" w:cs="Calibri"/>
                <w:b/>
                <w:sz w:val="40"/>
              </w:rPr>
              <w:t>7,47 %</w:t>
            </w:r>
          </w:p>
          <w:p w14:paraId="705EDDEF" w14:textId="77777777" w:rsidR="00883A22" w:rsidRPr="00B55A79" w:rsidRDefault="00883A22" w:rsidP="004F661B">
            <w:pPr>
              <w:jc w:val="center"/>
              <w:rPr>
                <w:rStyle w:val="A1"/>
                <w:rFonts w:cstheme="minorHAnsi"/>
                <w:szCs w:val="20"/>
              </w:rPr>
            </w:pPr>
            <w:r w:rsidRPr="00FA5DFC">
              <w:rPr>
                <w:rStyle w:val="A1"/>
                <w:rFonts w:ascii="Calibri" w:hAnsi="Calibri" w:cs="Calibri"/>
                <w:sz w:val="22"/>
              </w:rPr>
              <w:t xml:space="preserve">Zvýšení kapacity pro </w:t>
            </w:r>
            <w:r>
              <w:rPr>
                <w:rStyle w:val="A1"/>
                <w:rFonts w:ascii="Calibri" w:hAnsi="Calibri" w:cs="Calibri"/>
                <w:sz w:val="22"/>
              </w:rPr>
              <w:br/>
            </w:r>
            <w:r w:rsidRPr="00FA5DFC">
              <w:rPr>
                <w:rStyle w:val="A1"/>
                <w:rFonts w:ascii="Calibri" w:hAnsi="Calibri" w:cs="Calibri"/>
                <w:sz w:val="22"/>
              </w:rPr>
              <w:t>recyklaci odpadů</w:t>
            </w:r>
          </w:p>
        </w:tc>
      </w:tr>
    </w:tbl>
    <w:p w14:paraId="6220C887" w14:textId="77777777" w:rsidR="00883A22" w:rsidRDefault="00883A22" w:rsidP="00883A22">
      <w:pPr>
        <w:jc w:val="center"/>
        <w:rPr>
          <w:b/>
          <w:color w:val="5B9BD5" w:themeColor="accent1"/>
          <w:sz w:val="32"/>
        </w:rPr>
      </w:pPr>
    </w:p>
    <w:p w14:paraId="1EB9D8AF" w14:textId="77777777" w:rsidR="00883A22" w:rsidRDefault="00883A22" w:rsidP="00883A22">
      <w:pPr>
        <w:outlineLvl w:val="0"/>
        <w:rPr>
          <w:b/>
          <w:color w:val="000000" w:themeColor="text1"/>
        </w:rPr>
      </w:pPr>
      <w:r w:rsidRPr="00FA5DFC">
        <w:rPr>
          <w:b/>
          <w:color w:val="000000" w:themeColor="text1"/>
        </w:rPr>
        <w:t>Peněžní prostředky OPŽP</w:t>
      </w:r>
      <w:r w:rsidR="00FA532E">
        <w:rPr>
          <w:b/>
          <w:color w:val="000000" w:themeColor="text1"/>
        </w:rPr>
        <w:t xml:space="preserve"> 2014</w:t>
      </w:r>
      <w:r w:rsidR="0039408D" w:rsidRPr="0046728D">
        <w:rPr>
          <w:b/>
          <w:i/>
        </w:rPr>
        <w:t>–</w:t>
      </w:r>
      <w:r w:rsidR="00FA532E">
        <w:rPr>
          <w:b/>
          <w:color w:val="000000" w:themeColor="text1"/>
        </w:rPr>
        <w:t>2020</w:t>
      </w:r>
      <w:r>
        <w:rPr>
          <w:b/>
          <w:color w:val="000000" w:themeColor="text1"/>
        </w:rPr>
        <w:t xml:space="preserve"> k 31. 12. 2020</w:t>
      </w:r>
    </w:p>
    <w:p w14:paraId="5ABA82CC" w14:textId="77777777" w:rsidR="00883A22" w:rsidRDefault="00883A22" w:rsidP="00883A22">
      <w:pPr>
        <w:rPr>
          <w:b/>
          <w:color w:val="000000" w:themeColor="text1"/>
        </w:rPr>
      </w:pPr>
    </w:p>
    <w:p w14:paraId="4038A20D" w14:textId="77777777" w:rsidR="00883A22" w:rsidRPr="00FA5DFC" w:rsidRDefault="00883A22" w:rsidP="00883A22">
      <w:pPr>
        <w:jc w:val="center"/>
        <w:rPr>
          <w:b/>
          <w:color w:val="000000" w:themeColor="text1"/>
        </w:rPr>
      </w:pPr>
      <w:r>
        <w:rPr>
          <w:noProof/>
          <w:lang w:eastAsia="cs-CZ"/>
        </w:rPr>
        <w:drawing>
          <wp:inline distT="0" distB="0" distL="0" distR="0" wp14:anchorId="1C67D884" wp14:editId="56E9F5D3">
            <wp:extent cx="5759450" cy="2716696"/>
            <wp:effectExtent l="0" t="0" r="0" b="762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95BC379A-4688-4FF9-A559-739B125AA1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ADB3AC" w14:textId="77777777" w:rsidR="00883A22" w:rsidRDefault="00883A22" w:rsidP="00883A22">
      <w:pPr>
        <w:pStyle w:val="TextKP"/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83A22" w:rsidRPr="00F518F9" w14:paraId="008CCFE7" w14:textId="77777777" w:rsidTr="004F661B">
        <w:trPr>
          <w:trHeight w:val="1020"/>
        </w:trPr>
        <w:tc>
          <w:tcPr>
            <w:tcW w:w="4678" w:type="dxa"/>
          </w:tcPr>
          <w:p w14:paraId="3DD2BD5A" w14:textId="77777777" w:rsidR="00883A22" w:rsidRPr="00F518F9" w:rsidRDefault="00883A22" w:rsidP="004F661B">
            <w:pPr>
              <w:pStyle w:val="TextKP"/>
              <w:jc w:val="center"/>
              <w:rPr>
                <w:rFonts w:ascii="Calibri" w:hAnsi="Calibri" w:cs="Calibri"/>
                <w:b/>
              </w:rPr>
            </w:pPr>
            <w:r w:rsidRPr="00F518F9">
              <w:rPr>
                <w:rFonts w:ascii="Calibri" w:hAnsi="Calibri" w:cs="Calibri"/>
                <w:b/>
              </w:rPr>
              <w:t xml:space="preserve">Nakládání s komunálními odpady </w:t>
            </w:r>
            <w:r>
              <w:rPr>
                <w:rFonts w:ascii="Calibri" w:hAnsi="Calibri" w:cs="Calibri"/>
                <w:b/>
              </w:rPr>
              <w:br/>
            </w:r>
            <w:r w:rsidRPr="00F518F9">
              <w:rPr>
                <w:rFonts w:ascii="Calibri" w:hAnsi="Calibri" w:cs="Calibri"/>
                <w:b/>
              </w:rPr>
              <w:t>v Č</w:t>
            </w:r>
            <w:r>
              <w:rPr>
                <w:rFonts w:ascii="Calibri" w:hAnsi="Calibri" w:cs="Calibri"/>
                <w:b/>
              </w:rPr>
              <w:t>eské republice</w:t>
            </w:r>
            <w:r w:rsidRPr="00F518F9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v roce </w:t>
            </w:r>
            <w:r w:rsidRPr="00F518F9">
              <w:rPr>
                <w:rFonts w:ascii="Calibri" w:hAnsi="Calibri" w:cs="Calibri"/>
                <w:b/>
              </w:rPr>
              <w:t>2020</w:t>
            </w:r>
          </w:p>
        </w:tc>
        <w:tc>
          <w:tcPr>
            <w:tcW w:w="4536" w:type="dxa"/>
          </w:tcPr>
          <w:p w14:paraId="58B706CD" w14:textId="77777777" w:rsidR="00883A22" w:rsidRPr="00F518F9" w:rsidRDefault="00883A22" w:rsidP="004F661B">
            <w:pPr>
              <w:pStyle w:val="TextKP"/>
              <w:jc w:val="center"/>
              <w:rPr>
                <w:rFonts w:ascii="Calibri" w:hAnsi="Calibri" w:cs="Calibri"/>
                <w:b/>
              </w:rPr>
            </w:pPr>
            <w:r w:rsidRPr="00F518F9">
              <w:rPr>
                <w:rFonts w:ascii="Calibri" w:hAnsi="Calibri" w:cs="Calibri"/>
                <w:b/>
              </w:rPr>
              <w:t xml:space="preserve">Hierarchie způsobů nakládání s odpady </w:t>
            </w:r>
            <w:r>
              <w:rPr>
                <w:rFonts w:ascii="Calibri" w:hAnsi="Calibri" w:cs="Calibri"/>
                <w:b/>
              </w:rPr>
              <w:br/>
            </w:r>
            <w:r w:rsidRPr="00F518F9">
              <w:rPr>
                <w:rFonts w:ascii="Calibri" w:hAnsi="Calibri" w:cs="Calibri"/>
                <w:b/>
              </w:rPr>
              <w:t>dle zákona o odpadech</w:t>
            </w:r>
          </w:p>
        </w:tc>
      </w:tr>
      <w:tr w:rsidR="00883A22" w14:paraId="1FCBF4E2" w14:textId="77777777" w:rsidTr="004F661B">
        <w:tc>
          <w:tcPr>
            <w:tcW w:w="4678" w:type="dxa"/>
          </w:tcPr>
          <w:p w14:paraId="351073D6" w14:textId="77777777" w:rsidR="00883A22" w:rsidRDefault="00883A22" w:rsidP="004F661B">
            <w:pPr>
              <w:pStyle w:val="TextKP"/>
              <w:spacing w:before="360"/>
              <w:ind w:left="2325"/>
              <w:jc w:val="left"/>
              <w:rPr>
                <w:b/>
                <w:sz w:val="18"/>
              </w:rPr>
            </w:pPr>
            <w:r w:rsidRPr="00F42AC6">
              <w:rPr>
                <w:b/>
                <w:noProof/>
                <w:sz w:val="16"/>
              </w:rPr>
              <w:drawing>
                <wp:anchor distT="0" distB="0" distL="114300" distR="114300" simplePos="0" relativeHeight="251667456" behindDoc="1" locked="0" layoutInCell="1" allowOverlap="1" wp14:anchorId="6888907E" wp14:editId="5A1C20BE">
                  <wp:simplePos x="0" y="0"/>
                  <wp:positionH relativeFrom="column">
                    <wp:posOffset>15036</wp:posOffset>
                  </wp:positionH>
                  <wp:positionV relativeFrom="paragraph">
                    <wp:posOffset>73384</wp:posOffset>
                  </wp:positionV>
                  <wp:extent cx="1302385" cy="1189990"/>
                  <wp:effectExtent l="19050" t="0" r="31115" b="10160"/>
                  <wp:wrapTight wrapText="bothSides">
                    <wp:wrapPolygon edited="0">
                      <wp:start x="-316" y="0"/>
                      <wp:lineTo x="-316" y="1037"/>
                      <wp:lineTo x="9794" y="21439"/>
                      <wp:lineTo x="12006" y="21439"/>
                      <wp:lineTo x="12322" y="21439"/>
                      <wp:lineTo x="21800" y="346"/>
                      <wp:lineTo x="21800" y="0"/>
                      <wp:lineTo x="-316" y="0"/>
                    </wp:wrapPolygon>
                  </wp:wrapTight>
                  <wp:docPr id="9" name="Diagram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anchor>
              </w:drawing>
            </w:r>
            <w:r w:rsidRPr="00F42AC6">
              <w:rPr>
                <w:b/>
                <w:sz w:val="18"/>
              </w:rPr>
              <w:t>Skládkován</w:t>
            </w:r>
            <w:r>
              <w:rPr>
                <w:b/>
                <w:sz w:val="18"/>
              </w:rPr>
              <w:t>í</w:t>
            </w:r>
          </w:p>
          <w:p w14:paraId="5338A4F2" w14:textId="77777777" w:rsidR="00883A22" w:rsidRDefault="00883A22" w:rsidP="004F661B">
            <w:pPr>
              <w:pStyle w:val="TextKP"/>
              <w:ind w:left="232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Materiálové využití</w:t>
            </w:r>
            <w:r>
              <w:rPr>
                <w:b/>
                <w:sz w:val="18"/>
              </w:rPr>
              <w:br/>
            </w:r>
            <w:r w:rsidRPr="00FF7E00">
              <w:rPr>
                <w:sz w:val="18"/>
              </w:rPr>
              <w:t xml:space="preserve">(zahrnuje opětovné použití </w:t>
            </w:r>
            <w:r>
              <w:rPr>
                <w:sz w:val="18"/>
              </w:rPr>
              <w:br/>
            </w:r>
            <w:r w:rsidRPr="00FF7E00">
              <w:rPr>
                <w:sz w:val="18"/>
              </w:rPr>
              <w:t>a recyklaci)</w:t>
            </w:r>
          </w:p>
          <w:p w14:paraId="3F1CB2D7" w14:textId="77777777" w:rsidR="00883A22" w:rsidRPr="00F42AC6" w:rsidRDefault="00883A22" w:rsidP="004F661B">
            <w:pPr>
              <w:pStyle w:val="TextKP"/>
              <w:spacing w:before="240"/>
              <w:ind w:left="2325"/>
              <w:jc w:val="left"/>
              <w:rPr>
                <w:b/>
              </w:rPr>
            </w:pPr>
            <w:r w:rsidRPr="00FF7E00">
              <w:rPr>
                <w:b/>
                <w:sz w:val="18"/>
              </w:rPr>
              <w:t>Energetické využití</w:t>
            </w:r>
          </w:p>
        </w:tc>
        <w:tc>
          <w:tcPr>
            <w:tcW w:w="4536" w:type="dxa"/>
          </w:tcPr>
          <w:p w14:paraId="4B05B8DF" w14:textId="77777777" w:rsidR="00883A22" w:rsidRPr="00F42AC6" w:rsidRDefault="00883A22" w:rsidP="004F661B">
            <w:pPr>
              <w:pStyle w:val="TextKP"/>
              <w:spacing w:before="240" w:after="120"/>
              <w:jc w:val="left"/>
              <w:rPr>
                <w:b/>
                <w:sz w:val="18"/>
              </w:rPr>
            </w:pPr>
            <w:r w:rsidRPr="00F42AC6">
              <w:rPr>
                <w:b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0420F33E" wp14:editId="7F20394F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69850</wp:posOffset>
                  </wp:positionV>
                  <wp:extent cx="1302385" cy="1189990"/>
                  <wp:effectExtent l="19050" t="0" r="31115" b="10160"/>
                  <wp:wrapTight wrapText="bothSides">
                    <wp:wrapPolygon edited="0">
                      <wp:start x="-316" y="0"/>
                      <wp:lineTo x="-316" y="2075"/>
                      <wp:lineTo x="2212" y="5533"/>
                      <wp:lineTo x="9794" y="21439"/>
                      <wp:lineTo x="11690" y="21439"/>
                      <wp:lineTo x="19904" y="5533"/>
                      <wp:lineTo x="21800" y="346"/>
                      <wp:lineTo x="21800" y="0"/>
                      <wp:lineTo x="-316" y="0"/>
                    </wp:wrapPolygon>
                  </wp:wrapTight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AC6">
              <w:rPr>
                <w:b/>
                <w:sz w:val="18"/>
              </w:rPr>
              <w:t>Předcházení vzniku odpad</w:t>
            </w:r>
            <w:r w:rsidR="00A30CA1">
              <w:rPr>
                <w:b/>
                <w:sz w:val="18"/>
              </w:rPr>
              <w:t>ů</w:t>
            </w:r>
          </w:p>
          <w:p w14:paraId="359229E4" w14:textId="77777777" w:rsidR="00883A22" w:rsidRPr="00F42AC6" w:rsidRDefault="00883A22" w:rsidP="004F661B">
            <w:pPr>
              <w:pStyle w:val="TextKP"/>
              <w:spacing w:after="120"/>
              <w:ind w:left="2268"/>
              <w:jc w:val="left"/>
              <w:rPr>
                <w:b/>
                <w:sz w:val="18"/>
              </w:rPr>
            </w:pPr>
            <w:r w:rsidRPr="00F42AC6">
              <w:rPr>
                <w:b/>
                <w:sz w:val="18"/>
              </w:rPr>
              <w:t>Opětovné použití</w:t>
            </w:r>
          </w:p>
          <w:p w14:paraId="435DD25D" w14:textId="77777777" w:rsidR="00883A22" w:rsidRPr="00F42AC6" w:rsidRDefault="00883A22" w:rsidP="004F661B">
            <w:pPr>
              <w:pStyle w:val="TextKP"/>
              <w:spacing w:after="120"/>
              <w:ind w:left="2268"/>
              <w:jc w:val="left"/>
              <w:rPr>
                <w:b/>
                <w:sz w:val="18"/>
              </w:rPr>
            </w:pPr>
            <w:r w:rsidRPr="00F42AC6">
              <w:rPr>
                <w:b/>
                <w:sz w:val="18"/>
              </w:rPr>
              <w:t>Recyklace</w:t>
            </w:r>
          </w:p>
          <w:p w14:paraId="015C1F04" w14:textId="77777777" w:rsidR="00883A22" w:rsidRPr="00F42AC6" w:rsidRDefault="00883A22" w:rsidP="004F661B">
            <w:pPr>
              <w:pStyle w:val="TextKP"/>
              <w:spacing w:after="120"/>
              <w:ind w:left="2268"/>
              <w:jc w:val="left"/>
              <w:rPr>
                <w:b/>
                <w:sz w:val="18"/>
              </w:rPr>
            </w:pPr>
            <w:r w:rsidRPr="00F42AC6">
              <w:rPr>
                <w:b/>
                <w:sz w:val="18"/>
              </w:rPr>
              <w:t>Energetické využití</w:t>
            </w:r>
          </w:p>
          <w:p w14:paraId="461E9F24" w14:textId="77777777" w:rsidR="00883A22" w:rsidRDefault="00883A22" w:rsidP="004F661B">
            <w:pPr>
              <w:pStyle w:val="TextKP"/>
              <w:spacing w:after="160"/>
              <w:ind w:left="2268"/>
              <w:jc w:val="left"/>
              <w:rPr>
                <w:b/>
              </w:rPr>
            </w:pPr>
            <w:r w:rsidRPr="00F42AC6">
              <w:rPr>
                <w:b/>
                <w:sz w:val="18"/>
              </w:rPr>
              <w:t>Skládkování</w:t>
            </w:r>
            <w:r>
              <w:rPr>
                <w:b/>
              </w:rPr>
              <w:br/>
            </w:r>
          </w:p>
        </w:tc>
      </w:tr>
    </w:tbl>
    <w:p w14:paraId="6E7E4802" w14:textId="77777777" w:rsidR="00883A22" w:rsidRDefault="00883A22" w:rsidP="00883A22">
      <w:pPr>
        <w:pStyle w:val="TextKP"/>
        <w:rPr>
          <w:b/>
        </w:rPr>
      </w:pPr>
      <w:r>
        <w:rPr>
          <w:b/>
        </w:rPr>
        <w:br w:type="page"/>
      </w:r>
    </w:p>
    <w:p w14:paraId="7D9D609F" w14:textId="77777777" w:rsidR="00CA2C1A" w:rsidRDefault="00E23C65" w:rsidP="0046728D">
      <w:pPr>
        <w:pStyle w:val="Nadpis1"/>
        <w:numPr>
          <w:ilvl w:val="0"/>
          <w:numId w:val="0"/>
        </w:numPr>
        <w:ind w:left="284"/>
      </w:pPr>
      <w:r>
        <w:lastRenderedPageBreak/>
        <w:t xml:space="preserve">I. </w:t>
      </w:r>
      <w:r w:rsidR="000A5F6C">
        <w:t>Shrnutí a vyhodnocení</w:t>
      </w:r>
    </w:p>
    <w:p w14:paraId="1990A32F" w14:textId="6D932D52" w:rsidR="00820E3F" w:rsidRDefault="000A5F6C" w:rsidP="00523DE2">
      <w:pPr>
        <w:pStyle w:val="TextKP"/>
      </w:pPr>
      <w:r>
        <w:t xml:space="preserve">Kontrole bylo podrobeno poskytování peněžních prostředků ze zdrojů Evropské unie, konkrétně z </w:t>
      </w:r>
      <w:r w:rsidR="00160EB8" w:rsidRPr="0046728D">
        <w:t>o</w:t>
      </w:r>
      <w:r w:rsidRPr="0046728D">
        <w:t>peračního programu</w:t>
      </w:r>
      <w:r w:rsidRPr="008C1FD3">
        <w:rPr>
          <w:i/>
        </w:rPr>
        <w:t xml:space="preserve"> Životní prostředí 2014–2020</w:t>
      </w:r>
      <w:r>
        <w:t xml:space="preserve"> (dále také „OPŽP“), a</w:t>
      </w:r>
      <w:r w:rsidR="002D1258">
        <w:t xml:space="preserve"> </w:t>
      </w:r>
      <w:r>
        <w:t>z</w:t>
      </w:r>
      <w:r w:rsidR="002D1258">
        <w:t>e zdrojů</w:t>
      </w:r>
      <w:r>
        <w:t xml:space="preserve"> Státního fondu životního prostředí </w:t>
      </w:r>
      <w:r w:rsidR="003F081D">
        <w:t>ČR</w:t>
      </w:r>
      <w:r>
        <w:t xml:space="preserve">, konkrétně z </w:t>
      </w:r>
      <w:r w:rsidRPr="008C1FD3">
        <w:rPr>
          <w:i/>
        </w:rPr>
        <w:t>Národního programu Životní prostředí</w:t>
      </w:r>
      <w:r>
        <w:t xml:space="preserve"> (dále také „NPŽP“), Ministerstvem životního prostředí na realizaci opatření v oblasti nakládání s odpady. </w:t>
      </w:r>
      <w:r w:rsidR="00903588">
        <w:t>Cílem k</w:t>
      </w:r>
      <w:r>
        <w:t>ontrolní akce byl</w:t>
      </w:r>
      <w:r w:rsidR="00903588">
        <w:t>o</w:t>
      </w:r>
      <w:r>
        <w:t xml:space="preserve"> posou</w:t>
      </w:r>
      <w:r w:rsidR="00903588">
        <w:t>dit</w:t>
      </w:r>
      <w:r>
        <w:t>, zda peněžní prostředky určené na</w:t>
      </w:r>
      <w:r w:rsidR="006222F3">
        <w:t xml:space="preserve"> </w:t>
      </w:r>
      <w:r>
        <w:t>realizaci opatření v oblasti nakládání s odpady přispěly k realizaci stanovených cílů a</w:t>
      </w:r>
      <w:r w:rsidR="006222F3">
        <w:t xml:space="preserve"> </w:t>
      </w:r>
      <w:r>
        <w:t>zda</w:t>
      </w:r>
      <w:r w:rsidR="006222F3">
        <w:t xml:space="preserve"> </w:t>
      </w:r>
      <w:r>
        <w:t xml:space="preserve">byly vynakládány v souladu s právními předpisy. Kontrola prověřila také plnění opatření v gesci MŽP a dosahování cílů vycházejících z právních předpisů EU a České republiky a z </w:t>
      </w:r>
      <w:r w:rsidRPr="003F081D">
        <w:rPr>
          <w:i/>
        </w:rPr>
        <w:t xml:space="preserve">Plánu odpadového hospodářství </w:t>
      </w:r>
      <w:r w:rsidR="003F081D">
        <w:rPr>
          <w:i/>
        </w:rPr>
        <w:t xml:space="preserve">České republiky </w:t>
      </w:r>
      <w:r w:rsidRPr="003F081D">
        <w:rPr>
          <w:i/>
        </w:rPr>
        <w:t xml:space="preserve">pro </w:t>
      </w:r>
      <w:r w:rsidR="003F081D">
        <w:rPr>
          <w:i/>
        </w:rPr>
        <w:t>období</w:t>
      </w:r>
      <w:r w:rsidRPr="003F081D">
        <w:rPr>
          <w:i/>
        </w:rPr>
        <w:t xml:space="preserve"> 2015–2024</w:t>
      </w:r>
      <w:r>
        <w:t xml:space="preserve"> (dále také „POH“).</w:t>
      </w:r>
    </w:p>
    <w:p w14:paraId="5CD0F972" w14:textId="762BB2B2" w:rsidR="00EF433F" w:rsidRDefault="000A5F6C" w:rsidP="00523DE2">
      <w:pPr>
        <w:pStyle w:val="TextKP"/>
      </w:pPr>
      <w:r>
        <w:t xml:space="preserve">Interaktivní příloha doplňující kontrolní závěr z kontrolní akce č. 21/06 je dostupná </w:t>
      </w:r>
      <w:r w:rsidRPr="000540F9">
        <w:t>zde</w:t>
      </w:r>
      <w:r w:rsidR="000540F9">
        <w:t xml:space="preserve">: </w:t>
      </w:r>
      <w:hyperlink r:id="rId20" w:history="1">
        <w:r w:rsidR="000540F9" w:rsidRPr="000540F9">
          <w:rPr>
            <w:rStyle w:val="Hypertextovodkaz"/>
          </w:rPr>
          <w:t>https://www.nku.cz/scripts/detail.php?id=12406</w:t>
        </w:r>
      </w:hyperlink>
      <w:r w:rsidR="000540F9">
        <w:t>.</w:t>
      </w:r>
    </w:p>
    <w:p w14:paraId="57FE6D2B" w14:textId="74A7228E" w:rsidR="00903588" w:rsidRDefault="00903588" w:rsidP="00523DE2">
      <w:pPr>
        <w:pStyle w:val="TextKP"/>
        <w:rPr>
          <w:b/>
        </w:rPr>
      </w:pPr>
      <w:bookmarkStart w:id="2" w:name="_Hlk97015277"/>
      <w:r w:rsidRPr="00903588">
        <w:rPr>
          <w:b/>
        </w:rPr>
        <w:t xml:space="preserve">Přestože </w:t>
      </w:r>
      <w:r w:rsidR="00DF2933">
        <w:rPr>
          <w:b/>
        </w:rPr>
        <w:t xml:space="preserve">MŽP nastavilo </w:t>
      </w:r>
      <w:r w:rsidRPr="00903588">
        <w:rPr>
          <w:b/>
        </w:rPr>
        <w:t>podpor</w:t>
      </w:r>
      <w:r w:rsidR="00DF2933">
        <w:rPr>
          <w:b/>
        </w:rPr>
        <w:t>u</w:t>
      </w:r>
      <w:r w:rsidRPr="00903588">
        <w:rPr>
          <w:b/>
        </w:rPr>
        <w:t xml:space="preserve"> </w:t>
      </w:r>
      <w:r w:rsidR="002D1258">
        <w:rPr>
          <w:b/>
        </w:rPr>
        <w:t xml:space="preserve">z </w:t>
      </w:r>
      <w:r w:rsidRPr="00903588">
        <w:rPr>
          <w:b/>
        </w:rPr>
        <w:t>OPŽP v oblasti odpadů v souladu s hierarchií způsobů nakládání s odpady stanovenou zákonem o odpadech</w:t>
      </w:r>
      <w:r>
        <w:rPr>
          <w:rStyle w:val="Znakapoznpodarou"/>
          <w:b/>
        </w:rPr>
        <w:footnoteReference w:id="1"/>
      </w:r>
      <w:r w:rsidRPr="00903588">
        <w:rPr>
          <w:b/>
        </w:rPr>
        <w:t xml:space="preserve"> </w:t>
      </w:r>
      <w:r w:rsidR="002D1258">
        <w:rPr>
          <w:b/>
        </w:rPr>
        <w:t>i v souladu</w:t>
      </w:r>
      <w:r w:rsidRPr="00903588">
        <w:rPr>
          <w:b/>
        </w:rPr>
        <w:t xml:space="preserve"> se závaznou část</w:t>
      </w:r>
      <w:r w:rsidR="002D1258">
        <w:rPr>
          <w:b/>
        </w:rPr>
        <w:t>í</w:t>
      </w:r>
      <w:r w:rsidRPr="00903588">
        <w:rPr>
          <w:b/>
        </w:rPr>
        <w:t xml:space="preserve"> POH, nedojde k</w:t>
      </w:r>
      <w:r w:rsidR="004C7623">
        <w:rPr>
          <w:b/>
        </w:rPr>
        <w:t> </w:t>
      </w:r>
      <w:r w:rsidRPr="00903588">
        <w:rPr>
          <w:b/>
        </w:rPr>
        <w:t>naplnění všech cílů programu</w:t>
      </w:r>
      <w:r>
        <w:rPr>
          <w:b/>
        </w:rPr>
        <w:t>.</w:t>
      </w:r>
    </w:p>
    <w:p w14:paraId="56AEF3E5" w14:textId="2093E7EE" w:rsidR="00903588" w:rsidRDefault="00903588" w:rsidP="00523DE2">
      <w:pPr>
        <w:pStyle w:val="TextKP"/>
        <w:rPr>
          <w:b/>
        </w:rPr>
      </w:pPr>
      <w:r w:rsidRPr="00903588">
        <w:rPr>
          <w:b/>
        </w:rPr>
        <w:t xml:space="preserve">Peněžní prostředky poskytnuté z OPŽP nepřispěly ke zvýšení kapacity pro recyklaci odpadů ani k vybudování nových kapacit </w:t>
      </w:r>
      <w:r w:rsidRPr="00477BE4">
        <w:rPr>
          <w:b/>
        </w:rPr>
        <w:t>zařízení na</w:t>
      </w:r>
      <w:r w:rsidR="00782136">
        <w:rPr>
          <w:b/>
        </w:rPr>
        <w:t xml:space="preserve"> </w:t>
      </w:r>
      <w:r w:rsidRPr="00477BE4">
        <w:rPr>
          <w:b/>
        </w:rPr>
        <w:t>energetické využití ostatních odpadů</w:t>
      </w:r>
      <w:r>
        <w:rPr>
          <w:b/>
        </w:rPr>
        <w:t xml:space="preserve"> </w:t>
      </w:r>
      <w:r w:rsidRPr="00477BE4">
        <w:rPr>
          <w:b/>
        </w:rPr>
        <w:t>nebo</w:t>
      </w:r>
      <w:r w:rsidR="00782136">
        <w:rPr>
          <w:b/>
        </w:rPr>
        <w:t xml:space="preserve"> </w:t>
      </w:r>
      <w:r w:rsidRPr="00477BE4">
        <w:rPr>
          <w:b/>
        </w:rPr>
        <w:t>moderni</w:t>
      </w:r>
      <w:r>
        <w:rPr>
          <w:b/>
        </w:rPr>
        <w:t xml:space="preserve">zaci </w:t>
      </w:r>
      <w:r w:rsidR="003D4515">
        <w:rPr>
          <w:b/>
        </w:rPr>
        <w:t xml:space="preserve">těchto zařízení </w:t>
      </w:r>
      <w:r>
        <w:rPr>
          <w:b/>
        </w:rPr>
        <w:t>dle</w:t>
      </w:r>
      <w:r w:rsidR="003D4515">
        <w:rPr>
          <w:b/>
        </w:rPr>
        <w:t xml:space="preserve"> </w:t>
      </w:r>
      <w:r>
        <w:rPr>
          <w:b/>
        </w:rPr>
        <w:t>stanovených cílů</w:t>
      </w:r>
      <w:r w:rsidR="0098050D">
        <w:rPr>
          <w:rStyle w:val="Znakapoznpodarou"/>
          <w:b/>
        </w:rPr>
        <w:footnoteReference w:id="2"/>
      </w:r>
      <w:r>
        <w:rPr>
          <w:b/>
        </w:rPr>
        <w:t>.</w:t>
      </w:r>
    </w:p>
    <w:p w14:paraId="10CF79E7" w14:textId="0F0EA9A6" w:rsidR="00523DE2" w:rsidRDefault="007136B7" w:rsidP="00523DE2">
      <w:pPr>
        <w:pStyle w:val="TextKP"/>
        <w:rPr>
          <w:b/>
        </w:rPr>
      </w:pPr>
      <w:r>
        <w:rPr>
          <w:b/>
        </w:rPr>
        <w:t>Ačkoli je s</w:t>
      </w:r>
      <w:r w:rsidR="000A5F6C" w:rsidRPr="003B321E">
        <w:rPr>
          <w:b/>
        </w:rPr>
        <w:t>kládkování</w:t>
      </w:r>
      <w:r w:rsidR="003D4515">
        <w:rPr>
          <w:b/>
        </w:rPr>
        <w:t xml:space="preserve"> </w:t>
      </w:r>
      <w:r w:rsidR="000A5F6C" w:rsidRPr="003B321E">
        <w:rPr>
          <w:b/>
        </w:rPr>
        <w:t xml:space="preserve">nejméně vhodným způsobem nakládání s odpady, </w:t>
      </w:r>
      <w:r>
        <w:rPr>
          <w:b/>
        </w:rPr>
        <w:t xml:space="preserve">bylo </w:t>
      </w:r>
      <w:r w:rsidR="000A5F6C" w:rsidRPr="003B321E">
        <w:rPr>
          <w:b/>
        </w:rPr>
        <w:t xml:space="preserve">v roce 2020 </w:t>
      </w:r>
      <w:r>
        <w:rPr>
          <w:b/>
        </w:rPr>
        <w:t>skládkováno 48 % komunálních odpadů</w:t>
      </w:r>
      <w:r w:rsidR="00B9621F">
        <w:rPr>
          <w:b/>
        </w:rPr>
        <w:t>.</w:t>
      </w:r>
      <w:r>
        <w:rPr>
          <w:b/>
        </w:rPr>
        <w:t xml:space="preserve"> </w:t>
      </w:r>
      <w:r w:rsidR="00B9621F">
        <w:rPr>
          <w:b/>
        </w:rPr>
        <w:t>S</w:t>
      </w:r>
      <w:r>
        <w:rPr>
          <w:b/>
        </w:rPr>
        <w:t xml:space="preserve">kládkování tak </w:t>
      </w:r>
      <w:r w:rsidR="000A5F6C" w:rsidRPr="003B321E">
        <w:rPr>
          <w:b/>
        </w:rPr>
        <w:t>nadále představovalo nejčastější způsob nakládání s komunálním odpadem</w:t>
      </w:r>
      <w:r>
        <w:rPr>
          <w:b/>
        </w:rPr>
        <w:t xml:space="preserve"> v ČR</w:t>
      </w:r>
      <w:r w:rsidR="000A5F6C">
        <w:rPr>
          <w:rStyle w:val="Znakapoznpodarou"/>
          <w:b/>
        </w:rPr>
        <w:footnoteReference w:id="3"/>
      </w:r>
      <w:r w:rsidR="000A5F6C" w:rsidRPr="003B321E">
        <w:rPr>
          <w:b/>
        </w:rPr>
        <w:t xml:space="preserve">. MŽP v letech 2015 až 2020 nepodpořilo </w:t>
      </w:r>
      <w:r w:rsidR="009602FC">
        <w:rPr>
          <w:b/>
        </w:rPr>
        <w:t xml:space="preserve">finančními nástroji </w:t>
      </w:r>
      <w:r w:rsidR="000A5F6C" w:rsidRPr="003B321E">
        <w:rPr>
          <w:b/>
        </w:rPr>
        <w:t xml:space="preserve">zákaz skládkování </w:t>
      </w:r>
      <w:r w:rsidR="00D50970">
        <w:rPr>
          <w:b/>
        </w:rPr>
        <w:t>stanovený zákonem</w:t>
      </w:r>
      <w:r w:rsidR="000A5F6C">
        <w:rPr>
          <w:rStyle w:val="Znakapoznpodarou"/>
          <w:b/>
        </w:rPr>
        <w:footnoteReference w:id="4"/>
      </w:r>
      <w:r w:rsidR="000A5F6C" w:rsidRPr="003B321E">
        <w:rPr>
          <w:b/>
        </w:rPr>
        <w:t xml:space="preserve"> </w:t>
      </w:r>
      <w:r w:rsidR="009602FC" w:rsidRPr="003B321E">
        <w:rPr>
          <w:b/>
        </w:rPr>
        <w:t>k roku 2024</w:t>
      </w:r>
      <w:r w:rsidR="009602FC">
        <w:rPr>
          <w:b/>
        </w:rPr>
        <w:t xml:space="preserve"> </w:t>
      </w:r>
      <w:r w:rsidR="000A5F6C" w:rsidRPr="003B321E">
        <w:rPr>
          <w:b/>
        </w:rPr>
        <w:t>tak</w:t>
      </w:r>
      <w:r w:rsidR="003B321E" w:rsidRPr="003B321E">
        <w:rPr>
          <w:b/>
        </w:rPr>
        <w:t>,</w:t>
      </w:r>
      <w:r w:rsidR="000A5F6C" w:rsidRPr="003B321E">
        <w:rPr>
          <w:b/>
        </w:rPr>
        <w:t xml:space="preserve"> aby ho bylo možné dosáhnout.</w:t>
      </w:r>
      <w:r w:rsidR="00477BE4" w:rsidRPr="003B321E">
        <w:rPr>
          <w:b/>
        </w:rPr>
        <w:t xml:space="preserve"> </w:t>
      </w:r>
      <w:r w:rsidR="00D50970">
        <w:rPr>
          <w:b/>
        </w:rPr>
        <w:t>M</w:t>
      </w:r>
      <w:r w:rsidR="00477BE4" w:rsidRPr="003B321E">
        <w:rPr>
          <w:b/>
        </w:rPr>
        <w:t>ezi</w:t>
      </w:r>
      <w:r w:rsidR="00B9621F">
        <w:rPr>
          <w:b/>
        </w:rPr>
        <w:t xml:space="preserve"> </w:t>
      </w:r>
      <w:r w:rsidR="00477BE4" w:rsidRPr="003B321E">
        <w:rPr>
          <w:b/>
        </w:rPr>
        <w:t>roky 2016 a</w:t>
      </w:r>
      <w:r w:rsidR="00B9621F">
        <w:rPr>
          <w:b/>
        </w:rPr>
        <w:t xml:space="preserve"> </w:t>
      </w:r>
      <w:r w:rsidR="00477BE4" w:rsidRPr="003B321E">
        <w:rPr>
          <w:b/>
        </w:rPr>
        <w:t>2020 došlo</w:t>
      </w:r>
      <w:r w:rsidR="00D50970">
        <w:rPr>
          <w:b/>
        </w:rPr>
        <w:t xml:space="preserve"> dokonce</w:t>
      </w:r>
      <w:r w:rsidR="00477BE4" w:rsidRPr="003B321E">
        <w:rPr>
          <w:b/>
        </w:rPr>
        <w:t xml:space="preserve"> ke zvýšení kapacity skládek pro</w:t>
      </w:r>
      <w:r w:rsidR="00782136">
        <w:rPr>
          <w:b/>
        </w:rPr>
        <w:t xml:space="preserve"> </w:t>
      </w:r>
      <w:r w:rsidR="00477BE4" w:rsidRPr="003B321E">
        <w:rPr>
          <w:b/>
        </w:rPr>
        <w:t>odstraňování ostatních odpadů včetně komunálního odpadu o 17 %</w:t>
      </w:r>
      <w:r w:rsidR="006053DD">
        <w:rPr>
          <w:b/>
        </w:rPr>
        <w:t>. Ve stejném období došlo k</w:t>
      </w:r>
      <w:r w:rsidR="007265D4">
        <w:rPr>
          <w:b/>
        </w:rPr>
        <w:t xml:space="preserve"> </w:t>
      </w:r>
      <w:r w:rsidR="006053DD">
        <w:rPr>
          <w:b/>
        </w:rPr>
        <w:t>nárůstu produkce nebezpečných odpadů o 23 %</w:t>
      </w:r>
      <w:r w:rsidR="00704A3C">
        <w:rPr>
          <w:b/>
        </w:rPr>
        <w:t xml:space="preserve">, avšak </w:t>
      </w:r>
      <w:r w:rsidR="00523DE2">
        <w:rPr>
          <w:b/>
        </w:rPr>
        <w:t>pouze 7 % nebezpečných odpadů odstraněných skládkováním v</w:t>
      </w:r>
      <w:r w:rsidR="002339B4">
        <w:rPr>
          <w:b/>
        </w:rPr>
        <w:t xml:space="preserve"> </w:t>
      </w:r>
      <w:r w:rsidR="00523DE2">
        <w:rPr>
          <w:b/>
        </w:rPr>
        <w:t xml:space="preserve">provozech skládek bylo </w:t>
      </w:r>
      <w:r w:rsidR="000573AB">
        <w:rPr>
          <w:b/>
        </w:rPr>
        <w:t>zpoplatněno rizikovou složkou poplatku za uložení nebezpečného odpadu na skládky</w:t>
      </w:r>
      <w:r w:rsidR="004466DF">
        <w:rPr>
          <w:b/>
        </w:rPr>
        <w:t xml:space="preserve">, </w:t>
      </w:r>
      <w:r w:rsidR="00A00271">
        <w:rPr>
          <w:b/>
        </w:rPr>
        <w:t xml:space="preserve">tj. složkou, </w:t>
      </w:r>
      <w:r w:rsidR="004466DF">
        <w:rPr>
          <w:b/>
        </w:rPr>
        <w:t>která byla dle zákona o</w:t>
      </w:r>
      <w:r w:rsidR="00023E33">
        <w:rPr>
          <w:b/>
        </w:rPr>
        <w:t> </w:t>
      </w:r>
      <w:r w:rsidR="004466DF">
        <w:rPr>
          <w:b/>
        </w:rPr>
        <w:t>odpadech</w:t>
      </w:r>
      <w:r w:rsidR="004466DF">
        <w:rPr>
          <w:rStyle w:val="Znakapoznpodarou"/>
          <w:b/>
        </w:rPr>
        <w:footnoteReference w:id="5"/>
      </w:r>
      <w:r w:rsidR="004466DF">
        <w:rPr>
          <w:b/>
        </w:rPr>
        <w:t xml:space="preserve"> příjmem SFŽP.</w:t>
      </w:r>
    </w:p>
    <w:p w14:paraId="02844101" w14:textId="3736ED16" w:rsidR="00523DE2" w:rsidRDefault="00523DE2" w:rsidP="00523DE2">
      <w:pPr>
        <w:pStyle w:val="TextKP"/>
        <w:rPr>
          <w:b/>
        </w:rPr>
      </w:pPr>
      <w:r w:rsidRPr="008C1FD3">
        <w:rPr>
          <w:b/>
        </w:rPr>
        <w:t xml:space="preserve">Při kontrole projektů </w:t>
      </w:r>
      <w:r w:rsidR="00B4323D">
        <w:rPr>
          <w:b/>
        </w:rPr>
        <w:t xml:space="preserve">podpořených </w:t>
      </w:r>
      <w:r w:rsidR="00B4323D" w:rsidRPr="008C1FD3">
        <w:rPr>
          <w:b/>
        </w:rPr>
        <w:t>z</w:t>
      </w:r>
      <w:r w:rsidR="00B4323D">
        <w:rPr>
          <w:b/>
        </w:rPr>
        <w:t> </w:t>
      </w:r>
      <w:r w:rsidR="00B4323D" w:rsidRPr="008C1FD3">
        <w:rPr>
          <w:b/>
        </w:rPr>
        <w:t xml:space="preserve">OPŽP </w:t>
      </w:r>
      <w:r w:rsidR="00B4323D">
        <w:rPr>
          <w:b/>
        </w:rPr>
        <w:t xml:space="preserve">a </w:t>
      </w:r>
      <w:r w:rsidRPr="008C1FD3">
        <w:rPr>
          <w:b/>
        </w:rPr>
        <w:t>zaměřených na předcházení</w:t>
      </w:r>
      <w:r>
        <w:rPr>
          <w:b/>
        </w:rPr>
        <w:t xml:space="preserve"> vzniku odpadů</w:t>
      </w:r>
      <w:r w:rsidRPr="008C1FD3">
        <w:rPr>
          <w:b/>
        </w:rPr>
        <w:t xml:space="preserve"> či</w:t>
      </w:r>
      <w:r w:rsidR="00A00271">
        <w:rPr>
          <w:b/>
        </w:rPr>
        <w:t xml:space="preserve"> </w:t>
      </w:r>
      <w:r w:rsidR="00B4323D">
        <w:rPr>
          <w:b/>
        </w:rPr>
        <w:t xml:space="preserve">na </w:t>
      </w:r>
      <w:r w:rsidRPr="008C1FD3">
        <w:rPr>
          <w:b/>
        </w:rPr>
        <w:t>nakládání s</w:t>
      </w:r>
      <w:r>
        <w:rPr>
          <w:b/>
        </w:rPr>
        <w:t> </w:t>
      </w:r>
      <w:r w:rsidRPr="008C1FD3">
        <w:rPr>
          <w:b/>
        </w:rPr>
        <w:t>odpady byly zjištěny nedostatky v oblasti zadávání veřejných zakázek, vedení účetnictví</w:t>
      </w:r>
      <w:r>
        <w:rPr>
          <w:b/>
        </w:rPr>
        <w:t xml:space="preserve"> </w:t>
      </w:r>
      <w:r w:rsidRPr="008C1FD3">
        <w:rPr>
          <w:b/>
        </w:rPr>
        <w:t>a</w:t>
      </w:r>
      <w:r w:rsidR="007265D4">
        <w:rPr>
          <w:b/>
        </w:rPr>
        <w:t xml:space="preserve"> </w:t>
      </w:r>
      <w:r w:rsidRPr="008C1FD3">
        <w:rPr>
          <w:b/>
        </w:rPr>
        <w:t>způsobilosti výdajů</w:t>
      </w:r>
      <w:r>
        <w:rPr>
          <w:b/>
        </w:rPr>
        <w:t xml:space="preserve">, což NKÚ vyhodnotil jako skutečnosti </w:t>
      </w:r>
      <w:r w:rsidRPr="001F3CF3">
        <w:rPr>
          <w:b/>
        </w:rPr>
        <w:t xml:space="preserve">nasvědčující porušení rozpočtové kázně </w:t>
      </w:r>
      <w:r w:rsidR="00B4323D">
        <w:rPr>
          <w:b/>
        </w:rPr>
        <w:t>ve smyslu</w:t>
      </w:r>
      <w:r>
        <w:rPr>
          <w:b/>
        </w:rPr>
        <w:t xml:space="preserve"> rozpočtových pravidel</w:t>
      </w:r>
      <w:r>
        <w:rPr>
          <w:rStyle w:val="Znakapoznpodarou"/>
          <w:b/>
        </w:rPr>
        <w:footnoteReference w:id="6"/>
      </w:r>
      <w:r>
        <w:rPr>
          <w:b/>
        </w:rPr>
        <w:t>.</w:t>
      </w:r>
    </w:p>
    <w:p w14:paraId="26BE6BAD" w14:textId="77777777" w:rsidR="00523DE2" w:rsidRDefault="00523DE2" w:rsidP="00523DE2">
      <w:pPr>
        <w:pStyle w:val="TextKP"/>
        <w:rPr>
          <w:b/>
        </w:rPr>
      </w:pPr>
      <w:r>
        <w:rPr>
          <w:b/>
        </w:rPr>
        <w:br w:type="page"/>
      </w:r>
    </w:p>
    <w:bookmarkEnd w:id="2"/>
    <w:p w14:paraId="72359B0C" w14:textId="77777777" w:rsidR="00CA2C1A" w:rsidRDefault="000A5F6C" w:rsidP="00CA2C1A">
      <w:pPr>
        <w:pStyle w:val="TextKP"/>
      </w:pPr>
      <w:r>
        <w:lastRenderedPageBreak/>
        <w:t>Vyhodnocení vyplývá z těchto zjištěných skutečností:</w:t>
      </w:r>
    </w:p>
    <w:p w14:paraId="0D8A0BFB" w14:textId="20CCADF2" w:rsidR="003B70EB" w:rsidRDefault="009E197F">
      <w:pPr>
        <w:pStyle w:val="Nadpis2"/>
      </w:pPr>
      <w:r>
        <w:t>MŽP nastavilo p</w:t>
      </w:r>
      <w:r w:rsidR="000A5F6C" w:rsidRPr="00555536">
        <w:t>odpor</w:t>
      </w:r>
      <w:r>
        <w:t>u</w:t>
      </w:r>
      <w:r w:rsidR="000A5F6C" w:rsidRPr="00555536">
        <w:t xml:space="preserve"> z OPŽP v oblasti odpadů v souladu s hierarchií způsobů nakládání s odpady a </w:t>
      </w:r>
      <w:r w:rsidR="00B4323D">
        <w:t xml:space="preserve">v souladu </w:t>
      </w:r>
      <w:r w:rsidR="000A5F6C" w:rsidRPr="00555536">
        <w:t xml:space="preserve">se závaznou částí POH, ne všechny indikátory výstupu však budou ke konci programového období splněny. </w:t>
      </w:r>
      <w:r w:rsidR="002F2ED0">
        <w:t>Naopak p</w:t>
      </w:r>
      <w:r w:rsidR="000A5F6C" w:rsidRPr="00555536">
        <w:t>odpor</w:t>
      </w:r>
      <w:r w:rsidR="005D1D4E">
        <w:t>u</w:t>
      </w:r>
      <w:r w:rsidR="000A5F6C" w:rsidRPr="00555536">
        <w:t xml:space="preserve"> poskyt</w:t>
      </w:r>
      <w:r w:rsidR="005D1D4E">
        <w:t xml:space="preserve">ovanou </w:t>
      </w:r>
      <w:r w:rsidR="00E435E9">
        <w:t>z</w:t>
      </w:r>
      <w:r w:rsidR="000A5F6C" w:rsidRPr="00555536">
        <w:t xml:space="preserve"> 3. prioritní oblasti NPŽP ne</w:t>
      </w:r>
      <w:r w:rsidR="005D1D4E">
        <w:t xml:space="preserve">nastavilo MŽP </w:t>
      </w:r>
      <w:r w:rsidR="000A5F6C" w:rsidRPr="00555536">
        <w:t>v souladu s hierarchií způsobů nakládání s odpady a</w:t>
      </w:r>
      <w:r w:rsidR="00B4323D">
        <w:t xml:space="preserve"> </w:t>
      </w:r>
      <w:r w:rsidR="000A5F6C" w:rsidRPr="00555536">
        <w:t>se</w:t>
      </w:r>
      <w:r w:rsidR="00B4323D">
        <w:t xml:space="preserve"> </w:t>
      </w:r>
      <w:r w:rsidR="000A5F6C" w:rsidRPr="00555536">
        <w:t>závaznou částí POH.</w:t>
      </w:r>
    </w:p>
    <w:p w14:paraId="03FA4FF7" w14:textId="67BA3518" w:rsidR="00555536" w:rsidRPr="00D93E0B" w:rsidRDefault="000A5F6C" w:rsidP="00555536">
      <w:pPr>
        <w:pStyle w:val="TextKP"/>
      </w:pPr>
      <w:r w:rsidRPr="005C74F4">
        <w:t>Dva z</w:t>
      </w:r>
      <w:r w:rsidR="00B4323D">
        <w:t xml:space="preserve"> </w:t>
      </w:r>
      <w:r w:rsidRPr="005C74F4">
        <w:t>osmi výstupových indikátorů, jejichž</w:t>
      </w:r>
      <w:r w:rsidR="00B4323D">
        <w:t xml:space="preserve"> </w:t>
      </w:r>
      <w:r w:rsidRPr="005C74F4">
        <w:t>hodnoty vycházejí z</w:t>
      </w:r>
      <w:r w:rsidR="00B4323D">
        <w:t xml:space="preserve"> </w:t>
      </w:r>
      <w:r w:rsidRPr="005C74F4">
        <w:t>realizovaných projektů, nebudou do konce programového období splněny.</w:t>
      </w:r>
      <w:r>
        <w:rPr>
          <w:b/>
        </w:rPr>
        <w:t xml:space="preserve"> </w:t>
      </w:r>
      <w:r>
        <w:t xml:space="preserve">Indikátor výstupu </w:t>
      </w:r>
      <w:r w:rsidR="00E435E9">
        <w:t>„</w:t>
      </w:r>
      <w:r w:rsidR="00E435E9">
        <w:rPr>
          <w:i/>
        </w:rPr>
        <w:t>z</w:t>
      </w:r>
      <w:r w:rsidRPr="00AF4140">
        <w:rPr>
          <w:i/>
        </w:rPr>
        <w:t>výšení kapacity pro</w:t>
      </w:r>
      <w:r w:rsidR="001A3662">
        <w:rPr>
          <w:i/>
        </w:rPr>
        <w:t xml:space="preserve"> </w:t>
      </w:r>
      <w:r w:rsidRPr="00AF4140">
        <w:rPr>
          <w:i/>
        </w:rPr>
        <w:t>recyklaci odpadů</w:t>
      </w:r>
      <w:r w:rsidR="00E435E9">
        <w:t>“</w:t>
      </w:r>
      <w:r>
        <w:t xml:space="preserve"> vykazoval ke dni 31. 12. 2020 plnění prostřednictvím dosažené hodnoty ve výši 7,47 % a indikátor výstupu </w:t>
      </w:r>
      <w:r w:rsidR="00E435E9">
        <w:t>„</w:t>
      </w:r>
      <w:r w:rsidR="00E435E9">
        <w:rPr>
          <w:i/>
        </w:rPr>
        <w:t>k</w:t>
      </w:r>
      <w:r w:rsidRPr="00AF4140">
        <w:rPr>
          <w:i/>
        </w:rPr>
        <w:t>apacita nově vybudovaných nebo zmodernizovaných zařízení na energetické využití ostatních odpadů</w:t>
      </w:r>
      <w:r w:rsidR="00E435E9" w:rsidRPr="0046728D">
        <w:t>“</w:t>
      </w:r>
      <w:r w:rsidRPr="004013DB">
        <w:t xml:space="preserve"> </w:t>
      </w:r>
      <w:r>
        <w:t>vykazoval ke dni 31.</w:t>
      </w:r>
      <w:r w:rsidR="00E435E9">
        <w:t> </w:t>
      </w:r>
      <w:r>
        <w:t>12.</w:t>
      </w:r>
      <w:r w:rsidR="00E435E9">
        <w:t> </w:t>
      </w:r>
      <w:r>
        <w:t xml:space="preserve">2020 plnění prostřednictvím dosažené hodnoty ve výši 1,20 %. </w:t>
      </w:r>
      <w:r w:rsidR="004B73FB">
        <w:t xml:space="preserve">Vzhledem ke skutečnosti, že </w:t>
      </w:r>
      <w:r w:rsidR="00AF4140" w:rsidRPr="00AF4140">
        <w:t xml:space="preserve">další projekty nebyly ke konci roku </w:t>
      </w:r>
      <w:r w:rsidR="00AF4140">
        <w:t xml:space="preserve">2020 </w:t>
      </w:r>
      <w:r w:rsidR="00AF4140" w:rsidRPr="00AF4140">
        <w:t>v procesu posuzování</w:t>
      </w:r>
      <w:r w:rsidR="004B73FB">
        <w:t xml:space="preserve">, </w:t>
      </w:r>
      <w:r w:rsidR="00AF4140" w:rsidRPr="00AF4140">
        <w:t>hodnocení</w:t>
      </w:r>
      <w:r w:rsidR="004B73FB">
        <w:t xml:space="preserve"> či </w:t>
      </w:r>
      <w:r w:rsidR="00AF4140" w:rsidRPr="00AF4140">
        <w:t>schvalování</w:t>
      </w:r>
      <w:r w:rsidR="00AF4140">
        <w:t xml:space="preserve"> a</w:t>
      </w:r>
      <w:r w:rsidR="00AF4140" w:rsidRPr="00AF4140">
        <w:t xml:space="preserve"> žádn</w:t>
      </w:r>
      <w:r w:rsidR="00AF4140">
        <w:t xml:space="preserve">é další výzvy MŽP do konce programového období neplánovalo, </w:t>
      </w:r>
      <w:r w:rsidR="00E435E9">
        <w:t xml:space="preserve">nebudou </w:t>
      </w:r>
      <w:r w:rsidR="00AF4140">
        <w:t>c</w:t>
      </w:r>
      <w:r w:rsidR="00AF4140" w:rsidRPr="00AF4140">
        <w:t>ílov</w:t>
      </w:r>
      <w:r w:rsidR="00AF4140">
        <w:t>é</w:t>
      </w:r>
      <w:r w:rsidR="00AF4140" w:rsidRPr="00AF4140">
        <w:t xml:space="preserve"> hodnot</w:t>
      </w:r>
      <w:r w:rsidR="00AF4140">
        <w:t>y</w:t>
      </w:r>
      <w:r w:rsidR="00AF4140" w:rsidRPr="00AF4140">
        <w:t xml:space="preserve"> </w:t>
      </w:r>
      <w:r w:rsidR="00AF4140">
        <w:t xml:space="preserve">těchto </w:t>
      </w:r>
      <w:r w:rsidR="00AF4140" w:rsidRPr="00AF4140">
        <w:t>indikátor</w:t>
      </w:r>
      <w:r w:rsidR="00866A55">
        <w:t>ů</w:t>
      </w:r>
      <w:r w:rsidR="00AF4140" w:rsidRPr="00AF4140">
        <w:t xml:space="preserve"> </w:t>
      </w:r>
      <w:r w:rsidR="00AF4140">
        <w:t>splněny</w:t>
      </w:r>
      <w:r w:rsidR="00AF4140" w:rsidRPr="00AF4140">
        <w:t>.</w:t>
      </w:r>
      <w:r w:rsidR="00AF4140">
        <w:t xml:space="preserve"> </w:t>
      </w:r>
      <w:r>
        <w:t>Plnění</w:t>
      </w:r>
      <w:r w:rsidR="00B4323D">
        <w:t xml:space="preserve"> </w:t>
      </w:r>
      <w:r>
        <w:t xml:space="preserve">stanovených </w:t>
      </w:r>
      <w:r w:rsidRPr="00D93E0B">
        <w:t>specifických programových ukazatelů výsledk</w:t>
      </w:r>
      <w:r w:rsidR="004013DB">
        <w:t>u</w:t>
      </w:r>
      <w:r w:rsidRPr="00D93E0B">
        <w:t xml:space="preserve"> a</w:t>
      </w:r>
      <w:r w:rsidR="00B4323D">
        <w:t xml:space="preserve"> </w:t>
      </w:r>
      <w:r w:rsidRPr="00D93E0B">
        <w:t>výstupu ke dni 31.</w:t>
      </w:r>
      <w:r w:rsidR="00234E5E" w:rsidRPr="00D93E0B">
        <w:t> </w:t>
      </w:r>
      <w:r w:rsidRPr="00D93E0B">
        <w:t>12.</w:t>
      </w:r>
      <w:r w:rsidR="00234E5E" w:rsidRPr="00D93E0B">
        <w:t> </w:t>
      </w:r>
      <w:r w:rsidRPr="00D93E0B">
        <w:t>2020 je uvedeno v</w:t>
      </w:r>
      <w:r w:rsidR="004B73FB" w:rsidRPr="00D93E0B">
        <w:t> </w:t>
      </w:r>
      <w:r w:rsidRPr="00D93E0B">
        <w:t xml:space="preserve">příloze č. </w:t>
      </w:r>
      <w:r w:rsidR="004B73FB" w:rsidRPr="00D93E0B">
        <w:t>1</w:t>
      </w:r>
      <w:r w:rsidRPr="00D93E0B">
        <w:t xml:space="preserve"> </w:t>
      </w:r>
      <w:r w:rsidR="00E435E9">
        <w:t xml:space="preserve">tohoto </w:t>
      </w:r>
      <w:r w:rsidRPr="00D93E0B">
        <w:t>kontrolního závěru.</w:t>
      </w:r>
    </w:p>
    <w:p w14:paraId="34DA578D" w14:textId="5CBC1899" w:rsidR="007A5FB6" w:rsidRDefault="000A5F6C" w:rsidP="007A5FB6">
      <w:pPr>
        <w:pStyle w:val="TextKP"/>
      </w:pPr>
      <w:r w:rsidRPr="00D93E0B">
        <w:t>Kontrolou bylo zjištěno, že v rámci 3. prioritní</w:t>
      </w:r>
      <w:r>
        <w:t xml:space="preserve"> oblasti NPŽP </w:t>
      </w:r>
      <w:r w:rsidR="004013DB">
        <w:t xml:space="preserve">nevyhlásilo </w:t>
      </w:r>
      <w:r w:rsidR="005D1D4E">
        <w:t xml:space="preserve">MŽP </w:t>
      </w:r>
      <w:r>
        <w:t xml:space="preserve">od počátku </w:t>
      </w:r>
      <w:r w:rsidR="005D1D4E">
        <w:t>programu</w:t>
      </w:r>
      <w:r>
        <w:t xml:space="preserve"> ani jedn</w:t>
      </w:r>
      <w:r w:rsidR="005D1D4E">
        <w:t>u</w:t>
      </w:r>
      <w:r>
        <w:t xml:space="preserve"> výzv</w:t>
      </w:r>
      <w:r w:rsidR="005D1D4E">
        <w:t>u</w:t>
      </w:r>
      <w:r>
        <w:t xml:space="preserve"> </w:t>
      </w:r>
      <w:r w:rsidR="004013DB">
        <w:t xml:space="preserve">zaměřenou na </w:t>
      </w:r>
      <w:r>
        <w:t>předcházení vzniku odpad</w:t>
      </w:r>
      <w:r w:rsidR="00A30CA1">
        <w:t>ů</w:t>
      </w:r>
      <w:r>
        <w:t>, což</w:t>
      </w:r>
      <w:r w:rsidR="004013DB">
        <w:t xml:space="preserve"> </w:t>
      </w:r>
      <w:r>
        <w:t>neodpovídá hierarchii způsobů nakládání s odpady.</w:t>
      </w:r>
    </w:p>
    <w:p w14:paraId="375D8521" w14:textId="77777777" w:rsidR="003B70EB" w:rsidRPr="00555536" w:rsidRDefault="000A5F6C" w:rsidP="007A5FB6">
      <w:pPr>
        <w:pStyle w:val="Nadpis2"/>
      </w:pPr>
      <w:r w:rsidRPr="00555536">
        <w:t>V ČR nedochází ke snižování celkové produkce odpadů včetně nebezpečných odpadů, produkce komunálních odpadů narůstá již od roku 2012 a skládkování nadále představovalo nejčastější způsob nakládání s komunálním odpadem.</w:t>
      </w:r>
    </w:p>
    <w:p w14:paraId="19C912B7" w14:textId="37089DFE" w:rsidR="00847E71" w:rsidRDefault="000A5F6C" w:rsidP="00555536">
      <w:pPr>
        <w:pStyle w:val="TextKP"/>
      </w:pPr>
      <w:r w:rsidRPr="00BF00AB">
        <w:t>V ČR nedochází ke snižování celkové</w:t>
      </w:r>
      <w:r>
        <w:t xml:space="preserve"> produkce všech odpadů a není plněn strategický cíl POH v části týkající se snižování produkce odpadů. Celková produkce všech odpadů v ČR se</w:t>
      </w:r>
      <w:r w:rsidR="00BF00AB">
        <w:t xml:space="preserve"> </w:t>
      </w:r>
      <w:r>
        <w:t>pohybovala v období 2015 až 20</w:t>
      </w:r>
      <w:r w:rsidR="00531A39">
        <w:t>20</w:t>
      </w:r>
      <w:r>
        <w:t xml:space="preserve"> v rozmezí 34,2 až </w:t>
      </w:r>
      <w:r w:rsidR="00531A39">
        <w:t>38</w:t>
      </w:r>
      <w:r>
        <w:t>,</w:t>
      </w:r>
      <w:r w:rsidR="00531A39">
        <w:t>5</w:t>
      </w:r>
      <w:r>
        <w:t xml:space="preserve"> </w:t>
      </w:r>
      <w:r w:rsidR="002F2ED0">
        <w:t>megatun</w:t>
      </w:r>
      <w:r w:rsidR="00BF00AB">
        <w:t>y</w:t>
      </w:r>
      <w:r w:rsidR="002F2ED0">
        <w:t xml:space="preserve"> (</w:t>
      </w:r>
      <w:proofErr w:type="spellStart"/>
      <w:r>
        <w:t>Mt</w:t>
      </w:r>
      <w:proofErr w:type="spellEnd"/>
      <w:r w:rsidR="002F2ED0">
        <w:t>)</w:t>
      </w:r>
      <w:r>
        <w:t xml:space="preserve"> za rok.</w:t>
      </w:r>
    </w:p>
    <w:p w14:paraId="51DFB425" w14:textId="60D60549" w:rsidR="00555536" w:rsidRDefault="00531A39" w:rsidP="00555536">
      <w:pPr>
        <w:pStyle w:val="TextKP"/>
      </w:pPr>
      <w:r>
        <w:t>P</w:t>
      </w:r>
      <w:r w:rsidR="000A5F6C">
        <w:t xml:space="preserve">odíl skládkování komunálních odpadů neklesl </w:t>
      </w:r>
      <w:r>
        <w:t xml:space="preserve">v těchto letech </w:t>
      </w:r>
      <w:r w:rsidR="000A5F6C">
        <w:t>pod 45 %</w:t>
      </w:r>
      <w:r w:rsidR="000A5F6C">
        <w:rPr>
          <w:rStyle w:val="Znakapoznpodarou"/>
        </w:rPr>
        <w:footnoteReference w:id="7"/>
      </w:r>
      <w:r w:rsidR="000A5F6C">
        <w:t>. V roce 2014 byl přijat legislativní zákaz skládkování vybraných odpadů od roku 2024 bez úpravy poplatku za</w:t>
      </w:r>
      <w:r w:rsidR="001A3662">
        <w:t xml:space="preserve"> </w:t>
      </w:r>
      <w:r w:rsidR="000A5F6C">
        <w:t>skládkování využitelných komunálních odpadů. V letech 2009 až 2020 MŽP nenavýšilo poplatek za</w:t>
      </w:r>
      <w:r w:rsidR="001A3662">
        <w:t xml:space="preserve"> </w:t>
      </w:r>
      <w:r w:rsidR="000A5F6C">
        <w:t>skládkování komunálních odpadů</w:t>
      </w:r>
      <w:r w:rsidR="002F2ED0">
        <w:t xml:space="preserve">, který činil </w:t>
      </w:r>
      <w:r w:rsidR="008D3580">
        <w:t xml:space="preserve">v tomto období </w:t>
      </w:r>
      <w:r w:rsidR="002F2ED0">
        <w:t>500 Kč za tunu odpadu,</w:t>
      </w:r>
      <w:r w:rsidR="000A5F6C">
        <w:t xml:space="preserve"> a současně mezi roky 2016 a 2020 došlo ke</w:t>
      </w:r>
      <w:r w:rsidR="00240ABC">
        <w:t xml:space="preserve"> </w:t>
      </w:r>
      <w:r w:rsidR="000A5F6C">
        <w:t>zvýšení kapacity skládek pro odstraňování ostatních odpadů včetně komunálního odpadu o 17 %. MŽP v novém zákoně o odpadech</w:t>
      </w:r>
      <w:r w:rsidR="000A5F6C">
        <w:rPr>
          <w:rStyle w:val="Znakapoznpodarou"/>
        </w:rPr>
        <w:footnoteReference w:id="8"/>
      </w:r>
      <w:r w:rsidR="000A5F6C">
        <w:t xml:space="preserve"> </w:t>
      </w:r>
      <w:r w:rsidR="009E519D">
        <w:t>navrhlo</w:t>
      </w:r>
      <w:r w:rsidR="000A5F6C">
        <w:t xml:space="preserve"> posunutí zákazu skládkování až na rok 2030</w:t>
      </w:r>
      <w:r w:rsidR="002F2ED0">
        <w:t xml:space="preserve"> a navýšení poplatku za ukládání komunálních odpadů na skládky na 800 Kč</w:t>
      </w:r>
      <w:r w:rsidR="008D3580">
        <w:t>/t</w:t>
      </w:r>
      <w:r w:rsidR="002F2ED0">
        <w:t xml:space="preserve"> </w:t>
      </w:r>
      <w:r w:rsidR="00953BDA">
        <w:t>v</w:t>
      </w:r>
      <w:r w:rsidR="002F2ED0">
        <w:t xml:space="preserve"> roce 2021 </w:t>
      </w:r>
      <w:r w:rsidR="00523097">
        <w:t>až</w:t>
      </w:r>
      <w:r w:rsidR="002F2ED0">
        <w:t xml:space="preserve"> na konečných 1 850 Kč</w:t>
      </w:r>
      <w:r w:rsidR="00953BDA">
        <w:t>/t</w:t>
      </w:r>
      <w:r w:rsidR="002F2ED0">
        <w:t xml:space="preserve"> od roku 2030</w:t>
      </w:r>
      <w:r w:rsidR="00953BDA">
        <w:t>. V</w:t>
      </w:r>
      <w:r w:rsidR="000A5F6C">
        <w:t xml:space="preserve">ýjimka v zákoně </w:t>
      </w:r>
      <w:r w:rsidR="00953BDA">
        <w:t xml:space="preserve">však </w:t>
      </w:r>
      <w:r w:rsidR="000A5F6C">
        <w:t xml:space="preserve">umožňuje obcím až do roku 2029 </w:t>
      </w:r>
      <w:r w:rsidR="0083507C">
        <w:t xml:space="preserve">ukládat na skládky </w:t>
      </w:r>
      <w:r w:rsidR="000A5F6C">
        <w:t xml:space="preserve">část vzniklého odpadu za </w:t>
      </w:r>
      <w:r w:rsidR="00953BDA">
        <w:t xml:space="preserve">původní </w:t>
      </w:r>
      <w:r w:rsidR="000A5F6C">
        <w:t>sazbu 500</w:t>
      </w:r>
      <w:r w:rsidR="002339B4">
        <w:t xml:space="preserve"> </w:t>
      </w:r>
      <w:r w:rsidR="000A5F6C">
        <w:t>Kč</w:t>
      </w:r>
      <w:r w:rsidR="00953BDA">
        <w:t>/t</w:t>
      </w:r>
      <w:r w:rsidR="000A5F6C">
        <w:t xml:space="preserve"> </w:t>
      </w:r>
      <w:r w:rsidR="00685593">
        <w:t>(</w:t>
      </w:r>
      <w:r w:rsidR="000A5F6C">
        <w:t>neměnnou od roku 2009</w:t>
      </w:r>
      <w:r w:rsidR="00685593">
        <w:t>)</w:t>
      </w:r>
      <w:r w:rsidR="003C73C7">
        <w:t xml:space="preserve">, což </w:t>
      </w:r>
      <w:r w:rsidR="008B51BB">
        <w:t>nadále znevýhodňuje jiné formy nakládání s komunálními odpady oproti skládkování.</w:t>
      </w:r>
    </w:p>
    <w:p w14:paraId="0E0EDC17" w14:textId="6A8324BB" w:rsidR="00523097" w:rsidRDefault="00953BDA" w:rsidP="00555536">
      <w:pPr>
        <w:pStyle w:val="TextKP"/>
      </w:pPr>
      <w:r>
        <w:t xml:space="preserve">Na základě dat z </w:t>
      </w:r>
      <w:r w:rsidRPr="0046728D">
        <w:rPr>
          <w:i/>
        </w:rPr>
        <w:t>Informačního systému odpadového hospodářství</w:t>
      </w:r>
      <w:r>
        <w:t xml:space="preserve"> (dále také „ISOH“) bylo kontrolou NKÚ zjištěno, že při nakládání s nebezpečnými odpady v provozech skládek v letech 2016 až 2020 bylo pouze 7 % z celkového množství odstraněných nebezpečných odpadů (1 </w:t>
      </w:r>
      <w:proofErr w:type="spellStart"/>
      <w:r>
        <w:t>Mt</w:t>
      </w:r>
      <w:proofErr w:type="spellEnd"/>
      <w:r>
        <w:t>) zpoplatněno vyšší</w:t>
      </w:r>
      <w:r w:rsidR="00DA3BBE">
        <w:t>,</w:t>
      </w:r>
      <w:r>
        <w:t xml:space="preserve"> rizikovou sazbou poplatku. </w:t>
      </w:r>
      <w:r w:rsidR="00EE7234">
        <w:t xml:space="preserve">Dle § 45 odst. 1 zákona o odpadech </w:t>
      </w:r>
      <w:r w:rsidR="00275A4C">
        <w:t>byl</w:t>
      </w:r>
      <w:r w:rsidR="00EE7234">
        <w:t xml:space="preserve"> </w:t>
      </w:r>
      <w:r w:rsidR="00EE7234">
        <w:lastRenderedPageBreak/>
        <w:t>původce odpadu povinen platit poplatek z</w:t>
      </w:r>
      <w:r w:rsidR="00EE7234" w:rsidRPr="00EE7234">
        <w:t>a ukládání odpadů na skládky</w:t>
      </w:r>
      <w:r w:rsidR="00EE7234">
        <w:t xml:space="preserve"> a dle § 46 odst. 1 </w:t>
      </w:r>
      <w:r w:rsidR="00275A4C">
        <w:t xml:space="preserve">zákona o odpadech byl </w:t>
      </w:r>
      <w:r w:rsidR="00275A4C" w:rsidRPr="00EE7234">
        <w:t>za uložení nebezpečného odpadu</w:t>
      </w:r>
      <w:r w:rsidR="00275A4C">
        <w:t xml:space="preserve"> na skládku povinen platit </w:t>
      </w:r>
      <w:r w:rsidR="00DA3BBE">
        <w:t>kromě</w:t>
      </w:r>
      <w:r w:rsidR="00275A4C">
        <w:t xml:space="preserve"> základní složky poplatku (500 Kč/t) také tzv. </w:t>
      </w:r>
      <w:r w:rsidR="00EE7234" w:rsidRPr="00EE7234">
        <w:t>rizikov</w:t>
      </w:r>
      <w:r w:rsidR="00275A4C">
        <w:t>ou</w:t>
      </w:r>
      <w:r w:rsidR="00EE7234" w:rsidRPr="00EE7234">
        <w:t xml:space="preserve"> složk</w:t>
      </w:r>
      <w:r w:rsidR="00275A4C">
        <w:t xml:space="preserve">u poplatku (4 500 Kč/t), která byla dle § 48 odst. 3 </w:t>
      </w:r>
      <w:r w:rsidR="004A1DB2">
        <w:t xml:space="preserve">tohoto zákona </w:t>
      </w:r>
      <w:r w:rsidR="00275A4C">
        <w:t xml:space="preserve">příjmem SFŽP. </w:t>
      </w:r>
      <w:r w:rsidR="008D3580">
        <w:t>Více než 50 % nebezpečných odpadů uložených v letech 2016 až 2020 na skládky bez zpoplatnění rizikovou složkou poplatku bylo vykázáno jako</w:t>
      </w:r>
      <w:r>
        <w:t xml:space="preserve"> tzv.</w:t>
      </w:r>
      <w:r w:rsidR="008D3580">
        <w:t xml:space="preserve"> terénní úpravy v provozech skládek</w:t>
      </w:r>
      <w:r>
        <w:t>, což představuje snížení příjmů SFŽP</w:t>
      </w:r>
      <w:r w:rsidR="000573AB">
        <w:t xml:space="preserve"> </w:t>
      </w:r>
      <w:r w:rsidR="00866A55">
        <w:t xml:space="preserve">ve výši přesahující 2,5 mld. Kč </w:t>
      </w:r>
      <w:r>
        <w:t>za období let 2016 až 2020</w:t>
      </w:r>
      <w:r w:rsidR="00820915">
        <w:t>.</w:t>
      </w:r>
      <w:r w:rsidR="00523097">
        <w:rPr>
          <w:rStyle w:val="Znakapoznpodarou"/>
        </w:rPr>
        <w:footnoteReference w:id="9"/>
      </w:r>
    </w:p>
    <w:p w14:paraId="6B1E205D" w14:textId="4424F845" w:rsidR="00694ECA" w:rsidRPr="00555536" w:rsidRDefault="000A5F6C" w:rsidP="00694ECA">
      <w:pPr>
        <w:pStyle w:val="Nadpis2"/>
      </w:pPr>
      <w:r w:rsidRPr="00555536">
        <w:t>Kontrolou</w:t>
      </w:r>
      <w:r w:rsidR="009739FB">
        <w:t xml:space="preserve"> NKÚ</w:t>
      </w:r>
      <w:r w:rsidR="00250709">
        <w:t xml:space="preserve"> u</w:t>
      </w:r>
      <w:r w:rsidRPr="00555536">
        <w:t xml:space="preserve"> projektů </w:t>
      </w:r>
      <w:r w:rsidR="0010106F" w:rsidRPr="00555536">
        <w:t xml:space="preserve">OPŽP </w:t>
      </w:r>
      <w:r w:rsidRPr="00555536">
        <w:t xml:space="preserve">zaměřených na předcházení </w:t>
      </w:r>
      <w:r w:rsidR="0010106F">
        <w:t>vzniku odpad</w:t>
      </w:r>
      <w:r w:rsidR="00A30CA1">
        <w:t>ů</w:t>
      </w:r>
      <w:r w:rsidR="0010106F">
        <w:t xml:space="preserve"> </w:t>
      </w:r>
      <w:r w:rsidRPr="00555536">
        <w:t xml:space="preserve">či </w:t>
      </w:r>
      <w:r w:rsidR="00AB5C33">
        <w:t xml:space="preserve">na </w:t>
      </w:r>
      <w:r w:rsidRPr="00555536">
        <w:t>nakládání s</w:t>
      </w:r>
      <w:r w:rsidR="00A24CB8">
        <w:t> </w:t>
      </w:r>
      <w:r w:rsidRPr="00555536">
        <w:t xml:space="preserve">odpady byly zjištěny </w:t>
      </w:r>
      <w:r w:rsidR="00AB5C33">
        <w:t xml:space="preserve">následující </w:t>
      </w:r>
      <w:r w:rsidRPr="00555536">
        <w:t>nedostatky</w:t>
      </w:r>
      <w:r w:rsidR="00AB5C33">
        <w:t>:</w:t>
      </w:r>
    </w:p>
    <w:p w14:paraId="7DCC90F5" w14:textId="59553CD7" w:rsidR="00555536" w:rsidRDefault="00AB5C33" w:rsidP="00555536">
      <w:pPr>
        <w:pStyle w:val="TextKP"/>
        <w:numPr>
          <w:ilvl w:val="0"/>
          <w:numId w:val="44"/>
        </w:numPr>
        <w:spacing w:before="60"/>
        <w:ind w:left="567" w:hanging="283"/>
      </w:pPr>
      <w:r w:rsidRPr="008E2E70">
        <w:t>n</w:t>
      </w:r>
      <w:r w:rsidR="000A5F6C" w:rsidRPr="008E2E70">
        <w:t>edodržení zásady zákazu</w:t>
      </w:r>
      <w:r w:rsidR="000A5F6C">
        <w:t xml:space="preserve"> diskriminace dle zákona o zadávání veřejných zakázek</w:t>
      </w:r>
      <w:r w:rsidR="000A5F6C">
        <w:rPr>
          <w:rStyle w:val="Znakapoznpodarou"/>
        </w:rPr>
        <w:footnoteReference w:id="10"/>
      </w:r>
      <w:r w:rsidR="000A5F6C">
        <w:t>;</w:t>
      </w:r>
    </w:p>
    <w:p w14:paraId="2BE20CE7" w14:textId="360BF2C7" w:rsidR="00555536" w:rsidRDefault="00AB5C33" w:rsidP="00555536">
      <w:pPr>
        <w:pStyle w:val="TextKP"/>
        <w:numPr>
          <w:ilvl w:val="0"/>
          <w:numId w:val="44"/>
        </w:numPr>
        <w:spacing w:before="60"/>
        <w:ind w:left="567" w:hanging="283"/>
      </w:pPr>
      <w:r>
        <w:t>ú</w:t>
      </w:r>
      <w:r w:rsidR="000A5F6C">
        <w:t>četnictví projektu nebylo vedeno řádným způsobem v souladu se zákonem o účetnictví</w:t>
      </w:r>
      <w:r w:rsidR="000A5F6C">
        <w:rPr>
          <w:rStyle w:val="Znakapoznpodarou"/>
        </w:rPr>
        <w:footnoteReference w:id="11"/>
      </w:r>
      <w:r w:rsidR="000A5F6C">
        <w:t>;</w:t>
      </w:r>
    </w:p>
    <w:p w14:paraId="1A15C42D" w14:textId="036D7AA3" w:rsidR="00555536" w:rsidRDefault="00EF5C1E" w:rsidP="00555536">
      <w:pPr>
        <w:pStyle w:val="TextKP"/>
        <w:numPr>
          <w:ilvl w:val="0"/>
          <w:numId w:val="44"/>
        </w:numPr>
        <w:spacing w:before="60"/>
        <w:ind w:left="567" w:hanging="283"/>
      </w:pPr>
      <w:r>
        <w:t xml:space="preserve">SFŽP nezjistil u dvou projektů </w:t>
      </w:r>
      <w:r w:rsidR="000A5F6C">
        <w:t>nezpůsobil</w:t>
      </w:r>
      <w:r>
        <w:t>é</w:t>
      </w:r>
      <w:r w:rsidR="000A5F6C">
        <w:t xml:space="preserve"> výdaj</w:t>
      </w:r>
      <w:r>
        <w:t>e</w:t>
      </w:r>
      <w:r w:rsidR="000A5F6C">
        <w:t>, které měly být hrazeny z vlastních zdrojů žadatele</w:t>
      </w:r>
      <w:r w:rsidR="008E2E70">
        <w:t>, nikoli</w:t>
      </w:r>
      <w:r w:rsidR="008E2E70" w:rsidRPr="008E2E70">
        <w:t xml:space="preserve"> </w:t>
      </w:r>
      <w:r w:rsidR="008E2E70">
        <w:t>z prostředků EU</w:t>
      </w:r>
      <w:r w:rsidR="000A5F6C">
        <w:t>;</w:t>
      </w:r>
    </w:p>
    <w:p w14:paraId="5013A60C" w14:textId="1A06777D" w:rsidR="00555536" w:rsidRDefault="00AB5C33" w:rsidP="00555536">
      <w:pPr>
        <w:pStyle w:val="TextKP"/>
        <w:numPr>
          <w:ilvl w:val="0"/>
          <w:numId w:val="44"/>
        </w:numPr>
        <w:spacing w:before="60"/>
        <w:ind w:left="567" w:hanging="283"/>
      </w:pPr>
      <w:r>
        <w:t>u</w:t>
      </w:r>
      <w:r w:rsidR="000A5F6C">
        <w:t xml:space="preserve"> SFŽP a MŽP byly zjištěny značné časové prodlevy </w:t>
      </w:r>
      <w:r w:rsidR="00E14859">
        <w:t>u závěrečného vyhodnocování projektů.</w:t>
      </w:r>
    </w:p>
    <w:p w14:paraId="1CD600F0" w14:textId="77777777" w:rsidR="003B70EB" w:rsidRPr="00555536" w:rsidRDefault="000A5F6C" w:rsidP="003B70EB">
      <w:pPr>
        <w:pStyle w:val="Nadpis2"/>
      </w:pPr>
      <w:r w:rsidRPr="00555536">
        <w:t xml:space="preserve">Kontrolou </w:t>
      </w:r>
      <w:r w:rsidR="009739FB">
        <w:t xml:space="preserve">NKÚ </w:t>
      </w:r>
      <w:r w:rsidRPr="00555536">
        <w:t xml:space="preserve">byly zjištěny </w:t>
      </w:r>
      <w:r w:rsidR="00694ECA" w:rsidRPr="00555536">
        <w:t>nedostatky</w:t>
      </w:r>
      <w:r w:rsidRPr="00555536">
        <w:t xml:space="preserve"> s vazbou na </w:t>
      </w:r>
      <w:r w:rsidR="00C60173">
        <w:t xml:space="preserve">povinnosti vyplývající </w:t>
      </w:r>
      <w:r w:rsidR="0044752E">
        <w:t>z</w:t>
      </w:r>
      <w:r w:rsidR="00C60173">
        <w:t xml:space="preserve"> právní úpravy </w:t>
      </w:r>
      <w:r w:rsidRPr="00555536">
        <w:t>odpadové</w:t>
      </w:r>
      <w:r w:rsidR="00C60173">
        <w:t>ho</w:t>
      </w:r>
      <w:r w:rsidRPr="00555536">
        <w:t xml:space="preserve"> hospodářství</w:t>
      </w:r>
      <w:r w:rsidR="00694ECA" w:rsidRPr="00555536">
        <w:t>.</w:t>
      </w:r>
    </w:p>
    <w:p w14:paraId="58EEC436" w14:textId="0522B9B3" w:rsidR="00555536" w:rsidRDefault="000A5F6C" w:rsidP="00555536">
      <w:pPr>
        <w:pStyle w:val="TextKP"/>
        <w:numPr>
          <w:ilvl w:val="0"/>
          <w:numId w:val="45"/>
        </w:numPr>
        <w:spacing w:before="60"/>
        <w:ind w:left="568" w:hanging="284"/>
      </w:pPr>
      <w:r>
        <w:t>Směrnice EU v oblasti odpadového hospodářství</w:t>
      </w:r>
      <w:r>
        <w:rPr>
          <w:rStyle w:val="Znakapoznpodarou"/>
        </w:rPr>
        <w:footnoteReference w:id="12"/>
      </w:r>
      <w:r>
        <w:t xml:space="preserve"> nebyly ze strany ČR transponovány do právního řádu ČR ve stanovených termínech</w:t>
      </w:r>
      <w:r w:rsidR="00C47618">
        <w:t>.</w:t>
      </w:r>
    </w:p>
    <w:p w14:paraId="5AEA4154" w14:textId="203ABFDA" w:rsidR="00555536" w:rsidRDefault="000A5F6C" w:rsidP="00555536">
      <w:pPr>
        <w:pStyle w:val="TextKP"/>
        <w:numPr>
          <w:ilvl w:val="0"/>
          <w:numId w:val="45"/>
        </w:numPr>
        <w:spacing w:before="60"/>
        <w:ind w:left="568" w:hanging="284"/>
      </w:pPr>
      <w:r>
        <w:t>ČR neplní cíl směrnice EU o skládkách odpadů</w:t>
      </w:r>
      <w:r>
        <w:rPr>
          <w:rStyle w:val="Znakapoznpodarou"/>
        </w:rPr>
        <w:footnoteReference w:id="13"/>
      </w:r>
      <w:r>
        <w:t xml:space="preserve"> pro nakládání s biologicky rozložitelnými komunálními odpady (dále také „BRKO“)</w:t>
      </w:r>
      <w:r w:rsidR="00C47618">
        <w:t>.</w:t>
      </w:r>
    </w:p>
    <w:p w14:paraId="67D91B10" w14:textId="08DECE0A" w:rsidR="00A24CB8" w:rsidRDefault="000A5F6C" w:rsidP="003C7DD1">
      <w:pPr>
        <w:pStyle w:val="TextKP"/>
        <w:numPr>
          <w:ilvl w:val="0"/>
          <w:numId w:val="45"/>
        </w:numPr>
        <w:spacing w:before="60"/>
        <w:ind w:left="568" w:hanging="284"/>
      </w:pPr>
      <w:r>
        <w:t>MŽP nastavilo v případě obalových odpadů nerovné požadavk</w:t>
      </w:r>
      <w:r w:rsidR="00533D81">
        <w:t>y</w:t>
      </w:r>
      <w:r>
        <w:t xml:space="preserve"> na</w:t>
      </w:r>
      <w:r w:rsidR="00C47618">
        <w:t xml:space="preserve"> </w:t>
      </w:r>
      <w:r>
        <w:t>rozsah recyklace obalových odpadů</w:t>
      </w:r>
      <w:r w:rsidR="003C7DD1">
        <w:t>.</w:t>
      </w:r>
    </w:p>
    <w:p w14:paraId="0EF03611" w14:textId="6692FFD1" w:rsidR="003B70EB" w:rsidRPr="00555536" w:rsidRDefault="00523DE2" w:rsidP="003B70EB">
      <w:pPr>
        <w:pStyle w:val="Nadpis2"/>
      </w:pPr>
      <w:r w:rsidRPr="00523DE2">
        <w:t xml:space="preserve">Kontrolou NKÚ bylo zjištěno, že MŽP porušilo zákon o odpadech, </w:t>
      </w:r>
      <w:r w:rsidR="00C0522D">
        <w:t>neboť</w:t>
      </w:r>
      <w:r w:rsidRPr="00523DE2">
        <w:t xml:space="preserve"> neaktualizovalo POH</w:t>
      </w:r>
      <w:r w:rsidR="00C0522D">
        <w:t>,</w:t>
      </w:r>
      <w:r w:rsidRPr="00523DE2">
        <w:t xml:space="preserve"> a dále byly zjištěny nedostatky v oblasti plnění a hodnocení cílů POH.</w:t>
      </w:r>
    </w:p>
    <w:p w14:paraId="3056EA51" w14:textId="77777777" w:rsidR="00555536" w:rsidRDefault="000A5F6C" w:rsidP="00555536">
      <w:pPr>
        <w:pStyle w:val="TextKP"/>
      </w:pPr>
      <w:r>
        <w:t xml:space="preserve">V roce 2018 byla přijata na úrovni EU nová právní úprava, která stanovila nové cíle v oblasti odpadového hospodářství. MŽP nepřistoupilo k </w:t>
      </w:r>
      <w:r w:rsidR="00E56C3F">
        <w:t>aktualizaci</w:t>
      </w:r>
      <w:r>
        <w:t xml:space="preserve"> POH bezprostředně po této změně</w:t>
      </w:r>
      <w:r w:rsidR="00536CE8">
        <w:t xml:space="preserve"> </w:t>
      </w:r>
      <w:r w:rsidR="00536CE8">
        <w:lastRenderedPageBreak/>
        <w:t>právní úpravy EU</w:t>
      </w:r>
      <w:r>
        <w:t>, jak mu ukládá zákon o odpadech</w:t>
      </w:r>
      <w:r w:rsidR="00523DE2">
        <w:rPr>
          <w:rStyle w:val="Znakapoznpodarou"/>
        </w:rPr>
        <w:footnoteReference w:id="14"/>
      </w:r>
      <w:r>
        <w:t xml:space="preserve">. MŽP </w:t>
      </w:r>
      <w:r w:rsidR="0096295B">
        <w:t xml:space="preserve">předložilo </w:t>
      </w:r>
      <w:r w:rsidR="00184D14">
        <w:t xml:space="preserve">návrh aktualizace POH s výhledem do roku 2035 </w:t>
      </w:r>
      <w:r w:rsidR="0096295B">
        <w:t>na konci října 2021</w:t>
      </w:r>
      <w:r>
        <w:t xml:space="preserve"> </w:t>
      </w:r>
      <w:r w:rsidR="00184D14">
        <w:t>do mezirezortního připomínkového řízení.</w:t>
      </w:r>
    </w:p>
    <w:p w14:paraId="1167EB7D" w14:textId="453C204E" w:rsidR="00555536" w:rsidRDefault="00184D14" w:rsidP="00555536">
      <w:pPr>
        <w:pStyle w:val="TextKP"/>
      </w:pPr>
      <w:r>
        <w:t xml:space="preserve">MŽP </w:t>
      </w:r>
      <w:r w:rsidR="004F661B">
        <w:t xml:space="preserve">ve zprávách o plnění </w:t>
      </w:r>
      <w:r w:rsidR="000A5F6C">
        <w:t>POH</w:t>
      </w:r>
      <w:r w:rsidR="004F661B">
        <w:t xml:space="preserve"> vyhodnocuje pouze stav plnění realizovaných opatření, což</w:t>
      </w:r>
      <w:r w:rsidR="001D3F8E">
        <w:t xml:space="preserve"> </w:t>
      </w:r>
      <w:r w:rsidR="000A5F6C">
        <w:t xml:space="preserve">neumožňuje </w:t>
      </w:r>
      <w:r w:rsidR="007565AF">
        <w:t xml:space="preserve">například </w:t>
      </w:r>
      <w:r w:rsidR="000A5F6C">
        <w:t xml:space="preserve">průběžně posuzovat </w:t>
      </w:r>
      <w:r w:rsidR="004628D9">
        <w:t xml:space="preserve">příspěvek </w:t>
      </w:r>
      <w:r w:rsidR="000A5F6C">
        <w:t>realizovaných opatření na</w:t>
      </w:r>
      <w:r w:rsidR="001D3F8E">
        <w:t xml:space="preserve"> </w:t>
      </w:r>
      <w:r w:rsidR="000A5F6C">
        <w:t xml:space="preserve">snížení produkce odpadů k plnění </w:t>
      </w:r>
      <w:r w:rsidR="004F661B">
        <w:t xml:space="preserve">jednoho ze </w:t>
      </w:r>
      <w:r w:rsidR="000A5F6C">
        <w:t>strategick</w:t>
      </w:r>
      <w:r w:rsidR="004F661B">
        <w:t>ých</w:t>
      </w:r>
      <w:r w:rsidR="000A5F6C">
        <w:t xml:space="preserve"> cíl</w:t>
      </w:r>
      <w:r w:rsidR="004F661B">
        <w:t>ů</w:t>
      </w:r>
      <w:r w:rsidR="000A5F6C">
        <w:t xml:space="preserve"> POH</w:t>
      </w:r>
      <w:r w:rsidR="004F661B">
        <w:rPr>
          <w:rStyle w:val="Znakapoznpodarou"/>
        </w:rPr>
        <w:footnoteReference w:id="15"/>
      </w:r>
      <w:r w:rsidR="000A5F6C">
        <w:t>.</w:t>
      </w:r>
    </w:p>
    <w:p w14:paraId="5AC1C784" w14:textId="7F821B89" w:rsidR="00DC49BD" w:rsidRDefault="00DC49BD" w:rsidP="00555536">
      <w:pPr>
        <w:pStyle w:val="TextKP"/>
      </w:pPr>
      <w:r>
        <w:t>Kontrolou NKÚ bylo zjištěno, že MŽP u dvou cílů POH</w:t>
      </w:r>
      <w:r w:rsidR="002E691A">
        <w:rPr>
          <w:rStyle w:val="Znakapoznpodarou"/>
        </w:rPr>
        <w:footnoteReference w:id="16"/>
      </w:r>
      <w:r>
        <w:t xml:space="preserve"> nestanovilo pro jejich vyhodnocování indikátory, které by zohledňovaly </w:t>
      </w:r>
      <w:r w:rsidRPr="00DC49BD">
        <w:t>dopad nakládání s</w:t>
      </w:r>
      <w:r>
        <w:t> odpady</w:t>
      </w:r>
      <w:r w:rsidR="00CA74E8">
        <w:t xml:space="preserve"> a</w:t>
      </w:r>
      <w:r>
        <w:t xml:space="preserve"> </w:t>
      </w:r>
      <w:r w:rsidRPr="00DC49BD">
        <w:t>nebezpečnými odpady na</w:t>
      </w:r>
      <w:r w:rsidR="00C0522D">
        <w:t xml:space="preserve"> </w:t>
      </w:r>
      <w:r w:rsidRPr="00DC49BD">
        <w:t>lidské zdraví a životní prostředí</w:t>
      </w:r>
      <w:r w:rsidR="00ED499A">
        <w:t>, což NKÚ vyhodnotil jako nedostačující s</w:t>
      </w:r>
      <w:r w:rsidR="00C0522D">
        <w:t xml:space="preserve"> </w:t>
      </w:r>
      <w:r w:rsidR="00ED499A">
        <w:t>ohledem na</w:t>
      </w:r>
      <w:r w:rsidR="00C0522D">
        <w:t xml:space="preserve"> </w:t>
      </w:r>
      <w:r w:rsidR="00ED499A">
        <w:t>definované cíle POH, tj.</w:t>
      </w:r>
      <w:r w:rsidR="00C0522D">
        <w:t xml:space="preserve"> </w:t>
      </w:r>
      <w:r w:rsidR="00ED499A">
        <w:t>minimaliz</w:t>
      </w:r>
      <w:r w:rsidR="00CA74E8">
        <w:t>ovat</w:t>
      </w:r>
      <w:r w:rsidR="00ED499A">
        <w:t xml:space="preserve"> nepřízniv</w:t>
      </w:r>
      <w:r w:rsidR="00CA74E8">
        <w:t>é</w:t>
      </w:r>
      <w:r w:rsidR="00ED499A">
        <w:t xml:space="preserve"> účink</w:t>
      </w:r>
      <w:r w:rsidR="00CA74E8">
        <w:t>y</w:t>
      </w:r>
      <w:r w:rsidR="00ED499A">
        <w:t xml:space="preserve"> nakládání s</w:t>
      </w:r>
      <w:r w:rsidR="00CA74E8">
        <w:t> </w:t>
      </w:r>
      <w:r w:rsidR="00ED499A">
        <w:t>odpady</w:t>
      </w:r>
      <w:r w:rsidR="00CA74E8">
        <w:t xml:space="preserve"> a</w:t>
      </w:r>
      <w:r w:rsidR="00C0522D">
        <w:t xml:space="preserve"> </w:t>
      </w:r>
      <w:r w:rsidR="00ED499A">
        <w:t>nebezpečnými odpady na lidské zdraví a životní prostředí.</w:t>
      </w:r>
    </w:p>
    <w:p w14:paraId="570FFA21" w14:textId="3D675ED7" w:rsidR="001A1D48" w:rsidRDefault="000A5F6C" w:rsidP="00555536">
      <w:pPr>
        <w:pStyle w:val="TextKP"/>
      </w:pPr>
      <w:r>
        <w:t xml:space="preserve">MŽP ve </w:t>
      </w:r>
      <w:r w:rsidR="001A1D48">
        <w:t xml:space="preserve">dvou </w:t>
      </w:r>
      <w:r>
        <w:t>zprávách o plnění cílů POH</w:t>
      </w:r>
      <w:r w:rsidR="001A1D48">
        <w:rPr>
          <w:rStyle w:val="Znakapoznpodarou"/>
        </w:rPr>
        <w:footnoteReference w:id="17"/>
      </w:r>
      <w:r>
        <w:t xml:space="preserve"> </w:t>
      </w:r>
      <w:r w:rsidR="001A1D48">
        <w:t>hodnotilo dosahování cíle snížení skládkování BRKO</w:t>
      </w:r>
      <w:r w:rsidR="00F31EEC">
        <w:t xml:space="preserve"> </w:t>
      </w:r>
      <w:r w:rsidR="00F72C38">
        <w:t>různě</w:t>
      </w:r>
      <w:r w:rsidR="001A1D48">
        <w:t xml:space="preserve"> konstruovanými indikátory, </w:t>
      </w:r>
      <w:r w:rsidR="00F472D2">
        <w:t xml:space="preserve">které </w:t>
      </w:r>
      <w:r w:rsidR="00002941">
        <w:t xml:space="preserve">se liší ve výpočtu podílu </w:t>
      </w:r>
      <w:r w:rsidR="00F472D2">
        <w:t>skládkování BRKO</w:t>
      </w:r>
      <w:r w:rsidR="00002941">
        <w:t xml:space="preserve"> vzhledem k roku 1995</w:t>
      </w:r>
      <w:r w:rsidR="00F472D2">
        <w:t xml:space="preserve">. </w:t>
      </w:r>
      <w:r w:rsidR="001A1D48">
        <w:t>MŽP změnu použit</w:t>
      </w:r>
      <w:r w:rsidR="00E65FE3">
        <w:t xml:space="preserve">ých </w:t>
      </w:r>
      <w:r w:rsidR="001A1D48">
        <w:t>indikátor</w:t>
      </w:r>
      <w:r w:rsidR="00F31EEC">
        <w:t>ů</w:t>
      </w:r>
      <w:r w:rsidR="001A1D48">
        <w:t xml:space="preserve"> </w:t>
      </w:r>
      <w:r w:rsidR="00F472D2">
        <w:t xml:space="preserve">ve druhé hodnotící zprávě </w:t>
      </w:r>
      <w:r w:rsidR="001A1D48">
        <w:t>neodůvodnil</w:t>
      </w:r>
      <w:r w:rsidR="00EE0A60">
        <w:t>o.</w:t>
      </w:r>
    </w:p>
    <w:p w14:paraId="1AFBA267" w14:textId="77777777" w:rsidR="003B70EB" w:rsidRPr="00555536" w:rsidRDefault="000A5F6C" w:rsidP="003B70EB">
      <w:pPr>
        <w:pStyle w:val="Nadpis2"/>
      </w:pPr>
      <w:r w:rsidRPr="00555536">
        <w:t>Kontrolou byly zjištěny nedostatky v oblasti sledování a vykazování dat o odpadovém hospodářství.</w:t>
      </w:r>
    </w:p>
    <w:p w14:paraId="4291F7CC" w14:textId="41AE328D" w:rsidR="00D570ED" w:rsidRDefault="000A5F6C" w:rsidP="00555536">
      <w:pPr>
        <w:pStyle w:val="TextKP"/>
      </w:pPr>
      <w:r>
        <w:t xml:space="preserve">MŽP nemá průběžně k dispozici data o reálném využívání kapacit zařízení pro nakládání </w:t>
      </w:r>
      <w:r w:rsidRPr="002964C5">
        <w:t>s</w:t>
      </w:r>
      <w:r w:rsidR="0012035B">
        <w:t> </w:t>
      </w:r>
      <w:r w:rsidRPr="002964C5">
        <w:t>odpady</w:t>
      </w:r>
      <w:r w:rsidR="0012035B">
        <w:t>. P</w:t>
      </w:r>
      <w:r w:rsidR="00811058" w:rsidRPr="002964C5">
        <w:t xml:space="preserve">ro zacílení finanční </w:t>
      </w:r>
      <w:r w:rsidR="00CC3F49" w:rsidRPr="00A24CB8">
        <w:t xml:space="preserve">podpory </w:t>
      </w:r>
      <w:r w:rsidR="00811058" w:rsidRPr="002964C5">
        <w:t>zadáv</w:t>
      </w:r>
      <w:r w:rsidR="00CC3F49" w:rsidRPr="00A24CB8">
        <w:t>alo</w:t>
      </w:r>
      <w:r w:rsidR="00811058" w:rsidRPr="002964C5">
        <w:t xml:space="preserve"> </w:t>
      </w:r>
      <w:r w:rsidR="00DB274B">
        <w:t xml:space="preserve">MŽP </w:t>
      </w:r>
      <w:r w:rsidR="00811058" w:rsidRPr="002964C5">
        <w:t xml:space="preserve">externí </w:t>
      </w:r>
      <w:r w:rsidR="00CC3F49" w:rsidRPr="002964C5">
        <w:t>vyhodnocení</w:t>
      </w:r>
      <w:r w:rsidR="00CC3F49" w:rsidRPr="00CC3F49">
        <w:t xml:space="preserve"> stavu sítě zařízení k</w:t>
      </w:r>
      <w:r w:rsidR="00A24CB8">
        <w:t> </w:t>
      </w:r>
      <w:r w:rsidR="00CC3F49" w:rsidRPr="00CC3F49">
        <w:t>nakládání s odpady na celostátní i regionální úrovni včetně návrhů optimalizace</w:t>
      </w:r>
      <w:r w:rsidR="002964C5">
        <w:rPr>
          <w:rStyle w:val="Znakapoznpodarou"/>
        </w:rPr>
        <w:footnoteReference w:id="18"/>
      </w:r>
      <w:r w:rsidR="002964C5">
        <w:t>.</w:t>
      </w:r>
    </w:p>
    <w:p w14:paraId="74DC37A8" w14:textId="3874A6C8" w:rsidR="00555536" w:rsidRDefault="002C0280" w:rsidP="00555536">
      <w:pPr>
        <w:pStyle w:val="TextKP"/>
      </w:pPr>
      <w:r w:rsidRPr="00FA66E1">
        <w:t>Rozsah informací</w:t>
      </w:r>
      <w:r w:rsidR="001670EB">
        <w:t>, jež</w:t>
      </w:r>
      <w:r w:rsidRPr="00FA66E1">
        <w:t xml:space="preserve"> </w:t>
      </w:r>
      <w:r w:rsidR="001670EB" w:rsidRPr="00FA66E1">
        <w:t xml:space="preserve">MŽP </w:t>
      </w:r>
      <w:r w:rsidRPr="00FA66E1">
        <w:t>zpřístupn</w:t>
      </w:r>
      <w:r w:rsidR="001670EB">
        <w:t>ilo</w:t>
      </w:r>
      <w:r w:rsidRPr="00FA66E1">
        <w:t xml:space="preserve"> veřejnosti z</w:t>
      </w:r>
      <w:r w:rsidR="001670EB">
        <w:t xml:space="preserve">e svého </w:t>
      </w:r>
      <w:r w:rsidR="001670EB" w:rsidRPr="003F6E24">
        <w:rPr>
          <w:i/>
        </w:rPr>
        <w:t>Informačního systému odpadového hospodářství</w:t>
      </w:r>
      <w:r w:rsidR="001670EB">
        <w:t>,</w:t>
      </w:r>
      <w:r w:rsidRPr="00FA66E1">
        <w:t xml:space="preserve"> je oproti rozsahu neveřejné části ISOH omezený</w:t>
      </w:r>
      <w:r w:rsidR="0012035B">
        <w:rPr>
          <w:rStyle w:val="Znakapoznpodarou"/>
        </w:rPr>
        <w:footnoteReference w:id="19"/>
      </w:r>
      <w:r w:rsidR="00AF43BC">
        <w:t>, což není v</w:t>
      </w:r>
      <w:r w:rsidR="00DB274B">
        <w:t xml:space="preserve"> </w:t>
      </w:r>
      <w:r w:rsidR="00AF43BC">
        <w:t xml:space="preserve">souladu s </w:t>
      </w:r>
      <w:r w:rsidR="00AF43BC" w:rsidRPr="00AF43BC">
        <w:t>obecn</w:t>
      </w:r>
      <w:r w:rsidR="00AF43BC">
        <w:t>ou</w:t>
      </w:r>
      <w:r w:rsidR="00AF43BC" w:rsidRPr="00AF43BC">
        <w:t xml:space="preserve"> zásad</w:t>
      </w:r>
      <w:r w:rsidR="00AF43BC">
        <w:t>ou</w:t>
      </w:r>
      <w:r w:rsidR="0075307A">
        <w:t xml:space="preserve"> politiky veřejných dat </w:t>
      </w:r>
      <w:r w:rsidR="00AF43BC">
        <w:t xml:space="preserve">vyplývající ze </w:t>
      </w:r>
      <w:r w:rsidR="00AF43BC" w:rsidRPr="00AF43BC">
        <w:t xml:space="preserve">směrnice </w:t>
      </w:r>
      <w:r w:rsidR="00AF43BC">
        <w:t>Evropského parlam</w:t>
      </w:r>
      <w:r w:rsidR="0075307A">
        <w:t>entu</w:t>
      </w:r>
      <w:r w:rsidR="00AF43BC" w:rsidRPr="00AF43BC">
        <w:t xml:space="preserve"> a Rady (EU) č.</w:t>
      </w:r>
      <w:r w:rsidR="001670EB">
        <w:t> </w:t>
      </w:r>
      <w:r w:rsidR="00AF43BC" w:rsidRPr="00AF43BC">
        <w:t>1024/2019, že veřejná a z veřejných prostředků financovaná data by měla být bez právních, technických a finančních omezení využitelná veřejností</w:t>
      </w:r>
      <w:r w:rsidR="0075307A">
        <w:t>.</w:t>
      </w:r>
    </w:p>
    <w:p w14:paraId="3F500D1C" w14:textId="5B71EAA7" w:rsidR="00A24CB8" w:rsidRDefault="00CA0CBF" w:rsidP="00555536">
      <w:pPr>
        <w:pStyle w:val="TextKP"/>
      </w:pPr>
      <w:r>
        <w:t xml:space="preserve">Kontrolou NKÚ byl zjištěn </w:t>
      </w:r>
      <w:r w:rsidR="000A5F6C">
        <w:t xml:space="preserve">rozdíl v datech </w:t>
      </w:r>
      <w:r w:rsidR="00AA16C0">
        <w:t xml:space="preserve">zveřejňovaných </w:t>
      </w:r>
      <w:r>
        <w:t xml:space="preserve">MŽP a Českým statistickým úřadem (dále také „ČSÚ“) </w:t>
      </w:r>
      <w:r w:rsidR="00AA16C0">
        <w:t xml:space="preserve">o </w:t>
      </w:r>
      <w:r w:rsidR="00274897">
        <w:t xml:space="preserve">celkové </w:t>
      </w:r>
      <w:r w:rsidR="00AA16C0">
        <w:t xml:space="preserve">produkci </w:t>
      </w:r>
      <w:r>
        <w:t xml:space="preserve">komunálních </w:t>
      </w:r>
      <w:r w:rsidR="00AA16C0">
        <w:t>odpadů</w:t>
      </w:r>
      <w:r w:rsidR="00C04805">
        <w:t>,</w:t>
      </w:r>
      <w:r w:rsidR="000A5F6C">
        <w:t xml:space="preserve"> </w:t>
      </w:r>
      <w:r w:rsidR="001F084E">
        <w:t>tento rozdíl činil</w:t>
      </w:r>
      <w:r w:rsidR="000A5F6C">
        <w:t xml:space="preserve"> </w:t>
      </w:r>
      <w:r w:rsidR="001F084E">
        <w:t>za rok 2019</w:t>
      </w:r>
      <w:r w:rsidR="001F084E" w:rsidRPr="007F355B">
        <w:t xml:space="preserve"> </w:t>
      </w:r>
      <w:r w:rsidR="007F355B" w:rsidRPr="007F355B">
        <w:t>přibližně 10 % (0,5</w:t>
      </w:r>
      <w:r w:rsidR="001F084E">
        <w:t> </w:t>
      </w:r>
      <w:proofErr w:type="spellStart"/>
      <w:r w:rsidR="007F355B" w:rsidRPr="007F355B">
        <w:t>Mt</w:t>
      </w:r>
      <w:proofErr w:type="spellEnd"/>
      <w:r w:rsidR="007F355B" w:rsidRPr="007F355B">
        <w:t>)</w:t>
      </w:r>
      <w:r w:rsidR="00C04805">
        <w:t xml:space="preserve"> </w:t>
      </w:r>
      <w:r w:rsidR="007F355B" w:rsidRPr="007F355B">
        <w:t xml:space="preserve">a </w:t>
      </w:r>
      <w:r w:rsidR="001F084E">
        <w:t xml:space="preserve">za rok 2020 </w:t>
      </w:r>
      <w:r w:rsidR="007F355B" w:rsidRPr="007F355B">
        <w:t xml:space="preserve">přibližně 6 % (0,3 </w:t>
      </w:r>
      <w:proofErr w:type="spellStart"/>
      <w:r w:rsidR="007F355B" w:rsidRPr="007F355B">
        <w:t>Mt</w:t>
      </w:r>
      <w:proofErr w:type="spellEnd"/>
      <w:r w:rsidR="007F355B" w:rsidRPr="007F355B">
        <w:t>).</w:t>
      </w:r>
      <w:r w:rsidR="00A24CB8">
        <w:br w:type="page"/>
      </w:r>
    </w:p>
    <w:p w14:paraId="7D13C65B" w14:textId="77777777" w:rsidR="00CA2C1A" w:rsidRDefault="00420B91" w:rsidP="0046728D">
      <w:pPr>
        <w:pStyle w:val="Nadpis1"/>
        <w:numPr>
          <w:ilvl w:val="0"/>
          <w:numId w:val="0"/>
        </w:numPr>
        <w:ind w:left="284"/>
      </w:pPr>
      <w:r>
        <w:lastRenderedPageBreak/>
        <w:t xml:space="preserve">II. </w:t>
      </w:r>
      <w:r w:rsidR="000A5F6C">
        <w:t>Informace o kontrolované oblasti</w:t>
      </w:r>
    </w:p>
    <w:p w14:paraId="7AAD936E" w14:textId="77777777" w:rsidR="00292525" w:rsidRPr="0046728D" w:rsidRDefault="000A5F6C" w:rsidP="00292525">
      <w:pPr>
        <w:pStyle w:val="TextKP"/>
        <w:rPr>
          <w:b/>
        </w:rPr>
      </w:pPr>
      <w:r w:rsidRPr="0046728D">
        <w:rPr>
          <w:b/>
        </w:rPr>
        <w:t>Ministerstvo životního prostředí</w:t>
      </w:r>
    </w:p>
    <w:p w14:paraId="6FFDE542" w14:textId="00D782C6" w:rsidR="00292525" w:rsidRDefault="000A5F6C" w:rsidP="00292525">
      <w:pPr>
        <w:pStyle w:val="TextKP"/>
      </w:pPr>
      <w:r w:rsidRPr="00CF11A9">
        <w:t>Ministerstvo životního prostředí</w:t>
      </w:r>
      <w:r>
        <w:t xml:space="preserve"> je ústředním orgánem státní správy mj. pro odpadové hospodářství. MŽP vykonáv</w:t>
      </w:r>
      <w:r w:rsidR="00AA16C0">
        <w:t xml:space="preserve">á </w:t>
      </w:r>
      <w:r>
        <w:t>vrchní státní dozor v oblasti odpadového hospodářství s výjimkou ochrany veřejného zdraví při nakládání s odpady ve</w:t>
      </w:r>
      <w:r w:rsidR="00CF11A9">
        <w:t xml:space="preserve"> </w:t>
      </w:r>
      <w:r>
        <w:t>smyslu zákona o odpadech.</w:t>
      </w:r>
    </w:p>
    <w:p w14:paraId="7A511061" w14:textId="680D0BD8" w:rsidR="00292525" w:rsidRDefault="000A5F6C" w:rsidP="00292525">
      <w:pPr>
        <w:pStyle w:val="TextKP"/>
      </w:pPr>
      <w:r>
        <w:t>MŽP je řídicím orgánem pro OPŽP. Dále MŽP</w:t>
      </w:r>
      <w:r w:rsidR="00AA16C0">
        <w:t xml:space="preserve"> rozhoduje o poskytování peněžních prostředků </w:t>
      </w:r>
      <w:r w:rsidR="004F27D2" w:rsidRPr="0046728D">
        <w:t>Státní</w:t>
      </w:r>
      <w:r w:rsidR="0054015C">
        <w:t>ho</w:t>
      </w:r>
      <w:r w:rsidR="004F27D2" w:rsidRPr="0046728D">
        <w:t xml:space="preserve"> fond</w:t>
      </w:r>
      <w:r w:rsidR="0054015C">
        <w:t>u</w:t>
      </w:r>
      <w:r w:rsidR="004F27D2" w:rsidRPr="0046728D">
        <w:t xml:space="preserve"> životního prostředí</w:t>
      </w:r>
      <w:r w:rsidR="004F27D2">
        <w:rPr>
          <w:b/>
        </w:rPr>
        <w:t xml:space="preserve"> </w:t>
      </w:r>
      <w:r>
        <w:t>na nakládání s</w:t>
      </w:r>
      <w:r w:rsidR="00CF11A9">
        <w:t> </w:t>
      </w:r>
      <w:r>
        <w:t>odpady</w:t>
      </w:r>
      <w:r w:rsidR="00CF11A9">
        <w:t>, tyto prostředky jsou rozdělovány z</w:t>
      </w:r>
      <w:r w:rsidR="0054015C">
        <w:t> </w:t>
      </w:r>
      <w:r>
        <w:t>NPŽP.</w:t>
      </w:r>
    </w:p>
    <w:p w14:paraId="12EE5FBD" w14:textId="77777777" w:rsidR="00292525" w:rsidRPr="0046728D" w:rsidRDefault="000A5F6C" w:rsidP="00292525">
      <w:pPr>
        <w:pStyle w:val="TextKP"/>
        <w:rPr>
          <w:b/>
        </w:rPr>
      </w:pPr>
      <w:r w:rsidRPr="0046728D">
        <w:rPr>
          <w:b/>
        </w:rPr>
        <w:t>Státní fond životního prostředí</w:t>
      </w:r>
    </w:p>
    <w:p w14:paraId="5DDB8AEF" w14:textId="77777777" w:rsidR="00292525" w:rsidRDefault="000A5F6C" w:rsidP="00292525">
      <w:pPr>
        <w:pStyle w:val="TextKP"/>
      </w:pPr>
      <w:r>
        <w:t>SFŽP plní roli zprostředkujícího subjektu u OPŽP</w:t>
      </w:r>
      <w:r w:rsidR="004F27D2">
        <w:t>, a to</w:t>
      </w:r>
      <w:r>
        <w:t xml:space="preserve"> na základě </w:t>
      </w:r>
      <w:r w:rsidRPr="0046728D">
        <w:rPr>
          <w:i/>
        </w:rPr>
        <w:t>Dohody o delegování některých činností a pravomocí MŽP jako řídicího orgánu OPŽP v programovém období let 2014–2020 na SFŽP</w:t>
      </w:r>
      <w:r>
        <w:t>. SFŽP dále administruje NPŽP.</w:t>
      </w:r>
    </w:p>
    <w:p w14:paraId="4A6DD248" w14:textId="77777777" w:rsidR="00292525" w:rsidRPr="0046728D" w:rsidRDefault="000A5F6C" w:rsidP="00292525">
      <w:pPr>
        <w:pStyle w:val="TextKP"/>
        <w:rPr>
          <w:b/>
        </w:rPr>
      </w:pPr>
      <w:r w:rsidRPr="0046728D">
        <w:rPr>
          <w:b/>
        </w:rPr>
        <w:t>Strategické dokumenty</w:t>
      </w:r>
    </w:p>
    <w:p w14:paraId="7228FDBA" w14:textId="3AF8CEF0" w:rsidR="00292525" w:rsidRDefault="000A5F6C" w:rsidP="00292525">
      <w:pPr>
        <w:pStyle w:val="TextKP"/>
      </w:pPr>
      <w:r>
        <w:t>Vrcholným</w:t>
      </w:r>
      <w:r w:rsidR="0054015C">
        <w:t>,</w:t>
      </w:r>
      <w:r>
        <w:t xml:space="preserve"> zastřešujícím strategickým dokumentem v oblasti ochrany životního prostředí je</w:t>
      </w:r>
      <w:r w:rsidR="004F27D2">
        <w:t xml:space="preserve"> </w:t>
      </w:r>
      <w:r w:rsidRPr="00292525">
        <w:rPr>
          <w:i/>
        </w:rPr>
        <w:t>Státní politika životního prostředí ČR 2012–2020</w:t>
      </w:r>
      <w:r>
        <w:t xml:space="preserve"> (dále také „S</w:t>
      </w:r>
      <w:r w:rsidR="003E43BC">
        <w:t xml:space="preserve">tátní politika </w:t>
      </w:r>
      <w:r>
        <w:t>ŽP“)</w:t>
      </w:r>
      <w:r w:rsidR="003E43BC">
        <w:t>, která</w:t>
      </w:r>
      <w:r>
        <w:t xml:space="preserve"> byla schválena usnesením vlády České republiky ze dne 9. ledna 2013 č. 6 a její aktualizovaná podoba byla schválena usnesením vlády České republiky ze dne 23. listopadu 2016 č. 1026. Pro oblast odpadů stanovuje S</w:t>
      </w:r>
      <w:r w:rsidR="00361293">
        <w:t>tátní politika ŽP</w:t>
      </w:r>
      <w:r>
        <w:t xml:space="preserve"> tematickou oblast/prioritu 1.2 </w:t>
      </w:r>
      <w:r w:rsidRPr="00292525">
        <w:rPr>
          <w:i/>
        </w:rPr>
        <w:t>Předcházení vzniku odpadů, zajištění jejich maximálního využití a omezování jejich negativního vlivu na životní prostředí. Podpora využívání odpadů jako náhrady přírodních zdrojů</w:t>
      </w:r>
      <w:r>
        <w:t>.</w:t>
      </w:r>
    </w:p>
    <w:p w14:paraId="299AC627" w14:textId="556B4663" w:rsidR="00F54A8B" w:rsidRDefault="000A5F6C" w:rsidP="00292525">
      <w:pPr>
        <w:pStyle w:val="TextKP"/>
      </w:pPr>
      <w:r>
        <w:t>S</w:t>
      </w:r>
      <w:r w:rsidR="00361293">
        <w:t xml:space="preserve">tátní politika </w:t>
      </w:r>
      <w:r>
        <w:t xml:space="preserve">ŽP kladla důraz na dodržování hierarchie nakládání s odpady jakožto nezbytného předpokladu pro naplňování požadavků </w:t>
      </w:r>
      <w:r w:rsidR="00A64CC7">
        <w:t xml:space="preserve">právních předpisů </w:t>
      </w:r>
      <w:r>
        <w:t xml:space="preserve">EU. Za přetrvávající problém bylo označováno skládkování jako nejčastější způsob odstraňování odpadů. </w:t>
      </w:r>
      <w:r w:rsidR="002F4107">
        <w:t>Z</w:t>
      </w:r>
      <w:r>
        <w:t>lepšení byl</w:t>
      </w:r>
      <w:r w:rsidR="002F4107">
        <w:t>o</w:t>
      </w:r>
      <w:r>
        <w:t xml:space="preserve"> požadován</w:t>
      </w:r>
      <w:r w:rsidR="002F4107">
        <w:t>o</w:t>
      </w:r>
      <w:r>
        <w:t xml:space="preserve"> </w:t>
      </w:r>
      <w:r w:rsidR="002F4107">
        <w:t>jak</w:t>
      </w:r>
      <w:r>
        <w:t xml:space="preserve"> v oblasti pře</w:t>
      </w:r>
      <w:r w:rsidR="00D07AB2">
        <w:t>d</w:t>
      </w:r>
      <w:r>
        <w:t>cházení vzniku odpadů</w:t>
      </w:r>
      <w:r w:rsidR="002F4107">
        <w:t xml:space="preserve"> (</w:t>
      </w:r>
      <w:r w:rsidR="00AA61BA">
        <w:t>měla se</w:t>
      </w:r>
      <w:r w:rsidR="002F4107">
        <w:t xml:space="preserve"> snížit</w:t>
      </w:r>
      <w:r>
        <w:t xml:space="preserve"> produkc</w:t>
      </w:r>
      <w:r w:rsidR="00AA61BA">
        <w:t>e</w:t>
      </w:r>
      <w:r>
        <w:t xml:space="preserve"> odpadů</w:t>
      </w:r>
      <w:r w:rsidR="002F4107">
        <w:t>),</w:t>
      </w:r>
      <w:r>
        <w:t xml:space="preserve"> </w:t>
      </w:r>
      <w:r w:rsidR="002F4107">
        <w:t>tak</w:t>
      </w:r>
      <w:r>
        <w:t xml:space="preserve"> v oblasti nakládání s odpady, resp. zvyšování materiálového a energetického využití odpadů, popřípadě jiného uplatnění odpadů.</w:t>
      </w:r>
    </w:p>
    <w:p w14:paraId="31B08A21" w14:textId="77777777" w:rsidR="00292525" w:rsidRPr="0046728D" w:rsidRDefault="000A5F6C" w:rsidP="00292525">
      <w:pPr>
        <w:pStyle w:val="TextKP"/>
        <w:rPr>
          <w:b/>
        </w:rPr>
      </w:pPr>
      <w:r w:rsidRPr="0046728D">
        <w:rPr>
          <w:b/>
        </w:rPr>
        <w:t>Strategický rámec pro rozvoj České republiky do roku 2030 (</w:t>
      </w:r>
      <w:r w:rsidRPr="0046728D">
        <w:rPr>
          <w:b/>
          <w:i/>
        </w:rPr>
        <w:t>Česká republika 2030</w:t>
      </w:r>
      <w:r w:rsidRPr="0046728D">
        <w:rPr>
          <w:b/>
        </w:rPr>
        <w:t>)</w:t>
      </w:r>
    </w:p>
    <w:p w14:paraId="5CAFE429" w14:textId="38CC6676" w:rsidR="00357DF3" w:rsidRDefault="000A5F6C" w:rsidP="00292525">
      <w:pPr>
        <w:pStyle w:val="TextKP"/>
      </w:pPr>
      <w:r w:rsidRPr="00EB7361">
        <w:rPr>
          <w:i/>
        </w:rPr>
        <w:t>Česká republika 2030</w:t>
      </w:r>
      <w:r w:rsidRPr="00EB7361">
        <w:t xml:space="preserve"> je strategický rám</w:t>
      </w:r>
      <w:r w:rsidR="00EB7361">
        <w:t>e</w:t>
      </w:r>
      <w:r w:rsidRPr="00EB7361">
        <w:t>c</w:t>
      </w:r>
      <w:r>
        <w:t xml:space="preserve">, který udává směr, jímž by se </w:t>
      </w:r>
      <w:r w:rsidR="00EB7361">
        <w:t xml:space="preserve">měl </w:t>
      </w:r>
      <w:r>
        <w:t>rozvoj ČR vyvíjet</w:t>
      </w:r>
      <w:r w:rsidR="00EB7361">
        <w:t>,</w:t>
      </w:r>
      <w:r>
        <w:t xml:space="preserve"> a slouží jako základ pro vyhodnocování rozvoje ČR a její globální zodpovědnosti. Dokument formuluje strategické a specifické cíle, kterých by ČR měla do roku 2030 dosáhnout</w:t>
      </w:r>
      <w:r w:rsidR="00EB7361">
        <w:t>,</w:t>
      </w:r>
      <w:r w:rsidR="00D74AB6" w:rsidRPr="00D74AB6">
        <w:t xml:space="preserve"> </w:t>
      </w:r>
      <w:r w:rsidR="00D74AB6">
        <w:t>mj.</w:t>
      </w:r>
      <w:r w:rsidR="00D74AB6" w:rsidRPr="00D74AB6">
        <w:t xml:space="preserve"> </w:t>
      </w:r>
      <w:r w:rsidR="00EB7361">
        <w:t xml:space="preserve">by měla </w:t>
      </w:r>
      <w:r w:rsidR="00D74AB6">
        <w:t>z</w:t>
      </w:r>
      <w:r w:rsidR="00D74AB6" w:rsidRPr="00D74AB6">
        <w:t>v</w:t>
      </w:r>
      <w:r w:rsidR="00D74AB6">
        <w:t>ý</w:t>
      </w:r>
      <w:r w:rsidR="00D74AB6" w:rsidRPr="00D74AB6">
        <w:t>š</w:t>
      </w:r>
      <w:r w:rsidR="00EB7361">
        <w:t>it</w:t>
      </w:r>
      <w:r w:rsidR="00D74AB6">
        <w:t xml:space="preserve"> </w:t>
      </w:r>
      <w:r w:rsidR="00D74AB6" w:rsidRPr="00D74AB6">
        <w:t>podíl oběhového hospodářství na celkovém objemu materiálových toků</w:t>
      </w:r>
      <w:r w:rsidR="00D74AB6">
        <w:t xml:space="preserve"> či </w:t>
      </w:r>
      <w:r w:rsidR="00EB7361">
        <w:t xml:space="preserve">dosáhnout </w:t>
      </w:r>
      <w:r w:rsidR="00D74AB6">
        <w:t>pok</w:t>
      </w:r>
      <w:r w:rsidR="00D74AB6" w:rsidRPr="00D74AB6">
        <w:t>les</w:t>
      </w:r>
      <w:r w:rsidR="00EB7361">
        <w:t>u</w:t>
      </w:r>
      <w:r w:rsidR="00D74AB6" w:rsidRPr="00D74AB6">
        <w:t xml:space="preserve"> množství skládkovan</w:t>
      </w:r>
      <w:r w:rsidR="00D74AB6">
        <w:t>ých</w:t>
      </w:r>
      <w:r w:rsidR="00D74AB6" w:rsidRPr="00D74AB6">
        <w:t xml:space="preserve"> komunální</w:t>
      </w:r>
      <w:r w:rsidR="00D74AB6">
        <w:t>c</w:t>
      </w:r>
      <w:r w:rsidR="00D74AB6" w:rsidRPr="00D74AB6">
        <w:t>h odpad</w:t>
      </w:r>
      <w:r w:rsidR="00D74AB6">
        <w:t>ů</w:t>
      </w:r>
      <w:r>
        <w:t>. Strategický rámec byl schválen usnesením vlády České republiky ze dne 19. dubna 2017 č. 292.</w:t>
      </w:r>
    </w:p>
    <w:p w14:paraId="62D0E05E" w14:textId="77777777" w:rsidR="00292525" w:rsidRPr="0046728D" w:rsidRDefault="000A5F6C" w:rsidP="00292525">
      <w:pPr>
        <w:pStyle w:val="TextKP"/>
        <w:rPr>
          <w:b/>
          <w:i/>
        </w:rPr>
      </w:pPr>
      <w:r w:rsidRPr="0046728D">
        <w:rPr>
          <w:b/>
          <w:i/>
        </w:rPr>
        <w:t>Plán odpadového hospodářství České republiky pro období 2015</w:t>
      </w:r>
      <w:r w:rsidR="00F820C5" w:rsidRPr="0046728D">
        <w:rPr>
          <w:b/>
          <w:i/>
        </w:rPr>
        <w:t>–</w:t>
      </w:r>
      <w:r w:rsidRPr="0046728D">
        <w:rPr>
          <w:b/>
          <w:i/>
        </w:rPr>
        <w:t>2024</w:t>
      </w:r>
    </w:p>
    <w:p w14:paraId="023C706F" w14:textId="3F44B609" w:rsidR="00292525" w:rsidRDefault="000A5F6C" w:rsidP="00292525">
      <w:pPr>
        <w:pStyle w:val="TextKP"/>
      </w:pPr>
      <w:r>
        <w:t xml:space="preserve">Nástrojem pro řízení odpadového hospodářství ČR a pro realizaci dlouhodobé strategie odpadového hospodářství je </w:t>
      </w:r>
      <w:r w:rsidRPr="00292525">
        <w:rPr>
          <w:i/>
        </w:rPr>
        <w:t>Plán odpadového hospodářství České republiky pro období</w:t>
      </w:r>
      <w:r w:rsidR="00F820C5">
        <w:rPr>
          <w:i/>
        </w:rPr>
        <w:br/>
      </w:r>
      <w:r w:rsidRPr="00292525">
        <w:rPr>
          <w:i/>
        </w:rPr>
        <w:t>2015</w:t>
      </w:r>
      <w:r w:rsidR="00F820C5">
        <w:rPr>
          <w:i/>
        </w:rPr>
        <w:t>–</w:t>
      </w:r>
      <w:r w:rsidRPr="00292525">
        <w:rPr>
          <w:i/>
        </w:rPr>
        <w:t>2024</w:t>
      </w:r>
      <w:r>
        <w:t>. POH obsahuje mj. analytickou část, závaznou část a směrnou část. Závazná část byla vyhlášena nařízením vlády</w:t>
      </w:r>
      <w:r w:rsidR="005F4D35">
        <w:rPr>
          <w:rStyle w:val="Znakapoznpodarou"/>
        </w:rPr>
        <w:footnoteReference w:id="20"/>
      </w:r>
      <w:r>
        <w:t xml:space="preserve"> </w:t>
      </w:r>
      <w:r w:rsidR="005F4D35">
        <w:t xml:space="preserve">ze dne 22. prosince 2014 </w:t>
      </w:r>
      <w:r>
        <w:t>č. 352/2014 Sb., o Plánu odpadového hospodářství České republiky pro období 2015</w:t>
      </w:r>
      <w:r w:rsidR="00CC5E52">
        <w:t>–</w:t>
      </w:r>
      <w:r>
        <w:t xml:space="preserve">2024. Povinnost ČR </w:t>
      </w:r>
      <w:r w:rsidR="005F4D35">
        <w:t>vy</w:t>
      </w:r>
      <w:r>
        <w:t>pracovat POH je</w:t>
      </w:r>
      <w:r w:rsidR="004F27D2">
        <w:t xml:space="preserve"> </w:t>
      </w:r>
      <w:r>
        <w:t xml:space="preserve">stanovena </w:t>
      </w:r>
      <w:r w:rsidR="005F4D35">
        <w:t>s</w:t>
      </w:r>
      <w:r>
        <w:t>měrnic</w:t>
      </w:r>
      <w:r w:rsidR="005F4D35">
        <w:t>í</w:t>
      </w:r>
      <w:r>
        <w:t xml:space="preserve"> Evropského parlamentu a Rady 2008/98/ES</w:t>
      </w:r>
      <w:r w:rsidR="005F4D35">
        <w:t>,</w:t>
      </w:r>
      <w:r>
        <w:t xml:space="preserve"> o odpadech.</w:t>
      </w:r>
    </w:p>
    <w:p w14:paraId="63B21695" w14:textId="3D80E0CF" w:rsidR="00292525" w:rsidRDefault="000A5F6C" w:rsidP="00292525">
      <w:pPr>
        <w:pStyle w:val="TextKP"/>
      </w:pPr>
      <w:r>
        <w:lastRenderedPageBreak/>
        <w:t xml:space="preserve">POH vymezuje čtyři strategické cíle: předcházení vzniku odpadů a snižování měrné produkce odpadů; minimalizace nepříznivých účinků vzniku odpadů a nakládání s nimi na lidské zdraví </w:t>
      </w:r>
      <w:r w:rsidR="005F4D35">
        <w:br/>
      </w:r>
      <w:r>
        <w:t>a</w:t>
      </w:r>
      <w:r w:rsidR="005F4D35">
        <w:t xml:space="preserve"> </w:t>
      </w:r>
      <w:r>
        <w:t>životní prostředí; udržitelný rozvoj společnosti a přiblížení se k evropské „recyklační společnosti“; maximální využívání odpadů jako náhrady primárních zdrojů a přechod na</w:t>
      </w:r>
      <w:r w:rsidR="00AA61BA">
        <w:t xml:space="preserve"> </w:t>
      </w:r>
      <w:r>
        <w:t>oběhové hospodářství.</w:t>
      </w:r>
    </w:p>
    <w:p w14:paraId="42193E2E" w14:textId="77777777" w:rsidR="00292525" w:rsidRPr="0046728D" w:rsidRDefault="000A5F6C" w:rsidP="00292525">
      <w:pPr>
        <w:pStyle w:val="TextKP"/>
        <w:rPr>
          <w:b/>
        </w:rPr>
      </w:pPr>
      <w:r w:rsidRPr="0046728D">
        <w:rPr>
          <w:b/>
        </w:rPr>
        <w:t>Legislativní rámec odpadového hospodářství</w:t>
      </w:r>
    </w:p>
    <w:p w14:paraId="5D733257" w14:textId="369A3AB4" w:rsidR="00292525" w:rsidRDefault="000A5F6C" w:rsidP="00292525">
      <w:pPr>
        <w:pStyle w:val="TextKP"/>
      </w:pPr>
      <w:r>
        <w:t xml:space="preserve">V kontrolovaném období byly platné a účinné </w:t>
      </w:r>
      <w:r w:rsidR="00044275">
        <w:t xml:space="preserve">tyto právní předpisy: </w:t>
      </w:r>
      <w:r>
        <w:t xml:space="preserve">zákon č. 185/2001 </w:t>
      </w:r>
      <w:r w:rsidR="00357DF3">
        <w:t>S</w:t>
      </w:r>
      <w:r>
        <w:t>b., o odpadech a o změně některých dalších zákonů</w:t>
      </w:r>
      <w:r w:rsidR="005F4D35">
        <w:t>,</w:t>
      </w:r>
      <w:r>
        <w:t xml:space="preserve"> a zákon </w:t>
      </w:r>
      <w:bookmarkStart w:id="9" w:name="_Hlk100915964"/>
      <w:r>
        <w:t>č. 477/2001 Sb., o</w:t>
      </w:r>
      <w:r w:rsidR="00044275">
        <w:t xml:space="preserve"> </w:t>
      </w:r>
      <w:r>
        <w:t>obalech a o změně některých zákonů</w:t>
      </w:r>
      <w:r w:rsidR="003C7DD1">
        <w:t xml:space="preserve"> (zákon o obalech)</w:t>
      </w:r>
      <w:bookmarkEnd w:id="9"/>
      <w:r>
        <w:t xml:space="preserve">. </w:t>
      </w:r>
      <w:r w:rsidR="00357DF3">
        <w:t>Z</w:t>
      </w:r>
      <w:r>
        <w:t>ákon o odpadech byl právním předpisem, kterým se řídilo odpadové hospodářství v</w:t>
      </w:r>
      <w:r w:rsidR="00A24CB8">
        <w:t> </w:t>
      </w:r>
      <w:r>
        <w:t xml:space="preserve">ČR téměř 20 let. </w:t>
      </w:r>
      <w:r w:rsidR="00357DF3">
        <w:t>Na konci roku</w:t>
      </w:r>
      <w:r>
        <w:t xml:space="preserve"> 2020 byla </w:t>
      </w:r>
      <w:r w:rsidR="00024D78">
        <w:t xml:space="preserve">schválena </w:t>
      </w:r>
      <w:r>
        <w:t>nová odpadová legislativa</w:t>
      </w:r>
      <w:r w:rsidR="00024D78">
        <w:t xml:space="preserve"> s účinností od</w:t>
      </w:r>
      <w:r w:rsidR="005F4D35">
        <w:t xml:space="preserve"> </w:t>
      </w:r>
      <w:r w:rsidR="00024D78">
        <w:t>1. 1. 2021</w:t>
      </w:r>
      <w:r>
        <w:t>, jejímž prostřednictvím byly do českého právního řádu transponovány nové evropské předpisy.</w:t>
      </w:r>
    </w:p>
    <w:p w14:paraId="275F2653" w14:textId="77777777" w:rsidR="00FA532E" w:rsidRPr="0046728D" w:rsidRDefault="00FA532E" w:rsidP="00292525">
      <w:pPr>
        <w:pStyle w:val="TextKP"/>
        <w:rPr>
          <w:b/>
        </w:rPr>
      </w:pPr>
      <w:r w:rsidRPr="0046728D">
        <w:rPr>
          <w:b/>
        </w:rPr>
        <w:t>Hierarchie způsobů nakládání s odpady</w:t>
      </w:r>
    </w:p>
    <w:p w14:paraId="084DF527" w14:textId="77777777" w:rsidR="00FA532E" w:rsidRPr="00A24CB8" w:rsidRDefault="00FA532E" w:rsidP="00FA532E">
      <w:pPr>
        <w:pStyle w:val="TextKP"/>
      </w:pPr>
      <w:r w:rsidRPr="00A24CB8">
        <w:t xml:space="preserve">Dle ustanovení § </w:t>
      </w:r>
      <w:proofErr w:type="gramStart"/>
      <w:r w:rsidRPr="00A24CB8">
        <w:t>9a</w:t>
      </w:r>
      <w:proofErr w:type="gramEnd"/>
      <w:r w:rsidRPr="00A24CB8">
        <w:t xml:space="preserve"> odst. 1 zákona o odpadech musí být v rámci odpadového hospodářství dodržována tato hierarchie způsobů nakládání s odpady:</w:t>
      </w:r>
    </w:p>
    <w:p w14:paraId="31C29915" w14:textId="77777777" w:rsidR="00FA532E" w:rsidRPr="00A24CB8" w:rsidRDefault="00FA532E" w:rsidP="0046728D">
      <w:pPr>
        <w:pStyle w:val="TextKP"/>
        <w:numPr>
          <w:ilvl w:val="0"/>
          <w:numId w:val="46"/>
        </w:numPr>
        <w:spacing w:before="60"/>
        <w:ind w:left="426" w:hanging="426"/>
      </w:pPr>
      <w:r w:rsidRPr="00A24CB8">
        <w:t>předcházení vzniku odpadů;</w:t>
      </w:r>
    </w:p>
    <w:p w14:paraId="11779226" w14:textId="77777777" w:rsidR="00FA532E" w:rsidRPr="00A24CB8" w:rsidRDefault="00FA532E" w:rsidP="0046728D">
      <w:pPr>
        <w:pStyle w:val="TextKP"/>
        <w:numPr>
          <w:ilvl w:val="0"/>
          <w:numId w:val="46"/>
        </w:numPr>
        <w:spacing w:before="60"/>
        <w:ind w:left="426" w:hanging="426"/>
      </w:pPr>
      <w:r w:rsidRPr="00A24CB8">
        <w:t>příprava k opětovnému použití;</w:t>
      </w:r>
    </w:p>
    <w:p w14:paraId="332E7547" w14:textId="77777777" w:rsidR="00FA532E" w:rsidRPr="00A24CB8" w:rsidRDefault="00FA532E" w:rsidP="0046728D">
      <w:pPr>
        <w:pStyle w:val="TextKP"/>
        <w:numPr>
          <w:ilvl w:val="0"/>
          <w:numId w:val="46"/>
        </w:numPr>
        <w:spacing w:before="60"/>
        <w:ind w:left="426" w:hanging="426"/>
      </w:pPr>
      <w:r w:rsidRPr="00A24CB8">
        <w:t>recyklace odpadů;</w:t>
      </w:r>
    </w:p>
    <w:p w14:paraId="1855E47C" w14:textId="77777777" w:rsidR="00FA532E" w:rsidRPr="00A24CB8" w:rsidRDefault="00FA532E" w:rsidP="0046728D">
      <w:pPr>
        <w:pStyle w:val="TextKP"/>
        <w:numPr>
          <w:ilvl w:val="0"/>
          <w:numId w:val="46"/>
        </w:numPr>
        <w:spacing w:before="60"/>
        <w:ind w:left="426" w:hanging="426"/>
      </w:pPr>
      <w:r w:rsidRPr="00A24CB8">
        <w:t>jiné využití odpadů, například energetické využití;</w:t>
      </w:r>
    </w:p>
    <w:p w14:paraId="322B2BA9" w14:textId="77777777" w:rsidR="00FA532E" w:rsidRPr="00A24CB8" w:rsidRDefault="00FA532E" w:rsidP="0046728D">
      <w:pPr>
        <w:pStyle w:val="TextKP"/>
        <w:numPr>
          <w:ilvl w:val="0"/>
          <w:numId w:val="46"/>
        </w:numPr>
        <w:spacing w:before="60"/>
        <w:ind w:left="426" w:hanging="426"/>
      </w:pPr>
      <w:r w:rsidRPr="00A24CB8">
        <w:t>odstranění odpadů.</w:t>
      </w:r>
    </w:p>
    <w:p w14:paraId="3D36B83A" w14:textId="77777777" w:rsidR="00292525" w:rsidRPr="0046728D" w:rsidRDefault="000A5F6C" w:rsidP="00292525">
      <w:pPr>
        <w:pStyle w:val="TextKP"/>
        <w:rPr>
          <w:b/>
        </w:rPr>
      </w:pPr>
      <w:r w:rsidRPr="0046728D">
        <w:rPr>
          <w:b/>
        </w:rPr>
        <w:t>Podpora určená na nakládání s odpady</w:t>
      </w:r>
    </w:p>
    <w:p w14:paraId="77466DFF" w14:textId="6A7FE018" w:rsidR="00C55F0C" w:rsidRDefault="000A5F6C" w:rsidP="00C55F0C">
      <w:pPr>
        <w:pStyle w:val="TextKP"/>
      </w:pPr>
      <w:r>
        <w:t>Kontrolované p</w:t>
      </w:r>
      <w:r w:rsidR="00292525">
        <w:t xml:space="preserve">eněžní prostředky </w:t>
      </w:r>
      <w:r>
        <w:t xml:space="preserve">určené na realizaci opatření v oblasti nakládání s odpady </w:t>
      </w:r>
      <w:r w:rsidR="00357DF3">
        <w:t>byly</w:t>
      </w:r>
      <w:r w:rsidR="00292525">
        <w:t xml:space="preserve"> poskytovány </w:t>
      </w:r>
      <w:r w:rsidR="00004BBD" w:rsidRPr="0014296D">
        <w:t>Ministerstv</w:t>
      </w:r>
      <w:r w:rsidR="00004BBD">
        <w:t>em</w:t>
      </w:r>
      <w:r w:rsidR="00004BBD" w:rsidRPr="0014296D">
        <w:t xml:space="preserve"> životního prostředí </w:t>
      </w:r>
      <w:r w:rsidR="00004BBD">
        <w:t xml:space="preserve">a </w:t>
      </w:r>
      <w:r w:rsidR="00004BBD" w:rsidRPr="0014296D">
        <w:t>Státní</w:t>
      </w:r>
      <w:r w:rsidR="00004BBD">
        <w:t>m</w:t>
      </w:r>
      <w:r w:rsidR="00004BBD" w:rsidRPr="0014296D">
        <w:t xml:space="preserve"> fond</w:t>
      </w:r>
      <w:r w:rsidR="00004BBD">
        <w:t>em</w:t>
      </w:r>
      <w:r w:rsidR="00004BBD" w:rsidRPr="0014296D">
        <w:t xml:space="preserve"> životního prostředí Č</w:t>
      </w:r>
      <w:r w:rsidR="00004BBD">
        <w:t xml:space="preserve">R </w:t>
      </w:r>
      <w:r w:rsidR="00292525">
        <w:t>z</w:t>
      </w:r>
      <w:r>
        <w:t> </w:t>
      </w:r>
      <w:r w:rsidR="00292525">
        <w:t>OPŽP a NPŽP.</w:t>
      </w:r>
    </w:p>
    <w:p w14:paraId="63F6C32D" w14:textId="77777777" w:rsidR="00292525" w:rsidRPr="0046728D" w:rsidRDefault="000A5F6C" w:rsidP="00292525">
      <w:pPr>
        <w:pStyle w:val="TextKP"/>
        <w:rPr>
          <w:b/>
        </w:rPr>
      </w:pPr>
      <w:r w:rsidRPr="0046728D">
        <w:rPr>
          <w:b/>
        </w:rPr>
        <w:t xml:space="preserve">Operační program </w:t>
      </w:r>
      <w:r w:rsidRPr="0046728D">
        <w:rPr>
          <w:b/>
          <w:i/>
        </w:rPr>
        <w:t>Životní prostředí 2014–2020</w:t>
      </w:r>
    </w:p>
    <w:p w14:paraId="0CAA72C9" w14:textId="1A4C4E7E" w:rsidR="00292525" w:rsidRDefault="000A5F6C" w:rsidP="00292525">
      <w:pPr>
        <w:pStyle w:val="TextKP"/>
      </w:pPr>
      <w:r>
        <w:t xml:space="preserve">Problematika odpadů je </w:t>
      </w:r>
      <w:r w:rsidR="00004BBD">
        <w:t>řešena</w:t>
      </w:r>
      <w:r>
        <w:t xml:space="preserve"> v prioritní ose </w:t>
      </w:r>
      <w:r w:rsidRPr="00451F64">
        <w:t>3</w:t>
      </w:r>
      <w:r w:rsidR="00004BBD" w:rsidRPr="00451F64">
        <w:t xml:space="preserve"> </w:t>
      </w:r>
      <w:r w:rsidR="00004BBD" w:rsidRPr="0046728D">
        <w:t>–</w:t>
      </w:r>
      <w:r>
        <w:t xml:space="preserve"> </w:t>
      </w:r>
      <w:r w:rsidRPr="00292525">
        <w:rPr>
          <w:i/>
        </w:rPr>
        <w:t>Odpady</w:t>
      </w:r>
      <w:r w:rsidR="00827660">
        <w:rPr>
          <w:i/>
        </w:rPr>
        <w:t xml:space="preserve"> a materiálové toky</w:t>
      </w:r>
      <w:r w:rsidRPr="00292525">
        <w:rPr>
          <w:i/>
        </w:rPr>
        <w:t>, ekologické zátěže a rizika</w:t>
      </w:r>
      <w:r>
        <w:t xml:space="preserve"> </w:t>
      </w:r>
      <w:r w:rsidR="00004BBD">
        <w:t>(dále také „</w:t>
      </w:r>
      <w:r w:rsidR="00004BBD" w:rsidRPr="00E110C4">
        <w:t>PO 3“)</w:t>
      </w:r>
      <w:r w:rsidR="00004BBD">
        <w:t xml:space="preserve">, konkrétně v </w:t>
      </w:r>
      <w:r>
        <w:t>investiční priorit</w:t>
      </w:r>
      <w:r w:rsidR="00004BBD">
        <w:t>ě</w:t>
      </w:r>
      <w:r>
        <w:t xml:space="preserve"> 1</w:t>
      </w:r>
      <w:r>
        <w:rPr>
          <w:rStyle w:val="Znakapoznpodarou"/>
        </w:rPr>
        <w:footnoteReference w:id="21"/>
      </w:r>
      <w:r w:rsidRPr="00E110C4">
        <w:t>.</w:t>
      </w:r>
    </w:p>
    <w:p w14:paraId="02024FE8" w14:textId="0BFBB217" w:rsidR="00F54A8B" w:rsidRDefault="00827660" w:rsidP="00292525">
      <w:pPr>
        <w:pStyle w:val="TextKP"/>
      </w:pPr>
      <w:r>
        <w:t>Investiční priorita 1 p</w:t>
      </w:r>
      <w:r w:rsidR="000A5F6C">
        <w:t>rioritní os</w:t>
      </w:r>
      <w:r>
        <w:t>y</w:t>
      </w:r>
      <w:r w:rsidR="000A5F6C">
        <w:t xml:space="preserve"> 3 OPŽP má tři specifické cíle (dále také „SC“): 3.1 </w:t>
      </w:r>
      <w:r w:rsidR="000A5F6C" w:rsidRPr="00292525">
        <w:rPr>
          <w:i/>
        </w:rPr>
        <w:t>Prevence vzniku odpadů</w:t>
      </w:r>
      <w:r w:rsidR="000A5F6C">
        <w:t xml:space="preserve">; 3.2 </w:t>
      </w:r>
      <w:r w:rsidR="000A5F6C" w:rsidRPr="00292525">
        <w:rPr>
          <w:i/>
        </w:rPr>
        <w:t>Zvýšit podíl materiálového a energetického využití odpadů</w:t>
      </w:r>
      <w:r w:rsidR="000A5F6C">
        <w:t>; 3.3</w:t>
      </w:r>
      <w:r>
        <w:t xml:space="preserve"> </w:t>
      </w:r>
      <w:r w:rsidR="000A5F6C" w:rsidRPr="00292525">
        <w:rPr>
          <w:i/>
        </w:rPr>
        <w:t>Rekultivovat staré skládky</w:t>
      </w:r>
      <w:r w:rsidR="000A5F6C">
        <w:t>.</w:t>
      </w:r>
    </w:p>
    <w:p w14:paraId="2DC02451" w14:textId="77777777" w:rsidR="00292525" w:rsidRPr="0046728D" w:rsidRDefault="000A5F6C" w:rsidP="00292525">
      <w:pPr>
        <w:pStyle w:val="TextKP"/>
        <w:rPr>
          <w:b/>
          <w:i/>
        </w:rPr>
      </w:pPr>
      <w:r w:rsidRPr="0046728D">
        <w:rPr>
          <w:b/>
          <w:i/>
        </w:rPr>
        <w:t xml:space="preserve">Národní program Životní prostředí </w:t>
      </w:r>
    </w:p>
    <w:p w14:paraId="3F3DF146" w14:textId="76460B98" w:rsidR="00A24CB8" w:rsidRDefault="000A5F6C" w:rsidP="00292525">
      <w:pPr>
        <w:pStyle w:val="TextKP"/>
      </w:pPr>
      <w:r>
        <w:t>NPŽP podporuje projekty na ochranu a zlepšování životního prostředí v České republice z národních zdrojů</w:t>
      </w:r>
      <w:r w:rsidR="00172277">
        <w:t>, resp. z</w:t>
      </w:r>
      <w:r w:rsidR="00827660">
        <w:t xml:space="preserve"> </w:t>
      </w:r>
      <w:r w:rsidR="00172277">
        <w:t>prostředků SFŽP</w:t>
      </w:r>
      <w:r>
        <w:t xml:space="preserve">. NPŽP </w:t>
      </w:r>
      <w:r w:rsidR="00041206">
        <w:t xml:space="preserve">byl v kontrolovaném období </w:t>
      </w:r>
      <w:r>
        <w:t>člen</w:t>
      </w:r>
      <w:r w:rsidR="00451F64">
        <w:t>ěn</w:t>
      </w:r>
      <w:r>
        <w:t xml:space="preserve"> do </w:t>
      </w:r>
      <w:r w:rsidR="0046728D">
        <w:t>devíti p</w:t>
      </w:r>
      <w:r>
        <w:t>rioritních oblastí, kontrolované problematiky se t</w:t>
      </w:r>
      <w:r w:rsidR="00E212A8">
        <w:t>ýkal</w:t>
      </w:r>
      <w:r w:rsidR="00A67BC8">
        <w:t>a</w:t>
      </w:r>
      <w:r w:rsidR="00E212A8">
        <w:t xml:space="preserve"> </w:t>
      </w:r>
      <w:r w:rsidRPr="00A67BC8">
        <w:t xml:space="preserve">3. </w:t>
      </w:r>
      <w:r w:rsidR="00A67BC8" w:rsidRPr="00A67BC8">
        <w:t>p</w:t>
      </w:r>
      <w:r w:rsidRPr="00A67BC8">
        <w:t>rioritní oblast:</w:t>
      </w:r>
      <w:r w:rsidRPr="00292525">
        <w:rPr>
          <w:i/>
        </w:rPr>
        <w:t xml:space="preserve"> Odpady, staré zátěže, environmentální rizika</w:t>
      </w:r>
      <w:r>
        <w:t>.</w:t>
      </w:r>
      <w:r w:rsidR="00A24CB8">
        <w:br w:type="page"/>
      </w:r>
    </w:p>
    <w:p w14:paraId="465DDD9A" w14:textId="77777777" w:rsidR="00CA2C1A" w:rsidRDefault="00420B91" w:rsidP="0046728D">
      <w:pPr>
        <w:pStyle w:val="Nadpis1"/>
        <w:numPr>
          <w:ilvl w:val="0"/>
          <w:numId w:val="0"/>
        </w:numPr>
        <w:ind w:left="284"/>
      </w:pPr>
      <w:r>
        <w:lastRenderedPageBreak/>
        <w:t xml:space="preserve">III. </w:t>
      </w:r>
      <w:r w:rsidR="000A5F6C">
        <w:t>Rozsah kontroly</w:t>
      </w:r>
    </w:p>
    <w:p w14:paraId="1A0B2840" w14:textId="77777777" w:rsidR="00292525" w:rsidRDefault="000A5F6C" w:rsidP="00FE4195">
      <w:pPr>
        <w:pStyle w:val="TextKP"/>
        <w:spacing w:before="80"/>
      </w:pPr>
      <w:r>
        <w:t>Cílem kontrolní akce bylo prověřit, zda peněžní prostředky určené na realizaci opatření v oblasti nakládání s odpady přispěly k realizaci stanovených cílů a zda byly poskytovány a čerpány v souladu s právními předpisy.</w:t>
      </w:r>
    </w:p>
    <w:p w14:paraId="3913E7C8" w14:textId="2CA0B08F" w:rsidR="00292525" w:rsidRDefault="000A5F6C" w:rsidP="00FE4195">
      <w:pPr>
        <w:pStyle w:val="TextKP"/>
        <w:spacing w:before="80"/>
      </w:pPr>
      <w:r>
        <w:t>Kontrolní akce se zaměřila na plnění úloh říd</w:t>
      </w:r>
      <w:r w:rsidR="00C72840">
        <w:t>i</w:t>
      </w:r>
      <w:r>
        <w:t>cího orgánu (MŽP) a zprostředkujícího subjektu (SFŽP) při administraci</w:t>
      </w:r>
      <w:r w:rsidR="00CF354E">
        <w:t xml:space="preserve"> </w:t>
      </w:r>
      <w:r>
        <w:t>OPŽP a NPŽP, na</w:t>
      </w:r>
      <w:r w:rsidR="00C72840">
        <w:t xml:space="preserve"> </w:t>
      </w:r>
      <w:r>
        <w:t>prověření plnění a vyhodnocení cílů v oblasti odpadového hospodářství vyplývajících z </w:t>
      </w:r>
      <w:r w:rsidR="00C72840">
        <w:t>unijní</w:t>
      </w:r>
      <w:r>
        <w:t xml:space="preserve"> a české legislativy a z</w:t>
      </w:r>
      <w:r w:rsidR="003E3B5B">
        <w:t> </w:t>
      </w:r>
      <w:r>
        <w:t>POH</w:t>
      </w:r>
      <w:r w:rsidR="003E3B5B">
        <w:t>.</w:t>
      </w:r>
    </w:p>
    <w:p w14:paraId="4BAFB6E7" w14:textId="0512E24C" w:rsidR="003E3B5B" w:rsidRDefault="000A5F6C" w:rsidP="00FE4195">
      <w:pPr>
        <w:pStyle w:val="TextKP"/>
        <w:spacing w:before="80"/>
      </w:pPr>
      <w:r w:rsidRPr="00A44A1C">
        <w:t>Dále se kontrolní akce zaměřila u vybraných</w:t>
      </w:r>
      <w:r>
        <w:t xml:space="preserve"> příjemců dotace z OPŽP na dodržování podmínek pro</w:t>
      </w:r>
      <w:r w:rsidR="00420B91">
        <w:t xml:space="preserve"> </w:t>
      </w:r>
      <w:r>
        <w:t>poskytnutí dotace, na</w:t>
      </w:r>
      <w:r w:rsidR="00C72840">
        <w:t xml:space="preserve"> </w:t>
      </w:r>
      <w:r>
        <w:t xml:space="preserve">prokazatelnost a opodstatněnost způsobilých výdajů, ověření hospodárnosti, užití prostředků dotace na stanovený účel, plnění cílů projektů a udržitelnost projektů. </w:t>
      </w:r>
      <w:r w:rsidR="00292525">
        <w:t xml:space="preserve">Ke kontrole bylo vybráno celkem </w:t>
      </w:r>
      <w:r>
        <w:t>11</w:t>
      </w:r>
      <w:r w:rsidR="00292525">
        <w:t xml:space="preserve"> projektů, které byly zaměřeny na realizaci opatření v oblasti nakládání s</w:t>
      </w:r>
      <w:r>
        <w:t> </w:t>
      </w:r>
      <w:r w:rsidR="00292525">
        <w:t>odpady</w:t>
      </w:r>
      <w:r>
        <w:t xml:space="preserve"> a které byly </w:t>
      </w:r>
      <w:r w:rsidR="00292525">
        <w:t>financován</w:t>
      </w:r>
      <w:r>
        <w:t>y</w:t>
      </w:r>
      <w:r w:rsidR="00292525">
        <w:t xml:space="preserve"> ze </w:t>
      </w:r>
      <w:r w:rsidR="00CF354E">
        <w:t xml:space="preserve">SC </w:t>
      </w:r>
      <w:r w:rsidR="00292525">
        <w:t xml:space="preserve">3.1, 3.2 a 3.3 </w:t>
      </w:r>
      <w:r w:rsidR="00CF354E">
        <w:t>PO</w:t>
      </w:r>
      <w:r w:rsidR="00292525">
        <w:t xml:space="preserve"> 3 OPŽP</w:t>
      </w:r>
      <w:r w:rsidR="00FE4195">
        <w:t>.</w:t>
      </w:r>
    </w:p>
    <w:p w14:paraId="2F088E31" w14:textId="40803342" w:rsidR="00292525" w:rsidRDefault="000A5F6C" w:rsidP="00FE4195">
      <w:pPr>
        <w:pStyle w:val="TextKP"/>
        <w:spacing w:before="80"/>
      </w:pPr>
      <w:r>
        <w:t>Kontrolou bylo dále prověřeno 5 projektů financovaných z</w:t>
      </w:r>
      <w:r w:rsidR="00F8112E">
        <w:t xml:space="preserve"> </w:t>
      </w:r>
      <w:r w:rsidR="00CF354E">
        <w:t>3. prioritní oblasti NPŽP</w:t>
      </w:r>
      <w:r>
        <w:t xml:space="preserve">. Kontrola </w:t>
      </w:r>
      <w:r w:rsidR="00BF7C43">
        <w:t>administrace, realizace a splnění podmínek dotace u těchto</w:t>
      </w:r>
      <w:r>
        <w:t xml:space="preserve"> projektů byla provedena u SFŽP</w:t>
      </w:r>
      <w:r w:rsidR="00BF7C43">
        <w:t>.</w:t>
      </w:r>
    </w:p>
    <w:p w14:paraId="7643B235" w14:textId="7608A684" w:rsidR="00AF61D1" w:rsidRDefault="000A5F6C" w:rsidP="00FE4195">
      <w:pPr>
        <w:pStyle w:val="TextKP"/>
        <w:spacing w:before="80"/>
      </w:pPr>
      <w:r>
        <w:t xml:space="preserve">Přehled kontrolovaných projektů je uveden v příloze č. 2 </w:t>
      </w:r>
      <w:r w:rsidR="00F8112E">
        <w:t xml:space="preserve">tohoto </w:t>
      </w:r>
      <w:r>
        <w:t>kontrolního závěru.</w:t>
      </w:r>
    </w:p>
    <w:p w14:paraId="1E18953D" w14:textId="2A1C53FA" w:rsidR="00292525" w:rsidRDefault="000A5F6C" w:rsidP="00FE4195">
      <w:pPr>
        <w:pStyle w:val="TextKP"/>
        <w:spacing w:before="80"/>
      </w:pPr>
      <w:r>
        <w:t xml:space="preserve">Kontrolovaný objem </w:t>
      </w:r>
      <w:r w:rsidR="00F8112E">
        <w:t xml:space="preserve">prostředků </w:t>
      </w:r>
      <w:r>
        <w:t xml:space="preserve">na úrovni systému </w:t>
      </w:r>
      <w:r w:rsidR="00025455">
        <w:t>činil</w:t>
      </w:r>
      <w:r>
        <w:t xml:space="preserve"> 10,46 mld. Kč, z toho 9,88 mld. Kč </w:t>
      </w:r>
      <w:r w:rsidR="00025455">
        <w:t xml:space="preserve">bylo </w:t>
      </w:r>
      <w:r>
        <w:t>z</w:t>
      </w:r>
      <w:r w:rsidR="00025455">
        <w:t> </w:t>
      </w:r>
      <w:r>
        <w:t>OPŽP a 0,59 mld. Kč z NPŽP.</w:t>
      </w:r>
    </w:p>
    <w:p w14:paraId="302213E9" w14:textId="5CDA72E1" w:rsidR="00292525" w:rsidRDefault="000A5F6C" w:rsidP="00FE4195">
      <w:pPr>
        <w:pStyle w:val="TextKP"/>
        <w:spacing w:before="80"/>
      </w:pPr>
      <w:r>
        <w:t>Kontrolovaný objem na úrovni projektů činil 99,70 mil. Kč, z toho byl</w:t>
      </w:r>
      <w:r w:rsidR="00025455">
        <w:t>o</w:t>
      </w:r>
      <w:r>
        <w:t xml:space="preserve"> 96,33 mil. Kč z OPŽP a 3,37 mil. Kč z NPŽP.</w:t>
      </w:r>
    </w:p>
    <w:p w14:paraId="2662A7D0" w14:textId="77777777" w:rsidR="00292525" w:rsidRDefault="000A5F6C" w:rsidP="00FE4195">
      <w:pPr>
        <w:pStyle w:val="TextKP"/>
        <w:spacing w:before="80"/>
      </w:pPr>
      <w:r>
        <w:t>Kontrolovaným obdobím byly roky 2018 až 2020 a v případě věcných souvislostí i období předcházející a následující.</w:t>
      </w:r>
    </w:p>
    <w:p w14:paraId="31CCAC0F" w14:textId="1BCE76EA" w:rsidR="00F54A8B" w:rsidRDefault="000A5F6C" w:rsidP="0046728D">
      <w:pPr>
        <w:pStyle w:val="TextKP"/>
        <w:spacing w:before="80"/>
        <w:ind w:left="567" w:hanging="567"/>
        <w:rPr>
          <w:sz w:val="20"/>
        </w:rPr>
      </w:pPr>
      <w:r w:rsidRPr="00A72D64">
        <w:rPr>
          <w:b/>
          <w:sz w:val="20"/>
        </w:rPr>
        <w:t>Pozn.:</w:t>
      </w:r>
      <w:r w:rsidRPr="00A72D64">
        <w:rPr>
          <w:sz w:val="20"/>
        </w:rPr>
        <w:t xml:space="preserve"> </w:t>
      </w:r>
      <w:r w:rsidR="00D40FCE">
        <w:rPr>
          <w:sz w:val="20"/>
        </w:rPr>
        <w:tab/>
      </w:r>
      <w:r w:rsidRPr="00A72D64">
        <w:rPr>
          <w:sz w:val="20"/>
        </w:rPr>
        <w:t>Všechny právní předpisy uvedené v tomto kontrolním závěru jsou aplikovány ve znění účinném pro</w:t>
      </w:r>
      <w:r w:rsidR="00D40FCE">
        <w:rPr>
          <w:sz w:val="20"/>
        </w:rPr>
        <w:t xml:space="preserve"> </w:t>
      </w:r>
      <w:r w:rsidRPr="00A72D64">
        <w:rPr>
          <w:sz w:val="20"/>
        </w:rPr>
        <w:t>kontrolované období</w:t>
      </w:r>
      <w:r w:rsidR="00D40FCE">
        <w:rPr>
          <w:sz w:val="20"/>
        </w:rPr>
        <w:t>.</w:t>
      </w:r>
    </w:p>
    <w:p w14:paraId="13F17898" w14:textId="77777777" w:rsidR="00CA2C1A" w:rsidRDefault="00420B91" w:rsidP="0046728D">
      <w:pPr>
        <w:pStyle w:val="Nadpis1"/>
        <w:numPr>
          <w:ilvl w:val="0"/>
          <w:numId w:val="0"/>
        </w:numPr>
        <w:ind w:left="284"/>
      </w:pPr>
      <w:r>
        <w:t xml:space="preserve">IV. </w:t>
      </w:r>
      <w:r w:rsidR="000A5F6C">
        <w:t>Podrobné skutečnosti zjištěné kontrolou</w:t>
      </w:r>
    </w:p>
    <w:p w14:paraId="31AC1B16" w14:textId="456094FB" w:rsidR="003B70EB" w:rsidRDefault="00AB6934" w:rsidP="003B70EB">
      <w:pPr>
        <w:pStyle w:val="Nadpis4"/>
      </w:pPr>
      <w:r>
        <w:t xml:space="preserve">MŽP nastavilo podporu </w:t>
      </w:r>
      <w:r w:rsidR="000A5F6C" w:rsidRPr="00820E3F">
        <w:t xml:space="preserve">z OPŽP v oblasti odpadů v souladu s hierarchií způsobů nakládání s odpady </w:t>
      </w:r>
      <w:r w:rsidR="00025455">
        <w:t xml:space="preserve">i v souladu </w:t>
      </w:r>
      <w:r w:rsidR="000A5F6C" w:rsidRPr="00820E3F">
        <w:t xml:space="preserve">se závaznou částí POH, ne všechny indikátory výstupu však budou ke konci programového období splněny. </w:t>
      </w:r>
      <w:r>
        <w:t xml:space="preserve">Naopak podporu poskytovanou </w:t>
      </w:r>
      <w:r w:rsidR="00801694">
        <w:t>z</w:t>
      </w:r>
      <w:r w:rsidR="000A5F6C" w:rsidRPr="00820E3F">
        <w:t xml:space="preserve"> 3. prioritní oblasti NPŽP </w:t>
      </w:r>
      <w:r>
        <w:t xml:space="preserve">nenastavilo MŽP </w:t>
      </w:r>
      <w:r w:rsidR="000A5F6C" w:rsidRPr="00820E3F">
        <w:t>v souladu s hierarchií způsobů nakládání s</w:t>
      </w:r>
      <w:r w:rsidR="00801694">
        <w:t> </w:t>
      </w:r>
      <w:r w:rsidR="000A5F6C" w:rsidRPr="00820E3F">
        <w:t>odpady a se závaznou částí POH</w:t>
      </w:r>
    </w:p>
    <w:p w14:paraId="3297F9DA" w14:textId="77777777" w:rsidR="003B70EB" w:rsidRPr="0046728D" w:rsidRDefault="000A5F6C" w:rsidP="00FE4195">
      <w:pPr>
        <w:pStyle w:val="Titulek"/>
        <w:spacing w:before="80"/>
        <w:rPr>
          <w:b/>
          <w:i/>
        </w:rPr>
      </w:pPr>
      <w:r w:rsidRPr="0046728D">
        <w:rPr>
          <w:b/>
        </w:rPr>
        <w:t>Operační program</w:t>
      </w:r>
      <w:r w:rsidRPr="0046728D">
        <w:rPr>
          <w:b/>
          <w:i/>
        </w:rPr>
        <w:t xml:space="preserve"> Životní prostředí 2014–2020</w:t>
      </w:r>
    </w:p>
    <w:p w14:paraId="0B58F864" w14:textId="77777777" w:rsidR="003B70EB" w:rsidRDefault="000A5F6C" w:rsidP="00FE4195">
      <w:pPr>
        <w:pStyle w:val="Titulek"/>
        <w:spacing w:before="80"/>
      </w:pPr>
      <w:r w:rsidRPr="00801694">
        <w:t>Kontrolou NKÚ bylo zjištěno</w:t>
      </w:r>
      <w:r>
        <w:t xml:space="preserve">, že podporované aktivity PO 3 OPŽP </w:t>
      </w:r>
      <w:r w:rsidR="004B73FB">
        <w:t>byly</w:t>
      </w:r>
      <w:r>
        <w:t xml:space="preserve"> nastaveny k plnění cílů </w:t>
      </w:r>
      <w:r w:rsidRPr="00D93E0B">
        <w:t xml:space="preserve">POH. Alokace a stav čerpání prostředků v rámci PO 3 OPŽP ke dni 31. 12. 2020 jsou uvedeny v tabulce č. </w:t>
      </w:r>
      <w:r w:rsidR="00E110C4" w:rsidRPr="00D93E0B">
        <w:t>1</w:t>
      </w:r>
      <w:r w:rsidRPr="00D93E0B">
        <w:t>.</w:t>
      </w:r>
    </w:p>
    <w:p w14:paraId="6F3DBFC9" w14:textId="1502184D" w:rsidR="003B70EB" w:rsidRPr="00901B1C" w:rsidRDefault="000A5F6C" w:rsidP="00FE4195">
      <w:pPr>
        <w:pStyle w:val="Titulek"/>
        <w:spacing w:before="80"/>
      </w:pPr>
      <w:r w:rsidRPr="0066783C">
        <w:t xml:space="preserve">Tabulka č. </w:t>
      </w:r>
      <w:r w:rsidR="00F27D96">
        <w:fldChar w:fldCharType="begin"/>
      </w:r>
      <w:r w:rsidR="00F27D96">
        <w:instrText xml:space="preserve"> SEQ Tabulka_č. \* ARABIC </w:instrText>
      </w:r>
      <w:r w:rsidR="00F27D96">
        <w:fldChar w:fldCharType="separate"/>
      </w:r>
      <w:r w:rsidR="00F27D96">
        <w:rPr>
          <w:noProof/>
        </w:rPr>
        <w:t>1</w:t>
      </w:r>
      <w:r w:rsidR="00F27D96">
        <w:rPr>
          <w:noProof/>
        </w:rPr>
        <w:fldChar w:fldCharType="end"/>
      </w:r>
      <w:r w:rsidRPr="0066783C">
        <w:t>: Souhrnné</w:t>
      </w:r>
      <w:r w:rsidRPr="00F344A1">
        <w:t xml:space="preserve"> údaje o čerpání</w:t>
      </w:r>
      <w:r w:rsidR="00817A90">
        <w:t xml:space="preserve"> prostředků EU</w:t>
      </w:r>
      <w:r w:rsidRPr="00F344A1">
        <w:t xml:space="preserve"> v PO 3</w:t>
      </w:r>
      <w:r w:rsidR="00817A90">
        <w:t xml:space="preserve"> OPŽP</w:t>
      </w:r>
      <w:r w:rsidRPr="00F344A1">
        <w:t xml:space="preserve"> ke dni 31. 12. 2020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552"/>
        <w:gridCol w:w="1406"/>
        <w:gridCol w:w="1310"/>
        <w:gridCol w:w="1319"/>
        <w:gridCol w:w="1253"/>
        <w:gridCol w:w="1522"/>
      </w:tblGrid>
      <w:tr w:rsidR="00817A90" w:rsidRPr="00817A90" w14:paraId="462D7234" w14:textId="77777777" w:rsidTr="00817A90">
        <w:trPr>
          <w:trHeight w:val="494"/>
        </w:trPr>
        <w:tc>
          <w:tcPr>
            <w:tcW w:w="384" w:type="pct"/>
            <w:vMerge w:val="restart"/>
            <w:shd w:val="clear" w:color="auto" w:fill="E5F3FF"/>
            <w:vAlign w:val="center"/>
            <w:hideMark/>
          </w:tcPr>
          <w:p w14:paraId="2EF36959" w14:textId="77777777" w:rsidR="00817A90" w:rsidRPr="00817A90" w:rsidRDefault="00817A90" w:rsidP="00817A9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SC</w:t>
            </w:r>
          </w:p>
        </w:tc>
        <w:tc>
          <w:tcPr>
            <w:tcW w:w="857" w:type="pct"/>
            <w:vMerge w:val="restart"/>
            <w:shd w:val="clear" w:color="auto" w:fill="E5F3FF"/>
            <w:vAlign w:val="center"/>
            <w:hideMark/>
          </w:tcPr>
          <w:p w14:paraId="4B1D4164" w14:textId="5F33E481" w:rsidR="00817A90" w:rsidRPr="00817A90" w:rsidRDefault="00817A90" w:rsidP="0008025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Celková alokace vyhlášených výzev po změnách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(</w:t>
            </w:r>
            <w:r w:rsidR="0066783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v 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1499" w:type="pct"/>
            <w:gridSpan w:val="2"/>
            <w:shd w:val="clear" w:color="auto" w:fill="E5F3FF"/>
            <w:vAlign w:val="center"/>
            <w:hideMark/>
          </w:tcPr>
          <w:p w14:paraId="3C626CCC" w14:textId="25403B66" w:rsidR="00817A90" w:rsidRPr="00817A90" w:rsidRDefault="00817A90" w:rsidP="0008025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Finanční prostředky v zaregistrovaných žádostech o</w:t>
            </w:r>
            <w:r w:rsidR="00420B91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podporu </w:t>
            </w:r>
          </w:p>
        </w:tc>
        <w:tc>
          <w:tcPr>
            <w:tcW w:w="1420" w:type="pct"/>
            <w:gridSpan w:val="2"/>
            <w:shd w:val="clear" w:color="auto" w:fill="E5F3FF"/>
            <w:vAlign w:val="center"/>
            <w:hideMark/>
          </w:tcPr>
          <w:p w14:paraId="26F4B54A" w14:textId="77777777" w:rsidR="00817A90" w:rsidRPr="00817A90" w:rsidRDefault="00817A90" w:rsidP="0008025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Finanční prostředky v projektech v realizaci</w:t>
            </w:r>
          </w:p>
        </w:tc>
        <w:tc>
          <w:tcPr>
            <w:tcW w:w="840" w:type="pct"/>
            <w:vMerge w:val="restart"/>
            <w:shd w:val="clear" w:color="auto" w:fill="E5F3FF"/>
            <w:vAlign w:val="center"/>
            <w:hideMark/>
          </w:tcPr>
          <w:p w14:paraId="14DB8FEF" w14:textId="69599291" w:rsidR="00817A90" w:rsidRPr="00817A90" w:rsidRDefault="00817A90" w:rsidP="0008025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Částky proplacené příjemcům podpory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(</w:t>
            </w:r>
            <w:r w:rsidR="0066783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v 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Kč)</w:t>
            </w:r>
          </w:p>
        </w:tc>
      </w:tr>
      <w:tr w:rsidR="00817A90" w:rsidRPr="00817A90" w14:paraId="4163B999" w14:textId="77777777" w:rsidTr="00817A90">
        <w:trPr>
          <w:trHeight w:val="87"/>
        </w:trPr>
        <w:tc>
          <w:tcPr>
            <w:tcW w:w="384" w:type="pct"/>
            <w:vMerge/>
            <w:shd w:val="clear" w:color="auto" w:fill="auto"/>
            <w:vAlign w:val="center"/>
            <w:hideMark/>
          </w:tcPr>
          <w:p w14:paraId="58831F70" w14:textId="77777777" w:rsidR="00817A90" w:rsidRPr="00817A90" w:rsidRDefault="00817A90" w:rsidP="0008025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  <w:hideMark/>
          </w:tcPr>
          <w:p w14:paraId="3959F0C4" w14:textId="77777777" w:rsidR="00817A90" w:rsidRPr="00817A90" w:rsidRDefault="00817A90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14:paraId="4A766A51" w14:textId="77777777" w:rsidR="00817A90" w:rsidRPr="00817A90" w:rsidRDefault="00817A90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3BD97A78" w14:textId="2C338635" w:rsidR="00817A90" w:rsidRPr="00817A90" w:rsidRDefault="00420B91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P</w:t>
            </w:r>
            <w:r w:rsidR="00817A90" w:rsidRPr="00817A90"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očet projektů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14:paraId="213C2DA7" w14:textId="77777777" w:rsidR="00817A90" w:rsidRPr="00817A90" w:rsidRDefault="00817A90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B03444" w14:textId="4FB0640A" w:rsidR="00817A90" w:rsidRPr="00817A90" w:rsidRDefault="00420B91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P</w:t>
            </w:r>
            <w:r w:rsidR="00817A90" w:rsidRPr="00817A90"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očet projektů</w:t>
            </w:r>
          </w:p>
        </w:tc>
        <w:tc>
          <w:tcPr>
            <w:tcW w:w="840" w:type="pct"/>
            <w:vMerge/>
            <w:shd w:val="clear" w:color="auto" w:fill="auto"/>
            <w:vAlign w:val="center"/>
            <w:hideMark/>
          </w:tcPr>
          <w:p w14:paraId="2ED1CAF4" w14:textId="77777777" w:rsidR="00817A90" w:rsidRPr="00817A90" w:rsidRDefault="00817A90" w:rsidP="00817A90">
            <w:pPr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FF1BC7" w:rsidRPr="00817A90" w14:paraId="1F33C483" w14:textId="77777777" w:rsidTr="00817A90">
        <w:trPr>
          <w:trHeight w:val="202"/>
        </w:trPr>
        <w:tc>
          <w:tcPr>
            <w:tcW w:w="384" w:type="pct"/>
            <w:shd w:val="clear" w:color="auto" w:fill="auto"/>
            <w:vAlign w:val="center"/>
            <w:hideMark/>
          </w:tcPr>
          <w:p w14:paraId="29D3FCF2" w14:textId="77777777" w:rsidR="003B70EB" w:rsidRPr="00817A90" w:rsidRDefault="000A5F6C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49BAC00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sz w:val="18"/>
                <w:szCs w:val="18"/>
              </w:rPr>
              <w:t>1 874 389 654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3225EE8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2 326 796 396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89FBB20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/>
              </w:rPr>
              <w:t>1 424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2DABA74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1 633 267 481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C2FC97C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/>
              </w:rPr>
              <w:t>926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0516F9E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886 995 871</w:t>
            </w:r>
          </w:p>
        </w:tc>
      </w:tr>
      <w:tr w:rsidR="00FF1BC7" w:rsidRPr="00817A90" w14:paraId="7A0F7B9E" w14:textId="77777777" w:rsidTr="00817A90">
        <w:trPr>
          <w:trHeight w:val="202"/>
        </w:trPr>
        <w:tc>
          <w:tcPr>
            <w:tcW w:w="384" w:type="pct"/>
            <w:shd w:val="clear" w:color="auto" w:fill="auto"/>
            <w:vAlign w:val="center"/>
            <w:hideMark/>
          </w:tcPr>
          <w:p w14:paraId="20068D57" w14:textId="77777777" w:rsidR="003B70EB" w:rsidRPr="00817A90" w:rsidRDefault="000A5F6C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3.2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668FB7A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sz w:val="18"/>
                <w:szCs w:val="18"/>
              </w:rPr>
              <w:t>7 564 731 450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4844BFD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12 177 750 754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2640C7E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/>
              </w:rPr>
              <w:t>3 081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34000B0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6 987 404 791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9671B47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/>
              </w:rPr>
              <w:t>1 925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38E6D9A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3 069 770 213</w:t>
            </w:r>
          </w:p>
        </w:tc>
      </w:tr>
      <w:tr w:rsidR="00FF1BC7" w:rsidRPr="00817A90" w14:paraId="4EB87151" w14:textId="77777777" w:rsidTr="00817A90">
        <w:trPr>
          <w:trHeight w:val="202"/>
        </w:trPr>
        <w:tc>
          <w:tcPr>
            <w:tcW w:w="384" w:type="pct"/>
            <w:shd w:val="clear" w:color="auto" w:fill="auto"/>
            <w:vAlign w:val="center"/>
            <w:hideMark/>
          </w:tcPr>
          <w:p w14:paraId="3F0651F6" w14:textId="77777777" w:rsidR="003B70EB" w:rsidRPr="00817A90" w:rsidRDefault="000A5F6C" w:rsidP="0008025A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Cs/>
                <w:color w:val="000000"/>
                <w:sz w:val="18"/>
                <w:szCs w:val="18"/>
                <w:lang w:eastAsia="cs-CZ"/>
              </w:rPr>
              <w:t>3.3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083240E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/>
              </w:rPr>
              <w:t>437 906 808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20B172F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512 001 637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E8547B5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4A1CB84E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284 195 873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AD7621A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3DB4A26" w14:textId="77777777" w:rsidR="003B70EB" w:rsidRPr="00817A90" w:rsidRDefault="000A5F6C" w:rsidP="0008025A">
            <w:pPr>
              <w:jc w:val="right"/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</w:pPr>
            <w:r w:rsidRPr="00817A90">
              <w:rPr>
                <w:rFonts w:cstheme="minorHAnsi"/>
                <w:color w:val="000000"/>
                <w:sz w:val="18"/>
                <w:szCs w:val="18"/>
                <w:lang w:eastAsia="cs-CZ" w:bidi="bn-BD"/>
              </w:rPr>
              <w:t>197 017 739</w:t>
            </w:r>
          </w:p>
        </w:tc>
      </w:tr>
      <w:tr w:rsidR="00FF1BC7" w:rsidRPr="00817A90" w14:paraId="5653A487" w14:textId="77777777" w:rsidTr="00817A90">
        <w:trPr>
          <w:trHeight w:val="202"/>
        </w:trPr>
        <w:tc>
          <w:tcPr>
            <w:tcW w:w="384" w:type="pct"/>
            <w:shd w:val="clear" w:color="auto" w:fill="auto"/>
            <w:vAlign w:val="center"/>
            <w:hideMark/>
          </w:tcPr>
          <w:p w14:paraId="14DFFE47" w14:textId="3CFAA3BB" w:rsidR="003B70EB" w:rsidRPr="00817A90" w:rsidRDefault="000A5F6C" w:rsidP="0008025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02AB911" w14:textId="77777777" w:rsidR="003B70EB" w:rsidRPr="00817A90" w:rsidRDefault="000A5F6C" w:rsidP="0008025A">
            <w:pPr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9 877 027 912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20AA1C2" w14:textId="77777777" w:rsidR="003B70EB" w:rsidRPr="00817A90" w:rsidRDefault="000A5F6C" w:rsidP="0008025A">
            <w:pPr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 w:bidi="bn-BD"/>
              </w:rPr>
              <w:t>15 016 548 78</w:t>
            </w:r>
            <w:r w:rsidR="003E43BC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 w:bidi="bn-BD"/>
              </w:rPr>
              <w:t>7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CEC6E8F" w14:textId="77777777" w:rsidR="003B70EB" w:rsidRPr="00817A90" w:rsidRDefault="000A5F6C" w:rsidP="0008025A">
            <w:pPr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4 532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755A510B" w14:textId="77777777" w:rsidR="003B70EB" w:rsidRPr="00817A90" w:rsidRDefault="000A5F6C" w:rsidP="0008025A">
            <w:pPr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 w:bidi="bn-BD"/>
              </w:rPr>
              <w:t>8 904 868 145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4E3FED2" w14:textId="77777777" w:rsidR="003B70EB" w:rsidRPr="00817A90" w:rsidRDefault="000A5F6C" w:rsidP="0008025A">
            <w:pPr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/>
              </w:rPr>
              <w:t>2 868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9B38073" w14:textId="77777777" w:rsidR="003B70EB" w:rsidRPr="00817A90" w:rsidRDefault="000A5F6C" w:rsidP="0008025A">
            <w:pPr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  <w:lang w:eastAsia="cs-CZ" w:bidi="bn-BD"/>
              </w:rPr>
            </w:pPr>
            <w:r w:rsidRPr="00817A90">
              <w:rPr>
                <w:rFonts w:cstheme="minorHAnsi"/>
                <w:b/>
                <w:bCs/>
                <w:color w:val="000000"/>
                <w:sz w:val="18"/>
                <w:szCs w:val="18"/>
                <w:lang w:eastAsia="cs-CZ" w:bidi="bn-BD"/>
              </w:rPr>
              <w:t>4 153 783 823</w:t>
            </w:r>
          </w:p>
        </w:tc>
      </w:tr>
    </w:tbl>
    <w:p w14:paraId="61DBA655" w14:textId="77777777" w:rsidR="003B70EB" w:rsidRPr="0046728D" w:rsidRDefault="000A5F6C" w:rsidP="00641492">
      <w:pPr>
        <w:pStyle w:val="Zdrojeapozn"/>
        <w:rPr>
          <w:b w:val="0"/>
        </w:rPr>
      </w:pPr>
      <w:r w:rsidRPr="00901B1C">
        <w:t>Zdroj:</w:t>
      </w:r>
      <w:r w:rsidRPr="009637EE">
        <w:t xml:space="preserve"> </w:t>
      </w:r>
      <w:r w:rsidRPr="0046728D">
        <w:rPr>
          <w:b w:val="0"/>
        </w:rPr>
        <w:t>MŽP</w:t>
      </w:r>
      <w:r w:rsidR="00E110C4" w:rsidRPr="0046728D">
        <w:rPr>
          <w:b w:val="0"/>
        </w:rPr>
        <w:t>.</w:t>
      </w:r>
    </w:p>
    <w:p w14:paraId="4288FC2C" w14:textId="2F28D835" w:rsidR="004B73FB" w:rsidRDefault="000A5F6C" w:rsidP="003B70EB">
      <w:pPr>
        <w:pStyle w:val="TextKP"/>
      </w:pPr>
      <w:r w:rsidRPr="004B73FB">
        <w:lastRenderedPageBreak/>
        <w:t>Na základě výzev vyhlášených v rámci kontrolovaných aktivit OPŽP bylo ke dni 31.</w:t>
      </w:r>
      <w:r w:rsidR="000B28E4">
        <w:t xml:space="preserve"> </w:t>
      </w:r>
      <w:r w:rsidRPr="004B73FB">
        <w:t>12.</w:t>
      </w:r>
      <w:r w:rsidR="000B28E4">
        <w:t xml:space="preserve"> </w:t>
      </w:r>
      <w:r w:rsidRPr="004B73FB">
        <w:t xml:space="preserve">2020 </w:t>
      </w:r>
      <w:r w:rsidR="0070682D">
        <w:br/>
      </w:r>
      <w:r w:rsidRPr="004B73FB">
        <w:t>v</w:t>
      </w:r>
      <w:r w:rsidR="0070682D">
        <w:t xml:space="preserve"> </w:t>
      </w:r>
      <w:r w:rsidRPr="004B73FB">
        <w:t>různé fázi pokročilosti 2</w:t>
      </w:r>
      <w:r w:rsidR="0066783C">
        <w:t> </w:t>
      </w:r>
      <w:r w:rsidRPr="004B73FB">
        <w:t xml:space="preserve">868 projektů s vydaným </w:t>
      </w:r>
      <w:r w:rsidR="00EF6014">
        <w:t xml:space="preserve">rozhodnutím o poskytnutí dotace </w:t>
      </w:r>
      <w:r w:rsidR="0070682D">
        <w:br/>
      </w:r>
      <w:r w:rsidRPr="004B73FB">
        <w:t>s</w:t>
      </w:r>
      <w:r w:rsidR="0070682D">
        <w:t xml:space="preserve"> </w:t>
      </w:r>
      <w:r w:rsidRPr="004B73FB">
        <w:t>příspěvkem EU ve výši 8,9</w:t>
      </w:r>
      <w:r w:rsidR="0066783C">
        <w:t xml:space="preserve"> </w:t>
      </w:r>
      <w:r w:rsidRPr="004B73FB">
        <w:t>mld. Kč a příjemcům podpory byly proplaceny výdaje ve výši 4,2</w:t>
      </w:r>
      <w:r w:rsidR="00FE4195">
        <w:t> </w:t>
      </w:r>
      <w:r w:rsidRPr="004B73FB">
        <w:t>mld. Kč.</w:t>
      </w:r>
    </w:p>
    <w:p w14:paraId="1C3EF00A" w14:textId="6872CDF7" w:rsidR="003B70EB" w:rsidRDefault="000A5F6C" w:rsidP="003B70EB">
      <w:pPr>
        <w:pStyle w:val="TextKP"/>
      </w:pPr>
      <w:r>
        <w:t>V PO 3</w:t>
      </w:r>
      <w:r w:rsidR="00823BC3">
        <w:t>,</w:t>
      </w:r>
      <w:r>
        <w:t xml:space="preserve"> zaměřené na odpady, ekologické zátěže a rizika</w:t>
      </w:r>
      <w:r w:rsidR="00823BC3">
        <w:t>,</w:t>
      </w:r>
      <w:r>
        <w:t xml:space="preserve"> bylo od začátku programového období do 31. 12. 2020 proplaceno příjemcům podpory 47,32 % z alokace pro specifický cíl 3.1 </w:t>
      </w:r>
      <w:r w:rsidRPr="0046728D">
        <w:rPr>
          <w:i/>
        </w:rPr>
        <w:t>Prevence vzniku odpad</w:t>
      </w:r>
      <w:r w:rsidR="00A30CA1" w:rsidRPr="0046728D">
        <w:rPr>
          <w:i/>
        </w:rPr>
        <w:t>ů</w:t>
      </w:r>
      <w:r>
        <w:t xml:space="preserve">, 40,58 % z alokace pro specifický cíl 3.2 </w:t>
      </w:r>
      <w:r w:rsidRPr="0046728D">
        <w:rPr>
          <w:i/>
        </w:rPr>
        <w:t>Zvýšit podíl materiálového a energetického využití odpadů</w:t>
      </w:r>
      <w:r>
        <w:t xml:space="preserve"> a 44,99 % z alokace pro specifický cíl 3.3 </w:t>
      </w:r>
      <w:r w:rsidRPr="0046728D">
        <w:rPr>
          <w:i/>
        </w:rPr>
        <w:t>Rekultivovat staré skládky</w:t>
      </w:r>
      <w:r>
        <w:t>.</w:t>
      </w:r>
    </w:p>
    <w:p w14:paraId="358B711F" w14:textId="2ABD1F63" w:rsidR="003B70EB" w:rsidRDefault="000A5F6C" w:rsidP="003B70EB">
      <w:pPr>
        <w:pStyle w:val="TextKP"/>
      </w:pPr>
      <w:r>
        <w:t xml:space="preserve">V rámci vyhlášených výzev PO 3 OPŽP bylo zjištěno, že čerpání alokace na SC 3.1 převážně pokrýval zájem v podporované aktivitě 3.1.1 </w:t>
      </w:r>
      <w:r w:rsidRPr="0046728D">
        <w:rPr>
          <w:i/>
        </w:rPr>
        <w:t>Předcházení vzniku komunálních odpadů</w:t>
      </w:r>
      <w:r>
        <w:t>, kde</w:t>
      </w:r>
      <w:r w:rsidR="00403498">
        <w:t xml:space="preserve"> </w:t>
      </w:r>
      <w:r>
        <w:t>příspěvek EU k 31. 12. 2020 dosáhl výše 1 612 mil. Kč, z toho 1 412 mil. Kč představovala podpora domácích kompostérů a sběrných kontejnerů na textilní a oděvní odpady.</w:t>
      </w:r>
    </w:p>
    <w:p w14:paraId="417F82A9" w14:textId="6DA5898B" w:rsidR="003B70EB" w:rsidRDefault="000A5F6C" w:rsidP="003B70EB">
      <w:pPr>
        <w:pStyle w:val="TextKP"/>
      </w:pPr>
      <w:r>
        <w:t xml:space="preserve">Čerpání alokace na SC 3.2 převážně pokrýval zájem v podporované aktivitě 3.2.1 </w:t>
      </w:r>
      <w:r w:rsidRPr="0046728D">
        <w:rPr>
          <w:i/>
        </w:rPr>
        <w:t xml:space="preserve">Výstavba </w:t>
      </w:r>
      <w:r w:rsidR="00971F70">
        <w:rPr>
          <w:i/>
        </w:rPr>
        <w:br/>
      </w:r>
      <w:r w:rsidRPr="0046728D">
        <w:rPr>
          <w:i/>
        </w:rPr>
        <w:t>a</w:t>
      </w:r>
      <w:r w:rsidR="00971F70">
        <w:rPr>
          <w:i/>
        </w:rPr>
        <w:t xml:space="preserve"> </w:t>
      </w:r>
      <w:r w:rsidRPr="0046728D">
        <w:rPr>
          <w:i/>
        </w:rPr>
        <w:t>modernizace zařízení pro sběr, třídění a úpravu odpadů</w:t>
      </w:r>
      <w:r>
        <w:t>, kde příspěvek EU k 31. 12. 2020 dosáhl výše 3 947 mil. Kč, z toho 1 837 mil. Kč představovala podpora odděleného sběru odpadů a 1 476 mil. Kč podpora sběrných dvorů.</w:t>
      </w:r>
    </w:p>
    <w:p w14:paraId="53C46369" w14:textId="32E80D35" w:rsidR="003B70EB" w:rsidRDefault="000A5F6C" w:rsidP="003B70EB">
      <w:pPr>
        <w:pStyle w:val="TextKP"/>
      </w:pPr>
      <w:r>
        <w:t xml:space="preserve">Nejnižší příspěvek EU v rámci všech kontrolovaných podporovaných aktivit byl zjištěn </w:t>
      </w:r>
      <w:r w:rsidR="00154A1C">
        <w:br/>
      </w:r>
      <w:r w:rsidR="00EA4FE4">
        <w:t>u</w:t>
      </w:r>
      <w:r w:rsidR="00154A1C">
        <w:t xml:space="preserve"> </w:t>
      </w:r>
      <w:r>
        <w:t>podporované aktivit</w:t>
      </w:r>
      <w:r w:rsidR="00EA4FE4">
        <w:t>y</w:t>
      </w:r>
      <w:r>
        <w:t xml:space="preserve"> 3.1.2 </w:t>
      </w:r>
      <w:r w:rsidRPr="0046728D">
        <w:rPr>
          <w:i/>
        </w:rPr>
        <w:t>Předcházení vzniku průmyslových odpadů</w:t>
      </w:r>
      <w:r>
        <w:t xml:space="preserve">, </w:t>
      </w:r>
      <w:r w:rsidR="00EA4FE4">
        <w:t>tento příspěvek</w:t>
      </w:r>
      <w:r>
        <w:t xml:space="preserve"> </w:t>
      </w:r>
      <w:r w:rsidR="00EA4FE4">
        <w:t xml:space="preserve">dosáhl </w:t>
      </w:r>
      <w:r>
        <w:t xml:space="preserve">k 31. 12. 2020 výše 21 mil. Kč. V souvislosti s prevencí vzniku odpadů byl zájem </w:t>
      </w:r>
      <w:r w:rsidR="00154A1C">
        <w:br/>
      </w:r>
      <w:r>
        <w:t>o</w:t>
      </w:r>
      <w:r w:rsidR="00154A1C">
        <w:t xml:space="preserve"> </w:t>
      </w:r>
      <w:r>
        <w:t xml:space="preserve">podporu technologických změn snižujících produkci průmyslových odpadů minimální. Do konce roku 2020 čerpalo podporu ve třech </w:t>
      </w:r>
      <w:r w:rsidRPr="00D93E0B">
        <w:t xml:space="preserve">výzvách celkem 9 projektů. Podrobný přehled počtu realizovaných projektů a stavu čerpání příspěvku EU ke dni 31. 12. 2020 na základě členění, ve kterém projekty sleduje MŽP, je uveden v příloze č. </w:t>
      </w:r>
      <w:r w:rsidR="00AF61D1">
        <w:t>3</w:t>
      </w:r>
      <w:r w:rsidRPr="00D93E0B">
        <w:t xml:space="preserve"> </w:t>
      </w:r>
      <w:r w:rsidR="00360AAD">
        <w:t xml:space="preserve">tohoto </w:t>
      </w:r>
      <w:r w:rsidRPr="00D93E0B">
        <w:t>kontrolního závěru</w:t>
      </w:r>
      <w:r w:rsidRPr="00E110C4">
        <w:t>.</w:t>
      </w:r>
    </w:p>
    <w:p w14:paraId="3026A111" w14:textId="70886C50" w:rsidR="003B70EB" w:rsidRDefault="000A5F6C" w:rsidP="003B70EB">
      <w:pPr>
        <w:pStyle w:val="TextKP"/>
      </w:pPr>
      <w:r>
        <w:t xml:space="preserve">Pro hodnocení </w:t>
      </w:r>
      <w:r w:rsidR="00D47DDF">
        <w:t>naplňování cílů</w:t>
      </w:r>
      <w:r>
        <w:t xml:space="preserve"> OPŽP byly pro SC 3.1, 3.2 a 3.3 stanoveny a kvantifikovány konkrétní ukazatele výsledk</w:t>
      </w:r>
      <w:r w:rsidR="00EA4FE4">
        <w:t>u</w:t>
      </w:r>
      <w:r>
        <w:t xml:space="preserve"> a výstupu. </w:t>
      </w:r>
      <w:r w:rsidR="000E1B83">
        <w:t>Stanovené i</w:t>
      </w:r>
      <w:r>
        <w:t>ndikátor</w:t>
      </w:r>
      <w:r w:rsidR="000E1B83">
        <w:t>y</w:t>
      </w:r>
      <w:r>
        <w:t xml:space="preserve"> výstupu umožňuj</w:t>
      </w:r>
      <w:r w:rsidR="000E1B83">
        <w:t>í</w:t>
      </w:r>
      <w:r>
        <w:t xml:space="preserve"> vyjádřit přírůstek kapacity podpořených projektů. Výsledkové indikátory jsou na základě požadavku Evropské komise většinou načítány ze statistik. Použití statistických indikátorů</w:t>
      </w:r>
      <w:r w:rsidR="000E1B83">
        <w:t xml:space="preserve"> </w:t>
      </w:r>
      <w:r>
        <w:t>pro sledování a</w:t>
      </w:r>
      <w:r w:rsidR="000E1B83">
        <w:t> </w:t>
      </w:r>
      <w:r>
        <w:t xml:space="preserve">vykazování přínosu OPŽP </w:t>
      </w:r>
      <w:r w:rsidR="000E1B83">
        <w:t xml:space="preserve">se </w:t>
      </w:r>
      <w:r>
        <w:t>ukazuje jako problematické, jelikož u statistického vykazování není zohledňována přímá vazba na realizované projekty, ale vykazuje se hodnota za celou ČR</w:t>
      </w:r>
      <w:r w:rsidR="00BA2FAC">
        <w:t xml:space="preserve">, tj. </w:t>
      </w:r>
      <w:r w:rsidR="00A150D2">
        <w:t>zachycují</w:t>
      </w:r>
      <w:r w:rsidR="000E1B83">
        <w:t xml:space="preserve"> se</w:t>
      </w:r>
      <w:r w:rsidR="00BA2FAC">
        <w:t xml:space="preserve"> i skutečnosti, které neby</w:t>
      </w:r>
      <w:r w:rsidR="00A150D2">
        <w:t>ly předmětem podpory z OPŽP</w:t>
      </w:r>
      <w:r>
        <w:t>.</w:t>
      </w:r>
    </w:p>
    <w:p w14:paraId="54FDCE8F" w14:textId="326D88C1" w:rsidR="003B70EB" w:rsidRPr="00D93E0B" w:rsidRDefault="000A5F6C" w:rsidP="003B70EB">
      <w:pPr>
        <w:pStyle w:val="TextKP"/>
      </w:pPr>
      <w:r>
        <w:t xml:space="preserve">Indikátor výstupu 40101/C017 vykazující zvýšení kapacity pro recyklaci odpadů vykazoval </w:t>
      </w:r>
      <w:r w:rsidR="00154A1C">
        <w:br/>
      </w:r>
      <w:r>
        <w:t>ke</w:t>
      </w:r>
      <w:r w:rsidR="00EA4FE4">
        <w:t xml:space="preserve"> </w:t>
      </w:r>
      <w:r>
        <w:t>dni 31. 12. 2020 plnění prostřednictvím dosažené hodnoty ve výši 7,47 % a indikátor výstupu 40701 vykazující kapacitu nově vybudovaných nebo zmodernizovaných zařízení na</w:t>
      </w:r>
      <w:r w:rsidR="00EA4FE4">
        <w:t xml:space="preserve"> </w:t>
      </w:r>
      <w:r>
        <w:t>energetické využití ostatních odpadů vykazoval ke dni 31.</w:t>
      </w:r>
      <w:r w:rsidR="000F1A36">
        <w:t xml:space="preserve"> </w:t>
      </w:r>
      <w:r>
        <w:t>12.</w:t>
      </w:r>
      <w:r w:rsidR="000F1A36">
        <w:t xml:space="preserve"> </w:t>
      </w:r>
      <w:r>
        <w:t>2020 plnění prostřednictvím dosažené hodnoty ve</w:t>
      </w:r>
      <w:r w:rsidR="00EA4FE4">
        <w:t xml:space="preserve"> </w:t>
      </w:r>
      <w:r>
        <w:t xml:space="preserve">výši 1,20 %. Cílové hodnoty těchto indikátorů nebudou </w:t>
      </w:r>
      <w:r w:rsidR="00140FE1">
        <w:t>do</w:t>
      </w:r>
      <w:r>
        <w:t xml:space="preserve"> konc</w:t>
      </w:r>
      <w:r w:rsidR="00140FE1">
        <w:t>e</w:t>
      </w:r>
      <w:r>
        <w:t xml:space="preserve"> programového období </w:t>
      </w:r>
      <w:r w:rsidRPr="00D93E0B">
        <w:t xml:space="preserve">splněny. Přehled plnění všech </w:t>
      </w:r>
      <w:r w:rsidR="00140FE1">
        <w:t xml:space="preserve">kontrolovaných </w:t>
      </w:r>
      <w:r w:rsidRPr="00D93E0B">
        <w:t xml:space="preserve">výstupových </w:t>
      </w:r>
      <w:r w:rsidR="00154A1C">
        <w:br/>
      </w:r>
      <w:r w:rsidRPr="00D93E0B">
        <w:t>a</w:t>
      </w:r>
      <w:r w:rsidR="00154A1C">
        <w:t xml:space="preserve"> </w:t>
      </w:r>
      <w:r w:rsidRPr="00D93E0B">
        <w:t xml:space="preserve">výsledkových indikátorů ke dni 31. 12. 2020 je uveden v příloze č. </w:t>
      </w:r>
      <w:r w:rsidR="001774D3">
        <w:t>1</w:t>
      </w:r>
      <w:r w:rsidR="00140FE1">
        <w:t xml:space="preserve"> tohoto</w:t>
      </w:r>
      <w:r w:rsidRPr="00D93E0B">
        <w:t xml:space="preserve"> kontrolního</w:t>
      </w:r>
      <w:r w:rsidR="00E110C4" w:rsidRPr="00D93E0B">
        <w:t xml:space="preserve"> závěru</w:t>
      </w:r>
      <w:r w:rsidRPr="00D93E0B">
        <w:t>.</w:t>
      </w:r>
    </w:p>
    <w:p w14:paraId="27EA256F" w14:textId="77777777" w:rsidR="003B70EB" w:rsidRPr="0046728D" w:rsidRDefault="000A5F6C" w:rsidP="003B70EB">
      <w:pPr>
        <w:pStyle w:val="TextKP"/>
        <w:rPr>
          <w:b/>
          <w:i/>
        </w:rPr>
      </w:pPr>
      <w:r w:rsidRPr="0046728D">
        <w:rPr>
          <w:b/>
          <w:i/>
        </w:rPr>
        <w:t>Národní program Životní prostředí</w:t>
      </w:r>
    </w:p>
    <w:p w14:paraId="5CAAD2DD" w14:textId="2A29A4AF" w:rsidR="003B70EB" w:rsidRDefault="000A5F6C" w:rsidP="003B70EB">
      <w:pPr>
        <w:pStyle w:val="TextKP"/>
        <w:rPr>
          <w:color w:val="000000"/>
          <w:lang w:eastAsia="cs-CZ"/>
        </w:rPr>
      </w:pPr>
      <w:r w:rsidRPr="00D93E0B">
        <w:rPr>
          <w:color w:val="000000"/>
          <w:lang w:eastAsia="cs-CZ"/>
        </w:rPr>
        <w:t xml:space="preserve">NPŽP byl financován z prostředků SFŽP. Přehled příjmů SFŽP v oblasti odpadů je uveden </w:t>
      </w:r>
      <w:r w:rsidR="0070682D">
        <w:rPr>
          <w:color w:val="000000"/>
          <w:lang w:eastAsia="cs-CZ"/>
        </w:rPr>
        <w:br/>
      </w:r>
      <w:r w:rsidRPr="00D93E0B">
        <w:rPr>
          <w:color w:val="000000"/>
          <w:lang w:eastAsia="cs-CZ"/>
        </w:rPr>
        <w:t>v</w:t>
      </w:r>
      <w:r w:rsidR="0070682D">
        <w:rPr>
          <w:color w:val="000000"/>
          <w:lang w:eastAsia="cs-CZ"/>
        </w:rPr>
        <w:t xml:space="preserve"> </w:t>
      </w:r>
      <w:r w:rsidRPr="00D93E0B">
        <w:rPr>
          <w:color w:val="000000"/>
          <w:lang w:eastAsia="cs-CZ"/>
        </w:rPr>
        <w:t xml:space="preserve">tabulce č. </w:t>
      </w:r>
      <w:r w:rsidR="00E110C4" w:rsidRPr="00D93E0B">
        <w:rPr>
          <w:color w:val="000000"/>
          <w:lang w:eastAsia="cs-CZ"/>
        </w:rPr>
        <w:t>2</w:t>
      </w:r>
      <w:r w:rsidRPr="00D93E0B">
        <w:rPr>
          <w:color w:val="000000"/>
          <w:lang w:eastAsia="cs-CZ"/>
        </w:rPr>
        <w:t xml:space="preserve">. Největší část příjmů SFŽP v oblasti odpadů tvořily v letech 2018 až 2020 </w:t>
      </w:r>
      <w:r w:rsidR="00FC3B2F">
        <w:rPr>
          <w:color w:val="000000"/>
          <w:lang w:eastAsia="cs-CZ"/>
        </w:rPr>
        <w:t>„</w:t>
      </w:r>
      <w:r w:rsidRPr="00D93E0B">
        <w:rPr>
          <w:color w:val="000000"/>
          <w:lang w:eastAsia="cs-CZ"/>
        </w:rPr>
        <w:t>poplatky na podporu</w:t>
      </w:r>
      <w:r w:rsidR="00EF6014" w:rsidRPr="00EF6014">
        <w:t xml:space="preserve"> </w:t>
      </w:r>
      <w:r w:rsidR="00EF6014" w:rsidRPr="00EF6014">
        <w:rPr>
          <w:color w:val="000000"/>
          <w:lang w:eastAsia="cs-CZ"/>
        </w:rPr>
        <w:t>sběru, zpracování, využití a odstranění vybraných</w:t>
      </w:r>
      <w:r w:rsidRPr="00D93E0B">
        <w:rPr>
          <w:color w:val="000000"/>
          <w:lang w:eastAsia="cs-CZ"/>
        </w:rPr>
        <w:t xml:space="preserve"> autovraků</w:t>
      </w:r>
      <w:r w:rsidR="00FC3B2F">
        <w:rPr>
          <w:color w:val="000000"/>
          <w:lang w:eastAsia="cs-CZ"/>
        </w:rPr>
        <w:t>“</w:t>
      </w:r>
      <w:r w:rsidRPr="00D553B2">
        <w:rPr>
          <w:color w:val="000000"/>
          <w:lang w:eastAsia="cs-CZ"/>
        </w:rPr>
        <w:t xml:space="preserve"> vybírané </w:t>
      </w:r>
      <w:r w:rsidR="0070682D">
        <w:rPr>
          <w:color w:val="000000"/>
          <w:lang w:eastAsia="cs-CZ"/>
        </w:rPr>
        <w:br/>
      </w:r>
      <w:r w:rsidRPr="00D553B2">
        <w:rPr>
          <w:color w:val="000000"/>
          <w:lang w:eastAsia="cs-CZ"/>
        </w:rPr>
        <w:t>v</w:t>
      </w:r>
      <w:r w:rsidR="0070682D">
        <w:rPr>
          <w:color w:val="000000"/>
          <w:lang w:eastAsia="cs-CZ"/>
        </w:rPr>
        <w:t xml:space="preserve"> </w:t>
      </w:r>
      <w:r w:rsidRPr="00D553B2">
        <w:rPr>
          <w:color w:val="000000"/>
          <w:lang w:eastAsia="cs-CZ"/>
        </w:rPr>
        <w:t>kontrolovaném období na základě zákona o odpadech (420,8 mil. Kč). Druhou</w:t>
      </w:r>
      <w:r w:rsidR="004F27D2">
        <w:rPr>
          <w:color w:val="000000"/>
          <w:lang w:eastAsia="cs-CZ"/>
        </w:rPr>
        <w:t xml:space="preserve"> </w:t>
      </w:r>
      <w:r w:rsidRPr="00D553B2">
        <w:rPr>
          <w:color w:val="000000"/>
          <w:lang w:eastAsia="cs-CZ"/>
        </w:rPr>
        <w:lastRenderedPageBreak/>
        <w:t xml:space="preserve">nejvýznamnější položkou </w:t>
      </w:r>
      <w:r w:rsidR="00E61C4B">
        <w:rPr>
          <w:color w:val="000000"/>
          <w:lang w:eastAsia="cs-CZ"/>
        </w:rPr>
        <w:t xml:space="preserve">příjmů </w:t>
      </w:r>
      <w:r w:rsidRPr="00D553B2">
        <w:rPr>
          <w:color w:val="000000"/>
          <w:lang w:eastAsia="cs-CZ"/>
        </w:rPr>
        <w:t xml:space="preserve">byly </w:t>
      </w:r>
      <w:r w:rsidR="00E61C4B">
        <w:rPr>
          <w:color w:val="000000"/>
          <w:lang w:eastAsia="cs-CZ"/>
        </w:rPr>
        <w:t>poplatky</w:t>
      </w:r>
      <w:r w:rsidRPr="00D553B2">
        <w:rPr>
          <w:color w:val="000000"/>
          <w:lang w:eastAsia="cs-CZ"/>
        </w:rPr>
        <w:t xml:space="preserve"> za ukládání nebezpečných odpadů na skládky (72,</w:t>
      </w:r>
      <w:r>
        <w:rPr>
          <w:color w:val="000000"/>
          <w:lang w:eastAsia="cs-CZ"/>
        </w:rPr>
        <w:t>9</w:t>
      </w:r>
      <w:r w:rsidR="00EA4FE4">
        <w:rPr>
          <w:color w:val="000000"/>
          <w:lang w:eastAsia="cs-CZ"/>
        </w:rPr>
        <w:t> </w:t>
      </w:r>
      <w:r w:rsidRPr="00D553B2">
        <w:rPr>
          <w:color w:val="000000"/>
          <w:lang w:eastAsia="cs-CZ"/>
        </w:rPr>
        <w:t>mil.</w:t>
      </w:r>
      <w:r w:rsidR="00EA4FE4">
        <w:rPr>
          <w:color w:val="000000"/>
          <w:lang w:eastAsia="cs-CZ"/>
        </w:rPr>
        <w:t> </w:t>
      </w:r>
      <w:r w:rsidRPr="00D553B2">
        <w:rPr>
          <w:color w:val="000000"/>
          <w:lang w:eastAsia="cs-CZ"/>
        </w:rPr>
        <w:t>Kč). Dále SFŽP náležely příjmy z registračních a</w:t>
      </w:r>
      <w:r w:rsidR="0066783C">
        <w:rPr>
          <w:color w:val="000000"/>
          <w:lang w:eastAsia="cs-CZ"/>
        </w:rPr>
        <w:t xml:space="preserve"> </w:t>
      </w:r>
      <w:r w:rsidRPr="00D553B2">
        <w:rPr>
          <w:color w:val="000000"/>
          <w:lang w:eastAsia="cs-CZ"/>
        </w:rPr>
        <w:t>evidenčních poplatků vybíraných na</w:t>
      </w:r>
      <w:r w:rsidR="0066783C">
        <w:rPr>
          <w:color w:val="000000"/>
          <w:lang w:eastAsia="cs-CZ"/>
        </w:rPr>
        <w:t xml:space="preserve"> </w:t>
      </w:r>
      <w:r w:rsidRPr="00D553B2">
        <w:rPr>
          <w:color w:val="000000"/>
          <w:lang w:eastAsia="cs-CZ"/>
        </w:rPr>
        <w:t>základě zákona o obalech a příjmy z pokut uložených Českou inspekcí životního prostředí</w:t>
      </w:r>
      <w:r>
        <w:rPr>
          <w:color w:val="000000"/>
          <w:lang w:eastAsia="cs-CZ"/>
        </w:rPr>
        <w:t xml:space="preserve"> (dále také „ČIŽP“)</w:t>
      </w:r>
      <w:r w:rsidRPr="00D553B2">
        <w:rPr>
          <w:color w:val="000000"/>
          <w:lang w:eastAsia="cs-CZ"/>
        </w:rPr>
        <w:t xml:space="preserve"> či</w:t>
      </w:r>
      <w:r w:rsidR="0066783C">
        <w:rPr>
          <w:color w:val="000000"/>
          <w:lang w:eastAsia="cs-CZ"/>
        </w:rPr>
        <w:t xml:space="preserve"> </w:t>
      </w:r>
      <w:r w:rsidRPr="00D553B2">
        <w:rPr>
          <w:color w:val="000000"/>
          <w:lang w:eastAsia="cs-CZ"/>
        </w:rPr>
        <w:t>obcemi s rozšířenou působností</w:t>
      </w:r>
      <w:r>
        <w:rPr>
          <w:color w:val="000000"/>
          <w:lang w:eastAsia="cs-CZ"/>
        </w:rPr>
        <w:t xml:space="preserve"> (dále</w:t>
      </w:r>
      <w:r w:rsidR="0066783C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také „ORP“) v</w:t>
      </w:r>
      <w:r w:rsidR="00FC3B2F">
        <w:rPr>
          <w:color w:val="000000"/>
          <w:lang w:eastAsia="cs-CZ"/>
        </w:rPr>
        <w:t xml:space="preserve"> celkové </w:t>
      </w:r>
      <w:r>
        <w:rPr>
          <w:color w:val="000000"/>
          <w:lang w:eastAsia="cs-CZ"/>
        </w:rPr>
        <w:t>výši</w:t>
      </w:r>
      <w:r w:rsidRPr="00D553B2">
        <w:rPr>
          <w:color w:val="000000"/>
          <w:lang w:eastAsia="cs-CZ"/>
        </w:rPr>
        <w:t xml:space="preserve"> 84,2</w:t>
      </w:r>
      <w:r w:rsidR="00FE4195">
        <w:rPr>
          <w:color w:val="000000"/>
          <w:lang w:eastAsia="cs-CZ"/>
        </w:rPr>
        <w:t> </w:t>
      </w:r>
      <w:r w:rsidRPr="00D553B2">
        <w:rPr>
          <w:color w:val="000000"/>
          <w:lang w:eastAsia="cs-CZ"/>
        </w:rPr>
        <w:t>mil.</w:t>
      </w:r>
      <w:r w:rsidR="00FE4195">
        <w:rPr>
          <w:color w:val="000000"/>
          <w:lang w:eastAsia="cs-CZ"/>
        </w:rPr>
        <w:t> </w:t>
      </w:r>
      <w:r w:rsidRPr="00D553B2">
        <w:rPr>
          <w:color w:val="000000"/>
          <w:lang w:eastAsia="cs-CZ"/>
        </w:rPr>
        <w:t>Kč.</w:t>
      </w:r>
    </w:p>
    <w:p w14:paraId="20684353" w14:textId="525755FB" w:rsidR="003B70EB" w:rsidRPr="00F04F59" w:rsidRDefault="000A5F6C" w:rsidP="0046728D">
      <w:pPr>
        <w:pStyle w:val="Titulek"/>
        <w:tabs>
          <w:tab w:val="right" w:pos="9072"/>
        </w:tabs>
        <w:rPr>
          <w:color w:val="000000"/>
          <w:lang w:eastAsia="cs-CZ"/>
        </w:rPr>
      </w:pPr>
      <w:r>
        <w:t xml:space="preserve">Tabulka č. </w:t>
      </w:r>
      <w:r w:rsidR="00F27D96">
        <w:fldChar w:fldCharType="begin"/>
      </w:r>
      <w:r w:rsidR="00F27D96">
        <w:instrText xml:space="preserve"> SEQ Tabulka_č. \* ARABIC </w:instrText>
      </w:r>
      <w:r w:rsidR="00F27D96">
        <w:fldChar w:fldCharType="separate"/>
      </w:r>
      <w:r w:rsidR="00F27D96">
        <w:rPr>
          <w:noProof/>
        </w:rPr>
        <w:t>2</w:t>
      </w:r>
      <w:r w:rsidR="00F27D96">
        <w:rPr>
          <w:noProof/>
        </w:rPr>
        <w:fldChar w:fldCharType="end"/>
      </w:r>
      <w:r w:rsidRPr="006530CE">
        <w:rPr>
          <w:color w:val="000000"/>
          <w:lang w:eastAsia="cs-CZ"/>
        </w:rPr>
        <w:t>:</w:t>
      </w:r>
      <w:r>
        <w:rPr>
          <w:color w:val="000000"/>
          <w:lang w:eastAsia="cs-CZ"/>
        </w:rPr>
        <w:t xml:space="preserve"> </w:t>
      </w:r>
      <w:r w:rsidRPr="006530CE">
        <w:rPr>
          <w:color w:val="000000"/>
          <w:lang w:eastAsia="cs-CZ"/>
        </w:rPr>
        <w:t>Přehled příjmů SFŽP související</w:t>
      </w:r>
      <w:r w:rsidR="00FC3B2F">
        <w:rPr>
          <w:color w:val="000000"/>
          <w:lang w:eastAsia="cs-CZ"/>
        </w:rPr>
        <w:t>ch</w:t>
      </w:r>
      <w:r w:rsidRPr="006530CE">
        <w:rPr>
          <w:color w:val="000000"/>
          <w:lang w:eastAsia="cs-CZ"/>
        </w:rPr>
        <w:t xml:space="preserve"> s odpadovým hospodářstvím</w:t>
      </w:r>
      <w:r>
        <w:rPr>
          <w:color w:val="000000"/>
          <w:lang w:eastAsia="cs-CZ"/>
        </w:rPr>
        <w:tab/>
      </w:r>
      <w:r w:rsidRPr="006530CE">
        <w:rPr>
          <w:color w:val="000000"/>
          <w:lang w:eastAsia="cs-CZ"/>
        </w:rPr>
        <w:t>(v mil. Kč)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973"/>
        <w:gridCol w:w="973"/>
        <w:gridCol w:w="975"/>
        <w:gridCol w:w="1042"/>
      </w:tblGrid>
      <w:tr w:rsidR="00FF1BC7" w14:paraId="461AA0BA" w14:textId="77777777" w:rsidTr="0046728D">
        <w:trPr>
          <w:trHeight w:val="290"/>
        </w:trPr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AEB953A" w14:textId="77777777" w:rsidR="003B70EB" w:rsidRPr="006530CE" w:rsidRDefault="000A5F6C" w:rsidP="000802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Druh poplatku, resp. příjmu SFŽP</w:t>
            </w:r>
          </w:p>
        </w:tc>
        <w:tc>
          <w:tcPr>
            <w:tcW w:w="1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AC8B641" w14:textId="77777777" w:rsidR="003B70EB" w:rsidRPr="006530CE" w:rsidRDefault="000A5F6C" w:rsidP="000802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Období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1048979" w14:textId="77777777" w:rsidR="003B70EB" w:rsidRPr="006530CE" w:rsidRDefault="000A5F6C" w:rsidP="000802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 za období</w:t>
            </w:r>
          </w:p>
        </w:tc>
      </w:tr>
      <w:tr w:rsidR="00FF1BC7" w14:paraId="34605A10" w14:textId="77777777" w:rsidTr="0046728D">
        <w:trPr>
          <w:trHeight w:val="290"/>
        </w:trPr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DB23" w14:textId="77777777" w:rsidR="003B70EB" w:rsidRPr="006530CE" w:rsidRDefault="003B70EB" w:rsidP="0008025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7FD8" w14:textId="77777777" w:rsidR="003B70EB" w:rsidRPr="006530CE" w:rsidRDefault="000A5F6C" w:rsidP="000802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48CE" w14:textId="77777777" w:rsidR="003B70EB" w:rsidRPr="006530CE" w:rsidRDefault="000A5F6C" w:rsidP="000802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B751" w14:textId="77777777" w:rsidR="003B70EB" w:rsidRPr="006530CE" w:rsidRDefault="000A5F6C" w:rsidP="000802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65E9" w14:textId="77777777" w:rsidR="003B70EB" w:rsidRPr="006530CE" w:rsidRDefault="003B70EB" w:rsidP="0008025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FF1BC7" w14:paraId="0DC0D908" w14:textId="77777777" w:rsidTr="0046728D">
        <w:trPr>
          <w:trHeight w:val="2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D70D" w14:textId="3E14CE50" w:rsidR="003B70EB" w:rsidRPr="006530CE" w:rsidRDefault="000A5F6C" w:rsidP="0008025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Riziková složka </w:t>
            </w:r>
            <w:r w:rsidR="00E61C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poplatku </w:t>
            </w: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(§ 48 zákona č. 185/2001 Sb.)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F341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20,81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BCE3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23,39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13C0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28,66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8AEF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72,86</w:t>
            </w:r>
          </w:p>
        </w:tc>
      </w:tr>
      <w:tr w:rsidR="00FF1BC7" w14:paraId="4AA31553" w14:textId="77777777" w:rsidTr="0046728D">
        <w:trPr>
          <w:trHeight w:val="2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B217" w14:textId="4DB629CC" w:rsidR="003B70EB" w:rsidRPr="006530CE" w:rsidRDefault="000A5F6C" w:rsidP="0008025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Pokuty uložené </w:t>
            </w:r>
            <w:r w:rsidR="00E61C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strany </w:t>
            </w: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ČIŽP a ORP (§ 68 zákona č. 185/2001 Sb.)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0050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11,51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BC62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12,24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9B60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8,41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5F4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32,16</w:t>
            </w:r>
          </w:p>
        </w:tc>
      </w:tr>
      <w:tr w:rsidR="00FF1BC7" w14:paraId="3DE9571A" w14:textId="77777777" w:rsidTr="0046728D">
        <w:trPr>
          <w:trHeight w:val="2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FDFC" w14:textId="77777777" w:rsidR="003B70EB" w:rsidRPr="006530CE" w:rsidRDefault="000A5F6C" w:rsidP="0008025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Registrační a evidenční poplatky (§ 30 zákona č. 477/2001 Sb.)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9332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17,31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DFAC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17,35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A2A6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17,42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9FD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52,08</w:t>
            </w:r>
          </w:p>
        </w:tc>
      </w:tr>
      <w:tr w:rsidR="00FF1BC7" w14:paraId="57B02F99" w14:textId="77777777" w:rsidTr="0046728D">
        <w:trPr>
          <w:trHeight w:val="2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5245" w14:textId="3F3BB452" w:rsidR="003B70EB" w:rsidRPr="006530CE" w:rsidRDefault="000A5F6C" w:rsidP="0008025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Poplatky </w:t>
            </w:r>
            <w:r w:rsidR="00C11C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 </w:t>
            </w:r>
            <w:r w:rsidR="002A56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likvidaci</w:t>
            </w: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autovraků (§ 37e zákona č. 185/2001 Sb.)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E208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170,77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12E4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139,49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8154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110,54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5ED0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420,80</w:t>
            </w:r>
          </w:p>
        </w:tc>
      </w:tr>
      <w:tr w:rsidR="00FF1BC7" w14:paraId="6C58096A" w14:textId="77777777" w:rsidTr="0046728D">
        <w:trPr>
          <w:trHeight w:val="290"/>
        </w:trPr>
        <w:tc>
          <w:tcPr>
            <w:tcW w:w="2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8DA" w14:textId="77777777" w:rsidR="003B70EB" w:rsidRPr="006530CE" w:rsidRDefault="000A5F6C" w:rsidP="0008025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D59F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220,40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7F9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192,47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4B73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165,03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6A1F" w14:textId="77777777" w:rsidR="003B70EB" w:rsidRPr="006530CE" w:rsidRDefault="000A5F6C" w:rsidP="0008025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3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577,90</w:t>
            </w:r>
          </w:p>
        </w:tc>
      </w:tr>
    </w:tbl>
    <w:p w14:paraId="086E25C4" w14:textId="77777777" w:rsidR="003B70EB" w:rsidRPr="0046728D" w:rsidRDefault="000A5F6C" w:rsidP="00641492">
      <w:pPr>
        <w:pStyle w:val="Zdrojeapozn"/>
        <w:rPr>
          <w:b w:val="0"/>
        </w:rPr>
      </w:pPr>
      <w:r w:rsidRPr="006530CE">
        <w:t>Zdroj:</w:t>
      </w:r>
      <w:r w:rsidRPr="00892907">
        <w:t xml:space="preserve"> </w:t>
      </w:r>
      <w:r w:rsidRPr="0046728D">
        <w:rPr>
          <w:b w:val="0"/>
        </w:rPr>
        <w:t>SFŽP</w:t>
      </w:r>
      <w:r w:rsidR="00E110C4" w:rsidRPr="0046728D">
        <w:rPr>
          <w:b w:val="0"/>
        </w:rPr>
        <w:t>.</w:t>
      </w:r>
    </w:p>
    <w:p w14:paraId="04AB863B" w14:textId="66228A99" w:rsidR="003B70EB" w:rsidRDefault="000A5F6C" w:rsidP="003B70EB">
      <w:pPr>
        <w:pStyle w:val="TextKP"/>
        <w:rPr>
          <w:color w:val="000000"/>
          <w:lang w:eastAsia="cs-CZ"/>
        </w:rPr>
      </w:pPr>
      <w:r w:rsidRPr="002A56E5">
        <w:rPr>
          <w:color w:val="000000"/>
          <w:lang w:eastAsia="cs-CZ"/>
        </w:rPr>
        <w:t>Příjmy SFŽP</w:t>
      </w:r>
      <w:r w:rsidR="0066783C" w:rsidRPr="002A56E5">
        <w:rPr>
          <w:color w:val="000000"/>
          <w:lang w:eastAsia="cs-CZ"/>
        </w:rPr>
        <w:t xml:space="preserve"> </w:t>
      </w:r>
      <w:r w:rsidR="00EF6014" w:rsidRPr="002A56E5">
        <w:rPr>
          <w:color w:val="000000"/>
          <w:lang w:eastAsia="cs-CZ"/>
        </w:rPr>
        <w:t xml:space="preserve">v </w:t>
      </w:r>
      <w:r w:rsidRPr="002A56E5">
        <w:rPr>
          <w:color w:val="000000"/>
          <w:lang w:eastAsia="cs-CZ"/>
        </w:rPr>
        <w:t>oblasti</w:t>
      </w:r>
      <w:r>
        <w:rPr>
          <w:color w:val="000000"/>
          <w:lang w:eastAsia="cs-CZ"/>
        </w:rPr>
        <w:t xml:space="preserve"> odpadů nebyly v kontrolovaném období účelově vázány, </w:t>
      </w:r>
      <w:r w:rsidRPr="00D553B2">
        <w:rPr>
          <w:color w:val="000000"/>
          <w:lang w:eastAsia="cs-CZ"/>
        </w:rPr>
        <w:t>ačkoli</w:t>
      </w:r>
      <w:r w:rsidR="009A608D">
        <w:rPr>
          <w:color w:val="000000"/>
          <w:lang w:eastAsia="cs-CZ"/>
        </w:rPr>
        <w:t xml:space="preserve"> směrná část</w:t>
      </w:r>
      <w:r w:rsidRPr="00D553B2">
        <w:rPr>
          <w:color w:val="000000"/>
          <w:lang w:eastAsia="cs-CZ"/>
        </w:rPr>
        <w:t xml:space="preserve"> POH </w:t>
      </w:r>
      <w:r w:rsidR="002A56E5">
        <w:rPr>
          <w:color w:val="000000"/>
          <w:lang w:eastAsia="cs-CZ"/>
        </w:rPr>
        <w:t>i</w:t>
      </w:r>
      <w:r w:rsidR="0066783C">
        <w:rPr>
          <w:color w:val="000000"/>
          <w:lang w:eastAsia="cs-CZ"/>
        </w:rPr>
        <w:t xml:space="preserve"> </w:t>
      </w:r>
      <w:r w:rsidRPr="0046728D">
        <w:rPr>
          <w:i/>
          <w:color w:val="000000"/>
          <w:lang w:eastAsia="cs-CZ"/>
        </w:rPr>
        <w:t>Státní energetická koncepce</w:t>
      </w:r>
      <w:r w:rsidRPr="00D10D1D">
        <w:rPr>
          <w:color w:val="000000"/>
          <w:lang w:eastAsia="cs-CZ"/>
        </w:rPr>
        <w:t xml:space="preserve"> požadovaly</w:t>
      </w:r>
      <w:r w:rsidRPr="00D553B2">
        <w:rPr>
          <w:color w:val="000000"/>
          <w:lang w:eastAsia="cs-CZ"/>
        </w:rPr>
        <w:t>, aby bylo zajištěno, že</w:t>
      </w:r>
      <w:r w:rsidR="0066783C">
        <w:rPr>
          <w:color w:val="000000"/>
          <w:lang w:eastAsia="cs-CZ"/>
        </w:rPr>
        <w:t xml:space="preserve"> </w:t>
      </w:r>
      <w:r w:rsidRPr="00D553B2">
        <w:rPr>
          <w:color w:val="000000"/>
          <w:lang w:eastAsia="cs-CZ"/>
        </w:rPr>
        <w:t>finanční prostředky získané z</w:t>
      </w:r>
      <w:r w:rsidR="00756509">
        <w:rPr>
          <w:color w:val="000000"/>
          <w:lang w:eastAsia="cs-CZ"/>
        </w:rPr>
        <w:t> </w:t>
      </w:r>
      <w:r w:rsidRPr="00D553B2">
        <w:rPr>
          <w:color w:val="000000"/>
          <w:lang w:eastAsia="cs-CZ"/>
        </w:rPr>
        <w:t>poplatku za skládkování budou využity na rozvoj odpadového hospodářství v</w:t>
      </w:r>
      <w:r w:rsidR="00A150D2">
        <w:rPr>
          <w:color w:val="000000"/>
          <w:lang w:eastAsia="cs-CZ"/>
        </w:rPr>
        <w:t> </w:t>
      </w:r>
      <w:r w:rsidRPr="00D553B2">
        <w:rPr>
          <w:color w:val="000000"/>
          <w:lang w:eastAsia="cs-CZ"/>
        </w:rPr>
        <w:t>ČR</w:t>
      </w:r>
      <w:r w:rsidR="00A150D2">
        <w:rPr>
          <w:color w:val="000000"/>
          <w:lang w:eastAsia="cs-CZ"/>
        </w:rPr>
        <w:t>, což</w:t>
      </w:r>
      <w:r w:rsidR="002A56E5">
        <w:rPr>
          <w:color w:val="000000"/>
          <w:lang w:eastAsia="cs-CZ"/>
        </w:rPr>
        <w:t xml:space="preserve"> </w:t>
      </w:r>
      <w:r w:rsidR="00A150D2">
        <w:rPr>
          <w:color w:val="000000"/>
          <w:lang w:eastAsia="cs-CZ"/>
        </w:rPr>
        <w:t>mělo dle uvedených strategických dokumentů zajistit MŽP</w:t>
      </w:r>
      <w:r>
        <w:rPr>
          <w:color w:val="000000"/>
          <w:lang w:eastAsia="cs-CZ"/>
        </w:rPr>
        <w:t>.</w:t>
      </w:r>
    </w:p>
    <w:p w14:paraId="4349377C" w14:textId="2B616A50" w:rsidR="00F54A8B" w:rsidRDefault="000A5F6C" w:rsidP="003B70EB">
      <w:pPr>
        <w:pStyle w:val="TextKP"/>
        <w:rPr>
          <w:color w:val="000000"/>
          <w:lang w:eastAsia="cs-CZ"/>
        </w:rPr>
      </w:pPr>
      <w:r>
        <w:rPr>
          <w:color w:val="000000"/>
          <w:lang w:eastAsia="cs-CZ"/>
        </w:rPr>
        <w:t>NKÚ zji</w:t>
      </w:r>
      <w:r w:rsidR="00674E42">
        <w:rPr>
          <w:color w:val="000000"/>
          <w:lang w:eastAsia="cs-CZ"/>
        </w:rPr>
        <w:t>stil</w:t>
      </w:r>
      <w:r>
        <w:rPr>
          <w:color w:val="000000"/>
          <w:lang w:eastAsia="cs-CZ"/>
        </w:rPr>
        <w:t>, že v</w:t>
      </w:r>
      <w:r w:rsidRPr="00D553B2">
        <w:rPr>
          <w:color w:val="000000"/>
          <w:lang w:eastAsia="cs-CZ"/>
        </w:rPr>
        <w:t xml:space="preserve"> rámci </w:t>
      </w:r>
      <w:r>
        <w:rPr>
          <w:color w:val="000000"/>
          <w:lang w:eastAsia="cs-CZ"/>
        </w:rPr>
        <w:t xml:space="preserve">3. prioritní oblasti </w:t>
      </w:r>
      <w:r w:rsidRPr="00D553B2">
        <w:rPr>
          <w:color w:val="000000"/>
          <w:lang w:eastAsia="cs-CZ"/>
        </w:rPr>
        <w:t>NPŽP</w:t>
      </w:r>
      <w:r>
        <w:rPr>
          <w:color w:val="000000"/>
          <w:lang w:eastAsia="cs-CZ"/>
        </w:rPr>
        <w:t xml:space="preserve"> bylo proplaceno z prostředků SFŽP příjemcům dotace v</w:t>
      </w:r>
      <w:r w:rsidRPr="00D553B2">
        <w:rPr>
          <w:color w:val="000000"/>
          <w:lang w:eastAsia="cs-CZ"/>
        </w:rPr>
        <w:t xml:space="preserve"> letech 2018 až 2020 </w:t>
      </w:r>
      <w:r>
        <w:rPr>
          <w:color w:val="000000"/>
          <w:lang w:eastAsia="cs-CZ"/>
        </w:rPr>
        <w:t xml:space="preserve">na </w:t>
      </w:r>
      <w:r w:rsidRPr="00D553B2">
        <w:rPr>
          <w:color w:val="000000"/>
          <w:lang w:eastAsia="cs-CZ"/>
        </w:rPr>
        <w:t>materiálové využívání autovraků 75</w:t>
      </w:r>
      <w:r>
        <w:rPr>
          <w:color w:val="000000"/>
          <w:lang w:eastAsia="cs-CZ"/>
        </w:rPr>
        <w:t xml:space="preserve">,2 mil. Kč a na </w:t>
      </w:r>
      <w:r w:rsidRPr="00D553B2">
        <w:rPr>
          <w:color w:val="000000"/>
          <w:lang w:eastAsia="cs-CZ"/>
        </w:rPr>
        <w:t>ekologické</w:t>
      </w:r>
      <w:r>
        <w:rPr>
          <w:color w:val="000000"/>
          <w:lang w:eastAsia="cs-CZ"/>
        </w:rPr>
        <w:t xml:space="preserve"> </w:t>
      </w:r>
      <w:r w:rsidRPr="00D553B2">
        <w:rPr>
          <w:color w:val="000000"/>
          <w:lang w:eastAsia="cs-CZ"/>
        </w:rPr>
        <w:t>odstraňování černých skládek</w:t>
      </w:r>
      <w:r>
        <w:rPr>
          <w:color w:val="000000"/>
          <w:lang w:eastAsia="cs-CZ"/>
        </w:rPr>
        <w:t xml:space="preserve"> a nelegálních skladů</w:t>
      </w:r>
      <w:r w:rsidRPr="00D553B2">
        <w:rPr>
          <w:color w:val="000000"/>
          <w:lang w:eastAsia="cs-CZ"/>
        </w:rPr>
        <w:t xml:space="preserve"> 48</w:t>
      </w:r>
      <w:r>
        <w:rPr>
          <w:color w:val="000000"/>
          <w:lang w:eastAsia="cs-CZ"/>
        </w:rPr>
        <w:t>,</w:t>
      </w:r>
      <w:r w:rsidRPr="00D553B2">
        <w:rPr>
          <w:color w:val="000000"/>
          <w:lang w:eastAsia="cs-CZ"/>
        </w:rPr>
        <w:t>3</w:t>
      </w:r>
      <w:r>
        <w:rPr>
          <w:color w:val="000000"/>
          <w:lang w:eastAsia="cs-CZ"/>
        </w:rPr>
        <w:t xml:space="preserve"> mil. </w:t>
      </w:r>
      <w:r w:rsidRPr="00D553B2">
        <w:rPr>
          <w:color w:val="000000"/>
          <w:lang w:eastAsia="cs-CZ"/>
        </w:rPr>
        <w:t>Kč.</w:t>
      </w:r>
      <w:r>
        <w:rPr>
          <w:color w:val="000000"/>
          <w:lang w:eastAsia="cs-CZ"/>
        </w:rPr>
        <w:t xml:space="preserve"> O</w:t>
      </w:r>
      <w:r w:rsidRPr="00E813BF">
        <w:rPr>
          <w:color w:val="000000"/>
          <w:lang w:eastAsia="cs-CZ"/>
        </w:rPr>
        <w:t xml:space="preserve">d počátku vyhlašování výzev v rámci NPŽP </w:t>
      </w:r>
      <w:r>
        <w:rPr>
          <w:color w:val="000000"/>
          <w:lang w:eastAsia="cs-CZ"/>
        </w:rPr>
        <w:t xml:space="preserve">však nebyla </w:t>
      </w:r>
      <w:r w:rsidRPr="00E813BF">
        <w:rPr>
          <w:color w:val="000000"/>
          <w:lang w:eastAsia="cs-CZ"/>
        </w:rPr>
        <w:t>vyhlášena ani</w:t>
      </w:r>
      <w:r w:rsidR="00674E42">
        <w:rPr>
          <w:color w:val="000000"/>
          <w:lang w:eastAsia="cs-CZ"/>
        </w:rPr>
        <w:t xml:space="preserve"> </w:t>
      </w:r>
      <w:r w:rsidRPr="00E813BF">
        <w:rPr>
          <w:color w:val="000000"/>
          <w:lang w:eastAsia="cs-CZ"/>
        </w:rPr>
        <w:t xml:space="preserve">jedna výzva </w:t>
      </w:r>
      <w:r>
        <w:rPr>
          <w:color w:val="000000"/>
          <w:lang w:eastAsia="cs-CZ"/>
        </w:rPr>
        <w:t>na p</w:t>
      </w:r>
      <w:r w:rsidRPr="00E813BF">
        <w:rPr>
          <w:color w:val="000000"/>
          <w:lang w:eastAsia="cs-CZ"/>
        </w:rPr>
        <w:t>ředcházení vzniku odpadů</w:t>
      </w:r>
      <w:r>
        <w:rPr>
          <w:color w:val="000000"/>
          <w:lang w:eastAsia="cs-CZ"/>
        </w:rPr>
        <w:t xml:space="preserve">, </w:t>
      </w:r>
      <w:r w:rsidRPr="00D553B2">
        <w:rPr>
          <w:color w:val="000000"/>
          <w:lang w:eastAsia="cs-CZ"/>
        </w:rPr>
        <w:t xml:space="preserve">ačkoliv </w:t>
      </w:r>
      <w:r w:rsidR="00C43F9A" w:rsidRPr="00D553B2">
        <w:rPr>
          <w:color w:val="000000"/>
          <w:lang w:eastAsia="cs-CZ"/>
        </w:rPr>
        <w:t xml:space="preserve">předcházení vzniku odpadů </w:t>
      </w:r>
      <w:r w:rsidR="00C43F9A">
        <w:rPr>
          <w:color w:val="000000"/>
          <w:lang w:eastAsia="cs-CZ"/>
        </w:rPr>
        <w:t xml:space="preserve">je </w:t>
      </w:r>
      <w:r w:rsidR="00C43F9A" w:rsidRPr="00D553B2">
        <w:rPr>
          <w:color w:val="000000"/>
          <w:lang w:eastAsia="cs-CZ"/>
        </w:rPr>
        <w:t>první v</w:t>
      </w:r>
      <w:r w:rsidR="00FE4195">
        <w:rPr>
          <w:color w:val="000000"/>
          <w:lang w:eastAsia="cs-CZ"/>
        </w:rPr>
        <w:t> </w:t>
      </w:r>
      <w:r w:rsidR="00C43F9A" w:rsidRPr="00D553B2">
        <w:rPr>
          <w:color w:val="000000"/>
          <w:lang w:eastAsia="cs-CZ"/>
        </w:rPr>
        <w:t>pořadí hierarchie způsobů nakládání s</w:t>
      </w:r>
      <w:r w:rsidR="00C43F9A">
        <w:rPr>
          <w:color w:val="000000"/>
          <w:lang w:eastAsia="cs-CZ"/>
        </w:rPr>
        <w:t> </w:t>
      </w:r>
      <w:r w:rsidR="00C43F9A" w:rsidRPr="00D553B2">
        <w:rPr>
          <w:color w:val="000000"/>
          <w:lang w:eastAsia="cs-CZ"/>
        </w:rPr>
        <w:t>odpady</w:t>
      </w:r>
      <w:r w:rsidR="00C43F9A">
        <w:rPr>
          <w:color w:val="000000"/>
          <w:lang w:eastAsia="cs-CZ"/>
        </w:rPr>
        <w:t xml:space="preserve"> </w:t>
      </w:r>
      <w:r w:rsidR="00885D3F">
        <w:rPr>
          <w:color w:val="000000"/>
          <w:lang w:eastAsia="cs-CZ"/>
        </w:rPr>
        <w:t>po</w:t>
      </w:r>
      <w:r w:rsidRPr="00D553B2">
        <w:rPr>
          <w:color w:val="000000"/>
          <w:lang w:eastAsia="cs-CZ"/>
        </w:rPr>
        <w:t xml:space="preserve">dle zákona </w:t>
      </w:r>
      <w:r w:rsidR="00EF6014">
        <w:rPr>
          <w:color w:val="000000"/>
          <w:lang w:eastAsia="cs-CZ"/>
        </w:rPr>
        <w:t>o odpadech</w:t>
      </w:r>
      <w:r w:rsidRPr="00D553B2">
        <w:rPr>
          <w:color w:val="000000"/>
          <w:lang w:eastAsia="cs-CZ"/>
        </w:rPr>
        <w:t xml:space="preserve"> </w:t>
      </w:r>
      <w:r w:rsidR="00674E42">
        <w:rPr>
          <w:color w:val="000000"/>
          <w:lang w:eastAsia="cs-CZ"/>
        </w:rPr>
        <w:t xml:space="preserve">i podle </w:t>
      </w:r>
      <w:r>
        <w:rPr>
          <w:color w:val="000000"/>
          <w:lang w:eastAsia="cs-CZ"/>
        </w:rPr>
        <w:t>zásad zakotvených v</w:t>
      </w:r>
      <w:r w:rsidR="00C43F9A">
        <w:rPr>
          <w:color w:val="000000"/>
          <w:lang w:eastAsia="cs-CZ"/>
        </w:rPr>
        <w:t> </w:t>
      </w:r>
      <w:r w:rsidRPr="00D553B2">
        <w:rPr>
          <w:color w:val="000000"/>
          <w:lang w:eastAsia="cs-CZ"/>
        </w:rPr>
        <w:t>POH</w:t>
      </w:r>
      <w:r w:rsidR="00C43F9A">
        <w:rPr>
          <w:color w:val="000000"/>
          <w:lang w:eastAsia="cs-CZ"/>
        </w:rPr>
        <w:t>.</w:t>
      </w:r>
    </w:p>
    <w:p w14:paraId="6AE276C5" w14:textId="53384B6A" w:rsidR="00100DDA" w:rsidRDefault="000A5F6C" w:rsidP="002E1C83">
      <w:pPr>
        <w:pStyle w:val="Nadpis4"/>
      </w:pPr>
      <w:r w:rsidRPr="008C1FD3">
        <w:t>V ČR nedochází ke snižování celkové produkce odpadů včetně nebezpečných odpadů, produkce komunálních odpadů narůstá již od roku 2012 a skládkování nadále představovalo nejčastější způsob nakládání s komunálním odpadem</w:t>
      </w:r>
    </w:p>
    <w:p w14:paraId="0CF364E5" w14:textId="77777777" w:rsidR="00067C46" w:rsidRPr="0046728D" w:rsidRDefault="000A5F6C" w:rsidP="00067C46">
      <w:pPr>
        <w:pStyle w:val="TextKP"/>
        <w:rPr>
          <w:b/>
        </w:rPr>
      </w:pPr>
      <w:r w:rsidRPr="0046728D">
        <w:rPr>
          <w:b/>
        </w:rPr>
        <w:t>Produkce odpadů</w:t>
      </w:r>
    </w:p>
    <w:p w14:paraId="70726C72" w14:textId="451F0C26" w:rsidR="001510FA" w:rsidRDefault="000A5F6C" w:rsidP="00067C46">
      <w:pPr>
        <w:pStyle w:val="TextKP"/>
      </w:pPr>
      <w:r>
        <w:t xml:space="preserve">Kontrolou NKÚ bylo zjištěno, že </w:t>
      </w:r>
      <w:r w:rsidR="00756509">
        <w:t>nejsou plněny</w:t>
      </w:r>
      <w:r w:rsidR="00C37CBD">
        <w:t xml:space="preserve"> </w:t>
      </w:r>
      <w:r w:rsidR="00756509">
        <w:t xml:space="preserve">strategické </w:t>
      </w:r>
      <w:r>
        <w:t>cíle POH z hlediska požadavků na</w:t>
      </w:r>
      <w:r w:rsidR="00420B91">
        <w:t xml:space="preserve"> </w:t>
      </w:r>
      <w:r>
        <w:t>snižov</w:t>
      </w:r>
      <w:r w:rsidR="0015142B">
        <w:t>á</w:t>
      </w:r>
      <w:r>
        <w:t>ní produkce odpadů</w:t>
      </w:r>
      <w:r w:rsidR="00BE1B45">
        <w:t>:</w:t>
      </w:r>
      <w:r w:rsidR="00C37CBD">
        <w:t xml:space="preserve"> </w:t>
      </w:r>
      <w:r w:rsidR="00BE1B45">
        <w:t>n</w:t>
      </w:r>
      <w:r w:rsidR="0015142B">
        <w:t>ení plněn</w:t>
      </w:r>
      <w:r>
        <w:t xml:space="preserve"> </w:t>
      </w:r>
      <w:r w:rsidR="0015142B">
        <w:t>strategický cíl č. 1 „</w:t>
      </w:r>
      <w:r w:rsidR="0015142B">
        <w:rPr>
          <w:i/>
        </w:rPr>
        <w:t>p</w:t>
      </w:r>
      <w:r w:rsidRPr="00067C46">
        <w:rPr>
          <w:i/>
        </w:rPr>
        <w:t>ředcházení vzniku odpadů a</w:t>
      </w:r>
      <w:r w:rsidR="00BE1B45">
        <w:rPr>
          <w:i/>
        </w:rPr>
        <w:t> </w:t>
      </w:r>
      <w:r w:rsidRPr="00067C46">
        <w:rPr>
          <w:i/>
        </w:rPr>
        <w:t>snižování měrné produkce odpadů</w:t>
      </w:r>
      <w:r w:rsidR="0015142B">
        <w:t>“</w:t>
      </w:r>
      <w:r w:rsidRPr="008C4C70">
        <w:t xml:space="preserve"> </w:t>
      </w:r>
      <w:r>
        <w:t>a</w:t>
      </w:r>
      <w:r w:rsidR="00BE1B45">
        <w:t>ni</w:t>
      </w:r>
      <w:r>
        <w:t xml:space="preserve"> </w:t>
      </w:r>
      <w:r w:rsidR="0015142B" w:rsidRPr="00D93E0B">
        <w:t>strategický cíl č. 2</w:t>
      </w:r>
      <w:r w:rsidR="0015142B">
        <w:t xml:space="preserve"> „</w:t>
      </w:r>
      <w:r w:rsidR="0015142B">
        <w:rPr>
          <w:i/>
        </w:rPr>
        <w:t>m</w:t>
      </w:r>
      <w:r w:rsidRPr="00D93E0B">
        <w:rPr>
          <w:i/>
        </w:rPr>
        <w:t>inimalizace nepříznivých účinků vzniku odpadů a nakládání s</w:t>
      </w:r>
      <w:r w:rsidR="00BE1B45">
        <w:rPr>
          <w:i/>
        </w:rPr>
        <w:t xml:space="preserve"> </w:t>
      </w:r>
      <w:r w:rsidRPr="00D93E0B">
        <w:rPr>
          <w:i/>
        </w:rPr>
        <w:t>nimi na lidské zdraví a životní prostředí</w:t>
      </w:r>
      <w:r w:rsidR="0015142B" w:rsidRPr="0046728D">
        <w:t>“</w:t>
      </w:r>
      <w:r w:rsidRPr="00D93E0B">
        <w:t>.</w:t>
      </w:r>
      <w:r w:rsidR="00217A6D" w:rsidRPr="00D93E0B">
        <w:t xml:space="preserve"> Vývoj produkce </w:t>
      </w:r>
      <w:r w:rsidR="00D1387D" w:rsidRPr="00D93E0B">
        <w:t xml:space="preserve">vybraných typů </w:t>
      </w:r>
      <w:r w:rsidR="00217A6D" w:rsidRPr="00D93E0B">
        <w:t>odpadů v letech 2015 až 20</w:t>
      </w:r>
      <w:r w:rsidR="00FB7386" w:rsidRPr="00D93E0B">
        <w:t>20</w:t>
      </w:r>
      <w:r w:rsidR="00217A6D" w:rsidRPr="00D93E0B">
        <w:t xml:space="preserve"> je uveden v tabulce č. </w:t>
      </w:r>
      <w:r w:rsidR="00E110C4" w:rsidRPr="00D93E0B">
        <w:t>3</w:t>
      </w:r>
      <w:r w:rsidR="00217A6D" w:rsidRPr="00D93E0B">
        <w:t>.</w:t>
      </w:r>
    </w:p>
    <w:p w14:paraId="70B747A6" w14:textId="1EEACCEC" w:rsidR="00351614" w:rsidRDefault="000A5F6C" w:rsidP="0046728D">
      <w:pPr>
        <w:pStyle w:val="TextKP"/>
        <w:tabs>
          <w:tab w:val="right" w:pos="9072"/>
        </w:tabs>
      </w:pPr>
      <w:r>
        <w:t xml:space="preserve">Tabulka č. </w:t>
      </w:r>
      <w:r w:rsidR="00F27D96">
        <w:fldChar w:fldCharType="begin"/>
      </w:r>
      <w:r w:rsidR="00F27D96">
        <w:instrText xml:space="preserve"> SEQ Tabulka_č. \* ARABIC </w:instrText>
      </w:r>
      <w:r w:rsidR="00F27D96">
        <w:fldChar w:fldCharType="separate"/>
      </w:r>
      <w:r w:rsidR="00F27D96">
        <w:rPr>
          <w:noProof/>
        </w:rPr>
        <w:t>3</w:t>
      </w:r>
      <w:r w:rsidR="00F27D96">
        <w:rPr>
          <w:noProof/>
        </w:rPr>
        <w:fldChar w:fldCharType="end"/>
      </w:r>
      <w:r>
        <w:t xml:space="preserve">: </w:t>
      </w:r>
      <w:r w:rsidR="00D1387D">
        <w:t>P</w:t>
      </w:r>
      <w:r>
        <w:t xml:space="preserve">rodukce </w:t>
      </w:r>
      <w:r w:rsidR="005B14A1">
        <w:t xml:space="preserve">vybraných </w:t>
      </w:r>
      <w:r w:rsidR="00D1387D">
        <w:t xml:space="preserve">typů </w:t>
      </w:r>
      <w:r>
        <w:t>odpadů v letech 2015 až 20</w:t>
      </w:r>
      <w:r w:rsidR="00FB7386">
        <w:t>20</w:t>
      </w:r>
      <w:r>
        <w:t xml:space="preserve"> </w:t>
      </w:r>
      <w:r w:rsidR="0015142B">
        <w:tab/>
        <w:t>(</w:t>
      </w:r>
      <w:r>
        <w:t>v</w:t>
      </w:r>
      <w:r w:rsidR="00217A6D">
        <w:t> </w:t>
      </w:r>
      <w:r>
        <w:t>tunách</w:t>
      </w:r>
      <w:r w:rsidR="0015142B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1097"/>
        <w:gridCol w:w="1097"/>
        <w:gridCol w:w="1098"/>
        <w:gridCol w:w="1098"/>
        <w:gridCol w:w="1098"/>
        <w:gridCol w:w="1097"/>
      </w:tblGrid>
      <w:tr w:rsidR="00FF1BC7" w14:paraId="69111FAE" w14:textId="77777777" w:rsidTr="0046728D">
        <w:trPr>
          <w:trHeight w:val="283"/>
        </w:trPr>
        <w:tc>
          <w:tcPr>
            <w:tcW w:w="1017" w:type="pct"/>
            <w:shd w:val="clear" w:color="000000" w:fill="E5F1FF"/>
            <w:noWrap/>
            <w:vAlign w:val="center"/>
            <w:hideMark/>
          </w:tcPr>
          <w:p w14:paraId="42449D6C" w14:textId="5321E2C6" w:rsidR="00FB7386" w:rsidRPr="005B14A1" w:rsidRDefault="00FB7386" w:rsidP="005B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4" w:type="pct"/>
            <w:shd w:val="clear" w:color="000000" w:fill="E5F1FF"/>
            <w:noWrap/>
            <w:vAlign w:val="center"/>
            <w:hideMark/>
          </w:tcPr>
          <w:p w14:paraId="5D580449" w14:textId="77777777" w:rsidR="00FB7386" w:rsidRPr="005B14A1" w:rsidRDefault="000A5F6C" w:rsidP="005B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64" w:type="pct"/>
            <w:shd w:val="clear" w:color="000000" w:fill="E5F1FF"/>
            <w:noWrap/>
            <w:vAlign w:val="center"/>
            <w:hideMark/>
          </w:tcPr>
          <w:p w14:paraId="14A94C60" w14:textId="77777777" w:rsidR="00FB7386" w:rsidRPr="005B14A1" w:rsidRDefault="000A5F6C" w:rsidP="005B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664" w:type="pct"/>
            <w:shd w:val="clear" w:color="000000" w:fill="E5F1FF"/>
            <w:noWrap/>
            <w:vAlign w:val="center"/>
            <w:hideMark/>
          </w:tcPr>
          <w:p w14:paraId="3DE3A8E9" w14:textId="77777777" w:rsidR="00FB7386" w:rsidRPr="005B14A1" w:rsidRDefault="000A5F6C" w:rsidP="005B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664" w:type="pct"/>
            <w:shd w:val="clear" w:color="000000" w:fill="E5F1FF"/>
            <w:noWrap/>
            <w:vAlign w:val="center"/>
            <w:hideMark/>
          </w:tcPr>
          <w:p w14:paraId="61D3C8A9" w14:textId="77777777" w:rsidR="00FB7386" w:rsidRPr="005B14A1" w:rsidRDefault="000A5F6C" w:rsidP="005B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664" w:type="pct"/>
            <w:shd w:val="clear" w:color="000000" w:fill="E5F1FF"/>
            <w:noWrap/>
            <w:vAlign w:val="center"/>
            <w:hideMark/>
          </w:tcPr>
          <w:p w14:paraId="14C5E951" w14:textId="77777777" w:rsidR="00FB7386" w:rsidRPr="005B14A1" w:rsidRDefault="000A5F6C" w:rsidP="005B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664" w:type="pct"/>
            <w:shd w:val="clear" w:color="000000" w:fill="E5F1FF"/>
            <w:vAlign w:val="center"/>
          </w:tcPr>
          <w:p w14:paraId="07948DD0" w14:textId="77777777" w:rsidR="00FB7386" w:rsidRPr="005B14A1" w:rsidRDefault="000A5F6C" w:rsidP="005B14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FF1BC7" w14:paraId="3490E218" w14:textId="77777777" w:rsidTr="0046728D">
        <w:trPr>
          <w:trHeight w:val="283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50F93C1D" w14:textId="77777777" w:rsidR="00FB7386" w:rsidRPr="005B14A1" w:rsidRDefault="000A5F6C" w:rsidP="005B14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Stavební a demoliční odpady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483FF94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21 891 225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56F0787A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18 003 909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24AC47F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17 953 901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96136B8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20 843 989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517D10FA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20 835 951</w:t>
            </w:r>
          </w:p>
        </w:tc>
        <w:tc>
          <w:tcPr>
            <w:tcW w:w="664" w:type="pct"/>
            <w:vAlign w:val="center"/>
          </w:tcPr>
          <w:p w14:paraId="46012262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B73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22 528 164</w:t>
            </w:r>
          </w:p>
        </w:tc>
      </w:tr>
      <w:tr w:rsidR="00FF1BC7" w14:paraId="47D1FE21" w14:textId="77777777" w:rsidTr="0046728D">
        <w:trPr>
          <w:trHeight w:val="283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353E7A0D" w14:textId="77777777" w:rsidR="00FB7386" w:rsidRPr="005B14A1" w:rsidRDefault="000A5F6C" w:rsidP="005B14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Komunální odpady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38DD1B91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5 274 126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15775129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5 612 416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1D715050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5 690 585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1F22CC4E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5 782 066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15048B81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5 879 163</w:t>
            </w:r>
          </w:p>
        </w:tc>
        <w:tc>
          <w:tcPr>
            <w:tcW w:w="664" w:type="pct"/>
            <w:vAlign w:val="center"/>
          </w:tcPr>
          <w:p w14:paraId="6A688C0F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B73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5 729 917</w:t>
            </w:r>
          </w:p>
        </w:tc>
      </w:tr>
      <w:tr w:rsidR="00FF1BC7" w14:paraId="3AE4B44F" w14:textId="77777777" w:rsidTr="0046728D">
        <w:trPr>
          <w:trHeight w:val="283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5E0F1A4B" w14:textId="77777777" w:rsidR="00FB7386" w:rsidRPr="005B14A1" w:rsidRDefault="000A5F6C" w:rsidP="005B14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Obalové odpady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4709514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1 087 762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E13CDF8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1 149 843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8D19BA8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1 195 374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C4D398C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1 296 883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9A58E91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1 334 427</w:t>
            </w:r>
          </w:p>
        </w:tc>
        <w:tc>
          <w:tcPr>
            <w:tcW w:w="664" w:type="pct"/>
            <w:vAlign w:val="center"/>
          </w:tcPr>
          <w:p w14:paraId="0F5B414C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260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1 328 731</w:t>
            </w:r>
          </w:p>
        </w:tc>
      </w:tr>
      <w:tr w:rsidR="00FF1BC7" w14:paraId="5E3AFD9D" w14:textId="77777777" w:rsidTr="0046728D">
        <w:trPr>
          <w:trHeight w:val="283"/>
        </w:trPr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72E62146" w14:textId="77777777" w:rsidR="00FB7386" w:rsidRPr="005B14A1" w:rsidRDefault="000A5F6C" w:rsidP="005B14A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Nebezpečné odpady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1976DD3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1 503 979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295CE0A4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1 443 759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B22B4C4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1 507 679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2D7DA998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1 767 964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48DFFB1E" w14:textId="77777777" w:rsidR="00FB7386" w:rsidRPr="005B14A1" w:rsidRDefault="000A5F6C" w:rsidP="005B14A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B14A1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1 758 504</w:t>
            </w:r>
          </w:p>
        </w:tc>
        <w:tc>
          <w:tcPr>
            <w:tcW w:w="664" w:type="pct"/>
            <w:vAlign w:val="center"/>
          </w:tcPr>
          <w:p w14:paraId="53B19200" w14:textId="77777777" w:rsidR="00FB7386" w:rsidRPr="005B14A1" w:rsidRDefault="000A5F6C" w:rsidP="005B14A1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B7386">
              <w:rPr>
                <w:rFonts w:ascii="Calibri" w:eastAsia="Calibri" w:hAnsi="Calibri" w:cs="Calibri"/>
                <w:color w:val="000000"/>
                <w:sz w:val="20"/>
                <w:szCs w:val="20"/>
                <w:lang w:eastAsia="cs-CZ"/>
              </w:rPr>
              <w:t>1 781 816</w:t>
            </w:r>
          </w:p>
        </w:tc>
      </w:tr>
    </w:tbl>
    <w:p w14:paraId="1820544B" w14:textId="77777777" w:rsidR="00351614" w:rsidRPr="0046728D" w:rsidRDefault="000A5F6C" w:rsidP="00641492">
      <w:pPr>
        <w:pStyle w:val="Zdrojeapozn"/>
        <w:rPr>
          <w:b w:val="0"/>
        </w:rPr>
      </w:pPr>
      <w:r w:rsidRPr="00FA2B5D">
        <w:t>Zdroj:</w:t>
      </w:r>
      <w:r>
        <w:t xml:space="preserve"> </w:t>
      </w:r>
      <w:r w:rsidRPr="0046728D">
        <w:rPr>
          <w:b w:val="0"/>
        </w:rPr>
        <w:t>ISOH</w:t>
      </w:r>
      <w:r w:rsidR="00E110C4" w:rsidRPr="0046728D">
        <w:rPr>
          <w:b w:val="0"/>
        </w:rPr>
        <w:t>.</w:t>
      </w:r>
    </w:p>
    <w:p w14:paraId="2B4E7612" w14:textId="56059F05" w:rsidR="00FE4195" w:rsidRDefault="000A5F6C" w:rsidP="00C37CBD">
      <w:pPr>
        <w:pStyle w:val="TextKP"/>
      </w:pPr>
      <w:r>
        <w:t xml:space="preserve">V dlouhodobé perspektivě </w:t>
      </w:r>
      <w:r w:rsidR="0015142B">
        <w:t xml:space="preserve">nedochází </w:t>
      </w:r>
      <w:r>
        <w:t>v ČR ke snižování celkové produkce odpadů.</w:t>
      </w:r>
    </w:p>
    <w:p w14:paraId="08E9412B" w14:textId="77777777" w:rsidR="00140FE1" w:rsidRDefault="00140FE1" w:rsidP="00C37CBD">
      <w:pPr>
        <w:pStyle w:val="TextKP"/>
      </w:pPr>
    </w:p>
    <w:p w14:paraId="7C146C8C" w14:textId="77777777" w:rsidR="00067C46" w:rsidRPr="0046728D" w:rsidRDefault="000A5F6C" w:rsidP="00140FE1">
      <w:pPr>
        <w:pStyle w:val="TextKP"/>
        <w:keepNext/>
        <w:rPr>
          <w:b/>
        </w:rPr>
      </w:pPr>
      <w:r w:rsidRPr="0046728D">
        <w:rPr>
          <w:b/>
        </w:rPr>
        <w:lastRenderedPageBreak/>
        <w:t>Nakládání s komunálními odpady</w:t>
      </w:r>
    </w:p>
    <w:p w14:paraId="36953929" w14:textId="4AC752CE" w:rsidR="00D607B3" w:rsidRDefault="000A5F6C" w:rsidP="00D607B3">
      <w:pPr>
        <w:pStyle w:val="TextKP"/>
      </w:pPr>
      <w:r w:rsidRPr="00A51253">
        <w:t>Problém</w:t>
      </w:r>
      <w:r w:rsidR="00A51253">
        <w:t>y</w:t>
      </w:r>
      <w:r w:rsidRPr="00A51253">
        <w:t xml:space="preserve"> odpadového hospodářství České republiky</w:t>
      </w:r>
      <w:r w:rsidRPr="00271B0C">
        <w:t xml:space="preserve"> </w:t>
      </w:r>
      <w:r w:rsidR="00A51253">
        <w:t>spočívaly</w:t>
      </w:r>
      <w:r>
        <w:t xml:space="preserve"> v</w:t>
      </w:r>
      <w:r w:rsidR="000E39DB">
        <w:t xml:space="preserve"> </w:t>
      </w:r>
      <w:r>
        <w:t>letech 2015 až 20</w:t>
      </w:r>
      <w:r w:rsidR="00531A39">
        <w:t>20</w:t>
      </w:r>
      <w:r>
        <w:t xml:space="preserve"> </w:t>
      </w:r>
      <w:r w:rsidR="00A51253">
        <w:t xml:space="preserve">ve </w:t>
      </w:r>
      <w:r>
        <w:t>vysok</w:t>
      </w:r>
      <w:r w:rsidR="00A51253">
        <w:t>ém</w:t>
      </w:r>
      <w:r>
        <w:t xml:space="preserve"> podíl</w:t>
      </w:r>
      <w:r w:rsidR="00A51253">
        <w:t>u</w:t>
      </w:r>
      <w:r>
        <w:t xml:space="preserve"> skládkování, </w:t>
      </w:r>
      <w:r w:rsidRPr="00271B0C">
        <w:t>nízk</w:t>
      </w:r>
      <w:r w:rsidR="00A51253">
        <w:t>é</w:t>
      </w:r>
      <w:r w:rsidRPr="00271B0C">
        <w:t xml:space="preserve"> cen</w:t>
      </w:r>
      <w:r w:rsidR="00A51253">
        <w:t>ě</w:t>
      </w:r>
      <w:r w:rsidRPr="00271B0C">
        <w:t xml:space="preserve"> za</w:t>
      </w:r>
      <w:r w:rsidR="00BE1B45">
        <w:t xml:space="preserve"> </w:t>
      </w:r>
      <w:r w:rsidRPr="00271B0C">
        <w:t>skládkování komunálních a ostatních odpadů</w:t>
      </w:r>
      <w:r>
        <w:rPr>
          <w:vertAlign w:val="superscript"/>
        </w:rPr>
        <w:footnoteReference w:id="22"/>
      </w:r>
      <w:r>
        <w:t xml:space="preserve"> </w:t>
      </w:r>
      <w:r w:rsidR="000E39DB">
        <w:br/>
      </w:r>
      <w:r>
        <w:t xml:space="preserve">a </w:t>
      </w:r>
      <w:r w:rsidR="00A51253">
        <w:t>v</w:t>
      </w:r>
      <w:r w:rsidR="000E39DB">
        <w:t xml:space="preserve"> </w:t>
      </w:r>
      <w:r w:rsidR="00A51253">
        <w:t xml:space="preserve">nezvyšujícím se </w:t>
      </w:r>
      <w:r>
        <w:t>podíl</w:t>
      </w:r>
      <w:r w:rsidR="00A51253">
        <w:t>u</w:t>
      </w:r>
      <w:r>
        <w:t xml:space="preserve"> energetického využití komunálního odpadu.</w:t>
      </w:r>
      <w:r w:rsidRPr="00271B0C">
        <w:t xml:space="preserve"> </w:t>
      </w:r>
      <w:r w:rsidRPr="006E6121">
        <w:t>MŽP předpokládalo</w:t>
      </w:r>
      <w:r>
        <w:t xml:space="preserve"> </w:t>
      </w:r>
      <w:r w:rsidR="00154A1C">
        <w:br/>
      </w:r>
      <w:r>
        <w:t>v</w:t>
      </w:r>
      <w:r w:rsidR="00154A1C">
        <w:t xml:space="preserve"> </w:t>
      </w:r>
      <w:r>
        <w:t>POH</w:t>
      </w:r>
      <w:r w:rsidRPr="006E6121">
        <w:t xml:space="preserve">, že ke snížení skládkování komunálních odpadů bude postupně docházet zejména </w:t>
      </w:r>
      <w:r>
        <w:t>snižováním produkce,</w:t>
      </w:r>
      <w:r w:rsidRPr="006E6121">
        <w:t xml:space="preserve"> zákaz</w:t>
      </w:r>
      <w:r>
        <w:t>em</w:t>
      </w:r>
      <w:r w:rsidRPr="006E6121">
        <w:t xml:space="preserve"> skládkování od roku 2024</w:t>
      </w:r>
      <w:r>
        <w:t>, navyšováním</w:t>
      </w:r>
      <w:r w:rsidRPr="006E6121">
        <w:t xml:space="preserve"> poplatku za skládkování </w:t>
      </w:r>
      <w:r>
        <w:t>a zvyšováním podílu energetického využití</w:t>
      </w:r>
      <w:r w:rsidR="00C43F9A">
        <w:t xml:space="preserve"> odpadu</w:t>
      </w:r>
      <w:r>
        <w:t>.</w:t>
      </w:r>
    </w:p>
    <w:p w14:paraId="15BEAEF1" w14:textId="780EF463" w:rsidR="00D607B3" w:rsidRDefault="000A5F6C" w:rsidP="00067C46">
      <w:pPr>
        <w:pStyle w:val="TextKP"/>
      </w:pPr>
      <w:r>
        <w:t>V roce 2014 byl</w:t>
      </w:r>
      <w:r w:rsidR="00086FAE">
        <w:t>a</w:t>
      </w:r>
      <w:r>
        <w:t xml:space="preserve"> přijat</w:t>
      </w:r>
      <w:r w:rsidR="00C43F9A">
        <w:t>a právní úprava zakazující</w:t>
      </w:r>
      <w:r w:rsidRPr="003E0BBB">
        <w:t xml:space="preserve"> skládkování vybraných druhů odpadů od roku 2024</w:t>
      </w:r>
      <w:r>
        <w:t>. V</w:t>
      </w:r>
      <w:r w:rsidR="0070682D">
        <w:t xml:space="preserve"> </w:t>
      </w:r>
      <w:r>
        <w:t xml:space="preserve">letech </w:t>
      </w:r>
      <w:r w:rsidRPr="003E0BBB">
        <w:t xml:space="preserve">2009 </w:t>
      </w:r>
      <w:r>
        <w:t>až</w:t>
      </w:r>
      <w:r w:rsidRPr="003E0BBB">
        <w:t xml:space="preserve"> 2020 </w:t>
      </w:r>
      <w:r w:rsidR="003A101A">
        <w:t>nedošlo k</w:t>
      </w:r>
      <w:r>
        <w:t xml:space="preserve"> navýš</w:t>
      </w:r>
      <w:r w:rsidR="003A101A">
        <w:t>ení</w:t>
      </w:r>
      <w:r w:rsidRPr="003E0BBB">
        <w:t xml:space="preserve"> poplatk</w:t>
      </w:r>
      <w:r w:rsidR="003A101A">
        <w:t>u</w:t>
      </w:r>
      <w:r w:rsidRPr="003E0BBB">
        <w:t xml:space="preserve"> za skládkování komunálních a</w:t>
      </w:r>
      <w:r w:rsidR="003A101A">
        <w:t> </w:t>
      </w:r>
      <w:r w:rsidRPr="003E0BBB">
        <w:t>ostatních odpadů</w:t>
      </w:r>
      <w:r>
        <w:t>.</w:t>
      </w:r>
      <w:r w:rsidRPr="006E6121">
        <w:t xml:space="preserve"> </w:t>
      </w:r>
      <w:r>
        <w:t>MŽP</w:t>
      </w:r>
      <w:r w:rsidR="00BE1B45">
        <w:t xml:space="preserve"> </w:t>
      </w:r>
      <w:r w:rsidR="006B758E">
        <w:t xml:space="preserve">navrhlo </w:t>
      </w:r>
      <w:r w:rsidR="000E39DB">
        <w:t>z</w:t>
      </w:r>
      <w:r w:rsidR="00BC7F27">
        <w:t>výš</w:t>
      </w:r>
      <w:r w:rsidR="006B758E">
        <w:t>ení</w:t>
      </w:r>
      <w:r w:rsidR="00BC7F27">
        <w:t xml:space="preserve"> po</w:t>
      </w:r>
      <w:r w:rsidR="001A0EDE">
        <w:t>platk</w:t>
      </w:r>
      <w:r w:rsidR="006B758E">
        <w:t>u</w:t>
      </w:r>
      <w:r w:rsidR="001A0EDE">
        <w:t xml:space="preserve"> za skládkování</w:t>
      </w:r>
      <w:r w:rsidRPr="00AC05E3">
        <w:t xml:space="preserve"> </w:t>
      </w:r>
      <w:r w:rsidR="006B758E">
        <w:t xml:space="preserve">v </w:t>
      </w:r>
      <w:r w:rsidRPr="00AC05E3">
        <w:t>návrhu nového zákona o</w:t>
      </w:r>
      <w:r>
        <w:t> </w:t>
      </w:r>
      <w:r w:rsidRPr="00AC05E3">
        <w:t>odpadech, který byl projednáván v letech 2015</w:t>
      </w:r>
      <w:r>
        <w:t xml:space="preserve"> </w:t>
      </w:r>
      <w:r w:rsidRPr="00AC05E3">
        <w:t>až</w:t>
      </w:r>
      <w:r w:rsidR="00BE1B45">
        <w:t xml:space="preserve"> </w:t>
      </w:r>
      <w:r w:rsidRPr="00AC05E3">
        <w:t>2017</w:t>
      </w:r>
      <w:r>
        <w:t xml:space="preserve">. MŽP návrh </w:t>
      </w:r>
      <w:r w:rsidR="006B758E">
        <w:t xml:space="preserve">tohoto </w:t>
      </w:r>
      <w:r>
        <w:t>zákona stáhlo z programu jednání vlády</w:t>
      </w:r>
      <w:r w:rsidR="0023007D">
        <w:t>.</w:t>
      </w:r>
    </w:p>
    <w:p w14:paraId="4F4A0D3F" w14:textId="0B58F3E0" w:rsidR="001A0EDE" w:rsidRDefault="000A5F6C" w:rsidP="001A0EDE">
      <w:pPr>
        <w:pStyle w:val="Text"/>
      </w:pPr>
      <w:r>
        <w:t>Podíl skládkování komunálních odpadů v letech 2015 až 20</w:t>
      </w:r>
      <w:r w:rsidR="00B9779E">
        <w:t>20</w:t>
      </w:r>
      <w:r>
        <w:t xml:space="preserve"> neklesl pod 45 % a podíl energetického využití komunálních odpadů zůstal konstantní</w:t>
      </w:r>
      <w:r w:rsidR="002C6E97">
        <w:t>,</w:t>
      </w:r>
      <w:r>
        <w:t xml:space="preserve"> </w:t>
      </w:r>
      <w:r w:rsidR="002C6E97">
        <w:t>cca</w:t>
      </w:r>
      <w:r>
        <w:t xml:space="preserve"> </w:t>
      </w:r>
      <w:proofErr w:type="gramStart"/>
      <w:r>
        <w:t>12%</w:t>
      </w:r>
      <w:proofErr w:type="gramEnd"/>
      <w:r>
        <w:t>. M</w:t>
      </w:r>
      <w:r w:rsidRPr="00ED1DF6">
        <w:t>íra</w:t>
      </w:r>
      <w:r w:rsidR="00BE1B45">
        <w:t xml:space="preserve"> </w:t>
      </w:r>
      <w:r w:rsidRPr="00ED1DF6">
        <w:t xml:space="preserve">materiálového využití </w:t>
      </w:r>
      <w:r>
        <w:t>komunálních odpadů</w:t>
      </w:r>
      <w:r w:rsidRPr="00ED1DF6">
        <w:t xml:space="preserve"> ve vztahu k</w:t>
      </w:r>
      <w:r>
        <w:t xml:space="preserve"> jejich</w:t>
      </w:r>
      <w:r w:rsidRPr="00ED1DF6">
        <w:t xml:space="preserve"> celkové produkci se zvýšila z</w:t>
      </w:r>
      <w:r w:rsidR="00BE1B45">
        <w:t xml:space="preserve"> </w:t>
      </w:r>
      <w:r w:rsidRPr="00ED1DF6">
        <w:t>36</w:t>
      </w:r>
      <w:r>
        <w:t> </w:t>
      </w:r>
      <w:r w:rsidRPr="00ED1DF6">
        <w:t xml:space="preserve">% v roce 2015 na </w:t>
      </w:r>
      <w:r w:rsidR="00B9779E">
        <w:t>39</w:t>
      </w:r>
      <w:r w:rsidRPr="00ED1DF6">
        <w:t xml:space="preserve"> % v roce 20</w:t>
      </w:r>
      <w:r w:rsidR="00B9779E">
        <w:t>20</w:t>
      </w:r>
      <w:r>
        <w:t>.</w:t>
      </w:r>
    </w:p>
    <w:p w14:paraId="66EAFE7B" w14:textId="6E9085DB" w:rsidR="001A0EDE" w:rsidRDefault="000A5F6C" w:rsidP="001A0EDE">
      <w:pPr>
        <w:pStyle w:val="Text"/>
      </w:pPr>
      <w:r>
        <w:t>M</w:t>
      </w:r>
      <w:r w:rsidRPr="00AB16AC">
        <w:t>ezi roky 2016 a 2020 došlo ke zvýšení kapacity skládek pro odstraňování ostatních odpadů včetně komunálního odpadu o 17 %</w:t>
      </w:r>
      <w:r>
        <w:t xml:space="preserve">. Ke dni </w:t>
      </w:r>
      <w:r w:rsidRPr="00AB16AC">
        <w:t xml:space="preserve">1. 1. 2016 </w:t>
      </w:r>
      <w:r>
        <w:t>činila volná kapacita skládek pro</w:t>
      </w:r>
      <w:r w:rsidR="001A3662">
        <w:t xml:space="preserve"> </w:t>
      </w:r>
      <w:r>
        <w:t xml:space="preserve">odstraňování ostatních odpadů </w:t>
      </w:r>
      <w:r w:rsidRPr="00AB16AC">
        <w:t>36</w:t>
      </w:r>
      <w:r>
        <w:t xml:space="preserve">,4 </w:t>
      </w:r>
      <w:proofErr w:type="spellStart"/>
      <w:r>
        <w:t>Mt</w:t>
      </w:r>
      <w:proofErr w:type="spellEnd"/>
      <w:r>
        <w:t xml:space="preserve">, ke dni 31. 12. 2020 volná kapacita těchto skládek činila </w:t>
      </w:r>
      <w:r w:rsidRPr="00AB16AC">
        <w:t>42</w:t>
      </w:r>
      <w:r>
        <w:t>,8</w:t>
      </w:r>
      <w:r w:rsidRPr="00AB16AC">
        <w:t xml:space="preserve"> </w:t>
      </w:r>
      <w:proofErr w:type="spellStart"/>
      <w:r>
        <w:t>Mt</w:t>
      </w:r>
      <w:proofErr w:type="spellEnd"/>
      <w:r>
        <w:t>.</w:t>
      </w:r>
      <w:r w:rsidR="004B635D">
        <w:t xml:space="preserve"> Přehled volných kapacit skládek v roce 2016 a 2020 je uveden v příloze č. 4 </w:t>
      </w:r>
      <w:r w:rsidR="002C6E97">
        <w:t xml:space="preserve">tohoto </w:t>
      </w:r>
      <w:r w:rsidR="004B635D">
        <w:t>kontrolního závěru.</w:t>
      </w:r>
    </w:p>
    <w:p w14:paraId="6031914B" w14:textId="02445117" w:rsidR="001A0EDE" w:rsidRPr="00D93E0B" w:rsidRDefault="00434215" w:rsidP="00820072">
      <w:pPr>
        <w:pStyle w:val="TextKP"/>
      </w:pPr>
      <w:r w:rsidRPr="00434215">
        <w:t xml:space="preserve">V novém zákoně o odpadech </w:t>
      </w:r>
      <w:r w:rsidR="003A101A">
        <w:t>byl</w:t>
      </w:r>
      <w:r w:rsidRPr="00434215">
        <w:t xml:space="preserve"> </w:t>
      </w:r>
      <w:r w:rsidR="000F4827">
        <w:t xml:space="preserve">termín </w:t>
      </w:r>
      <w:r w:rsidRPr="00434215">
        <w:t>zákaz</w:t>
      </w:r>
      <w:r w:rsidR="000F4827">
        <w:t>u</w:t>
      </w:r>
      <w:r w:rsidRPr="00434215">
        <w:t xml:space="preserve"> skládkování posunut až na rok 2030</w:t>
      </w:r>
      <w:r w:rsidR="000F4827">
        <w:t>,</w:t>
      </w:r>
      <w:r w:rsidRPr="00434215">
        <w:t xml:space="preserve"> </w:t>
      </w:r>
      <w:r w:rsidR="000F4827">
        <w:t xml:space="preserve">zároveň bylo stanoveno, že </w:t>
      </w:r>
      <w:r w:rsidRPr="00434215">
        <w:t xml:space="preserve">poplatek za ukládání </w:t>
      </w:r>
      <w:r w:rsidR="00820072" w:rsidRPr="00820072">
        <w:t xml:space="preserve">využitelných odpadů </w:t>
      </w:r>
      <w:r w:rsidR="000F4827">
        <w:t>se bude postupně zvyšovat z </w:t>
      </w:r>
      <w:r w:rsidR="00820072" w:rsidRPr="00820072">
        <w:t>800</w:t>
      </w:r>
      <w:r w:rsidR="000F4827">
        <w:t> </w:t>
      </w:r>
      <w:r w:rsidR="00820072" w:rsidRPr="00820072">
        <w:t>Kč</w:t>
      </w:r>
      <w:r w:rsidR="00820072">
        <w:t xml:space="preserve"> za tunu</w:t>
      </w:r>
      <w:r w:rsidR="00820072" w:rsidRPr="00820072">
        <w:t xml:space="preserve"> až na konečných 1 850 Kč</w:t>
      </w:r>
      <w:r w:rsidR="00820072">
        <w:t xml:space="preserve"> za tunu </w:t>
      </w:r>
      <w:r w:rsidR="00820072" w:rsidRPr="00820072">
        <w:t>od roku 2030.</w:t>
      </w:r>
      <w:r w:rsidR="00231236" w:rsidRPr="00231236">
        <w:t xml:space="preserve"> </w:t>
      </w:r>
      <w:r w:rsidR="00231236">
        <w:t>Na základě výjimky</w:t>
      </w:r>
      <w:r w:rsidR="000A5F6C">
        <w:rPr>
          <w:rStyle w:val="Znakapoznpodarou"/>
        </w:rPr>
        <w:footnoteReference w:id="23"/>
      </w:r>
      <w:r w:rsidR="00231236" w:rsidRPr="00231236">
        <w:t xml:space="preserve"> </w:t>
      </w:r>
      <w:r w:rsidR="00231236">
        <w:t>mohly</w:t>
      </w:r>
      <w:r w:rsidR="003025BB">
        <w:t xml:space="preserve"> obce</w:t>
      </w:r>
      <w:r w:rsidR="00231236">
        <w:t xml:space="preserve"> v</w:t>
      </w:r>
      <w:r w:rsidR="00820072">
        <w:t> </w:t>
      </w:r>
      <w:r w:rsidR="00231236">
        <w:t>roce 2021 uložit na skládky až</w:t>
      </w:r>
      <w:r w:rsidR="00BE1B45">
        <w:t xml:space="preserve"> </w:t>
      </w:r>
      <w:r w:rsidR="00231236">
        <w:t>2</w:t>
      </w:r>
      <w:r w:rsidR="001E068C">
        <w:t>,</w:t>
      </w:r>
      <w:r w:rsidR="00231236">
        <w:t>1</w:t>
      </w:r>
      <w:r w:rsidR="001E068C">
        <w:t xml:space="preserve">4 </w:t>
      </w:r>
      <w:proofErr w:type="spellStart"/>
      <w:r w:rsidR="001E068C">
        <w:t>Mt</w:t>
      </w:r>
      <w:proofErr w:type="spellEnd"/>
      <w:r w:rsidR="00231236">
        <w:t xml:space="preserve"> komunálních odpadů se sazbou poplatku 500</w:t>
      </w:r>
      <w:r w:rsidR="000F4827">
        <w:t> </w:t>
      </w:r>
      <w:r w:rsidR="00231236">
        <w:t>Kč</w:t>
      </w:r>
      <w:r w:rsidR="00EE42E8">
        <w:t xml:space="preserve"> </w:t>
      </w:r>
      <w:r w:rsidR="00231236">
        <w:t>za</w:t>
      </w:r>
      <w:r w:rsidR="001A3662">
        <w:t xml:space="preserve"> </w:t>
      </w:r>
      <w:r w:rsidR="00231236">
        <w:t>tunu, tj. 79 % množství komunálních odpadů odstraněných skládkováním v roce 2019. V</w:t>
      </w:r>
      <w:r w:rsidR="00820072">
        <w:t> </w:t>
      </w:r>
      <w:r w:rsidR="00231236">
        <w:t>roce 2022 obce budou moci uložit na</w:t>
      </w:r>
      <w:r w:rsidR="001A3662">
        <w:t xml:space="preserve"> </w:t>
      </w:r>
      <w:r w:rsidR="00231236">
        <w:t>skládky až 2</w:t>
      </w:r>
      <w:r w:rsidR="001E068C">
        <w:t>,</w:t>
      </w:r>
      <w:r w:rsidR="00231236">
        <w:t>03</w:t>
      </w:r>
      <w:r w:rsidR="001E068C">
        <w:t xml:space="preserve"> </w:t>
      </w:r>
      <w:proofErr w:type="spellStart"/>
      <w:r w:rsidR="001E068C">
        <w:t>Mt</w:t>
      </w:r>
      <w:proofErr w:type="spellEnd"/>
      <w:r w:rsidR="00231236">
        <w:t xml:space="preserve"> komunálních odpadů, tj. 75</w:t>
      </w:r>
      <w:r w:rsidR="00820072">
        <w:t> </w:t>
      </w:r>
      <w:r w:rsidR="00231236">
        <w:t>% množství komunálních odpadů odstraněných skládkováním v roce 2019.</w:t>
      </w:r>
      <w:r w:rsidR="00820072">
        <w:t xml:space="preserve"> V</w:t>
      </w:r>
      <w:r w:rsidR="000A5F6C">
        <w:t xml:space="preserve">ýjimka v zákoně nadále významně zvýhodňuje skládkování </w:t>
      </w:r>
      <w:r w:rsidR="000A5F6C" w:rsidRPr="00D93E0B">
        <w:t>komunálních odpadů</w:t>
      </w:r>
      <w:r w:rsidR="00155006" w:rsidRPr="00D93E0B">
        <w:t xml:space="preserve"> před </w:t>
      </w:r>
      <w:r w:rsidR="006C5CC8">
        <w:t xml:space="preserve">jejich </w:t>
      </w:r>
      <w:r w:rsidR="00155006" w:rsidRPr="00D93E0B">
        <w:t xml:space="preserve">energetickým </w:t>
      </w:r>
      <w:r w:rsidR="006C5CC8">
        <w:t xml:space="preserve">či </w:t>
      </w:r>
      <w:r w:rsidR="00155006" w:rsidRPr="00D93E0B">
        <w:t>materiálovým využitím</w:t>
      </w:r>
      <w:r w:rsidR="00801AB2" w:rsidRPr="00D93E0B">
        <w:t>.</w:t>
      </w:r>
      <w:r w:rsidR="00446255" w:rsidRPr="00D93E0B">
        <w:t xml:space="preserve"> </w:t>
      </w:r>
      <w:r w:rsidR="00801AB2" w:rsidRPr="00D93E0B">
        <w:t>C</w:t>
      </w:r>
      <w:r w:rsidR="00CE2760" w:rsidRPr="00D93E0B">
        <w:t>ena</w:t>
      </w:r>
      <w:r w:rsidR="001A3662">
        <w:t xml:space="preserve"> </w:t>
      </w:r>
      <w:r w:rsidR="00CE2760" w:rsidRPr="00D93E0B">
        <w:t>za</w:t>
      </w:r>
      <w:r w:rsidR="001A3662">
        <w:t xml:space="preserve"> </w:t>
      </w:r>
      <w:r w:rsidR="00CE2760" w:rsidRPr="00D93E0B">
        <w:t xml:space="preserve">odstranění 1 tuny směsného komunálního </w:t>
      </w:r>
      <w:r w:rsidR="000A5F6C">
        <w:t xml:space="preserve">odpadu (dále také „SKO“) </w:t>
      </w:r>
      <w:r w:rsidR="006C5CC8" w:rsidRPr="00D93E0B">
        <w:t xml:space="preserve">byla </w:t>
      </w:r>
      <w:r w:rsidR="00CE2760" w:rsidRPr="00D93E0B">
        <w:t>v roce 2021 dle váženého průměru 1 </w:t>
      </w:r>
      <w:r w:rsidR="00801AB2" w:rsidRPr="00D93E0B">
        <w:t>799</w:t>
      </w:r>
      <w:r w:rsidR="00CE2760" w:rsidRPr="00D93E0B">
        <w:t xml:space="preserve"> Kč</w:t>
      </w:r>
      <w:r w:rsidR="006C5CC8">
        <w:t>.</w:t>
      </w:r>
      <w:r w:rsidR="000A5F6C">
        <w:rPr>
          <w:rStyle w:val="Znakapoznpodarou"/>
        </w:rPr>
        <w:footnoteReference w:id="24"/>
      </w:r>
    </w:p>
    <w:p w14:paraId="689FD790" w14:textId="216E88D8" w:rsidR="00D0575C" w:rsidRPr="00D93E0B" w:rsidRDefault="00E84C8A" w:rsidP="00655078">
      <w:pPr>
        <w:pStyle w:val="Titulek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4376DA" wp14:editId="4EB0D0B3">
                <wp:simplePos x="0" y="0"/>
                <wp:positionH relativeFrom="margin">
                  <wp:posOffset>33655</wp:posOffset>
                </wp:positionH>
                <wp:positionV relativeFrom="paragraph">
                  <wp:posOffset>792480</wp:posOffset>
                </wp:positionV>
                <wp:extent cx="5699760" cy="1487805"/>
                <wp:effectExtent l="0" t="0" r="15240" b="171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487805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6364" w14:textId="17D46BA7" w:rsidR="007265D4" w:rsidRDefault="007265D4" w:rsidP="00457C6A">
                            <w:pPr>
                              <w:jc w:val="both"/>
                            </w:pPr>
                            <w:bookmarkStart w:id="10" w:name="_Hlk100779230"/>
                            <w:bookmarkStart w:id="11" w:name="_Hlk100779231"/>
                            <w:bookmarkStart w:id="12" w:name="_Hlk100779253"/>
                            <w:bookmarkStart w:id="13" w:name="_Hlk100779254"/>
                            <w:r w:rsidRPr="006B34C1">
                              <w:t xml:space="preserve">Kontrolou NKÚ bylo zjištěno, že </w:t>
                            </w:r>
                            <w:r>
                              <w:t xml:space="preserve">v rozporu </w:t>
                            </w:r>
                            <w:r w:rsidRPr="006B34C1">
                              <w:t xml:space="preserve">s hierarchií způsobů nakládání s odpady </w:t>
                            </w:r>
                            <w:r>
                              <w:br/>
                            </w:r>
                            <w:r w:rsidRPr="006B34C1">
                              <w:t>a</w:t>
                            </w:r>
                            <w:r>
                              <w:t xml:space="preserve"> v rozporu se</w:t>
                            </w:r>
                            <w:r w:rsidRPr="006B34C1">
                              <w:t xml:space="preserve"> zásadami POH nedocházelo v letech 2015 až 2020 ke snižování produkce komunálních odpadů ani ke zvýšení podílu energetického využití komunálních odpadů. </w:t>
                            </w:r>
                            <w:r>
                              <w:t>Z</w:t>
                            </w:r>
                            <w:r w:rsidRPr="006B34C1">
                              <w:t>ákaz skládkování</w:t>
                            </w:r>
                            <w:r>
                              <w:t>, který</w:t>
                            </w:r>
                            <w:r w:rsidRPr="006B34C1">
                              <w:t xml:space="preserve"> byl </w:t>
                            </w:r>
                            <w:r>
                              <w:t xml:space="preserve">zákonem stanoven na rok 2024, </w:t>
                            </w:r>
                            <w:r w:rsidRPr="006B34C1">
                              <w:t>nepodpořilo MŽP ekonomickými nástroji a</w:t>
                            </w:r>
                            <w:r>
                              <w:t xml:space="preserve"> </w:t>
                            </w:r>
                            <w:r w:rsidRPr="006B34C1">
                              <w:t xml:space="preserve">opatřeními, aby ho bylo možné </w:t>
                            </w:r>
                            <w:r>
                              <w:t xml:space="preserve">ve stanoveném termínu </w:t>
                            </w:r>
                            <w:r w:rsidRPr="006B34C1">
                              <w:t>dosáhnout.</w:t>
                            </w:r>
                            <w:r>
                              <w:t xml:space="preserve"> D</w:t>
                            </w:r>
                            <w:r w:rsidRPr="006B34C1">
                              <w:t xml:space="preserve">o roku 2020 nebyl </w:t>
                            </w:r>
                            <w:r>
                              <w:t>zvýšen</w:t>
                            </w:r>
                            <w:r w:rsidRPr="006B34C1">
                              <w:t xml:space="preserve"> poplatek za</w:t>
                            </w:r>
                            <w:r>
                              <w:t xml:space="preserve"> s</w:t>
                            </w:r>
                            <w:r w:rsidRPr="006B34C1">
                              <w:t>kládkování.</w:t>
                            </w:r>
                            <w:r>
                              <w:t xml:space="preserve"> Legislativní zákaz skládkování byl posunut na rok 2030.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76D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65pt;margin-top:62.4pt;width:448.8pt;height:117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" fillcolor="#e5f1ff">
                <v:textbox>
                  <w:txbxContent>
                    <w:p w14:paraId="45556364" w14:textId="17D46BA7" w:rsidR="007265D4" w:rsidRDefault="007265D4" w:rsidP="00457C6A">
                      <w:pPr>
                        <w:jc w:val="both"/>
                      </w:pPr>
                      <w:bookmarkStart w:id="13" w:name="_Hlk100779230"/>
                      <w:bookmarkStart w:id="14" w:name="_Hlk100779231"/>
                      <w:bookmarkStart w:id="15" w:name="_Hlk100779253"/>
                      <w:bookmarkStart w:id="16" w:name="_Hlk100779254"/>
                      <w:r w:rsidRPr="006B34C1">
                        <w:t xml:space="preserve">Kontrolou NKÚ bylo zjištěno, že </w:t>
                      </w:r>
                      <w:r>
                        <w:t xml:space="preserve">v rozporu </w:t>
                      </w:r>
                      <w:r w:rsidRPr="006B34C1">
                        <w:t xml:space="preserve">s hierarchií způsobů nakládání s odpady </w:t>
                      </w:r>
                      <w:r>
                        <w:br/>
                      </w:r>
                      <w:r w:rsidRPr="006B34C1">
                        <w:t>a</w:t>
                      </w:r>
                      <w:r>
                        <w:t xml:space="preserve"> v rozporu se</w:t>
                      </w:r>
                      <w:r w:rsidRPr="006B34C1">
                        <w:t xml:space="preserve"> zásadami POH nedocházelo v letech 2015 až 2020 ke snižování produkce komunálních odpadů ani ke zvýšení podílu energetického využití komunálních odpadů. </w:t>
                      </w:r>
                      <w:r>
                        <w:t>Z</w:t>
                      </w:r>
                      <w:r w:rsidRPr="006B34C1">
                        <w:t>ákaz skládkování</w:t>
                      </w:r>
                      <w:r>
                        <w:t>, který</w:t>
                      </w:r>
                      <w:r w:rsidRPr="006B34C1">
                        <w:t xml:space="preserve"> byl </w:t>
                      </w:r>
                      <w:r>
                        <w:t xml:space="preserve">zákonem stanoven na rok 2024, </w:t>
                      </w:r>
                      <w:r w:rsidRPr="006B34C1">
                        <w:t>nepodpořilo MŽP ekonomickými nástroji a</w:t>
                      </w:r>
                      <w:r>
                        <w:t xml:space="preserve"> </w:t>
                      </w:r>
                      <w:r w:rsidRPr="006B34C1">
                        <w:t xml:space="preserve">opatřeními, aby ho bylo možné </w:t>
                      </w:r>
                      <w:r>
                        <w:t xml:space="preserve">ve stanoveném termínu </w:t>
                      </w:r>
                      <w:r w:rsidRPr="006B34C1">
                        <w:t>dosáhnout.</w:t>
                      </w:r>
                      <w:r>
                        <w:t xml:space="preserve"> D</w:t>
                      </w:r>
                      <w:r w:rsidRPr="006B34C1">
                        <w:t xml:space="preserve">o roku 2020 nebyl </w:t>
                      </w:r>
                      <w:r>
                        <w:t>zvýšen</w:t>
                      </w:r>
                      <w:r w:rsidRPr="006B34C1">
                        <w:t xml:space="preserve"> poplatek za</w:t>
                      </w:r>
                      <w:r>
                        <w:t xml:space="preserve"> s</w:t>
                      </w:r>
                      <w:r w:rsidRPr="006B34C1">
                        <w:t>kládkování.</w:t>
                      </w:r>
                      <w:r>
                        <w:t xml:space="preserve"> Legislativní zákaz skládkování byl posunut na rok 2030.</w:t>
                      </w:r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F6C" w:rsidRPr="0050323E">
        <w:t>NKÚ dále zji</w:t>
      </w:r>
      <w:r w:rsidR="0050323E">
        <w:t>stil</w:t>
      </w:r>
      <w:r w:rsidR="000A5F6C" w:rsidRPr="0050323E">
        <w:t>, že mezi</w:t>
      </w:r>
      <w:r w:rsidR="000A5F6C" w:rsidRPr="00D93E0B">
        <w:t xml:space="preserve"> roky 2015 a 2019 došlo ke zvýšení množství odpadních elektrických </w:t>
      </w:r>
      <w:r w:rsidR="00EE42E8">
        <w:br/>
      </w:r>
      <w:r w:rsidR="000A5F6C" w:rsidRPr="00D93E0B">
        <w:t>a</w:t>
      </w:r>
      <w:r w:rsidR="00EE42E8">
        <w:t xml:space="preserve"> </w:t>
      </w:r>
      <w:r w:rsidR="000A5F6C" w:rsidRPr="00D93E0B">
        <w:t>elektronických zařízení (dále také „OEEZ“), kter</w:t>
      </w:r>
      <w:r w:rsidR="0050323E">
        <w:t>á</w:t>
      </w:r>
      <w:r w:rsidR="000A5F6C" w:rsidRPr="00D93E0B">
        <w:t xml:space="preserve"> byl</w:t>
      </w:r>
      <w:r w:rsidR="0050323E">
        <w:t>a</w:t>
      </w:r>
      <w:r w:rsidR="000A5F6C" w:rsidRPr="00D93E0B">
        <w:t xml:space="preserve"> odstraňován</w:t>
      </w:r>
      <w:r w:rsidR="0050323E">
        <w:t>a</w:t>
      </w:r>
      <w:r w:rsidR="000A5F6C" w:rsidRPr="00D93E0B">
        <w:t xml:space="preserve"> skládkováním, což není v souladu s hierarchií způsobů nakládání s odpady.</w:t>
      </w:r>
    </w:p>
    <w:p w14:paraId="571DB00A" w14:textId="657ACCD6" w:rsidR="00A30CA1" w:rsidRPr="00A30CA1" w:rsidRDefault="000A5F6C" w:rsidP="00A30CA1">
      <w:pPr>
        <w:pStyle w:val="Titulek"/>
      </w:pPr>
      <w:r w:rsidRPr="00D93E0B">
        <w:t xml:space="preserve">Vývoj nakládání s komunálním odpadem je uveden v tabulce č. </w:t>
      </w:r>
      <w:r w:rsidR="00393042" w:rsidRPr="00D93E0B">
        <w:t>4</w:t>
      </w:r>
      <w:r w:rsidRPr="00D93E0B">
        <w:t>.</w:t>
      </w:r>
    </w:p>
    <w:p w14:paraId="28F74BB9" w14:textId="0D6B2DBC" w:rsidR="00067C46" w:rsidRPr="003E38F7" w:rsidRDefault="000A5F6C" w:rsidP="00187CA3">
      <w:pPr>
        <w:pStyle w:val="Titulek"/>
        <w:ind w:left="1276" w:hanging="1276"/>
      </w:pPr>
      <w:r w:rsidRPr="003E38F7">
        <w:t xml:space="preserve">Tabulka č. </w:t>
      </w:r>
      <w:r w:rsidR="00F27D96">
        <w:fldChar w:fldCharType="begin"/>
      </w:r>
      <w:r w:rsidR="00F27D96">
        <w:instrText xml:space="preserve"> SEQ Tabulka_č. \* ARABIC </w:instrText>
      </w:r>
      <w:r w:rsidR="00F27D96">
        <w:fldChar w:fldCharType="separate"/>
      </w:r>
      <w:r w:rsidR="00F27D96">
        <w:rPr>
          <w:noProof/>
        </w:rPr>
        <w:t>4</w:t>
      </w:r>
      <w:r w:rsidR="00F27D96">
        <w:rPr>
          <w:noProof/>
        </w:rPr>
        <w:fldChar w:fldCharType="end"/>
      </w:r>
      <w:r w:rsidRPr="003E38F7">
        <w:t xml:space="preserve">: </w:t>
      </w:r>
      <w:r w:rsidR="006E6812">
        <w:tab/>
      </w:r>
      <w:r w:rsidR="006E6121">
        <w:t>Hlavní způsoby n</w:t>
      </w:r>
      <w:r w:rsidRPr="003E38F7">
        <w:t>akládání</w:t>
      </w:r>
      <w:r w:rsidR="00960C94">
        <w:t xml:space="preserve"> s</w:t>
      </w:r>
      <w:r w:rsidR="006E6121">
        <w:t> </w:t>
      </w:r>
      <w:r w:rsidRPr="003E38F7">
        <w:t>komunální</w:t>
      </w:r>
      <w:r w:rsidR="00960C94">
        <w:t>m</w:t>
      </w:r>
      <w:r w:rsidR="006E6121">
        <w:t xml:space="preserve"> odpadem (KO)</w:t>
      </w:r>
      <w:r w:rsidR="00960C94">
        <w:t xml:space="preserve"> </w:t>
      </w:r>
      <w:r w:rsidR="00C37CBD">
        <w:t>a směsným komunálním odpadem</w:t>
      </w:r>
      <w:r w:rsidR="006E6121">
        <w:t xml:space="preserve"> (SKO)</w:t>
      </w:r>
      <w:r w:rsidR="00960C94">
        <w:t xml:space="preserve"> </w:t>
      </w:r>
      <w:r w:rsidRPr="003E38F7">
        <w:t xml:space="preserve">v letech 2015 až </w:t>
      </w:r>
      <w:r w:rsidR="00531A39">
        <w:t>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780"/>
        <w:gridCol w:w="476"/>
        <w:gridCol w:w="780"/>
        <w:gridCol w:w="476"/>
        <w:gridCol w:w="780"/>
        <w:gridCol w:w="476"/>
        <w:gridCol w:w="780"/>
        <w:gridCol w:w="466"/>
        <w:gridCol w:w="10"/>
        <w:gridCol w:w="780"/>
        <w:gridCol w:w="477"/>
        <w:gridCol w:w="895"/>
        <w:gridCol w:w="562"/>
      </w:tblGrid>
      <w:tr w:rsidR="00FF1BC7" w14:paraId="70D2DA63" w14:textId="77777777" w:rsidTr="0008025A">
        <w:trPr>
          <w:trHeight w:val="255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220B4C0" w14:textId="77777777" w:rsidR="003E4E5E" w:rsidRPr="00960C94" w:rsidRDefault="003E4E5E" w:rsidP="00960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5F1FF"/>
            <w:vAlign w:val="center"/>
            <w:hideMark/>
          </w:tcPr>
          <w:p w14:paraId="2BC2FA99" w14:textId="77777777" w:rsidR="003E4E5E" w:rsidRPr="00960C94" w:rsidRDefault="000A5F6C" w:rsidP="00960C9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2015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214990B" w14:textId="77777777" w:rsidR="003E4E5E" w:rsidRPr="00960C94" w:rsidRDefault="000A5F6C" w:rsidP="00960C9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 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F1FF"/>
            <w:vAlign w:val="center"/>
            <w:hideMark/>
          </w:tcPr>
          <w:p w14:paraId="1B40368E" w14:textId="77777777" w:rsidR="003E4E5E" w:rsidRPr="00960C94" w:rsidRDefault="000A5F6C" w:rsidP="00960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2016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F1FF"/>
            <w:vAlign w:val="center"/>
            <w:hideMark/>
          </w:tcPr>
          <w:p w14:paraId="0979AD4C" w14:textId="77777777" w:rsidR="003E4E5E" w:rsidRPr="00960C94" w:rsidRDefault="000A5F6C" w:rsidP="00960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2017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F1FF"/>
            <w:vAlign w:val="center"/>
            <w:hideMark/>
          </w:tcPr>
          <w:p w14:paraId="1BF9E992" w14:textId="77777777" w:rsidR="003E4E5E" w:rsidRPr="00960C94" w:rsidRDefault="000A5F6C" w:rsidP="00960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2018</w:t>
            </w:r>
          </w:p>
        </w:tc>
        <w:tc>
          <w:tcPr>
            <w:tcW w:w="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F1FF"/>
            <w:vAlign w:val="center"/>
            <w:hideMark/>
          </w:tcPr>
          <w:p w14:paraId="5D8238EA" w14:textId="77777777" w:rsidR="003E4E5E" w:rsidRPr="00960C94" w:rsidRDefault="000A5F6C" w:rsidP="00960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2019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F1FF"/>
            <w:vAlign w:val="center"/>
          </w:tcPr>
          <w:p w14:paraId="67CE4FA8" w14:textId="77777777" w:rsidR="003E4E5E" w:rsidRPr="0008025A" w:rsidRDefault="000A5F6C" w:rsidP="00960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2020</w:t>
            </w:r>
          </w:p>
        </w:tc>
      </w:tr>
      <w:tr w:rsidR="00FF1BC7" w14:paraId="34244EF1" w14:textId="77777777" w:rsidTr="0008025A">
        <w:trPr>
          <w:trHeight w:val="510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F98E" w14:textId="77777777" w:rsidR="003E4E5E" w:rsidRPr="00960C94" w:rsidRDefault="003E4E5E" w:rsidP="003E4E5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A42A482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Množství [t]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9AE0CF4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Podíl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br/>
            </w: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[%]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533E50D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Množství [t]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2E6F997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Podíl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br/>
            </w: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[%]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201F5D7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Množství [t]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04106BC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Podíl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br/>
            </w: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[%]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9AC14AB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Množství [t]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9A1AAB4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Podíl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br/>
            </w: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[%]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A1E9946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Množství [t]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2EB031F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Podíl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br/>
            </w:r>
            <w:r w:rsidRPr="00960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[%]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6CE39D4B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Množství [t]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731628B3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t>Podíl</w:t>
            </w:r>
            <w:r w:rsidRPr="000802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cs-CZ"/>
              </w:rPr>
              <w:br/>
              <w:t>[%]</w:t>
            </w:r>
          </w:p>
        </w:tc>
      </w:tr>
      <w:tr w:rsidR="00FF1BC7" w14:paraId="22FB9469" w14:textId="77777777" w:rsidTr="0008025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D63" w14:textId="77777777" w:rsidR="003E4E5E" w:rsidRPr="00960C94" w:rsidRDefault="000A5F6C" w:rsidP="003E4E5E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Skládkování KO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C700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2 498 736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248B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9E4C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2 522 799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8D1E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AAFD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2 583 390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5BF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E86D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2 658 338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0A0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85A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2 696 303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D773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400E" w14:textId="77777777" w:rsidR="003E4E5E" w:rsidRPr="0008025A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737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146E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</w:t>
            </w:r>
          </w:p>
        </w:tc>
      </w:tr>
      <w:tr w:rsidR="00FF1BC7" w14:paraId="232D5272" w14:textId="77777777" w:rsidTr="0008025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33F6" w14:textId="77777777" w:rsidR="003E4E5E" w:rsidRPr="00960C94" w:rsidRDefault="000A5F6C" w:rsidP="0008025A">
            <w:pPr>
              <w:ind w:leftChars="27" w:left="67" w:hangingChars="1" w:hanging="2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skládkování SKO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1BDA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2 070 735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5439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DE95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2 070 815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5BB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7B56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2 088 770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7B5F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8EB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2 128 268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4C0F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76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A95F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2 110 499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9E1F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76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15C" w14:textId="77777777" w:rsidR="003E4E5E" w:rsidRPr="0008025A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2 129 39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C5CD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  <w:r w:rsidR="003416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F1BC7" w14:paraId="67CB6E11" w14:textId="77777777" w:rsidTr="0008025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464" w14:textId="77777777" w:rsidR="003E4E5E" w:rsidRPr="00960C94" w:rsidRDefault="000A5F6C" w:rsidP="003E4E5E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Materiálové využití KO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83EA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1 877 447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7BB4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7E1B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2 136 237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A38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9C36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2 135 660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A39B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1891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2 230 391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9C6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6797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2 408 484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CA59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7E8B" w14:textId="77777777" w:rsidR="003E4E5E" w:rsidRPr="0008025A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2 213 778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558A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</w:t>
            </w:r>
          </w:p>
        </w:tc>
      </w:tr>
      <w:tr w:rsidR="00FF1BC7" w14:paraId="028E9331" w14:textId="77777777" w:rsidTr="0008025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6157" w14:textId="77777777" w:rsidR="003E4E5E" w:rsidRPr="00960C94" w:rsidRDefault="000A5F6C" w:rsidP="0008025A">
            <w:pPr>
              <w:ind w:left="67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materiálové využití SKO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EDF1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86 314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E41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7D26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101 291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1D55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0989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109 384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CDCB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DCB5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115 137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DE2C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36B1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122 434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161F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535D" w14:textId="77777777" w:rsidR="003E4E5E" w:rsidRPr="0008025A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40 30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0826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FF1BC7" w14:paraId="6692FC50" w14:textId="77777777" w:rsidTr="0008025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7C2B" w14:textId="77777777" w:rsidR="003E4E5E" w:rsidRPr="00960C94" w:rsidRDefault="000A5F6C" w:rsidP="003E4E5E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Energetické využití KO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4E65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620 313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6231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C20D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680 504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4CE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92A3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685 277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3BDA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DC5B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676 574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77D0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177E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689 110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07B4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5072" w14:textId="77777777" w:rsidR="003E4E5E" w:rsidRPr="0008025A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721 217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E6E6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</w:t>
            </w:r>
          </w:p>
        </w:tc>
      </w:tr>
      <w:tr w:rsidR="00FF1BC7" w14:paraId="026F9D70" w14:textId="77777777" w:rsidTr="0008025A">
        <w:trPr>
          <w:trHeight w:val="255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572" w14:textId="77777777" w:rsidR="003E4E5E" w:rsidRPr="00960C94" w:rsidRDefault="000A5F6C" w:rsidP="0008025A">
            <w:pPr>
              <w:ind w:leftChars="27" w:left="65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energetické využití SKO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2DF9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574 899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6ED7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0F97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612 892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D378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849A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601 810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1E7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491D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588 155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87DF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418B" w14:textId="77777777" w:rsidR="003E4E5E" w:rsidRPr="00960C94" w:rsidRDefault="000A5F6C" w:rsidP="003E4E5E">
            <w:pPr>
              <w:jc w:val="right"/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sz w:val="16"/>
                <w:szCs w:val="20"/>
                <w:lang w:eastAsia="cs-CZ"/>
              </w:rPr>
              <w:t>596 087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3412" w14:textId="77777777" w:rsidR="003E4E5E" w:rsidRPr="00960C94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960C94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6C11" w14:textId="77777777" w:rsidR="003E4E5E" w:rsidRPr="0008025A" w:rsidRDefault="000A5F6C" w:rsidP="0008025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802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618 6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FC258" w14:textId="77777777" w:rsidR="003E4E5E" w:rsidRPr="0008025A" w:rsidRDefault="000A5F6C" w:rsidP="003E4E5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  <w:r w:rsidR="003416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</w:tbl>
    <w:p w14:paraId="0EF781A5" w14:textId="77777777" w:rsidR="00C37CBD" w:rsidRPr="00187CA3" w:rsidRDefault="000A5F6C" w:rsidP="00641492">
      <w:pPr>
        <w:pStyle w:val="Zdrojeapozn"/>
        <w:rPr>
          <w:b w:val="0"/>
        </w:rPr>
      </w:pPr>
      <w:r w:rsidRPr="00D31D11">
        <w:rPr>
          <w:rStyle w:val="ZdrojeapoznChar"/>
          <w:b/>
        </w:rPr>
        <w:t>Zdroj:</w:t>
      </w:r>
      <w:r w:rsidRPr="00D31D11">
        <w:t xml:space="preserve"> </w:t>
      </w:r>
      <w:r w:rsidRPr="00187CA3">
        <w:rPr>
          <w:b w:val="0"/>
        </w:rPr>
        <w:t>ISOH</w:t>
      </w:r>
      <w:r w:rsidR="00086FAE" w:rsidRPr="00187CA3">
        <w:rPr>
          <w:b w:val="0"/>
        </w:rPr>
        <w:t>.</w:t>
      </w:r>
    </w:p>
    <w:p w14:paraId="48355403" w14:textId="77777777" w:rsidR="006E6121" w:rsidRPr="00187CA3" w:rsidRDefault="000A5F6C" w:rsidP="00641492">
      <w:pPr>
        <w:pStyle w:val="Zdrojeapozn"/>
        <w:rPr>
          <w:b w:val="0"/>
        </w:rPr>
      </w:pPr>
      <w:r w:rsidRPr="007674F7">
        <w:t xml:space="preserve">Pozn.: </w:t>
      </w:r>
      <w:r w:rsidRPr="00187CA3">
        <w:rPr>
          <w:b w:val="0"/>
        </w:rPr>
        <w:t xml:space="preserve">Směsný komunální odpad </w:t>
      </w:r>
      <w:r w:rsidR="00D1387D" w:rsidRPr="00187CA3">
        <w:rPr>
          <w:b w:val="0"/>
        </w:rPr>
        <w:t>–</w:t>
      </w:r>
      <w:r w:rsidRPr="00187CA3">
        <w:rPr>
          <w:b w:val="0"/>
        </w:rPr>
        <w:t xml:space="preserve"> </w:t>
      </w:r>
      <w:r w:rsidR="00D1387D" w:rsidRPr="00187CA3">
        <w:rPr>
          <w:b w:val="0"/>
        </w:rPr>
        <w:t>část komunálního odpadu bez tříděn</w:t>
      </w:r>
      <w:r w:rsidR="00093B88" w:rsidRPr="00187CA3">
        <w:rPr>
          <w:b w:val="0"/>
        </w:rPr>
        <w:t>ého</w:t>
      </w:r>
      <w:r w:rsidR="00D1387D" w:rsidRPr="00187CA3">
        <w:rPr>
          <w:b w:val="0"/>
        </w:rPr>
        <w:t xml:space="preserve"> odpad</w:t>
      </w:r>
      <w:r w:rsidR="00093B88" w:rsidRPr="00187CA3">
        <w:rPr>
          <w:b w:val="0"/>
        </w:rPr>
        <w:t>u</w:t>
      </w:r>
      <w:r w:rsidR="00D1387D" w:rsidRPr="00187CA3">
        <w:rPr>
          <w:b w:val="0"/>
        </w:rPr>
        <w:t>.</w:t>
      </w:r>
    </w:p>
    <w:p w14:paraId="40E4C2FE" w14:textId="77777777" w:rsidR="006C27E9" w:rsidRPr="00187CA3" w:rsidRDefault="000A5F6C" w:rsidP="00E43158">
      <w:pPr>
        <w:pStyle w:val="Text"/>
        <w:rPr>
          <w:b/>
        </w:rPr>
      </w:pPr>
      <w:r w:rsidRPr="00187CA3">
        <w:rPr>
          <w:b/>
        </w:rPr>
        <w:t>Nakládání s nebezpečnými odpady</w:t>
      </w:r>
    </w:p>
    <w:p w14:paraId="23196431" w14:textId="2CB3A790" w:rsidR="001510FA" w:rsidRDefault="000A5F6C" w:rsidP="00317028">
      <w:pPr>
        <w:pStyle w:val="TextKP"/>
      </w:pPr>
      <w:r w:rsidRPr="0085490A">
        <w:t xml:space="preserve">Dle </w:t>
      </w:r>
      <w:r>
        <w:t>zákona o odpadech</w:t>
      </w:r>
      <w:r w:rsidRPr="0085490A">
        <w:t xml:space="preserve"> </w:t>
      </w:r>
      <w:r>
        <w:t>byl</w:t>
      </w:r>
      <w:r w:rsidRPr="0085490A">
        <w:t xml:space="preserve"> </w:t>
      </w:r>
      <w:r>
        <w:t xml:space="preserve">původce nebezpečných odpadů povinen </w:t>
      </w:r>
      <w:r w:rsidRPr="0085490A">
        <w:t xml:space="preserve">za ukládání </w:t>
      </w:r>
      <w:r>
        <w:t xml:space="preserve">nebezpečných </w:t>
      </w:r>
      <w:r w:rsidRPr="0085490A">
        <w:t>odpadů na skládky platit</w:t>
      </w:r>
      <w:r w:rsidR="00A12F40" w:rsidRPr="00A12F40">
        <w:t xml:space="preserve"> </w:t>
      </w:r>
      <w:r w:rsidR="00A12F40">
        <w:t>vedle z</w:t>
      </w:r>
      <w:r w:rsidR="00A12F40" w:rsidRPr="00A12F40">
        <w:t>ákladní složk</w:t>
      </w:r>
      <w:r w:rsidR="00A12F40">
        <w:t>y</w:t>
      </w:r>
      <w:r w:rsidR="00A12F40" w:rsidRPr="00A12F40">
        <w:t xml:space="preserve"> poplatku </w:t>
      </w:r>
      <w:r w:rsidR="00A12F40">
        <w:t>(500 Kč/</w:t>
      </w:r>
      <w:r w:rsidR="00A3462F">
        <w:t>t</w:t>
      </w:r>
      <w:r w:rsidR="00A12F40">
        <w:t xml:space="preserve">) také </w:t>
      </w:r>
      <w:r w:rsidR="00A12F40" w:rsidRPr="00A12F40">
        <w:t>rizikov</w:t>
      </w:r>
      <w:r w:rsidR="00A12F40">
        <w:t>ou složku poplatku</w:t>
      </w:r>
      <w:r>
        <w:t>, tzv. s</w:t>
      </w:r>
      <w:r w:rsidRPr="0085490A">
        <w:t>azb</w:t>
      </w:r>
      <w:r w:rsidR="00A12F40">
        <w:t>u</w:t>
      </w:r>
      <w:r>
        <w:t xml:space="preserve"> </w:t>
      </w:r>
      <w:r w:rsidRPr="0085490A">
        <w:t>rizikového</w:t>
      </w:r>
      <w:r>
        <w:t xml:space="preserve"> </w:t>
      </w:r>
      <w:r w:rsidRPr="0085490A">
        <w:t>poplatku</w:t>
      </w:r>
      <w:r>
        <w:t xml:space="preserve"> </w:t>
      </w:r>
      <w:r w:rsidRPr="0085490A">
        <w:t>za</w:t>
      </w:r>
      <w:r>
        <w:t xml:space="preserve"> </w:t>
      </w:r>
      <w:r w:rsidRPr="0085490A">
        <w:t>ukládání</w:t>
      </w:r>
      <w:r>
        <w:t xml:space="preserve"> </w:t>
      </w:r>
      <w:r w:rsidRPr="0085490A">
        <w:t>nebezpečných</w:t>
      </w:r>
      <w:r>
        <w:t xml:space="preserve"> </w:t>
      </w:r>
      <w:r w:rsidRPr="0085490A">
        <w:t>odpadů</w:t>
      </w:r>
      <w:r w:rsidR="00A12F40">
        <w:t xml:space="preserve"> (4 500 Kč/t)</w:t>
      </w:r>
      <w:r w:rsidRPr="0085490A">
        <w:t xml:space="preserve">. </w:t>
      </w:r>
      <w:r>
        <w:t>Na</w:t>
      </w:r>
      <w:r w:rsidR="00674E42">
        <w:t xml:space="preserve"> </w:t>
      </w:r>
      <w:r>
        <w:t xml:space="preserve">základě </w:t>
      </w:r>
      <w:r w:rsidRPr="006A7E72">
        <w:t xml:space="preserve">dat z ISOH o nakládání s nebezpečnými odpady </w:t>
      </w:r>
      <w:r>
        <w:t>bylo kontrolou zjištěno,</w:t>
      </w:r>
      <w:r w:rsidRPr="006A7E72">
        <w:t xml:space="preserve"> že</w:t>
      </w:r>
      <w:r>
        <w:t xml:space="preserve"> v letech 2016 až</w:t>
      </w:r>
      <w:r w:rsidR="00674E42">
        <w:t xml:space="preserve"> </w:t>
      </w:r>
      <w:r>
        <w:t xml:space="preserve">2020 byla na skládky uložena 1 </w:t>
      </w:r>
      <w:proofErr w:type="spellStart"/>
      <w:r>
        <w:t>Mt</w:t>
      </w:r>
      <w:proofErr w:type="spellEnd"/>
      <w:r>
        <w:t xml:space="preserve"> nebezpečných odpadů, z toho pouze 7 % (0,08 </w:t>
      </w:r>
      <w:proofErr w:type="spellStart"/>
      <w:r>
        <w:t>Mt</w:t>
      </w:r>
      <w:proofErr w:type="spellEnd"/>
      <w:r>
        <w:t>) bylo zpoplatněno rizikovou složkou poplatku</w:t>
      </w:r>
      <w:r w:rsidRPr="00475107">
        <w:t xml:space="preserve"> </w:t>
      </w:r>
      <w:r w:rsidRPr="006A7E72">
        <w:t>za uložení nebezpečného odpadu na</w:t>
      </w:r>
      <w:r w:rsidR="00A3462F">
        <w:t xml:space="preserve"> </w:t>
      </w:r>
      <w:r w:rsidRPr="006A7E72">
        <w:t xml:space="preserve">skládky </w:t>
      </w:r>
      <w:r>
        <w:t>po</w:t>
      </w:r>
      <w:r w:rsidRPr="006A7E72">
        <w:t>dle</w:t>
      </w:r>
      <w:r>
        <w:t xml:space="preserve"> </w:t>
      </w:r>
      <w:r w:rsidR="004C5643">
        <w:t xml:space="preserve">ustanovení </w:t>
      </w:r>
      <w:r w:rsidRPr="00475107">
        <w:t>§ 46 odst. 1 zákona č. 185/2001 Sb.</w:t>
      </w:r>
      <w:r w:rsidR="00BB708E">
        <w:t xml:space="preserve"> </w:t>
      </w:r>
      <w:r>
        <w:t>Za roky 2016 až 2020 bylo například vykázáno 0,</w:t>
      </w:r>
      <w:r w:rsidRPr="00184B75">
        <w:t>6</w:t>
      </w:r>
      <w:r>
        <w:t xml:space="preserve"> </w:t>
      </w:r>
      <w:proofErr w:type="spellStart"/>
      <w:r>
        <w:t>Mt</w:t>
      </w:r>
      <w:proofErr w:type="spellEnd"/>
      <w:r w:rsidRPr="00184B75">
        <w:t xml:space="preserve"> nebezpečných odpadů uložen</w:t>
      </w:r>
      <w:r>
        <w:t xml:space="preserve">ých </w:t>
      </w:r>
      <w:r w:rsidR="00BB708E">
        <w:t>na</w:t>
      </w:r>
      <w:r w:rsidR="0014629E">
        <w:t xml:space="preserve"> </w:t>
      </w:r>
      <w:r w:rsidR="00BB708E">
        <w:t xml:space="preserve">skládky </w:t>
      </w:r>
      <w:r>
        <w:t xml:space="preserve">jako terénní úpravy </w:t>
      </w:r>
      <w:r w:rsidR="00BB708E">
        <w:t>bez</w:t>
      </w:r>
      <w:r w:rsidR="00674E42">
        <w:t xml:space="preserve"> </w:t>
      </w:r>
      <w:r w:rsidR="00BB708E">
        <w:t>zpoplatnění rizikovou sazbou</w:t>
      </w:r>
      <w:r>
        <w:t>, což</w:t>
      </w:r>
      <w:r w:rsidR="0014629E">
        <w:t xml:space="preserve"> </w:t>
      </w:r>
      <w:r>
        <w:t>představuje</w:t>
      </w:r>
      <w:r w:rsidRPr="00184B75">
        <w:t xml:space="preserve"> snížení příjm</w:t>
      </w:r>
      <w:r w:rsidR="0014629E">
        <w:t>ů</w:t>
      </w:r>
      <w:r w:rsidRPr="00184B75">
        <w:t xml:space="preserve"> za ukládání nebezpečných odpadů na skládky</w:t>
      </w:r>
      <w:r>
        <w:t xml:space="preserve"> </w:t>
      </w:r>
      <w:r w:rsidR="0014629E">
        <w:t>o více než</w:t>
      </w:r>
      <w:r w:rsidR="00BB708E" w:rsidRPr="00D93E0B">
        <w:t xml:space="preserve"> 2,5 mld. Kč</w:t>
      </w:r>
      <w:r w:rsidR="0014629E">
        <w:t>;</w:t>
      </w:r>
      <w:r w:rsidR="00BB708E" w:rsidRPr="00D93E0B">
        <w:t xml:space="preserve"> </w:t>
      </w:r>
      <w:r w:rsidR="0014629E">
        <w:t xml:space="preserve">tyto příjmy </w:t>
      </w:r>
      <w:r w:rsidR="00A12F40">
        <w:t>měly</w:t>
      </w:r>
      <w:r w:rsidRPr="00D93E0B">
        <w:t xml:space="preserve"> podle § 48 odst. 3 zákona č. 185/2001 Sb. náleže</w:t>
      </w:r>
      <w:r w:rsidR="00A12F40">
        <w:t>t</w:t>
      </w:r>
      <w:r w:rsidRPr="00D93E0B">
        <w:t xml:space="preserve"> SFŽP</w:t>
      </w:r>
      <w:r w:rsidR="00A228EF" w:rsidRPr="00D93E0B">
        <w:t xml:space="preserve">, viz příloha č. </w:t>
      </w:r>
      <w:r w:rsidR="001774D3">
        <w:t>6</w:t>
      </w:r>
      <w:r w:rsidR="00A228EF" w:rsidRPr="00D93E0B">
        <w:t xml:space="preserve"> </w:t>
      </w:r>
      <w:r w:rsidR="0014629E">
        <w:t xml:space="preserve">tohoto </w:t>
      </w:r>
      <w:r w:rsidR="00A228EF" w:rsidRPr="00D93E0B">
        <w:t>kontrolního závěru.</w:t>
      </w:r>
      <w:r w:rsidR="00A12F40" w:rsidRPr="00A12F40">
        <w:t xml:space="preserve"> Podle zákona o</w:t>
      </w:r>
      <w:r w:rsidR="00A30CA1">
        <w:t> </w:t>
      </w:r>
      <w:r w:rsidR="00A12F40" w:rsidRPr="00A12F40">
        <w:t>odpadech byl SFŽP příjemcem části vybraných poplatků</w:t>
      </w:r>
      <w:r w:rsidR="00F2139B">
        <w:t xml:space="preserve">, </w:t>
      </w:r>
      <w:r w:rsidR="00A12F40" w:rsidRPr="00A12F40">
        <w:t>a</w:t>
      </w:r>
      <w:r w:rsidR="00F2139B">
        <w:t>však</w:t>
      </w:r>
      <w:r w:rsidR="00A12F40" w:rsidRPr="00A12F40">
        <w:t xml:space="preserve"> neměl kontrolní pravomoc pro</w:t>
      </w:r>
      <w:r w:rsidR="00674E42">
        <w:t xml:space="preserve"> </w:t>
      </w:r>
      <w:r w:rsidR="00A12F40" w:rsidRPr="00A12F40">
        <w:t>kontrolu průběžné evidence ukládaných odpadů na skládk</w:t>
      </w:r>
      <w:r w:rsidR="0014629E">
        <w:t>y</w:t>
      </w:r>
      <w:r w:rsidR="00A12F40" w:rsidRPr="00A12F40">
        <w:t>. Tuto pravomoc měl</w:t>
      </w:r>
      <w:r w:rsidR="00086FAE">
        <w:t>a</w:t>
      </w:r>
      <w:r w:rsidR="00A12F40" w:rsidRPr="00A12F40">
        <w:t xml:space="preserve"> Č</w:t>
      </w:r>
      <w:r w:rsidR="00A12F40">
        <w:t>IŽP</w:t>
      </w:r>
      <w:r w:rsidR="00A12F40" w:rsidRPr="00A12F40">
        <w:t>, krajské úřady a příslušné obce, na jejichž katastrálním území</w:t>
      </w:r>
      <w:r w:rsidR="0014629E">
        <w:t xml:space="preserve"> se</w:t>
      </w:r>
      <w:r w:rsidR="00A12F40" w:rsidRPr="00A12F40">
        <w:t xml:space="preserve"> skládky </w:t>
      </w:r>
      <w:r w:rsidR="0014629E">
        <w:t>nacházejí</w:t>
      </w:r>
      <w:r w:rsidR="00A12F40" w:rsidRPr="00A12F40">
        <w:t>.</w:t>
      </w:r>
    </w:p>
    <w:p w14:paraId="74EADD95" w14:textId="77777777" w:rsidR="00DB7E0C" w:rsidRDefault="00DB7E0C">
      <w:pPr>
        <w:rPr>
          <w:rFonts w:eastAsiaTheme="majorEastAsia" w:cstheme="majorBidi"/>
          <w:b/>
          <w:bCs/>
          <w:iCs/>
        </w:rPr>
      </w:pPr>
      <w:r>
        <w:br w:type="page"/>
      </w:r>
    </w:p>
    <w:p w14:paraId="20255E14" w14:textId="575F0FB8" w:rsidR="00100DDA" w:rsidRDefault="000A5F6C" w:rsidP="005567EF">
      <w:pPr>
        <w:pStyle w:val="Nadpis4"/>
      </w:pPr>
      <w:r w:rsidRPr="00D93E0B">
        <w:lastRenderedPageBreak/>
        <w:t xml:space="preserve">Kontrolou </w:t>
      </w:r>
      <w:r w:rsidR="00286A0F">
        <w:t>NKÚ</w:t>
      </w:r>
      <w:r w:rsidR="00250709">
        <w:t xml:space="preserve"> u</w:t>
      </w:r>
      <w:r w:rsidR="00286A0F">
        <w:t xml:space="preserve"> </w:t>
      </w:r>
      <w:r w:rsidRPr="00D93E0B">
        <w:t xml:space="preserve">projektů </w:t>
      </w:r>
      <w:r w:rsidR="00250709">
        <w:t xml:space="preserve">OPŽP </w:t>
      </w:r>
      <w:r w:rsidRPr="00D93E0B">
        <w:t>zaměřených na předcházení</w:t>
      </w:r>
      <w:r w:rsidR="0005526E">
        <w:t xml:space="preserve"> vzniku odpad</w:t>
      </w:r>
      <w:r w:rsidR="00A30CA1">
        <w:t>ů</w:t>
      </w:r>
      <w:r w:rsidRPr="00820E3F">
        <w:t xml:space="preserve"> či </w:t>
      </w:r>
      <w:r w:rsidR="009A5D34">
        <w:t xml:space="preserve">na </w:t>
      </w:r>
      <w:r w:rsidRPr="00820E3F">
        <w:t>nakládání s</w:t>
      </w:r>
      <w:r w:rsidR="00286A0F">
        <w:t> </w:t>
      </w:r>
      <w:r w:rsidRPr="00820E3F">
        <w:t>odpady byly zjištěny nedostatky</w:t>
      </w:r>
    </w:p>
    <w:p w14:paraId="5496FA88" w14:textId="77777777" w:rsidR="00D84788" w:rsidRPr="00D84788" w:rsidRDefault="000A5F6C" w:rsidP="001A27ED">
      <w:pPr>
        <w:pStyle w:val="TextKP"/>
        <w:numPr>
          <w:ilvl w:val="0"/>
          <w:numId w:val="29"/>
        </w:numPr>
        <w:ind w:left="284" w:hanging="284"/>
        <w:outlineLvl w:val="4"/>
        <w:rPr>
          <w:b/>
        </w:rPr>
      </w:pPr>
      <w:r w:rsidRPr="00D84788">
        <w:rPr>
          <w:b/>
        </w:rPr>
        <w:t>Zadávání veřejných zakázek</w:t>
      </w:r>
    </w:p>
    <w:p w14:paraId="3F16285F" w14:textId="0B5CBC1B" w:rsidR="00D84788" w:rsidRPr="00900DA1" w:rsidRDefault="000A5F6C" w:rsidP="00D50970">
      <w:pPr>
        <w:pStyle w:val="TextKP"/>
      </w:pPr>
      <w:r w:rsidRPr="00E262DE">
        <w:t xml:space="preserve">U jednoho příjemce </w:t>
      </w:r>
      <w:r w:rsidR="00103EBB" w:rsidRPr="00E262DE">
        <w:t>dotace</w:t>
      </w:r>
      <w:r w:rsidRPr="00E262DE">
        <w:t xml:space="preserve"> z OPŽP</w:t>
      </w:r>
      <w:r>
        <w:t xml:space="preserve"> bylo kontrolou</w:t>
      </w:r>
      <w:r w:rsidR="007C2BAC">
        <w:t xml:space="preserve"> NKÚ</w:t>
      </w:r>
      <w:r>
        <w:t xml:space="preserve"> zjištěno, že </w:t>
      </w:r>
      <w:r w:rsidRPr="00C82DB7">
        <w:t xml:space="preserve">nepostupoval v souladu </w:t>
      </w:r>
      <w:r w:rsidR="007C2BAC">
        <w:t>se</w:t>
      </w:r>
      <w:r w:rsidR="00E262DE">
        <w:t xml:space="preserve"> </w:t>
      </w:r>
      <w:r w:rsidR="007C2BAC">
        <w:t>zákonem o zadávání veřejných zakázek</w:t>
      </w:r>
      <w:r w:rsidR="007C2BAC">
        <w:rPr>
          <w:rStyle w:val="Znakapoznpodarou"/>
        </w:rPr>
        <w:footnoteReference w:id="25"/>
      </w:r>
      <w:r w:rsidR="00E262DE">
        <w:t xml:space="preserve">, neboť </w:t>
      </w:r>
      <w:r w:rsidRPr="00C82DB7">
        <w:t>v</w:t>
      </w:r>
      <w:r w:rsidR="00E262DE">
        <w:t xml:space="preserve"> </w:t>
      </w:r>
      <w:r w:rsidRPr="00C82DB7">
        <w:t>zadávací dokumentaci vymezil technickou specifikaci způsobem</w:t>
      </w:r>
      <w:r w:rsidR="002526DA">
        <w:t xml:space="preserve"> omezujícím </w:t>
      </w:r>
      <w:r w:rsidRPr="00C82DB7">
        <w:t>okruh možných účastníků zadávacího řízení</w:t>
      </w:r>
      <w:r w:rsidR="007C2BAC">
        <w:t>, čímž</w:t>
      </w:r>
      <w:r w:rsidR="00E262DE">
        <w:t xml:space="preserve"> </w:t>
      </w:r>
      <w:r w:rsidR="007C2BAC">
        <w:t>také nedodržel zásadu zákazu diskriminace</w:t>
      </w:r>
      <w:r w:rsidR="00D50970">
        <w:t xml:space="preserve">, což </w:t>
      </w:r>
      <w:r w:rsidR="00D50970" w:rsidRPr="00900DA1">
        <w:t>NKÚ vyhodnotil jako skutečnost nasvědčující porušení rozpočtové kázně ve výši až 231 627 Kč dle rozpočtových pravidel</w:t>
      </w:r>
      <w:r w:rsidRPr="00900DA1">
        <w:rPr>
          <w:rStyle w:val="Znakapoznpodarou"/>
        </w:rPr>
        <w:footnoteReference w:id="26"/>
      </w:r>
      <w:r w:rsidR="00D50970" w:rsidRPr="00900DA1">
        <w:t>.</w:t>
      </w:r>
    </w:p>
    <w:p w14:paraId="50178CBE" w14:textId="77777777" w:rsidR="00D84788" w:rsidRPr="00900DA1" w:rsidRDefault="000A5F6C" w:rsidP="001A27ED">
      <w:pPr>
        <w:pStyle w:val="TextKP"/>
        <w:numPr>
          <w:ilvl w:val="0"/>
          <w:numId w:val="29"/>
        </w:numPr>
        <w:ind w:left="284" w:hanging="284"/>
        <w:outlineLvl w:val="4"/>
        <w:rPr>
          <w:b/>
          <w:lang w:bidi="cs-CZ"/>
        </w:rPr>
      </w:pPr>
      <w:r w:rsidRPr="00900DA1">
        <w:rPr>
          <w:b/>
          <w:lang w:bidi="cs-CZ"/>
        </w:rPr>
        <w:t>Vedení účetnictví</w:t>
      </w:r>
    </w:p>
    <w:p w14:paraId="327F32C3" w14:textId="6C4089AA" w:rsidR="00D84788" w:rsidRPr="005F4B16" w:rsidRDefault="000A5F6C" w:rsidP="00D84788">
      <w:pPr>
        <w:pStyle w:val="TextKP"/>
      </w:pPr>
      <w:r w:rsidRPr="00900DA1">
        <w:t xml:space="preserve">U jednoho příjemce </w:t>
      </w:r>
      <w:r w:rsidR="00103EBB" w:rsidRPr="00900DA1">
        <w:t>dotace z</w:t>
      </w:r>
      <w:r w:rsidRPr="00900DA1">
        <w:t xml:space="preserve"> OPŽP bylo kontrolou zjištěno, že nevedl odděleně evidenci </w:t>
      </w:r>
      <w:r w:rsidR="00711FCA">
        <w:br/>
      </w:r>
      <w:r w:rsidRPr="00900DA1">
        <w:t>o</w:t>
      </w:r>
      <w:r w:rsidR="00711FCA">
        <w:t xml:space="preserve"> </w:t>
      </w:r>
      <w:r w:rsidRPr="00900DA1">
        <w:t>veškerých příjmech</w:t>
      </w:r>
      <w:r w:rsidR="00711FCA">
        <w:t>,</w:t>
      </w:r>
      <w:r w:rsidRPr="00900DA1">
        <w:t xml:space="preserve"> výdajích, výnosech a</w:t>
      </w:r>
      <w:r w:rsidR="00711FCA">
        <w:t xml:space="preserve"> </w:t>
      </w:r>
      <w:r w:rsidRPr="00900DA1">
        <w:t>nákladech projektu a</w:t>
      </w:r>
      <w:r w:rsidR="00711FCA">
        <w:t xml:space="preserve"> </w:t>
      </w:r>
      <w:r w:rsidRPr="00900DA1">
        <w:t xml:space="preserve">nedoložil úplné vedení účetnictví. </w:t>
      </w:r>
      <w:r w:rsidR="00711FCA">
        <w:t>Kontrola odhalila</w:t>
      </w:r>
      <w:r w:rsidRPr="00900DA1">
        <w:t xml:space="preserve">, že účetnictví projektu nebylo vedeno řádným způsobem </w:t>
      </w:r>
      <w:r w:rsidR="0070682D">
        <w:br/>
      </w:r>
      <w:r w:rsidRPr="00900DA1">
        <w:t>v</w:t>
      </w:r>
      <w:r w:rsidR="0070682D">
        <w:t xml:space="preserve"> </w:t>
      </w:r>
      <w:r w:rsidRPr="00900DA1">
        <w:t>souladu se</w:t>
      </w:r>
      <w:r w:rsidR="00403498">
        <w:t xml:space="preserve"> </w:t>
      </w:r>
      <w:r w:rsidRPr="00900DA1">
        <w:t xml:space="preserve">zákonem </w:t>
      </w:r>
      <w:r w:rsidR="007C2BAC" w:rsidRPr="00900DA1">
        <w:t>o účetnictví</w:t>
      </w:r>
      <w:r w:rsidR="007C2BAC" w:rsidRPr="00900DA1">
        <w:rPr>
          <w:rStyle w:val="Znakapoznpodarou"/>
        </w:rPr>
        <w:footnoteReference w:id="27"/>
      </w:r>
      <w:r w:rsidR="00A863EE" w:rsidRPr="00900DA1">
        <w:t>,</w:t>
      </w:r>
      <w:r w:rsidRPr="00900DA1">
        <w:t xml:space="preserve"> </w:t>
      </w:r>
      <w:r w:rsidR="00A863EE" w:rsidRPr="00900DA1">
        <w:t>což NKÚ vyhodnotil jako skutečnost nasvědčující porušení rozpočtové kázně ve výši až 215 050 Kč dle rozpočtových pravidel</w:t>
      </w:r>
      <w:r w:rsidR="00786C5B" w:rsidRPr="00900DA1">
        <w:rPr>
          <w:vertAlign w:val="superscript"/>
        </w:rPr>
        <w:t>2</w:t>
      </w:r>
      <w:r w:rsidR="003C7DD1">
        <w:rPr>
          <w:vertAlign w:val="superscript"/>
        </w:rPr>
        <w:t>6</w:t>
      </w:r>
      <w:r w:rsidRPr="00900DA1">
        <w:t>.</w:t>
      </w:r>
    </w:p>
    <w:p w14:paraId="54CB1F3B" w14:textId="77777777" w:rsidR="00D84788" w:rsidRPr="00317028" w:rsidRDefault="000A5F6C" w:rsidP="001A27ED">
      <w:pPr>
        <w:pStyle w:val="TextKP"/>
        <w:numPr>
          <w:ilvl w:val="0"/>
          <w:numId w:val="29"/>
        </w:numPr>
        <w:ind w:left="284" w:hanging="284"/>
        <w:outlineLvl w:val="4"/>
        <w:rPr>
          <w:b/>
        </w:rPr>
      </w:pPr>
      <w:r w:rsidRPr="00317028">
        <w:rPr>
          <w:b/>
        </w:rPr>
        <w:t>Způsobilost výdajů</w:t>
      </w:r>
    </w:p>
    <w:p w14:paraId="0F7A03B6" w14:textId="23A1F9FE" w:rsidR="00C84EC2" w:rsidRDefault="00C84EC2">
      <w:pPr>
        <w:pStyle w:val="TextKP"/>
      </w:pPr>
      <w:r>
        <w:t xml:space="preserve">Kontrolou NKÚ bylo ve dvou případech zjištěno, že příjemce dotace </w:t>
      </w:r>
      <w:r w:rsidR="00A05DF3">
        <w:t xml:space="preserve">zahrnul </w:t>
      </w:r>
      <w:r>
        <w:t xml:space="preserve">do způsobilých výdajů projektu i výdaje, které nebylo možné dle pravidel OPŽP považovat za způsobilé, </w:t>
      </w:r>
      <w:r w:rsidRPr="00A863EE">
        <w:t>což</w:t>
      </w:r>
      <w:r w:rsidR="00403498">
        <w:t xml:space="preserve"> </w:t>
      </w:r>
      <w:r w:rsidRPr="00A863EE">
        <w:t>NKÚ vyhodnotil</w:t>
      </w:r>
      <w:r w:rsidR="003A715C">
        <w:t xml:space="preserve"> jako</w:t>
      </w:r>
      <w:r w:rsidR="002E691A">
        <w:t xml:space="preserve"> </w:t>
      </w:r>
      <w:r w:rsidRPr="00A863EE">
        <w:t>skutečnost</w:t>
      </w:r>
      <w:r>
        <w:t>i</w:t>
      </w:r>
      <w:r w:rsidRPr="00A863EE">
        <w:t xml:space="preserve"> nasvědčující porušení rozpočtové kázně dle rozpočtových pravidel</w:t>
      </w:r>
      <w:r>
        <w:rPr>
          <w:rStyle w:val="Znakapoznpodarou"/>
        </w:rPr>
        <w:footnoteReference w:id="28"/>
      </w:r>
      <w:r w:rsidR="003A715C" w:rsidRPr="003A715C">
        <w:t xml:space="preserve"> </w:t>
      </w:r>
      <w:r w:rsidR="003A715C">
        <w:t xml:space="preserve">a </w:t>
      </w:r>
      <w:r w:rsidR="003A715C" w:rsidRPr="00A863EE">
        <w:t xml:space="preserve">jako </w:t>
      </w:r>
      <w:r w:rsidR="003A715C">
        <w:t>nesrovnalost</w:t>
      </w:r>
      <w:r w:rsidR="00A05DF3">
        <w:t xml:space="preserve"> dle unijní legislativy</w:t>
      </w:r>
      <w:r w:rsidR="003A715C">
        <w:rPr>
          <w:rStyle w:val="Znakapoznpodarou"/>
        </w:rPr>
        <w:footnoteReference w:id="29"/>
      </w:r>
      <w:r>
        <w:t xml:space="preserve">. SFŽP </w:t>
      </w:r>
      <w:r w:rsidR="00C96C48">
        <w:t xml:space="preserve">tyto nedostatky </w:t>
      </w:r>
      <w:r>
        <w:t xml:space="preserve">nezjistil </w:t>
      </w:r>
      <w:r w:rsidR="00C96C48">
        <w:t>a v</w:t>
      </w:r>
      <w:r w:rsidR="00A05DF3">
        <w:t xml:space="preserve"> </w:t>
      </w:r>
      <w:r w:rsidR="00C96C48">
        <w:t>obou případech schválil vyúčtování v</w:t>
      </w:r>
      <w:r w:rsidR="00A05DF3">
        <w:t xml:space="preserve"> </w:t>
      </w:r>
      <w:r w:rsidR="00C96C48">
        <w:t xml:space="preserve">příjemcem požadované výši, čímž </w:t>
      </w:r>
      <w:r w:rsidR="00C96C48" w:rsidRPr="00C96C48">
        <w:t xml:space="preserve">nepostupoval v souladu </w:t>
      </w:r>
      <w:r w:rsidR="002526DA">
        <w:t xml:space="preserve">se </w:t>
      </w:r>
      <w:r w:rsidR="00C96C48">
        <w:t>zákonem o finanční kontrole</w:t>
      </w:r>
      <w:r w:rsidR="00C96C48">
        <w:rPr>
          <w:rStyle w:val="Znakapoznpodarou"/>
        </w:rPr>
        <w:footnoteReference w:id="30"/>
      </w:r>
      <w:r w:rsidR="00C96C48">
        <w:t xml:space="preserve"> a jeho prováděcí vyhláškou</w:t>
      </w:r>
      <w:r w:rsidR="00C96C48">
        <w:rPr>
          <w:rStyle w:val="Znakapoznpodarou"/>
        </w:rPr>
        <w:footnoteReference w:id="31"/>
      </w:r>
      <w:r w:rsidR="00C96C48">
        <w:t>.</w:t>
      </w:r>
    </w:p>
    <w:p w14:paraId="56ED1876" w14:textId="77777777" w:rsidR="00D84788" w:rsidRPr="00D84788" w:rsidRDefault="000A5F6C" w:rsidP="001A27ED">
      <w:pPr>
        <w:pStyle w:val="TextKP"/>
        <w:numPr>
          <w:ilvl w:val="0"/>
          <w:numId w:val="29"/>
        </w:numPr>
        <w:ind w:left="284" w:hanging="284"/>
        <w:outlineLvl w:val="4"/>
        <w:rPr>
          <w:b/>
        </w:rPr>
      </w:pPr>
      <w:r w:rsidRPr="00D84788">
        <w:rPr>
          <w:b/>
        </w:rPr>
        <w:t xml:space="preserve">Časové prodlevy </w:t>
      </w:r>
      <w:r w:rsidR="00E14859">
        <w:rPr>
          <w:b/>
        </w:rPr>
        <w:t>u</w:t>
      </w:r>
      <w:r w:rsidRPr="00D84788">
        <w:rPr>
          <w:b/>
        </w:rPr>
        <w:t xml:space="preserve"> závěrečn</w:t>
      </w:r>
      <w:r w:rsidR="00D4180D">
        <w:rPr>
          <w:b/>
        </w:rPr>
        <w:t>ého</w:t>
      </w:r>
      <w:r w:rsidRPr="00D84788">
        <w:rPr>
          <w:b/>
        </w:rPr>
        <w:t xml:space="preserve"> vyhodnocování projektů</w:t>
      </w:r>
    </w:p>
    <w:p w14:paraId="60D03B4F" w14:textId="0E2701FB" w:rsidR="00D84788" w:rsidRDefault="000A5F6C" w:rsidP="00D84788">
      <w:pPr>
        <w:pStyle w:val="TextKP"/>
      </w:pPr>
      <w:r>
        <w:t xml:space="preserve">Kontrolou NKÚ bylo zjištěno, že </w:t>
      </w:r>
      <w:r w:rsidRPr="00035AB0">
        <w:t xml:space="preserve">SFŽP </w:t>
      </w:r>
      <w:r>
        <w:t>u 10 z 11</w:t>
      </w:r>
      <w:r w:rsidRPr="00035AB0">
        <w:t xml:space="preserve"> kontrolovaných projektů</w:t>
      </w:r>
      <w:r>
        <w:t xml:space="preserve"> neprovedl kontrolu závěrečných zpr</w:t>
      </w:r>
      <w:r w:rsidR="0039408D">
        <w:t>á</w:t>
      </w:r>
      <w:r>
        <w:t>v o realizaci projekt</w:t>
      </w:r>
      <w:r w:rsidR="00DE49D6">
        <w:t>u</w:t>
      </w:r>
      <w:r>
        <w:t xml:space="preserve"> ve lhůtě</w:t>
      </w:r>
      <w:r w:rsidR="00BE4F70">
        <w:t xml:space="preserve"> </w:t>
      </w:r>
      <w:r>
        <w:t>10 dnů</w:t>
      </w:r>
      <w:r w:rsidR="00BE4F70">
        <w:rPr>
          <w:rStyle w:val="Znakapoznpodarou"/>
        </w:rPr>
        <w:footnoteReference w:id="32"/>
      </w:r>
      <w:r w:rsidR="00BE4F70">
        <w:t xml:space="preserve"> </w:t>
      </w:r>
      <w:r w:rsidR="001B11D0">
        <w:t>stanovené v</w:t>
      </w:r>
      <w:r w:rsidR="003B6C4B">
        <w:t xml:space="preserve"> </w:t>
      </w:r>
      <w:r w:rsidR="00DE49D6">
        <w:t>o</w:t>
      </w:r>
      <w:r w:rsidR="001B11D0">
        <w:t>peračním manuálu OPŽP</w:t>
      </w:r>
      <w:r w:rsidR="001B11D0">
        <w:rPr>
          <w:rStyle w:val="Znakapoznpodarou"/>
        </w:rPr>
        <w:footnoteReference w:id="33"/>
      </w:r>
      <w:r>
        <w:t>, v pěti případech tak</w:t>
      </w:r>
      <w:r w:rsidR="00403498">
        <w:t xml:space="preserve"> </w:t>
      </w:r>
      <w:r>
        <w:t>učinil za déle než půl roku a ve třech případech až</w:t>
      </w:r>
      <w:r w:rsidR="00403498">
        <w:t xml:space="preserve"> </w:t>
      </w:r>
      <w:r>
        <w:t>za</w:t>
      </w:r>
      <w:r w:rsidR="00403498">
        <w:t xml:space="preserve"> </w:t>
      </w:r>
      <w:r>
        <w:t>déle než</w:t>
      </w:r>
      <w:r w:rsidR="00403498">
        <w:t xml:space="preserve"> </w:t>
      </w:r>
      <w:r>
        <w:t xml:space="preserve">rok. </w:t>
      </w:r>
      <w:r>
        <w:lastRenderedPageBreak/>
        <w:t>Další časové prodlevy byly u SFŽP zjištěny v procesu kontroly a</w:t>
      </w:r>
      <w:r w:rsidR="00403498">
        <w:t xml:space="preserve"> </w:t>
      </w:r>
      <w:r>
        <w:t>posuzování projektových změn a zpráv o udržitelnosti projektu.</w:t>
      </w:r>
    </w:p>
    <w:p w14:paraId="2F803ABD" w14:textId="43DCC941" w:rsidR="00286A0F" w:rsidRDefault="000A5F6C" w:rsidP="00D84788">
      <w:pPr>
        <w:pStyle w:val="TextKP"/>
      </w:pPr>
      <w:r w:rsidRPr="00056232">
        <w:t xml:space="preserve">MŽP </w:t>
      </w:r>
      <w:r w:rsidRPr="00D84788">
        <w:t>jako</w:t>
      </w:r>
      <w:r w:rsidRPr="00056232">
        <w:t xml:space="preserve"> řídicí orgán</w:t>
      </w:r>
      <w:r>
        <w:t xml:space="preserve"> </w:t>
      </w:r>
      <w:r w:rsidRPr="00056232">
        <w:t>O</w:t>
      </w:r>
      <w:r>
        <w:t xml:space="preserve">PŽP a správce programu </w:t>
      </w:r>
      <w:r w:rsidRPr="00056232">
        <w:t xml:space="preserve">nepostupovalo v souladu </w:t>
      </w:r>
      <w:r w:rsidR="001B11D0">
        <w:t>s</w:t>
      </w:r>
      <w:r w:rsidR="003B6C4B">
        <w:t xml:space="preserve"> </w:t>
      </w:r>
      <w:r w:rsidR="001B11D0">
        <w:t xml:space="preserve">vyhláškou </w:t>
      </w:r>
      <w:r w:rsidR="001B11D0" w:rsidRPr="001B11D0">
        <w:t>o</w:t>
      </w:r>
      <w:r w:rsidR="003B6C4B">
        <w:t xml:space="preserve"> </w:t>
      </w:r>
      <w:r w:rsidR="001B11D0" w:rsidRPr="001B11D0">
        <w:t>účasti státního rozpočtu na financování programů reprodukce majetku</w:t>
      </w:r>
      <w:r>
        <w:rPr>
          <w:rStyle w:val="Znakapoznpodarou"/>
        </w:rPr>
        <w:footnoteReference w:id="34"/>
      </w:r>
      <w:r w:rsidRPr="00056232">
        <w:t xml:space="preserve">, </w:t>
      </w:r>
      <w:r w:rsidR="003B6C4B">
        <w:t>neboť</w:t>
      </w:r>
      <w:r w:rsidR="003B6C4B" w:rsidRPr="00056232">
        <w:t xml:space="preserve"> </w:t>
      </w:r>
      <w:r w:rsidRPr="00056232">
        <w:t xml:space="preserve">neprovedlo závěrečné vyhodnocení akce </w:t>
      </w:r>
      <w:r>
        <w:t>u pěti</w:t>
      </w:r>
      <w:r w:rsidRPr="00056232">
        <w:t xml:space="preserve"> </w:t>
      </w:r>
      <w:r>
        <w:t xml:space="preserve">ukončených kontrolovaných </w:t>
      </w:r>
      <w:r w:rsidRPr="00056232">
        <w:t>projektů</w:t>
      </w:r>
      <w:r w:rsidR="0066016A">
        <w:t>.</w:t>
      </w:r>
    </w:p>
    <w:p w14:paraId="655A33DB" w14:textId="0821A1ED" w:rsidR="00100DDA" w:rsidRDefault="000A5F6C" w:rsidP="005567EF">
      <w:pPr>
        <w:pStyle w:val="Nadpis4"/>
      </w:pPr>
      <w:r w:rsidRPr="00820E3F">
        <w:t xml:space="preserve">Kontrolou </w:t>
      </w:r>
      <w:r w:rsidR="00286A0F">
        <w:t xml:space="preserve">NKÚ </w:t>
      </w:r>
      <w:r w:rsidRPr="00820E3F">
        <w:t xml:space="preserve">byly zjištěny </w:t>
      </w:r>
      <w:r w:rsidR="0030486C">
        <w:t>nedostatky</w:t>
      </w:r>
      <w:r w:rsidRPr="00820E3F">
        <w:t xml:space="preserve"> s vazbou na</w:t>
      </w:r>
      <w:r w:rsidR="0005526E">
        <w:t xml:space="preserve"> povinnosti vyplývající z právní úpravy</w:t>
      </w:r>
      <w:r w:rsidRPr="00820E3F">
        <w:t xml:space="preserve"> odpadové</w:t>
      </w:r>
      <w:r w:rsidR="0005526E">
        <w:t>ho</w:t>
      </w:r>
      <w:r w:rsidRPr="00820E3F">
        <w:t xml:space="preserve"> hospodářství</w:t>
      </w:r>
    </w:p>
    <w:p w14:paraId="50845889" w14:textId="156EC8AC" w:rsidR="00FA2B5D" w:rsidRDefault="000A5F6C" w:rsidP="00187CA3">
      <w:pPr>
        <w:pStyle w:val="TextKP"/>
        <w:numPr>
          <w:ilvl w:val="0"/>
          <w:numId w:val="35"/>
        </w:numPr>
        <w:ind w:left="567" w:hanging="284"/>
        <w:outlineLvl w:val="4"/>
        <w:rPr>
          <w:b/>
        </w:rPr>
      </w:pPr>
      <w:r w:rsidRPr="00FA2B5D">
        <w:rPr>
          <w:b/>
        </w:rPr>
        <w:t xml:space="preserve">Směrnice EU </w:t>
      </w:r>
      <w:r w:rsidR="00225751">
        <w:rPr>
          <w:b/>
        </w:rPr>
        <w:t>upravující</w:t>
      </w:r>
      <w:r w:rsidRPr="00FA2B5D">
        <w:rPr>
          <w:b/>
        </w:rPr>
        <w:t xml:space="preserve"> oblast odpadového hospodářství nebyly ze strany ČR transponovány do</w:t>
      </w:r>
      <w:r w:rsidR="00225751">
        <w:rPr>
          <w:b/>
        </w:rPr>
        <w:t xml:space="preserve"> </w:t>
      </w:r>
      <w:r w:rsidRPr="00FA2B5D">
        <w:rPr>
          <w:b/>
        </w:rPr>
        <w:t>právního řádu ČR ve stanovených termínech.</w:t>
      </w:r>
    </w:p>
    <w:p w14:paraId="004562E7" w14:textId="5811E933" w:rsidR="00FA2B5D" w:rsidRDefault="000A5F6C" w:rsidP="00FA2B5D">
      <w:pPr>
        <w:pStyle w:val="TextKP"/>
      </w:pPr>
      <w:r w:rsidRPr="000C1E9A">
        <w:t>V červnu 2018 byly v</w:t>
      </w:r>
      <w:r w:rsidR="00225751">
        <w:t xml:space="preserve"> </w:t>
      </w:r>
      <w:r w:rsidRPr="00187CA3">
        <w:rPr>
          <w:i/>
        </w:rPr>
        <w:t>Ústředním věstníku EU</w:t>
      </w:r>
      <w:r w:rsidRPr="000C1E9A">
        <w:t xml:space="preserve"> </w:t>
      </w:r>
      <w:r w:rsidR="00225751" w:rsidRPr="000C1E9A">
        <w:t xml:space="preserve">zveřejněny </w:t>
      </w:r>
      <w:r w:rsidRPr="000C1E9A">
        <w:t>čtyři nové směrnice EU</w:t>
      </w:r>
      <w:r>
        <w:rPr>
          <w:rFonts w:cstheme="minorBidi"/>
          <w:vertAlign w:val="superscript"/>
        </w:rPr>
        <w:footnoteReference w:id="35"/>
      </w:r>
      <w:r>
        <w:t xml:space="preserve"> </w:t>
      </w:r>
      <w:r w:rsidR="00E53E02">
        <w:t xml:space="preserve">pro </w:t>
      </w:r>
      <w:r w:rsidRPr="000C1E9A">
        <w:t xml:space="preserve">oblast odpadového hospodářství. </w:t>
      </w:r>
      <w:r>
        <w:t>ČR měla povinnost uvést v</w:t>
      </w:r>
      <w:r w:rsidR="00E53E02">
        <w:t xml:space="preserve"> </w:t>
      </w:r>
      <w:r>
        <w:t xml:space="preserve">účinnost právní předpisy nezbytné </w:t>
      </w:r>
      <w:r w:rsidR="00E53E02">
        <w:t>k</w:t>
      </w:r>
      <w:r w:rsidR="001510FA">
        <w:t> </w:t>
      </w:r>
      <w:r>
        <w:t>dosažení souladu s těmito směrnicemi do</w:t>
      </w:r>
      <w:r w:rsidR="00225751">
        <w:t xml:space="preserve"> </w:t>
      </w:r>
      <w:r>
        <w:t>5.</w:t>
      </w:r>
      <w:r w:rsidR="00E53E02">
        <w:t xml:space="preserve"> </w:t>
      </w:r>
      <w:r>
        <w:t>7. 2020. Příslušná odpadová legislativa</w:t>
      </w:r>
      <w:r>
        <w:rPr>
          <w:rStyle w:val="Znakapoznpodarou"/>
        </w:rPr>
        <w:footnoteReference w:id="36"/>
      </w:r>
      <w:r>
        <w:t xml:space="preserve"> byla přijata s účinností od 1. 1. 2021, tj. téměř šest měsíců po stanoveném termínu.</w:t>
      </w:r>
    </w:p>
    <w:p w14:paraId="00EFF750" w14:textId="6CF29D30" w:rsidR="00FA2B5D" w:rsidRDefault="000A5F6C" w:rsidP="00FA2B5D">
      <w:pPr>
        <w:pStyle w:val="TextKP"/>
      </w:pPr>
      <w:r w:rsidRPr="00CE2A76">
        <w:t>V červnu 201</w:t>
      </w:r>
      <w:r>
        <w:t>9</w:t>
      </w:r>
      <w:r w:rsidRPr="00CE2A76">
        <w:t xml:space="preserve"> byl</w:t>
      </w:r>
      <w:r>
        <w:t>a</w:t>
      </w:r>
      <w:r w:rsidRPr="00CE2A76">
        <w:t xml:space="preserve"> v </w:t>
      </w:r>
      <w:r w:rsidRPr="00187CA3">
        <w:rPr>
          <w:i/>
        </w:rPr>
        <w:t>Ústředním věstníku EU</w:t>
      </w:r>
      <w:r w:rsidRPr="00CE2A76">
        <w:t xml:space="preserve"> </w:t>
      </w:r>
      <w:r w:rsidR="00501739" w:rsidRPr="00CE2A76">
        <w:t>zveřejněn</w:t>
      </w:r>
      <w:r w:rsidR="00501739">
        <w:t>a</w:t>
      </w:r>
      <w:r w:rsidR="00501739" w:rsidRPr="00CE2A76">
        <w:t xml:space="preserve"> </w:t>
      </w:r>
      <w:r>
        <w:t>nová směrnice EU</w:t>
      </w:r>
      <w:r>
        <w:rPr>
          <w:rFonts w:cstheme="minorBidi"/>
          <w:vertAlign w:val="superscript"/>
        </w:rPr>
        <w:footnoteReference w:id="37"/>
      </w:r>
      <w:r>
        <w:t xml:space="preserve"> za účelem omezení používání jednorázových plastových výrobků. ČR měla povinnost uvést v účinnost právní předpisy nezbytné </w:t>
      </w:r>
      <w:r w:rsidR="007740BC">
        <w:t>k</w:t>
      </w:r>
      <w:r>
        <w:t xml:space="preserve"> dosažení souladu s touto směrnicí do 3. 7</w:t>
      </w:r>
      <w:r w:rsidR="00501739">
        <w:t>.</w:t>
      </w:r>
      <w:r>
        <w:t xml:space="preserve"> 2021. Ke dni </w:t>
      </w:r>
      <w:r w:rsidR="0036761B">
        <w:t xml:space="preserve">ukončení kontroly </w:t>
      </w:r>
      <w:r>
        <w:t>nebyly přijaty příslušné právní předpisy. ČR nesplnila stanovenou transpoziční lhůtu.</w:t>
      </w:r>
    </w:p>
    <w:p w14:paraId="10EF5ECE" w14:textId="6C6C7AE3" w:rsidR="00F54A8B" w:rsidRDefault="000A5F6C" w:rsidP="00FA2B5D">
      <w:pPr>
        <w:pStyle w:val="TextKP"/>
      </w:pPr>
      <w:r w:rsidRPr="00F23CB3">
        <w:t>Směrnice EU</w:t>
      </w:r>
      <w:r>
        <w:rPr>
          <w:rStyle w:val="Znakapoznpodarou"/>
        </w:rPr>
        <w:footnoteReference w:id="38"/>
      </w:r>
      <w:r>
        <w:t xml:space="preserve"> z</w:t>
      </w:r>
      <w:r w:rsidR="00F23CB3">
        <w:t xml:space="preserve"> </w:t>
      </w:r>
      <w:r>
        <w:t>roku</w:t>
      </w:r>
      <w:r w:rsidRPr="005636ED">
        <w:t xml:space="preserve"> 2012</w:t>
      </w:r>
      <w:r w:rsidR="00374997">
        <w:t xml:space="preserve"> uložila povinnost uplatňovat</w:t>
      </w:r>
      <w:r w:rsidRPr="005636ED">
        <w:t xml:space="preserve"> zásad</w:t>
      </w:r>
      <w:r w:rsidR="00374997">
        <w:t>u</w:t>
      </w:r>
      <w:r w:rsidRPr="005636ED">
        <w:t xml:space="preserve"> odpovědnosti výrobce </w:t>
      </w:r>
      <w:r w:rsidR="00DB7E0C">
        <w:br/>
      </w:r>
      <w:r>
        <w:t>za</w:t>
      </w:r>
      <w:r w:rsidR="00501739">
        <w:t xml:space="preserve"> </w:t>
      </w:r>
      <w:r>
        <w:t>účelem</w:t>
      </w:r>
      <w:r w:rsidR="00374997">
        <w:t xml:space="preserve"> </w:t>
      </w:r>
      <w:r w:rsidRPr="005636ED">
        <w:t>každoročn</w:t>
      </w:r>
      <w:r>
        <w:t>ího</w:t>
      </w:r>
      <w:r w:rsidRPr="005636ED">
        <w:t xml:space="preserve"> dosažen</w:t>
      </w:r>
      <w:r>
        <w:t>í</w:t>
      </w:r>
      <w:r w:rsidRPr="005636ED">
        <w:t xml:space="preserve"> minimální úrov</w:t>
      </w:r>
      <w:r>
        <w:t>ně</w:t>
      </w:r>
      <w:r w:rsidRPr="005636ED">
        <w:t xml:space="preserve"> sběru</w:t>
      </w:r>
      <w:r>
        <w:t xml:space="preserve"> odpadních elektrických </w:t>
      </w:r>
      <w:r w:rsidR="00DB7E0C">
        <w:br/>
      </w:r>
      <w:r>
        <w:t>a</w:t>
      </w:r>
      <w:r w:rsidR="00DB7E0C">
        <w:t xml:space="preserve"> </w:t>
      </w:r>
      <w:r>
        <w:t xml:space="preserve">elektronických zařízení. </w:t>
      </w:r>
      <w:r w:rsidR="00374997" w:rsidRPr="00374997">
        <w:t xml:space="preserve">ČR měla povinnost uvést v účinnost právní předpisy nezbytné </w:t>
      </w:r>
      <w:r w:rsidR="00F23CB3">
        <w:t>k </w:t>
      </w:r>
      <w:r w:rsidR="00374997" w:rsidRPr="00374997">
        <w:t xml:space="preserve">dosažení souladu s touto směrnicí do </w:t>
      </w:r>
      <w:r w:rsidR="00374997">
        <w:t>14</w:t>
      </w:r>
      <w:r w:rsidR="00374997" w:rsidRPr="00374997">
        <w:t xml:space="preserve">. </w:t>
      </w:r>
      <w:r w:rsidR="00374997">
        <w:t>2</w:t>
      </w:r>
      <w:r w:rsidR="00EB4FBA">
        <w:t>.</w:t>
      </w:r>
      <w:r w:rsidR="00374997" w:rsidRPr="00374997">
        <w:t xml:space="preserve"> 201</w:t>
      </w:r>
      <w:r w:rsidR="00374997">
        <w:t>4</w:t>
      </w:r>
      <w:r w:rsidR="00374997" w:rsidRPr="00374997">
        <w:t xml:space="preserve">. </w:t>
      </w:r>
      <w:r>
        <w:t>ČR uplatnila zásadu odpovědnosti výrobce v</w:t>
      </w:r>
      <w:r w:rsidR="00374997">
        <w:t> </w:t>
      </w:r>
      <w:r>
        <w:t>zákoně o výrobcích s ukončenou životností</w:t>
      </w:r>
      <w:r>
        <w:rPr>
          <w:rStyle w:val="Znakapoznpodarou"/>
        </w:rPr>
        <w:footnoteReference w:id="39"/>
      </w:r>
      <w:r>
        <w:t>, který nabyl účinnosti</w:t>
      </w:r>
      <w:r w:rsidR="00374997">
        <w:t xml:space="preserve"> dne</w:t>
      </w:r>
      <w:r>
        <w:t xml:space="preserve"> 1. 1. 2021</w:t>
      </w:r>
      <w:r w:rsidR="00F23CB3">
        <w:t>,</w:t>
      </w:r>
      <w:r>
        <w:t xml:space="preserve"> a</w:t>
      </w:r>
      <w:r w:rsidR="00F23CB3">
        <w:t xml:space="preserve"> </w:t>
      </w:r>
      <w:r>
        <w:t xml:space="preserve">uvedla tak </w:t>
      </w:r>
      <w:r w:rsidR="00F23CB3">
        <w:t xml:space="preserve">své </w:t>
      </w:r>
      <w:r>
        <w:t xml:space="preserve">právní předpisy </w:t>
      </w:r>
      <w:r w:rsidR="00F23CB3">
        <w:t xml:space="preserve">do souladu </w:t>
      </w:r>
      <w:r w:rsidR="00374997">
        <w:t>s touto směrnicí</w:t>
      </w:r>
      <w:r>
        <w:t xml:space="preserve"> téměř 6 let po stanoveném datu.</w:t>
      </w:r>
    </w:p>
    <w:p w14:paraId="4A14C32A" w14:textId="77777777" w:rsidR="00FA2B5D" w:rsidRPr="00FA2B5D" w:rsidRDefault="000A5F6C" w:rsidP="00187CA3">
      <w:pPr>
        <w:pStyle w:val="TextKP"/>
        <w:numPr>
          <w:ilvl w:val="0"/>
          <w:numId w:val="35"/>
        </w:numPr>
        <w:ind w:left="567" w:hanging="284"/>
        <w:outlineLvl w:val="4"/>
        <w:rPr>
          <w:b/>
        </w:rPr>
      </w:pPr>
      <w:r w:rsidRPr="00FA2B5D">
        <w:rPr>
          <w:b/>
        </w:rPr>
        <w:t>ČR neplní cíl směrnice EU o skládkách odpadů pro nakládání s</w:t>
      </w:r>
      <w:r>
        <w:rPr>
          <w:b/>
        </w:rPr>
        <w:t> </w:t>
      </w:r>
      <w:r w:rsidRPr="00FA2B5D">
        <w:rPr>
          <w:b/>
        </w:rPr>
        <w:t>BRKO</w:t>
      </w:r>
      <w:r>
        <w:rPr>
          <w:b/>
        </w:rPr>
        <w:t>.</w:t>
      </w:r>
    </w:p>
    <w:p w14:paraId="198FF581" w14:textId="0577FDAD" w:rsidR="00597BE3" w:rsidRDefault="000A5F6C" w:rsidP="00FA2B5D">
      <w:pPr>
        <w:pStyle w:val="TextKP"/>
      </w:pPr>
      <w:r>
        <w:t>Směrnice EU o skládkách odpadů</w:t>
      </w:r>
      <w:r>
        <w:rPr>
          <w:rStyle w:val="Znakapoznpodarou"/>
        </w:rPr>
        <w:footnoteReference w:id="40"/>
      </w:r>
      <w:r>
        <w:t xml:space="preserve"> uložila </w:t>
      </w:r>
      <w:r w:rsidR="007740BC">
        <w:t xml:space="preserve">České republice </w:t>
      </w:r>
      <w:r>
        <w:t>povinnost zajistit, aby bylo množství biologicky rozložitelných komunálních odpadů ukládaných na skládk</w:t>
      </w:r>
      <w:r w:rsidR="00FA11C8">
        <w:t>y</w:t>
      </w:r>
      <w:r>
        <w:t xml:space="preserve"> sníženo na 35 % </w:t>
      </w:r>
      <w:r>
        <w:lastRenderedPageBreak/>
        <w:t>z</w:t>
      </w:r>
      <w:r w:rsidR="007740BC">
        <w:t> </w:t>
      </w:r>
      <w:r>
        <w:t>celkového množství</w:t>
      </w:r>
      <w:r w:rsidR="00FA11C8">
        <w:t xml:space="preserve"> 1,53 </w:t>
      </w:r>
      <w:proofErr w:type="spellStart"/>
      <w:r w:rsidR="00FA11C8">
        <w:t>Mt</w:t>
      </w:r>
      <w:proofErr w:type="spellEnd"/>
      <w:r>
        <w:t xml:space="preserve"> </w:t>
      </w:r>
      <w:r w:rsidR="00FA11C8">
        <w:t>BRKO</w:t>
      </w:r>
      <w:r>
        <w:t xml:space="preserve"> vyprodukovaných</w:t>
      </w:r>
      <w:r w:rsidR="00D4180D">
        <w:t xml:space="preserve"> v ČR</w:t>
      </w:r>
      <w:r>
        <w:t xml:space="preserve"> v roce 1995. ČR</w:t>
      </w:r>
      <w:r w:rsidR="00DA2AD5">
        <w:t xml:space="preserve"> </w:t>
      </w:r>
      <w:r>
        <w:t xml:space="preserve">měla povinnost </w:t>
      </w:r>
      <w:r w:rsidR="00FA11C8" w:rsidRPr="00FA11C8">
        <w:t xml:space="preserve">snížit množství </w:t>
      </w:r>
      <w:r w:rsidR="00FA11C8">
        <w:t>BRKO ukládaných na skládky n</w:t>
      </w:r>
      <w:r w:rsidR="00FA11C8" w:rsidRPr="00FA11C8">
        <w:t xml:space="preserve">a úroveň max. </w:t>
      </w:r>
      <w:r w:rsidR="00FA11C8">
        <w:t xml:space="preserve">0,54 </w:t>
      </w:r>
      <w:proofErr w:type="spellStart"/>
      <w:r w:rsidR="00FA11C8">
        <w:t>Mt</w:t>
      </w:r>
      <w:proofErr w:type="spellEnd"/>
      <w:r w:rsidR="00FA11C8">
        <w:t xml:space="preserve"> do konce roku 2020.</w:t>
      </w:r>
      <w:r w:rsidR="008338A0">
        <w:t xml:space="preserve"> </w:t>
      </w:r>
      <w:r w:rsidR="00FA2B5D">
        <w:t>Dle</w:t>
      </w:r>
      <w:r w:rsidR="00FA2B5D" w:rsidRPr="00EA3AB9">
        <w:t xml:space="preserve"> výpočt</w:t>
      </w:r>
      <w:r w:rsidR="00FA2B5D">
        <w:t>u</w:t>
      </w:r>
      <w:r w:rsidR="00FA2B5D" w:rsidRPr="00EA3AB9">
        <w:t xml:space="preserve"> </w:t>
      </w:r>
      <w:r w:rsidR="00FA2B5D">
        <w:t>NKÚ</w:t>
      </w:r>
      <w:r>
        <w:rPr>
          <w:rStyle w:val="Znakapoznpodarou"/>
        </w:rPr>
        <w:footnoteReference w:id="41"/>
      </w:r>
      <w:r w:rsidR="00FA2B5D">
        <w:t xml:space="preserve"> </w:t>
      </w:r>
      <w:r w:rsidR="00FA2B5D" w:rsidRPr="00EA3AB9">
        <w:t>nebylo cíle pro rok 2020 dosaženo</w:t>
      </w:r>
      <w:r w:rsidR="008338A0">
        <w:t>.</w:t>
      </w:r>
      <w:r w:rsidR="00FA2B5D" w:rsidRPr="00EA3AB9">
        <w:t xml:space="preserve"> </w:t>
      </w:r>
      <w:r w:rsidR="00FA2B5D" w:rsidRPr="00707B44">
        <w:t>Oficiální údaje o skládkování BRKO za rok 2020 M</w:t>
      </w:r>
      <w:r w:rsidR="00DA2AD5">
        <w:t>inisterstvo životního prostředí</w:t>
      </w:r>
      <w:r w:rsidR="00FA2B5D" w:rsidRPr="00707B44">
        <w:t xml:space="preserve"> do</w:t>
      </w:r>
      <w:r w:rsidR="00DA2AD5">
        <w:t xml:space="preserve"> </w:t>
      </w:r>
      <w:r w:rsidR="00FA2B5D" w:rsidRPr="00707B44">
        <w:t>ukončení kontroly nezveřejnilo</w:t>
      </w:r>
      <w:r w:rsidR="00FA2B5D">
        <w:t xml:space="preserve">. ČR nesplnila </w:t>
      </w:r>
      <w:r w:rsidR="00286A0F">
        <w:t>ani</w:t>
      </w:r>
      <w:r w:rsidR="0036761B">
        <w:t xml:space="preserve"> </w:t>
      </w:r>
      <w:r w:rsidR="00FA2B5D">
        <w:t xml:space="preserve">cíl </w:t>
      </w:r>
      <w:r w:rsidR="0036761B">
        <w:t xml:space="preserve">stanovený </w:t>
      </w:r>
      <w:r w:rsidR="00FA2B5D">
        <w:t xml:space="preserve">pro </w:t>
      </w:r>
      <w:r w:rsidR="00FA2B5D" w:rsidRPr="004550D9">
        <w:t xml:space="preserve">rok 2013, </w:t>
      </w:r>
      <w:r w:rsidR="00DA2AD5">
        <w:t>tj.</w:t>
      </w:r>
      <w:r w:rsidR="00FA2B5D" w:rsidRPr="004550D9">
        <w:t xml:space="preserve"> ukládat na skládky o</w:t>
      </w:r>
      <w:r w:rsidR="00FA2B5D">
        <w:t> </w:t>
      </w:r>
      <w:r w:rsidR="00FA2B5D" w:rsidRPr="004550D9">
        <w:t xml:space="preserve">50 % méně </w:t>
      </w:r>
      <w:r w:rsidR="00FA2B5D">
        <w:t xml:space="preserve">BRKO </w:t>
      </w:r>
      <w:r w:rsidR="00FA2B5D" w:rsidRPr="004550D9">
        <w:t>než v roce 1995</w:t>
      </w:r>
      <w:r w:rsidR="00FA2B5D">
        <w:t>.</w:t>
      </w:r>
    </w:p>
    <w:p w14:paraId="42CA2822" w14:textId="674B9A1B" w:rsidR="0018674B" w:rsidRPr="0018674B" w:rsidRDefault="000A5F6C" w:rsidP="00187CA3">
      <w:pPr>
        <w:pStyle w:val="TextKP"/>
        <w:numPr>
          <w:ilvl w:val="0"/>
          <w:numId w:val="35"/>
        </w:numPr>
        <w:ind w:left="567" w:hanging="284"/>
        <w:outlineLvl w:val="4"/>
        <w:rPr>
          <w:b/>
        </w:rPr>
      </w:pPr>
      <w:bookmarkStart w:id="14" w:name="_Hlk98508483"/>
      <w:r w:rsidRPr="0018674B">
        <w:rPr>
          <w:b/>
        </w:rPr>
        <w:t>MŽP nastavilo v případě obalových odpadů nerovné požadavk</w:t>
      </w:r>
      <w:r w:rsidR="00533D81">
        <w:rPr>
          <w:b/>
        </w:rPr>
        <w:t>y</w:t>
      </w:r>
      <w:r w:rsidRPr="0018674B">
        <w:rPr>
          <w:b/>
        </w:rPr>
        <w:t xml:space="preserve"> na</w:t>
      </w:r>
      <w:r w:rsidR="00225751">
        <w:rPr>
          <w:b/>
        </w:rPr>
        <w:t xml:space="preserve"> </w:t>
      </w:r>
      <w:r w:rsidRPr="0018674B">
        <w:rPr>
          <w:b/>
        </w:rPr>
        <w:t>rozsah recyklace obalových odpadů</w:t>
      </w:r>
      <w:bookmarkEnd w:id="14"/>
      <w:r w:rsidRPr="0018674B">
        <w:rPr>
          <w:b/>
        </w:rPr>
        <w:t>.</w:t>
      </w:r>
    </w:p>
    <w:p w14:paraId="60728B1F" w14:textId="2F701858" w:rsidR="00D61632" w:rsidRDefault="0036761B" w:rsidP="00D61632">
      <w:pPr>
        <w:pStyle w:val="TextKP"/>
      </w:pPr>
      <w:r w:rsidRPr="0036761B">
        <w:t>Osoby, které uvád</w:t>
      </w:r>
      <w:r w:rsidR="0012013A">
        <w:t>ěj</w:t>
      </w:r>
      <w:r w:rsidRPr="0036761B">
        <w:t>í na trh nebo do oběhu obaly nebo balené výrobky</w:t>
      </w:r>
      <w:r w:rsidR="00086FAE">
        <w:t>,</w:t>
      </w:r>
      <w:r w:rsidRPr="0036761B">
        <w:t xml:space="preserve"> mají možnost splnit požadavky na zpětný odběr, recyklaci a využití obalových odpadů dle zákona o obalech samostatně </w:t>
      </w:r>
      <w:r w:rsidR="000A5F6C">
        <w:t xml:space="preserve">nebo prostřednictvím </w:t>
      </w:r>
      <w:r w:rsidR="000A5F6C" w:rsidRPr="00465068">
        <w:t>autorizovan</w:t>
      </w:r>
      <w:r w:rsidR="000A5F6C">
        <w:t xml:space="preserve">é </w:t>
      </w:r>
      <w:r w:rsidR="000A5F6C" w:rsidRPr="00465068">
        <w:t>obalov</w:t>
      </w:r>
      <w:r w:rsidR="000A5F6C">
        <w:t>é společnosti</w:t>
      </w:r>
      <w:r w:rsidR="0012013A">
        <w:t>, tedy pomocí</w:t>
      </w:r>
      <w:r w:rsidR="000A5F6C">
        <w:t xml:space="preserve"> </w:t>
      </w:r>
      <w:r w:rsidR="00704573">
        <w:t xml:space="preserve">tzv. </w:t>
      </w:r>
      <w:r w:rsidR="000A5F6C">
        <w:t>kolektivní</w:t>
      </w:r>
      <w:r w:rsidR="0012013A">
        <w:t>ho</w:t>
      </w:r>
      <w:r w:rsidR="000A5F6C">
        <w:t xml:space="preserve"> systém</w:t>
      </w:r>
      <w:r w:rsidR="0012013A">
        <w:t>u</w:t>
      </w:r>
      <w:r w:rsidR="000A5F6C">
        <w:t>. Obdobně je možné plnit zákonné povinnosti v oblasti zpětného odběru, recyklace a využití vybraných výrobků s</w:t>
      </w:r>
      <w:r w:rsidR="00FE00AB">
        <w:t xml:space="preserve"> </w:t>
      </w:r>
      <w:r w:rsidR="000A5F6C">
        <w:t xml:space="preserve">ukončenou životností dle zákona </w:t>
      </w:r>
      <w:r w:rsidR="00086FAE">
        <w:t>o výrobcích s ukončenou životností</w:t>
      </w:r>
      <w:r w:rsidR="000A5F6C">
        <w:t xml:space="preserve"> (např. </w:t>
      </w:r>
      <w:r w:rsidR="00E46232">
        <w:t xml:space="preserve">u </w:t>
      </w:r>
      <w:r w:rsidR="000A5F6C">
        <w:t>odpadní</w:t>
      </w:r>
      <w:r w:rsidR="00E46232">
        <w:t>ch</w:t>
      </w:r>
      <w:r w:rsidR="000A5F6C">
        <w:t xml:space="preserve"> bateri</w:t>
      </w:r>
      <w:r w:rsidR="00E46232">
        <w:t>í</w:t>
      </w:r>
      <w:r w:rsidR="000A5F6C">
        <w:t xml:space="preserve"> a</w:t>
      </w:r>
      <w:r w:rsidR="0012013A">
        <w:t xml:space="preserve"> </w:t>
      </w:r>
      <w:r w:rsidR="000A5F6C">
        <w:t>akumulátor</w:t>
      </w:r>
      <w:r w:rsidR="00E46232">
        <w:t>ů</w:t>
      </w:r>
      <w:r w:rsidR="000A5F6C">
        <w:t xml:space="preserve"> či</w:t>
      </w:r>
      <w:r w:rsidR="0012013A">
        <w:t xml:space="preserve"> </w:t>
      </w:r>
      <w:r w:rsidR="000A5F6C">
        <w:t>odpadní</w:t>
      </w:r>
      <w:r w:rsidR="00E46232">
        <w:t>ch</w:t>
      </w:r>
      <w:r w:rsidR="000A5F6C">
        <w:t xml:space="preserve"> elektrick</w:t>
      </w:r>
      <w:r w:rsidR="00E46232">
        <w:t>ých</w:t>
      </w:r>
      <w:r w:rsidR="000A5F6C">
        <w:t xml:space="preserve"> a</w:t>
      </w:r>
      <w:r w:rsidR="00086FAE">
        <w:t> </w:t>
      </w:r>
      <w:r w:rsidR="000A5F6C">
        <w:t>elektronick</w:t>
      </w:r>
      <w:r w:rsidR="00E46232">
        <w:t>ých</w:t>
      </w:r>
      <w:r w:rsidR="000A5F6C">
        <w:t xml:space="preserve"> zařízení).</w:t>
      </w:r>
      <w:r w:rsidR="00B64188" w:rsidRPr="00B64188">
        <w:t xml:space="preserve"> </w:t>
      </w:r>
      <w:r w:rsidR="00B64188">
        <w:t>V</w:t>
      </w:r>
      <w:r w:rsidR="00B64188" w:rsidRPr="0036756F">
        <w:t xml:space="preserve"> letech 2015 až 20</w:t>
      </w:r>
      <w:r w:rsidR="00667D39">
        <w:t>20</w:t>
      </w:r>
      <w:r w:rsidR="00B64188" w:rsidRPr="0036756F">
        <w:t xml:space="preserve"> </w:t>
      </w:r>
      <w:r w:rsidR="00B64188">
        <w:t xml:space="preserve">zahrnoval kolektivní systém </w:t>
      </w:r>
      <w:r w:rsidR="00B64188" w:rsidRPr="0036756F">
        <w:t>v</w:t>
      </w:r>
      <w:r w:rsidR="00B64188">
        <w:t>í</w:t>
      </w:r>
      <w:r w:rsidR="00B64188" w:rsidRPr="0036756F">
        <w:t>ce než 90</w:t>
      </w:r>
      <w:r w:rsidR="00B64188">
        <w:t> </w:t>
      </w:r>
      <w:r w:rsidR="00B64188" w:rsidRPr="0036756F">
        <w:t>% množství obalových odpadů.</w:t>
      </w:r>
    </w:p>
    <w:p w14:paraId="25501E3F" w14:textId="204ADD38" w:rsidR="00EC2922" w:rsidRDefault="000A5F6C" w:rsidP="00DE3A86">
      <w:pPr>
        <w:pStyle w:val="TextKP"/>
      </w:pPr>
      <w:r w:rsidRPr="00C85DF9">
        <w:t>Kontrolou</w:t>
      </w:r>
      <w:r w:rsidR="00D61632">
        <w:t xml:space="preserve"> NKÚ</w:t>
      </w:r>
      <w:r w:rsidRPr="00C85DF9">
        <w:t xml:space="preserve"> bylo zjištěno, že </w:t>
      </w:r>
      <w:r>
        <w:t xml:space="preserve">zatímco u vybraných výrobků s ukončenou životností platí stejný rozsah požadavků na úroveň recyklace a využití pro </w:t>
      </w:r>
      <w:r w:rsidR="00645410">
        <w:t xml:space="preserve">osoby plnící svou povinnost </w:t>
      </w:r>
      <w:r w:rsidR="0046747F">
        <w:t>individuálně</w:t>
      </w:r>
      <w:r w:rsidR="00704573">
        <w:t xml:space="preserve"> i</w:t>
      </w:r>
      <w:r w:rsidR="00645410">
        <w:t xml:space="preserve"> </w:t>
      </w:r>
      <w:r w:rsidR="0046747F">
        <w:t xml:space="preserve">pro osoby využívající </w:t>
      </w:r>
      <w:r>
        <w:t>kolektivní</w:t>
      </w:r>
      <w:r w:rsidR="0046747F">
        <w:t>ho</w:t>
      </w:r>
      <w:r>
        <w:t xml:space="preserve"> systém</w:t>
      </w:r>
      <w:r w:rsidR="00704573">
        <w:t>u</w:t>
      </w:r>
      <w:r>
        <w:t>, tak</w:t>
      </w:r>
      <w:r w:rsidR="0012013A">
        <w:t xml:space="preserve"> </w:t>
      </w:r>
      <w:r>
        <w:t>v</w:t>
      </w:r>
      <w:r w:rsidR="0012013A">
        <w:t xml:space="preserve"> </w:t>
      </w:r>
      <w:r>
        <w:t>případě obalových odpadů jsou požadavky stanoveny odlišně.</w:t>
      </w:r>
      <w:r w:rsidR="005C4815">
        <w:t xml:space="preserve"> </w:t>
      </w:r>
      <w:r w:rsidR="00380891">
        <w:t>V zákoně o obalech byl</w:t>
      </w:r>
      <w:r w:rsidR="0012013A">
        <w:t xml:space="preserve"> </w:t>
      </w:r>
      <w:r w:rsidR="00380891">
        <w:t xml:space="preserve">pro roky 2015 až 2020 stanoven </w:t>
      </w:r>
      <w:r w:rsidR="00380891" w:rsidRPr="009E16B6">
        <w:t>rozsah recyklace obalov</w:t>
      </w:r>
      <w:r w:rsidR="0046747F">
        <w:t>ých</w:t>
      </w:r>
      <w:r w:rsidR="00380891" w:rsidRPr="009E16B6">
        <w:t xml:space="preserve"> odpad</w:t>
      </w:r>
      <w:r w:rsidR="0046747F">
        <w:t>ů</w:t>
      </w:r>
      <w:r w:rsidR="00380891" w:rsidRPr="009E16B6">
        <w:t xml:space="preserve"> </w:t>
      </w:r>
      <w:r w:rsidR="00380891">
        <w:t>např. z papíru, lepenky a skla pr</w:t>
      </w:r>
      <w:r w:rsidR="00380891" w:rsidRPr="009E16B6">
        <w:t xml:space="preserve">o </w:t>
      </w:r>
      <w:r w:rsidR="00704573">
        <w:t>osoby plnící svou povinnost samostatně p</w:t>
      </w:r>
      <w:r w:rsidR="00380891">
        <w:t xml:space="preserve">řísněji o </w:t>
      </w:r>
      <w:r w:rsidR="00B20E0C">
        <w:t>pět</w:t>
      </w:r>
      <w:r w:rsidR="00380891">
        <w:t xml:space="preserve"> p</w:t>
      </w:r>
      <w:r w:rsidR="00B20E0C">
        <w:t>rocentních bodů</w:t>
      </w:r>
      <w:r w:rsidR="00380891">
        <w:t xml:space="preserve"> než </w:t>
      </w:r>
      <w:r w:rsidR="00380891" w:rsidRPr="009E16B6">
        <w:t>pro kolektivní systém dle</w:t>
      </w:r>
      <w:r w:rsidR="0012013A">
        <w:t xml:space="preserve"> </w:t>
      </w:r>
      <w:r w:rsidR="00380891" w:rsidRPr="009E16B6">
        <w:t>rozhodnutí o</w:t>
      </w:r>
      <w:r w:rsidR="0046747F">
        <w:t> </w:t>
      </w:r>
      <w:r w:rsidR="00380891" w:rsidRPr="009E16B6">
        <w:t>autorizaci</w:t>
      </w:r>
      <w:r w:rsidR="001054F5">
        <w:t>, viz</w:t>
      </w:r>
      <w:r w:rsidR="0012013A">
        <w:t xml:space="preserve"> </w:t>
      </w:r>
      <w:r w:rsidR="00380891" w:rsidRPr="00D93E0B">
        <w:t>přílo</w:t>
      </w:r>
      <w:r w:rsidR="001054F5">
        <w:t>ha</w:t>
      </w:r>
      <w:r w:rsidR="00380891" w:rsidRPr="00D93E0B">
        <w:t xml:space="preserve"> č. </w:t>
      </w:r>
      <w:r w:rsidR="00380891">
        <w:t>7</w:t>
      </w:r>
      <w:r w:rsidR="00380891" w:rsidRPr="00843E64">
        <w:t xml:space="preserve"> </w:t>
      </w:r>
      <w:r w:rsidR="00E46232">
        <w:t xml:space="preserve">tohoto </w:t>
      </w:r>
      <w:r w:rsidR="00380891" w:rsidRPr="00843E64">
        <w:t>kontrolního závěru.</w:t>
      </w:r>
      <w:r w:rsidR="00380891">
        <w:t xml:space="preserve"> </w:t>
      </w:r>
      <w:r w:rsidR="00B64188">
        <w:t>Rozhodnutím MŽP ze</w:t>
      </w:r>
      <w:r w:rsidR="0012013A">
        <w:t xml:space="preserve"> </w:t>
      </w:r>
      <w:r w:rsidR="00B64188">
        <w:t>dne 19.</w:t>
      </w:r>
      <w:r w:rsidR="001054F5">
        <w:t> </w:t>
      </w:r>
      <w:r w:rsidR="00B64188">
        <w:t>3.</w:t>
      </w:r>
      <w:r w:rsidR="001054F5">
        <w:t> </w:t>
      </w:r>
      <w:r w:rsidR="00B64188">
        <w:t>2021 se nerovnost po</w:t>
      </w:r>
      <w:r w:rsidR="00533D81">
        <w:t xml:space="preserve">žadavků na rozsah recyklace obalových odpadů </w:t>
      </w:r>
      <w:r w:rsidR="00B64188">
        <w:t xml:space="preserve">mezi </w:t>
      </w:r>
      <w:r w:rsidR="00704573">
        <w:t xml:space="preserve">oběma způsoby plnění povinností </w:t>
      </w:r>
      <w:r w:rsidR="00B64188">
        <w:t xml:space="preserve">v době pandemie </w:t>
      </w:r>
      <w:r w:rsidR="00E46232">
        <w:t>covidu-19</w:t>
      </w:r>
      <w:r w:rsidR="00B64188">
        <w:t xml:space="preserve"> prohloubila</w:t>
      </w:r>
      <w:r w:rsidR="00533D81">
        <w:rPr>
          <w:rStyle w:val="Znakapoznpodarou"/>
        </w:rPr>
        <w:footnoteReference w:id="42"/>
      </w:r>
      <w:r w:rsidR="00B64188">
        <w:t xml:space="preserve">. </w:t>
      </w:r>
      <w:r w:rsidR="00026617" w:rsidRPr="00026617">
        <w:t xml:space="preserve">MŽP </w:t>
      </w:r>
      <w:r w:rsidR="00026617">
        <w:t xml:space="preserve">tak </w:t>
      </w:r>
      <w:r w:rsidR="00026617" w:rsidRPr="00026617">
        <w:t>nastavilo v</w:t>
      </w:r>
      <w:r w:rsidR="00457C6A">
        <w:t> </w:t>
      </w:r>
      <w:r w:rsidR="00026617" w:rsidRPr="00026617">
        <w:t>případě obalových odpadů nerovné požadavk</w:t>
      </w:r>
      <w:r w:rsidR="00533D81">
        <w:t>y</w:t>
      </w:r>
      <w:r w:rsidR="00026617" w:rsidRPr="00026617">
        <w:t xml:space="preserve"> na rozsah recyklace</w:t>
      </w:r>
      <w:r w:rsidR="00026617">
        <w:t xml:space="preserve"> </w:t>
      </w:r>
      <w:r w:rsidR="00026617" w:rsidRPr="00026617">
        <w:t xml:space="preserve">obalových </w:t>
      </w:r>
      <w:r w:rsidR="00380891">
        <w:t>o</w:t>
      </w:r>
      <w:r w:rsidR="00026617" w:rsidRPr="00026617">
        <w:t>dpadů</w:t>
      </w:r>
      <w:r w:rsidR="00026617">
        <w:t>.</w:t>
      </w:r>
    </w:p>
    <w:p w14:paraId="0DA525A4" w14:textId="15E56D54" w:rsidR="0056019A" w:rsidRPr="0056019A" w:rsidRDefault="000A5F6C" w:rsidP="0056019A">
      <w:pPr>
        <w:pStyle w:val="Nadpis4"/>
      </w:pPr>
      <w:r w:rsidRPr="0056019A">
        <w:t>Kontrolou NKÚ bylo zjištěno, že MŽP</w:t>
      </w:r>
      <w:r w:rsidR="00523DE2" w:rsidRPr="00523DE2">
        <w:t xml:space="preserve"> porušilo zákon o odpadech, </w:t>
      </w:r>
      <w:r w:rsidR="0046747F">
        <w:t>neboť</w:t>
      </w:r>
      <w:r w:rsidR="00523DE2" w:rsidRPr="00523DE2">
        <w:t xml:space="preserve"> neaktualizovalo POH</w:t>
      </w:r>
      <w:r w:rsidR="0046747F">
        <w:t>,</w:t>
      </w:r>
      <w:r w:rsidR="00523DE2">
        <w:t xml:space="preserve"> </w:t>
      </w:r>
      <w:r w:rsidRPr="0056019A">
        <w:t xml:space="preserve">a dále byly zjištěny nedostatky v oblasti </w:t>
      </w:r>
      <w:r>
        <w:t>plnění a hodnocení cílů</w:t>
      </w:r>
      <w:r w:rsidRPr="0056019A">
        <w:t xml:space="preserve"> POH</w:t>
      </w:r>
    </w:p>
    <w:p w14:paraId="13A1B463" w14:textId="07CD024F" w:rsidR="00440B5F" w:rsidRDefault="000A5F6C" w:rsidP="0058495F">
      <w:pPr>
        <w:pStyle w:val="TextKP"/>
      </w:pPr>
      <w:r>
        <w:t xml:space="preserve">NKÚ </w:t>
      </w:r>
      <w:r w:rsidR="00866E65">
        <w:t>zjistil</w:t>
      </w:r>
      <w:r>
        <w:t xml:space="preserve">, že </w:t>
      </w:r>
      <w:r w:rsidR="0098082D" w:rsidRPr="00E3617D">
        <w:t>MŽP nepos</w:t>
      </w:r>
      <w:r w:rsidR="0098082D">
        <w:t>t</w:t>
      </w:r>
      <w:r w:rsidR="0098082D" w:rsidRPr="00E3617D">
        <w:t>upovalo v souladu s § 42 odst. 7 zákona</w:t>
      </w:r>
      <w:r w:rsidR="00FE7943">
        <w:t xml:space="preserve"> o</w:t>
      </w:r>
      <w:r w:rsidR="00866E65">
        <w:t xml:space="preserve"> </w:t>
      </w:r>
      <w:r w:rsidR="00FE7943">
        <w:t>odpadech</w:t>
      </w:r>
      <w:r w:rsidR="0098082D" w:rsidRPr="00E3617D">
        <w:t>, když</w:t>
      </w:r>
      <w:r w:rsidR="0012013A">
        <w:t xml:space="preserve"> </w:t>
      </w:r>
      <w:r w:rsidR="0098082D" w:rsidRPr="00E3617D">
        <w:t>nepřistoupilo ke změně POH bezprostředně po každé zásadní změně podmínek, na</w:t>
      </w:r>
      <w:r w:rsidR="0012013A">
        <w:t xml:space="preserve"> </w:t>
      </w:r>
      <w:r w:rsidR="0098082D" w:rsidRPr="00E3617D">
        <w:t>jejichž</w:t>
      </w:r>
      <w:r w:rsidR="0012013A">
        <w:t xml:space="preserve"> </w:t>
      </w:r>
      <w:r w:rsidR="0098082D" w:rsidRPr="00E3617D">
        <w:t>základě byl zpracován</w:t>
      </w:r>
      <w:r w:rsidR="0098082D">
        <w:t xml:space="preserve">. </w:t>
      </w:r>
      <w:r w:rsidR="00680205">
        <w:t xml:space="preserve">Takovou zásadní změnou byla změna právních předpisů </w:t>
      </w:r>
      <w:r w:rsidR="00680205" w:rsidRPr="000D3EA0">
        <w:t>EU</w:t>
      </w:r>
      <w:r w:rsidR="00E1144C">
        <w:rPr>
          <w:vertAlign w:val="superscript"/>
        </w:rPr>
        <w:t>12</w:t>
      </w:r>
      <w:r w:rsidR="00680205" w:rsidRPr="0098082D">
        <w:t xml:space="preserve">, která </w:t>
      </w:r>
      <w:r w:rsidR="00680205">
        <w:t>stanovila</w:t>
      </w:r>
      <w:r w:rsidR="00680205" w:rsidRPr="0098082D">
        <w:t xml:space="preserve"> nov</w:t>
      </w:r>
      <w:r w:rsidR="00680205">
        <w:t>é cíle</w:t>
      </w:r>
      <w:r w:rsidR="00680205" w:rsidRPr="0098082D">
        <w:t xml:space="preserve"> </w:t>
      </w:r>
      <w:r w:rsidR="00680205">
        <w:t>pro</w:t>
      </w:r>
      <w:r w:rsidR="00680205" w:rsidRPr="0098082D">
        <w:t xml:space="preserve"> odpadové hospodářství</w:t>
      </w:r>
      <w:r w:rsidR="00680205">
        <w:t xml:space="preserve"> a v</w:t>
      </w:r>
      <w:r w:rsidR="000E76AA">
        <w:t xml:space="preserve"> </w:t>
      </w:r>
      <w:r w:rsidR="00680205">
        <w:t>oblasti obalových odpadů například stanovila nová pravidla pro výpočet úrovně recyklace platná od</w:t>
      </w:r>
      <w:r w:rsidR="00FE00AB">
        <w:t xml:space="preserve"> </w:t>
      </w:r>
      <w:r w:rsidR="00680205">
        <w:t xml:space="preserve">roku 2021. </w:t>
      </w:r>
      <w:r w:rsidR="0098082D" w:rsidRPr="00E3617D">
        <w:t>MŽP</w:t>
      </w:r>
      <w:r>
        <w:t xml:space="preserve"> </w:t>
      </w:r>
      <w:r w:rsidR="00BD5667" w:rsidRPr="00BD5667">
        <w:t>předložilo návrh aktualizace POH s výhledem do roku 2035 na konci října 2021</w:t>
      </w:r>
      <w:r w:rsidR="00BD5667">
        <w:t xml:space="preserve"> </w:t>
      </w:r>
      <w:r w:rsidR="00BD5667" w:rsidRPr="00BD5667">
        <w:t>do</w:t>
      </w:r>
      <w:r w:rsidR="0070682D">
        <w:t xml:space="preserve"> </w:t>
      </w:r>
      <w:r w:rsidR="00BD5667" w:rsidRPr="00BD5667">
        <w:t>mezirezortního připomínkového řízení.</w:t>
      </w:r>
    </w:p>
    <w:p w14:paraId="3D91E918" w14:textId="75444698" w:rsidR="005148B5" w:rsidRDefault="000A5F6C" w:rsidP="005148B5">
      <w:pPr>
        <w:pStyle w:val="TextKP"/>
      </w:pPr>
      <w:r>
        <w:t xml:space="preserve">MŽP v kontrolovaném období nezajistilo ekonomické nástroje na podporu zvýšení energetického využívání směsného komunálního odpadu, </w:t>
      </w:r>
      <w:r w:rsidR="000E76AA">
        <w:t>přestože je to jeden</w:t>
      </w:r>
      <w:r>
        <w:t xml:space="preserve"> z hlavních cílů POH.</w:t>
      </w:r>
    </w:p>
    <w:p w14:paraId="21A8213A" w14:textId="016BBDE0" w:rsidR="00440B5F" w:rsidRPr="00440B5F" w:rsidRDefault="004800EA" w:rsidP="00440B5F">
      <w:pPr>
        <w:pStyle w:val="TextKP"/>
      </w:pPr>
      <w:r>
        <w:lastRenderedPageBreak/>
        <w:t>Pro</w:t>
      </w:r>
      <w:r w:rsidR="000A5F6C" w:rsidRPr="00440B5F">
        <w:t xml:space="preserve"> nakládání se směsným komunálním odpadem byl v POH stanoven cíl: </w:t>
      </w:r>
      <w:r>
        <w:t>„</w:t>
      </w:r>
      <w:r>
        <w:rPr>
          <w:i/>
        </w:rPr>
        <w:t>s</w:t>
      </w:r>
      <w:r w:rsidR="000A5F6C" w:rsidRPr="00440B5F">
        <w:rPr>
          <w:i/>
        </w:rPr>
        <w:t>měsný komunální odpad (po vytřídění materiálově využitelných složek, nebezpečných složek a</w:t>
      </w:r>
      <w:r>
        <w:rPr>
          <w:i/>
        </w:rPr>
        <w:t xml:space="preserve"> </w:t>
      </w:r>
      <w:r w:rsidR="000A5F6C" w:rsidRPr="00440B5F">
        <w:rPr>
          <w:i/>
        </w:rPr>
        <w:t>biologicky rozložitelných odpadů) zejména energeticky využívat v</w:t>
      </w:r>
      <w:r>
        <w:rPr>
          <w:i/>
        </w:rPr>
        <w:t> </w:t>
      </w:r>
      <w:r w:rsidR="000A5F6C" w:rsidRPr="00440B5F">
        <w:rPr>
          <w:i/>
        </w:rPr>
        <w:t>zařízeních k</w:t>
      </w:r>
      <w:r>
        <w:rPr>
          <w:i/>
        </w:rPr>
        <w:t> </w:t>
      </w:r>
      <w:r w:rsidR="000A5F6C" w:rsidRPr="00440B5F">
        <w:rPr>
          <w:i/>
        </w:rPr>
        <w:t>tomu určených v</w:t>
      </w:r>
      <w:r>
        <w:rPr>
          <w:i/>
        </w:rPr>
        <w:t> </w:t>
      </w:r>
      <w:r w:rsidR="000A5F6C" w:rsidRPr="00440B5F">
        <w:rPr>
          <w:i/>
        </w:rPr>
        <w:t>souladu s</w:t>
      </w:r>
      <w:r>
        <w:rPr>
          <w:i/>
        </w:rPr>
        <w:t> </w:t>
      </w:r>
      <w:r w:rsidR="000A5F6C" w:rsidRPr="00440B5F">
        <w:rPr>
          <w:i/>
        </w:rPr>
        <w:t>platnou legislativou</w:t>
      </w:r>
      <w:r>
        <w:t>“</w:t>
      </w:r>
      <w:r w:rsidR="000A5F6C" w:rsidRPr="00440B5F">
        <w:t>. Aby mohl být směsný komunální odpad zejména energeticky využíván v zařízeních k tomu určených, muselo by docházet ke zvyšování kapacit těchto zařízení, což</w:t>
      </w:r>
      <w:r>
        <w:t xml:space="preserve"> </w:t>
      </w:r>
      <w:r w:rsidR="000A5F6C" w:rsidRPr="00440B5F">
        <w:t>bylo do značné míry závislé na finanční podpoře těchto zařízení.</w:t>
      </w:r>
    </w:p>
    <w:p w14:paraId="4A0F69F0" w14:textId="1BF3639A" w:rsidR="0056019A" w:rsidRPr="0056019A" w:rsidRDefault="000A5F6C" w:rsidP="0056019A">
      <w:pPr>
        <w:pStyle w:val="TextKP"/>
      </w:pPr>
      <w:r w:rsidRPr="004B65B9">
        <w:t>MŽP v rámci OPŽP plánovalo podporu zařízení</w:t>
      </w:r>
      <w:r w:rsidRPr="0056019A">
        <w:t xml:space="preserve"> na energetické využití komunálních odpadů. Umožnění podpory bylo podmíněno posouzením ze strany </w:t>
      </w:r>
      <w:r w:rsidR="004B65B9">
        <w:t>Evropské komise</w:t>
      </w:r>
      <w:r w:rsidRPr="0056019A">
        <w:t xml:space="preserve">. Ačkoli proces posuzování nebyl </w:t>
      </w:r>
      <w:r w:rsidR="000B6630">
        <w:t xml:space="preserve">Evropskou komisí </w:t>
      </w:r>
      <w:r w:rsidRPr="0056019A">
        <w:t>ještě ukončen, MŽP na konci roku 2016</w:t>
      </w:r>
      <w:r w:rsidR="00014610">
        <w:t xml:space="preserve"> </w:t>
      </w:r>
      <w:r w:rsidRPr="0056019A">
        <w:t>rozhodlo, že</w:t>
      </w:r>
      <w:r w:rsidR="0046747F">
        <w:t xml:space="preserve"> </w:t>
      </w:r>
      <w:r w:rsidRPr="0056019A">
        <w:t>z</w:t>
      </w:r>
      <w:r w:rsidR="00457C6A">
        <w:t> </w:t>
      </w:r>
      <w:r w:rsidRPr="0056019A">
        <w:t xml:space="preserve">OPŽP nebude podporováno budování nových kapacit zařízení </w:t>
      </w:r>
      <w:r w:rsidR="004B65B9">
        <w:t>na</w:t>
      </w:r>
      <w:r w:rsidRPr="0056019A">
        <w:t xml:space="preserve"> energetické využití odpadu</w:t>
      </w:r>
      <w:r w:rsidR="004B65B9">
        <w:t>,</w:t>
      </w:r>
      <w:r w:rsidR="00014610">
        <w:t xml:space="preserve"> a </w:t>
      </w:r>
      <w:r w:rsidR="004B65B9">
        <w:t xml:space="preserve">neposkytlo </w:t>
      </w:r>
      <w:r w:rsidR="00BA20F0">
        <w:t xml:space="preserve">na tyto účely podporu </w:t>
      </w:r>
      <w:r w:rsidR="004B65B9">
        <w:t>ani</w:t>
      </w:r>
      <w:r w:rsidR="00014610">
        <w:t xml:space="preserve"> z jiných zdrojů</w:t>
      </w:r>
      <w:r w:rsidRPr="0056019A">
        <w:t>. Skutečností je, že v roce 20</w:t>
      </w:r>
      <w:r w:rsidR="00531A39">
        <w:t>20</w:t>
      </w:r>
      <w:r w:rsidRPr="0056019A">
        <w:t xml:space="preserve"> bylo 7</w:t>
      </w:r>
      <w:r w:rsidR="00B701E0">
        <w:t>7</w:t>
      </w:r>
      <w:r w:rsidR="004B65B9">
        <w:t> </w:t>
      </w:r>
      <w:r w:rsidRPr="0056019A">
        <w:t>% směsného komunálního odpadu skládkováno, energeticky využito bylo 2</w:t>
      </w:r>
      <w:r w:rsidR="00B701E0">
        <w:t>2</w:t>
      </w:r>
      <w:r w:rsidRPr="0056019A">
        <w:t xml:space="preserve"> % směsných komunálních odpadů (v roce 2015 bylo 73 % směsného komunálního odpadu skládkováno a</w:t>
      </w:r>
      <w:r w:rsidR="004B65B9">
        <w:t> </w:t>
      </w:r>
      <w:r w:rsidRPr="0056019A">
        <w:t>20 % energeticky využito).</w:t>
      </w:r>
    </w:p>
    <w:p w14:paraId="4C5FFB0C" w14:textId="23232ABD" w:rsidR="00D97FD7" w:rsidRDefault="000A5F6C" w:rsidP="00D31D11">
      <w:pPr>
        <w:pStyle w:val="TextKP"/>
      </w:pPr>
      <w:r w:rsidRPr="00E74F12">
        <w:t xml:space="preserve">MŽP se ve </w:t>
      </w:r>
      <w:r w:rsidRPr="00E91623">
        <w:rPr>
          <w:i/>
        </w:rPr>
        <w:t>zprávách o plnění cílů POH</w:t>
      </w:r>
      <w:r w:rsidRPr="00E74F12">
        <w:t xml:space="preserve"> primárně </w:t>
      </w:r>
      <w:r w:rsidR="008A4675">
        <w:t xml:space="preserve">zaměřuje </w:t>
      </w:r>
      <w:r w:rsidRPr="00E74F12">
        <w:t>na</w:t>
      </w:r>
      <w:r w:rsidR="0046747F">
        <w:t xml:space="preserve"> </w:t>
      </w:r>
      <w:r w:rsidRPr="00E74F12">
        <w:t>hodnocení plnění opatření, která</w:t>
      </w:r>
      <w:r w:rsidR="0046747F">
        <w:t xml:space="preserve"> </w:t>
      </w:r>
      <w:r w:rsidRPr="00E74F12">
        <w:t>mají vést k</w:t>
      </w:r>
      <w:r w:rsidR="00BA20F0">
        <w:t xml:space="preserve"> </w:t>
      </w:r>
      <w:r w:rsidRPr="00E74F12">
        <w:t>dosažení cílů, nikoliv na průběžné hodnocení dosahování cílů samotných</w:t>
      </w:r>
      <w:r w:rsidR="00866B97">
        <w:t xml:space="preserve">. MŽP například ve </w:t>
      </w:r>
      <w:r w:rsidR="00866B97" w:rsidRPr="00E91623">
        <w:rPr>
          <w:i/>
        </w:rPr>
        <w:t xml:space="preserve">Zprávě o plnění </w:t>
      </w:r>
      <w:r w:rsidR="00D119A7" w:rsidRPr="00E91623">
        <w:rPr>
          <w:i/>
        </w:rPr>
        <w:t xml:space="preserve">cílů </w:t>
      </w:r>
      <w:r w:rsidR="00866B97" w:rsidRPr="00E91623">
        <w:rPr>
          <w:i/>
        </w:rPr>
        <w:t>POH za období 2017–2018</w:t>
      </w:r>
      <w:r w:rsidR="00866B97">
        <w:t xml:space="preserve"> vyhodnotilo na základě r</w:t>
      </w:r>
      <w:r w:rsidR="00866B97" w:rsidRPr="00E74F12">
        <w:t>ealizac</w:t>
      </w:r>
      <w:r w:rsidR="00866B97">
        <w:t>e</w:t>
      </w:r>
      <w:r w:rsidR="00866B97" w:rsidRPr="00E74F12">
        <w:t xml:space="preserve"> opatření a</w:t>
      </w:r>
      <w:r w:rsidR="0046747F">
        <w:t xml:space="preserve"> </w:t>
      </w:r>
      <w:r w:rsidR="00866B97" w:rsidRPr="00E74F12">
        <w:t xml:space="preserve">aktivit, které </w:t>
      </w:r>
      <w:r w:rsidR="00E270E1">
        <w:t>měly</w:t>
      </w:r>
      <w:r w:rsidR="00866B97" w:rsidRPr="00E74F12">
        <w:t xml:space="preserve"> vést ke</w:t>
      </w:r>
      <w:r w:rsidR="0046747F">
        <w:t xml:space="preserve"> </w:t>
      </w:r>
      <w:r w:rsidR="00866B97" w:rsidRPr="00E74F12">
        <w:t xml:space="preserve">snižování celkové produkce odpadů, </w:t>
      </w:r>
      <w:r w:rsidR="00E270E1">
        <w:t>že</w:t>
      </w:r>
      <w:r w:rsidR="0046747F">
        <w:t xml:space="preserve"> </w:t>
      </w:r>
      <w:r w:rsidR="00E270E1">
        <w:t>strategický cíl č.</w:t>
      </w:r>
      <w:r w:rsidR="00866E65">
        <w:t> </w:t>
      </w:r>
      <w:r w:rsidR="00E270E1">
        <w:t>1 POH je</w:t>
      </w:r>
      <w:r w:rsidR="007C6BD0">
        <w:t xml:space="preserve"> částečně</w:t>
      </w:r>
      <w:r w:rsidR="00E270E1">
        <w:t xml:space="preserve"> plněn</w:t>
      </w:r>
      <w:r w:rsidR="007C6BD0">
        <w:t xml:space="preserve">. </w:t>
      </w:r>
      <w:r w:rsidR="007C6BD0" w:rsidRPr="007C6BD0">
        <w:t>K reálnému snížení produkce odpadů ovšem nedošlo.</w:t>
      </w:r>
      <w:r w:rsidR="00E270E1">
        <w:t xml:space="preserve"> </w:t>
      </w:r>
      <w:r>
        <w:t>Tento způsob hodnocení</w:t>
      </w:r>
      <w:r w:rsidR="00866B97">
        <w:t>, tj. bez</w:t>
      </w:r>
      <w:r w:rsidRPr="00E74F12">
        <w:t xml:space="preserve"> vazby mezi hodnocením plnění opatření a</w:t>
      </w:r>
      <w:r w:rsidR="00866E65">
        <w:t xml:space="preserve"> </w:t>
      </w:r>
      <w:r w:rsidRPr="00E74F12">
        <w:t>hodnocením dosahování cílů</w:t>
      </w:r>
      <w:r w:rsidR="00866B97">
        <w:t>,</w:t>
      </w:r>
      <w:r w:rsidRPr="00E74F12">
        <w:t xml:space="preserve"> neumožňuje MŽP průběžně posuzovat účinnost strategie snižování odpadové produkce</w:t>
      </w:r>
      <w:r>
        <w:t>.</w:t>
      </w:r>
    </w:p>
    <w:p w14:paraId="192ED38D" w14:textId="2FC27392" w:rsidR="00043765" w:rsidRDefault="000A5F6C" w:rsidP="00D97FD7">
      <w:pPr>
        <w:pStyle w:val="TextKP"/>
      </w:pPr>
      <w:r w:rsidRPr="00D97FD7">
        <w:t>MŽP definova</w:t>
      </w:r>
      <w:r>
        <w:t>lo</w:t>
      </w:r>
      <w:r w:rsidRPr="00D97FD7">
        <w:t xml:space="preserve"> </w:t>
      </w:r>
      <w:r>
        <w:t>pro hodnocení dvou cílů POH</w:t>
      </w:r>
      <w:r>
        <w:rPr>
          <w:rStyle w:val="Znakapoznpodarou"/>
        </w:rPr>
        <w:footnoteReference w:id="43"/>
      </w:r>
      <w:r>
        <w:t xml:space="preserve"> </w:t>
      </w:r>
      <w:r w:rsidRPr="00D97FD7">
        <w:t xml:space="preserve">indikátory, </w:t>
      </w:r>
      <w:r>
        <w:t xml:space="preserve">které </w:t>
      </w:r>
      <w:r w:rsidRPr="00D97FD7">
        <w:t>se vztahují pouze k celkové produkci odpadů či nebezpečných odpadů</w:t>
      </w:r>
      <w:r>
        <w:t>, ačkoliv tyto cíle jsou zaměřen</w:t>
      </w:r>
      <w:r w:rsidR="003701DF">
        <w:t>y</w:t>
      </w:r>
      <w:r>
        <w:t xml:space="preserve"> také na</w:t>
      </w:r>
      <w:r w:rsidR="0046747F">
        <w:t xml:space="preserve"> </w:t>
      </w:r>
      <w:r w:rsidRPr="00D97FD7">
        <w:t>minimalizac</w:t>
      </w:r>
      <w:r>
        <w:t>i</w:t>
      </w:r>
      <w:r w:rsidRPr="00D97FD7">
        <w:t xml:space="preserve"> účinků nakládání s odpady na</w:t>
      </w:r>
      <w:r w:rsidR="0046747F">
        <w:t xml:space="preserve"> </w:t>
      </w:r>
      <w:r w:rsidRPr="00D97FD7">
        <w:t>lidské zdraví a životní prostředí</w:t>
      </w:r>
      <w:r>
        <w:t xml:space="preserve">. MŽP </w:t>
      </w:r>
      <w:r w:rsidRPr="00D97FD7">
        <w:t xml:space="preserve">ve vztahu </w:t>
      </w:r>
      <w:r>
        <w:t>k</w:t>
      </w:r>
      <w:r w:rsidR="0046747F">
        <w:t> </w:t>
      </w:r>
      <w:r>
        <w:t>předmětným</w:t>
      </w:r>
      <w:r w:rsidRPr="00D97FD7">
        <w:t xml:space="preserve"> cíl</w:t>
      </w:r>
      <w:r>
        <w:t>ům POH</w:t>
      </w:r>
      <w:r w:rsidRPr="00D97FD7">
        <w:t xml:space="preserve"> </w:t>
      </w:r>
      <w:r>
        <w:t xml:space="preserve">nestanovilo </w:t>
      </w:r>
      <w:r w:rsidRPr="00D97FD7">
        <w:t>indikátor</w:t>
      </w:r>
      <w:r>
        <w:t>y</w:t>
      </w:r>
      <w:r w:rsidRPr="00043765">
        <w:t xml:space="preserve"> </w:t>
      </w:r>
      <w:r w:rsidRPr="00D97FD7">
        <w:t>zohledňující způsoby nakládání s</w:t>
      </w:r>
      <w:r>
        <w:t> </w:t>
      </w:r>
      <w:r w:rsidRPr="00D97FD7">
        <w:t>odpady</w:t>
      </w:r>
      <w:r>
        <w:t>.</w:t>
      </w:r>
    </w:p>
    <w:p w14:paraId="34769A0C" w14:textId="25D12AB9" w:rsidR="00A53B67" w:rsidRDefault="000A5F6C" w:rsidP="00996D04">
      <w:pPr>
        <w:pStyle w:val="TextKP"/>
      </w:pPr>
      <w:r>
        <w:t>MŽP vykázalo v soustavě indikátorů odpadového hospodářství ČR</w:t>
      </w:r>
      <w:r>
        <w:rPr>
          <w:rStyle w:val="Znakapoznpodarou"/>
        </w:rPr>
        <w:footnoteReference w:id="44"/>
      </w:r>
      <w:r>
        <w:t xml:space="preserve"> za roky 2017 a</w:t>
      </w:r>
      <w:r w:rsidR="00006CDD">
        <w:t xml:space="preserve"> </w:t>
      </w:r>
      <w:r>
        <w:t xml:space="preserve">2018 vyšší hodnoty podílu skládkování BRKO </w:t>
      </w:r>
      <w:r w:rsidRPr="00FD2182">
        <w:t>v ČR</w:t>
      </w:r>
      <w:r>
        <w:t xml:space="preserve"> </w:t>
      </w:r>
      <w:r w:rsidRPr="00FD2182">
        <w:t>ve</w:t>
      </w:r>
      <w:r w:rsidR="00866E65">
        <w:t xml:space="preserve"> </w:t>
      </w:r>
      <w:r w:rsidRPr="00FD2182">
        <w:t>vztahu ke</w:t>
      </w:r>
      <w:r w:rsidR="00866E65">
        <w:t xml:space="preserve"> </w:t>
      </w:r>
      <w:r w:rsidRPr="00FD2182">
        <w:t>srovnávací základně z roku 1995</w:t>
      </w:r>
      <w:r>
        <w:t xml:space="preserve"> (62 % za rok 2017 a 61 % za rok 2018), než uvedlo </w:t>
      </w:r>
      <w:r w:rsidRPr="002A0D28">
        <w:t xml:space="preserve">ve </w:t>
      </w:r>
      <w:r w:rsidRPr="00E91623">
        <w:rPr>
          <w:i/>
        </w:rPr>
        <w:t xml:space="preserve">Zprávě o plnění cílů POH za </w:t>
      </w:r>
      <w:r w:rsidR="00D20ADC" w:rsidRPr="00E91623">
        <w:rPr>
          <w:i/>
        </w:rPr>
        <w:t>období</w:t>
      </w:r>
      <w:r w:rsidRPr="00E91623">
        <w:rPr>
          <w:i/>
        </w:rPr>
        <w:t xml:space="preserve"> 2017</w:t>
      </w:r>
      <w:r w:rsidR="00D20ADC" w:rsidRPr="00E91623">
        <w:rPr>
          <w:i/>
        </w:rPr>
        <w:t>–</w:t>
      </w:r>
      <w:r w:rsidRPr="00E91623">
        <w:rPr>
          <w:i/>
        </w:rPr>
        <w:t>2018</w:t>
      </w:r>
      <w:r w:rsidRPr="002A0D28">
        <w:t xml:space="preserve"> </w:t>
      </w:r>
      <w:r>
        <w:t>(47</w:t>
      </w:r>
      <w:r w:rsidR="00D20ADC">
        <w:t> </w:t>
      </w:r>
      <w:r>
        <w:t>% za rok 2017 a 46 % za rok 2018).</w:t>
      </w:r>
      <w:r w:rsidRPr="00920C3C">
        <w:t xml:space="preserve"> </w:t>
      </w:r>
      <w:r w:rsidRPr="00AF49B8">
        <w:t>D</w:t>
      </w:r>
      <w:r>
        <w:t xml:space="preserve">osažené hodnoty podílu skládkování BRKO vykázané </w:t>
      </w:r>
      <w:r w:rsidRPr="00AF49B8">
        <w:t xml:space="preserve">ve </w:t>
      </w:r>
      <w:r w:rsidRPr="00E91623">
        <w:rPr>
          <w:i/>
        </w:rPr>
        <w:t xml:space="preserve">Zprávě o plnění cílů POH za </w:t>
      </w:r>
      <w:r w:rsidR="00D20ADC">
        <w:rPr>
          <w:i/>
        </w:rPr>
        <w:t>období</w:t>
      </w:r>
      <w:r w:rsidRPr="00E91623">
        <w:rPr>
          <w:i/>
        </w:rPr>
        <w:t xml:space="preserve"> 2017</w:t>
      </w:r>
      <w:r w:rsidR="00D20ADC" w:rsidRPr="00B0707E">
        <w:rPr>
          <w:i/>
        </w:rPr>
        <w:t>–</w:t>
      </w:r>
      <w:r w:rsidRPr="00E91623">
        <w:rPr>
          <w:i/>
        </w:rPr>
        <w:t>2018</w:t>
      </w:r>
      <w:r w:rsidRPr="00AF49B8">
        <w:t xml:space="preserve"> </w:t>
      </w:r>
      <w:r>
        <w:t>neměly</w:t>
      </w:r>
      <w:r w:rsidRPr="00AF49B8">
        <w:t xml:space="preserve"> oporu ve schválené </w:t>
      </w:r>
      <w:r>
        <w:t>soustavě indikátorů odpadového hospodářství ČR a</w:t>
      </w:r>
      <w:r w:rsidR="00006CDD">
        <w:t>ni</w:t>
      </w:r>
      <w:r>
        <w:t xml:space="preserve"> ve stanoveném způsobu jejich výpočtu</w:t>
      </w:r>
      <w:r w:rsidRPr="00AF49B8">
        <w:t>.</w:t>
      </w:r>
    </w:p>
    <w:p w14:paraId="45007F52" w14:textId="6460C78F" w:rsidR="00100DDA" w:rsidRDefault="000A5F6C" w:rsidP="005567EF">
      <w:pPr>
        <w:pStyle w:val="Nadpis4"/>
      </w:pPr>
      <w:r w:rsidRPr="00820E3F">
        <w:t xml:space="preserve">Kontrolou byly zjištěny nedostatky v oblasti </w:t>
      </w:r>
      <w:r w:rsidR="00CD263B">
        <w:t>sledování a vykazování</w:t>
      </w:r>
      <w:r w:rsidRPr="00820E3F">
        <w:t xml:space="preserve"> dat o odpadovém hospodářství</w:t>
      </w:r>
    </w:p>
    <w:p w14:paraId="3F215923" w14:textId="77777777" w:rsidR="00317028" w:rsidRPr="00E91623" w:rsidRDefault="000A5F6C" w:rsidP="00100DDA">
      <w:pPr>
        <w:pStyle w:val="TextKP"/>
        <w:rPr>
          <w:b/>
        </w:rPr>
      </w:pPr>
      <w:r w:rsidRPr="00E91623">
        <w:rPr>
          <w:b/>
        </w:rPr>
        <w:t>Systém sledování</w:t>
      </w:r>
      <w:r w:rsidR="00684FF7" w:rsidRPr="00E91623">
        <w:rPr>
          <w:b/>
        </w:rPr>
        <w:t xml:space="preserve"> nakládání s odpady</w:t>
      </w:r>
    </w:p>
    <w:p w14:paraId="7D656037" w14:textId="10F2761E" w:rsidR="002B2037" w:rsidRPr="00480F94" w:rsidRDefault="000A5F6C" w:rsidP="00FC211A">
      <w:pPr>
        <w:pStyle w:val="TextKP"/>
      </w:pPr>
      <w:r w:rsidRPr="00480F94">
        <w:t xml:space="preserve">MŽP má podle zákona o odpadech povinnost zveřejňovat aktuální informace o provozu zařízení </w:t>
      </w:r>
      <w:r w:rsidR="00CD1718">
        <w:t xml:space="preserve">určených </w:t>
      </w:r>
      <w:r w:rsidRPr="00480F94">
        <w:t>pro nakládání s odpady a dle POH je odpovědné za</w:t>
      </w:r>
      <w:r w:rsidR="0046747F">
        <w:t xml:space="preserve"> </w:t>
      </w:r>
      <w:r w:rsidRPr="00480F94">
        <w:t>vytváření a udržování komplexní, přiměřené a efektivní sítě zařízení k nakládání s odpady na území ČR. MŽP má</w:t>
      </w:r>
      <w:r w:rsidR="0046747F">
        <w:t xml:space="preserve"> </w:t>
      </w:r>
      <w:r w:rsidRPr="00480F94">
        <w:t>vyhodnocovat systém nakládání s</w:t>
      </w:r>
      <w:r w:rsidR="0046747F">
        <w:t xml:space="preserve"> </w:t>
      </w:r>
      <w:r w:rsidRPr="00480F94">
        <w:t>odpady na území ČR a</w:t>
      </w:r>
      <w:r w:rsidR="0046747F">
        <w:t xml:space="preserve"> </w:t>
      </w:r>
      <w:r w:rsidRPr="00480F94">
        <w:t xml:space="preserve">systém tříděného sběru odpadů, </w:t>
      </w:r>
      <w:r w:rsidRPr="00480F94">
        <w:lastRenderedPageBreak/>
        <w:t>přičem</w:t>
      </w:r>
      <w:r w:rsidR="00597BE3" w:rsidRPr="00480F94">
        <w:t>ž</w:t>
      </w:r>
      <w:r w:rsidR="0046747F">
        <w:t xml:space="preserve"> </w:t>
      </w:r>
      <w:r w:rsidRPr="00480F94">
        <w:t>má</w:t>
      </w:r>
      <w:r w:rsidR="0046747F">
        <w:t xml:space="preserve"> </w:t>
      </w:r>
      <w:r w:rsidRPr="00480F94">
        <w:t>posuzovat kapacitní možnosti systému nakládání s</w:t>
      </w:r>
      <w:r w:rsidR="0046747F">
        <w:t xml:space="preserve"> </w:t>
      </w:r>
      <w:r w:rsidRPr="00480F94">
        <w:t>odpady a navrhovat opatření k</w:t>
      </w:r>
      <w:r w:rsidR="0046747F">
        <w:t xml:space="preserve"> </w:t>
      </w:r>
      <w:r w:rsidRPr="00480F94">
        <w:t>jeho zlepšení.</w:t>
      </w:r>
    </w:p>
    <w:p w14:paraId="35290947" w14:textId="1EFB17AB" w:rsidR="004E4BF7" w:rsidRPr="00480F94" w:rsidRDefault="000A5F6C" w:rsidP="00FC211A">
      <w:pPr>
        <w:pStyle w:val="TextKP"/>
      </w:pPr>
      <w:r w:rsidRPr="00480F94">
        <w:t xml:space="preserve">ISOH je databázový informační systém obsahující data ohlašovaná na základě zákona </w:t>
      </w:r>
      <w:r w:rsidR="00CD1718">
        <w:br/>
      </w:r>
      <w:r w:rsidRPr="00480F94">
        <w:t>o</w:t>
      </w:r>
      <w:r w:rsidR="00CD1718">
        <w:t xml:space="preserve"> </w:t>
      </w:r>
      <w:r w:rsidRPr="00480F94">
        <w:t>odpadech, nového zákona o odpadech a zákona o obalech. Veřejnosti je přístupn</w:t>
      </w:r>
      <w:r w:rsidR="00FF283C">
        <w:t>á</w:t>
      </w:r>
      <w:r w:rsidRPr="00480F94">
        <w:t xml:space="preserve"> mj.</w:t>
      </w:r>
      <w:r w:rsidR="00FF283C">
        <w:t xml:space="preserve"> databáze</w:t>
      </w:r>
      <w:r w:rsidR="00CD1718">
        <w:t xml:space="preserve"> </w:t>
      </w:r>
      <w:r w:rsidRPr="00480F94">
        <w:rPr>
          <w:i/>
        </w:rPr>
        <w:t xml:space="preserve">Veřejný informační systém odpadového hospodářství </w:t>
      </w:r>
      <w:r w:rsidR="00CD1718" w:rsidRPr="00E91623">
        <w:t>(</w:t>
      </w:r>
      <w:r w:rsidR="00CD1718">
        <w:t xml:space="preserve">dále také „VISOH“) </w:t>
      </w:r>
      <w:r w:rsidRPr="00480F94">
        <w:t>a</w:t>
      </w:r>
      <w:r w:rsidR="00FF283C">
        <w:t xml:space="preserve"> databáze</w:t>
      </w:r>
      <w:r w:rsidRPr="00480F94">
        <w:t xml:space="preserve"> </w:t>
      </w:r>
      <w:r w:rsidRPr="00480F94">
        <w:rPr>
          <w:i/>
        </w:rPr>
        <w:t>Registr zařízení, obchodníků a spisů</w:t>
      </w:r>
      <w:r w:rsidRPr="00480F94">
        <w:t xml:space="preserve"> (dále také „registr zařízení“)</w:t>
      </w:r>
      <w:r>
        <w:rPr>
          <w:rStyle w:val="Znakapoznpodarou"/>
        </w:rPr>
        <w:footnoteReference w:id="45"/>
      </w:r>
      <w:r w:rsidRPr="00480F94">
        <w:t xml:space="preserve">. Kontrolou NKÚ bylo zjištěno, že rozsah informací </w:t>
      </w:r>
      <w:r w:rsidR="003146D7">
        <w:t>z</w:t>
      </w:r>
      <w:r w:rsidR="003146D7" w:rsidRPr="00480F94">
        <w:t>přístupn</w:t>
      </w:r>
      <w:r w:rsidR="003146D7">
        <w:t>ěných</w:t>
      </w:r>
      <w:r w:rsidR="003146D7" w:rsidRPr="00480F94">
        <w:t xml:space="preserve"> </w:t>
      </w:r>
      <w:r w:rsidRPr="00480F94">
        <w:t>veřejnosti je oproti rozsahu neveřejné části ISOH omezený. V případě registru zařízení je většina informací o provozu zařízení pro</w:t>
      </w:r>
      <w:r w:rsidR="00FF283C">
        <w:t xml:space="preserve"> </w:t>
      </w:r>
      <w:r w:rsidRPr="00480F94">
        <w:t>nakládání s</w:t>
      </w:r>
      <w:r w:rsidR="003146D7">
        <w:t> </w:t>
      </w:r>
      <w:r w:rsidRPr="00480F94">
        <w:t>odpady veřejnosti nepřístupná, jedná se například o informace o</w:t>
      </w:r>
      <w:r w:rsidR="003146D7">
        <w:t xml:space="preserve"> </w:t>
      </w:r>
      <w:r w:rsidRPr="00480F94">
        <w:t>volných kapacitách skládek, množství zpoplatněného a nezpoplatněného odpadu uloženého na</w:t>
      </w:r>
      <w:r w:rsidR="00FF283C">
        <w:t xml:space="preserve"> </w:t>
      </w:r>
      <w:r w:rsidRPr="00480F94">
        <w:t>skládky aj. V případě VISOH jsou zveřej</w:t>
      </w:r>
      <w:r w:rsidR="003146D7">
        <w:t>něny</w:t>
      </w:r>
      <w:r w:rsidRPr="00480F94">
        <w:t xml:space="preserve"> pouze základní agregované informace o</w:t>
      </w:r>
      <w:r w:rsidR="003146D7">
        <w:t xml:space="preserve"> </w:t>
      </w:r>
      <w:r w:rsidRPr="00480F94">
        <w:t xml:space="preserve">produkci </w:t>
      </w:r>
      <w:r w:rsidR="00FF283C">
        <w:t xml:space="preserve">odpadů </w:t>
      </w:r>
      <w:r w:rsidRPr="00480F94">
        <w:t xml:space="preserve">a </w:t>
      </w:r>
      <w:r w:rsidR="00FF283C">
        <w:t xml:space="preserve">o </w:t>
      </w:r>
      <w:r w:rsidRPr="00480F94">
        <w:t>nakládání s</w:t>
      </w:r>
      <w:r w:rsidR="002C0280" w:rsidRPr="00480F94">
        <w:t> </w:t>
      </w:r>
      <w:r w:rsidR="00FF283C">
        <w:t>nimi</w:t>
      </w:r>
      <w:r w:rsidRPr="00480F94">
        <w:t>.</w:t>
      </w:r>
    </w:p>
    <w:p w14:paraId="0255C6D5" w14:textId="6652A0B5" w:rsidR="00325915" w:rsidRDefault="000A5F6C" w:rsidP="00FC211A">
      <w:pPr>
        <w:pStyle w:val="TextKP"/>
      </w:pPr>
      <w:r w:rsidRPr="00480F94">
        <w:t>Informace o zařízeních</w:t>
      </w:r>
      <w:r w:rsidR="00A57958" w:rsidRPr="00480F94">
        <w:t xml:space="preserve"> určených pro nakládání s</w:t>
      </w:r>
      <w:r w:rsidR="00CF0BD2">
        <w:t xml:space="preserve"> </w:t>
      </w:r>
      <w:r w:rsidR="00A57958" w:rsidRPr="00480F94">
        <w:t xml:space="preserve">odpady </w:t>
      </w:r>
      <w:r w:rsidRPr="00480F94">
        <w:t xml:space="preserve">jsou </w:t>
      </w:r>
      <w:r w:rsidR="00CF0BD2">
        <w:t>shromažďovány</w:t>
      </w:r>
      <w:r w:rsidRPr="00480F94">
        <w:t xml:space="preserve"> </w:t>
      </w:r>
      <w:r w:rsidR="004E4BF7" w:rsidRPr="00480F94">
        <w:t>v</w:t>
      </w:r>
      <w:r w:rsidR="001E5CEE">
        <w:t xml:space="preserve"> </w:t>
      </w:r>
      <w:r w:rsidR="004E4BF7" w:rsidRPr="00480F94">
        <w:t>registru zařízení</w:t>
      </w:r>
      <w:r>
        <w:rPr>
          <w:rStyle w:val="Znakapoznpodarou"/>
        </w:rPr>
        <w:footnoteReference w:id="46"/>
      </w:r>
      <w:r w:rsidRPr="00480F94">
        <w:t>. V</w:t>
      </w:r>
      <w:r w:rsidR="001E5CEE">
        <w:t xml:space="preserve"> </w:t>
      </w:r>
      <w:r w:rsidR="00A57958" w:rsidRPr="00480F94">
        <w:t>tomto</w:t>
      </w:r>
      <w:r w:rsidR="00CF0BD2">
        <w:t xml:space="preserve"> </w:t>
      </w:r>
      <w:r w:rsidRPr="00480F94">
        <w:t>registru není evidováno reálné využívání kapacit</w:t>
      </w:r>
      <w:r w:rsidR="00942198" w:rsidRPr="00480F94">
        <w:t xml:space="preserve"> </w:t>
      </w:r>
      <w:r w:rsidRPr="00480F94">
        <w:t>těchto</w:t>
      </w:r>
      <w:r w:rsidR="00942198" w:rsidRPr="00480F94">
        <w:t xml:space="preserve"> zařízení</w:t>
      </w:r>
      <w:r w:rsidRPr="00480F94">
        <w:t xml:space="preserve"> </w:t>
      </w:r>
      <w:r w:rsidR="00942198" w:rsidRPr="00480F94">
        <w:t>pro nakládání s</w:t>
      </w:r>
      <w:r w:rsidR="008A52E4">
        <w:t xml:space="preserve"> </w:t>
      </w:r>
      <w:r w:rsidR="00942198" w:rsidRPr="00480F94">
        <w:t>od</w:t>
      </w:r>
      <w:r w:rsidRPr="00480F94">
        <w:t>pady v daném kalendářním roce (v</w:t>
      </w:r>
      <w:r w:rsidR="00942198" w:rsidRPr="00480F94">
        <w:t>y</w:t>
      </w:r>
      <w:r w:rsidRPr="00480F94">
        <w:t>jma skládek, kde jsou sledovány volné kapacity a</w:t>
      </w:r>
      <w:r w:rsidR="008A52E4">
        <w:t xml:space="preserve"> </w:t>
      </w:r>
      <w:r w:rsidRPr="00480F94">
        <w:t>zároveň množství uloženého odpadu)</w:t>
      </w:r>
      <w:r w:rsidR="00521EFF" w:rsidRPr="00480F94">
        <w:t>, ale je zde evidována pouze povolená maximální kapacita zařízení (tzv. projektovaná zpracovatelská kapacita).</w:t>
      </w:r>
    </w:p>
    <w:p w14:paraId="2FB98B48" w14:textId="77AC4FB0" w:rsidR="00942198" w:rsidRDefault="000A5F6C" w:rsidP="00FC211A">
      <w:pPr>
        <w:pStyle w:val="TextKP"/>
      </w:pPr>
      <w:r>
        <w:t xml:space="preserve">Dalším </w:t>
      </w:r>
      <w:r w:rsidRPr="00AB4552">
        <w:t>nedostatk</w:t>
      </w:r>
      <w:r>
        <w:t xml:space="preserve">em </w:t>
      </w:r>
      <w:r w:rsidR="00C81F3D">
        <w:t xml:space="preserve">systému </w:t>
      </w:r>
      <w:r w:rsidR="006F7212">
        <w:t>monitorování</w:t>
      </w:r>
      <w:r w:rsidR="00C81F3D">
        <w:t xml:space="preserve"> nakládání s</w:t>
      </w:r>
      <w:r w:rsidR="00CF0BD2">
        <w:t xml:space="preserve"> </w:t>
      </w:r>
      <w:r w:rsidR="00C81F3D">
        <w:t>odpady je</w:t>
      </w:r>
      <w:r w:rsidR="00F33FBC">
        <w:t xml:space="preserve"> to</w:t>
      </w:r>
      <w:r w:rsidR="00C81F3D">
        <w:t>, že MŽP nemůže sledovat</w:t>
      </w:r>
      <w:r w:rsidR="00CF0BD2">
        <w:t xml:space="preserve"> </w:t>
      </w:r>
      <w:r w:rsidR="00FC211A" w:rsidRPr="00FC211A">
        <w:t>způsob</w:t>
      </w:r>
      <w:r w:rsidR="006F7212">
        <w:t>y</w:t>
      </w:r>
      <w:r w:rsidR="00FC211A" w:rsidRPr="00FC211A">
        <w:t xml:space="preserve"> nakládá</w:t>
      </w:r>
      <w:r w:rsidR="006F7212">
        <w:t>ní</w:t>
      </w:r>
      <w:r w:rsidR="00FC211A" w:rsidRPr="00FC211A">
        <w:t xml:space="preserve"> s</w:t>
      </w:r>
      <w:r w:rsidR="001E5CEE">
        <w:t xml:space="preserve"> </w:t>
      </w:r>
      <w:r w:rsidR="00FC211A" w:rsidRPr="00FC211A">
        <w:t>odpady produkovanými na určitém konkrétním území (např.</w:t>
      </w:r>
      <w:r w:rsidR="00CF0BD2">
        <w:t xml:space="preserve"> </w:t>
      </w:r>
      <w:r w:rsidR="00FC211A" w:rsidRPr="00FC211A">
        <w:t>kraj)</w:t>
      </w:r>
      <w:r w:rsidR="00C81F3D">
        <w:t xml:space="preserve"> </w:t>
      </w:r>
      <w:r w:rsidR="00C81F3D" w:rsidRPr="00C81F3D">
        <w:t>ve vazbě na původce odpadů.</w:t>
      </w:r>
      <w:r w:rsidR="00C81F3D">
        <w:t xml:space="preserve"> MŽP může</w:t>
      </w:r>
      <w:r w:rsidR="00C81F3D" w:rsidRPr="00C81F3D">
        <w:t xml:space="preserve"> sledovat množství odpadu, který</w:t>
      </w:r>
      <w:r w:rsidR="00CF0BD2">
        <w:t xml:space="preserve"> </w:t>
      </w:r>
      <w:r w:rsidR="00C81F3D" w:rsidRPr="00C81F3D">
        <w:t xml:space="preserve">byl využit či odstraněn v zařízeních na území kraje, </w:t>
      </w:r>
      <w:r w:rsidR="00C81F3D">
        <w:t xml:space="preserve">ale </w:t>
      </w:r>
      <w:r w:rsidR="00C81F3D" w:rsidRPr="00C81F3D">
        <w:t>bez vazby na původ odpadu,</w:t>
      </w:r>
      <w:r w:rsidR="006079A9">
        <w:t xml:space="preserve"> čímž je znemožněno</w:t>
      </w:r>
      <w:r w:rsidR="00C81F3D" w:rsidRPr="00C81F3D">
        <w:t xml:space="preserve"> průběžné sledování meziregionálních odpadových toků.</w:t>
      </w:r>
    </w:p>
    <w:p w14:paraId="7C2121F2" w14:textId="2918818C" w:rsidR="00410062" w:rsidRDefault="000A5F6C" w:rsidP="00EE2411">
      <w:pPr>
        <w:pStyle w:val="TextKP"/>
      </w:pPr>
      <w:r>
        <w:t>Uvedené nedostatky</w:t>
      </w:r>
      <w:r w:rsidR="00317028" w:rsidRPr="00FC211A">
        <w:t xml:space="preserve"> znesnadňuj</w:t>
      </w:r>
      <w:r>
        <w:t>í</w:t>
      </w:r>
      <w:r w:rsidR="00317028" w:rsidRPr="00FC211A">
        <w:t xml:space="preserve"> </w:t>
      </w:r>
      <w:r>
        <w:t xml:space="preserve">MŽP </w:t>
      </w:r>
      <w:r w:rsidR="00317028" w:rsidRPr="00FC211A">
        <w:t>hodnocení zatížení sítě zařízení pro nakládání s odpady a její optimalizaci a neumožňuj</w:t>
      </w:r>
      <w:r>
        <w:t>í MŽP pružně</w:t>
      </w:r>
      <w:r w:rsidR="00317028" w:rsidRPr="00FC211A">
        <w:t xml:space="preserve"> reagovat na</w:t>
      </w:r>
      <w:r w:rsidR="00CF0BD2">
        <w:t xml:space="preserve"> </w:t>
      </w:r>
      <w:r w:rsidR="00317028" w:rsidRPr="00FC211A">
        <w:t>potřeby</w:t>
      </w:r>
      <w:r>
        <w:t xml:space="preserve"> odpadového hospodářství</w:t>
      </w:r>
      <w:r w:rsidR="00317028" w:rsidRPr="00FC211A">
        <w:t xml:space="preserve"> </w:t>
      </w:r>
      <w:r w:rsidR="006F7212">
        <w:br/>
      </w:r>
      <w:r w:rsidR="00317028" w:rsidRPr="00FC211A">
        <w:t>a</w:t>
      </w:r>
      <w:r w:rsidR="006F7212">
        <w:t xml:space="preserve"> </w:t>
      </w:r>
      <w:r w:rsidR="00317028" w:rsidRPr="00FC211A">
        <w:t>lépe identifikovat oblasti</w:t>
      </w:r>
      <w:r>
        <w:t xml:space="preserve"> k </w:t>
      </w:r>
      <w:r w:rsidR="00317028" w:rsidRPr="00FC211A">
        <w:t>finanční podpo</w:t>
      </w:r>
      <w:r>
        <w:t>ře</w:t>
      </w:r>
      <w:r w:rsidR="00317028" w:rsidRPr="00FC211A">
        <w:t xml:space="preserve"> z národních či evropských prostředků.</w:t>
      </w:r>
      <w:r w:rsidR="00EE2411">
        <w:t xml:space="preserve"> </w:t>
      </w:r>
      <w:r w:rsidR="00BE1E6E">
        <w:t>Vyhodnocení stavu sítě zařízení k nakládání s odpady na celostátní i regionální úrovni včetně návrhů jej</w:t>
      </w:r>
      <w:r w:rsidR="006F7212">
        <w:t>í</w:t>
      </w:r>
      <w:r w:rsidR="00BE1E6E">
        <w:t xml:space="preserve"> optimalizace </w:t>
      </w:r>
      <w:r w:rsidR="006F7212">
        <w:t xml:space="preserve">realizovalo </w:t>
      </w:r>
      <w:r w:rsidR="00BE1E6E">
        <w:t>MŽP zadáním externí analýzy.</w:t>
      </w:r>
    </w:p>
    <w:p w14:paraId="1E203B20" w14:textId="2C2E96BA" w:rsidR="00317028" w:rsidRPr="00E91623" w:rsidRDefault="000A5F6C" w:rsidP="00317028">
      <w:pPr>
        <w:pStyle w:val="TextKP"/>
        <w:rPr>
          <w:b/>
        </w:rPr>
      </w:pPr>
      <w:r w:rsidRPr="00E91623">
        <w:rPr>
          <w:b/>
        </w:rPr>
        <w:t>Rozdíl</w:t>
      </w:r>
      <w:r w:rsidR="001E5CEE">
        <w:rPr>
          <w:b/>
        </w:rPr>
        <w:t>y</w:t>
      </w:r>
      <w:r w:rsidRPr="00E91623">
        <w:rPr>
          <w:b/>
        </w:rPr>
        <w:t xml:space="preserve"> v </w:t>
      </w:r>
      <w:r w:rsidR="001E5CEE">
        <w:rPr>
          <w:b/>
        </w:rPr>
        <w:t>údajích</w:t>
      </w:r>
      <w:r w:rsidRPr="00E91623">
        <w:rPr>
          <w:b/>
        </w:rPr>
        <w:t xml:space="preserve"> o celkové produkci komunálních odpadů</w:t>
      </w:r>
    </w:p>
    <w:p w14:paraId="5588F7FE" w14:textId="1943DD4D" w:rsidR="00286A0F" w:rsidRDefault="000A5F6C" w:rsidP="00CC5D3B">
      <w:pPr>
        <w:pStyle w:val="TextKP"/>
      </w:pPr>
      <w:r w:rsidRPr="009536CE">
        <w:t xml:space="preserve">Na základě </w:t>
      </w:r>
      <w:r w:rsidR="008F7406">
        <w:rPr>
          <w:i/>
        </w:rPr>
        <w:t>d</w:t>
      </w:r>
      <w:r w:rsidRPr="009536CE">
        <w:rPr>
          <w:i/>
        </w:rPr>
        <w:t>ohody o poskytování administrativních dat pro statistické účely</w:t>
      </w:r>
      <w:r w:rsidRPr="009536CE">
        <w:t xml:space="preserve"> z</w:t>
      </w:r>
      <w:r>
        <w:t xml:space="preserve">e dne </w:t>
      </w:r>
      <w:r w:rsidRPr="009536CE">
        <w:t xml:space="preserve">29. </w:t>
      </w:r>
      <w:r>
        <w:t>října</w:t>
      </w:r>
      <w:r w:rsidRPr="009536CE">
        <w:t xml:space="preserve"> 2019 se ČSÚ rozhodl k částečnému nahrazení původních statistických výkazů daty </w:t>
      </w:r>
      <w:r>
        <w:t>MŽP</w:t>
      </w:r>
      <w:r w:rsidRPr="009536CE">
        <w:t xml:space="preserve">. </w:t>
      </w:r>
      <w:r w:rsidR="0067199F">
        <w:t>Vlivem t</w:t>
      </w:r>
      <w:r w:rsidRPr="009536CE">
        <w:t>o</w:t>
      </w:r>
      <w:r w:rsidR="0067199F">
        <w:t>ho</w:t>
      </w:r>
      <w:r w:rsidRPr="009536CE">
        <w:t>to</w:t>
      </w:r>
      <w:r w:rsidR="0046747F">
        <w:t xml:space="preserve"> </w:t>
      </w:r>
      <w:r w:rsidRPr="009536CE">
        <w:t>částečné</w:t>
      </w:r>
      <w:r w:rsidR="0067199F">
        <w:t>ho</w:t>
      </w:r>
      <w:r w:rsidRPr="009536CE">
        <w:t xml:space="preserve"> sjednocení </w:t>
      </w:r>
      <w:r w:rsidRPr="00D31D11">
        <w:t>zdrojové základny pro údaje vykazované MŽP a</w:t>
      </w:r>
      <w:r w:rsidR="008F7406">
        <w:t xml:space="preserve"> </w:t>
      </w:r>
      <w:r w:rsidRPr="00D31D11">
        <w:t xml:space="preserve">ČSÚ </w:t>
      </w:r>
      <w:r w:rsidR="0067199F">
        <w:t xml:space="preserve">a vlivem </w:t>
      </w:r>
      <w:r w:rsidRPr="00D31D11">
        <w:t>audit</w:t>
      </w:r>
      <w:r w:rsidR="0067199F">
        <w:t>u</w:t>
      </w:r>
      <w:r w:rsidRPr="00D31D11">
        <w:t xml:space="preserve"> </w:t>
      </w:r>
      <w:r>
        <w:t xml:space="preserve">informačního systému MŽP </w:t>
      </w:r>
      <w:r w:rsidRPr="00D31D11">
        <w:t>a audit</w:t>
      </w:r>
      <w:r w:rsidR="0067199F">
        <w:t>u</w:t>
      </w:r>
      <w:r w:rsidRPr="00D31D11">
        <w:t xml:space="preserve"> klasifikačních kódů odpadů </w:t>
      </w:r>
      <w:r w:rsidR="0067199F">
        <w:t>došlo</w:t>
      </w:r>
      <w:r w:rsidRPr="00D31D11">
        <w:t xml:space="preserve"> k</w:t>
      </w:r>
      <w:r w:rsidR="008F7406">
        <w:t xml:space="preserve">e snížení </w:t>
      </w:r>
      <w:r w:rsidRPr="00D31D11">
        <w:t>rozdílů ve</w:t>
      </w:r>
      <w:r w:rsidR="0046747F">
        <w:t xml:space="preserve"> </w:t>
      </w:r>
      <w:r w:rsidRPr="00D31D11">
        <w:t xml:space="preserve">vykazovaných datech o českém odpadovém hospodářství. Přesto ale </w:t>
      </w:r>
      <w:r>
        <w:t>přetrvává rozdíl v</w:t>
      </w:r>
      <w:r w:rsidR="00457C6A">
        <w:t> </w:t>
      </w:r>
      <w:r w:rsidRPr="00D31D11">
        <w:t>dat</w:t>
      </w:r>
      <w:r>
        <w:t>ech</w:t>
      </w:r>
      <w:r w:rsidRPr="00D31D11">
        <w:t xml:space="preserve"> </w:t>
      </w:r>
      <w:r w:rsidR="007F355B">
        <w:t xml:space="preserve">zveřejňovaných </w:t>
      </w:r>
      <w:r w:rsidR="00274897" w:rsidRPr="00D31D11">
        <w:t>MŽP a ČSÚ</w:t>
      </w:r>
      <w:r w:rsidR="00274897">
        <w:t xml:space="preserve"> </w:t>
      </w:r>
      <w:r w:rsidR="007F355B">
        <w:t>o celkové produkci komunálních odpadů</w:t>
      </w:r>
      <w:r w:rsidR="008F7406">
        <w:t xml:space="preserve"> –</w:t>
      </w:r>
      <w:r>
        <w:t xml:space="preserve"> </w:t>
      </w:r>
      <w:r w:rsidRPr="00D31D11">
        <w:t>za</w:t>
      </w:r>
      <w:r w:rsidR="001E5CEE">
        <w:t xml:space="preserve"> </w:t>
      </w:r>
      <w:r w:rsidRPr="00D31D11">
        <w:t xml:space="preserve">rok 2019 </w:t>
      </w:r>
      <w:r w:rsidR="008F7406">
        <w:t>činil</w:t>
      </w:r>
      <w:r w:rsidR="0067199F">
        <w:t xml:space="preserve"> tento</w:t>
      </w:r>
      <w:r w:rsidR="008F7406">
        <w:t xml:space="preserve"> rozdíl </w:t>
      </w:r>
      <w:r>
        <w:t>při</w:t>
      </w:r>
      <w:r w:rsidRPr="00D31D11">
        <w:t>bližně 10</w:t>
      </w:r>
      <w:r>
        <w:t> </w:t>
      </w:r>
      <w:r w:rsidRPr="00D31D11">
        <w:t xml:space="preserve">% </w:t>
      </w:r>
      <w:r>
        <w:t xml:space="preserve">(0,5 </w:t>
      </w:r>
      <w:proofErr w:type="spellStart"/>
      <w:r>
        <w:t>Mt</w:t>
      </w:r>
      <w:proofErr w:type="spellEnd"/>
      <w:r>
        <w:t xml:space="preserve">) a za rok 2020 přibližně 6 % (0,3 </w:t>
      </w:r>
      <w:proofErr w:type="spellStart"/>
      <w:r>
        <w:t>Mt</w:t>
      </w:r>
      <w:proofErr w:type="spellEnd"/>
      <w:r>
        <w:t>).</w:t>
      </w:r>
      <w:r w:rsidR="00286A0F">
        <w:br w:type="page"/>
      </w:r>
    </w:p>
    <w:p w14:paraId="029E9C0D" w14:textId="77777777" w:rsidR="000B5753" w:rsidRPr="00E91623" w:rsidRDefault="000A5F6C" w:rsidP="00E91623">
      <w:pPr>
        <w:pStyle w:val="Nadpis1"/>
        <w:numPr>
          <w:ilvl w:val="0"/>
          <w:numId w:val="0"/>
        </w:numPr>
        <w:spacing w:before="0" w:after="0"/>
        <w:jc w:val="left"/>
        <w:rPr>
          <w:sz w:val="24"/>
        </w:rPr>
      </w:pPr>
      <w:r w:rsidRPr="00E91623">
        <w:rPr>
          <w:sz w:val="24"/>
        </w:rPr>
        <w:lastRenderedPageBreak/>
        <w:t>Seznam zkratek a pojmů</w:t>
      </w:r>
    </w:p>
    <w:p w14:paraId="19D54ADC" w14:textId="77777777" w:rsidR="000B5753" w:rsidRDefault="000B5753" w:rsidP="000B5753">
      <w:pPr>
        <w:pStyle w:val="Text"/>
        <w:tabs>
          <w:tab w:val="left" w:pos="1418"/>
        </w:tabs>
        <w:spacing w:before="0"/>
      </w:pPr>
    </w:p>
    <w:p w14:paraId="26A58CE1" w14:textId="05C82CA5" w:rsidR="0077741A" w:rsidRPr="00D25117" w:rsidRDefault="000A5F6C" w:rsidP="00E91623">
      <w:pPr>
        <w:pStyle w:val="TextKP"/>
        <w:tabs>
          <w:tab w:val="left" w:pos="2410"/>
        </w:tabs>
        <w:spacing w:before="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BRKO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b</w:t>
      </w:r>
      <w:r w:rsidRPr="00D25117">
        <w:rPr>
          <w:sz w:val="22"/>
          <w:szCs w:val="22"/>
        </w:rPr>
        <w:t>iologicky rozložitelný komunální odpad</w:t>
      </w:r>
    </w:p>
    <w:p w14:paraId="381A4BA3" w14:textId="77777777" w:rsidR="004658C6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ČIŽP</w:t>
      </w:r>
      <w:r w:rsidRPr="00D25117">
        <w:rPr>
          <w:sz w:val="22"/>
          <w:szCs w:val="22"/>
        </w:rPr>
        <w:tab/>
        <w:t>Česká inspekce životního prostředí</w:t>
      </w:r>
    </w:p>
    <w:p w14:paraId="63D47305" w14:textId="77777777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ČR</w:t>
      </w:r>
      <w:r w:rsidRPr="00D25117">
        <w:rPr>
          <w:sz w:val="22"/>
          <w:szCs w:val="22"/>
        </w:rPr>
        <w:tab/>
        <w:t>Česká republika</w:t>
      </w:r>
    </w:p>
    <w:p w14:paraId="684D799B" w14:textId="77777777" w:rsidR="00CB7C60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ČSÚ</w:t>
      </w:r>
      <w:r w:rsidRPr="00D25117">
        <w:rPr>
          <w:sz w:val="22"/>
          <w:szCs w:val="22"/>
        </w:rPr>
        <w:tab/>
        <w:t>Český statistický úřad</w:t>
      </w:r>
    </w:p>
    <w:p w14:paraId="7F3F13A2" w14:textId="77777777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EU</w:t>
      </w:r>
      <w:r w:rsidRPr="00D25117">
        <w:rPr>
          <w:sz w:val="22"/>
          <w:szCs w:val="22"/>
        </w:rPr>
        <w:tab/>
        <w:t>Evropská unie</w:t>
      </w:r>
    </w:p>
    <w:p w14:paraId="31E1365F" w14:textId="77777777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ISOH</w:t>
      </w:r>
      <w:r w:rsidR="00CB7C60" w:rsidRPr="00D25117">
        <w:rPr>
          <w:sz w:val="22"/>
          <w:szCs w:val="22"/>
        </w:rPr>
        <w:tab/>
      </w:r>
      <w:r w:rsidR="00CB7C60" w:rsidRPr="00D25117">
        <w:rPr>
          <w:i/>
          <w:sz w:val="22"/>
          <w:szCs w:val="22"/>
        </w:rPr>
        <w:t>Informační systém odpadového hospodářství</w:t>
      </w:r>
    </w:p>
    <w:p w14:paraId="27EFB28E" w14:textId="6B655D0D" w:rsidR="0077741A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KO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k</w:t>
      </w:r>
      <w:r w:rsidRPr="00D25117">
        <w:rPr>
          <w:sz w:val="22"/>
          <w:szCs w:val="22"/>
        </w:rPr>
        <w:t>omunální odpad</w:t>
      </w:r>
    </w:p>
    <w:p w14:paraId="31A1B579" w14:textId="7EEEFDEF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MS2014+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m</w:t>
      </w:r>
      <w:r w:rsidRPr="00D25117">
        <w:rPr>
          <w:sz w:val="22"/>
          <w:szCs w:val="22"/>
        </w:rPr>
        <w:t xml:space="preserve">onitorovací systém evropských fondů pro programové </w:t>
      </w:r>
      <w:r w:rsidR="0070682D">
        <w:rPr>
          <w:sz w:val="22"/>
          <w:szCs w:val="22"/>
        </w:rPr>
        <w:br/>
      </w:r>
      <w:r w:rsidRPr="00D25117">
        <w:rPr>
          <w:sz w:val="22"/>
          <w:szCs w:val="22"/>
        </w:rPr>
        <w:t>období 2014–2020</w:t>
      </w:r>
    </w:p>
    <w:p w14:paraId="23BBAC2A" w14:textId="47D12F95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MŽP</w:t>
      </w:r>
      <w:r w:rsidRPr="00D25117">
        <w:rPr>
          <w:sz w:val="22"/>
          <w:szCs w:val="22"/>
        </w:rPr>
        <w:tab/>
        <w:t>Ministerstvo životního prostředí</w:t>
      </w:r>
    </w:p>
    <w:p w14:paraId="3F1B3F65" w14:textId="5B19BFF1" w:rsidR="00957A02" w:rsidRPr="00D25117" w:rsidRDefault="00957A02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proofErr w:type="spellStart"/>
      <w:r w:rsidRPr="00D25117">
        <w:rPr>
          <w:sz w:val="22"/>
          <w:szCs w:val="22"/>
        </w:rPr>
        <w:t>Mt</w:t>
      </w:r>
      <w:proofErr w:type="spellEnd"/>
      <w:r w:rsidRPr="00D25117">
        <w:rPr>
          <w:sz w:val="22"/>
          <w:szCs w:val="22"/>
        </w:rPr>
        <w:tab/>
        <w:t>megatuna</w:t>
      </w:r>
    </w:p>
    <w:p w14:paraId="05E55586" w14:textId="1790266D" w:rsidR="005D33B5" w:rsidRPr="00D25117" w:rsidRDefault="005D33B5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NČI</w:t>
      </w:r>
      <w:r w:rsidRPr="00D25117">
        <w:rPr>
          <w:sz w:val="22"/>
          <w:szCs w:val="22"/>
        </w:rPr>
        <w:tab/>
        <w:t>národní číselník indikátorů</w:t>
      </w:r>
    </w:p>
    <w:p w14:paraId="71C88C7D" w14:textId="77777777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NKÚ</w:t>
      </w:r>
      <w:r w:rsidRPr="00D25117">
        <w:rPr>
          <w:sz w:val="22"/>
          <w:szCs w:val="22"/>
        </w:rPr>
        <w:tab/>
        <w:t>Nejvyšší kontrolní úřad</w:t>
      </w:r>
    </w:p>
    <w:p w14:paraId="35C29152" w14:textId="77777777" w:rsidR="00EB4FBA" w:rsidRPr="00D25117" w:rsidRDefault="00EB4FBA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NPŽP</w:t>
      </w:r>
      <w:r w:rsidRPr="00D25117">
        <w:rPr>
          <w:sz w:val="22"/>
          <w:szCs w:val="22"/>
        </w:rPr>
        <w:tab/>
      </w:r>
      <w:r w:rsidRPr="00D25117">
        <w:rPr>
          <w:i/>
          <w:sz w:val="22"/>
          <w:szCs w:val="22"/>
        </w:rPr>
        <w:t>Národní program Životní prostředí</w:t>
      </w:r>
    </w:p>
    <w:p w14:paraId="044DBEA6" w14:textId="31BB1101" w:rsidR="004658C6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OEEZ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o</w:t>
      </w:r>
      <w:r w:rsidRPr="00D25117">
        <w:rPr>
          <w:sz w:val="22"/>
          <w:szCs w:val="22"/>
        </w:rPr>
        <w:t>dpadní elektrická a elektronická zařízení</w:t>
      </w:r>
    </w:p>
    <w:p w14:paraId="3597A133" w14:textId="7088111A" w:rsidR="00B56121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OH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o</w:t>
      </w:r>
      <w:r w:rsidRPr="00D25117">
        <w:rPr>
          <w:sz w:val="22"/>
          <w:szCs w:val="22"/>
        </w:rPr>
        <w:t>dpadové hospodářství</w:t>
      </w:r>
    </w:p>
    <w:p w14:paraId="150FF287" w14:textId="2F050610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OPŽP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o</w:t>
      </w:r>
      <w:r w:rsidRPr="00D25117">
        <w:rPr>
          <w:sz w:val="22"/>
          <w:szCs w:val="22"/>
        </w:rPr>
        <w:t xml:space="preserve">perační program </w:t>
      </w:r>
      <w:r w:rsidRPr="00D25117">
        <w:rPr>
          <w:i/>
          <w:sz w:val="22"/>
          <w:szCs w:val="22"/>
        </w:rPr>
        <w:t>Životní prostředí</w:t>
      </w:r>
      <w:r w:rsidR="00160EB8" w:rsidRPr="00D25117">
        <w:rPr>
          <w:i/>
          <w:sz w:val="22"/>
          <w:szCs w:val="22"/>
        </w:rPr>
        <w:t xml:space="preserve"> 2014–2020</w:t>
      </w:r>
    </w:p>
    <w:p w14:paraId="1FD7E615" w14:textId="493C2173" w:rsidR="004658C6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ORP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o</w:t>
      </w:r>
      <w:r w:rsidRPr="00D25117">
        <w:rPr>
          <w:sz w:val="22"/>
          <w:szCs w:val="22"/>
        </w:rPr>
        <w:t xml:space="preserve">bec </w:t>
      </w:r>
      <w:r w:rsidR="00160EB8" w:rsidRPr="00D25117">
        <w:rPr>
          <w:sz w:val="22"/>
          <w:szCs w:val="22"/>
        </w:rPr>
        <w:t>s</w:t>
      </w:r>
      <w:r w:rsidRPr="00D25117">
        <w:rPr>
          <w:sz w:val="22"/>
          <w:szCs w:val="22"/>
        </w:rPr>
        <w:t> rozšířenou působností</w:t>
      </w:r>
    </w:p>
    <w:p w14:paraId="38A28095" w14:textId="51A5E38D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PO</w:t>
      </w:r>
      <w:r w:rsidR="0084206C" w:rsidRPr="00D25117">
        <w:rPr>
          <w:sz w:val="22"/>
          <w:szCs w:val="22"/>
        </w:rPr>
        <w:t xml:space="preserve"> 3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p</w:t>
      </w:r>
      <w:r w:rsidR="0084206C" w:rsidRPr="00D25117">
        <w:rPr>
          <w:sz w:val="22"/>
          <w:szCs w:val="22"/>
        </w:rPr>
        <w:t xml:space="preserve">rioritní osa 3 </w:t>
      </w:r>
      <w:r w:rsidR="009E6EEF" w:rsidRPr="00D25117">
        <w:rPr>
          <w:sz w:val="22"/>
          <w:szCs w:val="22"/>
        </w:rPr>
        <w:t xml:space="preserve">– </w:t>
      </w:r>
      <w:r w:rsidR="0084206C" w:rsidRPr="00D25117">
        <w:rPr>
          <w:i/>
          <w:sz w:val="22"/>
          <w:szCs w:val="22"/>
        </w:rPr>
        <w:t>Odpady</w:t>
      </w:r>
      <w:r w:rsidR="00957A02" w:rsidRPr="00D25117">
        <w:rPr>
          <w:i/>
          <w:sz w:val="22"/>
          <w:szCs w:val="22"/>
        </w:rPr>
        <w:t xml:space="preserve"> a materiálové toky</w:t>
      </w:r>
      <w:r w:rsidR="0084206C" w:rsidRPr="00D25117">
        <w:rPr>
          <w:i/>
          <w:sz w:val="22"/>
          <w:szCs w:val="22"/>
        </w:rPr>
        <w:t>, ekologické zátěže a</w:t>
      </w:r>
      <w:r w:rsidR="00957A02" w:rsidRPr="00D25117">
        <w:rPr>
          <w:i/>
          <w:sz w:val="22"/>
          <w:szCs w:val="22"/>
        </w:rPr>
        <w:t> </w:t>
      </w:r>
      <w:r w:rsidR="0084206C" w:rsidRPr="00D25117">
        <w:rPr>
          <w:i/>
          <w:sz w:val="22"/>
          <w:szCs w:val="22"/>
        </w:rPr>
        <w:t>rizika</w:t>
      </w:r>
      <w:r w:rsidR="00957A02" w:rsidRPr="00D25117">
        <w:rPr>
          <w:sz w:val="22"/>
          <w:szCs w:val="22"/>
        </w:rPr>
        <w:t xml:space="preserve"> (jedna z prioritních os operačního programu </w:t>
      </w:r>
      <w:r w:rsidR="00957A02" w:rsidRPr="00D25117">
        <w:rPr>
          <w:i/>
          <w:sz w:val="22"/>
          <w:szCs w:val="22"/>
        </w:rPr>
        <w:t>Životní prostředí 2014–2020</w:t>
      </w:r>
      <w:r w:rsidR="00957A02" w:rsidRPr="00D25117">
        <w:rPr>
          <w:sz w:val="22"/>
          <w:szCs w:val="22"/>
        </w:rPr>
        <w:t>)</w:t>
      </w:r>
    </w:p>
    <w:p w14:paraId="4D2B9C82" w14:textId="0BD379F0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i/>
          <w:sz w:val="22"/>
          <w:szCs w:val="22"/>
        </w:rPr>
      </w:pPr>
      <w:r w:rsidRPr="00D25117">
        <w:rPr>
          <w:sz w:val="22"/>
          <w:szCs w:val="22"/>
        </w:rPr>
        <w:t>POH</w:t>
      </w:r>
      <w:r w:rsidRPr="00D25117">
        <w:rPr>
          <w:sz w:val="22"/>
          <w:szCs w:val="22"/>
        </w:rPr>
        <w:tab/>
      </w:r>
      <w:r w:rsidRPr="00D25117">
        <w:rPr>
          <w:i/>
          <w:sz w:val="22"/>
          <w:szCs w:val="22"/>
        </w:rPr>
        <w:t>Plán odpadového hospodářství České republiky pro období</w:t>
      </w:r>
      <w:r w:rsidR="00CB7C60" w:rsidRPr="00D25117">
        <w:rPr>
          <w:i/>
          <w:sz w:val="22"/>
          <w:szCs w:val="22"/>
        </w:rPr>
        <w:t xml:space="preserve"> </w:t>
      </w:r>
      <w:r w:rsidR="00403498" w:rsidRPr="00D25117">
        <w:rPr>
          <w:i/>
          <w:sz w:val="22"/>
          <w:szCs w:val="22"/>
        </w:rPr>
        <w:br/>
      </w:r>
      <w:r w:rsidRPr="00D25117">
        <w:rPr>
          <w:i/>
          <w:sz w:val="22"/>
          <w:szCs w:val="22"/>
        </w:rPr>
        <w:t>2015–2024</w:t>
      </w:r>
    </w:p>
    <w:p w14:paraId="4AF9B0AC" w14:textId="250C11F6" w:rsidR="005D33B5" w:rsidRPr="00D25117" w:rsidRDefault="005D33B5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registr zařízení</w:t>
      </w:r>
      <w:r w:rsidRPr="00D25117">
        <w:rPr>
          <w:sz w:val="22"/>
          <w:szCs w:val="22"/>
        </w:rPr>
        <w:tab/>
      </w:r>
      <w:r w:rsidRPr="00D25117">
        <w:rPr>
          <w:i/>
          <w:sz w:val="22"/>
          <w:szCs w:val="22"/>
        </w:rPr>
        <w:t>Registr zařízení, obchodníků a spisů</w:t>
      </w:r>
      <w:r w:rsidRPr="00D25117">
        <w:rPr>
          <w:sz w:val="22"/>
          <w:szCs w:val="22"/>
        </w:rPr>
        <w:t xml:space="preserve"> (tvoří jednu z databází </w:t>
      </w:r>
      <w:r w:rsidRPr="00D25117">
        <w:rPr>
          <w:i/>
          <w:sz w:val="22"/>
          <w:szCs w:val="22"/>
        </w:rPr>
        <w:t>Informačního systému odpadového hospodářství</w:t>
      </w:r>
      <w:r w:rsidRPr="00D25117">
        <w:rPr>
          <w:sz w:val="22"/>
          <w:szCs w:val="22"/>
        </w:rPr>
        <w:t>)</w:t>
      </w:r>
    </w:p>
    <w:p w14:paraId="1D2012E7" w14:textId="77777777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SC</w:t>
      </w:r>
      <w:r w:rsidRPr="00D25117">
        <w:rPr>
          <w:sz w:val="22"/>
          <w:szCs w:val="22"/>
        </w:rPr>
        <w:tab/>
        <w:t>specifický cíl (v rámci OPŽP)</w:t>
      </w:r>
    </w:p>
    <w:p w14:paraId="7281DC11" w14:textId="77777777" w:rsidR="000B5753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SFŽP</w:t>
      </w:r>
      <w:r w:rsidRPr="00D25117">
        <w:rPr>
          <w:sz w:val="22"/>
          <w:szCs w:val="22"/>
        </w:rPr>
        <w:tab/>
        <w:t>Státní fond životního prostředí České republiky</w:t>
      </w:r>
    </w:p>
    <w:p w14:paraId="7AE46232" w14:textId="641783E5" w:rsidR="0077741A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sz w:val="22"/>
          <w:szCs w:val="22"/>
        </w:rPr>
      </w:pPr>
      <w:r w:rsidRPr="00D25117">
        <w:rPr>
          <w:sz w:val="22"/>
          <w:szCs w:val="22"/>
        </w:rPr>
        <w:t>SKO</w:t>
      </w:r>
      <w:r w:rsidRPr="00D25117">
        <w:rPr>
          <w:sz w:val="22"/>
          <w:szCs w:val="22"/>
        </w:rPr>
        <w:tab/>
      </w:r>
      <w:r w:rsidR="009E6EEF" w:rsidRPr="00D25117">
        <w:rPr>
          <w:sz w:val="22"/>
          <w:szCs w:val="22"/>
        </w:rPr>
        <w:t>s</w:t>
      </w:r>
      <w:r w:rsidRPr="00D25117">
        <w:rPr>
          <w:sz w:val="22"/>
          <w:szCs w:val="22"/>
        </w:rPr>
        <w:t>měsný komunální odpad</w:t>
      </w:r>
    </w:p>
    <w:p w14:paraId="26981944" w14:textId="2B4DCAA1" w:rsidR="00CB7C60" w:rsidRPr="00D25117" w:rsidRDefault="000A5F6C" w:rsidP="004F0B07">
      <w:pPr>
        <w:pStyle w:val="TextKP"/>
        <w:tabs>
          <w:tab w:val="left" w:pos="2410"/>
        </w:tabs>
        <w:spacing w:before="60"/>
        <w:ind w:left="2410" w:hanging="2410"/>
        <w:jc w:val="left"/>
        <w:rPr>
          <w:i/>
          <w:sz w:val="22"/>
          <w:szCs w:val="22"/>
        </w:rPr>
      </w:pPr>
      <w:r w:rsidRPr="00D25117">
        <w:rPr>
          <w:sz w:val="22"/>
          <w:szCs w:val="22"/>
        </w:rPr>
        <w:t>S</w:t>
      </w:r>
      <w:r w:rsidR="00361293" w:rsidRPr="00D25117">
        <w:rPr>
          <w:sz w:val="22"/>
          <w:szCs w:val="22"/>
        </w:rPr>
        <w:t xml:space="preserve">tátní politika </w:t>
      </w:r>
      <w:r w:rsidRPr="00D25117">
        <w:rPr>
          <w:sz w:val="22"/>
          <w:szCs w:val="22"/>
        </w:rPr>
        <w:t>ŽP</w:t>
      </w:r>
      <w:r w:rsidRPr="00D25117">
        <w:rPr>
          <w:sz w:val="22"/>
          <w:szCs w:val="22"/>
        </w:rPr>
        <w:tab/>
      </w:r>
      <w:r w:rsidRPr="00D25117">
        <w:rPr>
          <w:i/>
          <w:sz w:val="22"/>
          <w:szCs w:val="22"/>
        </w:rPr>
        <w:t>Státní politika životního prostředí České republiky 2012</w:t>
      </w:r>
      <w:r w:rsidR="008A4675" w:rsidRPr="00D25117">
        <w:rPr>
          <w:i/>
          <w:sz w:val="22"/>
          <w:szCs w:val="22"/>
        </w:rPr>
        <w:t>–</w:t>
      </w:r>
      <w:r w:rsidRPr="00D25117">
        <w:rPr>
          <w:i/>
          <w:sz w:val="22"/>
          <w:szCs w:val="22"/>
        </w:rPr>
        <w:t>2020</w:t>
      </w:r>
    </w:p>
    <w:p w14:paraId="62634074" w14:textId="3803FAC4" w:rsidR="00957A02" w:rsidRPr="00D25117" w:rsidRDefault="00957A02" w:rsidP="004F0B07">
      <w:pPr>
        <w:pStyle w:val="TextKP"/>
        <w:tabs>
          <w:tab w:val="left" w:pos="2410"/>
        </w:tabs>
        <w:spacing w:before="60"/>
        <w:ind w:left="2410" w:hanging="2410"/>
        <w:jc w:val="left"/>
      </w:pPr>
      <w:r w:rsidRPr="00D25117">
        <w:rPr>
          <w:sz w:val="22"/>
          <w:szCs w:val="22"/>
        </w:rPr>
        <w:t>VISOH</w:t>
      </w:r>
      <w:r w:rsidR="005D33B5" w:rsidRPr="00D25117">
        <w:rPr>
          <w:sz w:val="22"/>
          <w:szCs w:val="22"/>
        </w:rPr>
        <w:tab/>
      </w:r>
      <w:r w:rsidR="005D33B5" w:rsidRPr="00D25117">
        <w:rPr>
          <w:i/>
          <w:sz w:val="22"/>
          <w:szCs w:val="22"/>
        </w:rPr>
        <w:t xml:space="preserve">Veřejný informační systém odpadového hospodářství </w:t>
      </w:r>
      <w:r w:rsidR="005D33B5" w:rsidRPr="00D25117">
        <w:rPr>
          <w:sz w:val="22"/>
          <w:szCs w:val="22"/>
        </w:rPr>
        <w:t xml:space="preserve">(tvoří jednu z databází </w:t>
      </w:r>
      <w:r w:rsidR="005D33B5" w:rsidRPr="00D25117">
        <w:rPr>
          <w:i/>
          <w:sz w:val="22"/>
          <w:szCs w:val="22"/>
        </w:rPr>
        <w:t>Informačního systému odpadového hospodářství</w:t>
      </w:r>
      <w:r w:rsidR="005D33B5" w:rsidRPr="00D25117">
        <w:t>)</w:t>
      </w:r>
    </w:p>
    <w:p w14:paraId="2D92BFB6" w14:textId="3BDDEA64" w:rsidR="005D33B5" w:rsidRPr="00D25117" w:rsidRDefault="00397221" w:rsidP="004F0B07">
      <w:pPr>
        <w:pStyle w:val="TextKP"/>
        <w:tabs>
          <w:tab w:val="left" w:pos="2410"/>
        </w:tabs>
        <w:spacing w:before="240"/>
        <w:ind w:left="2410" w:hanging="2410"/>
        <w:jc w:val="left"/>
        <w:rPr>
          <w:b/>
        </w:rPr>
      </w:pPr>
      <w:r w:rsidRPr="00D25117">
        <w:rPr>
          <w:b/>
        </w:rPr>
        <w:t>Zkrácené názvy právních předpisů</w:t>
      </w:r>
    </w:p>
    <w:p w14:paraId="5B0BF013" w14:textId="77777777" w:rsidR="004F0B07" w:rsidRPr="00D25117" w:rsidRDefault="004F0B07" w:rsidP="00E91623">
      <w:pPr>
        <w:rPr>
          <w:b/>
          <w:sz w:val="22"/>
          <w:szCs w:val="22"/>
        </w:rPr>
      </w:pPr>
    </w:p>
    <w:p w14:paraId="6F9336D7" w14:textId="6FCE5E7E" w:rsidR="004F0B07" w:rsidRPr="00D25117" w:rsidRDefault="004F0B07" w:rsidP="004F0B07">
      <w:pPr>
        <w:spacing w:after="60"/>
        <w:rPr>
          <w:sz w:val="22"/>
          <w:szCs w:val="22"/>
        </w:rPr>
      </w:pPr>
      <w:r w:rsidRPr="00D25117">
        <w:rPr>
          <w:b/>
          <w:sz w:val="22"/>
          <w:szCs w:val="22"/>
        </w:rPr>
        <w:t>nový zákon o odpadech</w:t>
      </w:r>
      <w:r w:rsidRPr="00D25117">
        <w:rPr>
          <w:sz w:val="22"/>
          <w:szCs w:val="22"/>
        </w:rPr>
        <w:t xml:space="preserve"> – zákon č. 541/2020 Sb., o odpadech</w:t>
      </w:r>
    </w:p>
    <w:p w14:paraId="7DABD136" w14:textId="77777777" w:rsidR="004F0B07" w:rsidRPr="00D25117" w:rsidRDefault="004F0B07" w:rsidP="004F0B07">
      <w:pPr>
        <w:spacing w:after="60"/>
        <w:rPr>
          <w:sz w:val="22"/>
          <w:szCs w:val="22"/>
        </w:rPr>
      </w:pPr>
      <w:r w:rsidRPr="00D25117">
        <w:rPr>
          <w:b/>
          <w:sz w:val="22"/>
          <w:szCs w:val="22"/>
        </w:rPr>
        <w:t>rozpočtová pravidla</w:t>
      </w:r>
      <w:r w:rsidRPr="00D25117">
        <w:rPr>
          <w:sz w:val="22"/>
          <w:szCs w:val="22"/>
        </w:rPr>
        <w:t xml:space="preserve"> – zákon č. 218/2000 Sb., o rozpočtových pravidlech a o změně některých souvisejících zákonů (rozpočtová pravidla)</w:t>
      </w:r>
    </w:p>
    <w:p w14:paraId="4385EF3E" w14:textId="77777777" w:rsidR="004F0B07" w:rsidRPr="00D25117" w:rsidRDefault="004F0B07" w:rsidP="004F0B07">
      <w:pPr>
        <w:spacing w:after="60"/>
        <w:rPr>
          <w:sz w:val="22"/>
          <w:szCs w:val="22"/>
        </w:rPr>
      </w:pPr>
      <w:r w:rsidRPr="00D25117">
        <w:rPr>
          <w:b/>
          <w:sz w:val="22"/>
          <w:szCs w:val="22"/>
        </w:rPr>
        <w:t>směrnice o odpadech</w:t>
      </w:r>
      <w:r w:rsidRPr="00D25117">
        <w:rPr>
          <w:sz w:val="22"/>
          <w:szCs w:val="22"/>
        </w:rPr>
        <w:t xml:space="preserve"> –směrnice Evropského parlamentu a Rady 2008/98/ES ze dne 19. listopadu 2008, o odpadech a o zrušení některých směrnic</w:t>
      </w:r>
    </w:p>
    <w:p w14:paraId="0437E349" w14:textId="77777777" w:rsidR="004F0B07" w:rsidRPr="00D25117" w:rsidRDefault="004F0B07" w:rsidP="004F0B07">
      <w:pPr>
        <w:spacing w:after="60"/>
        <w:rPr>
          <w:sz w:val="22"/>
          <w:szCs w:val="22"/>
        </w:rPr>
      </w:pPr>
      <w:r w:rsidRPr="00D25117">
        <w:rPr>
          <w:b/>
          <w:sz w:val="22"/>
          <w:szCs w:val="22"/>
        </w:rPr>
        <w:t>zákon o obalech</w:t>
      </w:r>
      <w:r w:rsidRPr="00D25117">
        <w:rPr>
          <w:sz w:val="22"/>
          <w:szCs w:val="22"/>
        </w:rPr>
        <w:t xml:space="preserve"> – zákon č. 477/2001 Sb., o obalech a o změně některých zákonů (zákon o obalech)</w:t>
      </w:r>
    </w:p>
    <w:p w14:paraId="6F171F1D" w14:textId="77777777" w:rsidR="004F0B07" w:rsidRPr="00D25117" w:rsidRDefault="004F0B07" w:rsidP="004F0B07">
      <w:pPr>
        <w:spacing w:after="60"/>
        <w:rPr>
          <w:sz w:val="22"/>
          <w:szCs w:val="22"/>
        </w:rPr>
      </w:pPr>
      <w:r w:rsidRPr="00D25117">
        <w:rPr>
          <w:b/>
          <w:sz w:val="22"/>
          <w:szCs w:val="22"/>
        </w:rPr>
        <w:t>zákon o odpadech</w:t>
      </w:r>
      <w:r w:rsidRPr="00D25117">
        <w:rPr>
          <w:sz w:val="22"/>
          <w:szCs w:val="22"/>
        </w:rPr>
        <w:t xml:space="preserve"> –zákon č. 185/2001 Sb., o odpadech a o změně některých dalších zákonů</w:t>
      </w:r>
    </w:p>
    <w:p w14:paraId="65119332" w14:textId="77777777" w:rsidR="004F0B07" w:rsidRPr="00D25117" w:rsidRDefault="004F0B07" w:rsidP="004F0B07">
      <w:pPr>
        <w:spacing w:after="60"/>
        <w:rPr>
          <w:sz w:val="22"/>
          <w:szCs w:val="22"/>
        </w:rPr>
      </w:pPr>
      <w:r w:rsidRPr="00D25117">
        <w:rPr>
          <w:b/>
          <w:sz w:val="22"/>
          <w:szCs w:val="22"/>
        </w:rPr>
        <w:t>zákon o účetnictví</w:t>
      </w:r>
      <w:r w:rsidRPr="00D25117">
        <w:rPr>
          <w:sz w:val="22"/>
          <w:szCs w:val="22"/>
        </w:rPr>
        <w:t xml:space="preserve"> – zákon č. 563/1991 Sb., o účetnictví</w:t>
      </w:r>
    </w:p>
    <w:p w14:paraId="4B75D2ED" w14:textId="5EFB6045" w:rsidR="00397221" w:rsidRPr="00D25117" w:rsidRDefault="004F0B07" w:rsidP="00E91623">
      <w:pPr>
        <w:spacing w:after="60"/>
      </w:pPr>
      <w:r w:rsidRPr="00D25117">
        <w:rPr>
          <w:b/>
          <w:sz w:val="22"/>
          <w:szCs w:val="22"/>
        </w:rPr>
        <w:t>zákon o zadávání veřejných zakázek</w:t>
      </w:r>
      <w:r w:rsidRPr="00D25117">
        <w:rPr>
          <w:sz w:val="22"/>
          <w:szCs w:val="22"/>
        </w:rPr>
        <w:t xml:space="preserve"> – zákon č. 134/2016 Sb., o zadávání veřejných zakázek</w:t>
      </w:r>
    </w:p>
    <w:p w14:paraId="340E1E58" w14:textId="28E6E707" w:rsidR="004B73FB" w:rsidRDefault="000A5F6C" w:rsidP="004B73FB">
      <w:pPr>
        <w:pStyle w:val="Titulek"/>
        <w:outlineLvl w:val="0"/>
        <w:rPr>
          <w:lang w:eastAsia="cs-CZ"/>
        </w:rPr>
      </w:pPr>
      <w:r>
        <w:br w:type="page"/>
      </w: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F27D96">
        <w:rPr>
          <w:b/>
          <w:noProof/>
        </w:rPr>
        <w:t>1</w:t>
      </w:r>
      <w:r w:rsidRPr="00303804">
        <w:rPr>
          <w:b/>
        </w:rPr>
        <w:fldChar w:fldCharType="end"/>
      </w:r>
      <w:r w:rsidRPr="00303804">
        <w:rPr>
          <w:b/>
        </w:rPr>
        <w:t xml:space="preserve">: </w:t>
      </w:r>
      <w:r>
        <w:rPr>
          <w:lang w:eastAsia="cs-CZ"/>
        </w:rPr>
        <w:t xml:space="preserve">Plnění programových ukazatelů výstupu a výsledku pro SC 3.1, 3.2 a 3.3 </w:t>
      </w:r>
    </w:p>
    <w:p w14:paraId="1CAEEB3D" w14:textId="77777777" w:rsidR="004B73FB" w:rsidRPr="000E73ED" w:rsidRDefault="000A5F6C" w:rsidP="004B73FB">
      <w:pPr>
        <w:pStyle w:val="Titulek"/>
      </w:pPr>
      <w:r>
        <w:t>U</w:t>
      </w:r>
      <w:r w:rsidRPr="000E73ED">
        <w:t>kazatel</w:t>
      </w:r>
      <w:r>
        <w:t>e/indikátory</w:t>
      </w:r>
      <w:r w:rsidRPr="000E73ED">
        <w:t xml:space="preserve"> výstupu</w:t>
      </w:r>
    </w:p>
    <w:tbl>
      <w:tblPr>
        <w:tblStyle w:val="Mkatabulky"/>
        <w:tblpPr w:leftFromText="141" w:rightFromText="141" w:vertAnchor="text" w:horzAnchor="margin" w:tblpY="35"/>
        <w:tblW w:w="5000" w:type="pct"/>
        <w:tblLook w:val="04A0" w:firstRow="1" w:lastRow="0" w:firstColumn="1" w:lastColumn="0" w:noHBand="0" w:noVBand="1"/>
      </w:tblPr>
      <w:tblGrid>
        <w:gridCol w:w="1235"/>
        <w:gridCol w:w="4043"/>
        <w:gridCol w:w="1537"/>
        <w:gridCol w:w="1426"/>
        <w:gridCol w:w="821"/>
      </w:tblGrid>
      <w:tr w:rsidR="00FF1BC7" w14:paraId="5C0E8613" w14:textId="77777777" w:rsidTr="00E91623">
        <w:trPr>
          <w:trHeight w:val="255"/>
        </w:trPr>
        <w:tc>
          <w:tcPr>
            <w:tcW w:w="681" w:type="pct"/>
            <w:shd w:val="clear" w:color="auto" w:fill="E5F1FF"/>
            <w:vAlign w:val="center"/>
          </w:tcPr>
          <w:p w14:paraId="7D8351C2" w14:textId="77777777" w:rsidR="004B73FB" w:rsidRPr="000E73ED" w:rsidRDefault="000A5F6C" w:rsidP="003350AE">
            <w:pPr>
              <w:jc w:val="center"/>
              <w:rPr>
                <w:rFonts w:cstheme="minorHAnsi"/>
                <w:b/>
              </w:rPr>
            </w:pPr>
            <w:r w:rsidRPr="000E73ED">
              <w:rPr>
                <w:rFonts w:cstheme="minorHAnsi"/>
                <w:b/>
              </w:rPr>
              <w:t>Kód NČI 2014+</w:t>
            </w:r>
          </w:p>
        </w:tc>
        <w:tc>
          <w:tcPr>
            <w:tcW w:w="2231" w:type="pct"/>
            <w:shd w:val="clear" w:color="auto" w:fill="E5F1FF"/>
            <w:vAlign w:val="center"/>
          </w:tcPr>
          <w:p w14:paraId="31E46E12" w14:textId="2AD95D6A" w:rsidR="004B73FB" w:rsidRPr="000E73ED" w:rsidRDefault="009A6DD9" w:rsidP="003350A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</w:t>
            </w:r>
            <w:r w:rsidR="000A5F6C" w:rsidRPr="000E73ED">
              <w:rPr>
                <w:rFonts w:cstheme="minorHAnsi"/>
                <w:b/>
              </w:rPr>
              <w:t>kazatel</w:t>
            </w:r>
          </w:p>
        </w:tc>
        <w:tc>
          <w:tcPr>
            <w:tcW w:w="848" w:type="pct"/>
            <w:shd w:val="clear" w:color="auto" w:fill="E5F1FF"/>
            <w:vAlign w:val="center"/>
          </w:tcPr>
          <w:p w14:paraId="235F8647" w14:textId="77777777" w:rsidR="004B73FB" w:rsidRPr="00D94E55" w:rsidRDefault="000A5F6C" w:rsidP="003350AE">
            <w:pPr>
              <w:jc w:val="center"/>
              <w:rPr>
                <w:rFonts w:cstheme="minorHAnsi"/>
                <w:b/>
                <w:lang w:val="en-GB"/>
              </w:rPr>
            </w:pPr>
            <w:r w:rsidRPr="00D94E55">
              <w:rPr>
                <w:rFonts w:cstheme="minorHAnsi"/>
                <w:b/>
              </w:rPr>
              <w:t>Cílová hodnota (2023)</w:t>
            </w:r>
          </w:p>
        </w:tc>
        <w:tc>
          <w:tcPr>
            <w:tcW w:w="787" w:type="pct"/>
            <w:shd w:val="clear" w:color="auto" w:fill="E5F1FF"/>
            <w:vAlign w:val="center"/>
          </w:tcPr>
          <w:p w14:paraId="22AF0E30" w14:textId="47C1E59A" w:rsidR="004B73FB" w:rsidRPr="000E73ED" w:rsidRDefault="000A5F6C" w:rsidP="003350AE">
            <w:pPr>
              <w:jc w:val="center"/>
              <w:rPr>
                <w:rFonts w:cstheme="minorHAnsi"/>
                <w:b/>
              </w:rPr>
            </w:pPr>
            <w:r w:rsidRPr="000E73ED">
              <w:rPr>
                <w:rFonts w:cstheme="minorHAnsi"/>
                <w:b/>
              </w:rPr>
              <w:t>Hodnoty k 31.</w:t>
            </w:r>
            <w:r w:rsidR="005D33B5">
              <w:rPr>
                <w:rFonts w:cstheme="minorHAnsi"/>
                <w:b/>
              </w:rPr>
              <w:t> </w:t>
            </w:r>
            <w:r w:rsidRPr="000E73ED">
              <w:rPr>
                <w:rFonts w:cstheme="minorHAnsi"/>
                <w:b/>
              </w:rPr>
              <w:t>12.</w:t>
            </w:r>
            <w:r w:rsidR="005D33B5">
              <w:rPr>
                <w:rFonts w:cstheme="minorHAnsi"/>
                <w:b/>
              </w:rPr>
              <w:t xml:space="preserve"> </w:t>
            </w:r>
            <w:r w:rsidRPr="000E73ED">
              <w:rPr>
                <w:rFonts w:cstheme="minorHAnsi"/>
                <w:b/>
              </w:rPr>
              <w:t>2020</w:t>
            </w:r>
          </w:p>
        </w:tc>
        <w:tc>
          <w:tcPr>
            <w:tcW w:w="453" w:type="pct"/>
            <w:shd w:val="clear" w:color="auto" w:fill="E5F3FF"/>
            <w:vAlign w:val="center"/>
          </w:tcPr>
          <w:p w14:paraId="5259DA0A" w14:textId="6FE1863E" w:rsidR="004B73FB" w:rsidRPr="000E73ED" w:rsidRDefault="00D94E55" w:rsidP="00D94E55">
            <w:pPr>
              <w:rPr>
                <w:rFonts w:cstheme="minorHAnsi"/>
                <w:b/>
              </w:rPr>
            </w:pPr>
            <w:r w:rsidRPr="000E73ED">
              <w:rPr>
                <w:rFonts w:cstheme="minorHAnsi"/>
                <w:b/>
              </w:rPr>
              <w:t>Plnění</w:t>
            </w:r>
          </w:p>
        </w:tc>
      </w:tr>
      <w:tr w:rsidR="00FF1BC7" w14:paraId="6DBB1EC2" w14:textId="77777777" w:rsidTr="003350AE">
        <w:trPr>
          <w:trHeight w:val="258"/>
        </w:trPr>
        <w:tc>
          <w:tcPr>
            <w:tcW w:w="2912" w:type="pct"/>
            <w:gridSpan w:val="2"/>
            <w:shd w:val="clear" w:color="auto" w:fill="auto"/>
            <w:vAlign w:val="center"/>
          </w:tcPr>
          <w:p w14:paraId="343A7BF1" w14:textId="77777777" w:rsidR="004B73FB" w:rsidRPr="000E73ED" w:rsidRDefault="004B73FB" w:rsidP="003350AE">
            <w:pPr>
              <w:rPr>
                <w:rFonts w:cstheme="minorHAnsi"/>
                <w:b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2B19BC0" w14:textId="77777777" w:rsidR="004B73FB" w:rsidRPr="000E73ED" w:rsidRDefault="000A5F6C" w:rsidP="003350AE">
            <w:pPr>
              <w:jc w:val="center"/>
              <w:rPr>
                <w:rFonts w:cstheme="minorHAnsi"/>
                <w:b/>
              </w:rPr>
            </w:pPr>
            <w:r w:rsidRPr="000E73ED">
              <w:rPr>
                <w:rFonts w:cstheme="minorHAnsi"/>
                <w:b/>
              </w:rPr>
              <w:t>t/rok</w:t>
            </w:r>
          </w:p>
        </w:tc>
        <w:tc>
          <w:tcPr>
            <w:tcW w:w="787" w:type="pct"/>
            <w:vAlign w:val="center"/>
          </w:tcPr>
          <w:p w14:paraId="32B0EE5E" w14:textId="77777777" w:rsidR="004B73FB" w:rsidRPr="000E73ED" w:rsidRDefault="000A5F6C" w:rsidP="003350AE">
            <w:pPr>
              <w:jc w:val="center"/>
              <w:rPr>
                <w:rFonts w:cstheme="minorHAnsi"/>
                <w:b/>
              </w:rPr>
            </w:pPr>
            <w:r w:rsidRPr="000E73ED">
              <w:rPr>
                <w:rFonts w:cstheme="minorHAnsi"/>
                <w:b/>
              </w:rPr>
              <w:t>t/rok</w:t>
            </w:r>
          </w:p>
        </w:tc>
        <w:tc>
          <w:tcPr>
            <w:tcW w:w="453" w:type="pct"/>
          </w:tcPr>
          <w:p w14:paraId="48B548EA" w14:textId="77777777" w:rsidR="004B73FB" w:rsidRPr="000E73ED" w:rsidRDefault="000A5F6C" w:rsidP="003350AE">
            <w:pPr>
              <w:ind w:left="-535" w:firstLine="535"/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  <w:b/>
              </w:rPr>
              <w:t>%</w:t>
            </w:r>
          </w:p>
        </w:tc>
      </w:tr>
      <w:tr w:rsidR="00FF1BC7" w14:paraId="11A95F5E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3E97EBF1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40106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654352F1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Nově vybudovaná kapacita pro předcházení vzniku komunálního odpadu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2D1D1F2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160 000,00</w:t>
            </w:r>
          </w:p>
        </w:tc>
        <w:tc>
          <w:tcPr>
            <w:tcW w:w="787" w:type="pct"/>
            <w:vAlign w:val="center"/>
          </w:tcPr>
          <w:p w14:paraId="26702E6C" w14:textId="77777777" w:rsidR="004B73FB" w:rsidRPr="000E73ED" w:rsidRDefault="000A5F6C" w:rsidP="00D94E55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137 915,94</w:t>
            </w:r>
          </w:p>
        </w:tc>
        <w:tc>
          <w:tcPr>
            <w:tcW w:w="453" w:type="pct"/>
            <w:vAlign w:val="center"/>
          </w:tcPr>
          <w:p w14:paraId="38B1A23A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86,20</w:t>
            </w:r>
          </w:p>
        </w:tc>
      </w:tr>
      <w:tr w:rsidR="00FF1BC7" w14:paraId="0C68A793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29BC59E3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40202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39D130E8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Množství nevyprodukovaného průmyslového odpadu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94E0D26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1 500,00</w:t>
            </w:r>
          </w:p>
        </w:tc>
        <w:tc>
          <w:tcPr>
            <w:tcW w:w="787" w:type="pct"/>
            <w:vAlign w:val="center"/>
          </w:tcPr>
          <w:p w14:paraId="325B2E9E" w14:textId="77777777" w:rsidR="004B73FB" w:rsidRPr="000E73ED" w:rsidRDefault="000A5F6C" w:rsidP="00D94E55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450,54</w:t>
            </w:r>
          </w:p>
        </w:tc>
        <w:tc>
          <w:tcPr>
            <w:tcW w:w="453" w:type="pct"/>
            <w:vAlign w:val="center"/>
          </w:tcPr>
          <w:p w14:paraId="6F1825A2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30,04</w:t>
            </w:r>
          </w:p>
        </w:tc>
      </w:tr>
      <w:tr w:rsidR="00FF1BC7" w14:paraId="416F828A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25F15F49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40101/C017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37E145CB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Zvýšení kapacity pro recyklaci odpadů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3F4128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700 000,00</w:t>
            </w:r>
          </w:p>
        </w:tc>
        <w:tc>
          <w:tcPr>
            <w:tcW w:w="787" w:type="pct"/>
            <w:vAlign w:val="center"/>
          </w:tcPr>
          <w:p w14:paraId="0DB36F28" w14:textId="77777777" w:rsidR="004B73FB" w:rsidRPr="000E73ED" w:rsidRDefault="000A5F6C" w:rsidP="00D94E55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52 319,89</w:t>
            </w:r>
          </w:p>
        </w:tc>
        <w:tc>
          <w:tcPr>
            <w:tcW w:w="453" w:type="pct"/>
            <w:vAlign w:val="center"/>
          </w:tcPr>
          <w:p w14:paraId="37BBF9EB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7,47</w:t>
            </w:r>
          </w:p>
        </w:tc>
      </w:tr>
      <w:tr w:rsidR="00FF1BC7" w14:paraId="5FD83BF3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6DEFBDA0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40102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214A86A2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Kapacita podpořených zařízení pro materiálové využití ostatních odpadů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1BB0B8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300 000,00</w:t>
            </w:r>
          </w:p>
        </w:tc>
        <w:tc>
          <w:tcPr>
            <w:tcW w:w="787" w:type="pct"/>
            <w:vAlign w:val="center"/>
          </w:tcPr>
          <w:p w14:paraId="185761B5" w14:textId="77777777" w:rsidR="004B73FB" w:rsidRPr="000E73ED" w:rsidRDefault="000A5F6C" w:rsidP="00D94E55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129 942,56</w:t>
            </w:r>
          </w:p>
        </w:tc>
        <w:tc>
          <w:tcPr>
            <w:tcW w:w="453" w:type="pct"/>
            <w:vAlign w:val="center"/>
          </w:tcPr>
          <w:p w14:paraId="6B4C0E94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43,31</w:t>
            </w:r>
          </w:p>
        </w:tc>
      </w:tr>
      <w:tr w:rsidR="00FF1BC7" w14:paraId="3D56DAF0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0580C09B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40103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3769C04B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Nově vytvořená kapacita systémů separace a</w:t>
            </w:r>
            <w:r>
              <w:rPr>
                <w:rFonts w:cstheme="minorHAnsi"/>
              </w:rPr>
              <w:t> s</w:t>
            </w:r>
            <w:r w:rsidRPr="000E73ED">
              <w:rPr>
                <w:rFonts w:cstheme="minorHAnsi"/>
              </w:rPr>
              <w:t>vozu všech odpadů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F02C9BF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400 000,00</w:t>
            </w:r>
          </w:p>
        </w:tc>
        <w:tc>
          <w:tcPr>
            <w:tcW w:w="787" w:type="pct"/>
            <w:vAlign w:val="center"/>
          </w:tcPr>
          <w:p w14:paraId="59028FAF" w14:textId="77777777" w:rsidR="004B73FB" w:rsidRPr="000E73ED" w:rsidRDefault="000A5F6C" w:rsidP="00D94E55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167 581,70</w:t>
            </w:r>
          </w:p>
        </w:tc>
        <w:tc>
          <w:tcPr>
            <w:tcW w:w="453" w:type="pct"/>
            <w:vAlign w:val="center"/>
          </w:tcPr>
          <w:p w14:paraId="524F0A9C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41,90</w:t>
            </w:r>
          </w:p>
        </w:tc>
      </w:tr>
      <w:tr w:rsidR="00FF1BC7" w14:paraId="17D43DCC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481A01FA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40701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28CAB707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Kapacita nově vybudovaných nebo zmodernizovaných zařízení na energetické využití ostatních odpadů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DC4DE8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400 000,00</w:t>
            </w:r>
          </w:p>
        </w:tc>
        <w:tc>
          <w:tcPr>
            <w:tcW w:w="787" w:type="pct"/>
            <w:vAlign w:val="center"/>
          </w:tcPr>
          <w:p w14:paraId="35A55FE6" w14:textId="77777777" w:rsidR="004B73FB" w:rsidRPr="000E73ED" w:rsidRDefault="000A5F6C" w:rsidP="00D94E55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4 810,00</w:t>
            </w:r>
          </w:p>
        </w:tc>
        <w:tc>
          <w:tcPr>
            <w:tcW w:w="453" w:type="pct"/>
            <w:vAlign w:val="center"/>
          </w:tcPr>
          <w:p w14:paraId="245CD140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1,20</w:t>
            </w:r>
          </w:p>
        </w:tc>
      </w:tr>
      <w:tr w:rsidR="00FF1BC7" w14:paraId="0A0665ED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445381C4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40901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52A6210E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Kapacita nově podpořených nebo zmodernizovaných zařízení pro nakládání s</w:t>
            </w:r>
            <w:r>
              <w:rPr>
                <w:rFonts w:cstheme="minorHAnsi"/>
              </w:rPr>
              <w:t> </w:t>
            </w:r>
            <w:r w:rsidRPr="000E73ED">
              <w:rPr>
                <w:rFonts w:cstheme="minorHAnsi"/>
              </w:rPr>
              <w:t>nebezpečnými odpady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A4F02A8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50 000,00</w:t>
            </w:r>
          </w:p>
        </w:tc>
        <w:tc>
          <w:tcPr>
            <w:tcW w:w="787" w:type="pct"/>
            <w:vAlign w:val="center"/>
          </w:tcPr>
          <w:p w14:paraId="5425C870" w14:textId="77777777" w:rsidR="004B73FB" w:rsidRPr="000E73ED" w:rsidRDefault="000A5F6C" w:rsidP="00D94E55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8 069,12</w:t>
            </w:r>
          </w:p>
        </w:tc>
        <w:tc>
          <w:tcPr>
            <w:tcW w:w="453" w:type="pct"/>
            <w:vAlign w:val="center"/>
          </w:tcPr>
          <w:p w14:paraId="48874F9F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16,14</w:t>
            </w:r>
          </w:p>
        </w:tc>
      </w:tr>
      <w:tr w:rsidR="00FF1BC7" w14:paraId="2B3D09EF" w14:textId="77777777" w:rsidTr="003350AE">
        <w:trPr>
          <w:trHeight w:val="258"/>
        </w:trPr>
        <w:tc>
          <w:tcPr>
            <w:tcW w:w="2912" w:type="pct"/>
            <w:gridSpan w:val="2"/>
            <w:shd w:val="clear" w:color="auto" w:fill="auto"/>
            <w:vAlign w:val="center"/>
          </w:tcPr>
          <w:p w14:paraId="3280DC70" w14:textId="77777777" w:rsidR="004B73FB" w:rsidRPr="000E73ED" w:rsidRDefault="004B73FB" w:rsidP="003350AE">
            <w:pPr>
              <w:rPr>
                <w:rFonts w:cstheme="minorHAnsi"/>
                <w:b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14957607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  <w:b/>
              </w:rPr>
              <w:t>m</w:t>
            </w:r>
            <w:r w:rsidRPr="000E73ED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787" w:type="pct"/>
            <w:vAlign w:val="center"/>
          </w:tcPr>
          <w:p w14:paraId="44DDAD01" w14:textId="77777777" w:rsidR="004B73FB" w:rsidRPr="000E73ED" w:rsidRDefault="000A5F6C" w:rsidP="003350AE">
            <w:pPr>
              <w:jc w:val="center"/>
              <w:rPr>
                <w:rFonts w:cstheme="minorHAnsi"/>
                <w:b/>
              </w:rPr>
            </w:pPr>
            <w:r w:rsidRPr="000E73ED">
              <w:rPr>
                <w:rFonts w:cstheme="minorHAnsi"/>
                <w:b/>
              </w:rPr>
              <w:t>m</w:t>
            </w:r>
            <w:r w:rsidRPr="000E73ED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453" w:type="pct"/>
            <w:vAlign w:val="center"/>
          </w:tcPr>
          <w:p w14:paraId="0742DDA0" w14:textId="77777777" w:rsidR="004B73FB" w:rsidRPr="000E73ED" w:rsidRDefault="000A5F6C" w:rsidP="003350AE">
            <w:pPr>
              <w:jc w:val="center"/>
              <w:rPr>
                <w:rFonts w:cstheme="minorHAnsi"/>
                <w:b/>
              </w:rPr>
            </w:pPr>
            <w:r w:rsidRPr="000E73ED">
              <w:rPr>
                <w:rFonts w:cstheme="minorHAnsi"/>
                <w:b/>
              </w:rPr>
              <w:t>%</w:t>
            </w:r>
          </w:p>
        </w:tc>
      </w:tr>
      <w:tr w:rsidR="00FF1BC7" w14:paraId="2A9CB8EB" w14:textId="77777777" w:rsidTr="00E91623">
        <w:trPr>
          <w:trHeight w:val="258"/>
        </w:trPr>
        <w:tc>
          <w:tcPr>
            <w:tcW w:w="681" w:type="pct"/>
            <w:shd w:val="clear" w:color="auto" w:fill="auto"/>
            <w:vAlign w:val="center"/>
          </w:tcPr>
          <w:p w14:paraId="5FB2E240" w14:textId="77777777" w:rsidR="004B73FB" w:rsidRPr="000E73ED" w:rsidRDefault="000A5F6C" w:rsidP="003350AE">
            <w:pPr>
              <w:jc w:val="center"/>
              <w:rPr>
                <w:rFonts w:cstheme="minorHAnsi"/>
              </w:rPr>
            </w:pPr>
            <w:r w:rsidRPr="000E73ED">
              <w:rPr>
                <w:rFonts w:cstheme="minorHAnsi"/>
              </w:rPr>
              <w:t>40301</w:t>
            </w:r>
          </w:p>
        </w:tc>
        <w:tc>
          <w:tcPr>
            <w:tcW w:w="2231" w:type="pct"/>
            <w:shd w:val="clear" w:color="auto" w:fill="auto"/>
            <w:vAlign w:val="center"/>
          </w:tcPr>
          <w:p w14:paraId="6C9E9594" w14:textId="77777777" w:rsidR="004B73FB" w:rsidRPr="000E73ED" w:rsidRDefault="000A5F6C" w:rsidP="003350AE">
            <w:pPr>
              <w:rPr>
                <w:rFonts w:cstheme="minorHAnsi"/>
              </w:rPr>
            </w:pPr>
            <w:r w:rsidRPr="000E73ED">
              <w:rPr>
                <w:rFonts w:cstheme="minorHAnsi"/>
              </w:rPr>
              <w:t>Plocha zrekultivovaných starých skládek z</w:t>
            </w:r>
            <w:r>
              <w:rPr>
                <w:rFonts w:cstheme="minorHAnsi"/>
              </w:rPr>
              <w:t> </w:t>
            </w:r>
            <w:r w:rsidRPr="000E73ED">
              <w:rPr>
                <w:rFonts w:cstheme="minorHAnsi"/>
              </w:rPr>
              <w:t>podpořených projektů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ADD30ED" w14:textId="77777777" w:rsidR="004B73FB" w:rsidRPr="000E73ED" w:rsidRDefault="000A5F6C" w:rsidP="00E91623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480 772,00</w:t>
            </w:r>
          </w:p>
        </w:tc>
        <w:tc>
          <w:tcPr>
            <w:tcW w:w="787" w:type="pct"/>
            <w:vAlign w:val="center"/>
          </w:tcPr>
          <w:p w14:paraId="32AAA5C7" w14:textId="77777777" w:rsidR="004B73FB" w:rsidRPr="000E73ED" w:rsidRDefault="000A5F6C" w:rsidP="003350AE">
            <w:pPr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  <w:lang w:bidi="bn-BD"/>
              </w:rPr>
              <w:t>114 184,26</w:t>
            </w:r>
          </w:p>
        </w:tc>
        <w:tc>
          <w:tcPr>
            <w:tcW w:w="453" w:type="pct"/>
            <w:vAlign w:val="center"/>
          </w:tcPr>
          <w:p w14:paraId="57A6872D" w14:textId="77777777" w:rsidR="004B73FB" w:rsidRPr="000E73ED" w:rsidRDefault="000A5F6C" w:rsidP="003350AE">
            <w:pPr>
              <w:ind w:left="-535" w:firstLine="535"/>
              <w:jc w:val="right"/>
              <w:rPr>
                <w:rFonts w:cstheme="minorHAnsi"/>
              </w:rPr>
            </w:pPr>
            <w:r w:rsidRPr="000E73ED">
              <w:rPr>
                <w:rFonts w:cstheme="minorHAnsi"/>
              </w:rPr>
              <w:t>23,75</w:t>
            </w:r>
          </w:p>
        </w:tc>
      </w:tr>
    </w:tbl>
    <w:p w14:paraId="596ED49B" w14:textId="39E7F774" w:rsidR="004B73FB" w:rsidRPr="00E91623" w:rsidRDefault="000A5F6C" w:rsidP="00641492">
      <w:pPr>
        <w:pStyle w:val="Zdrojeapozn"/>
        <w:rPr>
          <w:b w:val="0"/>
        </w:rPr>
      </w:pPr>
      <w:r w:rsidRPr="000E73ED">
        <w:t xml:space="preserve">Zdroj: </w:t>
      </w:r>
      <w:r w:rsidRPr="00E91623">
        <w:rPr>
          <w:b w:val="0"/>
        </w:rPr>
        <w:t xml:space="preserve">MŽP, </w:t>
      </w:r>
      <w:r w:rsidR="006E3741" w:rsidRPr="00E91623">
        <w:rPr>
          <w:b w:val="0"/>
        </w:rPr>
        <w:t>p</w:t>
      </w:r>
      <w:r w:rsidRPr="00E91623">
        <w:rPr>
          <w:b w:val="0"/>
        </w:rPr>
        <w:t>rogramový dokument OPŽP (verze 8.0 a verze 9.0).</w:t>
      </w:r>
    </w:p>
    <w:p w14:paraId="0BDF11DB" w14:textId="130CEB98" w:rsidR="004B73FB" w:rsidRPr="000E73ED" w:rsidRDefault="000A5F6C" w:rsidP="004B73FB">
      <w:pPr>
        <w:pStyle w:val="Titulek"/>
      </w:pPr>
      <w:r>
        <w:t xml:space="preserve">Ukazatele/indikátory </w:t>
      </w:r>
      <w:r w:rsidRPr="000E73ED">
        <w:t>výsledk</w:t>
      </w:r>
      <w:r w:rsidR="008C52EE">
        <w:t>u</w:t>
      </w:r>
    </w:p>
    <w:tbl>
      <w:tblPr>
        <w:tblStyle w:val="Mkatabulky"/>
        <w:tblpPr w:leftFromText="141" w:rightFromText="141" w:vertAnchor="text" w:horzAnchor="margin" w:tblpX="59" w:tblpY="35"/>
        <w:tblW w:w="5000" w:type="pct"/>
        <w:tblLook w:val="04A0" w:firstRow="1" w:lastRow="0" w:firstColumn="1" w:lastColumn="0" w:noHBand="0" w:noVBand="1"/>
      </w:tblPr>
      <w:tblGrid>
        <w:gridCol w:w="838"/>
        <w:gridCol w:w="3070"/>
        <w:gridCol w:w="1446"/>
        <w:gridCol w:w="1448"/>
        <w:gridCol w:w="1403"/>
        <w:gridCol w:w="857"/>
      </w:tblGrid>
      <w:tr w:rsidR="00FF1BC7" w14:paraId="21D28F06" w14:textId="77777777" w:rsidTr="00E91623">
        <w:trPr>
          <w:trHeight w:val="254"/>
        </w:trPr>
        <w:tc>
          <w:tcPr>
            <w:tcW w:w="462" w:type="pct"/>
            <w:shd w:val="clear" w:color="auto" w:fill="E5F1FF"/>
            <w:vAlign w:val="center"/>
          </w:tcPr>
          <w:p w14:paraId="07BCC658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Kód NČI 2014+</w:t>
            </w:r>
          </w:p>
        </w:tc>
        <w:tc>
          <w:tcPr>
            <w:tcW w:w="1694" w:type="pct"/>
            <w:shd w:val="clear" w:color="auto" w:fill="E5F1FF"/>
            <w:vAlign w:val="center"/>
          </w:tcPr>
          <w:p w14:paraId="7011D1E4" w14:textId="0FCFE792" w:rsidR="004B73FB" w:rsidRPr="0070498E" w:rsidRDefault="009A6DD9" w:rsidP="008C52EE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U</w:t>
            </w:r>
            <w:r w:rsidR="000A5F6C" w:rsidRPr="0070498E">
              <w:rPr>
                <w:rFonts w:cstheme="minorHAnsi"/>
                <w:b/>
                <w:sz w:val="18"/>
              </w:rPr>
              <w:t>kazatel</w:t>
            </w:r>
          </w:p>
        </w:tc>
        <w:tc>
          <w:tcPr>
            <w:tcW w:w="798" w:type="pct"/>
            <w:shd w:val="clear" w:color="auto" w:fill="E5F1FF"/>
            <w:vAlign w:val="center"/>
          </w:tcPr>
          <w:p w14:paraId="76AE134F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Výchozí hodnota (2012)</w:t>
            </w:r>
          </w:p>
        </w:tc>
        <w:tc>
          <w:tcPr>
            <w:tcW w:w="799" w:type="pct"/>
            <w:shd w:val="clear" w:color="auto" w:fill="E5F1FF"/>
            <w:vAlign w:val="center"/>
          </w:tcPr>
          <w:p w14:paraId="0F27A4BB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Cílová hodnota (2023)</w:t>
            </w:r>
          </w:p>
        </w:tc>
        <w:tc>
          <w:tcPr>
            <w:tcW w:w="774" w:type="pct"/>
            <w:shd w:val="clear" w:color="auto" w:fill="E5F1FF"/>
            <w:vAlign w:val="center"/>
          </w:tcPr>
          <w:p w14:paraId="7EE7441D" w14:textId="2176068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Hodnoty k 31.</w:t>
            </w:r>
            <w:r w:rsidR="009A6DD9">
              <w:rPr>
                <w:rFonts w:cstheme="minorHAnsi"/>
                <w:b/>
                <w:sz w:val="18"/>
              </w:rPr>
              <w:t> </w:t>
            </w:r>
            <w:r w:rsidRPr="0070498E">
              <w:rPr>
                <w:rFonts w:cstheme="minorHAnsi"/>
                <w:b/>
                <w:sz w:val="18"/>
              </w:rPr>
              <w:t>12.</w:t>
            </w:r>
            <w:r w:rsidR="009A6DD9">
              <w:rPr>
                <w:rFonts w:cstheme="minorHAnsi"/>
                <w:b/>
                <w:sz w:val="18"/>
              </w:rPr>
              <w:t> </w:t>
            </w:r>
            <w:r w:rsidRPr="0070498E">
              <w:rPr>
                <w:rFonts w:cstheme="minorHAnsi"/>
                <w:b/>
                <w:sz w:val="18"/>
              </w:rPr>
              <w:t>2020</w:t>
            </w:r>
          </w:p>
        </w:tc>
        <w:tc>
          <w:tcPr>
            <w:tcW w:w="473" w:type="pct"/>
            <w:shd w:val="clear" w:color="auto" w:fill="E5F1FF"/>
            <w:vAlign w:val="center"/>
          </w:tcPr>
          <w:p w14:paraId="092D16DB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Plnění</w:t>
            </w:r>
          </w:p>
        </w:tc>
      </w:tr>
      <w:tr w:rsidR="00FF1BC7" w14:paraId="30811CB6" w14:textId="77777777" w:rsidTr="00E91623">
        <w:trPr>
          <w:trHeight w:val="125"/>
        </w:trPr>
        <w:tc>
          <w:tcPr>
            <w:tcW w:w="2156" w:type="pct"/>
            <w:gridSpan w:val="2"/>
            <w:shd w:val="clear" w:color="auto" w:fill="D9D9D9"/>
          </w:tcPr>
          <w:p w14:paraId="25C5AD40" w14:textId="35F387C2" w:rsidR="004B73FB" w:rsidRPr="0070498E" w:rsidRDefault="000A5F6C" w:rsidP="008C52EE">
            <w:pPr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 xml:space="preserve">SC 3.1 </w:t>
            </w:r>
            <w:r w:rsidR="00D94E55">
              <w:rPr>
                <w:rFonts w:cstheme="minorHAnsi"/>
                <w:b/>
                <w:sz w:val="18"/>
              </w:rPr>
              <w:t>–</w:t>
            </w:r>
            <w:r w:rsidRPr="0070498E">
              <w:rPr>
                <w:rFonts w:cstheme="minorHAnsi"/>
                <w:b/>
                <w:sz w:val="18"/>
              </w:rPr>
              <w:t xml:space="preserve"> Prevence vzniku odpadů</w:t>
            </w:r>
          </w:p>
        </w:tc>
        <w:tc>
          <w:tcPr>
            <w:tcW w:w="798" w:type="pct"/>
            <w:shd w:val="clear" w:color="auto" w:fill="D9D9D9"/>
            <w:vAlign w:val="center"/>
          </w:tcPr>
          <w:p w14:paraId="2B944273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t/rok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71C5F337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t/rok</w:t>
            </w:r>
          </w:p>
        </w:tc>
        <w:tc>
          <w:tcPr>
            <w:tcW w:w="774" w:type="pct"/>
            <w:shd w:val="clear" w:color="auto" w:fill="D9D9D9"/>
            <w:vAlign w:val="center"/>
          </w:tcPr>
          <w:p w14:paraId="52108316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t/rok</w:t>
            </w:r>
          </w:p>
        </w:tc>
        <w:tc>
          <w:tcPr>
            <w:tcW w:w="473" w:type="pct"/>
            <w:shd w:val="clear" w:color="auto" w:fill="D9D9D9"/>
            <w:vAlign w:val="center"/>
          </w:tcPr>
          <w:p w14:paraId="5E81B171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%</w:t>
            </w:r>
          </w:p>
        </w:tc>
      </w:tr>
      <w:tr w:rsidR="00FF1BC7" w14:paraId="4EDACD1C" w14:textId="77777777" w:rsidTr="00E91623">
        <w:trPr>
          <w:trHeight w:val="169"/>
        </w:trPr>
        <w:tc>
          <w:tcPr>
            <w:tcW w:w="462" w:type="pct"/>
            <w:vAlign w:val="center"/>
          </w:tcPr>
          <w:p w14:paraId="643731BB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40110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347BB4F1" w14:textId="77777777" w:rsidR="004B73FB" w:rsidRPr="0070498E" w:rsidRDefault="000A5F6C" w:rsidP="008C52EE">
            <w:pPr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Kapacita pro předcházení vzniku komunálních odpadů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8D94B82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16 000,00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332786C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172 000,00</w:t>
            </w:r>
          </w:p>
        </w:tc>
        <w:tc>
          <w:tcPr>
            <w:tcW w:w="774" w:type="pct"/>
            <w:vAlign w:val="center"/>
          </w:tcPr>
          <w:p w14:paraId="12427192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  <w:lang w:bidi="bn-BD"/>
              </w:rPr>
              <w:t>153 915,94</w:t>
            </w:r>
          </w:p>
        </w:tc>
        <w:tc>
          <w:tcPr>
            <w:tcW w:w="473" w:type="pct"/>
            <w:vAlign w:val="center"/>
          </w:tcPr>
          <w:p w14:paraId="1A0BB992" w14:textId="77777777" w:rsidR="004B73FB" w:rsidRPr="0070498E" w:rsidRDefault="000A5F6C" w:rsidP="00820915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89,49</w:t>
            </w:r>
          </w:p>
        </w:tc>
      </w:tr>
      <w:tr w:rsidR="00FF1BC7" w14:paraId="4F02DD8B" w14:textId="77777777" w:rsidTr="00E91623">
        <w:trPr>
          <w:trHeight w:val="169"/>
        </w:trPr>
        <w:tc>
          <w:tcPr>
            <w:tcW w:w="462" w:type="pct"/>
            <w:vAlign w:val="center"/>
          </w:tcPr>
          <w:p w14:paraId="3AFB986B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40210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61131444" w14:textId="77777777" w:rsidR="004B73FB" w:rsidRPr="0070498E" w:rsidRDefault="000A5F6C" w:rsidP="008C52EE">
            <w:pPr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Odpadová náročnost výroby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3FD54EA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1 114 564,00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8AF512E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992 581,00</w:t>
            </w:r>
          </w:p>
        </w:tc>
        <w:tc>
          <w:tcPr>
            <w:tcW w:w="774" w:type="pct"/>
            <w:vAlign w:val="center"/>
          </w:tcPr>
          <w:p w14:paraId="18C9FFB8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  <w:lang w:bidi="bn-BD"/>
              </w:rPr>
              <w:t>1 005 286,00</w:t>
            </w:r>
          </w:p>
        </w:tc>
        <w:tc>
          <w:tcPr>
            <w:tcW w:w="473" w:type="pct"/>
            <w:vAlign w:val="center"/>
          </w:tcPr>
          <w:p w14:paraId="1863FD8E" w14:textId="77777777" w:rsidR="004B73FB" w:rsidRPr="0070498E" w:rsidRDefault="000A5F6C" w:rsidP="00820915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101,28</w:t>
            </w:r>
          </w:p>
        </w:tc>
      </w:tr>
      <w:tr w:rsidR="00FF1BC7" w14:paraId="12F16A44" w14:textId="77777777" w:rsidTr="00E91623">
        <w:trPr>
          <w:trHeight w:val="126"/>
        </w:trPr>
        <w:tc>
          <w:tcPr>
            <w:tcW w:w="2156" w:type="pct"/>
            <w:gridSpan w:val="2"/>
            <w:shd w:val="clear" w:color="auto" w:fill="D9D9D9"/>
          </w:tcPr>
          <w:p w14:paraId="3BF9F6BC" w14:textId="5AABEE66" w:rsidR="004B73FB" w:rsidRPr="0070498E" w:rsidRDefault="000A5F6C" w:rsidP="008C52EE">
            <w:pPr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 xml:space="preserve">SC 3.2 </w:t>
            </w:r>
            <w:r w:rsidR="00D94E55">
              <w:rPr>
                <w:rFonts w:cstheme="minorHAnsi"/>
                <w:b/>
                <w:sz w:val="18"/>
              </w:rPr>
              <w:t>–</w:t>
            </w:r>
            <w:r w:rsidRPr="0070498E">
              <w:rPr>
                <w:rFonts w:cstheme="minorHAnsi"/>
                <w:b/>
                <w:sz w:val="18"/>
              </w:rPr>
              <w:t xml:space="preserve"> Zvýšit podíl materiálového a energetického využití odpadů</w:t>
            </w:r>
          </w:p>
        </w:tc>
        <w:tc>
          <w:tcPr>
            <w:tcW w:w="798" w:type="pct"/>
            <w:shd w:val="clear" w:color="auto" w:fill="D9D9D9"/>
            <w:vAlign w:val="center"/>
          </w:tcPr>
          <w:p w14:paraId="7F7B70F2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t/rok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3DA8EE46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t/rok</w:t>
            </w:r>
          </w:p>
        </w:tc>
        <w:tc>
          <w:tcPr>
            <w:tcW w:w="774" w:type="pct"/>
            <w:shd w:val="clear" w:color="auto" w:fill="D9D9D9"/>
            <w:vAlign w:val="center"/>
          </w:tcPr>
          <w:p w14:paraId="14C9BEBC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t/rok</w:t>
            </w:r>
          </w:p>
        </w:tc>
        <w:tc>
          <w:tcPr>
            <w:tcW w:w="473" w:type="pct"/>
            <w:shd w:val="clear" w:color="auto" w:fill="D9D9D9"/>
            <w:vAlign w:val="center"/>
          </w:tcPr>
          <w:p w14:paraId="1AA6FAD4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%</w:t>
            </w:r>
          </w:p>
        </w:tc>
      </w:tr>
      <w:tr w:rsidR="00FF1BC7" w14:paraId="0AF4FD08" w14:textId="77777777" w:rsidTr="00E91623">
        <w:trPr>
          <w:trHeight w:val="169"/>
        </w:trPr>
        <w:tc>
          <w:tcPr>
            <w:tcW w:w="462" w:type="pct"/>
            <w:vAlign w:val="center"/>
          </w:tcPr>
          <w:p w14:paraId="52865E9C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40105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07E87173" w14:textId="77777777" w:rsidR="004B73FB" w:rsidRPr="0070498E" w:rsidRDefault="000A5F6C" w:rsidP="008C52EE">
            <w:pPr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Celkové množství materiálově využitého ostatního odpadu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B54F608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22 122 976,00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56F8606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40 936 620,00</w:t>
            </w:r>
          </w:p>
        </w:tc>
        <w:tc>
          <w:tcPr>
            <w:tcW w:w="774" w:type="pct"/>
            <w:vAlign w:val="center"/>
          </w:tcPr>
          <w:p w14:paraId="22754410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  <w:lang w:bidi="bn-BD"/>
              </w:rPr>
              <w:t>31 064 655,00</w:t>
            </w:r>
          </w:p>
        </w:tc>
        <w:tc>
          <w:tcPr>
            <w:tcW w:w="473" w:type="pct"/>
            <w:vAlign w:val="center"/>
          </w:tcPr>
          <w:p w14:paraId="07C0CFEA" w14:textId="77777777" w:rsidR="004B73FB" w:rsidRPr="0070498E" w:rsidRDefault="000A5F6C" w:rsidP="00820915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75,88</w:t>
            </w:r>
          </w:p>
        </w:tc>
      </w:tr>
      <w:tr w:rsidR="00FF1BC7" w14:paraId="2B909242" w14:textId="77777777" w:rsidTr="00E91623">
        <w:trPr>
          <w:trHeight w:val="169"/>
        </w:trPr>
        <w:tc>
          <w:tcPr>
            <w:tcW w:w="462" w:type="pct"/>
            <w:vAlign w:val="center"/>
          </w:tcPr>
          <w:p w14:paraId="739BD825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40104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3CC00525" w14:textId="77777777" w:rsidR="004B73FB" w:rsidRPr="0070498E" w:rsidRDefault="000A5F6C" w:rsidP="008C52EE">
            <w:pPr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Množství odpadů zpracovaných v systémech separace a svozu všech odpadů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D92201A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22 592 701,00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9E6601B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42 481 265,00</w:t>
            </w:r>
          </w:p>
        </w:tc>
        <w:tc>
          <w:tcPr>
            <w:tcW w:w="774" w:type="pct"/>
            <w:vAlign w:val="center"/>
          </w:tcPr>
          <w:p w14:paraId="7601E3C4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  <w:lang w:bidi="bn-BD"/>
              </w:rPr>
              <w:t>31 478 799,00</w:t>
            </w:r>
          </w:p>
        </w:tc>
        <w:tc>
          <w:tcPr>
            <w:tcW w:w="473" w:type="pct"/>
            <w:vAlign w:val="center"/>
          </w:tcPr>
          <w:p w14:paraId="418BCEFD" w14:textId="77777777" w:rsidR="004B73FB" w:rsidRPr="0070498E" w:rsidRDefault="000A5F6C" w:rsidP="00820915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74,10</w:t>
            </w:r>
          </w:p>
        </w:tc>
      </w:tr>
      <w:tr w:rsidR="00FF1BC7" w14:paraId="5A1F7DD8" w14:textId="77777777" w:rsidTr="00E91623">
        <w:trPr>
          <w:trHeight w:val="169"/>
        </w:trPr>
        <w:tc>
          <w:tcPr>
            <w:tcW w:w="462" w:type="pct"/>
            <w:vAlign w:val="center"/>
          </w:tcPr>
          <w:p w14:paraId="6447B95A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40711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2E9EA78F" w14:textId="77777777" w:rsidR="004B73FB" w:rsidRPr="0070498E" w:rsidRDefault="000A5F6C" w:rsidP="008C52EE">
            <w:pPr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Celkové množství energeticky využitých ostatních odpadů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78EE814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1 009 000,00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069F38C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1 409 000,00</w:t>
            </w:r>
          </w:p>
        </w:tc>
        <w:tc>
          <w:tcPr>
            <w:tcW w:w="774" w:type="pct"/>
            <w:vAlign w:val="center"/>
          </w:tcPr>
          <w:p w14:paraId="5BB1291C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  <w:lang w:bidi="bn-BD"/>
              </w:rPr>
              <w:t>1 251 630,00</w:t>
            </w:r>
          </w:p>
        </w:tc>
        <w:tc>
          <w:tcPr>
            <w:tcW w:w="473" w:type="pct"/>
            <w:vAlign w:val="center"/>
          </w:tcPr>
          <w:p w14:paraId="3682FC8D" w14:textId="77777777" w:rsidR="004B73FB" w:rsidRPr="0070498E" w:rsidRDefault="000A5F6C" w:rsidP="00820915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88,83</w:t>
            </w:r>
          </w:p>
        </w:tc>
      </w:tr>
      <w:tr w:rsidR="00FF1BC7" w14:paraId="03F86C62" w14:textId="77777777" w:rsidTr="00E91623">
        <w:trPr>
          <w:trHeight w:val="169"/>
        </w:trPr>
        <w:tc>
          <w:tcPr>
            <w:tcW w:w="462" w:type="pct"/>
            <w:vAlign w:val="center"/>
          </w:tcPr>
          <w:p w14:paraId="052BB265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40911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786787E2" w14:textId="77777777" w:rsidR="004B73FB" w:rsidRPr="0070498E" w:rsidRDefault="000A5F6C" w:rsidP="008C52EE">
            <w:pPr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Využití nebezpečného odpadu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6D4D5F9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313 403,00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E218873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416 474,00</w:t>
            </w:r>
          </w:p>
        </w:tc>
        <w:tc>
          <w:tcPr>
            <w:tcW w:w="774" w:type="pct"/>
            <w:vAlign w:val="center"/>
          </w:tcPr>
          <w:p w14:paraId="077C7933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  <w:lang w:bidi="bn-BD"/>
              </w:rPr>
              <w:t>414 144,00</w:t>
            </w:r>
          </w:p>
        </w:tc>
        <w:tc>
          <w:tcPr>
            <w:tcW w:w="473" w:type="pct"/>
            <w:vAlign w:val="center"/>
          </w:tcPr>
          <w:p w14:paraId="4D424FB3" w14:textId="77777777" w:rsidR="004B73FB" w:rsidRPr="0070498E" w:rsidRDefault="000A5F6C" w:rsidP="00820915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99,44</w:t>
            </w:r>
          </w:p>
        </w:tc>
      </w:tr>
      <w:tr w:rsidR="00FF1BC7" w14:paraId="5DD81EB8" w14:textId="77777777" w:rsidTr="00E91623">
        <w:trPr>
          <w:trHeight w:val="119"/>
        </w:trPr>
        <w:tc>
          <w:tcPr>
            <w:tcW w:w="2156" w:type="pct"/>
            <w:gridSpan w:val="2"/>
            <w:shd w:val="clear" w:color="auto" w:fill="D9D9D9"/>
          </w:tcPr>
          <w:p w14:paraId="6C62A3B8" w14:textId="10E59F7E" w:rsidR="004B73FB" w:rsidRPr="0070498E" w:rsidRDefault="000A5F6C" w:rsidP="008C52EE">
            <w:pPr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 xml:space="preserve">SC 3.3 </w:t>
            </w:r>
            <w:r w:rsidR="00D94E55">
              <w:rPr>
                <w:rFonts w:cstheme="minorHAnsi"/>
                <w:b/>
                <w:sz w:val="18"/>
              </w:rPr>
              <w:t>–</w:t>
            </w:r>
            <w:r w:rsidRPr="0070498E">
              <w:rPr>
                <w:rFonts w:cstheme="minorHAnsi"/>
                <w:b/>
                <w:sz w:val="18"/>
              </w:rPr>
              <w:t xml:space="preserve"> Rekultivovat staré skládky</w:t>
            </w:r>
          </w:p>
        </w:tc>
        <w:tc>
          <w:tcPr>
            <w:tcW w:w="798" w:type="pct"/>
            <w:shd w:val="clear" w:color="auto" w:fill="D9D9D9"/>
            <w:vAlign w:val="center"/>
          </w:tcPr>
          <w:p w14:paraId="1F2FCBEC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m</w:t>
            </w:r>
            <w:r w:rsidRPr="0070498E">
              <w:rPr>
                <w:rFonts w:cstheme="minorHAnsi"/>
                <w:b/>
                <w:sz w:val="18"/>
                <w:vertAlign w:val="superscript"/>
              </w:rPr>
              <w:t>2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07AEDCCD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m</w:t>
            </w:r>
            <w:r w:rsidRPr="0070498E">
              <w:rPr>
                <w:rFonts w:cstheme="minorHAnsi"/>
                <w:b/>
                <w:sz w:val="18"/>
                <w:vertAlign w:val="superscript"/>
              </w:rPr>
              <w:t>2</w:t>
            </w:r>
          </w:p>
        </w:tc>
        <w:tc>
          <w:tcPr>
            <w:tcW w:w="774" w:type="pct"/>
            <w:shd w:val="clear" w:color="auto" w:fill="D9D9D9"/>
            <w:vAlign w:val="center"/>
          </w:tcPr>
          <w:p w14:paraId="5A596390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m</w:t>
            </w:r>
            <w:r w:rsidRPr="0070498E">
              <w:rPr>
                <w:rFonts w:cstheme="minorHAnsi"/>
                <w:b/>
                <w:sz w:val="18"/>
                <w:vertAlign w:val="superscript"/>
              </w:rPr>
              <w:t>2</w:t>
            </w:r>
          </w:p>
        </w:tc>
        <w:tc>
          <w:tcPr>
            <w:tcW w:w="473" w:type="pct"/>
            <w:shd w:val="clear" w:color="auto" w:fill="D9D9D9"/>
            <w:vAlign w:val="center"/>
          </w:tcPr>
          <w:p w14:paraId="324D62E8" w14:textId="77777777" w:rsidR="004B73FB" w:rsidRPr="0070498E" w:rsidRDefault="000A5F6C" w:rsidP="008C52EE">
            <w:pPr>
              <w:jc w:val="center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b/>
                <w:sz w:val="18"/>
              </w:rPr>
              <w:t>%</w:t>
            </w:r>
          </w:p>
        </w:tc>
      </w:tr>
      <w:tr w:rsidR="00FF1BC7" w14:paraId="66BF3BE3" w14:textId="77777777" w:rsidTr="00E91623">
        <w:trPr>
          <w:trHeight w:val="169"/>
        </w:trPr>
        <w:tc>
          <w:tcPr>
            <w:tcW w:w="462" w:type="pct"/>
            <w:vAlign w:val="center"/>
          </w:tcPr>
          <w:p w14:paraId="471F5AC6" w14:textId="77777777" w:rsidR="004B73FB" w:rsidRPr="0070498E" w:rsidRDefault="000A5F6C" w:rsidP="008C52EE">
            <w:pPr>
              <w:jc w:val="center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40310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18EA4748" w14:textId="77777777" w:rsidR="004B73FB" w:rsidRPr="0070498E" w:rsidRDefault="000A5F6C" w:rsidP="008C52EE">
            <w:pPr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Plocha zrekultivovaných starých skládek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EBD5777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949 075,00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0D166EA" w14:textId="77777777" w:rsidR="004B73FB" w:rsidRPr="0070498E" w:rsidRDefault="000A5F6C" w:rsidP="008C52EE">
            <w:pPr>
              <w:jc w:val="right"/>
              <w:rPr>
                <w:rFonts w:cstheme="minorHAnsi"/>
                <w:b/>
                <w:sz w:val="18"/>
              </w:rPr>
            </w:pPr>
            <w:r w:rsidRPr="0070498E">
              <w:rPr>
                <w:rFonts w:cstheme="minorHAnsi"/>
                <w:sz w:val="18"/>
              </w:rPr>
              <w:t>1 429 677,00</w:t>
            </w:r>
          </w:p>
        </w:tc>
        <w:tc>
          <w:tcPr>
            <w:tcW w:w="774" w:type="pct"/>
            <w:vAlign w:val="center"/>
          </w:tcPr>
          <w:p w14:paraId="2C66146C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  <w:lang w:bidi="bn-BD"/>
              </w:rPr>
              <w:t>1 063 259,26</w:t>
            </w:r>
          </w:p>
        </w:tc>
        <w:tc>
          <w:tcPr>
            <w:tcW w:w="473" w:type="pct"/>
            <w:vAlign w:val="center"/>
          </w:tcPr>
          <w:p w14:paraId="632A3EFC" w14:textId="77777777" w:rsidR="004B73FB" w:rsidRPr="0070498E" w:rsidRDefault="000A5F6C" w:rsidP="008C52EE">
            <w:pPr>
              <w:jc w:val="right"/>
              <w:rPr>
                <w:rFonts w:cstheme="minorHAnsi"/>
                <w:sz w:val="18"/>
              </w:rPr>
            </w:pPr>
            <w:r w:rsidRPr="0070498E">
              <w:rPr>
                <w:rFonts w:cstheme="minorHAnsi"/>
                <w:sz w:val="18"/>
              </w:rPr>
              <w:t>74,37</w:t>
            </w:r>
          </w:p>
        </w:tc>
      </w:tr>
    </w:tbl>
    <w:p w14:paraId="51695459" w14:textId="54244F7B" w:rsidR="004B73FB" w:rsidRPr="00E91623" w:rsidRDefault="000A5F6C" w:rsidP="00641492">
      <w:pPr>
        <w:pStyle w:val="Zdrojeapozn"/>
        <w:rPr>
          <w:b w:val="0"/>
        </w:rPr>
      </w:pPr>
      <w:r w:rsidRPr="000E73ED">
        <w:t xml:space="preserve">Zdroj: </w:t>
      </w:r>
      <w:r w:rsidRPr="00E91623">
        <w:rPr>
          <w:b w:val="0"/>
        </w:rPr>
        <w:t xml:space="preserve">MŽP, </w:t>
      </w:r>
      <w:r w:rsidR="006E3741" w:rsidRPr="00E91623">
        <w:rPr>
          <w:b w:val="0"/>
        </w:rPr>
        <w:t>p</w:t>
      </w:r>
      <w:r w:rsidRPr="00E91623">
        <w:rPr>
          <w:b w:val="0"/>
        </w:rPr>
        <w:t>rogramový dokument OPŽP (verze 8.0 a verze 9.0).</w:t>
      </w:r>
    </w:p>
    <w:p w14:paraId="50D5AEDA" w14:textId="100A100E" w:rsidR="004B73FB" w:rsidRPr="00E91623" w:rsidRDefault="000A5F6C" w:rsidP="00641492">
      <w:pPr>
        <w:pStyle w:val="Zdrojeapozn"/>
        <w:rPr>
          <w:b w:val="0"/>
        </w:rPr>
      </w:pPr>
      <w:r w:rsidRPr="000E73ED">
        <w:t xml:space="preserve">Pozn.: </w:t>
      </w:r>
      <w:r w:rsidRPr="00E91623">
        <w:rPr>
          <w:b w:val="0"/>
        </w:rPr>
        <w:t>ukazatele 40104, 40105, 40210, 40711 a 40911 jsou statistické indikátory. Plnění hodnot těchto indikátorů je uvedeno za rok 2019 z důvod</w:t>
      </w:r>
      <w:r w:rsidR="006E3741" w:rsidRPr="00E91623">
        <w:rPr>
          <w:b w:val="0"/>
        </w:rPr>
        <w:t>u</w:t>
      </w:r>
      <w:r w:rsidRPr="00E91623">
        <w:rPr>
          <w:b w:val="0"/>
        </w:rPr>
        <w:t xml:space="preserve"> absence dat za rok 2020.</w:t>
      </w:r>
    </w:p>
    <w:p w14:paraId="30A1B6D7" w14:textId="77777777" w:rsidR="004B73FB" w:rsidRDefault="000A5F6C" w:rsidP="004B73FB">
      <w:pPr>
        <w:rPr>
          <w:lang w:eastAsia="cs-CZ"/>
        </w:rPr>
      </w:pPr>
      <w:r>
        <w:rPr>
          <w:lang w:eastAsia="cs-CZ"/>
        </w:rPr>
        <w:br w:type="page"/>
      </w:r>
    </w:p>
    <w:p w14:paraId="46F0212F" w14:textId="63EBDBF3" w:rsidR="00AF61D1" w:rsidRPr="00CB7C60" w:rsidRDefault="000A5F6C" w:rsidP="00E91623">
      <w:pPr>
        <w:pStyle w:val="Titulek"/>
        <w:tabs>
          <w:tab w:val="right" w:pos="9072"/>
        </w:tabs>
        <w:outlineLvl w:val="0"/>
        <w:rPr>
          <w:b/>
          <w:lang w:eastAsia="cs-CZ"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F27D96">
        <w:rPr>
          <w:b/>
          <w:noProof/>
        </w:rPr>
        <w:t>2</w:t>
      </w:r>
      <w:r w:rsidRPr="00303804">
        <w:rPr>
          <w:b/>
        </w:rPr>
        <w:fldChar w:fldCharType="end"/>
      </w:r>
      <w:r w:rsidRPr="00303804">
        <w:rPr>
          <w:b/>
        </w:rPr>
        <w:t xml:space="preserve">: </w:t>
      </w:r>
      <w:r w:rsidRPr="00CB7C60">
        <w:rPr>
          <w:lang w:eastAsia="cs-CZ"/>
        </w:rPr>
        <w:t>Vzorek kontrolovaných projektů</w:t>
      </w:r>
      <w:r w:rsidR="00BE50D1">
        <w:rPr>
          <w:lang w:eastAsia="cs-CZ"/>
        </w:rPr>
        <w:t xml:space="preserve"> (proplaceno ke dni 31. 12. 2020)</w:t>
      </w:r>
      <w:r w:rsidR="00BE50D1">
        <w:rPr>
          <w:lang w:eastAsia="cs-CZ"/>
        </w:rPr>
        <w:tab/>
        <w:t>(</w:t>
      </w:r>
      <w:r w:rsidR="00A249F5">
        <w:rPr>
          <w:lang w:eastAsia="cs-CZ"/>
        </w:rPr>
        <w:t xml:space="preserve">v </w:t>
      </w:r>
      <w:r w:rsidR="00BE50D1">
        <w:rPr>
          <w:lang w:eastAsia="cs-CZ"/>
        </w:rPr>
        <w:t>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2260"/>
        <w:gridCol w:w="896"/>
        <w:gridCol w:w="1229"/>
        <w:gridCol w:w="1022"/>
        <w:gridCol w:w="1118"/>
      </w:tblGrid>
      <w:tr w:rsidR="00FF1BC7" w14:paraId="7F2E5F6B" w14:textId="77777777" w:rsidTr="00BE50D1">
        <w:trPr>
          <w:trHeight w:val="300"/>
        </w:trPr>
        <w:tc>
          <w:tcPr>
            <w:tcW w:w="5000" w:type="pct"/>
            <w:gridSpan w:val="6"/>
            <w:shd w:val="clear" w:color="auto" w:fill="E7E6E6" w:themeFill="background2"/>
            <w:noWrap/>
            <w:vAlign w:val="center"/>
            <w:hideMark/>
          </w:tcPr>
          <w:p w14:paraId="0535E211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Kontrolovaný vzorek projektů OPŽP</w:t>
            </w:r>
          </w:p>
        </w:tc>
      </w:tr>
      <w:tr w:rsidR="00FF1BC7" w14:paraId="05055718" w14:textId="77777777" w:rsidTr="00E91623">
        <w:trPr>
          <w:trHeight w:val="377"/>
        </w:trPr>
        <w:tc>
          <w:tcPr>
            <w:tcW w:w="1405" w:type="pct"/>
            <w:shd w:val="clear" w:color="auto" w:fill="E5F1FF"/>
            <w:vAlign w:val="center"/>
            <w:hideMark/>
          </w:tcPr>
          <w:p w14:paraId="310F8362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Číslo projektu</w:t>
            </w:r>
          </w:p>
        </w:tc>
        <w:tc>
          <w:tcPr>
            <w:tcW w:w="1252" w:type="pct"/>
            <w:shd w:val="clear" w:color="auto" w:fill="E5F1FF"/>
            <w:vAlign w:val="center"/>
            <w:hideMark/>
          </w:tcPr>
          <w:p w14:paraId="3B3015A7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 xml:space="preserve">Příjemce </w:t>
            </w:r>
            <w:r w:rsidR="006D14CA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dotace</w:t>
            </w:r>
          </w:p>
        </w:tc>
        <w:tc>
          <w:tcPr>
            <w:tcW w:w="470" w:type="pct"/>
            <w:shd w:val="clear" w:color="auto" w:fill="E5F1FF"/>
            <w:vAlign w:val="center"/>
            <w:hideMark/>
          </w:tcPr>
          <w:p w14:paraId="3EBB7359" w14:textId="77777777" w:rsidR="00AF61D1" w:rsidRPr="00AB13B6" w:rsidRDefault="000A5F6C" w:rsidP="001B5C1E">
            <w:pPr>
              <w:ind w:right="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Číslo</w:t>
            </w:r>
            <w:r w:rsidR="006D14CA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 </w:t>
            </w: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výzvy</w:t>
            </w:r>
          </w:p>
        </w:tc>
        <w:tc>
          <w:tcPr>
            <w:tcW w:w="683" w:type="pct"/>
            <w:shd w:val="clear" w:color="auto" w:fill="E5F1FF"/>
            <w:vAlign w:val="center"/>
            <w:hideMark/>
          </w:tcPr>
          <w:p w14:paraId="3844E257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 xml:space="preserve">Celkové </w:t>
            </w:r>
            <w:r w:rsidR="00BE50D1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z</w:t>
            </w: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droje</w:t>
            </w:r>
          </w:p>
        </w:tc>
        <w:tc>
          <w:tcPr>
            <w:tcW w:w="569" w:type="pct"/>
            <w:shd w:val="clear" w:color="auto" w:fill="E5F1FF"/>
            <w:vAlign w:val="center"/>
            <w:hideMark/>
          </w:tcPr>
          <w:p w14:paraId="45AC089C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Příspěvek EU</w:t>
            </w:r>
          </w:p>
        </w:tc>
        <w:tc>
          <w:tcPr>
            <w:tcW w:w="622" w:type="pct"/>
            <w:shd w:val="clear" w:color="auto" w:fill="E5F1FF"/>
            <w:vAlign w:val="center"/>
            <w:hideMark/>
          </w:tcPr>
          <w:p w14:paraId="73D31CD0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 xml:space="preserve">Proplaceno </w:t>
            </w:r>
            <w:r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EU</w:t>
            </w:r>
          </w:p>
        </w:tc>
      </w:tr>
      <w:tr w:rsidR="00FF1BC7" w14:paraId="0212487D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38EAED31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CZ.05.3.29/0.0/0.0/15_024/0001154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79A307E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Město Polná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1431462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05_15_024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571DFCC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41 646 352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CA37A09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35 399 399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68D9ED0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35 399 399</w:t>
            </w:r>
          </w:p>
        </w:tc>
      </w:tr>
      <w:tr w:rsidR="00FF1BC7" w14:paraId="3ABD962D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12739C5C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CZ.05.3.29/0.0/0.0/15_024/0001166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8422AB2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Obec Sivice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D6CE521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05_15_024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59EDD34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3 877 018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A991943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3 285 594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E6B0578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3 285 594</w:t>
            </w:r>
          </w:p>
        </w:tc>
      </w:tr>
      <w:tr w:rsidR="00FF1BC7" w14:paraId="10118133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1636FE10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CZ.05.3.29/0.0/0.0/15_024/0001249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6BD6AC0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Obec Šakvice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BB537C5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05_15_024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229493F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17 147 527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4EBD711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14 541 596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16A69792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14 541 596</w:t>
            </w:r>
          </w:p>
        </w:tc>
      </w:tr>
      <w:tr w:rsidR="00FF1BC7" w14:paraId="254138D4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0A964E1C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CZ.05.3.29/0.0/0.0/16_041/0003060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33F2DB6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Město Kolín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9C97907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05_16_041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135008B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8 233 127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962D021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6 998 158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ED750BC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6 985 816</w:t>
            </w:r>
          </w:p>
        </w:tc>
      </w:tr>
      <w:tr w:rsidR="00FF1BC7" w14:paraId="621F0AFB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522DF2A8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CZ.05.3.29/0.0/0.0/17_069/0007596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7C30879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Město Luže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028E3F3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05_17_069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BBD9A85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8 143 983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3DDD7D4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6 608 908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0ADAEFE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6 608 908</w:t>
            </w:r>
          </w:p>
        </w:tc>
      </w:tr>
      <w:tr w:rsidR="00FF1BC7" w14:paraId="05A2468C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5BF52EAD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CZ.05.3.29/0.0/0.0/15_005/0000745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0C8779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 xml:space="preserve">Tomáš </w:t>
            </w:r>
            <w:proofErr w:type="spellStart"/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Chrbolka</w:t>
            </w:r>
            <w:proofErr w:type="spellEnd"/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3B62AFD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05_15_005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E9BF351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8 457 900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FD2483C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5 159 500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412A0F85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5 159 500</w:t>
            </w:r>
          </w:p>
        </w:tc>
      </w:tr>
      <w:tr w:rsidR="00FF1BC7" w14:paraId="6DCF0BFF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3D792B8C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CZ.05.3.29/0.0/0.0/16_041/0003347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C8866A9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METAL TRADE COMAX, a.s.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7D74234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05_16_041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8139271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36 591 029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1E5D2D1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7 560 130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38D566A1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7 560 130</w:t>
            </w:r>
          </w:p>
        </w:tc>
      </w:tr>
      <w:tr w:rsidR="00FF1BC7" w14:paraId="03E42484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3B0C29DA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CZ.05.3.29/0.0/0.0/17_068/0005448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CAE5F8B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MIKROREGION ÚDOLÍ LIDICKÉHO POTOKA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8943F0C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05_17_068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A438A3F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6 317 621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C1B7963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5 321 029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750CB762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5 321 028</w:t>
            </w:r>
          </w:p>
        </w:tc>
      </w:tr>
      <w:tr w:rsidR="00FF1BC7" w14:paraId="53CD5BEC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62597D72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CZ.05.3.29/0.0/0.0/16_040/0003318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E2E5FAC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SVAZEK OBCÍ NOVOBORSKA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4191A7B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05_16_040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219C817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8 752 777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321DC0F2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7 439 860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3A7FCC4C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7 439 860</w:t>
            </w:r>
          </w:p>
        </w:tc>
      </w:tr>
      <w:tr w:rsidR="00FF1BC7" w14:paraId="5B7B0565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084C3E2F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CZ.05.3.29/0.0/0.0/16_040/0003082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FFA558E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Svazek obcí Peklo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1B12989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05_16_040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4935DD6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3 711 199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483B855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3 154 519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1C434356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3 154 519</w:t>
            </w:r>
          </w:p>
        </w:tc>
      </w:tr>
      <w:tr w:rsidR="00FF1BC7" w14:paraId="45BAE946" w14:textId="77777777" w:rsidTr="006D14CA">
        <w:trPr>
          <w:trHeight w:val="340"/>
        </w:trPr>
        <w:tc>
          <w:tcPr>
            <w:tcW w:w="1405" w:type="pct"/>
            <w:shd w:val="clear" w:color="auto" w:fill="auto"/>
            <w:vAlign w:val="center"/>
            <w:hideMark/>
          </w:tcPr>
          <w:p w14:paraId="198AD4A7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CZ.05.3.29/0.0/0.0/16_040/0003765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0CBFCA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goodooga</w:t>
            </w:r>
            <w:proofErr w:type="spellEnd"/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A26A045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05_16_040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6DF4285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1 224 520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E07BEC8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860 200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0A2EF007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color w:val="000000"/>
                <w:sz w:val="16"/>
                <w:szCs w:val="16"/>
              </w:rPr>
              <w:t>860 200</w:t>
            </w:r>
          </w:p>
        </w:tc>
      </w:tr>
      <w:tr w:rsidR="00FF1BC7" w14:paraId="28225B8F" w14:textId="77777777" w:rsidTr="00E91623">
        <w:trPr>
          <w:trHeight w:val="300"/>
        </w:trPr>
        <w:tc>
          <w:tcPr>
            <w:tcW w:w="3126" w:type="pct"/>
            <w:gridSpan w:val="3"/>
            <w:shd w:val="clear" w:color="auto" w:fill="E5F1FF"/>
            <w:noWrap/>
            <w:vAlign w:val="center"/>
            <w:hideMark/>
          </w:tcPr>
          <w:p w14:paraId="2E940D21" w14:textId="77777777" w:rsidR="00AF61D1" w:rsidRPr="00AB13B6" w:rsidRDefault="000A5F6C" w:rsidP="001B5C1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683" w:type="pct"/>
            <w:shd w:val="clear" w:color="auto" w:fill="E5F1FF"/>
            <w:vAlign w:val="center"/>
            <w:hideMark/>
          </w:tcPr>
          <w:p w14:paraId="00C877A5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144 103 052</w:t>
            </w:r>
          </w:p>
        </w:tc>
        <w:tc>
          <w:tcPr>
            <w:tcW w:w="569" w:type="pct"/>
            <w:shd w:val="clear" w:color="auto" w:fill="E5F1FF"/>
            <w:vAlign w:val="center"/>
            <w:hideMark/>
          </w:tcPr>
          <w:p w14:paraId="25A2A173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96 328 893</w:t>
            </w:r>
          </w:p>
        </w:tc>
        <w:tc>
          <w:tcPr>
            <w:tcW w:w="622" w:type="pct"/>
            <w:shd w:val="clear" w:color="auto" w:fill="E5F1FF"/>
            <w:vAlign w:val="center"/>
            <w:hideMark/>
          </w:tcPr>
          <w:p w14:paraId="6B188E92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96 316 550</w:t>
            </w:r>
          </w:p>
        </w:tc>
      </w:tr>
      <w:tr w:rsidR="00FF1BC7" w14:paraId="4D8E8BE3" w14:textId="77777777" w:rsidTr="00BE50D1">
        <w:trPr>
          <w:trHeight w:val="300"/>
        </w:trPr>
        <w:tc>
          <w:tcPr>
            <w:tcW w:w="5000" w:type="pct"/>
            <w:gridSpan w:val="6"/>
            <w:shd w:val="clear" w:color="auto" w:fill="E7E6E6" w:themeFill="background2"/>
            <w:noWrap/>
            <w:vAlign w:val="center"/>
            <w:hideMark/>
          </w:tcPr>
          <w:p w14:paraId="491F3705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Kontrolovaný vzorek projektů NPŽP</w:t>
            </w:r>
          </w:p>
        </w:tc>
      </w:tr>
      <w:tr w:rsidR="00FF1BC7" w14:paraId="7AFA607B" w14:textId="77777777" w:rsidTr="00E91623">
        <w:trPr>
          <w:trHeight w:val="315"/>
        </w:trPr>
        <w:tc>
          <w:tcPr>
            <w:tcW w:w="1405" w:type="pct"/>
            <w:shd w:val="clear" w:color="auto" w:fill="E5F1FF"/>
            <w:noWrap/>
            <w:vAlign w:val="center"/>
            <w:hideMark/>
          </w:tcPr>
          <w:p w14:paraId="709971D5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Číslo projektu</w:t>
            </w:r>
          </w:p>
        </w:tc>
        <w:tc>
          <w:tcPr>
            <w:tcW w:w="1252" w:type="pct"/>
            <w:shd w:val="clear" w:color="auto" w:fill="E5F1FF"/>
            <w:vAlign w:val="center"/>
            <w:hideMark/>
          </w:tcPr>
          <w:p w14:paraId="49B0E792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Příjemce </w:t>
            </w:r>
            <w:r w:rsidR="006D14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dotace</w:t>
            </w:r>
          </w:p>
        </w:tc>
        <w:tc>
          <w:tcPr>
            <w:tcW w:w="470" w:type="pct"/>
            <w:shd w:val="clear" w:color="auto" w:fill="E5F1FF"/>
            <w:vAlign w:val="center"/>
            <w:hideMark/>
          </w:tcPr>
          <w:p w14:paraId="22B0BB29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theme="minorHAnsi"/>
                <w:b/>
                <w:bCs/>
                <w:color w:val="000000"/>
                <w:sz w:val="16"/>
                <w:szCs w:val="16"/>
              </w:rPr>
              <w:t>Číslo výzvy</w:t>
            </w:r>
          </w:p>
        </w:tc>
        <w:tc>
          <w:tcPr>
            <w:tcW w:w="1874" w:type="pct"/>
            <w:gridSpan w:val="3"/>
            <w:shd w:val="clear" w:color="auto" w:fill="E5F1FF"/>
            <w:noWrap/>
            <w:vAlign w:val="center"/>
            <w:hideMark/>
          </w:tcPr>
          <w:p w14:paraId="7108D5AE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Proplaceno z prostředků SFŽP</w:t>
            </w:r>
          </w:p>
        </w:tc>
      </w:tr>
      <w:tr w:rsidR="00FF1BC7" w14:paraId="6CB59F7C" w14:textId="77777777" w:rsidTr="006D14CA">
        <w:trPr>
          <w:trHeight w:val="2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72543AA7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10461842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45B0F22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Marius </w:t>
            </w:r>
            <w:proofErr w:type="spellStart"/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Pedersen</w:t>
            </w:r>
            <w:proofErr w:type="spellEnd"/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a.s.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4604592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05/2016</w:t>
            </w:r>
          </w:p>
        </w:tc>
        <w:tc>
          <w:tcPr>
            <w:tcW w:w="1874" w:type="pct"/>
            <w:gridSpan w:val="3"/>
            <w:shd w:val="clear" w:color="auto" w:fill="auto"/>
            <w:noWrap/>
            <w:vAlign w:val="center"/>
            <w:hideMark/>
          </w:tcPr>
          <w:p w14:paraId="0C59D10D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119 250</w:t>
            </w:r>
          </w:p>
        </w:tc>
      </w:tr>
      <w:tr w:rsidR="00FF1BC7" w14:paraId="41542C48" w14:textId="77777777" w:rsidTr="006D14CA">
        <w:trPr>
          <w:trHeight w:val="2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0EB447FE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2341942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3A9D23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GERA, export import, spol. s r.o.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4AB1498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22/2017</w:t>
            </w:r>
          </w:p>
        </w:tc>
        <w:tc>
          <w:tcPr>
            <w:tcW w:w="1874" w:type="pct"/>
            <w:gridSpan w:val="3"/>
            <w:shd w:val="clear" w:color="auto" w:fill="auto"/>
            <w:noWrap/>
            <w:vAlign w:val="center"/>
            <w:hideMark/>
          </w:tcPr>
          <w:p w14:paraId="5241CCA1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4C3">
              <w:rPr>
                <w:rFonts w:ascii="Calibri" w:hAnsi="Calibri" w:cs="Calibri"/>
                <w:color w:val="000000"/>
                <w:sz w:val="16"/>
                <w:szCs w:val="16"/>
              </w:rPr>
              <w:t>233 100</w:t>
            </w:r>
          </w:p>
        </w:tc>
      </w:tr>
      <w:tr w:rsidR="00FF1BC7" w14:paraId="76BCE45B" w14:textId="77777777" w:rsidTr="006D14CA">
        <w:trPr>
          <w:trHeight w:val="2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5533A04B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2431942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8994ACB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Autocentrum Vojkov s.r.o.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BD716A6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22/2017</w:t>
            </w:r>
          </w:p>
        </w:tc>
        <w:tc>
          <w:tcPr>
            <w:tcW w:w="1874" w:type="pct"/>
            <w:gridSpan w:val="3"/>
            <w:shd w:val="clear" w:color="auto" w:fill="auto"/>
            <w:noWrap/>
            <w:vAlign w:val="center"/>
            <w:hideMark/>
          </w:tcPr>
          <w:p w14:paraId="358CD465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4C3">
              <w:rPr>
                <w:rFonts w:ascii="Calibri" w:hAnsi="Calibri" w:cs="Calibri"/>
                <w:color w:val="000000"/>
                <w:sz w:val="16"/>
                <w:szCs w:val="16"/>
              </w:rPr>
              <w:t>376 900</w:t>
            </w:r>
          </w:p>
        </w:tc>
      </w:tr>
      <w:tr w:rsidR="00FF1BC7" w14:paraId="2B8FAE7F" w14:textId="77777777" w:rsidTr="006D14CA">
        <w:trPr>
          <w:trHeight w:val="2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479163B4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1931942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AAD8EB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AUTOVRAKOVIŠTĚ HEJTMÁNKA s.r.o.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85071C2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22/2017</w:t>
            </w:r>
          </w:p>
        </w:tc>
        <w:tc>
          <w:tcPr>
            <w:tcW w:w="1874" w:type="pct"/>
            <w:gridSpan w:val="3"/>
            <w:shd w:val="clear" w:color="auto" w:fill="auto"/>
            <w:noWrap/>
            <w:vAlign w:val="center"/>
            <w:hideMark/>
          </w:tcPr>
          <w:p w14:paraId="5128F6C4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4C3">
              <w:rPr>
                <w:rFonts w:ascii="Calibri" w:hAnsi="Calibri" w:cs="Calibri"/>
                <w:color w:val="000000"/>
                <w:sz w:val="16"/>
                <w:szCs w:val="16"/>
              </w:rPr>
              <w:t>406 500</w:t>
            </w:r>
          </w:p>
        </w:tc>
      </w:tr>
      <w:tr w:rsidR="00FF1BC7" w14:paraId="1DB8ABE8" w14:textId="77777777" w:rsidTr="006D14CA">
        <w:trPr>
          <w:trHeight w:val="20"/>
        </w:trPr>
        <w:tc>
          <w:tcPr>
            <w:tcW w:w="1405" w:type="pct"/>
            <w:shd w:val="clear" w:color="auto" w:fill="auto"/>
            <w:noWrap/>
            <w:vAlign w:val="center"/>
            <w:hideMark/>
          </w:tcPr>
          <w:p w14:paraId="42260A30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2411942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861BB4A" w14:textId="77777777" w:rsidR="00AF61D1" w:rsidRPr="00AB13B6" w:rsidRDefault="000A5F6C" w:rsidP="001B5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MILATA s.r.o.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85AD647" w14:textId="77777777" w:rsidR="00AF61D1" w:rsidRPr="00AB13B6" w:rsidRDefault="000A5F6C" w:rsidP="001B5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22/2017</w:t>
            </w:r>
          </w:p>
        </w:tc>
        <w:tc>
          <w:tcPr>
            <w:tcW w:w="1874" w:type="pct"/>
            <w:gridSpan w:val="3"/>
            <w:shd w:val="clear" w:color="auto" w:fill="auto"/>
            <w:noWrap/>
            <w:vAlign w:val="center"/>
            <w:hideMark/>
          </w:tcPr>
          <w:p w14:paraId="7FDB5E2C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color w:val="000000"/>
                <w:sz w:val="16"/>
                <w:szCs w:val="16"/>
              </w:rPr>
              <w:t>2 234 750</w:t>
            </w:r>
          </w:p>
        </w:tc>
      </w:tr>
      <w:tr w:rsidR="00FF1BC7" w14:paraId="0A786AF5" w14:textId="77777777" w:rsidTr="00E91623">
        <w:trPr>
          <w:trHeight w:val="300"/>
        </w:trPr>
        <w:tc>
          <w:tcPr>
            <w:tcW w:w="3126" w:type="pct"/>
            <w:gridSpan w:val="3"/>
            <w:shd w:val="clear" w:color="auto" w:fill="E5F1FF"/>
            <w:noWrap/>
            <w:vAlign w:val="center"/>
            <w:hideMark/>
          </w:tcPr>
          <w:p w14:paraId="50A7A8BD" w14:textId="77777777" w:rsidR="00AF61D1" w:rsidRPr="00AB13B6" w:rsidRDefault="000A5F6C" w:rsidP="001B5C1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874" w:type="pct"/>
            <w:gridSpan w:val="3"/>
            <w:shd w:val="clear" w:color="auto" w:fill="E5F1FF"/>
            <w:noWrap/>
            <w:vAlign w:val="center"/>
            <w:hideMark/>
          </w:tcPr>
          <w:p w14:paraId="4B01431C" w14:textId="77777777" w:rsidR="00AF61D1" w:rsidRPr="00AB13B6" w:rsidRDefault="000A5F6C" w:rsidP="001B5C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3B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3 370 500</w:t>
            </w:r>
          </w:p>
        </w:tc>
      </w:tr>
    </w:tbl>
    <w:p w14:paraId="48ABEE0E" w14:textId="77777777" w:rsidR="00AF61D1" w:rsidRDefault="000A5F6C" w:rsidP="00AF61D1">
      <w:pPr>
        <w:pStyle w:val="Zdrojapozn"/>
      </w:pPr>
      <w:r w:rsidRPr="00BB49AB">
        <w:rPr>
          <w:b/>
        </w:rPr>
        <w:t>Zdroj:</w:t>
      </w:r>
      <w:r>
        <w:t xml:space="preserve"> </w:t>
      </w:r>
      <w:r w:rsidRPr="00184E50">
        <w:t>MS2014+, SFŽP.</w:t>
      </w:r>
      <w:r>
        <w:br w:type="page"/>
      </w:r>
    </w:p>
    <w:p w14:paraId="06D859A5" w14:textId="10FC8735" w:rsidR="00F4556C" w:rsidRPr="00303804" w:rsidRDefault="000A5F6C" w:rsidP="0046728D">
      <w:pPr>
        <w:pStyle w:val="Titulek"/>
        <w:tabs>
          <w:tab w:val="right" w:pos="9072"/>
        </w:tabs>
        <w:ind w:left="1247" w:hanging="1247"/>
        <w:jc w:val="left"/>
        <w:outlineLvl w:val="0"/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F27D96">
        <w:rPr>
          <w:b/>
          <w:noProof/>
        </w:rPr>
        <w:t>3</w:t>
      </w:r>
      <w:r w:rsidRPr="00303804">
        <w:rPr>
          <w:b/>
        </w:rPr>
        <w:fldChar w:fldCharType="end"/>
      </w:r>
      <w:r>
        <w:rPr>
          <w:b/>
        </w:rPr>
        <w:t xml:space="preserve">: </w:t>
      </w:r>
      <w:r w:rsidR="00410B10">
        <w:rPr>
          <w:b/>
        </w:rPr>
        <w:tab/>
      </w:r>
      <w:r w:rsidRPr="00303804">
        <w:rPr>
          <w:lang w:eastAsia="cs-CZ"/>
        </w:rPr>
        <w:t>Přehled čerpání kontrolovaných aktivit OPŽP dle typových projektů</w:t>
      </w:r>
      <w:r w:rsidR="00410B10">
        <w:rPr>
          <w:lang w:eastAsia="cs-CZ"/>
        </w:rPr>
        <w:t xml:space="preserve"> </w:t>
      </w:r>
      <w:r w:rsidR="00410B10">
        <w:rPr>
          <w:lang w:eastAsia="cs-CZ"/>
        </w:rPr>
        <w:br/>
      </w:r>
      <w:r>
        <w:rPr>
          <w:lang w:eastAsia="cs-CZ"/>
        </w:rPr>
        <w:t>ke dni 31.</w:t>
      </w:r>
      <w:r w:rsidR="00410B10">
        <w:rPr>
          <w:lang w:eastAsia="cs-CZ"/>
        </w:rPr>
        <w:t> </w:t>
      </w:r>
      <w:r>
        <w:rPr>
          <w:lang w:eastAsia="cs-CZ"/>
        </w:rPr>
        <w:t>12. 2020</w:t>
      </w:r>
      <w:r>
        <w:rPr>
          <w:lang w:eastAsia="cs-CZ"/>
        </w:rPr>
        <w:tab/>
        <w:t>(</w:t>
      </w:r>
      <w:r w:rsidR="00AE61EC">
        <w:rPr>
          <w:lang w:eastAsia="cs-CZ"/>
        </w:rPr>
        <w:t xml:space="preserve">v </w:t>
      </w:r>
      <w:r>
        <w:rPr>
          <w:lang w:eastAsia="cs-CZ"/>
        </w:rPr>
        <w:t>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373"/>
        <w:gridCol w:w="2428"/>
        <w:gridCol w:w="709"/>
        <w:gridCol w:w="1263"/>
        <w:gridCol w:w="791"/>
        <w:gridCol w:w="1263"/>
        <w:gridCol w:w="892"/>
      </w:tblGrid>
      <w:tr w:rsidR="0046728D" w14:paraId="3F09FA17" w14:textId="77777777" w:rsidTr="00AF4140">
        <w:trPr>
          <w:trHeight w:val="12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4F3B827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15" w:name="_Hlk100867092"/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SC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4EC8644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Aktivita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0E786DE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typového projektu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D2DB3E9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projektů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D5BD380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Příspěvek EU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6CDC358" w14:textId="3442D3FB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celkovém příspěvku EU </w:t>
            </w:r>
            <w:r w:rsidR="00410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(v </w:t>
            </w: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  <w:r w:rsidR="00410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ECBEBE6" w14:textId="12DB0283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Proplaceno </w:t>
            </w:r>
            <w:r w:rsidR="00410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 </w:t>
            </w: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příspěvku EU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025A3CF" w14:textId="463D12FD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Proplaceno </w:t>
            </w:r>
            <w:r w:rsidR="00410B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 </w:t>
            </w: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46728D" w14:paraId="338FCB78" w14:textId="77777777" w:rsidTr="00AF4140">
        <w:trPr>
          <w:trHeight w:val="60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1F8B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01E5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3.1.1 – Předcházení vzniku komunálních odpadů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8555" w14:textId="300E4C6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Ostatní projekty vyjma re-use center a </w:t>
            </w:r>
            <w:proofErr w:type="spellStart"/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door</w:t>
            </w:r>
            <w:proofErr w:type="spellEnd"/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to </w:t>
            </w:r>
            <w:proofErr w:type="spellStart"/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door</w:t>
            </w:r>
            <w:proofErr w:type="spellEnd"/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systémů (komunální o</w:t>
            </w:r>
            <w:r w:rsidR="009433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dpad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13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829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5F18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1 412 032 763,12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C7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15,86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4BF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842 906 425,34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5BC7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59,69</w:t>
            </w:r>
          </w:p>
        </w:tc>
      </w:tr>
      <w:tr w:rsidR="0046728D" w14:paraId="318B03EB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CD5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C0BC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F78" w14:textId="0B861923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</w:t>
            </w:r>
            <w:r w:rsidR="009433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</w:t>
            </w:r>
            <w:r w:rsidR="009433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use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centra a </w:t>
            </w:r>
            <w:proofErr w:type="spellStart"/>
            <w:r w:rsidR="009433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oor</w:t>
            </w:r>
            <w:proofErr w:type="spellEnd"/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to </w:t>
            </w:r>
            <w:proofErr w:type="spellStart"/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door</w:t>
            </w:r>
            <w:proofErr w:type="spellEnd"/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systémy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29E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51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147 595 925,81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903D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1,66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66E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44 089 445,41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D4BD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29,87</w:t>
            </w:r>
          </w:p>
        </w:tc>
      </w:tr>
      <w:tr w:rsidR="0046728D" w14:paraId="24D11483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1D1F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046D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C574" w14:textId="15DDCC75" w:rsidR="00F4556C" w:rsidRPr="00CB7C60" w:rsidRDefault="0046728D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Předcházení jednorázového n</w:t>
            </w:r>
            <w:r w:rsidR="000A5F6C"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ádobí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D6A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5A2D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52 403 740,25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28E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9E88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951C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46728D" w14:paraId="66AA340F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80E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7497D8FB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Celkem 3.1.1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06C025C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917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AA3298F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1 612 032 429,18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07E3E3F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18,10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626E06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886 995 870,75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C7B0637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55,02</w:t>
            </w:r>
          </w:p>
        </w:tc>
      </w:tr>
      <w:tr w:rsidR="0046728D" w14:paraId="55C0CF8B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199D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60AB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3.1.2 – Předcházení vzniku průmyslových odpadů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8A6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Předcházení vzniku průmyslových odpadů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6AB1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DF98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21 235 051,65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952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9ED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1F6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46728D" w14:paraId="094AC063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D83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13CCD883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Celkem 3.1.2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49ADEF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468D7F1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21 235 051,65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530F817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2AA656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E00A1C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46728D" w14:paraId="10876998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43D3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50DAF6C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 SC 3.1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90F9DCC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926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725739A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1 633 267 480,83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62D0A24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18,34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8EE54A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886 995 870,75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6A31B8B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54,31</w:t>
            </w:r>
          </w:p>
        </w:tc>
      </w:tr>
      <w:tr w:rsidR="0046728D" w14:paraId="72F7B1EA" w14:textId="77777777" w:rsidTr="00AF4140">
        <w:trPr>
          <w:trHeight w:val="30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B965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3.2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4FB" w14:textId="327F120E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3.2.1 – Výstavba a</w:t>
            </w:r>
            <w:r w:rsidR="00573E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modernizace zařízení pro sběr, třídění a úpravu odpadů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A21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Oddělený sběr odpadů bez aut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FA1" w14:textId="442EC7B4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  <w:r w:rsidR="00573E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DC9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1 780 646 858,00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29B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B5AF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1 186 508 300,38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C581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66,63</w:t>
            </w:r>
          </w:p>
        </w:tc>
      </w:tr>
      <w:tr w:rsidR="0046728D" w14:paraId="52CA31F0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45DC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D978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B48D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Sběrné dvory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48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353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284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1 475 903 497,51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932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16,57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AF2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851 778 399,30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8A2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57,71</w:t>
            </w:r>
          </w:p>
        </w:tc>
      </w:tr>
      <w:tr w:rsidR="0046728D" w14:paraId="1E7E6158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9A22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CAF1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490E" w14:textId="0C51597F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Dotřiďování/třídění/úprava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F3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43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634 460 572,44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E5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1EE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135 087 323,44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2CF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21,29</w:t>
            </w:r>
          </w:p>
        </w:tc>
      </w:tr>
      <w:tr w:rsidR="0046728D" w14:paraId="1E612E70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1D5F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AC63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3AF1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Oddělený sběr odpadů s autem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F56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587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56 157 996,19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4F9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E46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41 867 166,43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95E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74,55</w:t>
            </w:r>
          </w:p>
        </w:tc>
      </w:tr>
      <w:tr w:rsidR="0046728D" w14:paraId="70D9830D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3AA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40ADC458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Celkem 3.2.1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55237A9" w14:textId="53E9742B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</w:t>
            </w:r>
            <w:r w:rsidR="00573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559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E2E4A7A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3 947 168 924,14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0EBFC5D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44,33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83D780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2 215 241 189,55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932119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56,12</w:t>
            </w:r>
          </w:p>
        </w:tc>
      </w:tr>
      <w:tr w:rsidR="0046728D" w14:paraId="6C52FF09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8893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D2D" w14:textId="4DA7E135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3.2.2 – Výstavba a</w:t>
            </w:r>
            <w:r w:rsidR="00573E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modernizace zařízení pro materiálové využití odpadů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ECB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Materiálové využívání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DB7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6FC0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897 605 293,64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D477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10,08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08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156 124 807,38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386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17,39</w:t>
            </w:r>
          </w:p>
        </w:tc>
      </w:tr>
      <w:tr w:rsidR="0046728D" w14:paraId="5540AD90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AA4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5E7C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AC5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Kompostárny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8B9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2DE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585 324 005,93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30A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9E3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582 135 987,94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36CA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99,46</w:t>
            </w:r>
          </w:p>
        </w:tc>
      </w:tr>
      <w:tr w:rsidR="0046728D" w14:paraId="65A9AB6A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4069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5466C07A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Celkem 3.2.2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4F2FB57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304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8A0E51C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1 482 929 299,57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F825F5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16,65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78FF29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738 260 795,32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85AFD0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49,78</w:t>
            </w:r>
          </w:p>
        </w:tc>
      </w:tr>
      <w:tr w:rsidR="0046728D" w14:paraId="2DC16355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F25A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2F4C" w14:textId="5F284F5C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3.2.3 – Výstavba a</w:t>
            </w:r>
            <w:r w:rsidR="00573E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modernizace zařízení na energetické využití odpadů a</w:t>
            </w:r>
            <w:r w:rsidR="001F0A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související infrastruktury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72F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Bioplynové stanice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3A9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77A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827 721 164,51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9EAE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9,30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335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39 311 370,53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021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4,75</w:t>
            </w:r>
          </w:p>
        </w:tc>
      </w:tr>
      <w:tr w:rsidR="0046728D" w14:paraId="6FCF29ED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D3B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39F8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AA8C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Energetické využívání odpadů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935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C88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589 819 324,81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695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6,62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EBF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34 651 000,00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03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5,87</w:t>
            </w:r>
          </w:p>
        </w:tc>
      </w:tr>
      <w:tr w:rsidR="0046728D" w14:paraId="7A09EBEA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68C6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0128618E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Celkem 3.2.3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5332E2D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77F208F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1 417 540 489,32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310D35F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15,92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789874F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73 962 370,53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218BCA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5,22</w:t>
            </w:r>
          </w:p>
        </w:tc>
      </w:tr>
      <w:tr w:rsidR="0046728D" w14:paraId="4E7EBE59" w14:textId="77777777" w:rsidTr="00AF4140">
        <w:trPr>
          <w:trHeight w:val="9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7860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EB32" w14:textId="26F4D54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3.2.4 – Výstavba a</w:t>
            </w:r>
            <w:r w:rsidR="009433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modernizace zařízení pro nakládání s</w:t>
            </w:r>
            <w:r w:rsidR="009433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nebezpečnými odpady včetně zdravotnických odpadů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B5A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Nakládání s nebezpečnými odpady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C2C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5801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139 766 078,46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BCD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AE5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42 305 857,15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AC7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30,27</w:t>
            </w:r>
          </w:p>
        </w:tc>
      </w:tr>
      <w:tr w:rsidR="0046728D" w14:paraId="39E013E9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3EDC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4DCD78A7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Celkem 3.2.4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E9A8CE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A1BC1B8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139 766 078,46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5E3A734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1,57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9925D4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42 305 857,15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F11D33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30,27</w:t>
            </w:r>
          </w:p>
        </w:tc>
      </w:tr>
      <w:tr w:rsidR="0046728D" w14:paraId="26AA6DA6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96F4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B73E928" w14:textId="19A6CAEE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</w:t>
            </w:r>
            <w:r w:rsidR="00943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E</w:t>
            </w: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M SC 3.2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48C46731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1 925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1B79D77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6 987 404 791,49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6C20AFD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78,47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D062A70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3 069 770 212,55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096DD09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43,93</w:t>
            </w:r>
          </w:p>
        </w:tc>
      </w:tr>
      <w:tr w:rsidR="0046728D" w14:paraId="69D8B6CB" w14:textId="77777777" w:rsidTr="00AF4140">
        <w:trPr>
          <w:trHeight w:val="600"/>
        </w:trPr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D48CD" w14:textId="77777777" w:rsidR="00F4556C" w:rsidRPr="00CB7C60" w:rsidRDefault="000A5F6C" w:rsidP="00AF414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D5F7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3.3.1 – Rekultivace starých skládek (technicky nedostatečně zabezpečených)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1103" w14:textId="77777777" w:rsidR="00F4556C" w:rsidRPr="00CB7C60" w:rsidRDefault="000A5F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Skládky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875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F9FC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284 195 873,06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093E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3,19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816B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197 017 739,31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9CF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69,32</w:t>
            </w:r>
          </w:p>
        </w:tc>
      </w:tr>
      <w:tr w:rsidR="0046728D" w14:paraId="58E663F4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8381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4E66CC12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Celkem 3.3.1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8AFB11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6728D3E8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284 195 873,06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456595A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3,19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FAEA505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197 017 739,31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9FD63B2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69,32</w:t>
            </w:r>
          </w:p>
        </w:tc>
      </w:tr>
      <w:tr w:rsidR="0046728D" w14:paraId="1DFF717F" w14:textId="77777777" w:rsidTr="00AF4140">
        <w:trPr>
          <w:trHeight w:val="300"/>
        </w:trPr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5BA3" w14:textId="77777777" w:rsidR="00F4556C" w:rsidRPr="00CB7C60" w:rsidRDefault="00F4556C" w:rsidP="00AF414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1E94772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 SC 3.3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D66A1FA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560CB30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284 195 873,06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0D5FC25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3,19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DAF252D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197 017 739,31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331F136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69,32</w:t>
            </w:r>
          </w:p>
        </w:tc>
      </w:tr>
      <w:tr w:rsidR="0046728D" w14:paraId="694644AD" w14:textId="77777777" w:rsidTr="00AF4140">
        <w:trPr>
          <w:trHeight w:val="300"/>
        </w:trPr>
        <w:tc>
          <w:tcPr>
            <w:tcW w:w="2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6BB1D68C" w14:textId="77777777" w:rsidR="00F4556C" w:rsidRPr="00CB7C60" w:rsidRDefault="000A5F6C" w:rsidP="00AF414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 SC 3.1, 3.2 a 3.3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080A8A8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2 868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02D2E8D0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8 904 868 145,38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03A1461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F2CBC81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4 153 783 822,61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248ADF3" w14:textId="77777777" w:rsidR="00F4556C" w:rsidRPr="00CB7C60" w:rsidRDefault="000A5F6C" w:rsidP="00AF414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B7C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46,65</w:t>
            </w:r>
          </w:p>
        </w:tc>
      </w:tr>
    </w:tbl>
    <w:bookmarkEnd w:id="15"/>
    <w:p w14:paraId="47C5955C" w14:textId="77777777" w:rsidR="00F4556C" w:rsidRDefault="000A5F6C" w:rsidP="00F4556C">
      <w:pPr>
        <w:pStyle w:val="Zdrojapozn"/>
      </w:pPr>
      <w:r w:rsidRPr="00BB49AB">
        <w:rPr>
          <w:b/>
        </w:rPr>
        <w:t>Zdroj:</w:t>
      </w:r>
      <w:r>
        <w:t xml:space="preserve"> MŽP</w:t>
      </w:r>
      <w:r w:rsidR="00193DE6">
        <w:t>.</w:t>
      </w:r>
      <w:r>
        <w:br w:type="page"/>
      </w:r>
    </w:p>
    <w:p w14:paraId="01FFD593" w14:textId="6B3CB21A" w:rsidR="004B635D" w:rsidRDefault="000A5F6C" w:rsidP="004B635D">
      <w:pPr>
        <w:pStyle w:val="Titulek"/>
        <w:outlineLvl w:val="0"/>
      </w:pPr>
      <w:r w:rsidRPr="004B635D">
        <w:rPr>
          <w:b/>
        </w:rPr>
        <w:lastRenderedPageBreak/>
        <w:t xml:space="preserve">Příloha č. </w:t>
      </w:r>
      <w:r w:rsidRPr="004B635D">
        <w:rPr>
          <w:b/>
        </w:rPr>
        <w:fldChar w:fldCharType="begin"/>
      </w:r>
      <w:r w:rsidRPr="004B635D">
        <w:rPr>
          <w:b/>
        </w:rPr>
        <w:instrText xml:space="preserve"> SEQ Příloha_č. \* ARABIC </w:instrText>
      </w:r>
      <w:r w:rsidRPr="004B635D">
        <w:rPr>
          <w:b/>
        </w:rPr>
        <w:fldChar w:fldCharType="separate"/>
      </w:r>
      <w:r w:rsidR="00F27D96">
        <w:rPr>
          <w:b/>
          <w:noProof/>
        </w:rPr>
        <w:t>4</w:t>
      </w:r>
      <w:r w:rsidRPr="004B635D">
        <w:rPr>
          <w:b/>
        </w:rPr>
        <w:fldChar w:fldCharType="end"/>
      </w:r>
      <w:r w:rsidRPr="004B635D">
        <w:rPr>
          <w:b/>
        </w:rPr>
        <w:t>:</w:t>
      </w:r>
      <w:r>
        <w:t xml:space="preserve"> </w:t>
      </w:r>
      <w:r w:rsidRPr="00BA2B98">
        <w:t>Přehled volných kapacit skládek</w:t>
      </w:r>
      <w:r>
        <w:t xml:space="preserve"> v roce 2016 a 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7"/>
        <w:gridCol w:w="1666"/>
        <w:gridCol w:w="1666"/>
        <w:gridCol w:w="1666"/>
        <w:gridCol w:w="1667"/>
      </w:tblGrid>
      <w:tr w:rsidR="00FF1BC7" w14:paraId="1A8F4D16" w14:textId="77777777" w:rsidTr="00F43890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EB11223" w14:textId="77777777" w:rsidR="004B635D" w:rsidRPr="004B635D" w:rsidRDefault="000A5F6C" w:rsidP="004B63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skládky</w:t>
            </w:r>
          </w:p>
        </w:tc>
        <w:tc>
          <w:tcPr>
            <w:tcW w:w="1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A11A939" w14:textId="77777777" w:rsidR="004B635D" w:rsidRPr="004B635D" w:rsidRDefault="000A5F6C" w:rsidP="004B63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skládek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295DEC1" w14:textId="1896F413" w:rsidR="004B635D" w:rsidRPr="004B635D" w:rsidRDefault="000A5F6C" w:rsidP="004B63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Volná kapacita </w:t>
            </w:r>
            <w:r w:rsidR="00BA2B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9433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 tunách)</w:t>
            </w:r>
          </w:p>
        </w:tc>
      </w:tr>
      <w:tr w:rsidR="00FF1BC7" w14:paraId="3BE9AA71" w14:textId="77777777" w:rsidTr="00E91623">
        <w:trPr>
          <w:trHeight w:val="340"/>
        </w:trPr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F699" w14:textId="77777777" w:rsidR="004B635D" w:rsidRPr="004B635D" w:rsidRDefault="004B635D" w:rsidP="004B635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8DD087F" w14:textId="77777777" w:rsidR="004B635D" w:rsidRPr="004B635D" w:rsidRDefault="000A5F6C" w:rsidP="004B63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1. 1. 2016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29BE3D4" w14:textId="77777777" w:rsidR="004B635D" w:rsidRPr="004B635D" w:rsidRDefault="000A5F6C" w:rsidP="004B63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31. 12. 2020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18000E0" w14:textId="77777777" w:rsidR="004B635D" w:rsidRPr="004B635D" w:rsidRDefault="000A5F6C" w:rsidP="004B63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1. 1. 2016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6AE6872" w14:textId="77777777" w:rsidR="004B635D" w:rsidRPr="004B635D" w:rsidRDefault="000A5F6C" w:rsidP="004B63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31. 12. 2020</w:t>
            </w:r>
          </w:p>
        </w:tc>
      </w:tr>
      <w:tr w:rsidR="00FF1BC7" w14:paraId="3473632F" w14:textId="77777777" w:rsidTr="00E91623">
        <w:trPr>
          <w:trHeight w:val="34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8067" w14:textId="77777777" w:rsidR="002E75C3" w:rsidRPr="004B635D" w:rsidRDefault="000A5F6C" w:rsidP="002E75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 odpady</w:t>
            </w:r>
            <w:r>
              <w:rPr>
                <w:rStyle w:val="Znakapoznpodarou"/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footnoteReference w:id="47"/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B09B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0531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35AA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36 412 433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A72E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42 754 517</w:t>
            </w:r>
          </w:p>
        </w:tc>
      </w:tr>
      <w:tr w:rsidR="00FF1BC7" w14:paraId="653819E2" w14:textId="77777777" w:rsidTr="00E91623">
        <w:trPr>
          <w:trHeight w:val="34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C2E3" w14:textId="77777777" w:rsidR="002E75C3" w:rsidRPr="004B635D" w:rsidRDefault="000A5F6C" w:rsidP="002E75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Nebezpečné odpady</w:t>
            </w:r>
            <w:r>
              <w:rPr>
                <w:rStyle w:val="Znakapoznpodarou"/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footnoteReference w:id="48"/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5CE0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D21F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372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9 037 788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017E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6 558 222</w:t>
            </w:r>
          </w:p>
        </w:tc>
      </w:tr>
      <w:tr w:rsidR="00FF1BC7" w14:paraId="2285378F" w14:textId="77777777" w:rsidTr="00E91623">
        <w:trPr>
          <w:trHeight w:val="340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EE82" w14:textId="77777777" w:rsidR="002E75C3" w:rsidRPr="004B635D" w:rsidRDefault="000A5F6C" w:rsidP="002E75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Inertní odpady</w:t>
            </w:r>
            <w:r>
              <w:rPr>
                <w:rStyle w:val="Znakapoznpodarou"/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footnoteReference w:id="49"/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D148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B21E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DF38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13 268 459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5BA3" w14:textId="77777777" w:rsidR="002E75C3" w:rsidRPr="004B635D" w:rsidRDefault="000A5F6C" w:rsidP="002E75C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B63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5 247 012</w:t>
            </w:r>
          </w:p>
        </w:tc>
      </w:tr>
    </w:tbl>
    <w:p w14:paraId="6BB13D64" w14:textId="77777777" w:rsidR="002E75C3" w:rsidRDefault="000A5F6C" w:rsidP="00641492">
      <w:pPr>
        <w:pStyle w:val="Zdrojeapozn"/>
      </w:pPr>
      <w:r w:rsidRPr="00641492">
        <w:t>Zdroj:</w:t>
      </w:r>
      <w:r w:rsidRPr="00E91623">
        <w:rPr>
          <w:b w:val="0"/>
        </w:rPr>
        <w:t xml:space="preserve"> ISOH</w:t>
      </w:r>
      <w:r w:rsidR="00193DE6" w:rsidRPr="00E91623">
        <w:rPr>
          <w:b w:val="0"/>
        </w:rPr>
        <w:t>.</w:t>
      </w:r>
    </w:p>
    <w:p w14:paraId="098D1A5F" w14:textId="77777777" w:rsidR="004B635D" w:rsidRDefault="000A5F6C" w:rsidP="00641492">
      <w:pPr>
        <w:pStyle w:val="Zdrojeapozn"/>
      </w:pPr>
      <w:r>
        <w:t xml:space="preserve">Pozn.: </w:t>
      </w:r>
      <w:r w:rsidR="002E6779" w:rsidRPr="00E91623">
        <w:rPr>
          <w:b w:val="0"/>
        </w:rPr>
        <w:t>Provozovatel skládky může m</w:t>
      </w:r>
      <w:r w:rsidRPr="00E91623">
        <w:rPr>
          <w:b w:val="0"/>
        </w:rPr>
        <w:t xml:space="preserve">ít povolení </w:t>
      </w:r>
      <w:r w:rsidR="002E6779" w:rsidRPr="00E91623">
        <w:rPr>
          <w:b w:val="0"/>
        </w:rPr>
        <w:t>odstraňovat více druhů odpadů.</w:t>
      </w:r>
      <w:r>
        <w:br w:type="page"/>
      </w:r>
    </w:p>
    <w:p w14:paraId="05395780" w14:textId="126A207E" w:rsidR="000A2233" w:rsidRPr="00303804" w:rsidRDefault="000A5F6C" w:rsidP="00E91623">
      <w:pPr>
        <w:pStyle w:val="Titulek"/>
        <w:tabs>
          <w:tab w:val="left" w:pos="8505"/>
        </w:tabs>
        <w:ind w:left="1247" w:hanging="1247"/>
        <w:outlineLvl w:val="0"/>
        <w:rPr>
          <w:highlight w:val="yellow"/>
          <w:lang w:eastAsia="cs-CZ"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F27D96">
        <w:rPr>
          <w:b/>
          <w:noProof/>
        </w:rPr>
        <w:t>5</w:t>
      </w:r>
      <w:r w:rsidRPr="00303804">
        <w:rPr>
          <w:b/>
        </w:rPr>
        <w:fldChar w:fldCharType="end"/>
      </w:r>
      <w:r w:rsidRPr="00303804">
        <w:rPr>
          <w:b/>
        </w:rPr>
        <w:t>:</w:t>
      </w:r>
      <w:r w:rsidRPr="00303804">
        <w:t xml:space="preserve"> </w:t>
      </w:r>
      <w:r w:rsidR="00D63F98">
        <w:tab/>
      </w:r>
      <w:r w:rsidRPr="001166AF">
        <w:rPr>
          <w:lang w:eastAsia="cs-CZ"/>
        </w:rPr>
        <w:t xml:space="preserve">Výpočet průměrné ceny energetického využití směsného komunálního odpadu </w:t>
      </w:r>
      <w:r w:rsidR="00F31983">
        <w:rPr>
          <w:lang w:eastAsia="cs-CZ"/>
        </w:rPr>
        <w:t xml:space="preserve">(SKO) </w:t>
      </w:r>
      <w:r w:rsidRPr="001166AF">
        <w:rPr>
          <w:lang w:eastAsia="cs-CZ"/>
        </w:rPr>
        <w:t>v roce 2021</w:t>
      </w:r>
      <w:r w:rsidR="001166AF">
        <w:rPr>
          <w:lang w:eastAsia="cs-CZ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303"/>
        <w:gridCol w:w="1303"/>
        <w:gridCol w:w="1303"/>
        <w:gridCol w:w="1303"/>
        <w:gridCol w:w="1303"/>
      </w:tblGrid>
      <w:tr w:rsidR="00817A90" w14:paraId="73CFB8EC" w14:textId="77777777" w:rsidTr="00817A90">
        <w:trPr>
          <w:cantSplit/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03DE8AB1" w14:textId="77777777" w:rsidR="00F31983" w:rsidRPr="00F31983" w:rsidRDefault="000A5F6C" w:rsidP="00F319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Zařízení pro energetické využití odpadů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0B7B5CD4" w14:textId="77777777" w:rsidR="00F31983" w:rsidRPr="00F31983" w:rsidRDefault="000A5F6C" w:rsidP="00817A9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Provoz</w:t>
            </w:r>
            <w:r w:rsidR="0081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  <w:r w:rsidR="0081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roku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6A4F128" w14:textId="735D5006" w:rsidR="00F31983" w:rsidRPr="00F31983" w:rsidRDefault="000A5F6C" w:rsidP="00F319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Kapacita </w:t>
            </w:r>
            <w:r w:rsidR="00D6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t/rok</w:t>
            </w:r>
            <w:r w:rsidR="00D6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0C45197" w14:textId="77777777" w:rsidR="00F31983" w:rsidRPr="00F31983" w:rsidRDefault="000A5F6C" w:rsidP="00817A9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Váha</w:t>
            </w:r>
            <w:r w:rsidR="0081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</w:t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dle kapacity</w:t>
            </w:r>
            <w:r w:rsidR="0081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D1B112D" w14:textId="36415AB1" w:rsidR="00F31983" w:rsidRDefault="000A5F6C" w:rsidP="00F319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odstranění</w:t>
            </w:r>
            <w:r w:rsidR="0081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t</w:t>
            </w:r>
            <w:r w:rsidR="00D6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uny</w:t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SKO</w:t>
            </w:r>
          </w:p>
          <w:p w14:paraId="167AE154" w14:textId="4C123540" w:rsidR="00D63F98" w:rsidRPr="00F31983" w:rsidRDefault="00D63F98" w:rsidP="00F319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D922C37" w14:textId="5DD3F3D5" w:rsidR="00F31983" w:rsidRDefault="000A5F6C" w:rsidP="00F319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Vážen</w:t>
            </w:r>
            <w:r w:rsidR="00D6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</w:t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cena</w:t>
            </w:r>
            <w:r w:rsidR="0081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 odstranění 1 t</w:t>
            </w:r>
            <w:r w:rsidR="00D6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uny</w:t>
            </w:r>
            <w:r w:rsidRPr="00F31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SKO</w:t>
            </w:r>
          </w:p>
          <w:p w14:paraId="03231455" w14:textId="6E67E8AD" w:rsidR="00D63F98" w:rsidRPr="00F31983" w:rsidRDefault="00D63F98" w:rsidP="00F319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 Kč)</w:t>
            </w:r>
          </w:p>
        </w:tc>
      </w:tr>
      <w:tr w:rsidR="00817A90" w14:paraId="5D04ACB5" w14:textId="77777777" w:rsidTr="00E91623">
        <w:trPr>
          <w:cantSplit/>
          <w:trHeight w:val="34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30D9" w14:textId="77777777" w:rsidR="00F31983" w:rsidRPr="00F31983" w:rsidRDefault="000A5F6C" w:rsidP="00F3198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Praha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A9A8" w14:textId="77777777" w:rsidR="00F31983" w:rsidRPr="00F31983" w:rsidRDefault="000A5F6C" w:rsidP="00F3198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1998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6E0C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330 000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EEF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0,42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918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A144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1 059</w:t>
            </w:r>
          </w:p>
        </w:tc>
      </w:tr>
      <w:tr w:rsidR="00817A90" w14:paraId="5319DAB1" w14:textId="77777777" w:rsidTr="00E91623">
        <w:trPr>
          <w:cantSplit/>
          <w:trHeight w:val="34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711A" w14:textId="77777777" w:rsidR="00F31983" w:rsidRPr="00F31983" w:rsidRDefault="000A5F6C" w:rsidP="00F3198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1A7" w14:textId="77777777" w:rsidR="00F31983" w:rsidRPr="00F31983" w:rsidRDefault="000A5F6C" w:rsidP="00F3198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1989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47C7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248 000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7B66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0,32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FDA8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C469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302</w:t>
            </w:r>
          </w:p>
        </w:tc>
      </w:tr>
      <w:tr w:rsidR="00817A90" w14:paraId="5D0D04CD" w14:textId="77777777" w:rsidTr="00E91623">
        <w:trPr>
          <w:cantSplit/>
          <w:trHeight w:val="34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9D62" w14:textId="77777777" w:rsidR="00F31983" w:rsidRPr="00F31983" w:rsidRDefault="000A5F6C" w:rsidP="00F3198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Plzeň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D5A" w14:textId="77777777" w:rsidR="00F31983" w:rsidRPr="00F31983" w:rsidRDefault="000A5F6C" w:rsidP="00F3198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EABD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105 000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34B7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0,13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B71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E460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247</w:t>
            </w:r>
          </w:p>
        </w:tc>
      </w:tr>
      <w:tr w:rsidR="00817A90" w14:paraId="0FEE9ECC" w14:textId="77777777" w:rsidTr="00E91623">
        <w:trPr>
          <w:cantSplit/>
          <w:trHeight w:val="34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02B7" w14:textId="77777777" w:rsidR="00F31983" w:rsidRPr="00F31983" w:rsidRDefault="000A5F6C" w:rsidP="00F3198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02F2" w14:textId="77777777" w:rsidR="00F31983" w:rsidRPr="00F31983" w:rsidRDefault="000A5F6C" w:rsidP="00F3198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B6F0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96 000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D16E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444C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018E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191</w:t>
            </w:r>
          </w:p>
        </w:tc>
      </w:tr>
      <w:tr w:rsidR="00817A90" w14:paraId="15D90E7D" w14:textId="77777777" w:rsidTr="00E91623">
        <w:trPr>
          <w:cantSplit/>
          <w:trHeight w:val="34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B57A" w14:textId="77777777" w:rsidR="00F31983" w:rsidRPr="00F31983" w:rsidRDefault="000A5F6C" w:rsidP="00F3198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DA17" w14:textId="273E23BF" w:rsidR="00F31983" w:rsidRPr="004526DF" w:rsidRDefault="00BA2B98" w:rsidP="00F3198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91623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9D37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779 000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060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E04B1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AABD" w14:textId="15EE2969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069" w14:textId="6CB75E82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</w:tr>
      <w:tr w:rsidR="00817A90" w14:paraId="4D20D172" w14:textId="77777777" w:rsidTr="00817A90">
        <w:trPr>
          <w:cantSplit/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8C14" w14:textId="51B1985D" w:rsidR="00F31983" w:rsidRPr="00F31983" w:rsidRDefault="000A5F6C" w:rsidP="00F3198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Průměrná cena za odstranění 1 t SKO </w:t>
            </w:r>
            <w:r w:rsidR="001A366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aritmetický průměr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DB8" w14:textId="252EFA6F" w:rsidR="00F31983" w:rsidRPr="004526DF" w:rsidRDefault="00BA2B98" w:rsidP="00F3198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91623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2F9B" w14:textId="164A3537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3F94" w14:textId="37E83DFF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C452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1 708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3010" w14:textId="639F3042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</w:tr>
      <w:tr w:rsidR="00817A90" w14:paraId="12F0C36E" w14:textId="77777777" w:rsidTr="00817A90">
        <w:trPr>
          <w:cantSplit/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D103" w14:textId="6D0B3EE6" w:rsidR="00F31983" w:rsidRPr="00F31983" w:rsidRDefault="000A5F6C" w:rsidP="00F3198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Průměrná cena za odstranění 1 t SKO </w:t>
            </w:r>
            <w:r w:rsidR="001A366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vážený průměr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4EB0" w14:textId="6378DF1C" w:rsidR="00F31983" w:rsidRPr="00F31983" w:rsidRDefault="00BA2B98" w:rsidP="00F3198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6D4F" w14:textId="2F142232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274" w14:textId="327096A8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156B" w14:textId="2450713E" w:rsidR="00F31983" w:rsidRPr="00F31983" w:rsidRDefault="00BA2B98" w:rsidP="00E9162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0416">
              <w:rPr>
                <w:sz w:val="20"/>
                <w:szCs w:val="20"/>
              </w:rPr>
              <w:t>–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6536" w14:textId="77777777" w:rsidR="00F31983" w:rsidRPr="00F31983" w:rsidRDefault="000A5F6C" w:rsidP="00F3198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198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1 799</w:t>
            </w:r>
          </w:p>
        </w:tc>
      </w:tr>
    </w:tbl>
    <w:p w14:paraId="3985FB59" w14:textId="1A1C4324" w:rsidR="000A2233" w:rsidRPr="00E91623" w:rsidRDefault="000A5F6C" w:rsidP="00641492">
      <w:pPr>
        <w:pStyle w:val="Zdrojeapozn"/>
        <w:rPr>
          <w:b w:val="0"/>
        </w:rPr>
      </w:pPr>
      <w:r w:rsidRPr="001166AF">
        <w:t xml:space="preserve">Zdroj: </w:t>
      </w:r>
      <w:r w:rsidR="00E40929">
        <w:tab/>
      </w:r>
      <w:hyperlink r:id="rId21" w:history="1">
        <w:r w:rsidR="00E40929" w:rsidRPr="00641492">
          <w:rPr>
            <w:rStyle w:val="Hypertextovodkaz"/>
            <w:b w:val="0"/>
          </w:rPr>
          <w:t>https://www.chmi.cz/files/portal/docs/uoco/oez/emise/spalovny/index.html</w:t>
        </w:r>
      </w:hyperlink>
      <w:r w:rsidR="005658FF" w:rsidRPr="00E91623">
        <w:rPr>
          <w:b w:val="0"/>
        </w:rPr>
        <w:t>;</w:t>
      </w:r>
      <w:r w:rsidR="005658FF" w:rsidRPr="005658FF">
        <w:t xml:space="preserve"> </w:t>
      </w:r>
      <w:hyperlink r:id="rId22" w:history="1">
        <w:r w:rsidR="00E110C4" w:rsidRPr="005658FF">
          <w:rPr>
            <w:rStyle w:val="Hypertextovodkaz"/>
            <w:b w:val="0"/>
            <w:lang w:eastAsia="cs-CZ"/>
          </w:rPr>
          <w:t>https://www.psas.cz/</w:t>
        </w:r>
      </w:hyperlink>
      <w:r w:rsidR="00E110C4" w:rsidRPr="00E91623">
        <w:rPr>
          <w:b w:val="0"/>
          <w:lang w:eastAsia="cs-CZ"/>
        </w:rPr>
        <w:t xml:space="preserve">; </w:t>
      </w:r>
      <w:hyperlink r:id="rId23" w:history="1">
        <w:r w:rsidR="00E110C4" w:rsidRPr="005658FF">
          <w:rPr>
            <w:rStyle w:val="Hypertextovodkaz"/>
            <w:b w:val="0"/>
            <w:lang w:eastAsia="cs-CZ"/>
          </w:rPr>
          <w:t>https://www.sako.cz</w:t>
        </w:r>
      </w:hyperlink>
      <w:r w:rsidR="00E110C4" w:rsidRPr="00E91623">
        <w:rPr>
          <w:b w:val="0"/>
          <w:lang w:eastAsia="cs-CZ"/>
        </w:rPr>
        <w:t xml:space="preserve">; </w:t>
      </w:r>
      <w:hyperlink r:id="rId24" w:history="1">
        <w:r w:rsidR="00E110C4" w:rsidRPr="005658FF">
          <w:rPr>
            <w:rStyle w:val="Hypertextovodkaz"/>
            <w:b w:val="0"/>
            <w:lang w:eastAsia="cs-CZ"/>
          </w:rPr>
          <w:t>https://www.zevoplzen.cz</w:t>
        </w:r>
      </w:hyperlink>
      <w:r w:rsidR="00E110C4" w:rsidRPr="00E91623">
        <w:rPr>
          <w:b w:val="0"/>
          <w:lang w:eastAsia="cs-CZ"/>
        </w:rPr>
        <w:t xml:space="preserve">; </w:t>
      </w:r>
      <w:hyperlink r:id="rId25" w:history="1">
        <w:r w:rsidR="00E110C4" w:rsidRPr="005658FF">
          <w:rPr>
            <w:rStyle w:val="Hypertextovodkaz"/>
            <w:b w:val="0"/>
            <w:lang w:eastAsia="cs-CZ"/>
          </w:rPr>
          <w:t>https://tmz.mvv.cz</w:t>
        </w:r>
      </w:hyperlink>
      <w:r w:rsidR="00E110C4" w:rsidRPr="00E91623">
        <w:rPr>
          <w:b w:val="0"/>
          <w:lang w:eastAsia="cs-CZ"/>
        </w:rPr>
        <w:t xml:space="preserve">; </w:t>
      </w:r>
      <w:r w:rsidRPr="00E91623">
        <w:rPr>
          <w:b w:val="0"/>
        </w:rPr>
        <w:t>výpočet NKÚ</w:t>
      </w:r>
      <w:r w:rsidR="005658FF" w:rsidRPr="00E91623">
        <w:rPr>
          <w:b w:val="0"/>
        </w:rPr>
        <w:t>.</w:t>
      </w:r>
    </w:p>
    <w:p w14:paraId="5D41C2F3" w14:textId="0B40F6D6" w:rsidR="00E40929" w:rsidRDefault="000A5F6C" w:rsidP="00E40929">
      <w:pPr>
        <w:pStyle w:val="Zdrojapozn"/>
        <w:ind w:left="567" w:hanging="567"/>
      </w:pPr>
      <w:r w:rsidRPr="001166AF">
        <w:rPr>
          <w:b/>
        </w:rPr>
        <w:t>Pozn.:</w:t>
      </w:r>
      <w:r w:rsidRPr="001166AF">
        <w:t xml:space="preserve"> </w:t>
      </w:r>
      <w:r w:rsidR="00E40929">
        <w:tab/>
      </w:r>
      <w:r w:rsidRPr="001166AF">
        <w:t>Ve výpočtu průměrné ceny byla vahou maximální roční kapacita</w:t>
      </w:r>
      <w:r w:rsidR="003D261E">
        <w:t xml:space="preserve"> jednotlivých zařízení </w:t>
      </w:r>
      <w:r w:rsidR="00E40929">
        <w:t>na</w:t>
      </w:r>
      <w:r w:rsidR="003D261E">
        <w:t xml:space="preserve"> energetické využ</w:t>
      </w:r>
      <w:r w:rsidR="00E40929">
        <w:t>ívání</w:t>
      </w:r>
      <w:r w:rsidR="003D261E">
        <w:t xml:space="preserve"> odpad</w:t>
      </w:r>
      <w:r w:rsidR="00E40929">
        <w:t>ů</w:t>
      </w:r>
      <w:r w:rsidR="003D261E">
        <w:t>.</w:t>
      </w:r>
    </w:p>
    <w:p w14:paraId="64085B7F" w14:textId="79556CF4" w:rsidR="000A2233" w:rsidRDefault="000A5F6C">
      <w:pPr>
        <w:pStyle w:val="Zdrojapozn"/>
      </w:pPr>
      <w:r>
        <w:br w:type="page"/>
      </w:r>
    </w:p>
    <w:p w14:paraId="2FAB12FF" w14:textId="08F3719D" w:rsidR="00393042" w:rsidRDefault="000A5F6C" w:rsidP="00393042">
      <w:pPr>
        <w:pStyle w:val="TextKP"/>
        <w:outlineLvl w:val="0"/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F27D96">
        <w:rPr>
          <w:b/>
          <w:noProof/>
        </w:rPr>
        <w:t>6</w:t>
      </w:r>
      <w:r w:rsidRPr="00303804">
        <w:rPr>
          <w:b/>
        </w:rPr>
        <w:fldChar w:fldCharType="end"/>
      </w:r>
      <w:r w:rsidRPr="00303804">
        <w:rPr>
          <w:b/>
        </w:rPr>
        <w:t>:</w:t>
      </w:r>
      <w:r>
        <w:rPr>
          <w:b/>
        </w:rPr>
        <w:t xml:space="preserve"> </w:t>
      </w:r>
      <w:r w:rsidR="00F929FD">
        <w:t xml:space="preserve">Množství nebezpečných odpadů </w:t>
      </w:r>
      <w:r w:rsidR="00E40929">
        <w:t xml:space="preserve">uložených </w:t>
      </w:r>
      <w:r w:rsidR="00F929FD">
        <w:t>na skládkách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3019"/>
        <w:gridCol w:w="943"/>
        <w:gridCol w:w="943"/>
        <w:gridCol w:w="943"/>
        <w:gridCol w:w="943"/>
        <w:gridCol w:w="943"/>
        <w:gridCol w:w="1060"/>
      </w:tblGrid>
      <w:tr w:rsidR="00FF1BC7" w14:paraId="44F13583" w14:textId="77777777" w:rsidTr="00E9162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1047DC7" w14:textId="77777777" w:rsidR="00C57D78" w:rsidRPr="00C57D78" w:rsidRDefault="000A5F6C" w:rsidP="00AF4140">
            <w:pPr>
              <w:spacing w:line="252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45A1D86" w14:textId="77777777" w:rsidR="00C57D78" w:rsidRPr="00C57D78" w:rsidRDefault="000A5F6C" w:rsidP="00AF4140">
            <w:pPr>
              <w:spacing w:line="252" w:lineRule="auto"/>
              <w:jc w:val="center"/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color w:val="000000"/>
                <w:sz w:val="16"/>
                <w:szCs w:val="16"/>
                <w:lang w:eastAsia="cs-CZ"/>
              </w:rPr>
              <w:t>Text/ jednotka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02B7C8B" w14:textId="77777777" w:rsidR="00C57D78" w:rsidRPr="00C57D78" w:rsidRDefault="000A5F6C" w:rsidP="00AF4140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559253" w14:textId="77777777" w:rsidR="00C57D78" w:rsidRPr="00C57D78" w:rsidRDefault="000A5F6C" w:rsidP="00AF4140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DB4BFA" w14:textId="77777777" w:rsidR="00C57D78" w:rsidRPr="00C57D78" w:rsidRDefault="000A5F6C" w:rsidP="00AF4140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FE852B" w14:textId="77777777" w:rsidR="00C57D78" w:rsidRPr="00C57D78" w:rsidRDefault="000A5F6C" w:rsidP="00AF4140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47AA2C" w14:textId="77777777" w:rsidR="00C57D78" w:rsidRPr="00C57D78" w:rsidRDefault="000A5F6C" w:rsidP="00AF4140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5834E0" w14:textId="77777777" w:rsidR="00C57D78" w:rsidRPr="00C57D78" w:rsidRDefault="000A5F6C" w:rsidP="00AF4140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FF1BC7" w14:paraId="194233C7" w14:textId="77777777" w:rsidTr="00C57D7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F02" w14:textId="77777777" w:rsidR="00C57D78" w:rsidRPr="00C57D78" w:rsidRDefault="000A5F6C" w:rsidP="00C57D78">
            <w:pPr>
              <w:spacing w:line="252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7990" w14:textId="736A01B4" w:rsidR="00C57D78" w:rsidRPr="00C57D78" w:rsidRDefault="000A5F6C" w:rsidP="00AF4140">
            <w:pPr>
              <w:spacing w:line="252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 xml:space="preserve">Množství uložených nebezpečných odpadů v provozech skládek </w:t>
            </w:r>
            <w:r w:rsidR="00E40929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(v tunách)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4A47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145 755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4BC7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173 503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DDCC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241 828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A00C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289 847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A408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189 862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9F2D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1 040 795</w:t>
            </w:r>
          </w:p>
        </w:tc>
      </w:tr>
      <w:tr w:rsidR="00FF1BC7" w14:paraId="3B1B391F" w14:textId="77777777" w:rsidTr="00C57D7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623" w14:textId="77777777" w:rsidR="00C57D78" w:rsidRPr="00C57D78" w:rsidRDefault="000A5F6C" w:rsidP="00C57D78">
            <w:pPr>
              <w:spacing w:line="252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0313" w14:textId="44D05D56" w:rsidR="00C57D78" w:rsidRPr="00C57D78" w:rsidRDefault="000A5F6C" w:rsidP="00AF4140">
            <w:pPr>
              <w:spacing w:line="252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 xml:space="preserve">Množství zpoplatněných odstraněných nebezpečných odpadů </w:t>
            </w:r>
            <w:r w:rsidR="00E40929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(v tunách)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B8E2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50 382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8CCB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8 061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27A7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4 897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1EB0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6 005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2ACA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7 513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73F4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76 858</w:t>
            </w:r>
          </w:p>
        </w:tc>
      </w:tr>
      <w:tr w:rsidR="00FF1BC7" w14:paraId="18E2FE4E" w14:textId="77777777" w:rsidTr="00C57D7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402B" w14:textId="77777777" w:rsidR="00C57D78" w:rsidRPr="00C57D78" w:rsidRDefault="000A5F6C" w:rsidP="00C57D78">
            <w:pPr>
              <w:spacing w:line="252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664C" w14:textId="08998B54" w:rsidR="00C57D78" w:rsidRPr="00C57D78" w:rsidRDefault="000A5F6C" w:rsidP="00AF4140">
            <w:pPr>
              <w:spacing w:line="252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 xml:space="preserve">Množství nebezpečných odpadů uložených na skládky jako terénní úpravy v provozech skládek </w:t>
            </w:r>
            <w:r w:rsidR="00446AF0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(v tunách)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3FB0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57D78">
              <w:rPr>
                <w:sz w:val="16"/>
                <w:szCs w:val="16"/>
              </w:rPr>
              <w:t>73 889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00C0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sz w:val="16"/>
                <w:szCs w:val="16"/>
              </w:rPr>
              <w:t>145 036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C055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sz w:val="16"/>
                <w:szCs w:val="16"/>
              </w:rPr>
              <w:t>145 926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5D03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sz w:val="16"/>
                <w:szCs w:val="16"/>
              </w:rPr>
              <w:t>175 963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7A6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sz w:val="16"/>
                <w:szCs w:val="16"/>
              </w:rPr>
              <w:t>26 372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3A28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567 186</w:t>
            </w:r>
          </w:p>
        </w:tc>
      </w:tr>
      <w:tr w:rsidR="00FF1BC7" w14:paraId="52CAA385" w14:textId="77777777" w:rsidTr="00C57D7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ADC8" w14:textId="77777777" w:rsidR="00C57D78" w:rsidRPr="00C57D78" w:rsidRDefault="000A5F6C" w:rsidP="00C57D78">
            <w:pPr>
              <w:spacing w:line="252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BB62" w14:textId="084848B6" w:rsidR="00C57D78" w:rsidRPr="00C57D78" w:rsidRDefault="000A5F6C" w:rsidP="00AF4140">
            <w:pPr>
              <w:spacing w:line="252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 xml:space="preserve">Riziková složka poplatku dle přílohy č. 6 zákona o odpadech </w:t>
            </w:r>
            <w:r w:rsidR="00446AF0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 xml:space="preserve">(v </w:t>
            </w: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Kč/t</w:t>
            </w:r>
            <w:r w:rsidR="00446AF0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5D65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A76A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3811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C49C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65BE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1864" w14:textId="77777777" w:rsidR="00C57D78" w:rsidRPr="00C57D78" w:rsidRDefault="000A5F6C" w:rsidP="00AF4140">
            <w:pPr>
              <w:spacing w:line="252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4 500</w:t>
            </w:r>
          </w:p>
        </w:tc>
      </w:tr>
      <w:tr w:rsidR="00FF1BC7" w14:paraId="1D8CFB1C" w14:textId="77777777" w:rsidTr="00C57D7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2F0146F" w14:textId="77777777" w:rsidR="00C57D78" w:rsidRPr="00C57D78" w:rsidRDefault="000A5F6C" w:rsidP="00C57D78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F4CCE7A" w14:textId="7FB81CAB" w:rsidR="00C57D78" w:rsidRPr="00C57D78" w:rsidRDefault="000A5F6C" w:rsidP="00AF4140">
            <w:pPr>
              <w:spacing w:line="252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Hodnota nezpoplatněného nebezpečného odpadu uloženého jako terénní úpravy v provozech skládek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(řádek č. 5 = ř. 3 x ř. 4)</w:t>
            </w:r>
            <w:r w:rsidRPr="00C57D7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40929">
              <w:rPr>
                <w:rFonts w:eastAsia="Times New Roman" w:cstheme="minorHAnsi"/>
                <w:b/>
                <w:color w:val="000000"/>
                <w:sz w:val="16"/>
                <w:szCs w:val="16"/>
                <w:lang w:eastAsia="cs-CZ"/>
              </w:rPr>
              <w:t xml:space="preserve">(v </w:t>
            </w:r>
            <w:r w:rsidRPr="00C57D78">
              <w:rPr>
                <w:rFonts w:eastAsia="Times New Roman" w:cstheme="minorHAnsi"/>
                <w:b/>
                <w:color w:val="000000"/>
                <w:sz w:val="16"/>
                <w:szCs w:val="16"/>
                <w:lang w:eastAsia="cs-CZ"/>
              </w:rPr>
              <w:t>Kč</w:t>
            </w:r>
            <w:r w:rsidR="00E40929">
              <w:rPr>
                <w:rFonts w:eastAsia="Times New Roman" w:cstheme="minorHAnsi"/>
                <w:b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099E43B" w14:textId="77777777" w:rsidR="00C57D78" w:rsidRPr="00C57D78" w:rsidRDefault="000A5F6C" w:rsidP="00AF4140">
            <w:pPr>
              <w:spacing w:after="100" w:afterAutospacing="1" w:line="256" w:lineRule="auto"/>
              <w:jc w:val="right"/>
              <w:rPr>
                <w:rFonts w:eastAsia="Calibri" w:cs="Calibri"/>
                <w:b/>
                <w:sz w:val="16"/>
                <w:szCs w:val="16"/>
              </w:rPr>
            </w:pPr>
            <w:r w:rsidRPr="00C57D78">
              <w:rPr>
                <w:b/>
                <w:sz w:val="16"/>
                <w:szCs w:val="16"/>
              </w:rPr>
              <w:t>332 500 500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D570F7" w14:textId="77777777" w:rsidR="00C57D78" w:rsidRPr="00C57D78" w:rsidRDefault="000A5F6C" w:rsidP="00AF4140">
            <w:pPr>
              <w:spacing w:after="100" w:afterAutospacing="1" w:line="256" w:lineRule="auto"/>
              <w:jc w:val="right"/>
              <w:rPr>
                <w:b/>
                <w:sz w:val="16"/>
                <w:szCs w:val="16"/>
              </w:rPr>
            </w:pPr>
            <w:r w:rsidRPr="00C57D78">
              <w:rPr>
                <w:b/>
                <w:sz w:val="16"/>
                <w:szCs w:val="16"/>
              </w:rPr>
              <w:t>652 662 000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5BA326" w14:textId="77777777" w:rsidR="00C57D78" w:rsidRPr="00C57D78" w:rsidRDefault="000A5F6C" w:rsidP="00AF4140">
            <w:pPr>
              <w:spacing w:after="100" w:afterAutospacing="1" w:line="256" w:lineRule="auto"/>
              <w:jc w:val="right"/>
              <w:rPr>
                <w:b/>
                <w:sz w:val="16"/>
                <w:szCs w:val="16"/>
              </w:rPr>
            </w:pPr>
            <w:r w:rsidRPr="00C57D78">
              <w:rPr>
                <w:b/>
                <w:sz w:val="16"/>
                <w:szCs w:val="16"/>
              </w:rPr>
              <w:t>656 667 000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8EC689" w14:textId="77777777" w:rsidR="00C57D78" w:rsidRPr="00C57D78" w:rsidRDefault="000A5F6C" w:rsidP="00AF4140">
            <w:pPr>
              <w:spacing w:after="100" w:afterAutospacing="1" w:line="256" w:lineRule="auto"/>
              <w:jc w:val="right"/>
              <w:rPr>
                <w:b/>
                <w:sz w:val="16"/>
                <w:szCs w:val="16"/>
              </w:rPr>
            </w:pPr>
            <w:r w:rsidRPr="00C57D78">
              <w:rPr>
                <w:b/>
                <w:sz w:val="16"/>
                <w:szCs w:val="16"/>
              </w:rPr>
              <w:t>791 833 500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637EE4" w14:textId="77777777" w:rsidR="00C57D78" w:rsidRPr="00C57D78" w:rsidRDefault="000A5F6C" w:rsidP="00AF4140">
            <w:pPr>
              <w:spacing w:after="100" w:afterAutospacing="1" w:line="256" w:lineRule="auto"/>
              <w:jc w:val="right"/>
              <w:rPr>
                <w:b/>
                <w:sz w:val="16"/>
                <w:szCs w:val="16"/>
              </w:rPr>
            </w:pPr>
            <w:r w:rsidRPr="00C57D78">
              <w:rPr>
                <w:b/>
                <w:sz w:val="16"/>
                <w:szCs w:val="16"/>
              </w:rPr>
              <w:t>118 674 000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707B3E4" w14:textId="77777777" w:rsidR="00C57D78" w:rsidRPr="00C57D78" w:rsidRDefault="000A5F6C" w:rsidP="00AF4140">
            <w:pPr>
              <w:spacing w:after="100" w:afterAutospacing="1" w:line="256" w:lineRule="auto"/>
              <w:jc w:val="right"/>
              <w:rPr>
                <w:b/>
                <w:sz w:val="16"/>
                <w:szCs w:val="16"/>
              </w:rPr>
            </w:pPr>
            <w:r w:rsidRPr="00C57D78">
              <w:rPr>
                <w:b/>
                <w:sz w:val="16"/>
                <w:szCs w:val="16"/>
              </w:rPr>
              <w:t>2 552 337 000</w:t>
            </w:r>
          </w:p>
        </w:tc>
      </w:tr>
    </w:tbl>
    <w:p w14:paraId="448A2D60" w14:textId="77777777" w:rsidR="00393042" w:rsidRDefault="000A5F6C" w:rsidP="00393042">
      <w:pPr>
        <w:pStyle w:val="Zdrojapozn"/>
      </w:pPr>
      <w:r w:rsidRPr="00C02DC0">
        <w:rPr>
          <w:b/>
        </w:rPr>
        <w:t>Zdroj:</w:t>
      </w:r>
      <w:r>
        <w:t xml:space="preserve"> ISOH.</w:t>
      </w:r>
    </w:p>
    <w:p w14:paraId="03FB8B4E" w14:textId="77777777" w:rsidR="00843E64" w:rsidRDefault="000A5F6C" w:rsidP="00885D3F">
      <w:pPr>
        <w:pStyle w:val="Zdrojapozn"/>
      </w:pPr>
      <w:r w:rsidRPr="00C02DC0">
        <w:rPr>
          <w:b/>
        </w:rPr>
        <w:t>Pozn.:</w:t>
      </w:r>
      <w:r>
        <w:t xml:space="preserve"> Data v ISOH byla dostupná od 1. 1. 2016.</w:t>
      </w:r>
      <w:r>
        <w:br w:type="page"/>
      </w:r>
    </w:p>
    <w:p w14:paraId="641BD120" w14:textId="73E17931" w:rsidR="000A2233" w:rsidRPr="00CB7C60" w:rsidRDefault="000A5F6C" w:rsidP="00E91623">
      <w:pPr>
        <w:pStyle w:val="Titulek"/>
        <w:tabs>
          <w:tab w:val="right" w:pos="9072"/>
        </w:tabs>
        <w:ind w:left="1247" w:hanging="1247"/>
        <w:jc w:val="left"/>
        <w:outlineLvl w:val="0"/>
        <w:rPr>
          <w:b/>
          <w:lang w:eastAsia="cs-CZ"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F27D96">
        <w:rPr>
          <w:b/>
          <w:noProof/>
        </w:rPr>
        <w:t>7</w:t>
      </w:r>
      <w:r w:rsidRPr="00303804">
        <w:rPr>
          <w:b/>
        </w:rPr>
        <w:fldChar w:fldCharType="end"/>
      </w:r>
      <w:r w:rsidRPr="00303804">
        <w:rPr>
          <w:b/>
        </w:rPr>
        <w:t>:</w:t>
      </w:r>
      <w:r>
        <w:t xml:space="preserve"> </w:t>
      </w:r>
      <w:r w:rsidR="00446AF0">
        <w:tab/>
      </w:r>
      <w:r w:rsidRPr="00303804">
        <w:t xml:space="preserve">Požadovaný rozsah recyklace obalového odpadu pro roky 2015–2020 </w:t>
      </w:r>
      <w:r>
        <w:t>pro</w:t>
      </w:r>
      <w:r w:rsidR="00843E64">
        <w:t> </w:t>
      </w:r>
      <w:r>
        <w:t xml:space="preserve">individuální systém (IS) </w:t>
      </w:r>
      <w:r w:rsidR="00E04B11">
        <w:t xml:space="preserve">dle zákona o </w:t>
      </w:r>
      <w:r w:rsidR="00380891">
        <w:t>obalech</w:t>
      </w:r>
      <w:r w:rsidR="00E04B11">
        <w:t xml:space="preserve"> </w:t>
      </w:r>
      <w:r w:rsidR="00641492">
        <w:br/>
      </w:r>
      <w:r>
        <w:t>a pro kolektivní systém (KS)</w:t>
      </w:r>
      <w:r w:rsidR="00E04B11">
        <w:t xml:space="preserve"> dle rozhodnutí </w:t>
      </w:r>
      <w:r w:rsidR="00307A50">
        <w:t xml:space="preserve">MŽP </w:t>
      </w:r>
      <w:r w:rsidR="00E04B11">
        <w:t>o autorizaci</w:t>
      </w:r>
      <w:r>
        <w:t xml:space="preserve"> </w:t>
      </w:r>
      <w:r>
        <w:tab/>
        <w:t>(</w:t>
      </w:r>
      <w:r w:rsidR="00446AF0">
        <w:t xml:space="preserve">v </w:t>
      </w:r>
      <w:r>
        <w:t>%)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637"/>
        <w:gridCol w:w="639"/>
        <w:gridCol w:w="639"/>
        <w:gridCol w:w="636"/>
        <w:gridCol w:w="638"/>
        <w:gridCol w:w="636"/>
        <w:gridCol w:w="636"/>
        <w:gridCol w:w="638"/>
        <w:gridCol w:w="636"/>
        <w:gridCol w:w="638"/>
        <w:gridCol w:w="636"/>
        <w:gridCol w:w="638"/>
      </w:tblGrid>
      <w:tr w:rsidR="00FF1BC7" w14:paraId="7FA010F2" w14:textId="77777777" w:rsidTr="00D028DA">
        <w:trPr>
          <w:trHeight w:val="315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A32B5C2" w14:textId="5530CDE5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Odpady z</w:t>
            </w:r>
            <w:r w:rsidR="00446A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obalů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67393FE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B0139CF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9139F6E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0D801A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9C40A1B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0C48E9E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FF1BC7" w14:paraId="15ADAFF9" w14:textId="77777777" w:rsidTr="00D028DA">
        <w:trPr>
          <w:trHeight w:val="300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140B" w14:textId="77777777" w:rsidR="000A2233" w:rsidRPr="00303804" w:rsidRDefault="000A2233" w:rsidP="00D028D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C88B4D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38ED448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97293C3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B9B963B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ADF089C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95A24D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243E941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2582F5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C1CF672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E274529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3951642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98385B9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FF1BC7" w14:paraId="6818EF10" w14:textId="77777777" w:rsidTr="00D028DA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BEA" w14:textId="4C57BB1C" w:rsidR="000A2233" w:rsidRPr="00303804" w:rsidRDefault="00641492" w:rsidP="00D028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p</w:t>
            </w:r>
            <w:r w:rsidR="000A5F6C"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apírových</w:t>
            </w:r>
            <w:r w:rsidR="00307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A5F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="00307A50" w:rsidRPr="00307A50">
              <w:rPr>
                <w:rFonts w:ascii="Calibri" w:eastAsia="Times New Roman" w:hAnsi="Calibri" w:cs="Calibri"/>
                <w:color w:val="FFFFFF" w:themeColor="background1"/>
                <w:lang w:eastAsia="cs-CZ"/>
              </w:rPr>
              <w:t xml:space="preserve">  </w:t>
            </w:r>
            <w:r w:rsidR="000A5F6C"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  <w:r w:rsidR="000A5F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A5F6C"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lepenkových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FC49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52E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9F0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4024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6224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0B3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DC85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C025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1F83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6C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0D3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1664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</w:tr>
      <w:tr w:rsidR="00FF1BC7" w14:paraId="1B5C440D" w14:textId="77777777" w:rsidTr="00D028DA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38DE" w14:textId="5CB1F0BF" w:rsidR="000A2233" w:rsidRPr="00303804" w:rsidRDefault="00641492" w:rsidP="00D028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s</w:t>
            </w:r>
            <w:r w:rsidR="000A5F6C"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kleněných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6063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713C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D84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C83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27E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5954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CE2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3458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F2C1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75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642F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460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</w:tr>
      <w:tr w:rsidR="00FF1BC7" w14:paraId="0CE7787B" w14:textId="77777777" w:rsidTr="00D028DA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178" w14:textId="316DA57B" w:rsidR="000A2233" w:rsidRPr="00303804" w:rsidRDefault="00641492" w:rsidP="00D028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p</w:t>
            </w:r>
            <w:r w:rsidR="000A5F6C"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lastových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BA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54F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3A6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D1DF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7ED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69E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84DF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1EB4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200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C632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11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D2E4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</w:t>
            </w:r>
          </w:p>
        </w:tc>
      </w:tr>
      <w:tr w:rsidR="00FF1BC7" w14:paraId="31A61B12" w14:textId="77777777" w:rsidTr="00D028DA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FB5" w14:textId="56722E35" w:rsidR="000A2233" w:rsidRPr="00303804" w:rsidRDefault="00641492" w:rsidP="00D028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k</w:t>
            </w:r>
            <w:r w:rsidR="000A5F6C"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ovových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3F00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97F9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56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0A79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C00B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11AF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1615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D41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ADE0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B1B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37C1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C525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</w:tr>
      <w:tr w:rsidR="00FF1BC7" w14:paraId="610DDA76" w14:textId="77777777" w:rsidTr="00D028DA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5A7A" w14:textId="75638EE0" w:rsidR="000A2233" w:rsidRPr="00303804" w:rsidRDefault="00641492" w:rsidP="00D028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 d</w:t>
            </w:r>
            <w:r w:rsidR="000A5F6C"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řevěných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EB7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25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0A10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E2F5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51B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C06C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D37D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D9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29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D28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0C93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437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</w:tr>
      <w:tr w:rsidR="00FF1BC7" w14:paraId="54B618B9" w14:textId="77777777" w:rsidTr="00D028DA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D7B" w14:textId="77777777" w:rsidR="000A2233" w:rsidRPr="00303804" w:rsidRDefault="000A5F6C" w:rsidP="00D028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5A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8C64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9CD0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B22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CCC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04A7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4CA3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FE7B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726D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8CDA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4516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382F" w14:textId="77777777" w:rsidR="000A2233" w:rsidRPr="00303804" w:rsidRDefault="000A5F6C" w:rsidP="00D028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380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</w:t>
            </w:r>
          </w:p>
        </w:tc>
      </w:tr>
    </w:tbl>
    <w:p w14:paraId="68DF4D24" w14:textId="43A0E61F" w:rsidR="00AF61D1" w:rsidRPr="00E91623" w:rsidRDefault="000A5F6C" w:rsidP="00641492">
      <w:pPr>
        <w:pStyle w:val="Zdrojeapozn"/>
        <w:rPr>
          <w:b w:val="0"/>
        </w:rPr>
      </w:pPr>
      <w:r w:rsidRPr="00303804">
        <w:t>Zdroj:</w:t>
      </w:r>
      <w:r>
        <w:t xml:space="preserve"> </w:t>
      </w:r>
      <w:r w:rsidR="00446AF0">
        <w:rPr>
          <w:b w:val="0"/>
        </w:rPr>
        <w:t>p</w:t>
      </w:r>
      <w:r w:rsidRPr="00E91623">
        <w:rPr>
          <w:b w:val="0"/>
        </w:rPr>
        <w:t xml:space="preserve">říloha č. 3 zákona </w:t>
      </w:r>
      <w:r w:rsidR="00BE1DF9" w:rsidRPr="00E91623">
        <w:rPr>
          <w:b w:val="0"/>
        </w:rPr>
        <w:t>o o</w:t>
      </w:r>
      <w:r w:rsidR="00380891" w:rsidRPr="00E91623">
        <w:rPr>
          <w:b w:val="0"/>
        </w:rPr>
        <w:t>balech</w:t>
      </w:r>
      <w:r w:rsidRPr="00E91623">
        <w:rPr>
          <w:b w:val="0"/>
        </w:rPr>
        <w:t xml:space="preserve">; </w:t>
      </w:r>
      <w:r w:rsidR="00641492">
        <w:rPr>
          <w:b w:val="0"/>
        </w:rPr>
        <w:t>materiál MŽP „</w:t>
      </w:r>
      <w:r w:rsidR="00446AF0">
        <w:rPr>
          <w:b w:val="0"/>
        </w:rPr>
        <w:t>r</w:t>
      </w:r>
      <w:r w:rsidRPr="00E91623">
        <w:rPr>
          <w:b w:val="0"/>
        </w:rPr>
        <w:t>ozhodnutí o autorizaci</w:t>
      </w:r>
      <w:r w:rsidR="00641492">
        <w:rPr>
          <w:b w:val="0"/>
        </w:rPr>
        <w:t>“</w:t>
      </w:r>
      <w:r w:rsidRPr="00E91623">
        <w:rPr>
          <w:b w:val="0"/>
        </w:rPr>
        <w:t xml:space="preserve"> ve znění změny ze dne 20. </w:t>
      </w:r>
      <w:r w:rsidR="00641492">
        <w:rPr>
          <w:b w:val="0"/>
        </w:rPr>
        <w:t>2.</w:t>
      </w:r>
      <w:r w:rsidRPr="00E91623">
        <w:rPr>
          <w:b w:val="0"/>
        </w:rPr>
        <w:t xml:space="preserve"> 2014.</w:t>
      </w:r>
    </w:p>
    <w:sectPr w:rsidR="00AF61D1" w:rsidRPr="00E91623" w:rsidSect="00170C39">
      <w:headerReference w:type="default" r:id="rId26"/>
      <w:footerReference w:type="default" r:id="rId27"/>
      <w:footerReference w:type="firs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666A8" w14:textId="77777777" w:rsidR="007265D4" w:rsidRDefault="007265D4">
      <w:r>
        <w:separator/>
      </w:r>
    </w:p>
  </w:endnote>
  <w:endnote w:type="continuationSeparator" w:id="0">
    <w:p w14:paraId="59990FAF" w14:textId="77777777" w:rsidR="007265D4" w:rsidRDefault="0072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508844"/>
      <w:docPartObj>
        <w:docPartGallery w:val="Page Numbers (Bottom of Page)"/>
        <w:docPartUnique/>
      </w:docPartObj>
    </w:sdtPr>
    <w:sdtEndPr/>
    <w:sdtContent>
      <w:p w14:paraId="75438987" w14:textId="77777777" w:rsidR="007265D4" w:rsidRDefault="007265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3AFFEE90" w14:textId="77777777" w:rsidR="007265D4" w:rsidRDefault="007265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8303" w14:textId="77777777" w:rsidR="007265D4" w:rsidRDefault="007265D4">
    <w:pPr>
      <w:pStyle w:val="Zpat"/>
      <w:jc w:val="center"/>
    </w:pPr>
  </w:p>
  <w:p w14:paraId="0937EEDF" w14:textId="77777777" w:rsidR="007265D4" w:rsidRDefault="007265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D0D56" w14:textId="77777777" w:rsidR="007265D4" w:rsidRDefault="007265D4" w:rsidP="00CA2C1A">
      <w:r>
        <w:separator/>
      </w:r>
    </w:p>
  </w:footnote>
  <w:footnote w:type="continuationSeparator" w:id="0">
    <w:p w14:paraId="5A7EDC8B" w14:textId="77777777" w:rsidR="007265D4" w:rsidRDefault="007265D4" w:rsidP="00CA2C1A">
      <w:r>
        <w:continuationSeparator/>
      </w:r>
    </w:p>
  </w:footnote>
  <w:footnote w:id="1">
    <w:p w14:paraId="15065CDB" w14:textId="77777777" w:rsidR="007265D4" w:rsidRDefault="007265D4" w:rsidP="0078213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20E3F">
        <w:t xml:space="preserve">Zákon </w:t>
      </w:r>
      <w:bookmarkStart w:id="3" w:name="_Hlk100915389"/>
      <w:r w:rsidRPr="00820E3F">
        <w:t>č. 185/2001 Sb., o odpadech</w:t>
      </w:r>
      <w:r>
        <w:t xml:space="preserve"> </w:t>
      </w:r>
      <w:r w:rsidRPr="00903588">
        <w:t>a o změně některých dalších zákonů</w:t>
      </w:r>
      <w:r>
        <w:t xml:space="preserve"> </w:t>
      </w:r>
      <w:bookmarkEnd w:id="3"/>
      <w:r>
        <w:t>(dále také „zákon o odpadech“).</w:t>
      </w:r>
    </w:p>
  </w:footnote>
  <w:footnote w:id="2">
    <w:p w14:paraId="3024FA07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Ke dni 31. 12. 2020.</w:t>
      </w:r>
    </w:p>
  </w:footnote>
  <w:footnote w:id="3">
    <w:p w14:paraId="1598A86D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Komunálním odpadem se rozumí směsný a tříděný odpad z domácností a dále směsný odpad a tříděný odpad z jiných zdrojů, pokud je co do povahy a složení podobný odpadu z domácností. Přesná definice je uvedena v čl. 3 odst. </w:t>
      </w:r>
      <w:proofErr w:type="gramStart"/>
      <w:r>
        <w:t>2b</w:t>
      </w:r>
      <w:proofErr w:type="gramEnd"/>
      <w:r>
        <w:t xml:space="preserve"> </w:t>
      </w:r>
      <w:bookmarkStart w:id="4" w:name="_Hlk100915470"/>
      <w:r w:rsidRPr="008F07F5">
        <w:t>směrnice Evropského parlamentu a Rady 2008/98/ES ze dne 19. listopadu 2008</w:t>
      </w:r>
      <w:r>
        <w:t>,</w:t>
      </w:r>
      <w:r w:rsidRPr="008F07F5">
        <w:t xml:space="preserve"> o odpadech a</w:t>
      </w:r>
      <w:r>
        <w:t> </w:t>
      </w:r>
      <w:r w:rsidRPr="008F07F5">
        <w:t>o</w:t>
      </w:r>
      <w:r>
        <w:t> </w:t>
      </w:r>
      <w:r w:rsidRPr="008F07F5">
        <w:t xml:space="preserve">zrušení některých směrnic </w:t>
      </w:r>
      <w:bookmarkEnd w:id="4"/>
      <w:r w:rsidRPr="008F07F5">
        <w:t>(dále také „směrnice o odpadech“)</w:t>
      </w:r>
      <w:r>
        <w:t>.</w:t>
      </w:r>
    </w:p>
  </w:footnote>
  <w:footnote w:id="4">
    <w:p w14:paraId="1C8214D3" w14:textId="7CEF14C8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229/2014 Sb., </w:t>
      </w:r>
      <w:r w:rsidRPr="00D50970">
        <w:t>kterým se mění zákon č. 185/2001 Sb., o odpadech a o změně některých dalších zákonů, ve znění pozdějších předpisů</w:t>
      </w:r>
      <w:r>
        <w:t xml:space="preserve">; </w:t>
      </w:r>
      <w:bookmarkStart w:id="5" w:name="_Hlk100915722"/>
      <w:r>
        <w:t>z</w:t>
      </w:r>
      <w:r w:rsidRPr="009602FC">
        <w:t>ákon č. 541/2020 Sb., o odpadech</w:t>
      </w:r>
      <w:bookmarkEnd w:id="5"/>
      <w:r>
        <w:t>,</w:t>
      </w:r>
      <w:r w:rsidRPr="009602FC">
        <w:t xml:space="preserve"> (dále také „nový zákon o</w:t>
      </w:r>
      <w:r>
        <w:t> </w:t>
      </w:r>
      <w:r w:rsidRPr="009602FC">
        <w:t xml:space="preserve">odpadech“) </w:t>
      </w:r>
      <w:r>
        <w:t>posunul zákaz skládkování na rok 2030.</w:t>
      </w:r>
    </w:p>
  </w:footnote>
  <w:footnote w:id="5">
    <w:p w14:paraId="4565911C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48 odst. 3 zákona č. 185/2001 Sb., o odpadech </w:t>
      </w:r>
      <w:r w:rsidRPr="00287329">
        <w:t>a o změně některých dalších zákonů</w:t>
      </w:r>
      <w:r>
        <w:t>.</w:t>
      </w:r>
    </w:p>
  </w:footnote>
  <w:footnote w:id="6">
    <w:p w14:paraId="647CAA53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bookmarkStart w:id="6" w:name="_Hlk100915188"/>
      <w:r w:rsidRPr="00E37B88">
        <w:t>Zákon č. 218/2000 Sb., o rozpočtových pravidlech a o změně některých souvisejících zákonů (rozpočtová pravidla).</w:t>
      </w:r>
      <w:bookmarkEnd w:id="6"/>
    </w:p>
  </w:footnote>
  <w:footnote w:id="7">
    <w:p w14:paraId="1D9F131D" w14:textId="5F5D78CF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V roce 2015 bylo na skládky uloženo 47 % KO, v letech 2016 a 2017 se podíl skládkovaných komunálních odpadů snížil na 45 %, v letech 2018 a 2019 bylo skládkováno 46 % KO a v roce 2020 bylo skládkováno 48 % KO.</w:t>
      </w:r>
    </w:p>
  </w:footnote>
  <w:footnote w:id="8">
    <w:p w14:paraId="7AACF4A8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C74F4">
        <w:t>Zákon č. 541/2020 Sb., o odpadech</w:t>
      </w:r>
      <w:r>
        <w:t>,</w:t>
      </w:r>
      <w:r w:rsidRPr="005C74F4">
        <w:t xml:space="preserve"> </w:t>
      </w:r>
      <w:r>
        <w:t>byl schválen Parlamentem ČR 1. 12. 2020 s účinností od 1. 1. 2021</w:t>
      </w:r>
      <w:r w:rsidRPr="005C74F4">
        <w:t>.</w:t>
      </w:r>
    </w:p>
  </w:footnote>
  <w:footnote w:id="9">
    <w:p w14:paraId="5832C8EA" w14:textId="306CD8E2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23097">
        <w:t>Podle zákona o odpadech byl S</w:t>
      </w:r>
      <w:r>
        <w:t>FŽP p</w:t>
      </w:r>
      <w:r w:rsidRPr="00523097">
        <w:t>říjemcem části vybraných poplatků</w:t>
      </w:r>
      <w:r>
        <w:t>,</w:t>
      </w:r>
      <w:r w:rsidRPr="00523097">
        <w:t xml:space="preserve"> a</w:t>
      </w:r>
      <w:r>
        <w:t>však</w:t>
      </w:r>
      <w:r w:rsidRPr="00523097">
        <w:t xml:space="preserve"> neměl kontrolní pravomoc pro</w:t>
      </w:r>
      <w:r>
        <w:t xml:space="preserve"> </w:t>
      </w:r>
      <w:r w:rsidRPr="00523097">
        <w:t>kontrolu průběžné evidence ukládaných odpadů na skládku. Tuto pravomoc měl</w:t>
      </w:r>
      <w:r>
        <w:t>a</w:t>
      </w:r>
      <w:r w:rsidRPr="00523097">
        <w:t xml:space="preserve"> Č</w:t>
      </w:r>
      <w:r>
        <w:t xml:space="preserve">eská inspekce životního prostředí, krajské úřady a </w:t>
      </w:r>
      <w:r w:rsidRPr="00523097">
        <w:t>příslušné obce, na jejichž katastrálním území skládky leží</w:t>
      </w:r>
      <w:r>
        <w:t>.</w:t>
      </w:r>
    </w:p>
  </w:footnote>
  <w:footnote w:id="10">
    <w:p w14:paraId="2F52AAD3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</w:t>
      </w:r>
      <w:bookmarkStart w:id="7" w:name="_Hlk100915781"/>
      <w:r>
        <w:t xml:space="preserve">č. 134/2016 Sb., o zadávání veřejných zakázek </w:t>
      </w:r>
      <w:bookmarkEnd w:id="7"/>
      <w:r>
        <w:t>(dále také „zákon o zadávání veřejných zakázek“).</w:t>
      </w:r>
    </w:p>
  </w:footnote>
  <w:footnote w:id="11">
    <w:p w14:paraId="1170371F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</w:t>
      </w:r>
      <w:bookmarkStart w:id="8" w:name="_Hlk100915846"/>
      <w:r>
        <w:t xml:space="preserve">č. 563/1991 Sb., o účetnictví </w:t>
      </w:r>
      <w:bookmarkEnd w:id="8"/>
      <w:r>
        <w:t>(dále také „zákon o účetnictví“).</w:t>
      </w:r>
    </w:p>
  </w:footnote>
  <w:footnote w:id="12">
    <w:p w14:paraId="18FF6B45" w14:textId="6F477000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Směrnice Evropského parlamentu a Rady (EU) 2018/849 ze dne 30. května 2018, kterou se mění směrnice 2000/53/ES o vozidlech s ukončenou životností, 2006/66/ES o bateriích a akumulátorech a odpadních bateriích a akumulátorech a 2012/19/EU o odpadních elektrických a elektronických zařízeních; směrnice Evropského parlamentu a Rady (EU) 2018/850 ze dne 30. května 2018, kterou se mění směrnice 1999/31/ES o skládkách odpadů; směrnice Evropského parlamentu a Rady (EU) 2018/851 ze dne 30. května 2018, kterou se mění směrnice 2008/98/ES o odpadech; směrnice Evropského parlamentu a Rady (EU) 2018/852 ze dne 30. května 2018, kterou se mění směrnice 94/62/ES o obalech a obalových odpadech; směrnice Evropského parlamentu a Rady (EU) 2019/904 ze dne 5. června 2019, o omezení dopadu některých plastových výrobků na životní prostředí.</w:t>
      </w:r>
    </w:p>
  </w:footnote>
  <w:footnote w:id="13">
    <w:p w14:paraId="19C2E2BA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Směrnice Rady 1999/31/ES ze dne 26. dubna 1999, o skládkách odpadů.</w:t>
      </w:r>
    </w:p>
  </w:footnote>
  <w:footnote w:id="14">
    <w:p w14:paraId="6480B6EF" w14:textId="77777777" w:rsidR="007265D4" w:rsidRDefault="007265D4" w:rsidP="0046728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23DE2">
        <w:t>Ustanovení § 42 odst. 7 zákona č. 185/2001 Sb., o odpadech a o změně některých dalších zákonů.</w:t>
      </w:r>
    </w:p>
  </w:footnote>
  <w:footnote w:id="15">
    <w:p w14:paraId="38F6E5F6" w14:textId="3C43E07C" w:rsidR="007265D4" w:rsidRPr="004628D9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Strategický cíl č. 1 POH: „</w:t>
      </w:r>
      <w:r>
        <w:rPr>
          <w:i/>
        </w:rPr>
        <w:t>p</w:t>
      </w:r>
      <w:r w:rsidRPr="00A24CB8">
        <w:rPr>
          <w:i/>
        </w:rPr>
        <w:t>ředcházení vzniku odpadů a snižování měrné produkce odpadů</w:t>
      </w:r>
      <w:r w:rsidRPr="0046728D">
        <w:t>“.</w:t>
      </w:r>
    </w:p>
  </w:footnote>
  <w:footnote w:id="16">
    <w:p w14:paraId="72E0E0DC" w14:textId="5EF9CB15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E691A">
        <w:t xml:space="preserve">Strategický cíl č. 2 POH: </w:t>
      </w:r>
      <w:r>
        <w:t>„</w:t>
      </w:r>
      <w:r>
        <w:rPr>
          <w:i/>
        </w:rPr>
        <w:t>m</w:t>
      </w:r>
      <w:r w:rsidRPr="00A24CB8">
        <w:rPr>
          <w:i/>
        </w:rPr>
        <w:t xml:space="preserve">inimalizace nepříznivých účinků vzniku odpadů a nakládání s nimi na lidské zdraví </w:t>
      </w:r>
      <w:r>
        <w:rPr>
          <w:i/>
        </w:rPr>
        <w:br/>
      </w:r>
      <w:r w:rsidRPr="00A24CB8">
        <w:rPr>
          <w:i/>
        </w:rPr>
        <w:t>a</w:t>
      </w:r>
      <w:r>
        <w:rPr>
          <w:i/>
        </w:rPr>
        <w:t xml:space="preserve"> </w:t>
      </w:r>
      <w:r w:rsidRPr="00A24CB8">
        <w:rPr>
          <w:i/>
        </w:rPr>
        <w:t>životní prostředí</w:t>
      </w:r>
      <w:r>
        <w:t>“</w:t>
      </w:r>
      <w:r w:rsidRPr="002E691A">
        <w:t xml:space="preserve"> a hlavní cíl č. 12 POH: </w:t>
      </w:r>
      <w:r>
        <w:t>„</w:t>
      </w:r>
      <w:r>
        <w:rPr>
          <w:i/>
        </w:rPr>
        <w:t>m</w:t>
      </w:r>
      <w:r w:rsidRPr="00A24CB8">
        <w:rPr>
          <w:i/>
        </w:rPr>
        <w:t>inimalizovat negativní účinky při nakládání s nebezpečnými odpady na lidské zdraví a životní prostředí</w:t>
      </w:r>
      <w:r>
        <w:t>“</w:t>
      </w:r>
      <w:r w:rsidRPr="002E691A">
        <w:t>.</w:t>
      </w:r>
    </w:p>
  </w:footnote>
  <w:footnote w:id="17">
    <w:p w14:paraId="381F579A" w14:textId="322BD1DE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24CB8">
        <w:rPr>
          <w:i/>
        </w:rPr>
        <w:t>Zpráva o plnění cílů Plánu odpadového hospodářství České republiky za období 2015–2016</w:t>
      </w:r>
      <w:r>
        <w:t xml:space="preserve"> (1. hodnotící zpráva), prosinec 2017; </w:t>
      </w:r>
      <w:r w:rsidRPr="00A24CB8">
        <w:rPr>
          <w:i/>
        </w:rPr>
        <w:t>Zpráva o plnění cílů Plánu odpadového hospodářství České republiky za období</w:t>
      </w:r>
      <w:r>
        <w:rPr>
          <w:i/>
        </w:rPr>
        <w:br/>
      </w:r>
      <w:r w:rsidRPr="00A24CB8">
        <w:rPr>
          <w:i/>
        </w:rPr>
        <w:t>201</w:t>
      </w:r>
      <w:r>
        <w:rPr>
          <w:i/>
        </w:rPr>
        <w:t>7</w:t>
      </w:r>
      <w:r w:rsidRPr="00A24CB8">
        <w:rPr>
          <w:i/>
        </w:rPr>
        <w:t>–201</w:t>
      </w:r>
      <w:r>
        <w:rPr>
          <w:i/>
        </w:rPr>
        <w:t>8</w:t>
      </w:r>
      <w:r w:rsidRPr="001A1D48">
        <w:t xml:space="preserve"> (</w:t>
      </w:r>
      <w:r>
        <w:t>2</w:t>
      </w:r>
      <w:r w:rsidRPr="001A1D48">
        <w:t xml:space="preserve">. </w:t>
      </w:r>
      <w:r>
        <w:t>h</w:t>
      </w:r>
      <w:r w:rsidRPr="001A1D48">
        <w:t xml:space="preserve">odnotící zpráva), </w:t>
      </w:r>
      <w:r>
        <w:t xml:space="preserve">listopad </w:t>
      </w:r>
      <w:r w:rsidRPr="001A1D48">
        <w:t>201</w:t>
      </w:r>
      <w:r>
        <w:t>9.</w:t>
      </w:r>
    </w:p>
  </w:footnote>
  <w:footnote w:id="18">
    <w:p w14:paraId="25707634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Analýza: </w:t>
      </w:r>
      <w:r>
        <w:rPr>
          <w:i/>
        </w:rPr>
        <w:t>P</w:t>
      </w:r>
      <w:r w:rsidRPr="00A24CB8">
        <w:rPr>
          <w:i/>
        </w:rPr>
        <w:t>odklad</w:t>
      </w:r>
      <w:r>
        <w:rPr>
          <w:i/>
        </w:rPr>
        <w:t>y</w:t>
      </w:r>
      <w:r w:rsidRPr="00A24CB8">
        <w:rPr>
          <w:i/>
        </w:rPr>
        <w:t xml:space="preserve"> pro oblast podpory odpadového a oběhového hospodářství jako součást Programového dokumentu v Operačním programu Životní prostředí 2021–2027</w:t>
      </w:r>
      <w:r>
        <w:t xml:space="preserve"> zpracovaná společností Ernst &amp; </w:t>
      </w:r>
      <w:proofErr w:type="spellStart"/>
      <w:r>
        <w:t>Young</w:t>
      </w:r>
      <w:proofErr w:type="spellEnd"/>
      <w:r>
        <w:t>, s.r.o.; cena analýzy 3,4 mil. Kč.</w:t>
      </w:r>
    </w:p>
  </w:footnote>
  <w:footnote w:id="19">
    <w:p w14:paraId="667378C3" w14:textId="77777777" w:rsidR="007265D4" w:rsidRDefault="007265D4" w:rsidP="0046728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Jedná se např. o data o volných kapacitách skládek či data o produkci vybraných obalových odpadů.</w:t>
      </w:r>
    </w:p>
  </w:footnote>
  <w:footnote w:id="20">
    <w:p w14:paraId="76ECC2CE" w14:textId="77777777" w:rsidR="007265D4" w:rsidRDefault="007265D4" w:rsidP="005F4D3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92525">
        <w:t>S účinností od 1. 1. 2015.</w:t>
      </w:r>
    </w:p>
  </w:footnote>
  <w:footnote w:id="21">
    <w:p w14:paraId="620C3648" w14:textId="00EBF85E" w:rsidR="007265D4" w:rsidRPr="0046728D" w:rsidRDefault="007265D4" w:rsidP="0046728D">
      <w:pPr>
        <w:ind w:left="284" w:hanging="284"/>
        <w:jc w:val="both"/>
        <w:rPr>
          <w:rStyle w:val="Znakapoznpodarou"/>
          <w:rFonts w:eastAsiaTheme="majorEastAsia"/>
          <w:vertAlign w:val="baseline"/>
        </w:rPr>
      </w:pPr>
      <w:r w:rsidRPr="00820915">
        <w:rPr>
          <w:rStyle w:val="Znakapoznpodarou"/>
          <w:sz w:val="20"/>
          <w:szCs w:val="20"/>
        </w:rPr>
        <w:footnoteRef/>
      </w:r>
      <w:r w:rsidRPr="00820915">
        <w:rPr>
          <w:sz w:val="20"/>
          <w:szCs w:val="20"/>
        </w:rPr>
        <w:t xml:space="preserve"> </w:t>
      </w:r>
      <w:r w:rsidRPr="00451F64">
        <w:tab/>
      </w:r>
      <w:r w:rsidRPr="00827660">
        <w:rPr>
          <w:sz w:val="20"/>
          <w:szCs w:val="20"/>
        </w:rPr>
        <w:t xml:space="preserve">Investiční priorita 1 prioritní osy 3: </w:t>
      </w:r>
      <w:r w:rsidRPr="00827660">
        <w:rPr>
          <w:i/>
          <w:sz w:val="20"/>
          <w:szCs w:val="20"/>
        </w:rPr>
        <w:t xml:space="preserve">Zachování a ochrana životního prostředí a podporování účinného využívání zdrojů investicemi do odpadového hospodářství s cílem plnit požadavky </w:t>
      </w:r>
      <w:proofErr w:type="spellStart"/>
      <w:r w:rsidRPr="00827660">
        <w:rPr>
          <w:i/>
          <w:sz w:val="20"/>
          <w:szCs w:val="20"/>
        </w:rPr>
        <w:t>acquis</w:t>
      </w:r>
      <w:proofErr w:type="spellEnd"/>
      <w:r w:rsidRPr="00827660">
        <w:rPr>
          <w:i/>
          <w:sz w:val="20"/>
          <w:szCs w:val="20"/>
        </w:rPr>
        <w:t xml:space="preserve"> Unie v oblasti životního prostředí a řešením potřeb investic, které podle zjištění členských států přesahují rámec těchto požadavků (dle nařízení Evropského parlamentu a Rady (EU) č. 1300/2013 čl. 4 odst. c) písm. i))</w:t>
      </w:r>
      <w:r w:rsidRPr="00827660">
        <w:rPr>
          <w:sz w:val="20"/>
          <w:szCs w:val="20"/>
        </w:rPr>
        <w:t>.</w:t>
      </w:r>
    </w:p>
  </w:footnote>
  <w:footnote w:id="22">
    <w:p w14:paraId="098B625E" w14:textId="6F33B351" w:rsidR="007265D4" w:rsidRPr="00F72AB9" w:rsidRDefault="007265D4" w:rsidP="0046728D">
      <w:pPr>
        <w:pStyle w:val="Textpoznpodarou"/>
        <w:ind w:left="284" w:hanging="284"/>
        <w:jc w:val="both"/>
      </w:pPr>
      <w:r w:rsidRPr="00F72AB9">
        <w:rPr>
          <w:rStyle w:val="Znakapoznpodarou"/>
          <w:rFonts w:eastAsiaTheme="majorEastAsia"/>
        </w:rPr>
        <w:footnoteRef/>
      </w:r>
      <w:r w:rsidRPr="00F72AB9">
        <w:t xml:space="preserve"> </w:t>
      </w:r>
      <w:r>
        <w:tab/>
      </w:r>
      <w:r w:rsidRPr="00F72AB9">
        <w:t xml:space="preserve">Evropská komise např. již v dokumentu </w:t>
      </w:r>
      <w:proofErr w:type="spellStart"/>
      <w:r w:rsidRPr="0046728D">
        <w:rPr>
          <w:i/>
        </w:rPr>
        <w:t>Roadmap</w:t>
      </w:r>
      <w:proofErr w:type="spellEnd"/>
      <w:r w:rsidRPr="0046728D">
        <w:rPr>
          <w:i/>
        </w:rPr>
        <w:t xml:space="preserve"> </w:t>
      </w:r>
      <w:proofErr w:type="spellStart"/>
      <w:r w:rsidRPr="0046728D">
        <w:rPr>
          <w:i/>
        </w:rPr>
        <w:t>for</w:t>
      </w:r>
      <w:proofErr w:type="spellEnd"/>
      <w:r w:rsidRPr="0046728D">
        <w:rPr>
          <w:i/>
        </w:rPr>
        <w:t xml:space="preserve"> Czech </w:t>
      </w:r>
      <w:proofErr w:type="gramStart"/>
      <w:r w:rsidRPr="0046728D">
        <w:rPr>
          <w:i/>
        </w:rPr>
        <w:t>Republic - Support</w:t>
      </w:r>
      <w:proofErr w:type="gramEnd"/>
      <w:r w:rsidRPr="0046728D">
        <w:rPr>
          <w:i/>
        </w:rPr>
        <w:t xml:space="preserve"> to </w:t>
      </w:r>
      <w:proofErr w:type="spellStart"/>
      <w:r w:rsidRPr="0046728D">
        <w:rPr>
          <w:i/>
        </w:rPr>
        <w:t>Member</w:t>
      </w:r>
      <w:proofErr w:type="spellEnd"/>
      <w:r w:rsidRPr="0046728D">
        <w:rPr>
          <w:i/>
        </w:rPr>
        <w:t xml:space="preserve"> </w:t>
      </w:r>
      <w:proofErr w:type="spellStart"/>
      <w:r w:rsidRPr="0046728D">
        <w:rPr>
          <w:i/>
        </w:rPr>
        <w:t>States</w:t>
      </w:r>
      <w:proofErr w:type="spellEnd"/>
      <w:r w:rsidRPr="0046728D">
        <w:rPr>
          <w:i/>
        </w:rPr>
        <w:t xml:space="preserve"> in </w:t>
      </w:r>
      <w:proofErr w:type="spellStart"/>
      <w:r w:rsidRPr="0046728D">
        <w:rPr>
          <w:i/>
        </w:rPr>
        <w:t>improving</w:t>
      </w:r>
      <w:proofErr w:type="spellEnd"/>
      <w:r w:rsidRPr="0046728D">
        <w:rPr>
          <w:i/>
        </w:rPr>
        <w:t xml:space="preserve"> </w:t>
      </w:r>
      <w:proofErr w:type="spellStart"/>
      <w:r w:rsidRPr="0046728D">
        <w:rPr>
          <w:i/>
        </w:rPr>
        <w:t>waste</w:t>
      </w:r>
      <w:proofErr w:type="spellEnd"/>
      <w:r w:rsidRPr="0046728D">
        <w:rPr>
          <w:i/>
        </w:rPr>
        <w:t xml:space="preserve"> management </w:t>
      </w:r>
      <w:proofErr w:type="spellStart"/>
      <w:r w:rsidRPr="0046728D">
        <w:rPr>
          <w:i/>
        </w:rPr>
        <w:t>based</w:t>
      </w:r>
      <w:proofErr w:type="spellEnd"/>
      <w:r w:rsidRPr="0046728D">
        <w:rPr>
          <w:i/>
        </w:rPr>
        <w:t xml:space="preserve"> on </w:t>
      </w:r>
      <w:proofErr w:type="spellStart"/>
      <w:r w:rsidRPr="0046728D">
        <w:rPr>
          <w:i/>
        </w:rPr>
        <w:t>assessment</w:t>
      </w:r>
      <w:proofErr w:type="spellEnd"/>
      <w:r w:rsidRPr="0046728D">
        <w:rPr>
          <w:i/>
        </w:rPr>
        <w:t xml:space="preserve"> </w:t>
      </w:r>
      <w:proofErr w:type="spellStart"/>
      <w:r w:rsidRPr="0046728D">
        <w:rPr>
          <w:i/>
        </w:rPr>
        <w:t>of</w:t>
      </w:r>
      <w:proofErr w:type="spellEnd"/>
      <w:r w:rsidRPr="0046728D">
        <w:rPr>
          <w:i/>
        </w:rPr>
        <w:t xml:space="preserve"> </w:t>
      </w:r>
      <w:proofErr w:type="spellStart"/>
      <w:r w:rsidRPr="0046728D">
        <w:rPr>
          <w:i/>
        </w:rPr>
        <w:t>Member</w:t>
      </w:r>
      <w:proofErr w:type="spellEnd"/>
      <w:r w:rsidRPr="0046728D">
        <w:rPr>
          <w:i/>
        </w:rPr>
        <w:t xml:space="preserve"> </w:t>
      </w:r>
      <w:proofErr w:type="spellStart"/>
      <w:r w:rsidRPr="0046728D">
        <w:rPr>
          <w:i/>
        </w:rPr>
        <w:t>States</w:t>
      </w:r>
      <w:proofErr w:type="spellEnd"/>
      <w:r w:rsidRPr="0046728D">
        <w:rPr>
          <w:i/>
        </w:rPr>
        <w:t>’ performance</w:t>
      </w:r>
      <w:r w:rsidRPr="00F72AB9">
        <w:t xml:space="preserve"> z roku 2011 České republice doporuč</w:t>
      </w:r>
      <w:r>
        <w:t>ila</w:t>
      </w:r>
      <w:r w:rsidRPr="00F72AB9">
        <w:t xml:space="preserve"> mj. postupně zvyšovat stávající poplatek ze skládkování s cílem odvést odpad ze</w:t>
      </w:r>
      <w:r>
        <w:t xml:space="preserve"> </w:t>
      </w:r>
      <w:r w:rsidRPr="00F72AB9">
        <w:t>skládek a</w:t>
      </w:r>
      <w:r>
        <w:t xml:space="preserve"> </w:t>
      </w:r>
      <w:r w:rsidRPr="00F72AB9">
        <w:t>využívat příjmy na podporu odděleného sběru a alternativní infrastruktury a také držet poplatky za</w:t>
      </w:r>
      <w:r>
        <w:t xml:space="preserve"> </w:t>
      </w:r>
      <w:r w:rsidRPr="00F72AB9">
        <w:t>skládkování vyšší než poplatky ze spalování.</w:t>
      </w:r>
    </w:p>
  </w:footnote>
  <w:footnote w:id="23">
    <w:p w14:paraId="43496D71" w14:textId="77777777" w:rsidR="007265D4" w:rsidRDefault="007265D4" w:rsidP="0046728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231236">
        <w:t>§ 157 zákona č. 541/2020 Sb.</w:t>
      </w:r>
    </w:p>
  </w:footnote>
  <w:footnote w:id="24">
    <w:p w14:paraId="72F851DA" w14:textId="2EC644BC" w:rsidR="007265D4" w:rsidRDefault="007265D4" w:rsidP="0046728D">
      <w:pPr>
        <w:pStyle w:val="Textpoznpodarou"/>
        <w:ind w:left="284" w:hanging="284"/>
        <w:jc w:val="both"/>
      </w:pPr>
      <w:r w:rsidRPr="00801AB2">
        <w:rPr>
          <w:rStyle w:val="Znakapoznpodarou"/>
        </w:rPr>
        <w:footnoteRef/>
      </w:r>
      <w:r w:rsidRPr="00801AB2">
        <w:t xml:space="preserve"> </w:t>
      </w:r>
      <w:r>
        <w:tab/>
        <w:t>V </w:t>
      </w:r>
      <w:r w:rsidRPr="00801AB2">
        <w:t>ČR</w:t>
      </w:r>
      <w:r>
        <w:t xml:space="preserve"> byla v roce 2021</w:t>
      </w:r>
      <w:r w:rsidRPr="00801AB2">
        <w:t xml:space="preserve"> provozován</w:t>
      </w:r>
      <w:r>
        <w:t>a</w:t>
      </w:r>
      <w:r w:rsidRPr="00801AB2">
        <w:t xml:space="preserve"> čtyři</w:t>
      </w:r>
      <w:r>
        <w:t xml:space="preserve"> zařízení pro energetické využití odpadu</w:t>
      </w:r>
      <w:r w:rsidRPr="00801AB2">
        <w:t xml:space="preserve"> (v Praze, Plzni, Liberci a Brně</w:t>
      </w:r>
      <w:r>
        <w:t>)</w:t>
      </w:r>
      <w:r w:rsidRPr="00801AB2">
        <w:t xml:space="preserve"> s celkovou maximální kapacitou 0,8 </w:t>
      </w:r>
      <w:proofErr w:type="spellStart"/>
      <w:r w:rsidRPr="00801AB2">
        <w:t>Mt</w:t>
      </w:r>
      <w:proofErr w:type="spellEnd"/>
      <w:r>
        <w:t>.</w:t>
      </w:r>
      <w:r w:rsidRPr="003A101A">
        <w:t xml:space="preserve"> Data pro výpočet jsou uvedena v příloze č. 5 </w:t>
      </w:r>
      <w:r>
        <w:t xml:space="preserve">tohoto </w:t>
      </w:r>
      <w:r w:rsidRPr="003A101A">
        <w:t>kontrolního závěru.</w:t>
      </w:r>
    </w:p>
  </w:footnote>
  <w:footnote w:id="25">
    <w:p w14:paraId="3B69152D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Ustanovení § 6 odst. 2 a § 36 odst. 1 zákona č. 134/2016 Sb., o zadávání veřejných zakázek.</w:t>
      </w:r>
    </w:p>
  </w:footnote>
  <w:footnote w:id="26">
    <w:p w14:paraId="495E384A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A863EE">
        <w:t>stanovení § 44 odst. 1 písm. j) zákona č. 218/2000 Sb.</w:t>
      </w:r>
      <w:r>
        <w:t>,</w:t>
      </w:r>
      <w:r w:rsidRPr="0039408D">
        <w:t xml:space="preserve"> </w:t>
      </w:r>
      <w:r w:rsidRPr="00E37B88">
        <w:t>o rozpočtových pravidlech a o změně některých souvisejících zákonů (rozpočtová pravidla).</w:t>
      </w:r>
    </w:p>
  </w:footnote>
  <w:footnote w:id="27">
    <w:p w14:paraId="3EA239A9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Zákon č. 563/1991 Sb., o účetnictví.</w:t>
      </w:r>
    </w:p>
  </w:footnote>
  <w:footnote w:id="28">
    <w:p w14:paraId="708AECDF" w14:textId="0983AA9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A863EE">
        <w:t>stanovení § 44 odst. 1 písm</w:t>
      </w:r>
      <w:r>
        <w:t>.</w:t>
      </w:r>
      <w:r w:rsidRPr="00A863EE">
        <w:t xml:space="preserve"> b) zákona č. 218/2000 Sb.</w:t>
      </w:r>
      <w:r>
        <w:t xml:space="preserve">, </w:t>
      </w:r>
      <w:r w:rsidRPr="00E37B88">
        <w:t>o rozpočtových pravidlech a o změně některých souvisejících zákonů (rozpočtová pravidla).</w:t>
      </w:r>
    </w:p>
  </w:footnote>
  <w:footnote w:id="29">
    <w:p w14:paraId="1CAE171B" w14:textId="1B34235F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Čl. </w:t>
      </w:r>
      <w:r w:rsidRPr="002E691A">
        <w:t xml:space="preserve">2 odst. 36 nařízení Evropského parlamentu a Rady (EU) č. 1303/2013 ze dne 17. </w:t>
      </w:r>
      <w:r>
        <w:t>prosince</w:t>
      </w:r>
      <w:r w:rsidRPr="002E691A">
        <w:t xml:space="preserve"> 2013</w:t>
      </w:r>
      <w:r>
        <w:t>,</w:t>
      </w:r>
      <w:r w:rsidRPr="002E691A">
        <w:t xml:space="preserve"> </w:t>
      </w:r>
      <w:r>
        <w:t>o 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 Evropském námořním a rybářském fondu a o zrušení nařízení Rady (ES) č. 1083/2006.</w:t>
      </w:r>
    </w:p>
  </w:footnote>
  <w:footnote w:id="30">
    <w:p w14:paraId="5DB93675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Ustanovení § 6 a § 26 zákona č. 320/2001 Sb., o finanční kontrole ve veřejné správě a o změně některých zákonů (zákon o finanční kontrole).</w:t>
      </w:r>
    </w:p>
  </w:footnote>
  <w:footnote w:id="31">
    <w:p w14:paraId="256B0391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Ustanovení § 13 odst. 2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</w:footnote>
  <w:footnote w:id="32">
    <w:p w14:paraId="15749C15" w14:textId="00DEB535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Doba od data, kdy příjemce dotace předloží podklady pro závěrečné vyhodnocení ke kontrole </w:t>
      </w:r>
      <w:r w:rsidRPr="0014296D">
        <w:t>Státní</w:t>
      </w:r>
      <w:r>
        <w:t>mu</w:t>
      </w:r>
      <w:r w:rsidRPr="0014296D">
        <w:t xml:space="preserve"> fond</w:t>
      </w:r>
      <w:r>
        <w:t>u</w:t>
      </w:r>
      <w:r w:rsidRPr="0014296D">
        <w:t xml:space="preserve"> životního prostředí</w:t>
      </w:r>
      <w:r>
        <w:t xml:space="preserve"> ČR, po schválení závěrečné zprávy o realizaci z formálního hlediska a z hlediska obsahové kvality Ministerstvem životního prostředí</w:t>
      </w:r>
      <w:r w:rsidRPr="00056232">
        <w:t xml:space="preserve"> jakožto říd</w:t>
      </w:r>
      <w:r>
        <w:t>i</w:t>
      </w:r>
      <w:r w:rsidRPr="00056232">
        <w:t>cí</w:t>
      </w:r>
      <w:r>
        <w:t>m</w:t>
      </w:r>
      <w:r w:rsidRPr="00056232">
        <w:t xml:space="preserve"> orgán</w:t>
      </w:r>
      <w:r>
        <w:t>em OPŽP.</w:t>
      </w:r>
    </w:p>
  </w:footnote>
  <w:footnote w:id="33">
    <w:p w14:paraId="35949344" w14:textId="53130F1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B11D0">
        <w:t xml:space="preserve">Operační manuál </w:t>
      </w:r>
      <w:r>
        <w:t>o</w:t>
      </w:r>
      <w:r w:rsidRPr="001B11D0">
        <w:t>perační</w:t>
      </w:r>
      <w:r>
        <w:t>ho</w:t>
      </w:r>
      <w:r w:rsidRPr="001B11D0">
        <w:t xml:space="preserve"> program</w:t>
      </w:r>
      <w:r>
        <w:t>u</w:t>
      </w:r>
      <w:r w:rsidRPr="001B11D0">
        <w:t xml:space="preserve"> </w:t>
      </w:r>
      <w:r w:rsidRPr="00187CA3">
        <w:rPr>
          <w:i/>
        </w:rPr>
        <w:t>Životní prostředí 2014</w:t>
      </w:r>
      <w:r w:rsidRPr="003B6C4B">
        <w:rPr>
          <w:i/>
        </w:rPr>
        <w:t>–</w:t>
      </w:r>
      <w:r w:rsidRPr="00187CA3">
        <w:rPr>
          <w:i/>
        </w:rPr>
        <w:t>2020</w:t>
      </w:r>
      <w:r w:rsidRPr="001B11D0">
        <w:t xml:space="preserve"> definuje pracovní postupy na úrovni </w:t>
      </w:r>
      <w:r>
        <w:t>ř</w:t>
      </w:r>
      <w:r w:rsidRPr="001B11D0">
        <w:t xml:space="preserve">ídicího orgánu a </w:t>
      </w:r>
      <w:r>
        <w:t>z</w:t>
      </w:r>
      <w:r w:rsidRPr="001B11D0">
        <w:t>prostředkujících subjektů</w:t>
      </w:r>
      <w:r>
        <w:t>. Tyto postupy slouží k náležitému</w:t>
      </w:r>
      <w:r w:rsidRPr="001B11D0">
        <w:t xml:space="preserve"> řízení implementace </w:t>
      </w:r>
      <w:r>
        <w:t>o</w:t>
      </w:r>
      <w:r w:rsidRPr="001B11D0">
        <w:t xml:space="preserve">peračního programu </w:t>
      </w:r>
      <w:r w:rsidRPr="00187CA3">
        <w:rPr>
          <w:i/>
        </w:rPr>
        <w:t>Životní prostředí 2014–2020</w:t>
      </w:r>
      <w:r w:rsidRPr="001B11D0">
        <w:t>.</w:t>
      </w:r>
    </w:p>
  </w:footnote>
  <w:footnote w:id="34">
    <w:p w14:paraId="1FE2760A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6 odst. 2 vyhlášky č. 560/2006 Sb., </w:t>
      </w:r>
      <w:r w:rsidRPr="00E110C4">
        <w:t>o účasti státního rozpočtu na financování programů reprodukce majetku</w:t>
      </w:r>
      <w:r>
        <w:t>.</w:t>
      </w:r>
    </w:p>
  </w:footnote>
  <w:footnote w:id="35">
    <w:p w14:paraId="4DD72B68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Směrnice Evropského parlamentu a Rady (EU) 2018/849 ze dne 30. května 2018, kterou se mění směrnice 2000/53/ES o vozidlech s ukončenou životností, 2006/66/ES o bateriích a akumulátorech a odpadních bateriích a akumulátorech a 2012/19/EU o odpadních elektrických a elektronických zařízeních; směrnice Evropského parlamentu a Rady (EU) 2018/850 ze dne 30. května 2018, kterou se mění směrnice 1999/31/ES o skládkách odpadů; směrnice Evropského parlamentu a Rady (EU) 2018/851 ze dne 30. května 2018, kterou se mění směrnice 2008/98/ES o odpadech; směrnice Evropského parlamentu a Rady (EU) 2018/852 ze dne 30. května 2018, kterou se mění směrnice 94/62/ES o obalech a obalových odpadech.</w:t>
      </w:r>
    </w:p>
  </w:footnote>
  <w:footnote w:id="36">
    <w:p w14:paraId="52A92373" w14:textId="18B346EF" w:rsidR="007265D4" w:rsidRDefault="007265D4" w:rsidP="00187CA3">
      <w:pPr>
        <w:pStyle w:val="Textpoznpodarou"/>
        <w:ind w:left="284" w:hanging="284"/>
        <w:jc w:val="both"/>
      </w:pPr>
      <w:r w:rsidRPr="002E11BF">
        <w:rPr>
          <w:rStyle w:val="Znakapoznpodarou"/>
        </w:rPr>
        <w:footnoteRef/>
      </w:r>
      <w:r>
        <w:tab/>
      </w:r>
      <w:r w:rsidRPr="002E11BF">
        <w:t xml:space="preserve">Zákon č. 541/2020 Sb., o odpadech; </w:t>
      </w:r>
      <w:r>
        <w:t>z</w:t>
      </w:r>
      <w:r w:rsidRPr="002E11BF">
        <w:t xml:space="preserve">ákon č. 542/2020 Sb., o výrobcích s ukončenou životností; </w:t>
      </w:r>
      <w:r>
        <w:t>z</w:t>
      </w:r>
      <w:r w:rsidRPr="002E11BF">
        <w:t xml:space="preserve">ákon č. 543/2020 Sb., kterým se mění některé zákony v souvislosti s přijetím zákona o odpadech a zákona o výrobcích s ukončenou životností; </w:t>
      </w:r>
      <w:r>
        <w:t>z</w:t>
      </w:r>
      <w:r w:rsidRPr="002E11BF">
        <w:t>ákon č. 545/2020 Sb., kterým se mění zákon č. 477/2001 Sb., o obalech a o změně některých zákonů (zákon o obalech), ve znění pozdějších předpisů</w:t>
      </w:r>
      <w:r>
        <w:t>.</w:t>
      </w:r>
    </w:p>
  </w:footnote>
  <w:footnote w:id="37">
    <w:p w14:paraId="3DC1D77B" w14:textId="35CF2C12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S</w:t>
      </w:r>
      <w:r w:rsidRPr="000536A1">
        <w:t>měrnic</w:t>
      </w:r>
      <w:r>
        <w:t>e</w:t>
      </w:r>
      <w:r w:rsidRPr="000536A1">
        <w:t xml:space="preserve"> Evropského parlamentu a Rady (EU) 2019/904 ze dne 5. června 2019</w:t>
      </w:r>
      <w:r>
        <w:t>,</w:t>
      </w:r>
      <w:r w:rsidRPr="000536A1">
        <w:t xml:space="preserve"> o omezení dopadu některých plastových výrobků na životní prostředí.</w:t>
      </w:r>
    </w:p>
  </w:footnote>
  <w:footnote w:id="38">
    <w:p w14:paraId="50746851" w14:textId="056B6D05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Č</w:t>
      </w:r>
      <w:r w:rsidRPr="00B132DD">
        <w:t>l. 7 odst. 1 směrnice Evropského parlamentu a Rady 2012/19/ES</w:t>
      </w:r>
      <w:r>
        <w:t xml:space="preserve"> ze dne </w:t>
      </w:r>
      <w:r w:rsidRPr="00B132DD">
        <w:t>4. července 2012</w:t>
      </w:r>
      <w:r>
        <w:t>,</w:t>
      </w:r>
      <w:r w:rsidRPr="00B132DD">
        <w:t xml:space="preserve"> o odpadních </w:t>
      </w:r>
      <w:r>
        <w:t>e</w:t>
      </w:r>
      <w:r w:rsidRPr="00B132DD">
        <w:t>lektrických a elektronických zařízeních</w:t>
      </w:r>
      <w:r>
        <w:t xml:space="preserve">; </w:t>
      </w:r>
      <w:r w:rsidRPr="00B132DD">
        <w:t xml:space="preserve">povinnost uvést v účinnost právní předpisy nezbytné </w:t>
      </w:r>
      <w:r>
        <w:t xml:space="preserve">k </w:t>
      </w:r>
      <w:r w:rsidRPr="00B132DD">
        <w:t>dosažení souladu s touto směrnicí</w:t>
      </w:r>
      <w:r>
        <w:t xml:space="preserve"> měly členské státy EU</w:t>
      </w:r>
      <w:r w:rsidRPr="00B132DD">
        <w:t xml:space="preserve"> do 14. 2. 2014.</w:t>
      </w:r>
    </w:p>
  </w:footnote>
  <w:footnote w:id="39">
    <w:p w14:paraId="1CD2D514" w14:textId="77777777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91778">
        <w:t>Zákon č. 542/2020 Sb., o výrobcích s ukončenou životností.</w:t>
      </w:r>
    </w:p>
  </w:footnote>
  <w:footnote w:id="40">
    <w:p w14:paraId="5F451816" w14:textId="05421CC8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5A15">
        <w:t>Směrnice Rady 1999/31/ES ze dne 26. dubna 1999</w:t>
      </w:r>
      <w:r>
        <w:t>,</w:t>
      </w:r>
      <w:r w:rsidRPr="00675A15">
        <w:t xml:space="preserve"> o skládkách odpadů</w:t>
      </w:r>
      <w:r>
        <w:t>.</w:t>
      </w:r>
    </w:p>
  </w:footnote>
  <w:footnote w:id="41">
    <w:p w14:paraId="78B9EA31" w14:textId="5EDE490C" w:rsidR="007265D4" w:rsidRPr="0070682D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ab/>
        <w:t>Výpočet byl proveden na základě dat z </w:t>
      </w:r>
      <w:r w:rsidRPr="00187CA3">
        <w:rPr>
          <w:i/>
        </w:rPr>
        <w:t>Informačního systému odpadového hospodářství</w:t>
      </w:r>
      <w:r>
        <w:t xml:space="preserve"> a dle metodik MŽP: 1) </w:t>
      </w:r>
      <w:r w:rsidRPr="00FA11C8">
        <w:rPr>
          <w:i/>
        </w:rPr>
        <w:t>Matematické vyjádření výpočtu Soustavy indikátorů OH v souladu s vyhláškou č. 383/2001 Sb., o podrobnostech nakládání s odpady, v platném znění</w:t>
      </w:r>
      <w:r>
        <w:t xml:space="preserve">; 2) </w:t>
      </w:r>
      <w:r w:rsidRPr="00FA11C8">
        <w:rPr>
          <w:i/>
        </w:rPr>
        <w:t>Metodika pro hodnocení cílů POH z roku 2019</w:t>
      </w:r>
      <w:r>
        <w:t>.</w:t>
      </w:r>
    </w:p>
  </w:footnote>
  <w:footnote w:id="42">
    <w:p w14:paraId="0F5A50B7" w14:textId="6CD9E361" w:rsidR="007265D4" w:rsidRDefault="007265D4" w:rsidP="00187CA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44A56">
        <w:t>Zákon o obalech například stanovuje pro období let 2021 až 2024 v případě plastových obalových odpadů požadavek na úroveň recyklace ve výši 50 % pro osoby plnící svou povinnost samostatně. Pro kolektivní systém MŽP v rozhodnut</w:t>
      </w:r>
      <w:r>
        <w:t>í</w:t>
      </w:r>
      <w:r w:rsidRPr="00344A56">
        <w:t xml:space="preserve"> o autorizaci ze dne 19. 3. 2021 snížilo požadavek na úroveň recyklace plastových obalových odpadů ze 45 % na 42 %.</w:t>
      </w:r>
    </w:p>
  </w:footnote>
  <w:footnote w:id="43">
    <w:p w14:paraId="16D73A26" w14:textId="29E630E8" w:rsidR="007265D4" w:rsidRDefault="007265D4" w:rsidP="00E9162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Strategický cíl č. 2 POH „</w:t>
      </w:r>
      <w:r>
        <w:rPr>
          <w:i/>
        </w:rPr>
        <w:t>m</w:t>
      </w:r>
      <w:r w:rsidRPr="001D42E8">
        <w:rPr>
          <w:i/>
        </w:rPr>
        <w:t xml:space="preserve">inimalizace nepříznivých účinků vzniku odpadů a nakládání s nimi na lidské zdraví </w:t>
      </w:r>
      <w:r w:rsidR="0070682D">
        <w:rPr>
          <w:i/>
        </w:rPr>
        <w:br/>
      </w:r>
      <w:r w:rsidRPr="001D42E8">
        <w:rPr>
          <w:i/>
        </w:rPr>
        <w:t>a</w:t>
      </w:r>
      <w:r w:rsidR="0070682D">
        <w:rPr>
          <w:i/>
        </w:rPr>
        <w:t xml:space="preserve"> </w:t>
      </w:r>
      <w:r w:rsidRPr="001D42E8">
        <w:rPr>
          <w:i/>
        </w:rPr>
        <w:t>životní prostředí</w:t>
      </w:r>
      <w:r>
        <w:t>“</w:t>
      </w:r>
      <w:r w:rsidRPr="001D42E8">
        <w:t xml:space="preserve"> a hlavní</w:t>
      </w:r>
      <w:r>
        <w:t xml:space="preserve"> </w:t>
      </w:r>
      <w:r w:rsidRPr="001D42E8">
        <w:t xml:space="preserve">cíl </w:t>
      </w:r>
      <w:r>
        <w:t xml:space="preserve">č. 12 </w:t>
      </w:r>
      <w:r w:rsidRPr="001D42E8">
        <w:t xml:space="preserve">POH </w:t>
      </w:r>
      <w:r>
        <w:t>„</w:t>
      </w:r>
      <w:r>
        <w:rPr>
          <w:i/>
        </w:rPr>
        <w:t>m</w:t>
      </w:r>
      <w:r w:rsidRPr="001D42E8">
        <w:rPr>
          <w:i/>
        </w:rPr>
        <w:t>inimalizovat negativní účinky při nakládání s nebezpečnými odpady na</w:t>
      </w:r>
      <w:r>
        <w:rPr>
          <w:i/>
        </w:rPr>
        <w:t xml:space="preserve"> </w:t>
      </w:r>
      <w:r w:rsidRPr="001D42E8">
        <w:rPr>
          <w:i/>
        </w:rPr>
        <w:t>lidské zdraví a životní prostředí</w:t>
      </w:r>
      <w:r>
        <w:t>“</w:t>
      </w:r>
      <w:r w:rsidRPr="00E91623">
        <w:t>.</w:t>
      </w:r>
    </w:p>
  </w:footnote>
  <w:footnote w:id="44">
    <w:p w14:paraId="59DE8A16" w14:textId="77777777" w:rsidR="007265D4" w:rsidRDefault="007265D4" w:rsidP="00E9162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20C3C">
        <w:t>Soustava indikátorů odpadového hospodářství představuje soubor základních ukazatelů určených ke sledování vytyčených cílů POH. Povinností MŽP je hodnotit soustavu indikátorů, navrhovat úpravy či aktualizace soustavy indikátorů a stanovovat způsob výpočtu jednotlivých indikátorů.</w:t>
      </w:r>
    </w:p>
  </w:footnote>
  <w:footnote w:id="45">
    <w:p w14:paraId="4964565E" w14:textId="5B8DA159" w:rsidR="007265D4" w:rsidRDefault="007265D4" w:rsidP="00E91623">
      <w:pPr>
        <w:pStyle w:val="Textpoznpodarou"/>
        <w:ind w:left="284" w:hanging="284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C0280">
        <w:t>Dále jsou veřejnosti přístupné</w:t>
      </w:r>
      <w:r>
        <w:t xml:space="preserve"> databáze</w:t>
      </w:r>
      <w:r w:rsidRPr="002C0280">
        <w:t xml:space="preserve">: </w:t>
      </w:r>
      <w:r w:rsidRPr="002C0280">
        <w:rPr>
          <w:i/>
        </w:rPr>
        <w:t>Seznam výrobců elektrozařízení</w:t>
      </w:r>
      <w:r w:rsidRPr="002C0280">
        <w:t xml:space="preserve">; </w:t>
      </w:r>
      <w:r w:rsidRPr="002C0280">
        <w:rPr>
          <w:i/>
        </w:rPr>
        <w:t>Registr míst zpětného odběru elektrozařízení</w:t>
      </w:r>
      <w:r w:rsidRPr="002C0280">
        <w:t xml:space="preserve">; </w:t>
      </w:r>
      <w:r w:rsidRPr="003146D7">
        <w:rPr>
          <w:i/>
        </w:rPr>
        <w:t>M</w:t>
      </w:r>
      <w:r w:rsidRPr="00CF0BD2">
        <w:rPr>
          <w:i/>
        </w:rPr>
        <w:t xml:space="preserve">odul </w:t>
      </w:r>
      <w:r w:rsidRPr="002C0280">
        <w:rPr>
          <w:i/>
        </w:rPr>
        <w:t>Autovraky (MA ISOH)</w:t>
      </w:r>
      <w:r>
        <w:t>;</w:t>
      </w:r>
      <w:r w:rsidRPr="002C0280">
        <w:t xml:space="preserve"> </w:t>
      </w:r>
      <w:r w:rsidRPr="002C0280">
        <w:rPr>
          <w:i/>
        </w:rPr>
        <w:t>Seznam dopravců</w:t>
      </w:r>
      <w:r w:rsidRPr="00E91623">
        <w:t>;</w:t>
      </w:r>
    </w:p>
    <w:p w14:paraId="29522EF7" w14:textId="01F8036A" w:rsidR="007265D4" w:rsidRDefault="007265D4" w:rsidP="00E91623">
      <w:pPr>
        <w:pStyle w:val="Textpoznpodarou"/>
        <w:ind w:left="284"/>
        <w:jc w:val="both"/>
      </w:pPr>
      <w:r>
        <w:t xml:space="preserve">viz </w:t>
      </w:r>
      <w:hyperlink r:id="rId1" w:history="1">
        <w:r w:rsidRPr="006F7212">
          <w:rPr>
            <w:rStyle w:val="Hypertextovodkaz"/>
          </w:rPr>
          <w:t>https://www.cenia.cz/odpadove-a-obehove-hospodarstvi/isoh/</w:t>
        </w:r>
      </w:hyperlink>
      <w:r w:rsidRPr="002C0280">
        <w:t>.</w:t>
      </w:r>
    </w:p>
  </w:footnote>
  <w:footnote w:id="46">
    <w:p w14:paraId="50E072E6" w14:textId="67C182EA" w:rsidR="007265D4" w:rsidRDefault="007265D4" w:rsidP="0040349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V r</w:t>
      </w:r>
      <w:r w:rsidRPr="004A08BE">
        <w:t>egistr</w:t>
      </w:r>
      <w:r>
        <w:t>u</w:t>
      </w:r>
      <w:r w:rsidRPr="004A08BE">
        <w:t xml:space="preserve"> zařízení </w:t>
      </w:r>
      <w:r>
        <w:t xml:space="preserve">jsou </w:t>
      </w:r>
      <w:r w:rsidRPr="004A08BE">
        <w:t>evidován</w:t>
      </w:r>
      <w:r>
        <w:t>y</w:t>
      </w:r>
      <w:r w:rsidRPr="004A08BE">
        <w:t xml:space="preserve"> </w:t>
      </w:r>
      <w:r>
        <w:t>informace</w:t>
      </w:r>
      <w:r w:rsidRPr="004A08BE">
        <w:t xml:space="preserve"> o roční projektované, roční projektované zpracovatelské, denní projektované zpracovatelské a maximální okamžité kapacitě zařízení ke sběru, využívání a odstraňování odpadů</w:t>
      </w:r>
      <w:r>
        <w:t xml:space="preserve"> a </w:t>
      </w:r>
      <w:r w:rsidRPr="004A08BE">
        <w:t>data o celkových projektovaných, plánovaných a volných kapacitách skládek, o množství odpadu uloženého na</w:t>
      </w:r>
      <w:r>
        <w:t xml:space="preserve"> </w:t>
      </w:r>
      <w:r w:rsidRPr="004A08BE">
        <w:t>skládky, a to včetně forem jejich zpoplatnění</w:t>
      </w:r>
      <w:r>
        <w:t>.</w:t>
      </w:r>
      <w:r w:rsidRPr="004A08BE">
        <w:t xml:space="preserve"> </w:t>
      </w:r>
    </w:p>
  </w:footnote>
  <w:footnote w:id="47">
    <w:p w14:paraId="4DA4D219" w14:textId="039077DD" w:rsidR="007265D4" w:rsidRDefault="007265D4" w:rsidP="0040349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E75C3">
        <w:t>Ostatní odpad</w:t>
      </w:r>
      <w:r>
        <w:t xml:space="preserve"> –</w:t>
      </w:r>
      <w:r w:rsidRPr="002E75C3">
        <w:t xml:space="preserve"> odpad, který nesplňuje podmínky </w:t>
      </w:r>
      <w:r>
        <w:t xml:space="preserve">pro nebezpečný odpad, </w:t>
      </w:r>
      <w:r w:rsidRPr="007816B3">
        <w:t>viz pozn. pod čarou č. 4</w:t>
      </w:r>
      <w:r>
        <w:t>8</w:t>
      </w:r>
      <w:r w:rsidRPr="007816B3">
        <w:t>.</w:t>
      </w:r>
      <w:r>
        <w:t xml:space="preserve"> </w:t>
      </w:r>
      <w:r w:rsidRPr="002E75C3">
        <w:t xml:space="preserve">Směsný komunální odpad se považuje </w:t>
      </w:r>
      <w:r>
        <w:t xml:space="preserve">vždy </w:t>
      </w:r>
      <w:r w:rsidRPr="002E75C3">
        <w:t>za ostatní odpad</w:t>
      </w:r>
      <w:r>
        <w:t>.</w:t>
      </w:r>
    </w:p>
  </w:footnote>
  <w:footnote w:id="48">
    <w:p w14:paraId="471CDC2D" w14:textId="0D4972DC" w:rsidR="007265D4" w:rsidRDefault="007265D4" w:rsidP="0040349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N</w:t>
      </w:r>
      <w:r w:rsidRPr="001C7222">
        <w:t xml:space="preserve">ebezpečný odpad </w:t>
      </w:r>
      <w:r>
        <w:t>–</w:t>
      </w:r>
      <w:r w:rsidRPr="001C7222">
        <w:t xml:space="preserve"> </w:t>
      </w:r>
      <w:r>
        <w:t>odpad, který:</w:t>
      </w:r>
    </w:p>
    <w:p w14:paraId="3937950C" w14:textId="77777777" w:rsidR="007265D4" w:rsidRDefault="007265D4" w:rsidP="00403498">
      <w:pPr>
        <w:pStyle w:val="Textpoznpodarou"/>
        <w:ind w:left="567" w:hanging="283"/>
        <w:jc w:val="both"/>
      </w:pPr>
      <w:r>
        <w:t xml:space="preserve">a) </w:t>
      </w:r>
      <w:r>
        <w:tab/>
        <w:t>vykazuje alespoň jednu z nebezpečných vlastností uvedených v příloze přímo použitelných předpisů Evropské unie o nebezpečných vlastnostech odpadů,</w:t>
      </w:r>
    </w:p>
    <w:p w14:paraId="245DBA03" w14:textId="77F53B35" w:rsidR="007265D4" w:rsidRDefault="007265D4" w:rsidP="00403498">
      <w:pPr>
        <w:pStyle w:val="Textpoznpodarou"/>
        <w:ind w:left="567" w:hanging="283"/>
        <w:jc w:val="both"/>
      </w:pPr>
      <w:r>
        <w:t xml:space="preserve">b) </w:t>
      </w:r>
      <w:r>
        <w:tab/>
        <w:t>zařazuje se do druhu odpadu, kterému je v „katalogu odpadů“ přiřazena kategorie nebezpečný odpad, nebo</w:t>
      </w:r>
    </w:p>
    <w:p w14:paraId="3AB5D7F6" w14:textId="77777777" w:rsidR="007265D4" w:rsidRDefault="007265D4" w:rsidP="00403498">
      <w:pPr>
        <w:pStyle w:val="Textpoznpodarou"/>
        <w:ind w:left="567" w:hanging="283"/>
        <w:jc w:val="both"/>
      </w:pPr>
      <w:r>
        <w:t xml:space="preserve">c) </w:t>
      </w:r>
      <w:r>
        <w:tab/>
        <w:t>je smísen s některým z odpadů uvedených v písmenu b) nebo je jím znečištěn.</w:t>
      </w:r>
    </w:p>
  </w:footnote>
  <w:footnote w:id="49">
    <w:p w14:paraId="6D2ACE28" w14:textId="4C10977A" w:rsidR="007265D4" w:rsidRDefault="007265D4" w:rsidP="0040349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I</w:t>
      </w:r>
      <w:r w:rsidRPr="001C7222">
        <w:t xml:space="preserve">nertní odpad </w:t>
      </w:r>
      <w:r>
        <w:t>–</w:t>
      </w:r>
      <w:r w:rsidRPr="001C7222">
        <w:t xml:space="preserve"> odpad, který nemá nebezpečné vlastnosti a u něhož za normálních klimatických podmínek nedochází k žádným významným fyzikálním, chemickým nebo biologickým změnám. Inertní odpad nehoří ani jinak chemicky či fyzikálně nereaguje, nepodléhá biologickému rozkladu ani nezpůsobuje rozklad jiných látek, s</w:t>
      </w:r>
      <w:r>
        <w:t> </w:t>
      </w:r>
      <w:r w:rsidRPr="001C7222">
        <w:t>nimiž přichází do styku, a to způsobem ohrožujícím lidské zdraví</w:t>
      </w:r>
      <w:r>
        <w:t>,</w:t>
      </w:r>
      <w:r w:rsidRPr="001C7222">
        <w:t xml:space="preserve"> ohrožujícím nebo poškozujícím životní prostředí nebo vedoucím k překročení limitů znečišťování stanovených zvláštními právními předpisy. Směsné odpady se nepovažují za odpad inertní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88FF" w14:textId="77777777" w:rsidR="007265D4" w:rsidRDefault="007265D4" w:rsidP="0037293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980"/>
    <w:multiLevelType w:val="hybridMultilevel"/>
    <w:tmpl w:val="2F6ED35C"/>
    <w:lvl w:ilvl="0" w:tplc="1E7A9E4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654EE66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BFF0F718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3003C22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6A1410FC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F8058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36A1B9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B2E9946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B2FE4374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AE471A4"/>
    <w:multiLevelType w:val="hybridMultilevel"/>
    <w:tmpl w:val="C6F435D4"/>
    <w:lvl w:ilvl="0" w:tplc="DF0EA502">
      <w:start w:val="1"/>
      <w:numFmt w:val="lowerLetter"/>
      <w:lvlText w:val="%1)"/>
      <w:lvlJc w:val="left"/>
      <w:pPr>
        <w:ind w:left="720" w:hanging="360"/>
      </w:pPr>
    </w:lvl>
    <w:lvl w:ilvl="1" w:tplc="CC7684BC" w:tentative="1">
      <w:start w:val="1"/>
      <w:numFmt w:val="lowerLetter"/>
      <w:lvlText w:val="%2."/>
      <w:lvlJc w:val="left"/>
      <w:pPr>
        <w:ind w:left="1440" w:hanging="360"/>
      </w:pPr>
    </w:lvl>
    <w:lvl w:ilvl="2" w:tplc="8E8ABA82" w:tentative="1">
      <w:start w:val="1"/>
      <w:numFmt w:val="lowerRoman"/>
      <w:lvlText w:val="%3."/>
      <w:lvlJc w:val="right"/>
      <w:pPr>
        <w:ind w:left="2160" w:hanging="180"/>
      </w:pPr>
    </w:lvl>
    <w:lvl w:ilvl="3" w:tplc="AFD88A02" w:tentative="1">
      <w:start w:val="1"/>
      <w:numFmt w:val="decimal"/>
      <w:lvlText w:val="%4."/>
      <w:lvlJc w:val="left"/>
      <w:pPr>
        <w:ind w:left="2880" w:hanging="360"/>
      </w:pPr>
    </w:lvl>
    <w:lvl w:ilvl="4" w:tplc="0A5CC130" w:tentative="1">
      <w:start w:val="1"/>
      <w:numFmt w:val="lowerLetter"/>
      <w:lvlText w:val="%5."/>
      <w:lvlJc w:val="left"/>
      <w:pPr>
        <w:ind w:left="3600" w:hanging="360"/>
      </w:pPr>
    </w:lvl>
    <w:lvl w:ilvl="5" w:tplc="00761DD2" w:tentative="1">
      <w:start w:val="1"/>
      <w:numFmt w:val="lowerRoman"/>
      <w:lvlText w:val="%6."/>
      <w:lvlJc w:val="right"/>
      <w:pPr>
        <w:ind w:left="4320" w:hanging="180"/>
      </w:pPr>
    </w:lvl>
    <w:lvl w:ilvl="6" w:tplc="8B7C85D8" w:tentative="1">
      <w:start w:val="1"/>
      <w:numFmt w:val="decimal"/>
      <w:lvlText w:val="%7."/>
      <w:lvlJc w:val="left"/>
      <w:pPr>
        <w:ind w:left="5040" w:hanging="360"/>
      </w:pPr>
    </w:lvl>
    <w:lvl w:ilvl="7" w:tplc="2F681A90" w:tentative="1">
      <w:start w:val="1"/>
      <w:numFmt w:val="lowerLetter"/>
      <w:lvlText w:val="%8."/>
      <w:lvlJc w:val="left"/>
      <w:pPr>
        <w:ind w:left="5760" w:hanging="360"/>
      </w:pPr>
    </w:lvl>
    <w:lvl w:ilvl="8" w:tplc="76FC4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24F"/>
    <w:multiLevelType w:val="hybridMultilevel"/>
    <w:tmpl w:val="77102CE6"/>
    <w:lvl w:ilvl="0" w:tplc="149C2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2F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64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6E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C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8D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6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06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E6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56E5"/>
    <w:multiLevelType w:val="hybridMultilevel"/>
    <w:tmpl w:val="C202373E"/>
    <w:lvl w:ilvl="0" w:tplc="36DE3AD6">
      <w:start w:val="1"/>
      <w:numFmt w:val="lowerLetter"/>
      <w:lvlText w:val="%1)"/>
      <w:lvlJc w:val="left"/>
      <w:pPr>
        <w:ind w:left="720" w:hanging="360"/>
      </w:pPr>
    </w:lvl>
    <w:lvl w:ilvl="1" w:tplc="72B4E8F6" w:tentative="1">
      <w:start w:val="1"/>
      <w:numFmt w:val="lowerLetter"/>
      <w:lvlText w:val="%2."/>
      <w:lvlJc w:val="left"/>
      <w:pPr>
        <w:ind w:left="1440" w:hanging="360"/>
      </w:pPr>
    </w:lvl>
    <w:lvl w:ilvl="2" w:tplc="E8140D3C" w:tentative="1">
      <w:start w:val="1"/>
      <w:numFmt w:val="lowerRoman"/>
      <w:lvlText w:val="%3."/>
      <w:lvlJc w:val="right"/>
      <w:pPr>
        <w:ind w:left="2160" w:hanging="180"/>
      </w:pPr>
    </w:lvl>
    <w:lvl w:ilvl="3" w:tplc="2954022A" w:tentative="1">
      <w:start w:val="1"/>
      <w:numFmt w:val="decimal"/>
      <w:lvlText w:val="%4."/>
      <w:lvlJc w:val="left"/>
      <w:pPr>
        <w:ind w:left="2880" w:hanging="360"/>
      </w:pPr>
    </w:lvl>
    <w:lvl w:ilvl="4" w:tplc="73248654" w:tentative="1">
      <w:start w:val="1"/>
      <w:numFmt w:val="lowerLetter"/>
      <w:lvlText w:val="%5."/>
      <w:lvlJc w:val="left"/>
      <w:pPr>
        <w:ind w:left="3600" w:hanging="360"/>
      </w:pPr>
    </w:lvl>
    <w:lvl w:ilvl="5" w:tplc="E9506704" w:tentative="1">
      <w:start w:val="1"/>
      <w:numFmt w:val="lowerRoman"/>
      <w:lvlText w:val="%6."/>
      <w:lvlJc w:val="right"/>
      <w:pPr>
        <w:ind w:left="4320" w:hanging="180"/>
      </w:pPr>
    </w:lvl>
    <w:lvl w:ilvl="6" w:tplc="6C2AF0F6" w:tentative="1">
      <w:start w:val="1"/>
      <w:numFmt w:val="decimal"/>
      <w:lvlText w:val="%7."/>
      <w:lvlJc w:val="left"/>
      <w:pPr>
        <w:ind w:left="5040" w:hanging="360"/>
      </w:pPr>
    </w:lvl>
    <w:lvl w:ilvl="7" w:tplc="D3D2B876" w:tentative="1">
      <w:start w:val="1"/>
      <w:numFmt w:val="lowerLetter"/>
      <w:lvlText w:val="%8."/>
      <w:lvlJc w:val="left"/>
      <w:pPr>
        <w:ind w:left="5760" w:hanging="360"/>
      </w:pPr>
    </w:lvl>
    <w:lvl w:ilvl="8" w:tplc="29D40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19BA"/>
    <w:multiLevelType w:val="hybridMultilevel"/>
    <w:tmpl w:val="A720EEAC"/>
    <w:lvl w:ilvl="0" w:tplc="4B94FE7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90BE38FE" w:tentative="1">
      <w:start w:val="1"/>
      <w:numFmt w:val="lowerLetter"/>
      <w:lvlText w:val="%2."/>
      <w:lvlJc w:val="left"/>
      <w:pPr>
        <w:ind w:left="163" w:hanging="360"/>
      </w:pPr>
    </w:lvl>
    <w:lvl w:ilvl="2" w:tplc="BCBAAD0E" w:tentative="1">
      <w:start w:val="1"/>
      <w:numFmt w:val="lowerRoman"/>
      <w:lvlText w:val="%3."/>
      <w:lvlJc w:val="right"/>
      <w:pPr>
        <w:ind w:left="883" w:hanging="180"/>
      </w:pPr>
    </w:lvl>
    <w:lvl w:ilvl="3" w:tplc="9F1C7C80" w:tentative="1">
      <w:start w:val="1"/>
      <w:numFmt w:val="decimal"/>
      <w:lvlText w:val="%4."/>
      <w:lvlJc w:val="left"/>
      <w:pPr>
        <w:ind w:left="1603" w:hanging="360"/>
      </w:pPr>
    </w:lvl>
    <w:lvl w:ilvl="4" w:tplc="9B8CF0FC" w:tentative="1">
      <w:start w:val="1"/>
      <w:numFmt w:val="lowerLetter"/>
      <w:lvlText w:val="%5."/>
      <w:lvlJc w:val="left"/>
      <w:pPr>
        <w:ind w:left="2323" w:hanging="360"/>
      </w:pPr>
    </w:lvl>
    <w:lvl w:ilvl="5" w:tplc="BB5410E2" w:tentative="1">
      <w:start w:val="1"/>
      <w:numFmt w:val="lowerRoman"/>
      <w:lvlText w:val="%6."/>
      <w:lvlJc w:val="right"/>
      <w:pPr>
        <w:ind w:left="3043" w:hanging="180"/>
      </w:pPr>
    </w:lvl>
    <w:lvl w:ilvl="6" w:tplc="05947602" w:tentative="1">
      <w:start w:val="1"/>
      <w:numFmt w:val="decimal"/>
      <w:lvlText w:val="%7."/>
      <w:lvlJc w:val="left"/>
      <w:pPr>
        <w:ind w:left="3763" w:hanging="360"/>
      </w:pPr>
    </w:lvl>
    <w:lvl w:ilvl="7" w:tplc="9FC4AC8A" w:tentative="1">
      <w:start w:val="1"/>
      <w:numFmt w:val="lowerLetter"/>
      <w:lvlText w:val="%8."/>
      <w:lvlJc w:val="left"/>
      <w:pPr>
        <w:ind w:left="4483" w:hanging="360"/>
      </w:pPr>
    </w:lvl>
    <w:lvl w:ilvl="8" w:tplc="B1E631D6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" w15:restartNumberingAfterBreak="0">
    <w:nsid w:val="29CF158A"/>
    <w:multiLevelType w:val="hybridMultilevel"/>
    <w:tmpl w:val="F9E2188A"/>
    <w:lvl w:ilvl="0" w:tplc="2F50A0B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88B44A" w:tentative="1">
      <w:start w:val="1"/>
      <w:numFmt w:val="lowerLetter"/>
      <w:lvlText w:val="%2."/>
      <w:lvlJc w:val="left"/>
      <w:pPr>
        <w:ind w:left="1440" w:hanging="360"/>
      </w:pPr>
    </w:lvl>
    <w:lvl w:ilvl="2" w:tplc="E8DE3A22" w:tentative="1">
      <w:start w:val="1"/>
      <w:numFmt w:val="lowerRoman"/>
      <w:lvlText w:val="%3."/>
      <w:lvlJc w:val="right"/>
      <w:pPr>
        <w:ind w:left="2160" w:hanging="180"/>
      </w:pPr>
    </w:lvl>
    <w:lvl w:ilvl="3" w:tplc="A42C9DF8" w:tentative="1">
      <w:start w:val="1"/>
      <w:numFmt w:val="decimal"/>
      <w:lvlText w:val="%4."/>
      <w:lvlJc w:val="left"/>
      <w:pPr>
        <w:ind w:left="2880" w:hanging="360"/>
      </w:pPr>
    </w:lvl>
    <w:lvl w:ilvl="4" w:tplc="A9803F86" w:tentative="1">
      <w:start w:val="1"/>
      <w:numFmt w:val="lowerLetter"/>
      <w:lvlText w:val="%5."/>
      <w:lvlJc w:val="left"/>
      <w:pPr>
        <w:ind w:left="3600" w:hanging="360"/>
      </w:pPr>
    </w:lvl>
    <w:lvl w:ilvl="5" w:tplc="576AD09A" w:tentative="1">
      <w:start w:val="1"/>
      <w:numFmt w:val="lowerRoman"/>
      <w:lvlText w:val="%6."/>
      <w:lvlJc w:val="right"/>
      <w:pPr>
        <w:ind w:left="4320" w:hanging="180"/>
      </w:pPr>
    </w:lvl>
    <w:lvl w:ilvl="6" w:tplc="30DAA6F2" w:tentative="1">
      <w:start w:val="1"/>
      <w:numFmt w:val="decimal"/>
      <w:lvlText w:val="%7."/>
      <w:lvlJc w:val="left"/>
      <w:pPr>
        <w:ind w:left="5040" w:hanging="360"/>
      </w:pPr>
    </w:lvl>
    <w:lvl w:ilvl="7" w:tplc="0D3ABA94" w:tentative="1">
      <w:start w:val="1"/>
      <w:numFmt w:val="lowerLetter"/>
      <w:lvlText w:val="%8."/>
      <w:lvlJc w:val="left"/>
      <w:pPr>
        <w:ind w:left="5760" w:hanging="360"/>
      </w:pPr>
    </w:lvl>
    <w:lvl w:ilvl="8" w:tplc="3CEEC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C65DE"/>
    <w:multiLevelType w:val="hybridMultilevel"/>
    <w:tmpl w:val="5AA27368"/>
    <w:lvl w:ilvl="0" w:tplc="CB283C12">
      <w:start w:val="1"/>
      <w:numFmt w:val="lowerLetter"/>
      <w:lvlText w:val="%1)"/>
      <w:lvlJc w:val="left"/>
      <w:pPr>
        <w:ind w:left="720" w:hanging="360"/>
      </w:pPr>
    </w:lvl>
    <w:lvl w:ilvl="1" w:tplc="07603CC4" w:tentative="1">
      <w:start w:val="1"/>
      <w:numFmt w:val="lowerLetter"/>
      <w:lvlText w:val="%2."/>
      <w:lvlJc w:val="left"/>
      <w:pPr>
        <w:ind w:left="1440" w:hanging="360"/>
      </w:pPr>
    </w:lvl>
    <w:lvl w:ilvl="2" w:tplc="7F3478EC" w:tentative="1">
      <w:start w:val="1"/>
      <w:numFmt w:val="lowerRoman"/>
      <w:lvlText w:val="%3."/>
      <w:lvlJc w:val="right"/>
      <w:pPr>
        <w:ind w:left="2160" w:hanging="180"/>
      </w:pPr>
    </w:lvl>
    <w:lvl w:ilvl="3" w:tplc="61043C3A" w:tentative="1">
      <w:start w:val="1"/>
      <w:numFmt w:val="decimal"/>
      <w:lvlText w:val="%4."/>
      <w:lvlJc w:val="left"/>
      <w:pPr>
        <w:ind w:left="2880" w:hanging="360"/>
      </w:pPr>
    </w:lvl>
    <w:lvl w:ilvl="4" w:tplc="F1B6771C" w:tentative="1">
      <w:start w:val="1"/>
      <w:numFmt w:val="lowerLetter"/>
      <w:lvlText w:val="%5."/>
      <w:lvlJc w:val="left"/>
      <w:pPr>
        <w:ind w:left="3600" w:hanging="360"/>
      </w:pPr>
    </w:lvl>
    <w:lvl w:ilvl="5" w:tplc="1076CC80" w:tentative="1">
      <w:start w:val="1"/>
      <w:numFmt w:val="lowerRoman"/>
      <w:lvlText w:val="%6."/>
      <w:lvlJc w:val="right"/>
      <w:pPr>
        <w:ind w:left="4320" w:hanging="180"/>
      </w:pPr>
    </w:lvl>
    <w:lvl w:ilvl="6" w:tplc="D2E89F8C" w:tentative="1">
      <w:start w:val="1"/>
      <w:numFmt w:val="decimal"/>
      <w:lvlText w:val="%7."/>
      <w:lvlJc w:val="left"/>
      <w:pPr>
        <w:ind w:left="5040" w:hanging="360"/>
      </w:pPr>
    </w:lvl>
    <w:lvl w:ilvl="7" w:tplc="634CF7CE" w:tentative="1">
      <w:start w:val="1"/>
      <w:numFmt w:val="lowerLetter"/>
      <w:lvlText w:val="%8."/>
      <w:lvlJc w:val="left"/>
      <w:pPr>
        <w:ind w:left="5760" w:hanging="360"/>
      </w:pPr>
    </w:lvl>
    <w:lvl w:ilvl="8" w:tplc="26F63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45020"/>
    <w:multiLevelType w:val="hybridMultilevel"/>
    <w:tmpl w:val="E8C46402"/>
    <w:lvl w:ilvl="0" w:tplc="21D8AED6">
      <w:start w:val="1"/>
      <w:numFmt w:val="decimal"/>
      <w:pStyle w:val="Nadpis4"/>
      <w:lvlText w:val="%1."/>
      <w:lvlJc w:val="left"/>
      <w:pPr>
        <w:ind w:left="720" w:hanging="360"/>
      </w:pPr>
    </w:lvl>
    <w:lvl w:ilvl="1" w:tplc="C6DC739E" w:tentative="1">
      <w:start w:val="1"/>
      <w:numFmt w:val="lowerLetter"/>
      <w:lvlText w:val="%2."/>
      <w:lvlJc w:val="left"/>
      <w:pPr>
        <w:ind w:left="1440" w:hanging="360"/>
      </w:pPr>
    </w:lvl>
    <w:lvl w:ilvl="2" w:tplc="ECDC7114" w:tentative="1">
      <w:start w:val="1"/>
      <w:numFmt w:val="lowerRoman"/>
      <w:lvlText w:val="%3."/>
      <w:lvlJc w:val="right"/>
      <w:pPr>
        <w:ind w:left="2160" w:hanging="180"/>
      </w:pPr>
    </w:lvl>
    <w:lvl w:ilvl="3" w:tplc="96687EF0" w:tentative="1">
      <w:start w:val="1"/>
      <w:numFmt w:val="decimal"/>
      <w:lvlText w:val="%4."/>
      <w:lvlJc w:val="left"/>
      <w:pPr>
        <w:ind w:left="2880" w:hanging="360"/>
      </w:pPr>
    </w:lvl>
    <w:lvl w:ilvl="4" w:tplc="243693D2" w:tentative="1">
      <w:start w:val="1"/>
      <w:numFmt w:val="lowerLetter"/>
      <w:lvlText w:val="%5."/>
      <w:lvlJc w:val="left"/>
      <w:pPr>
        <w:ind w:left="3600" w:hanging="360"/>
      </w:pPr>
    </w:lvl>
    <w:lvl w:ilvl="5" w:tplc="530086D4" w:tentative="1">
      <w:start w:val="1"/>
      <w:numFmt w:val="lowerRoman"/>
      <w:lvlText w:val="%6."/>
      <w:lvlJc w:val="right"/>
      <w:pPr>
        <w:ind w:left="4320" w:hanging="180"/>
      </w:pPr>
    </w:lvl>
    <w:lvl w:ilvl="6" w:tplc="E0BC447C" w:tentative="1">
      <w:start w:val="1"/>
      <w:numFmt w:val="decimal"/>
      <w:lvlText w:val="%7."/>
      <w:lvlJc w:val="left"/>
      <w:pPr>
        <w:ind w:left="5040" w:hanging="360"/>
      </w:pPr>
    </w:lvl>
    <w:lvl w:ilvl="7" w:tplc="982429BA" w:tentative="1">
      <w:start w:val="1"/>
      <w:numFmt w:val="lowerLetter"/>
      <w:lvlText w:val="%8."/>
      <w:lvlJc w:val="left"/>
      <w:pPr>
        <w:ind w:left="5760" w:hanging="360"/>
      </w:pPr>
    </w:lvl>
    <w:lvl w:ilvl="8" w:tplc="30E66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E49F0"/>
    <w:multiLevelType w:val="hybridMultilevel"/>
    <w:tmpl w:val="93B292D8"/>
    <w:lvl w:ilvl="0" w:tplc="742E8EB4">
      <w:start w:val="1"/>
      <w:numFmt w:val="lowerLetter"/>
      <w:lvlText w:val="%1)"/>
      <w:lvlJc w:val="left"/>
      <w:pPr>
        <w:ind w:left="720" w:hanging="360"/>
      </w:pPr>
    </w:lvl>
    <w:lvl w:ilvl="1" w:tplc="2494CA00" w:tentative="1">
      <w:start w:val="1"/>
      <w:numFmt w:val="lowerLetter"/>
      <w:lvlText w:val="%2."/>
      <w:lvlJc w:val="left"/>
      <w:pPr>
        <w:ind w:left="1440" w:hanging="360"/>
      </w:pPr>
    </w:lvl>
    <w:lvl w:ilvl="2" w:tplc="0584D99E" w:tentative="1">
      <w:start w:val="1"/>
      <w:numFmt w:val="lowerRoman"/>
      <w:lvlText w:val="%3."/>
      <w:lvlJc w:val="right"/>
      <w:pPr>
        <w:ind w:left="2160" w:hanging="180"/>
      </w:pPr>
    </w:lvl>
    <w:lvl w:ilvl="3" w:tplc="1D0E1F8A" w:tentative="1">
      <w:start w:val="1"/>
      <w:numFmt w:val="decimal"/>
      <w:lvlText w:val="%4."/>
      <w:lvlJc w:val="left"/>
      <w:pPr>
        <w:ind w:left="2880" w:hanging="360"/>
      </w:pPr>
    </w:lvl>
    <w:lvl w:ilvl="4" w:tplc="78B2B574" w:tentative="1">
      <w:start w:val="1"/>
      <w:numFmt w:val="lowerLetter"/>
      <w:lvlText w:val="%5."/>
      <w:lvlJc w:val="left"/>
      <w:pPr>
        <w:ind w:left="3600" w:hanging="360"/>
      </w:pPr>
    </w:lvl>
    <w:lvl w:ilvl="5" w:tplc="C994E820" w:tentative="1">
      <w:start w:val="1"/>
      <w:numFmt w:val="lowerRoman"/>
      <w:lvlText w:val="%6."/>
      <w:lvlJc w:val="right"/>
      <w:pPr>
        <w:ind w:left="4320" w:hanging="180"/>
      </w:pPr>
    </w:lvl>
    <w:lvl w:ilvl="6" w:tplc="BFBE6FBC" w:tentative="1">
      <w:start w:val="1"/>
      <w:numFmt w:val="decimal"/>
      <w:lvlText w:val="%7."/>
      <w:lvlJc w:val="left"/>
      <w:pPr>
        <w:ind w:left="5040" w:hanging="360"/>
      </w:pPr>
    </w:lvl>
    <w:lvl w:ilvl="7" w:tplc="15187648" w:tentative="1">
      <w:start w:val="1"/>
      <w:numFmt w:val="lowerLetter"/>
      <w:lvlText w:val="%8."/>
      <w:lvlJc w:val="left"/>
      <w:pPr>
        <w:ind w:left="5760" w:hanging="360"/>
      </w:pPr>
    </w:lvl>
    <w:lvl w:ilvl="8" w:tplc="21729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B5C"/>
    <w:multiLevelType w:val="hybridMultilevel"/>
    <w:tmpl w:val="13D4F712"/>
    <w:lvl w:ilvl="0" w:tplc="ADBA2C28">
      <w:start w:val="1"/>
      <w:numFmt w:val="lowerLetter"/>
      <w:lvlText w:val="%1)"/>
      <w:lvlJc w:val="left"/>
      <w:pPr>
        <w:ind w:left="720" w:hanging="360"/>
      </w:pPr>
    </w:lvl>
    <w:lvl w:ilvl="1" w:tplc="445E2398" w:tentative="1">
      <w:start w:val="1"/>
      <w:numFmt w:val="lowerLetter"/>
      <w:lvlText w:val="%2."/>
      <w:lvlJc w:val="left"/>
      <w:pPr>
        <w:ind w:left="1440" w:hanging="360"/>
      </w:pPr>
    </w:lvl>
    <w:lvl w:ilvl="2" w:tplc="FD7875F2" w:tentative="1">
      <w:start w:val="1"/>
      <w:numFmt w:val="lowerRoman"/>
      <w:lvlText w:val="%3."/>
      <w:lvlJc w:val="right"/>
      <w:pPr>
        <w:ind w:left="2160" w:hanging="180"/>
      </w:pPr>
    </w:lvl>
    <w:lvl w:ilvl="3" w:tplc="399C94FE" w:tentative="1">
      <w:start w:val="1"/>
      <w:numFmt w:val="decimal"/>
      <w:lvlText w:val="%4."/>
      <w:lvlJc w:val="left"/>
      <w:pPr>
        <w:ind w:left="2880" w:hanging="360"/>
      </w:pPr>
    </w:lvl>
    <w:lvl w:ilvl="4" w:tplc="47141AC6" w:tentative="1">
      <w:start w:val="1"/>
      <w:numFmt w:val="lowerLetter"/>
      <w:lvlText w:val="%5."/>
      <w:lvlJc w:val="left"/>
      <w:pPr>
        <w:ind w:left="3600" w:hanging="360"/>
      </w:pPr>
    </w:lvl>
    <w:lvl w:ilvl="5" w:tplc="69E87630" w:tentative="1">
      <w:start w:val="1"/>
      <w:numFmt w:val="lowerRoman"/>
      <w:lvlText w:val="%6."/>
      <w:lvlJc w:val="right"/>
      <w:pPr>
        <w:ind w:left="4320" w:hanging="180"/>
      </w:pPr>
    </w:lvl>
    <w:lvl w:ilvl="6" w:tplc="88860E9C" w:tentative="1">
      <w:start w:val="1"/>
      <w:numFmt w:val="decimal"/>
      <w:lvlText w:val="%7."/>
      <w:lvlJc w:val="left"/>
      <w:pPr>
        <w:ind w:left="5040" w:hanging="360"/>
      </w:pPr>
    </w:lvl>
    <w:lvl w:ilvl="7" w:tplc="DBD069EC" w:tentative="1">
      <w:start w:val="1"/>
      <w:numFmt w:val="lowerLetter"/>
      <w:lvlText w:val="%8."/>
      <w:lvlJc w:val="left"/>
      <w:pPr>
        <w:ind w:left="5760" w:hanging="360"/>
      </w:pPr>
    </w:lvl>
    <w:lvl w:ilvl="8" w:tplc="12629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A585E"/>
    <w:multiLevelType w:val="hybridMultilevel"/>
    <w:tmpl w:val="086C5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6FFE"/>
    <w:multiLevelType w:val="hybridMultilevel"/>
    <w:tmpl w:val="5F5A7DD4"/>
    <w:lvl w:ilvl="0" w:tplc="749AB4FC">
      <w:start w:val="1"/>
      <w:numFmt w:val="lowerLetter"/>
      <w:lvlText w:val="%1)"/>
      <w:lvlJc w:val="left"/>
      <w:pPr>
        <w:ind w:left="720" w:hanging="360"/>
      </w:pPr>
    </w:lvl>
    <w:lvl w:ilvl="1" w:tplc="CD327F0C" w:tentative="1">
      <w:start w:val="1"/>
      <w:numFmt w:val="lowerLetter"/>
      <w:lvlText w:val="%2."/>
      <w:lvlJc w:val="left"/>
      <w:pPr>
        <w:ind w:left="1440" w:hanging="360"/>
      </w:pPr>
    </w:lvl>
    <w:lvl w:ilvl="2" w:tplc="56543464" w:tentative="1">
      <w:start w:val="1"/>
      <w:numFmt w:val="lowerRoman"/>
      <w:lvlText w:val="%3."/>
      <w:lvlJc w:val="right"/>
      <w:pPr>
        <w:ind w:left="2160" w:hanging="180"/>
      </w:pPr>
    </w:lvl>
    <w:lvl w:ilvl="3" w:tplc="5F1C17D6" w:tentative="1">
      <w:start w:val="1"/>
      <w:numFmt w:val="decimal"/>
      <w:lvlText w:val="%4."/>
      <w:lvlJc w:val="left"/>
      <w:pPr>
        <w:ind w:left="2880" w:hanging="360"/>
      </w:pPr>
    </w:lvl>
    <w:lvl w:ilvl="4" w:tplc="E048CBEC" w:tentative="1">
      <w:start w:val="1"/>
      <w:numFmt w:val="lowerLetter"/>
      <w:lvlText w:val="%5."/>
      <w:lvlJc w:val="left"/>
      <w:pPr>
        <w:ind w:left="3600" w:hanging="360"/>
      </w:pPr>
    </w:lvl>
    <w:lvl w:ilvl="5" w:tplc="932C9302" w:tentative="1">
      <w:start w:val="1"/>
      <w:numFmt w:val="lowerRoman"/>
      <w:lvlText w:val="%6."/>
      <w:lvlJc w:val="right"/>
      <w:pPr>
        <w:ind w:left="4320" w:hanging="180"/>
      </w:pPr>
    </w:lvl>
    <w:lvl w:ilvl="6" w:tplc="576C1BB4" w:tentative="1">
      <w:start w:val="1"/>
      <w:numFmt w:val="decimal"/>
      <w:lvlText w:val="%7."/>
      <w:lvlJc w:val="left"/>
      <w:pPr>
        <w:ind w:left="5040" w:hanging="360"/>
      </w:pPr>
    </w:lvl>
    <w:lvl w:ilvl="7" w:tplc="4A0C1488" w:tentative="1">
      <w:start w:val="1"/>
      <w:numFmt w:val="lowerLetter"/>
      <w:lvlText w:val="%8."/>
      <w:lvlJc w:val="left"/>
      <w:pPr>
        <w:ind w:left="5760" w:hanging="360"/>
      </w:pPr>
    </w:lvl>
    <w:lvl w:ilvl="8" w:tplc="FC8C2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E2BAB"/>
    <w:multiLevelType w:val="hybridMultilevel"/>
    <w:tmpl w:val="1CE859BA"/>
    <w:lvl w:ilvl="0" w:tplc="B7387F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C442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0E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41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62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A8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4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E1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8D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D47B3"/>
    <w:multiLevelType w:val="multilevel"/>
    <w:tmpl w:val="AC50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470A03"/>
    <w:multiLevelType w:val="hybridMultilevel"/>
    <w:tmpl w:val="C6F435D4"/>
    <w:lvl w:ilvl="0" w:tplc="2618CDB8">
      <w:start w:val="1"/>
      <w:numFmt w:val="lowerLetter"/>
      <w:lvlText w:val="%1)"/>
      <w:lvlJc w:val="left"/>
      <w:pPr>
        <w:ind w:left="720" w:hanging="360"/>
      </w:pPr>
    </w:lvl>
    <w:lvl w:ilvl="1" w:tplc="A4FE576C" w:tentative="1">
      <w:start w:val="1"/>
      <w:numFmt w:val="lowerLetter"/>
      <w:lvlText w:val="%2."/>
      <w:lvlJc w:val="left"/>
      <w:pPr>
        <w:ind w:left="1440" w:hanging="360"/>
      </w:pPr>
    </w:lvl>
    <w:lvl w:ilvl="2" w:tplc="272C1C3C" w:tentative="1">
      <w:start w:val="1"/>
      <w:numFmt w:val="lowerRoman"/>
      <w:lvlText w:val="%3."/>
      <w:lvlJc w:val="right"/>
      <w:pPr>
        <w:ind w:left="2160" w:hanging="180"/>
      </w:pPr>
    </w:lvl>
    <w:lvl w:ilvl="3" w:tplc="8820C628" w:tentative="1">
      <w:start w:val="1"/>
      <w:numFmt w:val="decimal"/>
      <w:lvlText w:val="%4."/>
      <w:lvlJc w:val="left"/>
      <w:pPr>
        <w:ind w:left="2880" w:hanging="360"/>
      </w:pPr>
    </w:lvl>
    <w:lvl w:ilvl="4" w:tplc="A98CD56C" w:tentative="1">
      <w:start w:val="1"/>
      <w:numFmt w:val="lowerLetter"/>
      <w:lvlText w:val="%5."/>
      <w:lvlJc w:val="left"/>
      <w:pPr>
        <w:ind w:left="3600" w:hanging="360"/>
      </w:pPr>
    </w:lvl>
    <w:lvl w:ilvl="5" w:tplc="1A800D0A" w:tentative="1">
      <w:start w:val="1"/>
      <w:numFmt w:val="lowerRoman"/>
      <w:lvlText w:val="%6."/>
      <w:lvlJc w:val="right"/>
      <w:pPr>
        <w:ind w:left="4320" w:hanging="180"/>
      </w:pPr>
    </w:lvl>
    <w:lvl w:ilvl="6" w:tplc="779C05C6" w:tentative="1">
      <w:start w:val="1"/>
      <w:numFmt w:val="decimal"/>
      <w:lvlText w:val="%7."/>
      <w:lvlJc w:val="left"/>
      <w:pPr>
        <w:ind w:left="5040" w:hanging="360"/>
      </w:pPr>
    </w:lvl>
    <w:lvl w:ilvl="7" w:tplc="CCE88DBE" w:tentative="1">
      <w:start w:val="1"/>
      <w:numFmt w:val="lowerLetter"/>
      <w:lvlText w:val="%8."/>
      <w:lvlJc w:val="left"/>
      <w:pPr>
        <w:ind w:left="5760" w:hanging="360"/>
      </w:pPr>
    </w:lvl>
    <w:lvl w:ilvl="8" w:tplc="25FA6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43F45"/>
    <w:multiLevelType w:val="hybridMultilevel"/>
    <w:tmpl w:val="EBBC32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0726B"/>
    <w:multiLevelType w:val="hybridMultilevel"/>
    <w:tmpl w:val="C45A5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7310"/>
    <w:multiLevelType w:val="hybridMultilevel"/>
    <w:tmpl w:val="74066388"/>
    <w:lvl w:ilvl="0" w:tplc="4A3A0D1E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815C2EB0" w:tentative="1">
      <w:start w:val="1"/>
      <w:numFmt w:val="lowerLetter"/>
      <w:lvlText w:val="%2."/>
      <w:lvlJc w:val="left"/>
      <w:pPr>
        <w:ind w:left="1440" w:hanging="360"/>
      </w:pPr>
    </w:lvl>
    <w:lvl w:ilvl="2" w:tplc="856E353C" w:tentative="1">
      <w:start w:val="1"/>
      <w:numFmt w:val="lowerRoman"/>
      <w:lvlText w:val="%3."/>
      <w:lvlJc w:val="right"/>
      <w:pPr>
        <w:ind w:left="2160" w:hanging="180"/>
      </w:pPr>
    </w:lvl>
    <w:lvl w:ilvl="3" w:tplc="C72EA2CA" w:tentative="1">
      <w:start w:val="1"/>
      <w:numFmt w:val="decimal"/>
      <w:lvlText w:val="%4."/>
      <w:lvlJc w:val="left"/>
      <w:pPr>
        <w:ind w:left="2880" w:hanging="360"/>
      </w:pPr>
    </w:lvl>
    <w:lvl w:ilvl="4" w:tplc="CD0860FA" w:tentative="1">
      <w:start w:val="1"/>
      <w:numFmt w:val="lowerLetter"/>
      <w:lvlText w:val="%5."/>
      <w:lvlJc w:val="left"/>
      <w:pPr>
        <w:ind w:left="3600" w:hanging="360"/>
      </w:pPr>
    </w:lvl>
    <w:lvl w:ilvl="5" w:tplc="CC4E5D6E" w:tentative="1">
      <w:start w:val="1"/>
      <w:numFmt w:val="lowerRoman"/>
      <w:lvlText w:val="%6."/>
      <w:lvlJc w:val="right"/>
      <w:pPr>
        <w:ind w:left="4320" w:hanging="180"/>
      </w:pPr>
    </w:lvl>
    <w:lvl w:ilvl="6" w:tplc="A678F9F8" w:tentative="1">
      <w:start w:val="1"/>
      <w:numFmt w:val="decimal"/>
      <w:lvlText w:val="%7."/>
      <w:lvlJc w:val="left"/>
      <w:pPr>
        <w:ind w:left="5040" w:hanging="360"/>
      </w:pPr>
    </w:lvl>
    <w:lvl w:ilvl="7" w:tplc="208C09BC" w:tentative="1">
      <w:start w:val="1"/>
      <w:numFmt w:val="lowerLetter"/>
      <w:lvlText w:val="%8."/>
      <w:lvlJc w:val="left"/>
      <w:pPr>
        <w:ind w:left="5760" w:hanging="360"/>
      </w:pPr>
    </w:lvl>
    <w:lvl w:ilvl="8" w:tplc="D646F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539A1"/>
    <w:multiLevelType w:val="hybridMultilevel"/>
    <w:tmpl w:val="2370E3F4"/>
    <w:lvl w:ilvl="0" w:tplc="32288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07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EB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63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4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A9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C9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C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CF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D0DFB"/>
    <w:multiLevelType w:val="hybridMultilevel"/>
    <w:tmpl w:val="0332DBC2"/>
    <w:lvl w:ilvl="0" w:tplc="F8649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47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CA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4B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AE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8F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A5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CC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CB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2AE3"/>
    <w:multiLevelType w:val="hybridMultilevel"/>
    <w:tmpl w:val="3E90642E"/>
    <w:lvl w:ilvl="0" w:tplc="A1B4ED16">
      <w:start w:val="1"/>
      <w:numFmt w:val="lowerLetter"/>
      <w:lvlText w:val="%1)"/>
      <w:lvlJc w:val="left"/>
      <w:pPr>
        <w:ind w:left="720" w:hanging="360"/>
      </w:pPr>
    </w:lvl>
    <w:lvl w:ilvl="1" w:tplc="0C28E06C" w:tentative="1">
      <w:start w:val="1"/>
      <w:numFmt w:val="lowerLetter"/>
      <w:lvlText w:val="%2."/>
      <w:lvlJc w:val="left"/>
      <w:pPr>
        <w:ind w:left="1440" w:hanging="360"/>
      </w:pPr>
    </w:lvl>
    <w:lvl w:ilvl="2" w:tplc="2C1467F2" w:tentative="1">
      <w:start w:val="1"/>
      <w:numFmt w:val="lowerRoman"/>
      <w:lvlText w:val="%3."/>
      <w:lvlJc w:val="right"/>
      <w:pPr>
        <w:ind w:left="2160" w:hanging="180"/>
      </w:pPr>
    </w:lvl>
    <w:lvl w:ilvl="3" w:tplc="074081BA" w:tentative="1">
      <w:start w:val="1"/>
      <w:numFmt w:val="decimal"/>
      <w:lvlText w:val="%4."/>
      <w:lvlJc w:val="left"/>
      <w:pPr>
        <w:ind w:left="2880" w:hanging="360"/>
      </w:pPr>
    </w:lvl>
    <w:lvl w:ilvl="4" w:tplc="65689C62" w:tentative="1">
      <w:start w:val="1"/>
      <w:numFmt w:val="lowerLetter"/>
      <w:lvlText w:val="%5."/>
      <w:lvlJc w:val="left"/>
      <w:pPr>
        <w:ind w:left="3600" w:hanging="360"/>
      </w:pPr>
    </w:lvl>
    <w:lvl w:ilvl="5" w:tplc="CFFEC5F8" w:tentative="1">
      <w:start w:val="1"/>
      <w:numFmt w:val="lowerRoman"/>
      <w:lvlText w:val="%6."/>
      <w:lvlJc w:val="right"/>
      <w:pPr>
        <w:ind w:left="4320" w:hanging="180"/>
      </w:pPr>
    </w:lvl>
    <w:lvl w:ilvl="6" w:tplc="49BC1E18" w:tentative="1">
      <w:start w:val="1"/>
      <w:numFmt w:val="decimal"/>
      <w:lvlText w:val="%7."/>
      <w:lvlJc w:val="left"/>
      <w:pPr>
        <w:ind w:left="5040" w:hanging="360"/>
      </w:pPr>
    </w:lvl>
    <w:lvl w:ilvl="7" w:tplc="0590C9B0" w:tentative="1">
      <w:start w:val="1"/>
      <w:numFmt w:val="lowerLetter"/>
      <w:lvlText w:val="%8."/>
      <w:lvlJc w:val="left"/>
      <w:pPr>
        <w:ind w:left="5760" w:hanging="360"/>
      </w:pPr>
    </w:lvl>
    <w:lvl w:ilvl="8" w:tplc="10D28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072F"/>
    <w:multiLevelType w:val="hybridMultilevel"/>
    <w:tmpl w:val="6AB870A4"/>
    <w:lvl w:ilvl="0" w:tplc="4B3EE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4B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5C0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E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00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BA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E9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67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0A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50F82"/>
    <w:multiLevelType w:val="multilevel"/>
    <w:tmpl w:val="916A2D0C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06D56E0"/>
    <w:multiLevelType w:val="hybridMultilevel"/>
    <w:tmpl w:val="24621AD4"/>
    <w:lvl w:ilvl="0" w:tplc="33D851F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C2AA00" w:tentative="1">
      <w:start w:val="1"/>
      <w:numFmt w:val="lowerLetter"/>
      <w:lvlText w:val="%2."/>
      <w:lvlJc w:val="left"/>
      <w:pPr>
        <w:ind w:left="1440" w:hanging="360"/>
      </w:pPr>
    </w:lvl>
    <w:lvl w:ilvl="2" w:tplc="517A38E8" w:tentative="1">
      <w:start w:val="1"/>
      <w:numFmt w:val="lowerRoman"/>
      <w:lvlText w:val="%3."/>
      <w:lvlJc w:val="right"/>
      <w:pPr>
        <w:ind w:left="2160" w:hanging="180"/>
      </w:pPr>
    </w:lvl>
    <w:lvl w:ilvl="3" w:tplc="9DD2E6E4" w:tentative="1">
      <w:start w:val="1"/>
      <w:numFmt w:val="decimal"/>
      <w:lvlText w:val="%4."/>
      <w:lvlJc w:val="left"/>
      <w:pPr>
        <w:ind w:left="2880" w:hanging="360"/>
      </w:pPr>
    </w:lvl>
    <w:lvl w:ilvl="4" w:tplc="6868C9DC" w:tentative="1">
      <w:start w:val="1"/>
      <w:numFmt w:val="lowerLetter"/>
      <w:lvlText w:val="%5."/>
      <w:lvlJc w:val="left"/>
      <w:pPr>
        <w:ind w:left="3600" w:hanging="360"/>
      </w:pPr>
    </w:lvl>
    <w:lvl w:ilvl="5" w:tplc="77E4CEB6" w:tentative="1">
      <w:start w:val="1"/>
      <w:numFmt w:val="lowerRoman"/>
      <w:lvlText w:val="%6."/>
      <w:lvlJc w:val="right"/>
      <w:pPr>
        <w:ind w:left="4320" w:hanging="180"/>
      </w:pPr>
    </w:lvl>
    <w:lvl w:ilvl="6" w:tplc="9AD8E730" w:tentative="1">
      <w:start w:val="1"/>
      <w:numFmt w:val="decimal"/>
      <w:lvlText w:val="%7."/>
      <w:lvlJc w:val="left"/>
      <w:pPr>
        <w:ind w:left="5040" w:hanging="360"/>
      </w:pPr>
    </w:lvl>
    <w:lvl w:ilvl="7" w:tplc="C2AE4632" w:tentative="1">
      <w:start w:val="1"/>
      <w:numFmt w:val="lowerLetter"/>
      <w:lvlText w:val="%8."/>
      <w:lvlJc w:val="left"/>
      <w:pPr>
        <w:ind w:left="5760" w:hanging="360"/>
      </w:pPr>
    </w:lvl>
    <w:lvl w:ilvl="8" w:tplc="3DAEB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D4B71"/>
    <w:multiLevelType w:val="hybridMultilevel"/>
    <w:tmpl w:val="043836CC"/>
    <w:lvl w:ilvl="0" w:tplc="8D66FE14">
      <w:start w:val="1"/>
      <w:numFmt w:val="lowerLetter"/>
      <w:lvlText w:val="%1)"/>
      <w:lvlJc w:val="left"/>
      <w:pPr>
        <w:ind w:left="928" w:hanging="360"/>
      </w:pPr>
    </w:lvl>
    <w:lvl w:ilvl="1" w:tplc="FA5C662E" w:tentative="1">
      <w:start w:val="1"/>
      <w:numFmt w:val="lowerLetter"/>
      <w:lvlText w:val="%2."/>
      <w:lvlJc w:val="left"/>
      <w:pPr>
        <w:ind w:left="1648" w:hanging="360"/>
      </w:pPr>
    </w:lvl>
    <w:lvl w:ilvl="2" w:tplc="860852A2" w:tentative="1">
      <w:start w:val="1"/>
      <w:numFmt w:val="lowerRoman"/>
      <w:lvlText w:val="%3."/>
      <w:lvlJc w:val="right"/>
      <w:pPr>
        <w:ind w:left="2368" w:hanging="180"/>
      </w:pPr>
    </w:lvl>
    <w:lvl w:ilvl="3" w:tplc="7C4C04F6" w:tentative="1">
      <w:start w:val="1"/>
      <w:numFmt w:val="decimal"/>
      <w:lvlText w:val="%4."/>
      <w:lvlJc w:val="left"/>
      <w:pPr>
        <w:ind w:left="3088" w:hanging="360"/>
      </w:pPr>
    </w:lvl>
    <w:lvl w:ilvl="4" w:tplc="90FCB806" w:tentative="1">
      <w:start w:val="1"/>
      <w:numFmt w:val="lowerLetter"/>
      <w:lvlText w:val="%5."/>
      <w:lvlJc w:val="left"/>
      <w:pPr>
        <w:ind w:left="3808" w:hanging="360"/>
      </w:pPr>
    </w:lvl>
    <w:lvl w:ilvl="5" w:tplc="5D32ABBC" w:tentative="1">
      <w:start w:val="1"/>
      <w:numFmt w:val="lowerRoman"/>
      <w:lvlText w:val="%6."/>
      <w:lvlJc w:val="right"/>
      <w:pPr>
        <w:ind w:left="4528" w:hanging="180"/>
      </w:pPr>
    </w:lvl>
    <w:lvl w:ilvl="6" w:tplc="D20CC58C" w:tentative="1">
      <w:start w:val="1"/>
      <w:numFmt w:val="decimal"/>
      <w:lvlText w:val="%7."/>
      <w:lvlJc w:val="left"/>
      <w:pPr>
        <w:ind w:left="5248" w:hanging="360"/>
      </w:pPr>
    </w:lvl>
    <w:lvl w:ilvl="7" w:tplc="139C96AE" w:tentative="1">
      <w:start w:val="1"/>
      <w:numFmt w:val="lowerLetter"/>
      <w:lvlText w:val="%8."/>
      <w:lvlJc w:val="left"/>
      <w:pPr>
        <w:ind w:left="5968" w:hanging="360"/>
      </w:pPr>
    </w:lvl>
    <w:lvl w:ilvl="8" w:tplc="17E6481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BAB2BD2"/>
    <w:multiLevelType w:val="hybridMultilevel"/>
    <w:tmpl w:val="8074847C"/>
    <w:lvl w:ilvl="0" w:tplc="FE6A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A7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28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41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9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42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2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A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87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20290"/>
    <w:multiLevelType w:val="hybridMultilevel"/>
    <w:tmpl w:val="B452619C"/>
    <w:lvl w:ilvl="0" w:tplc="F87EA9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80B31C" w:tentative="1">
      <w:start w:val="1"/>
      <w:numFmt w:val="lowerLetter"/>
      <w:lvlText w:val="%2."/>
      <w:lvlJc w:val="left"/>
      <w:pPr>
        <w:ind w:left="1440" w:hanging="360"/>
      </w:pPr>
    </w:lvl>
    <w:lvl w:ilvl="2" w:tplc="D2DA6AAE" w:tentative="1">
      <w:start w:val="1"/>
      <w:numFmt w:val="lowerRoman"/>
      <w:lvlText w:val="%3."/>
      <w:lvlJc w:val="right"/>
      <w:pPr>
        <w:ind w:left="2160" w:hanging="180"/>
      </w:pPr>
    </w:lvl>
    <w:lvl w:ilvl="3" w:tplc="FD3A25B4" w:tentative="1">
      <w:start w:val="1"/>
      <w:numFmt w:val="decimal"/>
      <w:lvlText w:val="%4."/>
      <w:lvlJc w:val="left"/>
      <w:pPr>
        <w:ind w:left="2880" w:hanging="360"/>
      </w:pPr>
    </w:lvl>
    <w:lvl w:ilvl="4" w:tplc="F16656A6" w:tentative="1">
      <w:start w:val="1"/>
      <w:numFmt w:val="lowerLetter"/>
      <w:lvlText w:val="%5."/>
      <w:lvlJc w:val="left"/>
      <w:pPr>
        <w:ind w:left="3600" w:hanging="360"/>
      </w:pPr>
    </w:lvl>
    <w:lvl w:ilvl="5" w:tplc="A362972C" w:tentative="1">
      <w:start w:val="1"/>
      <w:numFmt w:val="lowerRoman"/>
      <w:lvlText w:val="%6."/>
      <w:lvlJc w:val="right"/>
      <w:pPr>
        <w:ind w:left="4320" w:hanging="180"/>
      </w:pPr>
    </w:lvl>
    <w:lvl w:ilvl="6" w:tplc="E43EB106" w:tentative="1">
      <w:start w:val="1"/>
      <w:numFmt w:val="decimal"/>
      <w:lvlText w:val="%7."/>
      <w:lvlJc w:val="left"/>
      <w:pPr>
        <w:ind w:left="5040" w:hanging="360"/>
      </w:pPr>
    </w:lvl>
    <w:lvl w:ilvl="7" w:tplc="B9A8D80A" w:tentative="1">
      <w:start w:val="1"/>
      <w:numFmt w:val="lowerLetter"/>
      <w:lvlText w:val="%8."/>
      <w:lvlJc w:val="left"/>
      <w:pPr>
        <w:ind w:left="5760" w:hanging="360"/>
      </w:pPr>
    </w:lvl>
    <w:lvl w:ilvl="8" w:tplc="AB30E8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22"/>
  </w:num>
  <w:num w:numId="11">
    <w:abstractNumId w:val="18"/>
  </w:num>
  <w:num w:numId="12">
    <w:abstractNumId w:val="18"/>
  </w:num>
  <w:num w:numId="13">
    <w:abstractNumId w:val="13"/>
  </w:num>
  <w:num w:numId="14">
    <w:abstractNumId w:val="4"/>
  </w:num>
  <w:num w:numId="15">
    <w:abstractNumId w:val="11"/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</w:num>
  <w:num w:numId="22">
    <w:abstractNumId w:val="7"/>
  </w:num>
  <w:num w:numId="23">
    <w:abstractNumId w:val="11"/>
    <w:lvlOverride w:ilvl="0">
      <w:startOverride w:val="1"/>
    </w:lvlOverride>
  </w:num>
  <w:num w:numId="24">
    <w:abstractNumId w:val="9"/>
  </w:num>
  <w:num w:numId="25">
    <w:abstractNumId w:val="3"/>
  </w:num>
  <w:num w:numId="26">
    <w:abstractNumId w:val="24"/>
  </w:num>
  <w:num w:numId="27">
    <w:abstractNumId w:val="24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6"/>
  </w:num>
  <w:num w:numId="30">
    <w:abstractNumId w:val="11"/>
    <w:lvlOverride w:ilvl="0">
      <w:startOverride w:val="1"/>
    </w:lvlOverride>
  </w:num>
  <w:num w:numId="31">
    <w:abstractNumId w:val="26"/>
  </w:num>
  <w:num w:numId="32">
    <w:abstractNumId w:val="1"/>
  </w:num>
  <w:num w:numId="33">
    <w:abstractNumId w:val="23"/>
  </w:num>
  <w:num w:numId="34">
    <w:abstractNumId w:val="21"/>
  </w:num>
  <w:num w:numId="35">
    <w:abstractNumId w:val="20"/>
  </w:num>
  <w:num w:numId="36">
    <w:abstractNumId w:val="19"/>
  </w:num>
  <w:num w:numId="37">
    <w:abstractNumId w:val="14"/>
  </w:num>
  <w:num w:numId="38">
    <w:abstractNumId w:val="8"/>
  </w:num>
  <w:num w:numId="39">
    <w:abstractNumId w:val="5"/>
  </w:num>
  <w:num w:numId="40">
    <w:abstractNumId w:val="25"/>
  </w:num>
  <w:num w:numId="41">
    <w:abstractNumId w:val="2"/>
  </w:num>
  <w:num w:numId="42">
    <w:abstractNumId w:val="12"/>
  </w:num>
  <w:num w:numId="43">
    <w:abstractNumId w:val="0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10"/>
  </w:num>
  <w:num w:numId="4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170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1"/>
    <w:rsid w:val="0000077A"/>
    <w:rsid w:val="00000925"/>
    <w:rsid w:val="00002941"/>
    <w:rsid w:val="00002E3F"/>
    <w:rsid w:val="00004BBD"/>
    <w:rsid w:val="00005E0C"/>
    <w:rsid w:val="00006CDD"/>
    <w:rsid w:val="00012DF4"/>
    <w:rsid w:val="00014610"/>
    <w:rsid w:val="00016152"/>
    <w:rsid w:val="00017462"/>
    <w:rsid w:val="0002215E"/>
    <w:rsid w:val="00023E33"/>
    <w:rsid w:val="00024D78"/>
    <w:rsid w:val="00025455"/>
    <w:rsid w:val="00026617"/>
    <w:rsid w:val="00035AB0"/>
    <w:rsid w:val="000378E1"/>
    <w:rsid w:val="00037FB9"/>
    <w:rsid w:val="00041206"/>
    <w:rsid w:val="00043765"/>
    <w:rsid w:val="00044275"/>
    <w:rsid w:val="00050006"/>
    <w:rsid w:val="000524D4"/>
    <w:rsid w:val="000536A1"/>
    <w:rsid w:val="000540F9"/>
    <w:rsid w:val="0005526E"/>
    <w:rsid w:val="00056232"/>
    <w:rsid w:val="000573AB"/>
    <w:rsid w:val="00067C46"/>
    <w:rsid w:val="0008025A"/>
    <w:rsid w:val="00086FAE"/>
    <w:rsid w:val="00093B88"/>
    <w:rsid w:val="000A0539"/>
    <w:rsid w:val="000A2233"/>
    <w:rsid w:val="000A3372"/>
    <w:rsid w:val="000A5F6C"/>
    <w:rsid w:val="000A600B"/>
    <w:rsid w:val="000B11D7"/>
    <w:rsid w:val="000B20F2"/>
    <w:rsid w:val="000B28E4"/>
    <w:rsid w:val="000B423C"/>
    <w:rsid w:val="000B5753"/>
    <w:rsid w:val="000B6630"/>
    <w:rsid w:val="000C1E9A"/>
    <w:rsid w:val="000C3ABD"/>
    <w:rsid w:val="000D3EA0"/>
    <w:rsid w:val="000D556F"/>
    <w:rsid w:val="000D6067"/>
    <w:rsid w:val="000E1B83"/>
    <w:rsid w:val="000E39DB"/>
    <w:rsid w:val="000E73ED"/>
    <w:rsid w:val="000E76AA"/>
    <w:rsid w:val="000F068E"/>
    <w:rsid w:val="000F1A36"/>
    <w:rsid w:val="000F4827"/>
    <w:rsid w:val="000F65B3"/>
    <w:rsid w:val="00100DDA"/>
    <w:rsid w:val="0010106F"/>
    <w:rsid w:val="00103EBB"/>
    <w:rsid w:val="001054F5"/>
    <w:rsid w:val="001141F4"/>
    <w:rsid w:val="001166AF"/>
    <w:rsid w:val="00117E1A"/>
    <w:rsid w:val="0012013A"/>
    <w:rsid w:val="0012035B"/>
    <w:rsid w:val="00140FE1"/>
    <w:rsid w:val="001414C1"/>
    <w:rsid w:val="0014296D"/>
    <w:rsid w:val="001442E9"/>
    <w:rsid w:val="00145BF9"/>
    <w:rsid w:val="0014629E"/>
    <w:rsid w:val="001504FB"/>
    <w:rsid w:val="001510FA"/>
    <w:rsid w:val="0015142B"/>
    <w:rsid w:val="00154A1C"/>
    <w:rsid w:val="00154D47"/>
    <w:rsid w:val="00155006"/>
    <w:rsid w:val="00160EB8"/>
    <w:rsid w:val="0016508C"/>
    <w:rsid w:val="001670EB"/>
    <w:rsid w:val="001676B5"/>
    <w:rsid w:val="00167DA6"/>
    <w:rsid w:val="00170C39"/>
    <w:rsid w:val="00172277"/>
    <w:rsid w:val="001774D3"/>
    <w:rsid w:val="00183FC9"/>
    <w:rsid w:val="00184B75"/>
    <w:rsid w:val="00184D14"/>
    <w:rsid w:val="00184E50"/>
    <w:rsid w:val="0018674B"/>
    <w:rsid w:val="00187CA3"/>
    <w:rsid w:val="00190C73"/>
    <w:rsid w:val="00193A3C"/>
    <w:rsid w:val="00193DE6"/>
    <w:rsid w:val="001A0EDE"/>
    <w:rsid w:val="001A1D48"/>
    <w:rsid w:val="001A27ED"/>
    <w:rsid w:val="001A3662"/>
    <w:rsid w:val="001A6F19"/>
    <w:rsid w:val="001B0182"/>
    <w:rsid w:val="001B11D0"/>
    <w:rsid w:val="001B32DD"/>
    <w:rsid w:val="001B5C1E"/>
    <w:rsid w:val="001C660A"/>
    <w:rsid w:val="001C7222"/>
    <w:rsid w:val="001D3F8E"/>
    <w:rsid w:val="001D42E8"/>
    <w:rsid w:val="001D53BC"/>
    <w:rsid w:val="001E068C"/>
    <w:rsid w:val="001E17AF"/>
    <w:rsid w:val="001E2DA8"/>
    <w:rsid w:val="001E5CEE"/>
    <w:rsid w:val="001F084E"/>
    <w:rsid w:val="001F0A27"/>
    <w:rsid w:val="001F0A3F"/>
    <w:rsid w:val="001F3CF3"/>
    <w:rsid w:val="00212748"/>
    <w:rsid w:val="00217A6D"/>
    <w:rsid w:val="00220D43"/>
    <w:rsid w:val="00221DC8"/>
    <w:rsid w:val="00224259"/>
    <w:rsid w:val="00225751"/>
    <w:rsid w:val="0022591B"/>
    <w:rsid w:val="0023007D"/>
    <w:rsid w:val="00231236"/>
    <w:rsid w:val="002339B4"/>
    <w:rsid w:val="00234E5E"/>
    <w:rsid w:val="00240ABC"/>
    <w:rsid w:val="002455F7"/>
    <w:rsid w:val="00250709"/>
    <w:rsid w:val="002526DA"/>
    <w:rsid w:val="00262AE9"/>
    <w:rsid w:val="00267483"/>
    <w:rsid w:val="002679FC"/>
    <w:rsid w:val="00271B0C"/>
    <w:rsid w:val="00274897"/>
    <w:rsid w:val="00275A4C"/>
    <w:rsid w:val="00277AFE"/>
    <w:rsid w:val="00286A0F"/>
    <w:rsid w:val="00287329"/>
    <w:rsid w:val="00292525"/>
    <w:rsid w:val="002939BF"/>
    <w:rsid w:val="002964C5"/>
    <w:rsid w:val="002A0D28"/>
    <w:rsid w:val="002A3A4F"/>
    <w:rsid w:val="002A56E5"/>
    <w:rsid w:val="002B2037"/>
    <w:rsid w:val="002B248A"/>
    <w:rsid w:val="002C0280"/>
    <w:rsid w:val="002C39B0"/>
    <w:rsid w:val="002C3ED0"/>
    <w:rsid w:val="002C6E97"/>
    <w:rsid w:val="002C7303"/>
    <w:rsid w:val="002C77C2"/>
    <w:rsid w:val="002D1258"/>
    <w:rsid w:val="002D48D5"/>
    <w:rsid w:val="002E11BF"/>
    <w:rsid w:val="002E1C83"/>
    <w:rsid w:val="002E6779"/>
    <w:rsid w:val="002E691A"/>
    <w:rsid w:val="002E75C3"/>
    <w:rsid w:val="002E76B7"/>
    <w:rsid w:val="002F2ED0"/>
    <w:rsid w:val="002F3660"/>
    <w:rsid w:val="002F4107"/>
    <w:rsid w:val="002F72EF"/>
    <w:rsid w:val="0030088D"/>
    <w:rsid w:val="003025BB"/>
    <w:rsid w:val="0030347E"/>
    <w:rsid w:val="00303804"/>
    <w:rsid w:val="0030486C"/>
    <w:rsid w:val="00307A50"/>
    <w:rsid w:val="00307A5B"/>
    <w:rsid w:val="003146D7"/>
    <w:rsid w:val="00317028"/>
    <w:rsid w:val="0031764F"/>
    <w:rsid w:val="0032071C"/>
    <w:rsid w:val="00321AB1"/>
    <w:rsid w:val="00325915"/>
    <w:rsid w:val="003350AE"/>
    <w:rsid w:val="00336696"/>
    <w:rsid w:val="003416FB"/>
    <w:rsid w:val="003444C1"/>
    <w:rsid w:val="00344A56"/>
    <w:rsid w:val="00344A75"/>
    <w:rsid w:val="00351614"/>
    <w:rsid w:val="00357DF3"/>
    <w:rsid w:val="00360AAD"/>
    <w:rsid w:val="00361293"/>
    <w:rsid w:val="0036756F"/>
    <w:rsid w:val="0036761B"/>
    <w:rsid w:val="003701DF"/>
    <w:rsid w:val="003728EE"/>
    <w:rsid w:val="00372936"/>
    <w:rsid w:val="00374997"/>
    <w:rsid w:val="00380891"/>
    <w:rsid w:val="00392DD1"/>
    <w:rsid w:val="00393042"/>
    <w:rsid w:val="003934C3"/>
    <w:rsid w:val="0039408D"/>
    <w:rsid w:val="00394637"/>
    <w:rsid w:val="00397221"/>
    <w:rsid w:val="003A101A"/>
    <w:rsid w:val="003A715C"/>
    <w:rsid w:val="003B09AF"/>
    <w:rsid w:val="003B14A7"/>
    <w:rsid w:val="003B321E"/>
    <w:rsid w:val="003B4A41"/>
    <w:rsid w:val="003B6C4B"/>
    <w:rsid w:val="003B70EB"/>
    <w:rsid w:val="003C1BE4"/>
    <w:rsid w:val="003C6433"/>
    <w:rsid w:val="003C73C7"/>
    <w:rsid w:val="003C7CAC"/>
    <w:rsid w:val="003C7DD1"/>
    <w:rsid w:val="003D0462"/>
    <w:rsid w:val="003D261E"/>
    <w:rsid w:val="003D4215"/>
    <w:rsid w:val="003D4515"/>
    <w:rsid w:val="003E0BBB"/>
    <w:rsid w:val="003E19B9"/>
    <w:rsid w:val="003E38F7"/>
    <w:rsid w:val="003E3B5B"/>
    <w:rsid w:val="003E43BC"/>
    <w:rsid w:val="003E4E5E"/>
    <w:rsid w:val="003E4FA2"/>
    <w:rsid w:val="003F081D"/>
    <w:rsid w:val="003F093D"/>
    <w:rsid w:val="004013DB"/>
    <w:rsid w:val="00403498"/>
    <w:rsid w:val="00410062"/>
    <w:rsid w:val="00410B10"/>
    <w:rsid w:val="00413C26"/>
    <w:rsid w:val="00420B91"/>
    <w:rsid w:val="00434215"/>
    <w:rsid w:val="00435A05"/>
    <w:rsid w:val="00435C71"/>
    <w:rsid w:val="00436487"/>
    <w:rsid w:val="004406C0"/>
    <w:rsid w:val="00440B5F"/>
    <w:rsid w:val="004423A6"/>
    <w:rsid w:val="0044259C"/>
    <w:rsid w:val="00446255"/>
    <w:rsid w:val="004466DF"/>
    <w:rsid w:val="00446AF0"/>
    <w:rsid w:val="0044752E"/>
    <w:rsid w:val="00451F64"/>
    <w:rsid w:val="004526DF"/>
    <w:rsid w:val="004550D9"/>
    <w:rsid w:val="00457C6A"/>
    <w:rsid w:val="0046177D"/>
    <w:rsid w:val="004628D9"/>
    <w:rsid w:val="00465068"/>
    <w:rsid w:val="004658C6"/>
    <w:rsid w:val="0046728D"/>
    <w:rsid w:val="0046747F"/>
    <w:rsid w:val="00475107"/>
    <w:rsid w:val="004772FF"/>
    <w:rsid w:val="00477BE4"/>
    <w:rsid w:val="004800EA"/>
    <w:rsid w:val="00480F94"/>
    <w:rsid w:val="00484939"/>
    <w:rsid w:val="00497118"/>
    <w:rsid w:val="004A08BE"/>
    <w:rsid w:val="004A1DB2"/>
    <w:rsid w:val="004A352D"/>
    <w:rsid w:val="004B00CD"/>
    <w:rsid w:val="004B635D"/>
    <w:rsid w:val="004B65B9"/>
    <w:rsid w:val="004B73FB"/>
    <w:rsid w:val="004C08A9"/>
    <w:rsid w:val="004C0B58"/>
    <w:rsid w:val="004C1666"/>
    <w:rsid w:val="004C1887"/>
    <w:rsid w:val="004C5643"/>
    <w:rsid w:val="004C6A98"/>
    <w:rsid w:val="004C7623"/>
    <w:rsid w:val="004C7C1C"/>
    <w:rsid w:val="004D4276"/>
    <w:rsid w:val="004D691C"/>
    <w:rsid w:val="004E4BF7"/>
    <w:rsid w:val="004F0B07"/>
    <w:rsid w:val="004F27D2"/>
    <w:rsid w:val="004F661B"/>
    <w:rsid w:val="004F71BF"/>
    <w:rsid w:val="00501739"/>
    <w:rsid w:val="0050257C"/>
    <w:rsid w:val="0050323E"/>
    <w:rsid w:val="005037AD"/>
    <w:rsid w:val="005118E4"/>
    <w:rsid w:val="0051394D"/>
    <w:rsid w:val="005148B5"/>
    <w:rsid w:val="00521EFF"/>
    <w:rsid w:val="00523097"/>
    <w:rsid w:val="00523DE2"/>
    <w:rsid w:val="00531A39"/>
    <w:rsid w:val="00532C0E"/>
    <w:rsid w:val="00533D81"/>
    <w:rsid w:val="00536CE8"/>
    <w:rsid w:val="0054015C"/>
    <w:rsid w:val="00544471"/>
    <w:rsid w:val="0055006B"/>
    <w:rsid w:val="005516EC"/>
    <w:rsid w:val="00553888"/>
    <w:rsid w:val="00555536"/>
    <w:rsid w:val="005567EF"/>
    <w:rsid w:val="0056019A"/>
    <w:rsid w:val="005609C4"/>
    <w:rsid w:val="005613D7"/>
    <w:rsid w:val="005636ED"/>
    <w:rsid w:val="005658FF"/>
    <w:rsid w:val="00573EF8"/>
    <w:rsid w:val="00581205"/>
    <w:rsid w:val="0058495F"/>
    <w:rsid w:val="0059003E"/>
    <w:rsid w:val="0059612A"/>
    <w:rsid w:val="00597BE3"/>
    <w:rsid w:val="005B14A1"/>
    <w:rsid w:val="005B2E56"/>
    <w:rsid w:val="005B3AEF"/>
    <w:rsid w:val="005B4221"/>
    <w:rsid w:val="005B44E5"/>
    <w:rsid w:val="005B6846"/>
    <w:rsid w:val="005C4815"/>
    <w:rsid w:val="005C74F4"/>
    <w:rsid w:val="005D1D4E"/>
    <w:rsid w:val="005D33B5"/>
    <w:rsid w:val="005E2246"/>
    <w:rsid w:val="005F4B16"/>
    <w:rsid w:val="005F4D35"/>
    <w:rsid w:val="00605364"/>
    <w:rsid w:val="006053DD"/>
    <w:rsid w:val="006054F8"/>
    <w:rsid w:val="006079A9"/>
    <w:rsid w:val="00611743"/>
    <w:rsid w:val="006222F3"/>
    <w:rsid w:val="00625F8F"/>
    <w:rsid w:val="00632303"/>
    <w:rsid w:val="00636417"/>
    <w:rsid w:val="00641492"/>
    <w:rsid w:val="0064231B"/>
    <w:rsid w:val="00644372"/>
    <w:rsid w:val="00645410"/>
    <w:rsid w:val="00650B8E"/>
    <w:rsid w:val="006530CE"/>
    <w:rsid w:val="00655078"/>
    <w:rsid w:val="0066016A"/>
    <w:rsid w:val="00663DF5"/>
    <w:rsid w:val="0066783C"/>
    <w:rsid w:val="00667D39"/>
    <w:rsid w:val="0067199F"/>
    <w:rsid w:val="00674E42"/>
    <w:rsid w:val="0067512F"/>
    <w:rsid w:val="00675A15"/>
    <w:rsid w:val="00680205"/>
    <w:rsid w:val="00680629"/>
    <w:rsid w:val="0068096B"/>
    <w:rsid w:val="00683CC4"/>
    <w:rsid w:val="00684FF7"/>
    <w:rsid w:val="00685593"/>
    <w:rsid w:val="006877AE"/>
    <w:rsid w:val="00691715"/>
    <w:rsid w:val="00694ECA"/>
    <w:rsid w:val="0069650E"/>
    <w:rsid w:val="006A7E72"/>
    <w:rsid w:val="006B34C1"/>
    <w:rsid w:val="006B758E"/>
    <w:rsid w:val="006C05CE"/>
    <w:rsid w:val="006C27E9"/>
    <w:rsid w:val="006C5CC8"/>
    <w:rsid w:val="006C6483"/>
    <w:rsid w:val="006D14CA"/>
    <w:rsid w:val="006D7C22"/>
    <w:rsid w:val="006E3211"/>
    <w:rsid w:val="006E3741"/>
    <w:rsid w:val="006E6121"/>
    <w:rsid w:val="006E6812"/>
    <w:rsid w:val="006E7F0F"/>
    <w:rsid w:val="006F7212"/>
    <w:rsid w:val="00704573"/>
    <w:rsid w:val="0070498E"/>
    <w:rsid w:val="00704A3C"/>
    <w:rsid w:val="0070682D"/>
    <w:rsid w:val="00707B44"/>
    <w:rsid w:val="00711FCA"/>
    <w:rsid w:val="00712A8B"/>
    <w:rsid w:val="007136B7"/>
    <w:rsid w:val="00713A20"/>
    <w:rsid w:val="007178D6"/>
    <w:rsid w:val="007265D4"/>
    <w:rsid w:val="00731FAB"/>
    <w:rsid w:val="00740249"/>
    <w:rsid w:val="00746D34"/>
    <w:rsid w:val="0075307A"/>
    <w:rsid w:val="007536B9"/>
    <w:rsid w:val="00756509"/>
    <w:rsid w:val="007565AF"/>
    <w:rsid w:val="00756A6B"/>
    <w:rsid w:val="00757EEB"/>
    <w:rsid w:val="00762089"/>
    <w:rsid w:val="00763E8E"/>
    <w:rsid w:val="007674F7"/>
    <w:rsid w:val="00772299"/>
    <w:rsid w:val="00773D74"/>
    <w:rsid w:val="007740BC"/>
    <w:rsid w:val="0077741A"/>
    <w:rsid w:val="007816B3"/>
    <w:rsid w:val="00782136"/>
    <w:rsid w:val="007823F0"/>
    <w:rsid w:val="00786C5B"/>
    <w:rsid w:val="007A4FC4"/>
    <w:rsid w:val="007A5FB6"/>
    <w:rsid w:val="007B507D"/>
    <w:rsid w:val="007C108B"/>
    <w:rsid w:val="007C2BAC"/>
    <w:rsid w:val="007C6BD0"/>
    <w:rsid w:val="007C7BFF"/>
    <w:rsid w:val="007D51E0"/>
    <w:rsid w:val="007D6FA3"/>
    <w:rsid w:val="007E3D4B"/>
    <w:rsid w:val="007F355B"/>
    <w:rsid w:val="007F50B6"/>
    <w:rsid w:val="007F5880"/>
    <w:rsid w:val="00801694"/>
    <w:rsid w:val="00801AB2"/>
    <w:rsid w:val="00801E88"/>
    <w:rsid w:val="00811058"/>
    <w:rsid w:val="00817A90"/>
    <w:rsid w:val="00820072"/>
    <w:rsid w:val="00820915"/>
    <w:rsid w:val="00820E3F"/>
    <w:rsid w:val="00821F61"/>
    <w:rsid w:val="0082311F"/>
    <w:rsid w:val="00823BC3"/>
    <w:rsid w:val="00827660"/>
    <w:rsid w:val="008338A0"/>
    <w:rsid w:val="0083507C"/>
    <w:rsid w:val="00835441"/>
    <w:rsid w:val="008355C5"/>
    <w:rsid w:val="00840C64"/>
    <w:rsid w:val="0084206C"/>
    <w:rsid w:val="00842D17"/>
    <w:rsid w:val="00843E64"/>
    <w:rsid w:val="008477AF"/>
    <w:rsid w:val="00847E71"/>
    <w:rsid w:val="00852174"/>
    <w:rsid w:val="0085490A"/>
    <w:rsid w:val="008557F1"/>
    <w:rsid w:val="00856A5A"/>
    <w:rsid w:val="00857A2E"/>
    <w:rsid w:val="00864D6E"/>
    <w:rsid w:val="00866A55"/>
    <w:rsid w:val="00866B97"/>
    <w:rsid w:val="00866E65"/>
    <w:rsid w:val="00882271"/>
    <w:rsid w:val="00883A22"/>
    <w:rsid w:val="00885D3F"/>
    <w:rsid w:val="00891586"/>
    <w:rsid w:val="00891778"/>
    <w:rsid w:val="00892907"/>
    <w:rsid w:val="00896CF6"/>
    <w:rsid w:val="008A40AF"/>
    <w:rsid w:val="008A4675"/>
    <w:rsid w:val="008A52E4"/>
    <w:rsid w:val="008B23D5"/>
    <w:rsid w:val="008B51BB"/>
    <w:rsid w:val="008C1FD3"/>
    <w:rsid w:val="008C4C70"/>
    <w:rsid w:val="008C52EE"/>
    <w:rsid w:val="008D3580"/>
    <w:rsid w:val="008D3C6D"/>
    <w:rsid w:val="008D4A58"/>
    <w:rsid w:val="008E2E70"/>
    <w:rsid w:val="008F04B1"/>
    <w:rsid w:val="008F07F5"/>
    <w:rsid w:val="008F1FC5"/>
    <w:rsid w:val="008F7406"/>
    <w:rsid w:val="008F74E8"/>
    <w:rsid w:val="008F77D5"/>
    <w:rsid w:val="00900DA1"/>
    <w:rsid w:val="00901B1C"/>
    <w:rsid w:val="00903588"/>
    <w:rsid w:val="009035FC"/>
    <w:rsid w:val="0090626D"/>
    <w:rsid w:val="009063DA"/>
    <w:rsid w:val="00914A8E"/>
    <w:rsid w:val="00916DAC"/>
    <w:rsid w:val="00920C3C"/>
    <w:rsid w:val="00926030"/>
    <w:rsid w:val="00926850"/>
    <w:rsid w:val="009331AC"/>
    <w:rsid w:val="00942198"/>
    <w:rsid w:val="00942585"/>
    <w:rsid w:val="009428B2"/>
    <w:rsid w:val="0094330A"/>
    <w:rsid w:val="0095201C"/>
    <w:rsid w:val="009536CE"/>
    <w:rsid w:val="00953BDA"/>
    <w:rsid w:val="00956B42"/>
    <w:rsid w:val="00957A02"/>
    <w:rsid w:val="009602FC"/>
    <w:rsid w:val="00960C94"/>
    <w:rsid w:val="0096295B"/>
    <w:rsid w:val="00962CED"/>
    <w:rsid w:val="009637EE"/>
    <w:rsid w:val="00964C60"/>
    <w:rsid w:val="00965E63"/>
    <w:rsid w:val="00966185"/>
    <w:rsid w:val="00971F70"/>
    <w:rsid w:val="009739FB"/>
    <w:rsid w:val="00976BE0"/>
    <w:rsid w:val="0098050D"/>
    <w:rsid w:val="0098082D"/>
    <w:rsid w:val="00982E19"/>
    <w:rsid w:val="0099288B"/>
    <w:rsid w:val="00992CBD"/>
    <w:rsid w:val="00996D04"/>
    <w:rsid w:val="009A26A8"/>
    <w:rsid w:val="009A5D34"/>
    <w:rsid w:val="009A608D"/>
    <w:rsid w:val="009A60A4"/>
    <w:rsid w:val="009A6DD9"/>
    <w:rsid w:val="009B34AF"/>
    <w:rsid w:val="009B6B3F"/>
    <w:rsid w:val="009C26CC"/>
    <w:rsid w:val="009C3B74"/>
    <w:rsid w:val="009C5669"/>
    <w:rsid w:val="009D3BEB"/>
    <w:rsid w:val="009D7FB7"/>
    <w:rsid w:val="009E16B6"/>
    <w:rsid w:val="009E197F"/>
    <w:rsid w:val="009E506C"/>
    <w:rsid w:val="009E519D"/>
    <w:rsid w:val="009E6EEF"/>
    <w:rsid w:val="009E760F"/>
    <w:rsid w:val="009F0CD6"/>
    <w:rsid w:val="009F1964"/>
    <w:rsid w:val="009F40FE"/>
    <w:rsid w:val="009F6DCD"/>
    <w:rsid w:val="00A00271"/>
    <w:rsid w:val="00A0549E"/>
    <w:rsid w:val="00A05DF3"/>
    <w:rsid w:val="00A11475"/>
    <w:rsid w:val="00A12F40"/>
    <w:rsid w:val="00A14FDE"/>
    <w:rsid w:val="00A150D2"/>
    <w:rsid w:val="00A228EF"/>
    <w:rsid w:val="00A249F5"/>
    <w:rsid w:val="00A24CB8"/>
    <w:rsid w:val="00A26181"/>
    <w:rsid w:val="00A30CA1"/>
    <w:rsid w:val="00A3462F"/>
    <w:rsid w:val="00A36164"/>
    <w:rsid w:val="00A4119B"/>
    <w:rsid w:val="00A42C82"/>
    <w:rsid w:val="00A43598"/>
    <w:rsid w:val="00A44A1C"/>
    <w:rsid w:val="00A51253"/>
    <w:rsid w:val="00A53B67"/>
    <w:rsid w:val="00A57958"/>
    <w:rsid w:val="00A62834"/>
    <w:rsid w:val="00A63459"/>
    <w:rsid w:val="00A64CC7"/>
    <w:rsid w:val="00A67056"/>
    <w:rsid w:val="00A67677"/>
    <w:rsid w:val="00A67BC8"/>
    <w:rsid w:val="00A70462"/>
    <w:rsid w:val="00A72D64"/>
    <w:rsid w:val="00A863EE"/>
    <w:rsid w:val="00A90318"/>
    <w:rsid w:val="00A956C5"/>
    <w:rsid w:val="00A96C32"/>
    <w:rsid w:val="00AA16C0"/>
    <w:rsid w:val="00AA462A"/>
    <w:rsid w:val="00AA61BA"/>
    <w:rsid w:val="00AB13B6"/>
    <w:rsid w:val="00AB16AC"/>
    <w:rsid w:val="00AB30AE"/>
    <w:rsid w:val="00AB4552"/>
    <w:rsid w:val="00AB5C33"/>
    <w:rsid w:val="00AB6934"/>
    <w:rsid w:val="00AC05E3"/>
    <w:rsid w:val="00AD32DA"/>
    <w:rsid w:val="00AD3FC8"/>
    <w:rsid w:val="00AE61EC"/>
    <w:rsid w:val="00AF4140"/>
    <w:rsid w:val="00AF43BC"/>
    <w:rsid w:val="00AF49B8"/>
    <w:rsid w:val="00AF5241"/>
    <w:rsid w:val="00AF61D1"/>
    <w:rsid w:val="00B02A85"/>
    <w:rsid w:val="00B054E9"/>
    <w:rsid w:val="00B05567"/>
    <w:rsid w:val="00B06394"/>
    <w:rsid w:val="00B07110"/>
    <w:rsid w:val="00B132DD"/>
    <w:rsid w:val="00B1622E"/>
    <w:rsid w:val="00B1659C"/>
    <w:rsid w:val="00B20E0C"/>
    <w:rsid w:val="00B4323D"/>
    <w:rsid w:val="00B44280"/>
    <w:rsid w:val="00B56121"/>
    <w:rsid w:val="00B561E1"/>
    <w:rsid w:val="00B56CA3"/>
    <w:rsid w:val="00B617F6"/>
    <w:rsid w:val="00B64188"/>
    <w:rsid w:val="00B644AC"/>
    <w:rsid w:val="00B64919"/>
    <w:rsid w:val="00B701E0"/>
    <w:rsid w:val="00B76EF3"/>
    <w:rsid w:val="00B86F2F"/>
    <w:rsid w:val="00B9621F"/>
    <w:rsid w:val="00B9767E"/>
    <w:rsid w:val="00B9779E"/>
    <w:rsid w:val="00BA20F0"/>
    <w:rsid w:val="00BA2B98"/>
    <w:rsid w:val="00BA2FAC"/>
    <w:rsid w:val="00BB49AB"/>
    <w:rsid w:val="00BB708E"/>
    <w:rsid w:val="00BC6583"/>
    <w:rsid w:val="00BC6DF7"/>
    <w:rsid w:val="00BC7F27"/>
    <w:rsid w:val="00BD5667"/>
    <w:rsid w:val="00BE005E"/>
    <w:rsid w:val="00BE1A11"/>
    <w:rsid w:val="00BE1B45"/>
    <w:rsid w:val="00BE1DF9"/>
    <w:rsid w:val="00BE1E6E"/>
    <w:rsid w:val="00BE3BC5"/>
    <w:rsid w:val="00BE4F70"/>
    <w:rsid w:val="00BE50D1"/>
    <w:rsid w:val="00BF00AB"/>
    <w:rsid w:val="00BF40A2"/>
    <w:rsid w:val="00BF7C43"/>
    <w:rsid w:val="00BF7FDD"/>
    <w:rsid w:val="00C02DC0"/>
    <w:rsid w:val="00C04805"/>
    <w:rsid w:val="00C0522D"/>
    <w:rsid w:val="00C06DEA"/>
    <w:rsid w:val="00C11C86"/>
    <w:rsid w:val="00C16A3C"/>
    <w:rsid w:val="00C2255E"/>
    <w:rsid w:val="00C231AB"/>
    <w:rsid w:val="00C3396A"/>
    <w:rsid w:val="00C37CBD"/>
    <w:rsid w:val="00C43F9A"/>
    <w:rsid w:val="00C46CFB"/>
    <w:rsid w:val="00C47618"/>
    <w:rsid w:val="00C55F0C"/>
    <w:rsid w:val="00C57D78"/>
    <w:rsid w:val="00C60173"/>
    <w:rsid w:val="00C72840"/>
    <w:rsid w:val="00C77D8E"/>
    <w:rsid w:val="00C81F3D"/>
    <w:rsid w:val="00C82DB7"/>
    <w:rsid w:val="00C83394"/>
    <w:rsid w:val="00C847E9"/>
    <w:rsid w:val="00C84EC2"/>
    <w:rsid w:val="00C85DF9"/>
    <w:rsid w:val="00C875A5"/>
    <w:rsid w:val="00C931FB"/>
    <w:rsid w:val="00C96C48"/>
    <w:rsid w:val="00CA0207"/>
    <w:rsid w:val="00CA0CBF"/>
    <w:rsid w:val="00CA2C1A"/>
    <w:rsid w:val="00CA74E8"/>
    <w:rsid w:val="00CB0864"/>
    <w:rsid w:val="00CB7C60"/>
    <w:rsid w:val="00CB7F44"/>
    <w:rsid w:val="00CC1434"/>
    <w:rsid w:val="00CC3F49"/>
    <w:rsid w:val="00CC5D3B"/>
    <w:rsid w:val="00CC5E52"/>
    <w:rsid w:val="00CD1718"/>
    <w:rsid w:val="00CD263B"/>
    <w:rsid w:val="00CE2760"/>
    <w:rsid w:val="00CE2A76"/>
    <w:rsid w:val="00CE5127"/>
    <w:rsid w:val="00CE64D3"/>
    <w:rsid w:val="00CF0BD2"/>
    <w:rsid w:val="00CF11A9"/>
    <w:rsid w:val="00CF2F57"/>
    <w:rsid w:val="00CF354E"/>
    <w:rsid w:val="00CF3C2E"/>
    <w:rsid w:val="00D028DA"/>
    <w:rsid w:val="00D0575C"/>
    <w:rsid w:val="00D057FC"/>
    <w:rsid w:val="00D07AB2"/>
    <w:rsid w:val="00D10D1D"/>
    <w:rsid w:val="00D119A7"/>
    <w:rsid w:val="00D129E9"/>
    <w:rsid w:val="00D1365D"/>
    <w:rsid w:val="00D1387D"/>
    <w:rsid w:val="00D15C9F"/>
    <w:rsid w:val="00D16120"/>
    <w:rsid w:val="00D20ADC"/>
    <w:rsid w:val="00D22A5A"/>
    <w:rsid w:val="00D25117"/>
    <w:rsid w:val="00D31D11"/>
    <w:rsid w:val="00D34EE3"/>
    <w:rsid w:val="00D40BEB"/>
    <w:rsid w:val="00D40FCE"/>
    <w:rsid w:val="00D412A0"/>
    <w:rsid w:val="00D4180D"/>
    <w:rsid w:val="00D454B9"/>
    <w:rsid w:val="00D47DDF"/>
    <w:rsid w:val="00D50970"/>
    <w:rsid w:val="00D553B2"/>
    <w:rsid w:val="00D570ED"/>
    <w:rsid w:val="00D607B3"/>
    <w:rsid w:val="00D61632"/>
    <w:rsid w:val="00D63672"/>
    <w:rsid w:val="00D63F98"/>
    <w:rsid w:val="00D6467F"/>
    <w:rsid w:val="00D72467"/>
    <w:rsid w:val="00D74AB6"/>
    <w:rsid w:val="00D77CCA"/>
    <w:rsid w:val="00D80435"/>
    <w:rsid w:val="00D84788"/>
    <w:rsid w:val="00D8596E"/>
    <w:rsid w:val="00D85DF8"/>
    <w:rsid w:val="00D93E0B"/>
    <w:rsid w:val="00D94E55"/>
    <w:rsid w:val="00D97145"/>
    <w:rsid w:val="00D97FD7"/>
    <w:rsid w:val="00DA2AD5"/>
    <w:rsid w:val="00DA3BBE"/>
    <w:rsid w:val="00DA5477"/>
    <w:rsid w:val="00DB2037"/>
    <w:rsid w:val="00DB274B"/>
    <w:rsid w:val="00DB7E0C"/>
    <w:rsid w:val="00DC49BD"/>
    <w:rsid w:val="00DD1EE3"/>
    <w:rsid w:val="00DD3229"/>
    <w:rsid w:val="00DD372D"/>
    <w:rsid w:val="00DD6E6F"/>
    <w:rsid w:val="00DE01C9"/>
    <w:rsid w:val="00DE09F0"/>
    <w:rsid w:val="00DE14E5"/>
    <w:rsid w:val="00DE3A86"/>
    <w:rsid w:val="00DE4335"/>
    <w:rsid w:val="00DE49D6"/>
    <w:rsid w:val="00DF2933"/>
    <w:rsid w:val="00E020AE"/>
    <w:rsid w:val="00E04B11"/>
    <w:rsid w:val="00E110C4"/>
    <w:rsid w:val="00E1144C"/>
    <w:rsid w:val="00E12C3F"/>
    <w:rsid w:val="00E14859"/>
    <w:rsid w:val="00E15BCB"/>
    <w:rsid w:val="00E17F84"/>
    <w:rsid w:val="00E212A8"/>
    <w:rsid w:val="00E23C65"/>
    <w:rsid w:val="00E262DE"/>
    <w:rsid w:val="00E270E1"/>
    <w:rsid w:val="00E3617D"/>
    <w:rsid w:val="00E37B88"/>
    <w:rsid w:val="00E40929"/>
    <w:rsid w:val="00E415FE"/>
    <w:rsid w:val="00E42BAF"/>
    <w:rsid w:val="00E43158"/>
    <w:rsid w:val="00E435E9"/>
    <w:rsid w:val="00E46232"/>
    <w:rsid w:val="00E469EE"/>
    <w:rsid w:val="00E50BA7"/>
    <w:rsid w:val="00E53826"/>
    <w:rsid w:val="00E53E02"/>
    <w:rsid w:val="00E56626"/>
    <w:rsid w:val="00E56C3F"/>
    <w:rsid w:val="00E61C4B"/>
    <w:rsid w:val="00E65FE3"/>
    <w:rsid w:val="00E70403"/>
    <w:rsid w:val="00E74A51"/>
    <w:rsid w:val="00E74F12"/>
    <w:rsid w:val="00E766B9"/>
    <w:rsid w:val="00E813BF"/>
    <w:rsid w:val="00E83E40"/>
    <w:rsid w:val="00E84C8A"/>
    <w:rsid w:val="00E874C1"/>
    <w:rsid w:val="00E91623"/>
    <w:rsid w:val="00E93443"/>
    <w:rsid w:val="00E97586"/>
    <w:rsid w:val="00EA21A3"/>
    <w:rsid w:val="00EA3AB9"/>
    <w:rsid w:val="00EA4FE4"/>
    <w:rsid w:val="00EA59E3"/>
    <w:rsid w:val="00EA62AE"/>
    <w:rsid w:val="00EB084F"/>
    <w:rsid w:val="00EB4029"/>
    <w:rsid w:val="00EB4FBA"/>
    <w:rsid w:val="00EB7361"/>
    <w:rsid w:val="00EC2922"/>
    <w:rsid w:val="00ED1DF6"/>
    <w:rsid w:val="00ED2E71"/>
    <w:rsid w:val="00ED386B"/>
    <w:rsid w:val="00ED499A"/>
    <w:rsid w:val="00EE0867"/>
    <w:rsid w:val="00EE0A60"/>
    <w:rsid w:val="00EE2411"/>
    <w:rsid w:val="00EE42E8"/>
    <w:rsid w:val="00EE6C51"/>
    <w:rsid w:val="00EE7234"/>
    <w:rsid w:val="00EF3E1E"/>
    <w:rsid w:val="00EF433F"/>
    <w:rsid w:val="00EF520D"/>
    <w:rsid w:val="00EF5C1E"/>
    <w:rsid w:val="00EF6014"/>
    <w:rsid w:val="00F04F59"/>
    <w:rsid w:val="00F05C63"/>
    <w:rsid w:val="00F079C6"/>
    <w:rsid w:val="00F108E4"/>
    <w:rsid w:val="00F2139B"/>
    <w:rsid w:val="00F23CB3"/>
    <w:rsid w:val="00F26475"/>
    <w:rsid w:val="00F27D96"/>
    <w:rsid w:val="00F31983"/>
    <w:rsid w:val="00F31EEC"/>
    <w:rsid w:val="00F32BB3"/>
    <w:rsid w:val="00F33FBC"/>
    <w:rsid w:val="00F344A1"/>
    <w:rsid w:val="00F43890"/>
    <w:rsid w:val="00F4556C"/>
    <w:rsid w:val="00F472D2"/>
    <w:rsid w:val="00F51396"/>
    <w:rsid w:val="00F518B2"/>
    <w:rsid w:val="00F530F2"/>
    <w:rsid w:val="00F54A8B"/>
    <w:rsid w:val="00F566D8"/>
    <w:rsid w:val="00F6019F"/>
    <w:rsid w:val="00F72AB9"/>
    <w:rsid w:val="00F72C38"/>
    <w:rsid w:val="00F73224"/>
    <w:rsid w:val="00F8112E"/>
    <w:rsid w:val="00F81C30"/>
    <w:rsid w:val="00F820C5"/>
    <w:rsid w:val="00F91F00"/>
    <w:rsid w:val="00F929FD"/>
    <w:rsid w:val="00F9401D"/>
    <w:rsid w:val="00FA11C8"/>
    <w:rsid w:val="00FA226A"/>
    <w:rsid w:val="00FA2B5D"/>
    <w:rsid w:val="00FA52F4"/>
    <w:rsid w:val="00FA532E"/>
    <w:rsid w:val="00FA5484"/>
    <w:rsid w:val="00FA66E1"/>
    <w:rsid w:val="00FB12F5"/>
    <w:rsid w:val="00FB7386"/>
    <w:rsid w:val="00FC211A"/>
    <w:rsid w:val="00FC3B2F"/>
    <w:rsid w:val="00FD2182"/>
    <w:rsid w:val="00FD22B8"/>
    <w:rsid w:val="00FD36FB"/>
    <w:rsid w:val="00FD602D"/>
    <w:rsid w:val="00FE00AB"/>
    <w:rsid w:val="00FE4195"/>
    <w:rsid w:val="00FE7376"/>
    <w:rsid w:val="00FE7943"/>
    <w:rsid w:val="00FF1BC7"/>
    <w:rsid w:val="00FF283C"/>
    <w:rsid w:val="00FF31A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C637B"/>
  <w15:chartTrackingRefBased/>
  <w15:docId w15:val="{1A8C87FC-B3B3-43EA-A49C-316FEC07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E71"/>
    <w:rPr>
      <w:rFonts w:asciiTheme="minorHAnsi" w:eastAsiaTheme="minorHAnsi" w:hAnsiTheme="minorHAnsi"/>
    </w:rPr>
  </w:style>
  <w:style w:type="paragraph" w:styleId="Nadpis1">
    <w:name w:val="heading 1"/>
    <w:basedOn w:val="Text"/>
    <w:next w:val="TextKP"/>
    <w:link w:val="Nadpis1Char"/>
    <w:uiPriority w:val="9"/>
    <w:qFormat/>
    <w:rsid w:val="00FE4195"/>
    <w:pPr>
      <w:widowControl w:val="0"/>
      <w:numPr>
        <w:numId w:val="10"/>
      </w:numPr>
      <w:spacing w:before="240" w:after="240"/>
      <w:ind w:left="284" w:hanging="284"/>
      <w:jc w:val="center"/>
      <w:outlineLvl w:val="0"/>
    </w:pPr>
    <w:rPr>
      <w:b/>
      <w:sz w:val="28"/>
    </w:rPr>
  </w:style>
  <w:style w:type="paragraph" w:styleId="Nadpis2">
    <w:name w:val="heading 2"/>
    <w:basedOn w:val="Text"/>
    <w:next w:val="TextKP"/>
    <w:link w:val="Nadpis2Char"/>
    <w:uiPriority w:val="9"/>
    <w:qFormat/>
    <w:rsid w:val="003F093D"/>
    <w:pPr>
      <w:widowControl w:val="0"/>
      <w:numPr>
        <w:numId w:val="20"/>
      </w:numPr>
      <w:spacing w:after="120"/>
      <w:ind w:left="284" w:hanging="284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Text"/>
    <w:next w:val="TextKP"/>
    <w:link w:val="Nadpis3Char"/>
    <w:autoRedefine/>
    <w:uiPriority w:val="9"/>
    <w:qFormat/>
    <w:rsid w:val="003F093D"/>
    <w:pPr>
      <w:widowControl w:val="0"/>
      <w:spacing w:before="60" w:after="60"/>
      <w:outlineLvl w:val="2"/>
    </w:pPr>
    <w:rPr>
      <w:rFonts w:eastAsiaTheme="majorEastAsia" w:cstheme="majorBidi"/>
    </w:rPr>
  </w:style>
  <w:style w:type="paragraph" w:styleId="Nadpis4">
    <w:name w:val="heading 4"/>
    <w:basedOn w:val="Text"/>
    <w:next w:val="TextKP"/>
    <w:link w:val="Nadpis4Char"/>
    <w:autoRedefine/>
    <w:uiPriority w:val="9"/>
    <w:qFormat/>
    <w:rsid w:val="008557F1"/>
    <w:pPr>
      <w:widowControl w:val="0"/>
      <w:numPr>
        <w:numId w:val="22"/>
      </w:numPr>
      <w:spacing w:after="120"/>
      <w:ind w:left="284" w:hanging="284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8477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79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79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79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79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basedOn w:val="Normln"/>
    <w:link w:val="TextnormlnChar"/>
    <w:unhideWhenUsed/>
    <w:rsid w:val="008477AF"/>
  </w:style>
  <w:style w:type="character" w:customStyle="1" w:styleId="TextnormlnChar">
    <w:name w:val="Text normální Char"/>
    <w:basedOn w:val="Standardnpsmoodstavce"/>
    <w:link w:val="Textnormln"/>
    <w:rsid w:val="008477AF"/>
    <w:rPr>
      <w:rFonts w:asciiTheme="minorHAnsi" w:hAnsiTheme="minorHAnsi"/>
    </w:rPr>
  </w:style>
  <w:style w:type="character" w:customStyle="1" w:styleId="Nadpis4Char">
    <w:name w:val="Nadpis 4 Char"/>
    <w:basedOn w:val="Standardnpsmoodstavce"/>
    <w:link w:val="Nadpis4"/>
    <w:uiPriority w:val="9"/>
    <w:rsid w:val="008557F1"/>
    <w:rPr>
      <w:rFonts w:asciiTheme="minorHAnsi" w:eastAsiaTheme="majorEastAsia" w:hAnsiTheme="minorHAnsi" w:cstheme="majorBidi"/>
      <w:b/>
      <w:bCs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E4195"/>
    <w:rPr>
      <w:rFonts w:asciiTheme="minorHAnsi" w:eastAsiaTheme="minorHAnsi" w:hAnsiTheme="minorHAnsi" w:cstheme="minorHAnsi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3F093D"/>
    <w:rPr>
      <w:rFonts w:asciiTheme="minorHAnsi" w:eastAsiaTheme="majorEastAsia" w:hAnsiTheme="minorHAnsi" w:cstheme="majorBidi"/>
    </w:rPr>
  </w:style>
  <w:style w:type="character" w:customStyle="1" w:styleId="Nadpis2Char">
    <w:name w:val="Nadpis 2 Char"/>
    <w:basedOn w:val="Standardnpsmoodstavce"/>
    <w:link w:val="Nadpis2"/>
    <w:uiPriority w:val="9"/>
    <w:rsid w:val="003F093D"/>
    <w:rPr>
      <w:rFonts w:asciiTheme="minorHAnsi" w:eastAsiaTheme="majorEastAsia" w:hAnsiTheme="minorHAnsi" w:cstheme="majorBidi"/>
      <w:b/>
      <w:szCs w:val="26"/>
    </w:rPr>
  </w:style>
  <w:style w:type="paragraph" w:customStyle="1" w:styleId="Zdrojeapozn">
    <w:name w:val="Zdroje a pozn."/>
    <w:basedOn w:val="Normln"/>
    <w:next w:val="Normln"/>
    <w:link w:val="ZdrojeapoznChar"/>
    <w:autoRedefine/>
    <w:qFormat/>
    <w:rsid w:val="00E40929"/>
    <w:pPr>
      <w:ind w:left="567" w:hanging="567"/>
    </w:pPr>
    <w:rPr>
      <w:b/>
      <w:sz w:val="20"/>
    </w:rPr>
  </w:style>
  <w:style w:type="character" w:customStyle="1" w:styleId="ZdrojeapoznChar">
    <w:name w:val="Zdroje a pozn. Char"/>
    <w:basedOn w:val="Standardnpsmoodstavce"/>
    <w:link w:val="Zdrojeapozn"/>
    <w:rsid w:val="00E40929"/>
    <w:rPr>
      <w:rFonts w:asciiTheme="minorHAnsi" w:eastAsiaTheme="minorHAnsi" w:hAnsiTheme="minorHAnsi"/>
      <w:b/>
      <w:sz w:val="20"/>
    </w:rPr>
  </w:style>
  <w:style w:type="paragraph" w:styleId="Citt">
    <w:name w:val="Quote"/>
    <w:basedOn w:val="Normln"/>
    <w:next w:val="Normln"/>
    <w:link w:val="CittChar"/>
    <w:uiPriority w:val="29"/>
    <w:unhideWhenUsed/>
    <w:rsid w:val="008477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77AF"/>
    <w:rPr>
      <w:rFonts w:asciiTheme="minorHAnsi" w:hAnsiTheme="minorHAnsi"/>
      <w:i/>
      <w:iCs/>
      <w:color w:val="404040" w:themeColor="text1" w:themeTint="BF"/>
    </w:rPr>
  </w:style>
  <w:style w:type="paragraph" w:styleId="Bezmezer">
    <w:name w:val="No Spacing"/>
    <w:uiPriority w:val="1"/>
    <w:unhideWhenUsed/>
    <w:rsid w:val="008477AF"/>
    <w:pPr>
      <w:jc w:val="both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8477A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zev">
    <w:name w:val="Title"/>
    <w:basedOn w:val="Normln"/>
    <w:next w:val="Normln"/>
    <w:link w:val="NzevChar"/>
    <w:uiPriority w:val="10"/>
    <w:unhideWhenUsed/>
    <w:rsid w:val="008477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unhideWhenUsed/>
    <w:rsid w:val="008477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477AF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unhideWhenUsed/>
    <w:rsid w:val="008477AF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unhideWhenUsed/>
    <w:rsid w:val="008477AF"/>
    <w:rPr>
      <w:i/>
      <w:iCs/>
    </w:rPr>
  </w:style>
  <w:style w:type="character" w:styleId="Zdraznnintenzivn">
    <w:name w:val="Intense Emphasis"/>
    <w:basedOn w:val="Standardnpsmoodstavce"/>
    <w:uiPriority w:val="21"/>
    <w:unhideWhenUsed/>
    <w:rsid w:val="008477AF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unhideWhenUsed/>
    <w:rsid w:val="008477AF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unhideWhenUsed/>
    <w:rsid w:val="008477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77AF"/>
    <w:rPr>
      <w:rFonts w:asciiTheme="minorHAnsi" w:hAnsiTheme="minorHAnsi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unhideWhenUsed/>
    <w:rsid w:val="008477A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unhideWhenUsed/>
    <w:rsid w:val="008477AF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unhideWhenUsed/>
    <w:rsid w:val="008477AF"/>
    <w:rPr>
      <w:b/>
      <w:bCs/>
      <w:i/>
      <w:iCs/>
      <w:spacing w:val="5"/>
    </w:rPr>
  </w:style>
  <w:style w:type="paragraph" w:styleId="Odstavecseseznamem">
    <w:name w:val="List Paragraph"/>
    <w:aliases w:val="A-Odrážky1,List Paragraph1,List Paragraph_0,List Paragraph_0_0,List Paragraph_0_0_0,List Paragraph_0_0_0_0,Nad,Nad1,Nad2,Nadpis pro KZ,Odstavec cíl se seznamem,Odstavec se seznamem1,Odstavec se seznamem2,Odstavec_muj,můj Nadpis 2"/>
    <w:basedOn w:val="Normln"/>
    <w:next w:val="TextKP"/>
    <w:link w:val="OdstavecseseznamemChar"/>
    <w:uiPriority w:val="34"/>
    <w:qFormat/>
    <w:rsid w:val="00E50BA7"/>
    <w:pPr>
      <w:tabs>
        <w:tab w:val="num" w:pos="720"/>
      </w:tabs>
      <w:spacing w:before="60"/>
      <w:ind w:left="709" w:hanging="425"/>
      <w:jc w:val="both"/>
    </w:pPr>
  </w:style>
  <w:style w:type="paragraph" w:customStyle="1" w:styleId="Text">
    <w:name w:val="Text"/>
    <w:basedOn w:val="Normln"/>
    <w:link w:val="TextChar"/>
    <w:unhideWhenUsed/>
    <w:qFormat/>
    <w:rsid w:val="008477AF"/>
    <w:pPr>
      <w:spacing w:before="120"/>
      <w:jc w:val="both"/>
    </w:pPr>
    <w:rPr>
      <w:rFonts w:cstheme="minorHAnsi"/>
    </w:rPr>
  </w:style>
  <w:style w:type="character" w:customStyle="1" w:styleId="TextChar">
    <w:name w:val="Text Char"/>
    <w:basedOn w:val="Standardnpsmoodstavce"/>
    <w:link w:val="Text"/>
    <w:rsid w:val="008477AF"/>
    <w:rPr>
      <w:rFonts w:asciiTheme="minorHAnsi" w:hAnsiTheme="minorHAnsi" w:cstheme="minorHAns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79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79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79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79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unhideWhenUsed/>
    <w:qFormat/>
    <w:rsid w:val="00632303"/>
    <w:pPr>
      <w:spacing w:before="120"/>
      <w:jc w:val="both"/>
    </w:pPr>
    <w:rPr>
      <w:iCs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079C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TextKP">
    <w:name w:val="Text KP"/>
    <w:basedOn w:val="Normln"/>
    <w:link w:val="TextKPChar"/>
    <w:qFormat/>
    <w:rsid w:val="008477AF"/>
    <w:pPr>
      <w:spacing w:before="120"/>
      <w:jc w:val="both"/>
    </w:pPr>
    <w:rPr>
      <w:rFonts w:cstheme="minorHAnsi"/>
    </w:rPr>
  </w:style>
  <w:style w:type="character" w:customStyle="1" w:styleId="TextKPChar">
    <w:name w:val="Text KP Char"/>
    <w:basedOn w:val="Standardnpsmoodstavce"/>
    <w:link w:val="TextKP"/>
    <w:rsid w:val="008477AF"/>
    <w:rPr>
      <w:rFonts w:asciiTheme="minorHAnsi" w:eastAsia="Times New Roman" w:hAnsiTheme="minorHAnsi" w:cstheme="minorHAnsi"/>
    </w:rPr>
  </w:style>
  <w:style w:type="paragraph" w:styleId="Textpoznpodarou">
    <w:name w:val="footnote text"/>
    <w:aliases w:val="Boston 10,Char,Char Char Char1,Char1,Font: Geneva 9,Footnote,Footnote Text Char1,Fußnotentextf,Geneva 9,Schriftart: 10 pt,Schriftart: 8 pt,Schriftart: 9 pt,Text pozn. pod čarou1,Text poznámky pod čiarou 007,f,o,pozn. pod čarou"/>
    <w:basedOn w:val="Normln"/>
    <w:link w:val="TextpoznpodarouChar"/>
    <w:uiPriority w:val="99"/>
    <w:unhideWhenUsed/>
    <w:qFormat/>
    <w:rsid w:val="008477AF"/>
    <w:rPr>
      <w:sz w:val="20"/>
      <w:szCs w:val="20"/>
    </w:rPr>
  </w:style>
  <w:style w:type="character" w:customStyle="1" w:styleId="TextpoznpodarouChar">
    <w:name w:val="Text pozn. pod čarou Char"/>
    <w:aliases w:val="Boston 10 Char,Char Char,Char Char Char1 Char,Char1 Char,Font: Geneva 9 Char,Footnote Char,Footnote Text Char1 Char,Fußnotentextf Char,Geneva 9 Char,Schriftart: 10 pt Char,Schriftart: 8 pt Char,Schriftart: 9 pt Char,f Char"/>
    <w:basedOn w:val="Standardnpsmoodstavce"/>
    <w:link w:val="Textpoznpodarou"/>
    <w:uiPriority w:val="99"/>
    <w:rsid w:val="008477AF"/>
    <w:rPr>
      <w:rFonts w:eastAsia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8477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77AF"/>
    <w:rPr>
      <w:rFonts w:asciiTheme="minorHAnsi" w:hAnsiTheme="minorHAnsi"/>
    </w:rPr>
  </w:style>
  <w:style w:type="paragraph" w:styleId="Zpat">
    <w:name w:val="footer"/>
    <w:basedOn w:val="Normln"/>
    <w:link w:val="ZpatChar"/>
    <w:uiPriority w:val="99"/>
    <w:unhideWhenUsed/>
    <w:rsid w:val="00847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7AF"/>
    <w:rPr>
      <w:rFonts w:asciiTheme="minorHAnsi" w:hAnsiTheme="minorHAnsi"/>
    </w:rPr>
  </w:style>
  <w:style w:type="character" w:styleId="Znakapoznpodarou">
    <w:name w:val="footnote reference"/>
    <w:aliases w:val="12 b.,4_G,Appel note de bas de p,Appel note de bas de page,BVI fnr,Char Car Car Car Car,Footnote Reference Superscript,Footnote symbol,Légende,Légende.Char Car Car Car Car,PGI Fußnote Ziffer,Voetnootverwijzing,Zúžené o ..."/>
    <w:basedOn w:val="Standardnpsmoodstavce"/>
    <w:link w:val="BVIfnrCharChar"/>
    <w:uiPriority w:val="99"/>
    <w:unhideWhenUsed/>
    <w:rsid w:val="008477AF"/>
    <w:rPr>
      <w:vertAlign w:val="superscript"/>
    </w:rPr>
  </w:style>
  <w:style w:type="character" w:customStyle="1" w:styleId="OdstavecseseznamemChar">
    <w:name w:val="Odstavec se seznamem Char"/>
    <w:aliases w:val="A-Odrážky1 Char,List Paragraph1 Char,List Paragraph_0 Char,List Paragraph_0_0 Char,List Paragraph_0_0_0 Char,List Paragraph_0_0_0_0 Char,Nad Char,Nad1 Char,Nad2 Char,Nadpis pro KZ Char,Odstavec cíl se seznamem Char"/>
    <w:link w:val="Odstavecseseznamem"/>
    <w:uiPriority w:val="34"/>
    <w:qFormat/>
    <w:locked/>
    <w:rsid w:val="00E50BA7"/>
    <w:rPr>
      <w:rFonts w:asciiTheme="minorHAnsi" w:hAnsiTheme="minorHAnsi"/>
    </w:rPr>
  </w:style>
  <w:style w:type="paragraph" w:customStyle="1" w:styleId="TextPL">
    <w:name w:val="Text PL"/>
    <w:basedOn w:val="Normln"/>
    <w:link w:val="TextPLChar"/>
    <w:autoRedefine/>
    <w:qFormat/>
    <w:rsid w:val="0050257C"/>
    <w:pPr>
      <w:spacing w:before="120"/>
      <w:jc w:val="both"/>
    </w:pPr>
    <w:rPr>
      <w:lang w:val="en-US"/>
    </w:rPr>
  </w:style>
  <w:style w:type="character" w:customStyle="1" w:styleId="TextPLChar">
    <w:name w:val="Text PL Char"/>
    <w:basedOn w:val="Standardnpsmoodstavce"/>
    <w:link w:val="TextPL"/>
    <w:rsid w:val="0050257C"/>
    <w:rPr>
      <w:lang w:val="en-US"/>
    </w:rPr>
  </w:style>
  <w:style w:type="table" w:styleId="Mkatabulky">
    <w:name w:val="Table Grid"/>
    <w:basedOn w:val="Normlntabulka"/>
    <w:uiPriority w:val="39"/>
    <w:rsid w:val="00CA2C1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CA2C1A"/>
    <w:rPr>
      <w:color w:val="000000"/>
      <w:sz w:val="28"/>
      <w:szCs w:val="28"/>
    </w:rPr>
  </w:style>
  <w:style w:type="character" w:customStyle="1" w:styleId="A4">
    <w:name w:val="A4"/>
    <w:uiPriority w:val="99"/>
    <w:rsid w:val="00CA2C1A"/>
    <w:rPr>
      <w:color w:val="000000"/>
      <w:sz w:val="60"/>
      <w:szCs w:val="60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D84788"/>
    <w:pPr>
      <w:spacing w:after="160" w:line="240" w:lineRule="exact"/>
      <w:jc w:val="both"/>
    </w:pPr>
    <w:rPr>
      <w:rFonts w:ascii="Calibri" w:eastAsia="Times New Roman" w:hAnsi="Calibri"/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FA2B5D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7028"/>
    <w:rPr>
      <w:color w:val="0563C1" w:themeColor="hyperlink"/>
      <w:u w:val="single"/>
    </w:rPr>
  </w:style>
  <w:style w:type="paragraph" w:customStyle="1" w:styleId="Zdroj">
    <w:name w:val="Zdroj"/>
    <w:basedOn w:val="TextPL"/>
    <w:link w:val="ZdrojChar"/>
    <w:qFormat/>
    <w:rsid w:val="00317028"/>
    <w:pPr>
      <w:spacing w:before="0"/>
    </w:pPr>
    <w:rPr>
      <w:rFonts w:ascii="Calibri" w:eastAsia="Times New Roman" w:hAnsi="Calibri" w:cs="Times New Roman"/>
      <w:sz w:val="20"/>
      <w:szCs w:val="22"/>
    </w:rPr>
  </w:style>
  <w:style w:type="character" w:customStyle="1" w:styleId="ZdrojChar">
    <w:name w:val="Zdroj Char"/>
    <w:basedOn w:val="TextPLChar"/>
    <w:link w:val="Zdroj"/>
    <w:rsid w:val="00317028"/>
    <w:rPr>
      <w:rFonts w:cs="Times New Roman"/>
      <w:sz w:val="20"/>
      <w:szCs w:val="22"/>
      <w:lang w:val="en-US"/>
    </w:rPr>
  </w:style>
  <w:style w:type="paragraph" w:customStyle="1" w:styleId="Zdrojapozn">
    <w:name w:val="Zdroj a pozn."/>
    <w:basedOn w:val="Normln"/>
    <w:next w:val="Text"/>
    <w:link w:val="ZdrojapoznChar"/>
    <w:qFormat/>
    <w:rsid w:val="00CB7C60"/>
    <w:pPr>
      <w:jc w:val="both"/>
    </w:pPr>
    <w:rPr>
      <w:rFonts w:ascii="Calibri" w:eastAsia="Times New Roman" w:hAnsi="Calibri" w:cs="Times New Roman"/>
      <w:sz w:val="20"/>
      <w:lang w:eastAsia="cs-CZ"/>
    </w:rPr>
  </w:style>
  <w:style w:type="character" w:customStyle="1" w:styleId="ZdrojapoznChar">
    <w:name w:val="Zdroj a pozn. Char"/>
    <w:basedOn w:val="Standardnpsmoodstavce"/>
    <w:link w:val="Zdrojapozn"/>
    <w:rsid w:val="00CB7C60"/>
    <w:rPr>
      <w:rFonts w:cs="Times New Roman"/>
      <w:sz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59E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3FC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4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4B1"/>
    <w:rPr>
      <w:rFonts w:ascii="Segoe UI" w:eastAsiaTheme="minorHAns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rsid w:val="004034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51F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1F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1F64"/>
    <w:rPr>
      <w:rFonts w:asciiTheme="minorHAnsi" w:eastAsia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F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F64"/>
    <w:rPr>
      <w:rFonts w:asciiTheme="minorHAnsi" w:eastAsiaTheme="minorHAnsi" w:hAnsiTheme="minorHAns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66E65"/>
    <w:rPr>
      <w:rFonts w:asciiTheme="minorHAnsi" w:eastAsiaTheme="minorHAnsi" w:hAnsiTheme="minorHAns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526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526DF"/>
    <w:rPr>
      <w:rFonts w:asciiTheme="minorHAnsi" w:eastAsiaTheme="minorHAnsi" w:hAnsiTheme="minorHAns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52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chmi.cz/files/portal/docs/uoco/oez/emise/spalovny/index.html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yperlink" Target="https://tmz.mvv.cz" TargetMode="Externa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yperlink" Target="https://www.nku.cz/scripts/detail.php?id=1240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s://www.zevoplzen.cz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https://www.sako.cz" TargetMode="External"/><Relationship Id="rId28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diagramDrawing" Target="diagrams/drawing1.xml"/><Relationship Id="rId22" Type="http://schemas.openxmlformats.org/officeDocument/2006/relationships/hyperlink" Target="https://www.psas.cz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nia.cz/odpadove-a-obehove-hospodarstvi/isoh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D4D8E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4F-4F31-96BB-6F13DCC39168}"/>
              </c:ext>
            </c:extLst>
          </c:dPt>
          <c:dPt>
            <c:idx val="1"/>
            <c:bubble3D val="0"/>
            <c:spPr>
              <a:solidFill>
                <a:srgbClr val="A8B1D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4F-4F31-96BB-6F13DCC39168}"/>
              </c:ext>
            </c:extLst>
          </c:dPt>
          <c:dPt>
            <c:idx val="2"/>
            <c:bubble3D val="0"/>
            <c:spPr>
              <a:solidFill>
                <a:srgbClr val="7A8DC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4F-4F31-96BB-6F13DCC39168}"/>
              </c:ext>
            </c:extLst>
          </c:dPt>
          <c:dPt>
            <c:idx val="3"/>
            <c:bubble3D val="0"/>
            <c:spPr>
              <a:solidFill>
                <a:srgbClr val="4A6CB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A4F-4F31-96BB-6F13DCC39168}"/>
              </c:ext>
            </c:extLst>
          </c:dPt>
          <c:dPt>
            <c:idx val="4"/>
            <c:bubble3D val="0"/>
            <c:spPr>
              <a:solidFill>
                <a:srgbClr val="0C509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A4F-4F31-96BB-6F13DCC39168}"/>
              </c:ext>
            </c:extLst>
          </c:dPt>
          <c:dLbls>
            <c:dLbl>
              <c:idx val="0"/>
              <c:layout>
                <c:manualLayout>
                  <c:x val="-0.16091840366701685"/>
                  <c:y val="3.8176644469230969E-2"/>
                </c:manualLayout>
              </c:layout>
              <c:tx>
                <c:rich>
                  <a:bodyPr/>
                  <a:lstStyle/>
                  <a:p>
                    <a:fld id="{6C5C6B96-57EA-4E53-9495-787EDE42B2F3}" type="VALUE">
                      <a:rPr lang="en-US"/>
                      <a:pPr/>
                      <a:t>[HODNOTA]</a:t>
                    </a:fld>
                    <a:r>
                      <a:rPr lang="en-US"/>
                      <a:t> </a:t>
                    </a:r>
                    <a:br>
                      <a:rPr lang="en-US"/>
                    </a:br>
                    <a:r>
                      <a:rPr lang="en-US" b="0"/>
                      <a:t>mld. Kč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A4F-4F31-96BB-6F13DCC39168}"/>
                </c:ext>
              </c:extLst>
            </c:dLbl>
            <c:dLbl>
              <c:idx val="1"/>
              <c:layout>
                <c:manualLayout>
                  <c:x val="5.5408242106451094E-2"/>
                  <c:y val="-0.18572185840023864"/>
                </c:manualLayout>
              </c:layout>
              <c:tx>
                <c:rich>
                  <a:bodyPr/>
                  <a:lstStyle/>
                  <a:p>
                    <a:fld id="{EC5F15D3-A5D7-4865-98DF-B5107426CD53}" type="VALUE">
                      <a:rPr lang="en-US">
                        <a:solidFill>
                          <a:schemeClr val="bg1"/>
                        </a:solidFill>
                      </a:rPr>
                      <a:pPr/>
                      <a:t>[HODNOTA]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 </a:t>
                    </a:r>
                    <a:br>
                      <a:rPr lang="en-US">
                        <a:solidFill>
                          <a:schemeClr val="bg1"/>
                        </a:solidFill>
                      </a:rPr>
                    </a:br>
                    <a:r>
                      <a:rPr lang="en-US" b="0">
                        <a:solidFill>
                          <a:schemeClr val="bg1"/>
                        </a:solidFill>
                      </a:rPr>
                      <a:t>mld. Kč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A4F-4F31-96BB-6F13DCC39168}"/>
                </c:ext>
              </c:extLst>
            </c:dLbl>
            <c:dLbl>
              <c:idx val="2"/>
              <c:layout>
                <c:manualLayout>
                  <c:x val="0.11491079877418851"/>
                  <c:y val="-6.866075471281385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7310954-6D1C-46E1-A445-76F50F1C89FB}" type="VALUE">
                      <a:rPr lang="en-US">
                        <a:solidFill>
                          <a:schemeClr val="bg1"/>
                        </a:solidFill>
                      </a:rPr>
                      <a:pPr algn="ctr">
                        <a:defRPr sz="1100" b="1"/>
                      </a:pPr>
                      <a:t>[HODNOTA]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 </a:t>
                    </a:r>
                    <a:br>
                      <a:rPr lang="en-US">
                        <a:solidFill>
                          <a:schemeClr val="bg1"/>
                        </a:solidFill>
                      </a:rPr>
                    </a:br>
                    <a:r>
                      <a:rPr lang="en-US" b="0">
                        <a:solidFill>
                          <a:schemeClr val="bg1"/>
                        </a:solidFill>
                      </a:rPr>
                      <a:t>mld</a:t>
                    </a:r>
                    <a:r>
                      <a:rPr lang="en-US" b="0" baseline="0">
                        <a:solidFill>
                          <a:schemeClr val="bg1"/>
                        </a:solidFill>
                      </a:rPr>
                      <a:t>. Kč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A4F-4F31-96BB-6F13DCC39168}"/>
                </c:ext>
              </c:extLst>
            </c:dLbl>
            <c:dLbl>
              <c:idx val="3"/>
              <c:layout>
                <c:manualLayout>
                  <c:x val="9.6859943223745276E-2"/>
                  <c:y val="0.1764523123249144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7149319-AC92-4216-A29B-C47D5EAC4B75}" type="VALUE">
                      <a:rPr lang="en-US">
                        <a:solidFill>
                          <a:schemeClr val="bg1"/>
                        </a:solidFill>
                      </a:rPr>
                      <a:pPr algn="ctr">
                        <a:defRPr sz="1100" b="1">
                          <a:solidFill>
                            <a:schemeClr val="bg1"/>
                          </a:solidFill>
                        </a:defRPr>
                      </a:pPr>
                      <a:t>[HODNOTA]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 </a:t>
                    </a:r>
                    <a:br>
                      <a:rPr lang="en-US">
                        <a:solidFill>
                          <a:schemeClr val="bg1"/>
                        </a:solidFill>
                      </a:rPr>
                    </a:br>
                    <a:r>
                      <a:rPr lang="en-US" b="0">
                        <a:solidFill>
                          <a:schemeClr val="bg1"/>
                        </a:solidFill>
                      </a:rPr>
                      <a:t>mld. Kč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A4F-4F31-96BB-6F13DCC39168}"/>
                </c:ext>
              </c:extLst>
            </c:dLbl>
            <c:dLbl>
              <c:idx val="4"/>
              <c:layout>
                <c:manualLayout>
                  <c:x val="6.2981708322842923E-3"/>
                  <c:y val="-3.22060068224371E-2"/>
                </c:manualLayout>
              </c:layout>
              <c:tx>
                <c:rich>
                  <a:bodyPr/>
                  <a:lstStyle/>
                  <a:p>
                    <a:fld id="{7B271589-01A2-4DC3-9C41-8FAC9B7A7986}" type="VALUE">
                      <a:rPr lang="en-US"/>
                      <a:pPr/>
                      <a:t>[HODNOTA]</a:t>
                    </a:fld>
                    <a:r>
                      <a:rPr lang="en-US"/>
                      <a:t> </a:t>
                    </a:r>
                    <a:r>
                      <a:rPr lang="en-US" b="0"/>
                      <a:t>mld. Kč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A4F-4F31-96BB-6F13DCC391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List1!$B$3:$B$7</c:f>
              <c:strCache>
                <c:ptCount val="5"/>
                <c:pt idx="0">
                  <c:v>Sběr, třídění a úprava odpadů</c:v>
                </c:pt>
                <c:pt idx="1">
                  <c:v>Předcházení vzniku odpadů</c:v>
                </c:pt>
                <c:pt idx="2">
                  <c:v>Materiálové využití odpadů</c:v>
                </c:pt>
                <c:pt idx="3">
                  <c:v>Energetické využití odpadů</c:v>
                </c:pt>
                <c:pt idx="4">
                  <c:v>Ostatní nakládání s odpady a rekultivace starých skládek</c:v>
                </c:pt>
              </c:strCache>
            </c:strRef>
          </c:cat>
          <c:val>
            <c:numRef>
              <c:f>List1!$C$3:$C$7</c:f>
              <c:numCache>
                <c:formatCode>General</c:formatCode>
                <c:ptCount val="5"/>
                <c:pt idx="0">
                  <c:v>4</c:v>
                </c:pt>
                <c:pt idx="1">
                  <c:v>1.6</c:v>
                </c:pt>
                <c:pt idx="2">
                  <c:v>1.5</c:v>
                </c:pt>
                <c:pt idx="3">
                  <c:v>1.4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A4F-4F31-96BB-6F13DCC3916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099896691524366"/>
          <c:y val="0.16024376686434533"/>
          <c:w val="0.41577060309578179"/>
          <c:h val="0.646786893573787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6DFA86-E7FD-4A5F-8C64-B807CDA649B6}" type="doc">
      <dgm:prSet loTypeId="urn:microsoft.com/office/officeart/2005/8/layout/pyramid3" loCatId="pyramid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47AE0F24-04FB-4130-9A52-D59C0DE995FF}">
      <dgm:prSet phldrT="[Text]" custT="1"/>
      <dgm:spPr>
        <a:solidFill>
          <a:srgbClr val="D4D8EE"/>
        </a:solidFill>
      </dgm:spPr>
      <dgm:t>
        <a:bodyPr/>
        <a:lstStyle/>
        <a:p>
          <a:r>
            <a:rPr lang="cs-CZ" sz="1100" b="1">
              <a:solidFill>
                <a:schemeClr val="tx1"/>
              </a:solidFill>
            </a:rPr>
            <a:t>48 %</a:t>
          </a:r>
        </a:p>
      </dgm:t>
    </dgm:pt>
    <dgm:pt modelId="{308592E2-07F7-41AC-BE06-6C176543631A}" type="parTrans" cxnId="{6FBA9FC3-1580-4DA7-9B66-C6359D0761D8}">
      <dgm:prSet/>
      <dgm:spPr/>
      <dgm:t>
        <a:bodyPr/>
        <a:lstStyle/>
        <a:p>
          <a:endParaRPr lang="cs-CZ" sz="1100" b="1">
            <a:solidFill>
              <a:schemeClr val="tx1"/>
            </a:solidFill>
          </a:endParaRPr>
        </a:p>
      </dgm:t>
    </dgm:pt>
    <dgm:pt modelId="{A96F5B71-31CB-4AC5-B08D-B565C0F3D9B7}" type="sibTrans" cxnId="{6FBA9FC3-1580-4DA7-9B66-C6359D0761D8}">
      <dgm:prSet/>
      <dgm:spPr/>
      <dgm:t>
        <a:bodyPr/>
        <a:lstStyle/>
        <a:p>
          <a:endParaRPr lang="cs-CZ" sz="1100" b="1">
            <a:solidFill>
              <a:schemeClr val="tx1"/>
            </a:solidFill>
          </a:endParaRPr>
        </a:p>
      </dgm:t>
    </dgm:pt>
    <dgm:pt modelId="{F0EFD426-26ED-42CA-B821-636CCBD49727}">
      <dgm:prSet phldrT="[Text]" custT="1"/>
      <dgm:spPr>
        <a:solidFill>
          <a:srgbClr val="4A6CB3"/>
        </a:solidFill>
      </dgm:spPr>
      <dgm:t>
        <a:bodyPr/>
        <a:lstStyle/>
        <a:p>
          <a:r>
            <a:rPr lang="cs-CZ" sz="1100" b="1">
              <a:solidFill>
                <a:schemeClr val="tx1"/>
              </a:solidFill>
            </a:rPr>
            <a:t>39 %</a:t>
          </a:r>
        </a:p>
      </dgm:t>
    </dgm:pt>
    <dgm:pt modelId="{0852EA98-B7ED-4ACA-B9F4-7FECEA263881}" type="parTrans" cxnId="{9D4CDA15-DDA2-47F2-A799-D99500C89338}">
      <dgm:prSet/>
      <dgm:spPr/>
      <dgm:t>
        <a:bodyPr/>
        <a:lstStyle/>
        <a:p>
          <a:endParaRPr lang="cs-CZ" sz="1100" b="1">
            <a:solidFill>
              <a:schemeClr val="tx1"/>
            </a:solidFill>
          </a:endParaRPr>
        </a:p>
      </dgm:t>
    </dgm:pt>
    <dgm:pt modelId="{C487F303-223B-4FE9-9A78-C8C8FFE81DED}" type="sibTrans" cxnId="{9D4CDA15-DDA2-47F2-A799-D99500C89338}">
      <dgm:prSet/>
      <dgm:spPr/>
      <dgm:t>
        <a:bodyPr/>
        <a:lstStyle/>
        <a:p>
          <a:endParaRPr lang="cs-CZ" sz="1100" b="1">
            <a:solidFill>
              <a:schemeClr val="tx1"/>
            </a:solidFill>
          </a:endParaRPr>
        </a:p>
      </dgm:t>
    </dgm:pt>
    <dgm:pt modelId="{3363A3B8-781E-473B-A93B-640B42E6A306}">
      <dgm:prSet phldrT="[Text]" custT="1"/>
      <dgm:spPr>
        <a:solidFill>
          <a:srgbClr val="A8B1DB"/>
        </a:solidFill>
      </dgm:spPr>
      <dgm:t>
        <a:bodyPr/>
        <a:lstStyle/>
        <a:p>
          <a:r>
            <a:rPr lang="cs-CZ" sz="1100" b="1">
              <a:solidFill>
                <a:schemeClr val="tx1"/>
              </a:solidFill>
            </a:rPr>
            <a:t>13 %</a:t>
          </a:r>
        </a:p>
      </dgm:t>
    </dgm:pt>
    <dgm:pt modelId="{40B68714-76F3-47B3-B04F-134C03EA1525}" type="parTrans" cxnId="{76DF98B2-0E4B-4272-855B-F14F002E56CE}">
      <dgm:prSet/>
      <dgm:spPr/>
      <dgm:t>
        <a:bodyPr/>
        <a:lstStyle/>
        <a:p>
          <a:endParaRPr lang="cs-CZ" sz="1100" b="1">
            <a:solidFill>
              <a:schemeClr val="tx1"/>
            </a:solidFill>
          </a:endParaRPr>
        </a:p>
      </dgm:t>
    </dgm:pt>
    <dgm:pt modelId="{CD4A1B1E-F9AE-4ABC-8816-FE89DA84B210}" type="sibTrans" cxnId="{76DF98B2-0E4B-4272-855B-F14F002E56CE}">
      <dgm:prSet/>
      <dgm:spPr/>
      <dgm:t>
        <a:bodyPr/>
        <a:lstStyle/>
        <a:p>
          <a:endParaRPr lang="cs-CZ" sz="1100" b="1">
            <a:solidFill>
              <a:schemeClr val="tx1"/>
            </a:solidFill>
          </a:endParaRPr>
        </a:p>
      </dgm:t>
    </dgm:pt>
    <dgm:pt modelId="{A049EE9E-57EB-4783-9C4E-720D61769C33}" type="pres">
      <dgm:prSet presAssocID="{0D6DFA86-E7FD-4A5F-8C64-B807CDA649B6}" presName="Name0" presStyleCnt="0">
        <dgm:presLayoutVars>
          <dgm:dir/>
          <dgm:animLvl val="lvl"/>
          <dgm:resizeHandles val="exact"/>
        </dgm:presLayoutVars>
      </dgm:prSet>
      <dgm:spPr/>
    </dgm:pt>
    <dgm:pt modelId="{42475F21-6597-4A7D-BE10-3BF10F102F15}" type="pres">
      <dgm:prSet presAssocID="{47AE0F24-04FB-4130-9A52-D59C0DE995FF}" presName="Name8" presStyleCnt="0"/>
      <dgm:spPr/>
    </dgm:pt>
    <dgm:pt modelId="{8DEC85DF-21CB-4415-BDE0-F7EE70FF1335}" type="pres">
      <dgm:prSet presAssocID="{47AE0F24-04FB-4130-9A52-D59C0DE995FF}" presName="level" presStyleLbl="node1" presStyleIdx="0" presStyleCnt="3">
        <dgm:presLayoutVars>
          <dgm:chMax val="1"/>
          <dgm:bulletEnabled val="1"/>
        </dgm:presLayoutVars>
      </dgm:prSet>
      <dgm:spPr/>
    </dgm:pt>
    <dgm:pt modelId="{5DA694AA-090F-4605-BF24-098F05F94B0D}" type="pres">
      <dgm:prSet presAssocID="{47AE0F24-04FB-4130-9A52-D59C0DE995FF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2E22112-1E0E-4964-8208-5B0E6D54BFD7}" type="pres">
      <dgm:prSet presAssocID="{F0EFD426-26ED-42CA-B821-636CCBD49727}" presName="Name8" presStyleCnt="0"/>
      <dgm:spPr/>
    </dgm:pt>
    <dgm:pt modelId="{A895B969-615B-4375-BAB8-13B2308A1313}" type="pres">
      <dgm:prSet presAssocID="{F0EFD426-26ED-42CA-B821-636CCBD49727}" presName="level" presStyleLbl="node1" presStyleIdx="1" presStyleCnt="3">
        <dgm:presLayoutVars>
          <dgm:chMax val="1"/>
          <dgm:bulletEnabled val="1"/>
        </dgm:presLayoutVars>
      </dgm:prSet>
      <dgm:spPr/>
    </dgm:pt>
    <dgm:pt modelId="{370BE977-F81F-44AA-880C-595FCD589685}" type="pres">
      <dgm:prSet presAssocID="{F0EFD426-26ED-42CA-B821-636CCBD4972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70D8E68D-FD62-4FFF-A23D-9DD0CA4AC86A}" type="pres">
      <dgm:prSet presAssocID="{3363A3B8-781E-473B-A93B-640B42E6A306}" presName="Name8" presStyleCnt="0"/>
      <dgm:spPr/>
    </dgm:pt>
    <dgm:pt modelId="{A4BBAD79-386A-49E8-9FD9-3C04ED491A98}" type="pres">
      <dgm:prSet presAssocID="{3363A3B8-781E-473B-A93B-640B42E6A306}" presName="level" presStyleLbl="node1" presStyleIdx="2" presStyleCnt="3">
        <dgm:presLayoutVars>
          <dgm:chMax val="1"/>
          <dgm:bulletEnabled val="1"/>
        </dgm:presLayoutVars>
      </dgm:prSet>
      <dgm:spPr/>
    </dgm:pt>
    <dgm:pt modelId="{D458F82C-6FDA-4572-AEEB-45E0ABA71635}" type="pres">
      <dgm:prSet presAssocID="{3363A3B8-781E-473B-A93B-640B42E6A306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9D4CDA15-DDA2-47F2-A799-D99500C89338}" srcId="{0D6DFA86-E7FD-4A5F-8C64-B807CDA649B6}" destId="{F0EFD426-26ED-42CA-B821-636CCBD49727}" srcOrd="1" destOrd="0" parTransId="{0852EA98-B7ED-4ACA-B9F4-7FECEA263881}" sibTransId="{C487F303-223B-4FE9-9A78-C8C8FFE81DED}"/>
    <dgm:cxn modelId="{FD2BBD20-491B-4BAF-B484-5CA195F2D2D8}" type="presOf" srcId="{0D6DFA86-E7FD-4A5F-8C64-B807CDA649B6}" destId="{A049EE9E-57EB-4783-9C4E-720D61769C33}" srcOrd="0" destOrd="0" presId="urn:microsoft.com/office/officeart/2005/8/layout/pyramid3"/>
    <dgm:cxn modelId="{7B88075D-6736-41BB-BC31-05245D83F846}" type="presOf" srcId="{3363A3B8-781E-473B-A93B-640B42E6A306}" destId="{D458F82C-6FDA-4572-AEEB-45E0ABA71635}" srcOrd="1" destOrd="0" presId="urn:microsoft.com/office/officeart/2005/8/layout/pyramid3"/>
    <dgm:cxn modelId="{55107679-D16B-40C6-844A-2C4A5907A741}" type="presOf" srcId="{3363A3B8-781E-473B-A93B-640B42E6A306}" destId="{A4BBAD79-386A-49E8-9FD9-3C04ED491A98}" srcOrd="0" destOrd="0" presId="urn:microsoft.com/office/officeart/2005/8/layout/pyramid3"/>
    <dgm:cxn modelId="{88FD2A7D-538F-4409-80E7-C27C94E39EAB}" type="presOf" srcId="{47AE0F24-04FB-4130-9A52-D59C0DE995FF}" destId="{5DA694AA-090F-4605-BF24-098F05F94B0D}" srcOrd="1" destOrd="0" presId="urn:microsoft.com/office/officeart/2005/8/layout/pyramid3"/>
    <dgm:cxn modelId="{E32A8590-2623-4287-8866-5F52F5FCE566}" type="presOf" srcId="{F0EFD426-26ED-42CA-B821-636CCBD49727}" destId="{370BE977-F81F-44AA-880C-595FCD589685}" srcOrd="1" destOrd="0" presId="urn:microsoft.com/office/officeart/2005/8/layout/pyramid3"/>
    <dgm:cxn modelId="{76DF98B2-0E4B-4272-855B-F14F002E56CE}" srcId="{0D6DFA86-E7FD-4A5F-8C64-B807CDA649B6}" destId="{3363A3B8-781E-473B-A93B-640B42E6A306}" srcOrd="2" destOrd="0" parTransId="{40B68714-76F3-47B3-B04F-134C03EA1525}" sibTransId="{CD4A1B1E-F9AE-4ABC-8816-FE89DA84B210}"/>
    <dgm:cxn modelId="{F7A53BC0-9F9C-407F-8809-B1AF6CF7C035}" type="presOf" srcId="{F0EFD426-26ED-42CA-B821-636CCBD49727}" destId="{A895B969-615B-4375-BAB8-13B2308A1313}" srcOrd="0" destOrd="0" presId="urn:microsoft.com/office/officeart/2005/8/layout/pyramid3"/>
    <dgm:cxn modelId="{6FBA9FC3-1580-4DA7-9B66-C6359D0761D8}" srcId="{0D6DFA86-E7FD-4A5F-8C64-B807CDA649B6}" destId="{47AE0F24-04FB-4130-9A52-D59C0DE995FF}" srcOrd="0" destOrd="0" parTransId="{308592E2-07F7-41AC-BE06-6C176543631A}" sibTransId="{A96F5B71-31CB-4AC5-B08D-B565C0F3D9B7}"/>
    <dgm:cxn modelId="{5AB507EF-463F-46A8-822C-AB98C3295361}" type="presOf" srcId="{47AE0F24-04FB-4130-9A52-D59C0DE995FF}" destId="{8DEC85DF-21CB-4415-BDE0-F7EE70FF1335}" srcOrd="0" destOrd="0" presId="urn:microsoft.com/office/officeart/2005/8/layout/pyramid3"/>
    <dgm:cxn modelId="{A5F64678-2FE6-4241-A55E-C7B73CAC2859}" type="presParOf" srcId="{A049EE9E-57EB-4783-9C4E-720D61769C33}" destId="{42475F21-6597-4A7D-BE10-3BF10F102F15}" srcOrd="0" destOrd="0" presId="urn:microsoft.com/office/officeart/2005/8/layout/pyramid3"/>
    <dgm:cxn modelId="{CE0BE7AA-87BD-47BB-A262-ADB5DFC45367}" type="presParOf" srcId="{42475F21-6597-4A7D-BE10-3BF10F102F15}" destId="{8DEC85DF-21CB-4415-BDE0-F7EE70FF1335}" srcOrd="0" destOrd="0" presId="urn:microsoft.com/office/officeart/2005/8/layout/pyramid3"/>
    <dgm:cxn modelId="{F1E8D41F-C8C7-4944-A5B3-7F05964DF129}" type="presParOf" srcId="{42475F21-6597-4A7D-BE10-3BF10F102F15}" destId="{5DA694AA-090F-4605-BF24-098F05F94B0D}" srcOrd="1" destOrd="0" presId="urn:microsoft.com/office/officeart/2005/8/layout/pyramid3"/>
    <dgm:cxn modelId="{1F86DF39-DF1C-405D-923D-4C53D678F8F7}" type="presParOf" srcId="{A049EE9E-57EB-4783-9C4E-720D61769C33}" destId="{22E22112-1E0E-4964-8208-5B0E6D54BFD7}" srcOrd="1" destOrd="0" presId="urn:microsoft.com/office/officeart/2005/8/layout/pyramid3"/>
    <dgm:cxn modelId="{DAB569C6-6395-4249-99E9-FD910196D020}" type="presParOf" srcId="{22E22112-1E0E-4964-8208-5B0E6D54BFD7}" destId="{A895B969-615B-4375-BAB8-13B2308A1313}" srcOrd="0" destOrd="0" presId="urn:microsoft.com/office/officeart/2005/8/layout/pyramid3"/>
    <dgm:cxn modelId="{9B1C72E6-E905-4EFA-B12D-C1913CBC5E55}" type="presParOf" srcId="{22E22112-1E0E-4964-8208-5B0E6D54BFD7}" destId="{370BE977-F81F-44AA-880C-595FCD589685}" srcOrd="1" destOrd="0" presId="urn:microsoft.com/office/officeart/2005/8/layout/pyramid3"/>
    <dgm:cxn modelId="{99C634EE-7B68-4AD6-B649-1DA29AFA95A8}" type="presParOf" srcId="{A049EE9E-57EB-4783-9C4E-720D61769C33}" destId="{70D8E68D-FD62-4FFF-A23D-9DD0CA4AC86A}" srcOrd="2" destOrd="0" presId="urn:microsoft.com/office/officeart/2005/8/layout/pyramid3"/>
    <dgm:cxn modelId="{EB994353-C9BA-4726-BF17-44C981B3911B}" type="presParOf" srcId="{70D8E68D-FD62-4FFF-A23D-9DD0CA4AC86A}" destId="{A4BBAD79-386A-49E8-9FD9-3C04ED491A98}" srcOrd="0" destOrd="0" presId="urn:microsoft.com/office/officeart/2005/8/layout/pyramid3"/>
    <dgm:cxn modelId="{1676B968-BA74-412A-9BBE-D7AF47D8FB57}" type="presParOf" srcId="{70D8E68D-FD62-4FFF-A23D-9DD0CA4AC86A}" destId="{D458F82C-6FDA-4572-AEEB-45E0ABA71635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6DFA86-E7FD-4A5F-8C64-B807CDA649B6}" type="doc">
      <dgm:prSet loTypeId="urn:microsoft.com/office/officeart/2005/8/layout/pyramid3" loCatId="pyramid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B3BF1424-DA6C-4374-82B3-CEF2A1B0D089}">
      <dgm:prSet phldrT="[Text]" custT="1"/>
      <dgm:spPr>
        <a:solidFill>
          <a:srgbClr val="0C509F"/>
        </a:solidFill>
      </dgm:spPr>
      <dgm:t>
        <a:bodyPr/>
        <a:lstStyle/>
        <a:p>
          <a:r>
            <a:rPr lang="cs-CZ" sz="1100">
              <a:solidFill>
                <a:schemeClr val="bg1"/>
              </a:solidFill>
            </a:rPr>
            <a:t> 	</a:t>
          </a:r>
        </a:p>
      </dgm:t>
    </dgm:pt>
    <dgm:pt modelId="{CC41ED6E-5FFC-4BF5-999F-B27E5603818A}" type="parTrans" cxnId="{E5E419B4-445E-4F3E-B59F-6FD93580E03E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280ED4B5-EB10-4AE7-A79B-23D2E25FDC26}" type="sibTrans" cxnId="{E5E419B4-445E-4F3E-B59F-6FD93580E03E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47AE0F24-04FB-4130-9A52-D59C0DE995FF}">
      <dgm:prSet phldrT="[Text]" custT="1"/>
      <dgm:spPr>
        <a:solidFill>
          <a:srgbClr val="4A6CB3"/>
        </a:solidFill>
      </dgm:spPr>
      <dgm:t>
        <a:bodyPr/>
        <a:lstStyle/>
        <a:p>
          <a:r>
            <a:rPr lang="cs-CZ" sz="1100">
              <a:solidFill>
                <a:schemeClr val="bg1"/>
              </a:solidFill>
            </a:rPr>
            <a:t>  </a:t>
          </a:r>
        </a:p>
      </dgm:t>
    </dgm:pt>
    <dgm:pt modelId="{308592E2-07F7-41AC-BE06-6C176543631A}" type="parTrans" cxnId="{6FBA9FC3-1580-4DA7-9B66-C6359D0761D8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A96F5B71-31CB-4AC5-B08D-B565C0F3D9B7}" type="sibTrans" cxnId="{6FBA9FC3-1580-4DA7-9B66-C6359D0761D8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F0EFD426-26ED-42CA-B821-636CCBD49727}">
      <dgm:prSet phldrT="[Text]" custT="1"/>
      <dgm:spPr>
        <a:solidFill>
          <a:srgbClr val="7A8DC6"/>
        </a:solidFill>
      </dgm:spPr>
      <dgm:t>
        <a:bodyPr/>
        <a:lstStyle/>
        <a:p>
          <a:r>
            <a:rPr lang="cs-CZ" sz="1100">
              <a:solidFill>
                <a:schemeClr val="bg1"/>
              </a:solidFill>
            </a:rPr>
            <a:t>  </a:t>
          </a:r>
        </a:p>
      </dgm:t>
    </dgm:pt>
    <dgm:pt modelId="{0852EA98-B7ED-4ACA-B9F4-7FECEA263881}" type="parTrans" cxnId="{9D4CDA15-DDA2-47F2-A799-D99500C89338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C487F303-223B-4FE9-9A78-C8C8FFE81DED}" type="sibTrans" cxnId="{9D4CDA15-DDA2-47F2-A799-D99500C89338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6562A202-D919-411D-9AF9-0603670B681C}">
      <dgm:prSet phldrT="[Text]" custT="1"/>
      <dgm:spPr>
        <a:solidFill>
          <a:srgbClr val="D4D8EE"/>
        </a:solidFill>
      </dgm:spPr>
      <dgm:t>
        <a:bodyPr/>
        <a:lstStyle/>
        <a:p>
          <a:r>
            <a:rPr lang="cs-CZ" sz="1100">
              <a:solidFill>
                <a:schemeClr val="bg1"/>
              </a:solidFill>
            </a:rPr>
            <a:t>  </a:t>
          </a:r>
          <a:endParaRPr lang="cs-CZ" sz="1100" b="1">
            <a:solidFill>
              <a:schemeClr val="accent6">
                <a:lumMod val="75000"/>
              </a:schemeClr>
            </a:solidFill>
          </a:endParaRPr>
        </a:p>
      </dgm:t>
    </dgm:pt>
    <dgm:pt modelId="{E96F9BB1-2197-4CF1-9B6A-A808C7F40C57}" type="parTrans" cxnId="{8BBD689A-B81B-4729-88FA-067613F825FC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4D4237ED-45CF-4C30-A465-0E8C32CB2484}" type="sibTrans" cxnId="{8BBD689A-B81B-4729-88FA-067613F825FC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3363A3B8-781E-473B-A93B-640B42E6A306}">
      <dgm:prSet phldrT="[Text]" custT="1"/>
      <dgm:spPr>
        <a:solidFill>
          <a:srgbClr val="A8B1DB"/>
        </a:solidFill>
      </dgm:spPr>
      <dgm:t>
        <a:bodyPr/>
        <a:lstStyle/>
        <a:p>
          <a:r>
            <a:rPr lang="cs-CZ" sz="1100">
              <a:solidFill>
                <a:schemeClr val="bg1"/>
              </a:solidFill>
            </a:rPr>
            <a:t>  </a:t>
          </a:r>
        </a:p>
      </dgm:t>
    </dgm:pt>
    <dgm:pt modelId="{40B68714-76F3-47B3-B04F-134C03EA1525}" type="parTrans" cxnId="{76DF98B2-0E4B-4272-855B-F14F002E56CE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CD4A1B1E-F9AE-4ABC-8816-FE89DA84B210}" type="sibTrans" cxnId="{76DF98B2-0E4B-4272-855B-F14F002E56CE}">
      <dgm:prSet/>
      <dgm:spPr/>
      <dgm:t>
        <a:bodyPr/>
        <a:lstStyle/>
        <a:p>
          <a:endParaRPr lang="cs-CZ" sz="1100">
            <a:solidFill>
              <a:schemeClr val="bg1"/>
            </a:solidFill>
          </a:endParaRPr>
        </a:p>
      </dgm:t>
    </dgm:pt>
    <dgm:pt modelId="{A049EE9E-57EB-4783-9C4E-720D61769C33}" type="pres">
      <dgm:prSet presAssocID="{0D6DFA86-E7FD-4A5F-8C64-B807CDA649B6}" presName="Name0" presStyleCnt="0">
        <dgm:presLayoutVars>
          <dgm:dir/>
          <dgm:animLvl val="lvl"/>
          <dgm:resizeHandles val="exact"/>
        </dgm:presLayoutVars>
      </dgm:prSet>
      <dgm:spPr/>
    </dgm:pt>
    <dgm:pt modelId="{1FA0CF18-B727-4835-A937-37AE1C4FC484}" type="pres">
      <dgm:prSet presAssocID="{B3BF1424-DA6C-4374-82B3-CEF2A1B0D089}" presName="Name8" presStyleCnt="0"/>
      <dgm:spPr/>
    </dgm:pt>
    <dgm:pt modelId="{5ABC7F23-ADB4-431E-BAAB-5D54D11F9F2D}" type="pres">
      <dgm:prSet presAssocID="{B3BF1424-DA6C-4374-82B3-CEF2A1B0D089}" presName="level" presStyleLbl="node1" presStyleIdx="0" presStyleCnt="5">
        <dgm:presLayoutVars>
          <dgm:chMax val="1"/>
          <dgm:bulletEnabled val="1"/>
        </dgm:presLayoutVars>
      </dgm:prSet>
      <dgm:spPr/>
    </dgm:pt>
    <dgm:pt modelId="{5AB0C38D-F86A-47AC-9591-F2697A09E485}" type="pres">
      <dgm:prSet presAssocID="{B3BF1424-DA6C-4374-82B3-CEF2A1B0D08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2475F21-6597-4A7D-BE10-3BF10F102F15}" type="pres">
      <dgm:prSet presAssocID="{47AE0F24-04FB-4130-9A52-D59C0DE995FF}" presName="Name8" presStyleCnt="0"/>
      <dgm:spPr/>
    </dgm:pt>
    <dgm:pt modelId="{8DEC85DF-21CB-4415-BDE0-F7EE70FF1335}" type="pres">
      <dgm:prSet presAssocID="{47AE0F24-04FB-4130-9A52-D59C0DE995FF}" presName="level" presStyleLbl="node1" presStyleIdx="1" presStyleCnt="5">
        <dgm:presLayoutVars>
          <dgm:chMax val="1"/>
          <dgm:bulletEnabled val="1"/>
        </dgm:presLayoutVars>
      </dgm:prSet>
      <dgm:spPr/>
    </dgm:pt>
    <dgm:pt modelId="{5DA694AA-090F-4605-BF24-098F05F94B0D}" type="pres">
      <dgm:prSet presAssocID="{47AE0F24-04FB-4130-9A52-D59C0DE995FF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2E22112-1E0E-4964-8208-5B0E6D54BFD7}" type="pres">
      <dgm:prSet presAssocID="{F0EFD426-26ED-42CA-B821-636CCBD49727}" presName="Name8" presStyleCnt="0"/>
      <dgm:spPr/>
    </dgm:pt>
    <dgm:pt modelId="{A895B969-615B-4375-BAB8-13B2308A1313}" type="pres">
      <dgm:prSet presAssocID="{F0EFD426-26ED-42CA-B821-636CCBD49727}" presName="level" presStyleLbl="node1" presStyleIdx="2" presStyleCnt="5">
        <dgm:presLayoutVars>
          <dgm:chMax val="1"/>
          <dgm:bulletEnabled val="1"/>
        </dgm:presLayoutVars>
      </dgm:prSet>
      <dgm:spPr/>
    </dgm:pt>
    <dgm:pt modelId="{370BE977-F81F-44AA-880C-595FCD589685}" type="pres">
      <dgm:prSet presAssocID="{F0EFD426-26ED-42CA-B821-636CCBD4972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2DD9021-DA2D-4214-8CD5-D645DD4A6B0E}" type="pres">
      <dgm:prSet presAssocID="{3363A3B8-781E-473B-A93B-640B42E6A306}" presName="Name8" presStyleCnt="0"/>
      <dgm:spPr/>
    </dgm:pt>
    <dgm:pt modelId="{F1A2D992-BDF2-4906-93BF-3F67F58CD222}" type="pres">
      <dgm:prSet presAssocID="{3363A3B8-781E-473B-A93B-640B42E6A306}" presName="level" presStyleLbl="node1" presStyleIdx="3" presStyleCnt="5">
        <dgm:presLayoutVars>
          <dgm:chMax val="1"/>
          <dgm:bulletEnabled val="1"/>
        </dgm:presLayoutVars>
      </dgm:prSet>
      <dgm:spPr/>
    </dgm:pt>
    <dgm:pt modelId="{6AD3BA96-CD21-4599-A71C-24F73B62DCB7}" type="pres">
      <dgm:prSet presAssocID="{3363A3B8-781E-473B-A93B-640B42E6A30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0B7FA34C-D769-48BB-91C1-40B4DA253370}" type="pres">
      <dgm:prSet presAssocID="{6562A202-D919-411D-9AF9-0603670B681C}" presName="Name8" presStyleCnt="0"/>
      <dgm:spPr/>
    </dgm:pt>
    <dgm:pt modelId="{C85CFF6C-2881-42ED-AD76-1EF5B2FC98E7}" type="pres">
      <dgm:prSet presAssocID="{6562A202-D919-411D-9AF9-0603670B681C}" presName="level" presStyleLbl="node1" presStyleIdx="4" presStyleCnt="5">
        <dgm:presLayoutVars>
          <dgm:chMax val="1"/>
          <dgm:bulletEnabled val="1"/>
        </dgm:presLayoutVars>
      </dgm:prSet>
      <dgm:spPr/>
    </dgm:pt>
    <dgm:pt modelId="{6B1B3FCA-C67C-48E1-B489-197B8888DA3D}" type="pres">
      <dgm:prSet presAssocID="{6562A202-D919-411D-9AF9-0603670B681C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69A65607-2DFC-4455-BF0D-17DE2B5B4521}" type="presOf" srcId="{6562A202-D919-411D-9AF9-0603670B681C}" destId="{6B1B3FCA-C67C-48E1-B489-197B8888DA3D}" srcOrd="1" destOrd="0" presId="urn:microsoft.com/office/officeart/2005/8/layout/pyramid3"/>
    <dgm:cxn modelId="{9D4CDA15-DDA2-47F2-A799-D99500C89338}" srcId="{0D6DFA86-E7FD-4A5F-8C64-B807CDA649B6}" destId="{F0EFD426-26ED-42CA-B821-636CCBD49727}" srcOrd="2" destOrd="0" parTransId="{0852EA98-B7ED-4ACA-B9F4-7FECEA263881}" sibTransId="{C487F303-223B-4FE9-9A78-C8C8FFE81DED}"/>
    <dgm:cxn modelId="{FD2BBD20-491B-4BAF-B484-5CA195F2D2D8}" type="presOf" srcId="{0D6DFA86-E7FD-4A5F-8C64-B807CDA649B6}" destId="{A049EE9E-57EB-4783-9C4E-720D61769C33}" srcOrd="0" destOrd="0" presId="urn:microsoft.com/office/officeart/2005/8/layout/pyramid3"/>
    <dgm:cxn modelId="{279C4A47-DB3A-4C7C-8506-33B3D6AE3D9F}" type="presOf" srcId="{6562A202-D919-411D-9AF9-0603670B681C}" destId="{C85CFF6C-2881-42ED-AD76-1EF5B2FC98E7}" srcOrd="0" destOrd="0" presId="urn:microsoft.com/office/officeart/2005/8/layout/pyramid3"/>
    <dgm:cxn modelId="{39945475-8771-4CB9-93D9-D10BB52E2013}" type="presOf" srcId="{B3BF1424-DA6C-4374-82B3-CEF2A1B0D089}" destId="{5ABC7F23-ADB4-431E-BAAB-5D54D11F9F2D}" srcOrd="0" destOrd="0" presId="urn:microsoft.com/office/officeart/2005/8/layout/pyramid3"/>
    <dgm:cxn modelId="{88FD2A7D-538F-4409-80E7-C27C94E39EAB}" type="presOf" srcId="{47AE0F24-04FB-4130-9A52-D59C0DE995FF}" destId="{5DA694AA-090F-4605-BF24-098F05F94B0D}" srcOrd="1" destOrd="0" presId="urn:microsoft.com/office/officeart/2005/8/layout/pyramid3"/>
    <dgm:cxn modelId="{E32A8590-2623-4287-8866-5F52F5FCE566}" type="presOf" srcId="{F0EFD426-26ED-42CA-B821-636CCBD49727}" destId="{370BE977-F81F-44AA-880C-595FCD589685}" srcOrd="1" destOrd="0" presId="urn:microsoft.com/office/officeart/2005/8/layout/pyramid3"/>
    <dgm:cxn modelId="{8BFA4A95-1C0A-45B8-A56E-D0C9AFCA2665}" type="presOf" srcId="{3363A3B8-781E-473B-A93B-640B42E6A306}" destId="{6AD3BA96-CD21-4599-A71C-24F73B62DCB7}" srcOrd="1" destOrd="0" presId="urn:microsoft.com/office/officeart/2005/8/layout/pyramid3"/>
    <dgm:cxn modelId="{8BBD689A-B81B-4729-88FA-067613F825FC}" srcId="{0D6DFA86-E7FD-4A5F-8C64-B807CDA649B6}" destId="{6562A202-D919-411D-9AF9-0603670B681C}" srcOrd="4" destOrd="0" parTransId="{E96F9BB1-2197-4CF1-9B6A-A808C7F40C57}" sibTransId="{4D4237ED-45CF-4C30-A465-0E8C32CB2484}"/>
    <dgm:cxn modelId="{D43A85A0-EAC3-4896-AA17-84A89B78E50E}" type="presOf" srcId="{B3BF1424-DA6C-4374-82B3-CEF2A1B0D089}" destId="{5AB0C38D-F86A-47AC-9591-F2697A09E485}" srcOrd="1" destOrd="0" presId="urn:microsoft.com/office/officeart/2005/8/layout/pyramid3"/>
    <dgm:cxn modelId="{76DF98B2-0E4B-4272-855B-F14F002E56CE}" srcId="{0D6DFA86-E7FD-4A5F-8C64-B807CDA649B6}" destId="{3363A3B8-781E-473B-A93B-640B42E6A306}" srcOrd="3" destOrd="0" parTransId="{40B68714-76F3-47B3-B04F-134C03EA1525}" sibTransId="{CD4A1B1E-F9AE-4ABC-8816-FE89DA84B210}"/>
    <dgm:cxn modelId="{E5E419B4-445E-4F3E-B59F-6FD93580E03E}" srcId="{0D6DFA86-E7FD-4A5F-8C64-B807CDA649B6}" destId="{B3BF1424-DA6C-4374-82B3-CEF2A1B0D089}" srcOrd="0" destOrd="0" parTransId="{CC41ED6E-5FFC-4BF5-999F-B27E5603818A}" sibTransId="{280ED4B5-EB10-4AE7-A79B-23D2E25FDC26}"/>
    <dgm:cxn modelId="{F7A53BC0-9F9C-407F-8809-B1AF6CF7C035}" type="presOf" srcId="{F0EFD426-26ED-42CA-B821-636CCBD49727}" destId="{A895B969-615B-4375-BAB8-13B2308A1313}" srcOrd="0" destOrd="0" presId="urn:microsoft.com/office/officeart/2005/8/layout/pyramid3"/>
    <dgm:cxn modelId="{6FBA9FC3-1580-4DA7-9B66-C6359D0761D8}" srcId="{0D6DFA86-E7FD-4A5F-8C64-B807CDA649B6}" destId="{47AE0F24-04FB-4130-9A52-D59C0DE995FF}" srcOrd="1" destOrd="0" parTransId="{308592E2-07F7-41AC-BE06-6C176543631A}" sibTransId="{A96F5B71-31CB-4AC5-B08D-B565C0F3D9B7}"/>
    <dgm:cxn modelId="{5AB507EF-463F-46A8-822C-AB98C3295361}" type="presOf" srcId="{47AE0F24-04FB-4130-9A52-D59C0DE995FF}" destId="{8DEC85DF-21CB-4415-BDE0-F7EE70FF1335}" srcOrd="0" destOrd="0" presId="urn:microsoft.com/office/officeart/2005/8/layout/pyramid3"/>
    <dgm:cxn modelId="{7E8DF9EF-40AC-4BBB-B2D1-C11A629E7F68}" type="presOf" srcId="{3363A3B8-781E-473B-A93B-640B42E6A306}" destId="{F1A2D992-BDF2-4906-93BF-3F67F58CD222}" srcOrd="0" destOrd="0" presId="urn:microsoft.com/office/officeart/2005/8/layout/pyramid3"/>
    <dgm:cxn modelId="{C988FB35-55C3-4B03-9663-A7A9D299AE17}" type="presParOf" srcId="{A049EE9E-57EB-4783-9C4E-720D61769C33}" destId="{1FA0CF18-B727-4835-A937-37AE1C4FC484}" srcOrd="0" destOrd="0" presId="urn:microsoft.com/office/officeart/2005/8/layout/pyramid3"/>
    <dgm:cxn modelId="{E570F002-91D3-4DD1-8AB9-76D0ADDD17F8}" type="presParOf" srcId="{1FA0CF18-B727-4835-A937-37AE1C4FC484}" destId="{5ABC7F23-ADB4-431E-BAAB-5D54D11F9F2D}" srcOrd="0" destOrd="0" presId="urn:microsoft.com/office/officeart/2005/8/layout/pyramid3"/>
    <dgm:cxn modelId="{D2ADC9EF-19A4-4A97-B9F0-55E7CF69E041}" type="presParOf" srcId="{1FA0CF18-B727-4835-A937-37AE1C4FC484}" destId="{5AB0C38D-F86A-47AC-9591-F2697A09E485}" srcOrd="1" destOrd="0" presId="urn:microsoft.com/office/officeart/2005/8/layout/pyramid3"/>
    <dgm:cxn modelId="{A5F64678-2FE6-4241-A55E-C7B73CAC2859}" type="presParOf" srcId="{A049EE9E-57EB-4783-9C4E-720D61769C33}" destId="{42475F21-6597-4A7D-BE10-3BF10F102F15}" srcOrd="1" destOrd="0" presId="urn:microsoft.com/office/officeart/2005/8/layout/pyramid3"/>
    <dgm:cxn modelId="{CE0BE7AA-87BD-47BB-A262-ADB5DFC45367}" type="presParOf" srcId="{42475F21-6597-4A7D-BE10-3BF10F102F15}" destId="{8DEC85DF-21CB-4415-BDE0-F7EE70FF1335}" srcOrd="0" destOrd="0" presId="urn:microsoft.com/office/officeart/2005/8/layout/pyramid3"/>
    <dgm:cxn modelId="{F1E8D41F-C8C7-4944-A5B3-7F05964DF129}" type="presParOf" srcId="{42475F21-6597-4A7D-BE10-3BF10F102F15}" destId="{5DA694AA-090F-4605-BF24-098F05F94B0D}" srcOrd="1" destOrd="0" presId="urn:microsoft.com/office/officeart/2005/8/layout/pyramid3"/>
    <dgm:cxn modelId="{1F86DF39-DF1C-405D-923D-4C53D678F8F7}" type="presParOf" srcId="{A049EE9E-57EB-4783-9C4E-720D61769C33}" destId="{22E22112-1E0E-4964-8208-5B0E6D54BFD7}" srcOrd="2" destOrd="0" presId="urn:microsoft.com/office/officeart/2005/8/layout/pyramid3"/>
    <dgm:cxn modelId="{DAB569C6-6395-4249-99E9-FD910196D020}" type="presParOf" srcId="{22E22112-1E0E-4964-8208-5B0E6D54BFD7}" destId="{A895B969-615B-4375-BAB8-13B2308A1313}" srcOrd="0" destOrd="0" presId="urn:microsoft.com/office/officeart/2005/8/layout/pyramid3"/>
    <dgm:cxn modelId="{9B1C72E6-E905-4EFA-B12D-C1913CBC5E55}" type="presParOf" srcId="{22E22112-1E0E-4964-8208-5B0E6D54BFD7}" destId="{370BE977-F81F-44AA-880C-595FCD589685}" srcOrd="1" destOrd="0" presId="urn:microsoft.com/office/officeart/2005/8/layout/pyramid3"/>
    <dgm:cxn modelId="{0A4F26E6-2DB5-4F34-ABF5-DAB309B0B499}" type="presParOf" srcId="{A049EE9E-57EB-4783-9C4E-720D61769C33}" destId="{52DD9021-DA2D-4214-8CD5-D645DD4A6B0E}" srcOrd="3" destOrd="0" presId="urn:microsoft.com/office/officeart/2005/8/layout/pyramid3"/>
    <dgm:cxn modelId="{4D46F5D9-609D-42A1-94B1-36D0758759F2}" type="presParOf" srcId="{52DD9021-DA2D-4214-8CD5-D645DD4A6B0E}" destId="{F1A2D992-BDF2-4906-93BF-3F67F58CD222}" srcOrd="0" destOrd="0" presId="urn:microsoft.com/office/officeart/2005/8/layout/pyramid3"/>
    <dgm:cxn modelId="{640D5FA4-027C-4042-A188-0B41468B1D7D}" type="presParOf" srcId="{52DD9021-DA2D-4214-8CD5-D645DD4A6B0E}" destId="{6AD3BA96-CD21-4599-A71C-24F73B62DCB7}" srcOrd="1" destOrd="0" presId="urn:microsoft.com/office/officeart/2005/8/layout/pyramid3"/>
    <dgm:cxn modelId="{76DED3F6-E0EC-4BF5-8DC3-96E0C5B123BE}" type="presParOf" srcId="{A049EE9E-57EB-4783-9C4E-720D61769C33}" destId="{0B7FA34C-D769-48BB-91C1-40B4DA253370}" srcOrd="4" destOrd="0" presId="urn:microsoft.com/office/officeart/2005/8/layout/pyramid3"/>
    <dgm:cxn modelId="{0E062AE9-E5AA-4321-8C58-60E6B08C7043}" type="presParOf" srcId="{0B7FA34C-D769-48BB-91C1-40B4DA253370}" destId="{C85CFF6C-2881-42ED-AD76-1EF5B2FC98E7}" srcOrd="0" destOrd="0" presId="urn:microsoft.com/office/officeart/2005/8/layout/pyramid3"/>
    <dgm:cxn modelId="{D2534D5A-ADFE-483B-8B44-39C1EA6D962A}" type="presParOf" srcId="{0B7FA34C-D769-48BB-91C1-40B4DA253370}" destId="{6B1B3FCA-C67C-48E1-B489-197B8888DA3D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EC85DF-21CB-4415-BDE0-F7EE70FF1335}">
      <dsp:nvSpPr>
        <dsp:cNvPr id="0" name=""/>
        <dsp:cNvSpPr/>
      </dsp:nvSpPr>
      <dsp:spPr>
        <a:xfrm rot="10800000">
          <a:off x="0" y="0"/>
          <a:ext cx="1302385" cy="396663"/>
        </a:xfrm>
        <a:prstGeom prst="trapezoid">
          <a:avLst>
            <a:gd name="adj" fmla="val 54723"/>
          </a:avLst>
        </a:prstGeom>
        <a:solidFill>
          <a:srgbClr val="D4D8E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>
              <a:solidFill>
                <a:schemeClr val="tx1"/>
              </a:solidFill>
            </a:rPr>
            <a:t>48 %</a:t>
          </a:r>
        </a:p>
      </dsp:txBody>
      <dsp:txXfrm rot="-10800000">
        <a:off x="227917" y="0"/>
        <a:ext cx="846550" cy="396663"/>
      </dsp:txXfrm>
    </dsp:sp>
    <dsp:sp modelId="{A895B969-615B-4375-BAB8-13B2308A1313}">
      <dsp:nvSpPr>
        <dsp:cNvPr id="0" name=""/>
        <dsp:cNvSpPr/>
      </dsp:nvSpPr>
      <dsp:spPr>
        <a:xfrm rot="10800000">
          <a:off x="217064" y="396663"/>
          <a:ext cx="868256" cy="396663"/>
        </a:xfrm>
        <a:prstGeom prst="trapezoid">
          <a:avLst>
            <a:gd name="adj" fmla="val 54723"/>
          </a:avLst>
        </a:prstGeom>
        <a:solidFill>
          <a:srgbClr val="4A6CB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>
              <a:solidFill>
                <a:schemeClr val="tx1"/>
              </a:solidFill>
            </a:rPr>
            <a:t>39 %</a:t>
          </a:r>
        </a:p>
      </dsp:txBody>
      <dsp:txXfrm rot="-10800000">
        <a:off x="369009" y="396663"/>
        <a:ext cx="564366" cy="396663"/>
      </dsp:txXfrm>
    </dsp:sp>
    <dsp:sp modelId="{A4BBAD79-386A-49E8-9FD9-3C04ED491A98}">
      <dsp:nvSpPr>
        <dsp:cNvPr id="0" name=""/>
        <dsp:cNvSpPr/>
      </dsp:nvSpPr>
      <dsp:spPr>
        <a:xfrm rot="10800000">
          <a:off x="434128" y="793326"/>
          <a:ext cx="434128" cy="396663"/>
        </a:xfrm>
        <a:prstGeom prst="trapezoid">
          <a:avLst>
            <a:gd name="adj" fmla="val 54723"/>
          </a:avLst>
        </a:prstGeom>
        <a:solidFill>
          <a:srgbClr val="A8B1D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>
              <a:solidFill>
                <a:schemeClr val="tx1"/>
              </a:solidFill>
            </a:rPr>
            <a:t>13 %</a:t>
          </a:r>
        </a:p>
      </dsp:txBody>
      <dsp:txXfrm rot="-10800000">
        <a:off x="434128" y="793326"/>
        <a:ext cx="434128" cy="39666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BC7F23-ADB4-431E-BAAB-5D54D11F9F2D}">
      <dsp:nvSpPr>
        <dsp:cNvPr id="0" name=""/>
        <dsp:cNvSpPr/>
      </dsp:nvSpPr>
      <dsp:spPr>
        <a:xfrm rot="10800000">
          <a:off x="0" y="0"/>
          <a:ext cx="1302385" cy="237997"/>
        </a:xfrm>
        <a:prstGeom prst="trapezoid">
          <a:avLst>
            <a:gd name="adj" fmla="val 54723"/>
          </a:avLst>
        </a:prstGeom>
        <a:solidFill>
          <a:srgbClr val="0C509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chemeClr val="bg1"/>
              </a:solidFill>
            </a:rPr>
            <a:t> 	</a:t>
          </a:r>
        </a:p>
      </dsp:txBody>
      <dsp:txXfrm rot="-10800000">
        <a:off x="227917" y="0"/>
        <a:ext cx="846550" cy="237997"/>
      </dsp:txXfrm>
    </dsp:sp>
    <dsp:sp modelId="{8DEC85DF-21CB-4415-BDE0-F7EE70FF1335}">
      <dsp:nvSpPr>
        <dsp:cNvPr id="0" name=""/>
        <dsp:cNvSpPr/>
      </dsp:nvSpPr>
      <dsp:spPr>
        <a:xfrm rot="10800000">
          <a:off x="130238" y="237997"/>
          <a:ext cx="1041908" cy="237997"/>
        </a:xfrm>
        <a:prstGeom prst="trapezoid">
          <a:avLst>
            <a:gd name="adj" fmla="val 54723"/>
          </a:avLst>
        </a:prstGeom>
        <a:solidFill>
          <a:srgbClr val="4A6CB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chemeClr val="bg1"/>
              </a:solidFill>
            </a:rPr>
            <a:t>  </a:t>
          </a:r>
        </a:p>
      </dsp:txBody>
      <dsp:txXfrm rot="-10800000">
        <a:off x="312572" y="237997"/>
        <a:ext cx="677240" cy="237997"/>
      </dsp:txXfrm>
    </dsp:sp>
    <dsp:sp modelId="{A895B969-615B-4375-BAB8-13B2308A1313}">
      <dsp:nvSpPr>
        <dsp:cNvPr id="0" name=""/>
        <dsp:cNvSpPr/>
      </dsp:nvSpPr>
      <dsp:spPr>
        <a:xfrm rot="10800000">
          <a:off x="260477" y="475995"/>
          <a:ext cx="781431" cy="237997"/>
        </a:xfrm>
        <a:prstGeom prst="trapezoid">
          <a:avLst>
            <a:gd name="adj" fmla="val 54723"/>
          </a:avLst>
        </a:prstGeom>
        <a:solidFill>
          <a:srgbClr val="7A8DC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chemeClr val="bg1"/>
              </a:solidFill>
            </a:rPr>
            <a:t>  </a:t>
          </a:r>
        </a:p>
      </dsp:txBody>
      <dsp:txXfrm rot="-10800000">
        <a:off x="397227" y="475995"/>
        <a:ext cx="507930" cy="237997"/>
      </dsp:txXfrm>
    </dsp:sp>
    <dsp:sp modelId="{F1A2D992-BDF2-4906-93BF-3F67F58CD222}">
      <dsp:nvSpPr>
        <dsp:cNvPr id="0" name=""/>
        <dsp:cNvSpPr/>
      </dsp:nvSpPr>
      <dsp:spPr>
        <a:xfrm rot="10800000">
          <a:off x="390715" y="713994"/>
          <a:ext cx="520954" cy="237997"/>
        </a:xfrm>
        <a:prstGeom prst="trapezoid">
          <a:avLst>
            <a:gd name="adj" fmla="val 54723"/>
          </a:avLst>
        </a:prstGeom>
        <a:solidFill>
          <a:srgbClr val="A8B1D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chemeClr val="bg1"/>
              </a:solidFill>
            </a:rPr>
            <a:t>  </a:t>
          </a:r>
        </a:p>
      </dsp:txBody>
      <dsp:txXfrm rot="-10800000">
        <a:off x="481882" y="713994"/>
        <a:ext cx="338620" cy="237997"/>
      </dsp:txXfrm>
    </dsp:sp>
    <dsp:sp modelId="{C85CFF6C-2881-42ED-AD76-1EF5B2FC98E7}">
      <dsp:nvSpPr>
        <dsp:cNvPr id="0" name=""/>
        <dsp:cNvSpPr/>
      </dsp:nvSpPr>
      <dsp:spPr>
        <a:xfrm rot="10800000">
          <a:off x="520954" y="951992"/>
          <a:ext cx="260477" cy="237997"/>
        </a:xfrm>
        <a:prstGeom prst="trapezoid">
          <a:avLst>
            <a:gd name="adj" fmla="val 54723"/>
          </a:avLst>
        </a:prstGeom>
        <a:solidFill>
          <a:srgbClr val="D4D8E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chemeClr val="bg1"/>
              </a:solidFill>
            </a:rPr>
            <a:t>  </a:t>
          </a:r>
          <a:endParaRPr lang="cs-CZ" sz="1100" b="1" kern="1200">
            <a:solidFill>
              <a:schemeClr val="accent6">
                <a:lumMod val="75000"/>
              </a:schemeClr>
            </a:solidFill>
          </a:endParaRPr>
        </a:p>
      </dsp:txBody>
      <dsp:txXfrm rot="-10800000">
        <a:off x="520954" y="951992"/>
        <a:ext cx="260477" cy="237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EEFADAF1-7158-429B-94F2-76F73C5F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8138</Words>
  <Characters>48019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21/06 - Peněžní prostředky státu a Evropské unie určené na realizaci opatření v oblasti nakládání s odpady</vt:lpstr>
    </vt:vector>
  </TitlesOfParts>
  <Company>NKÚ</Company>
  <LinksUpToDate>false</LinksUpToDate>
  <CharactersWithSpaces>56045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21/06 - Peněžní prostředky státu a Evropské unie určené na realizaci opatření v oblasti nakládání s odpady</dc:title>
  <dc:subject>Kontrolní závěr z kontrolní akce NKÚ č. 21/06 - Peněžní prostředky státu a Evropské unie určené na realizaci opatření v oblasti nakládání s odpady</dc:subject>
  <dc:creator>Nejvyšší kontrolní úřad</dc:creator>
  <cp:keywords>kontrolní závěr; odpady</cp:keywords>
  <cp:lastModifiedBy>KOKRDA Daniel</cp:lastModifiedBy>
  <cp:revision>5</cp:revision>
  <cp:lastPrinted>2022-06-03T11:27:00Z</cp:lastPrinted>
  <dcterms:created xsi:type="dcterms:W3CDTF">2022-04-21T07:07:00Z</dcterms:created>
  <dcterms:modified xsi:type="dcterms:W3CDTF">2022-06-03T11:28:00Z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21/06-NKU30/323/22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510/169/20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7.3.2022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&lt;TABLE&gt;&lt;TR&gt;&lt;TD&gt;Č.j.:&lt;/TD&gt;&lt;TD&gt;21/06-NKU30/323/22&lt;/TD&gt;&lt;/TR&gt;&lt;TR&gt;&lt;TD&gt;&lt;/TD&gt;&lt;TD&gt;&lt;/TD&gt;&lt;/TR&gt;&lt;/TABLE&gt;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Členové Úřadu</vt:lpwstr>
  </property>
  <property fmtid="{D5CDD505-2E9C-101B-9397-08002B2CF9AE}" pid="16" name="DisplayName_UserPoriz_Pisemnost">
    <vt:lpwstr>Bc. Jana Pokorná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22-3380/NKU</vt:lpwstr>
  </property>
  <property fmtid="{D5CDD505-2E9C-101B-9397-08002B2CF9AE}" pid="19" name="Key_BarCode_Pisemnost">
    <vt:lpwstr>*B000403424*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22-3380/NKU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21/06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Návrh kontrolního závěru 21/06 - do připomínek</vt:lpwstr>
  </property>
  <property fmtid="{D5CDD505-2E9C-101B-9397-08002B2CF9AE}" pid="41" name="Zkratka_SpisovyUzel_PoziceZodpo_Pisemnost">
    <vt:lpwstr>30</vt:lpwstr>
  </property>
</Properties>
</file>