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E69AF" w14:textId="77777777" w:rsidR="00853B8D" w:rsidRPr="00853B8D" w:rsidRDefault="00E10443" w:rsidP="00D928D2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8"/>
          <w:lang w:eastAsia="cs-CZ"/>
        </w:rPr>
      </w:pPr>
      <w:r w:rsidRPr="00853B8D">
        <w:rPr>
          <w:rFonts w:ascii="Calibri" w:eastAsia="Times New Roman" w:hAnsi="Calibri" w:cs="Calibri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6DF7E75B" wp14:editId="5A73918E">
            <wp:simplePos x="0" y="0"/>
            <wp:positionH relativeFrom="column">
              <wp:posOffset>2503170</wp:posOffset>
            </wp:positionH>
            <wp:positionV relativeFrom="paragraph">
              <wp:posOffset>14909</wp:posOffset>
            </wp:positionV>
            <wp:extent cx="763270" cy="539750"/>
            <wp:effectExtent l="0" t="0" r="0" b="0"/>
            <wp:wrapTopAndBottom/>
            <wp:docPr id="1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15139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90ADC" w14:textId="77777777" w:rsidR="00916EDC" w:rsidRDefault="00916EDC" w:rsidP="00D928D2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8"/>
          <w:lang w:eastAsia="cs-CZ"/>
        </w:rPr>
      </w:pPr>
    </w:p>
    <w:p w14:paraId="5BF25ACF" w14:textId="77777777" w:rsidR="00D928D2" w:rsidRDefault="00D928D2" w:rsidP="00D928D2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8"/>
          <w:lang w:eastAsia="cs-CZ"/>
        </w:rPr>
      </w:pPr>
    </w:p>
    <w:p w14:paraId="7B92A813" w14:textId="77777777" w:rsidR="00C012FE" w:rsidRPr="0058377D" w:rsidRDefault="00C012FE" w:rsidP="00C012F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r w:rsidRPr="0058377D">
        <w:rPr>
          <w:rFonts w:cstheme="minorHAnsi"/>
          <w:b/>
          <w:sz w:val="28"/>
          <w:szCs w:val="28"/>
        </w:rPr>
        <w:t>Kontrolní závěr z kontrolní akce</w:t>
      </w:r>
    </w:p>
    <w:p w14:paraId="4446E693" w14:textId="77777777" w:rsidR="00C012FE" w:rsidRDefault="00C012FE" w:rsidP="00C012FE">
      <w:pPr>
        <w:pStyle w:val="Zkladn"/>
        <w:jc w:val="center"/>
      </w:pPr>
    </w:p>
    <w:p w14:paraId="6F087109" w14:textId="77777777" w:rsidR="00C012FE" w:rsidRPr="005E477C" w:rsidRDefault="00C012FE" w:rsidP="00C012FE">
      <w:pPr>
        <w:spacing w:after="0" w:line="240" w:lineRule="auto"/>
        <w:ind w:right="68"/>
        <w:jc w:val="center"/>
        <w:rPr>
          <w:rFonts w:cs="Calibri"/>
          <w:b/>
          <w:bCs/>
          <w:sz w:val="28"/>
        </w:rPr>
      </w:pPr>
      <w:r w:rsidRPr="005E477C">
        <w:rPr>
          <w:rFonts w:cs="Calibri"/>
          <w:b/>
          <w:bCs/>
          <w:sz w:val="28"/>
        </w:rPr>
        <w:t>1</w:t>
      </w:r>
      <w:r>
        <w:rPr>
          <w:rFonts w:cs="Calibri"/>
          <w:b/>
          <w:bCs/>
          <w:sz w:val="28"/>
        </w:rPr>
        <w:t>9</w:t>
      </w:r>
      <w:r w:rsidRPr="005E477C">
        <w:rPr>
          <w:rFonts w:cs="Calibri"/>
          <w:b/>
          <w:bCs/>
          <w:sz w:val="28"/>
        </w:rPr>
        <w:t>/</w:t>
      </w:r>
      <w:r>
        <w:rPr>
          <w:rFonts w:cs="Calibri"/>
          <w:b/>
          <w:bCs/>
          <w:sz w:val="28"/>
        </w:rPr>
        <w:t>30</w:t>
      </w:r>
    </w:p>
    <w:p w14:paraId="31E56C18" w14:textId="77777777" w:rsidR="00C012FE" w:rsidRDefault="00C012FE" w:rsidP="00C012FE">
      <w:pPr>
        <w:pStyle w:val="Zkladn"/>
        <w:jc w:val="center"/>
      </w:pPr>
    </w:p>
    <w:p w14:paraId="49709814" w14:textId="77777777" w:rsidR="00C012FE" w:rsidRPr="004B6775" w:rsidRDefault="00C012FE" w:rsidP="00C012FE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6775">
        <w:rPr>
          <w:rFonts w:asciiTheme="minorHAnsi" w:hAnsiTheme="minorHAnsi" w:cstheme="minorHAnsi"/>
          <w:b/>
          <w:sz w:val="28"/>
          <w:szCs w:val="28"/>
        </w:rPr>
        <w:t>Majetek a peněžní prostředky státu, se kterými jsou příslušné hospodařit zdravotní ústavy, jejichž zřizovatelem je Ministerstvo zdravotnictví</w:t>
      </w:r>
    </w:p>
    <w:bookmarkEnd w:id="0"/>
    <w:p w14:paraId="7F871C6A" w14:textId="77777777" w:rsidR="00C012FE" w:rsidRDefault="00C012FE" w:rsidP="00C012FE">
      <w:pPr>
        <w:pStyle w:val="Zkladn"/>
      </w:pPr>
    </w:p>
    <w:p w14:paraId="7D5A16F3" w14:textId="77777777" w:rsidR="00C012FE" w:rsidRDefault="00C012FE" w:rsidP="00C012FE">
      <w:pPr>
        <w:pStyle w:val="Zkladn"/>
      </w:pPr>
    </w:p>
    <w:p w14:paraId="042F5FA4" w14:textId="77777777" w:rsidR="00C012FE" w:rsidRPr="005E477C" w:rsidRDefault="00C012FE" w:rsidP="00C012FE">
      <w:pPr>
        <w:pStyle w:val="Zkladn"/>
      </w:pPr>
      <w:r w:rsidRPr="005E477C">
        <w:t>Kontrolní akce byla zařazena do plánu kontrolní činnosti Nejvyššího kontrolního úřadu (dále jen „NKÚ“) na rok 201</w:t>
      </w:r>
      <w:r>
        <w:t>9</w:t>
      </w:r>
      <w:r w:rsidRPr="005E477C">
        <w:t xml:space="preserve"> pod číslem 1</w:t>
      </w:r>
      <w:r>
        <w:t>9</w:t>
      </w:r>
      <w:r w:rsidRPr="005E477C">
        <w:t>/</w:t>
      </w:r>
      <w:r>
        <w:t>30</w:t>
      </w:r>
      <w:r w:rsidRPr="005E477C">
        <w:t xml:space="preserve">. Kontrolní akci řídil a kontrolní závěr vypracoval člen NKÚ </w:t>
      </w:r>
      <w:r>
        <w:rPr>
          <w:rFonts w:cstheme="minorHAnsi"/>
        </w:rPr>
        <w:t xml:space="preserve">JUDr. </w:t>
      </w:r>
      <w:r>
        <w:rPr>
          <w:rFonts w:cstheme="minorHAnsi"/>
          <w:iCs/>
        </w:rPr>
        <w:t>Ing. Jiří Kalivoda</w:t>
      </w:r>
      <w:r w:rsidRPr="005E477C">
        <w:t xml:space="preserve">. </w:t>
      </w:r>
    </w:p>
    <w:p w14:paraId="2874D7B1" w14:textId="77777777" w:rsidR="00C012FE" w:rsidRDefault="00C012FE" w:rsidP="00C012FE">
      <w:pPr>
        <w:pStyle w:val="Zkladn"/>
      </w:pPr>
    </w:p>
    <w:p w14:paraId="25837539" w14:textId="37104566" w:rsidR="00C012FE" w:rsidRDefault="00C012FE" w:rsidP="00C012FE">
      <w:pPr>
        <w:pStyle w:val="Zkladn"/>
        <w:rPr>
          <w:noProof/>
        </w:rPr>
      </w:pPr>
      <w:r w:rsidRPr="00A924E7">
        <w:t>Cílem kontroly by</w:t>
      </w:r>
      <w:r w:rsidRPr="005E477C">
        <w:t>lo p</w:t>
      </w:r>
      <w:r>
        <w:rPr>
          <w:noProof/>
        </w:rPr>
        <w:t xml:space="preserve">rověřit </w:t>
      </w:r>
      <w:r w:rsidRPr="0029653D">
        <w:rPr>
          <w:rFonts w:ascii="Calibri" w:hAnsi="Calibri"/>
          <w:color w:val="000000"/>
        </w:rPr>
        <w:t>hospodaření zdravotních ústavů s majetkem a peněžními prostředky státu se zaměřením na to, zda zdravotní ústavy v oblasti veřejného nakupování naplňují v praxi principy hospodárnosti, účelnosti a efektivnosti. Dále prověřit, jak Ministerstvo zdravotnictví vykonává zřizovatelské funkce vůči zdravotním ústavům.</w:t>
      </w:r>
    </w:p>
    <w:p w14:paraId="3F34CFF8" w14:textId="77777777" w:rsidR="00C012FE" w:rsidRDefault="00C012FE" w:rsidP="00C012FE">
      <w:pPr>
        <w:pStyle w:val="Zkladn"/>
      </w:pPr>
    </w:p>
    <w:p w14:paraId="681B22C6" w14:textId="77777777" w:rsidR="00C012FE" w:rsidRPr="00A924E7" w:rsidRDefault="00C012FE" w:rsidP="00C012FE">
      <w:pPr>
        <w:pStyle w:val="Zkladn"/>
        <w:rPr>
          <w:rFonts w:cstheme="minorHAnsi"/>
        </w:rPr>
      </w:pPr>
      <w:r w:rsidRPr="00A924E7">
        <w:rPr>
          <w:rFonts w:cstheme="minorHAnsi"/>
        </w:rPr>
        <w:t>Kontrolováno bylo období let 2017 až 2019, v případě věcných souvislostí i období předcházející a následující. Kontrola byla prováděna u kontrolovaných osob od listopadu 2019 do listopadu 2020.</w:t>
      </w:r>
    </w:p>
    <w:p w14:paraId="74120348" w14:textId="77777777" w:rsidR="00C012FE" w:rsidRPr="00A924E7" w:rsidRDefault="00C012FE" w:rsidP="00C012FE">
      <w:pPr>
        <w:pStyle w:val="Zkladn"/>
        <w:rPr>
          <w:rFonts w:cstheme="minorHAnsi"/>
        </w:rPr>
      </w:pPr>
    </w:p>
    <w:p w14:paraId="7214DCEF" w14:textId="77777777" w:rsidR="00C012FE" w:rsidRPr="00A924E7" w:rsidRDefault="00C012FE" w:rsidP="00C012FE">
      <w:pPr>
        <w:pStyle w:val="Zkladn"/>
        <w:rPr>
          <w:rFonts w:cstheme="minorHAnsi"/>
        </w:rPr>
      </w:pPr>
      <w:r w:rsidRPr="00A924E7">
        <w:rPr>
          <w:rFonts w:cstheme="minorHAnsi"/>
        </w:rPr>
        <w:t>Kontrolované osoby:</w:t>
      </w:r>
    </w:p>
    <w:p w14:paraId="256CBFBA" w14:textId="7B2C0DEA" w:rsidR="00C012FE" w:rsidRPr="00A924E7" w:rsidRDefault="00C012FE" w:rsidP="00C012FE">
      <w:pPr>
        <w:pStyle w:val="Zkladn"/>
        <w:rPr>
          <w:rFonts w:cstheme="minorHAnsi"/>
        </w:rPr>
      </w:pPr>
      <w:r w:rsidRPr="00A924E7">
        <w:rPr>
          <w:rFonts w:cstheme="minorHAnsi"/>
          <w:color w:val="000000"/>
        </w:rPr>
        <w:t>Ministerstvo</w:t>
      </w:r>
      <w:r w:rsidR="00BE7439">
        <w:rPr>
          <w:rFonts w:cstheme="minorHAnsi"/>
          <w:color w:val="000000"/>
        </w:rPr>
        <w:t xml:space="preserve"> </w:t>
      </w:r>
      <w:r w:rsidRPr="00A924E7">
        <w:rPr>
          <w:rFonts w:cstheme="minorHAnsi"/>
          <w:color w:val="000000"/>
        </w:rPr>
        <w:t>zdravotnictví</w:t>
      </w:r>
      <w:r w:rsidRPr="00A924E7">
        <w:rPr>
          <w:rFonts w:cstheme="minorHAnsi"/>
        </w:rPr>
        <w:t xml:space="preserve"> (dále t</w:t>
      </w:r>
      <w:r>
        <w:rPr>
          <w:rFonts w:cstheme="minorHAnsi"/>
        </w:rPr>
        <w:t>aké</w:t>
      </w:r>
      <w:r w:rsidRPr="00A924E7">
        <w:rPr>
          <w:rFonts w:cstheme="minorHAnsi"/>
        </w:rPr>
        <w:t xml:space="preserve"> „</w:t>
      </w:r>
      <w:proofErr w:type="spellStart"/>
      <w:r w:rsidRPr="00A924E7">
        <w:rPr>
          <w:rFonts w:cstheme="minorHAnsi"/>
        </w:rPr>
        <w:t>MZd</w:t>
      </w:r>
      <w:proofErr w:type="spellEnd"/>
      <w:r w:rsidRPr="00A924E7">
        <w:rPr>
          <w:rFonts w:cstheme="minorHAnsi"/>
        </w:rPr>
        <w:t>“ nebo „</w:t>
      </w:r>
      <w:r w:rsidR="00BE7439">
        <w:rPr>
          <w:rFonts w:cstheme="minorHAnsi"/>
        </w:rPr>
        <w:t>m</w:t>
      </w:r>
      <w:r w:rsidRPr="00A924E7">
        <w:rPr>
          <w:rFonts w:cstheme="minorHAnsi"/>
        </w:rPr>
        <w:t xml:space="preserve">inisterstvo“); </w:t>
      </w:r>
    </w:p>
    <w:p w14:paraId="580402A2" w14:textId="3AFAA5F7" w:rsidR="00C012FE" w:rsidRPr="00A924E7" w:rsidRDefault="00C012FE" w:rsidP="00C012FE">
      <w:pPr>
        <w:pStyle w:val="Zkladn"/>
        <w:rPr>
          <w:rFonts w:cstheme="minorHAnsi"/>
        </w:rPr>
      </w:pPr>
      <w:r w:rsidRPr="00A924E7">
        <w:rPr>
          <w:rFonts w:cstheme="minorHAnsi"/>
          <w:color w:val="000000"/>
        </w:rPr>
        <w:t>Zdravotní</w:t>
      </w:r>
      <w:r w:rsidR="00BE7439">
        <w:rPr>
          <w:rFonts w:cstheme="minorHAnsi"/>
          <w:color w:val="000000"/>
        </w:rPr>
        <w:t xml:space="preserve"> </w:t>
      </w:r>
      <w:r w:rsidRPr="00A924E7">
        <w:rPr>
          <w:rFonts w:cstheme="minorHAnsi"/>
          <w:color w:val="000000"/>
        </w:rPr>
        <w:t>ústav</w:t>
      </w:r>
      <w:r w:rsidR="00BE7439">
        <w:rPr>
          <w:rFonts w:cstheme="minorHAnsi"/>
          <w:color w:val="000000"/>
        </w:rPr>
        <w:t xml:space="preserve"> se </w:t>
      </w:r>
      <w:r w:rsidRPr="00A924E7">
        <w:rPr>
          <w:rFonts w:cstheme="minorHAnsi"/>
          <w:color w:val="000000"/>
        </w:rPr>
        <w:t>sídlem</w:t>
      </w:r>
      <w:r w:rsidR="00BE7439">
        <w:rPr>
          <w:rFonts w:cstheme="minorHAnsi"/>
          <w:color w:val="000000"/>
        </w:rPr>
        <w:t xml:space="preserve"> </w:t>
      </w:r>
      <w:r w:rsidRPr="00A924E7">
        <w:rPr>
          <w:rFonts w:cstheme="minorHAnsi"/>
          <w:color w:val="000000"/>
        </w:rPr>
        <w:t>v Ostravě</w:t>
      </w:r>
      <w:r w:rsidRPr="00A924E7">
        <w:rPr>
          <w:rFonts w:cstheme="minorHAnsi"/>
        </w:rPr>
        <w:t xml:space="preserve"> (dále </w:t>
      </w:r>
      <w:r>
        <w:rPr>
          <w:rFonts w:cstheme="minorHAnsi"/>
        </w:rPr>
        <w:t>také</w:t>
      </w:r>
      <w:r w:rsidRPr="00A924E7">
        <w:rPr>
          <w:rFonts w:cstheme="minorHAnsi"/>
        </w:rPr>
        <w:t xml:space="preserve"> „ZÚ v Ostravě“); </w:t>
      </w:r>
    </w:p>
    <w:p w14:paraId="2CE5E64E" w14:textId="62A59793" w:rsidR="00C012FE" w:rsidRPr="00A924E7" w:rsidRDefault="00C012FE" w:rsidP="00C012FE">
      <w:pPr>
        <w:pStyle w:val="Zkladn"/>
        <w:rPr>
          <w:rFonts w:cstheme="minorHAnsi"/>
        </w:rPr>
      </w:pPr>
      <w:r w:rsidRPr="00A924E7">
        <w:rPr>
          <w:rFonts w:cstheme="minorHAnsi"/>
          <w:color w:val="000000"/>
        </w:rPr>
        <w:t>Zdravotní</w:t>
      </w:r>
      <w:r w:rsidR="00BE7439">
        <w:rPr>
          <w:rFonts w:cstheme="minorHAnsi"/>
          <w:color w:val="000000"/>
        </w:rPr>
        <w:t xml:space="preserve"> ústav </w:t>
      </w:r>
      <w:r w:rsidRPr="00A924E7">
        <w:rPr>
          <w:rFonts w:cstheme="minorHAnsi"/>
          <w:color w:val="000000"/>
        </w:rPr>
        <w:t>se</w:t>
      </w:r>
      <w:r w:rsidR="00BE7439">
        <w:rPr>
          <w:rFonts w:cstheme="minorHAnsi"/>
          <w:color w:val="000000"/>
        </w:rPr>
        <w:t xml:space="preserve"> sídlem </w:t>
      </w:r>
      <w:r w:rsidRPr="00A924E7">
        <w:rPr>
          <w:rFonts w:cstheme="minorHAnsi"/>
          <w:color w:val="000000"/>
        </w:rPr>
        <w:t>v</w:t>
      </w:r>
      <w:r w:rsidR="00BE7439">
        <w:rPr>
          <w:rFonts w:cstheme="minorHAnsi"/>
          <w:color w:val="000000"/>
        </w:rPr>
        <w:t> </w:t>
      </w:r>
      <w:r w:rsidRPr="00A924E7">
        <w:rPr>
          <w:rFonts w:cstheme="minorHAnsi"/>
          <w:color w:val="000000"/>
        </w:rPr>
        <w:t>Ústí</w:t>
      </w:r>
      <w:r w:rsidR="00BE7439">
        <w:rPr>
          <w:rFonts w:cstheme="minorHAnsi"/>
          <w:color w:val="000000"/>
        </w:rPr>
        <w:t xml:space="preserve"> nad </w:t>
      </w:r>
      <w:r w:rsidRPr="00A924E7">
        <w:rPr>
          <w:rFonts w:cstheme="minorHAnsi"/>
          <w:color w:val="000000"/>
        </w:rPr>
        <w:t xml:space="preserve">Labem </w:t>
      </w:r>
      <w:r w:rsidRPr="00A924E7">
        <w:rPr>
          <w:rFonts w:cstheme="minorHAnsi"/>
        </w:rPr>
        <w:t>(dále t</w:t>
      </w:r>
      <w:r>
        <w:rPr>
          <w:rFonts w:cstheme="minorHAnsi"/>
        </w:rPr>
        <w:t>aké</w:t>
      </w:r>
      <w:r w:rsidRPr="00A924E7">
        <w:rPr>
          <w:rFonts w:cstheme="minorHAnsi"/>
        </w:rPr>
        <w:t xml:space="preserve"> „ZÚ v Ústí n. L.“).</w:t>
      </w:r>
    </w:p>
    <w:p w14:paraId="0AC115EE" w14:textId="77777777" w:rsidR="00C012FE" w:rsidRPr="00A924E7" w:rsidRDefault="00C012FE" w:rsidP="00C012FE">
      <w:pPr>
        <w:pStyle w:val="Default"/>
        <w:rPr>
          <w:rFonts w:asciiTheme="minorHAnsi" w:hAnsiTheme="minorHAnsi" w:cstheme="minorHAnsi"/>
        </w:rPr>
      </w:pPr>
    </w:p>
    <w:p w14:paraId="2C730BE7" w14:textId="77777777" w:rsidR="00C012FE" w:rsidRPr="00A924E7" w:rsidRDefault="00C012FE" w:rsidP="00C012FE">
      <w:pPr>
        <w:pStyle w:val="Zkladn"/>
        <w:rPr>
          <w:rFonts w:cstheme="minorHAnsi"/>
        </w:rPr>
      </w:pPr>
    </w:p>
    <w:p w14:paraId="549C587C" w14:textId="77777777" w:rsidR="00C012FE" w:rsidRPr="00A924E7" w:rsidRDefault="00C012FE" w:rsidP="00C012FE">
      <w:pPr>
        <w:pStyle w:val="Zkladn"/>
        <w:rPr>
          <w:rFonts w:cstheme="minorHAnsi"/>
        </w:rPr>
      </w:pPr>
    </w:p>
    <w:p w14:paraId="0CFB7666" w14:textId="77777777" w:rsidR="00C012FE" w:rsidRPr="005E477C" w:rsidRDefault="00C012FE" w:rsidP="00C012FE">
      <w:pPr>
        <w:pStyle w:val="Zkladn"/>
        <w:spacing w:line="360" w:lineRule="auto"/>
      </w:pPr>
      <w:r w:rsidRPr="005E477C">
        <w:rPr>
          <w:b/>
          <w:bCs/>
          <w:i/>
          <w:iCs/>
        </w:rPr>
        <w:t>K o l e g i u m</w:t>
      </w:r>
      <w:r w:rsidRPr="005E477C">
        <w:t xml:space="preserve">   </w:t>
      </w:r>
      <w:r w:rsidRPr="005E477C">
        <w:rPr>
          <w:b/>
          <w:bCs/>
          <w:i/>
          <w:iCs/>
        </w:rPr>
        <w:t xml:space="preserve">N K Ú  </w:t>
      </w:r>
      <w:r w:rsidRPr="005E477C">
        <w:rPr>
          <w:b/>
          <w:bCs/>
          <w:iCs/>
        </w:rPr>
        <w:t xml:space="preserve"> </w:t>
      </w:r>
      <w:r>
        <w:t>na svém VI</w:t>
      </w:r>
      <w:r w:rsidRPr="005E477C">
        <w:t xml:space="preserve">. jednání, které se konalo dne </w:t>
      </w:r>
      <w:r>
        <w:t xml:space="preserve">22. března </w:t>
      </w:r>
      <w:r w:rsidRPr="005E477C">
        <w:t>20</w:t>
      </w:r>
      <w:r>
        <w:t>21</w:t>
      </w:r>
      <w:r w:rsidRPr="005E477C">
        <w:t xml:space="preserve">, </w:t>
      </w:r>
    </w:p>
    <w:p w14:paraId="25F9E95E" w14:textId="77777777" w:rsidR="00C012FE" w:rsidRPr="005E477C" w:rsidRDefault="00C012FE" w:rsidP="00C012FE">
      <w:pPr>
        <w:pStyle w:val="Zkladn"/>
        <w:spacing w:line="360" w:lineRule="auto"/>
      </w:pPr>
      <w:proofErr w:type="gramStart"/>
      <w:r w:rsidRPr="005E477C">
        <w:rPr>
          <w:b/>
          <w:bCs/>
          <w:i/>
          <w:iCs/>
        </w:rPr>
        <w:t>s c h v á l i l o</w:t>
      </w:r>
      <w:r w:rsidRPr="005E477C">
        <w:t xml:space="preserve">   usnesením č.</w:t>
      </w:r>
      <w:proofErr w:type="gramEnd"/>
      <w:r w:rsidRPr="005E477C">
        <w:t xml:space="preserve"> </w:t>
      </w:r>
      <w:r>
        <w:t>9</w:t>
      </w:r>
      <w:r w:rsidRPr="005E477C">
        <w:t>/</w:t>
      </w:r>
      <w:r>
        <w:t>VI</w:t>
      </w:r>
      <w:r w:rsidRPr="005E477C">
        <w:t>/20</w:t>
      </w:r>
      <w:r>
        <w:t>21</w:t>
      </w:r>
      <w:r w:rsidRPr="005E477C">
        <w:t xml:space="preserve"> </w:t>
      </w:r>
    </w:p>
    <w:p w14:paraId="7F7A8B78" w14:textId="77777777" w:rsidR="00C012FE" w:rsidRPr="005E477C" w:rsidRDefault="00C012FE" w:rsidP="00C012FE">
      <w:pPr>
        <w:pStyle w:val="Zkladn"/>
        <w:spacing w:line="360" w:lineRule="auto"/>
      </w:pPr>
      <w:r w:rsidRPr="00D84D5D">
        <w:rPr>
          <w:b/>
          <w:i/>
        </w:rPr>
        <w:t>k o n t r o l n í   z á v ě r</w:t>
      </w:r>
      <w:r w:rsidRPr="005E477C">
        <w:t xml:space="preserve">   v tomto znění:</w:t>
      </w:r>
    </w:p>
    <w:p w14:paraId="1B457002" w14:textId="77777777" w:rsidR="00AD5DAC" w:rsidRPr="006C6B3C" w:rsidRDefault="00E10443" w:rsidP="006C6B3C">
      <w:pPr>
        <w:spacing w:after="0" w:line="252" w:lineRule="auto"/>
        <w:ind w:right="70"/>
        <w:contextualSpacing/>
        <w:jc w:val="both"/>
        <w:rPr>
          <w:rFonts w:cstheme="minorHAnsi"/>
          <w:sz w:val="24"/>
          <w:szCs w:val="24"/>
        </w:rPr>
      </w:pPr>
      <w:r w:rsidRPr="006C6B3C">
        <w:rPr>
          <w:rFonts w:cstheme="minorHAnsi"/>
          <w:sz w:val="24"/>
          <w:szCs w:val="24"/>
        </w:rPr>
        <w:br w:type="page"/>
      </w:r>
    </w:p>
    <w:p w14:paraId="51E6C87A" w14:textId="77777777" w:rsidR="003652B9" w:rsidRDefault="00B83E5D" w:rsidP="003652B9">
      <w:pPr>
        <w:jc w:val="center"/>
        <w:rPr>
          <w:rFonts w:ascii="Calibri" w:hAnsi="Calibri" w:cs="Calibri"/>
          <w:caps/>
          <w:color w:val="004095"/>
          <w:sz w:val="28"/>
          <w:szCs w:val="32"/>
        </w:rPr>
      </w:pPr>
      <w:r w:rsidRPr="00B83E5D">
        <w:rPr>
          <w:rFonts w:ascii="Calibri" w:hAnsi="Calibri" w:cs="Calibri"/>
          <w:caps/>
          <w:color w:val="004095"/>
          <w:sz w:val="28"/>
          <w:szCs w:val="32"/>
        </w:rPr>
        <w:lastRenderedPageBreak/>
        <w:t>hOSPODAŘENÍ zDRAVOTNÍch ÚsTAVŮ</w:t>
      </w:r>
    </w:p>
    <w:tbl>
      <w:tblPr>
        <w:tblStyle w:val="Mkatabulky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2A33"/>
        <w:tblLook w:val="04A0" w:firstRow="1" w:lastRow="0" w:firstColumn="1" w:lastColumn="0" w:noHBand="0" w:noVBand="1"/>
      </w:tblPr>
      <w:tblGrid>
        <w:gridCol w:w="9069"/>
      </w:tblGrid>
      <w:tr w:rsidR="003652B9" w14:paraId="7FF54E46" w14:textId="77777777" w:rsidTr="003652B9">
        <w:trPr>
          <w:trHeight w:val="1095"/>
        </w:trPr>
        <w:tc>
          <w:tcPr>
            <w:tcW w:w="9069" w:type="dxa"/>
            <w:shd w:val="clear" w:color="auto" w:fill="BD2A33"/>
            <w:vAlign w:val="center"/>
            <w:hideMark/>
          </w:tcPr>
          <w:p w14:paraId="1DA5E2AA" w14:textId="77777777" w:rsidR="003652B9" w:rsidRPr="008561EA" w:rsidRDefault="003652B9" w:rsidP="003652B9">
            <w:pPr>
              <w:ind w:left="327"/>
              <w:jc w:val="center"/>
              <w:rPr>
                <w:b/>
                <w:color w:val="FFFFFF" w:themeColor="background1"/>
                <w:spacing w:val="10"/>
                <w:sz w:val="28"/>
                <w:szCs w:val="28"/>
              </w:rPr>
            </w:pPr>
            <w:r w:rsidRPr="008561EA">
              <w:rPr>
                <w:b/>
                <w:color w:val="FFFFFF" w:themeColor="background1"/>
                <w:spacing w:val="10"/>
                <w:sz w:val="24"/>
                <w:szCs w:val="28"/>
              </w:rPr>
              <w:t>NKÚ hodnotí přístup Ministerstva zdravotnictví k řízení zdravotních ústavů</w:t>
            </w:r>
            <w:r w:rsidRPr="008561EA">
              <w:rPr>
                <w:rStyle w:val="Znakapoznpodarou"/>
                <w:b/>
                <w:color w:val="FFFFFF" w:themeColor="background1"/>
                <w:spacing w:val="10"/>
                <w:sz w:val="24"/>
                <w:szCs w:val="28"/>
              </w:rPr>
              <w:footnoteReference w:id="2"/>
            </w:r>
            <w:r w:rsidRPr="008561EA">
              <w:rPr>
                <w:b/>
                <w:color w:val="FFFFFF" w:themeColor="background1"/>
                <w:spacing w:val="10"/>
                <w:sz w:val="24"/>
                <w:szCs w:val="28"/>
              </w:rPr>
              <w:t xml:space="preserve"> </w:t>
            </w:r>
            <w:r w:rsidR="008561EA" w:rsidRPr="008561EA">
              <w:rPr>
                <w:b/>
                <w:color w:val="FFFFFF" w:themeColor="background1"/>
                <w:spacing w:val="10"/>
                <w:sz w:val="24"/>
                <w:szCs w:val="28"/>
              </w:rPr>
              <w:br/>
            </w:r>
            <w:r w:rsidRPr="008561EA">
              <w:rPr>
                <w:b/>
                <w:color w:val="FFFFFF" w:themeColor="background1"/>
                <w:spacing w:val="10"/>
                <w:sz w:val="24"/>
                <w:szCs w:val="28"/>
              </w:rPr>
              <w:t>jako nedostatečný.</w:t>
            </w:r>
          </w:p>
        </w:tc>
      </w:tr>
    </w:tbl>
    <w:p w14:paraId="00C8CE51" w14:textId="77777777" w:rsidR="003652B9" w:rsidRPr="00B83E5D" w:rsidRDefault="003652B9" w:rsidP="00B83E5D">
      <w:pPr>
        <w:jc w:val="center"/>
        <w:rPr>
          <w:rFonts w:ascii="Calibri" w:hAnsi="Calibri" w:cs="Calibri"/>
          <w:color w:val="000000"/>
          <w:sz w:val="24"/>
        </w:rPr>
      </w:pPr>
    </w:p>
    <w:tbl>
      <w:tblPr>
        <w:tblW w:w="0" w:type="dxa"/>
        <w:jc w:val="center"/>
        <w:tblBorders>
          <w:bottom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2835"/>
        <w:gridCol w:w="1702"/>
      </w:tblGrid>
      <w:tr w:rsidR="003652B9" w14:paraId="5BCBBADE" w14:textId="77777777" w:rsidTr="003652B9">
        <w:trPr>
          <w:trHeight w:val="601"/>
          <w:jc w:val="center"/>
        </w:trPr>
        <w:tc>
          <w:tcPr>
            <w:tcW w:w="4536" w:type="dxa"/>
            <w:gridSpan w:val="2"/>
            <w:shd w:val="clear" w:color="auto" w:fill="E5F1FF"/>
            <w:vAlign w:val="center"/>
            <w:hideMark/>
          </w:tcPr>
          <w:p w14:paraId="329FA8B5" w14:textId="77777777" w:rsidR="003652B9" w:rsidRPr="003C686C" w:rsidRDefault="003652B9" w:rsidP="003652B9">
            <w:pPr>
              <w:pStyle w:val="Pa18"/>
              <w:spacing w:line="240" w:lineRule="auto"/>
              <w:jc w:val="center"/>
              <w:rPr>
                <w:rFonts w:cs="Times New Roman"/>
              </w:rPr>
            </w:pPr>
            <w:r w:rsidRPr="003C686C">
              <w:rPr>
                <w:b/>
              </w:rPr>
              <w:t>Zdravotní ústav se sídlem v Ostravě</w:t>
            </w:r>
          </w:p>
        </w:tc>
        <w:tc>
          <w:tcPr>
            <w:tcW w:w="4537" w:type="dxa"/>
            <w:gridSpan w:val="2"/>
            <w:shd w:val="clear" w:color="auto" w:fill="E5F1FF"/>
            <w:vAlign w:val="center"/>
            <w:hideMark/>
          </w:tcPr>
          <w:p w14:paraId="3217F2D6" w14:textId="77777777" w:rsidR="003652B9" w:rsidRPr="003C686C" w:rsidRDefault="003652B9" w:rsidP="003652B9">
            <w:pPr>
              <w:pStyle w:val="Pa18"/>
              <w:spacing w:line="240" w:lineRule="auto"/>
              <w:jc w:val="center"/>
            </w:pPr>
            <w:r w:rsidRPr="003C686C">
              <w:rPr>
                <w:b/>
              </w:rPr>
              <w:t>Zdravotní ústav se sídlem v Ústí nad Labem</w:t>
            </w:r>
          </w:p>
        </w:tc>
      </w:tr>
      <w:tr w:rsidR="003652B9" w14:paraId="17AD805A" w14:textId="77777777" w:rsidTr="003652B9">
        <w:trPr>
          <w:trHeight w:val="1245"/>
          <w:jc w:val="center"/>
        </w:trPr>
        <w:tc>
          <w:tcPr>
            <w:tcW w:w="1701" w:type="dxa"/>
            <w:shd w:val="clear" w:color="auto" w:fill="E5F1FF"/>
            <w:vAlign w:val="center"/>
            <w:hideMark/>
          </w:tcPr>
          <w:p w14:paraId="31CCC4E8" w14:textId="77777777" w:rsidR="003652B9" w:rsidRDefault="006C726A" w:rsidP="003652B9">
            <w:pPr>
              <w:pStyle w:val="Pa19"/>
              <w:spacing w:before="20" w:after="2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sz w:val="40"/>
                <w:szCs w:val="40"/>
              </w:rPr>
              <w:t>−</w:t>
            </w:r>
            <w:r w:rsidR="003652B9">
              <w:rPr>
                <w:b/>
                <w:bCs/>
                <w:sz w:val="40"/>
                <w:szCs w:val="40"/>
              </w:rPr>
              <w:t>40</w:t>
            </w:r>
            <w:r w:rsidR="003652B9">
              <w:rPr>
                <w:b/>
                <w:bCs/>
                <w:sz w:val="28"/>
                <w:szCs w:val="28"/>
              </w:rPr>
              <w:t xml:space="preserve"> </w:t>
            </w:r>
            <w:r w:rsidR="003652B9">
              <w:rPr>
                <w:b/>
                <w:bCs/>
              </w:rPr>
              <w:t>mil. Kč</w:t>
            </w:r>
          </w:p>
        </w:tc>
        <w:tc>
          <w:tcPr>
            <w:tcW w:w="5670" w:type="dxa"/>
            <w:gridSpan w:val="2"/>
            <w:shd w:val="clear" w:color="auto" w:fill="E5F1FF"/>
            <w:vAlign w:val="center"/>
            <w:hideMark/>
          </w:tcPr>
          <w:p w14:paraId="17AAC9CE" w14:textId="7EFFBD38" w:rsidR="003652B9" w:rsidRPr="006A053C" w:rsidRDefault="003652B9" w:rsidP="00D05A3E">
            <w:pPr>
              <w:pStyle w:val="Pa19"/>
              <w:spacing w:before="20" w:after="20" w:line="240" w:lineRule="auto"/>
              <w:jc w:val="both"/>
              <w:rPr>
                <w:sz w:val="20"/>
                <w:szCs w:val="20"/>
              </w:rPr>
            </w:pPr>
            <w:r w:rsidRPr="006A053C">
              <w:rPr>
                <w:sz w:val="20"/>
                <w:szCs w:val="20"/>
              </w:rPr>
              <w:t>Kumulovaná ztráta zdravo</w:t>
            </w:r>
            <w:r>
              <w:rPr>
                <w:sz w:val="20"/>
                <w:szCs w:val="20"/>
              </w:rPr>
              <w:t>tních ústavů za období let 2017</w:t>
            </w:r>
            <w:r w:rsidR="006C726A">
              <w:rPr>
                <w:sz w:val="20"/>
                <w:szCs w:val="20"/>
              </w:rPr>
              <w:t>–</w:t>
            </w:r>
            <w:r w:rsidRPr="006A053C">
              <w:rPr>
                <w:sz w:val="20"/>
                <w:szCs w:val="20"/>
              </w:rPr>
              <w:t>2019</w:t>
            </w:r>
            <w:r w:rsidR="00D05A3E">
              <w:rPr>
                <w:sz w:val="20"/>
                <w:szCs w:val="20"/>
              </w:rPr>
              <w:t xml:space="preserve"> činila:</w:t>
            </w:r>
          </w:p>
        </w:tc>
        <w:tc>
          <w:tcPr>
            <w:tcW w:w="1702" w:type="dxa"/>
            <w:shd w:val="clear" w:color="auto" w:fill="E5F1FF"/>
            <w:vAlign w:val="center"/>
            <w:hideMark/>
          </w:tcPr>
          <w:p w14:paraId="0E0CAF4B" w14:textId="77777777" w:rsidR="003652B9" w:rsidRPr="006A053C" w:rsidRDefault="006C726A" w:rsidP="003652B9">
            <w:pPr>
              <w:pStyle w:val="Pa19"/>
              <w:spacing w:before="20" w:after="2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−</w:t>
            </w:r>
            <w:r w:rsidR="003652B9" w:rsidRPr="006A053C">
              <w:rPr>
                <w:b/>
                <w:bCs/>
                <w:sz w:val="40"/>
                <w:szCs w:val="40"/>
              </w:rPr>
              <w:t>34</w:t>
            </w:r>
            <w:r w:rsidR="003652B9" w:rsidRPr="006A053C">
              <w:rPr>
                <w:b/>
                <w:bCs/>
                <w:sz w:val="28"/>
                <w:szCs w:val="28"/>
              </w:rPr>
              <w:t xml:space="preserve"> </w:t>
            </w:r>
            <w:r w:rsidR="003652B9" w:rsidRPr="006A053C">
              <w:rPr>
                <w:b/>
                <w:bCs/>
              </w:rPr>
              <w:t>mil. Kč</w:t>
            </w:r>
          </w:p>
        </w:tc>
      </w:tr>
      <w:tr w:rsidR="003652B9" w14:paraId="46566C21" w14:textId="77777777" w:rsidTr="003652B9">
        <w:trPr>
          <w:trHeight w:val="1245"/>
          <w:jc w:val="center"/>
        </w:trPr>
        <w:tc>
          <w:tcPr>
            <w:tcW w:w="1701" w:type="dxa"/>
            <w:tcBorders>
              <w:bottom w:val="single" w:sz="4" w:space="0" w:color="4F81BD"/>
            </w:tcBorders>
            <w:shd w:val="clear" w:color="auto" w:fill="E5F1FF"/>
            <w:vAlign w:val="center"/>
            <w:hideMark/>
          </w:tcPr>
          <w:p w14:paraId="7621C7B2" w14:textId="77777777" w:rsidR="003652B9" w:rsidRDefault="006C726A" w:rsidP="003652B9">
            <w:pPr>
              <w:pStyle w:val="Pa19"/>
              <w:spacing w:before="20" w:after="2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sz w:val="40"/>
                <w:szCs w:val="40"/>
              </w:rPr>
              <w:t>−</w:t>
            </w:r>
            <w:r w:rsidR="003652B9">
              <w:rPr>
                <w:b/>
                <w:bCs/>
                <w:sz w:val="40"/>
                <w:szCs w:val="40"/>
              </w:rPr>
              <w:t>34</w:t>
            </w:r>
            <w:r w:rsidR="003652B9">
              <w:rPr>
                <w:b/>
                <w:bCs/>
                <w:sz w:val="28"/>
                <w:szCs w:val="28"/>
              </w:rPr>
              <w:t xml:space="preserve"> </w:t>
            </w:r>
            <w:r w:rsidR="003652B9">
              <w:rPr>
                <w:b/>
                <w:bCs/>
              </w:rPr>
              <w:t>mil. Kč</w:t>
            </w:r>
          </w:p>
        </w:tc>
        <w:tc>
          <w:tcPr>
            <w:tcW w:w="5670" w:type="dxa"/>
            <w:gridSpan w:val="2"/>
            <w:tcBorders>
              <w:bottom w:val="single" w:sz="4" w:space="0" w:color="4F81BD"/>
            </w:tcBorders>
            <w:shd w:val="clear" w:color="auto" w:fill="E5F1FF"/>
            <w:vAlign w:val="center"/>
            <w:hideMark/>
          </w:tcPr>
          <w:p w14:paraId="08F6F10D" w14:textId="77777777" w:rsidR="003652B9" w:rsidRPr="006A053C" w:rsidRDefault="003652B9" w:rsidP="003652B9">
            <w:pPr>
              <w:pStyle w:val="Pa19"/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6A053C">
              <w:rPr>
                <w:sz w:val="20"/>
                <w:szCs w:val="20"/>
              </w:rPr>
              <w:t xml:space="preserve">Zcela </w:t>
            </w:r>
            <w:r w:rsidRPr="001C29C5">
              <w:rPr>
                <w:sz w:val="20"/>
                <w:szCs w:val="20"/>
              </w:rPr>
              <w:t>zásadní vliv na ztrátu zdravotních ústavů měl systém úhrad zdravotních služeb za laboratorní vyšetření a diagnostiky. Částka zdravotními pojišťovnami uznaných, ale neuhrazených zdravotních služeb poskytnutýc</w:t>
            </w:r>
            <w:r w:rsidRPr="006A053C">
              <w:rPr>
                <w:sz w:val="20"/>
                <w:szCs w:val="20"/>
              </w:rPr>
              <w:t>h zdravotními ústavy činila v roce 2018:</w:t>
            </w:r>
          </w:p>
        </w:tc>
        <w:tc>
          <w:tcPr>
            <w:tcW w:w="1702" w:type="dxa"/>
            <w:tcBorders>
              <w:bottom w:val="single" w:sz="4" w:space="0" w:color="4F81BD"/>
            </w:tcBorders>
            <w:shd w:val="clear" w:color="auto" w:fill="E5F1FF"/>
            <w:vAlign w:val="center"/>
            <w:hideMark/>
          </w:tcPr>
          <w:p w14:paraId="048A3D18" w14:textId="77777777" w:rsidR="003652B9" w:rsidRPr="006A053C" w:rsidRDefault="006C726A" w:rsidP="003652B9">
            <w:pPr>
              <w:pStyle w:val="Pa19"/>
              <w:spacing w:before="20" w:after="2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−</w:t>
            </w:r>
            <w:r w:rsidR="003652B9" w:rsidRPr="006A053C">
              <w:rPr>
                <w:b/>
                <w:bCs/>
                <w:sz w:val="40"/>
                <w:szCs w:val="40"/>
              </w:rPr>
              <w:t>16</w:t>
            </w:r>
            <w:r w:rsidR="003652B9" w:rsidRPr="006A053C">
              <w:rPr>
                <w:b/>
                <w:bCs/>
                <w:sz w:val="28"/>
                <w:szCs w:val="28"/>
              </w:rPr>
              <w:t xml:space="preserve"> </w:t>
            </w:r>
            <w:r w:rsidR="003652B9" w:rsidRPr="006A053C">
              <w:rPr>
                <w:b/>
                <w:bCs/>
              </w:rPr>
              <w:t>mil. Kč</w:t>
            </w:r>
          </w:p>
        </w:tc>
      </w:tr>
      <w:tr w:rsidR="003652B9" w14:paraId="234B4EDF" w14:textId="77777777" w:rsidTr="003652B9">
        <w:trPr>
          <w:trHeight w:val="1245"/>
          <w:jc w:val="center"/>
        </w:trPr>
        <w:tc>
          <w:tcPr>
            <w:tcW w:w="1701" w:type="dxa"/>
            <w:tcBorders>
              <w:top w:val="single" w:sz="4" w:space="0" w:color="4F81BD"/>
              <w:bottom w:val="nil"/>
            </w:tcBorders>
            <w:shd w:val="clear" w:color="auto" w:fill="E5F1FF"/>
            <w:vAlign w:val="center"/>
            <w:hideMark/>
          </w:tcPr>
          <w:p w14:paraId="7C7F007B" w14:textId="77777777" w:rsidR="003652B9" w:rsidRDefault="003652B9" w:rsidP="006C726A">
            <w:pPr>
              <w:pStyle w:val="Pa19"/>
              <w:spacing w:before="20" w:after="2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sz w:val="40"/>
                <w:szCs w:val="40"/>
              </w:rPr>
              <w:t>+51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</w:rPr>
              <w:t>mil. Kč</w:t>
            </w:r>
          </w:p>
        </w:tc>
        <w:tc>
          <w:tcPr>
            <w:tcW w:w="5670" w:type="dxa"/>
            <w:gridSpan w:val="2"/>
            <w:tcBorders>
              <w:top w:val="single" w:sz="4" w:space="0" w:color="4F81BD"/>
              <w:bottom w:val="nil"/>
            </w:tcBorders>
            <w:shd w:val="clear" w:color="auto" w:fill="E5F1FF"/>
            <w:vAlign w:val="center"/>
            <w:hideMark/>
          </w:tcPr>
          <w:p w14:paraId="2F426E5D" w14:textId="77777777" w:rsidR="003652B9" w:rsidRPr="006A053C" w:rsidRDefault="003652B9" w:rsidP="003652B9">
            <w:pPr>
              <w:pStyle w:val="Pa19"/>
              <w:spacing w:before="20" w:after="20" w:line="240" w:lineRule="auto"/>
              <w:jc w:val="both"/>
              <w:rPr>
                <w:sz w:val="20"/>
                <w:szCs w:val="20"/>
              </w:rPr>
            </w:pPr>
            <w:r w:rsidRPr="006A053C">
              <w:rPr>
                <w:sz w:val="20"/>
                <w:szCs w:val="20"/>
              </w:rPr>
              <w:t xml:space="preserve">Ztrátu rovněž výrazně ovlivnil nárůst osobních nákladů zdravotních ústavů v důsledku navyšování platových tarifů podle nařízení vlády. Tento nárůst činil mezi lety 2016 a 2019: </w:t>
            </w:r>
          </w:p>
        </w:tc>
        <w:tc>
          <w:tcPr>
            <w:tcW w:w="1702" w:type="dxa"/>
            <w:tcBorders>
              <w:top w:val="single" w:sz="4" w:space="0" w:color="4F81BD"/>
              <w:bottom w:val="nil"/>
            </w:tcBorders>
            <w:shd w:val="clear" w:color="auto" w:fill="E5F1FF"/>
            <w:vAlign w:val="center"/>
            <w:hideMark/>
          </w:tcPr>
          <w:p w14:paraId="2290AD0B" w14:textId="77777777" w:rsidR="003652B9" w:rsidRPr="006A053C" w:rsidRDefault="003652B9" w:rsidP="006C726A">
            <w:pPr>
              <w:pStyle w:val="Pa19"/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6A053C">
              <w:rPr>
                <w:b/>
                <w:bCs/>
                <w:sz w:val="40"/>
                <w:szCs w:val="40"/>
              </w:rPr>
              <w:t>+27</w:t>
            </w:r>
            <w:r w:rsidRPr="006A053C">
              <w:rPr>
                <w:b/>
                <w:bCs/>
                <w:sz w:val="28"/>
                <w:szCs w:val="28"/>
              </w:rPr>
              <w:t xml:space="preserve"> </w:t>
            </w:r>
            <w:r w:rsidRPr="006A053C">
              <w:rPr>
                <w:b/>
                <w:bCs/>
              </w:rPr>
              <w:t>mil. Kč</w:t>
            </w:r>
          </w:p>
        </w:tc>
      </w:tr>
    </w:tbl>
    <w:tbl>
      <w:tblPr>
        <w:tblStyle w:val="Mkatabulky"/>
        <w:tblpPr w:leftFromText="141" w:rightFromText="141" w:vertAnchor="text" w:horzAnchor="margin" w:tblpY="377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3652B9" w:rsidRPr="006A053C" w14:paraId="6DC97CCF" w14:textId="77777777" w:rsidTr="00172B07">
        <w:trPr>
          <w:trHeight w:val="567"/>
        </w:trPr>
        <w:tc>
          <w:tcPr>
            <w:tcW w:w="3114" w:type="dxa"/>
            <w:vAlign w:val="center"/>
            <w:hideMark/>
          </w:tcPr>
          <w:p w14:paraId="1B1D8C9E" w14:textId="77777777" w:rsidR="003652B9" w:rsidRPr="006A053C" w:rsidRDefault="00172B07" w:rsidP="00172B07">
            <w:pPr>
              <w:jc w:val="center"/>
              <w:rPr>
                <w:b/>
              </w:rPr>
            </w:pPr>
            <w:r w:rsidRPr="006A053C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3EC66" wp14:editId="11B0C98B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31115</wp:posOffset>
                      </wp:positionV>
                      <wp:extent cx="1800000" cy="396000"/>
                      <wp:effectExtent l="0" t="0" r="10160" b="23495"/>
                      <wp:wrapNone/>
                      <wp:docPr id="16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39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2A33"/>
                              </a:solidFill>
                              <a:ln>
                                <a:solidFill>
                                  <a:srgbClr val="BD2A3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34EA22" w14:textId="77777777" w:rsidR="001B182E" w:rsidRDefault="001B182E" w:rsidP="003652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1,3 mld. Kč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3EC66" id="Obdélník 16" o:spid="_x0000_s1026" style="position:absolute;left:0;text-align:left;margin-left:-5.55pt;margin-top:2.45pt;width:141.7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" fillcolor="#bd2a33" strokecolor="#bd2a33" strokeweight="1pt">
                      <v:textbox inset="1mm,1mm,1mm,1mm">
                        <w:txbxContent>
                          <w:p w14:paraId="3234EA22" w14:textId="77777777" w:rsidR="001B182E" w:rsidRDefault="001B182E" w:rsidP="003652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1,3 mld. Kč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53" w:type="dxa"/>
            <w:hideMark/>
          </w:tcPr>
          <w:p w14:paraId="57A84770" w14:textId="255039FD" w:rsidR="003652B9" w:rsidRPr="006A053C" w:rsidRDefault="003652B9" w:rsidP="00172B07">
            <w:r w:rsidRPr="006A053C">
              <w:t>Výdaje zdravotních ústavů na úhrady nákupů pořízen</w:t>
            </w:r>
            <w:r>
              <w:t>ých od dodavatelů v letech 2017–</w:t>
            </w:r>
            <w:r w:rsidRPr="006A053C">
              <w:t>2019</w:t>
            </w:r>
          </w:p>
        </w:tc>
      </w:tr>
      <w:tr w:rsidR="003652B9" w:rsidRPr="006A053C" w14:paraId="13C88058" w14:textId="77777777" w:rsidTr="00172B07">
        <w:trPr>
          <w:trHeight w:val="567"/>
        </w:trPr>
        <w:tc>
          <w:tcPr>
            <w:tcW w:w="3114" w:type="dxa"/>
            <w:vAlign w:val="center"/>
            <w:hideMark/>
          </w:tcPr>
          <w:p w14:paraId="65C60B55" w14:textId="77777777" w:rsidR="003652B9" w:rsidRPr="006A053C" w:rsidRDefault="003652B9" w:rsidP="00172B07">
            <w:pPr>
              <w:jc w:val="center"/>
              <w:rPr>
                <w:b/>
              </w:rPr>
            </w:pPr>
            <w:r w:rsidRPr="006A053C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308DB9" wp14:editId="4FB9BCD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-12065</wp:posOffset>
                      </wp:positionV>
                      <wp:extent cx="1800000" cy="432000"/>
                      <wp:effectExtent l="0" t="0" r="10160" b="25400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2A33"/>
                              </a:solidFill>
                              <a:ln>
                                <a:solidFill>
                                  <a:srgbClr val="BD2A3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2DE07" w14:textId="77777777" w:rsidR="001B182E" w:rsidRDefault="001B182E" w:rsidP="003652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85 %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08DB9" id="Obdélník 5" o:spid="_x0000_s1027" style="position:absolute;left:0;text-align:left;margin-left:-5.55pt;margin-top:-.95pt;width:141.7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" fillcolor="#bd2a33" strokecolor="#bd2a33" strokeweight="1pt">
                      <v:textbox inset="1mm,1mm,1mm,1mm">
                        <w:txbxContent>
                          <w:p w14:paraId="2B62DE07" w14:textId="77777777" w:rsidR="001B182E" w:rsidRDefault="001B182E" w:rsidP="003652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85 %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53" w:type="dxa"/>
            <w:hideMark/>
          </w:tcPr>
          <w:p w14:paraId="79AD98B6" w14:textId="11CD5AB5" w:rsidR="003652B9" w:rsidRPr="006A053C" w:rsidRDefault="003652B9" w:rsidP="00172B07">
            <w:r w:rsidRPr="006A053C">
              <w:t>P</w:t>
            </w:r>
            <w:r w:rsidRPr="006A053C">
              <w:rPr>
                <w:rFonts w:eastAsia="Times New Roman" w:cstheme="minorHAnsi"/>
                <w:lang w:eastAsia="hi-IN" w:bidi="hi-IN"/>
              </w:rPr>
              <w:t>odíl výdajů vynaložených zdravotními ústavy na úhrady nákupů pořízených v rámci veřejných zakázek malého rozsahu</w:t>
            </w:r>
          </w:p>
        </w:tc>
      </w:tr>
      <w:tr w:rsidR="003652B9" w:rsidRPr="006A053C" w14:paraId="042E955E" w14:textId="77777777" w:rsidTr="00172B07">
        <w:trPr>
          <w:trHeight w:val="1595"/>
        </w:trPr>
        <w:tc>
          <w:tcPr>
            <w:tcW w:w="3114" w:type="dxa"/>
            <w:vAlign w:val="center"/>
            <w:hideMark/>
          </w:tcPr>
          <w:p w14:paraId="0DF07E1F" w14:textId="77777777" w:rsidR="003652B9" w:rsidRPr="006A053C" w:rsidRDefault="00B52CAD" w:rsidP="00172B07">
            <w:pPr>
              <w:jc w:val="center"/>
            </w:pPr>
            <w:r w:rsidRPr="006A053C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8E3449" wp14:editId="2178A67E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1014095</wp:posOffset>
                      </wp:positionV>
                      <wp:extent cx="1799590" cy="431800"/>
                      <wp:effectExtent l="0" t="0" r="10160" b="25400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2A33"/>
                              </a:solidFill>
                              <a:ln w="12700" cap="flat" cmpd="sng" algn="ctr">
                                <a:solidFill>
                                  <a:srgbClr val="BD2A3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512E9B" w14:textId="77777777" w:rsidR="001B182E" w:rsidRPr="006A053C" w:rsidRDefault="001B182E" w:rsidP="003652B9">
                                  <w:pPr>
                                    <w:spacing w:after="0"/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A053C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E3449" id="Obdélník 6" o:spid="_x0000_s1028" style="position:absolute;left:0;text-align:left;margin-left:-6.15pt;margin-top:79.85pt;width:141.7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" fillcolor="#bd2a33" strokecolor="#bd2a33" strokeweight="1pt">
                      <v:textbox inset="1mm,1mm,1mm,1mm">
                        <w:txbxContent>
                          <w:p w14:paraId="2E512E9B" w14:textId="77777777" w:rsidR="001B182E" w:rsidRPr="006A053C" w:rsidRDefault="001B182E" w:rsidP="003652B9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05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2B07" w:rsidRPr="006A053C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97FEAD" wp14:editId="5E11F096">
                      <wp:simplePos x="0" y="0"/>
                      <wp:positionH relativeFrom="column">
                        <wp:posOffset>-80678</wp:posOffset>
                      </wp:positionH>
                      <wp:positionV relativeFrom="paragraph">
                        <wp:posOffset>-12354</wp:posOffset>
                      </wp:positionV>
                      <wp:extent cx="1800000" cy="432000"/>
                      <wp:effectExtent l="0" t="0" r="10160" b="25400"/>
                      <wp:wrapNone/>
                      <wp:docPr id="7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2A33"/>
                              </a:solidFill>
                              <a:ln>
                                <a:solidFill>
                                  <a:srgbClr val="BD2A3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4C8E57" w14:textId="77777777" w:rsidR="001B182E" w:rsidRPr="006A053C" w:rsidRDefault="001B182E" w:rsidP="003652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A053C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239 mil. Kč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FEAD" id="Obdélník 7" o:spid="_x0000_s1029" style="position:absolute;left:0;text-align:left;margin-left:-6.35pt;margin-top:-.95pt;width:141.7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" fillcolor="#bd2a33" strokecolor="#bd2a33" strokeweight="1pt">
                      <v:textbox inset="1mm,1mm,1mm,1mm">
                        <w:txbxContent>
                          <w:p w14:paraId="6D4C8E57" w14:textId="77777777" w:rsidR="001B182E" w:rsidRPr="006A053C" w:rsidRDefault="001B182E" w:rsidP="003652B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053C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239 mil. Kč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2B9" w:rsidRPr="006A053C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479E1B" wp14:editId="6389561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487680</wp:posOffset>
                      </wp:positionV>
                      <wp:extent cx="1800000" cy="432000"/>
                      <wp:effectExtent l="0" t="0" r="10160" b="25400"/>
                      <wp:wrapNone/>
                      <wp:docPr id="20" name="Obdélní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2A33"/>
                              </a:solidFill>
                              <a:ln>
                                <a:solidFill>
                                  <a:srgbClr val="BD2A3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8C9E16" w14:textId="77777777" w:rsidR="001B182E" w:rsidRPr="000E14B8" w:rsidRDefault="001B182E" w:rsidP="003652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168 mil. Kč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79E1B" id="Obdélník 20" o:spid="_x0000_s1030" style="position:absolute;left:0;text-align:left;margin-left:-6pt;margin-top:38.4pt;width:141.7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" fillcolor="#bd2a33" strokecolor="#bd2a33" strokeweight="1pt">
                      <v:textbox inset="1mm,1mm,1mm,1mm">
                        <w:txbxContent>
                          <w:p w14:paraId="188C9E16" w14:textId="77777777" w:rsidR="001B182E" w:rsidRPr="000E14B8" w:rsidRDefault="001B182E" w:rsidP="003652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168 mil. Kč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53" w:type="dxa"/>
          </w:tcPr>
          <w:p w14:paraId="5E23300B" w14:textId="0E1D8349" w:rsidR="003652B9" w:rsidRDefault="003652B9" w:rsidP="00172B0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A053C">
              <w:rPr>
                <w:rFonts w:cstheme="minorHAnsi"/>
              </w:rPr>
              <w:t xml:space="preserve">Kontrolovaný objem peněžních prostředků vynaložených zdravotními ústavy na úhrady nákupů dodavatelům </w:t>
            </w:r>
          </w:p>
          <w:p w14:paraId="06F70C76" w14:textId="77777777" w:rsidR="00172B07" w:rsidRPr="006A053C" w:rsidRDefault="00172B07" w:rsidP="00172B0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EA5C503" w14:textId="1D423D78" w:rsidR="003652B9" w:rsidRPr="006A053C" w:rsidRDefault="003652B9" w:rsidP="00172B07">
            <w:pPr>
              <w:rPr>
                <w:rFonts w:cstheme="minorHAnsi"/>
              </w:rPr>
            </w:pPr>
            <w:r w:rsidRPr="006A053C">
              <w:rPr>
                <w:rFonts w:cstheme="minorHAnsi"/>
              </w:rPr>
              <w:t>Výše neoprávněně použitých peněžních prostředků zdravotními ústavy na prověřované nákupy</w:t>
            </w:r>
          </w:p>
          <w:p w14:paraId="4883DC21" w14:textId="77777777" w:rsidR="003652B9" w:rsidRPr="006A053C" w:rsidRDefault="003652B9" w:rsidP="00172B07"/>
          <w:p w14:paraId="05A0C83E" w14:textId="113CF60B" w:rsidR="003652B9" w:rsidRPr="006A053C" w:rsidRDefault="003652B9" w:rsidP="00172B07">
            <w:pPr>
              <w:spacing w:before="120"/>
            </w:pPr>
            <w:r w:rsidRPr="006A053C">
              <w:t>Počet veřejnosprávních kontrol provedených u zdravotních ús</w:t>
            </w:r>
            <w:r>
              <w:t>tavů zřizovatelem v letech 2017–</w:t>
            </w:r>
            <w:r w:rsidRPr="006A053C">
              <w:t>2019</w:t>
            </w:r>
          </w:p>
        </w:tc>
      </w:tr>
      <w:tr w:rsidR="003652B9" w:rsidRPr="006A053C" w14:paraId="5298EC96" w14:textId="77777777" w:rsidTr="00172B07">
        <w:trPr>
          <w:trHeight w:val="751"/>
        </w:trPr>
        <w:tc>
          <w:tcPr>
            <w:tcW w:w="3114" w:type="dxa"/>
            <w:vAlign w:val="center"/>
            <w:hideMark/>
          </w:tcPr>
          <w:p w14:paraId="0A24FC63" w14:textId="77777777" w:rsidR="003652B9" w:rsidRPr="006A053C" w:rsidRDefault="003652B9" w:rsidP="00172B07">
            <w:pPr>
              <w:jc w:val="center"/>
              <w:rPr>
                <w:b/>
              </w:rPr>
            </w:pPr>
            <w:r w:rsidRPr="006A053C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B77F27" wp14:editId="6895BEC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-138430</wp:posOffset>
                      </wp:positionV>
                      <wp:extent cx="1799590" cy="431800"/>
                      <wp:effectExtent l="0" t="0" r="10160" b="25400"/>
                      <wp:wrapNone/>
                      <wp:docPr id="19" name="Obdélní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2A33"/>
                              </a:solidFill>
                              <a:ln>
                                <a:solidFill>
                                  <a:srgbClr val="BD2A3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54760B" w14:textId="77777777" w:rsidR="001B182E" w:rsidRDefault="001B182E" w:rsidP="003652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77F27" id="Obdélník 19" o:spid="_x0000_s1031" style="position:absolute;left:0;text-align:left;margin-left:-6.1pt;margin-top:-10.9pt;width:141.7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" fillcolor="#bd2a33" strokecolor="#bd2a33" strokeweight="1pt">
                      <v:textbox inset="1mm,1mm,1mm,1mm">
                        <w:txbxContent>
                          <w:p w14:paraId="4C54760B" w14:textId="77777777" w:rsidR="001B182E" w:rsidRDefault="001B182E" w:rsidP="003652B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53" w:type="dxa"/>
            <w:hideMark/>
          </w:tcPr>
          <w:p w14:paraId="47F30F25" w14:textId="6AB7C87A" w:rsidR="003652B9" w:rsidRPr="006A053C" w:rsidRDefault="003652B9" w:rsidP="00172B07">
            <w:r w:rsidRPr="006A053C">
              <w:t>Počet interních auditů vykonaných zdr</w:t>
            </w:r>
            <w:r>
              <w:t>avotními ústavy v letech 2017–</w:t>
            </w:r>
            <w:r w:rsidRPr="006A053C">
              <w:t>2019 zaměřených na veřejné nakupování</w:t>
            </w:r>
          </w:p>
        </w:tc>
      </w:tr>
    </w:tbl>
    <w:p w14:paraId="4FB910C8" w14:textId="77777777" w:rsidR="003652B9" w:rsidRPr="00B83E5D" w:rsidRDefault="003652B9" w:rsidP="00E90BAE">
      <w:pPr>
        <w:pStyle w:val="Nadpis1"/>
        <w:spacing w:before="0" w:after="0" w:line="252" w:lineRule="auto"/>
        <w:contextualSpacing/>
        <w:jc w:val="center"/>
        <w:rPr>
          <w:rFonts w:asciiTheme="minorHAnsi" w:hAnsiTheme="minorHAnsi" w:cstheme="minorHAnsi"/>
          <w:b w:val="0"/>
          <w:sz w:val="24"/>
          <w:szCs w:val="28"/>
        </w:rPr>
      </w:pPr>
    </w:p>
    <w:p w14:paraId="09C59DC7" w14:textId="77777777" w:rsidR="003652B9" w:rsidRPr="00B83E5D" w:rsidRDefault="003652B9">
      <w:pPr>
        <w:rPr>
          <w:rFonts w:eastAsia="Times New Roman" w:cstheme="minorHAnsi"/>
          <w:kern w:val="36"/>
          <w:sz w:val="24"/>
          <w:szCs w:val="28"/>
          <w:lang w:eastAsia="cs-CZ"/>
        </w:rPr>
      </w:pPr>
      <w:r>
        <w:rPr>
          <w:rFonts w:cstheme="minorHAnsi"/>
          <w:sz w:val="28"/>
          <w:szCs w:val="28"/>
        </w:rPr>
        <w:br w:type="page"/>
      </w:r>
    </w:p>
    <w:p w14:paraId="7D429BF4" w14:textId="77777777" w:rsidR="00573679" w:rsidRPr="00B52CAD" w:rsidRDefault="00E10443" w:rsidP="00602A9C">
      <w:pPr>
        <w:spacing w:after="120" w:line="240" w:lineRule="auto"/>
        <w:jc w:val="center"/>
        <w:rPr>
          <w:rFonts w:ascii="Calibri" w:hAnsi="Calibri" w:cs="Calibri"/>
          <w:b/>
          <w:sz w:val="28"/>
          <w:szCs w:val="24"/>
        </w:rPr>
      </w:pPr>
      <w:r w:rsidRPr="00B52CAD">
        <w:rPr>
          <w:rFonts w:ascii="Calibri" w:hAnsi="Calibri" w:cs="Calibri"/>
          <w:b/>
          <w:sz w:val="28"/>
          <w:szCs w:val="24"/>
        </w:rPr>
        <w:lastRenderedPageBreak/>
        <w:t xml:space="preserve">I. </w:t>
      </w:r>
      <w:r w:rsidR="00AB11EE" w:rsidRPr="00B52CAD">
        <w:rPr>
          <w:rFonts w:ascii="Calibri" w:hAnsi="Calibri" w:cs="Calibri"/>
          <w:b/>
          <w:sz w:val="28"/>
          <w:szCs w:val="24"/>
        </w:rPr>
        <w:t>Shrnutí a vyhodnocení</w:t>
      </w:r>
    </w:p>
    <w:p w14:paraId="7F65D679" w14:textId="77777777" w:rsidR="003330BE" w:rsidRPr="006F403C" w:rsidRDefault="003330BE" w:rsidP="00602A9C">
      <w:pPr>
        <w:pStyle w:val="Zkladn"/>
        <w:spacing w:after="120"/>
        <w:rPr>
          <w:rFonts w:ascii="Calibri" w:hAnsi="Calibri"/>
          <w:b/>
        </w:rPr>
      </w:pPr>
      <w:r w:rsidRPr="006F403C">
        <w:rPr>
          <w:b/>
        </w:rPr>
        <w:t>NKÚ p</w:t>
      </w:r>
      <w:r w:rsidRPr="006F403C">
        <w:rPr>
          <w:b/>
          <w:noProof/>
        </w:rPr>
        <w:t xml:space="preserve">rověřil </w:t>
      </w:r>
      <w:r w:rsidRPr="006F403C">
        <w:rPr>
          <w:rFonts w:ascii="Calibri" w:hAnsi="Calibri"/>
          <w:b/>
          <w:color w:val="000000"/>
        </w:rPr>
        <w:t xml:space="preserve">hospodaření zdravotních ústavů s majetkem a peněžními prostředky státu se zaměřením na to, zda zdravotní ústavy v oblasti veřejného nakupování naplňují v praxi principy hospodárnosti, </w:t>
      </w:r>
      <w:r w:rsidRPr="006F403C">
        <w:rPr>
          <w:rFonts w:ascii="Calibri" w:hAnsi="Calibri"/>
          <w:b/>
        </w:rPr>
        <w:t>efektivnosti a účelnosti. Dále NKÚ prověřil, jak Ministerstvo zdravotnictví vykonává zřizovatelské funkce vůči zdravotním ústavům.</w:t>
      </w:r>
    </w:p>
    <w:p w14:paraId="00E1E376" w14:textId="494DB708" w:rsidR="003330BE" w:rsidRPr="006C605E" w:rsidRDefault="003330BE" w:rsidP="00602A9C">
      <w:pPr>
        <w:pStyle w:val="KZnormln"/>
        <w:rPr>
          <w:b/>
          <w:color w:val="auto"/>
        </w:rPr>
      </w:pPr>
      <w:r w:rsidRPr="006C605E">
        <w:rPr>
          <w:b/>
          <w:color w:val="auto"/>
        </w:rPr>
        <w:t>Ministerstvo zdravotnictví vykonávalo funkc</w:t>
      </w:r>
      <w:r>
        <w:rPr>
          <w:b/>
          <w:color w:val="auto"/>
        </w:rPr>
        <w:t>i</w:t>
      </w:r>
      <w:r w:rsidRPr="006C605E">
        <w:rPr>
          <w:b/>
          <w:color w:val="auto"/>
        </w:rPr>
        <w:t xml:space="preserve"> zřizovatele ve vztahu ke Zdravotnímu ústavu se sídlem v Ostravě a Zdravotnímu ústav</w:t>
      </w:r>
      <w:r>
        <w:rPr>
          <w:b/>
          <w:color w:val="auto"/>
        </w:rPr>
        <w:t>u</w:t>
      </w:r>
      <w:r w:rsidRPr="006C605E">
        <w:rPr>
          <w:b/>
          <w:color w:val="auto"/>
        </w:rPr>
        <w:t xml:space="preserve"> se sídlem v </w:t>
      </w:r>
      <w:r w:rsidRPr="001C29C5">
        <w:rPr>
          <w:b/>
          <w:color w:val="auto"/>
        </w:rPr>
        <w:t xml:space="preserve">Ústí nad Labem (dále také „ZÚ“ nebo „zdravotní ústavy“) nedostatečně. </w:t>
      </w:r>
      <w:proofErr w:type="spellStart"/>
      <w:r w:rsidRPr="001C29C5">
        <w:rPr>
          <w:b/>
          <w:color w:val="auto"/>
          <w:szCs w:val="24"/>
        </w:rPr>
        <w:t>MZd</w:t>
      </w:r>
      <w:proofErr w:type="spellEnd"/>
      <w:r w:rsidRPr="001C29C5">
        <w:rPr>
          <w:b/>
          <w:color w:val="auto"/>
          <w:szCs w:val="24"/>
        </w:rPr>
        <w:t xml:space="preserve"> ve vztahu ke zdravotním ústavům nenaplnilo svou povinnost vyplývající ze zákona</w:t>
      </w:r>
      <w:r w:rsidRPr="001C29C5">
        <w:rPr>
          <w:rStyle w:val="Znakapoznpodarou"/>
          <w:b/>
          <w:color w:val="auto"/>
          <w:szCs w:val="24"/>
        </w:rPr>
        <w:footnoteReference w:id="3"/>
      </w:r>
      <w:r w:rsidRPr="001C29C5">
        <w:rPr>
          <w:b/>
          <w:color w:val="auto"/>
          <w:szCs w:val="24"/>
        </w:rPr>
        <w:t xml:space="preserve">, neboť </w:t>
      </w:r>
      <w:r w:rsidRPr="001C29C5">
        <w:rPr>
          <w:b/>
          <w:color w:val="auto"/>
          <w:szCs w:val="24"/>
          <w:lang w:eastAsia="cs-CZ"/>
        </w:rPr>
        <w:t>v letech 2017 až</w:t>
      </w:r>
      <w:r w:rsidRPr="006C605E">
        <w:rPr>
          <w:b/>
          <w:color w:val="auto"/>
          <w:szCs w:val="24"/>
          <w:lang w:eastAsia="cs-CZ"/>
        </w:rPr>
        <w:t xml:space="preserve"> 2019 nepůsobilo při jejich řízení </w:t>
      </w:r>
      <w:r w:rsidR="00702297">
        <w:rPr>
          <w:b/>
          <w:color w:val="auto"/>
          <w:szCs w:val="24"/>
          <w:lang w:eastAsia="cs-CZ"/>
        </w:rPr>
        <w:t>takovým způsobem</w:t>
      </w:r>
      <w:r w:rsidRPr="006C605E">
        <w:rPr>
          <w:b/>
          <w:color w:val="auto"/>
          <w:szCs w:val="24"/>
          <w:lang w:eastAsia="cs-CZ"/>
        </w:rPr>
        <w:t>, aby vynakládání výdajů bylo co nejhospodárnější, nejefektivnější a</w:t>
      </w:r>
      <w:r w:rsidR="003C2562">
        <w:rPr>
          <w:b/>
          <w:color w:val="auto"/>
          <w:szCs w:val="24"/>
          <w:lang w:eastAsia="cs-CZ"/>
        </w:rPr>
        <w:t> </w:t>
      </w:r>
      <w:r w:rsidRPr="006C605E">
        <w:rPr>
          <w:b/>
          <w:color w:val="auto"/>
          <w:szCs w:val="24"/>
          <w:lang w:eastAsia="cs-CZ"/>
        </w:rPr>
        <w:t>nejúčelnější.</w:t>
      </w:r>
      <w:r w:rsidRPr="006C605E">
        <w:rPr>
          <w:b/>
          <w:color w:val="auto"/>
        </w:rPr>
        <w:t xml:space="preserve"> Ministerstvo nevytvořilo takové podmínky, které by eliminovaly riziko finančních ztrát vzniklých při poskytování služeb v oblasti laboratorního vyšetření a</w:t>
      </w:r>
      <w:r w:rsidR="003C2562">
        <w:rPr>
          <w:b/>
          <w:color w:val="auto"/>
        </w:rPr>
        <w:t> </w:t>
      </w:r>
      <w:r w:rsidRPr="006C605E">
        <w:rPr>
          <w:b/>
          <w:color w:val="auto"/>
        </w:rPr>
        <w:t xml:space="preserve">diagnostiky hrazených ze zdravotního pojištění. Ministerstvo s výjimkou centrálních nákupů </w:t>
      </w:r>
      <w:r>
        <w:rPr>
          <w:b/>
          <w:color w:val="auto"/>
        </w:rPr>
        <w:t>elektrické energie a </w:t>
      </w:r>
      <w:r w:rsidRPr="006C605E">
        <w:rPr>
          <w:b/>
          <w:color w:val="auto"/>
        </w:rPr>
        <w:t xml:space="preserve">plynu další podporu pro zefektivnění nákupů neposkytovalo. Nedostatečná byla rovněž kontrolní činnost </w:t>
      </w:r>
      <w:r w:rsidR="00511892">
        <w:rPr>
          <w:b/>
          <w:color w:val="auto"/>
        </w:rPr>
        <w:t>m</w:t>
      </w:r>
      <w:r w:rsidRPr="006C605E">
        <w:rPr>
          <w:b/>
          <w:color w:val="auto"/>
        </w:rPr>
        <w:t>inisterstva, kdy od roku 2012 provedlo pouze jednu veřejnosprávní kontrolu jednoho zdravotního ústavu.</w:t>
      </w:r>
    </w:p>
    <w:p w14:paraId="74DFD0F3" w14:textId="3A130F5F" w:rsidR="003330BE" w:rsidRPr="006C605E" w:rsidRDefault="003330BE" w:rsidP="00602A9C">
      <w:pPr>
        <w:pStyle w:val="KZnormln"/>
        <w:rPr>
          <w:b/>
          <w:color w:val="auto"/>
          <w:szCs w:val="24"/>
        </w:rPr>
      </w:pPr>
      <w:r w:rsidRPr="006C605E">
        <w:rPr>
          <w:b/>
          <w:color w:val="auto"/>
        </w:rPr>
        <w:t xml:space="preserve">Zdravotní ústavy hospodařily v letech 2017 až 2019 se ztrátou. </w:t>
      </w:r>
      <w:r w:rsidRPr="006C605E">
        <w:rPr>
          <w:b/>
          <w:color w:val="auto"/>
          <w:szCs w:val="24"/>
        </w:rPr>
        <w:t>Na hospodářský výsledek měl vliv nárůst platových tarifů, systém úhrad za poskytova</w:t>
      </w:r>
      <w:r>
        <w:rPr>
          <w:b/>
          <w:color w:val="auto"/>
          <w:szCs w:val="24"/>
        </w:rPr>
        <w:t>né laboratorní služby hrazené z </w:t>
      </w:r>
      <w:r w:rsidRPr="006C605E">
        <w:rPr>
          <w:b/>
          <w:color w:val="auto"/>
          <w:szCs w:val="24"/>
        </w:rPr>
        <w:t xml:space="preserve">veřejného zdravotního pojištění a </w:t>
      </w:r>
      <w:r w:rsidRPr="006C605E">
        <w:rPr>
          <w:b/>
          <w:color w:val="auto"/>
        </w:rPr>
        <w:t>nedostačující</w:t>
      </w:r>
      <w:r w:rsidRPr="006C605E">
        <w:rPr>
          <w:b/>
          <w:color w:val="auto"/>
          <w:szCs w:val="24"/>
        </w:rPr>
        <w:t xml:space="preserve"> příspěvky na provoz.</w:t>
      </w:r>
      <w:r w:rsidRPr="006C605E">
        <w:rPr>
          <w:b/>
          <w:color w:val="auto"/>
        </w:rPr>
        <w:t xml:space="preserve"> Na zhoršené výsledky hospodaření mělo rovněž vliv odlišné postavení </w:t>
      </w:r>
      <w:r>
        <w:rPr>
          <w:b/>
          <w:color w:val="auto"/>
        </w:rPr>
        <w:t>ZÚ</w:t>
      </w:r>
      <w:r w:rsidRPr="006C605E">
        <w:rPr>
          <w:b/>
          <w:color w:val="auto"/>
        </w:rPr>
        <w:t xml:space="preserve"> v případě poskytování služeb hrazených </w:t>
      </w:r>
      <w:r w:rsidRPr="006C605E">
        <w:rPr>
          <w:b/>
          <w:color w:val="auto"/>
          <w:szCs w:val="24"/>
        </w:rPr>
        <w:t>z veřejného zdravotního pojištění</w:t>
      </w:r>
      <w:r w:rsidRPr="006C605E">
        <w:rPr>
          <w:b/>
          <w:color w:val="auto"/>
        </w:rPr>
        <w:t xml:space="preserve"> a služeb ve standardním konkurenčním prostředí</w:t>
      </w:r>
      <w:r w:rsidRPr="006C605E">
        <w:rPr>
          <w:b/>
          <w:color w:val="auto"/>
          <w:szCs w:val="24"/>
        </w:rPr>
        <w:t xml:space="preserve">. Toto odlišné postavení zdravotních ústavů vyplývá z jejich právní formy (státní příspěvkové organizace). </w:t>
      </w:r>
    </w:p>
    <w:p w14:paraId="495FE520" w14:textId="45738DD1" w:rsidR="003330BE" w:rsidRDefault="003330BE" w:rsidP="00602A9C">
      <w:pPr>
        <w:pStyle w:val="KZnormln"/>
        <w:rPr>
          <w:b/>
          <w:color w:val="auto"/>
          <w:szCs w:val="24"/>
        </w:rPr>
      </w:pPr>
      <w:r w:rsidRPr="006C605E">
        <w:rPr>
          <w:b/>
          <w:color w:val="auto"/>
          <w:lang w:eastAsia="cs-CZ"/>
        </w:rPr>
        <w:t xml:space="preserve">Interní předpisy </w:t>
      </w:r>
      <w:r>
        <w:rPr>
          <w:b/>
          <w:color w:val="auto"/>
          <w:lang w:eastAsia="cs-CZ"/>
        </w:rPr>
        <w:t>ZÚ</w:t>
      </w:r>
      <w:r w:rsidRPr="006C605E">
        <w:rPr>
          <w:b/>
          <w:color w:val="auto"/>
          <w:lang w:eastAsia="cs-CZ"/>
        </w:rPr>
        <w:t xml:space="preserve"> pro</w:t>
      </w:r>
      <w:r w:rsidR="000A02D9">
        <w:rPr>
          <w:b/>
          <w:color w:val="auto"/>
          <w:lang w:eastAsia="cs-CZ"/>
        </w:rPr>
        <w:t> </w:t>
      </w:r>
      <w:r w:rsidRPr="006C605E">
        <w:rPr>
          <w:b/>
          <w:color w:val="auto"/>
          <w:lang w:eastAsia="cs-CZ"/>
        </w:rPr>
        <w:t>oblast veřejného nakupování upravující jejich vnitřní kontrolní systémy vč. postupů při zadávání veřejných zakázek většinou pouze odkazovaly na postupy podle příslušných právních předpisů</w:t>
      </w:r>
      <w:r w:rsidRPr="006C605E">
        <w:rPr>
          <w:rStyle w:val="Znakapoznpodarou"/>
          <w:b/>
          <w:color w:val="auto"/>
          <w:lang w:eastAsia="cs-CZ"/>
        </w:rPr>
        <w:footnoteReference w:id="4"/>
      </w:r>
      <w:r w:rsidRPr="006C605E">
        <w:rPr>
          <w:b/>
          <w:color w:val="auto"/>
          <w:lang w:eastAsia="cs-CZ"/>
        </w:rPr>
        <w:t>. Vnitřní kontrolní systémy zdravotních ústavů nebyly zavedeny v souladu se zákonem</w:t>
      </w:r>
      <w:r w:rsidRPr="006C605E">
        <w:rPr>
          <w:rStyle w:val="Znakapoznpodarou"/>
          <w:b/>
          <w:color w:val="auto"/>
          <w:lang w:eastAsia="cs-CZ"/>
        </w:rPr>
        <w:footnoteReference w:id="5"/>
      </w:r>
      <w:r w:rsidRPr="006C605E">
        <w:rPr>
          <w:b/>
          <w:color w:val="auto"/>
          <w:lang w:eastAsia="cs-CZ"/>
        </w:rPr>
        <w:t xml:space="preserve"> tak, aby </w:t>
      </w:r>
      <w:r w:rsidRPr="006C605E">
        <w:rPr>
          <w:b/>
          <w:color w:val="auto"/>
        </w:rPr>
        <w:t>vytvářely podmí</w:t>
      </w:r>
      <w:r>
        <w:rPr>
          <w:b/>
          <w:color w:val="auto"/>
        </w:rPr>
        <w:t>nky pro hospodárný, efektivní a </w:t>
      </w:r>
      <w:r w:rsidRPr="006C605E">
        <w:rPr>
          <w:b/>
          <w:color w:val="auto"/>
        </w:rPr>
        <w:t>účelný výkon veřejné správy v oblasti</w:t>
      </w:r>
      <w:r w:rsidRPr="006C605E">
        <w:rPr>
          <w:b/>
          <w:color w:val="auto"/>
          <w:lang w:eastAsia="cs-CZ"/>
        </w:rPr>
        <w:t xml:space="preserve"> veřejného nakupování</w:t>
      </w:r>
      <w:r>
        <w:rPr>
          <w:b/>
          <w:color w:val="auto"/>
          <w:szCs w:val="24"/>
        </w:rPr>
        <w:t xml:space="preserve">. </w:t>
      </w:r>
      <w:r w:rsidRPr="006C605E">
        <w:rPr>
          <w:b/>
          <w:color w:val="auto"/>
        </w:rPr>
        <w:t xml:space="preserve">Na kontrolovaném vzorku nákupů NKÚ shledal nedostatky prakticky ve všech fázích nákupů. </w:t>
      </w:r>
      <w:r w:rsidRPr="006C605E">
        <w:rPr>
          <w:b/>
          <w:color w:val="auto"/>
          <w:szCs w:val="24"/>
        </w:rPr>
        <w:t>ZÚ v některých případech nepostupovaly v souladu s právními předpisy</w:t>
      </w:r>
      <w:r w:rsidR="00460F63">
        <w:rPr>
          <w:b/>
          <w:color w:val="auto"/>
          <w:szCs w:val="24"/>
        </w:rPr>
        <w:t>,</w:t>
      </w:r>
      <w:r w:rsidRPr="006C605E">
        <w:rPr>
          <w:b/>
          <w:color w:val="auto"/>
          <w:szCs w:val="24"/>
        </w:rPr>
        <w:t xml:space="preserve"> a použily tak peněžní prostředky státu neoprávněně. ZÚ nepostupovaly nejhospodárnějším způsobem, nepoužily peněžní prostředky na krytí nezbytných potřeb, pořizovaly nákupy bez provedení zadávacího (výběrového) řízení a nedodržovaly zásady transparentnosti a zákazu diskriminace. NKÚ tyto nedostatky zjistil zejména u zakázek malého rozsahu, respektive nákupů realizovaných přímým zadáním.</w:t>
      </w:r>
    </w:p>
    <w:p w14:paraId="7EE5E2C0" w14:textId="77777777" w:rsidR="003330BE" w:rsidRPr="00B52CAD" w:rsidRDefault="003330BE" w:rsidP="00602A9C">
      <w:pPr>
        <w:pStyle w:val="KZnormln"/>
        <w:rPr>
          <w:rFonts w:ascii="Calibri" w:hAnsi="Calibri" w:cs="Calibri"/>
          <w:b/>
          <w:bCs/>
          <w:szCs w:val="24"/>
        </w:rPr>
      </w:pPr>
      <w:r w:rsidRPr="00B52CAD">
        <w:rPr>
          <w:rFonts w:ascii="Calibri" w:hAnsi="Calibri" w:cs="Calibri"/>
          <w:b/>
          <w:bCs/>
          <w:szCs w:val="24"/>
        </w:rPr>
        <w:t>Celkové vyhodnocení vyplývá z těchto zjištěných skutečností:</w:t>
      </w:r>
    </w:p>
    <w:p w14:paraId="5438CFB1" w14:textId="77777777" w:rsidR="00B52CAD" w:rsidRPr="00B52CAD" w:rsidRDefault="00B52CAD" w:rsidP="00B52CAD">
      <w:pPr>
        <w:pStyle w:val="KZnormln"/>
        <w:spacing w:after="0"/>
        <w:rPr>
          <w:rFonts w:ascii="Calibri" w:hAnsi="Calibri" w:cs="Calibri"/>
          <w:szCs w:val="24"/>
        </w:rPr>
      </w:pPr>
    </w:p>
    <w:p w14:paraId="2284A187" w14:textId="77777777" w:rsidR="003330BE" w:rsidRPr="00B52CAD" w:rsidRDefault="00B52CAD" w:rsidP="00602A9C">
      <w:pPr>
        <w:pStyle w:val="KZnormln"/>
        <w:keepNext/>
        <w:spacing w:after="0"/>
        <w:rPr>
          <w:rFonts w:ascii="Calibri" w:hAnsi="Calibri" w:cs="Calibri"/>
          <w:b/>
          <w:szCs w:val="24"/>
        </w:rPr>
      </w:pPr>
      <w:r w:rsidRPr="00B52CAD">
        <w:rPr>
          <w:rFonts w:ascii="Calibri" w:hAnsi="Calibri" w:cs="Calibri"/>
          <w:b/>
          <w:szCs w:val="24"/>
        </w:rPr>
        <w:lastRenderedPageBreak/>
        <w:t xml:space="preserve">1. </w:t>
      </w:r>
      <w:r w:rsidR="003330BE" w:rsidRPr="00B52CAD">
        <w:rPr>
          <w:rFonts w:ascii="Calibri" w:hAnsi="Calibri" w:cs="Calibri"/>
          <w:b/>
          <w:szCs w:val="24"/>
        </w:rPr>
        <w:t>Zjištění u Ministerstva zdravotnictví</w:t>
      </w:r>
    </w:p>
    <w:p w14:paraId="553584EB" w14:textId="77777777" w:rsidR="00041079" w:rsidRDefault="00041079" w:rsidP="00602A9C">
      <w:pPr>
        <w:keepNext/>
        <w:tabs>
          <w:tab w:val="left" w:pos="567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391327" w14:textId="7B61A6F1" w:rsidR="003330BE" w:rsidRPr="00041079" w:rsidRDefault="00041079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1.1 </w:t>
      </w:r>
      <w:r w:rsidR="00957AC9">
        <w:rPr>
          <w:rFonts w:ascii="Calibri" w:hAnsi="Calibri" w:cs="Calibri"/>
          <w:sz w:val="24"/>
          <w:szCs w:val="24"/>
        </w:rPr>
        <w:tab/>
      </w:r>
      <w:proofErr w:type="spellStart"/>
      <w:r w:rsidR="003330BE" w:rsidRPr="00041079">
        <w:rPr>
          <w:rFonts w:ascii="Calibri" w:hAnsi="Calibri" w:cs="Calibri"/>
          <w:sz w:val="24"/>
          <w:szCs w:val="24"/>
        </w:rPr>
        <w:t>MZd</w:t>
      </w:r>
      <w:proofErr w:type="spellEnd"/>
      <w:r w:rsidR="003330BE" w:rsidRPr="00041079">
        <w:rPr>
          <w:rFonts w:ascii="Calibri" w:hAnsi="Calibri" w:cs="Calibri"/>
          <w:sz w:val="24"/>
          <w:szCs w:val="24"/>
        </w:rPr>
        <w:t xml:space="preserve"> od roku 2003</w:t>
      </w:r>
      <w:r w:rsidR="003330BE" w:rsidRPr="00B52CAD">
        <w:rPr>
          <w:rStyle w:val="Znakapoznpodarou"/>
          <w:rFonts w:ascii="Calibri" w:eastAsiaTheme="majorEastAsia" w:hAnsi="Calibri" w:cs="Calibri"/>
          <w:sz w:val="24"/>
          <w:szCs w:val="24"/>
        </w:rPr>
        <w:footnoteReference w:id="6"/>
      </w:r>
      <w:r w:rsidR="003330BE" w:rsidRPr="00041079">
        <w:rPr>
          <w:rFonts w:ascii="Calibri" w:hAnsi="Calibri" w:cs="Calibri"/>
          <w:sz w:val="24"/>
          <w:szCs w:val="24"/>
        </w:rPr>
        <w:t xml:space="preserve"> nezpracovalo takovou koncepci rozvoje svěřeného odvětví, v níž by jasně definovalo významnost, potřebnost a rozsah služeb poskytovaných zdravotními ústavy pro stát, ale také i postavení zdravotních ústavů na trhu, v rámci poskytovaných dalších služeb v souladu se zákonem o ochraně veřejného zdraví.</w:t>
      </w:r>
      <w:r w:rsidR="003330BE" w:rsidRPr="00B52CAD">
        <w:rPr>
          <w:rStyle w:val="Znakapoznpodarou"/>
          <w:rFonts w:ascii="Calibri" w:eastAsiaTheme="majorEastAsia" w:hAnsi="Calibri" w:cs="Calibri"/>
          <w:sz w:val="24"/>
          <w:szCs w:val="24"/>
        </w:rPr>
        <w:footnoteReference w:id="7"/>
      </w:r>
      <w:r w:rsidR="003330BE" w:rsidRPr="00041079">
        <w:rPr>
          <w:rFonts w:ascii="Calibri" w:hAnsi="Calibri" w:cs="Calibri"/>
          <w:sz w:val="24"/>
          <w:szCs w:val="24"/>
        </w:rPr>
        <w:t xml:space="preserve"> 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(Viz 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IV.1.1</w:t>
      </w:r>
      <w:proofErr w:type="gramEnd"/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tohoto kontrolního závěru</w:t>
      </w:r>
      <w:r w:rsidR="00460F63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05A0623D" w14:textId="2DE6D516" w:rsidR="003330BE" w:rsidRPr="00041079" w:rsidRDefault="00041079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1.2 </w:t>
      </w:r>
      <w:proofErr w:type="spellStart"/>
      <w:r w:rsidR="003330BE" w:rsidRPr="00041079">
        <w:rPr>
          <w:rFonts w:ascii="Calibri" w:hAnsi="Calibri" w:cs="Calibri"/>
          <w:sz w:val="24"/>
          <w:szCs w:val="24"/>
        </w:rPr>
        <w:t>MZd</w:t>
      </w:r>
      <w:proofErr w:type="spellEnd"/>
      <w:r w:rsidR="003330BE" w:rsidRPr="00041079">
        <w:rPr>
          <w:rFonts w:ascii="Calibri" w:hAnsi="Calibri" w:cs="Calibri"/>
          <w:sz w:val="24"/>
          <w:szCs w:val="24"/>
        </w:rPr>
        <w:t xml:space="preserve"> výši příspěvku na provoz pro ZÚ nestanovilo v souladu </w:t>
      </w:r>
      <w:r w:rsidR="00460F63">
        <w:rPr>
          <w:rFonts w:ascii="Calibri" w:hAnsi="Calibri" w:cs="Calibri"/>
          <w:sz w:val="24"/>
          <w:szCs w:val="24"/>
        </w:rPr>
        <w:t>s </w:t>
      </w:r>
      <w:r w:rsidR="003330BE" w:rsidRPr="00041079">
        <w:rPr>
          <w:rFonts w:ascii="Calibri" w:hAnsi="Calibri" w:cs="Calibri"/>
          <w:sz w:val="24"/>
          <w:szCs w:val="24"/>
        </w:rPr>
        <w:t>rozpočtový</w:t>
      </w:r>
      <w:r w:rsidR="00460F63">
        <w:rPr>
          <w:rFonts w:ascii="Calibri" w:hAnsi="Calibri" w:cs="Calibri"/>
          <w:sz w:val="24"/>
          <w:szCs w:val="24"/>
        </w:rPr>
        <w:t>mi</w:t>
      </w:r>
      <w:r w:rsidR="003330BE" w:rsidRPr="00041079">
        <w:rPr>
          <w:rFonts w:ascii="Calibri" w:hAnsi="Calibri" w:cs="Calibri"/>
          <w:sz w:val="24"/>
          <w:szCs w:val="24"/>
        </w:rPr>
        <w:t xml:space="preserve"> pravidl</w:t>
      </w:r>
      <w:r w:rsidR="00460F63">
        <w:rPr>
          <w:rFonts w:ascii="Calibri" w:hAnsi="Calibri" w:cs="Calibri"/>
          <w:sz w:val="24"/>
          <w:szCs w:val="24"/>
        </w:rPr>
        <w:t>y</w:t>
      </w:r>
      <w:r w:rsidR="003330BE" w:rsidRPr="00041079">
        <w:rPr>
          <w:rFonts w:ascii="Calibri" w:hAnsi="Calibri" w:cs="Calibri"/>
          <w:sz w:val="24"/>
          <w:szCs w:val="24"/>
        </w:rPr>
        <w:t xml:space="preserve"> jako rozdíl rozpočtovaných nákladů a výnosů hlavní činnosti</w:t>
      </w:r>
      <w:r w:rsidR="003330BE" w:rsidRPr="00B52CAD">
        <w:rPr>
          <w:rStyle w:val="Znakapoznpodarou"/>
          <w:rFonts w:ascii="Calibri" w:hAnsi="Calibri" w:cs="Calibri"/>
          <w:sz w:val="24"/>
          <w:szCs w:val="24"/>
        </w:rPr>
        <w:footnoteReference w:id="8"/>
      </w:r>
      <w:r w:rsidR="003330BE" w:rsidRPr="00041079">
        <w:rPr>
          <w:rFonts w:ascii="Calibri" w:hAnsi="Calibri" w:cs="Calibri"/>
          <w:sz w:val="24"/>
          <w:szCs w:val="24"/>
        </w:rPr>
        <w:t xml:space="preserve">. 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(Viz 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IV.1.2</w:t>
      </w:r>
      <w:proofErr w:type="gramEnd"/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tohoto kontrolního závěru</w:t>
      </w:r>
      <w:r w:rsidR="00460F63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74E571EF" w14:textId="75E5C6C3" w:rsidR="003330BE" w:rsidRPr="00041079" w:rsidRDefault="00041079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1.3 </w:t>
      </w:r>
      <w:r w:rsidR="00957AC9">
        <w:rPr>
          <w:rFonts w:ascii="Calibri" w:hAnsi="Calibri" w:cs="Calibri"/>
          <w:sz w:val="24"/>
          <w:szCs w:val="24"/>
        </w:rPr>
        <w:tab/>
      </w:r>
      <w:proofErr w:type="spellStart"/>
      <w:r w:rsidR="003330BE" w:rsidRPr="00041079">
        <w:rPr>
          <w:rFonts w:ascii="Calibri" w:hAnsi="Calibri" w:cs="Calibri"/>
          <w:sz w:val="24"/>
          <w:szCs w:val="24"/>
        </w:rPr>
        <w:t>MZd</w:t>
      </w:r>
      <w:proofErr w:type="spellEnd"/>
      <w:r w:rsidR="003330BE" w:rsidRPr="00041079">
        <w:rPr>
          <w:rFonts w:ascii="Calibri" w:hAnsi="Calibri" w:cs="Calibri"/>
          <w:sz w:val="24"/>
          <w:szCs w:val="24"/>
        </w:rPr>
        <w:t xml:space="preserve"> poskytovalo ze státního rozpočtu zdravotním ústavům příspěvek na provoz, aniž by se v této souvislosti zabývalo problematikou veřejné podpory</w:t>
      </w:r>
      <w:r w:rsidR="003330BE" w:rsidRPr="00B52CAD">
        <w:rPr>
          <w:rStyle w:val="Znakapoznpodarou"/>
          <w:rFonts w:ascii="Calibri" w:hAnsi="Calibri" w:cs="Calibri"/>
          <w:sz w:val="24"/>
          <w:szCs w:val="24"/>
        </w:rPr>
        <w:footnoteReference w:id="9"/>
      </w:r>
      <w:r w:rsidR="003330BE" w:rsidRPr="00041079">
        <w:rPr>
          <w:rFonts w:ascii="Calibri" w:hAnsi="Calibri" w:cs="Calibri"/>
          <w:sz w:val="24"/>
          <w:szCs w:val="24"/>
        </w:rPr>
        <w:t xml:space="preserve">. 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(Viz 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IV.1.3</w:t>
      </w:r>
      <w:proofErr w:type="gramEnd"/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tohoto kontrolního závěru</w:t>
      </w:r>
      <w:r w:rsidR="00460F63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2150D6DE" w14:textId="63DCC21B" w:rsidR="003330BE" w:rsidRPr="00041079" w:rsidRDefault="00041079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1.4 </w:t>
      </w:r>
      <w:r w:rsidR="00957AC9">
        <w:rPr>
          <w:rFonts w:ascii="Calibri" w:hAnsi="Calibri" w:cs="Calibri"/>
          <w:sz w:val="24"/>
          <w:szCs w:val="24"/>
        </w:rPr>
        <w:tab/>
      </w:r>
      <w:proofErr w:type="spellStart"/>
      <w:r w:rsidR="003330BE" w:rsidRPr="00041079">
        <w:rPr>
          <w:rFonts w:ascii="Calibri" w:hAnsi="Calibri" w:cs="Calibri"/>
          <w:sz w:val="24"/>
          <w:szCs w:val="24"/>
        </w:rPr>
        <w:t>MZd</w:t>
      </w:r>
      <w:proofErr w:type="spellEnd"/>
      <w:r w:rsidR="003330BE" w:rsidRPr="00041079">
        <w:rPr>
          <w:rFonts w:ascii="Calibri" w:hAnsi="Calibri" w:cs="Calibri"/>
          <w:sz w:val="24"/>
          <w:szCs w:val="24"/>
        </w:rPr>
        <w:t xml:space="preserve"> neiniciovalo systémovou změnu způsobu úhrad </w:t>
      </w:r>
      <w:r w:rsidR="003330BE" w:rsidRPr="00041079">
        <w:rPr>
          <w:rFonts w:ascii="Calibri" w:hAnsi="Calibri" w:cs="Calibri"/>
          <w:sz w:val="24"/>
          <w:szCs w:val="24"/>
          <w:lang w:eastAsia="hi-IN" w:bidi="hi-IN"/>
        </w:rPr>
        <w:t>za poskytnuté zdravotní služby</w:t>
      </w:r>
      <w:r w:rsidR="003330BE" w:rsidRPr="00B52CAD">
        <w:rPr>
          <w:rStyle w:val="Znakapoznpodarou"/>
          <w:rFonts w:ascii="Calibri" w:hAnsi="Calibri" w:cs="Calibri"/>
          <w:sz w:val="24"/>
          <w:szCs w:val="24"/>
          <w:lang w:eastAsia="hi-IN" w:bidi="hi-IN"/>
        </w:rPr>
        <w:footnoteReference w:id="10"/>
      </w:r>
      <w:r w:rsidR="003330BE" w:rsidRPr="00041079">
        <w:rPr>
          <w:rFonts w:ascii="Calibri" w:hAnsi="Calibri" w:cs="Calibri"/>
          <w:sz w:val="24"/>
          <w:szCs w:val="24"/>
        </w:rPr>
        <w:t xml:space="preserve"> hrazené z veřejného zdravotního pojištění. Stávající systém financování poskytovaných zdravotních služeb v oblasti laboratorního vyšetření a diagnostiky, kdy rozhodujícím činitelem pro stanovení výše úhrady za poskytnuté služby není skutečně poskytnutý výkon, ale počet tzv. unikátních pojištěnců</w:t>
      </w:r>
      <w:r w:rsidR="003330BE" w:rsidRPr="00B52CAD">
        <w:rPr>
          <w:rStyle w:val="Znakapoznpodarou"/>
          <w:rFonts w:ascii="Calibri" w:hAnsi="Calibri" w:cs="Calibri"/>
          <w:sz w:val="24"/>
          <w:szCs w:val="24"/>
        </w:rPr>
        <w:footnoteReference w:id="11"/>
      </w:r>
      <w:r w:rsidR="003330BE" w:rsidRPr="00041079">
        <w:rPr>
          <w:rFonts w:ascii="Calibri" w:hAnsi="Calibri" w:cs="Calibri"/>
          <w:sz w:val="24"/>
          <w:szCs w:val="24"/>
        </w:rPr>
        <w:t xml:space="preserve">, prohlubuje ztráty při hospodaření zdravotních ústavů i do dalších let. 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(Viz 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IV.1.4</w:t>
      </w:r>
      <w:proofErr w:type="gramEnd"/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tohoto kontrolního závěru</w:t>
      </w:r>
      <w:r w:rsidR="00460F63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354FD299" w14:textId="0B898B8E" w:rsidR="003330BE" w:rsidRPr="00041079" w:rsidRDefault="00041079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1.5 </w:t>
      </w:r>
      <w:r w:rsidR="00957AC9">
        <w:rPr>
          <w:rFonts w:ascii="Calibri" w:hAnsi="Calibri" w:cs="Calibri"/>
          <w:sz w:val="24"/>
          <w:szCs w:val="24"/>
        </w:rPr>
        <w:tab/>
      </w:r>
      <w:proofErr w:type="spellStart"/>
      <w:r w:rsidR="003330BE" w:rsidRPr="00041079">
        <w:rPr>
          <w:rFonts w:ascii="Calibri" w:hAnsi="Calibri" w:cs="Calibri"/>
          <w:sz w:val="24"/>
          <w:szCs w:val="24"/>
        </w:rPr>
        <w:t>MZd</w:t>
      </w:r>
      <w:proofErr w:type="spellEnd"/>
      <w:r w:rsidR="003330BE" w:rsidRPr="00041079">
        <w:rPr>
          <w:rFonts w:ascii="Calibri" w:hAnsi="Calibri" w:cs="Calibri"/>
          <w:sz w:val="24"/>
          <w:szCs w:val="24"/>
        </w:rPr>
        <w:t xml:space="preserve"> na své přímo řízené organizace působilo v oblasti veřejného nakupování obecně zejména formou „resortních“ vnitřních předpisů. Pro organizace ve svém resortu, tedy také pro zdravotní ústavy, </w:t>
      </w:r>
      <w:proofErr w:type="spellStart"/>
      <w:r w:rsidR="003330BE" w:rsidRPr="00041079">
        <w:rPr>
          <w:rFonts w:ascii="Calibri" w:hAnsi="Calibri" w:cs="Calibri"/>
          <w:sz w:val="24"/>
          <w:szCs w:val="24"/>
        </w:rPr>
        <w:t>MZd</w:t>
      </w:r>
      <w:proofErr w:type="spellEnd"/>
      <w:r w:rsidR="003330BE" w:rsidRPr="00041079">
        <w:rPr>
          <w:rFonts w:ascii="Calibri" w:hAnsi="Calibri" w:cs="Calibri"/>
          <w:sz w:val="24"/>
          <w:szCs w:val="24"/>
        </w:rPr>
        <w:t xml:space="preserve"> realizovalo centrální nákupy elektřiny a plynu. Podporu zefektivnění jiných nákupů </w:t>
      </w:r>
      <w:r w:rsidR="00511892">
        <w:rPr>
          <w:rFonts w:ascii="Calibri" w:hAnsi="Calibri" w:cs="Calibri"/>
          <w:sz w:val="24"/>
          <w:szCs w:val="24"/>
        </w:rPr>
        <w:t>m</w:t>
      </w:r>
      <w:r w:rsidR="003330BE" w:rsidRPr="00041079">
        <w:rPr>
          <w:rFonts w:ascii="Calibri" w:hAnsi="Calibri" w:cs="Calibri"/>
          <w:sz w:val="24"/>
          <w:szCs w:val="24"/>
        </w:rPr>
        <w:t xml:space="preserve">inisterstvo zdravotním ústavům neposkytovalo. 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(Viz 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IV.1.5</w:t>
      </w:r>
      <w:proofErr w:type="gramEnd"/>
      <w:r w:rsidR="003330BE" w:rsidRPr="00041079">
        <w:rPr>
          <w:rFonts w:ascii="Calibri" w:eastAsia="Calibri" w:hAnsi="Calibri" w:cs="Calibri"/>
          <w:sz w:val="24"/>
          <w:szCs w:val="24"/>
        </w:rPr>
        <w:t xml:space="preserve"> 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tohoto kontrolního závěru</w:t>
      </w:r>
      <w:r w:rsidR="00460F63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524F0A27" w14:textId="19F4B480" w:rsidR="003330BE" w:rsidRPr="00041079" w:rsidRDefault="00041079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1.6 </w:t>
      </w:r>
      <w:r w:rsidR="00957AC9">
        <w:rPr>
          <w:rFonts w:ascii="Calibri" w:hAnsi="Calibri" w:cs="Calibri"/>
          <w:sz w:val="24"/>
          <w:szCs w:val="24"/>
        </w:rPr>
        <w:tab/>
      </w:r>
      <w:proofErr w:type="spellStart"/>
      <w:r w:rsidR="003330BE" w:rsidRPr="00041079">
        <w:rPr>
          <w:rFonts w:ascii="Calibri" w:hAnsi="Calibri" w:cs="Calibri"/>
          <w:sz w:val="24"/>
          <w:szCs w:val="24"/>
        </w:rPr>
        <w:t>MZd</w:t>
      </w:r>
      <w:proofErr w:type="spellEnd"/>
      <w:r w:rsidR="003330BE" w:rsidRPr="00041079">
        <w:rPr>
          <w:rFonts w:ascii="Calibri" w:hAnsi="Calibri" w:cs="Calibri"/>
          <w:sz w:val="24"/>
          <w:szCs w:val="24"/>
        </w:rPr>
        <w:t xml:space="preserve"> provedlo v letech 2017 až 2019 jen jednu veřejnosprávní kontrolu zdravotních ústavů. 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(Viz 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IV.1.6</w:t>
      </w:r>
      <w:proofErr w:type="gramEnd"/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tohoto kontrolního závěru</w:t>
      </w:r>
      <w:r w:rsidR="00460F63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3D455A74" w14:textId="77777777" w:rsidR="003330BE" w:rsidRPr="00B52CAD" w:rsidRDefault="003330BE" w:rsidP="00B52CAD">
      <w:pPr>
        <w:pStyle w:val="KZnormln"/>
        <w:spacing w:after="0"/>
        <w:rPr>
          <w:rFonts w:ascii="Calibri" w:hAnsi="Calibri" w:cs="Calibri"/>
          <w:szCs w:val="24"/>
        </w:rPr>
      </w:pPr>
    </w:p>
    <w:p w14:paraId="28ABD747" w14:textId="77777777" w:rsidR="003330BE" w:rsidRPr="00B52CAD" w:rsidRDefault="00B52CAD" w:rsidP="00602A9C">
      <w:pPr>
        <w:pStyle w:val="KZnormln"/>
        <w:keepNext/>
        <w:tabs>
          <w:tab w:val="left" w:pos="284"/>
        </w:tabs>
        <w:spacing w:after="0"/>
        <w:ind w:left="-11"/>
        <w:rPr>
          <w:rFonts w:ascii="Calibri" w:hAnsi="Calibri" w:cs="Calibri"/>
          <w:b/>
          <w:color w:val="auto"/>
          <w:szCs w:val="24"/>
        </w:rPr>
      </w:pPr>
      <w:r w:rsidRPr="00B52CAD">
        <w:rPr>
          <w:rFonts w:ascii="Calibri" w:hAnsi="Calibri" w:cs="Calibri"/>
          <w:b/>
          <w:szCs w:val="24"/>
        </w:rPr>
        <w:t xml:space="preserve">2. </w:t>
      </w:r>
      <w:r w:rsidR="003330BE" w:rsidRPr="00B52CAD">
        <w:rPr>
          <w:rFonts w:ascii="Calibri" w:hAnsi="Calibri" w:cs="Calibri"/>
          <w:b/>
          <w:szCs w:val="24"/>
        </w:rPr>
        <w:t xml:space="preserve">Zjištění u zdravotních </w:t>
      </w:r>
      <w:r w:rsidR="003330BE" w:rsidRPr="00B52CAD">
        <w:rPr>
          <w:rFonts w:ascii="Calibri" w:hAnsi="Calibri" w:cs="Calibri"/>
          <w:b/>
          <w:color w:val="auto"/>
          <w:szCs w:val="24"/>
        </w:rPr>
        <w:t>ústavů vztahující se k vykonávaným činnostem a jejich hospodaření</w:t>
      </w:r>
    </w:p>
    <w:p w14:paraId="636E8F0A" w14:textId="77777777" w:rsidR="00041079" w:rsidRDefault="00041079" w:rsidP="00602A9C">
      <w:pPr>
        <w:keepNext/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</w:p>
    <w:p w14:paraId="23726114" w14:textId="2C76B17E" w:rsidR="003330BE" w:rsidRPr="00041079" w:rsidRDefault="00041079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2.1 </w:t>
      </w:r>
      <w:r>
        <w:rPr>
          <w:rFonts w:ascii="Calibri" w:hAnsi="Calibri" w:cs="Calibri"/>
          <w:sz w:val="24"/>
          <w:szCs w:val="24"/>
        </w:rPr>
        <w:tab/>
      </w:r>
      <w:r w:rsidR="003330BE" w:rsidRPr="00041079">
        <w:rPr>
          <w:rFonts w:ascii="Calibri" w:hAnsi="Calibri" w:cs="Calibri"/>
          <w:sz w:val="24"/>
          <w:szCs w:val="24"/>
        </w:rPr>
        <w:t xml:space="preserve">Hospodaření ZÚ skončilo v letech 2017 až 2019 </w:t>
      </w:r>
      <w:r w:rsidR="003330BE" w:rsidRPr="00041079">
        <w:rPr>
          <w:rFonts w:ascii="Calibri" w:hAnsi="Calibri" w:cs="Calibri"/>
          <w:sz w:val="24"/>
          <w:szCs w:val="24"/>
          <w:lang w:eastAsia="hi-IN" w:bidi="hi-IN"/>
        </w:rPr>
        <w:t>ztrátou. Výnosy z prodeje služeb ZÚ a příspěvek na provoz od zřizovatele nedokázaly pokrýt růst nákladů</w:t>
      </w:r>
      <w:r w:rsidR="003330BE" w:rsidRPr="00041079">
        <w:rPr>
          <w:rFonts w:ascii="Calibri" w:hAnsi="Calibri" w:cs="Calibri"/>
          <w:sz w:val="24"/>
          <w:szCs w:val="24"/>
        </w:rPr>
        <w:t xml:space="preserve">. 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(Viz 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IV.2.1</w:t>
      </w:r>
      <w:proofErr w:type="gramEnd"/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tohoto kontrolního závěru</w:t>
      </w:r>
      <w:r w:rsidR="00460F63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76030C10" w14:textId="6F144D1E" w:rsidR="003330BE" w:rsidRPr="00041079" w:rsidRDefault="00602A9C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lastRenderedPageBreak/>
        <w:t xml:space="preserve">2.2 </w:t>
      </w:r>
      <w:r>
        <w:rPr>
          <w:rFonts w:ascii="Calibri" w:eastAsia="Calibri" w:hAnsi="Calibri" w:cs="Calibri"/>
          <w:iCs/>
          <w:sz w:val="24"/>
          <w:szCs w:val="24"/>
        </w:rPr>
        <w:tab/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Zásadní vliv na výsledek hospodaření ZÚ měl na straně nákladů růst mzdových nákladů způsobený každoročním navyšováním platových tarifů podle nařízení vlády</w:t>
      </w:r>
      <w:r w:rsidR="003330BE" w:rsidRPr="00B52CAD">
        <w:rPr>
          <w:rStyle w:val="Znakapoznpodarou"/>
          <w:rFonts w:ascii="Calibri" w:eastAsia="Calibri" w:hAnsi="Calibri" w:cs="Calibri"/>
          <w:iCs/>
          <w:sz w:val="24"/>
          <w:szCs w:val="24"/>
        </w:rPr>
        <w:footnoteReference w:id="12"/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. </w:t>
      </w:r>
      <w:r w:rsidR="003330BE" w:rsidRPr="00041079">
        <w:rPr>
          <w:rFonts w:ascii="Calibri" w:hAnsi="Calibri" w:cs="Calibri"/>
          <w:sz w:val="24"/>
          <w:szCs w:val="24"/>
        </w:rPr>
        <w:t>Toto navyšování nebylo ZÚ kompenzováno.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(Viz 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IV.2.2</w:t>
      </w:r>
      <w:proofErr w:type="gramEnd"/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tohoto kontrolního závěru</w:t>
      </w:r>
      <w:r w:rsidR="00CE31C6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6DF2ACCF" w14:textId="474694A2" w:rsidR="003330BE" w:rsidRPr="00041079" w:rsidRDefault="00957AC9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hi-IN" w:bidi="hi-IN"/>
        </w:rPr>
        <w:t xml:space="preserve">2.3 </w:t>
      </w:r>
      <w:r>
        <w:rPr>
          <w:rFonts w:ascii="Calibri" w:hAnsi="Calibri" w:cs="Calibri"/>
          <w:sz w:val="24"/>
          <w:szCs w:val="24"/>
          <w:lang w:eastAsia="hi-IN" w:bidi="hi-IN"/>
        </w:rPr>
        <w:tab/>
      </w:r>
      <w:r w:rsidR="003330BE" w:rsidRPr="00041079">
        <w:rPr>
          <w:rFonts w:ascii="Calibri" w:hAnsi="Calibri" w:cs="Calibri"/>
          <w:sz w:val="24"/>
          <w:szCs w:val="24"/>
          <w:lang w:eastAsia="hi-IN" w:bidi="hi-IN"/>
        </w:rPr>
        <w:t xml:space="preserve">Změnou financování služeb spojených se státním zdravotním dozorem došlo k poklesu výkonů ZÚ a tedy i jejich výnosů. </w:t>
      </w:r>
      <w:r w:rsidR="003330BE" w:rsidRPr="00041079">
        <w:rPr>
          <w:rFonts w:ascii="Calibri" w:eastAsia="Calibri" w:hAnsi="Calibri" w:cs="Calibri"/>
          <w:sz w:val="24"/>
          <w:szCs w:val="24"/>
        </w:rPr>
        <w:t>ZÚ vyčíslily snížení svých výnosů v důsledku zatížení služeb poskytovaných krajským hygienickým stanicím daní z přidané hodnoty o cca 4 až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330BE" w:rsidRPr="00041079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 </w:t>
      </w:r>
      <w:r w:rsidR="003330BE" w:rsidRPr="00041079">
        <w:rPr>
          <w:rFonts w:ascii="Calibri" w:eastAsia="Calibri" w:hAnsi="Calibri" w:cs="Calibri"/>
          <w:sz w:val="24"/>
          <w:szCs w:val="24"/>
        </w:rPr>
        <w:t>mil.</w:t>
      </w:r>
      <w:r>
        <w:rPr>
          <w:rFonts w:ascii="Calibri" w:eastAsia="Calibri" w:hAnsi="Calibri" w:cs="Calibri"/>
          <w:sz w:val="24"/>
          <w:szCs w:val="24"/>
        </w:rPr>
        <w:t> </w:t>
      </w:r>
      <w:r w:rsidR="003330BE" w:rsidRPr="00041079">
        <w:rPr>
          <w:rFonts w:ascii="Calibri" w:eastAsia="Calibri" w:hAnsi="Calibri" w:cs="Calibri"/>
          <w:sz w:val="24"/>
          <w:szCs w:val="24"/>
        </w:rPr>
        <w:t>Kč ročně.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(Viz 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IV.2.</w:t>
      </w:r>
      <w:r w:rsidR="003330BE" w:rsidRPr="00CB4150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proofErr w:type="gramEnd"/>
      <w:r w:rsidR="003330BE" w:rsidRPr="00CB4150">
        <w:rPr>
          <w:rFonts w:ascii="Calibri" w:eastAsia="Calibri" w:hAnsi="Calibri" w:cs="Calibri"/>
          <w:iCs/>
          <w:color w:val="000000" w:themeColor="text1"/>
          <w:sz w:val="24"/>
          <w:szCs w:val="24"/>
        </w:rPr>
        <w:t xml:space="preserve"> toho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to kontrolního závěru</w:t>
      </w:r>
      <w:r w:rsidR="00CB4150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11DC69BA" w14:textId="3FC27E02" w:rsidR="003330BE" w:rsidRPr="00041079" w:rsidRDefault="00957AC9" w:rsidP="00041079">
      <w:pPr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2.4 </w:t>
      </w:r>
      <w:r>
        <w:rPr>
          <w:rFonts w:ascii="Calibri" w:hAnsi="Calibri" w:cs="Calibri"/>
          <w:sz w:val="24"/>
          <w:szCs w:val="24"/>
        </w:rPr>
        <w:tab/>
      </w:r>
      <w:r w:rsidR="003330BE" w:rsidRPr="00041079">
        <w:rPr>
          <w:rFonts w:ascii="Calibri" w:hAnsi="Calibri" w:cs="Calibri"/>
          <w:sz w:val="24"/>
          <w:szCs w:val="24"/>
        </w:rPr>
        <w:t>Systém sledování nákladů ZÚ neumožňuje spolehlivě vyčíslit potřebné zdroje pro</w:t>
      </w:r>
      <w:r w:rsidR="00CB4150">
        <w:rPr>
          <w:rFonts w:ascii="Calibri" w:hAnsi="Calibri" w:cs="Calibri"/>
          <w:sz w:val="24"/>
          <w:szCs w:val="24"/>
        </w:rPr>
        <w:t xml:space="preserve"> </w:t>
      </w:r>
      <w:r w:rsidR="003330BE" w:rsidRPr="00041079">
        <w:rPr>
          <w:rFonts w:ascii="Calibri" w:hAnsi="Calibri" w:cs="Calibri"/>
          <w:sz w:val="24"/>
          <w:szCs w:val="24"/>
        </w:rPr>
        <w:t>zajištění činností pro výkon státního zdravotního dozoru a další činnosti pro</w:t>
      </w:r>
      <w:r w:rsidR="00CB4150">
        <w:rPr>
          <w:rFonts w:ascii="Calibri" w:hAnsi="Calibri" w:cs="Calibri"/>
          <w:sz w:val="24"/>
          <w:szCs w:val="24"/>
        </w:rPr>
        <w:t xml:space="preserve"> </w:t>
      </w:r>
      <w:r w:rsidR="003330BE" w:rsidRPr="00041079">
        <w:rPr>
          <w:rFonts w:ascii="Calibri" w:hAnsi="Calibri" w:cs="Calibri"/>
          <w:sz w:val="24"/>
          <w:szCs w:val="24"/>
        </w:rPr>
        <w:t>stát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a také vytváří riziko vzniku nedovolené veřejné podpory. (Viz</w:t>
      </w:r>
      <w:r w:rsidR="00CB4150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kapitola </w:t>
      </w:r>
      <w:proofErr w:type="gramStart"/>
      <w:r w:rsidR="003330BE" w:rsidRPr="00041079">
        <w:rPr>
          <w:rFonts w:ascii="Calibri" w:eastAsia="Calibri" w:hAnsi="Calibri" w:cs="Calibri"/>
          <w:sz w:val="24"/>
          <w:szCs w:val="24"/>
        </w:rPr>
        <w:t>IV.2.4</w:t>
      </w:r>
      <w:proofErr w:type="gramEnd"/>
      <w:r w:rsidR="003330BE" w:rsidRPr="00041079">
        <w:rPr>
          <w:rFonts w:ascii="Calibri" w:eastAsia="Calibri" w:hAnsi="Calibri" w:cs="Calibri"/>
          <w:iCs/>
          <w:sz w:val="24"/>
          <w:szCs w:val="24"/>
        </w:rPr>
        <w:t xml:space="preserve"> tohoto kontrolního závěru</w:t>
      </w:r>
      <w:r w:rsidR="00CB4150">
        <w:rPr>
          <w:rFonts w:ascii="Calibri" w:eastAsia="Calibri" w:hAnsi="Calibri" w:cs="Calibri"/>
          <w:iCs/>
          <w:sz w:val="24"/>
          <w:szCs w:val="24"/>
        </w:rPr>
        <w:t>.</w:t>
      </w:r>
      <w:r w:rsidR="003330BE" w:rsidRPr="00041079">
        <w:rPr>
          <w:rFonts w:ascii="Calibri" w:eastAsia="Calibri" w:hAnsi="Calibri" w:cs="Calibri"/>
          <w:iCs/>
          <w:sz w:val="24"/>
          <w:szCs w:val="24"/>
        </w:rPr>
        <w:t>)</w:t>
      </w:r>
    </w:p>
    <w:p w14:paraId="4FD0C708" w14:textId="1974D32F" w:rsidR="003330BE" w:rsidRPr="00B52CAD" w:rsidRDefault="00957AC9" w:rsidP="00041079">
      <w:pPr>
        <w:pStyle w:val="KZnormln"/>
        <w:spacing w:after="0"/>
        <w:ind w:left="369" w:hanging="369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  <w:lang w:eastAsia="cs-CZ"/>
        </w:rPr>
        <w:t xml:space="preserve">2.5 </w:t>
      </w:r>
      <w:r>
        <w:rPr>
          <w:rFonts w:ascii="Calibri" w:hAnsi="Calibri" w:cs="Calibri"/>
          <w:color w:val="auto"/>
          <w:szCs w:val="24"/>
          <w:lang w:eastAsia="cs-CZ"/>
        </w:rPr>
        <w:tab/>
      </w:r>
      <w:r w:rsidR="003330BE" w:rsidRPr="00B52CAD">
        <w:rPr>
          <w:rFonts w:ascii="Calibri" w:hAnsi="Calibri" w:cs="Calibri"/>
          <w:color w:val="auto"/>
          <w:szCs w:val="24"/>
          <w:lang w:eastAsia="cs-CZ"/>
        </w:rPr>
        <w:t>ZÚ v Ostravě nepostupoval</w:t>
      </w:r>
      <w:r w:rsidR="003330BE" w:rsidRPr="00B52CAD">
        <w:rPr>
          <w:rFonts w:ascii="Calibri" w:hAnsi="Calibri" w:cs="Calibri"/>
          <w:color w:val="auto"/>
          <w:szCs w:val="24"/>
        </w:rPr>
        <w:t xml:space="preserve"> v souladu se zákonem o účetnictví</w:t>
      </w:r>
      <w:r w:rsidR="003330BE" w:rsidRPr="00B52CAD">
        <w:rPr>
          <w:rStyle w:val="Znakapoznpodarou"/>
          <w:rFonts w:ascii="Calibri" w:hAnsi="Calibri" w:cs="Calibri"/>
          <w:color w:val="auto"/>
          <w:szCs w:val="24"/>
        </w:rPr>
        <w:footnoteReference w:id="13"/>
      </w:r>
      <w:r w:rsidR="003330BE" w:rsidRPr="00B52CAD">
        <w:rPr>
          <w:rFonts w:ascii="Calibri" w:hAnsi="Calibri" w:cs="Calibri"/>
          <w:color w:val="auto"/>
          <w:szCs w:val="24"/>
        </w:rPr>
        <w:t xml:space="preserve"> a prováděcí</w:t>
      </w:r>
      <w:r w:rsidR="00CB4150">
        <w:rPr>
          <w:rFonts w:ascii="Calibri" w:hAnsi="Calibri" w:cs="Calibri"/>
          <w:color w:val="auto"/>
          <w:szCs w:val="24"/>
        </w:rPr>
        <w:t xml:space="preserve"> </w:t>
      </w:r>
      <w:r w:rsidR="003330BE" w:rsidRPr="00B52CAD">
        <w:rPr>
          <w:rFonts w:ascii="Calibri" w:hAnsi="Calibri" w:cs="Calibri"/>
          <w:color w:val="auto"/>
          <w:szCs w:val="24"/>
        </w:rPr>
        <w:t>vyhláškou</w:t>
      </w:r>
      <w:r w:rsidR="003330BE" w:rsidRPr="00B52CAD">
        <w:rPr>
          <w:rStyle w:val="Znakapoznpodarou"/>
          <w:rFonts w:ascii="Calibri" w:hAnsi="Calibri" w:cs="Calibri"/>
          <w:color w:val="auto"/>
          <w:szCs w:val="24"/>
        </w:rPr>
        <w:footnoteReference w:id="14"/>
      </w:r>
      <w:r w:rsidR="003330BE" w:rsidRPr="00B52CAD">
        <w:rPr>
          <w:rFonts w:ascii="Calibri" w:hAnsi="Calibri" w:cs="Calibri"/>
          <w:color w:val="auto"/>
          <w:szCs w:val="24"/>
        </w:rPr>
        <w:t>,</w:t>
      </w:r>
      <w:r w:rsidR="003330BE" w:rsidRPr="00B52CAD">
        <w:rPr>
          <w:rFonts w:ascii="Calibri" w:hAnsi="Calibri" w:cs="Calibri"/>
          <w:bCs/>
          <w:color w:val="auto"/>
          <w:szCs w:val="24"/>
        </w:rPr>
        <w:t xml:space="preserve"> neboť </w:t>
      </w:r>
      <w:r w:rsidR="003330BE" w:rsidRPr="00B52CAD">
        <w:rPr>
          <w:rFonts w:ascii="Calibri" w:hAnsi="Calibri" w:cs="Calibri"/>
          <w:color w:val="auto"/>
          <w:szCs w:val="24"/>
        </w:rPr>
        <w:t>v účetních závěrkách nadhodnotil zůstatek fondu reprodukce majetku v letech 2017 až 2019 o desítky milionů korun</w:t>
      </w:r>
      <w:r w:rsidR="003330BE" w:rsidRPr="00B52CAD">
        <w:rPr>
          <w:rStyle w:val="Znakapoznpodarou"/>
          <w:rFonts w:ascii="Calibri" w:hAnsi="Calibri" w:cs="Calibri"/>
          <w:color w:val="auto"/>
          <w:szCs w:val="24"/>
        </w:rPr>
        <w:footnoteReference w:id="15"/>
      </w:r>
      <w:r w:rsidR="003330BE" w:rsidRPr="00B52CAD">
        <w:rPr>
          <w:rFonts w:ascii="Calibri" w:hAnsi="Calibri" w:cs="Calibri"/>
          <w:color w:val="auto"/>
          <w:szCs w:val="24"/>
        </w:rPr>
        <w:t>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 (Viz kapitola </w:t>
      </w:r>
      <w:proofErr w:type="gramStart"/>
      <w:r w:rsidR="003330BE" w:rsidRPr="00B52CAD">
        <w:rPr>
          <w:rFonts w:ascii="Calibri" w:eastAsia="Calibri" w:hAnsi="Calibri" w:cs="Calibri"/>
          <w:color w:val="auto"/>
          <w:szCs w:val="24"/>
        </w:rPr>
        <w:t>IV.2.5</w:t>
      </w:r>
      <w:proofErr w:type="gramEnd"/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 tohoto kontrolního závěru</w:t>
      </w:r>
      <w:r w:rsidR="00CB4150">
        <w:rPr>
          <w:rFonts w:ascii="Calibri" w:eastAsia="Calibri" w:hAnsi="Calibri" w:cs="Calibri"/>
          <w:iCs/>
          <w:color w:val="auto"/>
          <w:szCs w:val="24"/>
        </w:rPr>
        <w:t>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)</w:t>
      </w:r>
    </w:p>
    <w:p w14:paraId="17705C2B" w14:textId="77777777" w:rsidR="003330BE" w:rsidRPr="00B52CAD" w:rsidRDefault="003330BE" w:rsidP="00B52CAD">
      <w:pPr>
        <w:pStyle w:val="KZnormln"/>
        <w:tabs>
          <w:tab w:val="left" w:pos="2934"/>
        </w:tabs>
        <w:spacing w:after="0"/>
        <w:rPr>
          <w:rFonts w:ascii="Calibri" w:hAnsi="Calibri" w:cs="Calibri"/>
          <w:color w:val="auto"/>
          <w:szCs w:val="24"/>
        </w:rPr>
      </w:pPr>
    </w:p>
    <w:p w14:paraId="4C8CA46E" w14:textId="77777777" w:rsidR="003330BE" w:rsidRPr="00B52CAD" w:rsidRDefault="00B52CAD" w:rsidP="00B52CAD">
      <w:pPr>
        <w:pStyle w:val="KZnormln"/>
        <w:spacing w:after="0"/>
        <w:rPr>
          <w:rFonts w:ascii="Calibri" w:hAnsi="Calibri" w:cs="Calibri"/>
          <w:b/>
          <w:color w:val="auto"/>
          <w:szCs w:val="24"/>
        </w:rPr>
      </w:pPr>
      <w:r w:rsidRPr="00B52CAD">
        <w:rPr>
          <w:rFonts w:ascii="Calibri" w:hAnsi="Calibri" w:cs="Calibri"/>
          <w:b/>
          <w:color w:val="auto"/>
          <w:szCs w:val="24"/>
        </w:rPr>
        <w:t xml:space="preserve">3. </w:t>
      </w:r>
      <w:r w:rsidR="003330BE" w:rsidRPr="00B52CAD">
        <w:rPr>
          <w:rFonts w:ascii="Calibri" w:hAnsi="Calibri" w:cs="Calibri"/>
          <w:b/>
          <w:color w:val="auto"/>
          <w:szCs w:val="24"/>
        </w:rPr>
        <w:t>Zjištění u zdravotních ústavů vztahující se k veřejnému nakupování</w:t>
      </w:r>
    </w:p>
    <w:p w14:paraId="4A8CDC63" w14:textId="77777777" w:rsidR="002B2287" w:rsidRDefault="002B2287" w:rsidP="002B2287">
      <w:pPr>
        <w:pStyle w:val="KZnormln"/>
        <w:spacing w:after="0"/>
        <w:ind w:left="369" w:hanging="369"/>
        <w:rPr>
          <w:rFonts w:ascii="Calibri" w:hAnsi="Calibri" w:cs="Calibri"/>
          <w:color w:val="auto"/>
          <w:szCs w:val="24"/>
          <w:lang w:eastAsia="hi-IN" w:bidi="hi-IN"/>
        </w:rPr>
      </w:pPr>
    </w:p>
    <w:p w14:paraId="18EFA64C" w14:textId="7AB9C7C8" w:rsidR="003330BE" w:rsidRPr="00B52CAD" w:rsidRDefault="002B2287" w:rsidP="002B2287">
      <w:pPr>
        <w:pStyle w:val="KZnormln"/>
        <w:spacing w:after="0"/>
        <w:ind w:left="369" w:hanging="369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  <w:lang w:eastAsia="hi-IN" w:bidi="hi-IN"/>
        </w:rPr>
        <w:t xml:space="preserve">3.1 </w:t>
      </w:r>
      <w:r>
        <w:rPr>
          <w:rFonts w:ascii="Calibri" w:hAnsi="Calibri" w:cs="Calibri"/>
          <w:color w:val="auto"/>
          <w:szCs w:val="24"/>
          <w:lang w:eastAsia="hi-IN" w:bidi="hi-IN"/>
        </w:rPr>
        <w:tab/>
      </w:r>
      <w:r w:rsidR="003330BE" w:rsidRPr="00B52CAD">
        <w:rPr>
          <w:rFonts w:ascii="Calibri" w:hAnsi="Calibri" w:cs="Calibri"/>
          <w:color w:val="auto"/>
          <w:szCs w:val="24"/>
          <w:lang w:eastAsia="hi-IN" w:bidi="hi-IN"/>
        </w:rPr>
        <w:t xml:space="preserve">Podíl výdajů na úhrady nákupů pořízených zdravotními ústavy v rámci veřejných zakázek malého rozsahu na výdajích za celkové nákupy </w:t>
      </w:r>
      <w:r w:rsidR="003330BE" w:rsidRPr="00B52CAD">
        <w:rPr>
          <w:rFonts w:ascii="Calibri" w:hAnsi="Calibri" w:cs="Calibri"/>
          <w:color w:val="auto"/>
          <w:szCs w:val="24"/>
        </w:rPr>
        <w:t xml:space="preserve">v letech 2017 až 2019 </w:t>
      </w:r>
      <w:r w:rsidR="003330BE" w:rsidRPr="00B52CAD">
        <w:rPr>
          <w:rFonts w:ascii="Calibri" w:hAnsi="Calibri" w:cs="Calibri"/>
          <w:color w:val="auto"/>
          <w:szCs w:val="24"/>
          <w:lang w:eastAsia="hi-IN" w:bidi="hi-IN"/>
        </w:rPr>
        <w:t xml:space="preserve">představoval </w:t>
      </w:r>
      <w:r w:rsidR="003330BE" w:rsidRPr="00B52CAD">
        <w:rPr>
          <w:rFonts w:ascii="Calibri" w:hAnsi="Calibri" w:cs="Calibri"/>
          <w:color w:val="auto"/>
          <w:szCs w:val="24"/>
        </w:rPr>
        <w:t>85</w:t>
      </w:r>
      <w:r w:rsidR="003330BE" w:rsidRPr="00B52CAD">
        <w:rPr>
          <w:rFonts w:ascii="Calibri" w:hAnsi="Calibri" w:cs="Calibri"/>
          <w:color w:val="auto"/>
          <w:szCs w:val="24"/>
          <w:lang w:eastAsia="hi-IN" w:bidi="hi-IN"/>
        </w:rPr>
        <w:t> </w:t>
      </w:r>
      <w:r w:rsidR="003330BE" w:rsidRPr="00B52CAD">
        <w:rPr>
          <w:rFonts w:ascii="Calibri" w:hAnsi="Calibri" w:cs="Calibri"/>
          <w:color w:val="auto"/>
          <w:szCs w:val="24"/>
        </w:rPr>
        <w:t>%. V souvislosti s těmito zakázkami bylo kontrolou zjištěno porušení některé ze zákonných zásad</w:t>
      </w:r>
      <w:r w:rsidR="003330BE" w:rsidRPr="00B52CAD">
        <w:rPr>
          <w:rStyle w:val="Znakapoznpodarou"/>
          <w:rFonts w:ascii="Calibri" w:hAnsi="Calibri" w:cs="Calibri"/>
          <w:color w:val="auto"/>
          <w:szCs w:val="24"/>
        </w:rPr>
        <w:footnoteReference w:id="16"/>
      </w:r>
      <w:r w:rsidR="003330BE" w:rsidRPr="00B52CAD">
        <w:rPr>
          <w:rFonts w:ascii="Calibri" w:hAnsi="Calibri" w:cs="Calibri"/>
          <w:color w:val="auto"/>
          <w:szCs w:val="24"/>
        </w:rPr>
        <w:t xml:space="preserve"> u nákupů za více než 31 mil. Kč. 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(Viz kapitola </w:t>
      </w:r>
      <w:proofErr w:type="gramStart"/>
      <w:r w:rsidR="003330BE" w:rsidRPr="00B52CAD">
        <w:rPr>
          <w:rFonts w:ascii="Calibri" w:eastAsia="Calibri" w:hAnsi="Calibri" w:cs="Calibri"/>
          <w:color w:val="auto"/>
          <w:szCs w:val="24"/>
        </w:rPr>
        <w:t>IV.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3.1</w:t>
      </w:r>
      <w:proofErr w:type="gramEnd"/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 tohoto kontrolního závěru</w:t>
      </w:r>
      <w:r w:rsidR="00424A6C">
        <w:rPr>
          <w:rFonts w:ascii="Calibri" w:eastAsia="Calibri" w:hAnsi="Calibri" w:cs="Calibri"/>
          <w:iCs/>
          <w:color w:val="auto"/>
          <w:szCs w:val="24"/>
        </w:rPr>
        <w:t>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)</w:t>
      </w:r>
    </w:p>
    <w:p w14:paraId="3CCB6D67" w14:textId="6B1DC9B8" w:rsidR="003330BE" w:rsidRPr="00B52CAD" w:rsidRDefault="002B2287" w:rsidP="002B2287">
      <w:pPr>
        <w:pStyle w:val="KZnormln"/>
        <w:spacing w:after="0"/>
        <w:ind w:left="369" w:hanging="369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  <w:lang w:eastAsia="cs-CZ"/>
        </w:rPr>
        <w:t xml:space="preserve">3.2 </w:t>
      </w:r>
      <w:r>
        <w:rPr>
          <w:rFonts w:ascii="Calibri" w:hAnsi="Calibri" w:cs="Calibri"/>
          <w:color w:val="auto"/>
          <w:szCs w:val="24"/>
          <w:lang w:eastAsia="cs-CZ"/>
        </w:rPr>
        <w:tab/>
      </w:r>
      <w:r w:rsidR="003330BE" w:rsidRPr="00B52CAD">
        <w:rPr>
          <w:rFonts w:ascii="Calibri" w:hAnsi="Calibri" w:cs="Calibri"/>
          <w:color w:val="auto"/>
          <w:szCs w:val="24"/>
          <w:lang w:eastAsia="cs-CZ"/>
        </w:rPr>
        <w:t xml:space="preserve">Vnitřní kontrolní systémy ZÚ nebyly </w:t>
      </w:r>
      <w:r w:rsidR="003330BE" w:rsidRPr="00B52CAD">
        <w:rPr>
          <w:rFonts w:ascii="Calibri" w:hAnsi="Calibri" w:cs="Calibri"/>
          <w:color w:val="auto"/>
          <w:szCs w:val="24"/>
        </w:rPr>
        <w:t>v kontrolovaném období</w:t>
      </w:r>
      <w:r w:rsidR="00424A6C">
        <w:rPr>
          <w:rFonts w:ascii="Calibri" w:hAnsi="Calibri" w:cs="Calibri"/>
          <w:color w:val="auto"/>
          <w:szCs w:val="24"/>
          <w:lang w:eastAsia="cs-CZ"/>
        </w:rPr>
        <w:t xml:space="preserve"> zavedeny v souladu se </w:t>
      </w:r>
      <w:r w:rsidR="003330BE" w:rsidRPr="00B52CAD">
        <w:rPr>
          <w:rFonts w:ascii="Calibri" w:hAnsi="Calibri" w:cs="Calibri"/>
          <w:color w:val="auto"/>
          <w:szCs w:val="24"/>
          <w:lang w:eastAsia="cs-CZ"/>
        </w:rPr>
        <w:t>zákonem</w:t>
      </w:r>
      <w:r w:rsidR="003330BE" w:rsidRPr="00B52CAD">
        <w:rPr>
          <w:rStyle w:val="Znakapoznpodarou"/>
          <w:rFonts w:ascii="Calibri" w:hAnsi="Calibri" w:cs="Calibri"/>
          <w:color w:val="auto"/>
          <w:szCs w:val="24"/>
          <w:lang w:eastAsia="cs-CZ"/>
        </w:rPr>
        <w:footnoteReference w:id="17"/>
      </w:r>
      <w:r w:rsidR="003330BE" w:rsidRPr="00B52CAD">
        <w:rPr>
          <w:rFonts w:ascii="Calibri" w:hAnsi="Calibri" w:cs="Calibri"/>
          <w:color w:val="auto"/>
          <w:szCs w:val="24"/>
          <w:lang w:eastAsia="cs-CZ"/>
        </w:rPr>
        <w:t xml:space="preserve"> tak, aby </w:t>
      </w:r>
      <w:r w:rsidR="003330BE" w:rsidRPr="00B52CAD">
        <w:rPr>
          <w:rFonts w:ascii="Calibri" w:hAnsi="Calibri" w:cs="Calibri"/>
          <w:color w:val="auto"/>
          <w:szCs w:val="24"/>
        </w:rPr>
        <w:t>vytvářely podmínky pro hospodárný, efektivní a účelný výkon veřejné správy v oblasti</w:t>
      </w:r>
      <w:r w:rsidR="003330BE" w:rsidRPr="00B52CAD">
        <w:rPr>
          <w:rFonts w:ascii="Calibri" w:hAnsi="Calibri" w:cs="Calibri"/>
          <w:color w:val="auto"/>
          <w:szCs w:val="24"/>
          <w:lang w:eastAsia="cs-CZ"/>
        </w:rPr>
        <w:t xml:space="preserve"> veřejného nakupování. 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(Viz kapitola </w:t>
      </w:r>
      <w:proofErr w:type="gramStart"/>
      <w:r w:rsidR="003330BE" w:rsidRPr="00B52CAD">
        <w:rPr>
          <w:rFonts w:ascii="Calibri" w:eastAsia="Calibri" w:hAnsi="Calibri" w:cs="Calibri"/>
          <w:color w:val="auto"/>
          <w:szCs w:val="24"/>
        </w:rPr>
        <w:t>IV.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3.2</w:t>
      </w:r>
      <w:proofErr w:type="gramEnd"/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 tohoto kontrolního závěru</w:t>
      </w:r>
      <w:r w:rsidR="00424A6C">
        <w:rPr>
          <w:rFonts w:ascii="Calibri" w:eastAsia="Calibri" w:hAnsi="Calibri" w:cs="Calibri"/>
          <w:iCs/>
          <w:color w:val="auto"/>
          <w:szCs w:val="24"/>
        </w:rPr>
        <w:t>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)</w:t>
      </w:r>
    </w:p>
    <w:p w14:paraId="6330E04F" w14:textId="69286EC9" w:rsidR="003330BE" w:rsidRPr="00B52CAD" w:rsidRDefault="002B2287" w:rsidP="002B2287">
      <w:pPr>
        <w:pStyle w:val="KZnormln"/>
        <w:spacing w:after="0"/>
        <w:ind w:left="369" w:hanging="369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3.3 </w:t>
      </w:r>
      <w:r>
        <w:rPr>
          <w:rFonts w:ascii="Calibri" w:hAnsi="Calibri" w:cs="Calibri"/>
          <w:color w:val="auto"/>
          <w:szCs w:val="24"/>
        </w:rPr>
        <w:tab/>
      </w:r>
      <w:r w:rsidR="003330BE" w:rsidRPr="00B52CAD">
        <w:rPr>
          <w:rFonts w:ascii="Calibri" w:hAnsi="Calibri" w:cs="Calibri"/>
          <w:color w:val="auto"/>
          <w:szCs w:val="24"/>
        </w:rPr>
        <w:t xml:space="preserve">V kontrolovaném období byl </w:t>
      </w:r>
      <w:proofErr w:type="gramStart"/>
      <w:r w:rsidR="003330BE" w:rsidRPr="00B52CAD">
        <w:rPr>
          <w:rFonts w:ascii="Calibri" w:hAnsi="Calibri" w:cs="Calibri"/>
          <w:color w:val="auto"/>
          <w:szCs w:val="24"/>
        </w:rPr>
        <w:t>ve ZÚ</w:t>
      </w:r>
      <w:proofErr w:type="gramEnd"/>
      <w:r w:rsidR="003330BE" w:rsidRPr="00B52CAD">
        <w:rPr>
          <w:rFonts w:ascii="Calibri" w:hAnsi="Calibri" w:cs="Calibri"/>
          <w:color w:val="auto"/>
          <w:szCs w:val="24"/>
        </w:rPr>
        <w:t xml:space="preserve"> vykonán pouze jeden interní audit zaměřený na</w:t>
      </w:r>
      <w:r>
        <w:rPr>
          <w:rFonts w:ascii="Calibri" w:hAnsi="Calibri" w:cs="Calibri"/>
          <w:color w:val="auto"/>
          <w:szCs w:val="24"/>
        </w:rPr>
        <w:t xml:space="preserve"> </w:t>
      </w:r>
      <w:r w:rsidR="003330BE" w:rsidRPr="00B52CAD">
        <w:rPr>
          <w:rFonts w:ascii="Calibri" w:hAnsi="Calibri" w:cs="Calibri"/>
          <w:color w:val="auto"/>
          <w:szCs w:val="24"/>
        </w:rPr>
        <w:t>veřejné nakupování. Jelikož výdaje ZÚ na veřejné nákupy činily v letech 2017 až 2019 více než 1,3</w:t>
      </w:r>
      <w:r>
        <w:rPr>
          <w:rFonts w:ascii="Calibri" w:hAnsi="Calibri" w:cs="Calibri"/>
          <w:color w:val="auto"/>
          <w:szCs w:val="24"/>
        </w:rPr>
        <w:t> mld. </w:t>
      </w:r>
      <w:r w:rsidR="003330BE" w:rsidRPr="00B52CAD">
        <w:rPr>
          <w:rFonts w:ascii="Calibri" w:hAnsi="Calibri" w:cs="Calibri"/>
          <w:color w:val="auto"/>
          <w:szCs w:val="24"/>
        </w:rPr>
        <w:t>Kč a vzhledem ke kontrolou</w:t>
      </w:r>
      <w:r w:rsidR="00424A6C">
        <w:rPr>
          <w:rFonts w:ascii="Calibri" w:hAnsi="Calibri" w:cs="Calibri"/>
          <w:color w:val="auto"/>
          <w:szCs w:val="24"/>
        </w:rPr>
        <w:t xml:space="preserve"> </w:t>
      </w:r>
      <w:r w:rsidR="003330BE" w:rsidRPr="00B52CAD">
        <w:rPr>
          <w:rFonts w:ascii="Calibri" w:hAnsi="Calibri" w:cs="Calibri"/>
          <w:color w:val="auto"/>
          <w:szCs w:val="24"/>
        </w:rPr>
        <w:t xml:space="preserve">zjištěným nedostatkům, považuje NKÚ výkon interního auditu v této oblasti za nedostatečný. 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(</w:t>
      </w:r>
      <w:r w:rsidR="00424A6C">
        <w:rPr>
          <w:rFonts w:ascii="Calibri" w:eastAsia="Calibri" w:hAnsi="Calibri" w:cs="Calibri"/>
          <w:iCs/>
          <w:color w:val="auto"/>
          <w:szCs w:val="24"/>
        </w:rPr>
        <w:t>V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iz kapitola </w:t>
      </w:r>
      <w:proofErr w:type="gramStart"/>
      <w:r w:rsidR="003330BE" w:rsidRPr="00B52CAD">
        <w:rPr>
          <w:rFonts w:ascii="Calibri" w:eastAsia="Calibri" w:hAnsi="Calibri" w:cs="Calibri"/>
          <w:color w:val="auto"/>
          <w:szCs w:val="24"/>
        </w:rPr>
        <w:t>IV.3.3</w:t>
      </w:r>
      <w:proofErr w:type="gramEnd"/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 tohoto kontrolního závěru</w:t>
      </w:r>
      <w:r w:rsidR="00424A6C">
        <w:rPr>
          <w:rFonts w:ascii="Calibri" w:eastAsia="Calibri" w:hAnsi="Calibri" w:cs="Calibri"/>
          <w:iCs/>
          <w:color w:val="auto"/>
          <w:szCs w:val="24"/>
        </w:rPr>
        <w:t>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)</w:t>
      </w:r>
    </w:p>
    <w:p w14:paraId="651A1302" w14:textId="4F2EFAFF" w:rsidR="003330BE" w:rsidRPr="00B52CAD" w:rsidRDefault="002B2287" w:rsidP="002B2287">
      <w:pPr>
        <w:pStyle w:val="KZnormln"/>
        <w:spacing w:after="0"/>
        <w:ind w:left="369" w:hanging="369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szCs w:val="24"/>
        </w:rPr>
        <w:t xml:space="preserve">3.4 </w:t>
      </w:r>
      <w:r>
        <w:rPr>
          <w:rFonts w:ascii="Calibri" w:hAnsi="Calibri" w:cs="Calibri"/>
          <w:szCs w:val="24"/>
        </w:rPr>
        <w:tab/>
      </w:r>
      <w:r w:rsidR="003330BE" w:rsidRPr="00B52CAD">
        <w:rPr>
          <w:rFonts w:ascii="Calibri" w:hAnsi="Calibri" w:cs="Calibri"/>
          <w:szCs w:val="24"/>
        </w:rPr>
        <w:t>ZÚ v Ústí n. L. nepostupoval v souladu se zákonem o finanční kontrole</w:t>
      </w:r>
      <w:r w:rsidR="003330BE" w:rsidRPr="00B52CAD">
        <w:rPr>
          <w:rStyle w:val="Znakapoznpodarou"/>
          <w:rFonts w:ascii="Calibri" w:hAnsi="Calibri" w:cs="Calibri"/>
          <w:szCs w:val="24"/>
        </w:rPr>
        <w:footnoteReference w:id="18"/>
      </w:r>
      <w:r w:rsidR="003330BE" w:rsidRPr="00B52CAD">
        <w:rPr>
          <w:rFonts w:ascii="Calibri" w:hAnsi="Calibri" w:cs="Calibri"/>
          <w:szCs w:val="24"/>
        </w:rPr>
        <w:t xml:space="preserve">, když neprováděl analýzu ani vyhodnocování výhodnosti dlouhodobých smluv vzhledem k aktuálním podmínkám na trhu, přestože na základě těchto smluv uskutečňoval dlouhodobě průběžné nákupy. </w:t>
      </w:r>
      <w:r w:rsidR="003330BE" w:rsidRPr="00B52CAD">
        <w:rPr>
          <w:rFonts w:ascii="Calibri" w:eastAsia="Calibri" w:hAnsi="Calibri" w:cs="Calibri"/>
          <w:iCs/>
          <w:szCs w:val="24"/>
        </w:rPr>
        <w:t>(</w:t>
      </w:r>
      <w:r w:rsidR="00424A6C">
        <w:rPr>
          <w:rFonts w:ascii="Calibri" w:eastAsia="Calibri" w:hAnsi="Calibri" w:cs="Calibri"/>
          <w:iCs/>
          <w:szCs w:val="24"/>
        </w:rPr>
        <w:t>V</w:t>
      </w:r>
      <w:r w:rsidR="003330BE" w:rsidRPr="00B52CAD">
        <w:rPr>
          <w:rFonts w:ascii="Calibri" w:eastAsia="Calibri" w:hAnsi="Calibri" w:cs="Calibri"/>
          <w:iCs/>
          <w:szCs w:val="24"/>
        </w:rPr>
        <w:t xml:space="preserve">iz kapitola </w:t>
      </w:r>
      <w:proofErr w:type="gramStart"/>
      <w:r w:rsidR="003330BE" w:rsidRPr="00B52CAD">
        <w:rPr>
          <w:rFonts w:ascii="Calibri" w:eastAsia="Calibri" w:hAnsi="Calibri" w:cs="Calibri"/>
          <w:szCs w:val="24"/>
        </w:rPr>
        <w:t>IV.3.4</w:t>
      </w:r>
      <w:proofErr w:type="gramEnd"/>
      <w:r w:rsidR="003330BE" w:rsidRPr="00B52CAD">
        <w:rPr>
          <w:rFonts w:ascii="Calibri" w:eastAsia="Calibri" w:hAnsi="Calibri" w:cs="Calibri"/>
          <w:iCs/>
          <w:szCs w:val="24"/>
        </w:rPr>
        <w:t xml:space="preserve"> tohoto kontrolního závěru</w:t>
      </w:r>
      <w:r w:rsidR="00424A6C">
        <w:rPr>
          <w:rFonts w:ascii="Calibri" w:eastAsia="Calibri" w:hAnsi="Calibri" w:cs="Calibri"/>
          <w:iCs/>
          <w:szCs w:val="24"/>
        </w:rPr>
        <w:t>.</w:t>
      </w:r>
      <w:r w:rsidR="003330BE" w:rsidRPr="00B52CAD">
        <w:rPr>
          <w:rFonts w:ascii="Calibri" w:eastAsia="Calibri" w:hAnsi="Calibri" w:cs="Calibri"/>
          <w:iCs/>
          <w:szCs w:val="24"/>
        </w:rPr>
        <w:t>)</w:t>
      </w:r>
    </w:p>
    <w:p w14:paraId="34582B8A" w14:textId="585FEAA4" w:rsidR="003330BE" w:rsidRPr="00B52CAD" w:rsidRDefault="002B2287" w:rsidP="002B2287">
      <w:pPr>
        <w:pStyle w:val="KZnormln"/>
        <w:spacing w:after="0"/>
        <w:ind w:left="369" w:hanging="369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  <w:lang w:eastAsia="cs-CZ"/>
        </w:rPr>
        <w:t xml:space="preserve">3.5 </w:t>
      </w:r>
      <w:r>
        <w:rPr>
          <w:rFonts w:ascii="Calibri" w:hAnsi="Calibri" w:cs="Calibri"/>
          <w:color w:val="auto"/>
          <w:szCs w:val="24"/>
          <w:lang w:eastAsia="cs-CZ"/>
        </w:rPr>
        <w:tab/>
      </w:r>
      <w:r w:rsidR="003330BE" w:rsidRPr="00B52CAD">
        <w:rPr>
          <w:rFonts w:ascii="Calibri" w:hAnsi="Calibri" w:cs="Calibri"/>
          <w:color w:val="auto"/>
          <w:szCs w:val="24"/>
          <w:lang w:eastAsia="cs-CZ"/>
        </w:rPr>
        <w:t xml:space="preserve">ZÚ u realizovaných nákupů nevyhodnocovaly rizika závislosti na </w:t>
      </w:r>
      <w:r w:rsidR="003330BE" w:rsidRPr="00B52CAD">
        <w:rPr>
          <w:rFonts w:ascii="Calibri" w:hAnsi="Calibri" w:cs="Calibri"/>
          <w:color w:val="auto"/>
          <w:szCs w:val="24"/>
        </w:rPr>
        <w:t>jediném dodavateli.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 (Viz kapitola </w:t>
      </w:r>
      <w:proofErr w:type="gramStart"/>
      <w:r w:rsidR="003330BE" w:rsidRPr="00B52CAD">
        <w:rPr>
          <w:rFonts w:ascii="Calibri" w:eastAsia="Calibri" w:hAnsi="Calibri" w:cs="Calibri"/>
          <w:color w:val="auto"/>
          <w:szCs w:val="24"/>
        </w:rPr>
        <w:t>IV.3.5</w:t>
      </w:r>
      <w:proofErr w:type="gramEnd"/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 tohoto kontrolního závěru</w:t>
      </w:r>
      <w:r w:rsidR="00424A6C">
        <w:rPr>
          <w:rFonts w:ascii="Calibri" w:eastAsia="Calibri" w:hAnsi="Calibri" w:cs="Calibri"/>
          <w:iCs/>
          <w:color w:val="auto"/>
          <w:szCs w:val="24"/>
        </w:rPr>
        <w:t>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)</w:t>
      </w:r>
    </w:p>
    <w:p w14:paraId="358B119E" w14:textId="054038BD" w:rsidR="003330BE" w:rsidRPr="00B52CAD" w:rsidRDefault="002B2287" w:rsidP="002B2287">
      <w:pPr>
        <w:pStyle w:val="KZnormln"/>
        <w:spacing w:after="0"/>
        <w:ind w:left="369" w:hanging="369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3.6 </w:t>
      </w:r>
      <w:r>
        <w:rPr>
          <w:rFonts w:ascii="Calibri" w:hAnsi="Calibri" w:cs="Calibri"/>
          <w:color w:val="auto"/>
          <w:szCs w:val="24"/>
        </w:rPr>
        <w:tab/>
      </w:r>
      <w:r w:rsidR="003330BE" w:rsidRPr="00B52CAD">
        <w:rPr>
          <w:rFonts w:ascii="Calibri" w:hAnsi="Calibri" w:cs="Calibri"/>
          <w:color w:val="auto"/>
          <w:szCs w:val="24"/>
        </w:rPr>
        <w:t xml:space="preserve">ZÚ u veřejných nákupů nepostupovaly vždy tak, aby zajistily ochranu veřejných prostředků proti rizikům způsobeným nehospodárným, neefektivním a neúčelným nakládáním s veřejnými prostředky ve smyslu zákona o finanční kontrole. 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(Viz kapitola </w:t>
      </w:r>
      <w:proofErr w:type="gramStart"/>
      <w:r w:rsidR="003330BE" w:rsidRPr="00B52CAD">
        <w:rPr>
          <w:rFonts w:ascii="Calibri" w:eastAsia="Calibri" w:hAnsi="Calibri" w:cs="Calibri"/>
          <w:color w:val="auto"/>
          <w:szCs w:val="24"/>
        </w:rPr>
        <w:t>IV.3.6</w:t>
      </w:r>
      <w:proofErr w:type="gramEnd"/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 tohoto kontrolního závěru</w:t>
      </w:r>
      <w:r w:rsidR="00424A6C">
        <w:rPr>
          <w:rFonts w:ascii="Calibri" w:eastAsia="Calibri" w:hAnsi="Calibri" w:cs="Calibri"/>
          <w:iCs/>
          <w:color w:val="auto"/>
          <w:szCs w:val="24"/>
        </w:rPr>
        <w:t>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)</w:t>
      </w:r>
    </w:p>
    <w:p w14:paraId="332FB4FD" w14:textId="48B1DA01" w:rsidR="003330BE" w:rsidRPr="00B52CAD" w:rsidRDefault="003330BE" w:rsidP="002B2287">
      <w:pPr>
        <w:pStyle w:val="KZnormln"/>
        <w:keepNext/>
        <w:spacing w:after="0"/>
        <w:ind w:left="369"/>
        <w:rPr>
          <w:rFonts w:ascii="Calibri" w:hAnsi="Calibri" w:cs="Calibri"/>
          <w:color w:val="auto"/>
          <w:szCs w:val="24"/>
        </w:rPr>
      </w:pPr>
      <w:r w:rsidRPr="00B52CAD">
        <w:rPr>
          <w:rFonts w:ascii="Calibri" w:hAnsi="Calibri" w:cs="Calibri"/>
          <w:color w:val="auto"/>
          <w:szCs w:val="24"/>
        </w:rPr>
        <w:lastRenderedPageBreak/>
        <w:t>Zdravotní ústavy:</w:t>
      </w:r>
    </w:p>
    <w:p w14:paraId="483F188A" w14:textId="6C74D23B" w:rsidR="003330BE" w:rsidRPr="00B52CAD" w:rsidRDefault="003330BE" w:rsidP="002B2287">
      <w:pPr>
        <w:numPr>
          <w:ilvl w:val="0"/>
          <w:numId w:val="8"/>
        </w:numPr>
        <w:spacing w:after="0" w:line="240" w:lineRule="auto"/>
        <w:ind w:left="738" w:hanging="369"/>
        <w:jc w:val="both"/>
        <w:rPr>
          <w:rFonts w:ascii="Calibri" w:eastAsia="Times New Roman" w:hAnsi="Calibri" w:cs="Calibri"/>
          <w:sz w:val="24"/>
          <w:szCs w:val="24"/>
        </w:rPr>
      </w:pPr>
      <w:r w:rsidRPr="00B52CAD">
        <w:rPr>
          <w:rFonts w:ascii="Calibri" w:eastAsia="Times New Roman" w:hAnsi="Calibri" w:cs="Calibri"/>
          <w:sz w:val="24"/>
          <w:szCs w:val="24"/>
        </w:rPr>
        <w:t xml:space="preserve">realizovaly nákupy bez jasně identifikovaných a zdůvodněných potřeb, </w:t>
      </w:r>
      <w:r w:rsidR="00DB0552">
        <w:rPr>
          <w:rFonts w:ascii="Calibri" w:eastAsia="Times New Roman" w:hAnsi="Calibri" w:cs="Calibri"/>
          <w:sz w:val="24"/>
          <w:szCs w:val="24"/>
        </w:rPr>
        <w:t>aniž by provedly</w:t>
      </w:r>
      <w:r w:rsidRPr="00B52CAD">
        <w:rPr>
          <w:rFonts w:ascii="Calibri" w:eastAsia="Times New Roman" w:hAnsi="Calibri" w:cs="Calibri"/>
          <w:sz w:val="24"/>
          <w:szCs w:val="24"/>
        </w:rPr>
        <w:t xml:space="preserve"> výběr optimální </w:t>
      </w:r>
      <w:r w:rsidRPr="00B52CAD">
        <w:rPr>
          <w:rFonts w:ascii="Calibri" w:eastAsia="Times New Roman" w:hAnsi="Calibri" w:cs="Calibri"/>
          <w:color w:val="000000"/>
          <w:sz w:val="24"/>
          <w:szCs w:val="24"/>
        </w:rPr>
        <w:t xml:space="preserve">varianty uspokojení potřeby, což mělo negativní vliv na kvalitu </w:t>
      </w:r>
      <w:r w:rsidRPr="00B52CAD">
        <w:rPr>
          <w:rFonts w:ascii="Calibri" w:eastAsia="Times New Roman" w:hAnsi="Calibri" w:cs="Calibri"/>
          <w:sz w:val="24"/>
          <w:szCs w:val="24"/>
        </w:rPr>
        <w:t>předběžné řídící kontroly před vznikem závazku</w:t>
      </w:r>
      <w:r w:rsidRPr="00B52CAD">
        <w:rPr>
          <w:rStyle w:val="Znakapoznpodarou"/>
          <w:rFonts w:ascii="Calibri" w:hAnsi="Calibri" w:cs="Calibri"/>
          <w:sz w:val="24"/>
          <w:szCs w:val="24"/>
        </w:rPr>
        <w:footnoteReference w:id="19"/>
      </w:r>
      <w:r w:rsidRPr="00B52CAD">
        <w:rPr>
          <w:rFonts w:ascii="Calibri" w:eastAsia="Times New Roman" w:hAnsi="Calibri" w:cs="Calibri"/>
          <w:sz w:val="24"/>
          <w:szCs w:val="24"/>
        </w:rPr>
        <w:t xml:space="preserve"> </w:t>
      </w:r>
      <w:r w:rsidRPr="00B52CAD">
        <w:rPr>
          <w:rFonts w:ascii="Calibri" w:eastAsia="Calibri" w:hAnsi="Calibri" w:cs="Calibri"/>
          <w:iCs/>
          <w:sz w:val="24"/>
          <w:szCs w:val="24"/>
        </w:rPr>
        <w:t>(</w:t>
      </w:r>
      <w:r w:rsidR="00DB0552">
        <w:rPr>
          <w:rFonts w:ascii="Calibri" w:eastAsia="Calibri" w:hAnsi="Calibri" w:cs="Calibri"/>
          <w:iCs/>
          <w:sz w:val="24"/>
          <w:szCs w:val="24"/>
        </w:rPr>
        <w:t>v</w:t>
      </w:r>
      <w:r w:rsidRPr="00B52CAD">
        <w:rPr>
          <w:rFonts w:ascii="Calibri" w:eastAsia="Calibri" w:hAnsi="Calibri" w:cs="Calibri"/>
          <w:iCs/>
          <w:sz w:val="24"/>
          <w:szCs w:val="24"/>
        </w:rPr>
        <w:t xml:space="preserve">iz kapitola </w:t>
      </w:r>
      <w:proofErr w:type="gramStart"/>
      <w:r w:rsidRPr="00B52CAD">
        <w:rPr>
          <w:rFonts w:ascii="Calibri" w:eastAsia="Calibri" w:hAnsi="Calibri" w:cs="Calibri"/>
          <w:sz w:val="24"/>
          <w:szCs w:val="24"/>
        </w:rPr>
        <w:t>IV.3.6.1</w:t>
      </w:r>
      <w:proofErr w:type="gramEnd"/>
      <w:r w:rsidRPr="00B52CAD">
        <w:rPr>
          <w:rFonts w:ascii="Calibri" w:eastAsia="Calibri" w:hAnsi="Calibri" w:cs="Calibri"/>
          <w:iCs/>
          <w:sz w:val="24"/>
          <w:szCs w:val="24"/>
        </w:rPr>
        <w:t xml:space="preserve"> tohoto kontrolního závěru);</w:t>
      </w:r>
    </w:p>
    <w:p w14:paraId="379D3CAD" w14:textId="3FC21596" w:rsidR="003330BE" w:rsidRPr="00B52CAD" w:rsidRDefault="003330BE" w:rsidP="002B2287">
      <w:pPr>
        <w:numPr>
          <w:ilvl w:val="0"/>
          <w:numId w:val="8"/>
        </w:numPr>
        <w:spacing w:after="0" w:line="240" w:lineRule="auto"/>
        <w:ind w:left="738" w:hanging="369"/>
        <w:jc w:val="both"/>
        <w:rPr>
          <w:rFonts w:ascii="Calibri" w:eastAsia="Times New Roman" w:hAnsi="Calibri" w:cs="Calibri"/>
          <w:sz w:val="24"/>
          <w:szCs w:val="24"/>
        </w:rPr>
      </w:pPr>
      <w:r w:rsidRPr="00B52CAD">
        <w:rPr>
          <w:rFonts w:ascii="Calibri" w:eastAsia="Times New Roman" w:hAnsi="Calibri" w:cs="Calibri"/>
          <w:sz w:val="24"/>
          <w:szCs w:val="24"/>
        </w:rPr>
        <w:t>nestanovily měřitelné indikátory očekávaných výsledků pro vyhodnocení veřejných nákupů</w:t>
      </w:r>
      <w:r w:rsidRPr="00B52CAD">
        <w:rPr>
          <w:rStyle w:val="Znakapoznpodarou"/>
          <w:rFonts w:ascii="Calibri" w:hAnsi="Calibri" w:cs="Calibri"/>
          <w:sz w:val="24"/>
          <w:szCs w:val="24"/>
        </w:rPr>
        <w:footnoteReference w:id="20"/>
      </w:r>
      <w:r w:rsidRPr="00B52CAD">
        <w:rPr>
          <w:rFonts w:ascii="Calibri" w:eastAsia="Times New Roman" w:hAnsi="Calibri" w:cs="Calibri"/>
          <w:sz w:val="24"/>
          <w:szCs w:val="24"/>
        </w:rPr>
        <w:t xml:space="preserve"> </w:t>
      </w:r>
      <w:r w:rsidRPr="00B52CAD">
        <w:rPr>
          <w:rFonts w:ascii="Calibri" w:eastAsia="Calibri" w:hAnsi="Calibri" w:cs="Calibri"/>
          <w:iCs/>
          <w:sz w:val="24"/>
          <w:szCs w:val="24"/>
        </w:rPr>
        <w:t>(</w:t>
      </w:r>
      <w:r w:rsidR="00DB0552">
        <w:rPr>
          <w:rFonts w:ascii="Calibri" w:eastAsia="Calibri" w:hAnsi="Calibri" w:cs="Calibri"/>
          <w:iCs/>
          <w:sz w:val="24"/>
          <w:szCs w:val="24"/>
        </w:rPr>
        <w:t>v</w:t>
      </w:r>
      <w:r w:rsidRPr="00B52CAD">
        <w:rPr>
          <w:rFonts w:ascii="Calibri" w:eastAsia="Calibri" w:hAnsi="Calibri" w:cs="Calibri"/>
          <w:iCs/>
          <w:sz w:val="24"/>
          <w:szCs w:val="24"/>
        </w:rPr>
        <w:t xml:space="preserve">iz kapitola </w:t>
      </w:r>
      <w:proofErr w:type="gramStart"/>
      <w:r w:rsidRPr="00B52CAD">
        <w:rPr>
          <w:rFonts w:ascii="Calibri" w:eastAsia="Calibri" w:hAnsi="Calibri" w:cs="Calibri"/>
          <w:sz w:val="24"/>
          <w:szCs w:val="24"/>
        </w:rPr>
        <w:t>IV.3.6.2</w:t>
      </w:r>
      <w:proofErr w:type="gramEnd"/>
      <w:r w:rsidRPr="00B52CAD">
        <w:rPr>
          <w:rFonts w:ascii="Calibri" w:eastAsia="Calibri" w:hAnsi="Calibri" w:cs="Calibri"/>
          <w:iCs/>
          <w:sz w:val="24"/>
          <w:szCs w:val="24"/>
        </w:rPr>
        <w:t xml:space="preserve"> tohoto kontrolního závěru);</w:t>
      </w:r>
    </w:p>
    <w:p w14:paraId="262D8AD2" w14:textId="3A2DA556" w:rsidR="003330BE" w:rsidRPr="00B52CAD" w:rsidRDefault="003330BE" w:rsidP="002B2287">
      <w:pPr>
        <w:numPr>
          <w:ilvl w:val="0"/>
          <w:numId w:val="8"/>
        </w:numPr>
        <w:spacing w:after="0" w:line="240" w:lineRule="auto"/>
        <w:ind w:left="738" w:hanging="369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52CAD">
        <w:rPr>
          <w:rFonts w:ascii="Calibri" w:eastAsia="Times New Roman" w:hAnsi="Calibri" w:cs="Calibri"/>
          <w:sz w:val="24"/>
          <w:szCs w:val="24"/>
          <w:lang w:eastAsia="cs-CZ"/>
        </w:rPr>
        <w:t>nevyhodnocovaly získané věcné, časové a finanční údaje o provedených veřejných nákupech ve vztahu k přípravě a uskutečňování dalších nákupů, čímž nezajistily funkční zpětnou vazbu. Neprováděly tak ani průběžnou kontrolu</w:t>
      </w:r>
      <w:r w:rsidRPr="00B52CAD">
        <w:rPr>
          <w:rStyle w:val="Znakapoznpodarou"/>
          <w:rFonts w:ascii="Calibri" w:hAnsi="Calibri" w:cs="Calibri"/>
          <w:sz w:val="24"/>
          <w:szCs w:val="24"/>
        </w:rPr>
        <w:footnoteReference w:id="21"/>
      </w:r>
      <w:r w:rsidRPr="00B52CAD">
        <w:rPr>
          <w:rFonts w:ascii="Calibri" w:eastAsia="Times New Roman" w:hAnsi="Calibri" w:cs="Calibri"/>
          <w:sz w:val="24"/>
          <w:szCs w:val="24"/>
          <w:lang w:eastAsia="cs-CZ"/>
        </w:rPr>
        <w:t xml:space="preserve"> (</w:t>
      </w:r>
      <w:r w:rsidR="00DB0552">
        <w:rPr>
          <w:rFonts w:ascii="Calibri" w:eastAsia="Times New Roman" w:hAnsi="Calibri" w:cs="Calibri"/>
          <w:sz w:val="24"/>
          <w:szCs w:val="24"/>
          <w:lang w:eastAsia="cs-CZ"/>
        </w:rPr>
        <w:t>v</w:t>
      </w:r>
      <w:r w:rsidRPr="00B52CAD">
        <w:rPr>
          <w:rFonts w:ascii="Calibri" w:eastAsia="Times New Roman" w:hAnsi="Calibri" w:cs="Calibri"/>
          <w:sz w:val="24"/>
          <w:szCs w:val="24"/>
          <w:lang w:eastAsia="cs-CZ"/>
        </w:rPr>
        <w:t>iz ka</w:t>
      </w:r>
      <w:r w:rsidRPr="00B52CAD">
        <w:rPr>
          <w:rFonts w:ascii="Calibri" w:eastAsia="Calibri" w:hAnsi="Calibri" w:cs="Calibri"/>
          <w:iCs/>
          <w:sz w:val="24"/>
          <w:szCs w:val="24"/>
          <w:lang w:eastAsia="cs-CZ"/>
        </w:rPr>
        <w:t xml:space="preserve">pitola </w:t>
      </w:r>
      <w:proofErr w:type="gramStart"/>
      <w:r w:rsidRPr="00B52CAD">
        <w:rPr>
          <w:rFonts w:ascii="Calibri" w:eastAsia="Calibri" w:hAnsi="Calibri" w:cs="Calibri"/>
          <w:sz w:val="24"/>
          <w:szCs w:val="24"/>
          <w:lang w:eastAsia="cs-CZ"/>
        </w:rPr>
        <w:t>IV.3.6</w:t>
      </w:r>
      <w:r w:rsidR="00DB0552">
        <w:rPr>
          <w:rFonts w:ascii="Calibri" w:eastAsia="Calibri" w:hAnsi="Calibri" w:cs="Calibri"/>
          <w:sz w:val="24"/>
          <w:szCs w:val="24"/>
          <w:lang w:eastAsia="cs-CZ"/>
        </w:rPr>
        <w:t>.</w:t>
      </w:r>
      <w:r w:rsidRPr="00B52CAD">
        <w:rPr>
          <w:rFonts w:ascii="Calibri" w:eastAsia="Calibri" w:hAnsi="Calibri" w:cs="Calibri"/>
          <w:sz w:val="24"/>
          <w:szCs w:val="24"/>
          <w:lang w:eastAsia="cs-CZ"/>
        </w:rPr>
        <w:t>3</w:t>
      </w:r>
      <w:proofErr w:type="gramEnd"/>
      <w:r w:rsidRPr="00B52CAD">
        <w:rPr>
          <w:rFonts w:ascii="Calibri" w:eastAsia="Calibri" w:hAnsi="Calibri" w:cs="Calibri"/>
          <w:iCs/>
          <w:sz w:val="24"/>
          <w:szCs w:val="24"/>
          <w:lang w:eastAsia="cs-CZ"/>
        </w:rPr>
        <w:t xml:space="preserve"> tohoto kontrolního závěru).</w:t>
      </w:r>
    </w:p>
    <w:p w14:paraId="3C336930" w14:textId="0158264F" w:rsidR="003330BE" w:rsidRPr="00B52CAD" w:rsidRDefault="00957AC9" w:rsidP="00957AC9">
      <w:pPr>
        <w:pStyle w:val="KZnormln"/>
        <w:spacing w:after="0"/>
        <w:ind w:left="369" w:hanging="369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3.7 </w:t>
      </w:r>
      <w:r>
        <w:rPr>
          <w:rFonts w:ascii="Calibri" w:hAnsi="Calibri" w:cs="Calibri"/>
          <w:color w:val="auto"/>
          <w:szCs w:val="24"/>
        </w:rPr>
        <w:tab/>
      </w:r>
      <w:r w:rsidR="003330BE" w:rsidRPr="00B52CAD">
        <w:rPr>
          <w:rFonts w:ascii="Calibri" w:hAnsi="Calibri" w:cs="Calibri"/>
          <w:color w:val="auto"/>
          <w:szCs w:val="24"/>
        </w:rPr>
        <w:t xml:space="preserve">ZÚ u prověřovaných veřejných nákupů vynaložily (použily) peněžní prostředky v celkové výši přesahující 168 mil. Kč neoprávněně (z toho ZÚ v Ostravě ve výši 11 mil. Kč a ZÚ v Ústí n. L. ve výši 157 mil. Kč), neboť nepostupovaly v souladu se zákonem o zadávání veřejných zakázek a v souladu </w:t>
      </w:r>
      <w:r w:rsidR="00DB0552">
        <w:rPr>
          <w:rFonts w:ascii="Calibri" w:hAnsi="Calibri" w:cs="Calibri"/>
          <w:color w:val="auto"/>
          <w:szCs w:val="24"/>
        </w:rPr>
        <w:t>s </w:t>
      </w:r>
      <w:r w:rsidR="003330BE" w:rsidRPr="00B52CAD">
        <w:rPr>
          <w:rFonts w:ascii="Calibri" w:hAnsi="Calibri" w:cs="Calibri"/>
          <w:color w:val="auto"/>
          <w:szCs w:val="24"/>
        </w:rPr>
        <w:t>rozpočtový</w:t>
      </w:r>
      <w:r w:rsidR="00DB0552">
        <w:rPr>
          <w:rFonts w:ascii="Calibri" w:hAnsi="Calibri" w:cs="Calibri"/>
          <w:color w:val="auto"/>
          <w:szCs w:val="24"/>
        </w:rPr>
        <w:t>mi</w:t>
      </w:r>
      <w:r w:rsidR="003330BE" w:rsidRPr="00B52CAD">
        <w:rPr>
          <w:rFonts w:ascii="Calibri" w:hAnsi="Calibri" w:cs="Calibri"/>
          <w:color w:val="auto"/>
          <w:szCs w:val="24"/>
        </w:rPr>
        <w:t xml:space="preserve"> pravidl</w:t>
      </w:r>
      <w:r w:rsidR="00DB0552">
        <w:rPr>
          <w:rFonts w:ascii="Calibri" w:hAnsi="Calibri" w:cs="Calibri"/>
          <w:color w:val="auto"/>
          <w:szCs w:val="24"/>
        </w:rPr>
        <w:t>y</w:t>
      </w:r>
      <w:r w:rsidR="003330BE" w:rsidRPr="00B52CAD">
        <w:rPr>
          <w:rFonts w:ascii="Calibri" w:hAnsi="Calibri" w:cs="Calibri"/>
          <w:color w:val="auto"/>
          <w:szCs w:val="24"/>
        </w:rPr>
        <w:t xml:space="preserve">. ZÚ pořizovaly nákupy bez zadání veřejné zakázky v zadávacím (výběrovém) řízení, nedodržely zásady transparentnosti a zákazu diskriminace; nepoužily peněžní prostředky nejhospodárnějším způsobem a nepoužily je ani na krytí nezbytných potřeb zdravotního ústavu. NKÚ porušení zákona o zadávání veřejných zakázek zjistil zejména u veřejných zakázek, které ZÚ realizovaly jako zakázky malého rozsahu, resp. nákupy realizované přímým zadáním. Na základě těchto zjištění podal NKÚ oznámení příslušnému správci daně. 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(Viz kapitola </w:t>
      </w:r>
      <w:proofErr w:type="gramStart"/>
      <w:r w:rsidR="003330BE" w:rsidRPr="00B52CAD">
        <w:rPr>
          <w:rFonts w:ascii="Calibri" w:eastAsia="Calibri" w:hAnsi="Calibri" w:cs="Calibri"/>
          <w:color w:val="auto"/>
          <w:szCs w:val="24"/>
        </w:rPr>
        <w:t>IV.3.7</w:t>
      </w:r>
      <w:proofErr w:type="gramEnd"/>
      <w:r w:rsidR="003330BE" w:rsidRPr="00B52CAD">
        <w:rPr>
          <w:rFonts w:ascii="Calibri" w:eastAsia="Calibri" w:hAnsi="Calibri" w:cs="Calibri"/>
          <w:iCs/>
          <w:color w:val="auto"/>
          <w:szCs w:val="24"/>
        </w:rPr>
        <w:t xml:space="preserve"> tohoto kontrolního závěru</w:t>
      </w:r>
      <w:r w:rsidR="00DB0552">
        <w:rPr>
          <w:rFonts w:ascii="Calibri" w:eastAsia="Calibri" w:hAnsi="Calibri" w:cs="Calibri"/>
          <w:iCs/>
          <w:color w:val="auto"/>
          <w:szCs w:val="24"/>
        </w:rPr>
        <w:t>.</w:t>
      </w:r>
      <w:r w:rsidR="003330BE" w:rsidRPr="00B52CAD">
        <w:rPr>
          <w:rFonts w:ascii="Calibri" w:eastAsia="Calibri" w:hAnsi="Calibri" w:cs="Calibri"/>
          <w:iCs/>
          <w:color w:val="auto"/>
          <w:szCs w:val="24"/>
        </w:rPr>
        <w:t>)</w:t>
      </w:r>
    </w:p>
    <w:p w14:paraId="1B573A8B" w14:textId="77777777" w:rsidR="003330BE" w:rsidRPr="00B52CAD" w:rsidRDefault="003330BE" w:rsidP="00B52CAD">
      <w:pPr>
        <w:pStyle w:val="KZnormln"/>
        <w:spacing w:after="0"/>
        <w:rPr>
          <w:rFonts w:ascii="Calibri" w:hAnsi="Calibri" w:cs="Calibri"/>
          <w:szCs w:val="24"/>
        </w:rPr>
      </w:pPr>
    </w:p>
    <w:p w14:paraId="7C6DB3BE" w14:textId="77777777" w:rsidR="003330BE" w:rsidRPr="00B52CAD" w:rsidRDefault="003330BE" w:rsidP="00B52CAD">
      <w:pPr>
        <w:pStyle w:val="KZnormln"/>
        <w:spacing w:after="0"/>
        <w:rPr>
          <w:rFonts w:ascii="Calibri" w:hAnsi="Calibri" w:cs="Calibri"/>
          <w:b/>
          <w:szCs w:val="24"/>
        </w:rPr>
      </w:pPr>
      <w:r w:rsidRPr="00B52CAD">
        <w:rPr>
          <w:rFonts w:ascii="Calibri" w:hAnsi="Calibri" w:cs="Calibri"/>
          <w:b/>
          <w:szCs w:val="24"/>
        </w:rPr>
        <w:t>Doporučení NKÚ</w:t>
      </w:r>
    </w:p>
    <w:p w14:paraId="17958AA5" w14:textId="77777777" w:rsidR="008303BF" w:rsidRPr="00B52CAD" w:rsidRDefault="008303BF" w:rsidP="008303BF">
      <w:pPr>
        <w:pStyle w:val="KZnormln"/>
        <w:spacing w:after="0"/>
        <w:rPr>
          <w:rFonts w:ascii="Calibri" w:hAnsi="Calibri" w:cs="Calibri"/>
          <w:szCs w:val="24"/>
        </w:rPr>
      </w:pPr>
    </w:p>
    <w:p w14:paraId="5EF490EA" w14:textId="0089076A" w:rsidR="003330BE" w:rsidRPr="00B52CAD" w:rsidRDefault="003330BE" w:rsidP="00B52CAD">
      <w:pPr>
        <w:pStyle w:val="KZnormln"/>
        <w:spacing w:after="0"/>
        <w:rPr>
          <w:rFonts w:ascii="Calibri" w:hAnsi="Calibri" w:cs="Calibri"/>
          <w:b/>
          <w:color w:val="auto"/>
          <w:szCs w:val="24"/>
        </w:rPr>
      </w:pPr>
      <w:r w:rsidRPr="00B52CAD">
        <w:rPr>
          <w:rFonts w:ascii="Calibri" w:hAnsi="Calibri" w:cs="Calibri"/>
          <w:b/>
          <w:color w:val="auto"/>
          <w:szCs w:val="24"/>
        </w:rPr>
        <w:t xml:space="preserve">NKÚ </w:t>
      </w:r>
      <w:r w:rsidR="00DB0552">
        <w:rPr>
          <w:rFonts w:ascii="Calibri" w:hAnsi="Calibri" w:cs="Calibri"/>
          <w:b/>
          <w:color w:val="auto"/>
          <w:szCs w:val="24"/>
        </w:rPr>
        <w:t xml:space="preserve">doporučuje </w:t>
      </w:r>
      <w:r w:rsidRPr="00B52CAD">
        <w:rPr>
          <w:rFonts w:ascii="Calibri" w:hAnsi="Calibri" w:cs="Calibri"/>
          <w:b/>
          <w:color w:val="auto"/>
          <w:szCs w:val="24"/>
        </w:rPr>
        <w:t>ve vazbě na působnost Ministerstva zdravotnictví ke zdravotním ústavům:</w:t>
      </w:r>
    </w:p>
    <w:p w14:paraId="67684AF4" w14:textId="2E36D958" w:rsidR="003330BE" w:rsidRPr="00B52CAD" w:rsidRDefault="00DB0552" w:rsidP="00B52CAD">
      <w:pPr>
        <w:pStyle w:val="KZnormln"/>
        <w:numPr>
          <w:ilvl w:val="0"/>
          <w:numId w:val="3"/>
        </w:numPr>
        <w:spacing w:after="0"/>
        <w:ind w:left="284" w:hanging="284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z</w:t>
      </w:r>
      <w:r w:rsidR="003330BE" w:rsidRPr="00B52CAD">
        <w:rPr>
          <w:rFonts w:ascii="Calibri" w:hAnsi="Calibri" w:cs="Calibri"/>
          <w:color w:val="auto"/>
          <w:szCs w:val="24"/>
        </w:rPr>
        <w:t>apracovat obsah a rozsah činností zdravotních ústavů včetně jejich postavení ve struktuře orgánů ochrany a podpory veřejného zdraví do koncepce ochrany a podpory zdraví</w:t>
      </w:r>
      <w:r>
        <w:rPr>
          <w:rFonts w:ascii="Calibri" w:hAnsi="Calibri" w:cs="Calibri"/>
          <w:color w:val="auto"/>
          <w:szCs w:val="24"/>
        </w:rPr>
        <w:t>;</w:t>
      </w:r>
    </w:p>
    <w:p w14:paraId="27106CB3" w14:textId="29B1B48C" w:rsidR="003330BE" w:rsidRPr="00B52CAD" w:rsidRDefault="00DB0552" w:rsidP="00B52CAD">
      <w:pPr>
        <w:pStyle w:val="KZnormln"/>
        <w:numPr>
          <w:ilvl w:val="0"/>
          <w:numId w:val="3"/>
        </w:numPr>
        <w:spacing w:after="0"/>
        <w:ind w:left="284" w:hanging="284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p</w:t>
      </w:r>
      <w:r w:rsidR="003330BE" w:rsidRPr="00B52CAD">
        <w:rPr>
          <w:rFonts w:ascii="Calibri" w:hAnsi="Calibri" w:cs="Calibri"/>
          <w:color w:val="auto"/>
          <w:szCs w:val="24"/>
        </w:rPr>
        <w:t xml:space="preserve">okud </w:t>
      </w:r>
      <w:proofErr w:type="spellStart"/>
      <w:r w:rsidR="003330BE" w:rsidRPr="00B52CAD">
        <w:rPr>
          <w:rFonts w:ascii="Calibri" w:hAnsi="Calibri" w:cs="Calibri"/>
          <w:color w:val="auto"/>
          <w:szCs w:val="24"/>
        </w:rPr>
        <w:t>MZd</w:t>
      </w:r>
      <w:proofErr w:type="spellEnd"/>
      <w:r w:rsidR="003330BE" w:rsidRPr="00B52CAD">
        <w:rPr>
          <w:rFonts w:ascii="Calibri" w:hAnsi="Calibri" w:cs="Calibri"/>
          <w:color w:val="auto"/>
          <w:szCs w:val="24"/>
        </w:rPr>
        <w:t xml:space="preserve"> v rámci připravované koncepce pro ZÚ i nadále počítá s poskytováním služeb hrazených, ať již z veřejného zdravotního pojištění nebo přímo jejich odběrateli, ve standardním konkurenčním prostředí, vytvořit podmínky pro postavení ZÚ na tomto trhu, kde působí řada dalších poskytovatelů obdobných služeb</w:t>
      </w:r>
      <w:r>
        <w:rPr>
          <w:rFonts w:ascii="Calibri" w:hAnsi="Calibri" w:cs="Calibri"/>
          <w:color w:val="auto"/>
          <w:szCs w:val="24"/>
        </w:rPr>
        <w:t>;</w:t>
      </w:r>
    </w:p>
    <w:p w14:paraId="3C26E4BF" w14:textId="35570815" w:rsidR="003330BE" w:rsidRPr="00B52CAD" w:rsidRDefault="00DB0552" w:rsidP="00B52CAD">
      <w:pPr>
        <w:pStyle w:val="KZnormln"/>
        <w:numPr>
          <w:ilvl w:val="0"/>
          <w:numId w:val="3"/>
        </w:numPr>
        <w:spacing w:after="0"/>
        <w:ind w:left="284" w:hanging="284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p</w:t>
      </w:r>
      <w:r w:rsidR="003330BE" w:rsidRPr="00B52CAD">
        <w:rPr>
          <w:rFonts w:ascii="Calibri" w:hAnsi="Calibri" w:cs="Calibri"/>
          <w:color w:val="auto"/>
          <w:szCs w:val="24"/>
        </w:rPr>
        <w:t>řistupovat systematicky k oblasti stanovení výše příspěvku na provoz zdravotních ústavů tak, aby bylo dlouhodobě zajištěno udržitelné financování jejich činností pro stát a eliminovat riziko nedovolené veřejné podpory</w:t>
      </w:r>
      <w:r>
        <w:rPr>
          <w:rFonts w:ascii="Calibri" w:hAnsi="Calibri" w:cs="Calibri"/>
          <w:color w:val="auto"/>
          <w:szCs w:val="24"/>
        </w:rPr>
        <w:t>;</w:t>
      </w:r>
    </w:p>
    <w:p w14:paraId="3B22456F" w14:textId="66CF9D40" w:rsidR="003330BE" w:rsidRPr="00B52CAD" w:rsidRDefault="00DB0552" w:rsidP="00B52CAD">
      <w:pPr>
        <w:pStyle w:val="KZnormln"/>
        <w:numPr>
          <w:ilvl w:val="0"/>
          <w:numId w:val="3"/>
        </w:numPr>
        <w:spacing w:after="0"/>
        <w:ind w:left="284" w:hanging="284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i</w:t>
      </w:r>
      <w:r w:rsidR="003330BE" w:rsidRPr="00B52CAD">
        <w:rPr>
          <w:rFonts w:ascii="Calibri" w:hAnsi="Calibri" w:cs="Calibri"/>
          <w:color w:val="auto"/>
          <w:szCs w:val="24"/>
        </w:rPr>
        <w:t>niciovat změnu stávajícího systému úhrad služeb poskytovaných v oblasti laboratorních vyšetření a diagnostiky hrazených z veřejného zdravotního pojištění</w:t>
      </w:r>
      <w:r>
        <w:rPr>
          <w:rFonts w:ascii="Calibri" w:hAnsi="Calibri" w:cs="Calibri"/>
          <w:color w:val="auto"/>
          <w:szCs w:val="24"/>
        </w:rPr>
        <w:t>;</w:t>
      </w:r>
    </w:p>
    <w:p w14:paraId="61ACB72D" w14:textId="45D0955D" w:rsidR="00E87442" w:rsidRDefault="00DB0552" w:rsidP="00B52CAD">
      <w:pPr>
        <w:pStyle w:val="KZnormln"/>
        <w:numPr>
          <w:ilvl w:val="0"/>
          <w:numId w:val="3"/>
        </w:numPr>
        <w:spacing w:after="0"/>
        <w:ind w:left="284" w:hanging="284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z</w:t>
      </w:r>
      <w:r w:rsidR="003330BE" w:rsidRPr="00B52CAD">
        <w:rPr>
          <w:rFonts w:ascii="Calibri" w:hAnsi="Calibri" w:cs="Calibri"/>
          <w:color w:val="auto"/>
          <w:szCs w:val="24"/>
        </w:rPr>
        <w:t xml:space="preserve">apojit ZÚ do sdružených nákupů komodit, u nichž by případné společné zadávání s dalšími organizacemi v resortu vedlo k zefektivnění nákupů a úsporám veřejných prostředků; </w:t>
      </w:r>
    </w:p>
    <w:p w14:paraId="2CCE8932" w14:textId="51EF3AB9" w:rsidR="003330BE" w:rsidRPr="00B52CAD" w:rsidRDefault="003330BE" w:rsidP="00B52CAD">
      <w:pPr>
        <w:pStyle w:val="KZnormln"/>
        <w:numPr>
          <w:ilvl w:val="0"/>
          <w:numId w:val="3"/>
        </w:numPr>
        <w:spacing w:after="0"/>
        <w:ind w:left="284" w:hanging="284"/>
        <w:rPr>
          <w:rFonts w:ascii="Calibri" w:hAnsi="Calibri" w:cs="Calibri"/>
          <w:color w:val="auto"/>
          <w:szCs w:val="24"/>
        </w:rPr>
      </w:pPr>
      <w:r w:rsidRPr="00B52CAD">
        <w:rPr>
          <w:rFonts w:ascii="Calibri" w:hAnsi="Calibri" w:cs="Calibri"/>
          <w:color w:val="auto"/>
          <w:szCs w:val="24"/>
        </w:rPr>
        <w:t>sdílet se zdravotními ústavy resortní data o množství a cenách nakupovaných komodit z oblasti laboratorních služeb.</w:t>
      </w:r>
    </w:p>
    <w:p w14:paraId="0A71FCCA" w14:textId="77777777" w:rsidR="003330BE" w:rsidRPr="00B52CAD" w:rsidRDefault="003330BE" w:rsidP="00B52CAD">
      <w:pPr>
        <w:pStyle w:val="KZnormln"/>
        <w:spacing w:after="0"/>
        <w:rPr>
          <w:rFonts w:ascii="Calibri" w:hAnsi="Calibri" w:cs="Calibri"/>
          <w:color w:val="auto"/>
          <w:szCs w:val="24"/>
        </w:rPr>
      </w:pPr>
    </w:p>
    <w:p w14:paraId="51FB78A5" w14:textId="5BCB9275" w:rsidR="003330BE" w:rsidRPr="00B52CAD" w:rsidRDefault="003330BE" w:rsidP="00B52CAD">
      <w:pPr>
        <w:keepNext/>
        <w:keepLines/>
        <w:tabs>
          <w:tab w:val="left" w:pos="567"/>
        </w:tabs>
        <w:spacing w:after="0" w:line="240" w:lineRule="auto"/>
        <w:outlineLvl w:val="0"/>
        <w:rPr>
          <w:rFonts w:ascii="Calibri" w:eastAsiaTheme="majorEastAsia" w:hAnsi="Calibri" w:cs="Calibri"/>
          <w:b/>
          <w:sz w:val="24"/>
          <w:szCs w:val="24"/>
          <w:highlight w:val="yellow"/>
        </w:rPr>
      </w:pPr>
      <w:r w:rsidRPr="00B52CAD">
        <w:rPr>
          <w:rFonts w:ascii="Calibri" w:eastAsiaTheme="majorEastAsia" w:hAnsi="Calibri" w:cs="Calibri"/>
          <w:b/>
          <w:sz w:val="24"/>
          <w:szCs w:val="24"/>
        </w:rPr>
        <w:lastRenderedPageBreak/>
        <w:t xml:space="preserve">NKÚ </w:t>
      </w:r>
      <w:r w:rsidR="00E87442">
        <w:rPr>
          <w:rFonts w:ascii="Calibri" w:eastAsiaTheme="majorEastAsia" w:hAnsi="Calibri" w:cs="Calibri"/>
          <w:b/>
          <w:sz w:val="24"/>
          <w:szCs w:val="24"/>
        </w:rPr>
        <w:t>doporučuje</w:t>
      </w:r>
      <w:r w:rsidR="004B540C">
        <w:rPr>
          <w:rFonts w:ascii="Calibri" w:eastAsiaTheme="majorEastAsia" w:hAnsi="Calibri" w:cs="Calibri"/>
          <w:b/>
          <w:sz w:val="24"/>
          <w:szCs w:val="24"/>
        </w:rPr>
        <w:t xml:space="preserve"> zdravotním ústavům v oblasti veřejných nákupů:</w:t>
      </w:r>
      <w:r w:rsidR="00E87442">
        <w:rPr>
          <w:rFonts w:ascii="Calibri" w:eastAsiaTheme="majorEastAsia" w:hAnsi="Calibri" w:cs="Calibri"/>
          <w:b/>
          <w:sz w:val="24"/>
          <w:szCs w:val="24"/>
        </w:rPr>
        <w:t xml:space="preserve"> </w:t>
      </w:r>
    </w:p>
    <w:p w14:paraId="375032AD" w14:textId="1BC5D058" w:rsidR="003330BE" w:rsidRPr="006A053C" w:rsidRDefault="00E87442" w:rsidP="00B52CAD">
      <w:pPr>
        <w:pStyle w:val="KZnormln"/>
        <w:numPr>
          <w:ilvl w:val="0"/>
          <w:numId w:val="4"/>
        </w:numPr>
        <w:spacing w:after="0"/>
        <w:ind w:left="284" w:hanging="284"/>
        <w:rPr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z</w:t>
      </w:r>
      <w:r w:rsidR="003330BE" w:rsidRPr="00B52CAD">
        <w:rPr>
          <w:rFonts w:ascii="Calibri" w:hAnsi="Calibri" w:cs="Calibri"/>
          <w:color w:val="auto"/>
          <w:szCs w:val="24"/>
        </w:rPr>
        <w:t>avést taková pravidla, která budou vytvářet podmínky pro hospodárný, efektivní a účelný výkon veřejné správy v celém životním cyklu veřejného nakupování</w:t>
      </w:r>
      <w:r w:rsidR="003330BE" w:rsidRPr="00B52CAD">
        <w:rPr>
          <w:rStyle w:val="Znakapoznpodarou"/>
          <w:rFonts w:ascii="Calibri" w:hAnsi="Calibri" w:cs="Calibri"/>
          <w:color w:val="auto"/>
          <w:szCs w:val="24"/>
        </w:rPr>
        <w:footnoteReference w:id="22"/>
      </w:r>
      <w:r w:rsidR="003330BE" w:rsidRPr="00B52CAD">
        <w:rPr>
          <w:rFonts w:ascii="Calibri" w:hAnsi="Calibri" w:cs="Calibri"/>
          <w:color w:val="auto"/>
          <w:szCs w:val="24"/>
        </w:rPr>
        <w:t>.</w:t>
      </w:r>
    </w:p>
    <w:p w14:paraId="1AB4DD6F" w14:textId="77777777" w:rsidR="003C128E" w:rsidRPr="00B52CAD" w:rsidRDefault="003C128E" w:rsidP="003652B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79FA2D9" w14:textId="77777777" w:rsidR="000738E9" w:rsidRPr="003652B9" w:rsidRDefault="000738E9" w:rsidP="003652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2372929" w14:textId="77777777" w:rsidR="004E5FE7" w:rsidRPr="008303BF" w:rsidRDefault="00E10443" w:rsidP="008303BF">
      <w:pPr>
        <w:pStyle w:val="Nadpis1"/>
        <w:spacing w:before="0" w:after="0" w:line="252" w:lineRule="auto"/>
        <w:contextualSpacing/>
        <w:jc w:val="center"/>
        <w:rPr>
          <w:rFonts w:ascii="Calibri" w:hAnsi="Calibri" w:cs="Calibri"/>
          <w:b w:val="0"/>
          <w:sz w:val="28"/>
          <w:szCs w:val="28"/>
        </w:rPr>
      </w:pPr>
      <w:r w:rsidRPr="008303BF">
        <w:rPr>
          <w:rFonts w:ascii="Calibri" w:hAnsi="Calibri" w:cs="Calibri"/>
          <w:sz w:val="28"/>
          <w:szCs w:val="28"/>
        </w:rPr>
        <w:t>II. Informace o kontrolované oblasti</w:t>
      </w:r>
    </w:p>
    <w:p w14:paraId="0932EAEE" w14:textId="77777777" w:rsidR="008303BF" w:rsidRPr="008303BF" w:rsidRDefault="008303BF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6B688F" w14:textId="1C56AD90" w:rsidR="003330BE" w:rsidRPr="008303BF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03BF">
        <w:rPr>
          <w:rFonts w:ascii="Calibri" w:hAnsi="Calibri" w:cs="Calibri"/>
          <w:sz w:val="24"/>
          <w:szCs w:val="24"/>
        </w:rPr>
        <w:t>Kontrolovanými osobami byly Ministerstvo zdravotnictví, Zdravotní</w:t>
      </w:r>
      <w:r w:rsidR="00E87442">
        <w:rPr>
          <w:rFonts w:ascii="Calibri" w:hAnsi="Calibri" w:cs="Calibri"/>
          <w:sz w:val="24"/>
          <w:szCs w:val="24"/>
        </w:rPr>
        <w:t xml:space="preserve"> </w:t>
      </w:r>
      <w:r w:rsidRPr="008303BF">
        <w:rPr>
          <w:rFonts w:ascii="Calibri" w:hAnsi="Calibri" w:cs="Calibri"/>
          <w:sz w:val="24"/>
          <w:szCs w:val="24"/>
        </w:rPr>
        <w:t>ústav</w:t>
      </w:r>
      <w:r w:rsidR="00E87442">
        <w:rPr>
          <w:rFonts w:ascii="Calibri" w:hAnsi="Calibri" w:cs="Calibri"/>
          <w:sz w:val="24"/>
          <w:szCs w:val="24"/>
        </w:rPr>
        <w:t xml:space="preserve"> </w:t>
      </w:r>
      <w:r w:rsidRPr="008303BF">
        <w:rPr>
          <w:rFonts w:ascii="Calibri" w:hAnsi="Calibri" w:cs="Calibri"/>
          <w:sz w:val="24"/>
          <w:szCs w:val="24"/>
        </w:rPr>
        <w:t>se</w:t>
      </w:r>
      <w:r w:rsidR="00E87442">
        <w:rPr>
          <w:rFonts w:ascii="Calibri" w:hAnsi="Calibri" w:cs="Calibri"/>
          <w:sz w:val="24"/>
          <w:szCs w:val="24"/>
        </w:rPr>
        <w:t xml:space="preserve"> sídlem </w:t>
      </w:r>
      <w:r w:rsidRPr="008303BF">
        <w:rPr>
          <w:rFonts w:ascii="Calibri" w:hAnsi="Calibri" w:cs="Calibri"/>
          <w:sz w:val="24"/>
          <w:szCs w:val="24"/>
        </w:rPr>
        <w:t>v Ostravě a Zdravotní</w:t>
      </w:r>
      <w:r w:rsidR="00E87442">
        <w:rPr>
          <w:rFonts w:ascii="Calibri" w:hAnsi="Calibri" w:cs="Calibri"/>
          <w:sz w:val="24"/>
          <w:szCs w:val="24"/>
        </w:rPr>
        <w:t xml:space="preserve"> ústav </w:t>
      </w:r>
      <w:r w:rsidRPr="008303BF">
        <w:rPr>
          <w:rFonts w:ascii="Calibri" w:hAnsi="Calibri" w:cs="Calibri"/>
          <w:sz w:val="24"/>
          <w:szCs w:val="24"/>
        </w:rPr>
        <w:t>se</w:t>
      </w:r>
      <w:r w:rsidR="00E87442">
        <w:rPr>
          <w:rFonts w:ascii="Calibri" w:hAnsi="Calibri" w:cs="Calibri"/>
          <w:sz w:val="24"/>
          <w:szCs w:val="24"/>
        </w:rPr>
        <w:t xml:space="preserve"> sídlem </w:t>
      </w:r>
      <w:r w:rsidRPr="008303BF">
        <w:rPr>
          <w:rFonts w:ascii="Calibri" w:hAnsi="Calibri" w:cs="Calibri"/>
          <w:sz w:val="24"/>
          <w:szCs w:val="24"/>
        </w:rPr>
        <w:t>v</w:t>
      </w:r>
      <w:r w:rsidR="00E87442">
        <w:rPr>
          <w:rFonts w:ascii="Calibri" w:hAnsi="Calibri" w:cs="Calibri"/>
          <w:sz w:val="24"/>
          <w:szCs w:val="24"/>
        </w:rPr>
        <w:t> </w:t>
      </w:r>
      <w:r w:rsidRPr="008303BF">
        <w:rPr>
          <w:rFonts w:ascii="Calibri" w:hAnsi="Calibri" w:cs="Calibri"/>
          <w:sz w:val="24"/>
          <w:szCs w:val="24"/>
        </w:rPr>
        <w:t>Ústí</w:t>
      </w:r>
      <w:r w:rsidR="00E87442">
        <w:rPr>
          <w:rFonts w:ascii="Calibri" w:hAnsi="Calibri" w:cs="Calibri"/>
          <w:sz w:val="24"/>
          <w:szCs w:val="24"/>
        </w:rPr>
        <w:t xml:space="preserve"> </w:t>
      </w:r>
      <w:r w:rsidRPr="008303BF">
        <w:rPr>
          <w:rFonts w:ascii="Calibri" w:hAnsi="Calibri" w:cs="Calibri"/>
          <w:sz w:val="24"/>
          <w:szCs w:val="24"/>
        </w:rPr>
        <w:t>nad</w:t>
      </w:r>
      <w:r w:rsidR="00E87442">
        <w:rPr>
          <w:rFonts w:ascii="Calibri" w:hAnsi="Calibri" w:cs="Calibri"/>
          <w:sz w:val="24"/>
          <w:szCs w:val="24"/>
        </w:rPr>
        <w:t xml:space="preserve"> </w:t>
      </w:r>
      <w:r w:rsidRPr="008303BF">
        <w:rPr>
          <w:rFonts w:ascii="Calibri" w:hAnsi="Calibri" w:cs="Calibri"/>
          <w:sz w:val="24"/>
          <w:szCs w:val="24"/>
        </w:rPr>
        <w:t>Labem.</w:t>
      </w:r>
    </w:p>
    <w:p w14:paraId="1096DCFD" w14:textId="77777777" w:rsidR="003330BE" w:rsidRPr="008303BF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6A8A1BE" w14:textId="55DF8216" w:rsidR="003330BE" w:rsidRPr="008303BF" w:rsidRDefault="003330BE" w:rsidP="008303B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BF">
        <w:rPr>
          <w:rFonts w:ascii="Calibri" w:hAnsi="Calibri" w:cs="Calibri"/>
          <w:b/>
          <w:sz w:val="24"/>
          <w:szCs w:val="24"/>
        </w:rPr>
        <w:t>1</w:t>
      </w:r>
      <w:r w:rsidR="00E87442">
        <w:rPr>
          <w:rFonts w:ascii="Calibri" w:hAnsi="Calibri" w:cs="Calibri"/>
          <w:b/>
          <w:sz w:val="24"/>
          <w:szCs w:val="24"/>
        </w:rPr>
        <w:t>.</w:t>
      </w:r>
      <w:r w:rsidRPr="008303BF">
        <w:rPr>
          <w:rFonts w:ascii="Calibri" w:hAnsi="Calibri" w:cs="Calibri"/>
          <w:b/>
          <w:sz w:val="24"/>
          <w:szCs w:val="24"/>
        </w:rPr>
        <w:t xml:space="preserve"> Ministerstvo zdravotnictví</w:t>
      </w:r>
    </w:p>
    <w:p w14:paraId="0E51AE1C" w14:textId="77777777" w:rsidR="003126B8" w:rsidRDefault="003126B8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E912D37" w14:textId="7A8E66B9" w:rsidR="003330BE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03BF">
        <w:rPr>
          <w:rFonts w:ascii="Calibri" w:hAnsi="Calibri" w:cs="Calibri"/>
          <w:sz w:val="24"/>
          <w:szCs w:val="24"/>
        </w:rPr>
        <w:t>Ministerstvo zdravotnictví je ústředním orgánem státní správy mj. pro zdravotní služby, ochranu veřejného zdraví, zdravotnickou vědeckovýzkumnou činnost, poskytovatele zdravotních služeb v přímé říd</w:t>
      </w:r>
      <w:r w:rsidR="00E87442">
        <w:rPr>
          <w:rFonts w:ascii="Calibri" w:hAnsi="Calibri" w:cs="Calibri"/>
          <w:sz w:val="24"/>
          <w:szCs w:val="24"/>
        </w:rPr>
        <w:t>i</w:t>
      </w:r>
      <w:r w:rsidRPr="008303BF">
        <w:rPr>
          <w:rFonts w:ascii="Calibri" w:hAnsi="Calibri" w:cs="Calibri"/>
          <w:sz w:val="24"/>
          <w:szCs w:val="24"/>
        </w:rPr>
        <w:t>cí působnosti, léčiva a prostředky zdravotnické techniky pro</w:t>
      </w:r>
      <w:r w:rsidR="00E87442">
        <w:rPr>
          <w:rFonts w:ascii="Calibri" w:hAnsi="Calibri" w:cs="Calibri"/>
          <w:sz w:val="24"/>
          <w:szCs w:val="24"/>
        </w:rPr>
        <w:t xml:space="preserve"> </w:t>
      </w:r>
      <w:r w:rsidRPr="008303BF">
        <w:rPr>
          <w:rFonts w:ascii="Calibri" w:hAnsi="Calibri" w:cs="Calibri"/>
          <w:sz w:val="24"/>
          <w:szCs w:val="24"/>
        </w:rPr>
        <w:t>prevenci, diagnostiku a léčení lidí, zdravotní pojištění a zdravotnický informační systém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23"/>
      </w:r>
      <w:r w:rsidRPr="008303BF">
        <w:rPr>
          <w:rFonts w:ascii="Calibri" w:hAnsi="Calibri" w:cs="Calibri"/>
          <w:sz w:val="24"/>
          <w:szCs w:val="24"/>
        </w:rPr>
        <w:t>.</w:t>
      </w:r>
    </w:p>
    <w:p w14:paraId="528092A6" w14:textId="77777777" w:rsidR="003126B8" w:rsidRPr="008303BF" w:rsidRDefault="003126B8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986CFAF" w14:textId="584778C8" w:rsidR="003330BE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8303BF">
        <w:rPr>
          <w:rFonts w:ascii="Calibri" w:hAnsi="Calibri" w:cs="Calibri"/>
          <w:sz w:val="24"/>
          <w:szCs w:val="24"/>
        </w:rPr>
        <w:t>MZd</w:t>
      </w:r>
      <w:proofErr w:type="spellEnd"/>
      <w:r w:rsidRPr="008303BF">
        <w:rPr>
          <w:rFonts w:ascii="Calibri" w:hAnsi="Calibri" w:cs="Calibri"/>
          <w:sz w:val="24"/>
          <w:szCs w:val="24"/>
        </w:rPr>
        <w:t xml:space="preserve"> je organizační složkou státu a dle zákona o účetnictví vybranou účetní jednotkou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24"/>
      </w:r>
      <w:r w:rsidRPr="008303B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303BF">
        <w:rPr>
          <w:rFonts w:ascii="Calibri" w:hAnsi="Calibri" w:cs="Calibri"/>
          <w:sz w:val="24"/>
          <w:szCs w:val="24"/>
        </w:rPr>
        <w:t>MZd</w:t>
      </w:r>
      <w:proofErr w:type="spellEnd"/>
      <w:r w:rsidRPr="008303BF">
        <w:rPr>
          <w:rFonts w:ascii="Calibri" w:hAnsi="Calibri" w:cs="Calibri"/>
          <w:sz w:val="24"/>
          <w:szCs w:val="24"/>
        </w:rPr>
        <w:t xml:space="preserve"> je</w:t>
      </w:r>
      <w:r w:rsidR="00E87442">
        <w:rPr>
          <w:rFonts w:ascii="Calibri" w:hAnsi="Calibri" w:cs="Calibri"/>
          <w:sz w:val="24"/>
          <w:szCs w:val="24"/>
        </w:rPr>
        <w:t xml:space="preserve"> </w:t>
      </w:r>
      <w:r w:rsidRPr="008303BF">
        <w:rPr>
          <w:rFonts w:ascii="Calibri" w:hAnsi="Calibri" w:cs="Calibri"/>
          <w:sz w:val="24"/>
          <w:szCs w:val="24"/>
        </w:rPr>
        <w:t>správcem rozpočtové kapitoly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25"/>
      </w:r>
      <w:r w:rsidRPr="008303BF">
        <w:rPr>
          <w:rFonts w:ascii="Calibri" w:hAnsi="Calibri" w:cs="Calibri"/>
          <w:sz w:val="24"/>
          <w:szCs w:val="24"/>
        </w:rPr>
        <w:t xml:space="preserve"> 335 – </w:t>
      </w:r>
      <w:r w:rsidRPr="004B540C">
        <w:rPr>
          <w:rFonts w:ascii="Calibri" w:hAnsi="Calibri" w:cs="Calibri"/>
          <w:i/>
          <w:sz w:val="24"/>
          <w:szCs w:val="24"/>
        </w:rPr>
        <w:t>Ministerstvo zdravotnictví</w:t>
      </w:r>
      <w:r w:rsidRPr="008303BF">
        <w:rPr>
          <w:rFonts w:ascii="Calibri" w:hAnsi="Calibri" w:cs="Calibri"/>
          <w:sz w:val="24"/>
          <w:szCs w:val="24"/>
        </w:rPr>
        <w:t xml:space="preserve"> odpovědným za</w:t>
      </w:r>
      <w:r w:rsidR="00E87442">
        <w:rPr>
          <w:rFonts w:ascii="Calibri" w:hAnsi="Calibri" w:cs="Calibri"/>
          <w:sz w:val="24"/>
          <w:szCs w:val="24"/>
        </w:rPr>
        <w:t xml:space="preserve"> </w:t>
      </w:r>
      <w:r w:rsidRPr="008303BF">
        <w:rPr>
          <w:rFonts w:ascii="Calibri" w:hAnsi="Calibri" w:cs="Calibri"/>
          <w:sz w:val="24"/>
          <w:szCs w:val="24"/>
        </w:rPr>
        <w:t>hospodaření s prostředky státního rozpočtu a jinými peněžními prostředky státu ve své kapitole. Má také povinnost soustavně sledovat a vyhodnocovat hospodárnost, efektivnost a účelnost vynakládání výdajů ve své kapitole.</w:t>
      </w:r>
    </w:p>
    <w:p w14:paraId="33DA3D33" w14:textId="77777777" w:rsidR="003126B8" w:rsidRPr="008303BF" w:rsidRDefault="003126B8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566A9216" w14:textId="1DD51529" w:rsidR="003330BE" w:rsidRPr="008303BF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8303BF">
        <w:rPr>
          <w:rFonts w:ascii="Calibri" w:hAnsi="Calibri" w:cs="Calibri"/>
          <w:sz w:val="24"/>
          <w:szCs w:val="24"/>
        </w:rPr>
        <w:t>MZd</w:t>
      </w:r>
      <w:proofErr w:type="spellEnd"/>
      <w:r w:rsidRPr="008303BF">
        <w:rPr>
          <w:rFonts w:ascii="Calibri" w:hAnsi="Calibri" w:cs="Calibri"/>
          <w:sz w:val="24"/>
          <w:szCs w:val="24"/>
        </w:rPr>
        <w:t xml:space="preserve"> plní funkci zřizovatele vůči zdravotním ústavům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26"/>
      </w:r>
      <w:r w:rsidRPr="008303BF">
        <w:rPr>
          <w:rFonts w:ascii="Calibri" w:hAnsi="Calibri" w:cs="Calibri"/>
          <w:sz w:val="24"/>
          <w:szCs w:val="24"/>
        </w:rPr>
        <w:t xml:space="preserve"> se všemi právy a povinnostmi podle rozpočtových pravid</w:t>
      </w:r>
      <w:r w:rsidR="00E87442">
        <w:rPr>
          <w:rFonts w:ascii="Calibri" w:hAnsi="Calibri" w:cs="Calibri"/>
          <w:sz w:val="24"/>
          <w:szCs w:val="24"/>
        </w:rPr>
        <w:t>e</w:t>
      </w:r>
      <w:r w:rsidRPr="008303BF">
        <w:rPr>
          <w:rFonts w:ascii="Calibri" w:hAnsi="Calibri" w:cs="Calibri"/>
          <w:sz w:val="24"/>
          <w:szCs w:val="24"/>
        </w:rPr>
        <w:t>l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27"/>
      </w:r>
      <w:r w:rsidRPr="008303BF">
        <w:rPr>
          <w:rFonts w:ascii="Calibri" w:hAnsi="Calibri" w:cs="Calibri"/>
          <w:sz w:val="24"/>
          <w:szCs w:val="24"/>
        </w:rPr>
        <w:t xml:space="preserve"> a zákona o majetku České republiky a jejím vystupování v právních vztazích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28"/>
      </w:r>
      <w:r w:rsidRPr="008303B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303BF">
        <w:rPr>
          <w:rFonts w:ascii="Calibri" w:hAnsi="Calibri" w:cs="Calibri"/>
          <w:sz w:val="24"/>
          <w:szCs w:val="24"/>
        </w:rPr>
        <w:t>MZd</w:t>
      </w:r>
      <w:proofErr w:type="spellEnd"/>
      <w:r w:rsidRPr="008303BF">
        <w:rPr>
          <w:rFonts w:ascii="Calibri" w:hAnsi="Calibri" w:cs="Calibri"/>
          <w:sz w:val="24"/>
          <w:szCs w:val="24"/>
        </w:rPr>
        <w:t xml:space="preserve"> je povinno působit při řízení zdravotních ústavů </w:t>
      </w:r>
      <w:r w:rsidR="00E87442">
        <w:rPr>
          <w:rFonts w:ascii="Calibri" w:hAnsi="Calibri" w:cs="Calibri"/>
          <w:sz w:val="24"/>
          <w:szCs w:val="24"/>
        </w:rPr>
        <w:t>tak</w:t>
      </w:r>
      <w:r w:rsidRPr="008303BF">
        <w:rPr>
          <w:rFonts w:ascii="Calibri" w:hAnsi="Calibri" w:cs="Calibri"/>
          <w:sz w:val="24"/>
          <w:szCs w:val="24"/>
        </w:rPr>
        <w:t>, aby vynakládání výdajů bylo co nejhospodárnější, nejefektivnější a nejúčelnější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29"/>
      </w:r>
      <w:r w:rsidRPr="008303BF">
        <w:rPr>
          <w:rFonts w:ascii="Calibri" w:hAnsi="Calibri" w:cs="Calibri"/>
          <w:sz w:val="24"/>
          <w:szCs w:val="24"/>
        </w:rPr>
        <w:t xml:space="preserve">. </w:t>
      </w:r>
    </w:p>
    <w:p w14:paraId="5173378C" w14:textId="77777777" w:rsidR="003330BE" w:rsidRPr="008303BF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C26E2BB" w14:textId="12997879" w:rsidR="003330BE" w:rsidRPr="008303BF" w:rsidRDefault="003330BE" w:rsidP="008303B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BF">
        <w:rPr>
          <w:rFonts w:ascii="Calibri" w:hAnsi="Calibri" w:cs="Calibri"/>
          <w:b/>
          <w:sz w:val="24"/>
          <w:szCs w:val="24"/>
        </w:rPr>
        <w:t>2</w:t>
      </w:r>
      <w:r w:rsidR="00E87442">
        <w:rPr>
          <w:rFonts w:ascii="Calibri" w:hAnsi="Calibri" w:cs="Calibri"/>
          <w:b/>
          <w:sz w:val="24"/>
          <w:szCs w:val="24"/>
        </w:rPr>
        <w:t>.</w:t>
      </w:r>
      <w:r w:rsidRPr="008303BF">
        <w:rPr>
          <w:rFonts w:ascii="Calibri" w:hAnsi="Calibri" w:cs="Calibri"/>
          <w:b/>
          <w:sz w:val="24"/>
          <w:szCs w:val="24"/>
        </w:rPr>
        <w:t xml:space="preserve"> Zdravotní ústavy</w:t>
      </w:r>
    </w:p>
    <w:p w14:paraId="0AD4F6DB" w14:textId="77777777" w:rsidR="003126B8" w:rsidRDefault="003126B8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70ED7A6" w14:textId="77777777" w:rsidR="003330BE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03BF">
        <w:rPr>
          <w:rFonts w:ascii="Calibri" w:hAnsi="Calibri" w:cs="Calibri"/>
          <w:sz w:val="24"/>
          <w:szCs w:val="24"/>
        </w:rPr>
        <w:t>Zdravotní ústavy jsou příspěvkovými organizacemi, jejichž úkolem je mimo jiné odbornými výkony napomáhat k plnění úkolů státní správy v ochraně a podpoře veřejného zdraví.</w:t>
      </w:r>
    </w:p>
    <w:p w14:paraId="7F73B598" w14:textId="77777777" w:rsidR="003126B8" w:rsidRPr="008303BF" w:rsidRDefault="003126B8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50A9490" w14:textId="77777777" w:rsidR="003330BE" w:rsidRPr="008303BF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03BF">
        <w:rPr>
          <w:rFonts w:ascii="Calibri" w:hAnsi="Calibri" w:cs="Calibri"/>
          <w:sz w:val="24"/>
          <w:szCs w:val="24"/>
        </w:rPr>
        <w:lastRenderedPageBreak/>
        <w:t>Zdravotní ústavy byly zřízeny k datu 1. 1. 2003 novelou zákona o ochraně veřejného zdraví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30"/>
      </w:r>
      <w:r w:rsidRPr="008303BF">
        <w:rPr>
          <w:rFonts w:ascii="Calibri" w:hAnsi="Calibri" w:cs="Calibri"/>
          <w:sz w:val="24"/>
          <w:szCs w:val="24"/>
        </w:rPr>
        <w:t>. Ke dni 1. 6. 2012 došlo k jejich restrukturalizaci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31"/>
      </w:r>
      <w:r w:rsidRPr="008303BF">
        <w:rPr>
          <w:rFonts w:ascii="Calibri" w:hAnsi="Calibri" w:cs="Calibri"/>
          <w:sz w:val="24"/>
          <w:szCs w:val="24"/>
        </w:rPr>
        <w:t xml:space="preserve">. </w:t>
      </w:r>
    </w:p>
    <w:p w14:paraId="51F21408" w14:textId="77777777" w:rsidR="003126B8" w:rsidRDefault="003126B8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EF747D4" w14:textId="0FA24147" w:rsidR="003330BE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03BF">
        <w:rPr>
          <w:rFonts w:ascii="Calibri" w:hAnsi="Calibri" w:cs="Calibri"/>
          <w:sz w:val="24"/>
          <w:szCs w:val="24"/>
        </w:rPr>
        <w:t>ZÚ jsou právnickými osobami a v právních vztazích, pokud zvláštní zákon nestanoví jinak, jednají svým jménem a nesou odpovědnost z nich vyplývající. Postavení zdravotních ústavů a předmět jejich činnosti jsou upraveny v zákoně o ochraně veřejného zdraví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32"/>
      </w:r>
      <w:r w:rsidRPr="008303BF">
        <w:rPr>
          <w:rFonts w:ascii="Calibri" w:hAnsi="Calibri" w:cs="Calibri"/>
          <w:sz w:val="24"/>
          <w:szCs w:val="24"/>
        </w:rPr>
        <w:t xml:space="preserve">. </w:t>
      </w:r>
    </w:p>
    <w:p w14:paraId="7F8B7072" w14:textId="77777777" w:rsidR="003126B8" w:rsidRPr="008303BF" w:rsidRDefault="003126B8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365BCDA" w14:textId="77777777" w:rsidR="003330BE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03BF">
        <w:rPr>
          <w:rFonts w:ascii="Calibri" w:hAnsi="Calibri" w:cs="Calibri"/>
          <w:sz w:val="24"/>
          <w:szCs w:val="24"/>
        </w:rPr>
        <w:t>Další úkoly zdravotním ústavům stanovuje Ministerstvo zdravotnictví ve statutu.</w:t>
      </w:r>
    </w:p>
    <w:p w14:paraId="110ABF5B" w14:textId="77777777" w:rsidR="003126B8" w:rsidRPr="008303BF" w:rsidRDefault="003126B8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45BB676" w14:textId="546AE64D" w:rsidR="003330BE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03BF">
        <w:rPr>
          <w:rFonts w:ascii="Calibri" w:hAnsi="Calibri" w:cs="Calibri"/>
          <w:sz w:val="24"/>
          <w:szCs w:val="24"/>
        </w:rPr>
        <w:t xml:space="preserve">ZÚ hospodaří s majetkem státu a pravidla při nakládání s ním jsou stanovena zákonem </w:t>
      </w:r>
      <w:r w:rsidRPr="008303BF">
        <w:rPr>
          <w:rFonts w:ascii="Calibri" w:hAnsi="Calibri" w:cs="Calibri"/>
          <w:bCs/>
          <w:sz w:val="24"/>
          <w:szCs w:val="24"/>
        </w:rPr>
        <w:t>o majetku České republiky a jejím vystupování v právních vztazích.</w:t>
      </w:r>
      <w:r w:rsidRPr="008303BF">
        <w:rPr>
          <w:rFonts w:ascii="Calibri" w:hAnsi="Calibri" w:cs="Calibri"/>
          <w:sz w:val="24"/>
          <w:szCs w:val="24"/>
        </w:rPr>
        <w:t xml:space="preserve"> ZÚ hospodaří s peněžními prostředky podle pravidel stanovených rozpočtový</w:t>
      </w:r>
      <w:r w:rsidR="00E87442">
        <w:rPr>
          <w:rFonts w:ascii="Calibri" w:hAnsi="Calibri" w:cs="Calibri"/>
          <w:sz w:val="24"/>
          <w:szCs w:val="24"/>
        </w:rPr>
        <w:t>mi</w:t>
      </w:r>
      <w:r w:rsidRPr="008303BF">
        <w:rPr>
          <w:rFonts w:ascii="Calibri" w:hAnsi="Calibri" w:cs="Calibri"/>
          <w:sz w:val="24"/>
          <w:szCs w:val="24"/>
        </w:rPr>
        <w:t xml:space="preserve"> pravidl</w:t>
      </w:r>
      <w:r w:rsidR="00E87442">
        <w:rPr>
          <w:rFonts w:ascii="Calibri" w:hAnsi="Calibri" w:cs="Calibri"/>
          <w:sz w:val="24"/>
          <w:szCs w:val="24"/>
        </w:rPr>
        <w:t>y</w:t>
      </w:r>
      <w:r w:rsidRPr="008303BF">
        <w:rPr>
          <w:rFonts w:ascii="Calibri" w:hAnsi="Calibri" w:cs="Calibri"/>
          <w:sz w:val="24"/>
          <w:szCs w:val="24"/>
        </w:rPr>
        <w:t>. ZÚ jsou povinny mít zaveden systém finanční kontroly podle zákona o finanční kontrole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33"/>
      </w:r>
      <w:r w:rsidRPr="008303BF">
        <w:rPr>
          <w:rFonts w:ascii="Calibri" w:hAnsi="Calibri" w:cs="Calibri"/>
          <w:bCs/>
          <w:sz w:val="24"/>
          <w:szCs w:val="24"/>
        </w:rPr>
        <w:t xml:space="preserve">. Při zadávání veřejných zakázek je povinností zdravotních ústavů postupovat v souladu se </w:t>
      </w:r>
      <w:r w:rsidRPr="008303BF">
        <w:rPr>
          <w:rFonts w:ascii="Calibri" w:hAnsi="Calibri" w:cs="Calibri"/>
          <w:sz w:val="24"/>
          <w:szCs w:val="24"/>
        </w:rPr>
        <w:t>zákonem o zadávání veřejných zakázek</w:t>
      </w:r>
      <w:r w:rsidRPr="008303BF">
        <w:rPr>
          <w:rStyle w:val="Znakapoznpodarou"/>
          <w:rFonts w:ascii="Calibri" w:hAnsi="Calibri" w:cs="Calibri"/>
          <w:sz w:val="24"/>
          <w:szCs w:val="24"/>
        </w:rPr>
        <w:footnoteReference w:id="34"/>
      </w:r>
      <w:r w:rsidRPr="008303BF">
        <w:rPr>
          <w:rFonts w:ascii="Calibri" w:hAnsi="Calibri" w:cs="Calibri"/>
          <w:sz w:val="24"/>
          <w:szCs w:val="24"/>
        </w:rPr>
        <w:t>.</w:t>
      </w:r>
    </w:p>
    <w:p w14:paraId="2D73B3BF" w14:textId="77777777" w:rsidR="003126B8" w:rsidRPr="008303BF" w:rsidRDefault="003126B8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C368EC" w14:textId="77777777" w:rsidR="003330BE" w:rsidRPr="008303BF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03BF">
        <w:rPr>
          <w:rFonts w:ascii="Calibri" w:hAnsi="Calibri" w:cs="Calibri"/>
          <w:sz w:val="24"/>
          <w:szCs w:val="24"/>
        </w:rPr>
        <w:t>Následující tabulka č. 1 uvádí za jednotlivé ZÚ základní číselné údaje vztahující se k roku 2019.</w:t>
      </w:r>
    </w:p>
    <w:p w14:paraId="459D0AF6" w14:textId="77777777" w:rsidR="003330BE" w:rsidRPr="008303BF" w:rsidRDefault="003330BE" w:rsidP="008303B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4BA686B" w14:textId="5EA1D3CE" w:rsidR="003330BE" w:rsidRPr="008303BF" w:rsidRDefault="003330BE" w:rsidP="008303BF">
      <w:pPr>
        <w:tabs>
          <w:tab w:val="left" w:pos="1418"/>
        </w:tabs>
        <w:spacing w:after="40" w:line="240" w:lineRule="auto"/>
        <w:ind w:left="1418" w:hanging="1418"/>
        <w:jc w:val="both"/>
        <w:rPr>
          <w:rFonts w:ascii="Calibri" w:hAnsi="Calibri" w:cs="Calibri"/>
          <w:b/>
          <w:sz w:val="24"/>
          <w:szCs w:val="24"/>
        </w:rPr>
      </w:pPr>
      <w:r w:rsidRPr="008303BF">
        <w:rPr>
          <w:rFonts w:ascii="Calibri" w:hAnsi="Calibri" w:cs="Calibri"/>
          <w:b/>
          <w:sz w:val="24"/>
          <w:szCs w:val="24"/>
        </w:rPr>
        <w:t>Tabulka č. 1:</w:t>
      </w:r>
      <w:r w:rsidR="00826BF9">
        <w:rPr>
          <w:rFonts w:ascii="Calibri" w:hAnsi="Calibri" w:cs="Calibri"/>
          <w:b/>
          <w:sz w:val="24"/>
          <w:szCs w:val="24"/>
        </w:rPr>
        <w:t xml:space="preserve"> </w:t>
      </w:r>
      <w:r w:rsidRPr="008303BF">
        <w:rPr>
          <w:rFonts w:ascii="Calibri" w:hAnsi="Calibri" w:cs="Calibri"/>
          <w:b/>
          <w:sz w:val="24"/>
          <w:szCs w:val="24"/>
        </w:rPr>
        <w:t>Základní údaje o zdravotních ústavech za rok 2019, resp. k 31. 12. 2019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985"/>
        <w:gridCol w:w="2055"/>
        <w:gridCol w:w="2055"/>
      </w:tblGrid>
      <w:tr w:rsidR="003330BE" w:rsidRPr="008303BF" w14:paraId="21063DE0" w14:textId="77777777" w:rsidTr="008303BF">
        <w:trPr>
          <w:trHeight w:val="255"/>
        </w:trPr>
        <w:tc>
          <w:tcPr>
            <w:tcW w:w="4952" w:type="dxa"/>
            <w:gridSpan w:val="2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9DAC" w14:textId="01475D48" w:rsidR="003330BE" w:rsidRPr="008303BF" w:rsidRDefault="003330BE" w:rsidP="00826B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303BF">
              <w:rPr>
                <w:rFonts w:ascii="Calibri" w:hAnsi="Calibri" w:cs="Calibri"/>
                <w:b/>
                <w:sz w:val="20"/>
                <w:szCs w:val="20"/>
              </w:rPr>
              <w:t xml:space="preserve">Popis / </w:t>
            </w:r>
            <w:r w:rsidR="00826BF9">
              <w:rPr>
                <w:rFonts w:ascii="Calibri" w:hAnsi="Calibri" w:cs="Calibri"/>
                <w:b/>
                <w:sz w:val="20"/>
                <w:szCs w:val="20"/>
              </w:rPr>
              <w:t>z</w:t>
            </w:r>
            <w:r w:rsidRPr="008303BF">
              <w:rPr>
                <w:rFonts w:ascii="Calibri" w:hAnsi="Calibri" w:cs="Calibri"/>
                <w:b/>
                <w:sz w:val="20"/>
                <w:szCs w:val="20"/>
              </w:rPr>
              <w:t>dravotní ústav</w:t>
            </w:r>
          </w:p>
        </w:tc>
        <w:tc>
          <w:tcPr>
            <w:tcW w:w="2055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B04A" w14:textId="77777777" w:rsidR="003330BE" w:rsidRPr="008303BF" w:rsidRDefault="003330BE" w:rsidP="003330B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303BF">
              <w:rPr>
                <w:rFonts w:ascii="Calibri" w:hAnsi="Calibri" w:cs="Calibri"/>
                <w:b/>
                <w:sz w:val="20"/>
                <w:szCs w:val="20"/>
              </w:rPr>
              <w:t>ZÚ v Ostravě</w:t>
            </w:r>
          </w:p>
        </w:tc>
        <w:tc>
          <w:tcPr>
            <w:tcW w:w="2055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FACD" w14:textId="77777777" w:rsidR="003330BE" w:rsidRPr="008303BF" w:rsidRDefault="003330BE" w:rsidP="003330B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303BF">
              <w:rPr>
                <w:rFonts w:ascii="Calibri" w:hAnsi="Calibri" w:cs="Calibri"/>
                <w:b/>
                <w:sz w:val="20"/>
                <w:szCs w:val="20"/>
              </w:rPr>
              <w:t>ZÚ v Ústí n. L.</w:t>
            </w:r>
          </w:p>
        </w:tc>
      </w:tr>
      <w:tr w:rsidR="003330BE" w:rsidRPr="008303BF" w14:paraId="1298CFB8" w14:textId="77777777" w:rsidTr="008303BF">
        <w:trPr>
          <w:trHeight w:val="255"/>
        </w:trPr>
        <w:tc>
          <w:tcPr>
            <w:tcW w:w="49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8515" w14:textId="77777777" w:rsidR="003330BE" w:rsidRPr="008303BF" w:rsidRDefault="003330BE" w:rsidP="003330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Průměrný přepočtený počet zaměstnanců (za rok)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2DC6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469,83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F925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429,90</w:t>
            </w:r>
          </w:p>
        </w:tc>
      </w:tr>
      <w:tr w:rsidR="003330BE" w:rsidRPr="008303BF" w14:paraId="19C80FDB" w14:textId="77777777" w:rsidTr="008303BF">
        <w:trPr>
          <w:trHeight w:val="255"/>
        </w:trPr>
        <w:tc>
          <w:tcPr>
            <w:tcW w:w="2967" w:type="dxa"/>
            <w:tcBorders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8011" w14:textId="77777777" w:rsidR="003330BE" w:rsidRPr="008303BF" w:rsidRDefault="003330BE" w:rsidP="003330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Hodnota aktiv (k 31. 12.) v Kč</w:t>
            </w:r>
          </w:p>
        </w:tc>
        <w:tc>
          <w:tcPr>
            <w:tcW w:w="1985" w:type="dxa"/>
            <w:vAlign w:val="center"/>
          </w:tcPr>
          <w:p w14:paraId="4FEEC4D2" w14:textId="77777777" w:rsidR="003330BE" w:rsidRPr="008303BF" w:rsidRDefault="003330BE" w:rsidP="008303BF">
            <w:pPr>
              <w:spacing w:after="0" w:line="240" w:lineRule="auto"/>
              <w:ind w:right="27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Brutto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926B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1 356 169 832,02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DC73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966 671 169,67</w:t>
            </w:r>
          </w:p>
        </w:tc>
      </w:tr>
      <w:tr w:rsidR="003330BE" w:rsidRPr="008303BF" w14:paraId="0FFF2481" w14:textId="77777777" w:rsidTr="008303BF">
        <w:trPr>
          <w:trHeight w:val="255"/>
        </w:trPr>
        <w:tc>
          <w:tcPr>
            <w:tcW w:w="2967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0380" w14:textId="77777777" w:rsidR="003330BE" w:rsidRPr="008303BF" w:rsidRDefault="003330BE" w:rsidP="003330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340F27" w14:textId="77777777" w:rsidR="003330BE" w:rsidRPr="008303BF" w:rsidRDefault="003330BE" w:rsidP="008303BF">
            <w:pPr>
              <w:spacing w:after="0" w:line="240" w:lineRule="auto"/>
              <w:ind w:right="27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Netto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3A36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451 447 987,88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0ACC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345 494 413,70</w:t>
            </w:r>
          </w:p>
        </w:tc>
      </w:tr>
      <w:tr w:rsidR="003330BE" w:rsidRPr="008303BF" w14:paraId="1928B128" w14:textId="77777777" w:rsidTr="008303BF">
        <w:trPr>
          <w:trHeight w:val="255"/>
        </w:trPr>
        <w:tc>
          <w:tcPr>
            <w:tcW w:w="49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2E06" w14:textId="77777777" w:rsidR="003330BE" w:rsidRPr="008303BF" w:rsidRDefault="003330BE" w:rsidP="003330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Výnosy (za rok) v Kč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68C3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478 262 774,43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A661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421 604 949,93</w:t>
            </w:r>
          </w:p>
        </w:tc>
      </w:tr>
      <w:tr w:rsidR="003330BE" w:rsidRPr="008303BF" w14:paraId="1170F1A6" w14:textId="77777777" w:rsidTr="008303BF">
        <w:trPr>
          <w:trHeight w:val="255"/>
        </w:trPr>
        <w:tc>
          <w:tcPr>
            <w:tcW w:w="49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114D0" w14:textId="77777777" w:rsidR="003330BE" w:rsidRPr="008303BF" w:rsidRDefault="003330BE" w:rsidP="003330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Náklady (za rok) v Kč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3BC4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488 984 197,85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9DA1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442 727 724,10</w:t>
            </w:r>
          </w:p>
        </w:tc>
      </w:tr>
      <w:tr w:rsidR="003330BE" w:rsidRPr="008303BF" w14:paraId="2E284732" w14:textId="77777777" w:rsidTr="008303BF">
        <w:trPr>
          <w:trHeight w:val="255"/>
        </w:trPr>
        <w:tc>
          <w:tcPr>
            <w:tcW w:w="49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1DB6" w14:textId="77777777" w:rsidR="003330BE" w:rsidRPr="008303BF" w:rsidRDefault="003330BE" w:rsidP="003330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Hospodářský výsledek (za rok) v Kč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8FA1" w14:textId="77777777" w:rsidR="003330BE" w:rsidRPr="008303BF" w:rsidRDefault="008303BF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−</w:t>
            </w:r>
            <w:r w:rsidR="003330BE" w:rsidRPr="008303BF">
              <w:rPr>
                <w:rFonts w:ascii="Calibri" w:hAnsi="Calibri" w:cs="Calibri"/>
                <w:sz w:val="20"/>
                <w:szCs w:val="20"/>
              </w:rPr>
              <w:t>10 721 423,42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FC64" w14:textId="77777777" w:rsidR="003330BE" w:rsidRPr="008303BF" w:rsidRDefault="008303BF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−</w:t>
            </w:r>
            <w:r w:rsidR="003330BE" w:rsidRPr="008303BF">
              <w:rPr>
                <w:rFonts w:ascii="Calibri" w:hAnsi="Calibri" w:cs="Calibri"/>
                <w:sz w:val="20"/>
                <w:szCs w:val="20"/>
              </w:rPr>
              <w:t>21 122 774,17</w:t>
            </w:r>
          </w:p>
        </w:tc>
      </w:tr>
      <w:tr w:rsidR="003330BE" w:rsidRPr="008303BF" w14:paraId="1F7CE3F8" w14:textId="77777777" w:rsidTr="008303BF">
        <w:trPr>
          <w:trHeight w:val="255"/>
        </w:trPr>
        <w:tc>
          <w:tcPr>
            <w:tcW w:w="49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0BD9" w14:textId="77777777" w:rsidR="003330BE" w:rsidRPr="008303BF" w:rsidRDefault="003330BE" w:rsidP="003330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Příspěvek na provoz celkem (za rok) v Kč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76FF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34 055 433,00</w:t>
            </w: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F572" w14:textId="77777777" w:rsidR="003330BE" w:rsidRPr="008303BF" w:rsidRDefault="003330BE" w:rsidP="008303BF">
            <w:pPr>
              <w:spacing w:after="0" w:line="240" w:lineRule="auto"/>
              <w:ind w:right="9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03BF">
              <w:rPr>
                <w:rFonts w:ascii="Calibri" w:hAnsi="Calibri" w:cs="Calibri"/>
                <w:sz w:val="20"/>
                <w:szCs w:val="20"/>
              </w:rPr>
              <w:t>35 060 900,00</w:t>
            </w:r>
          </w:p>
        </w:tc>
      </w:tr>
    </w:tbl>
    <w:p w14:paraId="1542547F" w14:textId="14D65648" w:rsidR="003330BE" w:rsidRPr="008303BF" w:rsidRDefault="003330BE" w:rsidP="008303BF">
      <w:pPr>
        <w:spacing w:before="40" w:after="0" w:line="240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8303BF">
        <w:rPr>
          <w:rFonts w:ascii="Calibri" w:hAnsi="Calibri" w:cs="Calibri"/>
          <w:b/>
          <w:sz w:val="20"/>
          <w:szCs w:val="20"/>
        </w:rPr>
        <w:t>Zdroj:</w:t>
      </w:r>
      <w:r w:rsidRPr="008303BF">
        <w:rPr>
          <w:rFonts w:ascii="Calibri" w:hAnsi="Calibri" w:cs="Calibri"/>
          <w:sz w:val="20"/>
          <w:szCs w:val="20"/>
        </w:rPr>
        <w:tab/>
      </w:r>
      <w:r w:rsidR="00826BF9">
        <w:rPr>
          <w:rFonts w:ascii="Calibri" w:hAnsi="Calibri" w:cs="Calibri"/>
          <w:sz w:val="20"/>
          <w:szCs w:val="20"/>
        </w:rPr>
        <w:t>i</w:t>
      </w:r>
      <w:r w:rsidRPr="008303BF">
        <w:rPr>
          <w:rFonts w:ascii="Calibri" w:hAnsi="Calibri" w:cs="Calibri"/>
          <w:sz w:val="20"/>
          <w:szCs w:val="20"/>
        </w:rPr>
        <w:t xml:space="preserve">nformace </w:t>
      </w:r>
      <w:r w:rsidR="00826BF9">
        <w:rPr>
          <w:rFonts w:ascii="Calibri" w:hAnsi="Calibri" w:cs="Calibri"/>
          <w:sz w:val="20"/>
          <w:szCs w:val="20"/>
        </w:rPr>
        <w:t xml:space="preserve">od </w:t>
      </w:r>
      <w:r w:rsidRPr="008303BF">
        <w:rPr>
          <w:rFonts w:ascii="Calibri" w:hAnsi="Calibri" w:cs="Calibri"/>
          <w:sz w:val="20"/>
          <w:szCs w:val="20"/>
        </w:rPr>
        <w:t xml:space="preserve">zdravotních ústavů; </w:t>
      </w:r>
      <w:r w:rsidR="00826BF9">
        <w:rPr>
          <w:rFonts w:ascii="Calibri" w:hAnsi="Calibri" w:cs="Calibri"/>
          <w:sz w:val="20"/>
          <w:szCs w:val="20"/>
        </w:rPr>
        <w:t>r</w:t>
      </w:r>
      <w:r w:rsidRPr="008303BF">
        <w:rPr>
          <w:rFonts w:ascii="Calibri" w:hAnsi="Calibri" w:cs="Calibri"/>
          <w:sz w:val="20"/>
          <w:szCs w:val="20"/>
        </w:rPr>
        <w:t xml:space="preserve">ozvahy zdravotních ústavů k 31. 12. 2019 (informační portál Ministerstva financí MONITOR); </w:t>
      </w:r>
      <w:r w:rsidR="00826BF9">
        <w:rPr>
          <w:rFonts w:ascii="Calibri" w:hAnsi="Calibri" w:cs="Calibri"/>
          <w:sz w:val="20"/>
          <w:szCs w:val="20"/>
        </w:rPr>
        <w:t>v</w:t>
      </w:r>
      <w:r w:rsidRPr="008303BF">
        <w:rPr>
          <w:rFonts w:ascii="Calibri" w:hAnsi="Calibri" w:cs="Calibri"/>
          <w:sz w:val="20"/>
          <w:szCs w:val="20"/>
        </w:rPr>
        <w:t xml:space="preserve">ýkazy zisku a ztráty zdravotních ústavů za rok 2019; </w:t>
      </w:r>
      <w:r w:rsidR="00826BF9">
        <w:rPr>
          <w:rFonts w:ascii="Calibri" w:hAnsi="Calibri" w:cs="Calibri"/>
          <w:sz w:val="20"/>
          <w:szCs w:val="20"/>
        </w:rPr>
        <w:t>r</w:t>
      </w:r>
      <w:r w:rsidRPr="008303BF">
        <w:rPr>
          <w:rFonts w:ascii="Calibri" w:hAnsi="Calibri" w:cs="Calibri"/>
          <w:sz w:val="20"/>
          <w:szCs w:val="20"/>
        </w:rPr>
        <w:t>ozbory hospodaření zdravotních ústavů za rok 2019.</w:t>
      </w:r>
    </w:p>
    <w:p w14:paraId="2CB056D7" w14:textId="35857A9F" w:rsidR="003330BE" w:rsidRPr="008303BF" w:rsidRDefault="003330BE" w:rsidP="008303BF">
      <w:pPr>
        <w:spacing w:after="0" w:line="240" w:lineRule="auto"/>
        <w:ind w:left="567" w:hanging="567"/>
        <w:rPr>
          <w:rFonts w:ascii="Calibri" w:hAnsi="Calibri" w:cs="Calibri"/>
          <w:sz w:val="20"/>
          <w:szCs w:val="20"/>
        </w:rPr>
      </w:pPr>
      <w:r w:rsidRPr="008303BF">
        <w:rPr>
          <w:rFonts w:ascii="Calibri" w:hAnsi="Calibri" w:cs="Calibri"/>
          <w:b/>
          <w:sz w:val="20"/>
          <w:szCs w:val="20"/>
        </w:rPr>
        <w:t>Pozn</w:t>
      </w:r>
      <w:r w:rsidR="00826BF9">
        <w:rPr>
          <w:rFonts w:ascii="Calibri" w:hAnsi="Calibri" w:cs="Calibri"/>
          <w:b/>
          <w:sz w:val="20"/>
          <w:szCs w:val="20"/>
        </w:rPr>
        <w:t>.</w:t>
      </w:r>
      <w:r w:rsidRPr="008303BF">
        <w:rPr>
          <w:rFonts w:ascii="Calibri" w:hAnsi="Calibri" w:cs="Calibri"/>
          <w:b/>
          <w:sz w:val="20"/>
          <w:szCs w:val="20"/>
        </w:rPr>
        <w:t>:</w:t>
      </w:r>
      <w:r w:rsidRPr="008303BF">
        <w:rPr>
          <w:rFonts w:ascii="Calibri" w:hAnsi="Calibri" w:cs="Calibri"/>
          <w:sz w:val="20"/>
          <w:szCs w:val="20"/>
        </w:rPr>
        <w:t xml:space="preserve"> Příspěvek na provoz je součástí výnosů.</w:t>
      </w:r>
    </w:p>
    <w:p w14:paraId="0400539F" w14:textId="77777777" w:rsidR="00F87C9D" w:rsidRDefault="00F87C9D" w:rsidP="003979AF">
      <w:pPr>
        <w:spacing w:after="0" w:line="252" w:lineRule="auto"/>
        <w:contextualSpacing/>
        <w:jc w:val="both"/>
        <w:rPr>
          <w:rFonts w:cstheme="minorHAnsi"/>
          <w:sz w:val="24"/>
          <w:szCs w:val="24"/>
        </w:rPr>
      </w:pPr>
    </w:p>
    <w:p w14:paraId="1B94A240" w14:textId="77777777" w:rsidR="003330BE" w:rsidRDefault="003330BE" w:rsidP="003979AF">
      <w:pPr>
        <w:spacing w:after="0" w:line="252" w:lineRule="auto"/>
        <w:contextualSpacing/>
        <w:jc w:val="both"/>
        <w:rPr>
          <w:rFonts w:cstheme="minorHAnsi"/>
          <w:sz w:val="24"/>
          <w:szCs w:val="24"/>
        </w:rPr>
      </w:pPr>
    </w:p>
    <w:p w14:paraId="30214087" w14:textId="77777777" w:rsidR="00260294" w:rsidRDefault="00E10443" w:rsidP="00C75349">
      <w:pPr>
        <w:pStyle w:val="Default"/>
        <w:keepNext/>
        <w:tabs>
          <w:tab w:val="left" w:pos="3481"/>
        </w:tabs>
        <w:spacing w:line="252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5349">
        <w:rPr>
          <w:rFonts w:asciiTheme="minorHAnsi" w:hAnsiTheme="minorHAnsi" w:cstheme="minorHAnsi"/>
          <w:b/>
          <w:sz w:val="28"/>
          <w:szCs w:val="28"/>
        </w:rPr>
        <w:t>II</w:t>
      </w:r>
      <w:r w:rsidR="00E81158" w:rsidRPr="00C75349">
        <w:rPr>
          <w:rFonts w:asciiTheme="minorHAnsi" w:hAnsiTheme="minorHAnsi" w:cstheme="minorHAnsi"/>
          <w:b/>
          <w:sz w:val="28"/>
          <w:szCs w:val="28"/>
        </w:rPr>
        <w:t>I</w:t>
      </w:r>
      <w:r w:rsidRPr="00C75349">
        <w:rPr>
          <w:rFonts w:asciiTheme="minorHAnsi" w:hAnsiTheme="minorHAnsi" w:cstheme="minorHAnsi"/>
          <w:b/>
          <w:sz w:val="28"/>
          <w:szCs w:val="28"/>
        </w:rPr>
        <w:t>. Rozsah kontroly</w:t>
      </w:r>
    </w:p>
    <w:p w14:paraId="06B53544" w14:textId="77777777" w:rsidR="008303BF" w:rsidRDefault="008303BF" w:rsidP="008303BF">
      <w:pPr>
        <w:spacing w:after="0" w:line="252" w:lineRule="auto"/>
        <w:contextualSpacing/>
        <w:jc w:val="both"/>
        <w:rPr>
          <w:rFonts w:cstheme="minorHAnsi"/>
          <w:sz w:val="24"/>
          <w:szCs w:val="24"/>
        </w:rPr>
      </w:pPr>
    </w:p>
    <w:p w14:paraId="70C92A59" w14:textId="5CBDEBAB" w:rsidR="003330BE" w:rsidRPr="006A053C" w:rsidRDefault="003330BE" w:rsidP="00826BF9">
      <w:pPr>
        <w:pStyle w:val="KZnormln"/>
        <w:spacing w:after="0"/>
        <w:rPr>
          <w:color w:val="auto"/>
        </w:rPr>
      </w:pPr>
      <w:r w:rsidRPr="004B540C">
        <w:rPr>
          <w:b/>
          <w:color w:val="auto"/>
          <w:szCs w:val="24"/>
        </w:rPr>
        <w:t>1</w:t>
      </w:r>
      <w:r w:rsidR="00826BF9" w:rsidRPr="004B540C">
        <w:rPr>
          <w:b/>
          <w:color w:val="auto"/>
          <w:szCs w:val="24"/>
        </w:rPr>
        <w:t>.</w:t>
      </w:r>
      <w:r w:rsidR="00826BF9">
        <w:rPr>
          <w:color w:val="auto"/>
          <w:szCs w:val="24"/>
        </w:rPr>
        <w:t xml:space="preserve"> </w:t>
      </w:r>
      <w:r w:rsidRPr="006A053C">
        <w:rPr>
          <w:color w:val="auto"/>
          <w:szCs w:val="24"/>
        </w:rPr>
        <w:t xml:space="preserve">Cílem kontroly </w:t>
      </w:r>
      <w:r w:rsidRPr="006A053C">
        <w:rPr>
          <w:b/>
          <w:color w:val="auto"/>
          <w:szCs w:val="24"/>
        </w:rPr>
        <w:t xml:space="preserve">u Ministerstva zdravotnictví </w:t>
      </w:r>
      <w:r w:rsidRPr="006A053C">
        <w:rPr>
          <w:color w:val="auto"/>
          <w:szCs w:val="24"/>
        </w:rPr>
        <w:t xml:space="preserve">bylo prověřit, jak vykonává zřizovatelské funkce vůči zdravotním ústavům. V souvislosti s tímto cílem zjišťoval NKÚ, zda </w:t>
      </w:r>
      <w:proofErr w:type="spellStart"/>
      <w:r w:rsidRPr="006A053C">
        <w:rPr>
          <w:color w:val="auto"/>
        </w:rPr>
        <w:t>MZd</w:t>
      </w:r>
      <w:proofErr w:type="spellEnd"/>
      <w:r w:rsidRPr="006A053C">
        <w:rPr>
          <w:color w:val="auto"/>
        </w:rPr>
        <w:t xml:space="preserve"> ve vztahu </w:t>
      </w:r>
      <w:proofErr w:type="gramStart"/>
      <w:r w:rsidRPr="006A053C">
        <w:rPr>
          <w:color w:val="auto"/>
        </w:rPr>
        <w:t>ke ZÚ</w:t>
      </w:r>
      <w:proofErr w:type="gramEnd"/>
      <w:r w:rsidRPr="006A053C">
        <w:rPr>
          <w:color w:val="auto"/>
        </w:rPr>
        <w:t xml:space="preserve"> provádělo aktivně výkon zřizovatelských funkcí včetně řešení problémových otázek souvisejících s činností a rozvojem zdravotních ústavů.</w:t>
      </w:r>
    </w:p>
    <w:p w14:paraId="706A7E75" w14:textId="77777777" w:rsidR="003330BE" w:rsidRPr="006A053C" w:rsidRDefault="003330BE" w:rsidP="003330BE">
      <w:pPr>
        <w:pStyle w:val="KZnormln"/>
        <w:tabs>
          <w:tab w:val="left" w:pos="426"/>
        </w:tabs>
        <w:spacing w:after="0"/>
        <w:rPr>
          <w:color w:val="auto"/>
          <w:szCs w:val="24"/>
        </w:rPr>
      </w:pPr>
    </w:p>
    <w:p w14:paraId="40823E86" w14:textId="77777777" w:rsidR="003330BE" w:rsidRPr="006A053C" w:rsidRDefault="003330BE" w:rsidP="00826BF9">
      <w:pPr>
        <w:pStyle w:val="KZnormln"/>
        <w:keepNext/>
        <w:tabs>
          <w:tab w:val="left" w:pos="567"/>
        </w:tabs>
        <w:spacing w:after="0"/>
        <w:rPr>
          <w:color w:val="auto"/>
          <w:szCs w:val="24"/>
        </w:rPr>
      </w:pPr>
      <w:r w:rsidRPr="006A053C">
        <w:rPr>
          <w:color w:val="auto"/>
          <w:szCs w:val="24"/>
        </w:rPr>
        <w:lastRenderedPageBreak/>
        <w:t xml:space="preserve">NKÚ se zaměřil na ověření, zda </w:t>
      </w:r>
      <w:proofErr w:type="spellStart"/>
      <w:r w:rsidRPr="006A053C">
        <w:rPr>
          <w:color w:val="auto"/>
          <w:szCs w:val="24"/>
        </w:rPr>
        <w:t>MZd</w:t>
      </w:r>
      <w:proofErr w:type="spellEnd"/>
      <w:r w:rsidRPr="006A053C">
        <w:rPr>
          <w:color w:val="auto"/>
          <w:szCs w:val="24"/>
        </w:rPr>
        <w:t>:</w:t>
      </w:r>
    </w:p>
    <w:p w14:paraId="5FA5636F" w14:textId="77777777" w:rsidR="003330BE" w:rsidRPr="006A053C" w:rsidRDefault="003330BE" w:rsidP="00C30DF0">
      <w:pPr>
        <w:pStyle w:val="KZnormln"/>
        <w:numPr>
          <w:ilvl w:val="0"/>
          <w:numId w:val="9"/>
        </w:numPr>
        <w:spacing w:after="0"/>
        <w:ind w:left="284" w:hanging="284"/>
        <w:rPr>
          <w:color w:val="auto"/>
        </w:rPr>
      </w:pPr>
      <w:r w:rsidRPr="006A053C">
        <w:rPr>
          <w:color w:val="auto"/>
          <w:szCs w:val="24"/>
        </w:rPr>
        <w:t xml:space="preserve">plnilo </w:t>
      </w:r>
      <w:r w:rsidRPr="006A053C">
        <w:rPr>
          <w:color w:val="auto"/>
        </w:rPr>
        <w:t>své povinnosti stanovené právními předpisy vyplývající z funkce zřizovatele,</w:t>
      </w:r>
    </w:p>
    <w:p w14:paraId="66E48179" w14:textId="77777777" w:rsidR="003330BE" w:rsidRPr="006A053C" w:rsidRDefault="003330BE" w:rsidP="00C30DF0">
      <w:pPr>
        <w:pStyle w:val="KZnormln"/>
        <w:numPr>
          <w:ilvl w:val="0"/>
          <w:numId w:val="9"/>
        </w:numPr>
        <w:spacing w:after="0"/>
        <w:ind w:left="284" w:hanging="284"/>
        <w:rPr>
          <w:color w:val="auto"/>
        </w:rPr>
      </w:pPr>
      <w:r w:rsidRPr="006A053C">
        <w:rPr>
          <w:color w:val="auto"/>
        </w:rPr>
        <w:t>mělo zpracovanou koncepci týkající se činnosti ZÚ,</w:t>
      </w:r>
    </w:p>
    <w:p w14:paraId="6747EB3A" w14:textId="77777777" w:rsidR="003330BE" w:rsidRPr="006A053C" w:rsidRDefault="003330BE" w:rsidP="00C30DF0">
      <w:pPr>
        <w:pStyle w:val="KZnormln"/>
        <w:numPr>
          <w:ilvl w:val="0"/>
          <w:numId w:val="9"/>
        </w:numPr>
        <w:spacing w:after="0"/>
        <w:ind w:left="284" w:hanging="284"/>
        <w:rPr>
          <w:color w:val="auto"/>
        </w:rPr>
      </w:pPr>
      <w:r w:rsidRPr="006A053C">
        <w:rPr>
          <w:color w:val="auto"/>
        </w:rPr>
        <w:t>stanovilo finanční vztahy ZÚ ke státnímu rozpočtu, tj. i podmínky pro výši příspěvku na provoz,</w:t>
      </w:r>
    </w:p>
    <w:p w14:paraId="4D17FBF7" w14:textId="77777777" w:rsidR="003330BE" w:rsidRPr="006A053C" w:rsidRDefault="003330BE" w:rsidP="00C30DF0">
      <w:pPr>
        <w:pStyle w:val="KZnormln"/>
        <w:numPr>
          <w:ilvl w:val="0"/>
          <w:numId w:val="9"/>
        </w:numPr>
        <w:spacing w:after="0"/>
        <w:ind w:left="284" w:hanging="284"/>
        <w:rPr>
          <w:color w:val="auto"/>
        </w:rPr>
      </w:pPr>
      <w:r w:rsidRPr="006A053C">
        <w:rPr>
          <w:color w:val="auto"/>
        </w:rPr>
        <w:t xml:space="preserve">pravidelně vyhodnocovalo hospodářský výsledek ZÚ a přijímalo opatření v případě, že hospodaření ZÚ skončilo zhoršeným výsledkem hospodaření. </w:t>
      </w:r>
    </w:p>
    <w:p w14:paraId="2C2A2226" w14:textId="77777777" w:rsidR="003126B8" w:rsidRDefault="003126B8" w:rsidP="003330BE">
      <w:pPr>
        <w:pStyle w:val="KZnormln"/>
        <w:spacing w:after="0"/>
        <w:rPr>
          <w:color w:val="auto"/>
          <w:szCs w:val="24"/>
        </w:rPr>
      </w:pPr>
    </w:p>
    <w:p w14:paraId="676CE977" w14:textId="77777777" w:rsidR="003330BE" w:rsidRPr="006A053C" w:rsidRDefault="003330BE" w:rsidP="003330BE">
      <w:pPr>
        <w:pStyle w:val="KZnormln"/>
        <w:spacing w:after="0"/>
        <w:rPr>
          <w:color w:val="auto"/>
          <w:szCs w:val="24"/>
        </w:rPr>
      </w:pPr>
      <w:r w:rsidRPr="006A053C">
        <w:rPr>
          <w:color w:val="auto"/>
          <w:szCs w:val="24"/>
        </w:rPr>
        <w:t xml:space="preserve">NKÚ také zjišťoval, zda se </w:t>
      </w:r>
      <w:proofErr w:type="spellStart"/>
      <w:r w:rsidRPr="006A053C">
        <w:rPr>
          <w:color w:val="auto"/>
          <w:szCs w:val="24"/>
        </w:rPr>
        <w:t>MZd</w:t>
      </w:r>
      <w:proofErr w:type="spellEnd"/>
      <w:r w:rsidRPr="006A053C">
        <w:rPr>
          <w:color w:val="auto"/>
          <w:szCs w:val="24"/>
        </w:rPr>
        <w:t xml:space="preserve"> zabývalo systémem úhrad nastaveným úhradovou vyhláškou, který se týká zdravotních služeb poskytovaných ZÚ a který nezohledňuje skutečně realizované výkony, ale pouze počet unikátních pojištěnců.</w:t>
      </w:r>
    </w:p>
    <w:p w14:paraId="58455604" w14:textId="77777777" w:rsidR="003126B8" w:rsidRDefault="003126B8" w:rsidP="003330BE">
      <w:pPr>
        <w:pStyle w:val="KZnormln"/>
        <w:spacing w:after="0"/>
        <w:rPr>
          <w:color w:val="auto"/>
        </w:rPr>
      </w:pPr>
    </w:p>
    <w:p w14:paraId="7701C4D8" w14:textId="77777777" w:rsidR="003330BE" w:rsidRPr="006A053C" w:rsidRDefault="003330BE" w:rsidP="003330BE">
      <w:pPr>
        <w:pStyle w:val="KZnormln"/>
        <w:spacing w:after="0"/>
        <w:rPr>
          <w:color w:val="auto"/>
        </w:rPr>
      </w:pPr>
      <w:r w:rsidRPr="006A053C">
        <w:rPr>
          <w:color w:val="auto"/>
        </w:rPr>
        <w:t xml:space="preserve">NKÚ také zjišťoval, zda </w:t>
      </w:r>
      <w:proofErr w:type="spellStart"/>
      <w:r w:rsidRPr="006A053C">
        <w:rPr>
          <w:color w:val="auto"/>
        </w:rPr>
        <w:t>MZd</w:t>
      </w:r>
      <w:proofErr w:type="spellEnd"/>
      <w:r w:rsidRPr="006A053C">
        <w:rPr>
          <w:color w:val="auto"/>
        </w:rPr>
        <w:t>:</w:t>
      </w:r>
    </w:p>
    <w:p w14:paraId="19E99A2B" w14:textId="62E114DA" w:rsidR="003330BE" w:rsidRPr="006A053C" w:rsidRDefault="003330BE" w:rsidP="00C30DF0">
      <w:pPr>
        <w:pStyle w:val="KZnormln"/>
        <w:numPr>
          <w:ilvl w:val="0"/>
          <w:numId w:val="10"/>
        </w:numPr>
        <w:spacing w:after="0"/>
        <w:ind w:left="284" w:hanging="284"/>
        <w:rPr>
          <w:color w:val="auto"/>
        </w:rPr>
      </w:pPr>
      <w:r w:rsidRPr="006A053C">
        <w:rPr>
          <w:color w:val="auto"/>
        </w:rPr>
        <w:t xml:space="preserve">metodicky působilo </w:t>
      </w:r>
      <w:r w:rsidRPr="006A053C">
        <w:rPr>
          <w:rFonts w:cs="Calibri"/>
          <w:color w:val="auto"/>
        </w:rPr>
        <w:t>na činnosti ZÚ v oblasti veřejného nakupování,</w:t>
      </w:r>
    </w:p>
    <w:p w14:paraId="31CC154D" w14:textId="780B81D7" w:rsidR="003330BE" w:rsidRPr="00A93EB3" w:rsidRDefault="003330BE" w:rsidP="00C30DF0">
      <w:pPr>
        <w:pStyle w:val="KZnormln"/>
        <w:numPr>
          <w:ilvl w:val="0"/>
          <w:numId w:val="10"/>
        </w:numPr>
        <w:spacing w:after="0"/>
        <w:ind w:left="284" w:hanging="284"/>
        <w:rPr>
          <w:color w:val="auto"/>
        </w:rPr>
      </w:pPr>
      <w:r>
        <w:rPr>
          <w:rFonts w:cs="Calibri"/>
        </w:rPr>
        <w:t xml:space="preserve">zajišťovalo pro organizace </w:t>
      </w:r>
      <w:r w:rsidRPr="00CE54D2">
        <w:t xml:space="preserve">ve své přímé </w:t>
      </w:r>
      <w:r w:rsidRPr="001829D4">
        <w:rPr>
          <w:color w:val="auto"/>
        </w:rPr>
        <w:t>říd</w:t>
      </w:r>
      <w:r w:rsidR="00826BF9">
        <w:rPr>
          <w:color w:val="auto"/>
        </w:rPr>
        <w:t>i</w:t>
      </w:r>
      <w:r w:rsidRPr="001829D4">
        <w:rPr>
          <w:color w:val="auto"/>
        </w:rPr>
        <w:t>cí působnosti</w:t>
      </w:r>
      <w:r>
        <w:rPr>
          <w:color w:val="auto"/>
        </w:rPr>
        <w:t>, tedy i pro ZÚ,</w:t>
      </w:r>
      <w:r w:rsidRPr="001829D4">
        <w:rPr>
          <w:color w:val="auto"/>
        </w:rPr>
        <w:t xml:space="preserve"> podporu zefektivnění </w:t>
      </w:r>
      <w:r w:rsidRPr="00CE54D2">
        <w:t xml:space="preserve">nákupů (např. </w:t>
      </w:r>
      <w:proofErr w:type="spellStart"/>
      <w:r w:rsidRPr="00CE54D2">
        <w:t>benchmarking</w:t>
      </w:r>
      <w:proofErr w:type="spellEnd"/>
      <w:r w:rsidRPr="00CE54D2">
        <w:t xml:space="preserve"> jako </w:t>
      </w:r>
      <w:r w:rsidRPr="00081FB1">
        <w:t>technik</w:t>
      </w:r>
      <w:r>
        <w:t>u</w:t>
      </w:r>
      <w:r w:rsidRPr="00081FB1">
        <w:t xml:space="preserve"> pro zjišťov</w:t>
      </w:r>
      <w:r>
        <w:t>ání a vyhodnocování informací o </w:t>
      </w:r>
      <w:r w:rsidRPr="00081FB1">
        <w:t>nákupech v resortu)</w:t>
      </w:r>
      <w:r>
        <w:t>,</w:t>
      </w:r>
    </w:p>
    <w:p w14:paraId="7D59EEDB" w14:textId="6C812018" w:rsidR="003330BE" w:rsidRPr="00A93EB3" w:rsidRDefault="003330BE" w:rsidP="00C30DF0">
      <w:pPr>
        <w:pStyle w:val="KZnormln"/>
        <w:numPr>
          <w:ilvl w:val="0"/>
          <w:numId w:val="10"/>
        </w:numPr>
        <w:spacing w:after="0"/>
        <w:ind w:left="284" w:hanging="284"/>
        <w:rPr>
          <w:color w:val="auto"/>
        </w:rPr>
      </w:pPr>
      <w:r>
        <w:rPr>
          <w:rFonts w:cs="Calibri"/>
        </w:rPr>
        <w:t xml:space="preserve">provádělo společné nákupy </w:t>
      </w:r>
      <w:r w:rsidR="00826BF9">
        <w:rPr>
          <w:rFonts w:cs="Calibri"/>
        </w:rPr>
        <w:t>a dále NKÚ zjišťoval</w:t>
      </w:r>
      <w:r>
        <w:rPr>
          <w:rFonts w:cs="Calibri"/>
        </w:rPr>
        <w:t>, jaké komodity byly centrálně nakupovány a jak byly do společných nákupů zapojeny ZÚ,</w:t>
      </w:r>
    </w:p>
    <w:p w14:paraId="7E2D3720" w14:textId="77777777" w:rsidR="003330BE" w:rsidRDefault="003330BE" w:rsidP="00C30DF0">
      <w:pPr>
        <w:pStyle w:val="KZnormln"/>
        <w:numPr>
          <w:ilvl w:val="0"/>
          <w:numId w:val="10"/>
        </w:numPr>
        <w:spacing w:after="0"/>
        <w:ind w:left="284" w:hanging="284"/>
        <w:rPr>
          <w:rFonts w:cs="Calibri"/>
          <w:color w:val="auto"/>
        </w:rPr>
      </w:pPr>
      <w:r>
        <w:t>mělo nastavený systém</w:t>
      </w:r>
      <w:r w:rsidRPr="00081FB1">
        <w:t xml:space="preserve"> pro kontrolu zdravotních ústavů, zda v kontrolovaném období provedlo </w:t>
      </w:r>
      <w:proofErr w:type="gramStart"/>
      <w:r w:rsidRPr="00081FB1">
        <w:t>ve</w:t>
      </w:r>
      <w:proofErr w:type="gramEnd"/>
      <w:r w:rsidRPr="00081FB1">
        <w:t xml:space="preserve"> </w:t>
      </w:r>
      <w:r>
        <w:t>ZÚ</w:t>
      </w:r>
      <w:r w:rsidRPr="00081FB1">
        <w:t xml:space="preserve"> kontrolu hospodaření s veřejnými </w:t>
      </w:r>
      <w:r w:rsidRPr="00F715CE">
        <w:rPr>
          <w:color w:val="auto"/>
        </w:rPr>
        <w:t xml:space="preserve">prostředky a zda ověřovalo </w:t>
      </w:r>
      <w:r w:rsidRPr="0074152A">
        <w:rPr>
          <w:rFonts w:cs="Calibri"/>
          <w:color w:val="auto"/>
        </w:rPr>
        <w:t>plnění opatření přijatých zdravotními ústavy k nápravě nedostatků zjištěných kontrolami.</w:t>
      </w:r>
    </w:p>
    <w:p w14:paraId="27A8B24C" w14:textId="77777777" w:rsidR="003330BE" w:rsidRPr="0074152A" w:rsidRDefault="003330BE" w:rsidP="003126B8">
      <w:pPr>
        <w:pStyle w:val="KZnormln"/>
        <w:spacing w:after="0"/>
        <w:rPr>
          <w:rFonts w:cs="Calibri"/>
          <w:color w:val="auto"/>
        </w:rPr>
      </w:pPr>
    </w:p>
    <w:p w14:paraId="0DCCE833" w14:textId="30B936D3" w:rsidR="003330BE" w:rsidRDefault="00826BF9" w:rsidP="00826BF9">
      <w:pPr>
        <w:pStyle w:val="KZnormln"/>
        <w:spacing w:after="0"/>
        <w:rPr>
          <w:color w:val="auto"/>
          <w:szCs w:val="24"/>
        </w:rPr>
      </w:pPr>
      <w:r w:rsidRPr="004B540C">
        <w:rPr>
          <w:b/>
          <w:color w:val="auto"/>
          <w:szCs w:val="24"/>
        </w:rPr>
        <w:t>2.</w:t>
      </w:r>
      <w:r>
        <w:rPr>
          <w:color w:val="auto"/>
          <w:szCs w:val="24"/>
        </w:rPr>
        <w:t xml:space="preserve"> </w:t>
      </w:r>
      <w:r w:rsidR="003330BE" w:rsidRPr="007A1CBE">
        <w:rPr>
          <w:color w:val="auto"/>
          <w:szCs w:val="24"/>
        </w:rPr>
        <w:t xml:space="preserve">Cílem kontroly </w:t>
      </w:r>
      <w:r w:rsidR="003330BE" w:rsidRPr="00A93EB3">
        <w:rPr>
          <w:b/>
          <w:color w:val="auto"/>
          <w:szCs w:val="24"/>
        </w:rPr>
        <w:t xml:space="preserve">u zdravotních ústavů </w:t>
      </w:r>
      <w:r w:rsidR="003330BE" w:rsidRPr="007A1CBE">
        <w:rPr>
          <w:color w:val="auto"/>
          <w:szCs w:val="24"/>
        </w:rPr>
        <w:t>bylo p</w:t>
      </w:r>
      <w:r w:rsidR="003330BE" w:rsidRPr="007A1CBE">
        <w:rPr>
          <w:noProof/>
          <w:color w:val="auto"/>
          <w:szCs w:val="24"/>
        </w:rPr>
        <w:t xml:space="preserve">rověřit jejich </w:t>
      </w:r>
      <w:r w:rsidR="003330BE" w:rsidRPr="007A1CBE">
        <w:rPr>
          <w:color w:val="auto"/>
          <w:szCs w:val="24"/>
        </w:rPr>
        <w:t>hospodaření s majetkem a</w:t>
      </w:r>
      <w:r w:rsidR="003330BE">
        <w:rPr>
          <w:color w:val="auto"/>
          <w:szCs w:val="24"/>
        </w:rPr>
        <w:t> </w:t>
      </w:r>
      <w:r w:rsidR="003330BE" w:rsidRPr="007A1CBE">
        <w:rPr>
          <w:color w:val="auto"/>
          <w:szCs w:val="24"/>
        </w:rPr>
        <w:t xml:space="preserve">peněžními prostředky státu se zaměřením na to, zda </w:t>
      </w:r>
      <w:r w:rsidR="003330BE">
        <w:rPr>
          <w:color w:val="auto"/>
          <w:szCs w:val="24"/>
        </w:rPr>
        <w:t>ZÚ</w:t>
      </w:r>
      <w:r w:rsidR="003330BE" w:rsidRPr="007A1CBE">
        <w:rPr>
          <w:color w:val="auto"/>
          <w:szCs w:val="24"/>
        </w:rPr>
        <w:t xml:space="preserve"> v oblasti veřejného nakupování naplňují v praxi principy hospodárnosti</w:t>
      </w:r>
      <w:r w:rsidR="003330BE">
        <w:rPr>
          <w:color w:val="auto"/>
          <w:szCs w:val="24"/>
        </w:rPr>
        <w:t>,</w:t>
      </w:r>
      <w:r w:rsidR="003330BE" w:rsidRPr="00F51013">
        <w:rPr>
          <w:color w:val="auto"/>
          <w:szCs w:val="24"/>
        </w:rPr>
        <w:t xml:space="preserve"> </w:t>
      </w:r>
      <w:r w:rsidR="003330BE" w:rsidRPr="007A1CBE">
        <w:rPr>
          <w:color w:val="auto"/>
          <w:szCs w:val="24"/>
        </w:rPr>
        <w:t>efektivnosti</w:t>
      </w:r>
      <w:r w:rsidR="003330BE">
        <w:rPr>
          <w:color w:val="auto"/>
          <w:szCs w:val="24"/>
        </w:rPr>
        <w:t xml:space="preserve"> </w:t>
      </w:r>
      <w:r w:rsidR="003330BE" w:rsidRPr="007A1CBE">
        <w:rPr>
          <w:color w:val="auto"/>
          <w:szCs w:val="24"/>
        </w:rPr>
        <w:t>a</w:t>
      </w:r>
      <w:r w:rsidR="003330BE">
        <w:rPr>
          <w:color w:val="auto"/>
          <w:szCs w:val="24"/>
        </w:rPr>
        <w:t> </w:t>
      </w:r>
      <w:r w:rsidR="003330BE" w:rsidRPr="007A1CBE">
        <w:rPr>
          <w:color w:val="auto"/>
          <w:szCs w:val="24"/>
        </w:rPr>
        <w:t xml:space="preserve">účelnosti. V souvislosti s tímto cílem zjišťoval NKÚ odpovědi na dvě hlavní kontrolní otázky. </w:t>
      </w:r>
    </w:p>
    <w:p w14:paraId="08F4B729" w14:textId="77777777" w:rsidR="003330BE" w:rsidRPr="007A1CBE" w:rsidRDefault="003330BE" w:rsidP="003330BE">
      <w:pPr>
        <w:pStyle w:val="KZnormln"/>
        <w:tabs>
          <w:tab w:val="left" w:pos="426"/>
        </w:tabs>
        <w:spacing w:after="0"/>
        <w:rPr>
          <w:color w:val="auto"/>
          <w:szCs w:val="24"/>
        </w:rPr>
      </w:pPr>
    </w:p>
    <w:p w14:paraId="2F235013" w14:textId="6AA77D3D" w:rsidR="003330BE" w:rsidRDefault="003330BE" w:rsidP="003330BE">
      <w:pPr>
        <w:pStyle w:val="KZnormln"/>
        <w:tabs>
          <w:tab w:val="left" w:pos="567"/>
        </w:tabs>
        <w:spacing w:after="0"/>
        <w:rPr>
          <w:bCs/>
          <w:szCs w:val="24"/>
        </w:rPr>
      </w:pPr>
      <w:r w:rsidRPr="007A1CBE">
        <w:rPr>
          <w:color w:val="auto"/>
          <w:szCs w:val="24"/>
        </w:rPr>
        <w:t xml:space="preserve">První z těchto otázek </w:t>
      </w:r>
      <w:r>
        <w:rPr>
          <w:color w:val="auto"/>
          <w:szCs w:val="24"/>
        </w:rPr>
        <w:t>se zaměřila na</w:t>
      </w:r>
      <w:r w:rsidRPr="007A1CBE">
        <w:rPr>
          <w:color w:val="auto"/>
          <w:szCs w:val="24"/>
        </w:rPr>
        <w:t xml:space="preserve"> </w:t>
      </w:r>
      <w:r w:rsidRPr="00A93EB3">
        <w:rPr>
          <w:b/>
          <w:color w:val="auto"/>
          <w:szCs w:val="24"/>
        </w:rPr>
        <w:t xml:space="preserve">výsledky hospodaření </w:t>
      </w:r>
      <w:r>
        <w:rPr>
          <w:b/>
          <w:color w:val="auto"/>
          <w:szCs w:val="24"/>
        </w:rPr>
        <w:t>ZÚ</w:t>
      </w:r>
      <w:r w:rsidRPr="004B540C">
        <w:rPr>
          <w:b/>
          <w:color w:val="auto"/>
          <w:szCs w:val="24"/>
        </w:rPr>
        <w:t>,</w:t>
      </w:r>
      <w:r w:rsidRPr="007A1CBE">
        <w:rPr>
          <w:color w:val="auto"/>
          <w:szCs w:val="24"/>
        </w:rPr>
        <w:t xml:space="preserve"> přičemž v případech, kdy </w:t>
      </w:r>
      <w:r>
        <w:rPr>
          <w:color w:val="auto"/>
          <w:szCs w:val="24"/>
        </w:rPr>
        <w:t>ZÚ</w:t>
      </w:r>
      <w:r w:rsidRPr="007A1CBE">
        <w:rPr>
          <w:color w:val="auto"/>
          <w:szCs w:val="24"/>
        </w:rPr>
        <w:t xml:space="preserve"> vykazovaly zhoršené výsledky hospodaření, </w:t>
      </w:r>
      <w:r>
        <w:rPr>
          <w:color w:val="auto"/>
          <w:szCs w:val="24"/>
        </w:rPr>
        <w:t>NKÚ zjišťoval</w:t>
      </w:r>
      <w:r w:rsidRPr="007A1CBE">
        <w:rPr>
          <w:color w:val="auto"/>
          <w:szCs w:val="24"/>
        </w:rPr>
        <w:t xml:space="preserve"> příčiny a</w:t>
      </w:r>
      <w:r>
        <w:rPr>
          <w:color w:val="auto"/>
          <w:szCs w:val="24"/>
        </w:rPr>
        <w:t> </w:t>
      </w:r>
      <w:r w:rsidRPr="007A1CBE">
        <w:rPr>
          <w:color w:val="auto"/>
          <w:szCs w:val="24"/>
        </w:rPr>
        <w:t xml:space="preserve">dopady těchto výsledků </w:t>
      </w:r>
      <w:r>
        <w:rPr>
          <w:color w:val="auto"/>
          <w:szCs w:val="24"/>
        </w:rPr>
        <w:t>a v této souvislosti se zabýval</w:t>
      </w:r>
      <w:r w:rsidRPr="007A1CBE">
        <w:rPr>
          <w:color w:val="auto"/>
          <w:szCs w:val="24"/>
        </w:rPr>
        <w:t xml:space="preserve"> činnostmi </w:t>
      </w:r>
      <w:r>
        <w:rPr>
          <w:color w:val="auto"/>
          <w:szCs w:val="24"/>
        </w:rPr>
        <w:t>ZÚ</w:t>
      </w:r>
      <w:r w:rsidRPr="007A1CBE">
        <w:rPr>
          <w:color w:val="auto"/>
          <w:szCs w:val="24"/>
        </w:rPr>
        <w:t xml:space="preserve">. </w:t>
      </w:r>
      <w:r w:rsidRPr="007A1CBE">
        <w:t xml:space="preserve">Výchozími právními předpisy </w:t>
      </w:r>
      <w:r w:rsidRPr="004B5898">
        <w:rPr>
          <w:color w:val="auto"/>
        </w:rPr>
        <w:t>pro tuto kontrolní otázku byl</w:t>
      </w:r>
      <w:r w:rsidR="000C0277">
        <w:rPr>
          <w:color w:val="auto"/>
        </w:rPr>
        <w:t>a</w:t>
      </w:r>
      <w:r w:rsidRPr="004B5898">
        <w:rPr>
          <w:color w:val="auto"/>
        </w:rPr>
        <w:t xml:space="preserve"> </w:t>
      </w:r>
      <w:r w:rsidRPr="004B5898">
        <w:rPr>
          <w:bCs/>
          <w:color w:val="auto"/>
          <w:szCs w:val="24"/>
        </w:rPr>
        <w:t>rozpočtov</w:t>
      </w:r>
      <w:r w:rsidR="000C0277">
        <w:rPr>
          <w:bCs/>
          <w:color w:val="auto"/>
          <w:szCs w:val="24"/>
        </w:rPr>
        <w:t>á</w:t>
      </w:r>
      <w:r w:rsidRPr="004B5898">
        <w:rPr>
          <w:bCs/>
          <w:color w:val="auto"/>
          <w:szCs w:val="24"/>
        </w:rPr>
        <w:t xml:space="preserve"> pravidl</w:t>
      </w:r>
      <w:r w:rsidR="000C0277">
        <w:rPr>
          <w:bCs/>
          <w:color w:val="auto"/>
          <w:szCs w:val="24"/>
        </w:rPr>
        <w:t>a</w:t>
      </w:r>
      <w:r w:rsidRPr="004B5898">
        <w:rPr>
          <w:bCs/>
          <w:color w:val="auto"/>
          <w:szCs w:val="24"/>
        </w:rPr>
        <w:t>, zejména pak ustanovení § 53 tohoto zákona</w:t>
      </w:r>
      <w:r w:rsidR="000C0277">
        <w:rPr>
          <w:bCs/>
          <w:color w:val="auto"/>
          <w:szCs w:val="24"/>
        </w:rPr>
        <w:t>,</w:t>
      </w:r>
      <w:r w:rsidRPr="004B5898">
        <w:rPr>
          <w:bCs/>
          <w:color w:val="auto"/>
          <w:szCs w:val="24"/>
        </w:rPr>
        <w:t xml:space="preserve"> </w:t>
      </w:r>
      <w:r w:rsidRPr="001230FD">
        <w:rPr>
          <w:bCs/>
          <w:color w:val="auto"/>
          <w:szCs w:val="24"/>
        </w:rPr>
        <w:t>a</w:t>
      </w:r>
      <w:r>
        <w:rPr>
          <w:bCs/>
          <w:color w:val="auto"/>
          <w:szCs w:val="24"/>
        </w:rPr>
        <w:t> </w:t>
      </w:r>
      <w:r w:rsidRPr="004B5898">
        <w:rPr>
          <w:bCs/>
          <w:color w:val="auto"/>
          <w:szCs w:val="24"/>
        </w:rPr>
        <w:t xml:space="preserve">rovněž </w:t>
      </w:r>
      <w:r w:rsidRPr="004B5898">
        <w:rPr>
          <w:color w:val="auto"/>
          <w:szCs w:val="24"/>
        </w:rPr>
        <w:t xml:space="preserve">zákon </w:t>
      </w:r>
      <w:r w:rsidRPr="004B5898">
        <w:rPr>
          <w:bCs/>
          <w:color w:val="auto"/>
          <w:szCs w:val="24"/>
        </w:rPr>
        <w:t xml:space="preserve">o ochraně veřejného zdraví, zejména pak ustanovení § </w:t>
      </w:r>
      <w:r w:rsidRPr="007A1CBE">
        <w:rPr>
          <w:bCs/>
          <w:szCs w:val="24"/>
        </w:rPr>
        <w:t>86 tohoto zákona.</w:t>
      </w:r>
    </w:p>
    <w:p w14:paraId="78C3BADF" w14:textId="77777777" w:rsidR="003330BE" w:rsidRPr="003126B8" w:rsidRDefault="003330BE" w:rsidP="003126B8">
      <w:pPr>
        <w:pStyle w:val="KZnormln"/>
        <w:tabs>
          <w:tab w:val="left" w:pos="567"/>
        </w:tabs>
        <w:spacing w:after="0"/>
        <w:rPr>
          <w:rFonts w:ascii="Calibri" w:hAnsi="Calibri" w:cs="Calibri"/>
          <w:color w:val="000000" w:themeColor="text1"/>
          <w:szCs w:val="24"/>
        </w:rPr>
      </w:pPr>
    </w:p>
    <w:p w14:paraId="07E4F247" w14:textId="77777777" w:rsidR="003330BE" w:rsidRDefault="003330BE" w:rsidP="003126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126B8">
        <w:rPr>
          <w:rFonts w:ascii="Calibri" w:hAnsi="Calibri" w:cs="Calibri"/>
          <w:color w:val="000000" w:themeColor="text1"/>
          <w:sz w:val="24"/>
          <w:szCs w:val="24"/>
        </w:rPr>
        <w:t xml:space="preserve">Druhá z těchto otázek zjišťovala, </w:t>
      </w:r>
      <w:r w:rsidRPr="003126B8">
        <w:rPr>
          <w:rFonts w:ascii="Calibri" w:hAnsi="Calibri" w:cs="Calibri"/>
          <w:b/>
          <w:color w:val="000000" w:themeColor="text1"/>
          <w:sz w:val="24"/>
          <w:szCs w:val="24"/>
        </w:rPr>
        <w:t>zda ZÚ v oblasti veřejného nakupování naplňovaly principy hospodárnosti, efektivnosti a účelnosti</w:t>
      </w:r>
      <w:r w:rsidRPr="003126B8">
        <w:rPr>
          <w:rFonts w:ascii="Calibri" w:hAnsi="Calibri" w:cs="Calibri"/>
          <w:color w:val="000000" w:themeColor="text1"/>
          <w:sz w:val="24"/>
          <w:szCs w:val="24"/>
        </w:rPr>
        <w:t xml:space="preserve"> (dále také „principy 3E“) </w:t>
      </w:r>
      <w:r w:rsidRPr="003126B8">
        <w:rPr>
          <w:rFonts w:ascii="Calibri" w:hAnsi="Calibri" w:cs="Calibri"/>
          <w:b/>
          <w:color w:val="000000" w:themeColor="text1"/>
          <w:sz w:val="24"/>
          <w:szCs w:val="24"/>
        </w:rPr>
        <w:t>a postupovaly v souladu s právními předpisy</w:t>
      </w:r>
      <w:r w:rsidRPr="004B540C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  <w:r w:rsidRPr="003126B8">
        <w:rPr>
          <w:rFonts w:ascii="Calibri" w:hAnsi="Calibri" w:cs="Calibri"/>
          <w:color w:val="000000" w:themeColor="text1"/>
          <w:sz w:val="24"/>
          <w:szCs w:val="24"/>
        </w:rPr>
        <w:t xml:space="preserve"> Definice principů 3E jsou uvedeny v zákoně o finanční kontrole</w:t>
      </w:r>
      <w:r w:rsidRPr="003126B8">
        <w:rPr>
          <w:rStyle w:val="Znakapoznpodarou"/>
          <w:rFonts w:ascii="Calibri" w:hAnsi="Calibri" w:cs="Calibri"/>
          <w:color w:val="000000" w:themeColor="text1"/>
          <w:sz w:val="24"/>
          <w:szCs w:val="24"/>
        </w:rPr>
        <w:footnoteReference w:id="35"/>
      </w:r>
      <w:r w:rsidRPr="003126B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52F4B9B" w14:textId="77777777" w:rsidR="003126B8" w:rsidRPr="003126B8" w:rsidRDefault="003126B8" w:rsidP="003126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27473E4" w14:textId="367C7D7B" w:rsidR="003330BE" w:rsidRPr="003126B8" w:rsidRDefault="003330BE" w:rsidP="003126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126B8">
        <w:rPr>
          <w:rFonts w:ascii="Calibri" w:hAnsi="Calibri" w:cs="Calibri"/>
          <w:color w:val="000000" w:themeColor="text1"/>
          <w:sz w:val="24"/>
          <w:szCs w:val="24"/>
          <w:lang w:eastAsia="cs-CZ"/>
        </w:rPr>
        <w:t>NKÚ se v rámci této kontrolní otázky zaměřil na postupy a úkony, které ZÚ realizovaly v jednotlivých fázích životního cyklu veřejného nákupu (</w:t>
      </w:r>
      <w:r w:rsidRPr="003126B8">
        <w:rPr>
          <w:rFonts w:ascii="Calibri" w:hAnsi="Calibri" w:cs="Calibri"/>
          <w:color w:val="000000" w:themeColor="text1"/>
          <w:sz w:val="24"/>
          <w:szCs w:val="24"/>
        </w:rPr>
        <w:t>plánování a příprava veřejného nákupu, proces výběru dodavatele a dodání předmětu veřejné zakázky a také vyhodnocení veřejného nákupu</w:t>
      </w:r>
      <w:r w:rsidRPr="003126B8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). NKÚ přitom prověřil, zda byly nákupy provedeny </w:t>
      </w:r>
      <w:r w:rsidRPr="003126B8">
        <w:rPr>
          <w:rFonts w:ascii="Calibri" w:hAnsi="Calibri" w:cs="Calibri"/>
          <w:color w:val="000000" w:themeColor="text1"/>
          <w:sz w:val="24"/>
          <w:szCs w:val="24"/>
        </w:rPr>
        <w:t xml:space="preserve">v souladu s uvedenými principy hospodárnosti, efektivnosti a účelnosti definovanými zákonem </w:t>
      </w:r>
      <w:r w:rsidRPr="003126B8">
        <w:rPr>
          <w:rFonts w:ascii="Calibri" w:hAnsi="Calibri" w:cs="Calibri"/>
          <w:bCs/>
          <w:color w:val="000000" w:themeColor="text1"/>
          <w:sz w:val="24"/>
          <w:szCs w:val="24"/>
        </w:rPr>
        <w:t xml:space="preserve">o finanční kontrole, </w:t>
      </w:r>
      <w:r w:rsidRPr="003126B8">
        <w:rPr>
          <w:rFonts w:ascii="Calibri" w:hAnsi="Calibri" w:cs="Calibri"/>
          <w:color w:val="000000" w:themeColor="text1"/>
          <w:sz w:val="24"/>
          <w:szCs w:val="24"/>
        </w:rPr>
        <w:t xml:space="preserve">a rovněž v souladu s požadavky vyplývajícími ze zákona o zadávání veřejných zakázek – zejména zásadami transparentnosti, přiměřenosti a ve vztahu k dodavatelům zásadami </w:t>
      </w:r>
      <w:r w:rsidRPr="003126B8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rovného zacházení a zákazu diskriminace uvedenými v ustanovení § 6 tohoto zákona. </w:t>
      </w:r>
      <w:r w:rsidRPr="003126B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Přestože se jedná o dva samostatné právní předpisy, je v případě procesu veřejného nakupování nezbytné zohlednit</w:t>
      </w:r>
      <w:r w:rsidR="000C027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3126B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jejich společné (vzájemně související) působení v rámci tohoto procesu. </w:t>
      </w:r>
    </w:p>
    <w:p w14:paraId="388ED1F6" w14:textId="77777777" w:rsidR="003330BE" w:rsidRPr="003126B8" w:rsidRDefault="003330BE" w:rsidP="003126B8">
      <w:pPr>
        <w:pStyle w:val="Nadpistabulky"/>
        <w:keepNext w:val="0"/>
        <w:widowControl w:val="0"/>
        <w:tabs>
          <w:tab w:val="clear" w:pos="1418"/>
          <w:tab w:val="clear" w:pos="9213"/>
          <w:tab w:val="right" w:pos="9070"/>
        </w:tabs>
        <w:spacing w:after="0"/>
        <w:ind w:left="0" w:firstLine="0"/>
        <w:rPr>
          <w:rFonts w:cs="Calibri"/>
          <w:b w:val="0"/>
          <w:color w:val="000000" w:themeColor="text1"/>
        </w:rPr>
      </w:pPr>
    </w:p>
    <w:p w14:paraId="5A19A5EE" w14:textId="5F3555F7" w:rsidR="003330BE" w:rsidRPr="003126B8" w:rsidRDefault="003330BE" w:rsidP="003126B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126B8">
        <w:rPr>
          <w:rFonts w:ascii="Calibri" w:hAnsi="Calibri" w:cs="Calibri"/>
          <w:color w:val="000000" w:themeColor="text1"/>
          <w:sz w:val="24"/>
          <w:szCs w:val="24"/>
        </w:rPr>
        <w:t>NKÚ také prověřoval, jak měly ZÚ oblast veřejného nakupování ve vazbě na principy 3E a související právní předpisy upraven</w:t>
      </w:r>
      <w:r w:rsidR="000C0277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3126B8">
        <w:rPr>
          <w:rFonts w:ascii="Calibri" w:hAnsi="Calibri" w:cs="Calibri"/>
          <w:color w:val="000000" w:themeColor="text1"/>
          <w:sz w:val="24"/>
          <w:szCs w:val="24"/>
        </w:rPr>
        <w:t xml:space="preserve"> ve svých vnitřních předpisech. </w:t>
      </w:r>
      <w:r w:rsidRPr="003126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Interní předpisy upravující vnitřní kontrolní systém mají v rámci </w:t>
      </w:r>
      <w:r w:rsidRPr="003126B8">
        <w:rPr>
          <w:rFonts w:ascii="Calibri" w:eastAsia="Calibri" w:hAnsi="Calibri" w:cs="Calibri"/>
          <w:b/>
          <w:color w:val="000000" w:themeColor="text1"/>
          <w:sz w:val="24"/>
          <w:szCs w:val="24"/>
        </w:rPr>
        <w:t>veřejného nakupování</w:t>
      </w:r>
      <w:r w:rsidRPr="003126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zcela zásadní vliv, neboť nastavují </w:t>
      </w:r>
      <w:r w:rsidRPr="003126B8">
        <w:rPr>
          <w:rFonts w:ascii="Calibri" w:eastAsia="Calibri" w:hAnsi="Calibri" w:cs="Calibri"/>
          <w:b/>
          <w:color w:val="000000" w:themeColor="text1"/>
          <w:sz w:val="24"/>
          <w:szCs w:val="24"/>
        </w:rPr>
        <w:t>postupy (pravidla) týkající se všech jeho fází</w:t>
      </w:r>
      <w:r w:rsidRPr="004B540C">
        <w:rPr>
          <w:rFonts w:ascii="Calibri" w:eastAsia="Calibri" w:hAnsi="Calibri" w:cs="Calibri"/>
          <w:b/>
          <w:color w:val="000000" w:themeColor="text1"/>
          <w:sz w:val="24"/>
          <w:szCs w:val="24"/>
        </w:rPr>
        <w:t>.</w:t>
      </w:r>
    </w:p>
    <w:p w14:paraId="24FF73F4" w14:textId="77777777" w:rsidR="003330BE" w:rsidRPr="003126B8" w:rsidRDefault="003330BE" w:rsidP="003126B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7101EF8" w14:textId="71385B7B" w:rsidR="003330BE" w:rsidRPr="003126B8" w:rsidRDefault="003330BE" w:rsidP="003126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126B8">
        <w:rPr>
          <w:rFonts w:ascii="Calibri" w:hAnsi="Calibri" w:cs="Calibri"/>
          <w:color w:val="000000" w:themeColor="text1"/>
          <w:sz w:val="24"/>
          <w:szCs w:val="24"/>
        </w:rPr>
        <w:t xml:space="preserve">V souvislosti s peněžními prostředky, které ZÚ vynakládaly na veřejné nákupy, NKÚ zejména prověřoval, zda tyto prostředky ZÚ vynakládaly v souladu s ustanovením § 53 odst. 4 </w:t>
      </w:r>
      <w:r w:rsidRPr="003126B8">
        <w:rPr>
          <w:rFonts w:ascii="Calibri" w:hAnsi="Calibri" w:cs="Calibri"/>
          <w:bCs/>
          <w:color w:val="000000" w:themeColor="text1"/>
          <w:sz w:val="24"/>
          <w:szCs w:val="24"/>
        </w:rPr>
        <w:t>rozpočtových pravid</w:t>
      </w:r>
      <w:r w:rsidR="000C0277">
        <w:rPr>
          <w:rFonts w:ascii="Calibri" w:hAnsi="Calibri" w:cs="Calibri"/>
          <w:bCs/>
          <w:color w:val="000000" w:themeColor="text1"/>
          <w:sz w:val="24"/>
          <w:szCs w:val="24"/>
        </w:rPr>
        <w:t>el</w:t>
      </w:r>
      <w:r w:rsidRPr="003126B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40810D4D" w14:textId="77777777" w:rsidR="003330BE" w:rsidRPr="003126B8" w:rsidRDefault="003330BE" w:rsidP="003126B8">
      <w:pPr>
        <w:pStyle w:val="KZnormln"/>
        <w:spacing w:after="0"/>
        <w:rPr>
          <w:rFonts w:ascii="Calibri" w:eastAsiaTheme="minorHAnsi" w:hAnsi="Calibri" w:cs="Calibri"/>
          <w:color w:val="000000" w:themeColor="text1"/>
          <w:szCs w:val="24"/>
        </w:rPr>
      </w:pPr>
    </w:p>
    <w:p w14:paraId="31E80A88" w14:textId="1A1A72CD" w:rsidR="003330BE" w:rsidRPr="003126B8" w:rsidRDefault="003330BE" w:rsidP="003126B8">
      <w:pPr>
        <w:pStyle w:val="KZnormln"/>
        <w:tabs>
          <w:tab w:val="left" w:pos="426"/>
        </w:tabs>
        <w:spacing w:after="0"/>
        <w:rPr>
          <w:rFonts w:ascii="Calibri" w:hAnsi="Calibri" w:cs="Calibri"/>
          <w:color w:val="000000" w:themeColor="text1"/>
          <w:szCs w:val="24"/>
        </w:rPr>
      </w:pPr>
      <w:r w:rsidRPr="004B540C">
        <w:rPr>
          <w:rFonts w:ascii="Calibri" w:hAnsi="Calibri" w:cs="Calibri"/>
          <w:b/>
          <w:color w:val="000000" w:themeColor="text1"/>
          <w:szCs w:val="24"/>
        </w:rPr>
        <w:t>3</w:t>
      </w:r>
      <w:r w:rsidR="000C0277" w:rsidRPr="004B540C">
        <w:rPr>
          <w:rFonts w:ascii="Calibri" w:hAnsi="Calibri" w:cs="Calibri"/>
          <w:b/>
          <w:color w:val="000000" w:themeColor="text1"/>
          <w:szCs w:val="24"/>
        </w:rPr>
        <w:t>.</w:t>
      </w:r>
      <w:r w:rsidR="000C0277">
        <w:rPr>
          <w:rFonts w:ascii="Calibri" w:hAnsi="Calibri" w:cs="Calibri"/>
          <w:color w:val="000000" w:themeColor="text1"/>
          <w:szCs w:val="24"/>
        </w:rPr>
        <w:t xml:space="preserve"> </w:t>
      </w:r>
      <w:r w:rsidRPr="003126B8">
        <w:rPr>
          <w:rFonts w:ascii="Calibri" w:hAnsi="Calibri" w:cs="Calibri"/>
          <w:b/>
          <w:color w:val="000000" w:themeColor="text1"/>
          <w:szCs w:val="24"/>
        </w:rPr>
        <w:t>Kontrolováno bylo období</w:t>
      </w:r>
      <w:r w:rsidRPr="003126B8">
        <w:rPr>
          <w:rFonts w:ascii="Calibri" w:hAnsi="Calibri" w:cs="Calibri"/>
          <w:color w:val="000000" w:themeColor="text1"/>
          <w:szCs w:val="24"/>
        </w:rPr>
        <w:t xml:space="preserve"> let 2017 až 2019, v případě věcných souvislostí i období předcházející a následující.</w:t>
      </w:r>
    </w:p>
    <w:p w14:paraId="2DE8C8CB" w14:textId="77777777" w:rsidR="003330BE" w:rsidRPr="003126B8" w:rsidRDefault="003330BE" w:rsidP="003126B8">
      <w:pPr>
        <w:pStyle w:val="KZnormln"/>
        <w:spacing w:after="0"/>
        <w:rPr>
          <w:rFonts w:ascii="Calibri" w:hAnsi="Calibri" w:cs="Calibri"/>
          <w:color w:val="000000" w:themeColor="text1"/>
          <w:szCs w:val="24"/>
        </w:rPr>
      </w:pPr>
    </w:p>
    <w:p w14:paraId="566BCEDD" w14:textId="03B2D25B" w:rsidR="003330BE" w:rsidRPr="003126B8" w:rsidRDefault="003330BE" w:rsidP="003126B8">
      <w:pPr>
        <w:pStyle w:val="KZnormln"/>
        <w:tabs>
          <w:tab w:val="left" w:pos="426"/>
        </w:tabs>
        <w:spacing w:after="0"/>
        <w:rPr>
          <w:rFonts w:ascii="Calibri" w:hAnsi="Calibri" w:cs="Calibri"/>
          <w:color w:val="000000" w:themeColor="text1"/>
          <w:szCs w:val="24"/>
        </w:rPr>
      </w:pPr>
      <w:r w:rsidRPr="004B540C">
        <w:rPr>
          <w:rFonts w:ascii="Calibri" w:hAnsi="Calibri" w:cs="Calibri"/>
          <w:b/>
          <w:color w:val="000000" w:themeColor="text1"/>
          <w:szCs w:val="24"/>
        </w:rPr>
        <w:t>4</w:t>
      </w:r>
      <w:r w:rsidR="000C0277" w:rsidRPr="004B540C">
        <w:rPr>
          <w:rFonts w:ascii="Calibri" w:hAnsi="Calibri" w:cs="Calibri"/>
          <w:b/>
          <w:color w:val="000000" w:themeColor="text1"/>
          <w:szCs w:val="24"/>
        </w:rPr>
        <w:t>.</w:t>
      </w:r>
      <w:r w:rsidR="000C0277">
        <w:rPr>
          <w:rFonts w:ascii="Calibri" w:hAnsi="Calibri" w:cs="Calibri"/>
          <w:color w:val="000000" w:themeColor="text1"/>
          <w:szCs w:val="24"/>
        </w:rPr>
        <w:t xml:space="preserve"> </w:t>
      </w:r>
      <w:r w:rsidRPr="003126B8">
        <w:rPr>
          <w:rFonts w:ascii="Calibri" w:hAnsi="Calibri" w:cs="Calibri"/>
          <w:b/>
          <w:color w:val="000000" w:themeColor="text1"/>
          <w:szCs w:val="24"/>
        </w:rPr>
        <w:t>Celkové výdaje zdravotních ústavů</w:t>
      </w:r>
      <w:r w:rsidRPr="003126B8">
        <w:rPr>
          <w:rFonts w:ascii="Calibri" w:hAnsi="Calibri" w:cs="Calibri"/>
          <w:color w:val="000000" w:themeColor="text1"/>
          <w:szCs w:val="24"/>
        </w:rPr>
        <w:t xml:space="preserve"> na úhrady dodavatelům, tj. úhrady za nákupy, což představuje kontrolovatelný objem, činily v kontrolovaném období 1 348 459 551,13</w:t>
      </w:r>
      <w:r w:rsidR="003126B8">
        <w:rPr>
          <w:rFonts w:ascii="Calibri" w:hAnsi="Calibri" w:cs="Calibri"/>
          <w:color w:val="000000" w:themeColor="text1"/>
          <w:szCs w:val="24"/>
        </w:rPr>
        <w:t> </w:t>
      </w:r>
      <w:r w:rsidRPr="003126B8">
        <w:rPr>
          <w:rFonts w:ascii="Calibri" w:hAnsi="Calibri" w:cs="Calibri"/>
          <w:color w:val="000000" w:themeColor="text1"/>
          <w:szCs w:val="24"/>
        </w:rPr>
        <w:t>Kč</w:t>
      </w:r>
      <w:r w:rsidR="003126B8">
        <w:rPr>
          <w:rFonts w:ascii="Calibri" w:hAnsi="Calibri" w:cs="Calibri"/>
          <w:color w:val="000000" w:themeColor="text1"/>
          <w:szCs w:val="24"/>
        </w:rPr>
        <w:t xml:space="preserve"> </w:t>
      </w:r>
      <w:r w:rsidRPr="003126B8">
        <w:rPr>
          <w:rFonts w:ascii="Calibri" w:hAnsi="Calibri" w:cs="Calibri"/>
          <w:color w:val="000000" w:themeColor="text1"/>
          <w:szCs w:val="24"/>
        </w:rPr>
        <w:t>včetně DPH. Kontrolovaný objem peněžních prostředků vynaložených zdravotními ústavy na úhrady nákupů dodavatelům činil 238 677 573,36 Kč včetně DPH. Výše prověřovaného příspěvku na provoz, který ZÚ obdržely v letech 2017–2019, činila 254 356 333 Kč.</w:t>
      </w:r>
    </w:p>
    <w:p w14:paraId="00EBDA31" w14:textId="77777777" w:rsidR="003330BE" w:rsidRPr="003126B8" w:rsidRDefault="003330BE" w:rsidP="003126B8">
      <w:pPr>
        <w:pStyle w:val="KZnormln"/>
        <w:tabs>
          <w:tab w:val="left" w:pos="426"/>
        </w:tabs>
        <w:spacing w:after="0"/>
        <w:rPr>
          <w:rFonts w:ascii="Calibri" w:hAnsi="Calibri" w:cs="Calibri"/>
          <w:color w:val="000000" w:themeColor="text1"/>
          <w:szCs w:val="24"/>
        </w:rPr>
      </w:pPr>
    </w:p>
    <w:p w14:paraId="731E3E79" w14:textId="77777777" w:rsidR="003330BE" w:rsidRDefault="003330BE" w:rsidP="003126B8">
      <w:pPr>
        <w:spacing w:after="0" w:line="240" w:lineRule="auto"/>
        <w:ind w:left="567" w:hanging="567"/>
        <w:rPr>
          <w:rFonts w:ascii="Calibri" w:eastAsia="Calibri" w:hAnsi="Calibri" w:cs="Calibri"/>
          <w:sz w:val="20"/>
          <w:szCs w:val="20"/>
        </w:rPr>
      </w:pPr>
      <w:r w:rsidRPr="006A053C">
        <w:rPr>
          <w:rFonts w:ascii="Calibri" w:eastAsia="Calibri" w:hAnsi="Calibri" w:cs="Calibri"/>
          <w:b/>
          <w:sz w:val="20"/>
          <w:szCs w:val="20"/>
        </w:rPr>
        <w:t>Pozn</w:t>
      </w:r>
      <w:r w:rsidRPr="006A053C">
        <w:rPr>
          <w:rFonts w:ascii="Calibri" w:eastAsia="Calibri" w:hAnsi="Calibri" w:cs="Calibri"/>
          <w:sz w:val="20"/>
          <w:szCs w:val="20"/>
        </w:rPr>
        <w:t>.: Právní předpisy uvedené v tomto kontrolním závěru jsou aplikovány ve znění účinném pro kontrolované období.</w:t>
      </w:r>
    </w:p>
    <w:p w14:paraId="6A4F9C65" w14:textId="77777777" w:rsidR="003330BE" w:rsidRPr="006A053C" w:rsidRDefault="003330BE" w:rsidP="003330BE">
      <w:pPr>
        <w:pStyle w:val="KZnormln"/>
        <w:spacing w:after="0"/>
        <w:rPr>
          <w:rFonts w:eastAsiaTheme="minorHAnsi"/>
          <w:color w:val="auto"/>
        </w:rPr>
      </w:pPr>
    </w:p>
    <w:p w14:paraId="0B2FBE6A" w14:textId="77777777" w:rsidR="003330BE" w:rsidRPr="006A053C" w:rsidRDefault="003330BE" w:rsidP="003330BE">
      <w:pPr>
        <w:pStyle w:val="KZnormln"/>
        <w:spacing w:after="0"/>
        <w:rPr>
          <w:rFonts w:eastAsiaTheme="minorHAnsi"/>
          <w:color w:val="auto"/>
        </w:rPr>
      </w:pPr>
    </w:p>
    <w:p w14:paraId="41A89551" w14:textId="77777777" w:rsidR="002E3F8B" w:rsidRPr="00C75349" w:rsidRDefault="00E10443" w:rsidP="00AA26A9">
      <w:pPr>
        <w:pStyle w:val="Nadpis1"/>
        <w:spacing w:before="0" w:after="0" w:line="252" w:lineRule="auto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C75349">
        <w:rPr>
          <w:rFonts w:asciiTheme="minorHAnsi" w:hAnsiTheme="minorHAnsi" w:cstheme="minorHAnsi"/>
          <w:sz w:val="28"/>
          <w:szCs w:val="28"/>
        </w:rPr>
        <w:t>IV. Podrobn</w:t>
      </w:r>
      <w:r w:rsidR="00276301" w:rsidRPr="00C75349">
        <w:rPr>
          <w:rFonts w:asciiTheme="minorHAnsi" w:hAnsiTheme="minorHAnsi" w:cstheme="minorHAnsi"/>
          <w:sz w:val="28"/>
          <w:szCs w:val="28"/>
        </w:rPr>
        <w:t>é skutečnosti zjištěné kontrolou</w:t>
      </w:r>
    </w:p>
    <w:p w14:paraId="7B750FBA" w14:textId="77777777" w:rsidR="00C30DF0" w:rsidRDefault="00C30DF0" w:rsidP="00AA26A9">
      <w:pPr>
        <w:keepNext/>
        <w:spacing w:after="0" w:line="252" w:lineRule="auto"/>
        <w:contextualSpacing/>
        <w:jc w:val="both"/>
        <w:rPr>
          <w:rFonts w:cstheme="minorHAnsi"/>
          <w:sz w:val="24"/>
          <w:szCs w:val="24"/>
        </w:rPr>
      </w:pPr>
    </w:p>
    <w:p w14:paraId="54E94177" w14:textId="7E3CA327" w:rsidR="003330BE" w:rsidRPr="00C30DF0" w:rsidRDefault="003330BE" w:rsidP="00AA26A9">
      <w:pPr>
        <w:keepNext/>
        <w:tabs>
          <w:tab w:val="left" w:pos="284"/>
        </w:tabs>
        <w:spacing w:after="0" w:line="240" w:lineRule="auto"/>
        <w:ind w:left="284" w:hanging="284"/>
        <w:rPr>
          <w:rFonts w:ascii="Calibri" w:hAnsi="Calibri" w:cs="Calibri"/>
          <w:b/>
          <w:sz w:val="24"/>
          <w:szCs w:val="24"/>
        </w:rPr>
      </w:pPr>
      <w:r w:rsidRPr="00C30DF0">
        <w:rPr>
          <w:rFonts w:ascii="Calibri" w:hAnsi="Calibri" w:cs="Calibri"/>
          <w:b/>
          <w:sz w:val="24"/>
          <w:szCs w:val="24"/>
        </w:rPr>
        <w:t>1</w:t>
      </w:r>
      <w:r w:rsidR="000C0277">
        <w:rPr>
          <w:rFonts w:ascii="Calibri" w:hAnsi="Calibri" w:cs="Calibri"/>
          <w:b/>
          <w:sz w:val="24"/>
          <w:szCs w:val="24"/>
        </w:rPr>
        <w:t>.</w:t>
      </w:r>
      <w:r w:rsidR="00AA26A9">
        <w:rPr>
          <w:rFonts w:ascii="Calibri" w:hAnsi="Calibri" w:cs="Calibri"/>
          <w:b/>
          <w:sz w:val="24"/>
          <w:szCs w:val="24"/>
        </w:rPr>
        <w:t xml:space="preserve"> </w:t>
      </w:r>
      <w:r w:rsidR="00AA26A9">
        <w:rPr>
          <w:rFonts w:ascii="Calibri" w:hAnsi="Calibri" w:cs="Calibri"/>
          <w:b/>
          <w:sz w:val="24"/>
          <w:szCs w:val="24"/>
        </w:rPr>
        <w:tab/>
      </w:r>
      <w:r w:rsidRPr="00C30DF0">
        <w:rPr>
          <w:rFonts w:ascii="Calibri" w:hAnsi="Calibri" w:cs="Calibri"/>
          <w:b/>
          <w:sz w:val="24"/>
          <w:szCs w:val="24"/>
        </w:rPr>
        <w:t>Výkon zřizovatelských funkcí Ministerstva zdravotnictví ve vztahu ke zdravotním ústavům</w:t>
      </w:r>
    </w:p>
    <w:p w14:paraId="1381457B" w14:textId="77777777" w:rsidR="00C30DF0" w:rsidRDefault="00C30DF0" w:rsidP="00AA26A9">
      <w:pPr>
        <w:keepNext/>
        <w:spacing w:after="0" w:line="240" w:lineRule="auto"/>
        <w:ind w:left="709" w:hanging="709"/>
        <w:rPr>
          <w:rFonts w:ascii="Calibri" w:hAnsi="Calibri" w:cs="Calibri"/>
          <w:b/>
          <w:sz w:val="24"/>
          <w:szCs w:val="24"/>
          <w:lang w:eastAsia="cs-CZ"/>
        </w:rPr>
      </w:pPr>
    </w:p>
    <w:p w14:paraId="61532B97" w14:textId="774C14E9" w:rsidR="003330BE" w:rsidRPr="00C30DF0" w:rsidRDefault="003330BE" w:rsidP="00AA26A9">
      <w:pPr>
        <w:keepNext/>
        <w:spacing w:after="0" w:line="240" w:lineRule="auto"/>
        <w:ind w:left="426" w:hanging="426"/>
        <w:rPr>
          <w:rFonts w:ascii="Calibri" w:hAnsi="Calibri" w:cs="Calibri"/>
          <w:b/>
          <w:sz w:val="24"/>
          <w:szCs w:val="24"/>
          <w:lang w:eastAsia="cs-CZ"/>
        </w:rPr>
      </w:pPr>
      <w:r w:rsidRPr="00C30DF0">
        <w:rPr>
          <w:rFonts w:ascii="Calibri" w:hAnsi="Calibri" w:cs="Calibri"/>
          <w:b/>
          <w:sz w:val="24"/>
          <w:szCs w:val="24"/>
          <w:lang w:eastAsia="cs-CZ"/>
        </w:rPr>
        <w:t>1.1</w:t>
      </w:r>
      <w:r w:rsidR="00AA26A9">
        <w:rPr>
          <w:rFonts w:ascii="Calibri" w:hAnsi="Calibri" w:cs="Calibri"/>
          <w:b/>
          <w:sz w:val="24"/>
          <w:szCs w:val="24"/>
          <w:lang w:eastAsia="cs-CZ"/>
        </w:rPr>
        <w:t xml:space="preserve"> </w:t>
      </w:r>
      <w:r w:rsidR="00AA26A9">
        <w:rPr>
          <w:rFonts w:ascii="Calibri" w:hAnsi="Calibri" w:cs="Calibri"/>
          <w:b/>
          <w:sz w:val="24"/>
          <w:szCs w:val="24"/>
          <w:lang w:eastAsia="cs-CZ"/>
        </w:rPr>
        <w:tab/>
      </w:r>
      <w:r w:rsidRPr="00C30DF0">
        <w:rPr>
          <w:rFonts w:ascii="Calibri" w:hAnsi="Calibri" w:cs="Calibri"/>
          <w:b/>
          <w:sz w:val="24"/>
          <w:szCs w:val="24"/>
          <w:lang w:eastAsia="cs-CZ"/>
        </w:rPr>
        <w:t>Ministerstvo nezačlenilo činnosti zdravotních ústavů do svých koncepčních a strategických dokumentů</w:t>
      </w:r>
    </w:p>
    <w:p w14:paraId="4EBC2AA1" w14:textId="77777777" w:rsidR="00C30DF0" w:rsidRDefault="00C30DF0" w:rsidP="00AA26A9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23BC361C" w14:textId="5947F928" w:rsidR="003330BE" w:rsidRDefault="003330BE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C30DF0">
        <w:rPr>
          <w:rFonts w:ascii="Calibri" w:hAnsi="Calibri" w:cs="Calibri"/>
          <w:sz w:val="24"/>
          <w:szCs w:val="24"/>
          <w:lang w:eastAsia="cs-CZ"/>
        </w:rPr>
        <w:t>MZd</w:t>
      </w:r>
      <w:proofErr w:type="spellEnd"/>
      <w:r w:rsidRPr="00C30DF0">
        <w:rPr>
          <w:rFonts w:ascii="Calibri" w:hAnsi="Calibri" w:cs="Calibri"/>
          <w:sz w:val="24"/>
          <w:szCs w:val="24"/>
          <w:lang w:eastAsia="cs-CZ"/>
        </w:rPr>
        <w:t xml:space="preserve"> dle kompetenčního zákona</w:t>
      </w:r>
      <w:r w:rsidRPr="00C30DF0">
        <w:rPr>
          <w:rStyle w:val="Znakapoznpodarou"/>
          <w:rFonts w:ascii="Calibri" w:hAnsi="Calibri" w:cs="Calibri"/>
          <w:sz w:val="24"/>
          <w:szCs w:val="24"/>
          <w:lang w:eastAsia="cs-CZ"/>
        </w:rPr>
        <w:footnoteReference w:id="36"/>
      </w:r>
      <w:r w:rsidRPr="00C30DF0">
        <w:rPr>
          <w:rFonts w:ascii="Calibri" w:hAnsi="Calibri" w:cs="Calibri"/>
          <w:sz w:val="24"/>
          <w:szCs w:val="24"/>
          <w:lang w:eastAsia="cs-CZ"/>
        </w:rPr>
        <w:t xml:space="preserve"> mj. zpracovává koncepce rozvoje svěřených odvětví a řeší stěžejní otázky, které předkládá vládě ČR. </w:t>
      </w:r>
      <w:r w:rsidRPr="00C30DF0">
        <w:rPr>
          <w:rFonts w:ascii="Calibri" w:hAnsi="Calibri" w:cs="Calibri"/>
          <w:sz w:val="24"/>
          <w:szCs w:val="24"/>
        </w:rPr>
        <w:t>Koncepci rozvoje svěřeného odvětví, v níž by jasně definovalo významnost, potřebnost a rozsah služeb poskytovaných zdravotními ústavy pro stát, ale také i postavení ZÚ na trhu v rámci poskytovaných služeb v souladu se zákonem o</w:t>
      </w:r>
      <w:r w:rsidR="003C2562">
        <w:rPr>
          <w:rFonts w:ascii="Calibri" w:hAnsi="Calibri" w:cs="Calibri"/>
          <w:sz w:val="24"/>
          <w:szCs w:val="24"/>
        </w:rPr>
        <w:t> </w:t>
      </w:r>
      <w:r w:rsidRPr="00C30DF0">
        <w:rPr>
          <w:rFonts w:ascii="Calibri" w:hAnsi="Calibri" w:cs="Calibri"/>
          <w:sz w:val="24"/>
          <w:szCs w:val="24"/>
        </w:rPr>
        <w:t xml:space="preserve">ochraně veřejného zdraví, od roku 2003 </w:t>
      </w:r>
      <w:r w:rsidR="00511892">
        <w:rPr>
          <w:rFonts w:ascii="Calibri" w:hAnsi="Calibri" w:cs="Calibri"/>
          <w:sz w:val="24"/>
          <w:szCs w:val="24"/>
        </w:rPr>
        <w:t>m</w:t>
      </w:r>
      <w:r w:rsidRPr="00C30DF0">
        <w:rPr>
          <w:rFonts w:ascii="Calibri" w:hAnsi="Calibri" w:cs="Calibri"/>
          <w:sz w:val="24"/>
          <w:szCs w:val="24"/>
        </w:rPr>
        <w:t>inisterstvo nezpracovalo a vládě ČR nepředložilo.</w:t>
      </w:r>
    </w:p>
    <w:p w14:paraId="06749EED" w14:textId="77777777" w:rsidR="00C30DF0" w:rsidRPr="00C30DF0" w:rsidRDefault="00C30DF0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30199E7" w14:textId="77777777" w:rsidR="003330BE" w:rsidRDefault="003330BE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  <w:proofErr w:type="spellStart"/>
      <w:r w:rsidRPr="00C30DF0">
        <w:rPr>
          <w:rFonts w:ascii="Calibri" w:hAnsi="Calibri" w:cs="Calibri"/>
          <w:sz w:val="24"/>
          <w:szCs w:val="24"/>
          <w:lang w:eastAsia="cs-CZ"/>
        </w:rPr>
        <w:t>MZd</w:t>
      </w:r>
      <w:proofErr w:type="spellEnd"/>
      <w:r w:rsidRPr="00C30DF0">
        <w:rPr>
          <w:rFonts w:ascii="Calibri" w:hAnsi="Calibri" w:cs="Calibri"/>
          <w:sz w:val="24"/>
          <w:szCs w:val="24"/>
          <w:lang w:eastAsia="cs-CZ"/>
        </w:rPr>
        <w:t xml:space="preserve"> nestanovilo postavení, zapojení a využití činností zdravotních ústavů ani v dalších dokumentech zpracovaných v rámci národní strategie ochrany zdraví</w:t>
      </w:r>
      <w:r w:rsidRPr="00C30DF0">
        <w:rPr>
          <w:rStyle w:val="Znakapoznpodarou"/>
          <w:rFonts w:ascii="Calibri" w:hAnsi="Calibri" w:cs="Calibri"/>
          <w:sz w:val="24"/>
          <w:szCs w:val="24"/>
          <w:lang w:eastAsia="cs-CZ"/>
        </w:rPr>
        <w:footnoteReference w:id="37"/>
      </w:r>
      <w:r w:rsidRPr="00C30DF0">
        <w:rPr>
          <w:rFonts w:ascii="Calibri" w:hAnsi="Calibri" w:cs="Calibri"/>
          <w:sz w:val="24"/>
          <w:szCs w:val="24"/>
          <w:lang w:eastAsia="cs-CZ"/>
        </w:rPr>
        <w:t>.</w:t>
      </w:r>
    </w:p>
    <w:p w14:paraId="2F7A086A" w14:textId="77777777" w:rsidR="00C30DF0" w:rsidRPr="00C30DF0" w:rsidRDefault="00C30DF0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77A187A5" w14:textId="28B3D04A" w:rsidR="003330BE" w:rsidRPr="00C30DF0" w:rsidRDefault="003330BE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C30DF0">
        <w:rPr>
          <w:rFonts w:ascii="Calibri" w:hAnsi="Calibri" w:cs="Calibri"/>
          <w:sz w:val="24"/>
          <w:szCs w:val="24"/>
        </w:rPr>
        <w:t>MZd</w:t>
      </w:r>
      <w:proofErr w:type="spellEnd"/>
      <w:r w:rsidRPr="00C30DF0">
        <w:rPr>
          <w:rFonts w:ascii="Calibri" w:hAnsi="Calibri" w:cs="Calibri"/>
          <w:sz w:val="24"/>
          <w:szCs w:val="24"/>
        </w:rPr>
        <w:t xml:space="preserve"> v roce 2019 vyzvalo ZÚ</w:t>
      </w:r>
      <w:r w:rsidRPr="00C30DF0">
        <w:rPr>
          <w:rStyle w:val="Znakapoznpodarou"/>
          <w:rFonts w:ascii="Calibri" w:hAnsi="Calibri" w:cs="Calibri"/>
          <w:sz w:val="24"/>
          <w:szCs w:val="24"/>
        </w:rPr>
        <w:footnoteReference w:id="38"/>
      </w:r>
      <w:r w:rsidRPr="00C30DF0">
        <w:rPr>
          <w:rFonts w:ascii="Calibri" w:hAnsi="Calibri" w:cs="Calibri"/>
          <w:sz w:val="24"/>
          <w:szCs w:val="24"/>
        </w:rPr>
        <w:t>, aby zpracovaly vlastní koncepce jejich činností. V koncepcích zpracovaných ZÚ měla být podrobně analyzována jejich činnost, včetně personálního zajištění jednotlivých činností a předpokládaných zdrojů financování. Tyto koncepce měly být použity jako podklad</w:t>
      </w:r>
      <w:r w:rsidR="00504D54">
        <w:rPr>
          <w:rFonts w:ascii="Calibri" w:hAnsi="Calibri" w:cs="Calibri"/>
          <w:sz w:val="24"/>
          <w:szCs w:val="24"/>
        </w:rPr>
        <w:t>y</w:t>
      </w:r>
      <w:r w:rsidRPr="00C30DF0">
        <w:rPr>
          <w:rFonts w:ascii="Calibri" w:hAnsi="Calibri" w:cs="Calibri"/>
          <w:sz w:val="24"/>
          <w:szCs w:val="24"/>
        </w:rPr>
        <w:t xml:space="preserve"> pro stanovení další strategie </w:t>
      </w:r>
      <w:proofErr w:type="spellStart"/>
      <w:r w:rsidRPr="00C30DF0">
        <w:rPr>
          <w:rFonts w:ascii="Calibri" w:hAnsi="Calibri" w:cs="Calibri"/>
          <w:sz w:val="24"/>
          <w:szCs w:val="24"/>
        </w:rPr>
        <w:t>MZd</w:t>
      </w:r>
      <w:proofErr w:type="spellEnd"/>
      <w:r w:rsidRPr="00C30DF0">
        <w:rPr>
          <w:rFonts w:ascii="Calibri" w:hAnsi="Calibri" w:cs="Calibri"/>
          <w:sz w:val="24"/>
          <w:szCs w:val="24"/>
        </w:rPr>
        <w:t xml:space="preserve"> v oblasti ochrany veřejného zdraví. </w:t>
      </w:r>
      <w:proofErr w:type="spellStart"/>
      <w:r w:rsidRPr="00C30DF0">
        <w:rPr>
          <w:rFonts w:ascii="Calibri" w:hAnsi="Calibri" w:cs="Calibri"/>
          <w:sz w:val="24"/>
          <w:szCs w:val="24"/>
        </w:rPr>
        <w:t>MZd</w:t>
      </w:r>
      <w:proofErr w:type="spellEnd"/>
      <w:r w:rsidRPr="00C30DF0">
        <w:rPr>
          <w:rFonts w:ascii="Calibri" w:hAnsi="Calibri" w:cs="Calibri"/>
          <w:sz w:val="24"/>
          <w:szCs w:val="24"/>
        </w:rPr>
        <w:t xml:space="preserve"> do</w:t>
      </w:r>
      <w:r w:rsidR="00504D54">
        <w:rPr>
          <w:rFonts w:ascii="Calibri" w:hAnsi="Calibri" w:cs="Calibri"/>
          <w:sz w:val="24"/>
          <w:szCs w:val="24"/>
        </w:rPr>
        <w:t xml:space="preserve"> </w:t>
      </w:r>
      <w:r w:rsidRPr="00C30DF0">
        <w:rPr>
          <w:rFonts w:ascii="Calibri" w:hAnsi="Calibri" w:cs="Calibri"/>
          <w:sz w:val="24"/>
          <w:szCs w:val="24"/>
        </w:rPr>
        <w:t>doby ukončení kontroly využilo koncepce předané zdravotními ústavy jen jako podklad k interním pracovním jednáním.</w:t>
      </w:r>
    </w:p>
    <w:p w14:paraId="0ADDCD8A" w14:textId="77777777" w:rsidR="003330BE" w:rsidRPr="00C30DF0" w:rsidRDefault="003330BE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22DFB3" w14:textId="322D8EEF" w:rsidR="003330BE" w:rsidRPr="00C30DF0" w:rsidRDefault="003330BE" w:rsidP="00382BD8">
      <w:pPr>
        <w:keepNext/>
        <w:spacing w:after="0" w:line="240" w:lineRule="auto"/>
        <w:ind w:left="369" w:hanging="369"/>
        <w:rPr>
          <w:rFonts w:ascii="Calibri" w:hAnsi="Calibri" w:cs="Calibri"/>
          <w:b/>
          <w:sz w:val="24"/>
          <w:szCs w:val="24"/>
          <w:lang w:eastAsia="cs-CZ"/>
        </w:rPr>
      </w:pPr>
      <w:r w:rsidRPr="00C30DF0">
        <w:rPr>
          <w:rFonts w:ascii="Calibri" w:hAnsi="Calibri" w:cs="Calibri"/>
          <w:b/>
          <w:sz w:val="24"/>
          <w:szCs w:val="24"/>
          <w:lang w:eastAsia="cs-CZ"/>
        </w:rPr>
        <w:t>1.2</w:t>
      </w:r>
      <w:r w:rsidRPr="00C30DF0">
        <w:rPr>
          <w:rFonts w:ascii="Calibri" w:hAnsi="Calibri" w:cs="Calibri"/>
          <w:b/>
          <w:sz w:val="24"/>
          <w:szCs w:val="24"/>
          <w:lang w:eastAsia="cs-CZ"/>
        </w:rPr>
        <w:tab/>
        <w:t>Ministerstvo nepřistupovalo systematicky ke stanovení výše příspěvku na provoz pro zdravotní ústavy</w:t>
      </w:r>
    </w:p>
    <w:p w14:paraId="26ECDB8D" w14:textId="77777777" w:rsidR="00C30DF0" w:rsidRDefault="00C30DF0" w:rsidP="00382BD8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7AF7E12" w14:textId="2A26FF6C" w:rsidR="003330BE" w:rsidRDefault="003330BE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30DF0">
        <w:rPr>
          <w:rFonts w:ascii="Calibri" w:hAnsi="Calibri" w:cs="Calibri"/>
          <w:sz w:val="24"/>
          <w:szCs w:val="24"/>
        </w:rPr>
        <w:t>Příspěvek na provoz se podle rozpočtových pravid</w:t>
      </w:r>
      <w:r w:rsidR="00504D54">
        <w:rPr>
          <w:rFonts w:ascii="Calibri" w:hAnsi="Calibri" w:cs="Calibri"/>
          <w:sz w:val="24"/>
          <w:szCs w:val="24"/>
        </w:rPr>
        <w:t>e</w:t>
      </w:r>
      <w:r w:rsidRPr="00C30DF0">
        <w:rPr>
          <w:rFonts w:ascii="Calibri" w:hAnsi="Calibri" w:cs="Calibri"/>
          <w:sz w:val="24"/>
          <w:szCs w:val="24"/>
        </w:rPr>
        <w:t>l stanoví v případě, že rozpočtované náklady bez příspěvku ze státního rozpočtu překračují rozpočtované výnosy.</w:t>
      </w:r>
    </w:p>
    <w:p w14:paraId="52846E2D" w14:textId="77777777" w:rsidR="00C30DF0" w:rsidRPr="00C30DF0" w:rsidRDefault="00C30DF0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8394EE" w14:textId="77777777" w:rsidR="003330BE" w:rsidRDefault="003330BE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C30DF0">
        <w:rPr>
          <w:rFonts w:ascii="Calibri" w:hAnsi="Calibri" w:cs="Calibri"/>
          <w:sz w:val="24"/>
          <w:szCs w:val="24"/>
        </w:rPr>
        <w:t>MZd</w:t>
      </w:r>
      <w:proofErr w:type="spellEnd"/>
      <w:r w:rsidRPr="00C30DF0">
        <w:rPr>
          <w:rFonts w:ascii="Calibri" w:hAnsi="Calibri" w:cs="Calibri"/>
          <w:sz w:val="24"/>
          <w:szCs w:val="24"/>
        </w:rPr>
        <w:t xml:space="preserve"> požadovalo od ZÚ sestavení vyrovnaného rozpočtu (výkazu o rozpočtu nákladů a výnosů) na roky 2017 až 2019, a to bez příspěvku na provoz (resp. s příspěvkem na provoz v nulové výši), aniž by zohlednilo nepříznivé ekonomické výsledky zdravotních ústavů předchozích let.</w:t>
      </w:r>
    </w:p>
    <w:p w14:paraId="7BF54D77" w14:textId="77777777" w:rsidR="00C30DF0" w:rsidRPr="00C30DF0" w:rsidRDefault="00C30DF0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CA9DAB9" w14:textId="35218C4E" w:rsidR="003330BE" w:rsidRPr="00C30DF0" w:rsidRDefault="003330BE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30DF0">
        <w:rPr>
          <w:rFonts w:ascii="Calibri" w:hAnsi="Calibri" w:cs="Calibri"/>
          <w:sz w:val="24"/>
          <w:szCs w:val="24"/>
        </w:rPr>
        <w:t>To, že pro roky 2017 až 2019 plánované náklady ZÚ bez příspěvku na provoz překračovaly jejich očekávané výnosy, bylo zřejmé ze zdůvodněných požadavků ZÚ na výši příspěvků na</w:t>
      </w:r>
      <w:r w:rsidR="00504D54">
        <w:rPr>
          <w:rFonts w:ascii="Calibri" w:hAnsi="Calibri" w:cs="Calibri"/>
          <w:sz w:val="24"/>
          <w:szCs w:val="24"/>
        </w:rPr>
        <w:t xml:space="preserve"> </w:t>
      </w:r>
      <w:r w:rsidRPr="00C30DF0">
        <w:rPr>
          <w:rFonts w:ascii="Calibri" w:hAnsi="Calibri" w:cs="Calibri"/>
          <w:sz w:val="24"/>
          <w:szCs w:val="24"/>
        </w:rPr>
        <w:t>provoz. Údaje o</w:t>
      </w:r>
      <w:r w:rsidR="00504D54">
        <w:rPr>
          <w:rFonts w:ascii="Calibri" w:hAnsi="Calibri" w:cs="Calibri"/>
          <w:sz w:val="24"/>
          <w:szCs w:val="24"/>
        </w:rPr>
        <w:t> </w:t>
      </w:r>
      <w:r w:rsidR="00504D54" w:rsidRPr="00C30DF0">
        <w:rPr>
          <w:rFonts w:ascii="Calibri" w:hAnsi="Calibri" w:cs="Calibri"/>
          <w:sz w:val="24"/>
          <w:szCs w:val="24"/>
        </w:rPr>
        <w:t>výši příspěvku na provoz</w:t>
      </w:r>
      <w:r w:rsidRPr="00C30DF0">
        <w:rPr>
          <w:rFonts w:ascii="Calibri" w:hAnsi="Calibri" w:cs="Calibri"/>
          <w:sz w:val="24"/>
          <w:szCs w:val="24"/>
        </w:rPr>
        <w:t xml:space="preserve"> </w:t>
      </w:r>
      <w:r w:rsidR="00504D54" w:rsidRPr="00C30DF0">
        <w:rPr>
          <w:rFonts w:ascii="Calibri" w:hAnsi="Calibri" w:cs="Calibri"/>
          <w:sz w:val="24"/>
          <w:szCs w:val="24"/>
        </w:rPr>
        <w:t>požadované</w:t>
      </w:r>
      <w:r w:rsidR="00504D54">
        <w:rPr>
          <w:rFonts w:ascii="Calibri" w:hAnsi="Calibri" w:cs="Calibri"/>
          <w:sz w:val="24"/>
          <w:szCs w:val="24"/>
        </w:rPr>
        <w:t>ho</w:t>
      </w:r>
      <w:r w:rsidR="00504D54" w:rsidRPr="00C30DF0">
        <w:rPr>
          <w:rFonts w:ascii="Calibri" w:hAnsi="Calibri" w:cs="Calibri"/>
          <w:sz w:val="24"/>
          <w:szCs w:val="24"/>
        </w:rPr>
        <w:t xml:space="preserve"> </w:t>
      </w:r>
      <w:r w:rsidRPr="00C30DF0">
        <w:rPr>
          <w:rFonts w:ascii="Calibri" w:hAnsi="Calibri" w:cs="Calibri"/>
          <w:sz w:val="24"/>
          <w:szCs w:val="24"/>
        </w:rPr>
        <w:t>zdravotními ústavy a celkové výši poskytnutého příspěvku jsou uvedeny v tabulce č. 2.</w:t>
      </w:r>
    </w:p>
    <w:p w14:paraId="6B38B4DC" w14:textId="77777777" w:rsidR="003330BE" w:rsidRPr="00C30DF0" w:rsidRDefault="003330BE" w:rsidP="00C30DF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7F4AF6" w14:textId="3FEFB436" w:rsidR="003330BE" w:rsidRPr="00C30DF0" w:rsidRDefault="003330BE" w:rsidP="00C30DF0">
      <w:pPr>
        <w:tabs>
          <w:tab w:val="right" w:pos="9072"/>
        </w:tabs>
        <w:spacing w:after="4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30DF0">
        <w:rPr>
          <w:rFonts w:ascii="Calibri" w:hAnsi="Calibri" w:cs="Calibri"/>
          <w:b/>
          <w:sz w:val="24"/>
          <w:szCs w:val="24"/>
        </w:rPr>
        <w:t>Tabulka č. 2:</w:t>
      </w:r>
      <w:r w:rsidR="00C30DF0">
        <w:rPr>
          <w:rFonts w:ascii="Calibri" w:hAnsi="Calibri" w:cs="Calibri"/>
          <w:b/>
          <w:sz w:val="24"/>
          <w:szCs w:val="24"/>
        </w:rPr>
        <w:t xml:space="preserve"> </w:t>
      </w:r>
      <w:r w:rsidRPr="00C30DF0">
        <w:rPr>
          <w:rFonts w:ascii="Calibri" w:hAnsi="Calibri" w:cs="Calibri"/>
          <w:b/>
          <w:sz w:val="24"/>
          <w:szCs w:val="24"/>
        </w:rPr>
        <w:t>Příspěvek na provoz zdravotních ústavů v letech 2017–2019</w:t>
      </w:r>
      <w:r w:rsidRPr="00C30DF0">
        <w:rPr>
          <w:rFonts w:ascii="Calibri" w:hAnsi="Calibri" w:cs="Calibri"/>
          <w:b/>
          <w:sz w:val="24"/>
          <w:szCs w:val="24"/>
        </w:rPr>
        <w:tab/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823"/>
        <w:gridCol w:w="1748"/>
        <w:gridCol w:w="1748"/>
        <w:gridCol w:w="1748"/>
      </w:tblGrid>
      <w:tr w:rsidR="003330BE" w14:paraId="6AC5A3BC" w14:textId="77777777" w:rsidTr="003330BE">
        <w:tc>
          <w:tcPr>
            <w:tcW w:w="3823" w:type="dxa"/>
            <w:shd w:val="clear" w:color="auto" w:fill="E5F1FF"/>
            <w:hideMark/>
          </w:tcPr>
          <w:p w14:paraId="236BC710" w14:textId="77777777" w:rsidR="003330BE" w:rsidRDefault="003330BE" w:rsidP="003330BE">
            <w:pPr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ZÚ v Ostravě</w:t>
            </w:r>
          </w:p>
        </w:tc>
        <w:tc>
          <w:tcPr>
            <w:tcW w:w="1748" w:type="dxa"/>
            <w:shd w:val="clear" w:color="auto" w:fill="E5F1FF"/>
            <w:hideMark/>
          </w:tcPr>
          <w:p w14:paraId="78C088DA" w14:textId="69E15E12" w:rsidR="003330BE" w:rsidRDefault="003330BE" w:rsidP="00BA3D87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748" w:type="dxa"/>
            <w:shd w:val="clear" w:color="auto" w:fill="E5F1FF"/>
            <w:hideMark/>
          </w:tcPr>
          <w:p w14:paraId="0D4EFD72" w14:textId="05E2CC4F" w:rsidR="003330BE" w:rsidRDefault="003330BE" w:rsidP="00BA3D87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748" w:type="dxa"/>
            <w:shd w:val="clear" w:color="auto" w:fill="E5F1FF"/>
            <w:hideMark/>
          </w:tcPr>
          <w:p w14:paraId="2A5DC7C5" w14:textId="68C49829" w:rsidR="003330BE" w:rsidRDefault="003330BE" w:rsidP="00BA3D87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2019</w:t>
            </w:r>
          </w:p>
        </w:tc>
      </w:tr>
      <w:tr w:rsidR="003330BE" w14:paraId="71EE24D0" w14:textId="77777777" w:rsidTr="003330BE">
        <w:tc>
          <w:tcPr>
            <w:tcW w:w="3823" w:type="dxa"/>
          </w:tcPr>
          <w:p w14:paraId="3B2754F7" w14:textId="77777777" w:rsidR="003330BE" w:rsidRPr="005D25A5" w:rsidRDefault="003330BE" w:rsidP="003330BE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5D25A5">
              <w:rPr>
                <w:rFonts w:cstheme="minorHAnsi"/>
                <w:sz w:val="20"/>
                <w:szCs w:val="20"/>
                <w:lang w:eastAsia="cs-CZ"/>
              </w:rPr>
              <w:t xml:space="preserve">Požadavek </w:t>
            </w:r>
            <w:r>
              <w:rPr>
                <w:rFonts w:cstheme="minorHAnsi"/>
                <w:sz w:val="20"/>
                <w:szCs w:val="20"/>
                <w:lang w:eastAsia="cs-CZ"/>
              </w:rPr>
              <w:t>zdravotního ústavu</w:t>
            </w:r>
            <w:r w:rsidRPr="005D25A5">
              <w:rPr>
                <w:rFonts w:cstheme="minorHAnsi"/>
                <w:sz w:val="20"/>
                <w:szCs w:val="20"/>
                <w:lang w:eastAsia="cs-CZ"/>
              </w:rPr>
              <w:t xml:space="preserve"> na příspěvek</w:t>
            </w:r>
          </w:p>
        </w:tc>
        <w:tc>
          <w:tcPr>
            <w:tcW w:w="1748" w:type="dxa"/>
          </w:tcPr>
          <w:p w14:paraId="6EF35055" w14:textId="77777777" w:rsidR="003330BE" w:rsidRPr="00FB30FE" w:rsidRDefault="003330BE" w:rsidP="00504D54">
            <w:pPr>
              <w:ind w:right="85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FB30FE">
              <w:rPr>
                <w:rFonts w:cstheme="minorHAnsi"/>
                <w:sz w:val="20"/>
                <w:szCs w:val="20"/>
                <w:lang w:eastAsia="cs-CZ"/>
              </w:rPr>
              <w:t>89 822 000</w:t>
            </w:r>
          </w:p>
        </w:tc>
        <w:tc>
          <w:tcPr>
            <w:tcW w:w="1748" w:type="dxa"/>
          </w:tcPr>
          <w:p w14:paraId="075DCD76" w14:textId="77777777" w:rsidR="003330BE" w:rsidRPr="005D25A5" w:rsidRDefault="003330BE" w:rsidP="003330BE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D25A5">
              <w:rPr>
                <w:rFonts w:cstheme="minorHAnsi"/>
                <w:sz w:val="20"/>
                <w:szCs w:val="20"/>
                <w:lang w:eastAsia="cs-CZ"/>
              </w:rPr>
              <w:t>81 790 244</w:t>
            </w:r>
          </w:p>
        </w:tc>
        <w:tc>
          <w:tcPr>
            <w:tcW w:w="1748" w:type="dxa"/>
          </w:tcPr>
          <w:p w14:paraId="349FCFA8" w14:textId="77777777" w:rsidR="003330BE" w:rsidRPr="005D25A5" w:rsidRDefault="003330BE" w:rsidP="003330BE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D25A5">
              <w:rPr>
                <w:rFonts w:cstheme="minorHAnsi"/>
                <w:sz w:val="20"/>
                <w:szCs w:val="20"/>
                <w:lang w:eastAsia="cs-CZ"/>
              </w:rPr>
              <w:t>99 810 000</w:t>
            </w:r>
          </w:p>
        </w:tc>
      </w:tr>
      <w:tr w:rsidR="003330BE" w14:paraId="49062BF2" w14:textId="77777777" w:rsidTr="003330BE">
        <w:tc>
          <w:tcPr>
            <w:tcW w:w="3823" w:type="dxa"/>
          </w:tcPr>
          <w:p w14:paraId="58073606" w14:textId="77777777" w:rsidR="003330BE" w:rsidRPr="005D25A5" w:rsidRDefault="003330BE" w:rsidP="003330BE">
            <w:pPr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Příspěvek z </w:t>
            </w:r>
            <w:proofErr w:type="spellStart"/>
            <w:r>
              <w:rPr>
                <w:rFonts w:cstheme="minorHAnsi"/>
                <w:sz w:val="20"/>
                <w:szCs w:val="20"/>
                <w:lang w:eastAsia="cs-CZ"/>
              </w:rPr>
              <w:t>MZd</w:t>
            </w:r>
            <w:proofErr w:type="spellEnd"/>
            <w:r>
              <w:rPr>
                <w:rFonts w:cstheme="minorHAnsi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748" w:type="dxa"/>
          </w:tcPr>
          <w:p w14:paraId="27B064C4" w14:textId="590E5634" w:rsidR="003330BE" w:rsidRPr="00FB30FE" w:rsidRDefault="003330BE" w:rsidP="00BA3D87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FB30FE">
              <w:rPr>
                <w:rFonts w:cstheme="minorHAnsi"/>
                <w:sz w:val="20"/>
                <w:szCs w:val="20"/>
                <w:lang w:eastAsia="cs-CZ"/>
              </w:rPr>
              <w:t>70 450</w:t>
            </w:r>
            <w:r w:rsidR="00504D54">
              <w:rPr>
                <w:rFonts w:cstheme="minorHAnsi"/>
                <w:sz w:val="20"/>
                <w:szCs w:val="20"/>
                <w:lang w:eastAsia="cs-CZ"/>
              </w:rPr>
              <w:t> </w:t>
            </w:r>
            <w:r w:rsidRPr="00FB30FE">
              <w:rPr>
                <w:rFonts w:cstheme="minorHAnsi"/>
                <w:sz w:val="20"/>
                <w:szCs w:val="20"/>
                <w:lang w:eastAsia="cs-CZ"/>
              </w:rPr>
              <w:t>000</w:t>
            </w:r>
            <w:r w:rsidR="00BA3D87" w:rsidRPr="00FB30FE">
              <w:rPr>
                <w:rFonts w:cstheme="minorHAnsi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748" w:type="dxa"/>
          </w:tcPr>
          <w:p w14:paraId="35166BDA" w14:textId="77777777" w:rsidR="003330BE" w:rsidRPr="005D25A5" w:rsidRDefault="003330BE" w:rsidP="003330BE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D25A5">
              <w:rPr>
                <w:rFonts w:cstheme="minorHAnsi"/>
                <w:sz w:val="20"/>
                <w:szCs w:val="20"/>
                <w:lang w:eastAsia="cs-CZ"/>
              </w:rPr>
              <w:t>44 280 000</w:t>
            </w:r>
          </w:p>
        </w:tc>
        <w:tc>
          <w:tcPr>
            <w:tcW w:w="1748" w:type="dxa"/>
          </w:tcPr>
          <w:p w14:paraId="383449F6" w14:textId="77777777" w:rsidR="003330BE" w:rsidRPr="005D25A5" w:rsidRDefault="003330BE" w:rsidP="003330BE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5D25A5">
              <w:rPr>
                <w:rFonts w:cstheme="minorHAnsi"/>
                <w:sz w:val="20"/>
                <w:szCs w:val="20"/>
                <w:lang w:eastAsia="cs-CZ"/>
              </w:rPr>
              <w:t>34 055 433</w:t>
            </w:r>
          </w:p>
        </w:tc>
      </w:tr>
      <w:tr w:rsidR="003330BE" w14:paraId="0EAFE787" w14:textId="77777777" w:rsidTr="003330BE">
        <w:tc>
          <w:tcPr>
            <w:tcW w:w="3823" w:type="dxa"/>
            <w:shd w:val="clear" w:color="auto" w:fill="E5F1FF"/>
            <w:hideMark/>
          </w:tcPr>
          <w:p w14:paraId="0CD0CAFE" w14:textId="77777777" w:rsidR="003330BE" w:rsidRDefault="003330BE" w:rsidP="003330BE">
            <w:pPr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ZÚ v Ústí n. L.</w:t>
            </w:r>
          </w:p>
        </w:tc>
        <w:tc>
          <w:tcPr>
            <w:tcW w:w="1748" w:type="dxa"/>
            <w:shd w:val="clear" w:color="auto" w:fill="E5F1FF"/>
            <w:hideMark/>
          </w:tcPr>
          <w:p w14:paraId="41083137" w14:textId="160DE5A8" w:rsidR="003330BE" w:rsidRDefault="003330BE" w:rsidP="00BA3D87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748" w:type="dxa"/>
            <w:shd w:val="clear" w:color="auto" w:fill="E5F1FF"/>
            <w:hideMark/>
          </w:tcPr>
          <w:p w14:paraId="7254D4A2" w14:textId="2E300C90" w:rsidR="003330BE" w:rsidRDefault="003330BE" w:rsidP="00BA3D87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748" w:type="dxa"/>
            <w:shd w:val="clear" w:color="auto" w:fill="E5F1FF"/>
            <w:hideMark/>
          </w:tcPr>
          <w:p w14:paraId="3B6E39E5" w14:textId="045EC270" w:rsidR="003330BE" w:rsidRDefault="003330BE" w:rsidP="00BA3D87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2019</w:t>
            </w:r>
          </w:p>
        </w:tc>
      </w:tr>
      <w:tr w:rsidR="003330BE" w14:paraId="34165F0E" w14:textId="77777777" w:rsidTr="003330BE">
        <w:tc>
          <w:tcPr>
            <w:tcW w:w="3823" w:type="dxa"/>
          </w:tcPr>
          <w:p w14:paraId="0D51D7A6" w14:textId="4255F929" w:rsidR="003330BE" w:rsidRPr="00311FFE" w:rsidRDefault="003330BE" w:rsidP="00504D54">
            <w:pPr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Požadavek zdravotního ústavu na příspěvek</w:t>
            </w:r>
          </w:p>
        </w:tc>
        <w:tc>
          <w:tcPr>
            <w:tcW w:w="1748" w:type="dxa"/>
          </w:tcPr>
          <w:p w14:paraId="17CAB839" w14:textId="77777777" w:rsidR="003330BE" w:rsidRPr="00311FFE" w:rsidRDefault="003330BE" w:rsidP="00BA3D87">
            <w:pPr>
              <w:ind w:right="85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311FFE">
              <w:rPr>
                <w:rFonts w:cstheme="minorHAnsi"/>
                <w:sz w:val="20"/>
                <w:szCs w:val="20"/>
                <w:lang w:eastAsia="cs-CZ"/>
              </w:rPr>
              <w:t>94 550 000</w:t>
            </w:r>
          </w:p>
        </w:tc>
        <w:tc>
          <w:tcPr>
            <w:tcW w:w="1748" w:type="dxa"/>
          </w:tcPr>
          <w:p w14:paraId="570A3008" w14:textId="77777777" w:rsidR="003330BE" w:rsidRPr="00311FFE" w:rsidRDefault="003330BE" w:rsidP="003330BE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311FFE">
              <w:rPr>
                <w:rFonts w:cstheme="minorHAnsi"/>
                <w:sz w:val="20"/>
                <w:szCs w:val="20"/>
                <w:lang w:eastAsia="cs-CZ"/>
              </w:rPr>
              <w:t>71 780 000</w:t>
            </w:r>
          </w:p>
        </w:tc>
        <w:tc>
          <w:tcPr>
            <w:tcW w:w="1748" w:type="dxa"/>
          </w:tcPr>
          <w:p w14:paraId="3CE18E21" w14:textId="77777777" w:rsidR="003330BE" w:rsidRPr="00311FFE" w:rsidRDefault="003330BE" w:rsidP="003330BE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FB30FE">
              <w:rPr>
                <w:rFonts w:cstheme="minorHAnsi"/>
                <w:sz w:val="20"/>
                <w:szCs w:val="20"/>
                <w:lang w:eastAsia="cs-CZ"/>
              </w:rPr>
              <w:t>62 447 253</w:t>
            </w:r>
          </w:p>
        </w:tc>
      </w:tr>
      <w:tr w:rsidR="003330BE" w14:paraId="613F6AAD" w14:textId="77777777" w:rsidTr="003330BE">
        <w:tc>
          <w:tcPr>
            <w:tcW w:w="3823" w:type="dxa"/>
          </w:tcPr>
          <w:p w14:paraId="59497879" w14:textId="77777777" w:rsidR="003330BE" w:rsidRPr="00311FFE" w:rsidRDefault="003330BE" w:rsidP="003330BE">
            <w:pPr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Příspěvek z </w:t>
            </w:r>
            <w:proofErr w:type="spellStart"/>
            <w:r>
              <w:rPr>
                <w:rFonts w:cstheme="minorHAnsi"/>
                <w:sz w:val="20"/>
                <w:szCs w:val="20"/>
                <w:lang w:eastAsia="cs-CZ"/>
              </w:rPr>
              <w:t>MZd</w:t>
            </w:r>
            <w:proofErr w:type="spellEnd"/>
            <w:r>
              <w:rPr>
                <w:rFonts w:cstheme="minorHAnsi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748" w:type="dxa"/>
          </w:tcPr>
          <w:p w14:paraId="729F925F" w14:textId="774475C1" w:rsidR="003330BE" w:rsidRPr="00311FFE" w:rsidRDefault="003330BE" w:rsidP="003330BE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311FFE">
              <w:rPr>
                <w:rFonts w:cstheme="minorHAnsi"/>
                <w:sz w:val="20"/>
                <w:szCs w:val="20"/>
                <w:lang w:eastAsia="cs-CZ"/>
              </w:rPr>
              <w:t>59 550 000</w:t>
            </w:r>
            <w:r w:rsidR="00BA3D87" w:rsidRPr="00FB30FE">
              <w:rPr>
                <w:rFonts w:cstheme="minorHAnsi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748" w:type="dxa"/>
          </w:tcPr>
          <w:p w14:paraId="6EBF2D3C" w14:textId="77777777" w:rsidR="003330BE" w:rsidRPr="00311FFE" w:rsidRDefault="003330BE" w:rsidP="003330BE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311FFE">
              <w:rPr>
                <w:rFonts w:cstheme="minorHAnsi"/>
                <w:sz w:val="20"/>
                <w:szCs w:val="20"/>
                <w:lang w:eastAsia="cs-CZ"/>
              </w:rPr>
              <w:t>32 460 000</w:t>
            </w:r>
          </w:p>
        </w:tc>
        <w:tc>
          <w:tcPr>
            <w:tcW w:w="1748" w:type="dxa"/>
          </w:tcPr>
          <w:p w14:paraId="37375833" w14:textId="77777777" w:rsidR="003330BE" w:rsidRPr="00311FFE" w:rsidRDefault="003330BE" w:rsidP="003330BE">
            <w:pPr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311FFE">
              <w:rPr>
                <w:rFonts w:cstheme="minorHAnsi"/>
                <w:sz w:val="20"/>
                <w:szCs w:val="20"/>
                <w:lang w:eastAsia="cs-CZ"/>
              </w:rPr>
              <w:t>35 060 900</w:t>
            </w:r>
          </w:p>
        </w:tc>
      </w:tr>
    </w:tbl>
    <w:p w14:paraId="58EC59FE" w14:textId="1866617B" w:rsidR="003330BE" w:rsidRPr="00C30DF0" w:rsidRDefault="003330BE" w:rsidP="00D36590">
      <w:pPr>
        <w:spacing w:before="40" w:after="0" w:line="240" w:lineRule="auto"/>
        <w:ind w:left="567" w:hanging="567"/>
        <w:jc w:val="both"/>
        <w:rPr>
          <w:rFonts w:ascii="Calibri" w:hAnsi="Calibri" w:cs="Calibri"/>
          <w:sz w:val="20"/>
          <w:szCs w:val="20"/>
          <w:lang w:eastAsia="cs-CZ"/>
        </w:rPr>
      </w:pPr>
      <w:r w:rsidRPr="00C30DF0">
        <w:rPr>
          <w:rFonts w:ascii="Calibri" w:hAnsi="Calibri" w:cs="Calibri"/>
          <w:b/>
          <w:sz w:val="20"/>
          <w:szCs w:val="20"/>
          <w:lang w:eastAsia="cs-CZ"/>
        </w:rPr>
        <w:t>Zdroj:</w:t>
      </w:r>
      <w:r w:rsidRPr="00C30DF0">
        <w:rPr>
          <w:rFonts w:ascii="Calibri" w:hAnsi="Calibri" w:cs="Calibri"/>
          <w:b/>
          <w:sz w:val="20"/>
          <w:szCs w:val="20"/>
          <w:lang w:eastAsia="cs-CZ"/>
        </w:rPr>
        <w:tab/>
      </w:r>
      <w:r w:rsidR="00D36590">
        <w:rPr>
          <w:rFonts w:ascii="Calibri" w:hAnsi="Calibri" w:cs="Calibri"/>
          <w:sz w:val="20"/>
          <w:szCs w:val="20"/>
          <w:lang w:eastAsia="cs-CZ"/>
        </w:rPr>
        <w:t>d</w:t>
      </w:r>
      <w:r w:rsidRPr="00C30DF0">
        <w:rPr>
          <w:rFonts w:ascii="Calibri" w:hAnsi="Calibri" w:cs="Calibri"/>
          <w:sz w:val="20"/>
          <w:szCs w:val="20"/>
          <w:lang w:eastAsia="cs-CZ"/>
        </w:rPr>
        <w:t xml:space="preserve">oklady a informace </w:t>
      </w:r>
      <w:r w:rsidR="00D36590">
        <w:rPr>
          <w:rFonts w:ascii="Calibri" w:hAnsi="Calibri" w:cs="Calibri"/>
          <w:sz w:val="20"/>
          <w:szCs w:val="20"/>
          <w:lang w:eastAsia="cs-CZ"/>
        </w:rPr>
        <w:t xml:space="preserve">od </w:t>
      </w:r>
      <w:proofErr w:type="spellStart"/>
      <w:r w:rsidRPr="00C30DF0">
        <w:rPr>
          <w:rFonts w:ascii="Calibri" w:hAnsi="Calibri" w:cs="Calibri"/>
          <w:sz w:val="20"/>
          <w:szCs w:val="20"/>
          <w:lang w:eastAsia="cs-CZ"/>
        </w:rPr>
        <w:t>MZd</w:t>
      </w:r>
      <w:proofErr w:type="spellEnd"/>
      <w:r w:rsidRPr="00C30DF0">
        <w:rPr>
          <w:rFonts w:ascii="Calibri" w:hAnsi="Calibri" w:cs="Calibri"/>
          <w:sz w:val="20"/>
          <w:szCs w:val="20"/>
          <w:lang w:eastAsia="cs-CZ"/>
        </w:rPr>
        <w:t>.</w:t>
      </w:r>
    </w:p>
    <w:p w14:paraId="7E455BBB" w14:textId="2AB6629C" w:rsidR="009A6720" w:rsidRDefault="00D36590" w:rsidP="009A6720">
      <w:pPr>
        <w:spacing w:after="0" w:line="240" w:lineRule="auto"/>
        <w:ind w:left="567" w:hanging="567"/>
        <w:jc w:val="both"/>
        <w:rPr>
          <w:rFonts w:ascii="Calibri" w:hAnsi="Calibri" w:cs="Calibri"/>
          <w:sz w:val="20"/>
          <w:szCs w:val="20"/>
          <w:lang w:eastAsia="cs-CZ"/>
        </w:rPr>
      </w:pPr>
      <w:r>
        <w:rPr>
          <w:rFonts w:ascii="Calibri" w:hAnsi="Calibri" w:cs="Calibri"/>
          <w:b/>
          <w:sz w:val="20"/>
          <w:szCs w:val="20"/>
          <w:lang w:eastAsia="cs-CZ"/>
        </w:rPr>
        <w:t>Vysvětlivka</w:t>
      </w:r>
      <w:r w:rsidR="003330BE" w:rsidRPr="00C30DF0">
        <w:rPr>
          <w:rFonts w:ascii="Calibri" w:hAnsi="Calibri" w:cs="Calibri"/>
          <w:b/>
          <w:sz w:val="20"/>
          <w:szCs w:val="20"/>
          <w:lang w:eastAsia="cs-CZ"/>
        </w:rPr>
        <w:t>:</w:t>
      </w:r>
    </w:p>
    <w:p w14:paraId="45DD1BCE" w14:textId="708C86FE" w:rsidR="003330BE" w:rsidRPr="00424976" w:rsidDel="00BA3D87" w:rsidRDefault="003330BE" w:rsidP="00D36590">
      <w:pPr>
        <w:spacing w:before="40" w:after="0" w:line="240" w:lineRule="auto"/>
        <w:ind w:left="142" w:hanging="142"/>
        <w:jc w:val="both"/>
        <w:rPr>
          <w:rFonts w:cstheme="minorHAnsi"/>
          <w:sz w:val="16"/>
          <w:szCs w:val="16"/>
          <w:lang w:eastAsia="cs-CZ"/>
        </w:rPr>
      </w:pPr>
      <w:r w:rsidRPr="00C30DF0" w:rsidDel="00BA3D87">
        <w:rPr>
          <w:rFonts w:ascii="Calibri" w:hAnsi="Calibri" w:cs="Calibri"/>
          <w:sz w:val="20"/>
          <w:szCs w:val="20"/>
          <w:lang w:eastAsia="cs-CZ"/>
        </w:rPr>
        <w:t>*</w:t>
      </w:r>
      <w:r w:rsidR="00D36590">
        <w:rPr>
          <w:rFonts w:ascii="Calibri" w:hAnsi="Calibri" w:cs="Calibri"/>
          <w:sz w:val="20"/>
          <w:szCs w:val="20"/>
          <w:lang w:eastAsia="cs-CZ"/>
        </w:rPr>
        <w:tab/>
      </w:r>
      <w:r w:rsidRPr="00C30DF0" w:rsidDel="00BA3D87">
        <w:rPr>
          <w:rFonts w:ascii="Calibri" w:hAnsi="Calibri" w:cs="Calibri"/>
          <w:sz w:val="20"/>
          <w:szCs w:val="20"/>
          <w:lang w:eastAsia="cs-CZ"/>
        </w:rPr>
        <w:t xml:space="preserve">V roce 2017 příspěvek na provoz zahrnoval i příspěvek na výkon </w:t>
      </w:r>
      <w:r w:rsidRPr="00C30DF0" w:rsidDel="00BA3D87">
        <w:rPr>
          <w:rFonts w:ascii="Calibri" w:eastAsia="Calibri" w:hAnsi="Calibri" w:cs="Calibri"/>
          <w:color w:val="000000"/>
          <w:sz w:val="20"/>
          <w:szCs w:val="20"/>
          <w:lang w:eastAsia="cs-CZ"/>
        </w:rPr>
        <w:t>státního zdravotního dozoru</w:t>
      </w:r>
      <w:r w:rsidRPr="00C30DF0" w:rsidDel="00BA3D87">
        <w:rPr>
          <w:rFonts w:ascii="Calibri" w:hAnsi="Calibri" w:cs="Calibri"/>
          <w:sz w:val="20"/>
          <w:szCs w:val="20"/>
          <w:lang w:eastAsia="cs-CZ"/>
        </w:rPr>
        <w:t xml:space="preserve"> pro </w:t>
      </w:r>
      <w:r w:rsidRPr="00C30DF0" w:rsidDel="00BA3D87">
        <w:rPr>
          <w:rFonts w:ascii="Calibri" w:hAnsi="Calibri" w:cs="Calibri"/>
          <w:sz w:val="20"/>
          <w:szCs w:val="20"/>
          <w:lang w:eastAsia="hi-IN" w:bidi="hi-IN"/>
        </w:rPr>
        <w:t>krajské hygienické stanice</w:t>
      </w:r>
      <w:r w:rsidRPr="00C30DF0" w:rsidDel="00BA3D87">
        <w:rPr>
          <w:rFonts w:ascii="Calibri" w:hAnsi="Calibri" w:cs="Calibri"/>
          <w:sz w:val="20"/>
          <w:szCs w:val="20"/>
          <w:lang w:eastAsia="cs-CZ"/>
        </w:rPr>
        <w:t>.</w:t>
      </w:r>
    </w:p>
    <w:p w14:paraId="4E8085E0" w14:textId="77777777" w:rsidR="003330BE" w:rsidRPr="009A6720" w:rsidRDefault="003330BE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9CCCA0" w14:textId="3EFB2A5B" w:rsidR="003330BE" w:rsidRDefault="003330BE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9A6720">
        <w:rPr>
          <w:rFonts w:ascii="Calibri" w:hAnsi="Calibri" w:cs="Calibri"/>
          <w:sz w:val="24"/>
          <w:szCs w:val="24"/>
          <w:lang w:eastAsia="cs-CZ"/>
        </w:rPr>
        <w:t>MZd</w:t>
      </w:r>
      <w:proofErr w:type="spellEnd"/>
      <w:r w:rsidRPr="009A6720">
        <w:rPr>
          <w:rFonts w:ascii="Calibri" w:hAnsi="Calibri" w:cs="Calibri"/>
          <w:sz w:val="24"/>
          <w:szCs w:val="24"/>
          <w:lang w:eastAsia="cs-CZ"/>
        </w:rPr>
        <w:t xml:space="preserve"> výši příspěvku na provoz pro ZÚ nestanovilo v souladu </w:t>
      </w:r>
      <w:r w:rsidR="00BA3D87">
        <w:rPr>
          <w:rFonts w:ascii="Calibri" w:hAnsi="Calibri" w:cs="Calibri"/>
          <w:sz w:val="24"/>
          <w:szCs w:val="24"/>
          <w:lang w:eastAsia="cs-CZ"/>
        </w:rPr>
        <w:t>s </w:t>
      </w:r>
      <w:r w:rsidRPr="009A6720">
        <w:rPr>
          <w:rFonts w:ascii="Calibri" w:hAnsi="Calibri" w:cs="Calibri"/>
          <w:sz w:val="24"/>
          <w:szCs w:val="24"/>
          <w:lang w:eastAsia="cs-CZ"/>
        </w:rPr>
        <w:t>rozpočtový</w:t>
      </w:r>
      <w:r w:rsidR="00BA3D87">
        <w:rPr>
          <w:rFonts w:ascii="Calibri" w:hAnsi="Calibri" w:cs="Calibri"/>
          <w:sz w:val="24"/>
          <w:szCs w:val="24"/>
          <w:lang w:eastAsia="cs-CZ"/>
        </w:rPr>
        <w:t>mi</w:t>
      </w:r>
      <w:r w:rsidRPr="009A6720">
        <w:rPr>
          <w:rFonts w:ascii="Calibri" w:hAnsi="Calibri" w:cs="Calibri"/>
          <w:sz w:val="24"/>
          <w:szCs w:val="24"/>
          <w:lang w:eastAsia="cs-CZ"/>
        </w:rPr>
        <w:t xml:space="preserve"> pravidl</w:t>
      </w:r>
      <w:r w:rsidR="00BA3D87">
        <w:rPr>
          <w:rFonts w:ascii="Calibri" w:hAnsi="Calibri" w:cs="Calibri"/>
          <w:sz w:val="24"/>
          <w:szCs w:val="24"/>
          <w:lang w:eastAsia="cs-CZ"/>
        </w:rPr>
        <w:t>y</w:t>
      </w:r>
      <w:r w:rsidRPr="009A6720">
        <w:rPr>
          <w:rFonts w:ascii="Calibri" w:hAnsi="Calibri" w:cs="Calibri"/>
          <w:sz w:val="24"/>
          <w:szCs w:val="24"/>
          <w:lang w:eastAsia="cs-CZ"/>
        </w:rPr>
        <w:t xml:space="preserve"> jako rozdíl rozpočtovaných nákladů a výnosů hlavní činnosti</w:t>
      </w:r>
      <w:r w:rsidRPr="009A6720">
        <w:rPr>
          <w:rStyle w:val="Znakapoznpodarou"/>
          <w:rFonts w:ascii="Calibri" w:hAnsi="Calibri" w:cs="Calibri"/>
          <w:sz w:val="24"/>
          <w:szCs w:val="24"/>
        </w:rPr>
        <w:footnoteReference w:id="39"/>
      </w:r>
      <w:r w:rsidRPr="009A6720">
        <w:rPr>
          <w:rFonts w:ascii="Calibri" w:hAnsi="Calibri" w:cs="Calibri"/>
          <w:sz w:val="24"/>
          <w:szCs w:val="24"/>
          <w:lang w:eastAsia="cs-CZ"/>
        </w:rPr>
        <w:t xml:space="preserve"> a ani nevyužilo možnost vázat výši příspěvku na předem stanovené ukazatele, konkrétně na jednotku výkonů zabezpečovaných ZÚ v rámci činností pro stát. Výši příspěvku na provoz stanovovalo </w:t>
      </w:r>
      <w:r w:rsidR="00511892">
        <w:rPr>
          <w:rFonts w:ascii="Calibri" w:hAnsi="Calibri" w:cs="Calibri"/>
          <w:sz w:val="24"/>
          <w:szCs w:val="24"/>
          <w:lang w:eastAsia="cs-CZ"/>
        </w:rPr>
        <w:t>m</w:t>
      </w:r>
      <w:r w:rsidRPr="009A6720">
        <w:rPr>
          <w:rFonts w:ascii="Calibri" w:hAnsi="Calibri" w:cs="Calibri"/>
          <w:sz w:val="24"/>
          <w:szCs w:val="24"/>
          <w:lang w:eastAsia="cs-CZ"/>
        </w:rPr>
        <w:t>inisterstvo dle jeho vyjádření „</w:t>
      </w:r>
      <w:r w:rsidR="00661F8F">
        <w:rPr>
          <w:rFonts w:ascii="Calibri" w:hAnsi="Calibri" w:cs="Calibri"/>
          <w:sz w:val="24"/>
          <w:szCs w:val="24"/>
          <w:lang w:eastAsia="cs-CZ"/>
        </w:rPr>
        <w:t>... </w:t>
      </w:r>
      <w:r w:rsidRPr="009A6720">
        <w:rPr>
          <w:rFonts w:ascii="Calibri" w:hAnsi="Calibri" w:cs="Calibri"/>
          <w:i/>
          <w:sz w:val="24"/>
          <w:szCs w:val="24"/>
          <w:lang w:eastAsia="cs-CZ"/>
        </w:rPr>
        <w:t xml:space="preserve">na základě historického nastavení s přihlédnutím k aktuální ekonomické situaci zdravotních ústavů a rozpočtovaným prostředkům v kapitole </w:t>
      </w:r>
      <w:proofErr w:type="spellStart"/>
      <w:r w:rsidRPr="009A6720">
        <w:rPr>
          <w:rFonts w:ascii="Calibri" w:hAnsi="Calibri" w:cs="Calibri"/>
          <w:i/>
          <w:sz w:val="24"/>
          <w:szCs w:val="24"/>
          <w:lang w:eastAsia="cs-CZ"/>
        </w:rPr>
        <w:t>MZd</w:t>
      </w:r>
      <w:proofErr w:type="spellEnd"/>
      <w:r w:rsidRPr="004B540C">
        <w:rPr>
          <w:rFonts w:ascii="Calibri" w:hAnsi="Calibri" w:cs="Calibri"/>
          <w:sz w:val="24"/>
          <w:szCs w:val="24"/>
          <w:lang w:eastAsia="cs-CZ"/>
        </w:rPr>
        <w:t>“</w:t>
      </w:r>
      <w:r w:rsidRPr="009A6720">
        <w:rPr>
          <w:rFonts w:ascii="Calibri" w:hAnsi="Calibri" w:cs="Calibri"/>
          <w:i/>
          <w:sz w:val="24"/>
          <w:szCs w:val="24"/>
          <w:lang w:eastAsia="cs-CZ"/>
        </w:rPr>
        <w:t>.</w:t>
      </w:r>
      <w:r w:rsidRPr="009A6720">
        <w:rPr>
          <w:rFonts w:ascii="Calibri" w:hAnsi="Calibri" w:cs="Calibri"/>
          <w:sz w:val="24"/>
          <w:szCs w:val="24"/>
        </w:rPr>
        <w:t xml:space="preserve"> </w:t>
      </w:r>
    </w:p>
    <w:p w14:paraId="2162DF55" w14:textId="77777777" w:rsidR="00382BD8" w:rsidRPr="009A6720" w:rsidRDefault="00382BD8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91E851C" w14:textId="7E7D8C45" w:rsidR="003330BE" w:rsidRDefault="003330BE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  <w:proofErr w:type="spellStart"/>
      <w:r w:rsidRPr="009A6720">
        <w:rPr>
          <w:rFonts w:ascii="Calibri" w:hAnsi="Calibri" w:cs="Calibri"/>
          <w:sz w:val="24"/>
          <w:szCs w:val="24"/>
        </w:rPr>
        <w:t>MZd</w:t>
      </w:r>
      <w:proofErr w:type="spellEnd"/>
      <w:r w:rsidRPr="009A6720">
        <w:rPr>
          <w:rFonts w:ascii="Calibri" w:hAnsi="Calibri" w:cs="Calibri"/>
          <w:sz w:val="24"/>
          <w:szCs w:val="24"/>
        </w:rPr>
        <w:t xml:space="preserve"> nezpracovalo metodiku a nestanovilo kritéria, podle kterých postupovalo při stanovování příspěvku na provoz u jím řízených organizací, vč. zdravotních ústavů</w:t>
      </w:r>
      <w:r w:rsidRPr="009A6720">
        <w:rPr>
          <w:rFonts w:ascii="Calibri" w:hAnsi="Calibri" w:cs="Calibri"/>
          <w:sz w:val="24"/>
          <w:szCs w:val="24"/>
          <w:lang w:eastAsia="cs-CZ"/>
        </w:rPr>
        <w:t>.</w:t>
      </w:r>
    </w:p>
    <w:p w14:paraId="52E57D14" w14:textId="77777777" w:rsidR="00382BD8" w:rsidRPr="009A6720" w:rsidRDefault="00382BD8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FC5669" w14:textId="77777777" w:rsidR="003330BE" w:rsidRPr="009A6720" w:rsidRDefault="003330BE" w:rsidP="009A672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eastAsia="cs-CZ"/>
        </w:rPr>
      </w:pPr>
      <w:r w:rsidRPr="009A6720">
        <w:rPr>
          <w:rFonts w:ascii="Calibri" w:hAnsi="Calibri" w:cs="Calibri"/>
          <w:b/>
          <w:sz w:val="24"/>
          <w:szCs w:val="24"/>
        </w:rPr>
        <w:t xml:space="preserve">Při stanovení výše příspěvku na provoz pro ZÚ postupovalo </w:t>
      </w:r>
      <w:proofErr w:type="spellStart"/>
      <w:r w:rsidRPr="009A6720">
        <w:rPr>
          <w:rFonts w:ascii="Calibri" w:hAnsi="Calibri" w:cs="Calibri"/>
          <w:b/>
          <w:sz w:val="24"/>
          <w:szCs w:val="24"/>
        </w:rPr>
        <w:t>MZd</w:t>
      </w:r>
      <w:proofErr w:type="spellEnd"/>
      <w:r w:rsidRPr="009A6720">
        <w:rPr>
          <w:rFonts w:ascii="Calibri" w:hAnsi="Calibri" w:cs="Calibri"/>
          <w:b/>
          <w:sz w:val="24"/>
          <w:szCs w:val="24"/>
        </w:rPr>
        <w:t xml:space="preserve"> nesystematicky.</w:t>
      </w:r>
    </w:p>
    <w:p w14:paraId="138BD470" w14:textId="77777777" w:rsidR="003330BE" w:rsidRPr="009A6720" w:rsidRDefault="003330BE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76617B71" w14:textId="3332BB85" w:rsidR="003330BE" w:rsidRPr="009A6720" w:rsidRDefault="003330BE" w:rsidP="00AA26A9">
      <w:pPr>
        <w:keepNext/>
        <w:spacing w:after="0" w:line="240" w:lineRule="auto"/>
        <w:ind w:left="426" w:hanging="426"/>
        <w:rPr>
          <w:rFonts w:ascii="Calibri" w:hAnsi="Calibri" w:cs="Calibri"/>
          <w:b/>
          <w:sz w:val="24"/>
          <w:szCs w:val="24"/>
          <w:lang w:eastAsia="cs-CZ"/>
        </w:rPr>
      </w:pPr>
      <w:r w:rsidRPr="009A6720">
        <w:rPr>
          <w:rFonts w:ascii="Calibri" w:hAnsi="Calibri" w:cs="Calibri"/>
          <w:b/>
          <w:sz w:val="24"/>
          <w:szCs w:val="24"/>
          <w:lang w:eastAsia="cs-CZ"/>
        </w:rPr>
        <w:t>1.3</w:t>
      </w:r>
      <w:r w:rsidR="00AA26A9">
        <w:rPr>
          <w:rFonts w:ascii="Calibri" w:hAnsi="Calibri" w:cs="Calibri"/>
          <w:b/>
          <w:sz w:val="24"/>
          <w:szCs w:val="24"/>
          <w:lang w:eastAsia="cs-CZ"/>
        </w:rPr>
        <w:t xml:space="preserve"> </w:t>
      </w:r>
      <w:r w:rsidRPr="009A6720">
        <w:rPr>
          <w:rFonts w:ascii="Calibri" w:hAnsi="Calibri" w:cs="Calibri"/>
          <w:b/>
          <w:sz w:val="24"/>
          <w:szCs w:val="24"/>
          <w:lang w:eastAsia="cs-CZ"/>
        </w:rPr>
        <w:tab/>
        <w:t>Poskytnutí příspěvku na provoz bez stanovení</w:t>
      </w:r>
      <w:r w:rsidR="00C07E14">
        <w:rPr>
          <w:rFonts w:ascii="Calibri" w:hAnsi="Calibri" w:cs="Calibri"/>
          <w:b/>
          <w:sz w:val="24"/>
          <w:szCs w:val="24"/>
          <w:lang w:eastAsia="cs-CZ"/>
        </w:rPr>
        <w:t>,</w:t>
      </w:r>
      <w:r w:rsidRPr="009A6720">
        <w:rPr>
          <w:rFonts w:ascii="Calibri" w:hAnsi="Calibri" w:cs="Calibri"/>
          <w:b/>
          <w:sz w:val="24"/>
          <w:szCs w:val="24"/>
          <w:lang w:eastAsia="cs-CZ"/>
        </w:rPr>
        <w:t xml:space="preserve"> na které činnosti je konkrétně určen, vytváří riziko vzniku nedovolené veřejné podpory</w:t>
      </w:r>
    </w:p>
    <w:p w14:paraId="14C98515" w14:textId="77777777" w:rsidR="00AA26A9" w:rsidRDefault="00AA26A9" w:rsidP="00AA26A9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0320D1" w14:textId="77777777" w:rsidR="003330BE" w:rsidRPr="009A6720" w:rsidRDefault="003330BE" w:rsidP="009A672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cs-CZ" w:bidi="cs-CZ"/>
        </w:rPr>
      </w:pPr>
      <w:r w:rsidRPr="009A6720">
        <w:rPr>
          <w:rFonts w:ascii="Calibri" w:hAnsi="Calibri" w:cs="Calibri"/>
          <w:sz w:val="24"/>
          <w:szCs w:val="24"/>
        </w:rPr>
        <w:t>Příspěvek</w:t>
      </w:r>
      <w:r w:rsidRPr="009A6720">
        <w:rPr>
          <w:rFonts w:ascii="Calibri" w:eastAsia="Calibri" w:hAnsi="Calibri" w:cs="Calibri"/>
          <w:sz w:val="24"/>
          <w:szCs w:val="24"/>
          <w:lang w:eastAsia="cs-CZ" w:bidi="cs-CZ"/>
        </w:rPr>
        <w:t xml:space="preserve"> na provoz pro ZÚ stanovilo </w:t>
      </w:r>
      <w:proofErr w:type="spellStart"/>
      <w:r w:rsidRPr="009A6720">
        <w:rPr>
          <w:rFonts w:ascii="Calibri" w:eastAsia="Calibri" w:hAnsi="Calibri" w:cs="Calibri"/>
          <w:sz w:val="24"/>
          <w:szCs w:val="24"/>
          <w:lang w:eastAsia="cs-CZ" w:bidi="cs-CZ"/>
        </w:rPr>
        <w:t>MZd</w:t>
      </w:r>
      <w:proofErr w:type="spellEnd"/>
      <w:r w:rsidRPr="009A6720">
        <w:rPr>
          <w:rFonts w:ascii="Calibri" w:eastAsia="Calibri" w:hAnsi="Calibri" w:cs="Calibri"/>
          <w:sz w:val="24"/>
          <w:szCs w:val="24"/>
          <w:lang w:eastAsia="cs-CZ" w:bidi="cs-CZ"/>
        </w:rPr>
        <w:t xml:space="preserve"> bez rozpisu závazných ukazatelů, bez stanovení, na jaké činnosti je konkrétně určen. </w:t>
      </w:r>
      <w:proofErr w:type="spellStart"/>
      <w:r w:rsidRPr="009A6720">
        <w:rPr>
          <w:rFonts w:ascii="Calibri" w:eastAsia="Calibri" w:hAnsi="Calibri" w:cs="Calibri"/>
          <w:sz w:val="24"/>
          <w:szCs w:val="24"/>
          <w:lang w:eastAsia="cs-CZ" w:bidi="cs-CZ"/>
        </w:rPr>
        <w:t>MZd</w:t>
      </w:r>
      <w:proofErr w:type="spellEnd"/>
      <w:r w:rsidRPr="009A6720">
        <w:rPr>
          <w:rFonts w:ascii="Calibri" w:eastAsia="Calibri" w:hAnsi="Calibri" w:cs="Calibri"/>
          <w:sz w:val="24"/>
          <w:szCs w:val="24"/>
          <w:lang w:eastAsia="cs-CZ" w:bidi="cs-CZ"/>
        </w:rPr>
        <w:t xml:space="preserve"> tak nepředcházelo riziku vzniku nedovolené veřejné podpory</w:t>
      </w:r>
      <w:r w:rsidRPr="009A6720">
        <w:rPr>
          <w:rStyle w:val="Znakapoznpodarou"/>
          <w:rFonts w:ascii="Calibri" w:eastAsia="Calibri" w:hAnsi="Calibri" w:cs="Calibri"/>
          <w:sz w:val="24"/>
          <w:szCs w:val="24"/>
          <w:lang w:eastAsia="cs-CZ" w:bidi="cs-CZ"/>
        </w:rPr>
        <w:footnoteReference w:id="40"/>
      </w:r>
      <w:r w:rsidRPr="009A6720">
        <w:rPr>
          <w:rFonts w:ascii="Calibri" w:eastAsia="Calibri" w:hAnsi="Calibri" w:cs="Calibri"/>
          <w:sz w:val="24"/>
          <w:szCs w:val="24"/>
          <w:lang w:eastAsia="cs-CZ" w:bidi="cs-CZ"/>
        </w:rPr>
        <w:t xml:space="preserve">, neboť příspěvek jako kompenzace či vyrovnávací platba neobsahoval popis kompenzačního mechanismu, parametrů pro výpočet, kontrolu a přezkoumání vyrovnávací platby. </w:t>
      </w:r>
      <w:r w:rsidRPr="009A6720">
        <w:rPr>
          <w:rFonts w:ascii="Calibri" w:hAnsi="Calibri" w:cs="Calibri"/>
          <w:sz w:val="24"/>
          <w:szCs w:val="24"/>
        </w:rPr>
        <w:t xml:space="preserve">Riziko nedovolené veřejné podpory vyplývá z těchto skutečností: </w:t>
      </w:r>
    </w:p>
    <w:p w14:paraId="1D0EAF85" w14:textId="3C50AA7E" w:rsidR="003330BE" w:rsidRPr="009A6720" w:rsidRDefault="003330BE" w:rsidP="009A6720">
      <w:pPr>
        <w:pStyle w:val="Textkomente"/>
        <w:numPr>
          <w:ilvl w:val="0"/>
          <w:numId w:val="21"/>
        </w:numPr>
        <w:tabs>
          <w:tab w:val="left" w:pos="426"/>
        </w:tabs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proofErr w:type="spellStart"/>
      <w:r w:rsidRPr="009A6720">
        <w:rPr>
          <w:rFonts w:ascii="Calibri" w:hAnsi="Calibri" w:cs="Calibri"/>
          <w:sz w:val="24"/>
          <w:szCs w:val="24"/>
        </w:rPr>
        <w:t>MZd</w:t>
      </w:r>
      <w:proofErr w:type="spellEnd"/>
      <w:r w:rsidRPr="009A6720">
        <w:rPr>
          <w:rFonts w:ascii="Calibri" w:hAnsi="Calibri" w:cs="Calibri"/>
          <w:sz w:val="24"/>
          <w:szCs w:val="24"/>
        </w:rPr>
        <w:t xml:space="preserve"> se problematikou vztahu mezi poskytováním státní podpory formou vypláceného příspěvku na provoz ZÚ a pravidly veřejné podpory EU nezabývalo</w:t>
      </w:r>
      <w:r w:rsidR="00C07E14">
        <w:rPr>
          <w:rFonts w:ascii="Calibri" w:hAnsi="Calibri" w:cs="Calibri"/>
          <w:sz w:val="24"/>
          <w:szCs w:val="24"/>
        </w:rPr>
        <w:t>.</w:t>
      </w:r>
    </w:p>
    <w:p w14:paraId="577040A1" w14:textId="7DA9810E" w:rsidR="003330BE" w:rsidRPr="009A6720" w:rsidRDefault="003330BE" w:rsidP="009A6720">
      <w:pPr>
        <w:pStyle w:val="Textkomente"/>
        <w:numPr>
          <w:ilvl w:val="0"/>
          <w:numId w:val="21"/>
        </w:numPr>
        <w:tabs>
          <w:tab w:val="left" w:pos="426"/>
        </w:tabs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proofErr w:type="spellStart"/>
      <w:r w:rsidRPr="009A6720">
        <w:rPr>
          <w:rFonts w:ascii="Calibri" w:hAnsi="Calibri" w:cs="Calibri"/>
          <w:sz w:val="24"/>
          <w:szCs w:val="24"/>
        </w:rPr>
        <w:t>MZd</w:t>
      </w:r>
      <w:proofErr w:type="spellEnd"/>
      <w:r w:rsidRPr="009A6720">
        <w:rPr>
          <w:rFonts w:ascii="Calibri" w:hAnsi="Calibri" w:cs="Calibri"/>
          <w:sz w:val="24"/>
          <w:szCs w:val="24"/>
        </w:rPr>
        <w:t xml:space="preserve"> poskytuje příspěvek na provoz ze státního rozpočtu na částečné krytí nákladů ZÚ</w:t>
      </w:r>
      <w:r w:rsidR="00C07E14">
        <w:rPr>
          <w:rFonts w:ascii="Calibri" w:hAnsi="Calibri" w:cs="Calibri"/>
          <w:sz w:val="24"/>
          <w:szCs w:val="24"/>
        </w:rPr>
        <w:t>.</w:t>
      </w:r>
    </w:p>
    <w:p w14:paraId="086C4CFD" w14:textId="6AC8FBC1" w:rsidR="003330BE" w:rsidRPr="009A6720" w:rsidRDefault="003330BE" w:rsidP="009A6720">
      <w:pPr>
        <w:pStyle w:val="Textkomente"/>
        <w:numPr>
          <w:ilvl w:val="0"/>
          <w:numId w:val="21"/>
        </w:numPr>
        <w:tabs>
          <w:tab w:val="left" w:pos="426"/>
        </w:tabs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proofErr w:type="spellStart"/>
      <w:r w:rsidRPr="009A6720">
        <w:rPr>
          <w:rFonts w:ascii="Calibri" w:hAnsi="Calibri" w:cs="Calibri"/>
          <w:sz w:val="24"/>
          <w:szCs w:val="24"/>
        </w:rPr>
        <w:t>MZd</w:t>
      </w:r>
      <w:proofErr w:type="spellEnd"/>
      <w:r w:rsidRPr="009A6720">
        <w:rPr>
          <w:rFonts w:ascii="Calibri" w:hAnsi="Calibri" w:cs="Calibri"/>
          <w:sz w:val="24"/>
          <w:szCs w:val="24"/>
        </w:rPr>
        <w:t xml:space="preserve"> nemá přehled, </w:t>
      </w:r>
      <w:proofErr w:type="gramStart"/>
      <w:r w:rsidRPr="009A6720">
        <w:rPr>
          <w:rFonts w:ascii="Calibri" w:hAnsi="Calibri" w:cs="Calibri"/>
          <w:sz w:val="24"/>
          <w:szCs w:val="24"/>
        </w:rPr>
        <w:t>které</w:t>
      </w:r>
      <w:proofErr w:type="gramEnd"/>
      <w:r w:rsidRPr="009A6720">
        <w:rPr>
          <w:rFonts w:ascii="Calibri" w:hAnsi="Calibri" w:cs="Calibri"/>
          <w:sz w:val="24"/>
          <w:szCs w:val="24"/>
        </w:rPr>
        <w:t xml:space="preserve"> z činností vykonávaných ZÚ mají hospodářskou povahu</w:t>
      </w:r>
      <w:r w:rsidR="00C07E14">
        <w:rPr>
          <w:rFonts w:ascii="Calibri" w:hAnsi="Calibri" w:cs="Calibri"/>
          <w:sz w:val="24"/>
          <w:szCs w:val="24"/>
        </w:rPr>
        <w:t>.</w:t>
      </w:r>
    </w:p>
    <w:p w14:paraId="3DD239FC" w14:textId="77777777" w:rsidR="003330BE" w:rsidRPr="009A6720" w:rsidRDefault="003330BE" w:rsidP="009A6720">
      <w:pPr>
        <w:pStyle w:val="Textkomente"/>
        <w:numPr>
          <w:ilvl w:val="0"/>
          <w:numId w:val="21"/>
        </w:numPr>
        <w:tabs>
          <w:tab w:val="left" w:pos="426"/>
        </w:tabs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proofErr w:type="spellStart"/>
      <w:r w:rsidRPr="009A6720">
        <w:rPr>
          <w:rFonts w:ascii="Calibri" w:hAnsi="Calibri" w:cs="Calibri"/>
          <w:sz w:val="24"/>
          <w:szCs w:val="24"/>
        </w:rPr>
        <w:t>MZd</w:t>
      </w:r>
      <w:proofErr w:type="spellEnd"/>
      <w:r w:rsidRPr="009A6720">
        <w:rPr>
          <w:rFonts w:ascii="Calibri" w:hAnsi="Calibri" w:cs="Calibri"/>
          <w:sz w:val="24"/>
          <w:szCs w:val="24"/>
        </w:rPr>
        <w:t xml:space="preserve"> nestanovilo výši příspěvku objektivně a transparentně, tj. podle předem určených ukazatelů.</w:t>
      </w:r>
    </w:p>
    <w:p w14:paraId="45075B9A" w14:textId="77777777" w:rsidR="00382BD8" w:rsidRPr="00382BD8" w:rsidRDefault="00382BD8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65201BB" w14:textId="1D99D49B" w:rsidR="003330BE" w:rsidRPr="009A6720" w:rsidRDefault="003330BE" w:rsidP="009A672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9A6720">
        <w:rPr>
          <w:rFonts w:ascii="Calibri" w:hAnsi="Calibri" w:cs="Calibri"/>
          <w:b/>
          <w:sz w:val="24"/>
          <w:szCs w:val="24"/>
        </w:rPr>
        <w:t>MZd</w:t>
      </w:r>
      <w:proofErr w:type="spellEnd"/>
      <w:r w:rsidRPr="009A6720">
        <w:rPr>
          <w:rFonts w:ascii="Calibri" w:hAnsi="Calibri" w:cs="Calibri"/>
          <w:b/>
          <w:sz w:val="24"/>
          <w:szCs w:val="24"/>
        </w:rPr>
        <w:t xml:space="preserve"> poskytovalo ZÚ ze státního rozpočtu příspěvek na provoz, aniž by se v této souvislosti zabývalo problematikou </w:t>
      </w:r>
      <w:r w:rsidR="00C07E14">
        <w:rPr>
          <w:rFonts w:ascii="Calibri" w:hAnsi="Calibri" w:cs="Calibri"/>
          <w:b/>
          <w:sz w:val="24"/>
          <w:szCs w:val="24"/>
        </w:rPr>
        <w:t>ne</w:t>
      </w:r>
      <w:r w:rsidR="00896B41">
        <w:rPr>
          <w:rFonts w:ascii="Calibri" w:hAnsi="Calibri" w:cs="Calibri"/>
          <w:b/>
          <w:sz w:val="24"/>
          <w:szCs w:val="24"/>
        </w:rPr>
        <w:t>dovole</w:t>
      </w:r>
      <w:r w:rsidR="00C07E14">
        <w:rPr>
          <w:rFonts w:ascii="Calibri" w:hAnsi="Calibri" w:cs="Calibri"/>
          <w:b/>
          <w:sz w:val="24"/>
          <w:szCs w:val="24"/>
        </w:rPr>
        <w:t xml:space="preserve">né </w:t>
      </w:r>
      <w:r w:rsidRPr="009A6720">
        <w:rPr>
          <w:rFonts w:ascii="Calibri" w:hAnsi="Calibri" w:cs="Calibri"/>
          <w:b/>
          <w:sz w:val="24"/>
          <w:szCs w:val="24"/>
        </w:rPr>
        <w:t xml:space="preserve">veřejné podpory. </w:t>
      </w:r>
    </w:p>
    <w:p w14:paraId="53193428" w14:textId="77777777" w:rsidR="003330BE" w:rsidRPr="009A6720" w:rsidRDefault="003330BE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08F2B87A" w14:textId="30BCC112" w:rsidR="003330BE" w:rsidRPr="009A6720" w:rsidRDefault="003330BE" w:rsidP="00382BD8">
      <w:pPr>
        <w:keepNext/>
        <w:spacing w:after="0" w:line="240" w:lineRule="auto"/>
        <w:ind w:left="369" w:hanging="369"/>
        <w:rPr>
          <w:rFonts w:ascii="Calibri" w:hAnsi="Calibri" w:cs="Calibri"/>
          <w:b/>
          <w:sz w:val="24"/>
          <w:szCs w:val="24"/>
          <w:lang w:eastAsia="cs-CZ"/>
        </w:rPr>
      </w:pPr>
      <w:r w:rsidRPr="009A6720">
        <w:rPr>
          <w:rFonts w:ascii="Calibri" w:hAnsi="Calibri" w:cs="Calibri"/>
          <w:b/>
          <w:sz w:val="24"/>
          <w:szCs w:val="24"/>
          <w:lang w:eastAsia="cs-CZ"/>
        </w:rPr>
        <w:t>1.4</w:t>
      </w:r>
      <w:r w:rsidRPr="009A6720">
        <w:rPr>
          <w:rFonts w:ascii="Calibri" w:hAnsi="Calibri" w:cs="Calibri"/>
          <w:b/>
          <w:sz w:val="24"/>
          <w:szCs w:val="24"/>
          <w:lang w:eastAsia="cs-CZ"/>
        </w:rPr>
        <w:tab/>
        <w:t xml:space="preserve">Systém úhrad za poskytnuté zdravotní služby ve vybraných odbornostech, hrazených dle </w:t>
      </w:r>
      <w:r w:rsidR="00C07E14">
        <w:rPr>
          <w:rFonts w:ascii="Calibri" w:hAnsi="Calibri" w:cs="Calibri"/>
          <w:b/>
          <w:sz w:val="24"/>
          <w:szCs w:val="24"/>
          <w:lang w:eastAsia="cs-CZ"/>
        </w:rPr>
        <w:t>p</w:t>
      </w:r>
      <w:r w:rsidRPr="009A6720">
        <w:rPr>
          <w:rFonts w:ascii="Calibri" w:hAnsi="Calibri" w:cs="Calibri"/>
          <w:b/>
          <w:sz w:val="24"/>
          <w:szCs w:val="24"/>
          <w:lang w:eastAsia="cs-CZ"/>
        </w:rPr>
        <w:t>řílohy č. 5 úhradových vyhlášek, je p</w:t>
      </w:r>
      <w:r w:rsidR="00382BD8">
        <w:rPr>
          <w:rFonts w:ascii="Calibri" w:hAnsi="Calibri" w:cs="Calibri"/>
          <w:b/>
          <w:sz w:val="24"/>
          <w:szCs w:val="24"/>
          <w:lang w:eastAsia="cs-CZ"/>
        </w:rPr>
        <w:t>ro zdravotní ústavy nevýhodný a </w:t>
      </w:r>
      <w:r w:rsidRPr="009A6720">
        <w:rPr>
          <w:rFonts w:ascii="Calibri" w:hAnsi="Calibri" w:cs="Calibri"/>
          <w:b/>
          <w:sz w:val="24"/>
          <w:szCs w:val="24"/>
          <w:lang w:eastAsia="cs-CZ"/>
        </w:rPr>
        <w:t>vytváří riziko prohlubujících se ztrát při jejich hospodaření</w:t>
      </w:r>
    </w:p>
    <w:p w14:paraId="629BE0E8" w14:textId="77777777" w:rsidR="009A6720" w:rsidRDefault="009A6720" w:rsidP="00382BD8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101427" w14:textId="544799B8" w:rsidR="003330BE" w:rsidRDefault="003330BE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A6720">
        <w:rPr>
          <w:rFonts w:ascii="Calibri" w:hAnsi="Calibri" w:cs="Calibri"/>
          <w:sz w:val="24"/>
          <w:szCs w:val="24"/>
        </w:rPr>
        <w:t>Úhrady za poskytnuté laboratorní služby ve vybraných odbornostech</w:t>
      </w:r>
      <w:r w:rsidRPr="009A6720">
        <w:rPr>
          <w:rStyle w:val="Znakapoznpodarou"/>
          <w:rFonts w:ascii="Calibri" w:hAnsi="Calibri" w:cs="Calibri"/>
          <w:sz w:val="24"/>
          <w:szCs w:val="24"/>
          <w:lang w:eastAsia="cs-CZ"/>
        </w:rPr>
        <w:footnoteReference w:id="41"/>
      </w:r>
      <w:r w:rsidRPr="009A6720">
        <w:rPr>
          <w:rFonts w:ascii="Calibri" w:hAnsi="Calibri" w:cs="Calibri"/>
          <w:sz w:val="24"/>
          <w:szCs w:val="24"/>
        </w:rPr>
        <w:t xml:space="preserve"> provádějí zdravotní pojišťovny dle </w:t>
      </w:r>
      <w:r w:rsidR="00C07E14">
        <w:rPr>
          <w:rFonts w:ascii="Calibri" w:hAnsi="Calibri" w:cs="Calibri"/>
          <w:sz w:val="24"/>
          <w:szCs w:val="24"/>
        </w:rPr>
        <w:t>p</w:t>
      </w:r>
      <w:r w:rsidRPr="009A6720">
        <w:rPr>
          <w:rFonts w:ascii="Calibri" w:hAnsi="Calibri" w:cs="Calibri"/>
          <w:sz w:val="24"/>
          <w:szCs w:val="24"/>
        </w:rPr>
        <w:t>řílohy č. 5 úhradových vyhlášek, kdy rozhodujícím činitelem pro stanovení výše úhrady za poskytnuté zdravotní služby nejsou skutečně uznané výkony, ale počet tzv. unikátních pojištěnců</w:t>
      </w:r>
      <w:r w:rsidRPr="009A6720">
        <w:rPr>
          <w:rStyle w:val="Znakapoznpodarou"/>
          <w:rFonts w:ascii="Calibri" w:hAnsi="Calibri" w:cs="Calibri"/>
          <w:sz w:val="24"/>
          <w:szCs w:val="24"/>
        </w:rPr>
        <w:footnoteReference w:id="42"/>
      </w:r>
      <w:r w:rsidRPr="009A6720">
        <w:rPr>
          <w:rFonts w:ascii="Calibri" w:hAnsi="Calibri" w:cs="Calibri"/>
          <w:sz w:val="24"/>
          <w:szCs w:val="24"/>
        </w:rPr>
        <w:t xml:space="preserve">. </w:t>
      </w:r>
    </w:p>
    <w:p w14:paraId="30E1D6EA" w14:textId="77777777" w:rsidR="009A6720" w:rsidRPr="009A6720" w:rsidRDefault="009A6720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2FE9211" w14:textId="77777777" w:rsidR="003330BE" w:rsidRDefault="003330BE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A6720">
        <w:rPr>
          <w:rFonts w:ascii="Calibri" w:hAnsi="Calibri" w:cs="Calibri"/>
          <w:sz w:val="24"/>
          <w:szCs w:val="24"/>
        </w:rPr>
        <w:t>Pokud byl pojištěnec poskytovatelem zdravotních služeb v konkrétní odbornosti ošetřen v hodnoceném období nebo referenčním období vícekrát, zahrnuje se do počtu unikátních pojištěnců příslušné zdravotní pojišťovny ošetřených v dané odbornosti pouze jednou. Výše úhrady poskytovateli zdravotních služeb v daném roce odpovídá částce vypočtené na jednoho unikátního pojištěnce, kdy do výpočtu vstupuje počet unikátních pojištěnců za rok příslušného referenčního období a objem uznaných výkonů za rok příslušného referenčního období.</w:t>
      </w:r>
    </w:p>
    <w:p w14:paraId="5B3685D1" w14:textId="77777777" w:rsidR="009A6720" w:rsidRPr="009A6720" w:rsidRDefault="009A6720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B8957D" w14:textId="1140E3A8" w:rsidR="003330BE" w:rsidRDefault="003330BE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A6720">
        <w:rPr>
          <w:rFonts w:ascii="Calibri" w:hAnsi="Calibri" w:cs="Calibri"/>
          <w:sz w:val="24"/>
          <w:szCs w:val="24"/>
        </w:rPr>
        <w:t>Takto nastavený systém úhrad, který nezohledňuje rostoucí počet nákladných pojištěnců</w:t>
      </w:r>
      <w:r w:rsidRPr="009A6720">
        <w:rPr>
          <w:rStyle w:val="Znakapoznpodarou"/>
          <w:rFonts w:ascii="Calibri" w:hAnsi="Calibri" w:cs="Calibri"/>
          <w:sz w:val="24"/>
          <w:szCs w:val="24"/>
        </w:rPr>
        <w:footnoteReference w:id="43"/>
      </w:r>
      <w:r w:rsidRPr="009A6720">
        <w:rPr>
          <w:rFonts w:ascii="Calibri" w:hAnsi="Calibri" w:cs="Calibri"/>
          <w:sz w:val="24"/>
          <w:szCs w:val="24"/>
        </w:rPr>
        <w:t xml:space="preserve">, znamenal pro ZÚ v letech 2016 až 2018 roční pokles výnosů </w:t>
      </w:r>
      <w:r w:rsidR="00C07E14">
        <w:rPr>
          <w:rFonts w:ascii="Calibri" w:hAnsi="Calibri" w:cs="Calibri"/>
          <w:sz w:val="24"/>
          <w:szCs w:val="24"/>
        </w:rPr>
        <w:t>v průměru</w:t>
      </w:r>
      <w:r w:rsidRPr="009A6720">
        <w:rPr>
          <w:rFonts w:ascii="Calibri" w:hAnsi="Calibri" w:cs="Calibri"/>
          <w:sz w:val="24"/>
          <w:szCs w:val="24"/>
        </w:rPr>
        <w:t xml:space="preserve"> o více než 20</w:t>
      </w:r>
      <w:r w:rsidR="00C07E14">
        <w:rPr>
          <w:rFonts w:ascii="Calibri" w:hAnsi="Calibri" w:cs="Calibri"/>
          <w:sz w:val="24"/>
          <w:szCs w:val="24"/>
        </w:rPr>
        <w:t> </w:t>
      </w:r>
      <w:r w:rsidRPr="009A6720">
        <w:rPr>
          <w:rFonts w:ascii="Calibri" w:hAnsi="Calibri" w:cs="Calibri"/>
          <w:sz w:val="24"/>
          <w:szCs w:val="24"/>
        </w:rPr>
        <w:t>mil.</w:t>
      </w:r>
      <w:r w:rsidR="00C07E14">
        <w:rPr>
          <w:rFonts w:ascii="Calibri" w:hAnsi="Calibri" w:cs="Calibri"/>
          <w:sz w:val="24"/>
          <w:szCs w:val="24"/>
        </w:rPr>
        <w:t> </w:t>
      </w:r>
      <w:r w:rsidRPr="009A6720">
        <w:rPr>
          <w:rFonts w:ascii="Calibri" w:hAnsi="Calibri" w:cs="Calibri"/>
          <w:sz w:val="24"/>
          <w:szCs w:val="24"/>
        </w:rPr>
        <w:t xml:space="preserve">Kč. </w:t>
      </w:r>
    </w:p>
    <w:p w14:paraId="254BD233" w14:textId="77777777" w:rsidR="009A6720" w:rsidRPr="009A6720" w:rsidRDefault="009A6720" w:rsidP="009A67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8CBB6AE" w14:textId="016A67B2" w:rsidR="003330BE" w:rsidRPr="009A6720" w:rsidRDefault="003330BE" w:rsidP="007B1739">
      <w:pPr>
        <w:keepNext/>
        <w:spacing w:after="40" w:line="240" w:lineRule="auto"/>
        <w:jc w:val="both"/>
        <w:rPr>
          <w:rFonts w:ascii="Calibri" w:hAnsi="Calibri" w:cs="Calibri"/>
          <w:sz w:val="24"/>
          <w:szCs w:val="24"/>
          <w:lang w:bidi="hi-IN"/>
        </w:rPr>
      </w:pPr>
      <w:r w:rsidRPr="009A6720">
        <w:rPr>
          <w:rFonts w:ascii="Calibri" w:hAnsi="Calibri" w:cs="Calibri"/>
          <w:sz w:val="24"/>
          <w:szCs w:val="24"/>
          <w:lang w:bidi="hi-IN"/>
        </w:rPr>
        <w:t xml:space="preserve">ZÚ ve svých ročních zprávách, rozborech hospodaření a v další korespondenci opakovaně </w:t>
      </w:r>
      <w:proofErr w:type="spellStart"/>
      <w:r w:rsidRPr="009A6720">
        <w:rPr>
          <w:rFonts w:ascii="Calibri" w:hAnsi="Calibri" w:cs="Calibri"/>
          <w:sz w:val="24"/>
          <w:szCs w:val="24"/>
          <w:lang w:bidi="hi-IN"/>
        </w:rPr>
        <w:t>MZd</w:t>
      </w:r>
      <w:proofErr w:type="spellEnd"/>
      <w:r w:rsidRPr="009A6720">
        <w:rPr>
          <w:rFonts w:ascii="Calibri" w:hAnsi="Calibri" w:cs="Calibri"/>
          <w:sz w:val="24"/>
          <w:szCs w:val="24"/>
          <w:lang w:bidi="hi-IN"/>
        </w:rPr>
        <w:t xml:space="preserve"> upozorňovaly na negativní dopad systému úhrad dle </w:t>
      </w:r>
      <w:r w:rsidR="00A531E6">
        <w:rPr>
          <w:rFonts w:ascii="Calibri" w:hAnsi="Calibri" w:cs="Calibri"/>
          <w:sz w:val="24"/>
          <w:szCs w:val="24"/>
          <w:lang w:bidi="hi-IN"/>
        </w:rPr>
        <w:t>p</w:t>
      </w:r>
      <w:r w:rsidRPr="009A6720">
        <w:rPr>
          <w:rFonts w:ascii="Calibri" w:hAnsi="Calibri" w:cs="Calibri"/>
          <w:sz w:val="24"/>
          <w:szCs w:val="24"/>
          <w:lang w:bidi="hi-IN"/>
        </w:rPr>
        <w:t>řílohy č. 5 úhradové vyhlášky do výnosů zdravotních ústavů. ZÚ v Ostravě například v roční zprávě za rok 2018 uvedl následující ilustrační přiklad nejnákladnějšího pacienta: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351"/>
        <w:gridCol w:w="1511"/>
        <w:gridCol w:w="1511"/>
      </w:tblGrid>
      <w:tr w:rsidR="003330BE" w14:paraId="1ACA2A5C" w14:textId="77777777" w:rsidTr="003330BE">
        <w:trPr>
          <w:jc w:val="center"/>
        </w:trPr>
        <w:tc>
          <w:tcPr>
            <w:tcW w:w="6040" w:type="dxa"/>
            <w:gridSpan w:val="2"/>
          </w:tcPr>
          <w:p w14:paraId="6A2C2E57" w14:textId="77777777" w:rsidR="003330BE" w:rsidRPr="00BF5CC0" w:rsidRDefault="003330BE" w:rsidP="007B1739">
            <w:pPr>
              <w:keepNext/>
              <w:rPr>
                <w:sz w:val="20"/>
                <w:szCs w:val="20"/>
              </w:rPr>
            </w:pPr>
            <w:r w:rsidRPr="00BF5CC0">
              <w:rPr>
                <w:sz w:val="20"/>
                <w:szCs w:val="20"/>
              </w:rPr>
              <w:t xml:space="preserve">Částka připadající u ZÚ v Ostravě na jednoho unikátního pojištěnce vycházející z referenčního období </w:t>
            </w:r>
          </w:p>
        </w:tc>
        <w:tc>
          <w:tcPr>
            <w:tcW w:w="1511" w:type="dxa"/>
            <w:vAlign w:val="center"/>
          </w:tcPr>
          <w:p w14:paraId="3BFAA67C" w14:textId="77777777" w:rsidR="003330BE" w:rsidRPr="00BF5CC0" w:rsidRDefault="003330BE" w:rsidP="007B1739">
            <w:pPr>
              <w:keepNext/>
              <w:jc w:val="right"/>
              <w:rPr>
                <w:sz w:val="20"/>
                <w:szCs w:val="20"/>
              </w:rPr>
            </w:pPr>
            <w:r w:rsidRPr="00BF5CC0">
              <w:rPr>
                <w:sz w:val="20"/>
                <w:szCs w:val="20"/>
              </w:rPr>
              <w:t>1 800 bodů</w:t>
            </w:r>
          </w:p>
        </w:tc>
        <w:tc>
          <w:tcPr>
            <w:tcW w:w="1511" w:type="dxa"/>
            <w:vAlign w:val="center"/>
          </w:tcPr>
          <w:p w14:paraId="19D1A596" w14:textId="77777777" w:rsidR="003330BE" w:rsidRPr="00BF5CC0" w:rsidRDefault="003330BE" w:rsidP="007B1739">
            <w:pPr>
              <w:keepNext/>
              <w:jc w:val="right"/>
              <w:rPr>
                <w:sz w:val="20"/>
                <w:szCs w:val="20"/>
              </w:rPr>
            </w:pPr>
            <w:r w:rsidRPr="00BF5CC0">
              <w:rPr>
                <w:sz w:val="20"/>
                <w:szCs w:val="20"/>
              </w:rPr>
              <w:t>1 400 Kč</w:t>
            </w:r>
          </w:p>
        </w:tc>
      </w:tr>
      <w:tr w:rsidR="003330BE" w14:paraId="5C4D3F41" w14:textId="77777777" w:rsidTr="003330BE">
        <w:trPr>
          <w:jc w:val="center"/>
        </w:trPr>
        <w:tc>
          <w:tcPr>
            <w:tcW w:w="2689" w:type="dxa"/>
          </w:tcPr>
          <w:p w14:paraId="58C7CE1B" w14:textId="77777777" w:rsidR="003330BE" w:rsidRPr="00BF5CC0" w:rsidRDefault="003330BE" w:rsidP="007B173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3351" w:type="dxa"/>
          </w:tcPr>
          <w:p w14:paraId="043AD4FA" w14:textId="77777777" w:rsidR="003330BE" w:rsidRPr="00BF5CC0" w:rsidRDefault="003330BE" w:rsidP="007B1739">
            <w:pPr>
              <w:keepNext/>
              <w:rPr>
                <w:sz w:val="20"/>
                <w:szCs w:val="20"/>
              </w:rPr>
            </w:pPr>
            <w:r w:rsidRPr="00BF5CC0">
              <w:rPr>
                <w:sz w:val="20"/>
                <w:szCs w:val="20"/>
              </w:rPr>
              <w:t>Počet vykázaných bodů za provedené laboratorní výkony za rok</w:t>
            </w:r>
          </w:p>
        </w:tc>
        <w:tc>
          <w:tcPr>
            <w:tcW w:w="3022" w:type="dxa"/>
            <w:gridSpan w:val="2"/>
            <w:vAlign w:val="center"/>
          </w:tcPr>
          <w:p w14:paraId="60093543" w14:textId="77777777" w:rsidR="003330BE" w:rsidRPr="00BF5CC0" w:rsidRDefault="003330BE" w:rsidP="007B1739">
            <w:pPr>
              <w:keepNext/>
              <w:rPr>
                <w:sz w:val="20"/>
                <w:szCs w:val="20"/>
              </w:rPr>
            </w:pPr>
            <w:r w:rsidRPr="00BF5CC0">
              <w:rPr>
                <w:sz w:val="20"/>
                <w:szCs w:val="20"/>
              </w:rPr>
              <w:t>Úhrada od zdravotní pojišťovny</w:t>
            </w:r>
          </w:p>
        </w:tc>
      </w:tr>
      <w:tr w:rsidR="003330BE" w14:paraId="14A9EFAA" w14:textId="77777777" w:rsidTr="003330BE">
        <w:trPr>
          <w:jc w:val="center"/>
        </w:trPr>
        <w:tc>
          <w:tcPr>
            <w:tcW w:w="2689" w:type="dxa"/>
          </w:tcPr>
          <w:p w14:paraId="1A807A61" w14:textId="77777777" w:rsidR="003330BE" w:rsidRPr="00BF5CC0" w:rsidRDefault="003330BE" w:rsidP="003330BE">
            <w:pPr>
              <w:rPr>
                <w:sz w:val="20"/>
                <w:szCs w:val="20"/>
              </w:rPr>
            </w:pPr>
            <w:r w:rsidRPr="00BF5CC0">
              <w:rPr>
                <w:sz w:val="20"/>
                <w:szCs w:val="20"/>
              </w:rPr>
              <w:t>Jeden nákladný pojištěnec</w:t>
            </w:r>
            <w:r>
              <w:rPr>
                <w:sz w:val="20"/>
                <w:szCs w:val="20"/>
              </w:rPr>
              <w:t xml:space="preserve"> XY</w:t>
            </w:r>
          </w:p>
        </w:tc>
        <w:tc>
          <w:tcPr>
            <w:tcW w:w="3351" w:type="dxa"/>
          </w:tcPr>
          <w:p w14:paraId="4DE3A5F1" w14:textId="77777777" w:rsidR="003330BE" w:rsidRPr="00BF5CC0" w:rsidRDefault="003330BE" w:rsidP="003330BE">
            <w:pPr>
              <w:jc w:val="center"/>
              <w:rPr>
                <w:sz w:val="20"/>
                <w:szCs w:val="20"/>
              </w:rPr>
            </w:pPr>
            <w:r w:rsidRPr="00BF5CC0">
              <w:rPr>
                <w:sz w:val="20"/>
                <w:szCs w:val="20"/>
              </w:rPr>
              <w:t>110 678</w:t>
            </w:r>
          </w:p>
        </w:tc>
        <w:tc>
          <w:tcPr>
            <w:tcW w:w="3022" w:type="dxa"/>
            <w:gridSpan w:val="2"/>
          </w:tcPr>
          <w:p w14:paraId="3161EC10" w14:textId="77777777" w:rsidR="003330BE" w:rsidRPr="00BF5CC0" w:rsidRDefault="003330BE" w:rsidP="003330BE">
            <w:pPr>
              <w:jc w:val="center"/>
              <w:rPr>
                <w:sz w:val="20"/>
                <w:szCs w:val="20"/>
              </w:rPr>
            </w:pPr>
            <w:r w:rsidRPr="00BF5CC0">
              <w:rPr>
                <w:sz w:val="20"/>
                <w:szCs w:val="20"/>
              </w:rPr>
              <w:t>1 400 Kč</w:t>
            </w:r>
          </w:p>
        </w:tc>
      </w:tr>
    </w:tbl>
    <w:p w14:paraId="565C1C08" w14:textId="77777777" w:rsidR="009A6720" w:rsidRPr="007B1739" w:rsidRDefault="009A6720" w:rsidP="007B173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bidi="hi-IN"/>
        </w:rPr>
      </w:pPr>
    </w:p>
    <w:p w14:paraId="26AC3F7E" w14:textId="77777777" w:rsidR="003330BE" w:rsidRPr="007B1739" w:rsidRDefault="003330BE" w:rsidP="007B173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bidi="hi-IN"/>
        </w:rPr>
      </w:pPr>
      <w:r w:rsidRPr="007B1739">
        <w:rPr>
          <w:rFonts w:ascii="Calibri" w:hAnsi="Calibri" w:cs="Calibri"/>
          <w:sz w:val="24"/>
          <w:szCs w:val="24"/>
          <w:lang w:bidi="hi-IN"/>
        </w:rPr>
        <w:t xml:space="preserve">Z uvedeného příkladu vyplývá, že zdravotní ústav v souvislosti s provedenými laboratorními výkony vykázal zdravotní pojišťovně u jednoho nákladného pojištěnce výkony v hodnotě 110 678 bodů, ovšem výše úhrady vycházela z částky připadající na jednoho unikátního pojištěnce a odpovídala hodnotě 1 800 bodů. </w:t>
      </w:r>
    </w:p>
    <w:p w14:paraId="390C7D6C" w14:textId="77777777" w:rsidR="003330BE" w:rsidRPr="007B1739" w:rsidRDefault="003330BE" w:rsidP="007B173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bidi="hi-IN"/>
        </w:rPr>
      </w:pPr>
    </w:p>
    <w:p w14:paraId="2F345800" w14:textId="77777777" w:rsidR="003330BE" w:rsidRPr="007B1739" w:rsidRDefault="003330BE" w:rsidP="007B17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B1739">
        <w:rPr>
          <w:rFonts w:ascii="Calibri" w:hAnsi="Calibri" w:cs="Calibri"/>
          <w:sz w:val="24"/>
          <w:szCs w:val="24"/>
        </w:rPr>
        <w:t>Úhrady zdravotních služeb ze strany zdravotních pojišťoven byly za období let 2017 až 2019 nejvýznamnější částí výnosů zdravotních ústavů.</w:t>
      </w:r>
    </w:p>
    <w:p w14:paraId="0620C195" w14:textId="77777777" w:rsidR="007B1739" w:rsidRDefault="007B1739" w:rsidP="007B173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AF32D8" w14:textId="54559454" w:rsidR="003330BE" w:rsidRPr="007B1739" w:rsidRDefault="003330BE" w:rsidP="007B173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1739">
        <w:rPr>
          <w:rFonts w:ascii="Calibri" w:eastAsia="Calibri" w:hAnsi="Calibri" w:cs="Calibri"/>
          <w:sz w:val="24"/>
          <w:szCs w:val="24"/>
        </w:rPr>
        <w:t xml:space="preserve">Kontrolou NKÚ bylo ověřeno, že </w:t>
      </w:r>
      <w:r w:rsidRPr="007B1739">
        <w:rPr>
          <w:rFonts w:ascii="Calibri" w:eastAsia="Calibri" w:hAnsi="Calibri" w:cs="Calibri"/>
          <w:b/>
          <w:sz w:val="24"/>
          <w:szCs w:val="24"/>
        </w:rPr>
        <w:t>systém úhrady zdravotních služeb poskytovaných zdravotními ústavy</w:t>
      </w:r>
      <w:r w:rsidRPr="007B1739">
        <w:rPr>
          <w:rFonts w:ascii="Calibri" w:eastAsia="Calibri" w:hAnsi="Calibri" w:cs="Calibri"/>
          <w:sz w:val="24"/>
          <w:szCs w:val="24"/>
        </w:rPr>
        <w:t xml:space="preserve"> hrazených dle </w:t>
      </w:r>
      <w:r w:rsidR="00A531E6">
        <w:rPr>
          <w:rFonts w:ascii="Calibri" w:eastAsia="Calibri" w:hAnsi="Calibri" w:cs="Calibri"/>
          <w:sz w:val="24"/>
          <w:szCs w:val="24"/>
        </w:rPr>
        <w:t>p</w:t>
      </w:r>
      <w:r w:rsidRPr="007B1739">
        <w:rPr>
          <w:rFonts w:ascii="Calibri" w:eastAsia="Calibri" w:hAnsi="Calibri" w:cs="Calibri"/>
          <w:sz w:val="24"/>
          <w:szCs w:val="24"/>
        </w:rPr>
        <w:t xml:space="preserve">řílohy č. 5 úhradové vyhlášky, kdy zdravotní pojišťovny provedly propočet uznaných zdravotních výkonů na průměrnou hodnotu za jednoho unikátního pojištěnce, </w:t>
      </w:r>
      <w:r w:rsidRPr="007B1739">
        <w:rPr>
          <w:rFonts w:ascii="Calibri" w:eastAsia="Calibri" w:hAnsi="Calibri" w:cs="Calibri"/>
          <w:b/>
          <w:sz w:val="24"/>
          <w:szCs w:val="24"/>
        </w:rPr>
        <w:t>byl a je pro zdravotní ústavy prokazatelně ekonomicky nevýhodný</w:t>
      </w:r>
      <w:r w:rsidRPr="004B540C">
        <w:rPr>
          <w:rFonts w:ascii="Calibri" w:eastAsia="Calibri" w:hAnsi="Calibri" w:cs="Calibri"/>
          <w:b/>
          <w:sz w:val="24"/>
          <w:szCs w:val="24"/>
        </w:rPr>
        <w:t>,</w:t>
      </w:r>
      <w:r w:rsidRPr="007B1739">
        <w:rPr>
          <w:rFonts w:ascii="Calibri" w:eastAsia="Calibri" w:hAnsi="Calibri" w:cs="Calibri"/>
          <w:sz w:val="24"/>
          <w:szCs w:val="24"/>
        </w:rPr>
        <w:t xml:space="preserve"> tj. úhrada od zdravotních pojišťoven neodpovídala skutečnému objemu uznaných zdravotních výkonů, zejména u tzv. nákladných pojištěnců. </w:t>
      </w:r>
    </w:p>
    <w:p w14:paraId="293E4769" w14:textId="77777777" w:rsidR="003330BE" w:rsidRPr="007B1739" w:rsidRDefault="003330BE" w:rsidP="007B173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54650CC" w14:textId="72283866" w:rsidR="003330BE" w:rsidRPr="007B1739" w:rsidRDefault="003330BE" w:rsidP="00BA7AFA">
      <w:pPr>
        <w:keepNext/>
        <w:keepLines/>
        <w:tabs>
          <w:tab w:val="right" w:pos="9072"/>
        </w:tabs>
        <w:spacing w:after="40" w:line="240" w:lineRule="auto"/>
        <w:ind w:left="1418" w:hanging="1418"/>
        <w:jc w:val="both"/>
        <w:rPr>
          <w:rFonts w:ascii="Calibri" w:hAnsi="Calibri" w:cs="Calibri"/>
          <w:b/>
          <w:sz w:val="24"/>
          <w:szCs w:val="24"/>
        </w:rPr>
      </w:pPr>
      <w:r w:rsidRPr="007B1739">
        <w:rPr>
          <w:rFonts w:ascii="Calibri" w:hAnsi="Calibri" w:cs="Calibri"/>
          <w:b/>
          <w:sz w:val="24"/>
          <w:szCs w:val="24"/>
        </w:rPr>
        <w:t>Tabulka č. 3:</w:t>
      </w:r>
      <w:r w:rsidR="007B1739">
        <w:rPr>
          <w:rFonts w:ascii="Calibri" w:hAnsi="Calibri" w:cs="Calibri"/>
          <w:b/>
          <w:sz w:val="24"/>
          <w:szCs w:val="24"/>
        </w:rPr>
        <w:t xml:space="preserve"> </w:t>
      </w:r>
      <w:r w:rsidRPr="007B1739">
        <w:rPr>
          <w:rFonts w:ascii="Calibri" w:eastAsia="Calibri" w:hAnsi="Calibri" w:cs="Calibri"/>
          <w:b/>
          <w:sz w:val="24"/>
          <w:szCs w:val="24"/>
        </w:rPr>
        <w:t xml:space="preserve">Úhrady zdravotním ústavům od zdrav. </w:t>
      </w:r>
      <w:proofErr w:type="gramStart"/>
      <w:r w:rsidRPr="007B1739">
        <w:rPr>
          <w:rFonts w:ascii="Calibri" w:eastAsia="Calibri" w:hAnsi="Calibri" w:cs="Calibri"/>
          <w:b/>
          <w:sz w:val="24"/>
          <w:szCs w:val="24"/>
        </w:rPr>
        <w:t>pojišťoven</w:t>
      </w:r>
      <w:proofErr w:type="gramEnd"/>
      <w:r w:rsidRPr="007B1739">
        <w:rPr>
          <w:rFonts w:ascii="Calibri" w:eastAsia="Calibri" w:hAnsi="Calibri" w:cs="Calibri"/>
          <w:b/>
          <w:sz w:val="24"/>
          <w:szCs w:val="24"/>
        </w:rPr>
        <w:t xml:space="preserve"> v letech 2016 až 2018 </w:t>
      </w:r>
      <w:r w:rsidR="007B1739">
        <w:rPr>
          <w:rFonts w:ascii="Calibri" w:eastAsia="Calibri" w:hAnsi="Calibri" w:cs="Calibri"/>
          <w:b/>
          <w:sz w:val="24"/>
          <w:szCs w:val="24"/>
        </w:rPr>
        <w:tab/>
      </w:r>
      <w:r w:rsidRPr="007B1739">
        <w:rPr>
          <w:rFonts w:ascii="Calibri" w:hAnsi="Calibri" w:cs="Calibri"/>
          <w:b/>
          <w:sz w:val="24"/>
          <w:szCs w:val="24"/>
        </w:rPr>
        <w:t>(v Kč)</w:t>
      </w:r>
    </w:p>
    <w:tbl>
      <w:tblPr>
        <w:tblW w:w="907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2268"/>
        <w:gridCol w:w="2268"/>
      </w:tblGrid>
      <w:tr w:rsidR="003330BE" w14:paraId="4FBC5A96" w14:textId="77777777" w:rsidTr="00A531E6">
        <w:trPr>
          <w:trHeight w:val="227"/>
        </w:trPr>
        <w:tc>
          <w:tcPr>
            <w:tcW w:w="1418" w:type="dxa"/>
            <w:shd w:val="clear" w:color="auto" w:fill="E5F1FF"/>
            <w:vAlign w:val="center"/>
            <w:hideMark/>
          </w:tcPr>
          <w:p w14:paraId="05969128" w14:textId="77777777" w:rsidR="003330BE" w:rsidRPr="00FE7410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FE741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Úhrady v roce</w:t>
            </w:r>
          </w:p>
        </w:tc>
        <w:tc>
          <w:tcPr>
            <w:tcW w:w="3118" w:type="dxa"/>
            <w:shd w:val="clear" w:color="auto" w:fill="E5F1FF"/>
            <w:noWrap/>
            <w:vAlign w:val="center"/>
            <w:hideMark/>
          </w:tcPr>
          <w:p w14:paraId="7C4B6659" w14:textId="77777777" w:rsidR="003330BE" w:rsidRPr="00FE7410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FE741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Poskytnutá péče</w:t>
            </w: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 (služby)</w:t>
            </w:r>
          </w:p>
        </w:tc>
        <w:tc>
          <w:tcPr>
            <w:tcW w:w="2268" w:type="dxa"/>
            <w:shd w:val="clear" w:color="auto" w:fill="E5F1FF"/>
            <w:noWrap/>
            <w:vAlign w:val="center"/>
            <w:hideMark/>
          </w:tcPr>
          <w:p w14:paraId="73A254B9" w14:textId="77777777" w:rsidR="003330BE" w:rsidRPr="00FE7410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FE741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Celkem</w:t>
            </w:r>
            <w:r w:rsidRPr="00FE7410">
              <w:rPr>
                <w:rFonts w:eastAsia="Calibri" w:cstheme="minorHAnsi"/>
                <w:b/>
                <w:sz w:val="20"/>
                <w:szCs w:val="20"/>
              </w:rPr>
              <w:t xml:space="preserve"> ZÚ v Ostravě</w:t>
            </w:r>
          </w:p>
        </w:tc>
        <w:tc>
          <w:tcPr>
            <w:tcW w:w="2268" w:type="dxa"/>
            <w:shd w:val="clear" w:color="auto" w:fill="E5F1FF"/>
            <w:vAlign w:val="center"/>
          </w:tcPr>
          <w:p w14:paraId="359928BB" w14:textId="77777777" w:rsidR="003330BE" w:rsidRPr="00FE7410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FE741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Celkem</w:t>
            </w:r>
            <w:r w:rsidRPr="00FE741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E7410">
              <w:rPr>
                <w:rFonts w:eastAsia="Calibri" w:cstheme="minorHAnsi"/>
                <w:b/>
                <w:sz w:val="20"/>
                <w:szCs w:val="20"/>
              </w:rPr>
              <w:t>ZÚ v 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Ústí </w:t>
            </w:r>
            <w:r w:rsidRPr="00FE7410">
              <w:rPr>
                <w:rFonts w:eastAsia="Calibri" w:cstheme="minorHAnsi"/>
                <w:b/>
                <w:sz w:val="20"/>
                <w:szCs w:val="20"/>
              </w:rPr>
              <w:t>n</w:t>
            </w:r>
            <w:r>
              <w:rPr>
                <w:rFonts w:eastAsia="Calibri" w:cstheme="minorHAnsi"/>
                <w:b/>
                <w:sz w:val="20"/>
                <w:szCs w:val="20"/>
              </w:rPr>
              <w:t>. L.</w:t>
            </w:r>
          </w:p>
        </w:tc>
      </w:tr>
      <w:tr w:rsidR="003330BE" w14:paraId="13436FC7" w14:textId="77777777" w:rsidTr="00A531E6">
        <w:trPr>
          <w:trHeight w:val="227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7EBFF5E" w14:textId="77777777" w:rsidR="003330BE" w:rsidRPr="00FE7410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FE7410">
              <w:rPr>
                <w:rFonts w:cstheme="minorHAnsi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3B06895" w14:textId="77777777" w:rsidR="003330BE" w:rsidRPr="00FE7410" w:rsidRDefault="003330BE" w:rsidP="00BA7AFA">
            <w:pPr>
              <w:keepNext/>
              <w:keepLines/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 w:rsidRPr="00FE7410">
              <w:rPr>
                <w:rFonts w:cstheme="minorHAnsi"/>
                <w:sz w:val="20"/>
                <w:szCs w:val="20"/>
                <w:lang w:eastAsia="cs-CZ"/>
              </w:rPr>
              <w:t>Uznaná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A8CEC8" w14:textId="77777777" w:rsidR="003330BE" w:rsidRPr="00FE7410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FE7410">
              <w:rPr>
                <w:rFonts w:cstheme="minorHAnsi"/>
                <w:sz w:val="20"/>
                <w:szCs w:val="20"/>
                <w:lang w:eastAsia="cs-CZ"/>
              </w:rPr>
              <w:t>200 941 237,04</w:t>
            </w:r>
          </w:p>
        </w:tc>
        <w:tc>
          <w:tcPr>
            <w:tcW w:w="2268" w:type="dxa"/>
            <w:vAlign w:val="center"/>
          </w:tcPr>
          <w:p w14:paraId="6411A067" w14:textId="77777777" w:rsidR="003330BE" w:rsidRPr="00FE7410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FE7410">
              <w:rPr>
                <w:rFonts w:cstheme="minorHAnsi"/>
                <w:sz w:val="20"/>
                <w:szCs w:val="20"/>
                <w:lang w:eastAsia="cs-CZ"/>
              </w:rPr>
              <w:t>188 035 144,04</w:t>
            </w:r>
          </w:p>
        </w:tc>
      </w:tr>
      <w:tr w:rsidR="003330BE" w:rsidRPr="00BF7F3F" w14:paraId="1BAD9BF8" w14:textId="77777777" w:rsidTr="00A531E6">
        <w:trPr>
          <w:trHeight w:val="227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D23EF66" w14:textId="77777777" w:rsidR="003330BE" w:rsidRPr="00BF7F3F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6A3E830" w14:textId="77777777" w:rsidR="003330BE" w:rsidRPr="00BF7F3F" w:rsidRDefault="003330BE" w:rsidP="00BA7AFA">
            <w:pPr>
              <w:keepNext/>
              <w:keepLines/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Uhrazená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0F1B87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181 161 573,22</w:t>
            </w:r>
          </w:p>
        </w:tc>
        <w:tc>
          <w:tcPr>
            <w:tcW w:w="2268" w:type="dxa"/>
            <w:vAlign w:val="center"/>
          </w:tcPr>
          <w:p w14:paraId="339FFCAF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168 301 315,60</w:t>
            </w:r>
          </w:p>
        </w:tc>
      </w:tr>
      <w:tr w:rsidR="003330BE" w:rsidRPr="00BF7F3F" w14:paraId="2E1FA634" w14:textId="77777777" w:rsidTr="00A531E6">
        <w:trPr>
          <w:trHeight w:val="227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E453D20" w14:textId="77777777" w:rsidR="003330BE" w:rsidRPr="00BF7F3F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146F221" w14:textId="3FCC2D6B" w:rsidR="003330BE" w:rsidRPr="00BF7F3F" w:rsidRDefault="003330BE" w:rsidP="00BA7AFA">
            <w:pPr>
              <w:keepNext/>
              <w:keepLines/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Rozdíl (</w:t>
            </w:r>
            <w:r w:rsidR="00A531E6" w:rsidRPr="004B540C">
              <w:rPr>
                <w:rFonts w:cstheme="minorHAnsi"/>
                <w:i/>
                <w:sz w:val="20"/>
                <w:szCs w:val="20"/>
                <w:lang w:eastAsia="cs-CZ"/>
              </w:rPr>
              <w:t>u</w:t>
            </w:r>
            <w:r w:rsidRPr="004B540C">
              <w:rPr>
                <w:rFonts w:cstheme="minorHAnsi"/>
                <w:i/>
                <w:sz w:val="20"/>
                <w:szCs w:val="20"/>
                <w:lang w:eastAsia="cs-CZ"/>
              </w:rPr>
              <w:t>hrazená</w:t>
            </w:r>
            <w:r w:rsidRPr="00BF7F3F">
              <w:rPr>
                <w:rFonts w:cstheme="minorHAnsi"/>
                <w:sz w:val="20"/>
                <w:szCs w:val="20"/>
                <w:lang w:eastAsia="cs-CZ"/>
              </w:rPr>
              <w:t xml:space="preserve"> minus </w:t>
            </w:r>
            <w:r w:rsidR="00A531E6" w:rsidRPr="004B540C">
              <w:rPr>
                <w:rFonts w:cstheme="minorHAnsi"/>
                <w:i/>
                <w:sz w:val="20"/>
                <w:szCs w:val="20"/>
                <w:lang w:eastAsia="cs-CZ"/>
              </w:rPr>
              <w:t>u</w:t>
            </w:r>
            <w:r w:rsidRPr="004B540C">
              <w:rPr>
                <w:rFonts w:cstheme="minorHAnsi"/>
                <w:i/>
                <w:sz w:val="20"/>
                <w:szCs w:val="20"/>
                <w:lang w:eastAsia="cs-CZ"/>
              </w:rPr>
              <w:t>znaná</w:t>
            </w:r>
            <w:r w:rsidRPr="00BF7F3F">
              <w:rPr>
                <w:rFonts w:cstheme="minorHAns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C3BF6B" w14:textId="77777777" w:rsidR="003330BE" w:rsidRPr="00BF7F3F" w:rsidRDefault="007B1739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−</w:t>
            </w:r>
            <w:r w:rsidR="003330BE" w:rsidRPr="00BF7F3F">
              <w:rPr>
                <w:rFonts w:cstheme="minorHAnsi"/>
                <w:sz w:val="20"/>
                <w:szCs w:val="20"/>
                <w:lang w:eastAsia="cs-CZ"/>
              </w:rPr>
              <w:t>19 779 663,82</w:t>
            </w:r>
          </w:p>
        </w:tc>
        <w:tc>
          <w:tcPr>
            <w:tcW w:w="2268" w:type="dxa"/>
            <w:vAlign w:val="center"/>
          </w:tcPr>
          <w:p w14:paraId="75934735" w14:textId="77777777" w:rsidR="003330BE" w:rsidRPr="00BF7F3F" w:rsidRDefault="007B1739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−</w:t>
            </w:r>
            <w:r w:rsidR="003330BE" w:rsidRPr="00BF7F3F">
              <w:rPr>
                <w:rFonts w:cstheme="minorHAnsi"/>
                <w:sz w:val="20"/>
                <w:szCs w:val="20"/>
                <w:lang w:eastAsia="cs-CZ"/>
              </w:rPr>
              <w:t>19 750 937,66</w:t>
            </w:r>
          </w:p>
        </w:tc>
      </w:tr>
      <w:tr w:rsidR="003330BE" w:rsidRPr="00BF7F3F" w14:paraId="3A4A48B8" w14:textId="77777777" w:rsidTr="00A531E6">
        <w:trPr>
          <w:trHeight w:val="227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F37ECBD" w14:textId="77777777" w:rsidR="003330BE" w:rsidRPr="00BF7F3F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F81CBF3" w14:textId="77777777" w:rsidR="003330BE" w:rsidRPr="00BF7F3F" w:rsidRDefault="003330BE" w:rsidP="00BA7AFA">
            <w:pPr>
              <w:keepNext/>
              <w:keepLines/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Uznaná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7A1971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200 186 795,00</w:t>
            </w:r>
          </w:p>
        </w:tc>
        <w:tc>
          <w:tcPr>
            <w:tcW w:w="2268" w:type="dxa"/>
            <w:vAlign w:val="center"/>
          </w:tcPr>
          <w:p w14:paraId="242F011C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175 352 894,16</w:t>
            </w:r>
          </w:p>
        </w:tc>
      </w:tr>
      <w:tr w:rsidR="003330BE" w:rsidRPr="00BF7F3F" w14:paraId="383CBC1B" w14:textId="77777777" w:rsidTr="00A531E6">
        <w:trPr>
          <w:trHeight w:val="227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ED48180" w14:textId="77777777" w:rsidR="003330BE" w:rsidRPr="00BF7F3F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978F05A" w14:textId="77777777" w:rsidR="003330BE" w:rsidRPr="00BF7F3F" w:rsidRDefault="003330BE" w:rsidP="00BA7AFA">
            <w:pPr>
              <w:keepNext/>
              <w:keepLines/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Uhrazená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A99944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179 132 346,26</w:t>
            </w:r>
          </w:p>
        </w:tc>
        <w:tc>
          <w:tcPr>
            <w:tcW w:w="2268" w:type="dxa"/>
            <w:vAlign w:val="center"/>
          </w:tcPr>
          <w:p w14:paraId="6869A71C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163 061 109,19</w:t>
            </w:r>
          </w:p>
        </w:tc>
      </w:tr>
      <w:tr w:rsidR="003330BE" w:rsidRPr="00BF7F3F" w14:paraId="662B5C6B" w14:textId="77777777" w:rsidTr="00A531E6">
        <w:trPr>
          <w:trHeight w:val="227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D0936F9" w14:textId="77777777" w:rsidR="003330BE" w:rsidRPr="00BF7F3F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58E95CC" w14:textId="270517EB" w:rsidR="003330BE" w:rsidRPr="00BF7F3F" w:rsidRDefault="003330BE" w:rsidP="00BA7AFA">
            <w:pPr>
              <w:keepNext/>
              <w:keepLines/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Rozdíl (</w:t>
            </w:r>
            <w:r w:rsidR="00A531E6" w:rsidRPr="004B540C">
              <w:rPr>
                <w:rFonts w:cstheme="minorHAnsi"/>
                <w:i/>
                <w:sz w:val="20"/>
                <w:szCs w:val="20"/>
                <w:lang w:eastAsia="cs-CZ"/>
              </w:rPr>
              <w:t>u</w:t>
            </w:r>
            <w:r w:rsidRPr="004B540C">
              <w:rPr>
                <w:rFonts w:cstheme="minorHAnsi"/>
                <w:i/>
                <w:sz w:val="20"/>
                <w:szCs w:val="20"/>
                <w:lang w:eastAsia="cs-CZ"/>
              </w:rPr>
              <w:t>hrazená</w:t>
            </w:r>
            <w:r w:rsidRPr="00BF7F3F">
              <w:rPr>
                <w:rFonts w:cstheme="minorHAnsi"/>
                <w:sz w:val="20"/>
                <w:szCs w:val="20"/>
                <w:lang w:eastAsia="cs-CZ"/>
              </w:rPr>
              <w:t xml:space="preserve"> minus </w:t>
            </w:r>
            <w:r w:rsidR="00A531E6" w:rsidRPr="004B540C">
              <w:rPr>
                <w:rFonts w:cstheme="minorHAnsi"/>
                <w:i/>
                <w:sz w:val="20"/>
                <w:szCs w:val="20"/>
                <w:lang w:eastAsia="cs-CZ"/>
              </w:rPr>
              <w:t>u</w:t>
            </w:r>
            <w:r w:rsidRPr="004B540C">
              <w:rPr>
                <w:rFonts w:cstheme="minorHAnsi"/>
                <w:i/>
                <w:sz w:val="20"/>
                <w:szCs w:val="20"/>
                <w:lang w:eastAsia="cs-CZ"/>
              </w:rPr>
              <w:t>znaná</w:t>
            </w:r>
            <w:r w:rsidRPr="00BF7F3F">
              <w:rPr>
                <w:rFonts w:cstheme="minorHAns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157473" w14:textId="77777777" w:rsidR="003330BE" w:rsidRPr="00BF7F3F" w:rsidRDefault="007B1739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−</w:t>
            </w:r>
            <w:r w:rsidR="003330BE" w:rsidRPr="00BF7F3F">
              <w:rPr>
                <w:rFonts w:cstheme="minorHAnsi"/>
                <w:sz w:val="20"/>
                <w:szCs w:val="20"/>
                <w:lang w:eastAsia="cs-CZ"/>
              </w:rPr>
              <w:t>21 054 448,74</w:t>
            </w:r>
          </w:p>
        </w:tc>
        <w:tc>
          <w:tcPr>
            <w:tcW w:w="2268" w:type="dxa"/>
            <w:vAlign w:val="center"/>
          </w:tcPr>
          <w:p w14:paraId="6421223D" w14:textId="77777777" w:rsidR="003330BE" w:rsidRPr="00BF7F3F" w:rsidRDefault="007B1739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−</w:t>
            </w:r>
            <w:r w:rsidR="003330BE" w:rsidRPr="00BF7F3F">
              <w:rPr>
                <w:rFonts w:cstheme="minorHAnsi"/>
                <w:sz w:val="20"/>
                <w:szCs w:val="20"/>
                <w:lang w:eastAsia="cs-CZ"/>
              </w:rPr>
              <w:t>12 291 784,97</w:t>
            </w:r>
          </w:p>
        </w:tc>
      </w:tr>
      <w:tr w:rsidR="003330BE" w:rsidRPr="00BF7F3F" w14:paraId="47ADD8A2" w14:textId="77777777" w:rsidTr="00A531E6">
        <w:trPr>
          <w:trHeight w:val="227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885620B" w14:textId="77777777" w:rsidR="003330BE" w:rsidRPr="00BF7F3F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00F0C6D" w14:textId="6A805E58" w:rsidR="003330BE" w:rsidRPr="00BF7F3F" w:rsidRDefault="003330BE" w:rsidP="00BA7AFA">
            <w:pPr>
              <w:keepNext/>
              <w:keepLines/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Uznaná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C5C6F8F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230 726 918,58</w:t>
            </w:r>
          </w:p>
        </w:tc>
        <w:tc>
          <w:tcPr>
            <w:tcW w:w="2268" w:type="dxa"/>
            <w:vAlign w:val="center"/>
          </w:tcPr>
          <w:p w14:paraId="0130C979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153 334 507,90</w:t>
            </w:r>
          </w:p>
        </w:tc>
      </w:tr>
      <w:tr w:rsidR="003330BE" w:rsidRPr="00BF7F3F" w14:paraId="17BD2EF8" w14:textId="77777777" w:rsidTr="00A531E6">
        <w:trPr>
          <w:trHeight w:val="227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35CA919" w14:textId="77777777" w:rsidR="003330BE" w:rsidRPr="00BF7F3F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4D01F1D" w14:textId="77777777" w:rsidR="003330BE" w:rsidRPr="00BF7F3F" w:rsidRDefault="003330BE" w:rsidP="00BA7AFA">
            <w:pPr>
              <w:keepNext/>
              <w:keepLines/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Uhrazená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467F43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196 238 515,20</w:t>
            </w:r>
          </w:p>
        </w:tc>
        <w:tc>
          <w:tcPr>
            <w:tcW w:w="2268" w:type="dxa"/>
            <w:vAlign w:val="center"/>
          </w:tcPr>
          <w:p w14:paraId="4E8D247A" w14:textId="77777777" w:rsidR="003330BE" w:rsidRPr="00BF7F3F" w:rsidRDefault="003330BE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136 891 724,73</w:t>
            </w:r>
          </w:p>
        </w:tc>
      </w:tr>
      <w:tr w:rsidR="003330BE" w:rsidRPr="00BF7F3F" w14:paraId="5DD21E04" w14:textId="77777777" w:rsidTr="00A531E6">
        <w:trPr>
          <w:trHeight w:val="227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FBFA0FB" w14:textId="77777777" w:rsidR="003330BE" w:rsidRPr="00BF7F3F" w:rsidRDefault="003330BE" w:rsidP="00BA7AF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58FA291" w14:textId="29F19D7A" w:rsidR="003330BE" w:rsidRPr="00BF7F3F" w:rsidRDefault="003330BE" w:rsidP="00BA7AFA">
            <w:pPr>
              <w:keepNext/>
              <w:keepLines/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 w:rsidRPr="00BF7F3F">
              <w:rPr>
                <w:rFonts w:cstheme="minorHAnsi"/>
                <w:sz w:val="20"/>
                <w:szCs w:val="20"/>
                <w:lang w:eastAsia="cs-CZ"/>
              </w:rPr>
              <w:t>Rozdíl (</w:t>
            </w:r>
            <w:r w:rsidR="00A531E6" w:rsidRPr="004B540C">
              <w:rPr>
                <w:rFonts w:cstheme="minorHAnsi"/>
                <w:i/>
                <w:sz w:val="20"/>
                <w:szCs w:val="20"/>
                <w:lang w:eastAsia="cs-CZ"/>
              </w:rPr>
              <w:t>u</w:t>
            </w:r>
            <w:r w:rsidRPr="004B540C">
              <w:rPr>
                <w:rFonts w:cstheme="minorHAnsi"/>
                <w:i/>
                <w:sz w:val="20"/>
                <w:szCs w:val="20"/>
                <w:lang w:eastAsia="cs-CZ"/>
              </w:rPr>
              <w:t>hrazená</w:t>
            </w:r>
            <w:r w:rsidRPr="00BF7F3F">
              <w:rPr>
                <w:rFonts w:cstheme="minorHAnsi"/>
                <w:sz w:val="20"/>
                <w:szCs w:val="20"/>
                <w:lang w:eastAsia="cs-CZ"/>
              </w:rPr>
              <w:t xml:space="preserve"> minus </w:t>
            </w:r>
            <w:r w:rsidR="00A531E6" w:rsidRPr="004B540C">
              <w:rPr>
                <w:rFonts w:cstheme="minorHAnsi"/>
                <w:i/>
                <w:sz w:val="20"/>
                <w:szCs w:val="20"/>
                <w:lang w:eastAsia="cs-CZ"/>
              </w:rPr>
              <w:t>u</w:t>
            </w:r>
            <w:r w:rsidRPr="004B540C">
              <w:rPr>
                <w:rFonts w:cstheme="minorHAnsi"/>
                <w:i/>
                <w:sz w:val="20"/>
                <w:szCs w:val="20"/>
                <w:lang w:eastAsia="cs-CZ"/>
              </w:rPr>
              <w:t>znaná</w:t>
            </w:r>
            <w:r w:rsidRPr="00BF7F3F">
              <w:rPr>
                <w:rFonts w:cstheme="minorHAns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5C3EEF" w14:textId="77777777" w:rsidR="003330BE" w:rsidRPr="00BF7F3F" w:rsidRDefault="007B1739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−</w:t>
            </w:r>
            <w:r w:rsidR="003330BE" w:rsidRPr="00BF7F3F">
              <w:rPr>
                <w:rFonts w:cstheme="minorHAnsi"/>
                <w:sz w:val="20"/>
                <w:szCs w:val="20"/>
                <w:lang w:eastAsia="cs-CZ"/>
              </w:rPr>
              <w:t>34 488 403,38</w:t>
            </w:r>
          </w:p>
        </w:tc>
        <w:tc>
          <w:tcPr>
            <w:tcW w:w="2268" w:type="dxa"/>
            <w:vAlign w:val="center"/>
          </w:tcPr>
          <w:p w14:paraId="57E741BF" w14:textId="77777777" w:rsidR="003330BE" w:rsidRPr="00BF7F3F" w:rsidRDefault="007B1739" w:rsidP="00BA7AFA">
            <w:pPr>
              <w:keepNext/>
              <w:keepLines/>
              <w:spacing w:after="0" w:line="240" w:lineRule="auto"/>
              <w:ind w:right="13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−</w:t>
            </w:r>
            <w:r w:rsidR="003330BE" w:rsidRPr="00BF7F3F">
              <w:rPr>
                <w:rFonts w:cstheme="minorHAnsi"/>
                <w:sz w:val="20"/>
                <w:szCs w:val="20"/>
                <w:lang w:eastAsia="cs-CZ"/>
              </w:rPr>
              <w:t>15 615 584,32</w:t>
            </w:r>
          </w:p>
        </w:tc>
      </w:tr>
    </w:tbl>
    <w:p w14:paraId="60D6734A" w14:textId="353307B8" w:rsidR="003330BE" w:rsidRPr="007A2B5B" w:rsidRDefault="003330BE" w:rsidP="00BA7AFA">
      <w:pPr>
        <w:keepNext/>
        <w:keepLines/>
        <w:spacing w:before="40" w:after="0" w:line="240" w:lineRule="auto"/>
        <w:ind w:left="567" w:hanging="567"/>
        <w:rPr>
          <w:rFonts w:ascii="Calibri" w:eastAsia="Calibri" w:hAnsi="Calibri" w:cs="Calibri"/>
          <w:sz w:val="20"/>
          <w:szCs w:val="20"/>
        </w:rPr>
      </w:pPr>
      <w:r w:rsidRPr="007A2B5B">
        <w:rPr>
          <w:rFonts w:ascii="Calibri" w:eastAsia="Calibri" w:hAnsi="Calibri" w:cs="Calibri"/>
          <w:b/>
          <w:sz w:val="20"/>
          <w:szCs w:val="20"/>
        </w:rPr>
        <w:t>Zdroj:</w:t>
      </w:r>
      <w:r w:rsidRPr="007A2B5B">
        <w:rPr>
          <w:rFonts w:ascii="Calibri" w:eastAsia="Calibri" w:hAnsi="Calibri" w:cs="Calibri"/>
          <w:sz w:val="20"/>
          <w:szCs w:val="20"/>
        </w:rPr>
        <w:tab/>
      </w:r>
      <w:r w:rsidR="00A531E6">
        <w:rPr>
          <w:rFonts w:ascii="Calibri" w:eastAsia="Calibri" w:hAnsi="Calibri" w:cs="Calibri"/>
          <w:sz w:val="20"/>
          <w:szCs w:val="20"/>
        </w:rPr>
        <w:t>d</w:t>
      </w:r>
      <w:r w:rsidRPr="007A2B5B">
        <w:rPr>
          <w:rFonts w:ascii="Calibri" w:eastAsia="Calibri" w:hAnsi="Calibri" w:cs="Calibri"/>
          <w:sz w:val="20"/>
          <w:szCs w:val="20"/>
        </w:rPr>
        <w:t xml:space="preserve">oklady a informace </w:t>
      </w:r>
      <w:r w:rsidR="00A531E6">
        <w:rPr>
          <w:rFonts w:ascii="Calibri" w:eastAsia="Calibri" w:hAnsi="Calibri" w:cs="Calibri"/>
          <w:sz w:val="20"/>
          <w:szCs w:val="20"/>
        </w:rPr>
        <w:t xml:space="preserve">od </w:t>
      </w:r>
      <w:r w:rsidRPr="007A2B5B">
        <w:rPr>
          <w:rFonts w:ascii="Calibri" w:eastAsia="Calibri" w:hAnsi="Calibri" w:cs="Calibri"/>
          <w:sz w:val="20"/>
          <w:szCs w:val="20"/>
        </w:rPr>
        <w:t>zdravotních ústavů.</w:t>
      </w:r>
    </w:p>
    <w:p w14:paraId="1E11D70B" w14:textId="01BBF2BE" w:rsidR="003330BE" w:rsidRPr="007A2B5B" w:rsidRDefault="003330BE" w:rsidP="00BA7AFA">
      <w:pPr>
        <w:keepNext/>
        <w:keepLines/>
        <w:tabs>
          <w:tab w:val="left" w:pos="426"/>
        </w:tabs>
        <w:spacing w:after="0" w:line="240" w:lineRule="auto"/>
        <w:ind w:left="567" w:hanging="567"/>
        <w:rPr>
          <w:rFonts w:ascii="Calibri" w:eastAsia="Calibri" w:hAnsi="Calibri" w:cs="Calibri"/>
          <w:sz w:val="20"/>
          <w:szCs w:val="20"/>
        </w:rPr>
      </w:pPr>
      <w:r w:rsidRPr="007A2B5B">
        <w:rPr>
          <w:rFonts w:ascii="Calibri" w:eastAsia="Calibri" w:hAnsi="Calibri" w:cs="Calibri"/>
          <w:b/>
          <w:sz w:val="20"/>
          <w:szCs w:val="20"/>
        </w:rPr>
        <w:t>Pozn.:</w:t>
      </w:r>
      <w:r w:rsidRPr="007A2B5B">
        <w:rPr>
          <w:rFonts w:ascii="Calibri" w:eastAsia="Calibri" w:hAnsi="Calibri" w:cs="Calibri"/>
          <w:sz w:val="20"/>
          <w:szCs w:val="20"/>
        </w:rPr>
        <w:tab/>
        <w:t>Rok 2016 je v tabulce uveden pro možnost porovnání s následujícími lety 2017 a 2018. Rok 2019 není v tabulce uveden, jelikož konečné vyúčtování úhrad za rok 2019 nebylo od všech zdravotních pojišťoven v době kontroly NKÚ provedeno.</w:t>
      </w:r>
    </w:p>
    <w:p w14:paraId="2D738FD2" w14:textId="40AFEB7F" w:rsidR="003330BE" w:rsidRPr="007A2B5B" w:rsidRDefault="003330BE" w:rsidP="00BA7AFA">
      <w:pPr>
        <w:keepNext/>
        <w:keepLines/>
        <w:spacing w:after="0" w:line="240" w:lineRule="auto"/>
        <w:ind w:left="567" w:hanging="567"/>
        <w:rPr>
          <w:rFonts w:ascii="Calibri" w:eastAsia="Calibri" w:hAnsi="Calibri" w:cs="Calibri"/>
          <w:sz w:val="20"/>
          <w:szCs w:val="20"/>
        </w:rPr>
      </w:pPr>
      <w:r w:rsidRPr="007A2B5B">
        <w:rPr>
          <w:rFonts w:ascii="Calibri" w:eastAsia="Calibri" w:hAnsi="Calibri" w:cs="Calibri"/>
          <w:sz w:val="20"/>
          <w:szCs w:val="20"/>
        </w:rPr>
        <w:tab/>
        <w:t xml:space="preserve">U ZÚ v Ústí n. L. nejsou </w:t>
      </w:r>
      <w:r w:rsidRPr="007A2B5B">
        <w:rPr>
          <w:rFonts w:ascii="Calibri" w:hAnsi="Calibri" w:cs="Calibri"/>
          <w:sz w:val="20"/>
          <w:szCs w:val="20"/>
        </w:rPr>
        <w:t>ve zpracování zohledněny regulace a bonifikace ze strany zdravotních pojišťoven, proto nesouhlasí rozdíl (</w:t>
      </w:r>
      <w:r w:rsidR="00BA7AFA" w:rsidRPr="004B540C">
        <w:rPr>
          <w:rFonts w:ascii="Calibri" w:hAnsi="Calibri" w:cs="Calibri"/>
          <w:i/>
          <w:sz w:val="20"/>
          <w:szCs w:val="20"/>
        </w:rPr>
        <w:t>u</w:t>
      </w:r>
      <w:r w:rsidRPr="004B540C">
        <w:rPr>
          <w:rFonts w:ascii="Calibri" w:hAnsi="Calibri" w:cs="Calibri"/>
          <w:i/>
          <w:sz w:val="20"/>
          <w:szCs w:val="20"/>
        </w:rPr>
        <w:t>hrazená</w:t>
      </w:r>
      <w:r w:rsidRPr="007A2B5B">
        <w:rPr>
          <w:rFonts w:ascii="Calibri" w:hAnsi="Calibri" w:cs="Calibri"/>
          <w:sz w:val="20"/>
          <w:szCs w:val="20"/>
        </w:rPr>
        <w:t xml:space="preserve"> mínus </w:t>
      </w:r>
      <w:r w:rsidR="00BA7AFA" w:rsidRPr="004B540C">
        <w:rPr>
          <w:rFonts w:ascii="Calibri" w:hAnsi="Calibri" w:cs="Calibri"/>
          <w:i/>
          <w:sz w:val="20"/>
          <w:szCs w:val="20"/>
        </w:rPr>
        <w:t>u</w:t>
      </w:r>
      <w:r w:rsidRPr="004B540C">
        <w:rPr>
          <w:rFonts w:ascii="Calibri" w:hAnsi="Calibri" w:cs="Calibri"/>
          <w:i/>
          <w:sz w:val="20"/>
          <w:szCs w:val="20"/>
        </w:rPr>
        <w:t>znaná</w:t>
      </w:r>
      <w:r w:rsidRPr="007A2B5B">
        <w:rPr>
          <w:rFonts w:ascii="Calibri" w:hAnsi="Calibri" w:cs="Calibri"/>
          <w:sz w:val="20"/>
          <w:szCs w:val="20"/>
        </w:rPr>
        <w:t>) v letech 2016 a 2018.</w:t>
      </w:r>
    </w:p>
    <w:p w14:paraId="4561486D" w14:textId="77777777" w:rsidR="003330BE" w:rsidRPr="007A2B5B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0244EF8" w14:textId="77777777" w:rsidR="003330BE" w:rsidRPr="007A2B5B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bidi="hi-IN"/>
        </w:rPr>
      </w:pPr>
      <w:r w:rsidRPr="007A2B5B">
        <w:rPr>
          <w:rFonts w:ascii="Calibri" w:eastAsia="Calibri" w:hAnsi="Calibri" w:cs="Calibri"/>
          <w:sz w:val="24"/>
          <w:szCs w:val="24"/>
        </w:rPr>
        <w:lastRenderedPageBreak/>
        <w:t>Roční ztráta (ušlá část výnosů z důvodu rozdílu mezi uznanými a uhrazenými zdravotními službami), vzniklá takto nastaveným systémem financování zdravotních služeb poskytovaných zdravotními ústavy, přesáhla v roce 2018 u ZÚ v Ostravě 34 mil. Kč a u ZÚ v Ústí n. L. 15 mil.</w:t>
      </w:r>
      <w:r w:rsidR="007A2B5B">
        <w:rPr>
          <w:rFonts w:ascii="Calibri" w:eastAsia="Calibri" w:hAnsi="Calibri" w:cs="Calibri"/>
          <w:sz w:val="24"/>
          <w:szCs w:val="24"/>
        </w:rPr>
        <w:t> </w:t>
      </w:r>
      <w:r w:rsidRPr="007A2B5B">
        <w:rPr>
          <w:rFonts w:ascii="Calibri" w:eastAsia="Calibri" w:hAnsi="Calibri" w:cs="Calibri"/>
          <w:sz w:val="24"/>
          <w:szCs w:val="24"/>
        </w:rPr>
        <w:t>Kč.</w:t>
      </w:r>
    </w:p>
    <w:p w14:paraId="4BF663F9" w14:textId="77777777" w:rsidR="007A2B5B" w:rsidRDefault="007A2B5B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bidi="hi-IN"/>
        </w:rPr>
      </w:pPr>
    </w:p>
    <w:p w14:paraId="4666262B" w14:textId="77777777" w:rsidR="003330BE" w:rsidRPr="007A2B5B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bidi="hi-IN"/>
        </w:rPr>
      </w:pPr>
      <w:proofErr w:type="spellStart"/>
      <w:r w:rsidRPr="007A2B5B">
        <w:rPr>
          <w:rFonts w:ascii="Calibri" w:hAnsi="Calibri" w:cs="Calibri"/>
          <w:sz w:val="24"/>
          <w:szCs w:val="24"/>
          <w:lang w:bidi="hi-IN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  <w:lang w:bidi="hi-IN"/>
        </w:rPr>
        <w:t xml:space="preserve"> do ukončení kontroly NKÚ neiniciovalo, v součinnosti s účastníky dohodovacího řízení, systémovou změnu způsobu úhrady </w:t>
      </w:r>
      <w:r w:rsidRPr="007A2B5B">
        <w:rPr>
          <w:rFonts w:ascii="Calibri" w:hAnsi="Calibri" w:cs="Calibri"/>
          <w:sz w:val="24"/>
          <w:szCs w:val="24"/>
        </w:rPr>
        <w:t>zdravotních služeb v oblasti</w:t>
      </w:r>
      <w:r w:rsidRPr="007A2B5B">
        <w:rPr>
          <w:rFonts w:ascii="Calibri" w:hAnsi="Calibri" w:cs="Calibri"/>
          <w:sz w:val="24"/>
          <w:szCs w:val="24"/>
          <w:lang w:bidi="hi-IN"/>
        </w:rPr>
        <w:t xml:space="preserve"> laboratorních vyšetření a diagnostiky hrazených z veřejného zdravotního pojištění, která by odstranila anebo alespoň snížila každoročně vznikající rozdíly mezi uznanými a uhrazenými zdravotními výkony ze strany zdravotních pojišťoven.</w:t>
      </w:r>
    </w:p>
    <w:p w14:paraId="57D309E0" w14:textId="77777777" w:rsidR="003330BE" w:rsidRPr="007A2B5B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2EB070" w14:textId="05B0B377" w:rsidR="003330BE" w:rsidRPr="007A2B5B" w:rsidRDefault="003330BE" w:rsidP="00EE28F4">
      <w:pPr>
        <w:keepNext/>
        <w:tabs>
          <w:tab w:val="left" w:pos="426"/>
        </w:tabs>
        <w:spacing w:after="0" w:line="240" w:lineRule="auto"/>
        <w:ind w:left="426" w:hanging="426"/>
        <w:rPr>
          <w:rFonts w:ascii="Calibri" w:hAnsi="Calibri" w:cs="Calibri"/>
          <w:b/>
          <w:sz w:val="24"/>
          <w:szCs w:val="24"/>
        </w:rPr>
      </w:pPr>
      <w:r w:rsidRPr="007A2B5B">
        <w:rPr>
          <w:rFonts w:ascii="Calibri" w:eastAsia="SimSun" w:hAnsi="Calibri" w:cs="Calibri"/>
          <w:b/>
          <w:sz w:val="24"/>
          <w:szCs w:val="24"/>
        </w:rPr>
        <w:t>1.5</w:t>
      </w:r>
      <w:r w:rsidR="00EE28F4">
        <w:rPr>
          <w:rFonts w:ascii="Calibri" w:eastAsia="SimSun" w:hAnsi="Calibri" w:cs="Calibri"/>
          <w:b/>
          <w:sz w:val="24"/>
          <w:szCs w:val="24"/>
        </w:rPr>
        <w:t xml:space="preserve"> </w:t>
      </w:r>
      <w:r w:rsidRPr="007A2B5B">
        <w:rPr>
          <w:rFonts w:ascii="Calibri" w:eastAsia="SimSun" w:hAnsi="Calibri" w:cs="Calibri"/>
          <w:b/>
          <w:sz w:val="24"/>
          <w:szCs w:val="24"/>
        </w:rPr>
        <w:tab/>
        <w:t>Využívání institutu centrálního zadavatele a další podpora zefektivnění nákupů pro organizace v přímé říd</w:t>
      </w:r>
      <w:r w:rsidR="00BA7AFA">
        <w:rPr>
          <w:rFonts w:ascii="Calibri" w:eastAsia="SimSun" w:hAnsi="Calibri" w:cs="Calibri"/>
          <w:b/>
          <w:sz w:val="24"/>
          <w:szCs w:val="24"/>
        </w:rPr>
        <w:t>i</w:t>
      </w:r>
      <w:r w:rsidRPr="007A2B5B">
        <w:rPr>
          <w:rFonts w:ascii="Calibri" w:eastAsia="SimSun" w:hAnsi="Calibri" w:cs="Calibri"/>
          <w:b/>
          <w:sz w:val="24"/>
          <w:szCs w:val="24"/>
        </w:rPr>
        <w:t>cí působnosti Ministerstva zdravotnictví</w:t>
      </w:r>
    </w:p>
    <w:p w14:paraId="58339F43" w14:textId="77777777" w:rsidR="007A2B5B" w:rsidRDefault="007A2B5B" w:rsidP="00EE28F4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71C0BB" w14:textId="77777777" w:rsidR="003330BE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7A2B5B">
        <w:rPr>
          <w:rFonts w:ascii="Calibri" w:hAnsi="Calibri" w:cs="Calibri"/>
          <w:sz w:val="24"/>
          <w:szCs w:val="24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</w:rPr>
        <w:t xml:space="preserve"> na své přímo řízené organizace působilo v oblasti veřejného nakupování obecně zejména formou „resortních“ vnitřních předpisů</w:t>
      </w:r>
      <w:r w:rsidRPr="007A2B5B">
        <w:rPr>
          <w:rStyle w:val="Znakapoznpodarou"/>
          <w:rFonts w:ascii="Calibri" w:hAnsi="Calibri" w:cs="Calibri"/>
          <w:sz w:val="24"/>
          <w:szCs w:val="24"/>
        </w:rPr>
        <w:footnoteReference w:id="44"/>
      </w:r>
      <w:r w:rsidRPr="007A2B5B">
        <w:rPr>
          <w:rFonts w:ascii="Calibri" w:hAnsi="Calibri" w:cs="Calibri"/>
          <w:sz w:val="24"/>
          <w:szCs w:val="24"/>
        </w:rPr>
        <w:t>.</w:t>
      </w:r>
    </w:p>
    <w:p w14:paraId="59FB9548" w14:textId="77777777" w:rsidR="007A2B5B" w:rsidRPr="007A2B5B" w:rsidRDefault="007A2B5B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39AD2B6" w14:textId="66E19C71" w:rsidR="003330BE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  <w:proofErr w:type="spellStart"/>
      <w:r w:rsidRPr="007A2B5B">
        <w:rPr>
          <w:rFonts w:ascii="Calibri" w:hAnsi="Calibri" w:cs="Calibri"/>
          <w:sz w:val="24"/>
          <w:szCs w:val="24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</w:rPr>
        <w:t xml:space="preserve"> má jako ústřední orgán státní správy, který má alespoň dvě podřízené organizace, povinnost mít zavedený </w:t>
      </w:r>
      <w:r w:rsidRPr="007A2B5B">
        <w:rPr>
          <w:rFonts w:ascii="Calibri" w:hAnsi="Calibri" w:cs="Calibri"/>
          <w:sz w:val="24"/>
          <w:szCs w:val="24"/>
          <w:lang w:bidi="hi-IN"/>
        </w:rPr>
        <w:t xml:space="preserve">resortní systém centralizovaného zadávání </w:t>
      </w:r>
      <w:r w:rsidRPr="007A2B5B">
        <w:rPr>
          <w:rFonts w:ascii="Calibri" w:hAnsi="Calibri" w:cs="Calibri"/>
          <w:sz w:val="24"/>
          <w:szCs w:val="24"/>
        </w:rPr>
        <w:t>(dále také „RS CZ“) a v něm centralizovaně pořizovat komodity, a to podle pravidel pro vytvoření a provoz RS CZ</w:t>
      </w:r>
      <w:r w:rsidRPr="007A2B5B">
        <w:rPr>
          <w:rStyle w:val="Znakapoznpodarou"/>
          <w:rFonts w:ascii="Calibri" w:hAnsi="Calibri" w:cs="Calibri"/>
          <w:sz w:val="24"/>
          <w:szCs w:val="24"/>
        </w:rPr>
        <w:footnoteReference w:id="45"/>
      </w:r>
      <w:r w:rsidRPr="007A2B5B">
        <w:rPr>
          <w:rFonts w:ascii="Calibri" w:hAnsi="Calibri" w:cs="Calibri"/>
          <w:sz w:val="24"/>
          <w:szCs w:val="24"/>
        </w:rPr>
        <w:t>. V RS CZ pořizují centrální zadavatelé povinné i resortní komodity</w:t>
      </w:r>
      <w:r w:rsidRPr="007A2B5B">
        <w:rPr>
          <w:rStyle w:val="Znakapoznpodarou"/>
          <w:rFonts w:ascii="Calibri" w:hAnsi="Calibri" w:cs="Calibri"/>
          <w:sz w:val="24"/>
          <w:szCs w:val="24"/>
        </w:rPr>
        <w:footnoteReference w:id="46"/>
      </w:r>
      <w:r w:rsidRPr="007A2B5B">
        <w:rPr>
          <w:rFonts w:ascii="Calibri" w:hAnsi="Calibri" w:cs="Calibri"/>
          <w:sz w:val="24"/>
          <w:szCs w:val="24"/>
        </w:rPr>
        <w:t xml:space="preserve"> pro potřeby všech organizací daného resortu. Povinné komodity v RS CZ byly stanoveny usnesením vlády</w:t>
      </w:r>
      <w:r w:rsidRPr="007A2B5B">
        <w:rPr>
          <w:rStyle w:val="Znakapoznpodarou"/>
          <w:rFonts w:ascii="Calibri" w:hAnsi="Calibri" w:cs="Calibri"/>
          <w:sz w:val="24"/>
          <w:szCs w:val="24"/>
        </w:rPr>
        <w:footnoteReference w:id="47"/>
      </w:r>
      <w:r w:rsidRPr="007A2B5B">
        <w:rPr>
          <w:rFonts w:ascii="Calibri" w:hAnsi="Calibri" w:cs="Calibri"/>
          <w:sz w:val="24"/>
          <w:szCs w:val="24"/>
        </w:rPr>
        <w:t xml:space="preserve"> a zahrnují např. elektrickou energii, osobní vozidla či kancelářskou techniku a zařízení.</w:t>
      </w:r>
      <w:r w:rsidRPr="007A2B5B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059244A5" w14:textId="77777777" w:rsidR="007A2B5B" w:rsidRPr="007A2B5B" w:rsidRDefault="007A2B5B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57602E14" w14:textId="77777777" w:rsidR="003330BE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2B5B">
        <w:rPr>
          <w:rFonts w:ascii="Calibri" w:hAnsi="Calibri" w:cs="Calibri"/>
          <w:sz w:val="24"/>
          <w:szCs w:val="24"/>
        </w:rPr>
        <w:t xml:space="preserve">Pro nákupy v resortu mělo </w:t>
      </w:r>
      <w:proofErr w:type="spellStart"/>
      <w:r w:rsidRPr="007A2B5B">
        <w:rPr>
          <w:rFonts w:ascii="Calibri" w:hAnsi="Calibri" w:cs="Calibri"/>
          <w:sz w:val="24"/>
          <w:szCs w:val="24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</w:rPr>
        <w:t xml:space="preserve"> od roku 2012 zaveden RS CZ. Ministerstvo v kontrolovaném období nakupovalo v rámci RS CZ komodity elektrická energie a plynná paliva, a to formou nákupů na komoditní burze. V rámci tohoto RS CZ nakupovaly elektrickou energii a plynná paliva také ZÚ. </w:t>
      </w:r>
    </w:p>
    <w:p w14:paraId="1FD4A1B0" w14:textId="77777777" w:rsidR="007A2B5B" w:rsidRPr="007A2B5B" w:rsidRDefault="007A2B5B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4BB069" w14:textId="2919258C" w:rsidR="003330BE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2B5B">
        <w:rPr>
          <w:rFonts w:ascii="Calibri" w:hAnsi="Calibri" w:cs="Calibri"/>
          <w:sz w:val="24"/>
          <w:szCs w:val="24"/>
        </w:rPr>
        <w:t>Pro využívání další formy centralizovaného zadávání, centrální nákup státu</w:t>
      </w:r>
      <w:r w:rsidR="00372D35">
        <w:rPr>
          <w:rFonts w:ascii="Calibri" w:hAnsi="Calibri" w:cs="Calibri"/>
          <w:sz w:val="24"/>
          <w:szCs w:val="24"/>
        </w:rPr>
        <w:t>,</w:t>
      </w:r>
      <w:r w:rsidRPr="007A2B5B">
        <w:rPr>
          <w:rFonts w:ascii="Calibri" w:hAnsi="Calibri" w:cs="Calibri"/>
          <w:sz w:val="24"/>
          <w:szCs w:val="24"/>
        </w:rPr>
        <w:t xml:space="preserve"> mělo </w:t>
      </w:r>
      <w:proofErr w:type="spellStart"/>
      <w:r w:rsidRPr="007A2B5B">
        <w:rPr>
          <w:rFonts w:ascii="Calibri" w:hAnsi="Calibri" w:cs="Calibri"/>
          <w:sz w:val="24"/>
          <w:szCs w:val="24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</w:rPr>
        <w:t xml:space="preserve"> vytvořen nezbytný předpoklad v podobě smlouvy o centralizovaném zadávání uzavřené mezi Ministerstvem financí, </w:t>
      </w:r>
      <w:proofErr w:type="spellStart"/>
      <w:r w:rsidRPr="007A2B5B">
        <w:rPr>
          <w:rFonts w:ascii="Calibri" w:hAnsi="Calibri" w:cs="Calibri"/>
          <w:sz w:val="24"/>
          <w:szCs w:val="24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</w:rPr>
        <w:t xml:space="preserve"> a organizacemi v jeho resortu. </w:t>
      </w:r>
    </w:p>
    <w:p w14:paraId="61BB6CF5" w14:textId="77777777" w:rsidR="007A2B5B" w:rsidRPr="007A2B5B" w:rsidRDefault="007A2B5B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E4FD169" w14:textId="77777777" w:rsidR="003330BE" w:rsidRPr="007A2B5B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2B5B">
        <w:rPr>
          <w:rFonts w:ascii="Calibri" w:hAnsi="Calibri" w:cs="Calibri"/>
          <w:sz w:val="24"/>
          <w:szCs w:val="24"/>
        </w:rPr>
        <w:t xml:space="preserve">Problematice zefektivnění nákupů ZÚ se </w:t>
      </w:r>
      <w:proofErr w:type="spellStart"/>
      <w:r w:rsidRPr="007A2B5B">
        <w:rPr>
          <w:rFonts w:ascii="Calibri" w:hAnsi="Calibri" w:cs="Calibri"/>
          <w:sz w:val="24"/>
          <w:szCs w:val="24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</w:rPr>
        <w:t xml:space="preserve"> plánovalo věnovat v průběhu roku 2020. Ke dni ukončení kontroly NKÚ nebyl proces přípravy nástrojů pro podporu nákupů ZÚ z důvodu mimořádných úkolů příslušných útvarů v souvislosti s epidemickou situací COVID-19 ukončen.</w:t>
      </w:r>
    </w:p>
    <w:p w14:paraId="0721A441" w14:textId="77777777" w:rsidR="003330BE" w:rsidRPr="007A2B5B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A715E0" w14:textId="2C56E5E5" w:rsidR="003330BE" w:rsidRPr="007A2B5B" w:rsidRDefault="003330BE" w:rsidP="008B4DB9">
      <w:pPr>
        <w:keepNext/>
        <w:spacing w:after="0" w:line="240" w:lineRule="auto"/>
        <w:ind w:left="369" w:hanging="369"/>
        <w:jc w:val="both"/>
        <w:rPr>
          <w:rFonts w:ascii="Calibri" w:hAnsi="Calibri" w:cs="Calibri"/>
          <w:b/>
          <w:sz w:val="24"/>
          <w:szCs w:val="24"/>
        </w:rPr>
      </w:pPr>
      <w:r w:rsidRPr="007A2B5B">
        <w:rPr>
          <w:rFonts w:ascii="Calibri" w:hAnsi="Calibri" w:cs="Calibri"/>
          <w:b/>
          <w:sz w:val="24"/>
          <w:szCs w:val="24"/>
        </w:rPr>
        <w:lastRenderedPageBreak/>
        <w:t>1.6</w:t>
      </w:r>
      <w:r w:rsidRPr="007A2B5B">
        <w:rPr>
          <w:rFonts w:ascii="Calibri" w:hAnsi="Calibri" w:cs="Calibri"/>
          <w:b/>
          <w:sz w:val="24"/>
          <w:szCs w:val="24"/>
        </w:rPr>
        <w:tab/>
        <w:t>Kontrolní činnost Ministerstva zdravotnictví ve vztahu ke zdravotním ústavům</w:t>
      </w:r>
    </w:p>
    <w:p w14:paraId="14FEF810" w14:textId="77777777" w:rsidR="007A2B5B" w:rsidRDefault="007A2B5B" w:rsidP="00284A86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7F2E72" w14:textId="4BC9A881" w:rsidR="003330BE" w:rsidRPr="007A2B5B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2B5B">
        <w:rPr>
          <w:rFonts w:ascii="Calibri" w:hAnsi="Calibri" w:cs="Calibri"/>
          <w:sz w:val="24"/>
          <w:szCs w:val="24"/>
        </w:rPr>
        <w:t>Finanční kontrola je dle zákona o finanční kontrole součástí systému finančního řízení zabezpečující</w:t>
      </w:r>
      <w:r w:rsidR="00372D35">
        <w:rPr>
          <w:rFonts w:ascii="Calibri" w:hAnsi="Calibri" w:cs="Calibri"/>
          <w:sz w:val="24"/>
          <w:szCs w:val="24"/>
        </w:rPr>
        <w:t>ho</w:t>
      </w:r>
      <w:r w:rsidRPr="007A2B5B">
        <w:rPr>
          <w:rFonts w:ascii="Calibri" w:hAnsi="Calibri" w:cs="Calibri"/>
          <w:sz w:val="24"/>
          <w:szCs w:val="24"/>
        </w:rPr>
        <w:t xml:space="preserve"> hospodaření s veřejnými prostředky. </w:t>
      </w:r>
      <w:proofErr w:type="spellStart"/>
      <w:r w:rsidRPr="007A2B5B">
        <w:rPr>
          <w:rFonts w:ascii="Calibri" w:hAnsi="Calibri" w:cs="Calibri"/>
          <w:sz w:val="24"/>
          <w:szCs w:val="24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</w:rPr>
        <w:t xml:space="preserve"> provedlo od doby restrukturalizace sítě zdravotních ústavů (tj. od 1. 6. 2012) pouze jednu veřejnosprávní kontrolu, a to u ZÚ v Ostravě, kde zjistilo závažné nedostatky týkající se neúčelného, nehospodárného a neefektivního vynakládání peněžních prostředků státu a uložilo provést opatření k odstranění zjištěných nedostatků. Kontrolu plnění těchto opatření </w:t>
      </w:r>
      <w:proofErr w:type="spellStart"/>
      <w:r w:rsidRPr="007A2B5B">
        <w:rPr>
          <w:rFonts w:ascii="Calibri" w:hAnsi="Calibri" w:cs="Calibri"/>
          <w:sz w:val="24"/>
          <w:szCs w:val="24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</w:rPr>
        <w:t xml:space="preserve"> neprovedlo. V návaznosti na nedostatky zjištěné </w:t>
      </w:r>
      <w:proofErr w:type="gramStart"/>
      <w:r w:rsidRPr="007A2B5B">
        <w:rPr>
          <w:rFonts w:ascii="Calibri" w:hAnsi="Calibri" w:cs="Calibri"/>
          <w:sz w:val="24"/>
          <w:szCs w:val="24"/>
        </w:rPr>
        <w:t>kontrolou u ZÚ</w:t>
      </w:r>
      <w:proofErr w:type="gramEnd"/>
      <w:r w:rsidRPr="007A2B5B">
        <w:rPr>
          <w:rFonts w:ascii="Calibri" w:hAnsi="Calibri" w:cs="Calibri"/>
          <w:sz w:val="24"/>
          <w:szCs w:val="24"/>
        </w:rPr>
        <w:t xml:space="preserve"> v Ostravě nepřijalo opatření, případně nezpracovalo pokyn pro jím přímo řízené organizace ke zjištěným rizikovým oblastem. První veřejnosprávní kontrolu u ZÚ v Ústí n. L. zahájilo </w:t>
      </w:r>
      <w:proofErr w:type="spellStart"/>
      <w:r w:rsidRPr="007A2B5B">
        <w:rPr>
          <w:rFonts w:ascii="Calibri" w:hAnsi="Calibri" w:cs="Calibri"/>
          <w:sz w:val="24"/>
          <w:szCs w:val="24"/>
        </w:rPr>
        <w:t>MZd</w:t>
      </w:r>
      <w:proofErr w:type="spellEnd"/>
      <w:r w:rsidRPr="007A2B5B">
        <w:rPr>
          <w:rFonts w:ascii="Calibri" w:hAnsi="Calibri" w:cs="Calibri"/>
          <w:sz w:val="24"/>
          <w:szCs w:val="24"/>
        </w:rPr>
        <w:t xml:space="preserve"> dle svého sdělení v říjnu 2020.</w:t>
      </w:r>
    </w:p>
    <w:p w14:paraId="6E257A77" w14:textId="77777777" w:rsidR="003330BE" w:rsidRPr="007A2B5B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D82A22" w14:textId="12523163" w:rsidR="003330BE" w:rsidRPr="007A2B5B" w:rsidRDefault="003330BE" w:rsidP="008B4DB9">
      <w:pPr>
        <w:keepNext/>
        <w:spacing w:after="0" w:line="240" w:lineRule="auto"/>
        <w:ind w:left="369" w:hanging="369"/>
        <w:jc w:val="both"/>
        <w:rPr>
          <w:rFonts w:ascii="Calibri" w:hAnsi="Calibri" w:cs="Calibri"/>
          <w:b/>
          <w:sz w:val="24"/>
          <w:szCs w:val="24"/>
          <w:lang w:eastAsia="hi-IN" w:bidi="hi-IN"/>
        </w:rPr>
      </w:pPr>
      <w:r w:rsidRPr="007A2B5B">
        <w:rPr>
          <w:rFonts w:ascii="Calibri" w:hAnsi="Calibri" w:cs="Calibri"/>
          <w:b/>
          <w:sz w:val="24"/>
          <w:szCs w:val="24"/>
          <w:lang w:eastAsia="hi-IN" w:bidi="hi-IN"/>
        </w:rPr>
        <w:t>2</w:t>
      </w:r>
      <w:r w:rsidR="00372D35">
        <w:rPr>
          <w:rFonts w:ascii="Calibri" w:hAnsi="Calibri" w:cs="Calibri"/>
          <w:b/>
          <w:sz w:val="24"/>
          <w:szCs w:val="24"/>
          <w:lang w:eastAsia="hi-IN" w:bidi="hi-IN"/>
        </w:rPr>
        <w:t>.</w:t>
      </w:r>
      <w:r w:rsidR="008B4DB9">
        <w:rPr>
          <w:rFonts w:ascii="Calibri" w:hAnsi="Calibri" w:cs="Calibri"/>
          <w:b/>
          <w:sz w:val="24"/>
          <w:szCs w:val="24"/>
          <w:lang w:eastAsia="hi-IN" w:bidi="hi-IN"/>
        </w:rPr>
        <w:t xml:space="preserve"> </w:t>
      </w:r>
      <w:r w:rsidRPr="007A2B5B">
        <w:rPr>
          <w:rFonts w:ascii="Calibri" w:hAnsi="Calibri" w:cs="Calibri"/>
          <w:b/>
          <w:sz w:val="24"/>
          <w:szCs w:val="24"/>
          <w:lang w:eastAsia="hi-IN" w:bidi="hi-IN"/>
        </w:rPr>
        <w:t>Výsledky hospodaření zdravotních ústavů</w:t>
      </w:r>
    </w:p>
    <w:p w14:paraId="35D51A6B" w14:textId="77777777" w:rsidR="00284A86" w:rsidRDefault="00284A86" w:rsidP="00284A86">
      <w:pPr>
        <w:keepNext/>
        <w:tabs>
          <w:tab w:val="left" w:pos="709"/>
        </w:tabs>
        <w:spacing w:after="0" w:line="240" w:lineRule="auto"/>
        <w:ind w:left="709" w:hanging="709"/>
        <w:jc w:val="both"/>
        <w:rPr>
          <w:rFonts w:ascii="Calibri" w:hAnsi="Calibri" w:cs="Calibri"/>
          <w:b/>
          <w:sz w:val="24"/>
          <w:szCs w:val="24"/>
          <w:lang w:eastAsia="hi-IN" w:bidi="hi-IN"/>
        </w:rPr>
      </w:pPr>
    </w:p>
    <w:p w14:paraId="4B6339F6" w14:textId="763D523E" w:rsidR="003330BE" w:rsidRPr="007A2B5B" w:rsidRDefault="003330BE" w:rsidP="008B4DB9">
      <w:pPr>
        <w:keepNext/>
        <w:spacing w:after="0" w:line="240" w:lineRule="auto"/>
        <w:ind w:left="369" w:hanging="369"/>
        <w:jc w:val="both"/>
        <w:rPr>
          <w:rFonts w:ascii="Calibri" w:hAnsi="Calibri" w:cs="Calibri"/>
          <w:b/>
          <w:sz w:val="24"/>
          <w:szCs w:val="24"/>
          <w:lang w:eastAsia="hi-IN" w:bidi="hi-IN"/>
        </w:rPr>
      </w:pPr>
      <w:r w:rsidRPr="007A2B5B">
        <w:rPr>
          <w:rFonts w:ascii="Calibri" w:hAnsi="Calibri" w:cs="Calibri"/>
          <w:b/>
          <w:sz w:val="24"/>
          <w:szCs w:val="24"/>
          <w:lang w:eastAsia="hi-IN" w:bidi="hi-IN"/>
        </w:rPr>
        <w:t>2.1</w:t>
      </w:r>
      <w:r w:rsidRPr="007A2B5B">
        <w:rPr>
          <w:rFonts w:ascii="Calibri" w:hAnsi="Calibri" w:cs="Calibri"/>
          <w:b/>
          <w:sz w:val="24"/>
          <w:szCs w:val="24"/>
          <w:lang w:eastAsia="hi-IN" w:bidi="hi-IN"/>
        </w:rPr>
        <w:tab/>
        <w:t>Hospodaření zdravotních ústavů skončilo v letech 2017, 2018 a 2019 ztrátou; skutečná výše nákladů a výnosů zdravotních ústavů neodpovídala jejich rozpočtované výši</w:t>
      </w:r>
    </w:p>
    <w:p w14:paraId="38B369F6" w14:textId="77777777" w:rsidR="00284A86" w:rsidRDefault="00284A86" w:rsidP="00284A86">
      <w:pPr>
        <w:keepNext/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55F4C2CE" w14:textId="298905F7" w:rsidR="003330BE" w:rsidRPr="007A2B5B" w:rsidRDefault="003330BE" w:rsidP="007A2B5B">
      <w:p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A2B5B">
        <w:rPr>
          <w:rFonts w:ascii="Calibri" w:hAnsi="Calibri" w:cs="Calibri"/>
          <w:sz w:val="24"/>
          <w:szCs w:val="24"/>
          <w:lang w:eastAsia="hi-IN" w:bidi="hi-IN"/>
        </w:rPr>
        <w:t xml:space="preserve">Hospodaření ZÚ za roky 2017, 2018 a 2019 skončilo po zahrnutí příspěvku na provoz ztrátou. Údaje o celkových nákladech, výnosech, výsledku hospodaření a zřizovatelem poskytnutém příspěvku na provoz ZÚ v letech 2017 až 2019 jsou uvedeny v tabulce č. 4. </w:t>
      </w:r>
    </w:p>
    <w:p w14:paraId="29E23AC5" w14:textId="77777777" w:rsidR="003330BE" w:rsidRPr="007A2B5B" w:rsidRDefault="003330BE" w:rsidP="007A2B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F55A8D" w14:textId="08B6AEDF" w:rsidR="003330BE" w:rsidRPr="007A2B5B" w:rsidRDefault="003330BE" w:rsidP="00372D35">
      <w:pPr>
        <w:keepNext/>
        <w:keepLines/>
        <w:tabs>
          <w:tab w:val="right" w:pos="9072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A2B5B">
        <w:rPr>
          <w:rFonts w:ascii="Calibri" w:hAnsi="Calibri" w:cs="Calibri"/>
          <w:b/>
          <w:sz w:val="24"/>
          <w:szCs w:val="24"/>
        </w:rPr>
        <w:t>Tabulka č. 4:</w:t>
      </w:r>
      <w:r w:rsidR="008B4DB9">
        <w:rPr>
          <w:rFonts w:ascii="Calibri" w:hAnsi="Calibri" w:cs="Calibri"/>
          <w:b/>
          <w:sz w:val="24"/>
          <w:szCs w:val="24"/>
        </w:rPr>
        <w:t xml:space="preserve"> </w:t>
      </w:r>
      <w:r w:rsidRPr="007A2B5B">
        <w:rPr>
          <w:rFonts w:ascii="Calibri" w:hAnsi="Calibri" w:cs="Calibri"/>
          <w:b/>
          <w:sz w:val="24"/>
          <w:szCs w:val="24"/>
        </w:rPr>
        <w:t xml:space="preserve">Celkové náklady a výnosy ZÚ za účetní období 2017 až 2019 </w:t>
      </w:r>
      <w:r w:rsidR="008B4DB9">
        <w:rPr>
          <w:rFonts w:ascii="Calibri" w:hAnsi="Calibri" w:cs="Calibri"/>
          <w:b/>
          <w:sz w:val="24"/>
          <w:szCs w:val="24"/>
        </w:rPr>
        <w:tab/>
      </w:r>
      <w:r w:rsidRPr="007A2B5B">
        <w:rPr>
          <w:rFonts w:ascii="Calibri" w:hAnsi="Calibri" w:cs="Calibri"/>
          <w:b/>
          <w:sz w:val="24"/>
          <w:szCs w:val="24"/>
        </w:rPr>
        <w:t>(v Kč)</w:t>
      </w:r>
    </w:p>
    <w:tbl>
      <w:tblPr>
        <w:tblW w:w="9079" w:type="dxa"/>
        <w:tblInd w:w="-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1"/>
        <w:gridCol w:w="1842"/>
        <w:gridCol w:w="1843"/>
        <w:gridCol w:w="1843"/>
      </w:tblGrid>
      <w:tr w:rsidR="003330BE" w:rsidRPr="008B4DB9" w14:paraId="28B89BD3" w14:textId="77777777" w:rsidTr="008B4DB9">
        <w:trPr>
          <w:trHeight w:val="255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9FBBE5" w14:textId="77777777" w:rsidR="003330BE" w:rsidRPr="008B4DB9" w:rsidRDefault="003330BE" w:rsidP="00372D35">
            <w:pPr>
              <w:keepNext/>
              <w:keepLines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B4DB9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3F836E1" w14:textId="77777777" w:rsidR="003330BE" w:rsidRPr="008B4DB9" w:rsidRDefault="003330BE" w:rsidP="00372D35">
            <w:pPr>
              <w:keepNext/>
              <w:keepLines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4DB9">
              <w:rPr>
                <w:rFonts w:cstheme="minorHAnsi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45E24CB" w14:textId="77777777" w:rsidR="003330BE" w:rsidRPr="008B4DB9" w:rsidRDefault="003330BE" w:rsidP="00372D35">
            <w:pPr>
              <w:keepNext/>
              <w:keepLines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4DB9">
              <w:rPr>
                <w:rFonts w:cstheme="minorHAns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AB62510" w14:textId="77777777" w:rsidR="003330BE" w:rsidRPr="008B4DB9" w:rsidRDefault="003330BE" w:rsidP="00372D35">
            <w:pPr>
              <w:keepNext/>
              <w:keepLines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4DB9">
              <w:rPr>
                <w:rFonts w:cs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330BE" w:rsidRPr="008B4DB9" w14:paraId="78648D63" w14:textId="77777777" w:rsidTr="008B4DB9">
        <w:trPr>
          <w:trHeight w:val="255"/>
        </w:trPr>
        <w:tc>
          <w:tcPr>
            <w:tcW w:w="9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EAC4B" w14:textId="77777777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ZÚ v Ostravě</w:t>
            </w:r>
          </w:p>
        </w:tc>
      </w:tr>
      <w:tr w:rsidR="003330BE" w:rsidRPr="008B4DB9" w14:paraId="45AD0BE3" w14:textId="77777777" w:rsidTr="008B4DB9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10E7E" w14:textId="77777777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Náklady celkem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5D79C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462 861 558,33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D3B5D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489 981 079,08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B2165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488 984 197,85</w:t>
            </w:r>
          </w:p>
        </w:tc>
      </w:tr>
      <w:tr w:rsidR="003330BE" w:rsidRPr="008B4DB9" w14:paraId="520CDFFD" w14:textId="77777777" w:rsidTr="008B4DB9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E865" w14:textId="77777777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 xml:space="preserve">Výnosy celkem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937DF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446 938 287,33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11CF0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476 750 021,73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FDC23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478 262 774,43</w:t>
            </w:r>
          </w:p>
        </w:tc>
      </w:tr>
      <w:tr w:rsidR="003330BE" w:rsidRPr="008B4DB9" w14:paraId="0655EA20" w14:textId="77777777" w:rsidTr="008B4DB9">
        <w:trPr>
          <w:trHeight w:val="255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9CC5E" w14:textId="77777777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b/>
                <w:sz w:val="20"/>
                <w:szCs w:val="20"/>
              </w:rPr>
              <w:t xml:space="preserve">HV po zdanění </w:t>
            </w:r>
            <w:r w:rsidRPr="008B4DB9">
              <w:rPr>
                <w:rFonts w:cstheme="minorHAnsi"/>
                <w:sz w:val="20"/>
                <w:szCs w:val="20"/>
              </w:rPr>
              <w:t xml:space="preserve">(běžného účet. </w:t>
            </w:r>
            <w:proofErr w:type="gramStart"/>
            <w:r w:rsidRPr="008B4DB9">
              <w:rPr>
                <w:rFonts w:cstheme="minorHAnsi"/>
                <w:sz w:val="20"/>
                <w:szCs w:val="20"/>
              </w:rPr>
              <w:t>období</w:t>
            </w:r>
            <w:proofErr w:type="gramEnd"/>
            <w:r w:rsidRPr="008B4DB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1BB9" w14:textId="77777777" w:rsidR="003330BE" w:rsidRPr="008B4DB9" w:rsidRDefault="008B4DB9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b/>
                <w:sz w:val="20"/>
                <w:szCs w:val="20"/>
              </w:rPr>
              <w:t>−</w:t>
            </w:r>
            <w:r w:rsidR="003330BE" w:rsidRPr="008B4DB9">
              <w:rPr>
                <w:rFonts w:cstheme="minorHAnsi"/>
                <w:b/>
                <w:sz w:val="20"/>
                <w:szCs w:val="20"/>
              </w:rPr>
              <w:t>15 923 271,00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E5F6D" w14:textId="77777777" w:rsidR="003330BE" w:rsidRPr="008B4DB9" w:rsidRDefault="008B4DB9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b/>
                <w:sz w:val="20"/>
                <w:szCs w:val="20"/>
              </w:rPr>
              <w:t>−</w:t>
            </w:r>
            <w:r w:rsidR="003330BE" w:rsidRPr="008B4DB9">
              <w:rPr>
                <w:rFonts w:cstheme="minorHAnsi"/>
                <w:b/>
                <w:sz w:val="20"/>
                <w:szCs w:val="20"/>
              </w:rPr>
              <w:t>13 231 057,35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F9C8E" w14:textId="77777777" w:rsidR="003330BE" w:rsidRPr="008B4DB9" w:rsidRDefault="008B4DB9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b/>
                <w:sz w:val="20"/>
                <w:szCs w:val="20"/>
              </w:rPr>
              <w:t>−</w:t>
            </w:r>
            <w:r w:rsidR="003330BE" w:rsidRPr="008B4DB9">
              <w:rPr>
                <w:rFonts w:cstheme="minorHAnsi"/>
                <w:b/>
                <w:sz w:val="20"/>
                <w:szCs w:val="20"/>
              </w:rPr>
              <w:t>10 721 423,42</w:t>
            </w:r>
          </w:p>
        </w:tc>
      </w:tr>
      <w:tr w:rsidR="003330BE" w:rsidRPr="008B4DB9" w14:paraId="5BBB4815" w14:textId="77777777" w:rsidTr="008B4DB9">
        <w:trPr>
          <w:trHeight w:val="255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38EBD" w14:textId="77777777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Příspěvek na provoz od zřizovatele*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7BC95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48 950 000,00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A6463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44 280 000,00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A1603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34 055 433,00</w:t>
            </w:r>
          </w:p>
        </w:tc>
      </w:tr>
      <w:tr w:rsidR="003330BE" w:rsidRPr="008B4DB9" w14:paraId="51525FE5" w14:textId="77777777" w:rsidTr="008B4DB9">
        <w:trPr>
          <w:trHeight w:val="255"/>
        </w:trPr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C9230C" w14:textId="635F6831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b/>
                <w:sz w:val="20"/>
                <w:szCs w:val="20"/>
              </w:rPr>
              <w:t>ZÚ v Ústí n. L.</w:t>
            </w:r>
          </w:p>
        </w:tc>
      </w:tr>
      <w:tr w:rsidR="003330BE" w:rsidRPr="008B4DB9" w14:paraId="1D1919EE" w14:textId="77777777" w:rsidTr="008B4DB9">
        <w:trPr>
          <w:trHeight w:val="255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5BA8B" w14:textId="77777777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Náklady celkem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44FC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443 928 071,86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D2CE5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438 983 920,13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0339F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442 727 724,10</w:t>
            </w:r>
          </w:p>
        </w:tc>
      </w:tr>
      <w:tr w:rsidR="003330BE" w:rsidRPr="008B4DB9" w14:paraId="7CC9B4E1" w14:textId="77777777" w:rsidTr="008B4DB9">
        <w:trPr>
          <w:trHeight w:val="255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477A8" w14:textId="77777777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 xml:space="preserve">Výnosy celkem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F4AB7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433 780 818,38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20A6D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436 194 710,00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6B710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421 604 949,93</w:t>
            </w:r>
          </w:p>
        </w:tc>
      </w:tr>
      <w:tr w:rsidR="003330BE" w:rsidRPr="008B4DB9" w14:paraId="0A3C9605" w14:textId="77777777" w:rsidTr="008B4DB9">
        <w:trPr>
          <w:trHeight w:val="255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D144C" w14:textId="77777777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b/>
                <w:sz w:val="20"/>
                <w:szCs w:val="20"/>
              </w:rPr>
              <w:t xml:space="preserve">HV po zdanění </w:t>
            </w:r>
            <w:r w:rsidRPr="008B4DB9">
              <w:rPr>
                <w:rFonts w:cstheme="minorHAnsi"/>
                <w:sz w:val="20"/>
                <w:szCs w:val="20"/>
              </w:rPr>
              <w:t xml:space="preserve">(běžného účet. </w:t>
            </w:r>
            <w:proofErr w:type="gramStart"/>
            <w:r w:rsidRPr="008B4DB9">
              <w:rPr>
                <w:rFonts w:cstheme="minorHAnsi"/>
                <w:sz w:val="20"/>
                <w:szCs w:val="20"/>
              </w:rPr>
              <w:t>období</w:t>
            </w:r>
            <w:proofErr w:type="gramEnd"/>
            <w:r w:rsidRPr="008B4DB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08B7E" w14:textId="77777777" w:rsidR="003330BE" w:rsidRPr="008B4DB9" w:rsidRDefault="008B4DB9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b/>
                <w:sz w:val="20"/>
                <w:szCs w:val="20"/>
              </w:rPr>
              <w:t>−</w:t>
            </w:r>
            <w:r w:rsidR="003330BE" w:rsidRPr="008B4DB9">
              <w:rPr>
                <w:rFonts w:cstheme="minorHAnsi"/>
                <w:b/>
                <w:sz w:val="20"/>
                <w:szCs w:val="20"/>
              </w:rPr>
              <w:t>10 147 253,48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4191F" w14:textId="77777777" w:rsidR="003330BE" w:rsidRPr="008B4DB9" w:rsidRDefault="008B4DB9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b/>
                <w:sz w:val="20"/>
                <w:szCs w:val="20"/>
              </w:rPr>
              <w:t>−</w:t>
            </w:r>
            <w:r w:rsidR="003330BE" w:rsidRPr="008B4DB9">
              <w:rPr>
                <w:rFonts w:cstheme="minorHAnsi"/>
                <w:b/>
                <w:sz w:val="20"/>
                <w:szCs w:val="20"/>
              </w:rPr>
              <w:t>2 789 210,13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48483" w14:textId="77777777" w:rsidR="003330BE" w:rsidRPr="008B4DB9" w:rsidRDefault="008B4DB9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b/>
                <w:sz w:val="20"/>
                <w:szCs w:val="20"/>
              </w:rPr>
              <w:t>−</w:t>
            </w:r>
            <w:r w:rsidR="003330BE" w:rsidRPr="008B4DB9">
              <w:rPr>
                <w:rFonts w:cstheme="minorHAnsi"/>
                <w:b/>
                <w:sz w:val="20"/>
                <w:szCs w:val="20"/>
              </w:rPr>
              <w:t>21 122 774,17</w:t>
            </w:r>
          </w:p>
        </w:tc>
      </w:tr>
      <w:tr w:rsidR="003330BE" w:rsidRPr="008B4DB9" w14:paraId="16E22D66" w14:textId="77777777" w:rsidTr="008B4DB9">
        <w:trPr>
          <w:trHeight w:val="255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3FE2E" w14:textId="77777777" w:rsidR="003330BE" w:rsidRPr="008B4DB9" w:rsidRDefault="003330BE" w:rsidP="00372D35">
            <w:pPr>
              <w:keepNext/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Příspěvek na provoz od zřizovatele*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B05AD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59 550 000,00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584F4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32 460 000,00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A6CF1" w14:textId="77777777" w:rsidR="003330BE" w:rsidRPr="008B4DB9" w:rsidRDefault="003330BE" w:rsidP="00372D35">
            <w:pPr>
              <w:keepNext/>
              <w:keepLines/>
              <w:spacing w:after="0"/>
              <w:ind w:right="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B4DB9">
              <w:rPr>
                <w:rFonts w:cstheme="minorHAnsi"/>
                <w:sz w:val="20"/>
                <w:szCs w:val="20"/>
              </w:rPr>
              <w:t>35 060 900,00</w:t>
            </w:r>
          </w:p>
        </w:tc>
      </w:tr>
    </w:tbl>
    <w:p w14:paraId="7DF45F58" w14:textId="7183D5CB" w:rsidR="003330BE" w:rsidRPr="008B4DB9" w:rsidRDefault="003330BE" w:rsidP="00D36590">
      <w:pPr>
        <w:keepNext/>
        <w:keepLines/>
        <w:spacing w:before="40" w:after="0" w:line="240" w:lineRule="auto"/>
        <w:ind w:left="567" w:hanging="567"/>
        <w:rPr>
          <w:rFonts w:ascii="Calibri" w:hAnsi="Calibri" w:cs="Calibri"/>
          <w:sz w:val="20"/>
          <w:szCs w:val="20"/>
        </w:rPr>
      </w:pPr>
      <w:r w:rsidRPr="008B4DB9">
        <w:rPr>
          <w:rFonts w:ascii="Calibri" w:hAnsi="Calibri" w:cs="Calibri"/>
          <w:b/>
          <w:sz w:val="20"/>
          <w:szCs w:val="20"/>
        </w:rPr>
        <w:t>Zdroj:</w:t>
      </w:r>
      <w:r w:rsidRPr="008B4DB9">
        <w:rPr>
          <w:rFonts w:ascii="Calibri" w:hAnsi="Calibri" w:cs="Calibri"/>
          <w:sz w:val="20"/>
          <w:szCs w:val="20"/>
        </w:rPr>
        <w:tab/>
      </w:r>
      <w:r w:rsidR="00372D35">
        <w:rPr>
          <w:rFonts w:ascii="Calibri" w:hAnsi="Calibri" w:cs="Calibri"/>
          <w:sz w:val="20"/>
          <w:szCs w:val="20"/>
        </w:rPr>
        <w:t>v</w:t>
      </w:r>
      <w:r w:rsidRPr="008B4DB9">
        <w:rPr>
          <w:rFonts w:ascii="Calibri" w:hAnsi="Calibri" w:cs="Calibri"/>
          <w:sz w:val="20"/>
          <w:szCs w:val="20"/>
        </w:rPr>
        <w:t>ýkaz</w:t>
      </w:r>
      <w:r w:rsidR="00372D35">
        <w:rPr>
          <w:rFonts w:ascii="Calibri" w:hAnsi="Calibri" w:cs="Calibri"/>
          <w:sz w:val="20"/>
          <w:szCs w:val="20"/>
        </w:rPr>
        <w:t>y</w:t>
      </w:r>
      <w:r w:rsidRPr="008B4DB9">
        <w:rPr>
          <w:rFonts w:ascii="Calibri" w:hAnsi="Calibri" w:cs="Calibri"/>
          <w:sz w:val="20"/>
          <w:szCs w:val="20"/>
        </w:rPr>
        <w:t xml:space="preserve"> zisku a ztráty sestaven</w:t>
      </w:r>
      <w:r w:rsidR="00372D35">
        <w:rPr>
          <w:rFonts w:ascii="Calibri" w:hAnsi="Calibri" w:cs="Calibri"/>
          <w:sz w:val="20"/>
          <w:szCs w:val="20"/>
        </w:rPr>
        <w:t>é</w:t>
      </w:r>
      <w:r w:rsidRPr="008B4DB9">
        <w:rPr>
          <w:rFonts w:ascii="Calibri" w:hAnsi="Calibri" w:cs="Calibri"/>
          <w:sz w:val="20"/>
          <w:szCs w:val="20"/>
        </w:rPr>
        <w:t xml:space="preserve"> k 31. 12. 2017, 2018 a 2019; </w:t>
      </w:r>
      <w:r w:rsidR="00372D35">
        <w:rPr>
          <w:rFonts w:ascii="Calibri" w:hAnsi="Calibri" w:cs="Calibri"/>
          <w:sz w:val="20"/>
          <w:szCs w:val="20"/>
        </w:rPr>
        <w:t>r</w:t>
      </w:r>
      <w:r w:rsidRPr="008B4DB9">
        <w:rPr>
          <w:rFonts w:ascii="Calibri" w:hAnsi="Calibri" w:cs="Calibri"/>
          <w:sz w:val="20"/>
          <w:szCs w:val="20"/>
        </w:rPr>
        <w:t xml:space="preserve">ozbory hospodaření ZÚ; </w:t>
      </w:r>
      <w:r w:rsidR="00372D35">
        <w:rPr>
          <w:rFonts w:ascii="Calibri" w:hAnsi="Calibri" w:cs="Calibri"/>
          <w:sz w:val="20"/>
          <w:szCs w:val="20"/>
        </w:rPr>
        <w:t>r</w:t>
      </w:r>
      <w:r w:rsidRPr="008B4DB9">
        <w:rPr>
          <w:rFonts w:ascii="Calibri" w:hAnsi="Calibri" w:cs="Calibri"/>
          <w:sz w:val="20"/>
          <w:szCs w:val="20"/>
        </w:rPr>
        <w:t>oční zprávy ZÚ.</w:t>
      </w:r>
    </w:p>
    <w:p w14:paraId="22FAA323" w14:textId="69ADC09F" w:rsidR="00D20484" w:rsidRDefault="00D36590" w:rsidP="00D36590">
      <w:pPr>
        <w:keepNext/>
        <w:keepLines/>
        <w:spacing w:after="0" w:line="240" w:lineRule="auto"/>
        <w:ind w:left="567" w:hanging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Vysvětlivka</w:t>
      </w:r>
      <w:r w:rsidR="003330BE" w:rsidRPr="008B4DB9">
        <w:rPr>
          <w:rFonts w:ascii="Calibri" w:hAnsi="Calibri" w:cs="Calibri"/>
          <w:b/>
          <w:sz w:val="20"/>
          <w:szCs w:val="20"/>
        </w:rPr>
        <w:t>:</w:t>
      </w:r>
    </w:p>
    <w:p w14:paraId="04514C69" w14:textId="4DB5D921" w:rsidR="003330BE" w:rsidRPr="008B4DB9" w:rsidDel="00372D35" w:rsidRDefault="003330BE" w:rsidP="00D36590">
      <w:pPr>
        <w:keepNext/>
        <w:keepLines/>
        <w:spacing w:after="0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8B4DB9" w:rsidDel="00372D35">
        <w:rPr>
          <w:rFonts w:ascii="Calibri" w:hAnsi="Calibri" w:cs="Calibri"/>
          <w:sz w:val="20"/>
          <w:szCs w:val="20"/>
        </w:rPr>
        <w:t>* Údaj o skutečné výši příspěvku na provoz poskytnutého zřizovatelem. Poskytnutý příspěvek na provoz je součástí výnosů.</w:t>
      </w:r>
    </w:p>
    <w:p w14:paraId="3DED11B1" w14:textId="77777777" w:rsidR="003330BE" w:rsidRPr="00D20484" w:rsidRDefault="003330BE" w:rsidP="00D2048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CC79F5" w14:textId="6BAC2375" w:rsidR="003330BE" w:rsidRDefault="003330BE" w:rsidP="00D20484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ZÚ sestavily na roky 2017 až 2019 vyrovnané rozpočty. ZÚ každoročně zadávaly výkazy o rozpočtu nákladů a výnosů do </w:t>
      </w:r>
      <w:r w:rsidRPr="004B540C">
        <w:rPr>
          <w:rFonts w:ascii="Calibri" w:hAnsi="Calibri" w:cs="Calibri"/>
          <w:i/>
          <w:sz w:val="24"/>
          <w:szCs w:val="24"/>
          <w:lang w:eastAsia="hi-IN" w:bidi="hi-IN"/>
        </w:rPr>
        <w:t>Centrálního systému účetních informací státu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, přičemž dle pokynů </w:t>
      </w:r>
      <w:proofErr w:type="spellStart"/>
      <w:r w:rsidRPr="00D20484">
        <w:rPr>
          <w:rFonts w:ascii="Calibri" w:hAnsi="Calibri" w:cs="Calibri"/>
          <w:sz w:val="24"/>
          <w:szCs w:val="24"/>
          <w:lang w:eastAsia="hi-IN" w:bidi="hi-IN"/>
        </w:rPr>
        <w:t>MZd</w:t>
      </w:r>
      <w:proofErr w:type="spellEnd"/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 neměly ZÚ vyplňovat hodnotu k položce „</w:t>
      </w:r>
      <w:r w:rsidR="00372D35">
        <w:rPr>
          <w:rFonts w:ascii="Calibri" w:hAnsi="Calibri" w:cs="Calibri"/>
          <w:sz w:val="24"/>
          <w:szCs w:val="24"/>
          <w:lang w:eastAsia="hi-IN" w:bidi="hi-IN"/>
        </w:rPr>
        <w:t>p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>říspěvek na provoz od zřizovatele“. Také ve schválených rozpočtech ZÚ měla rozpočtová položka „</w:t>
      </w:r>
      <w:r w:rsidR="00372D35">
        <w:rPr>
          <w:rFonts w:ascii="Calibri" w:hAnsi="Calibri" w:cs="Calibri"/>
          <w:sz w:val="24"/>
          <w:szCs w:val="24"/>
          <w:lang w:eastAsia="hi-IN" w:bidi="hi-IN"/>
        </w:rPr>
        <w:t>p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>říspěvek na provoz od zřizovatele“ vždy nulovou hodnotu. To mělo také vliv na skutečnost, že skutečná výše nákladů a výnosů ZÚ v průběhu let 2017 až 2019 neodpovídala jejich rozpočtované výši.</w:t>
      </w:r>
    </w:p>
    <w:p w14:paraId="1456A562" w14:textId="77777777" w:rsidR="00372D35" w:rsidRPr="00D20484" w:rsidRDefault="00372D35" w:rsidP="00D20484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216F90DC" w14:textId="4A5FD0E8" w:rsidR="003330BE" w:rsidRDefault="003330BE" w:rsidP="00D20484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D20484">
        <w:rPr>
          <w:rFonts w:ascii="Calibri" w:hAnsi="Calibri" w:cs="Calibri"/>
          <w:sz w:val="24"/>
          <w:szCs w:val="24"/>
          <w:lang w:eastAsia="hi-IN" w:bidi="hi-IN"/>
        </w:rPr>
        <w:t>Přestože ZÚ učinily řadu dílčích opatření, které měly snížit riziko zhoršeného hospodářského výsledku, k zajištění vyrovnání hospodářského výsledku ve skutečnosti nedošlo.</w:t>
      </w:r>
    </w:p>
    <w:p w14:paraId="58DE2ABF" w14:textId="77777777" w:rsidR="004B540C" w:rsidRDefault="004B540C" w:rsidP="00D20484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50150E21" w14:textId="77777777" w:rsidR="003330BE" w:rsidRPr="00D20484" w:rsidRDefault="003330BE" w:rsidP="00A06447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0484">
        <w:rPr>
          <w:rFonts w:ascii="Calibri" w:hAnsi="Calibri" w:cs="Calibri"/>
          <w:sz w:val="24"/>
          <w:szCs w:val="24"/>
        </w:rPr>
        <w:lastRenderedPageBreak/>
        <w:t>Zásadní vliv na výsledek hospodaření zdravotních ústavů měly tyto faktory:</w:t>
      </w:r>
    </w:p>
    <w:p w14:paraId="52CBE965" w14:textId="78C46A36" w:rsidR="003330BE" w:rsidRPr="00D20484" w:rsidRDefault="003330BE" w:rsidP="00372D35">
      <w:pPr>
        <w:pStyle w:val="Odstavecseseznamem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20484">
        <w:rPr>
          <w:rFonts w:ascii="Calibri" w:hAnsi="Calibri" w:cs="Calibri"/>
          <w:b/>
          <w:sz w:val="24"/>
          <w:szCs w:val="24"/>
        </w:rPr>
        <w:t>růst osobních nákladů</w:t>
      </w:r>
      <w:r w:rsidRPr="00D20484">
        <w:rPr>
          <w:rFonts w:ascii="Calibri" w:hAnsi="Calibri" w:cs="Calibri"/>
          <w:sz w:val="24"/>
          <w:szCs w:val="24"/>
        </w:rPr>
        <w:t xml:space="preserve"> vyvolaný legislativní úpravou platových tarifů, přičemž u laboratorní činnosti toto zvýšení platových tarifů nebylo kompenzováno zvýšením úhrad za zdravotní služby,</w:t>
      </w:r>
    </w:p>
    <w:p w14:paraId="73C5A69F" w14:textId="222B8C7C" w:rsidR="003330BE" w:rsidRPr="00D20484" w:rsidRDefault="003330BE" w:rsidP="00372D35">
      <w:pPr>
        <w:pStyle w:val="Odstavecseseznamem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20484">
        <w:rPr>
          <w:rFonts w:ascii="Calibri" w:hAnsi="Calibri" w:cs="Calibri"/>
          <w:b/>
          <w:sz w:val="24"/>
          <w:szCs w:val="24"/>
        </w:rPr>
        <w:t>systém úhrady zdravotních služeb</w:t>
      </w:r>
      <w:r w:rsidRPr="00D20484">
        <w:rPr>
          <w:rFonts w:ascii="Calibri" w:hAnsi="Calibri" w:cs="Calibri"/>
          <w:sz w:val="24"/>
          <w:szCs w:val="24"/>
        </w:rPr>
        <w:t xml:space="preserve"> poskytovaných zdravotními ústavy, které jsou hrazeny podle</w:t>
      </w:r>
      <w:r w:rsidR="0092424B">
        <w:rPr>
          <w:rFonts w:ascii="Calibri" w:hAnsi="Calibri" w:cs="Calibri"/>
          <w:sz w:val="24"/>
          <w:szCs w:val="24"/>
        </w:rPr>
        <w:t xml:space="preserve"> p</w:t>
      </w:r>
      <w:r w:rsidRPr="00D20484">
        <w:rPr>
          <w:rFonts w:ascii="Calibri" w:hAnsi="Calibri" w:cs="Calibri"/>
          <w:sz w:val="24"/>
          <w:szCs w:val="24"/>
        </w:rPr>
        <w:t>řílohy č. 5 úhradové vyhlášky,</w:t>
      </w:r>
    </w:p>
    <w:p w14:paraId="0096274A" w14:textId="77777777" w:rsidR="003330BE" w:rsidRPr="00D20484" w:rsidRDefault="003330BE" w:rsidP="00372D35">
      <w:pPr>
        <w:pStyle w:val="Odstavecseseznamem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20484">
        <w:rPr>
          <w:rFonts w:ascii="Calibri" w:hAnsi="Calibri" w:cs="Calibri"/>
          <w:b/>
          <w:sz w:val="24"/>
          <w:szCs w:val="24"/>
        </w:rPr>
        <w:t xml:space="preserve">snížení výnosů ze služeb pro potřeby </w:t>
      </w:r>
      <w:r w:rsidRPr="00D20484">
        <w:rPr>
          <w:rFonts w:ascii="Calibri" w:eastAsia="Calibri" w:hAnsi="Calibri" w:cs="Calibri"/>
          <w:b/>
          <w:color w:val="000000"/>
          <w:sz w:val="24"/>
          <w:szCs w:val="24"/>
        </w:rPr>
        <w:t>státního zdravotního dozoru</w:t>
      </w:r>
      <w:r w:rsidRPr="00D20484">
        <w:rPr>
          <w:rFonts w:ascii="Calibri" w:eastAsia="Calibri" w:hAnsi="Calibri" w:cs="Calibri"/>
          <w:color w:val="000000"/>
          <w:sz w:val="24"/>
          <w:szCs w:val="24"/>
        </w:rPr>
        <w:t xml:space="preserve"> (dále také</w:t>
      </w:r>
      <w:r w:rsidRPr="00D20484">
        <w:rPr>
          <w:rFonts w:ascii="Calibri" w:hAnsi="Calibri" w:cs="Calibri"/>
          <w:sz w:val="24"/>
          <w:szCs w:val="24"/>
        </w:rPr>
        <w:t xml:space="preserve"> „SZD“) poskytovaných 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>krajským hygienickým stanicím (dále také „KHS“)</w:t>
      </w:r>
      <w:r w:rsidRPr="00D20484">
        <w:rPr>
          <w:rFonts w:ascii="Calibri" w:hAnsi="Calibri" w:cs="Calibri"/>
          <w:sz w:val="24"/>
          <w:szCs w:val="24"/>
        </w:rPr>
        <w:t xml:space="preserve"> o hodnotu DPH odvedenou zpět do státního rozpočtu v souvislosti s přesunem prostředků na realizaci SZD do rozpočtu KHS,</w:t>
      </w:r>
    </w:p>
    <w:p w14:paraId="1B6DE95F" w14:textId="77777777" w:rsidR="003330BE" w:rsidRPr="00D20484" w:rsidRDefault="003330BE" w:rsidP="00372D35">
      <w:pPr>
        <w:pStyle w:val="Odstavecseseznamem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20484">
        <w:rPr>
          <w:rFonts w:ascii="Calibri" w:hAnsi="Calibri" w:cs="Calibri"/>
          <w:b/>
          <w:sz w:val="24"/>
          <w:szCs w:val="24"/>
        </w:rPr>
        <w:t xml:space="preserve">klesající výše poskytnutého příspěvku na provoz </w:t>
      </w:r>
      <w:r w:rsidRPr="00D20484">
        <w:rPr>
          <w:rFonts w:ascii="Calibri" w:hAnsi="Calibri" w:cs="Calibri"/>
          <w:sz w:val="24"/>
          <w:szCs w:val="24"/>
        </w:rPr>
        <w:t xml:space="preserve">od zřizovatele, tedy od </w:t>
      </w:r>
      <w:proofErr w:type="spellStart"/>
      <w:r w:rsidRPr="00D20484">
        <w:rPr>
          <w:rFonts w:ascii="Calibri" w:hAnsi="Calibri" w:cs="Calibri"/>
          <w:sz w:val="24"/>
          <w:szCs w:val="24"/>
        </w:rPr>
        <w:t>MZd</w:t>
      </w:r>
      <w:proofErr w:type="spellEnd"/>
      <w:r w:rsidRPr="00D20484">
        <w:rPr>
          <w:rFonts w:ascii="Calibri" w:hAnsi="Calibri" w:cs="Calibri"/>
          <w:sz w:val="24"/>
          <w:szCs w:val="24"/>
        </w:rPr>
        <w:t>.</w:t>
      </w:r>
    </w:p>
    <w:p w14:paraId="629EB0C9" w14:textId="77777777" w:rsidR="003330BE" w:rsidRPr="00D20484" w:rsidRDefault="003330BE" w:rsidP="00D20484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7CF0FB1A" w14:textId="7BB9360D" w:rsidR="003330BE" w:rsidRPr="00D20484" w:rsidRDefault="003330BE" w:rsidP="0092424B">
      <w:pPr>
        <w:keepNext/>
        <w:tabs>
          <w:tab w:val="left" w:pos="709"/>
        </w:tabs>
        <w:spacing w:after="0" w:line="240" w:lineRule="auto"/>
        <w:ind w:left="709" w:hanging="709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t>2.2</w:t>
      </w: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tab/>
      </w:r>
      <w:r w:rsidRPr="00D20484">
        <w:rPr>
          <w:rFonts w:ascii="Calibri" w:hAnsi="Calibri" w:cs="Calibri"/>
          <w:b/>
          <w:sz w:val="24"/>
          <w:szCs w:val="24"/>
        </w:rPr>
        <w:t xml:space="preserve">Příčinou zhoršeného hospodářského výsledku zdravotních ústavů na straně nákladů byl růst mzdových nákladů, způsobený každoročním navyšováním platových tarifů podle nařízení vlády </w:t>
      </w:r>
    </w:p>
    <w:p w14:paraId="051366A8" w14:textId="77777777" w:rsidR="0092424B" w:rsidRDefault="0092424B" w:rsidP="0092424B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3DE0224" w14:textId="0B5B9C18" w:rsidR="003330BE" w:rsidRDefault="003330BE" w:rsidP="00D2048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0484">
        <w:rPr>
          <w:rFonts w:ascii="Calibri" w:hAnsi="Calibri" w:cs="Calibri"/>
          <w:sz w:val="24"/>
          <w:szCs w:val="24"/>
        </w:rPr>
        <w:t>Mzdové a s tím související náklady činily více než 50 % celkových nákladů ZÚ. V letech 2017 až 2019 tyto náklady ZÚ rostly. Příčinou růstu bylo každoroční zvyšování platových tarifů zaměstnanců</w:t>
      </w:r>
      <w:r w:rsidR="0092424B">
        <w:rPr>
          <w:rFonts w:ascii="Calibri" w:hAnsi="Calibri" w:cs="Calibri"/>
          <w:sz w:val="24"/>
          <w:szCs w:val="24"/>
        </w:rPr>
        <w:t>m</w:t>
      </w:r>
      <w:r w:rsidRPr="00D20484">
        <w:rPr>
          <w:rFonts w:ascii="Calibri" w:hAnsi="Calibri" w:cs="Calibri"/>
          <w:sz w:val="24"/>
          <w:szCs w:val="24"/>
        </w:rPr>
        <w:t xml:space="preserve"> ZÚ, ke kterým docházelo na základě nařízení vlády v oblasti odměňování zaměstnanců ve veřejných službách a správě a státních zaměstnanců</w:t>
      </w:r>
      <w:r w:rsidRPr="00D20484">
        <w:rPr>
          <w:rStyle w:val="Znakapoznpodarou"/>
          <w:rFonts w:ascii="Calibri" w:eastAsia="Calibri" w:hAnsi="Calibri" w:cs="Calibri"/>
          <w:iCs/>
          <w:sz w:val="24"/>
          <w:szCs w:val="24"/>
        </w:rPr>
        <w:footnoteReference w:id="48"/>
      </w:r>
      <w:r w:rsidRPr="00D20484">
        <w:rPr>
          <w:rFonts w:ascii="Calibri" w:hAnsi="Calibri" w:cs="Calibri"/>
          <w:sz w:val="24"/>
          <w:szCs w:val="24"/>
        </w:rPr>
        <w:t>. Navyšování tarifních platů nebylo zdravotním ústavům kompenzováno zvýšenými úhradami za zdravotní služby ani navýšením příspěvku na provoz.</w:t>
      </w:r>
    </w:p>
    <w:p w14:paraId="61B8F103" w14:textId="77777777" w:rsidR="0092424B" w:rsidRPr="00D20484" w:rsidRDefault="0092424B" w:rsidP="00D2048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704F5EC" w14:textId="712A1D79" w:rsidR="003330BE" w:rsidRPr="00D20484" w:rsidRDefault="003330BE" w:rsidP="00D2048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0484">
        <w:rPr>
          <w:rFonts w:ascii="Calibri" w:hAnsi="Calibri" w:cs="Calibri"/>
          <w:sz w:val="24"/>
          <w:szCs w:val="24"/>
        </w:rPr>
        <w:t>Zdravotní pojišťovny hradí poskytovatelům zdravotních služeb za poskytnuté zdravotní služby v souladu s úhradovou vyhláškou</w:t>
      </w:r>
      <w:r w:rsidRPr="00D20484">
        <w:rPr>
          <w:rStyle w:val="Znakapoznpodarou"/>
          <w:rFonts w:ascii="Calibri" w:hAnsi="Calibri" w:cs="Calibri"/>
          <w:sz w:val="24"/>
          <w:szCs w:val="24"/>
          <w:lang w:eastAsia="hi-IN" w:bidi="hi-IN"/>
        </w:rPr>
        <w:footnoteReference w:id="49"/>
      </w:r>
      <w:r w:rsidRPr="00D20484">
        <w:rPr>
          <w:rFonts w:ascii="Calibri" w:hAnsi="Calibri" w:cs="Calibri"/>
          <w:sz w:val="24"/>
          <w:szCs w:val="24"/>
        </w:rPr>
        <w:t>, pokud se nedohodnou s poskytovateli jinak. Součástí úhrady poskytovatelům zdravotních služeb je i provozní režie, tj. i náklady na mzdy. Navýšení dle úhradových vyhlášek v kontrolovaném období plně nekorespondovalo s navýšením platů zdravotnických pracovníků dle vládních nařízení. Nárůst mzdových nákladů zdravotní pojišťovny</w:t>
      </w:r>
      <w:r w:rsidR="0092424B">
        <w:rPr>
          <w:rFonts w:ascii="Calibri" w:hAnsi="Calibri" w:cs="Calibri"/>
          <w:sz w:val="24"/>
          <w:szCs w:val="24"/>
        </w:rPr>
        <w:t xml:space="preserve"> </w:t>
      </w:r>
      <w:r w:rsidRPr="00D20484">
        <w:rPr>
          <w:rFonts w:ascii="Calibri" w:hAnsi="Calibri" w:cs="Calibri"/>
          <w:sz w:val="24"/>
          <w:szCs w:val="24"/>
        </w:rPr>
        <w:t xml:space="preserve">částečně zohlednily např. navýšením paušální úhrady za jeden ošetřovací den u poskytovatelů lůžkové péče nebo jiným mechanizmem výpočtu, který je dohodnut v rámci dohodovacího řízení </w:t>
      </w:r>
      <w:proofErr w:type="spellStart"/>
      <w:r w:rsidRPr="00D20484">
        <w:rPr>
          <w:rFonts w:ascii="Calibri" w:hAnsi="Calibri" w:cs="Calibri"/>
          <w:sz w:val="24"/>
          <w:szCs w:val="24"/>
        </w:rPr>
        <w:t>MZd</w:t>
      </w:r>
      <w:proofErr w:type="spellEnd"/>
      <w:r w:rsidRPr="00D20484">
        <w:rPr>
          <w:rFonts w:ascii="Calibri" w:hAnsi="Calibri" w:cs="Calibri"/>
          <w:sz w:val="24"/>
          <w:szCs w:val="24"/>
        </w:rPr>
        <w:t xml:space="preserve"> a dalších zúčastněných subjektů. U segmentu laboratoří ke</w:t>
      </w:r>
      <w:r w:rsidR="0092424B">
        <w:rPr>
          <w:rFonts w:ascii="Calibri" w:hAnsi="Calibri" w:cs="Calibri"/>
          <w:sz w:val="24"/>
          <w:szCs w:val="24"/>
        </w:rPr>
        <w:t xml:space="preserve"> </w:t>
      </w:r>
      <w:r w:rsidRPr="00D20484">
        <w:rPr>
          <w:rFonts w:ascii="Calibri" w:hAnsi="Calibri" w:cs="Calibri"/>
          <w:sz w:val="24"/>
          <w:szCs w:val="24"/>
        </w:rPr>
        <w:t>kompenzacím mzdových nákladů úpravou mechanizmu v</w:t>
      </w:r>
      <w:r w:rsidR="0092424B">
        <w:rPr>
          <w:rFonts w:ascii="Calibri" w:hAnsi="Calibri" w:cs="Calibri"/>
          <w:sz w:val="24"/>
          <w:szCs w:val="24"/>
        </w:rPr>
        <w:t>ýpočtu v rámci systému úhrad ze s</w:t>
      </w:r>
      <w:r w:rsidRPr="00D20484">
        <w:rPr>
          <w:rFonts w:ascii="Calibri" w:hAnsi="Calibri" w:cs="Calibri"/>
          <w:sz w:val="24"/>
          <w:szCs w:val="24"/>
        </w:rPr>
        <w:t>trany zdravotních pojišťoven nedošlo.</w:t>
      </w:r>
    </w:p>
    <w:p w14:paraId="545B2637" w14:textId="77777777" w:rsidR="003330BE" w:rsidRPr="00D20484" w:rsidRDefault="003330BE" w:rsidP="00D2048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D5F0C2" w14:textId="77B99667" w:rsidR="003330BE" w:rsidRPr="00D20484" w:rsidRDefault="0092424B" w:rsidP="00D20484">
      <w:pPr>
        <w:tabs>
          <w:tab w:val="left" w:pos="1418"/>
        </w:tabs>
        <w:spacing w:after="60" w:line="240" w:lineRule="auto"/>
        <w:ind w:left="1418" w:hanging="141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Tabulka č. 5</w:t>
      </w:r>
      <w:r w:rsidR="003330BE" w:rsidRPr="00D20484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3330BE" w:rsidRPr="00D20484">
        <w:rPr>
          <w:rFonts w:ascii="Calibri" w:hAnsi="Calibri" w:cs="Calibri"/>
          <w:b/>
          <w:sz w:val="24"/>
          <w:szCs w:val="24"/>
        </w:rPr>
        <w:t>Vývoj počtu zaměstnanců a osobních nákladů zdravotních ústavů v</w:t>
      </w:r>
      <w:r w:rsidR="00D20484">
        <w:rPr>
          <w:rFonts w:ascii="Calibri" w:hAnsi="Calibri" w:cs="Calibri"/>
          <w:b/>
          <w:sz w:val="24"/>
          <w:szCs w:val="24"/>
        </w:rPr>
        <w:t> </w:t>
      </w:r>
      <w:r w:rsidR="003330BE" w:rsidRPr="00D20484">
        <w:rPr>
          <w:rFonts w:ascii="Calibri" w:hAnsi="Calibri" w:cs="Calibri"/>
          <w:b/>
          <w:sz w:val="24"/>
          <w:szCs w:val="24"/>
        </w:rPr>
        <w:t>letech</w:t>
      </w:r>
      <w:r w:rsidR="00D20484">
        <w:rPr>
          <w:rFonts w:ascii="Calibri" w:hAnsi="Calibri" w:cs="Calibri"/>
          <w:b/>
          <w:sz w:val="24"/>
          <w:szCs w:val="24"/>
        </w:rPr>
        <w:t xml:space="preserve"> </w:t>
      </w:r>
      <w:r w:rsidR="003330BE" w:rsidRPr="00D20484">
        <w:rPr>
          <w:rFonts w:ascii="Calibri" w:hAnsi="Calibri" w:cs="Calibri"/>
          <w:b/>
          <w:sz w:val="24"/>
          <w:szCs w:val="24"/>
        </w:rPr>
        <w:t>2017 až 2019</w:t>
      </w:r>
    </w:p>
    <w:tbl>
      <w:tblPr>
        <w:tblW w:w="9079" w:type="dxa"/>
        <w:tblInd w:w="-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3"/>
        <w:gridCol w:w="1795"/>
        <w:gridCol w:w="1795"/>
        <w:gridCol w:w="1796"/>
      </w:tblGrid>
      <w:tr w:rsidR="003330BE" w:rsidRPr="00D20484" w14:paraId="327C82CD" w14:textId="77777777" w:rsidTr="00D20484">
        <w:trPr>
          <w:trHeight w:val="255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5822814" w14:textId="77777777" w:rsidR="003330BE" w:rsidRPr="00D20484" w:rsidRDefault="003330BE" w:rsidP="00D204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D20484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D486CCC" w14:textId="77777777" w:rsidR="003330BE" w:rsidRPr="00D20484" w:rsidRDefault="003330BE" w:rsidP="00D204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0484">
              <w:rPr>
                <w:rFonts w:ascii="Calibri" w:hAnsi="Calibri" w:cs="Calibri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E828661" w14:textId="77777777" w:rsidR="003330BE" w:rsidRPr="00D20484" w:rsidRDefault="003330BE" w:rsidP="00D204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0484">
              <w:rPr>
                <w:rFonts w:ascii="Calibri" w:hAnsi="Calibri" w:cs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06A20E2" w14:textId="77777777" w:rsidR="003330BE" w:rsidRPr="00D20484" w:rsidRDefault="003330BE" w:rsidP="00D204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0484">
              <w:rPr>
                <w:rFonts w:ascii="Calibri" w:hAnsi="Calibri" w:cs="Calibri"/>
                <w:b/>
                <w:bCs/>
                <w:sz w:val="20"/>
                <w:szCs w:val="20"/>
              </w:rPr>
              <w:t>2019</w:t>
            </w:r>
          </w:p>
        </w:tc>
      </w:tr>
      <w:tr w:rsidR="003330BE" w:rsidRPr="00D20484" w14:paraId="7D88FF6C" w14:textId="77777777" w:rsidTr="00D20484">
        <w:trPr>
          <w:trHeight w:val="255"/>
        </w:trPr>
        <w:tc>
          <w:tcPr>
            <w:tcW w:w="9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2C052" w14:textId="77777777" w:rsidR="003330BE" w:rsidRPr="00D20484" w:rsidRDefault="003330BE" w:rsidP="00D204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ZÚ v Ostravě</w:t>
            </w:r>
          </w:p>
        </w:tc>
      </w:tr>
      <w:tr w:rsidR="003330BE" w:rsidRPr="00D20484" w14:paraId="316FE249" w14:textId="77777777" w:rsidTr="00D20484">
        <w:trPr>
          <w:trHeight w:val="25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D955" w14:textId="77777777" w:rsidR="003330BE" w:rsidRPr="00D20484" w:rsidRDefault="003330BE" w:rsidP="00D204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Průměrný přepočtený počet zaměstnanců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D5889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452,18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A64A0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459,00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31456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469,83</w:t>
            </w:r>
          </w:p>
        </w:tc>
      </w:tr>
      <w:tr w:rsidR="003330BE" w:rsidRPr="00D20484" w14:paraId="37F0F6E6" w14:textId="77777777" w:rsidTr="00D20484">
        <w:trPr>
          <w:trHeight w:val="25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8E975" w14:textId="77777777" w:rsidR="003330BE" w:rsidRPr="00D20484" w:rsidRDefault="003330BE" w:rsidP="00D204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 xml:space="preserve">Osobní náklady (v Kč)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0E64E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243 118 748,09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FE5AC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263 150 698,68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ADF30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278 102 540,85</w:t>
            </w:r>
          </w:p>
        </w:tc>
      </w:tr>
      <w:tr w:rsidR="003330BE" w:rsidRPr="00D20484" w14:paraId="5DCB1FBB" w14:textId="77777777" w:rsidTr="00D20484">
        <w:trPr>
          <w:trHeight w:val="255"/>
        </w:trPr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3CB3D1" w14:textId="77777777" w:rsidR="003330BE" w:rsidRPr="00D20484" w:rsidRDefault="003330BE" w:rsidP="00D2048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0484">
              <w:rPr>
                <w:rFonts w:ascii="Calibri" w:hAnsi="Calibri" w:cs="Calibri"/>
                <w:b/>
                <w:sz w:val="20"/>
                <w:szCs w:val="20"/>
              </w:rPr>
              <w:t>ZÚ v Ústí  n. L</w:t>
            </w:r>
          </w:p>
        </w:tc>
      </w:tr>
      <w:tr w:rsidR="003330BE" w:rsidRPr="00D20484" w14:paraId="5B838238" w14:textId="77777777" w:rsidTr="00D20484">
        <w:trPr>
          <w:trHeight w:val="255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D3BB9" w14:textId="77777777" w:rsidR="003330BE" w:rsidRPr="00D20484" w:rsidRDefault="003330BE" w:rsidP="00D204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Průměrný přepočtený počet zaměstnanců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90C89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468,54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2C5ED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449,55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FECFC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429,90</w:t>
            </w:r>
          </w:p>
        </w:tc>
      </w:tr>
      <w:tr w:rsidR="003330BE" w:rsidRPr="00D20484" w14:paraId="1198D9AC" w14:textId="77777777" w:rsidTr="00D20484">
        <w:trPr>
          <w:trHeight w:val="255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79627" w14:textId="77777777" w:rsidR="003330BE" w:rsidRPr="00D20484" w:rsidRDefault="003330BE" w:rsidP="00D204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 xml:space="preserve">Osobní náklady (v Kč)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84105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233 499 587,27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3110B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243 982 131,17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19D9F" w14:textId="77777777" w:rsidR="003330BE" w:rsidRPr="00D20484" w:rsidRDefault="003330BE" w:rsidP="00D20484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20484">
              <w:rPr>
                <w:rFonts w:ascii="Calibri" w:hAnsi="Calibri" w:cs="Calibri"/>
                <w:sz w:val="20"/>
                <w:szCs w:val="20"/>
              </w:rPr>
              <w:t>248 722 344,53</w:t>
            </w:r>
          </w:p>
        </w:tc>
      </w:tr>
    </w:tbl>
    <w:p w14:paraId="2FE3472B" w14:textId="25CBD98B" w:rsidR="003330BE" w:rsidRPr="00D20484" w:rsidRDefault="003330BE" w:rsidP="00D20484">
      <w:pPr>
        <w:spacing w:before="40" w:after="0" w:line="240" w:lineRule="auto"/>
        <w:ind w:left="567" w:hanging="567"/>
        <w:rPr>
          <w:rFonts w:ascii="Calibri" w:hAnsi="Calibri" w:cs="Calibri"/>
          <w:sz w:val="20"/>
          <w:szCs w:val="20"/>
        </w:rPr>
      </w:pPr>
      <w:r w:rsidRPr="00D20484">
        <w:rPr>
          <w:rFonts w:ascii="Calibri" w:hAnsi="Calibri" w:cs="Calibri"/>
          <w:b/>
          <w:sz w:val="20"/>
          <w:szCs w:val="20"/>
        </w:rPr>
        <w:t>Zdroj:</w:t>
      </w:r>
      <w:r w:rsidRPr="00D20484">
        <w:rPr>
          <w:rFonts w:ascii="Calibri" w:hAnsi="Calibri" w:cs="Calibri"/>
          <w:sz w:val="20"/>
          <w:szCs w:val="20"/>
        </w:rPr>
        <w:tab/>
      </w:r>
      <w:r w:rsidR="0092424B">
        <w:rPr>
          <w:rFonts w:ascii="Calibri" w:hAnsi="Calibri" w:cs="Calibri"/>
          <w:sz w:val="20"/>
          <w:szCs w:val="20"/>
          <w:lang w:eastAsia="hi-IN" w:bidi="hi-IN"/>
        </w:rPr>
        <w:t>d</w:t>
      </w:r>
      <w:r w:rsidRPr="00D20484">
        <w:rPr>
          <w:rFonts w:ascii="Calibri" w:hAnsi="Calibri" w:cs="Calibri"/>
          <w:sz w:val="20"/>
          <w:szCs w:val="20"/>
          <w:lang w:eastAsia="hi-IN" w:bidi="hi-IN"/>
        </w:rPr>
        <w:t xml:space="preserve">oklady a informace </w:t>
      </w:r>
      <w:r w:rsidR="0092424B">
        <w:rPr>
          <w:rFonts w:ascii="Calibri" w:hAnsi="Calibri" w:cs="Calibri"/>
          <w:sz w:val="20"/>
          <w:szCs w:val="20"/>
          <w:lang w:eastAsia="hi-IN" w:bidi="hi-IN"/>
        </w:rPr>
        <w:t xml:space="preserve">od </w:t>
      </w:r>
      <w:r w:rsidRPr="00D20484">
        <w:rPr>
          <w:rFonts w:ascii="Calibri" w:hAnsi="Calibri" w:cs="Calibri"/>
          <w:sz w:val="20"/>
          <w:szCs w:val="20"/>
          <w:lang w:eastAsia="hi-IN" w:bidi="hi-IN"/>
        </w:rPr>
        <w:t>zdravotních ústavů.</w:t>
      </w:r>
    </w:p>
    <w:p w14:paraId="3D2E127D" w14:textId="77777777" w:rsidR="003330BE" w:rsidRDefault="003330BE" w:rsidP="003330BE">
      <w:pPr>
        <w:spacing w:after="0" w:line="240" w:lineRule="auto"/>
        <w:rPr>
          <w:rFonts w:cstheme="minorHAnsi"/>
        </w:rPr>
      </w:pPr>
    </w:p>
    <w:p w14:paraId="2B882565" w14:textId="71333EDF" w:rsidR="003330BE" w:rsidRPr="00D20484" w:rsidRDefault="003330BE" w:rsidP="00D20484">
      <w:pPr>
        <w:keepNext/>
        <w:spacing w:after="0" w:line="240" w:lineRule="auto"/>
        <w:ind w:left="369" w:hanging="369"/>
        <w:rPr>
          <w:rFonts w:ascii="Calibri" w:hAnsi="Calibri" w:cs="Calibri"/>
          <w:b/>
          <w:sz w:val="24"/>
          <w:szCs w:val="24"/>
        </w:rPr>
      </w:pP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lastRenderedPageBreak/>
        <w:t>2.3</w:t>
      </w: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tab/>
      </w:r>
      <w:r w:rsidRPr="00D20484">
        <w:rPr>
          <w:rFonts w:ascii="Calibri" w:hAnsi="Calibri" w:cs="Calibri"/>
          <w:b/>
          <w:sz w:val="24"/>
          <w:szCs w:val="24"/>
        </w:rPr>
        <w:t>Změnou financování služeb spojených se státním zdravotním dozorem došlo k poklesu výkonů zdravotních ústavů a tedy i jejich výnosů</w:t>
      </w:r>
    </w:p>
    <w:p w14:paraId="210F6152" w14:textId="77777777" w:rsidR="00D20484" w:rsidRPr="00D20484" w:rsidRDefault="00D20484" w:rsidP="00D20484">
      <w:pPr>
        <w:keepNext/>
        <w:spacing w:after="0" w:line="240" w:lineRule="auto"/>
        <w:rPr>
          <w:rFonts w:ascii="Calibri" w:hAnsi="Calibri" w:cs="Calibri"/>
          <w:sz w:val="24"/>
          <w:szCs w:val="24"/>
          <w:lang w:eastAsia="hi-IN" w:bidi="hi-IN"/>
        </w:rPr>
      </w:pPr>
    </w:p>
    <w:p w14:paraId="66154128" w14:textId="7169AD84" w:rsidR="003330BE" w:rsidRPr="00D20484" w:rsidRDefault="003330BE" w:rsidP="0060098D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V roce 2017 poskytlo </w:t>
      </w:r>
      <w:proofErr w:type="spellStart"/>
      <w:r w:rsidRPr="00D20484">
        <w:rPr>
          <w:rFonts w:ascii="Calibri" w:hAnsi="Calibri" w:cs="Calibri"/>
          <w:sz w:val="24"/>
          <w:szCs w:val="24"/>
          <w:lang w:eastAsia="hi-IN" w:bidi="hi-IN"/>
        </w:rPr>
        <w:t>MZd</w:t>
      </w:r>
      <w:proofErr w:type="spellEnd"/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 peněžní prostředky na služby spojené se SZD zdravotním ústavům v rámci příspěvku na provoz. ZÚ pak poskytovaly krajským hygienickým stanicím laboratorní služby v rozsahu přiděleného příspěvku. Od 1. 1. 2018 došlo ke změně financování služeb spojených se SZD. </w:t>
      </w:r>
      <w:proofErr w:type="spellStart"/>
      <w:r w:rsidRPr="00D20484">
        <w:rPr>
          <w:rFonts w:ascii="Calibri" w:hAnsi="Calibri" w:cs="Calibri"/>
          <w:sz w:val="24"/>
          <w:szCs w:val="24"/>
          <w:lang w:eastAsia="hi-IN" w:bidi="hi-IN"/>
        </w:rPr>
        <w:t>MZd</w:t>
      </w:r>
      <w:proofErr w:type="spellEnd"/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 přidělilo prostředky KHS a ZÚ pak provedené služby KHS průběžně fakturovaly. To mj. znamenalo, že ZÚ fakturovaly KHS služby vč. DPH</w:t>
      </w:r>
      <w:r w:rsidR="0092424B">
        <w:rPr>
          <w:rFonts w:ascii="Calibri" w:hAnsi="Calibri" w:cs="Calibri"/>
          <w:sz w:val="24"/>
          <w:szCs w:val="24"/>
          <w:lang w:eastAsia="hi-IN" w:bidi="hi-IN"/>
        </w:rPr>
        <w:t>,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 a došlo tak k významnému snížení výnosů. </w:t>
      </w:r>
      <w:r w:rsidRPr="00D20484">
        <w:rPr>
          <w:rFonts w:ascii="Calibri" w:eastAsia="Calibri" w:hAnsi="Calibri" w:cs="Calibri"/>
          <w:iCs/>
          <w:sz w:val="24"/>
          <w:szCs w:val="24"/>
        </w:rPr>
        <w:t>ZÚ vyčíslily snížení svých výnosů v důsledku zatížení služeb poskytovaných KHS daní z přidané hodnoty o cca 4 až 5 mil. Kč ročně.</w:t>
      </w:r>
    </w:p>
    <w:p w14:paraId="5871887A" w14:textId="77777777" w:rsidR="003330BE" w:rsidRPr="00D20484" w:rsidRDefault="003330BE" w:rsidP="003330BE">
      <w:pPr>
        <w:tabs>
          <w:tab w:val="left" w:pos="142"/>
        </w:tabs>
        <w:spacing w:after="0" w:line="240" w:lineRule="auto"/>
        <w:rPr>
          <w:rFonts w:ascii="Calibri" w:hAnsi="Calibri" w:cs="Calibri"/>
          <w:sz w:val="24"/>
          <w:szCs w:val="24"/>
          <w:lang w:eastAsia="hi-IN" w:bidi="hi-IN"/>
        </w:rPr>
      </w:pPr>
    </w:p>
    <w:p w14:paraId="168D8E35" w14:textId="5434FAFD" w:rsidR="003330BE" w:rsidRPr="00D20484" w:rsidRDefault="003330BE" w:rsidP="00003FB7">
      <w:pPr>
        <w:keepNext/>
        <w:spacing w:after="0" w:line="240" w:lineRule="auto"/>
        <w:ind w:left="369" w:hanging="369"/>
        <w:rPr>
          <w:rFonts w:ascii="Calibri" w:hAnsi="Calibri" w:cs="Calibri"/>
          <w:b/>
          <w:sz w:val="24"/>
          <w:szCs w:val="24"/>
          <w:lang w:eastAsia="hi-IN" w:bidi="hi-IN"/>
        </w:rPr>
      </w:pP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t>2.4</w:t>
      </w: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tab/>
      </w:r>
      <w:r w:rsidRPr="00D20484">
        <w:rPr>
          <w:rFonts w:ascii="Calibri" w:hAnsi="Calibri" w:cs="Calibri"/>
          <w:b/>
          <w:sz w:val="24"/>
          <w:szCs w:val="24"/>
        </w:rPr>
        <w:t>Zdravotní ústavy nesledovaly náklady spojené s činností pro výkon státního zdravotního dozoru a dalšími činnostmi pro stát ve svém účetnictví</w:t>
      </w:r>
      <w:r w:rsidR="0060098D">
        <w:rPr>
          <w:rFonts w:ascii="Calibri" w:hAnsi="Calibri" w:cs="Calibri"/>
          <w:b/>
          <w:sz w:val="24"/>
          <w:szCs w:val="24"/>
        </w:rPr>
        <w:t xml:space="preserve"> odděleně od </w:t>
      </w:r>
      <w:r w:rsidRPr="00D20484">
        <w:rPr>
          <w:rFonts w:ascii="Calibri" w:hAnsi="Calibri" w:cs="Calibri"/>
          <w:b/>
          <w:sz w:val="24"/>
          <w:szCs w:val="24"/>
        </w:rPr>
        <w:t>ostatních činností; p</w:t>
      </w: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t>ři použití příspěvku na provoz existuje riziko nedovolené veřejné podpory</w:t>
      </w:r>
    </w:p>
    <w:p w14:paraId="4F955195" w14:textId="77777777" w:rsidR="0060098D" w:rsidRDefault="0060098D" w:rsidP="00003FB7">
      <w:pPr>
        <w:keepNext/>
        <w:tabs>
          <w:tab w:val="left" w:pos="142"/>
        </w:tabs>
        <w:spacing w:after="0" w:line="240" w:lineRule="auto"/>
        <w:ind w:left="369" w:hanging="369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2E67A22A" w14:textId="39519536" w:rsidR="003330BE" w:rsidRPr="00D20484" w:rsidRDefault="003330BE" w:rsidP="0060098D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ZÚ ve svém účetnictví nesledovaly odděleně náklady a výnosy spojené s činnostmi, které zajišťovaly pro výkon SZD a dalšími výkony prováděnými pro potřeby státu od ostatních činností, </w:t>
      </w:r>
      <w:r w:rsidRPr="00D20484">
        <w:rPr>
          <w:rFonts w:ascii="Calibri" w:hAnsi="Calibri" w:cs="Calibri"/>
          <w:sz w:val="24"/>
          <w:szCs w:val="24"/>
        </w:rPr>
        <w:t>tedy dalších poskytovaných služeb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>. ZÚ tak nemohou spolehlivě vyčíslit skutečné náklady vynaložené na činnosti, které zajišťovaly pro výkon SZD a další výkony provedené pro</w:t>
      </w:r>
      <w:r w:rsidR="00896B41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>potřeby státu. ZÚ nemají pro jednotlivé výkony zpracovány samostatné, průběžně aktualizované nákladové kalkulace. NKÚ tak nemohl vyhodnotit, zda ZÚ v souvislosti s poskytováním výše uvedených služeb vytváří zisk či ztrátu.</w:t>
      </w:r>
    </w:p>
    <w:p w14:paraId="58C4E159" w14:textId="77777777" w:rsidR="003330BE" w:rsidRPr="00D20484" w:rsidRDefault="003330BE" w:rsidP="0060098D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14060719" w14:textId="77777777" w:rsidR="0060098D" w:rsidRPr="0060098D" w:rsidRDefault="003330BE" w:rsidP="00DC27B2">
      <w:pPr>
        <w:keepNext/>
        <w:spacing w:after="0" w:line="240" w:lineRule="auto"/>
        <w:rPr>
          <w:rFonts w:ascii="Calibri" w:hAnsi="Calibri" w:cs="Calibri"/>
          <w:b/>
          <w:spacing w:val="-2"/>
          <w:sz w:val="24"/>
          <w:szCs w:val="24"/>
          <w:lang w:eastAsia="hi-IN" w:bidi="hi-IN"/>
        </w:rPr>
      </w:pPr>
      <w:r w:rsidRPr="0060098D">
        <w:rPr>
          <w:rFonts w:ascii="Calibri" w:hAnsi="Calibri" w:cs="Calibri"/>
          <w:b/>
          <w:spacing w:val="-2"/>
          <w:sz w:val="24"/>
          <w:szCs w:val="24"/>
          <w:lang w:eastAsia="hi-IN" w:bidi="hi-IN"/>
        </w:rPr>
        <w:t>Vyčíslení nákladů souvisejících se zajištěním činností v rámci SZD a ostatních výkonů pro stát</w:t>
      </w:r>
    </w:p>
    <w:p w14:paraId="464B15E9" w14:textId="77777777" w:rsidR="0060098D" w:rsidRDefault="0060098D" w:rsidP="00DC27B2">
      <w:pPr>
        <w:keepNext/>
        <w:tabs>
          <w:tab w:val="left" w:pos="142"/>
        </w:tabs>
        <w:spacing w:after="0" w:line="240" w:lineRule="auto"/>
        <w:rPr>
          <w:rFonts w:ascii="Calibri" w:hAnsi="Calibri" w:cs="Calibri"/>
          <w:sz w:val="24"/>
          <w:szCs w:val="24"/>
          <w:lang w:eastAsia="hi-IN" w:bidi="hi-IN"/>
        </w:rPr>
      </w:pPr>
    </w:p>
    <w:p w14:paraId="49945E97" w14:textId="2EFCD176" w:rsidR="003330BE" w:rsidRPr="00D20484" w:rsidRDefault="003330BE" w:rsidP="0060098D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proofErr w:type="spellStart"/>
      <w:r w:rsidRPr="00D20484">
        <w:rPr>
          <w:rFonts w:ascii="Calibri" w:hAnsi="Calibri" w:cs="Calibri"/>
          <w:sz w:val="24"/>
          <w:szCs w:val="24"/>
          <w:lang w:eastAsia="hi-IN" w:bidi="hi-IN"/>
        </w:rPr>
        <w:t>MZd</w:t>
      </w:r>
      <w:proofErr w:type="spellEnd"/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 v roce 2019 v souvislosti se stanovením další strategie v oblasti ochrany veřejného zdraví požádalo ZÚ o zpracování jejich koncepcí, ve kterých mělo být ve vazbě na poskytované činnosti také analyzováno personální zajištění a předpokládané zdroje financování </w:t>
      </w:r>
      <w:r w:rsidRPr="00D20484">
        <w:rPr>
          <w:rFonts w:ascii="Calibri" w:eastAsia="Calibri" w:hAnsi="Calibri" w:cs="Calibri"/>
          <w:iCs/>
          <w:sz w:val="24"/>
          <w:szCs w:val="24"/>
        </w:rPr>
        <w:t xml:space="preserve">(viz kapitola </w:t>
      </w:r>
      <w:proofErr w:type="gramStart"/>
      <w:r w:rsidRPr="00D20484">
        <w:rPr>
          <w:rFonts w:ascii="Calibri" w:eastAsia="Calibri" w:hAnsi="Calibri" w:cs="Calibri"/>
          <w:iCs/>
          <w:sz w:val="24"/>
          <w:szCs w:val="24"/>
        </w:rPr>
        <w:t>IV.1.1</w:t>
      </w:r>
      <w:proofErr w:type="gramEnd"/>
      <w:r w:rsidRPr="00D20484">
        <w:rPr>
          <w:rFonts w:ascii="Calibri" w:eastAsia="Calibri" w:hAnsi="Calibri" w:cs="Calibri"/>
          <w:iCs/>
          <w:sz w:val="24"/>
          <w:szCs w:val="24"/>
        </w:rPr>
        <w:t xml:space="preserve"> tohoto kontrolního závěru).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 xml:space="preserve"> ZÚ ve svých koncepcích provedly finanční vyčíslení nezbytně nutných nákladů potřebných na</w:t>
      </w:r>
      <w:r w:rsidR="00896B41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>zajištění činností prováděných v rámci SZD pro KHS a dalších výkonů prováděných pro</w:t>
      </w:r>
      <w:r w:rsidR="00896B41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>potřeby státu. Vyčíslení provedly formou zjednodušených analýz (založených zejména na</w:t>
      </w:r>
      <w:r w:rsidR="00896B41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Pr="00D20484">
        <w:rPr>
          <w:rFonts w:ascii="Calibri" w:hAnsi="Calibri" w:cs="Calibri"/>
          <w:sz w:val="24"/>
          <w:szCs w:val="24"/>
          <w:lang w:eastAsia="hi-IN" w:bidi="hi-IN"/>
        </w:rPr>
        <w:t>kvalifikovaném odhadu), neboť ZÚ ve svém účetnictví tyto náklady odděleně nesledovaly. Vybrané údaje z tohoto vyčíslení jsou uvedeny v tabulce č. 6.</w:t>
      </w:r>
    </w:p>
    <w:p w14:paraId="5BFDA39E" w14:textId="77777777" w:rsidR="003330BE" w:rsidRPr="00D20484" w:rsidRDefault="003330BE" w:rsidP="0060098D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2C7AB94B" w14:textId="198BBB0F" w:rsidR="003330BE" w:rsidRPr="00D20484" w:rsidRDefault="003330BE" w:rsidP="00973130">
      <w:pPr>
        <w:keepNext/>
        <w:tabs>
          <w:tab w:val="left" w:pos="1418"/>
        </w:tabs>
        <w:spacing w:after="40" w:line="240" w:lineRule="auto"/>
        <w:ind w:left="1418" w:hanging="1418"/>
        <w:jc w:val="both"/>
        <w:rPr>
          <w:rFonts w:ascii="Calibri" w:hAnsi="Calibri" w:cs="Calibri"/>
          <w:b/>
          <w:sz w:val="24"/>
          <w:szCs w:val="24"/>
        </w:rPr>
      </w:pPr>
      <w:r w:rsidRPr="00D20484">
        <w:rPr>
          <w:rFonts w:ascii="Calibri" w:hAnsi="Calibri" w:cs="Calibri"/>
          <w:b/>
          <w:sz w:val="24"/>
          <w:szCs w:val="24"/>
        </w:rPr>
        <w:lastRenderedPageBreak/>
        <w:t>Tabulka č.</w:t>
      </w:r>
      <w:r w:rsidR="0060098D">
        <w:rPr>
          <w:rFonts w:ascii="Calibri" w:hAnsi="Calibri" w:cs="Calibri"/>
          <w:b/>
          <w:sz w:val="24"/>
          <w:szCs w:val="24"/>
        </w:rPr>
        <w:t> </w:t>
      </w:r>
      <w:r w:rsidRPr="00D20484">
        <w:rPr>
          <w:rFonts w:ascii="Calibri" w:hAnsi="Calibri" w:cs="Calibri"/>
          <w:b/>
          <w:sz w:val="24"/>
          <w:szCs w:val="24"/>
        </w:rPr>
        <w:t>6:</w:t>
      </w:r>
      <w:r w:rsidR="0060098D">
        <w:rPr>
          <w:rFonts w:ascii="Calibri" w:hAnsi="Calibri" w:cs="Calibri"/>
          <w:b/>
          <w:sz w:val="24"/>
          <w:szCs w:val="24"/>
        </w:rPr>
        <w:t xml:space="preserve"> </w:t>
      </w:r>
      <w:r w:rsidR="0060098D">
        <w:rPr>
          <w:rFonts w:ascii="Calibri" w:hAnsi="Calibri" w:cs="Calibri"/>
          <w:b/>
          <w:sz w:val="24"/>
          <w:szCs w:val="24"/>
        </w:rPr>
        <w:tab/>
      </w: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t>Vyčíslení ročních nákladů potřebných na</w:t>
      </w:r>
      <w:r w:rsidR="00896B41">
        <w:rPr>
          <w:rFonts w:ascii="Calibri" w:hAnsi="Calibri" w:cs="Calibri"/>
          <w:b/>
          <w:sz w:val="24"/>
          <w:szCs w:val="24"/>
          <w:lang w:eastAsia="hi-IN" w:bidi="hi-IN"/>
        </w:rPr>
        <w:t xml:space="preserve"> </w:t>
      </w: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t>zajištění činností prováděných v rámci státního zdravotního dozoru a dalších výkonů prováděných pro</w:t>
      </w:r>
      <w:r w:rsidR="0060098D">
        <w:rPr>
          <w:rFonts w:ascii="Calibri" w:hAnsi="Calibri" w:cs="Calibri"/>
          <w:b/>
          <w:sz w:val="24"/>
          <w:szCs w:val="24"/>
          <w:lang w:eastAsia="hi-IN" w:bidi="hi-IN"/>
        </w:rPr>
        <w:t xml:space="preserve"> </w:t>
      </w:r>
      <w:r w:rsidRPr="00D20484">
        <w:rPr>
          <w:rFonts w:ascii="Calibri" w:hAnsi="Calibri" w:cs="Calibri"/>
          <w:b/>
          <w:sz w:val="24"/>
          <w:szCs w:val="24"/>
          <w:lang w:eastAsia="hi-IN" w:bidi="hi-IN"/>
        </w:rPr>
        <w:t>potřeby státu (kvalifikovaný odhad ZÚ) provedené v roce 2019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276"/>
        <w:gridCol w:w="1275"/>
      </w:tblGrid>
      <w:tr w:rsidR="003330BE" w:rsidRPr="00973130" w14:paraId="3BBF8304" w14:textId="77777777" w:rsidTr="0060098D">
        <w:trPr>
          <w:trHeight w:val="255"/>
        </w:trPr>
        <w:tc>
          <w:tcPr>
            <w:tcW w:w="6521" w:type="dxa"/>
            <w:shd w:val="clear" w:color="auto" w:fill="E5F1FF"/>
            <w:noWrap/>
            <w:vAlign w:val="center"/>
          </w:tcPr>
          <w:p w14:paraId="7B23445D" w14:textId="77777777" w:rsidR="003330BE" w:rsidRPr="00973130" w:rsidRDefault="003330BE" w:rsidP="0097313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9731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276" w:type="dxa"/>
            <w:shd w:val="clear" w:color="auto" w:fill="E5F1FF"/>
            <w:noWrap/>
            <w:vAlign w:val="center"/>
          </w:tcPr>
          <w:p w14:paraId="1302A6FD" w14:textId="77777777" w:rsidR="003330BE" w:rsidRPr="00973130" w:rsidRDefault="003330BE" w:rsidP="0097313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b/>
                <w:sz w:val="20"/>
                <w:szCs w:val="20"/>
              </w:rPr>
              <w:t>ZÚ v Ostravě</w:t>
            </w:r>
          </w:p>
        </w:tc>
        <w:tc>
          <w:tcPr>
            <w:tcW w:w="1275" w:type="dxa"/>
            <w:shd w:val="clear" w:color="auto" w:fill="E5F1FF"/>
            <w:vAlign w:val="center"/>
          </w:tcPr>
          <w:p w14:paraId="67CCED7B" w14:textId="77777777" w:rsidR="003330BE" w:rsidRPr="00973130" w:rsidRDefault="003330BE" w:rsidP="0097313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b/>
                <w:sz w:val="20"/>
                <w:szCs w:val="20"/>
              </w:rPr>
              <w:t>ZÚ v Ústí n. L.</w:t>
            </w:r>
          </w:p>
        </w:tc>
      </w:tr>
      <w:tr w:rsidR="003330BE" w:rsidRPr="00973130" w14:paraId="7E67E51C" w14:textId="77777777" w:rsidTr="00973130">
        <w:trPr>
          <w:trHeight w:val="255"/>
        </w:trPr>
        <w:tc>
          <w:tcPr>
            <w:tcW w:w="6521" w:type="dxa"/>
            <w:shd w:val="clear" w:color="000000" w:fill="FFFFFF"/>
            <w:noWrap/>
            <w:vAlign w:val="center"/>
          </w:tcPr>
          <w:p w14:paraId="3D12098B" w14:textId="77777777" w:rsidR="003330BE" w:rsidRPr="00973130" w:rsidRDefault="003330BE" w:rsidP="00973130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b/>
                <w:sz w:val="20"/>
                <w:szCs w:val="20"/>
              </w:rPr>
              <w:t>Počet zaměstnanců potřebných pro činnosti pro stát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804F235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b/>
                <w:sz w:val="20"/>
                <w:szCs w:val="20"/>
              </w:rPr>
              <w:t>180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CCDDDA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b/>
                <w:sz w:val="20"/>
                <w:szCs w:val="20"/>
              </w:rPr>
              <w:t>174*</w:t>
            </w:r>
          </w:p>
        </w:tc>
      </w:tr>
      <w:tr w:rsidR="003330BE" w:rsidRPr="00973130" w14:paraId="1FB1DAAA" w14:textId="77777777" w:rsidTr="00973130">
        <w:trPr>
          <w:trHeight w:val="255"/>
        </w:trPr>
        <w:tc>
          <w:tcPr>
            <w:tcW w:w="6521" w:type="dxa"/>
            <w:shd w:val="clear" w:color="000000" w:fill="FFFFFF"/>
            <w:noWrap/>
            <w:vAlign w:val="center"/>
          </w:tcPr>
          <w:p w14:paraId="72CD592E" w14:textId="77777777" w:rsidR="003330BE" w:rsidRPr="00973130" w:rsidRDefault="003330BE" w:rsidP="00973130">
            <w:pPr>
              <w:keepNext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Podíl počtu zaměstnanců potřebných pro činnosti pro stát na celkovém počtu zaměstnanců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AE33D36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39 %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AB01211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40 %</w:t>
            </w:r>
          </w:p>
        </w:tc>
      </w:tr>
      <w:tr w:rsidR="003330BE" w:rsidRPr="00973130" w14:paraId="199B19E1" w14:textId="77777777" w:rsidTr="00973130">
        <w:trPr>
          <w:trHeight w:val="255"/>
        </w:trPr>
        <w:tc>
          <w:tcPr>
            <w:tcW w:w="6521" w:type="dxa"/>
            <w:shd w:val="clear" w:color="000000" w:fill="FFFFFF"/>
            <w:noWrap/>
            <w:vAlign w:val="center"/>
          </w:tcPr>
          <w:p w14:paraId="051E5FFD" w14:textId="77777777" w:rsidR="003330BE" w:rsidRPr="00973130" w:rsidRDefault="003330BE" w:rsidP="00973130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b/>
                <w:sz w:val="20"/>
                <w:szCs w:val="20"/>
              </w:rPr>
              <w:t>Roční náklady potřebné na zajištění činností prováděných v rámci SZD a dalších výkonů prováděných pro potřeby státu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955112C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b/>
                <w:sz w:val="20"/>
                <w:szCs w:val="20"/>
              </w:rPr>
              <w:t>141 mil. Kč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F80C1E4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b/>
                <w:sz w:val="20"/>
                <w:szCs w:val="20"/>
              </w:rPr>
              <w:t>142 mil. Kč</w:t>
            </w:r>
          </w:p>
        </w:tc>
      </w:tr>
      <w:tr w:rsidR="003330BE" w:rsidRPr="00973130" w14:paraId="5411F9CC" w14:textId="77777777" w:rsidTr="00973130">
        <w:trPr>
          <w:trHeight w:val="255"/>
        </w:trPr>
        <w:tc>
          <w:tcPr>
            <w:tcW w:w="6521" w:type="dxa"/>
            <w:shd w:val="clear" w:color="000000" w:fill="FFFFFF"/>
            <w:noWrap/>
            <w:vAlign w:val="center"/>
          </w:tcPr>
          <w:p w14:paraId="6E3C7C3E" w14:textId="77777777" w:rsidR="003330BE" w:rsidRPr="00973130" w:rsidRDefault="003330BE" w:rsidP="00973130">
            <w:pPr>
              <w:keepNext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Podíl nákladů potřebných na zajištění činností prováděných v rámci SZD a dalších výkonů prováděných pro potřeby státu na celkových nákladech ZÚ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1773682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29 %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72E6ED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32 %</w:t>
            </w:r>
          </w:p>
        </w:tc>
      </w:tr>
      <w:tr w:rsidR="003330BE" w:rsidRPr="00973130" w14:paraId="391F20FA" w14:textId="77777777" w:rsidTr="00973130">
        <w:trPr>
          <w:trHeight w:val="255"/>
        </w:trPr>
        <w:tc>
          <w:tcPr>
            <w:tcW w:w="6521" w:type="dxa"/>
            <w:shd w:val="clear" w:color="000000" w:fill="FFFFFF"/>
            <w:noWrap/>
            <w:vAlign w:val="center"/>
          </w:tcPr>
          <w:p w14:paraId="50A8EFEF" w14:textId="77777777" w:rsidR="003330BE" w:rsidRPr="00973130" w:rsidRDefault="003330BE" w:rsidP="00973130">
            <w:pPr>
              <w:keepNext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Podíl mzdových nákladů v nákladech potřebných na zajištění činností prováděných v rámci SZD a dalších výkonů prováděných pro potřeby státu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C098215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68 %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3D04CCD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68 %</w:t>
            </w:r>
          </w:p>
        </w:tc>
      </w:tr>
      <w:tr w:rsidR="003330BE" w:rsidRPr="00973130" w14:paraId="24986E34" w14:textId="77777777" w:rsidTr="00973130">
        <w:trPr>
          <w:trHeight w:val="255"/>
        </w:trPr>
        <w:tc>
          <w:tcPr>
            <w:tcW w:w="6521" w:type="dxa"/>
            <w:shd w:val="clear" w:color="000000" w:fill="FFFFFF"/>
            <w:noWrap/>
            <w:vAlign w:val="center"/>
          </w:tcPr>
          <w:p w14:paraId="7A40DBC0" w14:textId="77777777" w:rsidR="003330BE" w:rsidRPr="00973130" w:rsidRDefault="003330BE" w:rsidP="00973130">
            <w:pPr>
              <w:keepNext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Podíl příspěvku na provoz od zřizovatele a výnosů ze SZD** na odhadovaných ročních nákladech potřebných na zajištění činností prováděných v rámci SZD a dalších výkonů prováděných pro potřeby státu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53B5926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50 %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D7DF24" w14:textId="77777777" w:rsidR="003330BE" w:rsidRPr="00973130" w:rsidRDefault="003330BE" w:rsidP="00973130">
            <w:pPr>
              <w:keepNext/>
              <w:spacing w:after="0" w:line="240" w:lineRule="auto"/>
              <w:ind w:right="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3130">
              <w:rPr>
                <w:rFonts w:ascii="Calibri" w:eastAsia="Times New Roman" w:hAnsi="Calibri" w:cs="Calibri"/>
                <w:sz w:val="20"/>
                <w:szCs w:val="20"/>
              </w:rPr>
              <w:t>45 %</w:t>
            </w:r>
          </w:p>
        </w:tc>
      </w:tr>
    </w:tbl>
    <w:p w14:paraId="06C879C4" w14:textId="2093F75B" w:rsidR="003330BE" w:rsidRPr="0060098D" w:rsidRDefault="003330BE" w:rsidP="00896B41">
      <w:pPr>
        <w:spacing w:before="40" w:after="0" w:line="240" w:lineRule="auto"/>
        <w:ind w:left="567" w:hanging="567"/>
        <w:rPr>
          <w:rFonts w:ascii="Calibri" w:hAnsi="Calibri" w:cs="Calibri"/>
          <w:sz w:val="20"/>
          <w:szCs w:val="20"/>
        </w:rPr>
      </w:pPr>
      <w:r w:rsidRPr="0060098D">
        <w:rPr>
          <w:rFonts w:ascii="Calibri" w:hAnsi="Calibri" w:cs="Calibri"/>
          <w:b/>
          <w:sz w:val="20"/>
          <w:szCs w:val="20"/>
        </w:rPr>
        <w:t>Zdroj:</w:t>
      </w:r>
      <w:r w:rsidRPr="0060098D">
        <w:rPr>
          <w:rFonts w:ascii="Calibri" w:hAnsi="Calibri" w:cs="Calibri"/>
          <w:sz w:val="20"/>
          <w:szCs w:val="20"/>
        </w:rPr>
        <w:tab/>
      </w:r>
      <w:r w:rsidR="00896B41">
        <w:rPr>
          <w:rFonts w:ascii="Calibri" w:hAnsi="Calibri" w:cs="Calibri"/>
          <w:sz w:val="20"/>
          <w:szCs w:val="20"/>
        </w:rPr>
        <w:t>d</w:t>
      </w:r>
      <w:r w:rsidRPr="0060098D">
        <w:rPr>
          <w:rFonts w:ascii="Calibri" w:hAnsi="Calibri" w:cs="Calibri"/>
          <w:sz w:val="20"/>
          <w:szCs w:val="20"/>
        </w:rPr>
        <w:t xml:space="preserve">oklady a informace </w:t>
      </w:r>
      <w:r w:rsidR="00896B41">
        <w:rPr>
          <w:rFonts w:ascii="Calibri" w:hAnsi="Calibri" w:cs="Calibri"/>
          <w:sz w:val="20"/>
          <w:szCs w:val="20"/>
        </w:rPr>
        <w:t xml:space="preserve">od </w:t>
      </w:r>
      <w:r w:rsidRPr="0060098D">
        <w:rPr>
          <w:rFonts w:ascii="Calibri" w:hAnsi="Calibri" w:cs="Calibri"/>
          <w:sz w:val="20"/>
          <w:szCs w:val="20"/>
        </w:rPr>
        <w:t>zdravotních ústavů.</w:t>
      </w:r>
    </w:p>
    <w:p w14:paraId="53F40282" w14:textId="67852DC8" w:rsidR="0060098D" w:rsidRDefault="00896B41" w:rsidP="00896B41">
      <w:pPr>
        <w:keepNext/>
        <w:spacing w:after="0" w:line="240" w:lineRule="auto"/>
        <w:ind w:left="426" w:hanging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Vysvětlivky</w:t>
      </w:r>
      <w:r w:rsidR="003330BE" w:rsidRPr="0060098D">
        <w:rPr>
          <w:rFonts w:ascii="Calibri" w:hAnsi="Calibri" w:cs="Calibri"/>
          <w:b/>
          <w:sz w:val="20"/>
          <w:szCs w:val="20"/>
        </w:rPr>
        <w:t>:</w:t>
      </w:r>
    </w:p>
    <w:p w14:paraId="531118CE" w14:textId="064AB3F9" w:rsidR="003330BE" w:rsidRPr="0060098D" w:rsidRDefault="003330BE" w:rsidP="00896B41">
      <w:pPr>
        <w:keepNext/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60098D">
        <w:rPr>
          <w:rFonts w:ascii="Calibri" w:hAnsi="Calibri" w:cs="Calibri"/>
          <w:sz w:val="20"/>
          <w:szCs w:val="20"/>
        </w:rPr>
        <w:t xml:space="preserve">* </w:t>
      </w:r>
      <w:r w:rsidR="0066099C">
        <w:rPr>
          <w:rFonts w:ascii="Calibri" w:hAnsi="Calibri" w:cs="Calibri"/>
          <w:sz w:val="20"/>
          <w:szCs w:val="20"/>
        </w:rPr>
        <w:tab/>
      </w:r>
      <w:r w:rsidRPr="0060098D">
        <w:rPr>
          <w:rFonts w:ascii="Calibri" w:hAnsi="Calibri" w:cs="Calibri"/>
          <w:sz w:val="20"/>
          <w:szCs w:val="20"/>
        </w:rPr>
        <w:t xml:space="preserve">Nad tento počet ZÚ v Ústí n. L. ještě uvedl 53 pracovníků podílejících se na </w:t>
      </w:r>
      <w:r w:rsidR="00896B41">
        <w:rPr>
          <w:rFonts w:ascii="Calibri" w:hAnsi="Calibri" w:cs="Calibri"/>
          <w:sz w:val="20"/>
          <w:szCs w:val="20"/>
        </w:rPr>
        <w:t xml:space="preserve">prevenci </w:t>
      </w:r>
      <w:r w:rsidRPr="0060098D">
        <w:rPr>
          <w:rFonts w:ascii="Calibri" w:hAnsi="Calibri" w:cs="Calibri"/>
          <w:sz w:val="20"/>
          <w:szCs w:val="20"/>
        </w:rPr>
        <w:t>HIV/AIDS a podpoře zdraví.</w:t>
      </w:r>
    </w:p>
    <w:p w14:paraId="51F18009" w14:textId="77777777" w:rsidR="003330BE" w:rsidRPr="0060098D" w:rsidRDefault="003330BE" w:rsidP="00896B41">
      <w:pPr>
        <w:keepNext/>
        <w:spacing w:after="0" w:line="240" w:lineRule="auto"/>
        <w:ind w:left="284" w:hanging="284"/>
        <w:rPr>
          <w:rFonts w:ascii="Calibri" w:hAnsi="Calibri" w:cs="Calibri"/>
          <w:sz w:val="20"/>
          <w:szCs w:val="20"/>
          <w:lang w:eastAsia="hi-IN" w:bidi="hi-IN"/>
        </w:rPr>
      </w:pPr>
      <w:r w:rsidRPr="0060098D">
        <w:rPr>
          <w:rFonts w:ascii="Calibri" w:hAnsi="Calibri" w:cs="Calibri"/>
          <w:sz w:val="20"/>
          <w:szCs w:val="20"/>
        </w:rPr>
        <w:t xml:space="preserve">** </w:t>
      </w:r>
      <w:r w:rsidR="0066099C">
        <w:rPr>
          <w:rFonts w:ascii="Calibri" w:hAnsi="Calibri" w:cs="Calibri"/>
          <w:sz w:val="20"/>
          <w:szCs w:val="20"/>
        </w:rPr>
        <w:tab/>
      </w:r>
      <w:r w:rsidRPr="0060098D">
        <w:rPr>
          <w:rFonts w:ascii="Calibri" w:hAnsi="Calibri" w:cs="Calibri"/>
          <w:sz w:val="20"/>
          <w:szCs w:val="20"/>
        </w:rPr>
        <w:t>Příspěvek na provoz od zřizovatele a výnosy ze SZD (od KHS) v roce 2018.</w:t>
      </w:r>
    </w:p>
    <w:p w14:paraId="38C9B402" w14:textId="77777777" w:rsidR="003330BE" w:rsidRPr="0066099C" w:rsidRDefault="003330BE" w:rsidP="0066099C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2D0B894B" w14:textId="3E88A867" w:rsidR="003330BE" w:rsidRDefault="003330BE" w:rsidP="0066099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6099C">
        <w:rPr>
          <w:rFonts w:ascii="Calibri" w:hAnsi="Calibri" w:cs="Calibri"/>
          <w:sz w:val="24"/>
          <w:szCs w:val="24"/>
        </w:rPr>
        <w:t>Z údajů uvedených v tabulce č. 6 vyplývá, že cca 40 % zaměstnanců ZÚ je potřeb</w:t>
      </w:r>
      <w:r w:rsidR="009D2C92">
        <w:rPr>
          <w:rFonts w:ascii="Calibri" w:hAnsi="Calibri" w:cs="Calibri"/>
          <w:sz w:val="24"/>
          <w:szCs w:val="24"/>
        </w:rPr>
        <w:t>a</w:t>
      </w:r>
      <w:r w:rsidRPr="0066099C">
        <w:rPr>
          <w:rFonts w:ascii="Calibri" w:hAnsi="Calibri" w:cs="Calibri"/>
          <w:sz w:val="24"/>
          <w:szCs w:val="24"/>
        </w:rPr>
        <w:t xml:space="preserve"> pro</w:t>
      </w:r>
      <w:r w:rsidR="009D2C92">
        <w:rPr>
          <w:rFonts w:ascii="Calibri" w:hAnsi="Calibri" w:cs="Calibri"/>
          <w:sz w:val="24"/>
          <w:szCs w:val="24"/>
        </w:rPr>
        <w:t xml:space="preserve"> </w:t>
      </w:r>
      <w:r w:rsidRPr="0066099C">
        <w:rPr>
          <w:rFonts w:ascii="Calibri" w:hAnsi="Calibri" w:cs="Calibri"/>
          <w:sz w:val="24"/>
          <w:szCs w:val="24"/>
        </w:rPr>
        <w:t>zajištění činností pro stát. Roční náklady potřebné k zajištění činností pro SZD a dalších činností pro stát vyčíslily ZÚ na částku přesahující 140 mil. Kč; tyto náklady se podílely na</w:t>
      </w:r>
      <w:r w:rsidR="009D2C92">
        <w:rPr>
          <w:rFonts w:ascii="Calibri" w:hAnsi="Calibri" w:cs="Calibri"/>
          <w:sz w:val="24"/>
          <w:szCs w:val="24"/>
        </w:rPr>
        <w:t xml:space="preserve"> </w:t>
      </w:r>
      <w:r w:rsidRPr="0066099C">
        <w:rPr>
          <w:rFonts w:ascii="Calibri" w:hAnsi="Calibri" w:cs="Calibri"/>
          <w:sz w:val="24"/>
          <w:szCs w:val="24"/>
        </w:rPr>
        <w:t>celkových nákladech ZÚ z cca 30 %. V nákladech potřebných k zajištění činností pro SZD a dalších činností pro stát jsou nejvýznamnější mzdové náklady, které se na nich podílely z 68 %. Z posledního řádku tabulky vyplývá, že příspěvek na provoz od zřizovatele a výnosy za SZD se</w:t>
      </w:r>
      <w:r w:rsidR="009D2C92">
        <w:rPr>
          <w:rFonts w:ascii="Calibri" w:hAnsi="Calibri" w:cs="Calibri"/>
          <w:sz w:val="24"/>
          <w:szCs w:val="24"/>
        </w:rPr>
        <w:t xml:space="preserve"> </w:t>
      </w:r>
      <w:r w:rsidR="009D2C92" w:rsidRPr="0066099C">
        <w:rPr>
          <w:rFonts w:ascii="Calibri" w:hAnsi="Calibri" w:cs="Calibri"/>
          <w:sz w:val="24"/>
          <w:szCs w:val="24"/>
        </w:rPr>
        <w:t xml:space="preserve">podílely </w:t>
      </w:r>
      <w:r w:rsidRPr="0066099C">
        <w:rPr>
          <w:rFonts w:ascii="Calibri" w:hAnsi="Calibri" w:cs="Calibri"/>
          <w:sz w:val="24"/>
          <w:szCs w:val="24"/>
        </w:rPr>
        <w:t>na ZÚ vyčíslených nákladech potřebných k zajištění činností pro SZD a</w:t>
      </w:r>
      <w:r w:rsidR="009D2C92">
        <w:rPr>
          <w:rFonts w:ascii="Calibri" w:hAnsi="Calibri" w:cs="Calibri"/>
          <w:sz w:val="24"/>
          <w:szCs w:val="24"/>
        </w:rPr>
        <w:t> </w:t>
      </w:r>
      <w:r w:rsidRPr="0066099C">
        <w:rPr>
          <w:rFonts w:ascii="Calibri" w:hAnsi="Calibri" w:cs="Calibri"/>
          <w:sz w:val="24"/>
          <w:szCs w:val="24"/>
        </w:rPr>
        <w:t>dalších činností pro</w:t>
      </w:r>
      <w:r w:rsidR="009D2C92">
        <w:rPr>
          <w:rFonts w:ascii="Calibri" w:hAnsi="Calibri" w:cs="Calibri"/>
          <w:sz w:val="24"/>
          <w:szCs w:val="24"/>
        </w:rPr>
        <w:t xml:space="preserve"> </w:t>
      </w:r>
      <w:r w:rsidRPr="0066099C">
        <w:rPr>
          <w:rFonts w:ascii="Calibri" w:hAnsi="Calibri" w:cs="Calibri"/>
          <w:sz w:val="24"/>
          <w:szCs w:val="24"/>
        </w:rPr>
        <w:t>stát z cca 45 až 50 %.</w:t>
      </w:r>
    </w:p>
    <w:p w14:paraId="2E9ED08C" w14:textId="77777777" w:rsidR="00003FB7" w:rsidRPr="0066099C" w:rsidRDefault="00003FB7" w:rsidP="0066099C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1DB35D95" w14:textId="1BB13F58" w:rsidR="003330BE" w:rsidRPr="00003FB7" w:rsidRDefault="003330BE" w:rsidP="007A498E">
      <w:pPr>
        <w:keepNext/>
        <w:spacing w:after="0" w:line="240" w:lineRule="auto"/>
        <w:rPr>
          <w:rFonts w:ascii="Calibri" w:hAnsi="Calibri" w:cs="Calibri"/>
          <w:b/>
          <w:sz w:val="24"/>
          <w:szCs w:val="24"/>
          <w:lang w:eastAsia="hi-IN" w:bidi="hi-IN"/>
        </w:rPr>
      </w:pPr>
      <w:r w:rsidRPr="00003FB7">
        <w:rPr>
          <w:rFonts w:ascii="Calibri" w:hAnsi="Calibri" w:cs="Calibri"/>
          <w:b/>
          <w:sz w:val="24"/>
          <w:szCs w:val="24"/>
          <w:lang w:eastAsia="hi-IN" w:bidi="hi-IN"/>
        </w:rPr>
        <w:t>Při použití příspěvku na provoz existuje riziko nedovolené veřejné podpory</w:t>
      </w:r>
    </w:p>
    <w:p w14:paraId="0519E4FD" w14:textId="77777777" w:rsidR="00003FB7" w:rsidRDefault="00003FB7" w:rsidP="007A498E">
      <w:pPr>
        <w:keepNext/>
        <w:spacing w:after="0" w:line="240" w:lineRule="auto"/>
        <w:rPr>
          <w:rFonts w:ascii="Calibri" w:hAnsi="Calibri" w:cs="Calibri"/>
          <w:sz w:val="24"/>
          <w:szCs w:val="24"/>
          <w:lang w:eastAsia="hi-IN" w:bidi="hi-IN"/>
        </w:rPr>
      </w:pPr>
    </w:p>
    <w:p w14:paraId="4D7278CE" w14:textId="79D7C58B" w:rsidR="003330BE" w:rsidRPr="0066099C" w:rsidRDefault="003330BE" w:rsidP="0066099C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66099C">
        <w:rPr>
          <w:rFonts w:ascii="Calibri" w:hAnsi="Calibri" w:cs="Calibri"/>
          <w:sz w:val="24"/>
          <w:szCs w:val="24"/>
          <w:lang w:eastAsia="hi-IN" w:bidi="hi-IN"/>
        </w:rPr>
        <w:t xml:space="preserve">ZÚ v letech 2017 až 2019 obdržely od zřizovatele příspěvek na provoz v celkové výši </w:t>
      </w:r>
      <w:r w:rsidRPr="0066099C">
        <w:rPr>
          <w:rFonts w:ascii="Calibri" w:hAnsi="Calibri" w:cs="Calibri"/>
          <w:bCs/>
          <w:sz w:val="24"/>
          <w:szCs w:val="24"/>
        </w:rPr>
        <w:t>254 356 333 Kč.</w:t>
      </w:r>
      <w:r w:rsidRPr="0066099C">
        <w:rPr>
          <w:rFonts w:ascii="Calibri" w:hAnsi="Calibri" w:cs="Calibri"/>
          <w:sz w:val="24"/>
          <w:szCs w:val="24"/>
          <w:lang w:eastAsia="hi-IN" w:bidi="hi-IN"/>
        </w:rPr>
        <w:t xml:space="preserve"> K výši poskytnutého příspěvku na provoz a jeho čerpání během roku </w:t>
      </w:r>
      <w:proofErr w:type="spellStart"/>
      <w:r w:rsidRPr="0066099C">
        <w:rPr>
          <w:rFonts w:ascii="Calibri" w:hAnsi="Calibri" w:cs="Calibri"/>
          <w:sz w:val="24"/>
          <w:szCs w:val="24"/>
          <w:lang w:eastAsia="hi-IN" w:bidi="hi-IN"/>
        </w:rPr>
        <w:t>MZd</w:t>
      </w:r>
      <w:proofErr w:type="spellEnd"/>
      <w:r w:rsidRPr="0066099C">
        <w:rPr>
          <w:rFonts w:ascii="Calibri" w:hAnsi="Calibri" w:cs="Calibri"/>
          <w:sz w:val="24"/>
          <w:szCs w:val="24"/>
          <w:lang w:eastAsia="hi-IN" w:bidi="hi-IN"/>
        </w:rPr>
        <w:t xml:space="preserve"> nestanovilo žádné ukazatele. ZÚ ve svém účetnictví nesledovaly odděleně náklady a výnosy spojené s činnostmi, které zajišťují pro výkon SZD a pro stát od ostatních služeb, které poskytovaly ve standardním konkurenčním prostředí. Při použití příspěvku na provoz tak existuje riziko nedovolené veřejné podpory, a to zejména při jeho</w:t>
      </w:r>
      <w:r w:rsidR="00003FB7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Pr="0066099C">
        <w:rPr>
          <w:rFonts w:ascii="Calibri" w:hAnsi="Calibri" w:cs="Calibri"/>
          <w:sz w:val="24"/>
          <w:szCs w:val="24"/>
          <w:lang w:eastAsia="hi-IN" w:bidi="hi-IN"/>
        </w:rPr>
        <w:t>použití ke krytí mzdových a provozních nákladů, bez možnosti spolehlivě ověřit, zda se tyto náklady vztahovaly pouze k činnostem, které ZÚ zajišťovaly pro výkon SZD a pro stát.</w:t>
      </w:r>
    </w:p>
    <w:p w14:paraId="3B9147D6" w14:textId="77777777" w:rsidR="003330BE" w:rsidRPr="0066099C" w:rsidRDefault="003330BE" w:rsidP="0066099C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bidi="cs-CZ"/>
        </w:rPr>
      </w:pPr>
    </w:p>
    <w:p w14:paraId="4F7D9DC8" w14:textId="65C256A3" w:rsidR="003330BE" w:rsidRPr="0066099C" w:rsidRDefault="003330BE" w:rsidP="00003FB7">
      <w:pPr>
        <w:keepNext/>
        <w:spacing w:after="0" w:line="240" w:lineRule="auto"/>
        <w:ind w:left="369" w:hanging="369"/>
        <w:rPr>
          <w:rFonts w:ascii="Calibri" w:hAnsi="Calibri" w:cs="Calibri"/>
          <w:sz w:val="24"/>
          <w:szCs w:val="24"/>
        </w:rPr>
      </w:pPr>
      <w:r w:rsidRPr="0066099C">
        <w:rPr>
          <w:rFonts w:ascii="Calibri" w:hAnsi="Calibri" w:cs="Calibri"/>
          <w:b/>
          <w:sz w:val="24"/>
          <w:szCs w:val="24"/>
        </w:rPr>
        <w:t>2.5</w:t>
      </w:r>
      <w:r w:rsidRPr="0066099C">
        <w:rPr>
          <w:rFonts w:ascii="Calibri" w:hAnsi="Calibri" w:cs="Calibri"/>
          <w:b/>
          <w:sz w:val="24"/>
          <w:szCs w:val="24"/>
        </w:rPr>
        <w:tab/>
      </w:r>
      <w:r w:rsidRPr="0066099C">
        <w:rPr>
          <w:rFonts w:ascii="Calibri" w:hAnsi="Calibri" w:cs="Calibri"/>
          <w:b/>
          <w:sz w:val="24"/>
          <w:szCs w:val="24"/>
          <w:lang w:eastAsia="cs-CZ"/>
        </w:rPr>
        <w:t>ZÚ v Ostravě ke konci jednotlivých let kontrolovaného období nadhodnocoval zůstatek fondu reprodukce majetku</w:t>
      </w:r>
    </w:p>
    <w:p w14:paraId="211ACE9C" w14:textId="77777777" w:rsidR="00003FB7" w:rsidRDefault="00003FB7" w:rsidP="00003FB7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1C74FF0E" w14:textId="33683DA1" w:rsidR="003330BE" w:rsidRDefault="003330BE" w:rsidP="0066099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6099C">
        <w:rPr>
          <w:rFonts w:ascii="Calibri" w:hAnsi="Calibri" w:cs="Calibri"/>
          <w:sz w:val="24"/>
          <w:szCs w:val="24"/>
          <w:lang w:eastAsia="cs-CZ"/>
        </w:rPr>
        <w:t>ZÚ v Ostravě nepostupoval</w:t>
      </w:r>
      <w:r w:rsidRPr="0066099C">
        <w:rPr>
          <w:rFonts w:ascii="Calibri" w:hAnsi="Calibri" w:cs="Calibri"/>
          <w:sz w:val="24"/>
          <w:szCs w:val="24"/>
        </w:rPr>
        <w:t xml:space="preserve"> v souladu se zákonem o účetnictví</w:t>
      </w:r>
      <w:r w:rsidRPr="0066099C">
        <w:rPr>
          <w:rStyle w:val="Znakapoznpodarou"/>
          <w:rFonts w:ascii="Calibri" w:hAnsi="Calibri" w:cs="Calibri"/>
          <w:sz w:val="24"/>
          <w:szCs w:val="24"/>
        </w:rPr>
        <w:footnoteReference w:id="50"/>
      </w:r>
      <w:r w:rsidRPr="0066099C">
        <w:rPr>
          <w:rFonts w:ascii="Calibri" w:hAnsi="Calibri" w:cs="Calibri"/>
          <w:sz w:val="24"/>
          <w:szCs w:val="24"/>
        </w:rPr>
        <w:t xml:space="preserve"> a jeho prováděcí vyhláškou</w:t>
      </w:r>
      <w:r w:rsidRPr="0066099C">
        <w:rPr>
          <w:rStyle w:val="Znakapoznpodarou"/>
          <w:rFonts w:ascii="Calibri" w:hAnsi="Calibri" w:cs="Calibri"/>
          <w:sz w:val="24"/>
          <w:szCs w:val="24"/>
        </w:rPr>
        <w:footnoteReference w:id="51"/>
      </w:r>
      <w:r w:rsidRPr="0066099C">
        <w:rPr>
          <w:rFonts w:ascii="Calibri" w:hAnsi="Calibri" w:cs="Calibri"/>
          <w:sz w:val="24"/>
          <w:szCs w:val="24"/>
        </w:rPr>
        <w:t>,</w:t>
      </w:r>
      <w:r w:rsidRPr="0066099C">
        <w:rPr>
          <w:rFonts w:ascii="Calibri" w:hAnsi="Calibri" w:cs="Calibri"/>
          <w:bCs/>
          <w:sz w:val="24"/>
          <w:szCs w:val="24"/>
        </w:rPr>
        <w:t xml:space="preserve"> neboť </w:t>
      </w:r>
      <w:r w:rsidRPr="0066099C">
        <w:rPr>
          <w:rFonts w:ascii="Calibri" w:hAnsi="Calibri" w:cs="Calibri"/>
          <w:sz w:val="24"/>
          <w:szCs w:val="24"/>
        </w:rPr>
        <w:t xml:space="preserve">neúčtoval o snížení fondu reprodukce majetku o část nekrytou finančními prostředky, </w:t>
      </w:r>
      <w:r w:rsidRPr="0066099C">
        <w:rPr>
          <w:rFonts w:ascii="Calibri" w:hAnsi="Calibri" w:cs="Calibri"/>
          <w:sz w:val="24"/>
          <w:szCs w:val="24"/>
        </w:rPr>
        <w:lastRenderedPageBreak/>
        <w:t xml:space="preserve">a neuchoval záznamy, ze kterých vyplývala výše zjištěných rozdílů. Uvedeným postupem ZÚ v Ostravě v účetních závěrkách </w:t>
      </w:r>
      <w:r w:rsidR="009D2C92">
        <w:rPr>
          <w:rFonts w:ascii="Calibri" w:hAnsi="Calibri" w:cs="Calibri"/>
          <w:sz w:val="24"/>
          <w:szCs w:val="24"/>
        </w:rPr>
        <w:t xml:space="preserve">za roky </w:t>
      </w:r>
      <w:r w:rsidRPr="0066099C">
        <w:rPr>
          <w:rFonts w:ascii="Calibri" w:hAnsi="Calibri" w:cs="Calibri"/>
          <w:sz w:val="24"/>
          <w:szCs w:val="24"/>
        </w:rPr>
        <w:t>2017, 2018 a 2019 v údajích za běžné účetní období</w:t>
      </w:r>
      <w:r w:rsidRPr="0066099C">
        <w:rPr>
          <w:rStyle w:val="Znakapoznpodarou"/>
          <w:rFonts w:ascii="Calibri" w:hAnsi="Calibri" w:cs="Calibri"/>
          <w:sz w:val="24"/>
          <w:szCs w:val="24"/>
        </w:rPr>
        <w:t xml:space="preserve"> </w:t>
      </w:r>
      <w:r w:rsidRPr="0066099C">
        <w:rPr>
          <w:rFonts w:ascii="Calibri" w:hAnsi="Calibri" w:cs="Calibri"/>
          <w:sz w:val="24"/>
          <w:szCs w:val="24"/>
        </w:rPr>
        <w:t xml:space="preserve">nadhodnotil zůstatek účtu 416 – </w:t>
      </w:r>
      <w:r w:rsidRPr="004B540C">
        <w:rPr>
          <w:rFonts w:ascii="Calibri" w:hAnsi="Calibri" w:cs="Calibri"/>
          <w:i/>
          <w:sz w:val="24"/>
          <w:szCs w:val="24"/>
        </w:rPr>
        <w:t>Fond reprodukce majetku, fond investic</w:t>
      </w:r>
      <w:r w:rsidRPr="0066099C">
        <w:rPr>
          <w:rFonts w:ascii="Calibri" w:hAnsi="Calibri" w:cs="Calibri"/>
          <w:sz w:val="24"/>
          <w:szCs w:val="24"/>
        </w:rPr>
        <w:t xml:space="preserve"> minimálně (dle jeho algoritmu výpočtu) o 24 654 881,22 Kč v roce 2017, o 32 416 473,54 Kč v roce 2018 a o 37 403 419,56 Kč v roce 2019 ve výkazech </w:t>
      </w:r>
      <w:r w:rsidR="009D2C92">
        <w:rPr>
          <w:rFonts w:ascii="Calibri" w:hAnsi="Calibri" w:cs="Calibri"/>
          <w:sz w:val="24"/>
          <w:szCs w:val="24"/>
        </w:rPr>
        <w:t>r</w:t>
      </w:r>
      <w:r w:rsidRPr="0066099C">
        <w:rPr>
          <w:rFonts w:ascii="Calibri" w:hAnsi="Calibri" w:cs="Calibri"/>
          <w:sz w:val="24"/>
          <w:szCs w:val="24"/>
        </w:rPr>
        <w:t xml:space="preserve">ozvaha. Souvztažně je uvedená nesprávnost zobrazena v účetních závěrkách podhodnocením zůstatků účtů 649 – </w:t>
      </w:r>
      <w:r w:rsidRPr="004B540C">
        <w:rPr>
          <w:rFonts w:ascii="Calibri" w:hAnsi="Calibri" w:cs="Calibri"/>
          <w:i/>
          <w:sz w:val="24"/>
          <w:szCs w:val="24"/>
        </w:rPr>
        <w:t>Ostatní výnosy z činnosti</w:t>
      </w:r>
      <w:r w:rsidRPr="0066099C">
        <w:rPr>
          <w:rFonts w:ascii="Calibri" w:hAnsi="Calibri" w:cs="Calibri"/>
          <w:sz w:val="24"/>
          <w:szCs w:val="24"/>
        </w:rPr>
        <w:t xml:space="preserve"> a 408 – </w:t>
      </w:r>
      <w:r w:rsidRPr="004B540C">
        <w:rPr>
          <w:rFonts w:ascii="Calibri" w:hAnsi="Calibri" w:cs="Calibri"/>
          <w:i/>
          <w:sz w:val="24"/>
          <w:szCs w:val="24"/>
        </w:rPr>
        <w:t>Opravy předcházejících účetních období</w:t>
      </w:r>
      <w:r w:rsidRPr="0066099C">
        <w:rPr>
          <w:rFonts w:ascii="Calibri" w:hAnsi="Calibri" w:cs="Calibri"/>
          <w:sz w:val="24"/>
          <w:szCs w:val="24"/>
        </w:rPr>
        <w:t xml:space="preserve">. </w:t>
      </w:r>
    </w:p>
    <w:p w14:paraId="4F698165" w14:textId="77777777" w:rsidR="00003FB7" w:rsidRPr="0066099C" w:rsidRDefault="00003FB7" w:rsidP="0066099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95DA35" w14:textId="41112161" w:rsidR="003330BE" w:rsidRDefault="003330BE" w:rsidP="0066099C">
      <w:pPr>
        <w:spacing w:after="0" w:line="240" w:lineRule="auto"/>
        <w:jc w:val="both"/>
        <w:rPr>
          <w:rFonts w:ascii="Calibri" w:eastAsia="Calibri" w:hAnsi="Calibri" w:cs="Calibri"/>
          <w:iCs/>
          <w:sz w:val="24"/>
          <w:szCs w:val="24"/>
        </w:rPr>
      </w:pPr>
      <w:r w:rsidRPr="0066099C">
        <w:rPr>
          <w:rFonts w:ascii="Calibri" w:eastAsia="Calibri" w:hAnsi="Calibri" w:cs="Calibri"/>
          <w:iCs/>
          <w:sz w:val="24"/>
          <w:szCs w:val="24"/>
        </w:rPr>
        <w:t xml:space="preserve">ZÚ v Ostravě dále v rozporu s výše uvedenou vyhláškou neuvedl v příloze účetních závěrek sestavených k 31. 12. 2017, 2018 a 2019 zdůvodnění, proč nebylo možno </w:t>
      </w:r>
      <w:r w:rsidR="009D2C92" w:rsidRPr="0066099C">
        <w:rPr>
          <w:rFonts w:ascii="Calibri" w:hAnsi="Calibri" w:cs="Calibri"/>
          <w:sz w:val="24"/>
          <w:szCs w:val="24"/>
        </w:rPr>
        <w:t>krýt</w:t>
      </w:r>
      <w:r w:rsidR="009D2C92" w:rsidRPr="0066099C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Pr="0066099C">
        <w:rPr>
          <w:rFonts w:ascii="Calibri" w:eastAsia="Calibri" w:hAnsi="Calibri" w:cs="Calibri"/>
          <w:iCs/>
          <w:sz w:val="24"/>
          <w:szCs w:val="24"/>
        </w:rPr>
        <w:t>fond reprodukce majetku finančními prostředky.</w:t>
      </w:r>
    </w:p>
    <w:p w14:paraId="18E0E6EB" w14:textId="77777777" w:rsidR="00003FB7" w:rsidRPr="0066099C" w:rsidRDefault="00003FB7" w:rsidP="0066099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0779AD" w14:textId="5FE38CAB" w:rsidR="003330BE" w:rsidRPr="0066099C" w:rsidRDefault="003330BE" w:rsidP="0066099C">
      <w:pPr>
        <w:spacing w:after="0" w:line="240" w:lineRule="auto"/>
        <w:jc w:val="both"/>
        <w:rPr>
          <w:rFonts w:ascii="Calibri" w:eastAsia="Calibri" w:hAnsi="Calibri" w:cs="Calibri"/>
          <w:iCs/>
          <w:sz w:val="24"/>
          <w:szCs w:val="24"/>
        </w:rPr>
      </w:pPr>
      <w:r w:rsidRPr="0066099C">
        <w:rPr>
          <w:rFonts w:ascii="Calibri" w:hAnsi="Calibri" w:cs="Calibri"/>
          <w:sz w:val="24"/>
          <w:szCs w:val="24"/>
        </w:rPr>
        <w:t>ZÚ v Ostravě rovněž nepostupoval v souladu se svými vnitřními předpisy (směrnicemi</w:t>
      </w:r>
      <w:r w:rsidRPr="0066099C">
        <w:rPr>
          <w:rStyle w:val="Znakapoznpodarou"/>
          <w:rFonts w:ascii="Calibri" w:hAnsi="Calibri" w:cs="Calibri"/>
          <w:sz w:val="24"/>
          <w:szCs w:val="24"/>
        </w:rPr>
        <w:footnoteReference w:id="52"/>
      </w:r>
      <w:r w:rsidRPr="0066099C">
        <w:rPr>
          <w:rFonts w:ascii="Calibri" w:hAnsi="Calibri" w:cs="Calibri"/>
          <w:sz w:val="24"/>
          <w:szCs w:val="24"/>
        </w:rPr>
        <w:t>), neboť i podle nich měl nekrytou část fondu reprodukce majetku</w:t>
      </w:r>
      <w:r w:rsidR="009D2C92">
        <w:rPr>
          <w:rFonts w:ascii="Calibri" w:hAnsi="Calibri" w:cs="Calibri"/>
          <w:sz w:val="24"/>
          <w:szCs w:val="24"/>
        </w:rPr>
        <w:t xml:space="preserve"> </w:t>
      </w:r>
      <w:r w:rsidRPr="0066099C">
        <w:rPr>
          <w:rFonts w:ascii="Calibri" w:hAnsi="Calibri" w:cs="Calibri"/>
          <w:sz w:val="24"/>
          <w:szCs w:val="24"/>
        </w:rPr>
        <w:t xml:space="preserve">proúčtovat a v příloze účetní závěrky zdůvodnit, proč nebylo možno </w:t>
      </w:r>
      <w:r w:rsidR="009D2C92" w:rsidRPr="0066099C">
        <w:rPr>
          <w:rFonts w:ascii="Calibri" w:hAnsi="Calibri" w:cs="Calibri"/>
          <w:sz w:val="24"/>
          <w:szCs w:val="24"/>
        </w:rPr>
        <w:t xml:space="preserve">krýt </w:t>
      </w:r>
      <w:r w:rsidRPr="0066099C">
        <w:rPr>
          <w:rFonts w:ascii="Calibri" w:hAnsi="Calibri" w:cs="Calibri"/>
          <w:sz w:val="24"/>
          <w:szCs w:val="24"/>
        </w:rPr>
        <w:t xml:space="preserve">fond reprodukce majetku finančními prostředky.  </w:t>
      </w:r>
    </w:p>
    <w:p w14:paraId="44D38D15" w14:textId="77777777" w:rsidR="003330BE" w:rsidRPr="0066099C" w:rsidRDefault="003330BE" w:rsidP="0066099C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bidi="cs-CZ"/>
        </w:rPr>
      </w:pPr>
    </w:p>
    <w:p w14:paraId="02D8310E" w14:textId="379866F8" w:rsidR="003330BE" w:rsidRPr="0066099C" w:rsidRDefault="003330BE" w:rsidP="00003FB7">
      <w:pPr>
        <w:pStyle w:val="Nadpis1"/>
        <w:spacing w:before="0" w:after="0"/>
        <w:ind w:left="369" w:hanging="369"/>
        <w:rPr>
          <w:rFonts w:ascii="Calibri" w:hAnsi="Calibri" w:cs="Calibri"/>
          <w:sz w:val="24"/>
          <w:szCs w:val="24"/>
        </w:rPr>
      </w:pPr>
      <w:bookmarkStart w:id="1" w:name="_Toc256000030"/>
      <w:bookmarkStart w:id="2" w:name="_Toc50040379"/>
      <w:r w:rsidRPr="0066099C">
        <w:rPr>
          <w:rFonts w:ascii="Calibri" w:hAnsi="Calibri" w:cs="Calibri"/>
          <w:sz w:val="24"/>
          <w:szCs w:val="24"/>
        </w:rPr>
        <w:t>3</w:t>
      </w:r>
      <w:r w:rsidR="009D2C92">
        <w:rPr>
          <w:rFonts w:ascii="Calibri" w:hAnsi="Calibri" w:cs="Calibri"/>
          <w:sz w:val="24"/>
          <w:szCs w:val="24"/>
        </w:rPr>
        <w:t>.</w:t>
      </w:r>
      <w:r w:rsidR="007A498E">
        <w:rPr>
          <w:rFonts w:ascii="Calibri" w:hAnsi="Calibri" w:cs="Calibri"/>
          <w:sz w:val="24"/>
          <w:szCs w:val="24"/>
        </w:rPr>
        <w:t xml:space="preserve"> </w:t>
      </w:r>
      <w:r w:rsidRPr="0066099C">
        <w:rPr>
          <w:rFonts w:ascii="Calibri" w:hAnsi="Calibri" w:cs="Calibri"/>
          <w:sz w:val="24"/>
          <w:szCs w:val="24"/>
        </w:rPr>
        <w:t>Veřejné nakupování</w:t>
      </w:r>
      <w:bookmarkEnd w:id="1"/>
      <w:bookmarkEnd w:id="2"/>
      <w:r w:rsidRPr="0066099C">
        <w:rPr>
          <w:rFonts w:ascii="Calibri" w:hAnsi="Calibri" w:cs="Calibri"/>
          <w:sz w:val="24"/>
          <w:szCs w:val="24"/>
        </w:rPr>
        <w:t xml:space="preserve"> zdravotních ústavů</w:t>
      </w:r>
    </w:p>
    <w:p w14:paraId="3ADE9212" w14:textId="77777777" w:rsidR="00003FB7" w:rsidRPr="00003FB7" w:rsidRDefault="00003FB7" w:rsidP="00003FB7">
      <w:pPr>
        <w:keepNext/>
        <w:tabs>
          <w:tab w:val="left" w:pos="709"/>
        </w:tabs>
        <w:spacing w:after="0" w:line="240" w:lineRule="auto"/>
        <w:ind w:left="369" w:hanging="369"/>
        <w:rPr>
          <w:rFonts w:ascii="Calibri" w:hAnsi="Calibri" w:cs="Calibri"/>
          <w:sz w:val="24"/>
          <w:szCs w:val="24"/>
        </w:rPr>
      </w:pPr>
    </w:p>
    <w:p w14:paraId="079687EC" w14:textId="15CB7632" w:rsidR="003330BE" w:rsidRPr="0066099C" w:rsidRDefault="003330BE" w:rsidP="007A498E">
      <w:pPr>
        <w:keepNext/>
        <w:spacing w:after="0" w:line="240" w:lineRule="auto"/>
        <w:ind w:left="369" w:hanging="369"/>
        <w:rPr>
          <w:rFonts w:ascii="Calibri" w:eastAsia="Times New Roman" w:hAnsi="Calibri" w:cs="Calibri"/>
          <w:sz w:val="24"/>
          <w:szCs w:val="24"/>
        </w:rPr>
      </w:pPr>
      <w:r w:rsidRPr="0066099C">
        <w:rPr>
          <w:rFonts w:ascii="Calibri" w:hAnsi="Calibri" w:cs="Calibri"/>
          <w:b/>
          <w:sz w:val="24"/>
          <w:szCs w:val="24"/>
        </w:rPr>
        <w:t>3.1</w:t>
      </w:r>
      <w:r w:rsidRPr="0066099C">
        <w:rPr>
          <w:rFonts w:ascii="Calibri" w:hAnsi="Calibri" w:cs="Calibri"/>
          <w:b/>
          <w:sz w:val="24"/>
          <w:szCs w:val="24"/>
        </w:rPr>
        <w:tab/>
        <w:t>Většina výdajů zdravotních ústavů na veřejné nákupy probíhala formou veřejných zakázek malého rozsahu</w:t>
      </w:r>
    </w:p>
    <w:p w14:paraId="34E928E0" w14:textId="77777777" w:rsidR="00003FB7" w:rsidRDefault="00003FB7" w:rsidP="00003FB7">
      <w:pPr>
        <w:keepNext/>
        <w:spacing w:after="0" w:line="240" w:lineRule="auto"/>
        <w:ind w:left="369" w:hanging="369"/>
        <w:rPr>
          <w:rFonts w:ascii="Calibri" w:eastAsia="Times New Roman" w:hAnsi="Calibri" w:cs="Calibri"/>
          <w:sz w:val="24"/>
          <w:szCs w:val="24"/>
        </w:rPr>
      </w:pPr>
    </w:p>
    <w:p w14:paraId="6FD1DF6E" w14:textId="31E65E14" w:rsidR="003330BE" w:rsidRPr="0066099C" w:rsidRDefault="003330BE" w:rsidP="0066099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66099C">
        <w:rPr>
          <w:rFonts w:ascii="Calibri" w:eastAsia="Times New Roman" w:hAnsi="Calibri" w:cs="Calibri"/>
          <w:sz w:val="24"/>
          <w:szCs w:val="24"/>
        </w:rPr>
        <w:t xml:space="preserve">ZÚ vynaložily v letech 2017 až 2019 na úhrady dodavatelům za provedené nákupy celkem částku 1 348 459 551,13 Kč. Z toho významnou část výdajů ve výši 1 149 723 233,19 Kč vynaložily ZÚ na </w:t>
      </w:r>
      <w:r w:rsidRPr="0066099C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úhrady nákupů pořízených v rámci veřejných zakázek malého rozsahu (vč. přímých objednávek). </w:t>
      </w:r>
      <w:r w:rsidRPr="0066099C">
        <w:rPr>
          <w:rFonts w:ascii="Calibri" w:eastAsia="Times New Roman" w:hAnsi="Calibri" w:cs="Calibri"/>
          <w:b/>
          <w:sz w:val="24"/>
          <w:szCs w:val="24"/>
          <w:lang w:eastAsia="hi-IN" w:bidi="hi-IN"/>
        </w:rPr>
        <w:t xml:space="preserve">Podíl výdajů na úhrady nákupů pořízených v rámci veřejných zakázek malého rozsahu </w:t>
      </w:r>
      <w:r w:rsidRPr="0066099C">
        <w:rPr>
          <w:rFonts w:ascii="Calibri" w:hAnsi="Calibri" w:cs="Calibri"/>
          <w:b/>
          <w:sz w:val="24"/>
          <w:szCs w:val="24"/>
        </w:rPr>
        <w:t xml:space="preserve">(dále také „VZMR“) </w:t>
      </w:r>
      <w:r w:rsidRPr="0066099C">
        <w:rPr>
          <w:rFonts w:ascii="Calibri" w:eastAsia="Times New Roman" w:hAnsi="Calibri" w:cs="Calibri"/>
          <w:b/>
          <w:sz w:val="24"/>
          <w:szCs w:val="24"/>
          <w:lang w:eastAsia="hi-IN" w:bidi="hi-IN"/>
        </w:rPr>
        <w:t xml:space="preserve">na výdajích za celkové nákupy tak představoval </w:t>
      </w:r>
      <w:r w:rsidRPr="0066099C">
        <w:rPr>
          <w:rFonts w:ascii="Calibri" w:eastAsia="Times New Roman" w:hAnsi="Calibri" w:cs="Calibri"/>
          <w:b/>
          <w:sz w:val="24"/>
          <w:szCs w:val="24"/>
        </w:rPr>
        <w:t>85,26</w:t>
      </w:r>
      <w:r w:rsidRPr="0066099C">
        <w:rPr>
          <w:rFonts w:ascii="Calibri" w:eastAsia="Times New Roman" w:hAnsi="Calibri" w:cs="Calibri"/>
          <w:b/>
          <w:sz w:val="24"/>
          <w:szCs w:val="24"/>
          <w:lang w:eastAsia="hi-IN" w:bidi="hi-IN"/>
        </w:rPr>
        <w:t> </w:t>
      </w:r>
      <w:r w:rsidRPr="0066099C">
        <w:rPr>
          <w:rFonts w:ascii="Calibri" w:eastAsia="Times New Roman" w:hAnsi="Calibri" w:cs="Calibri"/>
          <w:b/>
          <w:sz w:val="24"/>
          <w:szCs w:val="24"/>
        </w:rPr>
        <w:t xml:space="preserve">%. </w:t>
      </w:r>
      <w:r w:rsidRPr="0066099C">
        <w:rPr>
          <w:rFonts w:ascii="Calibri" w:hAnsi="Calibri" w:cs="Calibri"/>
          <w:b/>
          <w:sz w:val="24"/>
          <w:szCs w:val="24"/>
        </w:rPr>
        <w:t>Z takto vysokého podílu nákupů realizovaných mimo zadávací řízení podle zákona</w:t>
      </w:r>
      <w:r w:rsidRPr="0066099C">
        <w:rPr>
          <w:rStyle w:val="Znakapoznpodarou"/>
          <w:rFonts w:ascii="Calibri" w:hAnsi="Calibri" w:cs="Calibri"/>
          <w:b/>
          <w:sz w:val="24"/>
          <w:szCs w:val="24"/>
        </w:rPr>
        <w:footnoteReference w:id="53"/>
      </w:r>
      <w:r w:rsidRPr="0066099C">
        <w:rPr>
          <w:rFonts w:ascii="Calibri" w:hAnsi="Calibri" w:cs="Calibri"/>
          <w:b/>
          <w:sz w:val="24"/>
          <w:szCs w:val="24"/>
        </w:rPr>
        <w:t xml:space="preserve"> vyplývá zvýšené riziko nedodržení zásady transparentnosti, přiměřenosti, rovného zacházení a zákazu diskriminace, a tedy i principů 3E. </w:t>
      </w:r>
      <w:r w:rsidRPr="0066099C">
        <w:rPr>
          <w:rFonts w:ascii="Calibri" w:eastAsia="Times New Roman" w:hAnsi="Calibri" w:cs="Calibri"/>
          <w:b/>
          <w:sz w:val="24"/>
          <w:szCs w:val="24"/>
        </w:rPr>
        <w:t xml:space="preserve">Toto riziko by měla nakupující organizace eliminovat nastavením pravidel (postupů) pro veřejné zakázky malého rozsahu v rámci vnitřních předpisů </w:t>
      </w:r>
      <w:r w:rsidRPr="0066099C">
        <w:rPr>
          <w:rFonts w:ascii="Calibri" w:eastAsia="Times New Roman" w:hAnsi="Calibri" w:cs="Calibri"/>
          <w:sz w:val="24"/>
          <w:szCs w:val="24"/>
        </w:rPr>
        <w:t>(např. pro stanovení lhůty pro podání nabídek, předpokládané hodnoty, váhy hodnot</w:t>
      </w:r>
      <w:r w:rsidR="00AC0701">
        <w:rPr>
          <w:rFonts w:ascii="Calibri" w:eastAsia="Times New Roman" w:hAnsi="Calibri" w:cs="Calibri"/>
          <w:sz w:val="24"/>
          <w:szCs w:val="24"/>
        </w:rPr>
        <w:t>i</w:t>
      </w:r>
      <w:r w:rsidRPr="0066099C">
        <w:rPr>
          <w:rFonts w:ascii="Calibri" w:eastAsia="Times New Roman" w:hAnsi="Calibri" w:cs="Calibri"/>
          <w:sz w:val="24"/>
          <w:szCs w:val="24"/>
        </w:rPr>
        <w:t>cích kritérií a metody pro jejich hodnocení apod.).</w:t>
      </w:r>
      <w:r w:rsidRPr="0066099C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66099C">
        <w:rPr>
          <w:rFonts w:ascii="Calibri" w:eastAsia="Times New Roman" w:hAnsi="Calibri" w:cs="Calibri"/>
          <w:sz w:val="24"/>
          <w:szCs w:val="24"/>
        </w:rPr>
        <w:t xml:space="preserve">Podrobnosti za jednotlivé ZÚ jsou uvedeny v následujících tabulkách č. 7 a 8. </w:t>
      </w:r>
      <w:r w:rsidRPr="0066099C">
        <w:rPr>
          <w:rFonts w:ascii="Calibri" w:hAnsi="Calibri" w:cs="Calibri"/>
          <w:b/>
          <w:sz w:val="24"/>
          <w:szCs w:val="24"/>
        </w:rPr>
        <w:t xml:space="preserve">V souvislosti s VZMR bylo kontrolou zjištěno porušení některé z uvedených zásad u nákupů </w:t>
      </w:r>
      <w:r w:rsidR="00AC0701">
        <w:rPr>
          <w:rFonts w:ascii="Calibri" w:hAnsi="Calibri" w:cs="Calibri"/>
          <w:b/>
          <w:sz w:val="24"/>
          <w:szCs w:val="24"/>
        </w:rPr>
        <w:t>převyšující</w:t>
      </w:r>
      <w:r w:rsidRPr="0066099C">
        <w:rPr>
          <w:rFonts w:ascii="Calibri" w:hAnsi="Calibri" w:cs="Calibri"/>
          <w:b/>
          <w:sz w:val="24"/>
          <w:szCs w:val="24"/>
        </w:rPr>
        <w:t xml:space="preserve"> 31</w:t>
      </w:r>
      <w:r w:rsidR="00AC0701">
        <w:rPr>
          <w:rFonts w:ascii="Calibri" w:hAnsi="Calibri" w:cs="Calibri"/>
          <w:b/>
          <w:sz w:val="24"/>
          <w:szCs w:val="24"/>
        </w:rPr>
        <w:t> </w:t>
      </w:r>
      <w:r w:rsidRPr="0066099C">
        <w:rPr>
          <w:rFonts w:ascii="Calibri" w:hAnsi="Calibri" w:cs="Calibri"/>
          <w:b/>
          <w:sz w:val="24"/>
          <w:szCs w:val="24"/>
        </w:rPr>
        <w:t>mil.</w:t>
      </w:r>
      <w:r w:rsidR="00AC0701">
        <w:rPr>
          <w:rFonts w:ascii="Calibri" w:hAnsi="Calibri" w:cs="Calibri"/>
          <w:b/>
          <w:sz w:val="24"/>
          <w:szCs w:val="24"/>
        </w:rPr>
        <w:t> </w:t>
      </w:r>
      <w:r w:rsidRPr="0066099C">
        <w:rPr>
          <w:rFonts w:ascii="Calibri" w:hAnsi="Calibri" w:cs="Calibri"/>
          <w:b/>
          <w:sz w:val="24"/>
          <w:szCs w:val="24"/>
        </w:rPr>
        <w:t>Kč</w:t>
      </w:r>
      <w:r w:rsidRPr="0066099C">
        <w:rPr>
          <w:rFonts w:ascii="Calibri" w:hAnsi="Calibri" w:cs="Calibri"/>
          <w:sz w:val="24"/>
          <w:szCs w:val="24"/>
        </w:rPr>
        <w:t xml:space="preserve"> (viz dále bod </w:t>
      </w:r>
      <w:proofErr w:type="gramStart"/>
      <w:r w:rsidRPr="0066099C">
        <w:rPr>
          <w:rFonts w:ascii="Calibri" w:hAnsi="Calibri" w:cs="Calibri"/>
          <w:sz w:val="24"/>
          <w:szCs w:val="24"/>
        </w:rPr>
        <w:t>IV.3.7</w:t>
      </w:r>
      <w:proofErr w:type="gramEnd"/>
      <w:r w:rsidRPr="0066099C">
        <w:rPr>
          <w:rFonts w:ascii="Calibri" w:hAnsi="Calibri" w:cs="Calibri"/>
          <w:sz w:val="24"/>
          <w:szCs w:val="24"/>
        </w:rPr>
        <w:t xml:space="preserve"> tohoto kontrolního závěru)</w:t>
      </w:r>
      <w:r w:rsidRPr="0066099C">
        <w:rPr>
          <w:rFonts w:ascii="Calibri" w:eastAsia="Times New Roman" w:hAnsi="Calibri" w:cs="Calibri"/>
          <w:sz w:val="24"/>
          <w:szCs w:val="24"/>
        </w:rPr>
        <w:t>.</w:t>
      </w:r>
    </w:p>
    <w:p w14:paraId="617578CB" w14:textId="77777777" w:rsidR="003330BE" w:rsidRPr="0066099C" w:rsidRDefault="003330BE" w:rsidP="0066099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</w:p>
    <w:p w14:paraId="72A7EB12" w14:textId="588511D8" w:rsidR="003330BE" w:rsidRPr="0066099C" w:rsidRDefault="003330BE" w:rsidP="007A498E">
      <w:pPr>
        <w:keepNext/>
        <w:widowControl w:val="0"/>
        <w:tabs>
          <w:tab w:val="left" w:pos="1418"/>
          <w:tab w:val="right" w:pos="9072"/>
        </w:tabs>
        <w:spacing w:after="40" w:line="240" w:lineRule="auto"/>
        <w:ind w:left="1418" w:hanging="1418"/>
        <w:rPr>
          <w:rFonts w:ascii="Calibri" w:eastAsia="Times New Roman" w:hAnsi="Calibri" w:cs="Calibri"/>
          <w:b/>
          <w:sz w:val="24"/>
          <w:szCs w:val="24"/>
        </w:rPr>
      </w:pPr>
      <w:r w:rsidRPr="0066099C">
        <w:rPr>
          <w:rFonts w:ascii="Calibri" w:eastAsia="Times New Roman" w:hAnsi="Calibri" w:cs="Calibri"/>
          <w:b/>
          <w:sz w:val="24"/>
          <w:szCs w:val="24"/>
        </w:rPr>
        <w:lastRenderedPageBreak/>
        <w:t xml:space="preserve">Tabulka č. 7: Rozdělení výdajů ZÚ v Ostravě podle výběrů dodavatelů </w:t>
      </w:r>
      <w:r w:rsidR="0066099C">
        <w:rPr>
          <w:rFonts w:ascii="Calibri" w:eastAsia="Times New Roman" w:hAnsi="Calibri" w:cs="Calibri"/>
          <w:b/>
          <w:sz w:val="24"/>
          <w:szCs w:val="24"/>
        </w:rPr>
        <w:tab/>
      </w:r>
      <w:r w:rsidRPr="0066099C">
        <w:rPr>
          <w:rFonts w:ascii="Calibri" w:eastAsia="Times New Roman" w:hAnsi="Calibri" w:cs="Calibri"/>
          <w:b/>
          <w:sz w:val="24"/>
          <w:szCs w:val="24"/>
        </w:rPr>
        <w:t>(v Kč)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1559"/>
        <w:gridCol w:w="1559"/>
      </w:tblGrid>
      <w:tr w:rsidR="003330BE" w:rsidRPr="007A498E" w14:paraId="69F1EC6F" w14:textId="77777777" w:rsidTr="007A498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EF1FDE3" w14:textId="77777777" w:rsidR="003330BE" w:rsidRPr="007A498E" w:rsidRDefault="003330BE" w:rsidP="007A498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A49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4A5BA1F" w14:textId="77777777" w:rsidR="003330BE" w:rsidRPr="007A498E" w:rsidRDefault="003330BE" w:rsidP="007A498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4E1E3C5" w14:textId="77777777" w:rsidR="003330BE" w:rsidRPr="007A498E" w:rsidRDefault="003330BE" w:rsidP="007A498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8EBD25C" w14:textId="77777777" w:rsidR="003330BE" w:rsidRPr="007A498E" w:rsidRDefault="003330BE" w:rsidP="007A498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2019</w:t>
            </w:r>
          </w:p>
        </w:tc>
      </w:tr>
      <w:tr w:rsidR="003330BE" w:rsidRPr="007A498E" w14:paraId="486EBC59" w14:textId="77777777" w:rsidTr="007A498E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85670" w14:textId="77777777" w:rsidR="003330BE" w:rsidRPr="007A498E" w:rsidRDefault="003330BE" w:rsidP="007A498E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sz w:val="20"/>
                <w:szCs w:val="20"/>
              </w:rPr>
              <w:t>Výdaje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C0AF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561 452 628,89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4C3AD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513 529 640,92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3C1CD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530 850 774,61</w:t>
            </w:r>
          </w:p>
        </w:tc>
      </w:tr>
      <w:tr w:rsidR="003330BE" w:rsidRPr="007A498E" w14:paraId="62747BC9" w14:textId="77777777" w:rsidTr="007A498E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C8B3B" w14:textId="77777777" w:rsidR="003330BE" w:rsidRPr="007A498E" w:rsidRDefault="003330BE" w:rsidP="007A498E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sz w:val="20"/>
                <w:szCs w:val="20"/>
              </w:rPr>
              <w:t>Úhrady dodavatelům (nákupy – dodávky, služby, stavební práce)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63BAA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293 993 380,97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BAB72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220 693 338,65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D0137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214 498 032,51</w:t>
            </w:r>
          </w:p>
        </w:tc>
      </w:tr>
      <w:tr w:rsidR="003330BE" w:rsidRPr="007A498E" w14:paraId="0EDB8197" w14:textId="77777777" w:rsidTr="007A498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F1FF"/>
            <w:noWrap/>
            <w:vAlign w:val="center"/>
          </w:tcPr>
          <w:p w14:paraId="29BDC1EF" w14:textId="77777777" w:rsidR="003330BE" w:rsidRPr="007A498E" w:rsidRDefault="003330BE" w:rsidP="007A498E">
            <w:pPr>
              <w:keepNext/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</w:rPr>
              <w:t>Z toho podle období provedení: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1FF"/>
            <w:vAlign w:val="center"/>
          </w:tcPr>
          <w:p w14:paraId="6FC5C796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1FF"/>
            <w:noWrap/>
            <w:vAlign w:val="center"/>
          </w:tcPr>
          <w:p w14:paraId="1186B690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8166988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330BE" w:rsidRPr="007A498E" w14:paraId="7CB6A0B1" w14:textId="77777777" w:rsidTr="007A498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74903" w14:textId="77777777" w:rsidR="003330BE" w:rsidRPr="007A498E" w:rsidRDefault="003330BE" w:rsidP="007A498E">
            <w:pPr>
              <w:keepNext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</w:rPr>
              <w:t>na základě výběrů dodavatelů provedených v daném roce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8B2AF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278 545 791,17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BBF11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205 537 288,24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D9A56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203 987 927,53</w:t>
            </w:r>
          </w:p>
        </w:tc>
      </w:tr>
      <w:tr w:rsidR="003330BE" w:rsidRPr="007A498E" w14:paraId="0A41A98F" w14:textId="77777777" w:rsidTr="007A498E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FA323" w14:textId="77777777" w:rsidR="003330BE" w:rsidRPr="007A498E" w:rsidRDefault="003330BE" w:rsidP="007A498E">
            <w:pPr>
              <w:keepNext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</w:rPr>
              <w:t>na základě výběrů dodavatelů provedených v předcházejících letech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21A80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15 447 589,80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FA7D2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15 156 050,41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5FEED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10 510 104,98</w:t>
            </w:r>
          </w:p>
        </w:tc>
      </w:tr>
      <w:tr w:rsidR="003330BE" w:rsidRPr="007A498E" w14:paraId="239A942D" w14:textId="77777777" w:rsidTr="007A498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F1FF"/>
            <w:noWrap/>
            <w:vAlign w:val="center"/>
          </w:tcPr>
          <w:p w14:paraId="1412962A" w14:textId="77777777" w:rsidR="003330BE" w:rsidRPr="007A498E" w:rsidRDefault="003330BE" w:rsidP="007A498E">
            <w:pPr>
              <w:keepNext/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</w:rPr>
              <w:t>Z toho podle způsobu zadání veřejné zakázky: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1FF"/>
            <w:vAlign w:val="center"/>
          </w:tcPr>
          <w:p w14:paraId="28177A1D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1FF"/>
            <w:noWrap/>
            <w:vAlign w:val="center"/>
          </w:tcPr>
          <w:p w14:paraId="27B46E7F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FFFCE4F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330BE" w:rsidRPr="007A498E" w14:paraId="30FDD5C7" w14:textId="77777777" w:rsidTr="007A498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35644" w14:textId="77777777" w:rsidR="003330BE" w:rsidRPr="007A498E" w:rsidRDefault="003330BE" w:rsidP="007A498E">
            <w:pPr>
              <w:keepNext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</w:rPr>
              <w:t>výdaje na veřejné zakázky zadané v zadávacím řízení dle zákona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5953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</w:rPr>
              <w:t>18 045 960,15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CB145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</w:rPr>
              <w:t>21 738 548,12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A864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sz w:val="20"/>
                <w:szCs w:val="20"/>
              </w:rPr>
              <w:t>43 753 554,67</w:t>
            </w:r>
          </w:p>
        </w:tc>
      </w:tr>
      <w:tr w:rsidR="003330BE" w:rsidRPr="007A498E" w14:paraId="6706F14A" w14:textId="77777777" w:rsidTr="007A498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EF7C8" w14:textId="77777777" w:rsidR="003330BE" w:rsidRPr="007A498E" w:rsidRDefault="003330BE" w:rsidP="007A498E">
            <w:pPr>
              <w:keepNext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sz w:val="20"/>
                <w:szCs w:val="20"/>
              </w:rPr>
              <w:t>výdaje na VZMR (vč. přímých objednávek)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67E2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sz w:val="20"/>
                <w:szCs w:val="20"/>
              </w:rPr>
              <w:t>275 947 420,82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213BB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sz w:val="20"/>
                <w:szCs w:val="20"/>
              </w:rPr>
              <w:t>198 954 790,53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BC37A" w14:textId="77777777" w:rsidR="003330BE" w:rsidRPr="007A498E" w:rsidRDefault="003330BE" w:rsidP="007A498E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A498E">
              <w:rPr>
                <w:rFonts w:ascii="Calibri" w:eastAsia="Times New Roman" w:hAnsi="Calibri" w:cs="Calibri"/>
                <w:b/>
                <w:sz w:val="20"/>
                <w:szCs w:val="20"/>
              </w:rPr>
              <w:t>170 744 477,84</w:t>
            </w:r>
          </w:p>
        </w:tc>
      </w:tr>
    </w:tbl>
    <w:p w14:paraId="10639926" w14:textId="040A824F" w:rsidR="003330BE" w:rsidRPr="007A498E" w:rsidRDefault="003330BE" w:rsidP="007A498E">
      <w:pPr>
        <w:spacing w:before="40" w:after="0" w:line="240" w:lineRule="auto"/>
        <w:ind w:left="567" w:hanging="567"/>
        <w:rPr>
          <w:rFonts w:ascii="Calibri" w:eastAsia="Times New Roman" w:hAnsi="Calibri" w:cs="Calibri"/>
          <w:sz w:val="20"/>
          <w:szCs w:val="20"/>
        </w:rPr>
      </w:pPr>
      <w:r w:rsidRPr="007A498E">
        <w:rPr>
          <w:rFonts w:ascii="Calibri" w:eastAsia="Times New Roman" w:hAnsi="Calibri" w:cs="Calibri"/>
          <w:b/>
          <w:sz w:val="20"/>
          <w:szCs w:val="20"/>
        </w:rPr>
        <w:t>Zdroj:</w:t>
      </w:r>
      <w:r w:rsidRPr="007A498E">
        <w:rPr>
          <w:rFonts w:ascii="Calibri" w:eastAsia="Times New Roman" w:hAnsi="Calibri" w:cs="Calibri"/>
          <w:sz w:val="20"/>
          <w:szCs w:val="20"/>
        </w:rPr>
        <w:tab/>
      </w:r>
      <w:r w:rsidR="007E7FB3">
        <w:rPr>
          <w:rFonts w:ascii="Calibri" w:eastAsia="Times New Roman" w:hAnsi="Calibri" w:cs="Calibri"/>
          <w:sz w:val="20"/>
          <w:szCs w:val="20"/>
        </w:rPr>
        <w:t>s</w:t>
      </w:r>
      <w:r w:rsidRPr="007A498E">
        <w:rPr>
          <w:rFonts w:ascii="Calibri" w:eastAsia="Times New Roman" w:hAnsi="Calibri" w:cs="Calibri"/>
          <w:sz w:val="20"/>
          <w:szCs w:val="20"/>
        </w:rPr>
        <w:t>dělení ZÚ v Ostravě.</w:t>
      </w:r>
    </w:p>
    <w:p w14:paraId="57F7048B" w14:textId="77777777" w:rsidR="003330BE" w:rsidRPr="007A498E" w:rsidRDefault="003330BE" w:rsidP="007A498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A763C1C" w14:textId="77777777" w:rsidR="003330BE" w:rsidRPr="007A498E" w:rsidRDefault="003330BE" w:rsidP="007A498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  <w:r w:rsidRPr="007A498E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Z údajů v tabulce č. 7 vyplývá, že ZÚ v Ostravě v letech 2017 až 2019 vynaložil 729 184 752,13 Kč na úhrady dodavatelům za provedené nákupy. Tato částka představuje 45,41 % celkových výdajů zdravotního ústavu. Zbývající část výdajů připadala zejména na platy zaměstnanců. </w:t>
      </w:r>
    </w:p>
    <w:p w14:paraId="64ECE26D" w14:textId="77777777" w:rsidR="007A498E" w:rsidRPr="007A498E" w:rsidRDefault="007A498E" w:rsidP="007A498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</w:p>
    <w:p w14:paraId="6EB74AC8" w14:textId="77777777" w:rsidR="003330BE" w:rsidRPr="007A498E" w:rsidRDefault="003330BE" w:rsidP="007A498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  <w:r w:rsidRPr="007A498E">
        <w:rPr>
          <w:rFonts w:ascii="Calibri" w:eastAsia="Times New Roman" w:hAnsi="Calibri" w:cs="Calibri"/>
          <w:sz w:val="24"/>
          <w:szCs w:val="24"/>
          <w:lang w:eastAsia="hi-IN" w:bidi="hi-IN"/>
        </w:rPr>
        <w:t>Z tabulky rovněž vyplývá, že na úhradu nákupů od dodavatelů, kteří byli vybráni v rámci VZMR (včetně přímých objednávek), vynaložil ZÚ v Ostravě za uvedené období 88,54 % z výdajů uhrazených dodavatelům za provedené nákupy; v absolutní hodnotě se jednalo o částku 645 646 689,19 Kč. Pouze 11,46 % z výdajů uhrazených dodavatelům za provedené nákupy vynaložil ZÚ v Ostravě na úhradu nákupů od dodavatelů, kteří byli vybráni v zadávacích řízeních podle zákona o zadávání veřejných zakázek.</w:t>
      </w:r>
    </w:p>
    <w:p w14:paraId="08BCDD09" w14:textId="77777777" w:rsidR="003330BE" w:rsidRPr="007A498E" w:rsidRDefault="003330BE" w:rsidP="007A498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</w:p>
    <w:p w14:paraId="507857D8" w14:textId="2235C753" w:rsidR="003330BE" w:rsidRPr="007A498E" w:rsidRDefault="003330BE" w:rsidP="007A498E">
      <w:pPr>
        <w:widowControl w:val="0"/>
        <w:tabs>
          <w:tab w:val="right" w:pos="9072"/>
        </w:tabs>
        <w:spacing w:after="6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7A498E">
        <w:rPr>
          <w:rFonts w:ascii="Calibri" w:eastAsia="Times New Roman" w:hAnsi="Calibri" w:cs="Calibri"/>
          <w:b/>
          <w:sz w:val="24"/>
          <w:szCs w:val="24"/>
        </w:rPr>
        <w:t xml:space="preserve">Tabulka č. 8: Rozdělení výdajů ZÚ v Ústí n. L. podle výběrů dodavatelů </w:t>
      </w:r>
      <w:r w:rsidR="007A498E" w:rsidRPr="007A498E">
        <w:rPr>
          <w:rFonts w:ascii="Calibri" w:eastAsia="Times New Roman" w:hAnsi="Calibri" w:cs="Calibri"/>
          <w:b/>
          <w:sz w:val="24"/>
          <w:szCs w:val="24"/>
        </w:rPr>
        <w:tab/>
      </w:r>
      <w:r w:rsidRPr="007A498E">
        <w:rPr>
          <w:rFonts w:ascii="Calibri" w:eastAsia="Times New Roman" w:hAnsi="Calibri" w:cs="Calibri"/>
          <w:b/>
          <w:sz w:val="24"/>
          <w:szCs w:val="24"/>
        </w:rPr>
        <w:t>(v Kč)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1559"/>
        <w:gridCol w:w="1559"/>
      </w:tblGrid>
      <w:tr w:rsidR="003330BE" w14:paraId="6DBCEC35" w14:textId="77777777" w:rsidTr="007722D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3CECE70" w14:textId="77777777" w:rsidR="003330BE" w:rsidRPr="00B70DF9" w:rsidRDefault="003330BE" w:rsidP="00333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FD277C8" w14:textId="77777777" w:rsidR="003330BE" w:rsidRPr="00B70DF9" w:rsidRDefault="003330BE" w:rsidP="00333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849E602" w14:textId="77777777" w:rsidR="003330BE" w:rsidRPr="00B70DF9" w:rsidRDefault="003330BE" w:rsidP="00333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609B6F6" w14:textId="77777777" w:rsidR="003330BE" w:rsidRPr="00B70DF9" w:rsidRDefault="003330BE" w:rsidP="00333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2019</w:t>
            </w:r>
          </w:p>
        </w:tc>
      </w:tr>
      <w:tr w:rsidR="003330BE" w14:paraId="63F67E4A" w14:textId="77777777" w:rsidTr="007722D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E9C60" w14:textId="77777777" w:rsidR="003330BE" w:rsidRPr="00B70DF9" w:rsidRDefault="003330BE" w:rsidP="003330B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Výdaje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1D0BD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448 220 458,00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1AF8A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453 093 208,00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8028B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479 590 434,00</w:t>
            </w:r>
          </w:p>
        </w:tc>
      </w:tr>
      <w:tr w:rsidR="003330BE" w14:paraId="7E0AC081" w14:textId="77777777" w:rsidTr="007722D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7B707" w14:textId="77777777" w:rsidR="003330BE" w:rsidRPr="00B70DF9" w:rsidRDefault="003330BE" w:rsidP="003330B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Úhrady dodavatelům (nákupy – dodávky, služby, stavební práce)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5285C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206 402 938,00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A40B2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203 826 609,00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0AD07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209 045 252,00</w:t>
            </w:r>
          </w:p>
        </w:tc>
      </w:tr>
      <w:tr w:rsidR="003330BE" w14:paraId="1807C06D" w14:textId="77777777" w:rsidTr="007722D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F1FF"/>
            <w:noWrap/>
            <w:vAlign w:val="center"/>
          </w:tcPr>
          <w:p w14:paraId="7D880255" w14:textId="77777777" w:rsidR="003330BE" w:rsidRPr="00B70DF9" w:rsidRDefault="003330BE" w:rsidP="003330B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Z toho podle období provedení: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1FF"/>
            <w:vAlign w:val="center"/>
          </w:tcPr>
          <w:p w14:paraId="65CE5F41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1FF"/>
            <w:noWrap/>
            <w:vAlign w:val="center"/>
          </w:tcPr>
          <w:p w14:paraId="39291B81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910E400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330BE" w14:paraId="05824500" w14:textId="77777777" w:rsidTr="007722D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C2C7" w14:textId="77777777" w:rsidR="003330BE" w:rsidRPr="00B70DF9" w:rsidRDefault="003330BE" w:rsidP="008D0BF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na základě výběrů dodavatelů provedených v daném roce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63A71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169 617 177,00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CB520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157 492 276,00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D6FAF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162 112 435,00</w:t>
            </w:r>
          </w:p>
        </w:tc>
      </w:tr>
      <w:tr w:rsidR="003330BE" w14:paraId="0C7476E9" w14:textId="77777777" w:rsidTr="007722D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DBBDB" w14:textId="77777777" w:rsidR="003330BE" w:rsidRPr="00B70DF9" w:rsidRDefault="003330BE" w:rsidP="008D0BF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na základě výběrů dodavatelů provedených v předcházejících letech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CBCDD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36 785 761,00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6514F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46 334 333,00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A3A88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46 932 817,00</w:t>
            </w:r>
          </w:p>
        </w:tc>
      </w:tr>
      <w:tr w:rsidR="003330BE" w14:paraId="6EDAB775" w14:textId="77777777" w:rsidTr="007722D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F1FF"/>
            <w:noWrap/>
            <w:vAlign w:val="center"/>
          </w:tcPr>
          <w:p w14:paraId="6B0273BA" w14:textId="77777777" w:rsidR="003330BE" w:rsidRPr="00B70DF9" w:rsidRDefault="003330BE" w:rsidP="003330B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Z toho podle způsobu zadání veřejné zakázky: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1FF"/>
            <w:vAlign w:val="center"/>
          </w:tcPr>
          <w:p w14:paraId="581E916B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1FF"/>
            <w:noWrap/>
            <w:vAlign w:val="center"/>
          </w:tcPr>
          <w:p w14:paraId="27BD909C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E61893D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330BE" w14:paraId="21923C6A" w14:textId="77777777" w:rsidTr="007722D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CFC96" w14:textId="77777777" w:rsidR="003330BE" w:rsidRPr="00B70DF9" w:rsidRDefault="003330BE" w:rsidP="008D0BF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výdaje na veřejné zakázky zadané v zadávacím řízení dle zákona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2F4B7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31 295 702,00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2CB60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43 587 474,00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0F2E0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sz w:val="20"/>
                <w:szCs w:val="20"/>
              </w:rPr>
              <w:t>40 315 079,00</w:t>
            </w:r>
          </w:p>
        </w:tc>
      </w:tr>
      <w:tr w:rsidR="003330BE" w14:paraId="32053330" w14:textId="77777777" w:rsidTr="007722D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47B77" w14:textId="77777777" w:rsidR="003330BE" w:rsidRPr="00B70DF9" w:rsidRDefault="003330BE" w:rsidP="008D0BF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výdaje na VZMR (vč. přímých objednávek)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1263F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175 107 236,00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52A8F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160 239 135,00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EA177" w14:textId="77777777" w:rsidR="003330BE" w:rsidRPr="00B70DF9" w:rsidRDefault="003330BE" w:rsidP="007722DD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70DF9">
              <w:rPr>
                <w:rFonts w:ascii="Calibri" w:eastAsia="Times New Roman" w:hAnsi="Calibri" w:cs="Times New Roman"/>
                <w:b/>
                <w:sz w:val="20"/>
                <w:szCs w:val="20"/>
              </w:rPr>
              <w:t>168 730 173,00</w:t>
            </w:r>
          </w:p>
        </w:tc>
      </w:tr>
    </w:tbl>
    <w:p w14:paraId="0C8993EE" w14:textId="042C7E97" w:rsidR="003330BE" w:rsidRPr="007722DD" w:rsidRDefault="003330BE" w:rsidP="007722DD">
      <w:pPr>
        <w:tabs>
          <w:tab w:val="left" w:pos="426"/>
        </w:tabs>
        <w:spacing w:before="40" w:after="0" w:line="240" w:lineRule="auto"/>
        <w:ind w:left="567" w:hanging="567"/>
        <w:rPr>
          <w:rFonts w:ascii="Calibri" w:eastAsia="Times New Roman" w:hAnsi="Calibri" w:cs="Calibri"/>
          <w:sz w:val="20"/>
          <w:szCs w:val="20"/>
        </w:rPr>
      </w:pPr>
      <w:r w:rsidRPr="007722DD">
        <w:rPr>
          <w:rFonts w:ascii="Calibri" w:eastAsia="Times New Roman" w:hAnsi="Calibri" w:cs="Calibri"/>
          <w:b/>
          <w:sz w:val="20"/>
          <w:szCs w:val="20"/>
        </w:rPr>
        <w:t>Zdroj:</w:t>
      </w:r>
      <w:r w:rsidRPr="007722DD">
        <w:rPr>
          <w:rFonts w:ascii="Calibri" w:eastAsia="Times New Roman" w:hAnsi="Calibri" w:cs="Calibri"/>
          <w:sz w:val="20"/>
          <w:szCs w:val="20"/>
        </w:rPr>
        <w:tab/>
      </w:r>
      <w:r w:rsidR="007E7FB3">
        <w:rPr>
          <w:rFonts w:ascii="Calibri" w:eastAsia="Times New Roman" w:hAnsi="Calibri" w:cs="Calibri"/>
          <w:sz w:val="20"/>
          <w:szCs w:val="20"/>
        </w:rPr>
        <w:t>s</w:t>
      </w:r>
      <w:r w:rsidRPr="007722DD">
        <w:rPr>
          <w:rFonts w:ascii="Calibri" w:eastAsia="Times New Roman" w:hAnsi="Calibri" w:cs="Calibri"/>
          <w:sz w:val="20"/>
          <w:szCs w:val="20"/>
        </w:rPr>
        <w:t>dělení ZÚ v Ústí n. L..</w:t>
      </w:r>
    </w:p>
    <w:p w14:paraId="14FCBC9F" w14:textId="77777777" w:rsidR="003330BE" w:rsidRPr="00E81BFE" w:rsidRDefault="003330BE" w:rsidP="00E81BF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</w:p>
    <w:p w14:paraId="3EDCEB37" w14:textId="77777777" w:rsidR="003330BE" w:rsidRDefault="003330BE" w:rsidP="00E81BF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  <w:r w:rsidRPr="00E81BFE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Z údajů v tabulce č. 8 vyplývá, že </w:t>
      </w:r>
      <w:r w:rsidRPr="00E81BFE">
        <w:rPr>
          <w:rFonts w:ascii="Calibri" w:eastAsia="Times New Roman" w:hAnsi="Calibri" w:cs="Calibri"/>
          <w:sz w:val="24"/>
          <w:szCs w:val="24"/>
        </w:rPr>
        <w:t>ZÚ v Ústí n. L.</w:t>
      </w:r>
      <w:r w:rsidRPr="00E81BFE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 v letech 2017 až 2019 vynaložil 619 274 799 Kč na úhrady dodavatelům za provedené nákupy. Tato částka představuje 44,85 % celkových výdajů zdravotního ústavu. Zbývající část výdajů připadala zejména na platy zaměstnanců.</w:t>
      </w:r>
    </w:p>
    <w:p w14:paraId="3C387373" w14:textId="77777777" w:rsidR="00E81BFE" w:rsidRPr="00E81BFE" w:rsidRDefault="00E81BFE" w:rsidP="00E81BF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</w:p>
    <w:p w14:paraId="5CB1CDC7" w14:textId="58C22FBB" w:rsidR="003330BE" w:rsidRPr="00E81BFE" w:rsidRDefault="003330BE" w:rsidP="00E81BF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  <w:r w:rsidRPr="00E81BFE">
        <w:rPr>
          <w:rFonts w:ascii="Calibri" w:eastAsia="Times New Roman" w:hAnsi="Calibri" w:cs="Calibri"/>
          <w:sz w:val="24"/>
          <w:szCs w:val="24"/>
          <w:lang w:eastAsia="hi-IN" w:bidi="hi-IN"/>
        </w:rPr>
        <w:t>Z tabulky dále vyplývá, že na úhradu nákupů od dodavatelů, kteří byli vybráni v rámci VZMR (včetně přímých objednávek)</w:t>
      </w:r>
      <w:r w:rsidR="007E7FB3">
        <w:rPr>
          <w:rFonts w:ascii="Calibri" w:eastAsia="Times New Roman" w:hAnsi="Calibri" w:cs="Calibri"/>
          <w:sz w:val="24"/>
          <w:szCs w:val="24"/>
          <w:lang w:eastAsia="hi-IN" w:bidi="hi-IN"/>
        </w:rPr>
        <w:t>,</w:t>
      </w:r>
      <w:r w:rsidRPr="00E81BFE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 vynaložil </w:t>
      </w:r>
      <w:r w:rsidRPr="00E81BFE">
        <w:rPr>
          <w:rFonts w:ascii="Calibri" w:eastAsia="Times New Roman" w:hAnsi="Calibri" w:cs="Calibri"/>
          <w:sz w:val="24"/>
          <w:szCs w:val="24"/>
        </w:rPr>
        <w:t>ZÚ v Ústí n. L.</w:t>
      </w:r>
      <w:r w:rsidRPr="00E81BFE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 za uvedené období 81,40 % z výdajů </w:t>
      </w:r>
      <w:r w:rsidRPr="00E81BFE">
        <w:rPr>
          <w:rFonts w:ascii="Calibri" w:eastAsia="Times New Roman" w:hAnsi="Calibri" w:cs="Calibri"/>
          <w:sz w:val="24"/>
          <w:szCs w:val="24"/>
          <w:lang w:eastAsia="hi-IN" w:bidi="hi-IN"/>
        </w:rPr>
        <w:lastRenderedPageBreak/>
        <w:t xml:space="preserve">uhrazených dodavatelům za provedené nákupy; v absolutní hodnotě se jednalo o částku 504 076 544 Kč. Pouze 18,60 % z výdajů uhrazených dodavatelům za provedené nákupy vynaložil </w:t>
      </w:r>
      <w:r w:rsidRPr="00E81BFE">
        <w:rPr>
          <w:rFonts w:ascii="Calibri" w:eastAsia="Times New Roman" w:hAnsi="Calibri" w:cs="Calibri"/>
          <w:sz w:val="24"/>
          <w:szCs w:val="24"/>
        </w:rPr>
        <w:t>ZÚ v Ústí n. L.</w:t>
      </w:r>
      <w:r w:rsidRPr="00E81BFE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 na úhradu nákupů od dodavatelů, kteří byli vybráni v zadávacích řízeních podle zákona o zadávání veřejných zakázek.</w:t>
      </w:r>
    </w:p>
    <w:p w14:paraId="2C3044AE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C78494" w14:textId="51AB9CA2" w:rsidR="003330BE" w:rsidRPr="00E81BFE" w:rsidRDefault="003330BE" w:rsidP="002777F5">
      <w:pPr>
        <w:keepNext/>
        <w:spacing w:after="0" w:line="240" w:lineRule="auto"/>
        <w:ind w:left="369" w:hanging="369"/>
        <w:rPr>
          <w:rFonts w:ascii="Calibri" w:eastAsia="Calibri" w:hAnsi="Calibri" w:cs="Calibri"/>
          <w:b/>
          <w:sz w:val="24"/>
          <w:szCs w:val="24"/>
        </w:rPr>
      </w:pPr>
      <w:r w:rsidRPr="00E81BFE">
        <w:rPr>
          <w:rFonts w:ascii="Calibri" w:eastAsia="Calibri" w:hAnsi="Calibri" w:cs="Calibri"/>
          <w:b/>
          <w:sz w:val="24"/>
          <w:szCs w:val="24"/>
        </w:rPr>
        <w:t>3.2</w:t>
      </w:r>
      <w:r w:rsidRPr="00E81BFE">
        <w:rPr>
          <w:rFonts w:ascii="Calibri" w:eastAsia="Calibri" w:hAnsi="Calibri" w:cs="Calibri"/>
          <w:b/>
          <w:sz w:val="24"/>
          <w:szCs w:val="24"/>
        </w:rPr>
        <w:tab/>
        <w:t xml:space="preserve">Vnitřní předpisy zdravotních ústavů neupravovaly pravidla vytvářející praktické podmínky pro veřejné nakupování. </w:t>
      </w:r>
    </w:p>
    <w:p w14:paraId="4B35F28A" w14:textId="77777777" w:rsidR="00E81BFE" w:rsidRDefault="00E81BFE" w:rsidP="002777F5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FA66AA0" w14:textId="1D1BC2C3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Kontrolou bylo zjištěno, že ředitelé zdravotních ústavů </w:t>
      </w:r>
      <w:r w:rsidRPr="00E81BFE">
        <w:rPr>
          <w:rFonts w:ascii="Calibri" w:hAnsi="Calibri" w:cs="Calibri"/>
          <w:b/>
          <w:sz w:val="24"/>
          <w:szCs w:val="24"/>
        </w:rPr>
        <w:t>nepostupovali v souladu se</w:t>
      </w:r>
      <w:r w:rsidR="007E7FB3">
        <w:rPr>
          <w:rFonts w:ascii="Calibri" w:hAnsi="Calibri" w:cs="Calibri"/>
          <w:b/>
          <w:sz w:val="24"/>
          <w:szCs w:val="24"/>
        </w:rPr>
        <w:t xml:space="preserve"> </w:t>
      </w:r>
      <w:r w:rsidRPr="00E81BFE">
        <w:rPr>
          <w:rFonts w:ascii="Calibri" w:hAnsi="Calibri" w:cs="Calibri"/>
          <w:b/>
          <w:sz w:val="24"/>
          <w:szCs w:val="24"/>
        </w:rPr>
        <w:t>zákonem</w:t>
      </w:r>
      <w:r w:rsidRPr="00E81BFE">
        <w:rPr>
          <w:rStyle w:val="Znakapoznpodarou"/>
          <w:rFonts w:ascii="Calibri" w:hAnsi="Calibri" w:cs="Calibri"/>
          <w:b/>
          <w:sz w:val="24"/>
          <w:szCs w:val="24"/>
          <w:lang w:eastAsia="cs-CZ"/>
        </w:rPr>
        <w:footnoteReference w:id="54"/>
      </w:r>
      <w:r w:rsidRPr="00E81BFE">
        <w:rPr>
          <w:rFonts w:ascii="Calibri" w:hAnsi="Calibri" w:cs="Calibri"/>
          <w:b/>
          <w:sz w:val="24"/>
          <w:szCs w:val="24"/>
        </w:rPr>
        <w:t>, neboť v kontrolovaném období 2017 až 2019 nezavedli ve zdravotních ústavech vnitřní kontrolní systém, který by vytvářel podmínky pro hospodárný, efektivní a účelný výkon veřejné správy v oblasti veřejného nakupování</w:t>
      </w:r>
      <w:r w:rsidRPr="009A5205">
        <w:rPr>
          <w:rFonts w:ascii="Calibri" w:hAnsi="Calibri" w:cs="Calibri"/>
          <w:b/>
          <w:sz w:val="24"/>
          <w:szCs w:val="24"/>
        </w:rPr>
        <w:t>.</w:t>
      </w:r>
      <w:r w:rsidRPr="00E81BFE">
        <w:rPr>
          <w:rFonts w:ascii="Calibri" w:hAnsi="Calibri" w:cs="Calibri"/>
          <w:sz w:val="24"/>
          <w:szCs w:val="24"/>
        </w:rPr>
        <w:t xml:space="preserve"> </w:t>
      </w:r>
    </w:p>
    <w:p w14:paraId="5E557BCD" w14:textId="77777777" w:rsidR="002777F5" w:rsidRDefault="002777F5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07B5519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Vnitřní kontrolní systém ZÚ s ohledem na principy 3E nezahrnoval zejména nastavení podstatných praktických pravidel v souvislosti s plánováním a přípravou veřejného nákupu, procesem výběru dodavatele a dodáním předmětu veřejné zakázky a taky vyhodnocením veřejného nákupu. Převážně p</w:t>
      </w:r>
      <w:r w:rsidRPr="00E81BFE">
        <w:rPr>
          <w:rFonts w:ascii="Calibri" w:eastAsia="Calibri" w:hAnsi="Calibri" w:cs="Calibri"/>
          <w:sz w:val="24"/>
          <w:szCs w:val="24"/>
          <w:lang w:eastAsia="cs-CZ"/>
        </w:rPr>
        <w:t xml:space="preserve">ouze odkazoval na obecně závazné právní předpisy. </w:t>
      </w:r>
      <w:r w:rsidRPr="00E81BFE">
        <w:rPr>
          <w:rFonts w:ascii="Calibri" w:eastAsia="Calibri" w:hAnsi="Calibri" w:cs="Calibri"/>
          <w:sz w:val="24"/>
          <w:szCs w:val="24"/>
        </w:rPr>
        <w:t>Mezi nejzásadnější pravidla, která neměly oba ZÚ upraveny, patřila pravidla:</w:t>
      </w:r>
    </w:p>
    <w:p w14:paraId="667C4997" w14:textId="3FA4DE99" w:rsidR="003330BE" w:rsidRPr="00E81BFE" w:rsidRDefault="003330BE" w:rsidP="002777F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E81BFE">
        <w:rPr>
          <w:rFonts w:ascii="Calibri" w:eastAsia="Times New Roman" w:hAnsi="Calibri" w:cs="Calibri"/>
          <w:bCs/>
          <w:sz w:val="24"/>
          <w:szCs w:val="24"/>
        </w:rPr>
        <w:t xml:space="preserve">pro </w:t>
      </w:r>
      <w:r w:rsidRPr="00E81BFE">
        <w:rPr>
          <w:rFonts w:ascii="Calibri" w:eastAsia="Times New Roman" w:hAnsi="Calibri" w:cs="Calibri"/>
          <w:b/>
          <w:bCs/>
          <w:sz w:val="24"/>
          <w:szCs w:val="24"/>
        </w:rPr>
        <w:t>analýzu potřeby</w:t>
      </w:r>
      <w:r w:rsidRPr="00E81BFE">
        <w:rPr>
          <w:rFonts w:ascii="Calibri" w:eastAsia="Times New Roman" w:hAnsi="Calibri" w:cs="Calibri"/>
          <w:bCs/>
          <w:sz w:val="24"/>
          <w:szCs w:val="24"/>
        </w:rPr>
        <w:t xml:space="preserve"> spočívající v odůvodnění, ale i samotné identifikaci potřeby, která měla být veřejným nákupem uspokojena, dále pro</w:t>
      </w:r>
      <w:r w:rsidR="007E7FB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E81BFE">
        <w:rPr>
          <w:rFonts w:ascii="Calibri" w:eastAsia="Times New Roman" w:hAnsi="Calibri" w:cs="Calibri"/>
          <w:bCs/>
          <w:sz w:val="24"/>
          <w:szCs w:val="24"/>
        </w:rPr>
        <w:t xml:space="preserve">stanovení způsobu uspokojení identifikované potřeby a výběr optimální varianty jejího uspokojení a rovněž pro </w:t>
      </w:r>
      <w:r w:rsidRPr="00E81BFE">
        <w:rPr>
          <w:rFonts w:ascii="Calibri" w:eastAsia="Times New Roman" w:hAnsi="Calibri" w:cs="Calibri"/>
          <w:sz w:val="24"/>
          <w:szCs w:val="24"/>
        </w:rPr>
        <w:t>stanovení měřitelného ukazatele (indikátoru) pro</w:t>
      </w:r>
      <w:r w:rsidR="006118B2">
        <w:rPr>
          <w:rFonts w:ascii="Calibri" w:eastAsia="Times New Roman" w:hAnsi="Calibri" w:cs="Calibri"/>
          <w:sz w:val="24"/>
          <w:szCs w:val="24"/>
        </w:rPr>
        <w:t xml:space="preserve"> </w:t>
      </w:r>
      <w:r w:rsidRPr="00E81BFE">
        <w:rPr>
          <w:rFonts w:ascii="Calibri" w:eastAsia="Times New Roman" w:hAnsi="Calibri" w:cs="Calibri"/>
          <w:sz w:val="24"/>
          <w:szCs w:val="24"/>
        </w:rPr>
        <w:t>vyhodnocení toho, zda pořízený předmět veřejné zakázky (dále také „VZ“) dosahuje zamýšlených účinků na činnost zdravotního ústavu, kvůli níž byl pořízen.</w:t>
      </w:r>
      <w:r w:rsidRPr="00E81BFE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Nenastavením postupů (pravidel) pro analýzu potřeby tak nebyl </w:t>
      </w:r>
      <w:r w:rsidRPr="00E81BFE">
        <w:rPr>
          <w:rFonts w:ascii="Calibri" w:eastAsia="Calibri" w:hAnsi="Calibri" w:cs="Calibri"/>
          <w:sz w:val="24"/>
          <w:szCs w:val="24"/>
        </w:rPr>
        <w:t xml:space="preserve">naplněn ani smysl </w:t>
      </w:r>
      <w:r w:rsidRPr="00E81BFE">
        <w:rPr>
          <w:rFonts w:ascii="Calibri" w:eastAsia="Calibri" w:hAnsi="Calibri" w:cs="Calibri"/>
          <w:b/>
          <w:sz w:val="24"/>
          <w:szCs w:val="24"/>
        </w:rPr>
        <w:t>předběžné řídící kontroly před vznikem závazku</w:t>
      </w:r>
      <w:r w:rsidR="006118B2">
        <w:rPr>
          <w:rFonts w:ascii="Calibri" w:eastAsia="Calibri" w:hAnsi="Calibri" w:cs="Calibri"/>
          <w:b/>
          <w:sz w:val="24"/>
          <w:szCs w:val="24"/>
        </w:rPr>
        <w:t>;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492017D2" w14:textId="32FC7511" w:rsidR="003330BE" w:rsidRPr="00E81BFE" w:rsidRDefault="003330BE" w:rsidP="002777F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E81BFE">
        <w:rPr>
          <w:rFonts w:ascii="Calibri" w:eastAsiaTheme="majorEastAsia" w:hAnsi="Calibri" w:cs="Calibri"/>
          <w:sz w:val="24"/>
          <w:szCs w:val="24"/>
        </w:rPr>
        <w:t xml:space="preserve">pro </w:t>
      </w:r>
      <w:r w:rsidRPr="00E81BFE">
        <w:rPr>
          <w:rFonts w:ascii="Calibri" w:eastAsiaTheme="majorEastAsia" w:hAnsi="Calibri" w:cs="Calibri"/>
          <w:b/>
          <w:sz w:val="24"/>
          <w:szCs w:val="24"/>
        </w:rPr>
        <w:t>sledování a agregaci veřejných zakázek se stejným či podobným předmětem plnění</w:t>
      </w:r>
      <w:r w:rsidRPr="00E81BFE">
        <w:rPr>
          <w:rFonts w:ascii="Calibri" w:eastAsiaTheme="majorEastAsia" w:hAnsi="Calibri" w:cs="Calibri"/>
          <w:sz w:val="24"/>
          <w:szCs w:val="24"/>
        </w:rPr>
        <w:t xml:space="preserve"> včetně VZMR za účelem předcházení dělení zakázek, resp. zadání zakázky v jiném (mírnějším) režimu</w:t>
      </w:r>
      <w:r w:rsidR="006118B2">
        <w:rPr>
          <w:rFonts w:ascii="Calibri" w:eastAsiaTheme="majorEastAsia" w:hAnsi="Calibri" w:cs="Calibri"/>
          <w:sz w:val="24"/>
          <w:szCs w:val="24"/>
        </w:rPr>
        <w:t>;</w:t>
      </w:r>
    </w:p>
    <w:p w14:paraId="6F3EB7B1" w14:textId="1A23CCB8" w:rsidR="003330BE" w:rsidRPr="00E81BFE" w:rsidRDefault="003330BE" w:rsidP="002777F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E81BFE">
        <w:rPr>
          <w:rFonts w:ascii="Calibri" w:eastAsia="Times New Roman" w:hAnsi="Calibri" w:cs="Calibri"/>
          <w:sz w:val="24"/>
          <w:szCs w:val="24"/>
        </w:rPr>
        <w:t>pro </w:t>
      </w:r>
      <w:r w:rsidRPr="00E81BFE">
        <w:rPr>
          <w:rFonts w:ascii="Calibri" w:eastAsia="Times New Roman" w:hAnsi="Calibri" w:cs="Calibri"/>
          <w:b/>
          <w:sz w:val="24"/>
          <w:szCs w:val="24"/>
        </w:rPr>
        <w:t>provádění průzkumu trhu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 za účelem posouzení aktuální situace na trhu z důvodu seznámení se</w:t>
      </w:r>
      <w:r w:rsidR="006118B2">
        <w:rPr>
          <w:rFonts w:ascii="Calibri" w:eastAsia="Times New Roman" w:hAnsi="Calibri" w:cs="Calibri"/>
          <w:sz w:val="24"/>
          <w:szCs w:val="24"/>
        </w:rPr>
        <w:t xml:space="preserve"> s tím</w:t>
      </w:r>
      <w:r w:rsidRPr="00E81BFE">
        <w:rPr>
          <w:rFonts w:ascii="Calibri" w:eastAsia="Times New Roman" w:hAnsi="Calibri" w:cs="Calibri"/>
          <w:sz w:val="24"/>
          <w:szCs w:val="24"/>
        </w:rPr>
        <w:t>, které produkty, možnosti, trendy, parametry, řešení, varianty apod. trh nabízí.</w:t>
      </w:r>
      <w:r w:rsidRPr="00E81BFE">
        <w:rPr>
          <w:rFonts w:ascii="Calibri" w:eastAsia="Calibri" w:hAnsi="Calibri" w:cs="Calibri"/>
          <w:sz w:val="24"/>
          <w:szCs w:val="24"/>
        </w:rPr>
        <w:t xml:space="preserve"> Stejně tak neměly nastavena pravidla </w:t>
      </w:r>
      <w:r w:rsidRPr="00E81BFE">
        <w:rPr>
          <w:rFonts w:ascii="Calibri" w:hAnsi="Calibri" w:cs="Calibri"/>
          <w:sz w:val="24"/>
          <w:szCs w:val="24"/>
        </w:rPr>
        <w:t xml:space="preserve">pro monitorování a analýzu dosavadních, v minulosti uzavřených dlouhodobých smluvních vztahů, na základě kterých byly naplňovány aktuální potřeby, tj. pro ověření výhodnosti těchto smluv </w:t>
      </w:r>
      <w:r w:rsidRPr="00E81BFE">
        <w:rPr>
          <w:rFonts w:ascii="Calibri" w:hAnsi="Calibri" w:cs="Calibri"/>
          <w:b/>
          <w:sz w:val="24"/>
          <w:szCs w:val="24"/>
        </w:rPr>
        <w:t>vzhledem k aktuální situaci na trhu</w:t>
      </w:r>
      <w:r w:rsidRPr="00E81BFE">
        <w:rPr>
          <w:rFonts w:ascii="Calibri" w:hAnsi="Calibri" w:cs="Calibri"/>
          <w:sz w:val="24"/>
          <w:szCs w:val="24"/>
        </w:rPr>
        <w:t xml:space="preserve"> nakupovaného předmětu plnění</w:t>
      </w:r>
      <w:r w:rsidR="006118B2">
        <w:rPr>
          <w:rFonts w:ascii="Calibri" w:hAnsi="Calibri" w:cs="Calibri"/>
          <w:sz w:val="24"/>
          <w:szCs w:val="24"/>
        </w:rPr>
        <w:t>;</w:t>
      </w:r>
    </w:p>
    <w:p w14:paraId="5419EA6D" w14:textId="6A716384" w:rsidR="003330BE" w:rsidRPr="00E81BFE" w:rsidRDefault="003330BE" w:rsidP="002777F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E81BFE">
        <w:rPr>
          <w:rFonts w:ascii="Calibri" w:eastAsia="Times New Roman" w:hAnsi="Calibri" w:cs="Calibri"/>
          <w:sz w:val="24"/>
          <w:szCs w:val="24"/>
        </w:rPr>
        <w:t xml:space="preserve">pro </w:t>
      </w:r>
      <w:r w:rsidRPr="00E81BFE">
        <w:rPr>
          <w:rFonts w:ascii="Calibri" w:eastAsia="Times New Roman" w:hAnsi="Calibri" w:cs="Calibri"/>
          <w:b/>
          <w:sz w:val="24"/>
          <w:szCs w:val="24"/>
        </w:rPr>
        <w:t>stanovení požadavků na technické podmínky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 předmětů plnění veřejných zakázek a pro </w:t>
      </w:r>
      <w:r w:rsidRPr="00E81BFE">
        <w:rPr>
          <w:rFonts w:ascii="Calibri" w:eastAsia="Times New Roman" w:hAnsi="Calibri" w:cs="Calibri"/>
          <w:b/>
          <w:sz w:val="24"/>
          <w:szCs w:val="24"/>
        </w:rPr>
        <w:t>posuzování splnění stanovených požadavků na technické podmínky a další kvalitativní parametry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 nabízených předmětů VZ – tj. postupy (pravidla) pro ověření, zda nabízený předmět plnění VZ má požadované (kvalitativní/technické) parametry, a tedy i užitné vlastnosti</w:t>
      </w:r>
      <w:r w:rsidR="006118B2">
        <w:rPr>
          <w:rFonts w:ascii="Calibri" w:eastAsia="Times New Roman" w:hAnsi="Calibri" w:cs="Calibri"/>
          <w:sz w:val="24"/>
          <w:szCs w:val="24"/>
        </w:rPr>
        <w:t>;</w:t>
      </w:r>
    </w:p>
    <w:p w14:paraId="01432B72" w14:textId="1B03B365" w:rsidR="003330BE" w:rsidRPr="00E81BFE" w:rsidRDefault="003330BE" w:rsidP="002777F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E81BFE">
        <w:rPr>
          <w:rFonts w:ascii="Calibri" w:eastAsia="Times New Roman" w:hAnsi="Calibri" w:cs="Calibri"/>
          <w:sz w:val="24"/>
          <w:szCs w:val="24"/>
        </w:rPr>
        <w:t xml:space="preserve">pro </w:t>
      </w:r>
      <w:r w:rsidRPr="00E81BFE">
        <w:rPr>
          <w:rFonts w:ascii="Calibri" w:eastAsia="Times New Roman" w:hAnsi="Calibri" w:cs="Calibri"/>
          <w:b/>
          <w:sz w:val="24"/>
          <w:szCs w:val="24"/>
        </w:rPr>
        <w:t>stanovení formy obchodních podmínek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 v rámci zadávacích (výběrových) řízení, tj. stanovení obchodních podmínek formou vlastního závazného návrhu smlouvy nebo přenechání zpracování návrhu smlouvy účastníkovi zadávacího řízení</w:t>
      </w:r>
      <w:r w:rsidR="006118B2">
        <w:rPr>
          <w:rFonts w:ascii="Calibri" w:eastAsia="Times New Roman" w:hAnsi="Calibri" w:cs="Calibri"/>
          <w:sz w:val="24"/>
          <w:szCs w:val="24"/>
        </w:rPr>
        <w:t>;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8E671B6" w14:textId="77777777" w:rsidR="003330BE" w:rsidRPr="00E81BFE" w:rsidRDefault="003330BE" w:rsidP="002777F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E81BFE">
        <w:rPr>
          <w:rFonts w:ascii="Calibri" w:eastAsia="Times New Roman" w:hAnsi="Calibri" w:cs="Calibri"/>
          <w:sz w:val="24"/>
          <w:szCs w:val="24"/>
        </w:rPr>
        <w:t xml:space="preserve">pro </w:t>
      </w:r>
      <w:r w:rsidRPr="00E81BFE">
        <w:rPr>
          <w:rFonts w:ascii="Calibri" w:eastAsia="Times New Roman" w:hAnsi="Calibri" w:cs="Calibri"/>
          <w:b/>
          <w:sz w:val="24"/>
          <w:szCs w:val="24"/>
        </w:rPr>
        <w:t>průběh kontroly plnění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 předmětu VZ z hlediska věcného, časového, finančního i kvalitativního.</w:t>
      </w:r>
    </w:p>
    <w:p w14:paraId="0BA4F690" w14:textId="77777777" w:rsidR="003330BE" w:rsidRPr="006118B2" w:rsidRDefault="003330BE" w:rsidP="002777F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E81BFE">
        <w:rPr>
          <w:rFonts w:ascii="Calibri" w:eastAsia="Times New Roman" w:hAnsi="Calibri" w:cs="Calibri"/>
          <w:sz w:val="24"/>
          <w:szCs w:val="24"/>
        </w:rPr>
        <w:lastRenderedPageBreak/>
        <w:t xml:space="preserve">pro </w:t>
      </w:r>
      <w:r w:rsidRPr="00E81BFE">
        <w:rPr>
          <w:rFonts w:ascii="Calibri" w:eastAsia="Times New Roman" w:hAnsi="Calibri" w:cs="Calibri"/>
          <w:b/>
          <w:sz w:val="24"/>
          <w:szCs w:val="24"/>
        </w:rPr>
        <w:t>provádění (zpracovávaní) zpětné vazby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 týkající se realizovaných veřejných nákupů, respektive veřejných zakázek </w:t>
      </w:r>
      <w:r w:rsidRPr="00E81BFE">
        <w:rPr>
          <w:rFonts w:ascii="Calibri" w:eastAsia="Times New Roman" w:hAnsi="Calibri" w:cs="Calibri"/>
          <w:b/>
          <w:sz w:val="24"/>
          <w:szCs w:val="24"/>
        </w:rPr>
        <w:t>a využívání (uplatňování) výsledků této zpětné vazby</w:t>
      </w:r>
      <w:r w:rsidRPr="00E81BFE">
        <w:rPr>
          <w:rFonts w:ascii="Calibri" w:eastAsia="Times New Roman" w:hAnsi="Calibri" w:cs="Calibri"/>
          <w:sz w:val="24"/>
          <w:szCs w:val="24"/>
        </w:rPr>
        <w:t xml:space="preserve"> v následujících nákupech (zakázkách). Nenastavením postupů (pravidel) pro provádění (zpracovávaní) zpětné vazby tak nebyl </w:t>
      </w:r>
      <w:r w:rsidRPr="00E81BFE">
        <w:rPr>
          <w:rFonts w:ascii="Calibri" w:eastAsia="Calibri" w:hAnsi="Calibri" w:cs="Calibri"/>
          <w:sz w:val="24"/>
          <w:szCs w:val="24"/>
        </w:rPr>
        <w:t xml:space="preserve">naplněn ani smysl </w:t>
      </w:r>
      <w:r w:rsidRPr="00E81BFE">
        <w:rPr>
          <w:rFonts w:ascii="Calibri" w:eastAsia="Calibri" w:hAnsi="Calibri" w:cs="Calibri"/>
          <w:b/>
          <w:sz w:val="24"/>
          <w:szCs w:val="24"/>
        </w:rPr>
        <w:t>průběžné kontroly</w:t>
      </w:r>
      <w:r w:rsidRPr="009A5205">
        <w:rPr>
          <w:rFonts w:ascii="Calibri" w:eastAsia="Calibri" w:hAnsi="Calibri" w:cs="Calibri"/>
          <w:b/>
          <w:sz w:val="24"/>
          <w:szCs w:val="24"/>
        </w:rPr>
        <w:t>.</w:t>
      </w:r>
    </w:p>
    <w:p w14:paraId="5293AE11" w14:textId="77777777" w:rsidR="003330BE" w:rsidRPr="00E81BFE" w:rsidRDefault="003330BE" w:rsidP="00E81BF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689A9C5" w14:textId="77777777" w:rsidR="003330BE" w:rsidRPr="00E81BFE" w:rsidRDefault="003330BE" w:rsidP="00E81BF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Některé z výše uvedených postupů ZÚ v Ostravě v průběhu kontroly NKÚ již v obecné formě zapracoval do svého interního předpisu upravujícího postupy při zadávání veřejných zakázek. ZÚ v Ústí n. L. v průběhu kontroly NKÚ připravoval úpravu směrnice o nákupu, přičemž plánoval některé z uvedených postupů do této směrnice zapracovat.</w:t>
      </w:r>
    </w:p>
    <w:p w14:paraId="6A428F6E" w14:textId="77777777" w:rsidR="003330BE" w:rsidRPr="00E81BFE" w:rsidRDefault="003330BE" w:rsidP="00E81BF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68556E4" w14:textId="775C41DC" w:rsidR="003330BE" w:rsidRPr="00E81BFE" w:rsidRDefault="003330BE" w:rsidP="00E81BF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E81BFE">
        <w:rPr>
          <w:rFonts w:ascii="Calibri" w:eastAsia="Calibri" w:hAnsi="Calibri" w:cs="Calibri"/>
          <w:sz w:val="24"/>
          <w:szCs w:val="24"/>
        </w:rPr>
        <w:t xml:space="preserve">Kontrolou bylo dále zjištěno, </w:t>
      </w:r>
      <w:proofErr w:type="gramStart"/>
      <w:r w:rsidRPr="00E81BFE">
        <w:rPr>
          <w:rFonts w:ascii="Calibri" w:eastAsia="Calibri" w:hAnsi="Calibri" w:cs="Calibri"/>
          <w:sz w:val="24"/>
          <w:szCs w:val="24"/>
        </w:rPr>
        <w:t>že u ZÚ</w:t>
      </w:r>
      <w:proofErr w:type="gramEnd"/>
      <w:r w:rsidRPr="00E81BFE">
        <w:rPr>
          <w:rFonts w:ascii="Calibri" w:eastAsia="Calibri" w:hAnsi="Calibri" w:cs="Calibri"/>
          <w:sz w:val="24"/>
          <w:szCs w:val="24"/>
        </w:rPr>
        <w:t xml:space="preserve"> v Ostravě</w:t>
      </w:r>
      <w:r w:rsidRPr="00E81BFE">
        <w:rPr>
          <w:rFonts w:ascii="Calibri" w:eastAsia="Times New Roman" w:hAnsi="Calibri" w:cs="Calibri"/>
          <w:bCs/>
          <w:sz w:val="24"/>
          <w:szCs w:val="24"/>
        </w:rPr>
        <w:t xml:space="preserve"> byl pověřen</w:t>
      </w:r>
      <w:r w:rsidRPr="00E81BFE">
        <w:rPr>
          <w:rFonts w:ascii="Calibri" w:eastAsia="Times New Roman" w:hAnsi="Calibri" w:cs="Calibri"/>
          <w:bCs/>
          <w:sz w:val="24"/>
          <w:szCs w:val="24"/>
          <w:vertAlign w:val="superscript"/>
        </w:rPr>
        <w:footnoteReference w:id="55"/>
      </w:r>
      <w:r w:rsidRPr="00E81BFE">
        <w:rPr>
          <w:rFonts w:ascii="Calibri" w:eastAsia="Times New Roman" w:hAnsi="Calibri" w:cs="Calibri"/>
          <w:bCs/>
          <w:sz w:val="24"/>
          <w:szCs w:val="24"/>
        </w:rPr>
        <w:t xml:space="preserve"> zajištěním předběžné řídící kontroly před vznikem závazku pouze příkazce operace, přestože měl tuto kontrolu zajišťovat podle zákona a jeho prováděcí vyhlášky</w:t>
      </w:r>
      <w:r w:rsidRPr="00E81BFE">
        <w:rPr>
          <w:rStyle w:val="Znakapoznpodarou"/>
          <w:rFonts w:ascii="Calibri" w:eastAsia="Times New Roman" w:hAnsi="Calibri" w:cs="Calibri"/>
          <w:bCs/>
          <w:sz w:val="24"/>
          <w:szCs w:val="24"/>
        </w:rPr>
        <w:footnoteReference w:id="56"/>
      </w:r>
      <w:r w:rsidRPr="00E81BFE">
        <w:rPr>
          <w:rFonts w:ascii="Calibri" w:eastAsia="Times New Roman" w:hAnsi="Calibri" w:cs="Calibri"/>
          <w:bCs/>
          <w:sz w:val="24"/>
          <w:szCs w:val="24"/>
        </w:rPr>
        <w:t xml:space="preserve"> rovněž správce rozpočtu, který mj. v rámci této kontroly ověřuje, zda je připravovaná výdajová operace v souladu se schválenými veřejnými výdaji </w:t>
      </w:r>
      <w:r w:rsidRPr="00E81BFE">
        <w:rPr>
          <w:rFonts w:ascii="Calibri" w:hAnsi="Calibri" w:cs="Calibri"/>
          <w:sz w:val="24"/>
          <w:szCs w:val="24"/>
        </w:rPr>
        <w:t>–</w:t>
      </w:r>
      <w:r w:rsidRPr="00E81BFE">
        <w:rPr>
          <w:rFonts w:ascii="Calibri" w:eastAsia="Times New Roman" w:hAnsi="Calibri" w:cs="Calibri"/>
          <w:bCs/>
          <w:sz w:val="24"/>
          <w:szCs w:val="24"/>
        </w:rPr>
        <w:t xml:space="preserve"> rozpočtem. Stejný nedostatek v nastavení předběžné řídící kontroly před vznikem závazku byl zjištěn rovněž i u </w:t>
      </w:r>
      <w:r w:rsidRPr="00E81BFE">
        <w:rPr>
          <w:rFonts w:ascii="Calibri" w:eastAsia="Times New Roman" w:hAnsi="Calibri" w:cs="Calibri"/>
          <w:sz w:val="24"/>
          <w:szCs w:val="24"/>
        </w:rPr>
        <w:t>ZÚ v Ústí n. L.</w:t>
      </w:r>
    </w:p>
    <w:p w14:paraId="146319D6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8E2D247" w14:textId="7CBC82D3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  <w:lang w:eastAsia="cs-CZ"/>
        </w:rPr>
        <w:t xml:space="preserve">Dále bylo kontrolou u ZÚ v Ostravě zjištěno, že v kontrolovaném období sloučil funkci správce rozpočtu s funkcí hlavní účetní s odůvodněním, že je organizací s </w:t>
      </w:r>
      <w:r w:rsidRPr="00E81BFE">
        <w:rPr>
          <w:rFonts w:ascii="Calibri" w:hAnsi="Calibri" w:cs="Calibri"/>
          <w:sz w:val="24"/>
          <w:szCs w:val="24"/>
        </w:rPr>
        <w:t xml:space="preserve">malou pravděpodobností výskytu nepřiměřených rizik, s tím, že o tom rozhodlo </w:t>
      </w:r>
      <w:proofErr w:type="spellStart"/>
      <w:r w:rsidRPr="00E81BFE">
        <w:rPr>
          <w:rFonts w:ascii="Calibri" w:hAnsi="Calibri" w:cs="Calibri"/>
          <w:sz w:val="24"/>
          <w:szCs w:val="24"/>
        </w:rPr>
        <w:t>MZd</w:t>
      </w:r>
      <w:proofErr w:type="spellEnd"/>
      <w:r w:rsidRPr="00E81BFE">
        <w:rPr>
          <w:rFonts w:ascii="Calibri" w:hAnsi="Calibri" w:cs="Calibri"/>
          <w:sz w:val="24"/>
          <w:szCs w:val="24"/>
        </w:rPr>
        <w:t xml:space="preserve"> </w:t>
      </w:r>
      <w:r w:rsidRPr="00E81BFE">
        <w:rPr>
          <w:rFonts w:ascii="Calibri" w:hAnsi="Calibri" w:cs="Calibri"/>
          <w:iCs/>
          <w:sz w:val="24"/>
          <w:szCs w:val="24"/>
        </w:rPr>
        <w:t>dopisem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57"/>
      </w:r>
      <w:r w:rsidRPr="00E81BFE">
        <w:rPr>
          <w:rFonts w:ascii="Calibri" w:hAnsi="Calibri" w:cs="Calibri"/>
          <w:iCs/>
          <w:sz w:val="24"/>
          <w:szCs w:val="24"/>
        </w:rPr>
        <w:t xml:space="preserve"> z roku 2003. </w:t>
      </w:r>
      <w:r w:rsidRPr="00E81BFE">
        <w:rPr>
          <w:rFonts w:ascii="Calibri" w:hAnsi="Calibri" w:cs="Calibri"/>
          <w:sz w:val="24"/>
          <w:szCs w:val="24"/>
          <w:lang w:eastAsia="cs-CZ"/>
        </w:rPr>
        <w:t xml:space="preserve">ZÚ v Ostravě tak vycházel při sloučení uvedených funkcí v letech 2017 až 2019 z cca 14 až 16 let starého dopisu </w:t>
      </w:r>
      <w:proofErr w:type="spellStart"/>
      <w:r w:rsidRPr="00E81BFE">
        <w:rPr>
          <w:rFonts w:ascii="Calibri" w:hAnsi="Calibri" w:cs="Calibri"/>
          <w:sz w:val="24"/>
          <w:szCs w:val="24"/>
          <w:lang w:eastAsia="cs-CZ"/>
        </w:rPr>
        <w:t>MZd</w:t>
      </w:r>
      <w:proofErr w:type="spellEnd"/>
      <w:r w:rsidRPr="00E81BFE">
        <w:rPr>
          <w:rFonts w:ascii="Calibri" w:hAnsi="Calibri" w:cs="Calibri"/>
          <w:sz w:val="24"/>
          <w:szCs w:val="24"/>
          <w:lang w:eastAsia="cs-CZ"/>
        </w:rPr>
        <w:t xml:space="preserve">, přičemž vůbec nezareagoval na změnu, kdy se k 1. 6. 2012 stal </w:t>
      </w:r>
      <w:r w:rsidRPr="00E81BFE">
        <w:rPr>
          <w:rFonts w:ascii="Calibri" w:hAnsi="Calibri" w:cs="Calibri"/>
          <w:sz w:val="24"/>
          <w:szCs w:val="24"/>
        </w:rPr>
        <w:t>na základě zákona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58"/>
      </w:r>
      <w:r w:rsidRPr="00E81BFE">
        <w:rPr>
          <w:rFonts w:ascii="Calibri" w:hAnsi="Calibri" w:cs="Calibri"/>
          <w:sz w:val="24"/>
          <w:szCs w:val="24"/>
          <w:lang w:eastAsia="cs-CZ"/>
        </w:rPr>
        <w:t xml:space="preserve"> nástupnickou organizací zrušených </w:t>
      </w:r>
      <w:r w:rsidRPr="00E81BFE">
        <w:rPr>
          <w:rFonts w:ascii="Calibri" w:hAnsi="Calibri" w:cs="Calibri"/>
          <w:sz w:val="24"/>
          <w:szCs w:val="24"/>
        </w:rPr>
        <w:t xml:space="preserve">zdravotních ústavů se sídly v Jihlavě, Brně, Olomouci a ve Zlíně, což vedlo logicky </w:t>
      </w:r>
      <w:r w:rsidRPr="00E81BFE">
        <w:rPr>
          <w:rFonts w:ascii="Calibri" w:hAnsi="Calibri" w:cs="Calibri"/>
          <w:iCs/>
          <w:sz w:val="24"/>
          <w:szCs w:val="24"/>
        </w:rPr>
        <w:t xml:space="preserve">i ke změně </w:t>
      </w:r>
      <w:r w:rsidRPr="00E81BFE">
        <w:rPr>
          <w:rFonts w:ascii="Calibri" w:hAnsi="Calibri" w:cs="Calibri"/>
          <w:sz w:val="24"/>
          <w:szCs w:val="24"/>
        </w:rPr>
        <w:t>pravděpodobnosti výskytu nepřiměřených rizik</w:t>
      </w:r>
      <w:r w:rsidRPr="00E81BFE">
        <w:rPr>
          <w:rFonts w:ascii="Calibri" w:hAnsi="Calibri" w:cs="Calibri"/>
          <w:iCs/>
          <w:sz w:val="24"/>
          <w:szCs w:val="24"/>
        </w:rPr>
        <w:t>. ZÚ v Ostravě v této souvislosti nevyvinul žádnou iniciativu, v </w:t>
      </w:r>
      <w:r w:rsidR="006118B2">
        <w:rPr>
          <w:rFonts w:ascii="Calibri" w:hAnsi="Calibri" w:cs="Calibri"/>
          <w:iCs/>
          <w:sz w:val="24"/>
          <w:szCs w:val="24"/>
        </w:rPr>
        <w:t xml:space="preserve">jejímž </w:t>
      </w:r>
      <w:r w:rsidRPr="00E81BFE">
        <w:rPr>
          <w:rFonts w:ascii="Calibri" w:hAnsi="Calibri" w:cs="Calibri"/>
          <w:iCs/>
          <w:sz w:val="24"/>
          <w:szCs w:val="24"/>
        </w:rPr>
        <w:t xml:space="preserve">rámci by provedl zjištění a vyhodnocení rizik a zjistil, zda je skutečně </w:t>
      </w:r>
      <w:r w:rsidRPr="00E81BFE">
        <w:rPr>
          <w:rFonts w:ascii="Calibri" w:hAnsi="Calibri" w:cs="Calibri"/>
          <w:sz w:val="24"/>
          <w:szCs w:val="24"/>
        </w:rPr>
        <w:t>orgánem veřejné správy s malou pravděpodobností výskytu nepřiměřených rizik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59"/>
      </w:r>
      <w:r w:rsidRPr="00E81BFE">
        <w:rPr>
          <w:rFonts w:ascii="Calibri" w:hAnsi="Calibri" w:cs="Calibri"/>
          <w:sz w:val="24"/>
          <w:szCs w:val="24"/>
        </w:rPr>
        <w:t xml:space="preserve"> a zda je tedy možné, aby uvedené funkce sloučil</w:t>
      </w:r>
      <w:r w:rsidRPr="00E81BFE">
        <w:rPr>
          <w:rFonts w:ascii="Calibri" w:hAnsi="Calibri" w:cs="Calibri"/>
          <w:sz w:val="24"/>
          <w:szCs w:val="24"/>
          <w:lang w:eastAsia="cs-CZ"/>
        </w:rPr>
        <w:t>.</w:t>
      </w:r>
    </w:p>
    <w:p w14:paraId="70A9B5B9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9AD626F" w14:textId="66F3DFF9" w:rsidR="003330BE" w:rsidRPr="00E81BFE" w:rsidRDefault="003330BE" w:rsidP="002777F5">
      <w:pPr>
        <w:keepNext/>
        <w:spacing w:after="0" w:line="240" w:lineRule="auto"/>
        <w:ind w:left="369" w:hanging="369"/>
        <w:rPr>
          <w:rFonts w:ascii="Calibri" w:hAnsi="Calibri" w:cs="Calibri"/>
          <w:b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t>3.3</w:t>
      </w:r>
      <w:r w:rsidRPr="00E81BFE">
        <w:rPr>
          <w:rFonts w:ascii="Calibri" w:hAnsi="Calibri" w:cs="Calibri"/>
          <w:b/>
          <w:sz w:val="24"/>
          <w:szCs w:val="24"/>
        </w:rPr>
        <w:tab/>
        <w:t>V kontrolovaném období byl ve zdravotních ústavech vykonán pouze jeden interní audit zaměřený na veřejné nakupování</w:t>
      </w:r>
    </w:p>
    <w:p w14:paraId="4BA60946" w14:textId="77777777" w:rsidR="002777F5" w:rsidRDefault="002777F5" w:rsidP="002777F5">
      <w:pPr>
        <w:keepNext/>
        <w:spacing w:after="0" w:line="240" w:lineRule="auto"/>
        <w:ind w:left="369" w:hanging="369"/>
        <w:rPr>
          <w:rFonts w:ascii="Calibri" w:hAnsi="Calibri" w:cs="Calibri"/>
          <w:sz w:val="24"/>
          <w:szCs w:val="24"/>
        </w:rPr>
      </w:pPr>
    </w:p>
    <w:p w14:paraId="3BBEB12D" w14:textId="45A51C1B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Podle zákona o finanční kontrole zahrnuje vnitřní kontrolní systém mj. interní audit. V souvislosti s veřejným nakupováním NKÚ rovněž prověřoval výkon interního auditu </w:t>
      </w:r>
      <w:proofErr w:type="gramStart"/>
      <w:r w:rsidRPr="00E81BFE">
        <w:rPr>
          <w:rFonts w:ascii="Calibri" w:hAnsi="Calibri" w:cs="Calibri"/>
          <w:sz w:val="24"/>
          <w:szCs w:val="24"/>
        </w:rPr>
        <w:t>ve ZÚ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. Kontrolou bylo zjištěno, že ZÚ v Ostravě </w:t>
      </w:r>
      <w:r w:rsidRPr="00E81BFE">
        <w:rPr>
          <w:rFonts w:ascii="Calibri" w:hAnsi="Calibri" w:cs="Calibri"/>
          <w:iCs/>
          <w:sz w:val="24"/>
          <w:szCs w:val="24"/>
        </w:rPr>
        <w:t xml:space="preserve">neměl až </w:t>
      </w:r>
      <w:r w:rsidRPr="00E81BFE">
        <w:rPr>
          <w:rFonts w:ascii="Calibri" w:hAnsi="Calibri" w:cs="Calibri"/>
          <w:sz w:val="24"/>
          <w:szCs w:val="24"/>
        </w:rPr>
        <w:t xml:space="preserve">do 31. 12. 2018 zřízen útvar interního auditu, přičemž nezřízení tohoto útvaru zdůvodňoval stejným dopisem </w:t>
      </w:r>
      <w:proofErr w:type="spellStart"/>
      <w:r w:rsidRPr="00E81BFE">
        <w:rPr>
          <w:rFonts w:ascii="Calibri" w:hAnsi="Calibri" w:cs="Calibri"/>
          <w:sz w:val="24"/>
          <w:szCs w:val="24"/>
        </w:rPr>
        <w:t>MZd</w:t>
      </w:r>
      <w:proofErr w:type="spellEnd"/>
      <w:r w:rsidRPr="00E81BFE">
        <w:rPr>
          <w:rFonts w:ascii="Calibri" w:hAnsi="Calibri" w:cs="Calibri"/>
          <w:sz w:val="24"/>
          <w:szCs w:val="24"/>
        </w:rPr>
        <w:t xml:space="preserve"> z roku 2003 (viz kapitola </w:t>
      </w:r>
      <w:proofErr w:type="gramStart"/>
      <w:r w:rsidRPr="00E81BFE">
        <w:rPr>
          <w:rFonts w:ascii="Calibri" w:hAnsi="Calibri" w:cs="Calibri"/>
          <w:sz w:val="24"/>
          <w:szCs w:val="24"/>
        </w:rPr>
        <w:t>IV.3.2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 tohoto kontrolního závěru)</w:t>
      </w:r>
      <w:r w:rsidRPr="00E81BFE">
        <w:rPr>
          <w:rFonts w:ascii="Calibri" w:hAnsi="Calibri" w:cs="Calibri"/>
          <w:iCs/>
          <w:sz w:val="24"/>
          <w:szCs w:val="24"/>
        </w:rPr>
        <w:t xml:space="preserve">, ve kterém bylo uvedeno, že vzhledem k jeho velikosti a možnostem </w:t>
      </w:r>
      <w:proofErr w:type="spellStart"/>
      <w:r w:rsidRPr="00E81BFE">
        <w:rPr>
          <w:rFonts w:ascii="Calibri" w:hAnsi="Calibri" w:cs="Calibri"/>
          <w:iCs/>
          <w:sz w:val="24"/>
          <w:szCs w:val="24"/>
        </w:rPr>
        <w:t>MZd</w:t>
      </w:r>
      <w:proofErr w:type="spellEnd"/>
      <w:r w:rsidRPr="00E81BFE">
        <w:rPr>
          <w:rFonts w:ascii="Calibri" w:hAnsi="Calibri" w:cs="Calibri"/>
          <w:iCs/>
          <w:sz w:val="24"/>
          <w:szCs w:val="24"/>
        </w:rPr>
        <w:t xml:space="preserve"> souhlasí s nahrazením funkce interního auditu výkonem veřejnosprávní kontroly. </w:t>
      </w:r>
      <w:r w:rsidRPr="00E81BFE">
        <w:rPr>
          <w:rFonts w:ascii="Calibri" w:hAnsi="Calibri" w:cs="Calibri"/>
          <w:sz w:val="24"/>
          <w:szCs w:val="24"/>
        </w:rPr>
        <w:t xml:space="preserve">ZÚ v Ostravě nezareagoval na změnu (viz kapitola </w:t>
      </w:r>
      <w:proofErr w:type="gramStart"/>
      <w:r w:rsidRPr="00E81BFE">
        <w:rPr>
          <w:rFonts w:ascii="Calibri" w:hAnsi="Calibri" w:cs="Calibri"/>
          <w:sz w:val="24"/>
          <w:szCs w:val="24"/>
        </w:rPr>
        <w:t>IV.3.2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 tohoto kontrolního závěru), </w:t>
      </w:r>
      <w:r w:rsidRPr="00E81BFE">
        <w:rPr>
          <w:rFonts w:ascii="Calibri" w:hAnsi="Calibri" w:cs="Calibri"/>
          <w:sz w:val="24"/>
          <w:szCs w:val="24"/>
        </w:rPr>
        <w:lastRenderedPageBreak/>
        <w:t xml:space="preserve">která k 1. 6. 2012 vedla k nárůstu počtu jeho zaměstnanců, nárůstu závazků i majetku (s nímž měl příslušnost hospodařit), ke změně jeho </w:t>
      </w:r>
      <w:r w:rsidRPr="00E81BFE">
        <w:rPr>
          <w:rFonts w:ascii="Calibri" w:hAnsi="Calibri" w:cs="Calibri"/>
          <w:iCs/>
          <w:sz w:val="24"/>
          <w:szCs w:val="24"/>
        </w:rPr>
        <w:t xml:space="preserve">struktury, a tím i ke změně stupně obtížnosti jeho vnitřního řízení. </w:t>
      </w:r>
      <w:r w:rsidRPr="00E81BFE">
        <w:rPr>
          <w:rFonts w:ascii="Calibri" w:hAnsi="Calibri" w:cs="Calibri"/>
          <w:sz w:val="24"/>
          <w:szCs w:val="24"/>
        </w:rPr>
        <w:t>ZÚ v Ostravě</w:t>
      </w:r>
      <w:r w:rsidRPr="00E81BFE">
        <w:rPr>
          <w:rFonts w:ascii="Calibri" w:hAnsi="Calibri" w:cs="Calibri"/>
          <w:iCs/>
          <w:sz w:val="24"/>
          <w:szCs w:val="24"/>
        </w:rPr>
        <w:t xml:space="preserve"> v této souvislosti nevyvinul až do roku 2018 žádnou iniciativu, která by vedla k zřízení útvaru interního auditu.</w:t>
      </w:r>
      <w:r w:rsidRPr="00E81BFE">
        <w:rPr>
          <w:rFonts w:ascii="Calibri" w:hAnsi="Calibri" w:cs="Calibri"/>
          <w:sz w:val="24"/>
          <w:szCs w:val="24"/>
        </w:rPr>
        <w:t xml:space="preserve"> Útvar interního auditu vznikl u tohoto zdravotního ústavu (v reakci na provedenou kontrolu </w:t>
      </w:r>
      <w:proofErr w:type="spellStart"/>
      <w:r w:rsidRPr="00E81BFE">
        <w:rPr>
          <w:rFonts w:ascii="Calibri" w:hAnsi="Calibri" w:cs="Calibri"/>
          <w:sz w:val="24"/>
          <w:szCs w:val="24"/>
        </w:rPr>
        <w:t>MZd</w:t>
      </w:r>
      <w:proofErr w:type="spellEnd"/>
      <w:r w:rsidRPr="00E81BFE">
        <w:rPr>
          <w:rFonts w:ascii="Calibri" w:hAnsi="Calibri" w:cs="Calibri"/>
          <w:sz w:val="24"/>
          <w:szCs w:val="24"/>
        </w:rPr>
        <w:t xml:space="preserve">) ke dni 1. 1. 2019, přičemž pozice interního auditora byla obsazena později, a to ke dni 1. 4. 2019. Od tohoto data do konce roku 2019 vykonal interní audit tři audity, přičemž žádný z nich nebyl zaměřen na veřejné nakupování. </w:t>
      </w:r>
      <w:proofErr w:type="gramStart"/>
      <w:r w:rsidRPr="00E81BFE">
        <w:rPr>
          <w:rFonts w:ascii="Calibri" w:hAnsi="Calibri" w:cs="Calibri"/>
          <w:sz w:val="24"/>
          <w:szCs w:val="24"/>
        </w:rPr>
        <w:t>Ve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 ZÚ v Ústí n. L. byla interní auditorka jmenována k 1. 1. 2013. V kontrolovaném období bylo </w:t>
      </w:r>
      <w:proofErr w:type="gramStart"/>
      <w:r w:rsidRPr="00E81BFE">
        <w:rPr>
          <w:rFonts w:ascii="Calibri" w:hAnsi="Calibri" w:cs="Calibri"/>
          <w:sz w:val="24"/>
          <w:szCs w:val="24"/>
        </w:rPr>
        <w:t>ve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 ZÚ v Ústí n. L. vykonáno celkem 12 interních auditů, přičemž pouze jeden z nich byl zaměřen mj. na veřejné nakupování. V souvislosti s veřejným nakupováním neobsahoval tento audit žádné zjištění. Z uvedeného vyplývá, že </w:t>
      </w:r>
      <w:r w:rsidRPr="00E81BFE">
        <w:rPr>
          <w:rFonts w:ascii="Calibri" w:hAnsi="Calibri" w:cs="Calibri"/>
          <w:b/>
          <w:sz w:val="24"/>
          <w:szCs w:val="24"/>
        </w:rPr>
        <w:t xml:space="preserve">v kontrolovaném období byl </w:t>
      </w:r>
      <w:proofErr w:type="gramStart"/>
      <w:r w:rsidRPr="00E81BFE">
        <w:rPr>
          <w:rFonts w:ascii="Calibri" w:hAnsi="Calibri" w:cs="Calibri"/>
          <w:b/>
          <w:sz w:val="24"/>
          <w:szCs w:val="24"/>
        </w:rPr>
        <w:t>ve ZÚ</w:t>
      </w:r>
      <w:proofErr w:type="gramEnd"/>
      <w:r w:rsidRPr="00E81BFE">
        <w:rPr>
          <w:rFonts w:ascii="Calibri" w:hAnsi="Calibri" w:cs="Calibri"/>
          <w:b/>
          <w:sz w:val="24"/>
          <w:szCs w:val="24"/>
        </w:rPr>
        <w:t xml:space="preserve"> vykonán pouze jeden interní audit zaměřený na veřejné nakupování, přestože výdaje na tyto nákupy činily cca 1,3 mld. Kč, což bylo 45 % celkových výdajů ZÚ</w:t>
      </w:r>
      <w:r w:rsidRPr="00E81BFE">
        <w:rPr>
          <w:rFonts w:ascii="Calibri" w:hAnsi="Calibri" w:cs="Calibri"/>
          <w:sz w:val="24"/>
          <w:szCs w:val="24"/>
        </w:rPr>
        <w:t xml:space="preserve"> (viz tabulky č. 7 a 8). Vzhledem k zjištěným nedostatkům uvedeným dále v kapitole </w:t>
      </w:r>
      <w:proofErr w:type="gramStart"/>
      <w:r w:rsidRPr="00E81BFE">
        <w:rPr>
          <w:rFonts w:ascii="Calibri" w:hAnsi="Calibri" w:cs="Calibri"/>
          <w:sz w:val="24"/>
          <w:szCs w:val="24"/>
        </w:rPr>
        <w:t>IV.3.7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 </w:t>
      </w:r>
      <w:r w:rsidRPr="00E81BFE">
        <w:rPr>
          <w:rFonts w:ascii="Calibri" w:hAnsi="Calibri" w:cs="Calibri"/>
          <w:b/>
          <w:sz w:val="24"/>
          <w:szCs w:val="24"/>
        </w:rPr>
        <w:t>považuje NKÚ výkon interního auditu v této oblasti za nedostatečný.</w:t>
      </w:r>
    </w:p>
    <w:p w14:paraId="1D9FD0A9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14978C" w14:textId="79A84A85" w:rsidR="003330BE" w:rsidRPr="00E81BFE" w:rsidRDefault="003330BE" w:rsidP="002777F5">
      <w:pPr>
        <w:keepNext/>
        <w:spacing w:after="0" w:line="240" w:lineRule="auto"/>
        <w:ind w:left="369" w:hanging="369"/>
        <w:rPr>
          <w:rFonts w:ascii="Calibri" w:hAnsi="Calibri" w:cs="Calibri"/>
          <w:b/>
          <w:bCs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t>3.4</w:t>
      </w:r>
      <w:r w:rsidRPr="00E81BFE">
        <w:rPr>
          <w:rFonts w:ascii="Calibri" w:hAnsi="Calibri" w:cs="Calibri"/>
          <w:b/>
          <w:sz w:val="24"/>
          <w:szCs w:val="24"/>
        </w:rPr>
        <w:tab/>
      </w:r>
      <w:r w:rsidRPr="00E81BFE">
        <w:rPr>
          <w:rFonts w:ascii="Calibri" w:hAnsi="Calibri" w:cs="Calibri"/>
          <w:b/>
          <w:bCs/>
          <w:sz w:val="24"/>
          <w:szCs w:val="24"/>
        </w:rPr>
        <w:t xml:space="preserve">Zdravotní ústavy přistupovaly odlišně k prověřování dlouhodobých smluv </w:t>
      </w:r>
    </w:p>
    <w:p w14:paraId="0C069986" w14:textId="77777777" w:rsidR="002777F5" w:rsidRDefault="002777F5" w:rsidP="002777F5">
      <w:pPr>
        <w:keepNext/>
        <w:spacing w:after="0" w:line="240" w:lineRule="auto"/>
        <w:ind w:left="369" w:hanging="369"/>
        <w:rPr>
          <w:rFonts w:ascii="Calibri" w:hAnsi="Calibri" w:cs="Calibri"/>
          <w:sz w:val="24"/>
          <w:szCs w:val="24"/>
        </w:rPr>
      </w:pPr>
    </w:p>
    <w:p w14:paraId="743C5DFA" w14:textId="483FD9E2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Na vzorku celkem šesti dlouhodobých smluv (tří v případě ZÚ v Ostravě a tří v případě ZÚ v Ústí n. L.), na</w:t>
      </w:r>
      <w:r w:rsidR="000015AC">
        <w:rPr>
          <w:rFonts w:ascii="Calibri" w:hAnsi="Calibri" w:cs="Calibri"/>
          <w:sz w:val="24"/>
          <w:szCs w:val="24"/>
        </w:rPr>
        <w:t xml:space="preserve"> jejichž</w:t>
      </w:r>
      <w:r w:rsidRPr="00E81BFE">
        <w:rPr>
          <w:rFonts w:ascii="Calibri" w:hAnsi="Calibri" w:cs="Calibri"/>
          <w:sz w:val="24"/>
          <w:szCs w:val="24"/>
        </w:rPr>
        <w:t xml:space="preserve"> základě byly v době kontroly naplňovány aktuální potřeby ZÚ alespoň pět let, NKÚ zjistil, že ZÚ v Ostravě v kontrolovaném období (zejména v roce 2019) prováděl monitorování, analýzu a posouzení výhodnosti dlouhodobých smluvních vztahů, když např. sjednal výhodnější smluvní podmínky, provedl nový výběr dodavatele nebo sledoval a vyhodnocoval ziskovost uzavřené smlouvy. ZÚ v Ústí n. L. analýzu smluv neprováděl. Neprováděl tak ani vyhodnocování výhodnosti těchto smluv, přestože na základě těchto smluv uskutečňoval dlouhodobé průběžné nákupy. Nepostupoval tak v souladu se zákonem o finanční kontrole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60"/>
      </w:r>
      <w:r w:rsidRPr="00E81BFE">
        <w:rPr>
          <w:rFonts w:ascii="Calibri" w:hAnsi="Calibri" w:cs="Calibri"/>
          <w:sz w:val="24"/>
          <w:szCs w:val="24"/>
        </w:rPr>
        <w:t>, neboť nevykonával průběžnou kontrolu nákupů (operací) uskutečňovaných na základě dlouhodobých smluv spočívající v ověřování výhodnosti smluvních podmínek, za kterých byly tyto operace prováděny.</w:t>
      </w:r>
    </w:p>
    <w:p w14:paraId="4AEE37C8" w14:textId="77777777" w:rsidR="003330BE" w:rsidRPr="00E81BFE" w:rsidRDefault="003330BE" w:rsidP="00E81BFE">
      <w:pPr>
        <w:tabs>
          <w:tab w:val="left" w:pos="567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FDEC627" w14:textId="317E2AA2" w:rsidR="003330BE" w:rsidRPr="00E81BFE" w:rsidRDefault="003330BE" w:rsidP="002777F5">
      <w:pPr>
        <w:keepNext/>
        <w:spacing w:after="0" w:line="240" w:lineRule="auto"/>
        <w:ind w:left="369" w:hanging="369"/>
        <w:rPr>
          <w:rFonts w:ascii="Calibri" w:hAnsi="Calibri" w:cs="Calibri"/>
          <w:b/>
          <w:sz w:val="24"/>
          <w:szCs w:val="24"/>
          <w:lang w:eastAsia="cs-CZ"/>
        </w:rPr>
      </w:pPr>
      <w:r w:rsidRPr="00E81BFE">
        <w:rPr>
          <w:rFonts w:ascii="Calibri" w:hAnsi="Calibri" w:cs="Calibri"/>
          <w:b/>
          <w:sz w:val="24"/>
          <w:szCs w:val="24"/>
        </w:rPr>
        <w:t>3.5</w:t>
      </w:r>
      <w:r w:rsidRPr="00E81BFE">
        <w:rPr>
          <w:rFonts w:ascii="Calibri" w:hAnsi="Calibri" w:cs="Calibri"/>
          <w:b/>
          <w:sz w:val="24"/>
          <w:szCs w:val="24"/>
        </w:rPr>
        <w:tab/>
        <w:t>Zdravotní ústavy se při nakupování dostatečně nezabývaly riziky závislosti na jednom dodavateli</w:t>
      </w:r>
    </w:p>
    <w:p w14:paraId="10649F7C" w14:textId="77777777" w:rsidR="002777F5" w:rsidRDefault="002777F5" w:rsidP="002777F5">
      <w:pPr>
        <w:keepNext/>
        <w:spacing w:after="0" w:line="240" w:lineRule="auto"/>
        <w:ind w:left="369" w:hanging="369"/>
        <w:rPr>
          <w:rFonts w:ascii="Calibri" w:hAnsi="Calibri" w:cs="Calibri"/>
          <w:sz w:val="24"/>
          <w:szCs w:val="24"/>
        </w:rPr>
      </w:pPr>
    </w:p>
    <w:p w14:paraId="7F471F4D" w14:textId="50365F8B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Na kontrolním vzorku čtyř veřejných nákupů (jednoho u ZÚ v Ostravě a tří u ZÚ v Ústí n. L.), jejichž předmětem byl software (jeho pořízení anebo podpora), NKÚ zjistil, že </w:t>
      </w:r>
      <w:r w:rsidRPr="00E81BFE">
        <w:rPr>
          <w:rFonts w:ascii="Calibri" w:hAnsi="Calibri" w:cs="Calibri"/>
          <w:sz w:val="24"/>
          <w:szCs w:val="24"/>
          <w:lang w:eastAsia="cs-CZ"/>
        </w:rPr>
        <w:t xml:space="preserve">ZÚ </w:t>
      </w:r>
      <w:r w:rsidRPr="00E81BFE">
        <w:rPr>
          <w:rFonts w:ascii="Calibri" w:hAnsi="Calibri" w:cs="Calibri"/>
          <w:b/>
          <w:sz w:val="24"/>
          <w:szCs w:val="24"/>
          <w:lang w:eastAsia="cs-CZ"/>
        </w:rPr>
        <w:t xml:space="preserve">nevyhodnocovaly rizika závislosti </w:t>
      </w:r>
      <w:r w:rsidRPr="00E81BFE">
        <w:rPr>
          <w:rFonts w:ascii="Calibri" w:hAnsi="Calibri" w:cs="Calibri"/>
          <w:sz w:val="24"/>
          <w:szCs w:val="24"/>
          <w:lang w:eastAsia="cs-CZ"/>
        </w:rPr>
        <w:t xml:space="preserve">na </w:t>
      </w:r>
      <w:r w:rsidRPr="00E81BFE">
        <w:rPr>
          <w:rFonts w:ascii="Calibri" w:hAnsi="Calibri" w:cs="Calibri"/>
          <w:sz w:val="24"/>
          <w:szCs w:val="24"/>
        </w:rPr>
        <w:t>jediném dodavateli. Zadávací podmínky, resp. uzavřené smlouvy</w:t>
      </w:r>
      <w:r w:rsidR="004B77F4">
        <w:rPr>
          <w:rFonts w:ascii="Calibri" w:hAnsi="Calibri" w:cs="Calibri"/>
          <w:sz w:val="24"/>
          <w:szCs w:val="24"/>
        </w:rPr>
        <w:t>,</w:t>
      </w:r>
      <w:r w:rsidRPr="00E81BFE">
        <w:rPr>
          <w:rFonts w:ascii="Calibri" w:hAnsi="Calibri" w:cs="Calibri"/>
          <w:sz w:val="24"/>
          <w:szCs w:val="24"/>
        </w:rPr>
        <w:t xml:space="preserve"> zejména neobsahovaly tzv. </w:t>
      </w:r>
      <w:r w:rsidRPr="009A5205">
        <w:rPr>
          <w:rFonts w:ascii="Calibri" w:hAnsi="Calibri" w:cs="Calibri"/>
          <w:i/>
          <w:sz w:val="24"/>
          <w:szCs w:val="24"/>
        </w:rPr>
        <w:t xml:space="preserve">exit </w:t>
      </w:r>
      <w:proofErr w:type="spellStart"/>
      <w:r w:rsidRPr="009A5205">
        <w:rPr>
          <w:rFonts w:ascii="Calibri" w:hAnsi="Calibri" w:cs="Calibri"/>
          <w:i/>
          <w:sz w:val="24"/>
          <w:szCs w:val="24"/>
        </w:rPr>
        <w:t>plan</w:t>
      </w:r>
      <w:proofErr w:type="spellEnd"/>
      <w:r w:rsidR="004B77F4">
        <w:rPr>
          <w:rFonts w:ascii="Calibri" w:hAnsi="Calibri" w:cs="Calibri"/>
          <w:sz w:val="24"/>
          <w:szCs w:val="24"/>
        </w:rPr>
        <w:t xml:space="preserve"> </w:t>
      </w:r>
      <w:r w:rsidRPr="00E81BFE">
        <w:rPr>
          <w:rFonts w:ascii="Calibri" w:hAnsi="Calibri" w:cs="Calibri"/>
          <w:sz w:val="24"/>
          <w:szCs w:val="24"/>
        </w:rPr>
        <w:t>/</w:t>
      </w:r>
      <w:r w:rsidR="004B77F4">
        <w:rPr>
          <w:rFonts w:ascii="Calibri" w:hAnsi="Calibri" w:cs="Calibri"/>
          <w:sz w:val="24"/>
          <w:szCs w:val="24"/>
        </w:rPr>
        <w:t xml:space="preserve"> </w:t>
      </w:r>
      <w:r w:rsidRPr="009A5205">
        <w:rPr>
          <w:rFonts w:ascii="Calibri" w:hAnsi="Calibri" w:cs="Calibri"/>
          <w:i/>
          <w:sz w:val="24"/>
          <w:szCs w:val="24"/>
        </w:rPr>
        <w:t xml:space="preserve">exit </w:t>
      </w:r>
      <w:proofErr w:type="spellStart"/>
      <w:r w:rsidRPr="009A5205">
        <w:rPr>
          <w:rFonts w:ascii="Calibri" w:hAnsi="Calibri" w:cs="Calibri"/>
          <w:i/>
          <w:sz w:val="24"/>
          <w:szCs w:val="24"/>
        </w:rPr>
        <w:t>strategy</w:t>
      </w:r>
      <w:proofErr w:type="spellEnd"/>
      <w:r w:rsidRPr="00E81BFE">
        <w:rPr>
          <w:rFonts w:ascii="Calibri" w:hAnsi="Calibri" w:cs="Calibri"/>
          <w:sz w:val="24"/>
          <w:szCs w:val="24"/>
        </w:rPr>
        <w:t>, tj. možnosti uplatnit sankci, resp. jiné vhodné řešení v případě, že by dodavatel odmítl poskytovat služby podpory/údržby softwaru po požadovanou dobu za stanovených (sjednaných) podmínek. V případě jednoho nákupu neobsahovaly zadávací podmínky, resp. smlouva, možnost nakupovat služby podpory/údržby po celou předpokládanou dobu používání pořizovaného softwaru za předem stanovených cenových podmínek vzešlých ze zadávacího řízení při jeho nákupu.</w:t>
      </w:r>
    </w:p>
    <w:p w14:paraId="6688C335" w14:textId="77777777" w:rsidR="003330BE" w:rsidRPr="00E81BFE" w:rsidRDefault="003330BE" w:rsidP="00E81BFE">
      <w:pPr>
        <w:tabs>
          <w:tab w:val="left" w:pos="567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7B5BA5F" w14:textId="5AD97D81" w:rsidR="003330BE" w:rsidRPr="00E81BFE" w:rsidRDefault="003330BE" w:rsidP="002777F5">
      <w:pPr>
        <w:keepNext/>
        <w:spacing w:after="0" w:line="240" w:lineRule="auto"/>
        <w:ind w:left="369" w:hanging="369"/>
        <w:rPr>
          <w:rFonts w:ascii="Calibri" w:hAnsi="Calibri" w:cs="Calibri"/>
          <w:b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lastRenderedPageBreak/>
        <w:t>3.6</w:t>
      </w:r>
      <w:r w:rsidRPr="00E81BFE">
        <w:rPr>
          <w:rFonts w:ascii="Calibri" w:hAnsi="Calibri" w:cs="Calibri"/>
          <w:sz w:val="24"/>
          <w:szCs w:val="24"/>
        </w:rPr>
        <w:tab/>
      </w:r>
      <w:r w:rsidRPr="00E81BFE">
        <w:rPr>
          <w:rFonts w:ascii="Calibri" w:hAnsi="Calibri" w:cs="Calibri"/>
          <w:b/>
          <w:sz w:val="24"/>
          <w:szCs w:val="24"/>
        </w:rPr>
        <w:t>Zdravotní ústavy v některých případech nevytvářely v praxi veřejného nakupování podmínky pro naplňování principů účelnosti, hospodárnosti a efektivnosti</w:t>
      </w:r>
    </w:p>
    <w:p w14:paraId="01BB9A7E" w14:textId="77777777" w:rsidR="002777F5" w:rsidRDefault="002777F5" w:rsidP="002777F5">
      <w:pPr>
        <w:keepNext/>
        <w:spacing w:after="0" w:line="240" w:lineRule="auto"/>
        <w:ind w:left="369" w:hanging="369"/>
        <w:rPr>
          <w:rFonts w:ascii="Calibri" w:hAnsi="Calibri" w:cs="Calibri"/>
          <w:sz w:val="24"/>
          <w:szCs w:val="24"/>
          <w:lang w:eastAsia="hi-IN" w:bidi="hi-IN"/>
        </w:rPr>
      </w:pPr>
    </w:p>
    <w:p w14:paraId="15228E4C" w14:textId="64B09BE5" w:rsidR="003330BE" w:rsidRPr="00E81BFE" w:rsidRDefault="003330BE" w:rsidP="00E81BF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81BFE">
        <w:rPr>
          <w:rFonts w:ascii="Calibri" w:hAnsi="Calibri" w:cs="Calibri"/>
          <w:sz w:val="24"/>
          <w:szCs w:val="24"/>
          <w:lang w:eastAsia="hi-IN" w:bidi="hi-IN"/>
        </w:rPr>
        <w:t>NKÚ za účelem ověření hospodárnosti, efektivnosti a účelnosti veřejného nakupování ZÚ a dodržování souvisejících právních předpisů prověřil celkem 21 veřejných nákupů (veřejných zakázek), z toho 10 veřejných zakázek zadaných v zadávacím řízení dle zákona o zadávání veřejných zakázek a 11 VZMR. V případě ZÚ v Ostravě se jednalo o čtyři VZ a šest VZMR a v případě ZÚ v Ústí n. L. o šest VZ a pět VZMR. U těchto zakázek (s výjimkou jedné VZMR) prověřil</w:t>
      </w:r>
      <w:r w:rsidR="00474D40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="00474D40" w:rsidRPr="00E81BFE">
        <w:rPr>
          <w:rFonts w:ascii="Calibri" w:hAnsi="Calibri" w:cs="Calibri"/>
          <w:sz w:val="24"/>
          <w:szCs w:val="24"/>
          <w:lang w:eastAsia="hi-IN" w:bidi="hi-IN"/>
        </w:rPr>
        <w:t>NKÚ</w:t>
      </w:r>
      <w:r w:rsidRPr="00E81BFE">
        <w:rPr>
          <w:rFonts w:ascii="Calibri" w:hAnsi="Calibri" w:cs="Calibri"/>
          <w:sz w:val="24"/>
          <w:szCs w:val="24"/>
          <w:lang w:eastAsia="hi-IN" w:bidi="hi-IN"/>
        </w:rPr>
        <w:t xml:space="preserve"> postupy a úkony, které ZÚ realizovaly v rámci celého životního cyklu veřejného nákupu. Důvodem nemožnosti posouzení správnosti postupu ve všech oblastech životního cyklu u jedné VZMR byla skutečnost, že ZÚ v Ostravě nepředložil všechny relevantní doklady s odůvodněním, že je nemá k dispozici. Na vzorku dalších veřejných nákupů (</w:t>
      </w:r>
      <w:r w:rsidRPr="00E81BFE">
        <w:rPr>
          <w:rFonts w:ascii="Calibri" w:hAnsi="Calibri" w:cs="Calibri"/>
          <w:sz w:val="24"/>
          <w:szCs w:val="24"/>
        </w:rPr>
        <w:t xml:space="preserve">diagnostik, kultivačních médií, testů a antibiotik a chemikálií) </w:t>
      </w:r>
      <w:r w:rsidRPr="00E81BFE">
        <w:rPr>
          <w:rFonts w:ascii="Calibri" w:hAnsi="Calibri" w:cs="Calibri"/>
          <w:sz w:val="24"/>
          <w:szCs w:val="24"/>
          <w:lang w:eastAsia="hi-IN" w:bidi="hi-IN"/>
        </w:rPr>
        <w:t xml:space="preserve">realizovaných formou přímého zadání (objednávek) </w:t>
      </w:r>
      <w:r w:rsidRPr="00E81BFE">
        <w:rPr>
          <w:rFonts w:ascii="Calibri" w:hAnsi="Calibri" w:cs="Calibri"/>
          <w:sz w:val="24"/>
          <w:szCs w:val="24"/>
        </w:rPr>
        <w:t>od 18 dodavatelů</w:t>
      </w:r>
      <w:r w:rsidRPr="00E81BFE">
        <w:rPr>
          <w:rFonts w:ascii="Calibri" w:hAnsi="Calibri" w:cs="Calibri"/>
          <w:sz w:val="24"/>
          <w:szCs w:val="24"/>
          <w:lang w:eastAsia="hi-IN" w:bidi="hi-IN"/>
        </w:rPr>
        <w:t xml:space="preserve"> dále NKÚ ověřil pouze fázi výběru dodavatele. V případě jednoho dalšího nákupu (na přepravu) ověřil NKÚ na základě fakturace pak pouze fázi plnění (dodání předmětu) veřejného nákupu. </w:t>
      </w:r>
      <w:r w:rsidRPr="00E81BFE">
        <w:rPr>
          <w:rFonts w:ascii="Calibri" w:eastAsia="Times New Roman" w:hAnsi="Calibri" w:cs="Calibri"/>
          <w:sz w:val="24"/>
          <w:szCs w:val="24"/>
          <w:lang w:eastAsia="cs-CZ"/>
        </w:rPr>
        <w:t>Tyto další nákupy byly zahrnuty do kontrolního vzorku vzhledem k jejich celkové finanční významnosti a zjištěné rizikovosti jejich průběhu v uvedených fázích.</w:t>
      </w:r>
    </w:p>
    <w:p w14:paraId="69B9A7C4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65F6DA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V souvislosti s principem </w:t>
      </w:r>
      <w:r w:rsidRPr="00E81BFE">
        <w:rPr>
          <w:rFonts w:ascii="Calibri" w:hAnsi="Calibri" w:cs="Calibri"/>
          <w:b/>
          <w:sz w:val="24"/>
          <w:szCs w:val="24"/>
        </w:rPr>
        <w:t>účelnosti, resp. efektivnosti</w:t>
      </w:r>
      <w:r w:rsidRPr="00E81BFE">
        <w:rPr>
          <w:rFonts w:ascii="Calibri" w:hAnsi="Calibri" w:cs="Calibri"/>
          <w:sz w:val="24"/>
          <w:szCs w:val="24"/>
        </w:rPr>
        <w:t xml:space="preserve"> NKÚ zjistil, že ZÚ u kontrolovaných veřejných nákupů neprováděly identifikaci a odůvodnění potřeb, resp. neprovedly výběr optimální varianty uspokojení potřeby (dále viz kapitola </w:t>
      </w:r>
      <w:proofErr w:type="gramStart"/>
      <w:r w:rsidRPr="00E81BFE">
        <w:rPr>
          <w:rFonts w:ascii="Calibri" w:hAnsi="Calibri" w:cs="Calibri"/>
          <w:sz w:val="24"/>
          <w:szCs w:val="24"/>
        </w:rPr>
        <w:t>IV.3.6.1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 tohoto kontrolního závěru).  </w:t>
      </w:r>
    </w:p>
    <w:p w14:paraId="6CBBCB34" w14:textId="77777777" w:rsidR="00CA4434" w:rsidRDefault="00CA4434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B6F8B10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V souvislosti se </w:t>
      </w:r>
      <w:r w:rsidRPr="00E81BFE">
        <w:rPr>
          <w:rFonts w:ascii="Calibri" w:hAnsi="Calibri" w:cs="Calibri"/>
          <w:b/>
          <w:sz w:val="24"/>
          <w:szCs w:val="24"/>
        </w:rPr>
        <w:t>všemi</w:t>
      </w:r>
      <w:r w:rsidR="00085BFD">
        <w:rPr>
          <w:rFonts w:ascii="Calibri" w:hAnsi="Calibri" w:cs="Calibri"/>
          <w:b/>
          <w:sz w:val="24"/>
          <w:szCs w:val="24"/>
        </w:rPr>
        <w:t xml:space="preserve"> </w:t>
      </w:r>
      <w:r w:rsidRPr="00E81BFE">
        <w:rPr>
          <w:rFonts w:ascii="Calibri" w:hAnsi="Calibri" w:cs="Calibri"/>
          <w:b/>
          <w:sz w:val="24"/>
          <w:szCs w:val="24"/>
        </w:rPr>
        <w:t>principy 3E (příp. kombinací některých z nich)</w:t>
      </w:r>
      <w:r w:rsidRPr="00E81BFE">
        <w:rPr>
          <w:rFonts w:ascii="Calibri" w:hAnsi="Calibri" w:cs="Calibri"/>
          <w:sz w:val="24"/>
          <w:szCs w:val="24"/>
        </w:rPr>
        <w:t xml:space="preserve"> NKÚ zjistil, že ZÚ u kontrolovaných veřejných nákupů:</w:t>
      </w:r>
    </w:p>
    <w:p w14:paraId="0136EAB7" w14:textId="77777777" w:rsidR="003330BE" w:rsidRPr="00E81BFE" w:rsidRDefault="003330BE" w:rsidP="00474D40">
      <w:pPr>
        <w:pStyle w:val="Odstavecseseznamem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nestanovily měřitelné indikátory (dále viz kapitola </w:t>
      </w:r>
      <w:proofErr w:type="gramStart"/>
      <w:r w:rsidRPr="00E81BFE">
        <w:rPr>
          <w:rFonts w:ascii="Calibri" w:hAnsi="Calibri" w:cs="Calibri"/>
          <w:sz w:val="24"/>
          <w:szCs w:val="24"/>
        </w:rPr>
        <w:t>IV.3.6.2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 tohoto kontrolního závěru), </w:t>
      </w:r>
    </w:p>
    <w:p w14:paraId="32D7125F" w14:textId="77777777" w:rsidR="003330BE" w:rsidRPr="00E81BFE" w:rsidRDefault="003330BE" w:rsidP="00474D40">
      <w:pPr>
        <w:pStyle w:val="Odstavecseseznamem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neprováděly vyhodnocení ukončených nákupů, tzv. zpětnou vazbu (dále viz kapitola </w:t>
      </w:r>
      <w:proofErr w:type="gramStart"/>
      <w:r w:rsidRPr="00E81BFE">
        <w:rPr>
          <w:rFonts w:ascii="Calibri" w:hAnsi="Calibri" w:cs="Calibri"/>
          <w:sz w:val="24"/>
          <w:szCs w:val="24"/>
        </w:rPr>
        <w:t>IV.3.6.3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 tohoto kontrolního závěru). </w:t>
      </w:r>
    </w:p>
    <w:p w14:paraId="7FE8A093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</w:p>
    <w:p w14:paraId="1A65197C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V souvislosti s kontrolovanými veřejnými nákupy, u kterých </w:t>
      </w:r>
      <w:r w:rsidRPr="00E81BFE">
        <w:rPr>
          <w:rFonts w:ascii="Calibri" w:hAnsi="Calibri" w:cs="Calibri"/>
          <w:b/>
          <w:sz w:val="24"/>
          <w:szCs w:val="24"/>
        </w:rPr>
        <w:t>ZÚ nepostupovaly tak, aby vytvářely podmínky pro</w:t>
      </w:r>
      <w:r w:rsidRPr="00E81BFE">
        <w:rPr>
          <w:rFonts w:ascii="Calibri" w:hAnsi="Calibri" w:cs="Calibri"/>
          <w:sz w:val="24"/>
          <w:szCs w:val="24"/>
        </w:rPr>
        <w:t xml:space="preserve"> naplňování principů 3E, spatřuje NKÚ za nejzásadnější (nejproblémovější) ty postupy ZÚ, které souvisí s fází </w:t>
      </w:r>
      <w:r w:rsidRPr="00E81BFE">
        <w:rPr>
          <w:rFonts w:ascii="Calibri" w:hAnsi="Calibri" w:cs="Calibri"/>
          <w:b/>
          <w:sz w:val="24"/>
          <w:szCs w:val="24"/>
        </w:rPr>
        <w:t>plánování, případně přípravy a vyhodnocení nákupů</w:t>
      </w:r>
      <w:r w:rsidRPr="009A5205">
        <w:rPr>
          <w:rFonts w:ascii="Calibri" w:hAnsi="Calibri" w:cs="Calibri"/>
          <w:b/>
          <w:sz w:val="24"/>
          <w:szCs w:val="24"/>
        </w:rPr>
        <w:t>.</w:t>
      </w:r>
      <w:r w:rsidRPr="00E81BFE">
        <w:rPr>
          <w:rFonts w:ascii="Calibri" w:hAnsi="Calibri" w:cs="Calibri"/>
          <w:sz w:val="24"/>
          <w:szCs w:val="24"/>
        </w:rPr>
        <w:t xml:space="preserve"> V případě plánování, resp. přípravy nákupů, takto ZÚ postupovaly u 45 % nákupů (v souvislosti s neprovedením identifikace a odůvodnění potřeby a neprovedením výběru optimální varianty uspokojení potřeby), resp. u 85 % nákupů (v souvislosti s nestanovením měřitelných indikátorů). U 75 % ukončených nákupů neprovedly vyhodnocení (zpětnou vazbu). </w:t>
      </w:r>
    </w:p>
    <w:p w14:paraId="338F5F79" w14:textId="77777777" w:rsidR="003330BE" w:rsidRPr="00085BFD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E4E6BFE" w14:textId="66599ED1" w:rsidR="003330BE" w:rsidRPr="00E81BFE" w:rsidRDefault="003330BE" w:rsidP="00085BFD">
      <w:pPr>
        <w:keepNext/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t>3.6.1</w:t>
      </w:r>
      <w:r w:rsidR="00085BFD">
        <w:rPr>
          <w:rFonts w:ascii="Calibri" w:hAnsi="Calibri" w:cs="Calibri"/>
          <w:b/>
          <w:sz w:val="24"/>
          <w:szCs w:val="24"/>
        </w:rPr>
        <w:t xml:space="preserve"> </w:t>
      </w:r>
      <w:r w:rsidRPr="00E81BFE">
        <w:rPr>
          <w:rFonts w:ascii="Calibri" w:hAnsi="Calibri" w:cs="Calibri"/>
          <w:b/>
          <w:sz w:val="24"/>
          <w:szCs w:val="24"/>
        </w:rPr>
        <w:t>U zdravotních ústavů nefungovala správně předběžná řídící kontrola před vznikem závazku; nebyly tak vytvořeny podmínky pro účelnost a efektivnost nákupů</w:t>
      </w:r>
    </w:p>
    <w:p w14:paraId="4191AA3E" w14:textId="77777777" w:rsidR="00085BFD" w:rsidRDefault="00085BFD" w:rsidP="00085BFD">
      <w:pPr>
        <w:keepNext/>
        <w:spacing w:after="0" w:line="240" w:lineRule="auto"/>
        <w:ind w:left="369" w:hanging="369"/>
        <w:rPr>
          <w:rFonts w:ascii="Calibri" w:hAnsi="Calibri" w:cs="Calibri"/>
          <w:sz w:val="24"/>
          <w:szCs w:val="24"/>
        </w:rPr>
      </w:pPr>
    </w:p>
    <w:p w14:paraId="0C3CE47E" w14:textId="68775DA5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ZÚ v Ostravě ke všem 10 kontrolovaným nákupům (čtyřem VZ a šesti VZMR) předložil doklady, které považoval za záznam o provedení předběžné kontroly před vznikem závazku (</w:t>
      </w:r>
      <w:r w:rsidR="00474D40">
        <w:rPr>
          <w:rFonts w:ascii="Calibri" w:hAnsi="Calibri" w:cs="Calibri"/>
          <w:sz w:val="24"/>
          <w:szCs w:val="24"/>
        </w:rPr>
        <w:t>p</w:t>
      </w:r>
      <w:r w:rsidRPr="00E81BFE">
        <w:rPr>
          <w:rFonts w:ascii="Calibri" w:hAnsi="Calibri" w:cs="Calibri"/>
          <w:sz w:val="24"/>
          <w:szCs w:val="24"/>
        </w:rPr>
        <w:t xml:space="preserve">okyn k realizaci veřejné zakázky v případě VZ a VZMR nad 500 tis. Kč, objednávky nebo </w:t>
      </w:r>
      <w:r w:rsidR="00474D40">
        <w:rPr>
          <w:rFonts w:ascii="Calibri" w:hAnsi="Calibri" w:cs="Calibri"/>
          <w:sz w:val="24"/>
          <w:szCs w:val="24"/>
        </w:rPr>
        <w:t>z</w:t>
      </w:r>
      <w:r w:rsidRPr="00E81BFE">
        <w:rPr>
          <w:rFonts w:ascii="Calibri" w:hAnsi="Calibri" w:cs="Calibri"/>
          <w:sz w:val="24"/>
          <w:szCs w:val="24"/>
        </w:rPr>
        <w:t xml:space="preserve">ápis o provedení výběru dodavatele v případě VZMR do 500 tis. Kč). NKÚ zjistil, že tyto doklady neodpovídaly dokladu o provedení této kontroly a nebyly potvrzeny příkazcem operace a současně správcem rozpočtu. V případě VZMR do 500 tis. Kč byly tyto doklady vyhotoveny </w:t>
      </w:r>
      <w:r w:rsidRPr="00E81BFE">
        <w:rPr>
          <w:rFonts w:ascii="Calibri" w:hAnsi="Calibri" w:cs="Calibri"/>
          <w:sz w:val="24"/>
          <w:szCs w:val="24"/>
        </w:rPr>
        <w:lastRenderedPageBreak/>
        <w:t>až po zahájení výběrového řízení, tzn. v okamžiku, kdy už není možné parametry nákupu ovlivnit. U ZÚ v Ústí n. L. nebyl v kontrolovaných zakázkách tento nedostatek zjištěn.</w:t>
      </w:r>
    </w:p>
    <w:p w14:paraId="171672B1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</w:p>
    <w:p w14:paraId="533ABDA0" w14:textId="77777777" w:rsidR="003330B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ZÚ v Ostravě realizoval celkem čtyři nákupy (jednu VZ a tři VZMR) bez jasně identifikovaných a zdůvodněných potřeb nebo bez provedené či dostatečně provedené analýzy způsobu zajištění a posouzení variant řešení, která povedou k naplnění identifikované potřeby. ZÚ v Ústí n. L. takto postupoval u pěti nákupů (u čtyř VZ a jedné VZMR). NKÚ uvedený postup zjistil u celkem devíti veřejných nákupů (u pěti VZ a u čtyř VZMR).</w:t>
      </w:r>
    </w:p>
    <w:p w14:paraId="0F898E5A" w14:textId="77777777" w:rsidR="00085BFD" w:rsidRPr="00E81BFE" w:rsidRDefault="00085BFD" w:rsidP="00E81BFE">
      <w:pPr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</w:p>
    <w:p w14:paraId="2B26C366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ZÚ tak neprovedly řádně předběžnou řídící kontrolu před vznikem závazku v souladu se zákonem o finanční kontrole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61"/>
      </w:r>
      <w:r w:rsidRPr="00E81BFE">
        <w:rPr>
          <w:rFonts w:ascii="Calibri" w:hAnsi="Calibri" w:cs="Calibri"/>
          <w:sz w:val="24"/>
          <w:szCs w:val="24"/>
        </w:rPr>
        <w:t xml:space="preserve">. Neprovedením identifikace a odůvodnění potřeby </w:t>
      </w:r>
      <w:r w:rsidRPr="00E81BFE">
        <w:rPr>
          <w:rFonts w:ascii="Calibri" w:hAnsi="Calibri" w:cs="Calibri"/>
          <w:b/>
          <w:sz w:val="24"/>
          <w:szCs w:val="24"/>
        </w:rPr>
        <w:t>nevytvořily podmínku pro naplnění principu účelnosti</w:t>
      </w:r>
      <w:r w:rsidRPr="009A5205">
        <w:rPr>
          <w:rFonts w:ascii="Calibri" w:hAnsi="Calibri" w:cs="Calibri"/>
          <w:b/>
          <w:sz w:val="24"/>
          <w:szCs w:val="24"/>
        </w:rPr>
        <w:t>,</w:t>
      </w:r>
      <w:r w:rsidRPr="00E81BFE">
        <w:rPr>
          <w:rFonts w:ascii="Calibri" w:hAnsi="Calibri" w:cs="Calibri"/>
          <w:sz w:val="24"/>
          <w:szCs w:val="24"/>
        </w:rPr>
        <w:t xml:space="preserve"> neprovedením výběru optimální varianty uspokojení potřeby pak </w:t>
      </w:r>
      <w:r w:rsidRPr="00E81BFE">
        <w:rPr>
          <w:rFonts w:ascii="Calibri" w:hAnsi="Calibri" w:cs="Calibri"/>
          <w:b/>
          <w:sz w:val="24"/>
          <w:szCs w:val="24"/>
        </w:rPr>
        <w:t>podmínku pro naplnění principu efektivnosti</w:t>
      </w:r>
      <w:r w:rsidRPr="009A5205">
        <w:rPr>
          <w:rFonts w:ascii="Calibri" w:hAnsi="Calibri" w:cs="Calibri"/>
          <w:b/>
          <w:sz w:val="24"/>
          <w:szCs w:val="24"/>
        </w:rPr>
        <w:t>.</w:t>
      </w:r>
      <w:r w:rsidRPr="00E81BFE">
        <w:rPr>
          <w:rFonts w:ascii="Calibri" w:hAnsi="Calibri" w:cs="Calibri"/>
          <w:sz w:val="24"/>
          <w:szCs w:val="24"/>
        </w:rPr>
        <w:t xml:space="preserve"> Přitom právě tyto činnosti významně ovlivňují veřejný nákup již ve fázi jeho plánování, resp. přípravy.</w:t>
      </w:r>
    </w:p>
    <w:p w14:paraId="0922FC72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</w:p>
    <w:p w14:paraId="1E3B5378" w14:textId="46507B20" w:rsidR="003330BE" w:rsidRPr="00E81BFE" w:rsidRDefault="003330BE" w:rsidP="00085BFD">
      <w:pPr>
        <w:keepNext/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t>3.6.2</w:t>
      </w:r>
      <w:r w:rsidRPr="00E81BFE">
        <w:rPr>
          <w:rFonts w:ascii="Calibri" w:hAnsi="Calibri" w:cs="Calibri"/>
          <w:b/>
          <w:sz w:val="24"/>
          <w:szCs w:val="24"/>
        </w:rPr>
        <w:tab/>
        <w:t>Zdravotní ústavy nestanovily měřitelné indikátory výsledků pro vyhodnocení veřejného nákupu</w:t>
      </w:r>
    </w:p>
    <w:p w14:paraId="64FDE2F5" w14:textId="77777777" w:rsidR="00085BFD" w:rsidRDefault="00085BFD" w:rsidP="00085BFD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F8ABF7" w14:textId="77777777" w:rsidR="003330B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ZÚ v Ostravě realizoval celkem šest nákupů (jednu VZ a pět VZMR), u kterých nestanovil měřitelné indikátory pro vyhodnocení veřejného nákupu z hlediska skutečných dopadů vzhledem k dopadům zamýšleným (indikátory očekávaných výsledků/dopadů). ZÚ v Ústí n. L. měřitelné indikátory stanovil, avšak zpravidla jen jako výstup nákupu</w:t>
      </w:r>
      <w:r w:rsidRPr="009A5205">
        <w:rPr>
          <w:rFonts w:ascii="Calibri" w:hAnsi="Calibri" w:cs="Calibri"/>
          <w:sz w:val="24"/>
          <w:szCs w:val="24"/>
        </w:rPr>
        <w:t xml:space="preserve"> </w:t>
      </w:r>
      <w:r w:rsidRPr="00E81BFE">
        <w:rPr>
          <w:rFonts w:ascii="Calibri" w:hAnsi="Calibri" w:cs="Calibri"/>
          <w:sz w:val="24"/>
          <w:szCs w:val="24"/>
        </w:rPr>
        <w:t>(např. ve formě nákupu maximálně možného počtu kusů). ZÚ v Ústí n. L. takto postupoval u všech 11 nákupů (u šesti VZ a u pěti VZMR). NKÚ výše uvedený postup zjistil u celkem 17 veřejných nákupů (u sedmi VZ a u 10 VZMR).</w:t>
      </w:r>
    </w:p>
    <w:p w14:paraId="30EA1034" w14:textId="77777777" w:rsidR="00085BFD" w:rsidRPr="00E81BFE" w:rsidRDefault="00085BFD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E7C5CE8" w14:textId="77777777" w:rsidR="003330BE" w:rsidRPr="00085BFD" w:rsidRDefault="003330BE" w:rsidP="00E81BFE">
      <w:pPr>
        <w:spacing w:after="0" w:line="240" w:lineRule="auto"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t>ZÚ</w:t>
      </w:r>
      <w:r w:rsidRPr="00E81BFE">
        <w:rPr>
          <w:rFonts w:ascii="Calibri" w:hAnsi="Calibri" w:cs="Calibri"/>
          <w:sz w:val="24"/>
          <w:szCs w:val="24"/>
        </w:rPr>
        <w:t xml:space="preserve"> tímto postupem </w:t>
      </w:r>
      <w:r w:rsidRPr="00E81BFE">
        <w:rPr>
          <w:rFonts w:ascii="Calibri" w:hAnsi="Calibri" w:cs="Calibri"/>
          <w:b/>
          <w:sz w:val="24"/>
          <w:szCs w:val="24"/>
        </w:rPr>
        <w:t xml:space="preserve">nemohly sledovat skutečné dopady pořízeného předmětu veřejného nákupu na svou činnost, respektive nemohly tak vyhodnocovat, zda a do jaké míry výstupy nákupů </w:t>
      </w:r>
      <w:r w:rsidRPr="00E81BFE">
        <w:rPr>
          <w:rFonts w:ascii="Calibri" w:eastAsia="Calibri" w:hAnsi="Calibri" w:cs="Calibri"/>
          <w:sz w:val="24"/>
          <w:szCs w:val="24"/>
        </w:rPr>
        <w:t xml:space="preserve">(pořízené předměty plnění) </w:t>
      </w:r>
      <w:r w:rsidRPr="00E81BFE">
        <w:rPr>
          <w:rFonts w:ascii="Calibri" w:hAnsi="Calibri" w:cs="Calibri"/>
          <w:b/>
          <w:sz w:val="24"/>
          <w:szCs w:val="24"/>
        </w:rPr>
        <w:t xml:space="preserve">ovlivňovaly účelnost, hospodárnost a efektivnost činností, pro jejichž výkon byly realizovány. </w:t>
      </w:r>
      <w:r w:rsidRPr="00E81BFE">
        <w:rPr>
          <w:rFonts w:ascii="Calibri" w:hAnsi="Calibri" w:cs="Calibri"/>
          <w:sz w:val="24"/>
          <w:szCs w:val="24"/>
        </w:rPr>
        <w:t xml:space="preserve">Povinnost </w:t>
      </w:r>
      <w:r w:rsidRPr="00E81BFE">
        <w:rPr>
          <w:rFonts w:ascii="Calibri" w:eastAsia="Calibri" w:hAnsi="Calibri" w:cs="Calibri"/>
          <w:sz w:val="24"/>
          <w:szCs w:val="24"/>
        </w:rPr>
        <w:t xml:space="preserve">stanovit kritéria pro hodnocení těchto principů </w:t>
      </w:r>
      <w:r w:rsidRPr="00E81BFE">
        <w:rPr>
          <w:rFonts w:ascii="Calibri" w:hAnsi="Calibri" w:cs="Calibri"/>
          <w:sz w:val="24"/>
          <w:szCs w:val="24"/>
        </w:rPr>
        <w:t xml:space="preserve">přitom </w:t>
      </w:r>
      <w:r w:rsidRPr="00E81BFE">
        <w:rPr>
          <w:rFonts w:ascii="Calibri" w:eastAsia="Calibri" w:hAnsi="Calibri" w:cs="Calibri"/>
          <w:sz w:val="24"/>
          <w:szCs w:val="24"/>
        </w:rPr>
        <w:t>vyplývá vedoucímu orgánu veřejné správy ze zákona o finanční kontrole</w:t>
      </w:r>
      <w:r w:rsidRPr="00E81BFE">
        <w:rPr>
          <w:rStyle w:val="Znakapoznpodarou"/>
          <w:rFonts w:ascii="Calibri" w:eastAsia="Calibri" w:hAnsi="Calibri" w:cs="Calibri"/>
          <w:sz w:val="24"/>
          <w:szCs w:val="24"/>
        </w:rPr>
        <w:footnoteReference w:id="62"/>
      </w:r>
      <w:r w:rsidRPr="00E81BFE">
        <w:rPr>
          <w:rFonts w:ascii="Calibri" w:eastAsia="Calibri" w:hAnsi="Calibri" w:cs="Calibri"/>
          <w:sz w:val="24"/>
          <w:szCs w:val="24"/>
        </w:rPr>
        <w:t xml:space="preserve">. Tyto však nebyly </w:t>
      </w:r>
      <w:r w:rsidRPr="00E81BFE">
        <w:rPr>
          <w:rFonts w:ascii="Calibri" w:hAnsi="Calibri" w:cs="Calibri"/>
          <w:sz w:val="24"/>
          <w:szCs w:val="24"/>
        </w:rPr>
        <w:t>ve fázi plánování, případně přípravy veřejného nákupu, tedy</w:t>
      </w:r>
      <w:r w:rsidRPr="00E81BFE">
        <w:rPr>
          <w:rFonts w:ascii="Calibri" w:eastAsia="Calibri" w:hAnsi="Calibri" w:cs="Calibri"/>
          <w:sz w:val="24"/>
          <w:szCs w:val="24"/>
        </w:rPr>
        <w:t xml:space="preserve"> v rámci </w:t>
      </w:r>
      <w:r w:rsidRPr="00085BFD">
        <w:rPr>
          <w:rFonts w:ascii="Calibri" w:eastAsia="Calibri" w:hAnsi="Calibri" w:cs="Calibri"/>
          <w:color w:val="000000" w:themeColor="text1"/>
          <w:sz w:val="24"/>
          <w:szCs w:val="24"/>
        </w:rPr>
        <w:t>předběžné řídící kontroly</w:t>
      </w:r>
      <w:r w:rsidRPr="00085BFD">
        <w:rPr>
          <w:rStyle w:val="Znakapoznpodarou"/>
          <w:rFonts w:ascii="Calibri" w:hAnsi="Calibri" w:cs="Calibri"/>
          <w:color w:val="000000" w:themeColor="text1"/>
          <w:sz w:val="24"/>
          <w:szCs w:val="24"/>
        </w:rPr>
        <w:footnoteReference w:id="63"/>
      </w:r>
      <w:r w:rsidRPr="00085BFD">
        <w:rPr>
          <w:rFonts w:ascii="Calibri" w:eastAsia="Calibri" w:hAnsi="Calibri" w:cs="Calibri"/>
          <w:color w:val="000000" w:themeColor="text1"/>
          <w:sz w:val="24"/>
          <w:szCs w:val="24"/>
        </w:rPr>
        <w:t>, stanoveny. </w:t>
      </w:r>
      <w:r w:rsidRPr="00085B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404E4BC" w14:textId="77777777" w:rsidR="003330BE" w:rsidRPr="00085BFD" w:rsidRDefault="003330BE" w:rsidP="00E81BF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AC7B977" w14:textId="189061F4" w:rsidR="003330BE" w:rsidRPr="00E81BFE" w:rsidRDefault="003330BE" w:rsidP="00085BFD">
      <w:pPr>
        <w:keepNext/>
        <w:spacing w:after="0" w:line="240" w:lineRule="auto"/>
        <w:ind w:left="567" w:hanging="567"/>
        <w:rPr>
          <w:rFonts w:ascii="Calibri" w:hAnsi="Calibri" w:cs="Calibri"/>
          <w:b/>
          <w:sz w:val="24"/>
          <w:szCs w:val="24"/>
        </w:rPr>
      </w:pPr>
      <w:r w:rsidRPr="00085BFD">
        <w:rPr>
          <w:rFonts w:ascii="Calibri" w:hAnsi="Calibri" w:cs="Calibri"/>
          <w:b/>
          <w:color w:val="000000" w:themeColor="text1"/>
          <w:sz w:val="24"/>
          <w:szCs w:val="24"/>
        </w:rPr>
        <w:t>3.6.3</w:t>
      </w:r>
      <w:r w:rsidRPr="00085BFD">
        <w:rPr>
          <w:rFonts w:ascii="Calibri" w:hAnsi="Calibri" w:cs="Calibri"/>
          <w:b/>
          <w:color w:val="000000" w:themeColor="text1"/>
          <w:sz w:val="24"/>
          <w:szCs w:val="24"/>
        </w:rPr>
        <w:tab/>
        <w:t>Zd</w:t>
      </w:r>
      <w:r w:rsidRPr="00E81BFE">
        <w:rPr>
          <w:rFonts w:ascii="Calibri" w:hAnsi="Calibri" w:cs="Calibri"/>
          <w:b/>
          <w:sz w:val="24"/>
          <w:szCs w:val="24"/>
        </w:rPr>
        <w:t>ravotní ústavy nezajistily funkční zpětnou vazbu, nezbytnou pro zvyšování hospodárnosti, efektivnosti a účelnosti veřejného nakupování</w:t>
      </w:r>
    </w:p>
    <w:p w14:paraId="0B22FAC7" w14:textId="77777777" w:rsidR="00085BFD" w:rsidRDefault="00085BFD" w:rsidP="00085BFD">
      <w:pPr>
        <w:keepNext/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</w:p>
    <w:p w14:paraId="57FB512D" w14:textId="0ECE2DA1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Z 21 kontrolovaných veřejných nákupů bylo 12 z nich ukončen</w:t>
      </w:r>
      <w:r w:rsidR="004B6973">
        <w:rPr>
          <w:rFonts w:ascii="Calibri" w:hAnsi="Calibri" w:cs="Calibri"/>
          <w:sz w:val="24"/>
          <w:szCs w:val="24"/>
        </w:rPr>
        <w:t>o</w:t>
      </w:r>
      <w:r w:rsidRPr="00E81BFE">
        <w:rPr>
          <w:rFonts w:ascii="Calibri" w:hAnsi="Calibri" w:cs="Calibri"/>
          <w:sz w:val="24"/>
          <w:szCs w:val="24"/>
        </w:rPr>
        <w:t>. NKÚ zjistil, že ZÚ u celkem devíti nákupů (ZÚ v Ostravě u jedné VZ a jedné VZMR, ZÚ v Ústí n. L. u dvou VZ a pěti VZMR) neprovedly vyhodnocení veřejného nákupu (zpětnou vazbu) a neprovedly ani průběžnou kontrolu dle zákona o finanční kontrole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64"/>
      </w:r>
      <w:r w:rsidRPr="00E81BFE">
        <w:rPr>
          <w:rFonts w:ascii="Calibri" w:hAnsi="Calibri" w:cs="Calibri"/>
          <w:sz w:val="24"/>
          <w:szCs w:val="24"/>
        </w:rPr>
        <w:t xml:space="preserve">. </w:t>
      </w:r>
      <w:r w:rsidRPr="00E81BFE">
        <w:rPr>
          <w:rFonts w:ascii="Calibri" w:hAnsi="Calibri" w:cs="Calibri"/>
          <w:b/>
          <w:sz w:val="24"/>
          <w:szCs w:val="24"/>
        </w:rPr>
        <w:t xml:space="preserve">Zdravotní ústavy se tak nezabývaly získanými </w:t>
      </w:r>
      <w:r w:rsidRPr="00E81BFE">
        <w:rPr>
          <w:rFonts w:ascii="Calibri" w:hAnsi="Calibri" w:cs="Calibri"/>
          <w:b/>
          <w:sz w:val="24"/>
          <w:szCs w:val="24"/>
        </w:rPr>
        <w:lastRenderedPageBreak/>
        <w:t xml:space="preserve">podněty pro zvyšování úspěšnosti při veřejném nakupování (zadávání veřejných zakázek) ve vztahu k přípravě a uskutečňování nových nákupů. </w:t>
      </w:r>
    </w:p>
    <w:p w14:paraId="5F65FD9E" w14:textId="77777777" w:rsidR="00085BFD" w:rsidRDefault="00085BFD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BF812B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V případě dalších tří ukončených veřejných nákupů (dvou VZ a jedné VZMR) ZÚ v Ostravě vyhodnocení provedl, ale nevyhotovil o něm doklad (záznam) ve smyslu zákona o finanční kontrole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65"/>
      </w:r>
      <w:r w:rsidRPr="00E81BFE">
        <w:rPr>
          <w:rFonts w:ascii="Calibri" w:hAnsi="Calibri" w:cs="Calibri"/>
          <w:sz w:val="24"/>
          <w:szCs w:val="24"/>
        </w:rPr>
        <w:t>.</w:t>
      </w:r>
    </w:p>
    <w:p w14:paraId="5BCB489A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AD310F" w14:textId="6607B617" w:rsidR="003330BE" w:rsidRPr="00E81BFE" w:rsidRDefault="003330BE" w:rsidP="009B5A90">
      <w:pPr>
        <w:keepNext/>
        <w:spacing w:after="0" w:line="240" w:lineRule="auto"/>
        <w:ind w:left="369" w:hanging="369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t>3.7</w:t>
      </w:r>
      <w:r w:rsidRPr="00E81BFE">
        <w:rPr>
          <w:rFonts w:ascii="Calibri" w:hAnsi="Calibri" w:cs="Calibri"/>
          <w:b/>
          <w:sz w:val="24"/>
          <w:szCs w:val="24"/>
        </w:rPr>
        <w:tab/>
        <w:t>Zdravotní ústavy při veřejném nakupování vynakládaly peněžní prostředky neoprávněně</w:t>
      </w:r>
      <w:r w:rsidRPr="00E81BFE">
        <w:rPr>
          <w:rFonts w:ascii="Calibri" w:hAnsi="Calibri" w:cs="Calibri"/>
          <w:sz w:val="24"/>
          <w:szCs w:val="24"/>
        </w:rPr>
        <w:t xml:space="preserve"> </w:t>
      </w:r>
    </w:p>
    <w:p w14:paraId="2F3FE29E" w14:textId="77777777" w:rsidR="009B5A90" w:rsidRDefault="009B5A90" w:rsidP="009B5A90">
      <w:pPr>
        <w:keepNext/>
        <w:spacing w:after="0" w:line="240" w:lineRule="auto"/>
        <w:ind w:left="369" w:hanging="369"/>
        <w:rPr>
          <w:rFonts w:ascii="Calibri" w:hAnsi="Calibri" w:cs="Calibri"/>
          <w:sz w:val="24"/>
          <w:szCs w:val="24"/>
        </w:rPr>
      </w:pPr>
    </w:p>
    <w:p w14:paraId="40E59CE4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U prověřovaných veřejných nákupů NKÚ zjistil, že ZÚ neoprávněně vynaložily (použily) peněžní prostředky v celkové výši </w:t>
      </w:r>
      <w:r w:rsidRPr="00E81BFE">
        <w:rPr>
          <w:rFonts w:ascii="Calibri" w:hAnsi="Calibri" w:cs="Calibri"/>
          <w:b/>
          <w:sz w:val="24"/>
          <w:szCs w:val="24"/>
        </w:rPr>
        <w:t>168 587 771,29 Kč</w:t>
      </w:r>
      <w:r w:rsidRPr="00E81BFE">
        <w:rPr>
          <w:rFonts w:ascii="Calibri" w:hAnsi="Calibri" w:cs="Calibri"/>
          <w:sz w:val="24"/>
          <w:szCs w:val="24"/>
        </w:rPr>
        <w:t xml:space="preserve"> (z toho ZÚ v Ostravě ve výši 11 538 995,80 Kč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66"/>
      </w:r>
      <w:r w:rsidRPr="00E81BFE">
        <w:rPr>
          <w:rFonts w:ascii="Calibri" w:hAnsi="Calibri" w:cs="Calibri"/>
          <w:sz w:val="24"/>
          <w:szCs w:val="24"/>
        </w:rPr>
        <w:t xml:space="preserve"> a ZÚ v Ústí n. L. ve výši 157 048 775,49 Kč), neboť:</w:t>
      </w:r>
    </w:p>
    <w:p w14:paraId="43C0BA55" w14:textId="77777777" w:rsidR="003330BE" w:rsidRPr="006B10AD" w:rsidRDefault="006B10AD" w:rsidP="006B10AD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3330BE" w:rsidRPr="006B10AD">
        <w:rPr>
          <w:rFonts w:ascii="Calibri" w:hAnsi="Calibri" w:cs="Calibri"/>
          <w:sz w:val="24"/>
          <w:szCs w:val="24"/>
        </w:rPr>
        <w:t>nepostupovaly v souladu se zákonem o zadávání veřejných zakázek. V této souvislosti neoprávněně vynaložily peněžní prostředky ve výši 165 552 543,46 Kč, z toho ZÚ v Ústí n. L. ve výši 156 267 380,98 Kč a ZÚ v Ostravě ve výši 9 285 162,48 Kč;</w:t>
      </w:r>
    </w:p>
    <w:p w14:paraId="53B9311C" w14:textId="16CDE4E8" w:rsidR="003330BE" w:rsidRPr="006B10AD" w:rsidRDefault="006B10AD" w:rsidP="006B10AD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 xml:space="preserve"> </w:t>
      </w:r>
      <w:r w:rsidR="0067556A">
        <w:rPr>
          <w:rFonts w:ascii="Calibri" w:hAnsi="Calibri" w:cs="Calibri"/>
          <w:sz w:val="24"/>
          <w:szCs w:val="24"/>
        </w:rPr>
        <w:tab/>
      </w:r>
      <w:r w:rsidR="003330BE" w:rsidRPr="006B10AD">
        <w:rPr>
          <w:rFonts w:ascii="Calibri" w:hAnsi="Calibri" w:cs="Calibri"/>
          <w:sz w:val="24"/>
          <w:szCs w:val="24"/>
        </w:rPr>
        <w:t xml:space="preserve">nepostupovaly v souladu </w:t>
      </w:r>
      <w:r w:rsidR="00947B51">
        <w:rPr>
          <w:rFonts w:ascii="Calibri" w:hAnsi="Calibri" w:cs="Calibri"/>
          <w:sz w:val="24"/>
          <w:szCs w:val="24"/>
        </w:rPr>
        <w:t>s </w:t>
      </w:r>
      <w:r w:rsidR="003330BE" w:rsidRPr="006B10AD">
        <w:rPr>
          <w:rFonts w:ascii="Calibri" w:eastAsia="Calibri" w:hAnsi="Calibri" w:cs="Calibri"/>
          <w:sz w:val="24"/>
          <w:szCs w:val="24"/>
        </w:rPr>
        <w:t>rozpočtový</w:t>
      </w:r>
      <w:r w:rsidR="00947B51">
        <w:rPr>
          <w:rFonts w:ascii="Calibri" w:eastAsia="Calibri" w:hAnsi="Calibri" w:cs="Calibri"/>
          <w:sz w:val="24"/>
          <w:szCs w:val="24"/>
        </w:rPr>
        <w:t>mi</w:t>
      </w:r>
      <w:r w:rsidR="003330BE" w:rsidRPr="006B10AD">
        <w:rPr>
          <w:rFonts w:ascii="Calibri" w:eastAsia="Calibri" w:hAnsi="Calibri" w:cs="Calibri"/>
          <w:sz w:val="24"/>
          <w:szCs w:val="24"/>
        </w:rPr>
        <w:t xml:space="preserve"> pravidl</w:t>
      </w:r>
      <w:r w:rsidR="00947B51">
        <w:rPr>
          <w:rFonts w:ascii="Calibri" w:eastAsia="Calibri" w:hAnsi="Calibri" w:cs="Calibri"/>
          <w:sz w:val="24"/>
          <w:szCs w:val="24"/>
        </w:rPr>
        <w:t>y</w:t>
      </w:r>
      <w:r w:rsidR="003330BE" w:rsidRPr="006B10AD">
        <w:rPr>
          <w:rFonts w:ascii="Calibri" w:hAnsi="Calibri" w:cs="Calibri"/>
          <w:sz w:val="24"/>
          <w:szCs w:val="24"/>
        </w:rPr>
        <w:t>. V této souvislosti neoprávněně vynaložily peněžní prostředky ve výši 2 201 779,83 Kč, z toho ZÚ v Ostravě ve výši 1 420 385,32 Kč a ZÚ v Ústí n. L. ve výši 781 394,51 Kč;</w:t>
      </w:r>
    </w:p>
    <w:p w14:paraId="029DDE09" w14:textId="6F8639F6" w:rsidR="003330BE" w:rsidRPr="006B10AD" w:rsidRDefault="006B10AD" w:rsidP="006B10AD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C)</w:t>
      </w:r>
      <w:r>
        <w:rPr>
          <w:rFonts w:ascii="Calibri" w:hAnsi="Calibri" w:cs="Calibri"/>
          <w:sz w:val="24"/>
          <w:szCs w:val="24"/>
        </w:rPr>
        <w:t xml:space="preserve"> </w:t>
      </w:r>
      <w:r w:rsidR="0067556A">
        <w:rPr>
          <w:rFonts w:ascii="Calibri" w:hAnsi="Calibri" w:cs="Calibri"/>
          <w:sz w:val="24"/>
          <w:szCs w:val="24"/>
        </w:rPr>
        <w:tab/>
      </w:r>
      <w:r w:rsidR="003330BE" w:rsidRPr="006B10AD">
        <w:rPr>
          <w:rFonts w:ascii="Calibri" w:hAnsi="Calibri" w:cs="Calibri"/>
          <w:sz w:val="24"/>
          <w:szCs w:val="24"/>
        </w:rPr>
        <w:t xml:space="preserve">ZÚ v Ostravě nepostupoval v souladu se zákonem o zadávání veřejných zakázek a rovněž v souladu </w:t>
      </w:r>
      <w:r w:rsidR="00947B51">
        <w:rPr>
          <w:rFonts w:ascii="Calibri" w:eastAsia="Calibri" w:hAnsi="Calibri" w:cs="Calibri"/>
          <w:sz w:val="24"/>
          <w:szCs w:val="24"/>
        </w:rPr>
        <w:t>s </w:t>
      </w:r>
      <w:r w:rsidR="003330BE" w:rsidRPr="006B10AD">
        <w:rPr>
          <w:rFonts w:ascii="Calibri" w:eastAsia="Calibri" w:hAnsi="Calibri" w:cs="Calibri"/>
          <w:sz w:val="24"/>
          <w:szCs w:val="24"/>
        </w:rPr>
        <w:t>rozpočtový</w:t>
      </w:r>
      <w:r w:rsidR="00947B51">
        <w:rPr>
          <w:rFonts w:ascii="Calibri" w:eastAsia="Calibri" w:hAnsi="Calibri" w:cs="Calibri"/>
          <w:sz w:val="24"/>
          <w:szCs w:val="24"/>
        </w:rPr>
        <w:t>mi</w:t>
      </w:r>
      <w:r w:rsidR="003330BE" w:rsidRPr="006B10AD">
        <w:rPr>
          <w:rFonts w:ascii="Calibri" w:eastAsia="Calibri" w:hAnsi="Calibri" w:cs="Calibri"/>
          <w:sz w:val="24"/>
          <w:szCs w:val="24"/>
        </w:rPr>
        <w:t xml:space="preserve"> pravidl</w:t>
      </w:r>
      <w:r w:rsidR="00947B51">
        <w:rPr>
          <w:rFonts w:ascii="Calibri" w:eastAsia="Calibri" w:hAnsi="Calibri" w:cs="Calibri"/>
          <w:sz w:val="24"/>
          <w:szCs w:val="24"/>
        </w:rPr>
        <w:t>y</w:t>
      </w:r>
      <w:r w:rsidR="003330BE" w:rsidRPr="006B10AD">
        <w:rPr>
          <w:rFonts w:ascii="Calibri" w:hAnsi="Calibri" w:cs="Calibri"/>
          <w:sz w:val="24"/>
          <w:szCs w:val="24"/>
        </w:rPr>
        <w:t>. V této souvislosti neoprávněně vynaložil peněžní prostředky ve výši 833 448 Kč. U ZÚ v Ústí n. L. nedostatek s porušením obou zákonů v rámci veřejného nákupu zjištěn nebyl.</w:t>
      </w:r>
    </w:p>
    <w:p w14:paraId="7D5BB118" w14:textId="77777777" w:rsidR="003330BE" w:rsidRPr="00E81BFE" w:rsidRDefault="003330BE" w:rsidP="00E81BFE">
      <w:pPr>
        <w:tabs>
          <w:tab w:val="left" w:pos="709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1A5DDE8" w14:textId="77777777" w:rsidR="003330BE" w:rsidRPr="00E81BFE" w:rsidRDefault="003330BE" w:rsidP="0067556A">
      <w:pPr>
        <w:spacing w:after="0" w:line="240" w:lineRule="auto"/>
        <w:ind w:left="567" w:hanging="567"/>
        <w:rPr>
          <w:rFonts w:ascii="Calibri" w:hAnsi="Calibri" w:cs="Calibri"/>
          <w:b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t xml:space="preserve">Ad A) Zdravotní ústavy celkem v pěti případech nepostupovaly v souladu se zákonem o zadávání veřejných zakázek </w:t>
      </w:r>
    </w:p>
    <w:p w14:paraId="133EE553" w14:textId="77777777" w:rsidR="0067556A" w:rsidRDefault="0067556A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EF06509" w14:textId="77777777" w:rsidR="003330BE" w:rsidRPr="00E81BFE" w:rsidRDefault="003330BE" w:rsidP="0067556A">
      <w:pPr>
        <w:keepNext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>ZÚ v Ostravě nepostupoval v souladu s uvedeným zákonem ve dvou případech, když:</w:t>
      </w:r>
    </w:p>
    <w:p w14:paraId="1760F9D7" w14:textId="0B6A8FBA" w:rsidR="003330BE" w:rsidRPr="00E81BFE" w:rsidRDefault="003330BE" w:rsidP="0067556A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v letech 2017 a 2018 pravidelně pořizoval od jednoho dodavatele dodávky stejného druhu (diagnostiky), a to formou objednávek (přímého zadání) </w:t>
      </w:r>
      <w:r w:rsidRPr="00E81BFE">
        <w:rPr>
          <w:rFonts w:ascii="Calibri" w:hAnsi="Calibri" w:cs="Calibri"/>
          <w:b/>
          <w:sz w:val="24"/>
          <w:szCs w:val="24"/>
        </w:rPr>
        <w:t>bez zadání veřejné zakázky v zadávacím řízení</w:t>
      </w:r>
      <w:r w:rsidRPr="009A5205">
        <w:rPr>
          <w:rFonts w:ascii="Calibri" w:hAnsi="Calibri" w:cs="Calibri"/>
          <w:b/>
          <w:sz w:val="24"/>
          <w:szCs w:val="24"/>
        </w:rPr>
        <w:t>,</w:t>
      </w:r>
      <w:r w:rsidRPr="00E81BFE">
        <w:rPr>
          <w:rFonts w:ascii="Calibri" w:hAnsi="Calibri" w:cs="Calibri"/>
          <w:sz w:val="24"/>
          <w:szCs w:val="24"/>
        </w:rPr>
        <w:t xml:space="preserve"> za které uhradil vybranému dodavateli celkem </w:t>
      </w:r>
      <w:r w:rsidRPr="00E81BFE">
        <w:rPr>
          <w:rFonts w:ascii="Calibri" w:hAnsi="Calibri" w:cs="Calibri"/>
          <w:b/>
          <w:sz w:val="24"/>
          <w:szCs w:val="24"/>
        </w:rPr>
        <w:t>8 923 856,48 Kč</w:t>
      </w:r>
      <w:r w:rsidRPr="009A5205">
        <w:rPr>
          <w:rFonts w:ascii="Calibri" w:hAnsi="Calibri" w:cs="Calibri"/>
          <w:b/>
          <w:sz w:val="24"/>
          <w:szCs w:val="24"/>
        </w:rPr>
        <w:t>.</w:t>
      </w:r>
      <w:r w:rsidRPr="00E81BFE">
        <w:rPr>
          <w:rFonts w:ascii="Calibri" w:hAnsi="Calibri" w:cs="Calibri"/>
          <w:sz w:val="24"/>
          <w:szCs w:val="24"/>
        </w:rPr>
        <w:t xml:space="preserve"> Tímto jednáním porušil zákon o zadávání veřejných zakázek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67"/>
      </w:r>
      <w:r w:rsidRPr="00E81BFE">
        <w:rPr>
          <w:rFonts w:ascii="Calibri" w:hAnsi="Calibri" w:cs="Calibri"/>
          <w:sz w:val="24"/>
          <w:szCs w:val="24"/>
        </w:rPr>
        <w:t xml:space="preserve">, když nestanovil předpokládanou hodnotu jako skutečnou cenu uhrazenou za dodávky stejného druhu během předcházejících 12 měsíců a nezadal tyto VZ v nadlimitním režimu. Současně </w:t>
      </w:r>
      <w:r w:rsidRPr="00E81BFE">
        <w:rPr>
          <w:rFonts w:ascii="Calibri" w:hAnsi="Calibri" w:cs="Calibri"/>
          <w:b/>
          <w:sz w:val="24"/>
          <w:szCs w:val="24"/>
        </w:rPr>
        <w:t>nedodržel</w:t>
      </w:r>
      <w:r w:rsidRPr="00E81BFE">
        <w:rPr>
          <w:rFonts w:ascii="Calibri" w:hAnsi="Calibri" w:cs="Calibri"/>
          <w:sz w:val="24"/>
          <w:szCs w:val="24"/>
        </w:rPr>
        <w:t xml:space="preserve"> ve vztahu k dodavatelům </w:t>
      </w:r>
      <w:r w:rsidRPr="00E81BFE">
        <w:rPr>
          <w:rFonts w:ascii="Calibri" w:hAnsi="Calibri" w:cs="Calibri"/>
          <w:b/>
          <w:sz w:val="24"/>
          <w:szCs w:val="24"/>
        </w:rPr>
        <w:t>zásadu zákazu diskriminace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68"/>
      </w:r>
      <w:r w:rsidRPr="00E81BFE">
        <w:rPr>
          <w:rFonts w:ascii="Calibri" w:hAnsi="Calibri" w:cs="Calibri"/>
          <w:sz w:val="24"/>
          <w:szCs w:val="24"/>
        </w:rPr>
        <w:t>, jelikož nákupy zadal přímo formou objednávek jednomu dodavateli bez realizace zadávacího řízení, ve kterém by umožnil jiným dodavatelům diagnostik podat nabídku na srovnatelné dodávky</w:t>
      </w:r>
      <w:r w:rsidR="005F7954">
        <w:rPr>
          <w:rFonts w:ascii="Calibri" w:hAnsi="Calibri" w:cs="Calibri"/>
          <w:sz w:val="24"/>
          <w:szCs w:val="24"/>
        </w:rPr>
        <w:t>;</w:t>
      </w:r>
      <w:r w:rsidRPr="00E81BFE">
        <w:rPr>
          <w:rFonts w:ascii="Calibri" w:hAnsi="Calibri" w:cs="Calibri"/>
          <w:sz w:val="24"/>
          <w:szCs w:val="24"/>
        </w:rPr>
        <w:t xml:space="preserve"> </w:t>
      </w:r>
    </w:p>
    <w:p w14:paraId="7E5D7269" w14:textId="77777777" w:rsidR="003330BE" w:rsidRPr="00E81BFE" w:rsidRDefault="003330BE" w:rsidP="0067556A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v souvislosti se zadáním jedné VZMR ve výši </w:t>
      </w:r>
      <w:r w:rsidRPr="00E81BFE">
        <w:rPr>
          <w:rFonts w:ascii="Calibri" w:hAnsi="Calibri" w:cs="Calibri"/>
          <w:b/>
          <w:sz w:val="24"/>
          <w:szCs w:val="24"/>
        </w:rPr>
        <w:t>361 306 Kč</w:t>
      </w:r>
      <w:r w:rsidRPr="00E81BFE">
        <w:rPr>
          <w:rFonts w:ascii="Calibri" w:eastAsia="Calibri" w:hAnsi="Calibri" w:cs="Calibri"/>
          <w:b/>
          <w:sz w:val="24"/>
          <w:szCs w:val="24"/>
        </w:rPr>
        <w:t xml:space="preserve"> porušil zásadu transparentnosti</w:t>
      </w:r>
      <w:r w:rsidRPr="00E81BFE">
        <w:rPr>
          <w:rStyle w:val="Znakapoznpodarou"/>
          <w:rFonts w:ascii="Calibri" w:eastAsia="Calibri" w:hAnsi="Calibri" w:cs="Calibri"/>
          <w:sz w:val="24"/>
          <w:szCs w:val="24"/>
        </w:rPr>
        <w:footnoteReference w:id="69"/>
      </w:r>
      <w:r w:rsidRPr="00E81BFE">
        <w:rPr>
          <w:rFonts w:ascii="Calibri" w:hAnsi="Calibri" w:cs="Calibri"/>
          <w:sz w:val="24"/>
          <w:szCs w:val="24"/>
        </w:rPr>
        <w:t xml:space="preserve"> </w:t>
      </w:r>
      <w:r w:rsidRPr="00E81BFE">
        <w:rPr>
          <w:rFonts w:ascii="Calibri" w:eastAsia="Calibri" w:hAnsi="Calibri" w:cs="Calibri"/>
          <w:sz w:val="24"/>
          <w:szCs w:val="24"/>
        </w:rPr>
        <w:t>tím, že nestanovil v e-mailové výzvě k předložení cenové nabídky termín, do kterého měli oslovení dodavatelé nabídky předložit.</w:t>
      </w:r>
    </w:p>
    <w:p w14:paraId="61FB2705" w14:textId="77777777" w:rsidR="0067556A" w:rsidRDefault="0067556A" w:rsidP="0067556A">
      <w:pPr>
        <w:spacing w:after="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7B14D4D6" w14:textId="77777777" w:rsidR="003330BE" w:rsidRPr="00E81BFE" w:rsidRDefault="003330BE" w:rsidP="0067556A">
      <w:pPr>
        <w:keepNext/>
        <w:spacing w:after="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E81BFE">
        <w:rPr>
          <w:rFonts w:ascii="Calibri" w:hAnsi="Calibri" w:cs="Calibri"/>
          <w:bCs/>
          <w:sz w:val="24"/>
          <w:szCs w:val="24"/>
        </w:rPr>
        <w:t xml:space="preserve">ZÚ v Ústí n. L. </w:t>
      </w:r>
      <w:r w:rsidRPr="00E81BFE">
        <w:rPr>
          <w:rFonts w:ascii="Calibri" w:hAnsi="Calibri" w:cs="Calibri"/>
          <w:sz w:val="24"/>
          <w:szCs w:val="24"/>
        </w:rPr>
        <w:t xml:space="preserve">nepostupoval souladu s uvedeným zákonem </w:t>
      </w:r>
      <w:r w:rsidRPr="00E81BFE">
        <w:rPr>
          <w:rFonts w:ascii="Calibri" w:hAnsi="Calibri" w:cs="Calibri"/>
          <w:bCs/>
          <w:sz w:val="24"/>
          <w:szCs w:val="24"/>
        </w:rPr>
        <w:t xml:space="preserve">ve třech případech, když: </w:t>
      </w:r>
    </w:p>
    <w:p w14:paraId="693616C4" w14:textId="77777777" w:rsidR="003330BE" w:rsidRPr="00E81BFE" w:rsidRDefault="003330BE" w:rsidP="0067556A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v kontrolovaném období pravidelně pořizoval dodávky stejného druhu </w:t>
      </w:r>
      <w:r w:rsidRPr="00E81BFE">
        <w:rPr>
          <w:rFonts w:ascii="Calibri" w:hAnsi="Calibri" w:cs="Calibri"/>
          <w:sz w:val="24"/>
          <w:szCs w:val="24"/>
          <w:lang w:eastAsia="hi-IN" w:bidi="hi-IN"/>
        </w:rPr>
        <w:t>(</w:t>
      </w:r>
      <w:r w:rsidRPr="00E81BFE">
        <w:rPr>
          <w:rFonts w:ascii="Calibri" w:hAnsi="Calibri" w:cs="Calibri"/>
          <w:sz w:val="24"/>
          <w:szCs w:val="24"/>
        </w:rPr>
        <w:t xml:space="preserve">diagnostiky, kultivační média, testy a antibiotika a chemikálie) v celkové výši </w:t>
      </w:r>
      <w:r w:rsidRPr="00E81BFE">
        <w:rPr>
          <w:rFonts w:ascii="Calibri" w:hAnsi="Calibri" w:cs="Calibri"/>
          <w:b/>
          <w:noProof/>
          <w:color w:val="000000"/>
          <w:sz w:val="24"/>
          <w:szCs w:val="24"/>
        </w:rPr>
        <w:t>122 539 421,39 Kč</w:t>
      </w:r>
      <w:r w:rsidRPr="0067556A">
        <w:rPr>
          <w:rFonts w:ascii="Calibri" w:hAnsi="Calibri" w:cs="Calibri"/>
          <w:b/>
          <w:sz w:val="24"/>
          <w:szCs w:val="24"/>
        </w:rPr>
        <w:t>,</w:t>
      </w:r>
      <w:r w:rsidRPr="00E81BFE">
        <w:rPr>
          <w:rFonts w:ascii="Calibri" w:hAnsi="Calibri" w:cs="Calibri"/>
          <w:sz w:val="24"/>
          <w:szCs w:val="24"/>
        </w:rPr>
        <w:t xml:space="preserve"> a to formou objednávek </w:t>
      </w:r>
      <w:r w:rsidRPr="00E81BFE">
        <w:rPr>
          <w:rFonts w:ascii="Calibri" w:hAnsi="Calibri" w:cs="Calibri"/>
          <w:b/>
          <w:sz w:val="24"/>
          <w:szCs w:val="24"/>
        </w:rPr>
        <w:t>bez zadání veřejné zakázky v zadávacím řízení</w:t>
      </w:r>
      <w:r w:rsidRPr="0067556A">
        <w:rPr>
          <w:rFonts w:ascii="Calibri" w:hAnsi="Calibri" w:cs="Calibri"/>
          <w:b/>
          <w:sz w:val="24"/>
          <w:szCs w:val="24"/>
        </w:rPr>
        <w:t>.</w:t>
      </w:r>
      <w:r w:rsidRPr="00E81BFE">
        <w:rPr>
          <w:rFonts w:ascii="Calibri" w:hAnsi="Calibri" w:cs="Calibri"/>
          <w:sz w:val="24"/>
          <w:szCs w:val="24"/>
        </w:rPr>
        <w:t xml:space="preserve"> Tímto jednáním porušil zákon o zadávání veřejných zakázek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70"/>
      </w:r>
      <w:r w:rsidRPr="00E81BFE">
        <w:rPr>
          <w:rFonts w:ascii="Calibri" w:hAnsi="Calibri" w:cs="Calibri"/>
          <w:sz w:val="24"/>
          <w:szCs w:val="24"/>
        </w:rPr>
        <w:t>, když nestanovil předpokládanou hodnotu jako skutečnou cenu uhrazenou za dodávky stejného druhu během předcházejících 12 měsíců a nezadal tyto VZ v režimu podlimitního, resp. nadlimitního zadávacího řízení.</w:t>
      </w:r>
    </w:p>
    <w:p w14:paraId="5B145550" w14:textId="65D7327F" w:rsidR="003330BE" w:rsidRPr="00E81BFE" w:rsidRDefault="003330BE" w:rsidP="0067556A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v letech 2017 až 2019 pravidelně pořizoval dodávky stejného druhu </w:t>
      </w:r>
      <w:r w:rsidRPr="00E81BFE">
        <w:rPr>
          <w:rFonts w:ascii="Calibri" w:hAnsi="Calibri" w:cs="Calibri"/>
          <w:sz w:val="24"/>
          <w:szCs w:val="24"/>
          <w:lang w:eastAsia="hi-IN" w:bidi="hi-IN"/>
        </w:rPr>
        <w:t>(</w:t>
      </w:r>
      <w:r w:rsidRPr="00E81BFE">
        <w:rPr>
          <w:rFonts w:ascii="Calibri" w:hAnsi="Calibri" w:cs="Calibri"/>
          <w:sz w:val="24"/>
          <w:szCs w:val="24"/>
        </w:rPr>
        <w:t xml:space="preserve">diagnostiky, kultivační média, testy a antibiotika a chemikálie) </w:t>
      </w:r>
      <w:r w:rsidRPr="00E81BFE">
        <w:rPr>
          <w:rFonts w:ascii="Calibri" w:hAnsi="Calibri" w:cs="Calibri"/>
          <w:noProof/>
          <w:sz w:val="24"/>
          <w:szCs w:val="24"/>
        </w:rPr>
        <w:t xml:space="preserve">v celkové výši </w:t>
      </w:r>
      <w:r w:rsidRPr="00E81BFE">
        <w:rPr>
          <w:rFonts w:ascii="Calibri" w:hAnsi="Calibri" w:cs="Calibri"/>
          <w:b/>
          <w:noProof/>
          <w:sz w:val="24"/>
          <w:szCs w:val="24"/>
        </w:rPr>
        <w:t>30 002 730,50 Kč</w:t>
      </w:r>
      <w:r w:rsidRPr="0067556A">
        <w:rPr>
          <w:rFonts w:ascii="Calibri" w:hAnsi="Calibri" w:cs="Calibri"/>
          <w:b/>
          <w:noProof/>
          <w:sz w:val="24"/>
          <w:szCs w:val="24"/>
        </w:rPr>
        <w:t>,</w:t>
      </w:r>
      <w:r w:rsidRPr="00E81BFE">
        <w:rPr>
          <w:rFonts w:ascii="Calibri" w:hAnsi="Calibri" w:cs="Calibri"/>
          <w:noProof/>
          <w:sz w:val="24"/>
          <w:szCs w:val="24"/>
        </w:rPr>
        <w:t xml:space="preserve"> které nezadal jako VZMR </w:t>
      </w:r>
      <w:r w:rsidRPr="00E81BFE">
        <w:rPr>
          <w:rFonts w:ascii="Calibri" w:hAnsi="Calibri" w:cs="Calibri"/>
          <w:sz w:val="24"/>
          <w:szCs w:val="24"/>
        </w:rPr>
        <w:t xml:space="preserve">v souladu se zásadami </w:t>
      </w:r>
      <w:r w:rsidRPr="00E81BFE">
        <w:rPr>
          <w:rFonts w:ascii="Calibri" w:hAnsi="Calibri" w:cs="Calibri"/>
          <w:b/>
          <w:sz w:val="24"/>
          <w:szCs w:val="24"/>
        </w:rPr>
        <w:t>transparentnosti a zákazu diskriminace</w:t>
      </w:r>
      <w:r w:rsidRPr="0067556A">
        <w:rPr>
          <w:rFonts w:ascii="Calibri" w:hAnsi="Calibri" w:cs="Calibri"/>
          <w:b/>
          <w:sz w:val="24"/>
          <w:szCs w:val="24"/>
        </w:rPr>
        <w:t>,</w:t>
      </w:r>
      <w:r w:rsidRPr="00E81BFE">
        <w:rPr>
          <w:rFonts w:ascii="Calibri" w:hAnsi="Calibri" w:cs="Calibri"/>
          <w:sz w:val="24"/>
          <w:szCs w:val="24"/>
        </w:rPr>
        <w:t xml:space="preserve"> jak požaduje zákon o zadávání veřejných zakázek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71"/>
      </w:r>
      <w:r w:rsidR="005F7954">
        <w:rPr>
          <w:rFonts w:ascii="Calibri" w:hAnsi="Calibri" w:cs="Calibri"/>
          <w:sz w:val="24"/>
          <w:szCs w:val="24"/>
        </w:rPr>
        <w:t>;</w:t>
      </w:r>
    </w:p>
    <w:p w14:paraId="3619BE6C" w14:textId="77777777" w:rsidR="003330BE" w:rsidRPr="00E81BFE" w:rsidRDefault="003330BE" w:rsidP="0067556A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v rámci jedné VZ (rozdělené na čtyři části), zadané v nadlimitním zadávacím řízení, odebral od dodavatelů dodávky nad množství sjednané ve smlouvách, čímž překročil plnění o celkem </w:t>
      </w:r>
      <w:r w:rsidRPr="00E81BFE">
        <w:rPr>
          <w:rFonts w:ascii="Calibri" w:hAnsi="Calibri" w:cs="Calibri"/>
          <w:b/>
          <w:sz w:val="24"/>
          <w:szCs w:val="24"/>
        </w:rPr>
        <w:t>3 725 229,09 Kč</w:t>
      </w:r>
      <w:r w:rsidRPr="0067556A">
        <w:rPr>
          <w:rFonts w:ascii="Calibri" w:hAnsi="Calibri" w:cs="Calibri"/>
          <w:b/>
          <w:sz w:val="24"/>
          <w:szCs w:val="24"/>
        </w:rPr>
        <w:t>.</w:t>
      </w:r>
      <w:r w:rsidRPr="00E81BFE">
        <w:rPr>
          <w:rFonts w:ascii="Calibri" w:hAnsi="Calibri" w:cs="Calibri"/>
          <w:sz w:val="24"/>
          <w:szCs w:val="24"/>
        </w:rPr>
        <w:t xml:space="preserve"> Tím, že opakovaně formou objednávek zajišťoval další plnění (nad rámec realizované veřejné zakázky), </w:t>
      </w:r>
      <w:r w:rsidRPr="00E81BFE">
        <w:rPr>
          <w:rFonts w:ascii="Calibri" w:hAnsi="Calibri" w:cs="Calibri"/>
          <w:b/>
          <w:sz w:val="24"/>
          <w:szCs w:val="24"/>
        </w:rPr>
        <w:t>bez zadání veřejné zakázky v zadávacím řízení</w:t>
      </w:r>
      <w:r w:rsidRPr="0067556A">
        <w:rPr>
          <w:rFonts w:ascii="Calibri" w:hAnsi="Calibri" w:cs="Calibri"/>
          <w:b/>
          <w:sz w:val="24"/>
          <w:szCs w:val="24"/>
        </w:rPr>
        <w:t>,</w:t>
      </w:r>
      <w:r w:rsidRPr="00E81BFE">
        <w:rPr>
          <w:rFonts w:ascii="Calibri" w:hAnsi="Calibri" w:cs="Calibri"/>
          <w:sz w:val="24"/>
          <w:szCs w:val="24"/>
        </w:rPr>
        <w:t xml:space="preserve"> nepostupoval v souladu se zákonem o zadávání veřejných zakázek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72"/>
      </w:r>
      <w:r w:rsidRPr="00E81BFE">
        <w:rPr>
          <w:rFonts w:ascii="Calibri" w:hAnsi="Calibri" w:cs="Calibri"/>
          <w:sz w:val="24"/>
          <w:szCs w:val="24"/>
        </w:rPr>
        <w:t>.</w:t>
      </w:r>
    </w:p>
    <w:p w14:paraId="14AAFF57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F1278BB" w14:textId="2A01B49E" w:rsidR="003330BE" w:rsidRPr="00E81BFE" w:rsidRDefault="003330BE" w:rsidP="002B7960">
      <w:pPr>
        <w:keepNext/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t>Ad B)</w:t>
      </w:r>
      <w:r w:rsidRPr="00E81BFE">
        <w:rPr>
          <w:rFonts w:ascii="Calibri" w:hAnsi="Calibri" w:cs="Calibri"/>
          <w:b/>
          <w:sz w:val="24"/>
          <w:szCs w:val="24"/>
        </w:rPr>
        <w:tab/>
        <w:t xml:space="preserve">Zdravotní ústavy v některých případech nepostupovaly v souladu </w:t>
      </w:r>
      <w:r w:rsidR="005F7954">
        <w:rPr>
          <w:rFonts w:ascii="Calibri" w:hAnsi="Calibri" w:cs="Calibri"/>
          <w:b/>
          <w:sz w:val="24"/>
          <w:szCs w:val="24"/>
        </w:rPr>
        <w:t>s</w:t>
      </w:r>
      <w:r w:rsidRPr="00E81BFE">
        <w:rPr>
          <w:rFonts w:ascii="Calibri" w:eastAsia="Calibri" w:hAnsi="Calibri" w:cs="Calibri"/>
          <w:sz w:val="24"/>
          <w:szCs w:val="24"/>
        </w:rPr>
        <w:t> </w:t>
      </w:r>
      <w:r w:rsidRPr="00E81BFE">
        <w:rPr>
          <w:rFonts w:ascii="Calibri" w:eastAsia="Calibri" w:hAnsi="Calibri" w:cs="Calibri"/>
          <w:b/>
          <w:sz w:val="24"/>
          <w:szCs w:val="24"/>
        </w:rPr>
        <w:t>rozpočtový</w:t>
      </w:r>
      <w:r w:rsidR="005F7954">
        <w:rPr>
          <w:rFonts w:ascii="Calibri" w:eastAsia="Calibri" w:hAnsi="Calibri" w:cs="Calibri"/>
          <w:b/>
          <w:sz w:val="24"/>
          <w:szCs w:val="24"/>
        </w:rPr>
        <w:t>mi</w:t>
      </w:r>
      <w:r w:rsidRPr="00E81BFE">
        <w:rPr>
          <w:rFonts w:ascii="Calibri" w:eastAsia="Calibri" w:hAnsi="Calibri" w:cs="Calibri"/>
          <w:b/>
          <w:sz w:val="24"/>
          <w:szCs w:val="24"/>
        </w:rPr>
        <w:t xml:space="preserve"> pravidl</w:t>
      </w:r>
      <w:r w:rsidR="005F7954">
        <w:rPr>
          <w:rFonts w:ascii="Calibri" w:eastAsia="Calibri" w:hAnsi="Calibri" w:cs="Calibri"/>
          <w:b/>
          <w:sz w:val="24"/>
          <w:szCs w:val="24"/>
        </w:rPr>
        <w:t>y</w:t>
      </w:r>
      <w:r w:rsidRPr="00E81BFE">
        <w:rPr>
          <w:rStyle w:val="Znakapoznpodarou"/>
          <w:rFonts w:ascii="Calibri" w:hAnsi="Calibri" w:cs="Calibri"/>
          <w:sz w:val="24"/>
          <w:szCs w:val="24"/>
        </w:rPr>
        <w:footnoteReference w:id="73"/>
      </w:r>
    </w:p>
    <w:p w14:paraId="02AE8CC2" w14:textId="77777777" w:rsidR="0067556A" w:rsidRDefault="0067556A" w:rsidP="002B7960">
      <w:pPr>
        <w:keepNext/>
        <w:tabs>
          <w:tab w:val="left" w:pos="709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5A9476" w14:textId="77777777" w:rsidR="003330BE" w:rsidRPr="00E81BFE" w:rsidRDefault="003330BE" w:rsidP="00E81BFE">
      <w:pPr>
        <w:tabs>
          <w:tab w:val="left" w:pos="709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ZÚ v Ostravě takto postupoval například, když za období od února 2019 do března 2020 nepoužil peněžní prostředky na krytí nezbytných potřeb zdravotního ústavu, tj. </w:t>
      </w:r>
      <w:r w:rsidRPr="00E81BFE">
        <w:rPr>
          <w:rFonts w:ascii="Calibri" w:hAnsi="Calibri" w:cs="Calibri"/>
          <w:b/>
          <w:sz w:val="24"/>
          <w:szCs w:val="24"/>
        </w:rPr>
        <w:t>vynaložil</w:t>
      </w:r>
      <w:r w:rsidRPr="00E81BFE">
        <w:rPr>
          <w:rFonts w:ascii="Calibri" w:hAnsi="Calibri" w:cs="Calibri"/>
          <w:sz w:val="24"/>
          <w:szCs w:val="24"/>
        </w:rPr>
        <w:t xml:space="preserve"> peněžní prostředky ve výši </w:t>
      </w:r>
      <w:r w:rsidRPr="00E81BFE">
        <w:rPr>
          <w:rFonts w:ascii="Calibri" w:hAnsi="Calibri" w:cs="Calibri"/>
          <w:b/>
          <w:bCs/>
          <w:sz w:val="24"/>
          <w:szCs w:val="24"/>
        </w:rPr>
        <w:t>1 403 082,32 Kč</w:t>
      </w:r>
      <w:r w:rsidRPr="00E81BFE">
        <w:rPr>
          <w:rFonts w:ascii="Calibri" w:hAnsi="Calibri" w:cs="Calibri"/>
          <w:b/>
          <w:sz w:val="24"/>
          <w:szCs w:val="24"/>
        </w:rPr>
        <w:t xml:space="preserve"> za jiný subjekt</w:t>
      </w:r>
      <w:r w:rsidRPr="009A5205">
        <w:rPr>
          <w:rFonts w:ascii="Calibri" w:hAnsi="Calibri" w:cs="Calibri"/>
          <w:b/>
          <w:sz w:val="24"/>
          <w:szCs w:val="24"/>
        </w:rPr>
        <w:t>,</w:t>
      </w:r>
      <w:r w:rsidRPr="00E81BFE">
        <w:rPr>
          <w:rFonts w:ascii="Calibri" w:hAnsi="Calibri" w:cs="Calibri"/>
          <w:sz w:val="24"/>
          <w:szCs w:val="24"/>
        </w:rPr>
        <w:t xml:space="preserve"> a to na svoz odpadu vyprodukovaný ve smluvních ordinacích lékařů v souvislosti s odběrem laboratorních vzorků určených k vyšetření </w:t>
      </w:r>
      <w:proofErr w:type="gramStart"/>
      <w:r w:rsidRPr="00E81BFE">
        <w:rPr>
          <w:rFonts w:ascii="Calibri" w:hAnsi="Calibri" w:cs="Calibri"/>
          <w:sz w:val="24"/>
          <w:szCs w:val="24"/>
        </w:rPr>
        <w:t>ve</w:t>
      </w:r>
      <w:proofErr w:type="gramEnd"/>
      <w:r w:rsidRPr="00E81BFE">
        <w:rPr>
          <w:rFonts w:ascii="Calibri" w:hAnsi="Calibri" w:cs="Calibri"/>
          <w:sz w:val="24"/>
          <w:szCs w:val="24"/>
        </w:rPr>
        <w:t xml:space="preserve"> ZÚ v Ostravě. Tyto náklady lékařům ale nepřefakturoval. </w:t>
      </w:r>
      <w:r w:rsidRPr="00E81BFE">
        <w:rPr>
          <w:rFonts w:ascii="Calibri" w:hAnsi="Calibri" w:cs="Calibri"/>
          <w:bCs/>
          <w:sz w:val="24"/>
          <w:szCs w:val="24"/>
        </w:rPr>
        <w:t xml:space="preserve"> </w:t>
      </w:r>
    </w:p>
    <w:p w14:paraId="16FE7699" w14:textId="77777777" w:rsidR="0067556A" w:rsidRDefault="0067556A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187C36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ZÚ v Ústí n. L. postupoval obdobně, když v roce 2019 na své náklady hradil za svoz a likvidaci nebezpečného odpadu, jehož původcem byli externí poskytovatelé zdravotních služeb. ZÚ v Ústí n. L. tak bez právního důvodu </w:t>
      </w:r>
      <w:r w:rsidRPr="00E81BFE">
        <w:rPr>
          <w:rFonts w:ascii="Calibri" w:hAnsi="Calibri" w:cs="Calibri"/>
          <w:b/>
          <w:sz w:val="24"/>
          <w:szCs w:val="24"/>
        </w:rPr>
        <w:t>za jiného plnil</w:t>
      </w:r>
      <w:r w:rsidRPr="009A5205">
        <w:rPr>
          <w:rFonts w:ascii="Calibri" w:hAnsi="Calibri" w:cs="Calibri"/>
          <w:b/>
          <w:sz w:val="24"/>
          <w:szCs w:val="24"/>
        </w:rPr>
        <w:t>,</w:t>
      </w:r>
      <w:r w:rsidRPr="00E81BFE">
        <w:rPr>
          <w:rFonts w:ascii="Calibri" w:hAnsi="Calibri" w:cs="Calibri"/>
          <w:sz w:val="24"/>
          <w:szCs w:val="24"/>
        </w:rPr>
        <w:t xml:space="preserve"> aniž by náklady na tuto službu původcům odpadu přefakturoval. Tímto postupem uhradil celkem </w:t>
      </w:r>
      <w:r w:rsidRPr="00E81BFE">
        <w:rPr>
          <w:rFonts w:ascii="Calibri" w:hAnsi="Calibri" w:cs="Calibri"/>
          <w:b/>
          <w:sz w:val="24"/>
          <w:szCs w:val="24"/>
        </w:rPr>
        <w:t>781 394,51 Kč</w:t>
      </w:r>
      <w:r w:rsidRPr="009A5205">
        <w:rPr>
          <w:rFonts w:ascii="Calibri" w:hAnsi="Calibri" w:cs="Calibri"/>
          <w:b/>
          <w:sz w:val="24"/>
          <w:szCs w:val="24"/>
        </w:rPr>
        <w:t>.</w:t>
      </w:r>
    </w:p>
    <w:p w14:paraId="3561F909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A9BAACF" w14:textId="095557D4" w:rsidR="003330BE" w:rsidRPr="00E81BFE" w:rsidRDefault="003330BE" w:rsidP="0067556A">
      <w:pPr>
        <w:keepNext/>
        <w:spacing w:after="0" w:line="240" w:lineRule="auto"/>
        <w:ind w:left="567" w:hanging="567"/>
        <w:rPr>
          <w:rFonts w:ascii="Calibri" w:hAnsi="Calibri" w:cs="Calibri"/>
          <w:b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t>Ad C)</w:t>
      </w:r>
      <w:r w:rsidRPr="00E81BFE">
        <w:rPr>
          <w:rFonts w:ascii="Calibri" w:hAnsi="Calibri" w:cs="Calibri"/>
          <w:b/>
          <w:sz w:val="24"/>
          <w:szCs w:val="24"/>
        </w:rPr>
        <w:tab/>
        <w:t xml:space="preserve">ZÚ v Ostravě u celkem dvou veřejných zakázek malého rozsahu nepostupoval v souladu se zákonem o zadávání veřejných zakázek a rovněž </w:t>
      </w:r>
      <w:r w:rsidR="005F7954">
        <w:rPr>
          <w:rFonts w:ascii="Calibri" w:eastAsia="Calibri" w:hAnsi="Calibri" w:cs="Calibri"/>
          <w:b/>
          <w:sz w:val="24"/>
          <w:szCs w:val="24"/>
        </w:rPr>
        <w:t>s</w:t>
      </w:r>
      <w:r w:rsidRPr="00E81BFE">
        <w:rPr>
          <w:rFonts w:ascii="Calibri" w:eastAsia="Calibri" w:hAnsi="Calibri" w:cs="Calibri"/>
          <w:b/>
          <w:sz w:val="24"/>
          <w:szCs w:val="24"/>
        </w:rPr>
        <w:t> rozpočtový</w:t>
      </w:r>
      <w:r w:rsidR="005F7954">
        <w:rPr>
          <w:rFonts w:ascii="Calibri" w:eastAsia="Calibri" w:hAnsi="Calibri" w:cs="Calibri"/>
          <w:b/>
          <w:sz w:val="24"/>
          <w:szCs w:val="24"/>
        </w:rPr>
        <w:t>mi</w:t>
      </w:r>
      <w:r w:rsidRPr="00E81BFE">
        <w:rPr>
          <w:rFonts w:ascii="Calibri" w:eastAsia="Calibri" w:hAnsi="Calibri" w:cs="Calibri"/>
          <w:b/>
          <w:sz w:val="24"/>
          <w:szCs w:val="24"/>
        </w:rPr>
        <w:t xml:space="preserve"> pravidl</w:t>
      </w:r>
      <w:r w:rsidR="005F7954">
        <w:rPr>
          <w:rFonts w:ascii="Calibri" w:eastAsia="Calibri" w:hAnsi="Calibri" w:cs="Calibri"/>
          <w:b/>
          <w:sz w:val="24"/>
          <w:szCs w:val="24"/>
        </w:rPr>
        <w:t>y</w:t>
      </w:r>
      <w:r w:rsidRPr="00E81BFE">
        <w:rPr>
          <w:rFonts w:ascii="Calibri" w:hAnsi="Calibri" w:cs="Calibri"/>
          <w:b/>
          <w:sz w:val="24"/>
          <w:szCs w:val="24"/>
        </w:rPr>
        <w:t>:</w:t>
      </w:r>
    </w:p>
    <w:p w14:paraId="10F48731" w14:textId="2C2AB181" w:rsidR="003330BE" w:rsidRPr="00E81BFE" w:rsidRDefault="003330BE" w:rsidP="002B7960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bCs/>
          <w:sz w:val="24"/>
          <w:szCs w:val="24"/>
        </w:rPr>
        <w:t xml:space="preserve">v souvislosti se zadáním jedné VZMR </w:t>
      </w:r>
      <w:r w:rsidRPr="00E81BFE">
        <w:rPr>
          <w:rFonts w:ascii="Calibri" w:hAnsi="Calibri" w:cs="Calibri"/>
          <w:sz w:val="24"/>
          <w:szCs w:val="24"/>
        </w:rPr>
        <w:t xml:space="preserve">ve výši </w:t>
      </w:r>
      <w:r w:rsidRPr="00E81BFE">
        <w:rPr>
          <w:rFonts w:ascii="Calibri" w:hAnsi="Calibri" w:cs="Calibri"/>
          <w:b/>
          <w:sz w:val="24"/>
          <w:szCs w:val="24"/>
        </w:rPr>
        <w:t>482 427 Kč</w:t>
      </w:r>
      <w:r w:rsidRPr="00E81BFE">
        <w:rPr>
          <w:rFonts w:ascii="Calibri" w:hAnsi="Calibri" w:cs="Calibri"/>
          <w:sz w:val="24"/>
          <w:szCs w:val="24"/>
        </w:rPr>
        <w:t xml:space="preserve"> </w:t>
      </w:r>
      <w:r w:rsidRPr="00E81BFE">
        <w:rPr>
          <w:rFonts w:ascii="Calibri" w:hAnsi="Calibri" w:cs="Calibri"/>
          <w:b/>
          <w:bCs/>
          <w:sz w:val="24"/>
          <w:szCs w:val="24"/>
        </w:rPr>
        <w:t>nedodržel</w:t>
      </w:r>
      <w:r w:rsidRPr="00E81BFE">
        <w:rPr>
          <w:rFonts w:ascii="Calibri" w:hAnsi="Calibri" w:cs="Calibri"/>
          <w:bCs/>
          <w:sz w:val="24"/>
          <w:szCs w:val="24"/>
        </w:rPr>
        <w:t xml:space="preserve"> </w:t>
      </w:r>
      <w:r w:rsidRPr="00E81BFE">
        <w:rPr>
          <w:rFonts w:ascii="Calibri" w:hAnsi="Calibri" w:cs="Calibri"/>
          <w:b/>
          <w:bCs/>
          <w:sz w:val="24"/>
          <w:szCs w:val="24"/>
        </w:rPr>
        <w:t>zásadu transparentnosti</w:t>
      </w:r>
      <w:r w:rsidRPr="00E81BFE">
        <w:rPr>
          <w:rStyle w:val="Znakapoznpodarou"/>
          <w:rFonts w:ascii="Calibri" w:hAnsi="Calibri" w:cs="Calibri"/>
          <w:bCs/>
          <w:sz w:val="24"/>
          <w:szCs w:val="24"/>
        </w:rPr>
        <w:footnoteReference w:id="74"/>
      </w:r>
      <w:r w:rsidRPr="00E81BFE">
        <w:rPr>
          <w:rFonts w:ascii="Calibri" w:hAnsi="Calibri" w:cs="Calibri"/>
          <w:bCs/>
          <w:sz w:val="24"/>
          <w:szCs w:val="24"/>
        </w:rPr>
        <w:t>, neboť nezdokumentoval nebo neuchoval doklady o průběhu výběrového řízení</w:t>
      </w:r>
      <w:r w:rsidR="005277A6">
        <w:rPr>
          <w:rFonts w:ascii="Calibri" w:hAnsi="Calibri" w:cs="Calibri"/>
          <w:bCs/>
          <w:sz w:val="24"/>
          <w:szCs w:val="24"/>
        </w:rPr>
        <w:t>,</w:t>
      </w:r>
      <w:r w:rsidRPr="00E81BFE">
        <w:rPr>
          <w:rFonts w:ascii="Calibri" w:hAnsi="Calibri" w:cs="Calibri"/>
          <w:bCs/>
          <w:sz w:val="24"/>
          <w:szCs w:val="24"/>
        </w:rPr>
        <w:t xml:space="preserve"> a učinil ho tak nekontrolovatelným (znemožnil tak kontrolu nestrannosti svého postupu v případě přímého zadání VZMR). Tímto postupem při zadání VZMR zároveň </w:t>
      </w:r>
      <w:r w:rsidRPr="00E81BFE">
        <w:rPr>
          <w:rFonts w:ascii="Calibri" w:hAnsi="Calibri" w:cs="Calibri"/>
          <w:b/>
          <w:bCs/>
          <w:sz w:val="24"/>
          <w:szCs w:val="24"/>
        </w:rPr>
        <w:t>porušil zásadu zákazu diskriminace</w:t>
      </w:r>
      <w:r w:rsidRPr="00E81BFE">
        <w:rPr>
          <w:rStyle w:val="Znakapoznpodarou"/>
          <w:rFonts w:ascii="Calibri" w:hAnsi="Calibri" w:cs="Calibri"/>
          <w:bCs/>
          <w:sz w:val="24"/>
          <w:szCs w:val="24"/>
        </w:rPr>
        <w:footnoteReference w:id="75"/>
      </w:r>
      <w:r w:rsidRPr="00E81BFE">
        <w:rPr>
          <w:rFonts w:ascii="Calibri" w:hAnsi="Calibri" w:cs="Calibri"/>
          <w:bCs/>
          <w:sz w:val="24"/>
          <w:szCs w:val="24"/>
        </w:rPr>
        <w:t xml:space="preserve"> ve vztahu k dodavatelům, když přímým zadáním </w:t>
      </w:r>
      <w:r w:rsidRPr="00E81BFE">
        <w:rPr>
          <w:rFonts w:ascii="Calibri" w:hAnsi="Calibri" w:cs="Calibri"/>
          <w:bCs/>
          <w:sz w:val="24"/>
          <w:szCs w:val="24"/>
        </w:rPr>
        <w:lastRenderedPageBreak/>
        <w:t xml:space="preserve">zakázky jednomu dodavateli, tedy bez přiměřeného zveřejnění či oslovení dalších dodavatelů, znemožnil jejich přístup k zakázce. Rovněž </w:t>
      </w:r>
      <w:r w:rsidRPr="00E81BFE">
        <w:rPr>
          <w:rFonts w:ascii="Calibri" w:hAnsi="Calibri" w:cs="Calibri"/>
          <w:b/>
          <w:bCs/>
          <w:sz w:val="24"/>
          <w:szCs w:val="24"/>
        </w:rPr>
        <w:t>nepostupoval nejhospodárnějším způsobem</w:t>
      </w:r>
      <w:r w:rsidRPr="00E81BFE">
        <w:rPr>
          <w:rStyle w:val="Znakapoznpodarou"/>
          <w:rFonts w:ascii="Calibri" w:hAnsi="Calibri" w:cs="Calibri"/>
          <w:bCs/>
          <w:sz w:val="24"/>
          <w:szCs w:val="24"/>
        </w:rPr>
        <w:footnoteReference w:id="76"/>
      </w:r>
      <w:r w:rsidRPr="00E81BFE">
        <w:rPr>
          <w:rFonts w:ascii="Calibri" w:hAnsi="Calibri" w:cs="Calibri"/>
          <w:bCs/>
          <w:sz w:val="24"/>
          <w:szCs w:val="24"/>
        </w:rPr>
        <w:t xml:space="preserve">, neboť nepostupoval tak, aby tuto VZMR zadal na základě výběrového řízení za nejvýhodnější možnou cenu. </w:t>
      </w:r>
      <w:r w:rsidRPr="00E81BFE">
        <w:rPr>
          <w:rFonts w:ascii="Calibri" w:hAnsi="Calibri" w:cs="Calibri"/>
          <w:sz w:val="24"/>
          <w:szCs w:val="24"/>
        </w:rPr>
        <w:t xml:space="preserve">Výdaje vynaložené ZÚ v Ostravě na zpracování videa (filmu) vyhodnotil NKÚ jako </w:t>
      </w:r>
      <w:r w:rsidRPr="00E81BFE">
        <w:rPr>
          <w:rFonts w:ascii="Calibri" w:hAnsi="Calibri" w:cs="Calibri"/>
          <w:b/>
          <w:sz w:val="24"/>
          <w:szCs w:val="24"/>
        </w:rPr>
        <w:t>neefektivní</w:t>
      </w:r>
      <w:r w:rsidRPr="009A5205">
        <w:rPr>
          <w:rFonts w:ascii="Calibri" w:hAnsi="Calibri" w:cs="Calibri"/>
          <w:b/>
          <w:sz w:val="24"/>
          <w:szCs w:val="24"/>
        </w:rPr>
        <w:t>.</w:t>
      </w:r>
      <w:r w:rsidRPr="00E81BFE">
        <w:rPr>
          <w:rFonts w:ascii="Calibri" w:hAnsi="Calibri" w:cs="Calibri"/>
          <w:sz w:val="24"/>
          <w:szCs w:val="24"/>
        </w:rPr>
        <w:t xml:space="preserve"> Pořízení tohoto videa nenaplnilo svůj účel tím, že nevedlo k přínosu pro ZÚ v Ostravě v podobě příjmů z realizace měření koncentrace CO</w:t>
      </w:r>
      <w:r w:rsidRPr="00E81BFE">
        <w:rPr>
          <w:rFonts w:ascii="Calibri" w:hAnsi="Calibri" w:cs="Calibri"/>
          <w:sz w:val="24"/>
          <w:szCs w:val="24"/>
          <w:vertAlign w:val="subscript"/>
        </w:rPr>
        <w:t>2</w:t>
      </w:r>
      <w:r w:rsidRPr="00E81BFE">
        <w:rPr>
          <w:rFonts w:ascii="Calibri" w:hAnsi="Calibri" w:cs="Calibri"/>
          <w:sz w:val="24"/>
          <w:szCs w:val="24"/>
        </w:rPr>
        <w:t xml:space="preserve"> ve školách</w:t>
      </w:r>
      <w:r w:rsidR="005277A6">
        <w:rPr>
          <w:rFonts w:ascii="Calibri" w:hAnsi="Calibri" w:cs="Calibri"/>
          <w:sz w:val="24"/>
          <w:szCs w:val="24"/>
        </w:rPr>
        <w:t>;</w:t>
      </w:r>
    </w:p>
    <w:p w14:paraId="0FF31AED" w14:textId="28EEF907" w:rsidR="003330BE" w:rsidRPr="00E81BFE" w:rsidRDefault="003330BE" w:rsidP="002B7960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1BFE">
        <w:rPr>
          <w:rFonts w:ascii="Calibri" w:hAnsi="Calibri" w:cs="Calibri"/>
          <w:sz w:val="24"/>
          <w:szCs w:val="24"/>
        </w:rPr>
        <w:t xml:space="preserve">v souvislosti se zadáním další VZMR ve výši </w:t>
      </w:r>
      <w:r w:rsidRPr="00E81BFE">
        <w:rPr>
          <w:rFonts w:ascii="Calibri" w:hAnsi="Calibri" w:cs="Calibri"/>
          <w:b/>
          <w:sz w:val="24"/>
          <w:szCs w:val="24"/>
        </w:rPr>
        <w:t>351 021 Kč</w:t>
      </w:r>
      <w:r w:rsidRPr="00E81BFE">
        <w:rPr>
          <w:rFonts w:ascii="Calibri" w:hAnsi="Calibri" w:cs="Calibri"/>
          <w:sz w:val="24"/>
          <w:szCs w:val="24"/>
        </w:rPr>
        <w:t xml:space="preserve"> </w:t>
      </w:r>
      <w:r w:rsidRPr="00E81BFE">
        <w:rPr>
          <w:rFonts w:ascii="Calibri" w:eastAsia="Calibri" w:hAnsi="Calibri" w:cs="Calibri"/>
          <w:b/>
          <w:sz w:val="24"/>
          <w:szCs w:val="24"/>
        </w:rPr>
        <w:t>porušil zásadu transparentnosti</w:t>
      </w:r>
      <w:r w:rsidRPr="00E81BFE">
        <w:rPr>
          <w:rStyle w:val="Znakapoznpodarou"/>
          <w:rFonts w:ascii="Calibri" w:eastAsia="Calibri" w:hAnsi="Calibri" w:cs="Calibri"/>
          <w:sz w:val="24"/>
          <w:szCs w:val="24"/>
        </w:rPr>
        <w:footnoteReference w:id="77"/>
      </w:r>
      <w:r w:rsidRPr="00E81BFE">
        <w:rPr>
          <w:rFonts w:ascii="Calibri" w:eastAsia="Calibri" w:hAnsi="Calibri" w:cs="Calibri"/>
          <w:sz w:val="24"/>
          <w:szCs w:val="24"/>
        </w:rPr>
        <w:t>, neboť nestanovil v žádosti o předložení cenové nabídky váhu kritériím a nestanovil metodu pro vyhodnocení předložených cenových nabídek. Nestanovení metody mělo dopady i </w:t>
      </w:r>
      <w:r w:rsidR="005277A6">
        <w:rPr>
          <w:rFonts w:ascii="Calibri" w:eastAsia="Calibri" w:hAnsi="Calibri" w:cs="Calibri"/>
          <w:sz w:val="24"/>
          <w:szCs w:val="24"/>
        </w:rPr>
        <w:t>na</w:t>
      </w:r>
      <w:r w:rsidRPr="00E81BFE">
        <w:rPr>
          <w:rFonts w:ascii="Calibri" w:eastAsia="Calibri" w:hAnsi="Calibri" w:cs="Calibri"/>
          <w:sz w:val="24"/>
          <w:szCs w:val="24"/>
        </w:rPr>
        <w:t> proces hodnocení nabídek, protože nebylo možné zpětně ověřit, jak byly podle druhého dílčího kritéria předložené nabídky hodnoceny (hodnocení tak neproběhlo transparentně). Zdravotní ústav rovněž porušil i rozpočtov</w:t>
      </w:r>
      <w:r w:rsidR="005277A6">
        <w:rPr>
          <w:rFonts w:ascii="Calibri" w:eastAsia="Calibri" w:hAnsi="Calibri" w:cs="Calibri"/>
          <w:sz w:val="24"/>
          <w:szCs w:val="24"/>
        </w:rPr>
        <w:t>á</w:t>
      </w:r>
      <w:r w:rsidRPr="00E81BFE">
        <w:rPr>
          <w:rFonts w:ascii="Calibri" w:eastAsia="Calibri" w:hAnsi="Calibri" w:cs="Calibri"/>
          <w:sz w:val="24"/>
          <w:szCs w:val="24"/>
        </w:rPr>
        <w:t xml:space="preserve"> pravidl</w:t>
      </w:r>
      <w:r w:rsidR="005277A6">
        <w:rPr>
          <w:rFonts w:ascii="Calibri" w:eastAsia="Calibri" w:hAnsi="Calibri" w:cs="Calibri"/>
          <w:sz w:val="24"/>
          <w:szCs w:val="24"/>
        </w:rPr>
        <w:t>a</w:t>
      </w:r>
      <w:r w:rsidRPr="00E81BFE">
        <w:rPr>
          <w:rStyle w:val="Znakapoznpodarou"/>
          <w:rFonts w:ascii="Calibri" w:eastAsia="Calibri" w:hAnsi="Calibri" w:cs="Calibri"/>
          <w:sz w:val="24"/>
          <w:szCs w:val="24"/>
        </w:rPr>
        <w:footnoteReference w:id="78"/>
      </w:r>
      <w:r w:rsidRPr="00E81BFE">
        <w:rPr>
          <w:rFonts w:ascii="Calibri" w:eastAsia="Calibri" w:hAnsi="Calibri" w:cs="Calibri"/>
          <w:sz w:val="24"/>
          <w:szCs w:val="24"/>
        </w:rPr>
        <w:t>, když vynaložil peněžní prostředky na vysílání reklamních spotů, které měly sloužit k naplnění potřeby rozšíření povědomí o zdravotním ústavu a poskytovaných službách mezi co nej</w:t>
      </w:r>
      <w:r w:rsidR="005277A6">
        <w:rPr>
          <w:rFonts w:ascii="Calibri" w:eastAsia="Calibri" w:hAnsi="Calibri" w:cs="Calibri"/>
          <w:sz w:val="24"/>
          <w:szCs w:val="24"/>
        </w:rPr>
        <w:t>větší počet</w:t>
      </w:r>
      <w:r w:rsidRPr="00E81BFE">
        <w:rPr>
          <w:rFonts w:ascii="Calibri" w:eastAsia="Calibri" w:hAnsi="Calibri" w:cs="Calibri"/>
          <w:sz w:val="24"/>
          <w:szCs w:val="24"/>
        </w:rPr>
        <w:t xml:space="preserve"> potenciálních zákazníků a osob na území města Ostravy. Rozšíření povědomí o zdravotním ústavu ale</w:t>
      </w:r>
      <w:r w:rsidRPr="00E81BFE">
        <w:rPr>
          <w:rFonts w:ascii="Calibri" w:eastAsia="Calibri" w:hAnsi="Calibri" w:cs="Calibri"/>
          <w:b/>
          <w:sz w:val="24"/>
          <w:szCs w:val="24"/>
        </w:rPr>
        <w:t xml:space="preserve"> nebylo</w:t>
      </w:r>
      <w:r w:rsidRPr="00E81BFE">
        <w:rPr>
          <w:rFonts w:ascii="Calibri" w:eastAsia="Calibri" w:hAnsi="Calibri" w:cs="Calibri"/>
          <w:sz w:val="24"/>
          <w:szCs w:val="24"/>
        </w:rPr>
        <w:t xml:space="preserve"> </w:t>
      </w:r>
      <w:r w:rsidRPr="00E81BFE">
        <w:rPr>
          <w:rFonts w:ascii="Calibri" w:eastAsia="Calibri" w:hAnsi="Calibri" w:cs="Calibri"/>
          <w:b/>
          <w:sz w:val="24"/>
          <w:szCs w:val="24"/>
        </w:rPr>
        <w:t>nezbytnou potřebou</w:t>
      </w:r>
      <w:r w:rsidRPr="009A5205">
        <w:rPr>
          <w:rFonts w:ascii="Calibri" w:eastAsia="Calibri" w:hAnsi="Calibri" w:cs="Calibri"/>
          <w:b/>
          <w:sz w:val="24"/>
          <w:szCs w:val="24"/>
        </w:rPr>
        <w:t>,</w:t>
      </w:r>
      <w:r w:rsidRPr="00E81BFE">
        <w:rPr>
          <w:rFonts w:ascii="Calibri" w:eastAsia="Calibri" w:hAnsi="Calibri" w:cs="Calibri"/>
          <w:sz w:val="24"/>
          <w:szCs w:val="24"/>
        </w:rPr>
        <w:t xml:space="preserve"> neboť propagaci své činnosti neumožňuje ZÚ v Ostravě žádný právní předpis ani není opatřením nutným k zabezpečení nerušeného chodu organizace.</w:t>
      </w:r>
    </w:p>
    <w:p w14:paraId="7C5CAB71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2A1AD8" w14:textId="77777777" w:rsidR="003330BE" w:rsidRPr="00E81BFE" w:rsidRDefault="003330BE" w:rsidP="00E8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C548FA3" w14:textId="77777777" w:rsidR="003330BE" w:rsidRPr="00E81BFE" w:rsidRDefault="003330BE" w:rsidP="002B7960">
      <w:pPr>
        <w:keepNext/>
        <w:widowControl w:val="0"/>
        <w:spacing w:after="8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81BFE">
        <w:rPr>
          <w:rFonts w:ascii="Calibri" w:hAnsi="Calibri" w:cs="Calibri"/>
          <w:b/>
          <w:sz w:val="24"/>
          <w:szCs w:val="24"/>
        </w:rPr>
        <w:lastRenderedPageBreak/>
        <w:t>Seznam použitých zkratek:</w:t>
      </w:r>
    </w:p>
    <w:p w14:paraId="2317186A" w14:textId="77777777" w:rsidR="00DA2996" w:rsidRDefault="00DA2996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cs-CZ"/>
        </w:rPr>
        <w:t>ČR</w:t>
      </w:r>
      <w:r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Česká republika</w:t>
      </w:r>
    </w:p>
    <w:p w14:paraId="481056D3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DPH</w:t>
      </w:r>
      <w:r w:rsidR="002B7960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daň z přidané hodnoty</w:t>
      </w:r>
    </w:p>
    <w:p w14:paraId="35DFBEF6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EU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Evropská unie</w:t>
      </w:r>
    </w:p>
    <w:p w14:paraId="63ADA2D4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KHS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krajské hygienické stanice</w:t>
      </w:r>
    </w:p>
    <w:p w14:paraId="174C9974" w14:textId="472202D9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proofErr w:type="spellStart"/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MZd</w:t>
      </w:r>
      <w:proofErr w:type="spellEnd"/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 xml:space="preserve"> nebo </w:t>
      </w:r>
      <w:r w:rsidR="00511892">
        <w:rPr>
          <w:rFonts w:ascii="Calibri" w:eastAsia="Calibri" w:hAnsi="Calibri" w:cs="Calibri"/>
          <w:color w:val="000000"/>
          <w:sz w:val="24"/>
          <w:szCs w:val="24"/>
          <w:lang w:eastAsia="cs-CZ"/>
        </w:rPr>
        <w:t>m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inisterstvo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</w:r>
      <w:proofErr w:type="spellStart"/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Ministerstvo</w:t>
      </w:r>
      <w:proofErr w:type="spellEnd"/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 xml:space="preserve"> zdravotnictví</w:t>
      </w:r>
    </w:p>
    <w:p w14:paraId="70A7A2F9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NKÚ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Nejvyšší kontrolní úřad</w:t>
      </w:r>
    </w:p>
    <w:p w14:paraId="6A240E42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NRL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národní referenční laboratoř</w:t>
      </w:r>
    </w:p>
    <w:p w14:paraId="0443F816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principy 3E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principy hospodárnosti, efektivnosti a účelnosti</w:t>
      </w:r>
    </w:p>
    <w:p w14:paraId="3E910C01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RS CZ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 xml:space="preserve">resortní systém centralizovaného zadávání </w:t>
      </w:r>
    </w:p>
    <w:p w14:paraId="5D865C0D" w14:textId="582A0AC6" w:rsidR="003330BE" w:rsidRPr="00E81BFE" w:rsidRDefault="00C82719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cs-CZ"/>
        </w:rPr>
        <w:t>s</w:t>
      </w:r>
      <w:r w:rsidR="003330BE"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azebník pro OOVZ</w:t>
      </w:r>
      <w:r w:rsidR="003330BE"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lang w:eastAsia="cs-CZ"/>
        </w:rPr>
        <w:t>s</w:t>
      </w:r>
      <w:r w:rsidR="003330BE"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 xml:space="preserve">azebník služeb zdravotních ústavů pro </w:t>
      </w:r>
      <w:r>
        <w:rPr>
          <w:rFonts w:ascii="Calibri" w:eastAsia="Calibri" w:hAnsi="Calibri" w:cs="Calibri"/>
          <w:color w:val="000000"/>
          <w:sz w:val="24"/>
          <w:szCs w:val="24"/>
          <w:lang w:eastAsia="cs-CZ"/>
        </w:rPr>
        <w:t>o</w:t>
      </w:r>
      <w:r w:rsidR="003330BE"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rgány ochrany veřejného zdraví</w:t>
      </w:r>
    </w:p>
    <w:p w14:paraId="068648D3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SZD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státní zdravotní dozor</w:t>
      </w:r>
    </w:p>
    <w:p w14:paraId="68A481EB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VZ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veřejná zakázka</w:t>
      </w:r>
    </w:p>
    <w:p w14:paraId="0A190837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VZMR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veřejná zakázka malého rozsahu</w:t>
      </w:r>
    </w:p>
    <w:p w14:paraId="7D5CD269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ZÚ nebo zdravotní ústavy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Zdravotní ústav se sídlem v Ostravě a Zdravotní ústav se sídlem v Ústí nad Labem</w:t>
      </w:r>
    </w:p>
    <w:p w14:paraId="6D00FB54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ZÚ v Ostravě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Zdravotní ústav se sídlem v Ostravě</w:t>
      </w:r>
    </w:p>
    <w:p w14:paraId="59B6C903" w14:textId="77777777" w:rsidR="003330BE" w:rsidRPr="00E81BFE" w:rsidRDefault="003330BE" w:rsidP="005277A6">
      <w:pPr>
        <w:keepNext/>
        <w:tabs>
          <w:tab w:val="left" w:pos="2552"/>
        </w:tabs>
        <w:spacing w:after="80" w:line="240" w:lineRule="auto"/>
        <w:ind w:left="2552" w:hanging="2552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>ZÚ v Ústí n. L.</w:t>
      </w: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tab/>
        <w:t>Zdravotní ústav se sídlem v Ústí nad Labem</w:t>
      </w:r>
    </w:p>
    <w:p w14:paraId="544A6FE6" w14:textId="77777777" w:rsidR="002B7960" w:rsidRDefault="002B7960" w:rsidP="00E81BF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</w:p>
    <w:p w14:paraId="46B3B567" w14:textId="77777777" w:rsidR="003330BE" w:rsidRPr="00E81BFE" w:rsidRDefault="003330BE" w:rsidP="00E81BF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81BFE">
        <w:rPr>
          <w:rFonts w:ascii="Calibri" w:eastAsia="Calibri" w:hAnsi="Calibri" w:cs="Calibri"/>
          <w:color w:val="000000"/>
          <w:sz w:val="24"/>
          <w:szCs w:val="24"/>
          <w:lang w:eastAsia="cs-CZ"/>
        </w:rPr>
        <w:br w:type="page"/>
      </w:r>
    </w:p>
    <w:p w14:paraId="77430B01" w14:textId="77777777" w:rsidR="003330BE" w:rsidRPr="002B7960" w:rsidRDefault="003330BE" w:rsidP="002B0911">
      <w:pPr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 w:rsidRPr="002B7960">
        <w:rPr>
          <w:rFonts w:ascii="Calibri" w:hAnsi="Calibri" w:cs="Calibri"/>
          <w:b/>
          <w:sz w:val="24"/>
          <w:szCs w:val="24"/>
        </w:rPr>
        <w:lastRenderedPageBreak/>
        <w:t>Příloha č. 1</w:t>
      </w:r>
    </w:p>
    <w:p w14:paraId="620A165A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808779A" w14:textId="77777777" w:rsidR="003330BE" w:rsidRPr="002B7960" w:rsidRDefault="003330BE" w:rsidP="009A520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B7960">
        <w:rPr>
          <w:rFonts w:ascii="Calibri" w:hAnsi="Calibri" w:cs="Calibri"/>
          <w:b/>
          <w:sz w:val="24"/>
          <w:szCs w:val="24"/>
        </w:rPr>
        <w:t>Podrobnější informace o zdravotních ústavech a jejich činnosti</w:t>
      </w:r>
    </w:p>
    <w:p w14:paraId="37E120EB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B8A645" w14:textId="77777777" w:rsidR="003330BE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7960">
        <w:rPr>
          <w:rFonts w:ascii="Calibri" w:hAnsi="Calibri" w:cs="Calibri"/>
          <w:sz w:val="24"/>
          <w:szCs w:val="24"/>
          <w:lang w:eastAsia="cs-CZ"/>
        </w:rPr>
        <w:t xml:space="preserve">ZÚ v Ostravě se stal k 1. 6. 2012 (na základě zákona, </w:t>
      </w:r>
      <w:r w:rsidRPr="002B7960">
        <w:rPr>
          <w:rFonts w:ascii="Calibri" w:hAnsi="Calibri" w:cs="Calibri"/>
          <w:sz w:val="24"/>
          <w:szCs w:val="24"/>
        </w:rPr>
        <w:t>kterým se mění zákon o ochraně veřejného zdraví</w:t>
      </w:r>
      <w:r w:rsidRPr="002B7960">
        <w:rPr>
          <w:rStyle w:val="Znakapoznpodarou"/>
          <w:rFonts w:ascii="Calibri" w:hAnsi="Calibri" w:cs="Calibri"/>
          <w:sz w:val="24"/>
          <w:szCs w:val="24"/>
        </w:rPr>
        <w:footnoteReference w:id="79"/>
      </w:r>
      <w:r w:rsidRPr="002B7960">
        <w:rPr>
          <w:rFonts w:ascii="Calibri" w:hAnsi="Calibri" w:cs="Calibri"/>
          <w:sz w:val="24"/>
          <w:szCs w:val="24"/>
          <w:lang w:eastAsia="cs-CZ"/>
        </w:rPr>
        <w:t xml:space="preserve">) nástupnickou organizací zrušených </w:t>
      </w:r>
      <w:r w:rsidRPr="002B7960">
        <w:rPr>
          <w:rFonts w:ascii="Calibri" w:hAnsi="Calibri" w:cs="Calibri"/>
          <w:sz w:val="24"/>
          <w:szCs w:val="24"/>
        </w:rPr>
        <w:t>zdravotních ústavů se sídly v Jihlavě, Brně, Olomouci a ve Zlíně. K uvedenému datu se stal nástupnickou organizací rovněž ZÚ v Ústí n. L., a to zrušených zdravotních ústavů se sídlem v Praze, Kolíně, Českých Budějovicích, Plzni, Karlových Varech, Liberci, Hradci Králové a v Pardubicích.</w:t>
      </w:r>
    </w:p>
    <w:p w14:paraId="10CF892C" w14:textId="77777777" w:rsidR="002B0911" w:rsidRPr="002B7960" w:rsidRDefault="002B0911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CE2A3D" w14:textId="1846CCAC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7960">
        <w:rPr>
          <w:rFonts w:ascii="Calibri" w:hAnsi="Calibri" w:cs="Calibri"/>
          <w:sz w:val="24"/>
          <w:szCs w:val="24"/>
        </w:rPr>
        <w:t>ZÚ v Ostravě poskytuje své služby na pracovištích nacházejících se v pěti krajích</w:t>
      </w:r>
      <w:r w:rsidRPr="002B7960">
        <w:rPr>
          <w:rStyle w:val="Znakapoznpodarou"/>
          <w:rFonts w:ascii="Calibri" w:hAnsi="Calibri" w:cs="Calibri"/>
          <w:sz w:val="24"/>
          <w:szCs w:val="24"/>
        </w:rPr>
        <w:footnoteReference w:id="80"/>
      </w:r>
      <w:r w:rsidRPr="002B7960">
        <w:rPr>
          <w:rFonts w:ascii="Calibri" w:hAnsi="Calibri" w:cs="Calibri"/>
          <w:sz w:val="24"/>
          <w:szCs w:val="24"/>
        </w:rPr>
        <w:t xml:space="preserve">. V případě Zdravotního ústavu se sídlem v Ústí nad Labem se jedná o poskytování služeb v </w:t>
      </w:r>
      <w:r w:rsidR="0099668B">
        <w:rPr>
          <w:rFonts w:ascii="Calibri" w:hAnsi="Calibri" w:cs="Calibri"/>
          <w:sz w:val="24"/>
          <w:szCs w:val="24"/>
        </w:rPr>
        <w:t>h</w:t>
      </w:r>
      <w:r w:rsidRPr="002B7960">
        <w:rPr>
          <w:rFonts w:ascii="Calibri" w:hAnsi="Calibri" w:cs="Calibri"/>
          <w:sz w:val="24"/>
          <w:szCs w:val="24"/>
        </w:rPr>
        <w:t>lavním městě Praze a osmi krajích.</w:t>
      </w:r>
      <w:r w:rsidRPr="002B7960">
        <w:rPr>
          <w:rStyle w:val="Znakapoznpodarou"/>
          <w:rFonts w:ascii="Calibri" w:hAnsi="Calibri" w:cs="Calibri"/>
          <w:sz w:val="24"/>
          <w:szCs w:val="24"/>
        </w:rPr>
        <w:footnoteReference w:id="81"/>
      </w:r>
      <w:r w:rsidRPr="002B7960">
        <w:rPr>
          <w:rFonts w:ascii="Calibri" w:hAnsi="Calibri" w:cs="Calibri"/>
          <w:sz w:val="24"/>
          <w:szCs w:val="24"/>
        </w:rPr>
        <w:t xml:space="preserve"> Grafické znázornění je uvedeno v následujícím obrázku</w:t>
      </w:r>
      <w:r w:rsidR="0099668B">
        <w:rPr>
          <w:rFonts w:ascii="Calibri" w:hAnsi="Calibri" w:cs="Calibri"/>
          <w:sz w:val="24"/>
          <w:szCs w:val="24"/>
        </w:rPr>
        <w:t>:</w:t>
      </w:r>
    </w:p>
    <w:p w14:paraId="7437240C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26EE1EA" w14:textId="77777777" w:rsidR="003330BE" w:rsidRPr="002B7960" w:rsidRDefault="003330BE" w:rsidP="00A84662">
      <w:pPr>
        <w:keepNext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B7960">
        <w:rPr>
          <w:rFonts w:ascii="Calibri" w:hAnsi="Calibri" w:cs="Calibri"/>
          <w:b/>
          <w:sz w:val="24"/>
          <w:szCs w:val="24"/>
        </w:rPr>
        <w:t>Obrázek č. 1:</w:t>
      </w:r>
      <w:r w:rsidR="00A84662">
        <w:rPr>
          <w:rFonts w:ascii="Calibri" w:hAnsi="Calibri" w:cs="Calibri"/>
          <w:b/>
          <w:sz w:val="24"/>
          <w:szCs w:val="24"/>
        </w:rPr>
        <w:t xml:space="preserve"> </w:t>
      </w:r>
      <w:r w:rsidRPr="002B7960">
        <w:rPr>
          <w:rFonts w:ascii="Calibri" w:hAnsi="Calibri" w:cs="Calibri"/>
          <w:b/>
          <w:sz w:val="24"/>
          <w:szCs w:val="24"/>
        </w:rPr>
        <w:t>Rozmístění pracovišť a kontaktních míst ZÚ v Ostravě a ZÚ v Ústí n. L.</w:t>
      </w:r>
    </w:p>
    <w:p w14:paraId="72DD83BB" w14:textId="77777777" w:rsidR="003330BE" w:rsidRPr="002B7960" w:rsidRDefault="003330BE" w:rsidP="002B7960">
      <w:pPr>
        <w:keepNext/>
        <w:tabs>
          <w:tab w:val="left" w:pos="1418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B7960">
        <w:rPr>
          <w:rFonts w:ascii="Calibri" w:hAnsi="Calibri" w:cs="Calibri"/>
          <w:b/>
          <w:noProof/>
          <w:sz w:val="24"/>
          <w:szCs w:val="24"/>
          <w:lang w:eastAsia="cs-CZ"/>
        </w:rPr>
        <w:drawing>
          <wp:inline distT="0" distB="0" distL="0" distR="0" wp14:anchorId="53C3C5CF" wp14:editId="18886BEB">
            <wp:extent cx="5705856" cy="3522477"/>
            <wp:effectExtent l="0" t="0" r="9525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ntaktni_mista_ZU_v04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8" r="4104"/>
                    <a:stretch/>
                  </pic:blipFill>
                  <pic:spPr bwMode="auto">
                    <a:xfrm>
                      <a:off x="0" y="0"/>
                      <a:ext cx="5730203" cy="3537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37FD8" w14:textId="77777777" w:rsidR="003330BE" w:rsidRPr="00A84662" w:rsidRDefault="003330BE" w:rsidP="00A84662">
      <w:pPr>
        <w:spacing w:after="0" w:line="240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A84662">
        <w:rPr>
          <w:rFonts w:ascii="Calibri" w:hAnsi="Calibri" w:cs="Calibri"/>
          <w:b/>
          <w:sz w:val="20"/>
          <w:szCs w:val="20"/>
        </w:rPr>
        <w:t>Zdroj:</w:t>
      </w:r>
      <w:r w:rsidRPr="00A84662">
        <w:rPr>
          <w:rFonts w:ascii="Calibri" w:hAnsi="Calibri" w:cs="Calibri"/>
          <w:sz w:val="20"/>
          <w:szCs w:val="20"/>
        </w:rPr>
        <w:tab/>
        <w:t xml:space="preserve">Zdravotní ústav se sídlem v Ostravě. </w:t>
      </w:r>
      <w:r w:rsidRPr="00A84662">
        <w:rPr>
          <w:rFonts w:ascii="Calibri" w:hAnsi="Calibri" w:cs="Calibri"/>
          <w:i/>
          <w:sz w:val="20"/>
          <w:szCs w:val="20"/>
        </w:rPr>
        <w:t>Lokality.</w:t>
      </w:r>
      <w:r w:rsidRPr="00A84662">
        <w:rPr>
          <w:rFonts w:ascii="Calibri" w:hAnsi="Calibri" w:cs="Calibri"/>
          <w:sz w:val="20"/>
          <w:szCs w:val="20"/>
        </w:rPr>
        <w:t xml:space="preserve"> Dostupné z: </w:t>
      </w:r>
      <w:hyperlink r:id="rId13" w:history="1">
        <w:r w:rsidRPr="00A84662">
          <w:rPr>
            <w:rStyle w:val="Hypertextovodkaz"/>
            <w:rFonts w:ascii="Calibri" w:hAnsi="Calibri" w:cs="Calibri"/>
            <w:sz w:val="20"/>
            <w:szCs w:val="20"/>
          </w:rPr>
          <w:t>https://www.zuova.cz/Kontakty/Lokality</w:t>
        </w:r>
      </w:hyperlink>
      <w:r w:rsidR="005730DA" w:rsidRPr="00A84662">
        <w:rPr>
          <w:rFonts w:ascii="Calibri" w:hAnsi="Calibri" w:cs="Calibri"/>
          <w:sz w:val="20"/>
          <w:szCs w:val="20"/>
        </w:rPr>
        <w:t>.</w:t>
      </w:r>
    </w:p>
    <w:p w14:paraId="021C4309" w14:textId="77777777" w:rsidR="003330BE" w:rsidRPr="00A84662" w:rsidRDefault="003330BE" w:rsidP="00A84662">
      <w:pPr>
        <w:spacing w:after="0" w:line="240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A84662">
        <w:rPr>
          <w:rFonts w:ascii="Calibri" w:hAnsi="Calibri" w:cs="Calibri"/>
          <w:sz w:val="20"/>
          <w:szCs w:val="20"/>
        </w:rPr>
        <w:tab/>
        <w:t xml:space="preserve">Zdravotní ústav se sídlem v Ústí nad Labem. </w:t>
      </w:r>
      <w:r w:rsidRPr="00A84662">
        <w:rPr>
          <w:rFonts w:ascii="Calibri" w:hAnsi="Calibri" w:cs="Calibri"/>
          <w:i/>
          <w:sz w:val="20"/>
          <w:szCs w:val="20"/>
        </w:rPr>
        <w:t>Kde nás najdete.</w:t>
      </w:r>
      <w:r w:rsidRPr="00A84662">
        <w:rPr>
          <w:rFonts w:ascii="Calibri" w:hAnsi="Calibri" w:cs="Calibri"/>
          <w:sz w:val="20"/>
          <w:szCs w:val="20"/>
        </w:rPr>
        <w:t xml:space="preserve"> Dostupné z: </w:t>
      </w:r>
      <w:hyperlink r:id="rId14" w:history="1">
        <w:r w:rsidRPr="00A84662">
          <w:rPr>
            <w:rStyle w:val="Hypertextovodkaz"/>
            <w:rFonts w:ascii="Calibri" w:hAnsi="Calibri" w:cs="Calibri"/>
            <w:sz w:val="20"/>
            <w:szCs w:val="20"/>
          </w:rPr>
          <w:t>http://www.zuusti.cz/o-nas/kontakty-2/</w:t>
        </w:r>
      </w:hyperlink>
      <w:r w:rsidR="005730DA" w:rsidRPr="00A84662">
        <w:rPr>
          <w:rFonts w:ascii="Calibri" w:hAnsi="Calibri" w:cs="Calibri"/>
          <w:sz w:val="20"/>
          <w:szCs w:val="20"/>
        </w:rPr>
        <w:t>.</w:t>
      </w:r>
    </w:p>
    <w:p w14:paraId="11446147" w14:textId="3792E1AF" w:rsidR="003330BE" w:rsidRPr="00A84662" w:rsidRDefault="003330BE" w:rsidP="00A84662">
      <w:pPr>
        <w:spacing w:after="0" w:line="240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A84662">
        <w:rPr>
          <w:rFonts w:ascii="Calibri" w:hAnsi="Calibri" w:cs="Calibri"/>
          <w:b/>
          <w:sz w:val="20"/>
          <w:szCs w:val="20"/>
        </w:rPr>
        <w:t>Pozn</w:t>
      </w:r>
      <w:r w:rsidR="005730DA">
        <w:rPr>
          <w:rFonts w:ascii="Calibri" w:hAnsi="Calibri" w:cs="Calibri"/>
          <w:b/>
          <w:sz w:val="20"/>
          <w:szCs w:val="20"/>
        </w:rPr>
        <w:t>.</w:t>
      </w:r>
      <w:r w:rsidRPr="00A84662">
        <w:rPr>
          <w:rFonts w:ascii="Calibri" w:hAnsi="Calibri" w:cs="Calibri"/>
          <w:b/>
          <w:sz w:val="20"/>
          <w:szCs w:val="20"/>
        </w:rPr>
        <w:t>:</w:t>
      </w:r>
      <w:r w:rsidRPr="00A84662">
        <w:rPr>
          <w:rFonts w:ascii="Calibri" w:hAnsi="Calibri" w:cs="Calibri"/>
          <w:sz w:val="20"/>
          <w:szCs w:val="20"/>
        </w:rPr>
        <w:t xml:space="preserve"> V Ústí nad Orlicí mají svá pracoviště oba ZÚ.</w:t>
      </w:r>
    </w:p>
    <w:p w14:paraId="07548C55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</w:p>
    <w:p w14:paraId="51985173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7960">
        <w:rPr>
          <w:rFonts w:ascii="Calibri" w:hAnsi="Calibri" w:cs="Calibri"/>
          <w:sz w:val="24"/>
          <w:szCs w:val="24"/>
        </w:rPr>
        <w:t>Statutárním orgánem zdravotního ústavu je ředitel, kterého jmenuje a odvolává na návrh hlavního hygienika České republiky ministr zdravotnictví.</w:t>
      </w:r>
    </w:p>
    <w:p w14:paraId="5B7987EF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</w:rPr>
        <w:t xml:space="preserve">ZÚ 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vykonávají činnosti jednak pro potřeby státu, ale také pro jiné právnické a fyzické osoby jako služby hrazené z veřejného zdravotního pojištění nebo placené přímo jejich odběrateli.</w:t>
      </w:r>
    </w:p>
    <w:p w14:paraId="6060CFE3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141F2A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7960">
        <w:rPr>
          <w:rFonts w:ascii="Calibri" w:hAnsi="Calibri" w:cs="Calibri"/>
          <w:sz w:val="24"/>
          <w:szCs w:val="24"/>
        </w:rPr>
        <w:t>Zdravotní ústavy byly zřízeny k:</w:t>
      </w:r>
    </w:p>
    <w:p w14:paraId="07FC7716" w14:textId="77777777" w:rsidR="003330BE" w:rsidRPr="002B7960" w:rsidRDefault="003330BE" w:rsidP="00A84662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 xml:space="preserve">vyšetřování a měření složek životních a pracovních podmínek, </w:t>
      </w:r>
    </w:p>
    <w:p w14:paraId="7B713EF6" w14:textId="77777777" w:rsidR="003330BE" w:rsidRPr="002B7960" w:rsidRDefault="003330BE" w:rsidP="00A84662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 xml:space="preserve">vyšetřování výrobků, </w:t>
      </w:r>
    </w:p>
    <w:p w14:paraId="42895782" w14:textId="77777777" w:rsidR="003330BE" w:rsidRPr="002B7960" w:rsidRDefault="003330BE" w:rsidP="00A84662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>vyšetřování biologického materiálu,</w:t>
      </w:r>
    </w:p>
    <w:p w14:paraId="29EEDEAF" w14:textId="77777777" w:rsidR="003330BE" w:rsidRPr="002B7960" w:rsidRDefault="003330BE" w:rsidP="00A84662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>provádění biologických expozičních testů pro účely výkonu státního zdravotního dozoru,</w:t>
      </w:r>
    </w:p>
    <w:p w14:paraId="4BE1ABDA" w14:textId="77777777" w:rsidR="003330BE" w:rsidRPr="002B7960" w:rsidRDefault="003330BE" w:rsidP="00A84662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 xml:space="preserve">sledování ukazatelů zdravotního stavu obyvatelstva, </w:t>
      </w:r>
    </w:p>
    <w:p w14:paraId="2B8AA097" w14:textId="77777777" w:rsidR="003330BE" w:rsidRPr="002B7960" w:rsidRDefault="003330BE" w:rsidP="00A84662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 xml:space="preserve">monitorování vztahů zdravotního stavu obyvatelstva a faktorů životního prostředí a životních a pracovních podmínek, </w:t>
      </w:r>
    </w:p>
    <w:p w14:paraId="003F84E5" w14:textId="77777777" w:rsidR="003330BE" w:rsidRPr="002B7960" w:rsidRDefault="003330BE" w:rsidP="00A84662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>přípravě podkladů pro hodnocení a řízení zdravotních rizik a pro</w:t>
      </w:r>
      <w:r w:rsidR="0099668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 xml:space="preserve">činnost orgánu ochrany veřejného zdraví jako složky integrovaného záchranného systému, </w:t>
      </w:r>
    </w:p>
    <w:p w14:paraId="1FD9F5F9" w14:textId="77777777" w:rsidR="003330BE" w:rsidRPr="002B7960" w:rsidRDefault="003330BE" w:rsidP="00A84662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>podílení se na provádění místních programů ochrany a podpory zdraví, jakož i k výchově k</w:t>
      </w:r>
      <w:r w:rsidR="00A84662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2B7960">
        <w:rPr>
          <w:rFonts w:ascii="Calibri" w:eastAsia="Times New Roman" w:hAnsi="Calibri" w:cs="Calibri"/>
          <w:sz w:val="24"/>
          <w:szCs w:val="24"/>
          <w:lang w:eastAsia="cs-CZ"/>
        </w:rPr>
        <w:t>podpoře a ochraně veřejného zdraví a k poskytování poradenských služeb a dalších služeb na úseku ochrany veřejného zdraví.</w:t>
      </w:r>
    </w:p>
    <w:p w14:paraId="07BE0E74" w14:textId="77777777" w:rsidR="00A84662" w:rsidRDefault="00A84662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3D3476" w14:textId="77777777" w:rsidR="003330BE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7960">
        <w:rPr>
          <w:rFonts w:ascii="Calibri" w:hAnsi="Calibri" w:cs="Calibri"/>
          <w:sz w:val="24"/>
          <w:szCs w:val="24"/>
        </w:rPr>
        <w:t xml:space="preserve">ZÚ mohou v hlavní činnosti dále poskytovat </w:t>
      </w:r>
      <w:proofErr w:type="spellStart"/>
      <w:r w:rsidRPr="002B7960">
        <w:rPr>
          <w:rFonts w:ascii="Calibri" w:hAnsi="Calibri" w:cs="Calibri"/>
          <w:sz w:val="24"/>
          <w:szCs w:val="24"/>
        </w:rPr>
        <w:t>pracovnělékařské</w:t>
      </w:r>
      <w:proofErr w:type="spellEnd"/>
      <w:r w:rsidRPr="002B7960">
        <w:rPr>
          <w:rFonts w:ascii="Calibri" w:hAnsi="Calibri" w:cs="Calibri"/>
          <w:sz w:val="24"/>
          <w:szCs w:val="24"/>
        </w:rPr>
        <w:t xml:space="preserve"> služby, specializovanou diagnostickou a ambulantní péči v oblastech mikrobiologie, imunologie, alergologie a parazitologie, provádět </w:t>
      </w:r>
      <w:proofErr w:type="spellStart"/>
      <w:r w:rsidRPr="002B7960">
        <w:rPr>
          <w:rFonts w:ascii="Calibri" w:hAnsi="Calibri" w:cs="Calibri"/>
          <w:sz w:val="24"/>
          <w:szCs w:val="24"/>
        </w:rPr>
        <w:t>genotoxikologická</w:t>
      </w:r>
      <w:proofErr w:type="spellEnd"/>
      <w:r w:rsidRPr="002B7960">
        <w:rPr>
          <w:rFonts w:ascii="Calibri" w:hAnsi="Calibri" w:cs="Calibri"/>
          <w:sz w:val="24"/>
          <w:szCs w:val="24"/>
        </w:rPr>
        <w:t xml:space="preserve"> a cytogenetická laboratorní vyšetření, vyšetření anti-HIV protilátek, referenční činnost, klinické hodnocení účinků léčiv, očkovacích látek a zdravotnických prostředků a ohniskovou dezinfekci, dezinsekci a deratizaci.</w:t>
      </w:r>
    </w:p>
    <w:p w14:paraId="44124ECF" w14:textId="77777777" w:rsidR="00A84662" w:rsidRPr="002B7960" w:rsidRDefault="00A84662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D664108" w14:textId="5276D087" w:rsidR="003330BE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7960">
        <w:rPr>
          <w:rFonts w:ascii="Calibri" w:hAnsi="Calibri" w:cs="Calibri"/>
          <w:sz w:val="24"/>
          <w:szCs w:val="24"/>
        </w:rPr>
        <w:t>ZÚ jsou poskytovateli zdravotních služeb a jsou oprávněny zpracovávat za</w:t>
      </w:r>
      <w:r w:rsidR="0099668B">
        <w:rPr>
          <w:rFonts w:ascii="Calibri" w:hAnsi="Calibri" w:cs="Calibri"/>
          <w:sz w:val="24"/>
          <w:szCs w:val="24"/>
        </w:rPr>
        <w:t xml:space="preserve"> </w:t>
      </w:r>
      <w:r w:rsidRPr="002B7960">
        <w:rPr>
          <w:rFonts w:ascii="Calibri" w:hAnsi="Calibri" w:cs="Calibri"/>
          <w:sz w:val="24"/>
          <w:szCs w:val="24"/>
        </w:rPr>
        <w:t xml:space="preserve">účelem přípravy podkladu pro tvorbu státní zdravotní politiky a sledování dlouhodobých trendů výskytu infekčních a jiných hromadně se vyskytujících onemocnění údaje o zdraví fyzických osob v souvislosti s předcházením vzniku a šíření infekčních onemocnění, ohrožení nemocí z povolání a jiných poškození zdraví z práce, o expozici fyzických osob škodlivinám v pracovním a životním prostředí a o epidemiologii drogových závislostí a předávat </w:t>
      </w:r>
      <w:r w:rsidR="0099668B">
        <w:rPr>
          <w:rFonts w:ascii="Calibri" w:hAnsi="Calibri" w:cs="Calibri"/>
          <w:sz w:val="24"/>
          <w:szCs w:val="24"/>
        </w:rPr>
        <w:t>tyto údaje</w:t>
      </w:r>
      <w:r w:rsidRPr="002B7960">
        <w:rPr>
          <w:rFonts w:ascii="Calibri" w:hAnsi="Calibri" w:cs="Calibri"/>
          <w:sz w:val="24"/>
          <w:szCs w:val="24"/>
        </w:rPr>
        <w:t xml:space="preserve"> orgánům ochrany veřejného zdraví. </w:t>
      </w:r>
    </w:p>
    <w:p w14:paraId="26D97D9D" w14:textId="77777777" w:rsidR="00A84662" w:rsidRPr="002B7960" w:rsidRDefault="00A84662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B4C23C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7960">
        <w:rPr>
          <w:rFonts w:ascii="Calibri" w:hAnsi="Calibri" w:cs="Calibri"/>
          <w:sz w:val="24"/>
          <w:szCs w:val="24"/>
        </w:rPr>
        <w:t xml:space="preserve">ZÚ jsou vedle </w:t>
      </w:r>
      <w:proofErr w:type="spellStart"/>
      <w:r w:rsidRPr="002B7960">
        <w:rPr>
          <w:rFonts w:ascii="Calibri" w:hAnsi="Calibri" w:cs="Calibri"/>
          <w:sz w:val="24"/>
          <w:szCs w:val="24"/>
        </w:rPr>
        <w:t>MZd</w:t>
      </w:r>
      <w:proofErr w:type="spellEnd"/>
      <w:r w:rsidRPr="002B7960">
        <w:rPr>
          <w:rFonts w:ascii="Calibri" w:hAnsi="Calibri" w:cs="Calibri"/>
          <w:sz w:val="24"/>
          <w:szCs w:val="24"/>
        </w:rPr>
        <w:t xml:space="preserve"> a krajských hygienických stanic dalšími institucemi, které v ČR působí v oblasti ochrany a podpory veřejného zdraví. ZÚ nejsou součástí soustavy orgánů ochrany veřejného zdraví.</w:t>
      </w:r>
    </w:p>
    <w:p w14:paraId="318C353D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E33CE6" w14:textId="77777777" w:rsidR="003330BE" w:rsidRPr="001A241F" w:rsidRDefault="001A241F" w:rsidP="001A241F">
      <w:pPr>
        <w:spacing w:after="0" w:line="240" w:lineRule="auto"/>
        <w:ind w:left="284" w:hanging="284"/>
        <w:rPr>
          <w:rFonts w:ascii="Calibri" w:hAnsi="Calibri" w:cs="Calibri"/>
          <w:b/>
          <w:sz w:val="24"/>
          <w:szCs w:val="24"/>
          <w:lang w:eastAsia="hi-IN" w:bidi="hi-IN"/>
        </w:rPr>
      </w:pPr>
      <w:r>
        <w:rPr>
          <w:rFonts w:ascii="Calibri" w:hAnsi="Calibri" w:cs="Calibri"/>
          <w:b/>
          <w:sz w:val="24"/>
          <w:szCs w:val="24"/>
          <w:lang w:eastAsia="hi-IN" w:bidi="hi-IN"/>
        </w:rPr>
        <w:t xml:space="preserve">1. </w:t>
      </w:r>
      <w:r>
        <w:rPr>
          <w:rFonts w:ascii="Calibri" w:hAnsi="Calibri" w:cs="Calibri"/>
          <w:b/>
          <w:sz w:val="24"/>
          <w:szCs w:val="24"/>
          <w:lang w:eastAsia="hi-IN" w:bidi="hi-IN"/>
        </w:rPr>
        <w:tab/>
      </w:r>
      <w:r w:rsidR="003330BE" w:rsidRPr="001A241F">
        <w:rPr>
          <w:rFonts w:ascii="Calibri" w:hAnsi="Calibri" w:cs="Calibri"/>
          <w:b/>
          <w:sz w:val="24"/>
          <w:szCs w:val="24"/>
          <w:lang w:eastAsia="hi-IN" w:bidi="hi-IN"/>
        </w:rPr>
        <w:t xml:space="preserve">Činnosti zdravotních ústavů pro účely státního zdravotního dozoru </w:t>
      </w:r>
      <w:r>
        <w:rPr>
          <w:rFonts w:ascii="Calibri" w:hAnsi="Calibri" w:cs="Calibri"/>
          <w:b/>
          <w:sz w:val="24"/>
          <w:szCs w:val="24"/>
          <w:lang w:eastAsia="hi-IN" w:bidi="hi-IN"/>
        </w:rPr>
        <w:br/>
      </w:r>
      <w:r w:rsidR="003330BE" w:rsidRPr="001A241F">
        <w:rPr>
          <w:rFonts w:ascii="Calibri" w:hAnsi="Calibri" w:cs="Calibri"/>
          <w:b/>
          <w:sz w:val="24"/>
          <w:szCs w:val="24"/>
          <w:lang w:eastAsia="hi-IN" w:bidi="hi-IN"/>
        </w:rPr>
        <w:t>a činnosti prováděné v rámci výkonů pro</w:t>
      </w:r>
      <w:r w:rsidR="00C82719">
        <w:rPr>
          <w:rFonts w:ascii="Calibri" w:hAnsi="Calibri" w:cs="Calibri"/>
          <w:b/>
          <w:sz w:val="24"/>
          <w:szCs w:val="24"/>
          <w:lang w:eastAsia="hi-IN" w:bidi="hi-IN"/>
        </w:rPr>
        <w:t xml:space="preserve"> </w:t>
      </w:r>
      <w:r w:rsidR="003330BE" w:rsidRPr="001A241F">
        <w:rPr>
          <w:rFonts w:ascii="Calibri" w:hAnsi="Calibri" w:cs="Calibri"/>
          <w:b/>
          <w:sz w:val="24"/>
          <w:szCs w:val="24"/>
          <w:lang w:eastAsia="hi-IN" w:bidi="hi-IN"/>
        </w:rPr>
        <w:t>stát</w:t>
      </w:r>
    </w:p>
    <w:p w14:paraId="2AA443CC" w14:textId="77777777" w:rsidR="00A84662" w:rsidRDefault="00A84662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7AC9AB1E" w14:textId="332A9D9D" w:rsidR="003330BE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Oblast činností zdravotních ústavů pro účely státního zdravotního dozoru a činností prováděných v rámci výkonů pro stát představovala zejména činnosti nezbytné pro</w:t>
      </w:r>
      <w:r w:rsidR="00A84662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výkon SZD prováděného krajskými hygienickými stanicemi činnosti vyžadované legislativou (jak národní, tak i evropskou) a úkoly, které ZÚ plnily na základě pokynů Ministerstva zdravotnictví (hlavního hygienika) či závazků vyplývajících z mezinárodních dohod.</w:t>
      </w:r>
    </w:p>
    <w:p w14:paraId="25B69F14" w14:textId="77777777" w:rsidR="00A84662" w:rsidRPr="002B7960" w:rsidRDefault="00A84662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6A017B6F" w14:textId="77777777" w:rsidR="003330BE" w:rsidRPr="002B7960" w:rsidRDefault="003330BE" w:rsidP="00A84662">
      <w:pPr>
        <w:keepNext/>
        <w:keepLines/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Činnosti, které ZÚ vykonávaly pro stát, lze rámcově rozdělit do několika oblastí:</w:t>
      </w:r>
    </w:p>
    <w:p w14:paraId="55E941DE" w14:textId="77777777" w:rsidR="003330BE" w:rsidRPr="002B7960" w:rsidRDefault="003330BE" w:rsidP="00A84662">
      <w:pPr>
        <w:keepNext/>
        <w:keepLines/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•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ab/>
        <w:t>činnosti v rámci SZD (zejména laboratorní analýzy pro potřeby KHS),</w:t>
      </w:r>
    </w:p>
    <w:p w14:paraId="7090B4BE" w14:textId="77777777" w:rsidR="003330BE" w:rsidRPr="002B7960" w:rsidRDefault="003330BE" w:rsidP="00A84662">
      <w:pPr>
        <w:keepNext/>
        <w:keepLines/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•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ab/>
        <w:t>činnosti v oblasti ochrany a podpory veřejného zdraví a zdravotní politiky,</w:t>
      </w:r>
    </w:p>
    <w:p w14:paraId="7A72C7B8" w14:textId="77777777" w:rsidR="003330BE" w:rsidRPr="002B7960" w:rsidRDefault="003330BE" w:rsidP="00A84662">
      <w:pPr>
        <w:keepNext/>
        <w:keepLines/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•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ab/>
        <w:t>referenční činnosti – národní referenční laboratoře (dále také „NRL“).</w:t>
      </w:r>
    </w:p>
    <w:p w14:paraId="2064D0DC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56AD5ADE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b/>
          <w:sz w:val="24"/>
          <w:szCs w:val="24"/>
          <w:lang w:eastAsia="hi-IN" w:bidi="hi-IN"/>
        </w:rPr>
        <w:lastRenderedPageBreak/>
        <w:t xml:space="preserve">Činnosti v rámci státního zdravotního dozoru </w:t>
      </w:r>
    </w:p>
    <w:p w14:paraId="5383D369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0352380B" w14:textId="15A23D1C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Požadavky na ZÚ pro potřeby SZD byly uplatňovány prostřednictvím krajských hygienických stanic. Okruh poskytovaných služeb byl vymezen smlouvami uzavřenými mezi ZÚ a jednotlivými KHS. Cena poskytovaných služeb byla stanovena </w:t>
      </w:r>
      <w:r w:rsidR="00C82719" w:rsidRPr="009A5205">
        <w:rPr>
          <w:rFonts w:ascii="Calibri" w:hAnsi="Calibri" w:cs="Calibri"/>
          <w:i/>
          <w:sz w:val="24"/>
          <w:szCs w:val="24"/>
          <w:lang w:eastAsia="hi-IN" w:bidi="hi-IN"/>
        </w:rPr>
        <w:t>s</w:t>
      </w:r>
      <w:r w:rsidRPr="009A5205">
        <w:rPr>
          <w:rFonts w:ascii="Calibri" w:hAnsi="Calibri" w:cs="Calibri"/>
          <w:i/>
          <w:sz w:val="24"/>
          <w:szCs w:val="24"/>
          <w:lang w:eastAsia="hi-IN" w:bidi="hi-IN"/>
        </w:rPr>
        <w:t xml:space="preserve">azebníkem služeb zdravotních ústavů pro </w:t>
      </w:r>
      <w:r w:rsidR="00C82719" w:rsidRPr="009A5205">
        <w:rPr>
          <w:rFonts w:ascii="Calibri" w:hAnsi="Calibri" w:cs="Calibri"/>
          <w:i/>
          <w:sz w:val="24"/>
          <w:szCs w:val="24"/>
          <w:lang w:eastAsia="hi-IN" w:bidi="hi-IN"/>
        </w:rPr>
        <w:t>o</w:t>
      </w:r>
      <w:r w:rsidRPr="009A5205">
        <w:rPr>
          <w:rFonts w:ascii="Calibri" w:hAnsi="Calibri" w:cs="Calibri"/>
          <w:i/>
          <w:sz w:val="24"/>
          <w:szCs w:val="24"/>
          <w:lang w:eastAsia="hi-IN" w:bidi="hi-IN"/>
        </w:rPr>
        <w:t>rgány ochrany veřejného zdraví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(dále také „</w:t>
      </w:r>
      <w:r w:rsidR="00C82719">
        <w:rPr>
          <w:rFonts w:ascii="Calibri" w:hAnsi="Calibri" w:cs="Calibri"/>
          <w:sz w:val="24"/>
          <w:szCs w:val="24"/>
          <w:lang w:eastAsia="hi-IN" w:bidi="hi-IN"/>
        </w:rPr>
        <w:t>s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azebník pro OOVZ“)</w:t>
      </w:r>
      <w:r w:rsidRPr="002B7960">
        <w:rPr>
          <w:rStyle w:val="Znakapoznpodarou"/>
          <w:rFonts w:ascii="Calibri" w:hAnsi="Calibri" w:cs="Calibri"/>
          <w:sz w:val="24"/>
          <w:szCs w:val="24"/>
          <w:lang w:eastAsia="hi-IN" w:bidi="hi-IN"/>
        </w:rPr>
        <w:footnoteReference w:id="82"/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. Jednalo se tak o činnosti objednávané a hrazené KHS.</w:t>
      </w:r>
    </w:p>
    <w:p w14:paraId="043CA9C2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26492DF4" w14:textId="64061290" w:rsidR="003330BE" w:rsidRPr="002B7960" w:rsidRDefault="003330BE" w:rsidP="00A84662">
      <w:pPr>
        <w:tabs>
          <w:tab w:val="left" w:pos="1418"/>
        </w:tabs>
        <w:spacing w:after="4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B7960">
        <w:rPr>
          <w:rFonts w:ascii="Calibri" w:hAnsi="Calibri" w:cs="Calibri"/>
          <w:b/>
          <w:sz w:val="24"/>
          <w:szCs w:val="24"/>
        </w:rPr>
        <w:t>Tabulka č. 1:</w:t>
      </w:r>
      <w:r w:rsidR="00A84662">
        <w:rPr>
          <w:rFonts w:ascii="Calibri" w:hAnsi="Calibri" w:cs="Calibri"/>
          <w:b/>
          <w:sz w:val="24"/>
          <w:szCs w:val="24"/>
        </w:rPr>
        <w:t xml:space="preserve"> </w:t>
      </w:r>
      <w:r w:rsidRPr="002B7960">
        <w:rPr>
          <w:rFonts w:ascii="Calibri" w:hAnsi="Calibri" w:cs="Calibri"/>
          <w:b/>
          <w:sz w:val="24"/>
          <w:szCs w:val="24"/>
        </w:rPr>
        <w:t>Přehled čerpání</w:t>
      </w:r>
      <w:r w:rsidR="008C2A31">
        <w:rPr>
          <w:rFonts w:ascii="Calibri" w:hAnsi="Calibri" w:cs="Calibri"/>
          <w:b/>
          <w:sz w:val="24"/>
          <w:szCs w:val="24"/>
        </w:rPr>
        <w:t>,</w:t>
      </w:r>
      <w:r w:rsidRPr="002B7960">
        <w:rPr>
          <w:rFonts w:ascii="Calibri" w:hAnsi="Calibri" w:cs="Calibri"/>
          <w:b/>
          <w:sz w:val="24"/>
          <w:szCs w:val="24"/>
        </w:rPr>
        <w:t xml:space="preserve"> resp. fakturace služeb spojených se SZD pro KHS</w:t>
      </w:r>
    </w:p>
    <w:tbl>
      <w:tblPr>
        <w:tblW w:w="907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46"/>
        <w:gridCol w:w="1446"/>
        <w:gridCol w:w="1447"/>
        <w:gridCol w:w="1446"/>
        <w:gridCol w:w="1447"/>
      </w:tblGrid>
      <w:tr w:rsidR="00895E03" w:rsidRPr="00A84662" w14:paraId="1A17073A" w14:textId="77777777" w:rsidTr="005324CE">
        <w:trPr>
          <w:trHeight w:val="312"/>
          <w:jc w:val="center"/>
        </w:trPr>
        <w:tc>
          <w:tcPr>
            <w:tcW w:w="1843" w:type="dxa"/>
            <w:vMerge w:val="restart"/>
            <w:shd w:val="clear" w:color="auto" w:fill="E5F1FF"/>
            <w:noWrap/>
            <w:vAlign w:val="center"/>
          </w:tcPr>
          <w:p w14:paraId="6074B622" w14:textId="08385C5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shd w:val="clear" w:color="auto" w:fill="E5F1FF"/>
            <w:vAlign w:val="center"/>
          </w:tcPr>
          <w:p w14:paraId="787C1266" w14:textId="7777777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2893" w:type="dxa"/>
            <w:gridSpan w:val="2"/>
            <w:shd w:val="clear" w:color="auto" w:fill="E5F1FF"/>
            <w:noWrap/>
            <w:vAlign w:val="center"/>
          </w:tcPr>
          <w:p w14:paraId="4ADAC5B2" w14:textId="7777777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2893" w:type="dxa"/>
            <w:gridSpan w:val="2"/>
            <w:shd w:val="clear" w:color="auto" w:fill="E5F1FF"/>
            <w:noWrap/>
            <w:vAlign w:val="center"/>
          </w:tcPr>
          <w:p w14:paraId="45DF1435" w14:textId="7777777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2019</w:t>
            </w:r>
          </w:p>
        </w:tc>
      </w:tr>
      <w:tr w:rsidR="00895E03" w:rsidRPr="00A84662" w14:paraId="2EAAD479" w14:textId="77777777" w:rsidTr="005324CE">
        <w:trPr>
          <w:trHeight w:val="312"/>
          <w:jc w:val="center"/>
        </w:trPr>
        <w:tc>
          <w:tcPr>
            <w:tcW w:w="1843" w:type="dxa"/>
            <w:vMerge/>
            <w:shd w:val="clear" w:color="auto" w:fill="E5F1FF"/>
            <w:noWrap/>
            <w:vAlign w:val="center"/>
          </w:tcPr>
          <w:p w14:paraId="007D0AF9" w14:textId="7777777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shd w:val="clear" w:color="auto" w:fill="E5F1FF"/>
            <w:vAlign w:val="center"/>
          </w:tcPr>
          <w:p w14:paraId="581AB032" w14:textId="7777777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Čerpání* v Kč</w:t>
            </w:r>
          </w:p>
        </w:tc>
        <w:tc>
          <w:tcPr>
            <w:tcW w:w="1446" w:type="dxa"/>
            <w:shd w:val="clear" w:color="auto" w:fill="E5F1FF"/>
            <w:noWrap/>
            <w:vAlign w:val="center"/>
          </w:tcPr>
          <w:p w14:paraId="12E661C8" w14:textId="7777777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 Kč bez DPH</w:t>
            </w:r>
          </w:p>
        </w:tc>
        <w:tc>
          <w:tcPr>
            <w:tcW w:w="1447" w:type="dxa"/>
            <w:shd w:val="clear" w:color="auto" w:fill="E5F1FF"/>
            <w:vAlign w:val="center"/>
          </w:tcPr>
          <w:p w14:paraId="2B41FF03" w14:textId="7777777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 Kč vč. DPH</w:t>
            </w:r>
          </w:p>
        </w:tc>
        <w:tc>
          <w:tcPr>
            <w:tcW w:w="1446" w:type="dxa"/>
            <w:shd w:val="clear" w:color="auto" w:fill="E5F1FF"/>
            <w:noWrap/>
            <w:vAlign w:val="center"/>
          </w:tcPr>
          <w:p w14:paraId="1DE0E943" w14:textId="7777777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 Kč bez DPH</w:t>
            </w:r>
          </w:p>
        </w:tc>
        <w:tc>
          <w:tcPr>
            <w:tcW w:w="1447" w:type="dxa"/>
            <w:shd w:val="clear" w:color="auto" w:fill="E5F1FF"/>
            <w:vAlign w:val="center"/>
          </w:tcPr>
          <w:p w14:paraId="58617AA4" w14:textId="77777777" w:rsidR="00895E03" w:rsidRPr="00A84662" w:rsidRDefault="00895E03" w:rsidP="0089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 Kč vč. DPH</w:t>
            </w:r>
          </w:p>
        </w:tc>
      </w:tr>
      <w:tr w:rsidR="00895E03" w:rsidRPr="00A84662" w14:paraId="1F0505C8" w14:textId="77777777" w:rsidTr="005324CE">
        <w:trPr>
          <w:trHeight w:val="312"/>
          <w:jc w:val="center"/>
        </w:trPr>
        <w:tc>
          <w:tcPr>
            <w:tcW w:w="1843" w:type="dxa"/>
            <w:shd w:val="clear" w:color="000000" w:fill="FFFFFF"/>
            <w:noWrap/>
            <w:vAlign w:val="center"/>
          </w:tcPr>
          <w:p w14:paraId="6AA5F933" w14:textId="77777777" w:rsidR="00895E03" w:rsidRPr="00A84662" w:rsidRDefault="00895E03" w:rsidP="00895E0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ZÚ v Ústí n. L.</w:t>
            </w:r>
          </w:p>
        </w:tc>
        <w:tc>
          <w:tcPr>
            <w:tcW w:w="1446" w:type="dxa"/>
            <w:shd w:val="clear" w:color="000000" w:fill="FFFFFF"/>
            <w:vAlign w:val="center"/>
          </w:tcPr>
          <w:p w14:paraId="7C561229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40 632 380,00</w:t>
            </w:r>
          </w:p>
        </w:tc>
        <w:tc>
          <w:tcPr>
            <w:tcW w:w="1446" w:type="dxa"/>
            <w:shd w:val="clear" w:color="000000" w:fill="FFFFFF"/>
            <w:noWrap/>
            <w:vAlign w:val="center"/>
          </w:tcPr>
          <w:p w14:paraId="0D0399AC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33 486 274,98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5E2B08D1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40 195 095,18</w:t>
            </w:r>
          </w:p>
        </w:tc>
        <w:tc>
          <w:tcPr>
            <w:tcW w:w="1446" w:type="dxa"/>
            <w:shd w:val="clear" w:color="000000" w:fill="FFFFFF"/>
            <w:noWrap/>
            <w:vAlign w:val="center"/>
          </w:tcPr>
          <w:p w14:paraId="33FE0FA5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35 511 881,95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34AAFEFD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42 526 623,71</w:t>
            </w:r>
          </w:p>
        </w:tc>
      </w:tr>
      <w:tr w:rsidR="00895E03" w:rsidRPr="00A84662" w14:paraId="091D6D3C" w14:textId="77777777" w:rsidTr="005324CE">
        <w:trPr>
          <w:trHeight w:val="312"/>
          <w:jc w:val="center"/>
        </w:trPr>
        <w:tc>
          <w:tcPr>
            <w:tcW w:w="1843" w:type="dxa"/>
            <w:shd w:val="clear" w:color="000000" w:fill="FFFFFF"/>
            <w:noWrap/>
            <w:vAlign w:val="center"/>
          </w:tcPr>
          <w:p w14:paraId="1EBB8347" w14:textId="77777777" w:rsidR="00895E03" w:rsidRPr="00A84662" w:rsidRDefault="00895E03" w:rsidP="00895E0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ZÚ v Ostravě</w:t>
            </w:r>
          </w:p>
        </w:tc>
        <w:tc>
          <w:tcPr>
            <w:tcW w:w="1446" w:type="dxa"/>
            <w:shd w:val="clear" w:color="000000" w:fill="FFFFFF"/>
            <w:vAlign w:val="center"/>
          </w:tcPr>
          <w:p w14:paraId="1AA8086C" w14:textId="753B22C9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31 219 270,00</w:t>
            </w:r>
          </w:p>
        </w:tc>
        <w:tc>
          <w:tcPr>
            <w:tcW w:w="1446" w:type="dxa"/>
            <w:shd w:val="clear" w:color="000000" w:fill="FFFFFF"/>
            <w:noWrap/>
            <w:vAlign w:val="center"/>
          </w:tcPr>
          <w:p w14:paraId="3B57D19B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26 278 327,90 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3310EDE4" w14:textId="78B26729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31 242 840,00</w:t>
            </w:r>
          </w:p>
        </w:tc>
        <w:tc>
          <w:tcPr>
            <w:tcW w:w="1446" w:type="dxa"/>
            <w:shd w:val="clear" w:color="000000" w:fill="FFFFFF"/>
            <w:noWrap/>
            <w:vAlign w:val="center"/>
          </w:tcPr>
          <w:p w14:paraId="2B8321B7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Cs/>
                <w:sz w:val="20"/>
                <w:szCs w:val="20"/>
              </w:rPr>
              <w:t>26 372 193,37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60B133CF" w14:textId="6F2C90B2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sz w:val="20"/>
                <w:szCs w:val="20"/>
              </w:rPr>
              <w:t>31 293 697,00</w:t>
            </w:r>
          </w:p>
        </w:tc>
      </w:tr>
      <w:tr w:rsidR="00895E03" w:rsidRPr="00A84662" w14:paraId="70B77AEB" w14:textId="77777777" w:rsidTr="005324CE">
        <w:trPr>
          <w:trHeight w:val="312"/>
          <w:jc w:val="center"/>
        </w:trPr>
        <w:tc>
          <w:tcPr>
            <w:tcW w:w="1843" w:type="dxa"/>
            <w:shd w:val="clear" w:color="000000" w:fill="FFFFFF"/>
            <w:noWrap/>
            <w:vAlign w:val="center"/>
          </w:tcPr>
          <w:p w14:paraId="48F452E4" w14:textId="77777777" w:rsidR="00895E03" w:rsidRPr="00A84662" w:rsidRDefault="00895E03" w:rsidP="00895E0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1446" w:type="dxa"/>
            <w:shd w:val="clear" w:color="000000" w:fill="FFFFFF"/>
            <w:vAlign w:val="center"/>
          </w:tcPr>
          <w:p w14:paraId="601CC23A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sz w:val="20"/>
                <w:szCs w:val="20"/>
              </w:rPr>
              <w:t>71 851 650,00</w:t>
            </w:r>
          </w:p>
        </w:tc>
        <w:tc>
          <w:tcPr>
            <w:tcW w:w="1446" w:type="dxa"/>
            <w:shd w:val="clear" w:color="000000" w:fill="FFFFFF"/>
            <w:noWrap/>
            <w:vAlign w:val="center"/>
          </w:tcPr>
          <w:p w14:paraId="4A541D43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sz w:val="20"/>
                <w:szCs w:val="20"/>
              </w:rPr>
              <w:t>59 764 602,88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17F3664A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sz w:val="20"/>
                <w:szCs w:val="20"/>
              </w:rPr>
              <w:t>71 437 935,18</w:t>
            </w:r>
          </w:p>
        </w:tc>
        <w:tc>
          <w:tcPr>
            <w:tcW w:w="1446" w:type="dxa"/>
            <w:shd w:val="clear" w:color="000000" w:fill="FFFFFF"/>
            <w:noWrap/>
            <w:vAlign w:val="center"/>
          </w:tcPr>
          <w:p w14:paraId="6FA7DB47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sz w:val="20"/>
                <w:szCs w:val="20"/>
              </w:rPr>
              <w:t>61 884 075,32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15942E0E" w14:textId="77777777" w:rsidR="00895E03" w:rsidRPr="00A84662" w:rsidRDefault="00895E03" w:rsidP="00895E0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84662">
              <w:rPr>
                <w:rFonts w:ascii="Calibri" w:eastAsia="Times New Roman" w:hAnsi="Calibri" w:cs="Calibri"/>
                <w:b/>
                <w:sz w:val="20"/>
                <w:szCs w:val="20"/>
              </w:rPr>
              <w:t>73 820 320,71</w:t>
            </w:r>
          </w:p>
        </w:tc>
      </w:tr>
    </w:tbl>
    <w:p w14:paraId="1AB02F17" w14:textId="1BB7DFCC" w:rsidR="003330BE" w:rsidRPr="00895E03" w:rsidRDefault="003330BE" w:rsidP="000113B9">
      <w:pPr>
        <w:spacing w:before="40" w:after="0" w:line="240" w:lineRule="auto"/>
        <w:ind w:left="567" w:hanging="567"/>
        <w:jc w:val="both"/>
        <w:rPr>
          <w:rFonts w:ascii="Calibri" w:hAnsi="Calibri" w:cs="Calibri"/>
          <w:sz w:val="20"/>
          <w:szCs w:val="24"/>
        </w:rPr>
      </w:pPr>
      <w:r w:rsidRPr="00895E03">
        <w:rPr>
          <w:rFonts w:ascii="Calibri" w:hAnsi="Calibri" w:cs="Calibri"/>
          <w:b/>
          <w:sz w:val="20"/>
          <w:szCs w:val="24"/>
        </w:rPr>
        <w:t>Zdroj:</w:t>
      </w:r>
      <w:r w:rsidRPr="00895E03">
        <w:rPr>
          <w:rFonts w:ascii="Calibri" w:hAnsi="Calibri" w:cs="Calibri"/>
          <w:sz w:val="20"/>
          <w:szCs w:val="24"/>
        </w:rPr>
        <w:tab/>
      </w:r>
      <w:r w:rsidR="005730DA">
        <w:rPr>
          <w:rFonts w:ascii="Calibri" w:hAnsi="Calibri" w:cs="Calibri"/>
          <w:sz w:val="20"/>
          <w:szCs w:val="24"/>
        </w:rPr>
        <w:t>d</w:t>
      </w:r>
      <w:r w:rsidRPr="00895E03">
        <w:rPr>
          <w:rFonts w:ascii="Calibri" w:hAnsi="Calibri" w:cs="Calibri"/>
          <w:sz w:val="20"/>
          <w:szCs w:val="24"/>
        </w:rPr>
        <w:t>oklady a informace zdravotních ústavů.</w:t>
      </w:r>
    </w:p>
    <w:p w14:paraId="740B53BA" w14:textId="78115492" w:rsidR="00895E03" w:rsidRDefault="000113B9" w:rsidP="00895E03">
      <w:pPr>
        <w:spacing w:after="0" w:line="240" w:lineRule="auto"/>
        <w:ind w:left="567" w:hanging="567"/>
        <w:jc w:val="both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b/>
          <w:sz w:val="20"/>
          <w:szCs w:val="24"/>
        </w:rPr>
        <w:t>Vysvětlivka</w:t>
      </w:r>
      <w:r w:rsidR="003330BE" w:rsidRPr="00895E03">
        <w:rPr>
          <w:rFonts w:ascii="Calibri" w:hAnsi="Calibri" w:cs="Calibri"/>
          <w:b/>
          <w:sz w:val="20"/>
          <w:szCs w:val="24"/>
        </w:rPr>
        <w:t>:</w:t>
      </w:r>
    </w:p>
    <w:p w14:paraId="7198069F" w14:textId="77777777" w:rsidR="003330BE" w:rsidRPr="00895E03" w:rsidDel="00EB6CF4" w:rsidRDefault="003330BE" w:rsidP="00A94534">
      <w:pPr>
        <w:spacing w:before="40" w:after="0" w:line="240" w:lineRule="auto"/>
        <w:ind w:left="142" w:hanging="142"/>
        <w:jc w:val="both"/>
        <w:rPr>
          <w:rFonts w:ascii="Calibri" w:hAnsi="Calibri" w:cs="Calibri"/>
          <w:sz w:val="20"/>
          <w:szCs w:val="24"/>
        </w:rPr>
      </w:pPr>
      <w:r w:rsidRPr="00895E03" w:rsidDel="00EB6CF4">
        <w:rPr>
          <w:rFonts w:ascii="Calibri" w:hAnsi="Calibri" w:cs="Calibri"/>
          <w:sz w:val="20"/>
          <w:szCs w:val="24"/>
        </w:rPr>
        <w:t>*</w:t>
      </w:r>
      <w:r w:rsidR="00895E03" w:rsidDel="00EB6CF4">
        <w:rPr>
          <w:rFonts w:ascii="Calibri" w:hAnsi="Calibri" w:cs="Calibri"/>
          <w:sz w:val="20"/>
          <w:szCs w:val="24"/>
        </w:rPr>
        <w:tab/>
      </w:r>
      <w:r w:rsidRPr="00895E03" w:rsidDel="00EB6CF4">
        <w:rPr>
          <w:rFonts w:ascii="Calibri" w:hAnsi="Calibri" w:cs="Calibri"/>
          <w:sz w:val="20"/>
          <w:szCs w:val="24"/>
        </w:rPr>
        <w:t>V roce 2017 byly peněžní prostředky alokované na služby spojené se SZD poskytnuty zdravotním ústavům v rámci příspěvku na provoz. Pro roky 2018 a 2019 byly prostředky na SZD alokovány do rozpočtů KHS.</w:t>
      </w:r>
    </w:p>
    <w:p w14:paraId="7042EBEF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52621880" w14:textId="68957690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Finanční prostředky na činnosti prováděné v rámci SZD </w:t>
      </w:r>
      <w:r w:rsidRPr="002B7960">
        <w:rPr>
          <w:rFonts w:ascii="Calibri" w:hAnsi="Calibri" w:cs="Calibri"/>
          <w:b/>
          <w:sz w:val="24"/>
          <w:szCs w:val="24"/>
          <w:lang w:eastAsia="hi-IN" w:bidi="hi-IN"/>
        </w:rPr>
        <w:t>pro krajské hygienické stanice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byly v roce 2017 zdravotním ústavům alokovány v rámci příspěvku na</w:t>
      </w:r>
      <w:r w:rsidR="00B3387F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provoz. Od 1. 1. 2018 došlo ke změně financování služeb spojených se SZD. Ministerstvo přidělilo prostředky krajským hygienickým stanicím a </w:t>
      </w:r>
      <w:r w:rsidR="00B3387F">
        <w:rPr>
          <w:rFonts w:ascii="Calibri" w:hAnsi="Calibri" w:cs="Calibri"/>
          <w:sz w:val="24"/>
          <w:szCs w:val="24"/>
          <w:lang w:eastAsia="hi-IN" w:bidi="hi-IN"/>
        </w:rPr>
        <w:t>ty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pak</w:t>
      </w:r>
      <w:r w:rsidR="009A5205">
        <w:rPr>
          <w:rFonts w:ascii="Calibri" w:hAnsi="Calibri" w:cs="Calibri"/>
          <w:sz w:val="24"/>
          <w:szCs w:val="24"/>
          <w:lang w:eastAsia="hi-IN" w:bidi="hi-IN"/>
        </w:rPr>
        <w:t xml:space="preserve"> ZÚ za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provedené služby </w:t>
      </w:r>
      <w:r w:rsidR="009A5205">
        <w:rPr>
          <w:rFonts w:ascii="Calibri" w:hAnsi="Calibri" w:cs="Calibri"/>
          <w:sz w:val="24"/>
          <w:szCs w:val="24"/>
          <w:lang w:eastAsia="hi-IN" w:bidi="hi-IN"/>
        </w:rPr>
        <w:t xml:space="preserve">platily 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dle</w:t>
      </w:r>
      <w:r w:rsidR="00EB6CF4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="00C82719">
        <w:rPr>
          <w:rFonts w:ascii="Calibri" w:hAnsi="Calibri" w:cs="Calibri"/>
          <w:sz w:val="24"/>
          <w:szCs w:val="24"/>
          <w:lang w:eastAsia="hi-IN" w:bidi="hi-IN"/>
        </w:rPr>
        <w:t>s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azebníku pro OOVZ.</w:t>
      </w:r>
    </w:p>
    <w:p w14:paraId="1852B6E7" w14:textId="77777777" w:rsidR="003330BE" w:rsidRPr="002B7960" w:rsidRDefault="003330BE" w:rsidP="002B796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383F6B93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b/>
          <w:sz w:val="24"/>
          <w:szCs w:val="24"/>
          <w:lang w:eastAsia="hi-IN" w:bidi="hi-IN"/>
        </w:rPr>
        <w:t>Činnosti v oblasti ochrany a podpory veřejného zdraví a referenční činnost</w:t>
      </w:r>
    </w:p>
    <w:p w14:paraId="740EADF5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72347BC0" w14:textId="75C4D2C4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Obsah činností pro stát v </w:t>
      </w:r>
      <w:r w:rsidRPr="002B7960">
        <w:rPr>
          <w:rFonts w:ascii="Calibri" w:hAnsi="Calibri" w:cs="Calibri"/>
          <w:b/>
          <w:sz w:val="24"/>
          <w:szCs w:val="24"/>
          <w:lang w:eastAsia="hi-IN" w:bidi="hi-IN"/>
        </w:rPr>
        <w:t>oblasti ochrany a podpory veřejného zdraví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je uveden zejména v zákoně o ochraně veřejného zdraví</w:t>
      </w:r>
      <w:r w:rsidRPr="002B7960">
        <w:rPr>
          <w:rStyle w:val="Znakapoznpodarou"/>
          <w:rFonts w:ascii="Calibri" w:hAnsi="Calibri" w:cs="Calibri"/>
          <w:sz w:val="24"/>
          <w:szCs w:val="24"/>
          <w:lang w:eastAsia="hi-IN" w:bidi="hi-IN"/>
        </w:rPr>
        <w:footnoteReference w:id="83"/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. Tyto činnosti se dají </w:t>
      </w:r>
      <w:r w:rsidR="00B3387F">
        <w:rPr>
          <w:rFonts w:ascii="Calibri" w:hAnsi="Calibri" w:cs="Calibri"/>
          <w:sz w:val="24"/>
          <w:szCs w:val="24"/>
          <w:lang w:eastAsia="hi-IN" w:bidi="hi-IN"/>
        </w:rPr>
        <w:t>rozčlenit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do několika základních oblastí:</w:t>
      </w:r>
    </w:p>
    <w:p w14:paraId="627C5661" w14:textId="1AD6AEF4" w:rsidR="003330BE" w:rsidRPr="002B7960" w:rsidRDefault="003330BE" w:rsidP="002B796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•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ab/>
      </w:r>
      <w:r w:rsidR="00EB6CF4">
        <w:rPr>
          <w:rFonts w:ascii="Calibri" w:hAnsi="Calibri" w:cs="Calibri"/>
          <w:sz w:val="24"/>
          <w:szCs w:val="24"/>
          <w:lang w:eastAsia="hi-IN" w:bidi="hi-IN"/>
        </w:rPr>
        <w:t>p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rogramy ochrany a podpory zdraví;</w:t>
      </w:r>
    </w:p>
    <w:p w14:paraId="570ABB27" w14:textId="390282F5" w:rsidR="003330BE" w:rsidRPr="002B7960" w:rsidRDefault="003330BE" w:rsidP="002B796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•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ab/>
      </w:r>
      <w:r w:rsidR="00EB6CF4">
        <w:rPr>
          <w:rFonts w:ascii="Calibri" w:hAnsi="Calibri" w:cs="Calibri"/>
          <w:sz w:val="24"/>
          <w:szCs w:val="24"/>
          <w:lang w:eastAsia="hi-IN" w:bidi="hi-IN"/>
        </w:rPr>
        <w:t>z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dravotní politika;</w:t>
      </w:r>
    </w:p>
    <w:p w14:paraId="51BAA0EE" w14:textId="3066D350" w:rsidR="003330BE" w:rsidRPr="002B7960" w:rsidRDefault="003330BE" w:rsidP="002B796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•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ab/>
      </w:r>
      <w:r w:rsidR="00EB6CF4">
        <w:rPr>
          <w:rFonts w:ascii="Calibri" w:hAnsi="Calibri" w:cs="Calibri"/>
          <w:sz w:val="24"/>
          <w:szCs w:val="24"/>
          <w:lang w:eastAsia="hi-IN" w:bidi="hi-IN"/>
        </w:rPr>
        <w:t>m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onitorování zdravotního stavu a životních podmínek obyvatelstva;</w:t>
      </w:r>
    </w:p>
    <w:p w14:paraId="7FBCBB86" w14:textId="73C56386" w:rsidR="003330BE" w:rsidRPr="002B7960" w:rsidRDefault="003330BE" w:rsidP="002B796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•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ab/>
      </w:r>
      <w:r w:rsidR="00EB6CF4">
        <w:rPr>
          <w:rFonts w:ascii="Calibri" w:hAnsi="Calibri" w:cs="Calibri"/>
          <w:sz w:val="24"/>
          <w:szCs w:val="24"/>
          <w:lang w:eastAsia="hi-IN" w:bidi="hi-IN"/>
        </w:rPr>
        <w:t>h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odnocení a řízení zdravotních rizik;</w:t>
      </w:r>
    </w:p>
    <w:p w14:paraId="0673078F" w14:textId="7688061C" w:rsidR="003330BE" w:rsidRPr="002B7960" w:rsidRDefault="003330BE" w:rsidP="002B796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•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ab/>
      </w:r>
      <w:r w:rsidR="00EB6CF4">
        <w:rPr>
          <w:rFonts w:ascii="Calibri" w:hAnsi="Calibri" w:cs="Calibri"/>
          <w:sz w:val="24"/>
          <w:szCs w:val="24"/>
          <w:lang w:eastAsia="hi-IN" w:bidi="hi-IN"/>
        </w:rPr>
        <w:t>v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ýchova ke zdraví, poradenství.</w:t>
      </w:r>
    </w:p>
    <w:p w14:paraId="05F5A071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3B18B7F6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V rámci vykonávané </w:t>
      </w:r>
      <w:r w:rsidRPr="002B7960">
        <w:rPr>
          <w:rFonts w:ascii="Calibri" w:hAnsi="Calibri" w:cs="Calibri"/>
          <w:b/>
          <w:sz w:val="24"/>
          <w:szCs w:val="24"/>
          <w:lang w:eastAsia="hi-IN" w:bidi="hi-IN"/>
        </w:rPr>
        <w:t>referenční činnosti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působilo u ZÚ v Ostravě v letech 2017 až 2019 sedm národních referenčních laboratoří. ZÚ v Ústí n. L. zajišťoval provoz dvou NRL.</w:t>
      </w:r>
    </w:p>
    <w:p w14:paraId="3E5638F3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0CD3A14A" w14:textId="53A4B9B5" w:rsidR="003330BE" w:rsidRPr="002B7960" w:rsidRDefault="003330BE" w:rsidP="00A94534">
      <w:pPr>
        <w:keepNext/>
        <w:spacing w:after="4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B7960">
        <w:rPr>
          <w:rFonts w:ascii="Calibri" w:hAnsi="Calibri" w:cs="Calibri"/>
          <w:b/>
          <w:sz w:val="24"/>
          <w:szCs w:val="24"/>
        </w:rPr>
        <w:lastRenderedPageBreak/>
        <w:t>Tabulka č. 2:</w:t>
      </w:r>
      <w:r w:rsidR="00A94534">
        <w:rPr>
          <w:rFonts w:ascii="Calibri" w:hAnsi="Calibri" w:cs="Calibri"/>
          <w:b/>
          <w:sz w:val="24"/>
          <w:szCs w:val="24"/>
        </w:rPr>
        <w:t xml:space="preserve"> </w:t>
      </w:r>
      <w:r w:rsidRPr="002B7960">
        <w:rPr>
          <w:rFonts w:ascii="Calibri" w:hAnsi="Calibri" w:cs="Calibri"/>
          <w:b/>
          <w:sz w:val="24"/>
          <w:szCs w:val="24"/>
        </w:rPr>
        <w:t>Národní referenční laboratoře (NRL) působící v rámci zdravotních ústavů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330BE" w:rsidRPr="00A94534" w14:paraId="6092562D" w14:textId="77777777" w:rsidTr="00A94534">
        <w:trPr>
          <w:trHeight w:val="255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</w:tcPr>
          <w:p w14:paraId="2DDF53A6" w14:textId="77777777" w:rsidR="003330BE" w:rsidRPr="00A94534" w:rsidRDefault="003330BE" w:rsidP="00A9453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4534">
              <w:rPr>
                <w:rFonts w:ascii="Calibri" w:eastAsia="Times New Roman" w:hAnsi="Calibri" w:cs="Calibri"/>
                <w:b/>
                <w:sz w:val="20"/>
                <w:szCs w:val="20"/>
              </w:rPr>
              <w:t>ZÚ v Ostravě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5F1FF"/>
            <w:vAlign w:val="center"/>
          </w:tcPr>
          <w:p w14:paraId="6B98D0E2" w14:textId="77777777" w:rsidR="003330BE" w:rsidRPr="00A94534" w:rsidRDefault="003330BE" w:rsidP="00A9453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4534">
              <w:rPr>
                <w:rFonts w:ascii="Calibri" w:eastAsia="Times New Roman" w:hAnsi="Calibri" w:cs="Calibri"/>
                <w:b/>
                <w:sz w:val="20"/>
                <w:szCs w:val="20"/>
              </w:rPr>
              <w:t>ZÚ v Ústí n. L.</w:t>
            </w:r>
          </w:p>
        </w:tc>
      </w:tr>
      <w:tr w:rsidR="003330BE" w:rsidRPr="00A94534" w14:paraId="79C9DBB8" w14:textId="77777777" w:rsidTr="00DF698A">
        <w:trPr>
          <w:trHeight w:val="255"/>
        </w:trPr>
        <w:tc>
          <w:tcPr>
            <w:tcW w:w="4536" w:type="dxa"/>
            <w:tcBorders>
              <w:bottom w:val="nil"/>
            </w:tcBorders>
            <w:shd w:val="clear" w:color="000000" w:fill="FFFFFF"/>
            <w:noWrap/>
            <w:vAlign w:val="center"/>
          </w:tcPr>
          <w:p w14:paraId="6900E1B9" w14:textId="77777777" w:rsidR="003330BE" w:rsidRPr="00A94534" w:rsidRDefault="003330BE" w:rsidP="00DF698A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ind w:left="219" w:hanging="219"/>
              <w:contextualSpacing w:val="0"/>
              <w:rPr>
                <w:rFonts w:ascii="Calibri" w:hAnsi="Calibri" w:cs="Calibri"/>
                <w:sz w:val="20"/>
                <w:szCs w:val="20"/>
                <w:lang w:eastAsia="hi-IN" w:bidi="hi-IN"/>
              </w:rPr>
            </w:pPr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 xml:space="preserve">NRL pro </w:t>
            </w:r>
            <w:proofErr w:type="spellStart"/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>legionely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  <w:shd w:val="clear" w:color="000000" w:fill="FFFFFF"/>
            <w:vAlign w:val="center"/>
          </w:tcPr>
          <w:p w14:paraId="61E06D31" w14:textId="77777777" w:rsidR="003330BE" w:rsidRPr="00A94534" w:rsidRDefault="003330BE" w:rsidP="00DF698A">
            <w:pPr>
              <w:pStyle w:val="Odstavecseseznamem"/>
              <w:keepNext/>
              <w:numPr>
                <w:ilvl w:val="0"/>
                <w:numId w:val="20"/>
              </w:numPr>
              <w:spacing w:after="0" w:line="240" w:lineRule="auto"/>
              <w:ind w:left="211" w:hanging="211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A94534">
              <w:rPr>
                <w:rFonts w:ascii="Calibri" w:hAnsi="Calibri" w:cs="Calibri"/>
                <w:sz w:val="20"/>
                <w:szCs w:val="20"/>
              </w:rPr>
              <w:t>NRL pro střevní parazitózy</w:t>
            </w:r>
          </w:p>
        </w:tc>
      </w:tr>
      <w:tr w:rsidR="003330BE" w:rsidRPr="00A94534" w14:paraId="02977EC8" w14:textId="77777777" w:rsidTr="00DF698A">
        <w:trPr>
          <w:trHeight w:val="255"/>
        </w:trPr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4FFF29C3" w14:textId="77777777" w:rsidR="003330BE" w:rsidRPr="00A94534" w:rsidRDefault="003330BE" w:rsidP="00DF698A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ind w:left="219" w:hanging="219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>NRL pro měření a hodnocení mikroklimatických podmínek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AF20ADD" w14:textId="77777777" w:rsidR="003330BE" w:rsidRPr="00A94534" w:rsidRDefault="003330BE" w:rsidP="00DF698A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ind w:left="211" w:hanging="211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A94534">
              <w:rPr>
                <w:rFonts w:ascii="Calibri" w:hAnsi="Calibri" w:cs="Calibri"/>
                <w:sz w:val="20"/>
                <w:szCs w:val="20"/>
              </w:rPr>
              <w:t>NRL pro biomarkery mykotoxinů a mykotoxiny v</w:t>
            </w:r>
            <w:r w:rsidR="00A94534">
              <w:rPr>
                <w:rFonts w:ascii="Calibri" w:hAnsi="Calibri" w:cs="Calibri"/>
                <w:sz w:val="20"/>
                <w:szCs w:val="20"/>
              </w:rPr>
              <w:t> </w:t>
            </w:r>
            <w:r w:rsidRPr="00A94534">
              <w:rPr>
                <w:rFonts w:ascii="Calibri" w:hAnsi="Calibri" w:cs="Calibri"/>
                <w:sz w:val="20"/>
                <w:szCs w:val="20"/>
              </w:rPr>
              <w:t>potravinách</w:t>
            </w:r>
          </w:p>
        </w:tc>
      </w:tr>
      <w:tr w:rsidR="003330BE" w:rsidRPr="00A94534" w14:paraId="281DFB36" w14:textId="77777777" w:rsidTr="00DF698A">
        <w:trPr>
          <w:trHeight w:val="255"/>
        </w:trPr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08E75E81" w14:textId="77777777" w:rsidR="003330BE" w:rsidRPr="00A94534" w:rsidRDefault="003330BE" w:rsidP="00DF698A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ind w:left="219" w:hanging="219"/>
              <w:contextualSpacing w:val="0"/>
              <w:rPr>
                <w:rFonts w:ascii="Calibri" w:hAnsi="Calibri" w:cs="Calibri"/>
                <w:sz w:val="20"/>
                <w:szCs w:val="20"/>
                <w:lang w:eastAsia="hi-IN" w:bidi="hi-IN"/>
              </w:rPr>
            </w:pPr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>NRL pro komunální hluk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</w:tcPr>
          <w:p w14:paraId="2F2135E9" w14:textId="77777777" w:rsidR="003330BE" w:rsidRPr="00A94534" w:rsidRDefault="003330BE" w:rsidP="00A94534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30BE" w:rsidRPr="00A94534" w14:paraId="61C88E74" w14:textId="77777777" w:rsidTr="00DF698A">
        <w:trPr>
          <w:trHeight w:val="255"/>
        </w:trPr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213B0D77" w14:textId="77777777" w:rsidR="003330BE" w:rsidRPr="00A94534" w:rsidRDefault="003330BE" w:rsidP="00DF698A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ind w:left="219" w:hanging="219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>NRL pro arboviry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</w:tcPr>
          <w:p w14:paraId="71804AF5" w14:textId="77777777" w:rsidR="003330BE" w:rsidRPr="00A94534" w:rsidRDefault="003330BE" w:rsidP="00A94534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330BE" w:rsidRPr="00A94534" w14:paraId="5754E17C" w14:textId="77777777" w:rsidTr="00DF698A">
        <w:trPr>
          <w:trHeight w:val="255"/>
        </w:trPr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660DDA85" w14:textId="77777777" w:rsidR="003330BE" w:rsidRPr="00A94534" w:rsidRDefault="003330BE" w:rsidP="00DF698A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ind w:left="219" w:hanging="219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 xml:space="preserve">NRL pro urogenitální </w:t>
            </w:r>
            <w:proofErr w:type="spellStart"/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>trichomon</w:t>
            </w:r>
            <w:r w:rsidR="00DF698A">
              <w:rPr>
                <w:rFonts w:ascii="Calibri" w:hAnsi="Calibri" w:cs="Calibri"/>
                <w:sz w:val="20"/>
                <w:szCs w:val="20"/>
                <w:lang w:eastAsia="hi-IN" w:bidi="hi-IN"/>
              </w:rPr>
              <w:t>i</w:t>
            </w:r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>ózu</w:t>
            </w:r>
            <w:proofErr w:type="spellEnd"/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</w:tcPr>
          <w:p w14:paraId="3C850D1D" w14:textId="77777777" w:rsidR="003330BE" w:rsidRPr="00A94534" w:rsidRDefault="003330BE" w:rsidP="00A94534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330BE" w:rsidRPr="00A94534" w14:paraId="2F7F79C9" w14:textId="77777777" w:rsidTr="00DF698A">
        <w:trPr>
          <w:trHeight w:val="255"/>
        </w:trPr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6E5B249E" w14:textId="77777777" w:rsidR="003330BE" w:rsidRPr="00A94534" w:rsidRDefault="003330BE" w:rsidP="00DF698A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ind w:left="219" w:hanging="219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>NRL pro fyziologii práce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000000" w:fill="FFFFFF"/>
          </w:tcPr>
          <w:p w14:paraId="3998A1AF" w14:textId="77777777" w:rsidR="003330BE" w:rsidRPr="00A94534" w:rsidRDefault="003330BE" w:rsidP="00A94534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330BE" w:rsidRPr="00A94534" w14:paraId="07D54070" w14:textId="77777777" w:rsidTr="00DF698A">
        <w:trPr>
          <w:trHeight w:val="255"/>
        </w:trPr>
        <w:tc>
          <w:tcPr>
            <w:tcW w:w="4536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486FEB3C" w14:textId="77777777" w:rsidR="003330BE" w:rsidRPr="00A94534" w:rsidRDefault="003330BE" w:rsidP="00DF698A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ind w:left="219" w:hanging="219"/>
              <w:contextualSpacing w:val="0"/>
              <w:rPr>
                <w:rFonts w:ascii="Calibri" w:hAnsi="Calibri" w:cs="Calibri"/>
                <w:sz w:val="20"/>
                <w:szCs w:val="20"/>
                <w:lang w:eastAsia="hi-IN" w:bidi="hi-IN"/>
              </w:rPr>
            </w:pPr>
            <w:r w:rsidRPr="00A94534">
              <w:rPr>
                <w:rFonts w:ascii="Calibri" w:hAnsi="Calibri" w:cs="Calibri"/>
                <w:sz w:val="20"/>
                <w:szCs w:val="20"/>
                <w:lang w:eastAsia="hi-IN" w:bidi="hi-IN"/>
              </w:rPr>
              <w:t>NRL pro využití GIS v ochraně a podpoře veřejného zdraví</w:t>
            </w:r>
          </w:p>
        </w:tc>
        <w:tc>
          <w:tcPr>
            <w:tcW w:w="4536" w:type="dxa"/>
            <w:tcBorders>
              <w:top w:val="nil"/>
            </w:tcBorders>
            <w:shd w:val="clear" w:color="000000" w:fill="FFFFFF"/>
          </w:tcPr>
          <w:p w14:paraId="08A04720" w14:textId="77777777" w:rsidR="003330BE" w:rsidRPr="00A94534" w:rsidRDefault="003330BE" w:rsidP="00A94534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B15C9CE" w14:textId="717537BB" w:rsidR="003330BE" w:rsidRPr="001A241F" w:rsidRDefault="003330BE" w:rsidP="001A241F">
      <w:pPr>
        <w:keepNext/>
        <w:spacing w:after="0" w:line="240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1A241F">
        <w:rPr>
          <w:rFonts w:ascii="Calibri" w:hAnsi="Calibri" w:cs="Calibri"/>
          <w:b/>
          <w:color w:val="000000" w:themeColor="text1"/>
          <w:sz w:val="20"/>
          <w:szCs w:val="20"/>
        </w:rPr>
        <w:t>Zdroj:</w:t>
      </w:r>
      <w:r w:rsidRPr="001A241F">
        <w:rPr>
          <w:rFonts w:ascii="Calibri" w:hAnsi="Calibri" w:cs="Calibri"/>
          <w:sz w:val="20"/>
          <w:szCs w:val="20"/>
        </w:rPr>
        <w:tab/>
      </w:r>
      <w:r w:rsidR="00EB6CF4">
        <w:rPr>
          <w:rFonts w:ascii="Calibri" w:hAnsi="Calibri" w:cs="Calibri"/>
          <w:sz w:val="20"/>
          <w:szCs w:val="20"/>
        </w:rPr>
        <w:t>d</w:t>
      </w:r>
      <w:r w:rsidRPr="001A241F">
        <w:rPr>
          <w:rFonts w:ascii="Calibri" w:hAnsi="Calibri" w:cs="Calibri"/>
          <w:sz w:val="20"/>
          <w:szCs w:val="20"/>
        </w:rPr>
        <w:t>oklady o pověření zdravotních ústavů referenčními činnostmi.</w:t>
      </w:r>
    </w:p>
    <w:p w14:paraId="2DEB9165" w14:textId="38E7FF1D" w:rsidR="001A241F" w:rsidRDefault="00ED09AA" w:rsidP="001A241F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Calibri" w:hAnsi="Calibri" w:cs="Calibri"/>
          <w:b/>
          <w:bCs/>
          <w:color w:val="202122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202122"/>
          <w:sz w:val="20"/>
          <w:szCs w:val="20"/>
          <w:shd w:val="clear" w:color="auto" w:fill="FFFFFF"/>
        </w:rPr>
        <w:t>Vysvětlivka</w:t>
      </w:r>
      <w:r w:rsidR="003330BE" w:rsidRPr="001A241F">
        <w:rPr>
          <w:rFonts w:ascii="Calibri" w:hAnsi="Calibri" w:cs="Calibri"/>
          <w:b/>
          <w:bCs/>
          <w:color w:val="202122"/>
          <w:sz w:val="20"/>
          <w:szCs w:val="20"/>
          <w:shd w:val="clear" w:color="auto" w:fill="FFFFFF"/>
        </w:rPr>
        <w:t xml:space="preserve">: </w:t>
      </w:r>
    </w:p>
    <w:p w14:paraId="413593F4" w14:textId="77777777" w:rsidR="003330BE" w:rsidRPr="001A241F" w:rsidRDefault="003330BE" w:rsidP="001A241F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Calibri" w:hAnsi="Calibri" w:cs="Calibri"/>
          <w:sz w:val="20"/>
          <w:szCs w:val="20"/>
          <w:lang w:eastAsia="hi-IN" w:bidi="hi-IN"/>
        </w:rPr>
      </w:pPr>
      <w:r w:rsidRPr="001A241F">
        <w:rPr>
          <w:rFonts w:ascii="Calibri" w:hAnsi="Calibri" w:cs="Calibri"/>
          <w:bCs/>
          <w:color w:val="202122"/>
          <w:sz w:val="20"/>
          <w:szCs w:val="20"/>
          <w:shd w:val="clear" w:color="auto" w:fill="FFFFFF"/>
        </w:rPr>
        <w:t>GIS = Geografický informační systém.</w:t>
      </w:r>
    </w:p>
    <w:p w14:paraId="3F79BD53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3C60F025" w14:textId="33841D4F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K financování některých činností v oblasti</w:t>
      </w:r>
      <w:r w:rsidRPr="002B7960">
        <w:rPr>
          <w:rFonts w:ascii="Calibri" w:hAnsi="Calibri" w:cs="Calibri"/>
          <w:b/>
          <w:sz w:val="24"/>
          <w:szCs w:val="24"/>
          <w:lang w:eastAsia="hi-IN" w:bidi="hi-IN"/>
        </w:rPr>
        <w:t xml:space="preserve"> podpory zdraví a zdravotní politiky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(např. pylový a imisní monitoring, zajištění činnosti poraden HIV/AIDS) </w:t>
      </w:r>
      <w:r w:rsidRPr="002B7960">
        <w:rPr>
          <w:rFonts w:ascii="Calibri" w:hAnsi="Calibri" w:cs="Calibri"/>
          <w:b/>
          <w:sz w:val="24"/>
          <w:szCs w:val="24"/>
          <w:lang w:eastAsia="hi-IN" w:bidi="hi-IN"/>
        </w:rPr>
        <w:t>a referenční činnosti (NRL)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="00ED09AA">
        <w:rPr>
          <w:rFonts w:ascii="Calibri" w:hAnsi="Calibri" w:cs="Calibri"/>
          <w:sz w:val="24"/>
          <w:szCs w:val="24"/>
          <w:lang w:eastAsia="hi-IN" w:bidi="hi-IN"/>
        </w:rPr>
        <w:t xml:space="preserve">použily 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ZÚ prostředky příspěvku na provoz od zřizovatele.</w:t>
      </w:r>
    </w:p>
    <w:p w14:paraId="6DE990DB" w14:textId="77777777" w:rsidR="003330BE" w:rsidRPr="002B7960" w:rsidRDefault="003330BE" w:rsidP="002B7960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16D97AFA" w14:textId="77777777" w:rsidR="007060F3" w:rsidRPr="001A241F" w:rsidRDefault="007060F3" w:rsidP="007060F3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eastAsia="hi-IN" w:bidi="hi-IN"/>
        </w:rPr>
      </w:pPr>
      <w:r>
        <w:rPr>
          <w:rFonts w:ascii="Calibri" w:hAnsi="Calibri" w:cs="Calibri"/>
          <w:b/>
          <w:sz w:val="24"/>
          <w:szCs w:val="24"/>
          <w:lang w:eastAsia="hi-IN" w:bidi="hi-IN"/>
        </w:rPr>
        <w:t xml:space="preserve">2. </w:t>
      </w:r>
      <w:r w:rsidRPr="001A241F">
        <w:rPr>
          <w:rFonts w:ascii="Calibri" w:hAnsi="Calibri" w:cs="Calibri"/>
          <w:b/>
          <w:sz w:val="24"/>
          <w:szCs w:val="24"/>
          <w:lang w:eastAsia="hi-IN" w:bidi="hi-IN"/>
        </w:rPr>
        <w:t>Činnosti vykonávané pro jiné právnické a fyzické osoby</w:t>
      </w:r>
    </w:p>
    <w:p w14:paraId="304F8763" w14:textId="77777777" w:rsidR="007060F3" w:rsidRPr="002B7960" w:rsidRDefault="007060F3" w:rsidP="007060F3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7609AE23" w14:textId="77777777" w:rsidR="007060F3" w:rsidRPr="002B7960" w:rsidRDefault="007060F3" w:rsidP="007060F3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>Kromě okruhu činností, které ZÚ vykonávaly v rámci SZD pro KHS a v rámci ostatních (dalších) výkonů pro stát, poskytovaly také služby jiným právnickým a fyzickým osobám. Jednalo se o široké portfolio služeb poskytovaných v oblasti služeb klinických laboratoří, hygienických laboratoří i cent</w:t>
      </w:r>
      <w:r>
        <w:rPr>
          <w:rFonts w:ascii="Calibri" w:hAnsi="Calibri" w:cs="Calibri"/>
          <w:sz w:val="24"/>
          <w:szCs w:val="24"/>
          <w:lang w:eastAsia="hi-IN" w:bidi="hi-IN"/>
        </w:rPr>
        <w:t>er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zdravotních služeb. Úhrada služeb hrazených ze</w:t>
      </w:r>
      <w:r>
        <w:rPr>
          <w:rFonts w:ascii="Calibri" w:hAnsi="Calibri" w:cs="Calibri"/>
          <w:sz w:val="24"/>
          <w:szCs w:val="24"/>
          <w:lang w:eastAsia="hi-IN" w:bidi="hi-IN"/>
        </w:rPr>
        <w:t xml:space="preserve"> </w:t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>zdravotního pojištění probíhala na základě smluv uzavřených se zdravotními pojišťovnami, v případě agregovaných výkonů</w:t>
      </w:r>
      <w:r w:rsidRPr="002B7960">
        <w:rPr>
          <w:rStyle w:val="Znakapoznpodarou"/>
          <w:rFonts w:ascii="Calibri" w:hAnsi="Calibri" w:cs="Calibri"/>
          <w:sz w:val="24"/>
          <w:szCs w:val="24"/>
          <w:lang w:eastAsia="hi-IN" w:bidi="hi-IN"/>
        </w:rPr>
        <w:footnoteReference w:id="84"/>
      </w: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 hradili výkony poskytovatelé zdravotních služeb (zejména nemocnice). Služby mimo systém zdravotního pojištění (zejména služby hygienických laboratoří – analýzy vzorků a měření v oblasti životního a pracovního prostředí, zdravotní služby mimo systém zdravotního pojištění – očkování, cestovní medicína) byly placeny přímo odběrateli těchto služeb.</w:t>
      </w:r>
    </w:p>
    <w:p w14:paraId="6C6A785D" w14:textId="77777777" w:rsidR="007060F3" w:rsidRPr="002B7960" w:rsidRDefault="007060F3" w:rsidP="007060F3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4B98672B" w14:textId="77777777" w:rsidR="007060F3" w:rsidRDefault="007060F3" w:rsidP="007060F3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  <w:r w:rsidRPr="002B7960">
        <w:rPr>
          <w:rFonts w:ascii="Calibri" w:hAnsi="Calibri" w:cs="Calibri"/>
          <w:sz w:val="24"/>
          <w:szCs w:val="24"/>
          <w:lang w:eastAsia="hi-IN" w:bidi="hi-IN"/>
        </w:rPr>
        <w:t xml:space="preserve">Rozsah činností ZÚ, resp. jejich finanční významnost, bylo možné dovodit také ze struktury výnosů ZÚ. Struktura výnosů zdravotních ústavů v roce 2019 je patrná z grafu č. 1. </w:t>
      </w:r>
    </w:p>
    <w:p w14:paraId="30BABF4E" w14:textId="77777777" w:rsidR="007060F3" w:rsidRPr="002B7960" w:rsidRDefault="007060F3" w:rsidP="007060F3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hi-IN" w:bidi="hi-IN"/>
        </w:rPr>
      </w:pPr>
    </w:p>
    <w:p w14:paraId="0749CF48" w14:textId="77777777" w:rsidR="007060F3" w:rsidRDefault="007060F3" w:rsidP="007060F3">
      <w:pPr>
        <w:pStyle w:val="Nadpistabulky"/>
        <w:tabs>
          <w:tab w:val="clear" w:pos="1418"/>
          <w:tab w:val="left" w:pos="993"/>
        </w:tabs>
        <w:spacing w:after="0"/>
        <w:ind w:left="0" w:firstLine="0"/>
        <w:rPr>
          <w:rFonts w:cs="Calibri"/>
        </w:rPr>
      </w:pPr>
      <w:r w:rsidRPr="002B7960">
        <w:rPr>
          <w:rFonts w:cs="Calibri"/>
        </w:rPr>
        <w:lastRenderedPageBreak/>
        <w:t>Graf č. 1 :</w:t>
      </w:r>
      <w:r w:rsidRPr="002B7960">
        <w:rPr>
          <w:rFonts w:cs="Calibri"/>
        </w:rPr>
        <w:tab/>
        <w:t>Struktura výnosů zdravotních ústavů v roce 2019</w:t>
      </w:r>
    </w:p>
    <w:p w14:paraId="35A1BC9F" w14:textId="77777777" w:rsidR="007060F3" w:rsidRDefault="007060F3" w:rsidP="007060F3">
      <w:pPr>
        <w:pStyle w:val="Nadpistabulky"/>
        <w:tabs>
          <w:tab w:val="clear" w:pos="1418"/>
          <w:tab w:val="left" w:pos="993"/>
        </w:tabs>
        <w:spacing w:after="0"/>
        <w:ind w:left="0" w:firstLine="0"/>
        <w:rPr>
          <w:rFonts w:cs="Calibr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312D4BFF" wp14:editId="4961C8C1">
            <wp:simplePos x="0" y="0"/>
            <wp:positionH relativeFrom="column">
              <wp:posOffset>3264241</wp:posOffset>
            </wp:positionH>
            <wp:positionV relativeFrom="paragraph">
              <wp:posOffset>123043</wp:posOffset>
            </wp:positionV>
            <wp:extent cx="3158197" cy="2700802"/>
            <wp:effectExtent l="0" t="0" r="4445" b="4445"/>
            <wp:wrapNone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1145E0A7" wp14:editId="4B53D729">
            <wp:extent cx="6800215" cy="4171071"/>
            <wp:effectExtent l="0" t="0" r="635" b="127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CDF3D5" w14:textId="77777777" w:rsidR="007060F3" w:rsidRPr="001A241F" w:rsidRDefault="007060F3" w:rsidP="007060F3">
      <w:pPr>
        <w:spacing w:after="0" w:line="240" w:lineRule="auto"/>
        <w:ind w:left="567" w:hanging="567"/>
        <w:jc w:val="both"/>
        <w:rPr>
          <w:rFonts w:ascii="Calibri" w:hAnsi="Calibri" w:cs="Calibri"/>
          <w:sz w:val="20"/>
          <w:szCs w:val="20"/>
          <w:lang w:eastAsia="hi-IN" w:bidi="hi-IN"/>
        </w:rPr>
      </w:pPr>
      <w:r w:rsidRPr="001A241F">
        <w:rPr>
          <w:rFonts w:ascii="Calibri" w:hAnsi="Calibri" w:cs="Calibri"/>
          <w:b/>
          <w:sz w:val="20"/>
          <w:szCs w:val="20"/>
        </w:rPr>
        <w:t>Zdroj:</w:t>
      </w:r>
      <w:r w:rsidRPr="001A241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</w:t>
      </w:r>
      <w:r w:rsidRPr="001A241F">
        <w:rPr>
          <w:rFonts w:ascii="Calibri" w:hAnsi="Calibri" w:cs="Calibri"/>
          <w:sz w:val="20"/>
          <w:szCs w:val="20"/>
        </w:rPr>
        <w:t xml:space="preserve">ýkazy zisku a ztráty zdravotních ústavů za rok 2019; </w:t>
      </w:r>
      <w:r>
        <w:rPr>
          <w:rFonts w:ascii="Calibri" w:hAnsi="Calibri" w:cs="Calibri"/>
          <w:sz w:val="20"/>
          <w:szCs w:val="20"/>
        </w:rPr>
        <w:t>o</w:t>
      </w:r>
      <w:r w:rsidRPr="001A241F">
        <w:rPr>
          <w:rFonts w:ascii="Calibri" w:hAnsi="Calibri" w:cs="Calibri"/>
          <w:sz w:val="20"/>
          <w:szCs w:val="20"/>
        </w:rPr>
        <w:t>bratové předvahy zdravotních ústavů za rok 2019.</w:t>
      </w:r>
    </w:p>
    <w:p w14:paraId="30100494" w14:textId="77777777" w:rsidR="007060F3" w:rsidRPr="001A241F" w:rsidRDefault="007060F3" w:rsidP="007060F3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1A241F">
        <w:rPr>
          <w:rFonts w:ascii="Calibri" w:hAnsi="Calibri" w:cs="Calibri"/>
          <w:b/>
          <w:sz w:val="20"/>
          <w:szCs w:val="20"/>
        </w:rPr>
        <w:t>Pozn</w:t>
      </w:r>
      <w:r>
        <w:rPr>
          <w:rFonts w:ascii="Calibri" w:hAnsi="Calibri" w:cs="Calibri"/>
          <w:b/>
          <w:sz w:val="20"/>
          <w:szCs w:val="20"/>
        </w:rPr>
        <w:t>.</w:t>
      </w:r>
      <w:r w:rsidRPr="001A241F">
        <w:rPr>
          <w:rFonts w:ascii="Calibri" w:hAnsi="Calibri" w:cs="Calibri"/>
          <w:b/>
          <w:sz w:val="20"/>
          <w:szCs w:val="20"/>
        </w:rPr>
        <w:t>:</w:t>
      </w:r>
      <w:r w:rsidRPr="001A241F">
        <w:rPr>
          <w:rFonts w:ascii="Calibri" w:hAnsi="Calibri" w:cs="Calibri"/>
          <w:sz w:val="20"/>
          <w:szCs w:val="20"/>
        </w:rPr>
        <w:t xml:space="preserve"> </w:t>
      </w:r>
      <w:r w:rsidRPr="001A241F">
        <w:rPr>
          <w:rFonts w:ascii="Calibri" w:hAnsi="Calibri" w:cs="Calibri"/>
          <w:sz w:val="20"/>
          <w:szCs w:val="20"/>
        </w:rPr>
        <w:tab/>
        <w:t xml:space="preserve">Výnosy z transferů obsahují </w:t>
      </w:r>
      <w:r w:rsidRPr="001A241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zejména výnosy z titulu dotací, příspěvků, subvencí, dávek, nenávratných finančních výpomocí, podpor či peněžních darů s výjimkou daní, poplatků a jiných obdobných dávek – v případě ZÚ jde především o příspěvky od zřizovatele.</w:t>
      </w:r>
    </w:p>
    <w:p w14:paraId="2C387E9E" w14:textId="77777777" w:rsidR="007060F3" w:rsidRPr="002B7960" w:rsidRDefault="007060F3" w:rsidP="002B7960">
      <w:pPr>
        <w:tabs>
          <w:tab w:val="left" w:pos="2552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</w:p>
    <w:sectPr w:rsidR="007060F3" w:rsidRPr="002B7960" w:rsidSect="00A463E7">
      <w:headerReference w:type="default" r:id="rId17"/>
      <w:footerReference w:type="defaul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F6759" w14:textId="77777777" w:rsidR="001B182E" w:rsidRDefault="001B182E">
      <w:pPr>
        <w:spacing w:after="0" w:line="240" w:lineRule="auto"/>
      </w:pPr>
      <w:r>
        <w:separator/>
      </w:r>
    </w:p>
  </w:endnote>
  <w:endnote w:type="continuationSeparator" w:id="0">
    <w:p w14:paraId="24871B01" w14:textId="77777777" w:rsidR="001B182E" w:rsidRDefault="001B182E">
      <w:pPr>
        <w:spacing w:after="0" w:line="240" w:lineRule="auto"/>
      </w:pPr>
      <w:r>
        <w:continuationSeparator/>
      </w:r>
    </w:p>
  </w:endnote>
  <w:endnote w:type="continuationNotice" w:id="1">
    <w:p w14:paraId="2411E2DF" w14:textId="77777777" w:rsidR="001B182E" w:rsidRDefault="001B1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Public Book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83910"/>
      <w:docPartObj>
        <w:docPartGallery w:val="Page Numbers (Bottom of Page)"/>
        <w:docPartUnique/>
      </w:docPartObj>
    </w:sdtPr>
    <w:sdtEndPr/>
    <w:sdtContent>
      <w:p w14:paraId="704CDBC2" w14:textId="21F3AE36" w:rsidR="001B182E" w:rsidRDefault="001B182E" w:rsidP="00785A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B89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70396" w14:textId="77777777" w:rsidR="001B182E" w:rsidRDefault="001B182E" w:rsidP="00DB706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BDBFE" w14:textId="77777777" w:rsidR="001B182E" w:rsidRDefault="001B182E" w:rsidP="00916EDC">
      <w:pPr>
        <w:spacing w:after="0" w:line="240" w:lineRule="auto"/>
      </w:pPr>
      <w:r>
        <w:separator/>
      </w:r>
    </w:p>
  </w:footnote>
  <w:footnote w:type="continuationSeparator" w:id="0">
    <w:p w14:paraId="796719F9" w14:textId="77777777" w:rsidR="001B182E" w:rsidRDefault="001B182E" w:rsidP="00916EDC">
      <w:pPr>
        <w:spacing w:after="0" w:line="240" w:lineRule="auto"/>
      </w:pPr>
      <w:r>
        <w:continuationSeparator/>
      </w:r>
    </w:p>
  </w:footnote>
  <w:footnote w:type="continuationNotice" w:id="1">
    <w:p w14:paraId="6130CD65" w14:textId="77777777" w:rsidR="001B182E" w:rsidRDefault="001B182E">
      <w:pPr>
        <w:spacing w:after="0" w:line="240" w:lineRule="auto"/>
      </w:pPr>
    </w:p>
  </w:footnote>
  <w:footnote w:id="2">
    <w:p w14:paraId="41DDE404" w14:textId="77777777" w:rsidR="001B182E" w:rsidRDefault="001B182E" w:rsidP="003652B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652B9">
        <w:t>Zdravotní ústav se sídlem v Ostravě a Zdravotní ústav se sídlem v Ústí nad Labem.</w:t>
      </w:r>
    </w:p>
  </w:footnote>
  <w:footnote w:id="3">
    <w:p w14:paraId="78814EC8" w14:textId="77777777" w:rsidR="001B182E" w:rsidRPr="00B52CAD" w:rsidRDefault="001B182E" w:rsidP="00B52C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52CAD">
        <w:rPr>
          <w:rStyle w:val="Znakapoznpodarou"/>
          <w:rFonts w:ascii="Calibri" w:hAnsi="Calibri" w:cs="Calibri"/>
        </w:rPr>
        <w:footnoteRef/>
      </w:r>
      <w:r w:rsidRPr="00B52CAD">
        <w:rPr>
          <w:rFonts w:ascii="Calibri" w:hAnsi="Calibri" w:cs="Calibri"/>
        </w:rPr>
        <w:tab/>
        <w:t xml:space="preserve">Ustanovení § 39 odst. 3  zákona č. 218/2000 Sb., </w:t>
      </w:r>
      <w:r w:rsidRPr="00B52CAD">
        <w:rPr>
          <w:rFonts w:ascii="Calibri" w:hAnsi="Calibri" w:cs="Calibri"/>
          <w:bCs/>
        </w:rPr>
        <w:t>o rozpočtových pravidlech a o změně některých souvisejících zákonů (rozpočtová pravidla).</w:t>
      </w:r>
    </w:p>
  </w:footnote>
  <w:footnote w:id="4">
    <w:p w14:paraId="13B84CFD" w14:textId="77777777" w:rsidR="001B182E" w:rsidRPr="00B52CAD" w:rsidRDefault="001B182E" w:rsidP="00B52C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52CAD">
        <w:rPr>
          <w:rStyle w:val="Znakapoznpodarou"/>
          <w:rFonts w:ascii="Calibri" w:hAnsi="Calibri" w:cs="Calibri"/>
        </w:rPr>
        <w:footnoteRef/>
      </w:r>
      <w:r w:rsidRPr="00B52CAD">
        <w:rPr>
          <w:rFonts w:ascii="Calibri" w:hAnsi="Calibri" w:cs="Calibri"/>
        </w:rPr>
        <w:t xml:space="preserve"> </w:t>
      </w:r>
      <w:r w:rsidRPr="00B52CAD">
        <w:rPr>
          <w:rFonts w:ascii="Calibri" w:hAnsi="Calibri" w:cs="Calibri"/>
        </w:rPr>
        <w:tab/>
        <w:t xml:space="preserve">Zákon č. 320/2001 Sb., </w:t>
      </w:r>
      <w:r w:rsidRPr="00B52CAD">
        <w:rPr>
          <w:rFonts w:ascii="Calibri" w:hAnsi="Calibri" w:cs="Calibri"/>
          <w:bCs/>
        </w:rPr>
        <w:t xml:space="preserve">o finanční kontrole ve veřejné správě a o změně některých zákonů (zákon o finanční kontrole); vyhláška č. 416/2004 Sb., kterou se provádí zákon č. 320/2001 Sb., o finanční kontrole ve veřejné správě a o změně některých zákonů (zákon o finanční kontrole), ve znění zákona č. 309/2002 Sb., zákona č. 320/2002 Sb. a zákona č. 123/2003 Sb.; zákon č. 134/2016 Sb., o zadávání veřejných zakázek. </w:t>
      </w:r>
    </w:p>
  </w:footnote>
  <w:footnote w:id="5">
    <w:p w14:paraId="206E42FB" w14:textId="4EB51E77" w:rsidR="001B182E" w:rsidRPr="00B52CAD" w:rsidRDefault="001B182E" w:rsidP="00B52CAD">
      <w:pPr>
        <w:pStyle w:val="Textpoznpodarou"/>
        <w:ind w:left="284" w:hanging="284"/>
        <w:rPr>
          <w:rFonts w:ascii="Calibri" w:hAnsi="Calibri" w:cs="Calibri"/>
        </w:rPr>
      </w:pPr>
      <w:r w:rsidRPr="00B52CAD">
        <w:rPr>
          <w:rStyle w:val="Znakapoznpodarou"/>
          <w:rFonts w:ascii="Calibri" w:hAnsi="Calibri" w:cs="Calibri"/>
        </w:rPr>
        <w:footnoteRef/>
      </w:r>
      <w:r w:rsidRPr="00B52CAD">
        <w:rPr>
          <w:rFonts w:ascii="Calibri" w:hAnsi="Calibri" w:cs="Calibri"/>
        </w:rPr>
        <w:tab/>
        <w:t>Ustanovení § 25 odst. 1 písm. a) a b) a ustanovení § 25 odst. 2 písm. c) a e) zákona č. 320/2001 Sb.</w:t>
      </w:r>
    </w:p>
  </w:footnote>
  <w:footnote w:id="6">
    <w:p w14:paraId="410C4C15" w14:textId="77777777" w:rsidR="001B182E" w:rsidRPr="00602A9C" w:rsidRDefault="001B182E" w:rsidP="00602A9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02A9C">
        <w:rPr>
          <w:rStyle w:val="Znakapoznpodarou"/>
          <w:rFonts w:ascii="Calibri" w:eastAsiaTheme="majorEastAsia" w:hAnsi="Calibri" w:cs="Calibri"/>
        </w:rPr>
        <w:footnoteRef/>
      </w:r>
      <w:r w:rsidRPr="00602A9C">
        <w:rPr>
          <w:rFonts w:ascii="Calibri" w:hAnsi="Calibri" w:cs="Calibri"/>
        </w:rPr>
        <w:tab/>
        <w:t>Zdravotní ústavy byly zřízeny k datu 1. 1. 2003 zákonem č. 320/2002 Sb., který novelizoval zákon č.</w:t>
      </w:r>
      <w:r>
        <w:rPr>
          <w:rFonts w:ascii="Calibri" w:hAnsi="Calibri" w:cs="Calibri"/>
        </w:rPr>
        <w:t> </w:t>
      </w:r>
      <w:r w:rsidRPr="00602A9C">
        <w:rPr>
          <w:rFonts w:ascii="Calibri" w:hAnsi="Calibri" w:cs="Calibri"/>
        </w:rPr>
        <w:t>258/2000</w:t>
      </w:r>
      <w:r>
        <w:rPr>
          <w:rFonts w:ascii="Calibri" w:hAnsi="Calibri" w:cs="Calibri"/>
        </w:rPr>
        <w:t> </w:t>
      </w:r>
      <w:r w:rsidRPr="00602A9C">
        <w:rPr>
          <w:rFonts w:ascii="Calibri" w:hAnsi="Calibri" w:cs="Calibri"/>
        </w:rPr>
        <w:t xml:space="preserve">Sb., o ochraně veřejného zdraví a o změně některých souvisejících zákonů. </w:t>
      </w:r>
    </w:p>
  </w:footnote>
  <w:footnote w:id="7">
    <w:p w14:paraId="0FCFA49D" w14:textId="77777777" w:rsidR="001B182E" w:rsidRPr="00602A9C" w:rsidRDefault="001B182E" w:rsidP="00602A9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02A9C">
        <w:rPr>
          <w:rStyle w:val="Znakapoznpodarou"/>
          <w:rFonts w:ascii="Calibri" w:eastAsiaTheme="majorEastAsia" w:hAnsi="Calibri" w:cs="Calibri"/>
        </w:rPr>
        <w:footnoteRef/>
      </w:r>
      <w:r w:rsidRPr="00602A9C">
        <w:rPr>
          <w:rFonts w:ascii="Calibri" w:hAnsi="Calibri" w:cs="Calibri"/>
        </w:rPr>
        <w:tab/>
        <w:t>Ustanovení § 86 odst. 1 zákona č. 258/2000 Sb., o ochraně veřejného zdraví a o změně některých souvisejících zákonů.</w:t>
      </w:r>
    </w:p>
  </w:footnote>
  <w:footnote w:id="8">
    <w:p w14:paraId="2BEACC7D" w14:textId="77777777" w:rsidR="001B182E" w:rsidRPr="00602A9C" w:rsidRDefault="001B182E" w:rsidP="00602A9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02A9C">
        <w:rPr>
          <w:rStyle w:val="Znakapoznpodarou"/>
          <w:rFonts w:ascii="Calibri" w:hAnsi="Calibri" w:cs="Calibri"/>
        </w:rPr>
        <w:footnoteRef/>
      </w:r>
      <w:r w:rsidRPr="00602A9C">
        <w:rPr>
          <w:rFonts w:ascii="Calibri" w:hAnsi="Calibri" w:cs="Calibri"/>
        </w:rPr>
        <w:tab/>
        <w:t>Ustanovení § 54 odst. 2 zákona č. 218/2000 Sb.</w:t>
      </w:r>
    </w:p>
  </w:footnote>
  <w:footnote w:id="9">
    <w:p w14:paraId="69B3ACC0" w14:textId="77777777" w:rsidR="001B182E" w:rsidRPr="00602A9C" w:rsidRDefault="001B182E" w:rsidP="00602A9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02A9C">
        <w:rPr>
          <w:rStyle w:val="Znakapoznpodarou"/>
          <w:rFonts w:ascii="Calibri" w:hAnsi="Calibri" w:cs="Calibri"/>
        </w:rPr>
        <w:footnoteRef/>
      </w:r>
      <w:r w:rsidRPr="00602A9C">
        <w:rPr>
          <w:rFonts w:ascii="Calibri" w:hAnsi="Calibri" w:cs="Calibri"/>
        </w:rPr>
        <w:tab/>
      </w:r>
      <w:r w:rsidRPr="00602A9C">
        <w:rPr>
          <w:rFonts w:ascii="Calibri" w:hAnsi="Calibri" w:cs="Calibri"/>
          <w:color w:val="000000"/>
          <w:lang w:bidi="cs-CZ"/>
        </w:rPr>
        <w:t xml:space="preserve">Vymezení veřejné podpory vyplývá z čl. 107 odst. 1 </w:t>
      </w:r>
      <w:r w:rsidRPr="004B540C">
        <w:rPr>
          <w:rFonts w:ascii="Calibri" w:hAnsi="Calibri" w:cs="Calibri"/>
          <w:i/>
          <w:color w:val="000000"/>
          <w:lang w:bidi="cs-CZ"/>
        </w:rPr>
        <w:t>Smlouvy o fungování Evropské unie</w:t>
      </w:r>
      <w:r w:rsidRPr="00602A9C">
        <w:rPr>
          <w:rFonts w:ascii="Calibri" w:hAnsi="Calibri" w:cs="Calibri"/>
        </w:rPr>
        <w:t>.</w:t>
      </w:r>
    </w:p>
  </w:footnote>
  <w:footnote w:id="10">
    <w:p w14:paraId="2CF73DAF" w14:textId="3D3FC14A" w:rsidR="001B182E" w:rsidRPr="00602A9C" w:rsidRDefault="001B182E" w:rsidP="00602A9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02A9C">
        <w:rPr>
          <w:rStyle w:val="Znakapoznpodarou"/>
          <w:rFonts w:ascii="Calibri" w:hAnsi="Calibri" w:cs="Calibri"/>
        </w:rPr>
        <w:footnoteRef/>
      </w:r>
      <w:r w:rsidRPr="00602A9C">
        <w:rPr>
          <w:rFonts w:ascii="Calibri" w:hAnsi="Calibri" w:cs="Calibri"/>
        </w:rPr>
        <w:tab/>
        <w:t xml:space="preserve">Dle </w:t>
      </w:r>
      <w:r>
        <w:rPr>
          <w:rFonts w:ascii="Calibri" w:hAnsi="Calibri" w:cs="Calibri"/>
        </w:rPr>
        <w:t>p</w:t>
      </w:r>
      <w:r w:rsidRPr="00602A9C">
        <w:rPr>
          <w:rFonts w:ascii="Calibri" w:hAnsi="Calibri" w:cs="Calibri"/>
        </w:rPr>
        <w:t>řílohy č. 5 vyhlášky č. 348/2016 Sb., o stanovení hodnot bodu, výše úhrad hrazených služeb a</w:t>
      </w:r>
      <w:r>
        <w:rPr>
          <w:rFonts w:ascii="Calibri" w:hAnsi="Calibri" w:cs="Calibri"/>
        </w:rPr>
        <w:t> </w:t>
      </w:r>
      <w:r w:rsidRPr="00602A9C">
        <w:rPr>
          <w:rFonts w:ascii="Calibri" w:hAnsi="Calibri" w:cs="Calibri"/>
        </w:rPr>
        <w:t>regulačních omezení pro rok 2017, vyhlášky č. 353/2017 Sb., o stanovení hodnot bodu, výše úhrad hrazených služeb a</w:t>
      </w:r>
      <w:r>
        <w:rPr>
          <w:rFonts w:ascii="Calibri" w:hAnsi="Calibri" w:cs="Calibri"/>
        </w:rPr>
        <w:t> </w:t>
      </w:r>
      <w:r w:rsidRPr="00602A9C">
        <w:rPr>
          <w:rFonts w:ascii="Calibri" w:hAnsi="Calibri" w:cs="Calibri"/>
        </w:rPr>
        <w:t>regulačních omezení pro rok 2018, a vyhlášky č. 201/2018 Sb., o</w:t>
      </w:r>
      <w:r>
        <w:rPr>
          <w:rFonts w:ascii="Calibri" w:hAnsi="Calibri" w:cs="Calibri"/>
        </w:rPr>
        <w:t> </w:t>
      </w:r>
      <w:r w:rsidRPr="00602A9C">
        <w:rPr>
          <w:rFonts w:ascii="Calibri" w:hAnsi="Calibri" w:cs="Calibri"/>
        </w:rPr>
        <w:t>stanovení hodnot bodu, výše úhrad hrazených služeb a regulačních omezení pro rok 2019, (tzv. úhradových vyhlášek) účinných v kontrolovaném období.</w:t>
      </w:r>
    </w:p>
  </w:footnote>
  <w:footnote w:id="11">
    <w:p w14:paraId="240626B0" w14:textId="51E6F7C4" w:rsidR="001B182E" w:rsidRPr="00602A9C" w:rsidRDefault="001B182E" w:rsidP="00602A9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02A9C">
        <w:rPr>
          <w:rStyle w:val="Znakapoznpodarou"/>
          <w:rFonts w:ascii="Calibri" w:hAnsi="Calibri" w:cs="Calibri"/>
        </w:rPr>
        <w:footnoteRef/>
      </w:r>
      <w:r w:rsidRPr="00602A9C">
        <w:rPr>
          <w:rFonts w:ascii="Calibri" w:hAnsi="Calibri" w:cs="Calibri"/>
        </w:rPr>
        <w:tab/>
        <w:t>Ustanovení § 3 odst. 1) vyhlášky č. 201/2018 Sb., o stanovení hodnot bodu, výše úhrad hrazených služeb a regulačních omezení pro rok 2019</w:t>
      </w:r>
      <w:r>
        <w:rPr>
          <w:rFonts w:ascii="Calibri" w:hAnsi="Calibri" w:cs="Calibri"/>
        </w:rPr>
        <w:t>,</w:t>
      </w:r>
      <w:r w:rsidRPr="00602A9C">
        <w:rPr>
          <w:rFonts w:ascii="Calibri" w:hAnsi="Calibri" w:cs="Calibri"/>
        </w:rPr>
        <w:t xml:space="preserve"> uvádí:</w:t>
      </w:r>
      <w:r w:rsidRPr="00CE31C6">
        <w:rPr>
          <w:rFonts w:ascii="Calibri" w:hAnsi="Calibri" w:cs="Calibri"/>
        </w:rPr>
        <w:t xml:space="preserve"> </w:t>
      </w:r>
      <w:r w:rsidRPr="004B540C">
        <w:rPr>
          <w:rFonts w:ascii="Calibri" w:hAnsi="Calibri" w:cs="Calibri"/>
        </w:rPr>
        <w:t>„</w:t>
      </w:r>
      <w:r w:rsidRPr="00602A9C">
        <w:rPr>
          <w:rFonts w:ascii="Calibri" w:hAnsi="Calibri" w:cs="Calibri"/>
          <w:i/>
        </w:rPr>
        <w:t>Unikátním pojištěncem se dle ustanovení pro účely této vyhlášky rozumí pojištěnec zdravotní pojišťovny ošetřený poskytovatelem v konkrétní odbornosti v hodnoceném nebo referenčním období alespoň jednou, s tím, že není rozhodné, zda se jedná o ošetření v rámci vlastních zdravotních služeb nebo zdravotních služeb vyžádaných, pokud není dále stanoveno jinak.</w:t>
      </w:r>
      <w:r w:rsidRPr="004B540C">
        <w:rPr>
          <w:rFonts w:ascii="Calibri" w:hAnsi="Calibri" w:cs="Calibri"/>
        </w:rPr>
        <w:t>“</w:t>
      </w:r>
    </w:p>
  </w:footnote>
  <w:footnote w:id="12">
    <w:p w14:paraId="1B06E5B0" w14:textId="77777777" w:rsidR="001B182E" w:rsidRPr="006B4D43" w:rsidRDefault="001B182E" w:rsidP="002B2287">
      <w:pPr>
        <w:pStyle w:val="Textpoznpodarou"/>
        <w:ind w:left="284" w:hanging="284"/>
        <w:jc w:val="both"/>
      </w:pPr>
      <w:r w:rsidRPr="006B4D43">
        <w:rPr>
          <w:rStyle w:val="Znakapoznpodarou"/>
        </w:rPr>
        <w:footnoteRef/>
      </w:r>
      <w:r w:rsidRPr="006B4D43">
        <w:tab/>
      </w:r>
      <w:r w:rsidRPr="006B4D43">
        <w:rPr>
          <w:rFonts w:ascii="Calibri" w:hAnsi="Calibri" w:cs="Calibri"/>
        </w:rPr>
        <w:t>Nařízení vlády č. 564/2006 Sb., o platových poměrech zaměstnanců ve veřejných službách a správě; nařízení vlády č. 341/2017 Sb., o platových poměrech zaměstnanců ve veřejných službách a správě.</w:t>
      </w:r>
    </w:p>
  </w:footnote>
  <w:footnote w:id="13">
    <w:p w14:paraId="72A649CE" w14:textId="77777777" w:rsidR="001B182E" w:rsidRPr="006B4D43" w:rsidRDefault="001B182E" w:rsidP="002B2287">
      <w:pPr>
        <w:pStyle w:val="Textpoznpodarou"/>
        <w:ind w:left="284" w:hanging="284"/>
      </w:pPr>
      <w:r w:rsidRPr="006B4D43">
        <w:rPr>
          <w:rStyle w:val="Znakapoznpodarou"/>
        </w:rPr>
        <w:footnoteRef/>
      </w:r>
      <w:r w:rsidRPr="006B4D43">
        <w:tab/>
      </w:r>
      <w:r w:rsidRPr="006B4D43">
        <w:rPr>
          <w:rFonts w:cstheme="minorHAnsi"/>
          <w:bCs/>
        </w:rPr>
        <w:t>Ustanovení § 3 odst. 1 a § 4 odst. 8 zákona č. 563/1991 Sb., o účetnictví</w:t>
      </w:r>
      <w:r w:rsidRPr="006B4D43">
        <w:rPr>
          <w:rFonts w:cstheme="minorHAnsi"/>
        </w:rPr>
        <w:t>.</w:t>
      </w:r>
    </w:p>
  </w:footnote>
  <w:footnote w:id="14">
    <w:p w14:paraId="706A5EDE" w14:textId="77777777" w:rsidR="001B182E" w:rsidRPr="006B4D43" w:rsidRDefault="001B182E" w:rsidP="002B2287">
      <w:pPr>
        <w:pStyle w:val="Textpoznpodarou"/>
        <w:ind w:left="284" w:hanging="284"/>
        <w:jc w:val="both"/>
      </w:pPr>
      <w:r w:rsidRPr="006B4D43">
        <w:rPr>
          <w:rStyle w:val="Znakapoznpodarou"/>
        </w:rPr>
        <w:footnoteRef/>
      </w:r>
      <w:r w:rsidRPr="006B4D43">
        <w:tab/>
      </w:r>
      <w:r w:rsidRPr="006B4D43">
        <w:rPr>
          <w:rFonts w:cstheme="minorHAnsi"/>
        </w:rPr>
        <w:t xml:space="preserve">Ustanovení § 66 odst. 8 vyhlášky č. 410/2009 Sb., </w:t>
      </w:r>
      <w:r w:rsidRPr="006B4D43">
        <w:rPr>
          <w:rFonts w:cstheme="minorHAnsi"/>
          <w:bCs/>
        </w:rPr>
        <w:t>kterou se provádějí některá ustanovení zákona č.</w:t>
      </w:r>
      <w:r>
        <w:rPr>
          <w:rFonts w:cstheme="minorHAnsi"/>
          <w:bCs/>
        </w:rPr>
        <w:t> </w:t>
      </w:r>
      <w:r w:rsidRPr="006B4D43">
        <w:rPr>
          <w:rFonts w:cstheme="minorHAnsi"/>
          <w:bCs/>
        </w:rPr>
        <w:t>563/1991</w:t>
      </w:r>
      <w:r>
        <w:rPr>
          <w:rFonts w:cstheme="minorHAnsi"/>
          <w:bCs/>
        </w:rPr>
        <w:t> </w:t>
      </w:r>
      <w:r w:rsidRPr="006B4D43">
        <w:rPr>
          <w:rFonts w:cstheme="minorHAnsi"/>
          <w:bCs/>
        </w:rPr>
        <w:t>Sb., o účetnictví, ve znění pozdějších předpisů, pro některé vybrané účetní jednotky.</w:t>
      </w:r>
    </w:p>
  </w:footnote>
  <w:footnote w:id="15">
    <w:p w14:paraId="3BC64E61" w14:textId="77777777" w:rsidR="001B182E" w:rsidRPr="006B4D43" w:rsidRDefault="001B182E" w:rsidP="002B2287">
      <w:pPr>
        <w:pStyle w:val="Textpoznpodarou"/>
        <w:ind w:left="284" w:hanging="284"/>
        <w:jc w:val="both"/>
      </w:pPr>
      <w:r w:rsidRPr="006B4D43">
        <w:rPr>
          <w:rStyle w:val="Znakapoznpodarou"/>
        </w:rPr>
        <w:footnoteRef/>
      </w:r>
      <w:r w:rsidRPr="006B4D43">
        <w:tab/>
        <w:t xml:space="preserve">Jednalo se </w:t>
      </w:r>
      <w:r w:rsidRPr="006B4D43">
        <w:rPr>
          <w:rFonts w:cstheme="minorHAnsi"/>
        </w:rPr>
        <w:t>o 24 654 881,22 Kč v roce 2017, o 32 416 473,54 Kč v roce 2018 a o 37 403 419,56 Kč v roce 2019.</w:t>
      </w:r>
    </w:p>
  </w:footnote>
  <w:footnote w:id="16">
    <w:p w14:paraId="41B9B016" w14:textId="77777777" w:rsidR="001B182E" w:rsidRPr="006B4D43" w:rsidRDefault="001B182E" w:rsidP="002B2287">
      <w:pPr>
        <w:pStyle w:val="Textpoznpodarou"/>
        <w:ind w:left="284" w:hanging="284"/>
        <w:jc w:val="both"/>
      </w:pPr>
      <w:r w:rsidRPr="006B4D43">
        <w:rPr>
          <w:rStyle w:val="Znakapoznpodarou"/>
        </w:rPr>
        <w:footnoteRef/>
      </w:r>
      <w:r w:rsidRPr="006B4D43">
        <w:tab/>
        <w:t>Ustanovení § 6 zákona č. 134/2016 Sb.</w:t>
      </w:r>
    </w:p>
  </w:footnote>
  <w:footnote w:id="17">
    <w:p w14:paraId="0BA51576" w14:textId="77777777" w:rsidR="001B182E" w:rsidRPr="006B4D43" w:rsidRDefault="001B182E" w:rsidP="002B2287">
      <w:pPr>
        <w:pStyle w:val="Textpoznpodarou"/>
        <w:ind w:left="284" w:hanging="284"/>
      </w:pPr>
      <w:r w:rsidRPr="006B4D43">
        <w:rPr>
          <w:rStyle w:val="Znakapoznpodarou"/>
        </w:rPr>
        <w:footnoteRef/>
      </w:r>
      <w:r w:rsidRPr="006B4D43">
        <w:tab/>
      </w:r>
      <w:r w:rsidRPr="006B4D43">
        <w:rPr>
          <w:rFonts w:ascii="Calibri" w:hAnsi="Calibri" w:cs="Calibri"/>
        </w:rPr>
        <w:t>Ustanovení § 25 odst. 1 písm. a) a b) a ustanoveními § 25 odst. 2 písm. c) a e) zákona č. 320/2001 Sb.</w:t>
      </w:r>
    </w:p>
  </w:footnote>
  <w:footnote w:id="18">
    <w:p w14:paraId="5734FEB2" w14:textId="77777777" w:rsidR="001B182E" w:rsidRPr="006B4D43" w:rsidRDefault="001B182E" w:rsidP="002B2287">
      <w:pPr>
        <w:pStyle w:val="Textpoznpodarou"/>
        <w:ind w:left="284" w:hanging="284"/>
        <w:jc w:val="both"/>
      </w:pPr>
      <w:r w:rsidRPr="006B4D43">
        <w:rPr>
          <w:rStyle w:val="Znakapoznpodarou"/>
        </w:rPr>
        <w:footnoteRef/>
      </w:r>
      <w:r w:rsidRPr="006B4D43">
        <w:tab/>
        <w:t>Ustanovení § 27 zákona č. 320/2001 Sb.</w:t>
      </w:r>
    </w:p>
  </w:footnote>
  <w:footnote w:id="19">
    <w:p w14:paraId="271BE0A9" w14:textId="77777777" w:rsidR="001B182E" w:rsidRPr="008303BF" w:rsidRDefault="001B182E" w:rsidP="008303B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303BF">
        <w:rPr>
          <w:rStyle w:val="Znakapoznpodarou"/>
          <w:rFonts w:ascii="Calibri" w:hAnsi="Calibri" w:cs="Calibri"/>
        </w:rPr>
        <w:footnoteRef/>
      </w:r>
      <w:r w:rsidRPr="008303BF">
        <w:rPr>
          <w:rFonts w:ascii="Calibri" w:hAnsi="Calibri" w:cs="Calibri"/>
        </w:rPr>
        <w:tab/>
        <w:t>Ustanovení § 26 odst. 1 zákona č. 320/2001 Sb.</w:t>
      </w:r>
    </w:p>
  </w:footnote>
  <w:footnote w:id="20">
    <w:p w14:paraId="73867FBE" w14:textId="77777777" w:rsidR="001B182E" w:rsidRPr="008303BF" w:rsidRDefault="001B182E" w:rsidP="008303B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303BF">
        <w:rPr>
          <w:rStyle w:val="Znakapoznpodarou"/>
          <w:rFonts w:ascii="Calibri" w:hAnsi="Calibri" w:cs="Calibri"/>
        </w:rPr>
        <w:footnoteRef/>
      </w:r>
      <w:r w:rsidRPr="008303BF">
        <w:rPr>
          <w:rFonts w:ascii="Calibri" w:hAnsi="Calibri" w:cs="Calibri"/>
        </w:rPr>
        <w:tab/>
        <w:t>Ustanovení § 4 odst. 2 a § 26 odst. 1 zákona č. 320/2001 Sb.</w:t>
      </w:r>
    </w:p>
  </w:footnote>
  <w:footnote w:id="21">
    <w:p w14:paraId="09DF9FC0" w14:textId="77777777" w:rsidR="001B182E" w:rsidRPr="008303BF" w:rsidRDefault="001B182E" w:rsidP="008303B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303BF">
        <w:rPr>
          <w:rStyle w:val="Znakapoznpodarou"/>
          <w:rFonts w:ascii="Calibri" w:hAnsi="Calibri" w:cs="Calibri"/>
        </w:rPr>
        <w:footnoteRef/>
      </w:r>
      <w:r w:rsidRPr="008303BF">
        <w:rPr>
          <w:rFonts w:ascii="Calibri" w:hAnsi="Calibri" w:cs="Calibri"/>
        </w:rPr>
        <w:tab/>
        <w:t>Ustanovení § 27 zákona č. 320/2001 Sb.</w:t>
      </w:r>
    </w:p>
  </w:footnote>
  <w:footnote w:id="22">
    <w:p w14:paraId="630048D0" w14:textId="77777777" w:rsidR="001B182E" w:rsidRPr="00F438DF" w:rsidRDefault="001B182E" w:rsidP="003126B8">
      <w:pPr>
        <w:pStyle w:val="Textpoznpodarou"/>
        <w:ind w:left="284" w:hanging="284"/>
        <w:jc w:val="both"/>
      </w:pPr>
      <w:r w:rsidRPr="00F438DF">
        <w:rPr>
          <w:rStyle w:val="Znakapoznpodarou"/>
        </w:rPr>
        <w:footnoteRef/>
      </w:r>
      <w:r w:rsidRPr="00F438DF">
        <w:tab/>
        <w:t>Ustanovení § 4 odst. 2 zákona č. 320/2001 Sb.</w:t>
      </w:r>
    </w:p>
  </w:footnote>
  <w:footnote w:id="23">
    <w:p w14:paraId="1CF63905" w14:textId="77777777" w:rsidR="001B182E" w:rsidRPr="00F438DF" w:rsidRDefault="001B182E" w:rsidP="003126B8">
      <w:pPr>
        <w:pStyle w:val="Textpoznpodarou"/>
        <w:ind w:left="284" w:hanging="284"/>
        <w:jc w:val="both"/>
      </w:pPr>
      <w:r w:rsidRPr="00F438DF">
        <w:rPr>
          <w:rStyle w:val="Znakapoznpodarou"/>
        </w:rPr>
        <w:footnoteRef/>
      </w:r>
      <w:r w:rsidRPr="00F438DF">
        <w:tab/>
        <w:t>Ustanovení § 10 odst. 1 zákona č. 2/1969 Sb., o zřízení ministerstev a jiných ústředních orgánů státní správy České republiky.</w:t>
      </w:r>
    </w:p>
  </w:footnote>
  <w:footnote w:id="24">
    <w:p w14:paraId="2CF6260C" w14:textId="77777777" w:rsidR="001B182E" w:rsidRPr="00F438DF" w:rsidRDefault="001B182E" w:rsidP="003126B8">
      <w:pPr>
        <w:pStyle w:val="Textpoznpodarou"/>
        <w:ind w:left="284" w:hanging="284"/>
        <w:jc w:val="both"/>
      </w:pPr>
      <w:r w:rsidRPr="00F438DF">
        <w:rPr>
          <w:rStyle w:val="Znakapoznpodarou"/>
        </w:rPr>
        <w:footnoteRef/>
      </w:r>
      <w:r w:rsidRPr="00F438DF">
        <w:tab/>
        <w:t>Ustanovení § 1 odst. 3 zákona č. 563/1991 Sb.</w:t>
      </w:r>
    </w:p>
  </w:footnote>
  <w:footnote w:id="25">
    <w:p w14:paraId="7A1E5ACB" w14:textId="77777777" w:rsidR="001B182E" w:rsidRPr="00F438DF" w:rsidRDefault="001B182E" w:rsidP="003126B8">
      <w:pPr>
        <w:pStyle w:val="Textpoznpodarou"/>
        <w:ind w:left="284" w:hanging="284"/>
        <w:jc w:val="both"/>
      </w:pPr>
      <w:r w:rsidRPr="00F438DF">
        <w:rPr>
          <w:rStyle w:val="Znakapoznpodarou"/>
        </w:rPr>
        <w:footnoteRef/>
      </w:r>
      <w:r w:rsidRPr="00F438DF">
        <w:tab/>
        <w:t>Ustanovení § 10 odst. 1 zákona č. 218/2000 Sb.</w:t>
      </w:r>
    </w:p>
  </w:footnote>
  <w:footnote w:id="26">
    <w:p w14:paraId="798E260A" w14:textId="77777777" w:rsidR="001B182E" w:rsidRPr="00F438DF" w:rsidRDefault="001B182E" w:rsidP="003126B8">
      <w:pPr>
        <w:pStyle w:val="Textpoznpodarou"/>
        <w:ind w:left="284" w:hanging="284"/>
        <w:jc w:val="both"/>
      </w:pPr>
      <w:r w:rsidRPr="00F438DF">
        <w:rPr>
          <w:rStyle w:val="Znakapoznpodarou"/>
        </w:rPr>
        <w:footnoteRef/>
      </w:r>
      <w:r w:rsidRPr="00F438DF">
        <w:tab/>
        <w:t>Ustanovení § 86 odst. 1 zákona č. 258/2000 Sb.</w:t>
      </w:r>
    </w:p>
  </w:footnote>
  <w:footnote w:id="27">
    <w:p w14:paraId="5D56370E" w14:textId="77777777" w:rsidR="001B182E" w:rsidRPr="00F438DF" w:rsidRDefault="001B182E" w:rsidP="003126B8">
      <w:pPr>
        <w:pStyle w:val="Textpoznpodarou"/>
        <w:ind w:left="284" w:hanging="284"/>
      </w:pPr>
      <w:r w:rsidRPr="00F438DF">
        <w:rPr>
          <w:rStyle w:val="Znakapoznpodarou"/>
        </w:rPr>
        <w:footnoteRef/>
      </w:r>
      <w:r w:rsidRPr="00F438DF">
        <w:tab/>
        <w:t>Zákon č. 218/2000 Sb.</w:t>
      </w:r>
    </w:p>
  </w:footnote>
  <w:footnote w:id="28">
    <w:p w14:paraId="4F8B03CE" w14:textId="77777777" w:rsidR="001B182E" w:rsidRPr="00F438DF" w:rsidRDefault="001B182E" w:rsidP="003126B8">
      <w:pPr>
        <w:pStyle w:val="Textpoznpodarou"/>
        <w:ind w:left="284" w:hanging="284"/>
      </w:pPr>
      <w:r w:rsidRPr="00F438DF">
        <w:rPr>
          <w:rStyle w:val="Znakapoznpodarou"/>
        </w:rPr>
        <w:footnoteRef/>
      </w:r>
      <w:r w:rsidRPr="00F438DF">
        <w:tab/>
        <w:t>Zákon č. 219/2000 Sb., o majetku České republiky a jejím vystupování v právních vztazích.</w:t>
      </w:r>
    </w:p>
  </w:footnote>
  <w:footnote w:id="29">
    <w:p w14:paraId="231DC902" w14:textId="77777777" w:rsidR="001B182E" w:rsidRPr="008239A1" w:rsidRDefault="001B182E" w:rsidP="003126B8">
      <w:pPr>
        <w:pStyle w:val="Textpoznpodarou"/>
        <w:ind w:left="284" w:hanging="284"/>
        <w:jc w:val="both"/>
        <w:rPr>
          <w:sz w:val="16"/>
          <w:szCs w:val="16"/>
        </w:rPr>
      </w:pPr>
      <w:r w:rsidRPr="00F438DF">
        <w:rPr>
          <w:rStyle w:val="Znakapoznpodarou"/>
        </w:rPr>
        <w:footnoteRef/>
      </w:r>
      <w:r w:rsidRPr="00F438DF">
        <w:tab/>
        <w:t>Ustanovení § 39 odst. 3 zákona č. 218/2000 Sb.</w:t>
      </w:r>
    </w:p>
  </w:footnote>
  <w:footnote w:id="30">
    <w:p w14:paraId="48B51D07" w14:textId="77777777" w:rsidR="001B182E" w:rsidRPr="00EF72E6" w:rsidRDefault="001B182E" w:rsidP="003126B8">
      <w:pPr>
        <w:pStyle w:val="Textpoznpodarou"/>
        <w:ind w:left="284" w:hanging="284"/>
        <w:jc w:val="both"/>
      </w:pPr>
      <w:r w:rsidRPr="00EF72E6">
        <w:rPr>
          <w:rStyle w:val="Znakapoznpodarou"/>
        </w:rPr>
        <w:footnoteRef/>
      </w:r>
      <w:r w:rsidRPr="00EF72E6">
        <w:tab/>
      </w:r>
      <w:r w:rsidRPr="00EF72E6">
        <w:rPr>
          <w:rFonts w:ascii="Calibri" w:hAnsi="Calibri" w:cs="Calibri"/>
        </w:rPr>
        <w:t>Zákon č. 258/2000 Sb., byl novelizován zákonem č. 320/2002 Sb., o změ</w:t>
      </w:r>
      <w:r>
        <w:rPr>
          <w:rFonts w:ascii="Calibri" w:hAnsi="Calibri" w:cs="Calibri"/>
        </w:rPr>
        <w:t>ně a zrušení některých zákonů v </w:t>
      </w:r>
      <w:r w:rsidRPr="00EF72E6">
        <w:rPr>
          <w:rFonts w:ascii="Calibri" w:hAnsi="Calibri" w:cs="Calibri"/>
        </w:rPr>
        <w:t>souvislosti s ukončením činnosti okresních úřadů</w:t>
      </w:r>
      <w:r w:rsidRPr="00EF72E6">
        <w:rPr>
          <w:rFonts w:cstheme="minorHAnsi"/>
          <w:bCs/>
        </w:rPr>
        <w:t>.</w:t>
      </w:r>
    </w:p>
  </w:footnote>
  <w:footnote w:id="31">
    <w:p w14:paraId="6727846F" w14:textId="77777777" w:rsidR="001B182E" w:rsidRPr="00EF72E6" w:rsidRDefault="001B182E" w:rsidP="003126B8">
      <w:pPr>
        <w:pStyle w:val="Textpoznpodarou"/>
        <w:ind w:left="284" w:hanging="284"/>
        <w:jc w:val="both"/>
      </w:pPr>
      <w:r w:rsidRPr="00EF72E6">
        <w:rPr>
          <w:rStyle w:val="Znakapoznpodarou"/>
        </w:rPr>
        <w:footnoteRef/>
      </w:r>
      <w:r w:rsidRPr="00EF72E6">
        <w:tab/>
        <w:t>Z</w:t>
      </w:r>
      <w:r w:rsidRPr="00EF72E6">
        <w:rPr>
          <w:rFonts w:cs="Calibri"/>
        </w:rPr>
        <w:t xml:space="preserve">ákon č. 115/2012 Sb., </w:t>
      </w:r>
      <w:r w:rsidRPr="00EF72E6">
        <w:rPr>
          <w:rFonts w:cstheme="minorHAnsi"/>
        </w:rPr>
        <w:t>kterým se mění zákon č. 258/2000 Sb., o ochraně veřejného zdraví a o změně některých souvisejících zákonů, ve znění pozdějších předpisů.</w:t>
      </w:r>
    </w:p>
  </w:footnote>
  <w:footnote w:id="32">
    <w:p w14:paraId="72108FEE" w14:textId="77777777" w:rsidR="001B182E" w:rsidRPr="00EF72E6" w:rsidRDefault="001B182E" w:rsidP="003126B8">
      <w:pPr>
        <w:pStyle w:val="Textpoznpodarou"/>
        <w:ind w:left="284" w:hanging="284"/>
        <w:jc w:val="both"/>
      </w:pPr>
      <w:r w:rsidRPr="00EF72E6">
        <w:rPr>
          <w:rStyle w:val="Znakapoznpodarou"/>
        </w:rPr>
        <w:footnoteRef/>
      </w:r>
      <w:r w:rsidRPr="00EF72E6">
        <w:tab/>
      </w:r>
      <w:r w:rsidRPr="00EF72E6">
        <w:rPr>
          <w:rFonts w:cs="Calibri"/>
        </w:rPr>
        <w:t>U</w:t>
      </w:r>
      <w:r w:rsidRPr="00EF72E6">
        <w:t xml:space="preserve">stanovení </w:t>
      </w:r>
      <w:r w:rsidRPr="00EF72E6">
        <w:rPr>
          <w:rFonts w:cstheme="minorHAnsi"/>
        </w:rPr>
        <w:t>§ 86 zákona č. 258/2000 Sb.</w:t>
      </w:r>
    </w:p>
  </w:footnote>
  <w:footnote w:id="33">
    <w:p w14:paraId="006E961A" w14:textId="77777777" w:rsidR="001B182E" w:rsidRPr="00EF72E6" w:rsidRDefault="001B182E" w:rsidP="003126B8">
      <w:pPr>
        <w:pStyle w:val="Textpoznpodarou"/>
        <w:ind w:left="284" w:hanging="284"/>
        <w:jc w:val="both"/>
      </w:pPr>
      <w:r w:rsidRPr="00EF72E6">
        <w:rPr>
          <w:rStyle w:val="Znakapoznpodarou"/>
        </w:rPr>
        <w:footnoteRef/>
      </w:r>
      <w:r w:rsidRPr="00EF72E6">
        <w:tab/>
      </w:r>
      <w:r w:rsidRPr="00EF72E6">
        <w:rPr>
          <w:rFonts w:cstheme="minorHAnsi"/>
        </w:rPr>
        <w:t>Zákon č. 320/2001 Sb.</w:t>
      </w:r>
    </w:p>
  </w:footnote>
  <w:footnote w:id="34">
    <w:p w14:paraId="2D8101A5" w14:textId="77777777" w:rsidR="001B182E" w:rsidRPr="00EF72E6" w:rsidRDefault="001B182E" w:rsidP="003126B8">
      <w:pPr>
        <w:pStyle w:val="Textpoznpodarou"/>
        <w:ind w:left="284" w:hanging="284"/>
        <w:jc w:val="both"/>
      </w:pPr>
      <w:r w:rsidRPr="00EF72E6">
        <w:rPr>
          <w:rStyle w:val="Znakapoznpodarou"/>
        </w:rPr>
        <w:footnoteRef/>
      </w:r>
      <w:r w:rsidRPr="00EF72E6">
        <w:tab/>
      </w:r>
      <w:r w:rsidRPr="00EF72E6">
        <w:rPr>
          <w:rFonts w:cstheme="minorHAnsi"/>
        </w:rPr>
        <w:t>Zákon č. 134/2016 Sb.</w:t>
      </w:r>
    </w:p>
  </w:footnote>
  <w:footnote w:id="35">
    <w:p w14:paraId="4928D223" w14:textId="77777777" w:rsidR="001B182E" w:rsidRPr="00270B6A" w:rsidRDefault="001B182E" w:rsidP="003126B8">
      <w:pPr>
        <w:pStyle w:val="Textpoznpodarou"/>
        <w:ind w:left="284" w:hanging="284"/>
        <w:jc w:val="both"/>
      </w:pPr>
      <w:r w:rsidRPr="00270B6A">
        <w:rPr>
          <w:rStyle w:val="Znakapoznpodarou"/>
        </w:rPr>
        <w:footnoteRef/>
      </w:r>
      <w:r w:rsidRPr="00270B6A">
        <w:tab/>
        <w:t>Ustanovení § 2 zákona č. 320/2001 Sb.</w:t>
      </w:r>
    </w:p>
  </w:footnote>
  <w:footnote w:id="36">
    <w:p w14:paraId="3E125AB9" w14:textId="77777777" w:rsidR="001B182E" w:rsidRPr="00804C21" w:rsidRDefault="001B182E" w:rsidP="00C30DF0">
      <w:pPr>
        <w:pStyle w:val="Textpoznpodarou"/>
        <w:ind w:left="284" w:hanging="284"/>
        <w:jc w:val="both"/>
      </w:pPr>
      <w:r w:rsidRPr="00804C21">
        <w:rPr>
          <w:rStyle w:val="Znakapoznpodarou"/>
        </w:rPr>
        <w:footnoteRef/>
      </w:r>
      <w:r w:rsidRPr="00804C21">
        <w:tab/>
        <w:t>U</w:t>
      </w:r>
      <w:r w:rsidRPr="00804C21">
        <w:rPr>
          <w:rFonts w:cstheme="minorHAnsi"/>
        </w:rPr>
        <w:t>stanovení § 22 zákona č. 2/1969 Sb., o zřízení ministerstev a jiných ústředních orgánů státní správy České republiky.</w:t>
      </w:r>
    </w:p>
  </w:footnote>
  <w:footnote w:id="37">
    <w:p w14:paraId="612F50CF" w14:textId="11D3098D" w:rsidR="001B182E" w:rsidRPr="00804C21" w:rsidRDefault="001B182E" w:rsidP="00C30DF0">
      <w:pPr>
        <w:pStyle w:val="Textpoznpodarou"/>
        <w:ind w:left="284" w:hanging="284"/>
        <w:jc w:val="both"/>
      </w:pPr>
      <w:r w:rsidRPr="00804C21">
        <w:rPr>
          <w:rStyle w:val="Znakapoznpodarou"/>
        </w:rPr>
        <w:footnoteRef/>
      </w:r>
      <w:r w:rsidRPr="00804C21">
        <w:tab/>
        <w:t xml:space="preserve">Akční plány pro implementaci </w:t>
      </w:r>
      <w:r>
        <w:t>n</w:t>
      </w:r>
      <w:r w:rsidRPr="00804C21">
        <w:t xml:space="preserve">árodní strategie </w:t>
      </w:r>
      <w:r w:rsidRPr="004B540C">
        <w:rPr>
          <w:i/>
        </w:rPr>
        <w:t>Zdraví 2020</w:t>
      </w:r>
      <w:r w:rsidRPr="00804C21">
        <w:t xml:space="preserve">; </w:t>
      </w:r>
      <w:r>
        <w:t>s</w:t>
      </w:r>
      <w:r w:rsidRPr="00804C21">
        <w:t xml:space="preserve">trategický rámec </w:t>
      </w:r>
      <w:r w:rsidRPr="004B540C">
        <w:rPr>
          <w:i/>
        </w:rPr>
        <w:t>Zdraví 2030</w:t>
      </w:r>
      <w:r w:rsidRPr="00804C21">
        <w:t xml:space="preserve">; </w:t>
      </w:r>
      <w:r w:rsidRPr="004B540C">
        <w:rPr>
          <w:i/>
        </w:rPr>
        <w:t>Pandemický plán Ministerstva zdravotnictví</w:t>
      </w:r>
      <w:r w:rsidRPr="00804C21">
        <w:t>.</w:t>
      </w:r>
    </w:p>
  </w:footnote>
  <w:footnote w:id="38">
    <w:p w14:paraId="6F3BFAB9" w14:textId="0B08D040" w:rsidR="001B182E" w:rsidRPr="00C94455" w:rsidRDefault="001B182E" w:rsidP="00C30DF0">
      <w:pPr>
        <w:pStyle w:val="Textpoznpodarou"/>
        <w:ind w:left="284" w:hanging="284"/>
        <w:jc w:val="both"/>
        <w:rPr>
          <w:sz w:val="16"/>
          <w:szCs w:val="16"/>
        </w:rPr>
      </w:pPr>
      <w:r w:rsidRPr="00804C21">
        <w:rPr>
          <w:rStyle w:val="Znakapoznpodarou"/>
        </w:rPr>
        <w:footnoteRef/>
      </w:r>
      <w:r w:rsidRPr="00804C21">
        <w:tab/>
      </w:r>
      <w:r w:rsidRPr="00804C21">
        <w:rPr>
          <w:rFonts w:cstheme="minorHAnsi"/>
        </w:rPr>
        <w:t>Dopis č.</w:t>
      </w:r>
      <w:r>
        <w:rPr>
          <w:rFonts w:cstheme="minorHAnsi"/>
        </w:rPr>
        <w:t> </w:t>
      </w:r>
      <w:r w:rsidRPr="00804C21">
        <w:rPr>
          <w:rFonts w:cstheme="minorHAnsi"/>
        </w:rPr>
        <w:t>j.: MZDR 31513/2019-1/OPR ze dne 16. 7. 2019.</w:t>
      </w:r>
    </w:p>
  </w:footnote>
  <w:footnote w:id="39">
    <w:p w14:paraId="6B0E9021" w14:textId="77777777" w:rsidR="001B182E" w:rsidRPr="00804C21" w:rsidRDefault="001B182E" w:rsidP="00AA26A9">
      <w:pPr>
        <w:pStyle w:val="Textpoznpodarou"/>
        <w:ind w:left="284" w:hanging="284"/>
        <w:jc w:val="both"/>
      </w:pPr>
      <w:r w:rsidRPr="00804C21">
        <w:rPr>
          <w:rStyle w:val="Znakapoznpodarou"/>
        </w:rPr>
        <w:footnoteRef/>
      </w:r>
      <w:r w:rsidRPr="00804C21">
        <w:tab/>
        <w:t>U</w:t>
      </w:r>
      <w:r w:rsidRPr="00804C21">
        <w:rPr>
          <w:rFonts w:cstheme="minorHAnsi"/>
        </w:rPr>
        <w:t xml:space="preserve">stanovení § 54 odst. 2 zákona </w:t>
      </w:r>
      <w:r w:rsidRPr="00804C21">
        <w:t>č. 218/2000 Sb.</w:t>
      </w:r>
    </w:p>
  </w:footnote>
  <w:footnote w:id="40">
    <w:p w14:paraId="28BC24D2" w14:textId="77777777" w:rsidR="001B182E" w:rsidRPr="005F7EFD" w:rsidRDefault="001B182E" w:rsidP="00AA26A9">
      <w:pPr>
        <w:pStyle w:val="Textpoznpodarou"/>
        <w:ind w:left="284" w:hanging="284"/>
        <w:jc w:val="both"/>
        <w:rPr>
          <w:sz w:val="16"/>
          <w:szCs w:val="16"/>
        </w:rPr>
      </w:pPr>
      <w:r w:rsidRPr="00804C21">
        <w:rPr>
          <w:rStyle w:val="Znakapoznpodarou"/>
        </w:rPr>
        <w:footnoteRef/>
      </w:r>
      <w:r w:rsidRPr="00804C21">
        <w:tab/>
      </w:r>
      <w:r w:rsidRPr="00804C21">
        <w:rPr>
          <w:lang w:bidi="cs-CZ"/>
        </w:rPr>
        <w:t xml:space="preserve">Vymezení veřejné podpory vyplývá z čl. 107 odst. 1 </w:t>
      </w:r>
      <w:r w:rsidRPr="004B540C">
        <w:rPr>
          <w:i/>
          <w:lang w:bidi="cs-CZ"/>
        </w:rPr>
        <w:t>Smlouvy o fungování Evropské unie</w:t>
      </w:r>
      <w:r w:rsidRPr="00804C21">
        <w:rPr>
          <w:lang w:bidi="cs-CZ"/>
        </w:rPr>
        <w:t>.</w:t>
      </w:r>
    </w:p>
  </w:footnote>
  <w:footnote w:id="41">
    <w:p w14:paraId="54DD563E" w14:textId="77777777" w:rsidR="001B182E" w:rsidRPr="002A5CB6" w:rsidRDefault="001B182E" w:rsidP="009A6720">
      <w:pPr>
        <w:pStyle w:val="Textpoznpodarou"/>
        <w:ind w:left="284" w:hanging="284"/>
        <w:jc w:val="both"/>
      </w:pPr>
      <w:r w:rsidRPr="002A5CB6">
        <w:rPr>
          <w:rStyle w:val="Znakapoznpodarou"/>
        </w:rPr>
        <w:footnoteRef/>
      </w:r>
      <w:r w:rsidRPr="002A5CB6">
        <w:tab/>
        <w:t xml:space="preserve">Zdravotní ústavy poskytovaly služby v odbornostech </w:t>
      </w:r>
      <w:r w:rsidRPr="002A5CB6">
        <w:rPr>
          <w:rFonts w:cstheme="minorHAnsi"/>
        </w:rPr>
        <w:t>(</w:t>
      </w:r>
      <w:r>
        <w:rPr>
          <w:rFonts w:cstheme="minorHAnsi"/>
        </w:rPr>
        <w:t>802 </w:t>
      </w:r>
      <w:r>
        <w:t>– </w:t>
      </w:r>
      <w:r>
        <w:rPr>
          <w:rFonts w:cstheme="minorHAnsi"/>
        </w:rPr>
        <w:t>l</w:t>
      </w:r>
      <w:r w:rsidRPr="002A5CB6">
        <w:rPr>
          <w:rFonts w:cstheme="minorHAnsi"/>
        </w:rPr>
        <w:t>ékařská mikrobiologie, 812</w:t>
      </w:r>
      <w:r>
        <w:rPr>
          <w:rFonts w:cstheme="minorHAnsi"/>
        </w:rPr>
        <w:t> – </w:t>
      </w:r>
      <w:r w:rsidRPr="002A5CB6">
        <w:rPr>
          <w:rFonts w:cstheme="minorHAnsi"/>
        </w:rPr>
        <w:t>laboratoř farmakologie a toxikologie léčiv, 813 – laboratoř alergologická a imunologická, 814 – laboratoř toxikologická, 816</w:t>
      </w:r>
      <w:r>
        <w:rPr>
          <w:rFonts w:cstheme="minorHAnsi"/>
        </w:rPr>
        <w:t xml:space="preserve"> </w:t>
      </w:r>
      <w:r>
        <w:t>–</w:t>
      </w:r>
      <w:r w:rsidRPr="002A5CB6">
        <w:rPr>
          <w:rFonts w:cstheme="minorHAnsi"/>
        </w:rPr>
        <w:t xml:space="preserve"> laboratoř lékařské genetiky, 817</w:t>
      </w:r>
      <w:r>
        <w:rPr>
          <w:rFonts w:cstheme="minorHAnsi"/>
        </w:rPr>
        <w:t xml:space="preserve"> </w:t>
      </w:r>
      <w:r>
        <w:t>–</w:t>
      </w:r>
      <w:r w:rsidRPr="002A5CB6">
        <w:rPr>
          <w:rFonts w:cstheme="minorHAnsi"/>
        </w:rPr>
        <w:t xml:space="preserve"> laboratoř klinické toxikologie a 818 – laboratoř hematologická).</w:t>
      </w:r>
    </w:p>
  </w:footnote>
  <w:footnote w:id="42">
    <w:p w14:paraId="4A426D14" w14:textId="77777777" w:rsidR="001B182E" w:rsidRPr="002A5CB6" w:rsidRDefault="001B182E" w:rsidP="009A6720">
      <w:pPr>
        <w:pStyle w:val="Textpoznpodarou"/>
        <w:ind w:left="284" w:hanging="284"/>
        <w:jc w:val="both"/>
      </w:pPr>
      <w:r w:rsidRPr="002A5CB6">
        <w:rPr>
          <w:rStyle w:val="Znakapoznpodarou"/>
        </w:rPr>
        <w:footnoteRef/>
      </w:r>
      <w:r w:rsidRPr="002A5CB6">
        <w:tab/>
        <w:t>Ustanovení §3 odst. 1) a 2) vyhlášky č. 201/2018 Sb., o stanovení hodnot bodu</w:t>
      </w:r>
      <w:r>
        <w:t>, výše úhrad hrazených služeb a </w:t>
      </w:r>
      <w:r w:rsidRPr="002A5CB6">
        <w:t xml:space="preserve">regulačních omezení pro rok 2019 uvádí: </w:t>
      </w:r>
    </w:p>
    <w:p w14:paraId="715F68F6" w14:textId="641B9356" w:rsidR="001B182E" w:rsidRPr="002A5CB6" w:rsidRDefault="001B182E" w:rsidP="009A6720">
      <w:pPr>
        <w:pStyle w:val="Textpoznpodarou"/>
        <w:tabs>
          <w:tab w:val="left" w:pos="567"/>
        </w:tabs>
        <w:ind w:left="284"/>
        <w:jc w:val="both"/>
      </w:pPr>
      <w:r>
        <w:t>„</w:t>
      </w:r>
      <w:r w:rsidRPr="002A5CB6">
        <w:t>1)</w:t>
      </w:r>
      <w:r w:rsidRPr="002A5CB6">
        <w:tab/>
        <w:t>Unikátním pojištěncem se pro účely této vyhlášky rozumí pojištěnec zdravotní pojišťovny ošetřený poskytovatelem v konkrétní odbornosti v hodnoceném nebo referenčním období alespoň jednou, s tím, že není rozhodné, zda se jedná o ošetření v rámci vlastních zdravotních služeb nebo zdravotních služeb vyžádaných, pokud není dále stanoveno jinak.</w:t>
      </w:r>
    </w:p>
    <w:p w14:paraId="744A9741" w14:textId="3B3B2528" w:rsidR="001B182E" w:rsidRPr="002A5CB6" w:rsidRDefault="001B182E" w:rsidP="009A6720">
      <w:pPr>
        <w:pStyle w:val="Textpoznpodarou"/>
        <w:tabs>
          <w:tab w:val="left" w:pos="567"/>
        </w:tabs>
        <w:ind w:left="284"/>
        <w:jc w:val="both"/>
      </w:pPr>
      <w:r w:rsidRPr="002A5CB6">
        <w:t>2)</w:t>
      </w:r>
      <w:r w:rsidRPr="002A5CB6">
        <w:tab/>
        <w:t>Pokud byl unikátní pojištěnec poskytovatelem v konkrétní odbornosti ošetřen v hodnoceném období nebo referenčním období vícekrát, zahrnuje se do počtu unikátních pojištěnců příslušné zdravotní pojišťovny ošetřených v dané odbornosti pouze jednou.</w:t>
      </w:r>
      <w:r>
        <w:t>“</w:t>
      </w:r>
    </w:p>
  </w:footnote>
  <w:footnote w:id="43">
    <w:p w14:paraId="6C999C69" w14:textId="77777777" w:rsidR="001B182E" w:rsidRPr="009C60F0" w:rsidRDefault="001B182E" w:rsidP="009A6720">
      <w:pPr>
        <w:pStyle w:val="Textpoznpodarou"/>
        <w:ind w:left="284" w:hanging="284"/>
        <w:jc w:val="both"/>
        <w:rPr>
          <w:sz w:val="16"/>
          <w:szCs w:val="16"/>
        </w:rPr>
      </w:pPr>
      <w:r w:rsidRPr="002A5CB6">
        <w:rPr>
          <w:rStyle w:val="Znakapoznpodarou"/>
        </w:rPr>
        <w:footnoteRef/>
      </w:r>
      <w:r w:rsidRPr="002A5CB6">
        <w:tab/>
        <w:t>Nákladný pojištěnec – pojištěnec s vyšší četností opakovaných nákladných vyšetření za rok.</w:t>
      </w:r>
    </w:p>
  </w:footnote>
  <w:footnote w:id="44">
    <w:p w14:paraId="5C125577" w14:textId="42594E9D" w:rsidR="001B182E" w:rsidRPr="002A5CB6" w:rsidRDefault="001B182E" w:rsidP="00284A86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2A5CB6">
        <w:rPr>
          <w:rStyle w:val="Znakapoznpodarou"/>
          <w:sz w:val="20"/>
          <w:szCs w:val="20"/>
        </w:rPr>
        <w:footnoteRef/>
      </w:r>
      <w:r w:rsidRPr="002A5CB6">
        <w:rPr>
          <w:sz w:val="20"/>
          <w:szCs w:val="20"/>
        </w:rPr>
        <w:tab/>
      </w:r>
      <w:r w:rsidRPr="002A5CB6">
        <w:rPr>
          <w:rFonts w:cstheme="minorHAnsi"/>
          <w:sz w:val="20"/>
          <w:szCs w:val="20"/>
        </w:rPr>
        <w:t xml:space="preserve">Jednalo se například o </w:t>
      </w:r>
      <w:r>
        <w:rPr>
          <w:rFonts w:cstheme="minorHAnsi"/>
          <w:sz w:val="20"/>
          <w:szCs w:val="20"/>
        </w:rPr>
        <w:t>p</w:t>
      </w:r>
      <w:r w:rsidRPr="002A5CB6">
        <w:rPr>
          <w:rFonts w:cstheme="minorHAnsi"/>
          <w:sz w:val="20"/>
          <w:szCs w:val="20"/>
        </w:rPr>
        <w:t xml:space="preserve">říkaz ministra č. 12/2012 „Protikorupční strategie Ministerstva zdravotnictví pro přímo řízené organizace“; </w:t>
      </w:r>
      <w:r>
        <w:rPr>
          <w:rFonts w:cstheme="minorHAnsi"/>
          <w:sz w:val="20"/>
          <w:szCs w:val="20"/>
        </w:rPr>
        <w:t>p</w:t>
      </w:r>
      <w:r w:rsidRPr="002A5CB6">
        <w:rPr>
          <w:rFonts w:cstheme="minorHAnsi"/>
          <w:sz w:val="20"/>
          <w:szCs w:val="20"/>
        </w:rPr>
        <w:t xml:space="preserve">říkaz ministra č. 20/2012 „Resortní pravidla systému centralizovaného zadávání VZ“; </w:t>
      </w:r>
      <w:r>
        <w:rPr>
          <w:rFonts w:cstheme="minorHAnsi"/>
          <w:sz w:val="20"/>
          <w:szCs w:val="20"/>
        </w:rPr>
        <w:t>p</w:t>
      </w:r>
      <w:r w:rsidRPr="002A5CB6">
        <w:rPr>
          <w:rFonts w:cstheme="minorHAnsi"/>
          <w:sz w:val="20"/>
          <w:szCs w:val="20"/>
        </w:rPr>
        <w:t xml:space="preserve">říkaz ministra č. 19/2012 „Pravidla elektronizace VZ v resortu </w:t>
      </w:r>
      <w:proofErr w:type="spellStart"/>
      <w:r w:rsidRPr="002A5CB6">
        <w:rPr>
          <w:rFonts w:cstheme="minorHAnsi"/>
          <w:sz w:val="20"/>
          <w:szCs w:val="20"/>
        </w:rPr>
        <w:t>MZ</w:t>
      </w:r>
      <w:r>
        <w:rPr>
          <w:rFonts w:cstheme="minorHAnsi"/>
          <w:sz w:val="20"/>
          <w:szCs w:val="20"/>
        </w:rPr>
        <w:t>d</w:t>
      </w:r>
      <w:proofErr w:type="spellEnd"/>
      <w:r w:rsidRPr="002A5CB6">
        <w:rPr>
          <w:rFonts w:cstheme="minorHAnsi"/>
          <w:sz w:val="20"/>
          <w:szCs w:val="20"/>
        </w:rPr>
        <w:t xml:space="preserve"> ČR“; </w:t>
      </w:r>
      <w:r>
        <w:rPr>
          <w:rFonts w:cstheme="minorHAnsi"/>
          <w:sz w:val="20"/>
          <w:szCs w:val="20"/>
        </w:rPr>
        <w:t>p</w:t>
      </w:r>
      <w:r w:rsidRPr="002A5CB6">
        <w:rPr>
          <w:rFonts w:cstheme="minorHAnsi"/>
          <w:sz w:val="20"/>
          <w:szCs w:val="20"/>
        </w:rPr>
        <w:t xml:space="preserve">říkaz ministra č. 13/2018 „Vybrané zásady transparentního hospodaření PŘO v oblasti nákupu a služeb“; </w:t>
      </w:r>
      <w:r>
        <w:rPr>
          <w:rFonts w:cstheme="minorHAnsi"/>
          <w:sz w:val="20"/>
          <w:szCs w:val="20"/>
        </w:rPr>
        <w:t>p</w:t>
      </w:r>
      <w:r w:rsidRPr="002A5CB6">
        <w:rPr>
          <w:rFonts w:cstheme="minorHAnsi"/>
          <w:sz w:val="20"/>
          <w:szCs w:val="20"/>
        </w:rPr>
        <w:t>říkaz ministra č. 22/2019 „Resortní interní protikorupční program Ministerstva zdravotnictví ČR“.</w:t>
      </w:r>
    </w:p>
  </w:footnote>
  <w:footnote w:id="45">
    <w:p w14:paraId="466590AB" w14:textId="77777777" w:rsidR="001B182E" w:rsidRPr="002A5CB6" w:rsidRDefault="001B182E" w:rsidP="00284A86">
      <w:pPr>
        <w:pStyle w:val="Textpoznpodarou"/>
        <w:ind w:left="284" w:hanging="284"/>
        <w:jc w:val="both"/>
      </w:pPr>
      <w:r w:rsidRPr="002A5CB6">
        <w:rPr>
          <w:rStyle w:val="Znakapoznpodarou"/>
        </w:rPr>
        <w:footnoteRef/>
      </w:r>
      <w:r w:rsidRPr="002A5CB6">
        <w:tab/>
        <w:t>Usnesení vlády České republiky ze dne 20. července 2011 č. 563,</w:t>
      </w:r>
      <w:r w:rsidRPr="002A5CB6">
        <w:rPr>
          <w:rFonts w:cstheme="minorHAnsi"/>
        </w:rPr>
        <w:t xml:space="preserve"> </w:t>
      </w:r>
      <w:r w:rsidRPr="004B540C">
        <w:rPr>
          <w:rFonts w:cstheme="minorHAnsi"/>
          <w:i/>
        </w:rPr>
        <w:t>k resortním systémům centralizovaného zadávání veřejných zakázek ústředních orgánů státní správy</w:t>
      </w:r>
      <w:r w:rsidRPr="002A5CB6">
        <w:t>.</w:t>
      </w:r>
    </w:p>
  </w:footnote>
  <w:footnote w:id="46">
    <w:p w14:paraId="416BD32D" w14:textId="77777777" w:rsidR="001B182E" w:rsidRPr="002A5CB6" w:rsidRDefault="001B182E" w:rsidP="00284A86">
      <w:pPr>
        <w:pStyle w:val="Textpoznpodarou"/>
        <w:ind w:left="284" w:hanging="284"/>
        <w:jc w:val="both"/>
        <w:rPr>
          <w:rFonts w:cstheme="minorHAnsi"/>
        </w:rPr>
      </w:pPr>
      <w:r w:rsidRPr="002A5CB6">
        <w:rPr>
          <w:rStyle w:val="Znakapoznpodarou"/>
          <w:rFonts w:cstheme="minorHAnsi"/>
        </w:rPr>
        <w:footnoteRef/>
      </w:r>
      <w:r w:rsidRPr="002A5CB6">
        <w:rPr>
          <w:rFonts w:cstheme="minorHAnsi"/>
        </w:rPr>
        <w:tab/>
        <w:t>Komodity specifické pro daný resort, které nejsou povinně pořizovány.</w:t>
      </w:r>
    </w:p>
  </w:footnote>
  <w:footnote w:id="47">
    <w:p w14:paraId="60914421" w14:textId="77777777" w:rsidR="001B182E" w:rsidRPr="006F564E" w:rsidRDefault="001B182E" w:rsidP="00284A86">
      <w:pPr>
        <w:pStyle w:val="Textpoznpodarou"/>
        <w:ind w:left="284" w:hanging="284"/>
        <w:jc w:val="both"/>
        <w:rPr>
          <w:rFonts w:cstheme="minorHAnsi"/>
          <w:sz w:val="16"/>
          <w:szCs w:val="16"/>
        </w:rPr>
      </w:pPr>
      <w:r w:rsidRPr="002A5CB6">
        <w:rPr>
          <w:rStyle w:val="Znakapoznpodarou"/>
          <w:rFonts w:cstheme="minorHAnsi"/>
        </w:rPr>
        <w:footnoteRef/>
      </w:r>
      <w:r w:rsidRPr="002A5CB6">
        <w:rPr>
          <w:rFonts w:cstheme="minorHAnsi"/>
        </w:rPr>
        <w:tab/>
        <w:t xml:space="preserve">Usnesení vlády České republiky ze dne 18. ledna 2016 č. 24, </w:t>
      </w:r>
      <w:r w:rsidRPr="004B540C">
        <w:rPr>
          <w:rFonts w:cstheme="minorHAnsi"/>
          <w:i/>
        </w:rPr>
        <w:t>k resortním systémům centralizovaného zadávání veřejných zakázek v návaznosti na pravidla pro centrální nákup státu</w:t>
      </w:r>
      <w:r w:rsidRPr="002A5CB6">
        <w:rPr>
          <w:rFonts w:cstheme="minorHAnsi"/>
        </w:rPr>
        <w:t>.</w:t>
      </w:r>
    </w:p>
  </w:footnote>
  <w:footnote w:id="48">
    <w:p w14:paraId="3FEF9D93" w14:textId="77777777" w:rsidR="001B182E" w:rsidRPr="00D20484" w:rsidRDefault="001B182E" w:rsidP="00D2048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D20484">
        <w:rPr>
          <w:rStyle w:val="Znakapoznpodarou"/>
          <w:rFonts w:ascii="Calibri" w:hAnsi="Calibri" w:cs="Calibri"/>
        </w:rPr>
        <w:footnoteRef/>
      </w:r>
      <w:r w:rsidRPr="00D20484">
        <w:rPr>
          <w:rFonts w:ascii="Calibri" w:hAnsi="Calibri" w:cs="Calibri"/>
        </w:rPr>
        <w:tab/>
        <w:t>Nařízení vlády č. 564/2006 Sb.; nařízení vlády č. 341/2017 Sb.</w:t>
      </w:r>
    </w:p>
  </w:footnote>
  <w:footnote w:id="49">
    <w:p w14:paraId="667CE658" w14:textId="77777777" w:rsidR="001B182E" w:rsidRPr="00D20484" w:rsidRDefault="001B182E" w:rsidP="00D2048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D20484">
        <w:rPr>
          <w:rStyle w:val="Znakapoznpodarou"/>
          <w:rFonts w:ascii="Calibri" w:hAnsi="Calibri" w:cs="Calibri"/>
        </w:rPr>
        <w:footnoteRef/>
      </w:r>
      <w:r w:rsidRPr="00D20484">
        <w:rPr>
          <w:rFonts w:ascii="Calibri" w:hAnsi="Calibri" w:cs="Calibri"/>
        </w:rPr>
        <w:tab/>
        <w:t>Úhradové vyhlášky č. 348/2016 Sb., č. 353/2017 Sb. a č. 201/2018 Sb. účinné v kontrolovaném období.</w:t>
      </w:r>
    </w:p>
  </w:footnote>
  <w:footnote w:id="50">
    <w:p w14:paraId="609DA4EB" w14:textId="77777777" w:rsidR="001B182E" w:rsidRPr="000F1F54" w:rsidRDefault="001B182E" w:rsidP="00003FB7">
      <w:pPr>
        <w:pStyle w:val="Textpoznpodarou"/>
        <w:ind w:left="284" w:hanging="284"/>
        <w:jc w:val="both"/>
      </w:pPr>
      <w:r w:rsidRPr="000F1F54">
        <w:rPr>
          <w:rStyle w:val="Znakapoznpodarou"/>
        </w:rPr>
        <w:footnoteRef/>
      </w:r>
      <w:r w:rsidRPr="000F1F54">
        <w:tab/>
      </w:r>
      <w:r w:rsidRPr="000F1F54">
        <w:rPr>
          <w:rFonts w:cstheme="minorHAnsi"/>
          <w:bCs/>
        </w:rPr>
        <w:t xml:space="preserve">Ustanovení § 3 odst. 1 a § 4 odst. 8 a </w:t>
      </w:r>
      <w:r w:rsidRPr="000F1F54">
        <w:rPr>
          <w:rFonts w:cstheme="minorHAnsi"/>
        </w:rPr>
        <w:t xml:space="preserve">§ 31 odst. 1 a odst. 2 písm. b) a c) </w:t>
      </w:r>
      <w:r w:rsidRPr="000F1F54">
        <w:rPr>
          <w:rFonts w:cstheme="minorHAnsi"/>
          <w:bCs/>
        </w:rPr>
        <w:t>zákona č. 563/1991 Sb.</w:t>
      </w:r>
    </w:p>
  </w:footnote>
  <w:footnote w:id="51">
    <w:p w14:paraId="1ACCBB3E" w14:textId="77777777" w:rsidR="001B182E" w:rsidRPr="000F1F54" w:rsidRDefault="001B182E" w:rsidP="00003FB7">
      <w:pPr>
        <w:pStyle w:val="Textpoznpodarou"/>
        <w:ind w:left="284" w:hanging="284"/>
        <w:jc w:val="both"/>
      </w:pPr>
      <w:r w:rsidRPr="000F1F54">
        <w:rPr>
          <w:rStyle w:val="Znakapoznpodarou"/>
        </w:rPr>
        <w:footnoteRef/>
      </w:r>
      <w:r w:rsidRPr="000F1F54">
        <w:tab/>
      </w:r>
      <w:r w:rsidRPr="000F1F54">
        <w:rPr>
          <w:rFonts w:cstheme="minorHAnsi"/>
        </w:rPr>
        <w:t>Ustanovení § 66 odst. 8 vyhlášky č. 410/2009 Sb.</w:t>
      </w:r>
    </w:p>
  </w:footnote>
  <w:footnote w:id="52">
    <w:p w14:paraId="3B37F445" w14:textId="35AC248A" w:rsidR="001B182E" w:rsidRPr="000F1F54" w:rsidRDefault="001B182E" w:rsidP="007A498E">
      <w:pPr>
        <w:pStyle w:val="Textpoznpodarou"/>
        <w:ind w:left="284" w:hanging="284"/>
        <w:jc w:val="both"/>
        <w:rPr>
          <w:rFonts w:cstheme="minorHAnsi"/>
        </w:rPr>
      </w:pPr>
      <w:r w:rsidRPr="000F1F54"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0F1F54">
        <w:rPr>
          <w:rFonts w:cstheme="minorHAnsi"/>
        </w:rPr>
        <w:t>Ustanovení bodu 14. „</w:t>
      </w:r>
      <w:r>
        <w:rPr>
          <w:rFonts w:cstheme="minorHAnsi"/>
        </w:rPr>
        <w:t>s</w:t>
      </w:r>
      <w:r w:rsidRPr="000F1F54">
        <w:rPr>
          <w:rFonts w:cstheme="minorHAnsi"/>
        </w:rPr>
        <w:t xml:space="preserve">měrnice č. II“ upravující „HARMONOGRAM ÚČETNÍCH ZÁVĚREK V PRŮBĚHU ROKU, ROČNÍ ÚČETNÍ UZÁVĚRKY A ZÁVĚRKY“ a ustanovení bodu </w:t>
      </w:r>
      <w:proofErr w:type="gramStart"/>
      <w:r w:rsidRPr="000F1F54">
        <w:rPr>
          <w:rFonts w:cstheme="minorHAnsi"/>
        </w:rPr>
        <w:t>3.4. „</w:t>
      </w:r>
      <w:r>
        <w:rPr>
          <w:rFonts w:cstheme="minorHAnsi"/>
        </w:rPr>
        <w:t>s</w:t>
      </w:r>
      <w:r w:rsidRPr="000F1F54">
        <w:rPr>
          <w:rFonts w:cstheme="minorHAnsi"/>
        </w:rPr>
        <w:t>měrnice</w:t>
      </w:r>
      <w:proofErr w:type="gramEnd"/>
      <w:r w:rsidRPr="000F1F54">
        <w:rPr>
          <w:rFonts w:cstheme="minorHAnsi"/>
        </w:rPr>
        <w:t xml:space="preserve"> č. IV“ upravující „OBĚH ÚČETNÍCH DOKLADŮ“, které byly součástí </w:t>
      </w:r>
      <w:r>
        <w:rPr>
          <w:rFonts w:cstheme="minorHAnsi"/>
        </w:rPr>
        <w:t>s</w:t>
      </w:r>
      <w:r w:rsidRPr="000F1F54">
        <w:rPr>
          <w:rFonts w:cstheme="minorHAnsi"/>
        </w:rPr>
        <w:t>měrnic o účetnictví ZÚ v Ostravě účinných od 1. 1. 2017, 1. 1. 2018 a</w:t>
      </w:r>
      <w:r>
        <w:rPr>
          <w:rFonts w:cstheme="minorHAnsi"/>
        </w:rPr>
        <w:t> 1. </w:t>
      </w:r>
      <w:r w:rsidRPr="000F1F54">
        <w:rPr>
          <w:rFonts w:cstheme="minorHAnsi"/>
        </w:rPr>
        <w:t>1.</w:t>
      </w:r>
      <w:r>
        <w:rPr>
          <w:rFonts w:cstheme="minorHAnsi"/>
        </w:rPr>
        <w:t> </w:t>
      </w:r>
      <w:r w:rsidRPr="000F1F54">
        <w:rPr>
          <w:rFonts w:cstheme="minorHAnsi"/>
        </w:rPr>
        <w:t>2019.</w:t>
      </w:r>
    </w:p>
  </w:footnote>
  <w:footnote w:id="53">
    <w:p w14:paraId="6CA2BE20" w14:textId="77777777" w:rsidR="001B182E" w:rsidRPr="00B40C9F" w:rsidRDefault="001B182E" w:rsidP="007A498E">
      <w:pPr>
        <w:pStyle w:val="Textpoznpodarou"/>
        <w:ind w:left="284" w:hanging="284"/>
        <w:rPr>
          <w:rFonts w:cstheme="minorHAnsi"/>
          <w:sz w:val="16"/>
          <w:szCs w:val="16"/>
        </w:rPr>
      </w:pPr>
      <w:r w:rsidRPr="000F1F54">
        <w:rPr>
          <w:rStyle w:val="Znakapoznpodarou"/>
          <w:rFonts w:cstheme="minorHAnsi"/>
        </w:rPr>
        <w:footnoteRef/>
      </w:r>
      <w:r w:rsidRPr="000F1F54">
        <w:rPr>
          <w:rFonts w:cstheme="minorHAnsi"/>
        </w:rPr>
        <w:tab/>
      </w:r>
      <w:r w:rsidRPr="000F1F54">
        <w:rPr>
          <w:rFonts w:eastAsia="Calibri" w:cstheme="minorHAnsi"/>
        </w:rPr>
        <w:t>Zákon č. 134/2016 Sb., o zadávání veřejných zakázek.</w:t>
      </w:r>
    </w:p>
  </w:footnote>
  <w:footnote w:id="54">
    <w:p w14:paraId="3A64C145" w14:textId="77777777" w:rsidR="001B182E" w:rsidRPr="00522FB9" w:rsidRDefault="001B182E" w:rsidP="002777F5">
      <w:pPr>
        <w:pStyle w:val="Textpoznpodarou"/>
        <w:ind w:left="284" w:hanging="284"/>
      </w:pPr>
      <w:r w:rsidRPr="00522FB9">
        <w:rPr>
          <w:rStyle w:val="Znakapoznpodarou"/>
        </w:rPr>
        <w:footnoteRef/>
      </w:r>
      <w:r w:rsidRPr="00522FB9">
        <w:tab/>
      </w:r>
      <w:r w:rsidRPr="00522FB9">
        <w:rPr>
          <w:rFonts w:ascii="Calibri" w:hAnsi="Calibri" w:cs="Calibri"/>
        </w:rPr>
        <w:t>Ustanovení § 25 odst. 1 písm. a) a b) a ustanoveními § 25 odst. 2 písm. c) a e) zákona č. 320/2001 Sb.</w:t>
      </w:r>
    </w:p>
  </w:footnote>
  <w:footnote w:id="55">
    <w:p w14:paraId="4657406B" w14:textId="607E279A" w:rsidR="001B182E" w:rsidRPr="00522FB9" w:rsidRDefault="001B182E" w:rsidP="002777F5">
      <w:pPr>
        <w:pStyle w:val="Textpoznpodarou"/>
        <w:ind w:left="284" w:hanging="284"/>
        <w:jc w:val="both"/>
        <w:rPr>
          <w:rFonts w:ascii="Calibri" w:hAnsi="Calibri"/>
        </w:rPr>
      </w:pPr>
      <w:r w:rsidRPr="00522FB9">
        <w:rPr>
          <w:rStyle w:val="Znakapoznpodarou"/>
          <w:rFonts w:eastAsiaTheme="majorEastAsia"/>
        </w:rPr>
        <w:footnoteRef/>
      </w:r>
      <w:r w:rsidRPr="00522FB9">
        <w:tab/>
        <w:t xml:space="preserve">Dokument </w:t>
      </w:r>
      <w:r w:rsidRPr="009A5205">
        <w:rPr>
          <w:i/>
        </w:rPr>
        <w:t>Systém finanční kontroly</w:t>
      </w:r>
      <w:r w:rsidRPr="00522FB9">
        <w:t xml:space="preserve"> ze dne 2. 1. 201</w:t>
      </w:r>
      <w:r>
        <w:t>7 včetně jeho nedílné součásti –</w:t>
      </w:r>
      <w:r w:rsidRPr="00522FB9">
        <w:t xml:space="preserve"> přílohy č. 1 s názvem </w:t>
      </w:r>
      <w:r w:rsidRPr="009A5205">
        <w:rPr>
          <w:i/>
        </w:rPr>
        <w:t>Vnitřní kontrolní systém Zdravotního ústavu se sídlem v Ostravě</w:t>
      </w:r>
      <w:r w:rsidRPr="00522FB9">
        <w:t xml:space="preserve">; </w:t>
      </w:r>
      <w:r>
        <w:t>d</w:t>
      </w:r>
      <w:r w:rsidRPr="00522FB9">
        <w:t xml:space="preserve">okument </w:t>
      </w:r>
      <w:r w:rsidRPr="009A5205">
        <w:rPr>
          <w:i/>
        </w:rPr>
        <w:t>Systém finanční kontroly</w:t>
      </w:r>
      <w:r w:rsidRPr="00522FB9">
        <w:t xml:space="preserve"> ze dne 2. 1. 2018 včetně jeho nedílné součásti </w:t>
      </w:r>
      <w:r>
        <w:t>–</w:t>
      </w:r>
      <w:r w:rsidRPr="00522FB9">
        <w:t xml:space="preserve"> </w:t>
      </w:r>
      <w:r>
        <w:t>p</w:t>
      </w:r>
      <w:r w:rsidRPr="00522FB9">
        <w:t xml:space="preserve">řílohy č. 1 s názvem </w:t>
      </w:r>
      <w:r w:rsidRPr="009A5205">
        <w:rPr>
          <w:i/>
        </w:rPr>
        <w:t>Vnitřní kontrolní systém Zdravotního ústavu se sídlem v Ostravě</w:t>
      </w:r>
      <w:r w:rsidRPr="00522FB9">
        <w:t xml:space="preserve">; </w:t>
      </w:r>
      <w:r>
        <w:t>d</w:t>
      </w:r>
      <w:r w:rsidRPr="00522FB9">
        <w:t xml:space="preserve">okument </w:t>
      </w:r>
      <w:r w:rsidRPr="009A5205">
        <w:rPr>
          <w:i/>
        </w:rPr>
        <w:t>Systém finanční kontroly</w:t>
      </w:r>
      <w:r w:rsidRPr="00522FB9">
        <w:t xml:space="preserve"> ze dne 18. 9. 2018 včetně jeho nedílné součásti </w:t>
      </w:r>
      <w:r>
        <w:t>–</w:t>
      </w:r>
      <w:r w:rsidRPr="00522FB9">
        <w:t xml:space="preserve"> přílohy č. 1 s názvem </w:t>
      </w:r>
      <w:r w:rsidRPr="009A5205">
        <w:rPr>
          <w:i/>
        </w:rPr>
        <w:t>Vnitřní kontrolní systém Zdravotního ústavu se sídlem v Ostravě</w:t>
      </w:r>
      <w:r w:rsidRPr="00522FB9">
        <w:t>.</w:t>
      </w:r>
    </w:p>
  </w:footnote>
  <w:footnote w:id="56">
    <w:p w14:paraId="1C4F263C" w14:textId="77777777" w:rsidR="001B182E" w:rsidRPr="00522FB9" w:rsidRDefault="001B182E" w:rsidP="002777F5">
      <w:pPr>
        <w:pStyle w:val="Textpoznpodarou"/>
        <w:ind w:left="284" w:hanging="284"/>
      </w:pPr>
      <w:r w:rsidRPr="00522FB9">
        <w:rPr>
          <w:rStyle w:val="Znakapoznpodarou"/>
        </w:rPr>
        <w:footnoteRef/>
      </w:r>
      <w:r w:rsidRPr="00522FB9">
        <w:tab/>
      </w:r>
      <w:r w:rsidRPr="00522FB9">
        <w:rPr>
          <w:rFonts w:cs="Calibri"/>
        </w:rPr>
        <w:t>Ustanovení § 26 odst. 1 zákona č. 320/2001 Sb. a ustanovení § 13 vyhlášky č. 416/2004 Sb.</w:t>
      </w:r>
    </w:p>
  </w:footnote>
  <w:footnote w:id="57">
    <w:p w14:paraId="237A8BB6" w14:textId="1C925DAA" w:rsidR="001B182E" w:rsidRPr="00522FB9" w:rsidRDefault="001B182E" w:rsidP="002777F5">
      <w:pPr>
        <w:pStyle w:val="Textpoznpodarou"/>
        <w:ind w:left="284" w:hanging="284"/>
        <w:jc w:val="both"/>
      </w:pPr>
      <w:r w:rsidRPr="00522FB9">
        <w:rPr>
          <w:rStyle w:val="Znakapoznpodarou"/>
        </w:rPr>
        <w:footnoteRef/>
      </w:r>
      <w:r w:rsidRPr="00522FB9">
        <w:tab/>
      </w:r>
      <w:r w:rsidRPr="00522FB9">
        <w:rPr>
          <w:rFonts w:cs="Calibri"/>
        </w:rPr>
        <w:t xml:space="preserve">Dopis Ministerstva zdravotnictví </w:t>
      </w:r>
      <w:r w:rsidRPr="00522FB9">
        <w:rPr>
          <w:rFonts w:cs="Calibri"/>
          <w:iCs/>
        </w:rPr>
        <w:t>č.</w:t>
      </w:r>
      <w:r>
        <w:rPr>
          <w:rFonts w:cs="Calibri"/>
          <w:iCs/>
        </w:rPr>
        <w:t> </w:t>
      </w:r>
      <w:r w:rsidRPr="00522FB9">
        <w:rPr>
          <w:rFonts w:cs="Calibri"/>
          <w:iCs/>
        </w:rPr>
        <w:t>j. 35333/2003 ze dne 31. 03. 2003.</w:t>
      </w:r>
    </w:p>
  </w:footnote>
  <w:footnote w:id="58">
    <w:p w14:paraId="2F4E9CA3" w14:textId="77777777" w:rsidR="001B182E" w:rsidRPr="00522FB9" w:rsidRDefault="001B182E" w:rsidP="002777F5">
      <w:pPr>
        <w:pStyle w:val="Textpoznpodarou"/>
        <w:ind w:left="284" w:hanging="284"/>
        <w:jc w:val="both"/>
        <w:rPr>
          <w:rFonts w:cstheme="minorHAnsi"/>
        </w:rPr>
      </w:pPr>
      <w:r w:rsidRPr="00522FB9">
        <w:rPr>
          <w:rStyle w:val="Znakapoznpodarou"/>
          <w:rFonts w:cstheme="minorHAnsi"/>
        </w:rPr>
        <w:footnoteRef/>
      </w:r>
      <w:r w:rsidRPr="00522FB9">
        <w:rPr>
          <w:rFonts w:cstheme="minorHAnsi"/>
        </w:rPr>
        <w:tab/>
        <w:t>Zákon č. 115/2012 Sb.</w:t>
      </w:r>
    </w:p>
  </w:footnote>
  <w:footnote w:id="59">
    <w:p w14:paraId="75DBD2AF" w14:textId="77777777" w:rsidR="001B182E" w:rsidRPr="000C0FA6" w:rsidRDefault="001B182E" w:rsidP="002777F5">
      <w:pPr>
        <w:pStyle w:val="Textpoznpodarou"/>
        <w:ind w:left="284" w:hanging="284"/>
        <w:jc w:val="both"/>
        <w:rPr>
          <w:sz w:val="16"/>
          <w:szCs w:val="16"/>
        </w:rPr>
      </w:pPr>
      <w:r w:rsidRPr="00522FB9">
        <w:rPr>
          <w:rStyle w:val="Znakapoznpodarou"/>
        </w:rPr>
        <w:footnoteRef/>
      </w:r>
      <w:r w:rsidRPr="00522FB9">
        <w:tab/>
      </w:r>
      <w:r w:rsidRPr="00522FB9">
        <w:rPr>
          <w:rFonts w:cs="Calibri"/>
        </w:rPr>
        <w:t>Ustanovení § 26 odst. 3 zákona č. 320/2001 Sb.</w:t>
      </w:r>
    </w:p>
  </w:footnote>
  <w:footnote w:id="60">
    <w:p w14:paraId="0D2E69A1" w14:textId="77777777" w:rsidR="001B182E" w:rsidRPr="00522FB9" w:rsidRDefault="001B182E" w:rsidP="002777F5">
      <w:pPr>
        <w:pStyle w:val="Textpoznpodarou"/>
        <w:ind w:left="284" w:hanging="284"/>
        <w:jc w:val="both"/>
      </w:pPr>
      <w:r w:rsidRPr="00522FB9">
        <w:rPr>
          <w:rStyle w:val="Znakapoznpodarou"/>
        </w:rPr>
        <w:footnoteRef/>
      </w:r>
      <w:r w:rsidRPr="00522FB9">
        <w:tab/>
        <w:t>Ustanovení § 27 zákona č. 320/2001 Sb.</w:t>
      </w:r>
    </w:p>
  </w:footnote>
  <w:footnote w:id="61">
    <w:p w14:paraId="48970840" w14:textId="77777777" w:rsidR="001B182E" w:rsidRPr="00522FB9" w:rsidRDefault="001B182E" w:rsidP="00085BFD">
      <w:pPr>
        <w:pStyle w:val="Textpoznpodarou"/>
        <w:ind w:left="284" w:hanging="284"/>
        <w:jc w:val="both"/>
      </w:pPr>
      <w:r w:rsidRPr="00522FB9">
        <w:rPr>
          <w:rStyle w:val="Znakapoznpodarou"/>
        </w:rPr>
        <w:footnoteRef/>
      </w:r>
      <w:r w:rsidRPr="00522FB9">
        <w:tab/>
      </w:r>
      <w:r w:rsidRPr="00522FB9">
        <w:rPr>
          <w:rFonts w:cstheme="minorHAnsi"/>
        </w:rPr>
        <w:t>Ustanovení § 26 odst. 1 zákona č. 320/2001 Sb.</w:t>
      </w:r>
    </w:p>
  </w:footnote>
  <w:footnote w:id="62">
    <w:p w14:paraId="65245305" w14:textId="77777777" w:rsidR="001B182E" w:rsidRPr="00522FB9" w:rsidRDefault="001B182E" w:rsidP="00085BFD">
      <w:pPr>
        <w:pStyle w:val="Textpoznpodarou"/>
        <w:ind w:left="284" w:hanging="284"/>
        <w:jc w:val="both"/>
      </w:pPr>
      <w:r w:rsidRPr="00522FB9">
        <w:rPr>
          <w:rStyle w:val="Znakapoznpodarou"/>
        </w:rPr>
        <w:footnoteRef/>
      </w:r>
      <w:r w:rsidRPr="00522FB9">
        <w:tab/>
        <w:t xml:space="preserve">Ustanovení § 4 odst. 2 </w:t>
      </w:r>
      <w:r w:rsidRPr="00522FB9">
        <w:rPr>
          <w:rFonts w:cstheme="minorHAnsi"/>
        </w:rPr>
        <w:t>zákona č. 320/2001 Sb.</w:t>
      </w:r>
    </w:p>
  </w:footnote>
  <w:footnote w:id="63">
    <w:p w14:paraId="3D91C381" w14:textId="77777777" w:rsidR="001B182E" w:rsidRPr="00522FB9" w:rsidRDefault="001B182E" w:rsidP="00085BFD">
      <w:pPr>
        <w:pStyle w:val="Textpoznpodarou"/>
        <w:ind w:left="284" w:hanging="284"/>
        <w:jc w:val="both"/>
      </w:pPr>
      <w:r w:rsidRPr="00522FB9">
        <w:rPr>
          <w:rStyle w:val="Znakapoznpodarou"/>
        </w:rPr>
        <w:footnoteRef/>
      </w:r>
      <w:r w:rsidRPr="00522FB9">
        <w:tab/>
      </w:r>
      <w:r w:rsidRPr="00522FB9">
        <w:rPr>
          <w:rFonts w:cstheme="minorHAnsi"/>
        </w:rPr>
        <w:t>Ustanovení § 26 odst. 1 zákona č. 320/2001 Sb.</w:t>
      </w:r>
    </w:p>
  </w:footnote>
  <w:footnote w:id="64">
    <w:p w14:paraId="1C05F9CB" w14:textId="77777777" w:rsidR="001B182E" w:rsidRPr="00031A90" w:rsidRDefault="001B182E" w:rsidP="00085BFD">
      <w:pPr>
        <w:pStyle w:val="Textpoznpodarou"/>
        <w:ind w:left="284" w:hanging="284"/>
        <w:jc w:val="both"/>
      </w:pPr>
      <w:r w:rsidRPr="00522FB9">
        <w:rPr>
          <w:rStyle w:val="Znakapoznpodarou"/>
        </w:rPr>
        <w:footnoteRef/>
      </w:r>
      <w:r w:rsidRPr="00522FB9">
        <w:tab/>
      </w:r>
      <w:r w:rsidRPr="00031A90">
        <w:t>Ustanovení § 27 zákona č. 320/2001 Sb.</w:t>
      </w:r>
    </w:p>
  </w:footnote>
  <w:footnote w:id="65">
    <w:p w14:paraId="2C4C90A0" w14:textId="77777777" w:rsidR="001B182E" w:rsidRPr="0067556A" w:rsidRDefault="001B182E" w:rsidP="0067556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7556A">
        <w:rPr>
          <w:rStyle w:val="Znakapoznpodarou"/>
          <w:rFonts w:ascii="Calibri" w:hAnsi="Calibri" w:cs="Calibri"/>
        </w:rPr>
        <w:footnoteRef/>
      </w:r>
      <w:r w:rsidRPr="0067556A">
        <w:rPr>
          <w:rFonts w:ascii="Calibri" w:hAnsi="Calibri" w:cs="Calibri"/>
        </w:rPr>
        <w:tab/>
        <w:t>Ustanovení § 25 odst. 2 písm. c) zákona č. 320/2001 Sb.</w:t>
      </w:r>
    </w:p>
  </w:footnote>
  <w:footnote w:id="66">
    <w:p w14:paraId="10552697" w14:textId="77777777" w:rsidR="001B182E" w:rsidRPr="0067556A" w:rsidRDefault="001B182E" w:rsidP="0067556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7556A">
        <w:rPr>
          <w:rStyle w:val="Znakapoznpodarou"/>
          <w:rFonts w:ascii="Calibri" w:hAnsi="Calibri" w:cs="Calibri"/>
        </w:rPr>
        <w:footnoteRef/>
      </w:r>
      <w:r w:rsidRPr="0067556A">
        <w:rPr>
          <w:rFonts w:ascii="Calibri" w:hAnsi="Calibri" w:cs="Calibri"/>
        </w:rPr>
        <w:tab/>
        <w:t xml:space="preserve">Výše neoprávněně vynaložených peněžních </w:t>
      </w:r>
      <w:proofErr w:type="gramStart"/>
      <w:r w:rsidRPr="0067556A">
        <w:rPr>
          <w:rFonts w:ascii="Calibri" w:hAnsi="Calibri" w:cs="Calibri"/>
        </w:rPr>
        <w:t>prostředků u ZÚ</w:t>
      </w:r>
      <w:proofErr w:type="gramEnd"/>
      <w:r w:rsidRPr="0067556A">
        <w:rPr>
          <w:rFonts w:ascii="Calibri" w:hAnsi="Calibri" w:cs="Calibri"/>
        </w:rPr>
        <w:t xml:space="preserve"> v Ostravě je do určité míry ovlivněna výsledkem kontroly provedené v roce 2018 Ministerstvem zdravotnictví.</w:t>
      </w:r>
    </w:p>
  </w:footnote>
  <w:footnote w:id="67">
    <w:p w14:paraId="2DB627E1" w14:textId="77777777" w:rsidR="001B182E" w:rsidRPr="0067556A" w:rsidRDefault="001B182E" w:rsidP="0067556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7556A">
        <w:rPr>
          <w:rStyle w:val="Znakapoznpodarou"/>
          <w:rFonts w:ascii="Calibri" w:hAnsi="Calibri" w:cs="Calibri"/>
        </w:rPr>
        <w:footnoteRef/>
      </w:r>
      <w:r w:rsidRPr="0067556A">
        <w:rPr>
          <w:rFonts w:ascii="Calibri" w:hAnsi="Calibri" w:cs="Calibri"/>
        </w:rPr>
        <w:tab/>
        <w:t>Ustanovení § 2 odst. 3, § 19 odst. 1 písm. a), § 25 zákona č. 134/2016 Sb.</w:t>
      </w:r>
    </w:p>
  </w:footnote>
  <w:footnote w:id="68">
    <w:p w14:paraId="40249EFB" w14:textId="77777777" w:rsidR="001B182E" w:rsidRPr="0067556A" w:rsidRDefault="001B182E" w:rsidP="0067556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7556A">
        <w:rPr>
          <w:rStyle w:val="Znakapoznpodarou"/>
          <w:rFonts w:ascii="Calibri" w:hAnsi="Calibri" w:cs="Calibri"/>
        </w:rPr>
        <w:footnoteRef/>
      </w:r>
      <w:r w:rsidRPr="0067556A">
        <w:rPr>
          <w:rFonts w:ascii="Calibri" w:hAnsi="Calibri" w:cs="Calibri"/>
        </w:rPr>
        <w:tab/>
        <w:t>Ustanovení § 6 odst. 2 zákona č. 134/2016 Sb.</w:t>
      </w:r>
    </w:p>
  </w:footnote>
  <w:footnote w:id="69">
    <w:p w14:paraId="57F3DE85" w14:textId="77777777" w:rsidR="001B182E" w:rsidRPr="0067556A" w:rsidRDefault="001B182E" w:rsidP="0067556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7556A">
        <w:rPr>
          <w:rStyle w:val="Znakapoznpodarou"/>
          <w:rFonts w:ascii="Calibri" w:hAnsi="Calibri" w:cs="Calibri"/>
        </w:rPr>
        <w:footnoteRef/>
      </w:r>
      <w:r w:rsidRPr="0067556A">
        <w:rPr>
          <w:rFonts w:ascii="Calibri" w:hAnsi="Calibri" w:cs="Calibri"/>
        </w:rPr>
        <w:tab/>
        <w:t>U</w:t>
      </w:r>
      <w:r w:rsidRPr="0067556A">
        <w:rPr>
          <w:rFonts w:ascii="Calibri" w:eastAsia="Calibri" w:hAnsi="Calibri" w:cs="Calibri"/>
        </w:rPr>
        <w:t>stanovení § 31 a § 6 zákona č. 134/2016 Sb.</w:t>
      </w:r>
    </w:p>
  </w:footnote>
  <w:footnote w:id="70">
    <w:p w14:paraId="41AC7E44" w14:textId="77777777" w:rsidR="001B182E" w:rsidRPr="002B7960" w:rsidRDefault="001B182E" w:rsidP="002B796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7960">
        <w:rPr>
          <w:rStyle w:val="Znakapoznpodarou"/>
          <w:rFonts w:ascii="Calibri" w:hAnsi="Calibri" w:cs="Calibri"/>
        </w:rPr>
        <w:footnoteRef/>
      </w:r>
      <w:r w:rsidRPr="002B79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B7960">
        <w:rPr>
          <w:rFonts w:ascii="Calibri" w:hAnsi="Calibri" w:cs="Calibri"/>
        </w:rPr>
        <w:t>Ustanovení § 2 odst. 3, § 19, § 25 a 26 zákona č. 134/2016 Sb.</w:t>
      </w:r>
    </w:p>
  </w:footnote>
  <w:footnote w:id="71">
    <w:p w14:paraId="1174CA67" w14:textId="77777777" w:rsidR="001B182E" w:rsidRPr="002B7960" w:rsidRDefault="001B182E" w:rsidP="002B796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7960">
        <w:rPr>
          <w:rStyle w:val="Znakapoznpodarou"/>
          <w:rFonts w:ascii="Calibri" w:hAnsi="Calibri" w:cs="Calibri"/>
        </w:rPr>
        <w:footnoteRef/>
      </w:r>
      <w:r w:rsidRPr="002B79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B7960">
        <w:rPr>
          <w:rFonts w:ascii="Calibri" w:hAnsi="Calibri" w:cs="Calibri"/>
        </w:rPr>
        <w:t>Ustanovení § 31 a § 6 zákona č. 134/2016 Sb.</w:t>
      </w:r>
    </w:p>
  </w:footnote>
  <w:footnote w:id="72">
    <w:p w14:paraId="488580C6" w14:textId="77777777" w:rsidR="001B182E" w:rsidRPr="002B7960" w:rsidRDefault="001B182E" w:rsidP="002B796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7960">
        <w:rPr>
          <w:rStyle w:val="Znakapoznpodarou"/>
          <w:rFonts w:ascii="Calibri" w:hAnsi="Calibri" w:cs="Calibri"/>
        </w:rPr>
        <w:footnoteRef/>
      </w:r>
      <w:r w:rsidRPr="002B79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B7960">
        <w:rPr>
          <w:rFonts w:ascii="Calibri" w:hAnsi="Calibri" w:cs="Calibri"/>
        </w:rPr>
        <w:t>Ustanovení § 2 odst. 3, § 19, § 26 a 27 zákona č. 134/2016 Sb.</w:t>
      </w:r>
    </w:p>
  </w:footnote>
  <w:footnote w:id="73">
    <w:p w14:paraId="44A9FDFA" w14:textId="77777777" w:rsidR="001B182E" w:rsidRPr="002B7960" w:rsidRDefault="001B182E" w:rsidP="002B796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7960">
        <w:rPr>
          <w:rStyle w:val="Znakapoznpodarou"/>
          <w:rFonts w:ascii="Calibri" w:hAnsi="Calibri" w:cs="Calibri"/>
        </w:rPr>
        <w:footnoteRef/>
      </w:r>
      <w:r w:rsidRPr="002B79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B7960">
        <w:rPr>
          <w:rFonts w:ascii="Calibri" w:hAnsi="Calibri" w:cs="Calibri"/>
        </w:rPr>
        <w:t>Ustanovení § 53 odst. 4 zákona č. 218/2000 Sb.</w:t>
      </w:r>
    </w:p>
  </w:footnote>
  <w:footnote w:id="74">
    <w:p w14:paraId="488135B0" w14:textId="77777777" w:rsidR="001B182E" w:rsidRPr="002B7960" w:rsidRDefault="001B182E" w:rsidP="002B796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7960">
        <w:rPr>
          <w:rStyle w:val="Znakapoznpodarou"/>
          <w:rFonts w:ascii="Calibri" w:hAnsi="Calibri" w:cs="Calibri"/>
        </w:rPr>
        <w:footnoteRef/>
      </w:r>
      <w:r w:rsidRPr="002B79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B7960">
        <w:rPr>
          <w:rFonts w:ascii="Calibri" w:hAnsi="Calibri" w:cs="Calibri"/>
        </w:rPr>
        <w:t>Ustanovení § 31 a § 6 zákona č. 134/2016 Sb.</w:t>
      </w:r>
    </w:p>
  </w:footnote>
  <w:footnote w:id="75">
    <w:p w14:paraId="1FF580EC" w14:textId="77777777" w:rsidR="001B182E" w:rsidRPr="002B7960" w:rsidRDefault="001B182E" w:rsidP="002B796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7960">
        <w:rPr>
          <w:rStyle w:val="Znakapoznpodarou"/>
          <w:rFonts w:ascii="Calibri" w:hAnsi="Calibri" w:cs="Calibri"/>
        </w:rPr>
        <w:footnoteRef/>
      </w:r>
      <w:r w:rsidRPr="002B79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B7960">
        <w:rPr>
          <w:rFonts w:ascii="Calibri" w:hAnsi="Calibri" w:cs="Calibri"/>
        </w:rPr>
        <w:t>Ustanovení § 31 a § 6 zákona č. 134/2016 Sb.</w:t>
      </w:r>
    </w:p>
  </w:footnote>
  <w:footnote w:id="76">
    <w:p w14:paraId="285FAB5D" w14:textId="77777777" w:rsidR="001B182E" w:rsidRPr="002B7960" w:rsidRDefault="001B182E" w:rsidP="002B796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7960">
        <w:rPr>
          <w:rStyle w:val="Znakapoznpodarou"/>
          <w:rFonts w:ascii="Calibri" w:hAnsi="Calibri" w:cs="Calibri"/>
        </w:rPr>
        <w:footnoteRef/>
      </w:r>
      <w:r w:rsidRPr="002B79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B7960">
        <w:rPr>
          <w:rFonts w:ascii="Calibri" w:hAnsi="Calibri" w:cs="Calibri"/>
        </w:rPr>
        <w:t>Ustanovení § 53 odst. 4 zákona č. 218/2000 Sb.</w:t>
      </w:r>
    </w:p>
  </w:footnote>
  <w:footnote w:id="77">
    <w:p w14:paraId="793DC927" w14:textId="77777777" w:rsidR="001B182E" w:rsidRPr="002B7960" w:rsidRDefault="001B182E" w:rsidP="002B796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7960">
        <w:rPr>
          <w:rStyle w:val="Znakapoznpodarou"/>
          <w:rFonts w:ascii="Calibri" w:hAnsi="Calibri" w:cs="Calibri"/>
        </w:rPr>
        <w:footnoteRef/>
      </w:r>
      <w:r w:rsidRPr="002B79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B7960">
        <w:rPr>
          <w:rFonts w:ascii="Calibri" w:hAnsi="Calibri" w:cs="Calibri"/>
        </w:rPr>
        <w:t>Ustanovení § 31 a § 6 zákona č. 134/2016 Sb.</w:t>
      </w:r>
    </w:p>
  </w:footnote>
  <w:footnote w:id="78">
    <w:p w14:paraId="525ACA1D" w14:textId="77777777" w:rsidR="001B182E" w:rsidRPr="002B7960" w:rsidRDefault="001B182E" w:rsidP="002B796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7960">
        <w:rPr>
          <w:rStyle w:val="Znakapoznpodarou"/>
          <w:rFonts w:ascii="Calibri" w:hAnsi="Calibri" w:cs="Calibri"/>
        </w:rPr>
        <w:footnoteRef/>
      </w:r>
      <w:r w:rsidRPr="002B79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B7960">
        <w:rPr>
          <w:rFonts w:ascii="Calibri" w:hAnsi="Calibri" w:cs="Calibri"/>
        </w:rPr>
        <w:t>Ustanovení § 53 odst. 4 zákona č. 218/2000 Sb.</w:t>
      </w:r>
    </w:p>
  </w:footnote>
  <w:footnote w:id="79">
    <w:p w14:paraId="00089893" w14:textId="77777777" w:rsidR="001B182E" w:rsidRPr="002B0911" w:rsidRDefault="001B182E" w:rsidP="002B0911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0911">
        <w:rPr>
          <w:rStyle w:val="Znakapoznpodarou"/>
          <w:rFonts w:ascii="Calibri" w:hAnsi="Calibri" w:cs="Calibri"/>
        </w:rPr>
        <w:footnoteRef/>
      </w:r>
      <w:r w:rsidRPr="002B0911">
        <w:rPr>
          <w:rFonts w:ascii="Calibri" w:hAnsi="Calibri" w:cs="Calibri"/>
        </w:rPr>
        <w:tab/>
        <w:t>Zákon č. 115/2012 Sb., kterým se mění zákon č. 258/2000</w:t>
      </w:r>
      <w:r>
        <w:rPr>
          <w:rFonts w:ascii="Calibri" w:hAnsi="Calibri" w:cs="Calibri"/>
        </w:rPr>
        <w:t> </w:t>
      </w:r>
      <w:r w:rsidRPr="002B0911">
        <w:rPr>
          <w:rFonts w:ascii="Calibri" w:hAnsi="Calibri" w:cs="Calibri"/>
        </w:rPr>
        <w:t>Sb., o ochraně veřejného zdraví a o</w:t>
      </w:r>
      <w:r>
        <w:rPr>
          <w:rFonts w:ascii="Calibri" w:hAnsi="Calibri" w:cs="Calibri"/>
        </w:rPr>
        <w:t> </w:t>
      </w:r>
      <w:r w:rsidRPr="002B0911">
        <w:rPr>
          <w:rFonts w:ascii="Calibri" w:hAnsi="Calibri" w:cs="Calibri"/>
        </w:rPr>
        <w:t>změně některých souvisejících zákonů, ve znění pozdějších předpisů.</w:t>
      </w:r>
    </w:p>
  </w:footnote>
  <w:footnote w:id="80">
    <w:p w14:paraId="64D1F14D" w14:textId="77777777" w:rsidR="001B182E" w:rsidRPr="002B0911" w:rsidRDefault="001B182E" w:rsidP="002B0911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0911">
        <w:rPr>
          <w:rStyle w:val="Znakapoznpodarou"/>
          <w:rFonts w:ascii="Calibri" w:hAnsi="Calibri" w:cs="Calibri"/>
        </w:rPr>
        <w:footnoteRef/>
      </w:r>
      <w:r w:rsidRPr="002B0911">
        <w:rPr>
          <w:rFonts w:ascii="Calibri" w:hAnsi="Calibri" w:cs="Calibri"/>
        </w:rPr>
        <w:tab/>
        <w:t>Moravskoslezský kraj, Olomoucký kraj, Zlínský kraj, Jihomoravský kraj a Kraj Vysočina.</w:t>
      </w:r>
    </w:p>
  </w:footnote>
  <w:footnote w:id="81">
    <w:p w14:paraId="65231620" w14:textId="77777777" w:rsidR="001B182E" w:rsidRPr="002B0911" w:rsidRDefault="001B182E" w:rsidP="002B0911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0911">
        <w:rPr>
          <w:rStyle w:val="Znakapoznpodarou"/>
          <w:rFonts w:ascii="Calibri" w:hAnsi="Calibri" w:cs="Calibri"/>
        </w:rPr>
        <w:footnoteRef/>
      </w:r>
      <w:r w:rsidRPr="002B0911">
        <w:rPr>
          <w:rFonts w:ascii="Calibri" w:hAnsi="Calibri" w:cs="Calibri"/>
        </w:rPr>
        <w:tab/>
        <w:t>Středočeský kraj, Jihočeský kraj, Plzeňský kraj, Karlovarský kraj, Ústecký kraj, Liberecký kraj, Královéhradecký kraj a Pardubický kraj.</w:t>
      </w:r>
    </w:p>
  </w:footnote>
  <w:footnote w:id="82">
    <w:p w14:paraId="0E14BA78" w14:textId="52BAFC58" w:rsidR="001B182E" w:rsidRPr="002B0911" w:rsidRDefault="001B182E" w:rsidP="002B0911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0911">
        <w:rPr>
          <w:rStyle w:val="Znakapoznpodarou"/>
          <w:rFonts w:ascii="Calibri" w:hAnsi="Calibri" w:cs="Calibri"/>
        </w:rPr>
        <w:footnoteRef/>
      </w:r>
      <w:r w:rsidRPr="002B0911">
        <w:rPr>
          <w:rFonts w:ascii="Calibri" w:hAnsi="Calibri" w:cs="Calibri"/>
        </w:rPr>
        <w:tab/>
        <w:t>Sazebník pro OOVZ byl vypracován společně oběma zdravotními ústavy na základě zadání hlavního hygienika a vycházel z ceníkových cen obou zdravotních ústavů a</w:t>
      </w:r>
      <w:r>
        <w:rPr>
          <w:rFonts w:ascii="Calibri" w:hAnsi="Calibri" w:cs="Calibri"/>
        </w:rPr>
        <w:t xml:space="preserve"> z</w:t>
      </w:r>
      <w:r w:rsidRPr="002B0911">
        <w:rPr>
          <w:rFonts w:ascii="Calibri" w:hAnsi="Calibri" w:cs="Calibri"/>
        </w:rPr>
        <w:t xml:space="preserve"> dohod</w:t>
      </w:r>
      <w:r>
        <w:rPr>
          <w:rFonts w:ascii="Calibri" w:hAnsi="Calibri" w:cs="Calibri"/>
        </w:rPr>
        <w:t>y</w:t>
      </w:r>
      <w:r w:rsidRPr="002B0911">
        <w:rPr>
          <w:rFonts w:ascii="Calibri" w:hAnsi="Calibri" w:cs="Calibri"/>
        </w:rPr>
        <w:t xml:space="preserve"> mezi nimi. Sazebník je průběžně aktualizován.</w:t>
      </w:r>
    </w:p>
  </w:footnote>
  <w:footnote w:id="83">
    <w:p w14:paraId="4C425633" w14:textId="77777777" w:rsidR="001B182E" w:rsidRPr="002B0911" w:rsidRDefault="001B182E" w:rsidP="002B0911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B0911">
        <w:rPr>
          <w:rStyle w:val="Znakapoznpodarou"/>
          <w:rFonts w:ascii="Calibri" w:hAnsi="Calibri" w:cs="Calibri"/>
        </w:rPr>
        <w:footnoteRef/>
      </w:r>
      <w:r w:rsidRPr="002B0911">
        <w:rPr>
          <w:rFonts w:ascii="Calibri" w:hAnsi="Calibri" w:cs="Calibri"/>
        </w:rPr>
        <w:tab/>
        <w:t>Ustanovení § 86 odst. 1 a 3 zákona č. 258/2000 Sb., o ochraně veřejného zdraví a o změně některých souvisejících zákonů.</w:t>
      </w:r>
    </w:p>
  </w:footnote>
  <w:footnote w:id="84">
    <w:p w14:paraId="59717A29" w14:textId="77777777" w:rsidR="001B182E" w:rsidRPr="00C90CF0" w:rsidRDefault="001B182E" w:rsidP="007060F3">
      <w:pPr>
        <w:pStyle w:val="Textpoznpodarou"/>
        <w:ind w:left="284" w:hanging="284"/>
        <w:jc w:val="both"/>
        <w:rPr>
          <w:szCs w:val="16"/>
        </w:rPr>
      </w:pPr>
      <w:r w:rsidRPr="00C90CF0">
        <w:rPr>
          <w:rStyle w:val="Znakapoznpodarou"/>
          <w:szCs w:val="16"/>
        </w:rPr>
        <w:footnoteRef/>
      </w:r>
      <w:r w:rsidRPr="00C90CF0">
        <w:rPr>
          <w:szCs w:val="16"/>
        </w:rPr>
        <w:tab/>
        <w:t>Agregovaný výkon – výkon uhrazený zdravotní pojišťovnou poskytovateli zdravotních lůžkových služeb v rámci agregace do ošetřovacího dne.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06B3F" w14:textId="77777777" w:rsidR="001B182E" w:rsidRDefault="001B18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EEE"/>
    <w:multiLevelType w:val="hybridMultilevel"/>
    <w:tmpl w:val="AAC6F650"/>
    <w:lvl w:ilvl="0" w:tplc="1A3A82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A404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E01C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FA84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B6F6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1843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C81F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FCB8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94B4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6CE9"/>
    <w:multiLevelType w:val="hybridMultilevel"/>
    <w:tmpl w:val="E1DC4694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02B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0A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20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29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41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41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05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03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72BF"/>
    <w:multiLevelType w:val="hybridMultilevel"/>
    <w:tmpl w:val="A0BCB5CE"/>
    <w:lvl w:ilvl="0" w:tplc="00F05A6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DA2F9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7487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0E0A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445D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D8A4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70D2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1886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46E0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176E7"/>
    <w:multiLevelType w:val="hybridMultilevel"/>
    <w:tmpl w:val="90C67B74"/>
    <w:lvl w:ilvl="0" w:tplc="31DADE04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F66C13D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2ACAE0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E9228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D2F53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E827A1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B52341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184D9A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9F6A49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8716F0"/>
    <w:multiLevelType w:val="hybridMultilevel"/>
    <w:tmpl w:val="FF1C7B22"/>
    <w:lvl w:ilvl="0" w:tplc="59FA5B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4CDB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309E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A052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46C25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5415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8484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B0083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FCE3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03BEE"/>
    <w:multiLevelType w:val="hybridMultilevel"/>
    <w:tmpl w:val="125E14E0"/>
    <w:lvl w:ilvl="0" w:tplc="1A58F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80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AD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A5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C7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67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A9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23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940CF"/>
    <w:multiLevelType w:val="hybridMultilevel"/>
    <w:tmpl w:val="81D43040"/>
    <w:lvl w:ilvl="0" w:tplc="9ADC8E02">
      <w:start w:val="1"/>
      <w:numFmt w:val="decimal"/>
      <w:lvlText w:val="I.%1"/>
      <w:lvlJc w:val="left"/>
      <w:pPr>
        <w:ind w:left="720" w:hanging="360"/>
      </w:pPr>
      <w:rPr>
        <w:rFonts w:hint="default"/>
        <w:color w:val="auto"/>
      </w:rPr>
    </w:lvl>
    <w:lvl w:ilvl="1" w:tplc="4CD4F776" w:tentative="1">
      <w:start w:val="1"/>
      <w:numFmt w:val="lowerLetter"/>
      <w:lvlText w:val="%2."/>
      <w:lvlJc w:val="left"/>
      <w:pPr>
        <w:ind w:left="1440" w:hanging="360"/>
      </w:pPr>
    </w:lvl>
    <w:lvl w:ilvl="2" w:tplc="23F8541E" w:tentative="1">
      <w:start w:val="1"/>
      <w:numFmt w:val="lowerRoman"/>
      <w:lvlText w:val="%3."/>
      <w:lvlJc w:val="right"/>
      <w:pPr>
        <w:ind w:left="2160" w:hanging="180"/>
      </w:pPr>
    </w:lvl>
    <w:lvl w:ilvl="3" w:tplc="8B862574" w:tentative="1">
      <w:start w:val="1"/>
      <w:numFmt w:val="decimal"/>
      <w:lvlText w:val="%4."/>
      <w:lvlJc w:val="left"/>
      <w:pPr>
        <w:ind w:left="2880" w:hanging="360"/>
      </w:pPr>
    </w:lvl>
    <w:lvl w:ilvl="4" w:tplc="1B6EC428" w:tentative="1">
      <w:start w:val="1"/>
      <w:numFmt w:val="lowerLetter"/>
      <w:lvlText w:val="%5."/>
      <w:lvlJc w:val="left"/>
      <w:pPr>
        <w:ind w:left="3600" w:hanging="360"/>
      </w:pPr>
    </w:lvl>
    <w:lvl w:ilvl="5" w:tplc="BDE45E18" w:tentative="1">
      <w:start w:val="1"/>
      <w:numFmt w:val="lowerRoman"/>
      <w:lvlText w:val="%6."/>
      <w:lvlJc w:val="right"/>
      <w:pPr>
        <w:ind w:left="4320" w:hanging="180"/>
      </w:pPr>
    </w:lvl>
    <w:lvl w:ilvl="6" w:tplc="32C65E3C" w:tentative="1">
      <w:start w:val="1"/>
      <w:numFmt w:val="decimal"/>
      <w:lvlText w:val="%7."/>
      <w:lvlJc w:val="left"/>
      <w:pPr>
        <w:ind w:left="5040" w:hanging="360"/>
      </w:pPr>
    </w:lvl>
    <w:lvl w:ilvl="7" w:tplc="B9767CF4" w:tentative="1">
      <w:start w:val="1"/>
      <w:numFmt w:val="lowerLetter"/>
      <w:lvlText w:val="%8."/>
      <w:lvlJc w:val="left"/>
      <w:pPr>
        <w:ind w:left="5760" w:hanging="360"/>
      </w:pPr>
    </w:lvl>
    <w:lvl w:ilvl="8" w:tplc="3D1A6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0149"/>
    <w:multiLevelType w:val="hybridMultilevel"/>
    <w:tmpl w:val="02AAA2F6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A2322"/>
    <w:multiLevelType w:val="hybridMultilevel"/>
    <w:tmpl w:val="70141D5C"/>
    <w:lvl w:ilvl="0" w:tplc="763AF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43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81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A7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EB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6C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C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62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EA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9670C"/>
    <w:multiLevelType w:val="hybridMultilevel"/>
    <w:tmpl w:val="121611EA"/>
    <w:lvl w:ilvl="0" w:tplc="85D856C4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282C736E" w:tentative="1">
      <w:start w:val="1"/>
      <w:numFmt w:val="lowerLetter"/>
      <w:lvlText w:val="%2."/>
      <w:lvlJc w:val="left"/>
      <w:pPr>
        <w:ind w:left="2357" w:hanging="360"/>
      </w:pPr>
    </w:lvl>
    <w:lvl w:ilvl="2" w:tplc="D65041D8" w:tentative="1">
      <w:start w:val="1"/>
      <w:numFmt w:val="lowerRoman"/>
      <w:lvlText w:val="%3."/>
      <w:lvlJc w:val="right"/>
      <w:pPr>
        <w:ind w:left="3077" w:hanging="180"/>
      </w:pPr>
    </w:lvl>
    <w:lvl w:ilvl="3" w:tplc="704EE11E" w:tentative="1">
      <w:start w:val="1"/>
      <w:numFmt w:val="decimal"/>
      <w:lvlText w:val="%4."/>
      <w:lvlJc w:val="left"/>
      <w:pPr>
        <w:ind w:left="3797" w:hanging="360"/>
      </w:pPr>
    </w:lvl>
    <w:lvl w:ilvl="4" w:tplc="CD5263DA" w:tentative="1">
      <w:start w:val="1"/>
      <w:numFmt w:val="lowerLetter"/>
      <w:lvlText w:val="%5."/>
      <w:lvlJc w:val="left"/>
      <w:pPr>
        <w:ind w:left="4517" w:hanging="360"/>
      </w:pPr>
    </w:lvl>
    <w:lvl w:ilvl="5" w:tplc="157EFCB6" w:tentative="1">
      <w:start w:val="1"/>
      <w:numFmt w:val="lowerRoman"/>
      <w:lvlText w:val="%6."/>
      <w:lvlJc w:val="right"/>
      <w:pPr>
        <w:ind w:left="5237" w:hanging="180"/>
      </w:pPr>
    </w:lvl>
    <w:lvl w:ilvl="6" w:tplc="676282EE" w:tentative="1">
      <w:start w:val="1"/>
      <w:numFmt w:val="decimal"/>
      <w:lvlText w:val="%7."/>
      <w:lvlJc w:val="left"/>
      <w:pPr>
        <w:ind w:left="5957" w:hanging="360"/>
      </w:pPr>
    </w:lvl>
    <w:lvl w:ilvl="7" w:tplc="54D6E8D6" w:tentative="1">
      <w:start w:val="1"/>
      <w:numFmt w:val="lowerLetter"/>
      <w:lvlText w:val="%8."/>
      <w:lvlJc w:val="left"/>
      <w:pPr>
        <w:ind w:left="6677" w:hanging="360"/>
      </w:pPr>
    </w:lvl>
    <w:lvl w:ilvl="8" w:tplc="2092D8C6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29014C1D"/>
    <w:multiLevelType w:val="hybridMultilevel"/>
    <w:tmpl w:val="D92E759E"/>
    <w:lvl w:ilvl="0" w:tplc="78EC7CBC">
      <w:start w:val="1"/>
      <w:numFmt w:val="decimal"/>
      <w:lvlText w:val="I.1.%1"/>
      <w:lvlJc w:val="left"/>
      <w:pPr>
        <w:ind w:left="720" w:hanging="360"/>
      </w:pPr>
      <w:rPr>
        <w:rFonts w:hint="default"/>
        <w:color w:val="auto"/>
      </w:rPr>
    </w:lvl>
    <w:lvl w:ilvl="1" w:tplc="CDB8AE44" w:tentative="1">
      <w:start w:val="1"/>
      <w:numFmt w:val="lowerLetter"/>
      <w:lvlText w:val="%2."/>
      <w:lvlJc w:val="left"/>
      <w:pPr>
        <w:ind w:left="1440" w:hanging="360"/>
      </w:pPr>
    </w:lvl>
    <w:lvl w:ilvl="2" w:tplc="EDE87260" w:tentative="1">
      <w:start w:val="1"/>
      <w:numFmt w:val="lowerRoman"/>
      <w:lvlText w:val="%3."/>
      <w:lvlJc w:val="right"/>
      <w:pPr>
        <w:ind w:left="2160" w:hanging="180"/>
      </w:pPr>
    </w:lvl>
    <w:lvl w:ilvl="3" w:tplc="6FCC6148" w:tentative="1">
      <w:start w:val="1"/>
      <w:numFmt w:val="decimal"/>
      <w:lvlText w:val="%4."/>
      <w:lvlJc w:val="left"/>
      <w:pPr>
        <w:ind w:left="2880" w:hanging="360"/>
      </w:pPr>
    </w:lvl>
    <w:lvl w:ilvl="4" w:tplc="6EF4EFFA" w:tentative="1">
      <w:start w:val="1"/>
      <w:numFmt w:val="lowerLetter"/>
      <w:lvlText w:val="%5."/>
      <w:lvlJc w:val="left"/>
      <w:pPr>
        <w:ind w:left="3600" w:hanging="360"/>
      </w:pPr>
    </w:lvl>
    <w:lvl w:ilvl="5" w:tplc="D87456BE" w:tentative="1">
      <w:start w:val="1"/>
      <w:numFmt w:val="lowerRoman"/>
      <w:lvlText w:val="%6."/>
      <w:lvlJc w:val="right"/>
      <w:pPr>
        <w:ind w:left="4320" w:hanging="180"/>
      </w:pPr>
    </w:lvl>
    <w:lvl w:ilvl="6" w:tplc="1730D86A" w:tentative="1">
      <w:start w:val="1"/>
      <w:numFmt w:val="decimal"/>
      <w:lvlText w:val="%7."/>
      <w:lvlJc w:val="left"/>
      <w:pPr>
        <w:ind w:left="5040" w:hanging="360"/>
      </w:pPr>
    </w:lvl>
    <w:lvl w:ilvl="7" w:tplc="D2BACFF2" w:tentative="1">
      <w:start w:val="1"/>
      <w:numFmt w:val="lowerLetter"/>
      <w:lvlText w:val="%8."/>
      <w:lvlJc w:val="left"/>
      <w:pPr>
        <w:ind w:left="5760" w:hanging="360"/>
      </w:pPr>
    </w:lvl>
    <w:lvl w:ilvl="8" w:tplc="0C128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130B3"/>
    <w:multiLevelType w:val="hybridMultilevel"/>
    <w:tmpl w:val="1CC63B64"/>
    <w:lvl w:ilvl="0" w:tplc="833634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7A6889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6FAA16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AC88EC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01E143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39E76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7704BB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FB62BB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D8E385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3A6D1B"/>
    <w:multiLevelType w:val="hybridMultilevel"/>
    <w:tmpl w:val="E7925E0E"/>
    <w:lvl w:ilvl="0" w:tplc="76922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EC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CE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6D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EF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348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88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03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5327A"/>
    <w:multiLevelType w:val="hybridMultilevel"/>
    <w:tmpl w:val="76D447E2"/>
    <w:lvl w:ilvl="0" w:tplc="123C0A54">
      <w:start w:val="1"/>
      <w:numFmt w:val="decimal"/>
      <w:lvlText w:val="I.2.%1"/>
      <w:lvlJc w:val="left"/>
      <w:pPr>
        <w:ind w:left="720" w:hanging="360"/>
      </w:pPr>
      <w:rPr>
        <w:rFonts w:hint="default"/>
        <w:color w:val="auto"/>
      </w:rPr>
    </w:lvl>
    <w:lvl w:ilvl="1" w:tplc="9D7C3F44" w:tentative="1">
      <w:start w:val="1"/>
      <w:numFmt w:val="lowerLetter"/>
      <w:lvlText w:val="%2."/>
      <w:lvlJc w:val="left"/>
      <w:pPr>
        <w:ind w:left="1440" w:hanging="360"/>
      </w:pPr>
    </w:lvl>
    <w:lvl w:ilvl="2" w:tplc="89A62C54" w:tentative="1">
      <w:start w:val="1"/>
      <w:numFmt w:val="lowerRoman"/>
      <w:lvlText w:val="%3."/>
      <w:lvlJc w:val="right"/>
      <w:pPr>
        <w:ind w:left="2160" w:hanging="180"/>
      </w:pPr>
    </w:lvl>
    <w:lvl w:ilvl="3" w:tplc="F564A634" w:tentative="1">
      <w:start w:val="1"/>
      <w:numFmt w:val="decimal"/>
      <w:lvlText w:val="%4."/>
      <w:lvlJc w:val="left"/>
      <w:pPr>
        <w:ind w:left="2880" w:hanging="360"/>
      </w:pPr>
    </w:lvl>
    <w:lvl w:ilvl="4" w:tplc="86BEBDEA" w:tentative="1">
      <w:start w:val="1"/>
      <w:numFmt w:val="lowerLetter"/>
      <w:lvlText w:val="%5."/>
      <w:lvlJc w:val="left"/>
      <w:pPr>
        <w:ind w:left="3600" w:hanging="360"/>
      </w:pPr>
    </w:lvl>
    <w:lvl w:ilvl="5" w:tplc="750CC7D6" w:tentative="1">
      <w:start w:val="1"/>
      <w:numFmt w:val="lowerRoman"/>
      <w:lvlText w:val="%6."/>
      <w:lvlJc w:val="right"/>
      <w:pPr>
        <w:ind w:left="4320" w:hanging="180"/>
      </w:pPr>
    </w:lvl>
    <w:lvl w:ilvl="6" w:tplc="F5AC8BC8" w:tentative="1">
      <w:start w:val="1"/>
      <w:numFmt w:val="decimal"/>
      <w:lvlText w:val="%7."/>
      <w:lvlJc w:val="left"/>
      <w:pPr>
        <w:ind w:left="5040" w:hanging="360"/>
      </w:pPr>
    </w:lvl>
    <w:lvl w:ilvl="7" w:tplc="001A1F06" w:tentative="1">
      <w:start w:val="1"/>
      <w:numFmt w:val="lowerLetter"/>
      <w:lvlText w:val="%8."/>
      <w:lvlJc w:val="left"/>
      <w:pPr>
        <w:ind w:left="5760" w:hanging="360"/>
      </w:pPr>
    </w:lvl>
    <w:lvl w:ilvl="8" w:tplc="8902A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5489F"/>
    <w:multiLevelType w:val="hybridMultilevel"/>
    <w:tmpl w:val="64B27010"/>
    <w:lvl w:ilvl="0" w:tplc="B6DEE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AC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69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28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E0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2A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A8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47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8C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C4646"/>
    <w:multiLevelType w:val="hybridMultilevel"/>
    <w:tmpl w:val="419EBBC6"/>
    <w:lvl w:ilvl="0" w:tplc="2ADCC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4040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2A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1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C1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EB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0E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C6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4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E35C9"/>
    <w:multiLevelType w:val="hybridMultilevel"/>
    <w:tmpl w:val="183C2FBA"/>
    <w:lvl w:ilvl="0" w:tplc="AF921CA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E185A96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41ACA9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AE4944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1CAC29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D5C32F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9D08E4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1D6AD2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D2ECB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694663"/>
    <w:multiLevelType w:val="hybridMultilevel"/>
    <w:tmpl w:val="098EE408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7C7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6A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09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08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A1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2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26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AD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D1CDE"/>
    <w:multiLevelType w:val="hybridMultilevel"/>
    <w:tmpl w:val="299EE072"/>
    <w:lvl w:ilvl="0" w:tplc="5E788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50EA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0F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ED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0D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001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6A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68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6E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44194"/>
    <w:multiLevelType w:val="hybridMultilevel"/>
    <w:tmpl w:val="24A64CD0"/>
    <w:lvl w:ilvl="0" w:tplc="510A620E">
      <w:start w:val="1"/>
      <w:numFmt w:val="decimal"/>
      <w:lvlText w:val="I.3.%1"/>
      <w:lvlJc w:val="left"/>
      <w:pPr>
        <w:ind w:left="720" w:hanging="360"/>
      </w:pPr>
      <w:rPr>
        <w:rFonts w:hint="default"/>
        <w:color w:val="auto"/>
      </w:rPr>
    </w:lvl>
    <w:lvl w:ilvl="1" w:tplc="08F4F816" w:tentative="1">
      <w:start w:val="1"/>
      <w:numFmt w:val="lowerLetter"/>
      <w:lvlText w:val="%2."/>
      <w:lvlJc w:val="left"/>
      <w:pPr>
        <w:ind w:left="1440" w:hanging="360"/>
      </w:pPr>
    </w:lvl>
    <w:lvl w:ilvl="2" w:tplc="2EFE2BE2" w:tentative="1">
      <w:start w:val="1"/>
      <w:numFmt w:val="lowerRoman"/>
      <w:lvlText w:val="%3."/>
      <w:lvlJc w:val="right"/>
      <w:pPr>
        <w:ind w:left="2160" w:hanging="180"/>
      </w:pPr>
    </w:lvl>
    <w:lvl w:ilvl="3" w:tplc="D3CCEA1C" w:tentative="1">
      <w:start w:val="1"/>
      <w:numFmt w:val="decimal"/>
      <w:lvlText w:val="%4."/>
      <w:lvlJc w:val="left"/>
      <w:pPr>
        <w:ind w:left="2880" w:hanging="360"/>
      </w:pPr>
    </w:lvl>
    <w:lvl w:ilvl="4" w:tplc="C03EA416" w:tentative="1">
      <w:start w:val="1"/>
      <w:numFmt w:val="lowerLetter"/>
      <w:lvlText w:val="%5."/>
      <w:lvlJc w:val="left"/>
      <w:pPr>
        <w:ind w:left="3600" w:hanging="360"/>
      </w:pPr>
    </w:lvl>
    <w:lvl w:ilvl="5" w:tplc="815620D8" w:tentative="1">
      <w:start w:val="1"/>
      <w:numFmt w:val="lowerRoman"/>
      <w:lvlText w:val="%6."/>
      <w:lvlJc w:val="right"/>
      <w:pPr>
        <w:ind w:left="4320" w:hanging="180"/>
      </w:pPr>
    </w:lvl>
    <w:lvl w:ilvl="6" w:tplc="5E4E59E0" w:tentative="1">
      <w:start w:val="1"/>
      <w:numFmt w:val="decimal"/>
      <w:lvlText w:val="%7."/>
      <w:lvlJc w:val="left"/>
      <w:pPr>
        <w:ind w:left="5040" w:hanging="360"/>
      </w:pPr>
    </w:lvl>
    <w:lvl w:ilvl="7" w:tplc="67909D9A" w:tentative="1">
      <w:start w:val="1"/>
      <w:numFmt w:val="lowerLetter"/>
      <w:lvlText w:val="%8."/>
      <w:lvlJc w:val="left"/>
      <w:pPr>
        <w:ind w:left="5760" w:hanging="360"/>
      </w:pPr>
    </w:lvl>
    <w:lvl w:ilvl="8" w:tplc="947C0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12D8"/>
    <w:multiLevelType w:val="hybridMultilevel"/>
    <w:tmpl w:val="3B1E4EF2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46A38"/>
    <w:multiLevelType w:val="hybridMultilevel"/>
    <w:tmpl w:val="6366B91C"/>
    <w:lvl w:ilvl="0" w:tplc="7DAE0F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66C13D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2ACAE0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E9228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D2F53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E827A1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B52341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184D9A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9F6A49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F3A0334"/>
    <w:multiLevelType w:val="hybridMultilevel"/>
    <w:tmpl w:val="AFF24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54BA4"/>
    <w:multiLevelType w:val="hybridMultilevel"/>
    <w:tmpl w:val="424A925E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040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2A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1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C1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EB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0E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C6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4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66DA0"/>
    <w:multiLevelType w:val="hybridMultilevel"/>
    <w:tmpl w:val="E728AC18"/>
    <w:lvl w:ilvl="0" w:tplc="AEAA496A">
      <w:start w:val="1"/>
      <w:numFmt w:val="decimal"/>
      <w:pStyle w:val="Styl1"/>
      <w:lvlText w:val="%1."/>
      <w:lvlJc w:val="left"/>
      <w:pPr>
        <w:ind w:left="357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B7E8D82E">
      <w:start w:val="1"/>
      <w:numFmt w:val="lowerLetter"/>
      <w:lvlText w:val="%2."/>
      <w:lvlJc w:val="left"/>
      <w:pPr>
        <w:ind w:left="1440" w:hanging="360"/>
      </w:pPr>
    </w:lvl>
    <w:lvl w:ilvl="2" w:tplc="014AD564">
      <w:start w:val="1"/>
      <w:numFmt w:val="lowerRoman"/>
      <w:lvlText w:val="%3."/>
      <w:lvlJc w:val="right"/>
      <w:pPr>
        <w:ind w:left="2160" w:hanging="180"/>
      </w:pPr>
    </w:lvl>
    <w:lvl w:ilvl="3" w:tplc="D3A04D44">
      <w:start w:val="1"/>
      <w:numFmt w:val="decimal"/>
      <w:lvlText w:val="%4."/>
      <w:lvlJc w:val="left"/>
      <w:pPr>
        <w:ind w:left="2880" w:hanging="360"/>
      </w:pPr>
    </w:lvl>
    <w:lvl w:ilvl="4" w:tplc="B602FF98">
      <w:start w:val="1"/>
      <w:numFmt w:val="lowerLetter"/>
      <w:lvlText w:val="%5."/>
      <w:lvlJc w:val="left"/>
      <w:pPr>
        <w:ind w:left="3600" w:hanging="360"/>
      </w:pPr>
    </w:lvl>
    <w:lvl w:ilvl="5" w:tplc="1AF6CAF4">
      <w:start w:val="1"/>
      <w:numFmt w:val="lowerRoman"/>
      <w:lvlText w:val="%6."/>
      <w:lvlJc w:val="right"/>
      <w:pPr>
        <w:ind w:left="4320" w:hanging="180"/>
      </w:pPr>
    </w:lvl>
    <w:lvl w:ilvl="6" w:tplc="6BE82DBC">
      <w:start w:val="1"/>
      <w:numFmt w:val="decimal"/>
      <w:lvlText w:val="%7."/>
      <w:lvlJc w:val="left"/>
      <w:pPr>
        <w:ind w:left="5040" w:hanging="360"/>
      </w:pPr>
    </w:lvl>
    <w:lvl w:ilvl="7" w:tplc="04F0ABCE">
      <w:start w:val="1"/>
      <w:numFmt w:val="lowerLetter"/>
      <w:lvlText w:val="%8."/>
      <w:lvlJc w:val="left"/>
      <w:pPr>
        <w:ind w:left="5760" w:hanging="360"/>
      </w:pPr>
    </w:lvl>
    <w:lvl w:ilvl="8" w:tplc="7D60637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D5462"/>
    <w:multiLevelType w:val="hybridMultilevel"/>
    <w:tmpl w:val="0BCE4EC2"/>
    <w:lvl w:ilvl="0" w:tplc="D6B694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9D8F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6A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C1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EB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7CB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A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27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3EB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63A01"/>
    <w:multiLevelType w:val="hybridMultilevel"/>
    <w:tmpl w:val="F656F602"/>
    <w:lvl w:ilvl="0" w:tplc="0A12A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A84B3E" w:tentative="1">
      <w:start w:val="1"/>
      <w:numFmt w:val="lowerLetter"/>
      <w:lvlText w:val="%2."/>
      <w:lvlJc w:val="left"/>
      <w:pPr>
        <w:ind w:left="1440" w:hanging="360"/>
      </w:pPr>
    </w:lvl>
    <w:lvl w:ilvl="2" w:tplc="DAB4A342" w:tentative="1">
      <w:start w:val="1"/>
      <w:numFmt w:val="lowerRoman"/>
      <w:lvlText w:val="%3."/>
      <w:lvlJc w:val="right"/>
      <w:pPr>
        <w:ind w:left="2160" w:hanging="180"/>
      </w:pPr>
    </w:lvl>
    <w:lvl w:ilvl="3" w:tplc="9A9E115C" w:tentative="1">
      <w:start w:val="1"/>
      <w:numFmt w:val="decimal"/>
      <w:lvlText w:val="%4."/>
      <w:lvlJc w:val="left"/>
      <w:pPr>
        <w:ind w:left="2880" w:hanging="360"/>
      </w:pPr>
    </w:lvl>
    <w:lvl w:ilvl="4" w:tplc="3D94DBBA" w:tentative="1">
      <w:start w:val="1"/>
      <w:numFmt w:val="lowerLetter"/>
      <w:lvlText w:val="%5."/>
      <w:lvlJc w:val="left"/>
      <w:pPr>
        <w:ind w:left="3600" w:hanging="360"/>
      </w:pPr>
    </w:lvl>
    <w:lvl w:ilvl="5" w:tplc="170EF470" w:tentative="1">
      <w:start w:val="1"/>
      <w:numFmt w:val="lowerRoman"/>
      <w:lvlText w:val="%6."/>
      <w:lvlJc w:val="right"/>
      <w:pPr>
        <w:ind w:left="4320" w:hanging="180"/>
      </w:pPr>
    </w:lvl>
    <w:lvl w:ilvl="6" w:tplc="3432AA16" w:tentative="1">
      <w:start w:val="1"/>
      <w:numFmt w:val="decimal"/>
      <w:lvlText w:val="%7."/>
      <w:lvlJc w:val="left"/>
      <w:pPr>
        <w:ind w:left="5040" w:hanging="360"/>
      </w:pPr>
    </w:lvl>
    <w:lvl w:ilvl="7" w:tplc="AC96676C" w:tentative="1">
      <w:start w:val="1"/>
      <w:numFmt w:val="lowerLetter"/>
      <w:lvlText w:val="%8."/>
      <w:lvlJc w:val="left"/>
      <w:pPr>
        <w:ind w:left="5760" w:hanging="360"/>
      </w:pPr>
    </w:lvl>
    <w:lvl w:ilvl="8" w:tplc="2E783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E2FB7"/>
    <w:multiLevelType w:val="hybridMultilevel"/>
    <w:tmpl w:val="9A289136"/>
    <w:lvl w:ilvl="0" w:tplc="3CF4B1E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95202"/>
    <w:multiLevelType w:val="hybridMultilevel"/>
    <w:tmpl w:val="AC8273F0"/>
    <w:lvl w:ilvl="0" w:tplc="CAF829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EC83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AC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2C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8D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82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27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0A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43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A4BD3"/>
    <w:multiLevelType w:val="hybridMultilevel"/>
    <w:tmpl w:val="B2002A0C"/>
    <w:lvl w:ilvl="0" w:tplc="ADD2F9D8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7902B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0A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20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29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41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41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05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03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76E4E"/>
    <w:multiLevelType w:val="hybridMultilevel"/>
    <w:tmpl w:val="EB98B8EC"/>
    <w:lvl w:ilvl="0" w:tplc="1C3C8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17C7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6A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09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08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A1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2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26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AD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5"/>
  </w:num>
  <w:num w:numId="5">
    <w:abstractNumId w:val="6"/>
  </w:num>
  <w:num w:numId="6">
    <w:abstractNumId w:val="13"/>
  </w:num>
  <w:num w:numId="7">
    <w:abstractNumId w:val="19"/>
  </w:num>
  <w:num w:numId="8">
    <w:abstractNumId w:val="26"/>
  </w:num>
  <w:num w:numId="9">
    <w:abstractNumId w:val="11"/>
  </w:num>
  <w:num w:numId="10">
    <w:abstractNumId w:val="14"/>
  </w:num>
  <w:num w:numId="11">
    <w:abstractNumId w:val="0"/>
  </w:num>
  <w:num w:numId="12">
    <w:abstractNumId w:val="2"/>
  </w:num>
  <w:num w:numId="13">
    <w:abstractNumId w:val="29"/>
  </w:num>
  <w:num w:numId="14">
    <w:abstractNumId w:val="4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8"/>
  </w:num>
  <w:num w:numId="20">
    <w:abstractNumId w:val="12"/>
  </w:num>
  <w:num w:numId="21">
    <w:abstractNumId w:val="9"/>
  </w:num>
  <w:num w:numId="22">
    <w:abstractNumId w:val="30"/>
  </w:num>
  <w:num w:numId="23">
    <w:abstractNumId w:val="28"/>
  </w:num>
  <w:num w:numId="24">
    <w:abstractNumId w:val="22"/>
  </w:num>
  <w:num w:numId="25">
    <w:abstractNumId w:val="27"/>
  </w:num>
  <w:num w:numId="26">
    <w:abstractNumId w:val="24"/>
  </w:num>
  <w:num w:numId="27">
    <w:abstractNumId w:val="21"/>
  </w:num>
  <w:num w:numId="28">
    <w:abstractNumId w:val="7"/>
  </w:num>
  <w:num w:numId="29">
    <w:abstractNumId w:val="20"/>
  </w:num>
  <w:num w:numId="30">
    <w:abstractNumId w:val="23"/>
  </w:num>
  <w:num w:numId="31">
    <w:abstractNumId w:val="17"/>
  </w:num>
  <w:num w:numId="32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DC"/>
    <w:rsid w:val="00000AEB"/>
    <w:rsid w:val="0000154F"/>
    <w:rsid w:val="000015AC"/>
    <w:rsid w:val="00002ACA"/>
    <w:rsid w:val="00003FB7"/>
    <w:rsid w:val="00005B45"/>
    <w:rsid w:val="00006A5D"/>
    <w:rsid w:val="00006C1E"/>
    <w:rsid w:val="000079F6"/>
    <w:rsid w:val="00007C1B"/>
    <w:rsid w:val="000113B9"/>
    <w:rsid w:val="00012A9C"/>
    <w:rsid w:val="000134CA"/>
    <w:rsid w:val="00013E4C"/>
    <w:rsid w:val="000141E7"/>
    <w:rsid w:val="000142FA"/>
    <w:rsid w:val="00014522"/>
    <w:rsid w:val="0001537A"/>
    <w:rsid w:val="00017EA1"/>
    <w:rsid w:val="00020164"/>
    <w:rsid w:val="00020667"/>
    <w:rsid w:val="00020884"/>
    <w:rsid w:val="00021810"/>
    <w:rsid w:val="00021C02"/>
    <w:rsid w:val="00022397"/>
    <w:rsid w:val="00022DC3"/>
    <w:rsid w:val="00023BC2"/>
    <w:rsid w:val="00023F89"/>
    <w:rsid w:val="0002536E"/>
    <w:rsid w:val="00025784"/>
    <w:rsid w:val="00027E6B"/>
    <w:rsid w:val="00031195"/>
    <w:rsid w:val="00031688"/>
    <w:rsid w:val="00032495"/>
    <w:rsid w:val="000325DE"/>
    <w:rsid w:val="00033245"/>
    <w:rsid w:val="00033944"/>
    <w:rsid w:val="000353F0"/>
    <w:rsid w:val="000369D2"/>
    <w:rsid w:val="00040152"/>
    <w:rsid w:val="0004098C"/>
    <w:rsid w:val="00040BD2"/>
    <w:rsid w:val="00041079"/>
    <w:rsid w:val="00041F9F"/>
    <w:rsid w:val="0004321B"/>
    <w:rsid w:val="00043E7B"/>
    <w:rsid w:val="00044C88"/>
    <w:rsid w:val="00046B5F"/>
    <w:rsid w:val="00047DBC"/>
    <w:rsid w:val="00050A9B"/>
    <w:rsid w:val="00051503"/>
    <w:rsid w:val="00051984"/>
    <w:rsid w:val="00052264"/>
    <w:rsid w:val="00052889"/>
    <w:rsid w:val="0005510A"/>
    <w:rsid w:val="0005543A"/>
    <w:rsid w:val="0005630B"/>
    <w:rsid w:val="000579AC"/>
    <w:rsid w:val="00057E9D"/>
    <w:rsid w:val="00060459"/>
    <w:rsid w:val="00062A68"/>
    <w:rsid w:val="0006330F"/>
    <w:rsid w:val="000645C8"/>
    <w:rsid w:val="00064CA8"/>
    <w:rsid w:val="00065A9B"/>
    <w:rsid w:val="000668DC"/>
    <w:rsid w:val="00067869"/>
    <w:rsid w:val="00067B3C"/>
    <w:rsid w:val="00067F9A"/>
    <w:rsid w:val="0007170E"/>
    <w:rsid w:val="00072870"/>
    <w:rsid w:val="00072AA8"/>
    <w:rsid w:val="00072BDC"/>
    <w:rsid w:val="000731F8"/>
    <w:rsid w:val="000736DD"/>
    <w:rsid w:val="000738E9"/>
    <w:rsid w:val="00073EF1"/>
    <w:rsid w:val="00076446"/>
    <w:rsid w:val="00076D84"/>
    <w:rsid w:val="00077B2D"/>
    <w:rsid w:val="00077CD3"/>
    <w:rsid w:val="00077EB6"/>
    <w:rsid w:val="00081D0D"/>
    <w:rsid w:val="00081E9B"/>
    <w:rsid w:val="000831B0"/>
    <w:rsid w:val="000840E8"/>
    <w:rsid w:val="00084409"/>
    <w:rsid w:val="00085BFD"/>
    <w:rsid w:val="00085C20"/>
    <w:rsid w:val="000878B4"/>
    <w:rsid w:val="000908FA"/>
    <w:rsid w:val="00090EC9"/>
    <w:rsid w:val="00091185"/>
    <w:rsid w:val="000911F5"/>
    <w:rsid w:val="000915CA"/>
    <w:rsid w:val="00093B50"/>
    <w:rsid w:val="00094DEC"/>
    <w:rsid w:val="00096AA5"/>
    <w:rsid w:val="00096EC7"/>
    <w:rsid w:val="000A01EA"/>
    <w:rsid w:val="000A02D9"/>
    <w:rsid w:val="000A1732"/>
    <w:rsid w:val="000A1D52"/>
    <w:rsid w:val="000A207D"/>
    <w:rsid w:val="000A3259"/>
    <w:rsid w:val="000A36D6"/>
    <w:rsid w:val="000A3A1F"/>
    <w:rsid w:val="000A3E0C"/>
    <w:rsid w:val="000A4B8C"/>
    <w:rsid w:val="000A5550"/>
    <w:rsid w:val="000A5732"/>
    <w:rsid w:val="000A6503"/>
    <w:rsid w:val="000A7155"/>
    <w:rsid w:val="000A7569"/>
    <w:rsid w:val="000A7684"/>
    <w:rsid w:val="000A7932"/>
    <w:rsid w:val="000A7DCE"/>
    <w:rsid w:val="000B005C"/>
    <w:rsid w:val="000B0AFD"/>
    <w:rsid w:val="000B1F39"/>
    <w:rsid w:val="000B4239"/>
    <w:rsid w:val="000B4490"/>
    <w:rsid w:val="000B69CA"/>
    <w:rsid w:val="000B6F41"/>
    <w:rsid w:val="000B76EC"/>
    <w:rsid w:val="000C0277"/>
    <w:rsid w:val="000C0778"/>
    <w:rsid w:val="000C14E1"/>
    <w:rsid w:val="000C1989"/>
    <w:rsid w:val="000C2366"/>
    <w:rsid w:val="000C318B"/>
    <w:rsid w:val="000C3640"/>
    <w:rsid w:val="000C433C"/>
    <w:rsid w:val="000C4702"/>
    <w:rsid w:val="000C56B7"/>
    <w:rsid w:val="000C6040"/>
    <w:rsid w:val="000C758F"/>
    <w:rsid w:val="000C7ECE"/>
    <w:rsid w:val="000D072C"/>
    <w:rsid w:val="000D195A"/>
    <w:rsid w:val="000D3A16"/>
    <w:rsid w:val="000D4009"/>
    <w:rsid w:val="000D4479"/>
    <w:rsid w:val="000D531D"/>
    <w:rsid w:val="000D5962"/>
    <w:rsid w:val="000E11BA"/>
    <w:rsid w:val="000E176B"/>
    <w:rsid w:val="000E39A1"/>
    <w:rsid w:val="000E4431"/>
    <w:rsid w:val="000E5210"/>
    <w:rsid w:val="000E5865"/>
    <w:rsid w:val="000E6BF8"/>
    <w:rsid w:val="000F08AB"/>
    <w:rsid w:val="000F0C3E"/>
    <w:rsid w:val="000F1F5C"/>
    <w:rsid w:val="000F242E"/>
    <w:rsid w:val="000F29CF"/>
    <w:rsid w:val="000F2A67"/>
    <w:rsid w:val="000F3966"/>
    <w:rsid w:val="000F4451"/>
    <w:rsid w:val="000F61A9"/>
    <w:rsid w:val="000F6344"/>
    <w:rsid w:val="0010099F"/>
    <w:rsid w:val="0010181A"/>
    <w:rsid w:val="00102E5A"/>
    <w:rsid w:val="00102F13"/>
    <w:rsid w:val="001039FF"/>
    <w:rsid w:val="00103FDD"/>
    <w:rsid w:val="00103FEB"/>
    <w:rsid w:val="001044A9"/>
    <w:rsid w:val="001046D6"/>
    <w:rsid w:val="0010691C"/>
    <w:rsid w:val="00111908"/>
    <w:rsid w:val="00112442"/>
    <w:rsid w:val="00112EA8"/>
    <w:rsid w:val="00113771"/>
    <w:rsid w:val="00114EBC"/>
    <w:rsid w:val="0011564E"/>
    <w:rsid w:val="00116466"/>
    <w:rsid w:val="00117ACA"/>
    <w:rsid w:val="001204C1"/>
    <w:rsid w:val="0012153C"/>
    <w:rsid w:val="00121879"/>
    <w:rsid w:val="001221EF"/>
    <w:rsid w:val="00122B0E"/>
    <w:rsid w:val="00122C66"/>
    <w:rsid w:val="00122C8D"/>
    <w:rsid w:val="0012458A"/>
    <w:rsid w:val="0012681E"/>
    <w:rsid w:val="0012763D"/>
    <w:rsid w:val="00127C21"/>
    <w:rsid w:val="00130BA1"/>
    <w:rsid w:val="00130C5E"/>
    <w:rsid w:val="00130EA2"/>
    <w:rsid w:val="00131A56"/>
    <w:rsid w:val="001365A0"/>
    <w:rsid w:val="001366BA"/>
    <w:rsid w:val="00136DCE"/>
    <w:rsid w:val="001373E3"/>
    <w:rsid w:val="00140E35"/>
    <w:rsid w:val="001411CA"/>
    <w:rsid w:val="00141C53"/>
    <w:rsid w:val="0014300E"/>
    <w:rsid w:val="001448B5"/>
    <w:rsid w:val="00144E2A"/>
    <w:rsid w:val="00147D6E"/>
    <w:rsid w:val="00150337"/>
    <w:rsid w:val="0015169D"/>
    <w:rsid w:val="001519D3"/>
    <w:rsid w:val="00151F2A"/>
    <w:rsid w:val="001529BF"/>
    <w:rsid w:val="00152B3D"/>
    <w:rsid w:val="00154E2A"/>
    <w:rsid w:val="0015596F"/>
    <w:rsid w:val="001559EB"/>
    <w:rsid w:val="00160020"/>
    <w:rsid w:val="0016118F"/>
    <w:rsid w:val="0016335C"/>
    <w:rsid w:val="00163B9B"/>
    <w:rsid w:val="00163E5B"/>
    <w:rsid w:val="00164073"/>
    <w:rsid w:val="00164C55"/>
    <w:rsid w:val="00166385"/>
    <w:rsid w:val="00167251"/>
    <w:rsid w:val="0017094C"/>
    <w:rsid w:val="00170E71"/>
    <w:rsid w:val="00170F17"/>
    <w:rsid w:val="00171277"/>
    <w:rsid w:val="00171654"/>
    <w:rsid w:val="001720AF"/>
    <w:rsid w:val="00172361"/>
    <w:rsid w:val="00172454"/>
    <w:rsid w:val="00172725"/>
    <w:rsid w:val="00172B07"/>
    <w:rsid w:val="001733E1"/>
    <w:rsid w:val="001746DD"/>
    <w:rsid w:val="00175071"/>
    <w:rsid w:val="00175ECD"/>
    <w:rsid w:val="0017772F"/>
    <w:rsid w:val="00177790"/>
    <w:rsid w:val="00182CE5"/>
    <w:rsid w:val="001836CC"/>
    <w:rsid w:val="001843B5"/>
    <w:rsid w:val="00184ABC"/>
    <w:rsid w:val="00184E35"/>
    <w:rsid w:val="00187437"/>
    <w:rsid w:val="00190A12"/>
    <w:rsid w:val="00192862"/>
    <w:rsid w:val="0019348E"/>
    <w:rsid w:val="001934EF"/>
    <w:rsid w:val="001940DD"/>
    <w:rsid w:val="0019515E"/>
    <w:rsid w:val="00197244"/>
    <w:rsid w:val="001A0254"/>
    <w:rsid w:val="001A15BA"/>
    <w:rsid w:val="001A241F"/>
    <w:rsid w:val="001A3895"/>
    <w:rsid w:val="001A44C0"/>
    <w:rsid w:val="001A4B99"/>
    <w:rsid w:val="001A6E7E"/>
    <w:rsid w:val="001A7976"/>
    <w:rsid w:val="001B0FB8"/>
    <w:rsid w:val="001B1563"/>
    <w:rsid w:val="001B182E"/>
    <w:rsid w:val="001B1D28"/>
    <w:rsid w:val="001B227C"/>
    <w:rsid w:val="001B58AC"/>
    <w:rsid w:val="001C0737"/>
    <w:rsid w:val="001C375B"/>
    <w:rsid w:val="001C3F31"/>
    <w:rsid w:val="001C5DD3"/>
    <w:rsid w:val="001C609A"/>
    <w:rsid w:val="001C7871"/>
    <w:rsid w:val="001C7BFC"/>
    <w:rsid w:val="001D1452"/>
    <w:rsid w:val="001D2D81"/>
    <w:rsid w:val="001D56EF"/>
    <w:rsid w:val="001D5833"/>
    <w:rsid w:val="001D6540"/>
    <w:rsid w:val="001D67B6"/>
    <w:rsid w:val="001D79A5"/>
    <w:rsid w:val="001E0157"/>
    <w:rsid w:val="001E07C6"/>
    <w:rsid w:val="001E084E"/>
    <w:rsid w:val="001E0BAA"/>
    <w:rsid w:val="001E1E4B"/>
    <w:rsid w:val="001E1FA0"/>
    <w:rsid w:val="001E2732"/>
    <w:rsid w:val="001E5DCA"/>
    <w:rsid w:val="001E627B"/>
    <w:rsid w:val="001E74BF"/>
    <w:rsid w:val="001E7C8E"/>
    <w:rsid w:val="001F03D4"/>
    <w:rsid w:val="001F0A59"/>
    <w:rsid w:val="001F197A"/>
    <w:rsid w:val="001F27A7"/>
    <w:rsid w:val="001F297C"/>
    <w:rsid w:val="001F4976"/>
    <w:rsid w:val="001F5029"/>
    <w:rsid w:val="001F564A"/>
    <w:rsid w:val="001F5E76"/>
    <w:rsid w:val="001F5EF5"/>
    <w:rsid w:val="001F6C55"/>
    <w:rsid w:val="001F7955"/>
    <w:rsid w:val="00200DF0"/>
    <w:rsid w:val="00200EB4"/>
    <w:rsid w:val="00204AC0"/>
    <w:rsid w:val="00204BE7"/>
    <w:rsid w:val="00205AE3"/>
    <w:rsid w:val="00205BA1"/>
    <w:rsid w:val="002062F7"/>
    <w:rsid w:val="002065BC"/>
    <w:rsid w:val="00206933"/>
    <w:rsid w:val="00206F09"/>
    <w:rsid w:val="00207D32"/>
    <w:rsid w:val="002105D3"/>
    <w:rsid w:val="0021091E"/>
    <w:rsid w:val="00210B38"/>
    <w:rsid w:val="002111C7"/>
    <w:rsid w:val="00211D17"/>
    <w:rsid w:val="00212AF0"/>
    <w:rsid w:val="00214B3D"/>
    <w:rsid w:val="0021533D"/>
    <w:rsid w:val="00222B17"/>
    <w:rsid w:val="00222D78"/>
    <w:rsid w:val="00223421"/>
    <w:rsid w:val="002236DC"/>
    <w:rsid w:val="0022429F"/>
    <w:rsid w:val="0022463F"/>
    <w:rsid w:val="002247DB"/>
    <w:rsid w:val="0022490A"/>
    <w:rsid w:val="00224C04"/>
    <w:rsid w:val="002258F2"/>
    <w:rsid w:val="002267DA"/>
    <w:rsid w:val="00226BB4"/>
    <w:rsid w:val="00227D23"/>
    <w:rsid w:val="00227D75"/>
    <w:rsid w:val="002317CC"/>
    <w:rsid w:val="00231BF2"/>
    <w:rsid w:val="00233D62"/>
    <w:rsid w:val="00234CE5"/>
    <w:rsid w:val="002365C0"/>
    <w:rsid w:val="0023755D"/>
    <w:rsid w:val="00240224"/>
    <w:rsid w:val="0024064D"/>
    <w:rsid w:val="00241374"/>
    <w:rsid w:val="00241604"/>
    <w:rsid w:val="00243CF6"/>
    <w:rsid w:val="00244D01"/>
    <w:rsid w:val="00245571"/>
    <w:rsid w:val="00245BD5"/>
    <w:rsid w:val="0024775B"/>
    <w:rsid w:val="00247D95"/>
    <w:rsid w:val="00250063"/>
    <w:rsid w:val="002517D4"/>
    <w:rsid w:val="00254742"/>
    <w:rsid w:val="00254C33"/>
    <w:rsid w:val="00254F64"/>
    <w:rsid w:val="00256208"/>
    <w:rsid w:val="00260294"/>
    <w:rsid w:val="00261A3D"/>
    <w:rsid w:val="002624B9"/>
    <w:rsid w:val="00263EA9"/>
    <w:rsid w:val="00264590"/>
    <w:rsid w:val="00265616"/>
    <w:rsid w:val="00266960"/>
    <w:rsid w:val="00267173"/>
    <w:rsid w:val="002677C6"/>
    <w:rsid w:val="00267DC4"/>
    <w:rsid w:val="00270340"/>
    <w:rsid w:val="002714C5"/>
    <w:rsid w:val="00271D83"/>
    <w:rsid w:val="002722E2"/>
    <w:rsid w:val="00273E66"/>
    <w:rsid w:val="00274F80"/>
    <w:rsid w:val="00275EBD"/>
    <w:rsid w:val="00276301"/>
    <w:rsid w:val="002777F5"/>
    <w:rsid w:val="00280991"/>
    <w:rsid w:val="00280D39"/>
    <w:rsid w:val="00281486"/>
    <w:rsid w:val="00281B44"/>
    <w:rsid w:val="0028244D"/>
    <w:rsid w:val="002827CC"/>
    <w:rsid w:val="0028352C"/>
    <w:rsid w:val="00283AFA"/>
    <w:rsid w:val="00284A86"/>
    <w:rsid w:val="002851F0"/>
    <w:rsid w:val="00291F63"/>
    <w:rsid w:val="00293BB4"/>
    <w:rsid w:val="00293E8C"/>
    <w:rsid w:val="00294541"/>
    <w:rsid w:val="00295214"/>
    <w:rsid w:val="0029539D"/>
    <w:rsid w:val="00295BBE"/>
    <w:rsid w:val="00296A50"/>
    <w:rsid w:val="00297295"/>
    <w:rsid w:val="002979D7"/>
    <w:rsid w:val="002A0007"/>
    <w:rsid w:val="002A3725"/>
    <w:rsid w:val="002A4C96"/>
    <w:rsid w:val="002A64D4"/>
    <w:rsid w:val="002A684E"/>
    <w:rsid w:val="002A72A6"/>
    <w:rsid w:val="002A7800"/>
    <w:rsid w:val="002B04B6"/>
    <w:rsid w:val="002B0911"/>
    <w:rsid w:val="002B1398"/>
    <w:rsid w:val="002B1A42"/>
    <w:rsid w:val="002B2287"/>
    <w:rsid w:val="002B3DCB"/>
    <w:rsid w:val="002B43B7"/>
    <w:rsid w:val="002B7520"/>
    <w:rsid w:val="002B7960"/>
    <w:rsid w:val="002B7CC6"/>
    <w:rsid w:val="002C154B"/>
    <w:rsid w:val="002C2002"/>
    <w:rsid w:val="002C30F4"/>
    <w:rsid w:val="002C4331"/>
    <w:rsid w:val="002C6292"/>
    <w:rsid w:val="002C62E2"/>
    <w:rsid w:val="002C7034"/>
    <w:rsid w:val="002C7F06"/>
    <w:rsid w:val="002D08A4"/>
    <w:rsid w:val="002D0AE4"/>
    <w:rsid w:val="002D1B82"/>
    <w:rsid w:val="002D271E"/>
    <w:rsid w:val="002D2FEF"/>
    <w:rsid w:val="002D47E5"/>
    <w:rsid w:val="002D5108"/>
    <w:rsid w:val="002D515E"/>
    <w:rsid w:val="002D5B9E"/>
    <w:rsid w:val="002D5DE9"/>
    <w:rsid w:val="002D5EDB"/>
    <w:rsid w:val="002D68D3"/>
    <w:rsid w:val="002D71F7"/>
    <w:rsid w:val="002D734F"/>
    <w:rsid w:val="002D75F5"/>
    <w:rsid w:val="002D780E"/>
    <w:rsid w:val="002D7B1E"/>
    <w:rsid w:val="002D7E37"/>
    <w:rsid w:val="002E0844"/>
    <w:rsid w:val="002E09AC"/>
    <w:rsid w:val="002E1390"/>
    <w:rsid w:val="002E23C1"/>
    <w:rsid w:val="002E2E56"/>
    <w:rsid w:val="002E38CB"/>
    <w:rsid w:val="002E3983"/>
    <w:rsid w:val="002E3CD4"/>
    <w:rsid w:val="002E3F8B"/>
    <w:rsid w:val="002E471A"/>
    <w:rsid w:val="002E517A"/>
    <w:rsid w:val="002E5B1E"/>
    <w:rsid w:val="002E6DE7"/>
    <w:rsid w:val="002E7678"/>
    <w:rsid w:val="002E7E84"/>
    <w:rsid w:val="002E7E8A"/>
    <w:rsid w:val="002E7F05"/>
    <w:rsid w:val="002F0F72"/>
    <w:rsid w:val="002F0FF6"/>
    <w:rsid w:val="002F387F"/>
    <w:rsid w:val="002F39E1"/>
    <w:rsid w:val="002F4B8B"/>
    <w:rsid w:val="002F4BAF"/>
    <w:rsid w:val="002F4DA0"/>
    <w:rsid w:val="002F4EF9"/>
    <w:rsid w:val="002F6324"/>
    <w:rsid w:val="002F6A3C"/>
    <w:rsid w:val="002F794E"/>
    <w:rsid w:val="002F7F29"/>
    <w:rsid w:val="003004C5"/>
    <w:rsid w:val="00301897"/>
    <w:rsid w:val="00301B89"/>
    <w:rsid w:val="003030EA"/>
    <w:rsid w:val="00303B1E"/>
    <w:rsid w:val="00303BA4"/>
    <w:rsid w:val="003042CB"/>
    <w:rsid w:val="0030478A"/>
    <w:rsid w:val="00304B99"/>
    <w:rsid w:val="00305104"/>
    <w:rsid w:val="00305B89"/>
    <w:rsid w:val="00305F28"/>
    <w:rsid w:val="00307966"/>
    <w:rsid w:val="00310B33"/>
    <w:rsid w:val="00310EED"/>
    <w:rsid w:val="003126B8"/>
    <w:rsid w:val="0031332C"/>
    <w:rsid w:val="0031426C"/>
    <w:rsid w:val="0031495F"/>
    <w:rsid w:val="00314E7F"/>
    <w:rsid w:val="00315A4E"/>
    <w:rsid w:val="0031684C"/>
    <w:rsid w:val="0031708C"/>
    <w:rsid w:val="003209B8"/>
    <w:rsid w:val="00322491"/>
    <w:rsid w:val="0032308E"/>
    <w:rsid w:val="003237CF"/>
    <w:rsid w:val="00324842"/>
    <w:rsid w:val="00325097"/>
    <w:rsid w:val="003251F9"/>
    <w:rsid w:val="00325BF9"/>
    <w:rsid w:val="00325E61"/>
    <w:rsid w:val="00327303"/>
    <w:rsid w:val="003275AF"/>
    <w:rsid w:val="00330172"/>
    <w:rsid w:val="00330812"/>
    <w:rsid w:val="00331EA1"/>
    <w:rsid w:val="003330BE"/>
    <w:rsid w:val="003338F2"/>
    <w:rsid w:val="00334200"/>
    <w:rsid w:val="00335D42"/>
    <w:rsid w:val="00340DEF"/>
    <w:rsid w:val="0034164B"/>
    <w:rsid w:val="0034258F"/>
    <w:rsid w:val="00342AE1"/>
    <w:rsid w:val="00342FDE"/>
    <w:rsid w:val="003447A1"/>
    <w:rsid w:val="00344C5D"/>
    <w:rsid w:val="0034587B"/>
    <w:rsid w:val="00345C04"/>
    <w:rsid w:val="00345E10"/>
    <w:rsid w:val="0034655D"/>
    <w:rsid w:val="00347A5F"/>
    <w:rsid w:val="00350487"/>
    <w:rsid w:val="0035069E"/>
    <w:rsid w:val="0035177D"/>
    <w:rsid w:val="00354D03"/>
    <w:rsid w:val="00354E17"/>
    <w:rsid w:val="00355BBB"/>
    <w:rsid w:val="0035643E"/>
    <w:rsid w:val="00357420"/>
    <w:rsid w:val="00357B01"/>
    <w:rsid w:val="00360A59"/>
    <w:rsid w:val="003619C5"/>
    <w:rsid w:val="00362944"/>
    <w:rsid w:val="003652B9"/>
    <w:rsid w:val="00370276"/>
    <w:rsid w:val="00370321"/>
    <w:rsid w:val="00371A1A"/>
    <w:rsid w:val="00372D35"/>
    <w:rsid w:val="0037690D"/>
    <w:rsid w:val="00377799"/>
    <w:rsid w:val="00381475"/>
    <w:rsid w:val="00382BD8"/>
    <w:rsid w:val="003840B6"/>
    <w:rsid w:val="0038554A"/>
    <w:rsid w:val="00391B02"/>
    <w:rsid w:val="003932B0"/>
    <w:rsid w:val="0039568A"/>
    <w:rsid w:val="00395EB4"/>
    <w:rsid w:val="003979AF"/>
    <w:rsid w:val="00397A3C"/>
    <w:rsid w:val="00397CBF"/>
    <w:rsid w:val="003A073A"/>
    <w:rsid w:val="003A19E2"/>
    <w:rsid w:val="003A4551"/>
    <w:rsid w:val="003A5139"/>
    <w:rsid w:val="003A7E64"/>
    <w:rsid w:val="003B0719"/>
    <w:rsid w:val="003B22DA"/>
    <w:rsid w:val="003B264D"/>
    <w:rsid w:val="003B28F5"/>
    <w:rsid w:val="003B2CD4"/>
    <w:rsid w:val="003B3CDA"/>
    <w:rsid w:val="003B4127"/>
    <w:rsid w:val="003B45BC"/>
    <w:rsid w:val="003B490B"/>
    <w:rsid w:val="003B4E6F"/>
    <w:rsid w:val="003B5066"/>
    <w:rsid w:val="003B585D"/>
    <w:rsid w:val="003B64BA"/>
    <w:rsid w:val="003B6589"/>
    <w:rsid w:val="003B7843"/>
    <w:rsid w:val="003C0002"/>
    <w:rsid w:val="003C128E"/>
    <w:rsid w:val="003C1891"/>
    <w:rsid w:val="003C2562"/>
    <w:rsid w:val="003C3E4E"/>
    <w:rsid w:val="003C7B0E"/>
    <w:rsid w:val="003D06F4"/>
    <w:rsid w:val="003D0E81"/>
    <w:rsid w:val="003D0FA0"/>
    <w:rsid w:val="003D139A"/>
    <w:rsid w:val="003D2295"/>
    <w:rsid w:val="003D2F88"/>
    <w:rsid w:val="003D30DE"/>
    <w:rsid w:val="003D4CDC"/>
    <w:rsid w:val="003D59B0"/>
    <w:rsid w:val="003D5D78"/>
    <w:rsid w:val="003D74C1"/>
    <w:rsid w:val="003E0547"/>
    <w:rsid w:val="003E0738"/>
    <w:rsid w:val="003E1002"/>
    <w:rsid w:val="003E1F0F"/>
    <w:rsid w:val="003E2139"/>
    <w:rsid w:val="003E3A6D"/>
    <w:rsid w:val="003E46DD"/>
    <w:rsid w:val="003E4EED"/>
    <w:rsid w:val="003E5B83"/>
    <w:rsid w:val="003E5EF8"/>
    <w:rsid w:val="003E6DF0"/>
    <w:rsid w:val="003E7397"/>
    <w:rsid w:val="003E7935"/>
    <w:rsid w:val="003E7CFF"/>
    <w:rsid w:val="003F2238"/>
    <w:rsid w:val="003F29D5"/>
    <w:rsid w:val="003F363F"/>
    <w:rsid w:val="003F4255"/>
    <w:rsid w:val="003F6AE1"/>
    <w:rsid w:val="003F7772"/>
    <w:rsid w:val="003F7FFE"/>
    <w:rsid w:val="004018A7"/>
    <w:rsid w:val="00402F34"/>
    <w:rsid w:val="00404D1D"/>
    <w:rsid w:val="004079A1"/>
    <w:rsid w:val="00407E5E"/>
    <w:rsid w:val="004102A3"/>
    <w:rsid w:val="004112A0"/>
    <w:rsid w:val="00411655"/>
    <w:rsid w:val="004116BE"/>
    <w:rsid w:val="00416D93"/>
    <w:rsid w:val="0041748F"/>
    <w:rsid w:val="004209A3"/>
    <w:rsid w:val="0042122E"/>
    <w:rsid w:val="00421703"/>
    <w:rsid w:val="00421BFE"/>
    <w:rsid w:val="00423710"/>
    <w:rsid w:val="00423976"/>
    <w:rsid w:val="004242AE"/>
    <w:rsid w:val="00424A6C"/>
    <w:rsid w:val="00425555"/>
    <w:rsid w:val="00426665"/>
    <w:rsid w:val="00426BC2"/>
    <w:rsid w:val="00426E91"/>
    <w:rsid w:val="00427D2A"/>
    <w:rsid w:val="004303E5"/>
    <w:rsid w:val="00430F72"/>
    <w:rsid w:val="00431802"/>
    <w:rsid w:val="00432E46"/>
    <w:rsid w:val="00434567"/>
    <w:rsid w:val="00434C0F"/>
    <w:rsid w:val="00435BB4"/>
    <w:rsid w:val="004365B9"/>
    <w:rsid w:val="00436C31"/>
    <w:rsid w:val="00436E41"/>
    <w:rsid w:val="00443F86"/>
    <w:rsid w:val="00444BDD"/>
    <w:rsid w:val="0044532B"/>
    <w:rsid w:val="004453E7"/>
    <w:rsid w:val="00445C1E"/>
    <w:rsid w:val="004469DF"/>
    <w:rsid w:val="00446EF4"/>
    <w:rsid w:val="00447B82"/>
    <w:rsid w:val="00447FAB"/>
    <w:rsid w:val="00447FF4"/>
    <w:rsid w:val="00452707"/>
    <w:rsid w:val="00456942"/>
    <w:rsid w:val="00456CB0"/>
    <w:rsid w:val="00456EBB"/>
    <w:rsid w:val="004606E7"/>
    <w:rsid w:val="00460F63"/>
    <w:rsid w:val="00461701"/>
    <w:rsid w:val="00462BC0"/>
    <w:rsid w:val="00462D09"/>
    <w:rsid w:val="00462FBD"/>
    <w:rsid w:val="00463BA8"/>
    <w:rsid w:val="00463F36"/>
    <w:rsid w:val="00464F44"/>
    <w:rsid w:val="00465D62"/>
    <w:rsid w:val="00466585"/>
    <w:rsid w:val="00466B7A"/>
    <w:rsid w:val="00467077"/>
    <w:rsid w:val="00470A75"/>
    <w:rsid w:val="00470AC6"/>
    <w:rsid w:val="00471185"/>
    <w:rsid w:val="00471262"/>
    <w:rsid w:val="004715FC"/>
    <w:rsid w:val="0047251E"/>
    <w:rsid w:val="004737E2"/>
    <w:rsid w:val="004740EA"/>
    <w:rsid w:val="00474D40"/>
    <w:rsid w:val="00474FBE"/>
    <w:rsid w:val="00475433"/>
    <w:rsid w:val="00475864"/>
    <w:rsid w:val="004759A7"/>
    <w:rsid w:val="00476839"/>
    <w:rsid w:val="0047712E"/>
    <w:rsid w:val="00480068"/>
    <w:rsid w:val="004802E2"/>
    <w:rsid w:val="00480DB6"/>
    <w:rsid w:val="004819D3"/>
    <w:rsid w:val="00481F95"/>
    <w:rsid w:val="0048238C"/>
    <w:rsid w:val="0048489A"/>
    <w:rsid w:val="004848C3"/>
    <w:rsid w:val="00484F2F"/>
    <w:rsid w:val="00490519"/>
    <w:rsid w:val="00490E6B"/>
    <w:rsid w:val="0049142A"/>
    <w:rsid w:val="00491F16"/>
    <w:rsid w:val="00494AE7"/>
    <w:rsid w:val="00495065"/>
    <w:rsid w:val="00495EFE"/>
    <w:rsid w:val="0049611D"/>
    <w:rsid w:val="00497374"/>
    <w:rsid w:val="004A0B2B"/>
    <w:rsid w:val="004A0B68"/>
    <w:rsid w:val="004A1175"/>
    <w:rsid w:val="004A15E2"/>
    <w:rsid w:val="004A20B5"/>
    <w:rsid w:val="004A2580"/>
    <w:rsid w:val="004A2D50"/>
    <w:rsid w:val="004A37B4"/>
    <w:rsid w:val="004B0703"/>
    <w:rsid w:val="004B0AD0"/>
    <w:rsid w:val="004B26B7"/>
    <w:rsid w:val="004B2B64"/>
    <w:rsid w:val="004B2DEA"/>
    <w:rsid w:val="004B2EED"/>
    <w:rsid w:val="004B309E"/>
    <w:rsid w:val="004B36C1"/>
    <w:rsid w:val="004B3CAE"/>
    <w:rsid w:val="004B3D4F"/>
    <w:rsid w:val="004B4070"/>
    <w:rsid w:val="004B408C"/>
    <w:rsid w:val="004B536A"/>
    <w:rsid w:val="004B540C"/>
    <w:rsid w:val="004B67E4"/>
    <w:rsid w:val="004B6973"/>
    <w:rsid w:val="004B6D5E"/>
    <w:rsid w:val="004B6DE6"/>
    <w:rsid w:val="004B7293"/>
    <w:rsid w:val="004B7422"/>
    <w:rsid w:val="004B77F4"/>
    <w:rsid w:val="004C00BD"/>
    <w:rsid w:val="004C12E3"/>
    <w:rsid w:val="004C17E2"/>
    <w:rsid w:val="004C1A14"/>
    <w:rsid w:val="004C1AA0"/>
    <w:rsid w:val="004C3C71"/>
    <w:rsid w:val="004C3CB3"/>
    <w:rsid w:val="004C3DDD"/>
    <w:rsid w:val="004C45DE"/>
    <w:rsid w:val="004C530D"/>
    <w:rsid w:val="004C5440"/>
    <w:rsid w:val="004C59AC"/>
    <w:rsid w:val="004C64A9"/>
    <w:rsid w:val="004C79A0"/>
    <w:rsid w:val="004D06A3"/>
    <w:rsid w:val="004D0C1F"/>
    <w:rsid w:val="004D148F"/>
    <w:rsid w:val="004D1B59"/>
    <w:rsid w:val="004D536C"/>
    <w:rsid w:val="004D6A46"/>
    <w:rsid w:val="004D7F98"/>
    <w:rsid w:val="004E1464"/>
    <w:rsid w:val="004E2045"/>
    <w:rsid w:val="004E2D24"/>
    <w:rsid w:val="004E3CAC"/>
    <w:rsid w:val="004E5FE7"/>
    <w:rsid w:val="004E633B"/>
    <w:rsid w:val="004E638F"/>
    <w:rsid w:val="004E6D24"/>
    <w:rsid w:val="004E786F"/>
    <w:rsid w:val="004F013E"/>
    <w:rsid w:val="004F1BAC"/>
    <w:rsid w:val="004F1BD0"/>
    <w:rsid w:val="004F591D"/>
    <w:rsid w:val="004F6B3A"/>
    <w:rsid w:val="004F71C7"/>
    <w:rsid w:val="004F7234"/>
    <w:rsid w:val="004F7B35"/>
    <w:rsid w:val="004F7D69"/>
    <w:rsid w:val="0050028A"/>
    <w:rsid w:val="005012C0"/>
    <w:rsid w:val="00501FCE"/>
    <w:rsid w:val="00504658"/>
    <w:rsid w:val="00504D54"/>
    <w:rsid w:val="00504E0C"/>
    <w:rsid w:val="00505367"/>
    <w:rsid w:val="00505C6B"/>
    <w:rsid w:val="00505F42"/>
    <w:rsid w:val="005061C0"/>
    <w:rsid w:val="005061F5"/>
    <w:rsid w:val="00507298"/>
    <w:rsid w:val="005109D5"/>
    <w:rsid w:val="00511892"/>
    <w:rsid w:val="0051225F"/>
    <w:rsid w:val="00512A79"/>
    <w:rsid w:val="00513B0F"/>
    <w:rsid w:val="00515464"/>
    <w:rsid w:val="0051707A"/>
    <w:rsid w:val="00520721"/>
    <w:rsid w:val="0052081D"/>
    <w:rsid w:val="005212E8"/>
    <w:rsid w:val="005218CA"/>
    <w:rsid w:val="005236E9"/>
    <w:rsid w:val="005248FA"/>
    <w:rsid w:val="005251FF"/>
    <w:rsid w:val="00525F4D"/>
    <w:rsid w:val="00526C17"/>
    <w:rsid w:val="005277A6"/>
    <w:rsid w:val="00527B06"/>
    <w:rsid w:val="00530382"/>
    <w:rsid w:val="005324CE"/>
    <w:rsid w:val="00532540"/>
    <w:rsid w:val="0053257B"/>
    <w:rsid w:val="00533209"/>
    <w:rsid w:val="00533421"/>
    <w:rsid w:val="00533F72"/>
    <w:rsid w:val="00535889"/>
    <w:rsid w:val="00535BD9"/>
    <w:rsid w:val="00537956"/>
    <w:rsid w:val="00540970"/>
    <w:rsid w:val="005409B1"/>
    <w:rsid w:val="00541532"/>
    <w:rsid w:val="00542605"/>
    <w:rsid w:val="00543633"/>
    <w:rsid w:val="0054368B"/>
    <w:rsid w:val="00544EE4"/>
    <w:rsid w:val="005460EA"/>
    <w:rsid w:val="005466D5"/>
    <w:rsid w:val="00546E2E"/>
    <w:rsid w:val="00547F0E"/>
    <w:rsid w:val="00551572"/>
    <w:rsid w:val="0055160D"/>
    <w:rsid w:val="00553082"/>
    <w:rsid w:val="00553712"/>
    <w:rsid w:val="00554D90"/>
    <w:rsid w:val="00554F3F"/>
    <w:rsid w:val="00555B11"/>
    <w:rsid w:val="005564C8"/>
    <w:rsid w:val="00557605"/>
    <w:rsid w:val="0056023F"/>
    <w:rsid w:val="005606D1"/>
    <w:rsid w:val="00560762"/>
    <w:rsid w:val="00560769"/>
    <w:rsid w:val="00562684"/>
    <w:rsid w:val="00562E5A"/>
    <w:rsid w:val="00562EC7"/>
    <w:rsid w:val="0056446D"/>
    <w:rsid w:val="00564D57"/>
    <w:rsid w:val="00565830"/>
    <w:rsid w:val="00566DFE"/>
    <w:rsid w:val="00567D04"/>
    <w:rsid w:val="005712AC"/>
    <w:rsid w:val="0057160A"/>
    <w:rsid w:val="00571BD1"/>
    <w:rsid w:val="00571FE9"/>
    <w:rsid w:val="00572D68"/>
    <w:rsid w:val="005730DA"/>
    <w:rsid w:val="00573679"/>
    <w:rsid w:val="00575454"/>
    <w:rsid w:val="00576627"/>
    <w:rsid w:val="00577530"/>
    <w:rsid w:val="005801B5"/>
    <w:rsid w:val="0058146F"/>
    <w:rsid w:val="00581799"/>
    <w:rsid w:val="00581D27"/>
    <w:rsid w:val="005839F2"/>
    <w:rsid w:val="00583FE6"/>
    <w:rsid w:val="00584280"/>
    <w:rsid w:val="0058432B"/>
    <w:rsid w:val="0058483C"/>
    <w:rsid w:val="0058695E"/>
    <w:rsid w:val="00586C57"/>
    <w:rsid w:val="00586E1A"/>
    <w:rsid w:val="0059210B"/>
    <w:rsid w:val="005928D8"/>
    <w:rsid w:val="00593EE7"/>
    <w:rsid w:val="00594001"/>
    <w:rsid w:val="00597987"/>
    <w:rsid w:val="0059798A"/>
    <w:rsid w:val="005A3C8B"/>
    <w:rsid w:val="005A4807"/>
    <w:rsid w:val="005A57C6"/>
    <w:rsid w:val="005B0777"/>
    <w:rsid w:val="005B0FC7"/>
    <w:rsid w:val="005B10CB"/>
    <w:rsid w:val="005B22C8"/>
    <w:rsid w:val="005B34E4"/>
    <w:rsid w:val="005B425D"/>
    <w:rsid w:val="005B4E41"/>
    <w:rsid w:val="005B50FB"/>
    <w:rsid w:val="005B66BD"/>
    <w:rsid w:val="005B6DD0"/>
    <w:rsid w:val="005B7BCA"/>
    <w:rsid w:val="005C1A88"/>
    <w:rsid w:val="005C21E5"/>
    <w:rsid w:val="005C2716"/>
    <w:rsid w:val="005C2C8F"/>
    <w:rsid w:val="005C402F"/>
    <w:rsid w:val="005C4165"/>
    <w:rsid w:val="005C6400"/>
    <w:rsid w:val="005C7393"/>
    <w:rsid w:val="005D1194"/>
    <w:rsid w:val="005D169D"/>
    <w:rsid w:val="005D1801"/>
    <w:rsid w:val="005D1D0F"/>
    <w:rsid w:val="005D3EA4"/>
    <w:rsid w:val="005D4712"/>
    <w:rsid w:val="005D492E"/>
    <w:rsid w:val="005D52E6"/>
    <w:rsid w:val="005D7007"/>
    <w:rsid w:val="005D7A9B"/>
    <w:rsid w:val="005D7F11"/>
    <w:rsid w:val="005E1809"/>
    <w:rsid w:val="005E25DC"/>
    <w:rsid w:val="005E2894"/>
    <w:rsid w:val="005E47DC"/>
    <w:rsid w:val="005E4CC2"/>
    <w:rsid w:val="005E4CFA"/>
    <w:rsid w:val="005E4FF4"/>
    <w:rsid w:val="005E5A5C"/>
    <w:rsid w:val="005E5A62"/>
    <w:rsid w:val="005E5C53"/>
    <w:rsid w:val="005E5C76"/>
    <w:rsid w:val="005E617F"/>
    <w:rsid w:val="005E7860"/>
    <w:rsid w:val="005E7C2F"/>
    <w:rsid w:val="005F1F3B"/>
    <w:rsid w:val="005F22F5"/>
    <w:rsid w:val="005F2CFC"/>
    <w:rsid w:val="005F31F4"/>
    <w:rsid w:val="005F33F6"/>
    <w:rsid w:val="005F38FB"/>
    <w:rsid w:val="005F4355"/>
    <w:rsid w:val="005F4AA1"/>
    <w:rsid w:val="005F4C1B"/>
    <w:rsid w:val="005F5346"/>
    <w:rsid w:val="005F5395"/>
    <w:rsid w:val="005F5C50"/>
    <w:rsid w:val="005F60B5"/>
    <w:rsid w:val="005F6DFF"/>
    <w:rsid w:val="005F7954"/>
    <w:rsid w:val="00600569"/>
    <w:rsid w:val="0060098D"/>
    <w:rsid w:val="00601B20"/>
    <w:rsid w:val="0060210C"/>
    <w:rsid w:val="00602A9C"/>
    <w:rsid w:val="00602AA2"/>
    <w:rsid w:val="00602F2C"/>
    <w:rsid w:val="00603FE1"/>
    <w:rsid w:val="00604E83"/>
    <w:rsid w:val="00606F82"/>
    <w:rsid w:val="00610B9B"/>
    <w:rsid w:val="00610CAF"/>
    <w:rsid w:val="006115F6"/>
    <w:rsid w:val="006118B2"/>
    <w:rsid w:val="00611A5B"/>
    <w:rsid w:val="00612EE3"/>
    <w:rsid w:val="006138C4"/>
    <w:rsid w:val="00613D98"/>
    <w:rsid w:val="006149AB"/>
    <w:rsid w:val="00614D3D"/>
    <w:rsid w:val="00614DD8"/>
    <w:rsid w:val="00615608"/>
    <w:rsid w:val="00615F20"/>
    <w:rsid w:val="0061603B"/>
    <w:rsid w:val="00616BED"/>
    <w:rsid w:val="00617EEC"/>
    <w:rsid w:val="00620FDE"/>
    <w:rsid w:val="00621708"/>
    <w:rsid w:val="00623E7C"/>
    <w:rsid w:val="00624233"/>
    <w:rsid w:val="0062542F"/>
    <w:rsid w:val="00625F6F"/>
    <w:rsid w:val="006263A2"/>
    <w:rsid w:val="00627191"/>
    <w:rsid w:val="00630EAE"/>
    <w:rsid w:val="006322BB"/>
    <w:rsid w:val="006333D6"/>
    <w:rsid w:val="00633888"/>
    <w:rsid w:val="006361C8"/>
    <w:rsid w:val="00636364"/>
    <w:rsid w:val="006365EF"/>
    <w:rsid w:val="00637314"/>
    <w:rsid w:val="00637628"/>
    <w:rsid w:val="0063766D"/>
    <w:rsid w:val="00640670"/>
    <w:rsid w:val="0064086D"/>
    <w:rsid w:val="00641F62"/>
    <w:rsid w:val="006425D3"/>
    <w:rsid w:val="00642D82"/>
    <w:rsid w:val="00642E7A"/>
    <w:rsid w:val="006433C5"/>
    <w:rsid w:val="00643789"/>
    <w:rsid w:val="006437D6"/>
    <w:rsid w:val="00644097"/>
    <w:rsid w:val="006441A9"/>
    <w:rsid w:val="00644592"/>
    <w:rsid w:val="00644EC6"/>
    <w:rsid w:val="0064763C"/>
    <w:rsid w:val="006477F0"/>
    <w:rsid w:val="00647AD2"/>
    <w:rsid w:val="00647E4A"/>
    <w:rsid w:val="00650DE4"/>
    <w:rsid w:val="00650F4F"/>
    <w:rsid w:val="00651448"/>
    <w:rsid w:val="006523DD"/>
    <w:rsid w:val="00652849"/>
    <w:rsid w:val="00652E16"/>
    <w:rsid w:val="0065388D"/>
    <w:rsid w:val="0065484F"/>
    <w:rsid w:val="00655296"/>
    <w:rsid w:val="00655A43"/>
    <w:rsid w:val="00655B00"/>
    <w:rsid w:val="00655F97"/>
    <w:rsid w:val="00656B27"/>
    <w:rsid w:val="006574D0"/>
    <w:rsid w:val="0066099C"/>
    <w:rsid w:val="00661240"/>
    <w:rsid w:val="00661F8F"/>
    <w:rsid w:val="0066223D"/>
    <w:rsid w:val="0066325B"/>
    <w:rsid w:val="006634F1"/>
    <w:rsid w:val="006658C4"/>
    <w:rsid w:val="00666077"/>
    <w:rsid w:val="006663CB"/>
    <w:rsid w:val="006667A2"/>
    <w:rsid w:val="006678D0"/>
    <w:rsid w:val="00667972"/>
    <w:rsid w:val="00667A0F"/>
    <w:rsid w:val="00671F49"/>
    <w:rsid w:val="0067291D"/>
    <w:rsid w:val="0067556A"/>
    <w:rsid w:val="00675FE4"/>
    <w:rsid w:val="00676310"/>
    <w:rsid w:val="006777FB"/>
    <w:rsid w:val="00680BC1"/>
    <w:rsid w:val="006822EE"/>
    <w:rsid w:val="006827C3"/>
    <w:rsid w:val="00682F01"/>
    <w:rsid w:val="00684AF1"/>
    <w:rsid w:val="00684BE5"/>
    <w:rsid w:val="00684E96"/>
    <w:rsid w:val="006856D8"/>
    <w:rsid w:val="00687357"/>
    <w:rsid w:val="006873C1"/>
    <w:rsid w:val="00687476"/>
    <w:rsid w:val="006900B6"/>
    <w:rsid w:val="00690D6D"/>
    <w:rsid w:val="00694F4B"/>
    <w:rsid w:val="006A2411"/>
    <w:rsid w:val="006A29FF"/>
    <w:rsid w:val="006B10AD"/>
    <w:rsid w:val="006B13D1"/>
    <w:rsid w:val="006B2465"/>
    <w:rsid w:val="006B26F4"/>
    <w:rsid w:val="006C05C1"/>
    <w:rsid w:val="006C08DE"/>
    <w:rsid w:val="006C163E"/>
    <w:rsid w:val="006C2833"/>
    <w:rsid w:val="006C2DEB"/>
    <w:rsid w:val="006C3CA0"/>
    <w:rsid w:val="006C3CAB"/>
    <w:rsid w:val="006C3E02"/>
    <w:rsid w:val="006C4B7E"/>
    <w:rsid w:val="006C5EB3"/>
    <w:rsid w:val="006C65E3"/>
    <w:rsid w:val="006C6A8A"/>
    <w:rsid w:val="006C6B3C"/>
    <w:rsid w:val="006C726A"/>
    <w:rsid w:val="006D00C2"/>
    <w:rsid w:val="006D0BE6"/>
    <w:rsid w:val="006D133A"/>
    <w:rsid w:val="006D18F6"/>
    <w:rsid w:val="006D2B5F"/>
    <w:rsid w:val="006D3482"/>
    <w:rsid w:val="006D440B"/>
    <w:rsid w:val="006D476A"/>
    <w:rsid w:val="006D59C2"/>
    <w:rsid w:val="006D5A39"/>
    <w:rsid w:val="006D7CCB"/>
    <w:rsid w:val="006D7D79"/>
    <w:rsid w:val="006D7DA9"/>
    <w:rsid w:val="006E2219"/>
    <w:rsid w:val="006E2B03"/>
    <w:rsid w:val="006E4004"/>
    <w:rsid w:val="006E4EDC"/>
    <w:rsid w:val="006E50B7"/>
    <w:rsid w:val="006E5195"/>
    <w:rsid w:val="006E54DE"/>
    <w:rsid w:val="006E6FED"/>
    <w:rsid w:val="006E7839"/>
    <w:rsid w:val="006F18D4"/>
    <w:rsid w:val="006F2974"/>
    <w:rsid w:val="006F5599"/>
    <w:rsid w:val="006F6E98"/>
    <w:rsid w:val="007005F7"/>
    <w:rsid w:val="00700B3E"/>
    <w:rsid w:val="00701A84"/>
    <w:rsid w:val="00702297"/>
    <w:rsid w:val="00702548"/>
    <w:rsid w:val="007026EC"/>
    <w:rsid w:val="00704A37"/>
    <w:rsid w:val="00704D70"/>
    <w:rsid w:val="00704D8C"/>
    <w:rsid w:val="007060F3"/>
    <w:rsid w:val="007065AF"/>
    <w:rsid w:val="007101F4"/>
    <w:rsid w:val="007103C5"/>
    <w:rsid w:val="00710B72"/>
    <w:rsid w:val="00710F00"/>
    <w:rsid w:val="00711509"/>
    <w:rsid w:val="0071177D"/>
    <w:rsid w:val="00712159"/>
    <w:rsid w:val="00712BA1"/>
    <w:rsid w:val="007147F0"/>
    <w:rsid w:val="00714890"/>
    <w:rsid w:val="007154BB"/>
    <w:rsid w:val="00715DD2"/>
    <w:rsid w:val="00715E44"/>
    <w:rsid w:val="00716184"/>
    <w:rsid w:val="00720918"/>
    <w:rsid w:val="007212B9"/>
    <w:rsid w:val="007226DB"/>
    <w:rsid w:val="00722AE1"/>
    <w:rsid w:val="00722F22"/>
    <w:rsid w:val="007233C9"/>
    <w:rsid w:val="007245E0"/>
    <w:rsid w:val="0072535A"/>
    <w:rsid w:val="00725F88"/>
    <w:rsid w:val="00726187"/>
    <w:rsid w:val="00727B7E"/>
    <w:rsid w:val="00727F5B"/>
    <w:rsid w:val="00730715"/>
    <w:rsid w:val="00730A71"/>
    <w:rsid w:val="007329C3"/>
    <w:rsid w:val="007369BA"/>
    <w:rsid w:val="00736E35"/>
    <w:rsid w:val="007404A2"/>
    <w:rsid w:val="00740508"/>
    <w:rsid w:val="0074065F"/>
    <w:rsid w:val="00740FDE"/>
    <w:rsid w:val="00741170"/>
    <w:rsid w:val="00741A0B"/>
    <w:rsid w:val="00743429"/>
    <w:rsid w:val="00744F80"/>
    <w:rsid w:val="007454F5"/>
    <w:rsid w:val="0074572F"/>
    <w:rsid w:val="00746D56"/>
    <w:rsid w:val="00746F25"/>
    <w:rsid w:val="0074782E"/>
    <w:rsid w:val="00750D2A"/>
    <w:rsid w:val="0075195C"/>
    <w:rsid w:val="00752D3C"/>
    <w:rsid w:val="0075333E"/>
    <w:rsid w:val="007536DA"/>
    <w:rsid w:val="007537A4"/>
    <w:rsid w:val="007539E7"/>
    <w:rsid w:val="0075543E"/>
    <w:rsid w:val="00756653"/>
    <w:rsid w:val="0075697E"/>
    <w:rsid w:val="00756A99"/>
    <w:rsid w:val="00756EF9"/>
    <w:rsid w:val="0075765A"/>
    <w:rsid w:val="007605A0"/>
    <w:rsid w:val="007612B9"/>
    <w:rsid w:val="00761DE1"/>
    <w:rsid w:val="00763B55"/>
    <w:rsid w:val="00764D06"/>
    <w:rsid w:val="007661FD"/>
    <w:rsid w:val="00766AA7"/>
    <w:rsid w:val="00766F27"/>
    <w:rsid w:val="007670FC"/>
    <w:rsid w:val="00771761"/>
    <w:rsid w:val="00771AB9"/>
    <w:rsid w:val="00771CD7"/>
    <w:rsid w:val="007722DD"/>
    <w:rsid w:val="007736CD"/>
    <w:rsid w:val="00775018"/>
    <w:rsid w:val="007760FC"/>
    <w:rsid w:val="0077625D"/>
    <w:rsid w:val="007769EA"/>
    <w:rsid w:val="00781162"/>
    <w:rsid w:val="00781332"/>
    <w:rsid w:val="00782995"/>
    <w:rsid w:val="00783252"/>
    <w:rsid w:val="00784183"/>
    <w:rsid w:val="00785ACB"/>
    <w:rsid w:val="007871DE"/>
    <w:rsid w:val="007901B2"/>
    <w:rsid w:val="00790235"/>
    <w:rsid w:val="00793AAF"/>
    <w:rsid w:val="00794183"/>
    <w:rsid w:val="007954A2"/>
    <w:rsid w:val="00795AAC"/>
    <w:rsid w:val="007966D2"/>
    <w:rsid w:val="00796B16"/>
    <w:rsid w:val="007A1AFF"/>
    <w:rsid w:val="007A1E1F"/>
    <w:rsid w:val="007A23B3"/>
    <w:rsid w:val="007A29B1"/>
    <w:rsid w:val="007A2B5B"/>
    <w:rsid w:val="007A498E"/>
    <w:rsid w:val="007A4D52"/>
    <w:rsid w:val="007A5AC4"/>
    <w:rsid w:val="007B0846"/>
    <w:rsid w:val="007B1739"/>
    <w:rsid w:val="007B17FC"/>
    <w:rsid w:val="007B39AB"/>
    <w:rsid w:val="007B3EAE"/>
    <w:rsid w:val="007B5098"/>
    <w:rsid w:val="007B5836"/>
    <w:rsid w:val="007B7EF2"/>
    <w:rsid w:val="007C01E0"/>
    <w:rsid w:val="007C26F5"/>
    <w:rsid w:val="007C4A99"/>
    <w:rsid w:val="007C55F3"/>
    <w:rsid w:val="007C626B"/>
    <w:rsid w:val="007C6523"/>
    <w:rsid w:val="007C70A4"/>
    <w:rsid w:val="007D15CC"/>
    <w:rsid w:val="007D1DD9"/>
    <w:rsid w:val="007D2E64"/>
    <w:rsid w:val="007D412B"/>
    <w:rsid w:val="007D6508"/>
    <w:rsid w:val="007D7157"/>
    <w:rsid w:val="007E068F"/>
    <w:rsid w:val="007E08D2"/>
    <w:rsid w:val="007E0D37"/>
    <w:rsid w:val="007E1427"/>
    <w:rsid w:val="007E60C8"/>
    <w:rsid w:val="007E692F"/>
    <w:rsid w:val="007E7332"/>
    <w:rsid w:val="007E7FB3"/>
    <w:rsid w:val="007F0A59"/>
    <w:rsid w:val="007F0ED7"/>
    <w:rsid w:val="007F1101"/>
    <w:rsid w:val="007F19E4"/>
    <w:rsid w:val="007F1DEE"/>
    <w:rsid w:val="007F2686"/>
    <w:rsid w:val="007F3905"/>
    <w:rsid w:val="007F3D38"/>
    <w:rsid w:val="007F3DD7"/>
    <w:rsid w:val="007F5435"/>
    <w:rsid w:val="007F550A"/>
    <w:rsid w:val="007F5EC8"/>
    <w:rsid w:val="007F62D0"/>
    <w:rsid w:val="00800F87"/>
    <w:rsid w:val="00801F47"/>
    <w:rsid w:val="008020E5"/>
    <w:rsid w:val="0080244B"/>
    <w:rsid w:val="008034CB"/>
    <w:rsid w:val="00803D59"/>
    <w:rsid w:val="00803E06"/>
    <w:rsid w:val="008041AC"/>
    <w:rsid w:val="00804250"/>
    <w:rsid w:val="008047F4"/>
    <w:rsid w:val="00806221"/>
    <w:rsid w:val="00806805"/>
    <w:rsid w:val="00807611"/>
    <w:rsid w:val="008102AB"/>
    <w:rsid w:val="008110CD"/>
    <w:rsid w:val="0081202F"/>
    <w:rsid w:val="00812339"/>
    <w:rsid w:val="00815A84"/>
    <w:rsid w:val="00815F49"/>
    <w:rsid w:val="00816338"/>
    <w:rsid w:val="00816A84"/>
    <w:rsid w:val="008173B3"/>
    <w:rsid w:val="00817627"/>
    <w:rsid w:val="008216D8"/>
    <w:rsid w:val="00824D7B"/>
    <w:rsid w:val="00825B07"/>
    <w:rsid w:val="00825CB5"/>
    <w:rsid w:val="00826BF9"/>
    <w:rsid w:val="00826EB3"/>
    <w:rsid w:val="008279BC"/>
    <w:rsid w:val="00827D16"/>
    <w:rsid w:val="008303BF"/>
    <w:rsid w:val="00830A07"/>
    <w:rsid w:val="00830BD1"/>
    <w:rsid w:val="008312C7"/>
    <w:rsid w:val="00832187"/>
    <w:rsid w:val="00833A70"/>
    <w:rsid w:val="00834F89"/>
    <w:rsid w:val="008365A8"/>
    <w:rsid w:val="00836E19"/>
    <w:rsid w:val="0083765B"/>
    <w:rsid w:val="00837C23"/>
    <w:rsid w:val="00840D33"/>
    <w:rsid w:val="008422FC"/>
    <w:rsid w:val="008450CE"/>
    <w:rsid w:val="008461EE"/>
    <w:rsid w:val="00846CF7"/>
    <w:rsid w:val="00847A60"/>
    <w:rsid w:val="00847B1B"/>
    <w:rsid w:val="00850176"/>
    <w:rsid w:val="00850A1E"/>
    <w:rsid w:val="00850BB6"/>
    <w:rsid w:val="00850FCE"/>
    <w:rsid w:val="00851C26"/>
    <w:rsid w:val="00851F54"/>
    <w:rsid w:val="008539F7"/>
    <w:rsid w:val="00853B8D"/>
    <w:rsid w:val="008558EB"/>
    <w:rsid w:val="008561EA"/>
    <w:rsid w:val="00856ADA"/>
    <w:rsid w:val="0086125C"/>
    <w:rsid w:val="00862DA1"/>
    <w:rsid w:val="00864591"/>
    <w:rsid w:val="008647AB"/>
    <w:rsid w:val="00865098"/>
    <w:rsid w:val="008718E9"/>
    <w:rsid w:val="00872411"/>
    <w:rsid w:val="00872CD1"/>
    <w:rsid w:val="008735F8"/>
    <w:rsid w:val="00873621"/>
    <w:rsid w:val="008740C4"/>
    <w:rsid w:val="00875AAC"/>
    <w:rsid w:val="0087656C"/>
    <w:rsid w:val="00880569"/>
    <w:rsid w:val="00880652"/>
    <w:rsid w:val="0088388F"/>
    <w:rsid w:val="00883FDA"/>
    <w:rsid w:val="00884509"/>
    <w:rsid w:val="00884899"/>
    <w:rsid w:val="008853DB"/>
    <w:rsid w:val="0088564C"/>
    <w:rsid w:val="00886B93"/>
    <w:rsid w:val="00887692"/>
    <w:rsid w:val="00887700"/>
    <w:rsid w:val="00890CA6"/>
    <w:rsid w:val="00891AE9"/>
    <w:rsid w:val="00892BA2"/>
    <w:rsid w:val="00892DEB"/>
    <w:rsid w:val="008936CC"/>
    <w:rsid w:val="00893843"/>
    <w:rsid w:val="00894F92"/>
    <w:rsid w:val="008959EE"/>
    <w:rsid w:val="00895E03"/>
    <w:rsid w:val="00895E12"/>
    <w:rsid w:val="00896B41"/>
    <w:rsid w:val="00897328"/>
    <w:rsid w:val="008974C3"/>
    <w:rsid w:val="00897D25"/>
    <w:rsid w:val="008A3BDF"/>
    <w:rsid w:val="008A3CF2"/>
    <w:rsid w:val="008A3FD2"/>
    <w:rsid w:val="008A459F"/>
    <w:rsid w:val="008A4964"/>
    <w:rsid w:val="008A59DE"/>
    <w:rsid w:val="008A6FB3"/>
    <w:rsid w:val="008A7BA9"/>
    <w:rsid w:val="008A7D16"/>
    <w:rsid w:val="008B0473"/>
    <w:rsid w:val="008B096D"/>
    <w:rsid w:val="008B0A7C"/>
    <w:rsid w:val="008B12D0"/>
    <w:rsid w:val="008B2BC2"/>
    <w:rsid w:val="008B302E"/>
    <w:rsid w:val="008B3A6F"/>
    <w:rsid w:val="008B4DB9"/>
    <w:rsid w:val="008B4FF1"/>
    <w:rsid w:val="008B5627"/>
    <w:rsid w:val="008B5A83"/>
    <w:rsid w:val="008B7289"/>
    <w:rsid w:val="008B7C75"/>
    <w:rsid w:val="008C04B1"/>
    <w:rsid w:val="008C157B"/>
    <w:rsid w:val="008C17E2"/>
    <w:rsid w:val="008C1898"/>
    <w:rsid w:val="008C1937"/>
    <w:rsid w:val="008C1D1A"/>
    <w:rsid w:val="008C2A31"/>
    <w:rsid w:val="008C2BA7"/>
    <w:rsid w:val="008C31E2"/>
    <w:rsid w:val="008C346B"/>
    <w:rsid w:val="008C3600"/>
    <w:rsid w:val="008C481B"/>
    <w:rsid w:val="008C4C39"/>
    <w:rsid w:val="008C53CD"/>
    <w:rsid w:val="008C56EC"/>
    <w:rsid w:val="008C5B12"/>
    <w:rsid w:val="008C5E77"/>
    <w:rsid w:val="008C79FE"/>
    <w:rsid w:val="008D0BF0"/>
    <w:rsid w:val="008D1E35"/>
    <w:rsid w:val="008D301D"/>
    <w:rsid w:val="008D47AE"/>
    <w:rsid w:val="008D47B1"/>
    <w:rsid w:val="008D6456"/>
    <w:rsid w:val="008D6A20"/>
    <w:rsid w:val="008D7131"/>
    <w:rsid w:val="008D724E"/>
    <w:rsid w:val="008D74C9"/>
    <w:rsid w:val="008E0CCD"/>
    <w:rsid w:val="008E14CA"/>
    <w:rsid w:val="008E2223"/>
    <w:rsid w:val="008E427C"/>
    <w:rsid w:val="008E46EC"/>
    <w:rsid w:val="008E490C"/>
    <w:rsid w:val="008E5A44"/>
    <w:rsid w:val="008E6029"/>
    <w:rsid w:val="008E6440"/>
    <w:rsid w:val="008E6489"/>
    <w:rsid w:val="008E6523"/>
    <w:rsid w:val="008E6BD6"/>
    <w:rsid w:val="008E7055"/>
    <w:rsid w:val="008E7F32"/>
    <w:rsid w:val="008E7FCE"/>
    <w:rsid w:val="008F0B17"/>
    <w:rsid w:val="008F101D"/>
    <w:rsid w:val="008F169B"/>
    <w:rsid w:val="008F18C6"/>
    <w:rsid w:val="008F3957"/>
    <w:rsid w:val="008F3AB7"/>
    <w:rsid w:val="008F3DEA"/>
    <w:rsid w:val="008F3FF0"/>
    <w:rsid w:val="008F4F8C"/>
    <w:rsid w:val="008F6C3D"/>
    <w:rsid w:val="008F73FF"/>
    <w:rsid w:val="008F77B0"/>
    <w:rsid w:val="008F794D"/>
    <w:rsid w:val="008F7E03"/>
    <w:rsid w:val="00900CAD"/>
    <w:rsid w:val="00900D08"/>
    <w:rsid w:val="009023E7"/>
    <w:rsid w:val="00902EFE"/>
    <w:rsid w:val="00902FEB"/>
    <w:rsid w:val="009031A7"/>
    <w:rsid w:val="00903868"/>
    <w:rsid w:val="009039B2"/>
    <w:rsid w:val="00903E97"/>
    <w:rsid w:val="00904115"/>
    <w:rsid w:val="00904802"/>
    <w:rsid w:val="0090534B"/>
    <w:rsid w:val="0090614A"/>
    <w:rsid w:val="00911308"/>
    <w:rsid w:val="00911F45"/>
    <w:rsid w:val="00912679"/>
    <w:rsid w:val="00912C8E"/>
    <w:rsid w:val="00913005"/>
    <w:rsid w:val="00913113"/>
    <w:rsid w:val="00913703"/>
    <w:rsid w:val="00913789"/>
    <w:rsid w:val="00913DEF"/>
    <w:rsid w:val="00915869"/>
    <w:rsid w:val="00916789"/>
    <w:rsid w:val="00916EDC"/>
    <w:rsid w:val="00917E87"/>
    <w:rsid w:val="009209D8"/>
    <w:rsid w:val="00920DB8"/>
    <w:rsid w:val="00921F32"/>
    <w:rsid w:val="00923A33"/>
    <w:rsid w:val="0092414E"/>
    <w:rsid w:val="0092424B"/>
    <w:rsid w:val="009242B2"/>
    <w:rsid w:val="0092607E"/>
    <w:rsid w:val="009267E8"/>
    <w:rsid w:val="00927DC4"/>
    <w:rsid w:val="00930030"/>
    <w:rsid w:val="00931D73"/>
    <w:rsid w:val="009322EA"/>
    <w:rsid w:val="00932C36"/>
    <w:rsid w:val="00933150"/>
    <w:rsid w:val="009354C6"/>
    <w:rsid w:val="00935AD0"/>
    <w:rsid w:val="009360A4"/>
    <w:rsid w:val="009363D7"/>
    <w:rsid w:val="00936BC8"/>
    <w:rsid w:val="009411C5"/>
    <w:rsid w:val="0094193D"/>
    <w:rsid w:val="00941B4F"/>
    <w:rsid w:val="00943801"/>
    <w:rsid w:val="0094455D"/>
    <w:rsid w:val="009447B1"/>
    <w:rsid w:val="009450C8"/>
    <w:rsid w:val="00945BFB"/>
    <w:rsid w:val="00945C6A"/>
    <w:rsid w:val="00946093"/>
    <w:rsid w:val="00946AFA"/>
    <w:rsid w:val="009471DA"/>
    <w:rsid w:val="00947B51"/>
    <w:rsid w:val="00950839"/>
    <w:rsid w:val="009517F2"/>
    <w:rsid w:val="00951D23"/>
    <w:rsid w:val="00952072"/>
    <w:rsid w:val="009525A0"/>
    <w:rsid w:val="00952CFC"/>
    <w:rsid w:val="00952EB7"/>
    <w:rsid w:val="00954D7B"/>
    <w:rsid w:val="0095521C"/>
    <w:rsid w:val="00955A9E"/>
    <w:rsid w:val="009566F9"/>
    <w:rsid w:val="00957AC9"/>
    <w:rsid w:val="00961A56"/>
    <w:rsid w:val="0096495B"/>
    <w:rsid w:val="00966968"/>
    <w:rsid w:val="00966CE6"/>
    <w:rsid w:val="0096773A"/>
    <w:rsid w:val="00967DD5"/>
    <w:rsid w:val="00970250"/>
    <w:rsid w:val="00971074"/>
    <w:rsid w:val="00971A72"/>
    <w:rsid w:val="00971EAD"/>
    <w:rsid w:val="009726B8"/>
    <w:rsid w:val="00972AB5"/>
    <w:rsid w:val="00973130"/>
    <w:rsid w:val="00973B98"/>
    <w:rsid w:val="009742EA"/>
    <w:rsid w:val="00974634"/>
    <w:rsid w:val="0097496C"/>
    <w:rsid w:val="00977B08"/>
    <w:rsid w:val="0098013F"/>
    <w:rsid w:val="00982500"/>
    <w:rsid w:val="00982987"/>
    <w:rsid w:val="00984E45"/>
    <w:rsid w:val="009864D4"/>
    <w:rsid w:val="00987289"/>
    <w:rsid w:val="00987F53"/>
    <w:rsid w:val="009907AC"/>
    <w:rsid w:val="00991E80"/>
    <w:rsid w:val="00994561"/>
    <w:rsid w:val="00996537"/>
    <w:rsid w:val="0099668B"/>
    <w:rsid w:val="00997103"/>
    <w:rsid w:val="0099737F"/>
    <w:rsid w:val="009A12D5"/>
    <w:rsid w:val="009A1A9F"/>
    <w:rsid w:val="009A2526"/>
    <w:rsid w:val="009A2D62"/>
    <w:rsid w:val="009A3B1F"/>
    <w:rsid w:val="009A4C21"/>
    <w:rsid w:val="009A5205"/>
    <w:rsid w:val="009A6322"/>
    <w:rsid w:val="009A6720"/>
    <w:rsid w:val="009B10E2"/>
    <w:rsid w:val="009B1CDB"/>
    <w:rsid w:val="009B3AC1"/>
    <w:rsid w:val="009B44DE"/>
    <w:rsid w:val="009B5A90"/>
    <w:rsid w:val="009B649B"/>
    <w:rsid w:val="009B7827"/>
    <w:rsid w:val="009B7F63"/>
    <w:rsid w:val="009C06E7"/>
    <w:rsid w:val="009C14B6"/>
    <w:rsid w:val="009C320B"/>
    <w:rsid w:val="009C38CE"/>
    <w:rsid w:val="009C3D20"/>
    <w:rsid w:val="009C6296"/>
    <w:rsid w:val="009C79D1"/>
    <w:rsid w:val="009D155C"/>
    <w:rsid w:val="009D1827"/>
    <w:rsid w:val="009D1C35"/>
    <w:rsid w:val="009D2C92"/>
    <w:rsid w:val="009D3687"/>
    <w:rsid w:val="009D3B1B"/>
    <w:rsid w:val="009D4CCA"/>
    <w:rsid w:val="009D5BE8"/>
    <w:rsid w:val="009D6BE4"/>
    <w:rsid w:val="009D7016"/>
    <w:rsid w:val="009E4149"/>
    <w:rsid w:val="009E4492"/>
    <w:rsid w:val="009E4BEF"/>
    <w:rsid w:val="009E623F"/>
    <w:rsid w:val="009E6F43"/>
    <w:rsid w:val="009E70B7"/>
    <w:rsid w:val="009E71CD"/>
    <w:rsid w:val="009E7B87"/>
    <w:rsid w:val="009F0227"/>
    <w:rsid w:val="009F0DC1"/>
    <w:rsid w:val="009F1DC2"/>
    <w:rsid w:val="009F20F2"/>
    <w:rsid w:val="009F3540"/>
    <w:rsid w:val="009F3A15"/>
    <w:rsid w:val="009F4CBA"/>
    <w:rsid w:val="009F72BE"/>
    <w:rsid w:val="009F7CFF"/>
    <w:rsid w:val="00A0058A"/>
    <w:rsid w:val="00A0087D"/>
    <w:rsid w:val="00A00C33"/>
    <w:rsid w:val="00A031C5"/>
    <w:rsid w:val="00A03E10"/>
    <w:rsid w:val="00A049AC"/>
    <w:rsid w:val="00A05667"/>
    <w:rsid w:val="00A063C4"/>
    <w:rsid w:val="00A06447"/>
    <w:rsid w:val="00A0672B"/>
    <w:rsid w:val="00A0741E"/>
    <w:rsid w:val="00A10980"/>
    <w:rsid w:val="00A11761"/>
    <w:rsid w:val="00A1251E"/>
    <w:rsid w:val="00A127DD"/>
    <w:rsid w:val="00A12924"/>
    <w:rsid w:val="00A1412D"/>
    <w:rsid w:val="00A14731"/>
    <w:rsid w:val="00A14BE1"/>
    <w:rsid w:val="00A14CF6"/>
    <w:rsid w:val="00A1727B"/>
    <w:rsid w:val="00A1733E"/>
    <w:rsid w:val="00A17A0A"/>
    <w:rsid w:val="00A20336"/>
    <w:rsid w:val="00A20C9D"/>
    <w:rsid w:val="00A2351E"/>
    <w:rsid w:val="00A241AE"/>
    <w:rsid w:val="00A242C8"/>
    <w:rsid w:val="00A24384"/>
    <w:rsid w:val="00A24A66"/>
    <w:rsid w:val="00A24ACA"/>
    <w:rsid w:val="00A25385"/>
    <w:rsid w:val="00A25619"/>
    <w:rsid w:val="00A26C4C"/>
    <w:rsid w:val="00A30158"/>
    <w:rsid w:val="00A306ED"/>
    <w:rsid w:val="00A31E61"/>
    <w:rsid w:val="00A32B39"/>
    <w:rsid w:val="00A33D50"/>
    <w:rsid w:val="00A33D57"/>
    <w:rsid w:val="00A33DE0"/>
    <w:rsid w:val="00A34958"/>
    <w:rsid w:val="00A36B8A"/>
    <w:rsid w:val="00A36C6B"/>
    <w:rsid w:val="00A403D9"/>
    <w:rsid w:val="00A4074D"/>
    <w:rsid w:val="00A40E21"/>
    <w:rsid w:val="00A41396"/>
    <w:rsid w:val="00A41C80"/>
    <w:rsid w:val="00A41F00"/>
    <w:rsid w:val="00A43C0F"/>
    <w:rsid w:val="00A452FF"/>
    <w:rsid w:val="00A45F9A"/>
    <w:rsid w:val="00A463E7"/>
    <w:rsid w:val="00A47E63"/>
    <w:rsid w:val="00A5024D"/>
    <w:rsid w:val="00A52C65"/>
    <w:rsid w:val="00A531E6"/>
    <w:rsid w:val="00A53367"/>
    <w:rsid w:val="00A5450D"/>
    <w:rsid w:val="00A54FE4"/>
    <w:rsid w:val="00A554CD"/>
    <w:rsid w:val="00A55F3B"/>
    <w:rsid w:val="00A562F3"/>
    <w:rsid w:val="00A56BE9"/>
    <w:rsid w:val="00A56F6F"/>
    <w:rsid w:val="00A57129"/>
    <w:rsid w:val="00A57A0F"/>
    <w:rsid w:val="00A57E61"/>
    <w:rsid w:val="00A6036F"/>
    <w:rsid w:val="00A60964"/>
    <w:rsid w:val="00A60D16"/>
    <w:rsid w:val="00A613D6"/>
    <w:rsid w:val="00A61BA8"/>
    <w:rsid w:val="00A6271C"/>
    <w:rsid w:val="00A6316E"/>
    <w:rsid w:val="00A63230"/>
    <w:rsid w:val="00A66643"/>
    <w:rsid w:val="00A666CE"/>
    <w:rsid w:val="00A6700E"/>
    <w:rsid w:val="00A70DA6"/>
    <w:rsid w:val="00A7171D"/>
    <w:rsid w:val="00A73302"/>
    <w:rsid w:val="00A73C0D"/>
    <w:rsid w:val="00A73EA8"/>
    <w:rsid w:val="00A76DB1"/>
    <w:rsid w:val="00A8003F"/>
    <w:rsid w:val="00A8080E"/>
    <w:rsid w:val="00A83644"/>
    <w:rsid w:val="00A84662"/>
    <w:rsid w:val="00A85242"/>
    <w:rsid w:val="00A85B61"/>
    <w:rsid w:val="00A85D80"/>
    <w:rsid w:val="00A85FA0"/>
    <w:rsid w:val="00A87FA5"/>
    <w:rsid w:val="00A9019C"/>
    <w:rsid w:val="00A937D8"/>
    <w:rsid w:val="00A94534"/>
    <w:rsid w:val="00A95716"/>
    <w:rsid w:val="00A96832"/>
    <w:rsid w:val="00A97B4C"/>
    <w:rsid w:val="00AA0EB1"/>
    <w:rsid w:val="00AA26A9"/>
    <w:rsid w:val="00AA2C50"/>
    <w:rsid w:val="00AA3EC8"/>
    <w:rsid w:val="00AA441D"/>
    <w:rsid w:val="00AA45A8"/>
    <w:rsid w:val="00AA4824"/>
    <w:rsid w:val="00AA54BD"/>
    <w:rsid w:val="00AA68D0"/>
    <w:rsid w:val="00AA69A2"/>
    <w:rsid w:val="00AA78CD"/>
    <w:rsid w:val="00AB0286"/>
    <w:rsid w:val="00AB0513"/>
    <w:rsid w:val="00AB05CF"/>
    <w:rsid w:val="00AB11EE"/>
    <w:rsid w:val="00AB1AAB"/>
    <w:rsid w:val="00AB2DCC"/>
    <w:rsid w:val="00AB4431"/>
    <w:rsid w:val="00AB445A"/>
    <w:rsid w:val="00AB4474"/>
    <w:rsid w:val="00AB51A7"/>
    <w:rsid w:val="00AB5C8E"/>
    <w:rsid w:val="00AB6EF8"/>
    <w:rsid w:val="00AB72EB"/>
    <w:rsid w:val="00AB7E36"/>
    <w:rsid w:val="00AC06C8"/>
    <w:rsid w:val="00AC0701"/>
    <w:rsid w:val="00AC0A32"/>
    <w:rsid w:val="00AC1834"/>
    <w:rsid w:val="00AC234E"/>
    <w:rsid w:val="00AC36CA"/>
    <w:rsid w:val="00AC39DB"/>
    <w:rsid w:val="00AC5916"/>
    <w:rsid w:val="00AC5D07"/>
    <w:rsid w:val="00AC7E81"/>
    <w:rsid w:val="00AD0080"/>
    <w:rsid w:val="00AD045A"/>
    <w:rsid w:val="00AD28FF"/>
    <w:rsid w:val="00AD47C3"/>
    <w:rsid w:val="00AD4E55"/>
    <w:rsid w:val="00AD5B75"/>
    <w:rsid w:val="00AD5DAC"/>
    <w:rsid w:val="00AD5DF8"/>
    <w:rsid w:val="00AD5EAE"/>
    <w:rsid w:val="00AD61D6"/>
    <w:rsid w:val="00AD6716"/>
    <w:rsid w:val="00AD7815"/>
    <w:rsid w:val="00AE217D"/>
    <w:rsid w:val="00AE359E"/>
    <w:rsid w:val="00AE3C6C"/>
    <w:rsid w:val="00AE588C"/>
    <w:rsid w:val="00AE66B1"/>
    <w:rsid w:val="00AE6ED4"/>
    <w:rsid w:val="00AE7437"/>
    <w:rsid w:val="00AF1436"/>
    <w:rsid w:val="00AF1A51"/>
    <w:rsid w:val="00AF1ACC"/>
    <w:rsid w:val="00AF5178"/>
    <w:rsid w:val="00AF5598"/>
    <w:rsid w:val="00AF6B15"/>
    <w:rsid w:val="00AF6E88"/>
    <w:rsid w:val="00AF759C"/>
    <w:rsid w:val="00AF7E66"/>
    <w:rsid w:val="00B00089"/>
    <w:rsid w:val="00B00651"/>
    <w:rsid w:val="00B0080F"/>
    <w:rsid w:val="00B011A4"/>
    <w:rsid w:val="00B034BE"/>
    <w:rsid w:val="00B03899"/>
    <w:rsid w:val="00B0453E"/>
    <w:rsid w:val="00B0479B"/>
    <w:rsid w:val="00B04F07"/>
    <w:rsid w:val="00B07046"/>
    <w:rsid w:val="00B07AD5"/>
    <w:rsid w:val="00B10462"/>
    <w:rsid w:val="00B10A0E"/>
    <w:rsid w:val="00B11CB4"/>
    <w:rsid w:val="00B1247F"/>
    <w:rsid w:val="00B14FD7"/>
    <w:rsid w:val="00B153D8"/>
    <w:rsid w:val="00B153F8"/>
    <w:rsid w:val="00B16583"/>
    <w:rsid w:val="00B16AB4"/>
    <w:rsid w:val="00B17A21"/>
    <w:rsid w:val="00B202E2"/>
    <w:rsid w:val="00B20686"/>
    <w:rsid w:val="00B214E4"/>
    <w:rsid w:val="00B22496"/>
    <w:rsid w:val="00B22C2D"/>
    <w:rsid w:val="00B23AD6"/>
    <w:rsid w:val="00B241D0"/>
    <w:rsid w:val="00B24F8E"/>
    <w:rsid w:val="00B25A4A"/>
    <w:rsid w:val="00B25BB2"/>
    <w:rsid w:val="00B25D31"/>
    <w:rsid w:val="00B261F7"/>
    <w:rsid w:val="00B26814"/>
    <w:rsid w:val="00B2685E"/>
    <w:rsid w:val="00B26CA1"/>
    <w:rsid w:val="00B26E73"/>
    <w:rsid w:val="00B27857"/>
    <w:rsid w:val="00B30159"/>
    <w:rsid w:val="00B320CA"/>
    <w:rsid w:val="00B3387F"/>
    <w:rsid w:val="00B34F9A"/>
    <w:rsid w:val="00B36EAF"/>
    <w:rsid w:val="00B37337"/>
    <w:rsid w:val="00B3747F"/>
    <w:rsid w:val="00B404AE"/>
    <w:rsid w:val="00B407B9"/>
    <w:rsid w:val="00B40E9C"/>
    <w:rsid w:val="00B410F2"/>
    <w:rsid w:val="00B4570D"/>
    <w:rsid w:val="00B46869"/>
    <w:rsid w:val="00B479A5"/>
    <w:rsid w:val="00B50A9A"/>
    <w:rsid w:val="00B51B0D"/>
    <w:rsid w:val="00B525C0"/>
    <w:rsid w:val="00B52638"/>
    <w:rsid w:val="00B52CAD"/>
    <w:rsid w:val="00B539DC"/>
    <w:rsid w:val="00B54073"/>
    <w:rsid w:val="00B54E9A"/>
    <w:rsid w:val="00B55E52"/>
    <w:rsid w:val="00B56007"/>
    <w:rsid w:val="00B56D1C"/>
    <w:rsid w:val="00B57885"/>
    <w:rsid w:val="00B579E2"/>
    <w:rsid w:val="00B61EB7"/>
    <w:rsid w:val="00B627C1"/>
    <w:rsid w:val="00B635F5"/>
    <w:rsid w:val="00B639E5"/>
    <w:rsid w:val="00B63EAF"/>
    <w:rsid w:val="00B64CE3"/>
    <w:rsid w:val="00B71384"/>
    <w:rsid w:val="00B72DEF"/>
    <w:rsid w:val="00B73A0C"/>
    <w:rsid w:val="00B766FD"/>
    <w:rsid w:val="00B803CB"/>
    <w:rsid w:val="00B80E0C"/>
    <w:rsid w:val="00B81B1C"/>
    <w:rsid w:val="00B81E4E"/>
    <w:rsid w:val="00B83C45"/>
    <w:rsid w:val="00B83E53"/>
    <w:rsid w:val="00B83E5D"/>
    <w:rsid w:val="00B84869"/>
    <w:rsid w:val="00B85025"/>
    <w:rsid w:val="00B85E13"/>
    <w:rsid w:val="00B86163"/>
    <w:rsid w:val="00B90B42"/>
    <w:rsid w:val="00B90C66"/>
    <w:rsid w:val="00B90E79"/>
    <w:rsid w:val="00B91852"/>
    <w:rsid w:val="00B91C4B"/>
    <w:rsid w:val="00B9368E"/>
    <w:rsid w:val="00B96304"/>
    <w:rsid w:val="00B9718C"/>
    <w:rsid w:val="00B97DAE"/>
    <w:rsid w:val="00BA05ED"/>
    <w:rsid w:val="00BA0D1F"/>
    <w:rsid w:val="00BA0E93"/>
    <w:rsid w:val="00BA1B3B"/>
    <w:rsid w:val="00BA2792"/>
    <w:rsid w:val="00BA3B5C"/>
    <w:rsid w:val="00BA3D87"/>
    <w:rsid w:val="00BA41AF"/>
    <w:rsid w:val="00BA5DDB"/>
    <w:rsid w:val="00BA7AFA"/>
    <w:rsid w:val="00BA7D58"/>
    <w:rsid w:val="00BB0179"/>
    <w:rsid w:val="00BB0A67"/>
    <w:rsid w:val="00BB218B"/>
    <w:rsid w:val="00BB242B"/>
    <w:rsid w:val="00BB2FDF"/>
    <w:rsid w:val="00BB3749"/>
    <w:rsid w:val="00BB38CA"/>
    <w:rsid w:val="00BB3A6D"/>
    <w:rsid w:val="00BB3FCD"/>
    <w:rsid w:val="00BB45A3"/>
    <w:rsid w:val="00BB4861"/>
    <w:rsid w:val="00BB4ED7"/>
    <w:rsid w:val="00BB5596"/>
    <w:rsid w:val="00BB6433"/>
    <w:rsid w:val="00BB67C6"/>
    <w:rsid w:val="00BC1316"/>
    <w:rsid w:val="00BC2B12"/>
    <w:rsid w:val="00BC35FF"/>
    <w:rsid w:val="00BC3904"/>
    <w:rsid w:val="00BC491A"/>
    <w:rsid w:val="00BC505E"/>
    <w:rsid w:val="00BC5D13"/>
    <w:rsid w:val="00BC781D"/>
    <w:rsid w:val="00BC7A15"/>
    <w:rsid w:val="00BD0655"/>
    <w:rsid w:val="00BD066D"/>
    <w:rsid w:val="00BD285F"/>
    <w:rsid w:val="00BD2AD4"/>
    <w:rsid w:val="00BD2B71"/>
    <w:rsid w:val="00BD38E6"/>
    <w:rsid w:val="00BD690E"/>
    <w:rsid w:val="00BE2240"/>
    <w:rsid w:val="00BE28A3"/>
    <w:rsid w:val="00BE32F2"/>
    <w:rsid w:val="00BE3DA8"/>
    <w:rsid w:val="00BE4A0E"/>
    <w:rsid w:val="00BE4ACD"/>
    <w:rsid w:val="00BE541E"/>
    <w:rsid w:val="00BE6272"/>
    <w:rsid w:val="00BE676D"/>
    <w:rsid w:val="00BE6894"/>
    <w:rsid w:val="00BE6B0E"/>
    <w:rsid w:val="00BE7439"/>
    <w:rsid w:val="00BE7C76"/>
    <w:rsid w:val="00BE7DEE"/>
    <w:rsid w:val="00BE7ECE"/>
    <w:rsid w:val="00BF1FC2"/>
    <w:rsid w:val="00BF22A9"/>
    <w:rsid w:val="00BF2A60"/>
    <w:rsid w:val="00BF3206"/>
    <w:rsid w:val="00BF3AA5"/>
    <w:rsid w:val="00BF531D"/>
    <w:rsid w:val="00BF5346"/>
    <w:rsid w:val="00BF54FD"/>
    <w:rsid w:val="00BF66E6"/>
    <w:rsid w:val="00C00342"/>
    <w:rsid w:val="00C00533"/>
    <w:rsid w:val="00C012FE"/>
    <w:rsid w:val="00C013AE"/>
    <w:rsid w:val="00C0243E"/>
    <w:rsid w:val="00C0334E"/>
    <w:rsid w:val="00C0355A"/>
    <w:rsid w:val="00C04AFE"/>
    <w:rsid w:val="00C073E7"/>
    <w:rsid w:val="00C07638"/>
    <w:rsid w:val="00C07659"/>
    <w:rsid w:val="00C07E14"/>
    <w:rsid w:val="00C1059C"/>
    <w:rsid w:val="00C10C4B"/>
    <w:rsid w:val="00C12ECD"/>
    <w:rsid w:val="00C13D6D"/>
    <w:rsid w:val="00C13D95"/>
    <w:rsid w:val="00C14396"/>
    <w:rsid w:val="00C151F1"/>
    <w:rsid w:val="00C16143"/>
    <w:rsid w:val="00C16C30"/>
    <w:rsid w:val="00C17FA5"/>
    <w:rsid w:val="00C20623"/>
    <w:rsid w:val="00C212C0"/>
    <w:rsid w:val="00C21326"/>
    <w:rsid w:val="00C224A9"/>
    <w:rsid w:val="00C22A88"/>
    <w:rsid w:val="00C232FE"/>
    <w:rsid w:val="00C23594"/>
    <w:rsid w:val="00C23900"/>
    <w:rsid w:val="00C23ABA"/>
    <w:rsid w:val="00C24ED2"/>
    <w:rsid w:val="00C26008"/>
    <w:rsid w:val="00C261B8"/>
    <w:rsid w:val="00C30DF0"/>
    <w:rsid w:val="00C315BA"/>
    <w:rsid w:val="00C317A2"/>
    <w:rsid w:val="00C31E9D"/>
    <w:rsid w:val="00C3308F"/>
    <w:rsid w:val="00C34506"/>
    <w:rsid w:val="00C361A9"/>
    <w:rsid w:val="00C366D5"/>
    <w:rsid w:val="00C37876"/>
    <w:rsid w:val="00C37B6B"/>
    <w:rsid w:val="00C40C28"/>
    <w:rsid w:val="00C40C74"/>
    <w:rsid w:val="00C4145D"/>
    <w:rsid w:val="00C416D2"/>
    <w:rsid w:val="00C42E64"/>
    <w:rsid w:val="00C42FB6"/>
    <w:rsid w:val="00C43902"/>
    <w:rsid w:val="00C43B34"/>
    <w:rsid w:val="00C47AE0"/>
    <w:rsid w:val="00C50C13"/>
    <w:rsid w:val="00C519BC"/>
    <w:rsid w:val="00C51BDA"/>
    <w:rsid w:val="00C51E55"/>
    <w:rsid w:val="00C532E8"/>
    <w:rsid w:val="00C533B1"/>
    <w:rsid w:val="00C53CEE"/>
    <w:rsid w:val="00C55677"/>
    <w:rsid w:val="00C57C97"/>
    <w:rsid w:val="00C57F24"/>
    <w:rsid w:val="00C6203F"/>
    <w:rsid w:val="00C62F97"/>
    <w:rsid w:val="00C6309B"/>
    <w:rsid w:val="00C63B08"/>
    <w:rsid w:val="00C6450C"/>
    <w:rsid w:val="00C64C26"/>
    <w:rsid w:val="00C6543F"/>
    <w:rsid w:val="00C66903"/>
    <w:rsid w:val="00C673A7"/>
    <w:rsid w:val="00C6759A"/>
    <w:rsid w:val="00C70128"/>
    <w:rsid w:val="00C720D1"/>
    <w:rsid w:val="00C72826"/>
    <w:rsid w:val="00C72F54"/>
    <w:rsid w:val="00C738A0"/>
    <w:rsid w:val="00C738BD"/>
    <w:rsid w:val="00C74886"/>
    <w:rsid w:val="00C749B2"/>
    <w:rsid w:val="00C75349"/>
    <w:rsid w:val="00C76299"/>
    <w:rsid w:val="00C77827"/>
    <w:rsid w:val="00C81EFA"/>
    <w:rsid w:val="00C82719"/>
    <w:rsid w:val="00C83086"/>
    <w:rsid w:val="00C8350F"/>
    <w:rsid w:val="00C84986"/>
    <w:rsid w:val="00C84C85"/>
    <w:rsid w:val="00C84F4D"/>
    <w:rsid w:val="00C8780A"/>
    <w:rsid w:val="00C87A1A"/>
    <w:rsid w:val="00C87B08"/>
    <w:rsid w:val="00C87C3E"/>
    <w:rsid w:val="00C90C82"/>
    <w:rsid w:val="00C91AE0"/>
    <w:rsid w:val="00C94B2C"/>
    <w:rsid w:val="00CA2A13"/>
    <w:rsid w:val="00CA3362"/>
    <w:rsid w:val="00CA33B5"/>
    <w:rsid w:val="00CA3C4C"/>
    <w:rsid w:val="00CA42CA"/>
    <w:rsid w:val="00CA4434"/>
    <w:rsid w:val="00CA5141"/>
    <w:rsid w:val="00CA5593"/>
    <w:rsid w:val="00CA5B1D"/>
    <w:rsid w:val="00CA660F"/>
    <w:rsid w:val="00CA7DA3"/>
    <w:rsid w:val="00CB0A22"/>
    <w:rsid w:val="00CB2987"/>
    <w:rsid w:val="00CB4150"/>
    <w:rsid w:val="00CB6277"/>
    <w:rsid w:val="00CB6BBF"/>
    <w:rsid w:val="00CB760B"/>
    <w:rsid w:val="00CC0CED"/>
    <w:rsid w:val="00CC226F"/>
    <w:rsid w:val="00CC2A4F"/>
    <w:rsid w:val="00CC366B"/>
    <w:rsid w:val="00CC4341"/>
    <w:rsid w:val="00CC47D9"/>
    <w:rsid w:val="00CC61A8"/>
    <w:rsid w:val="00CD0169"/>
    <w:rsid w:val="00CD15B5"/>
    <w:rsid w:val="00CD2C47"/>
    <w:rsid w:val="00CD2DDA"/>
    <w:rsid w:val="00CD3446"/>
    <w:rsid w:val="00CD410A"/>
    <w:rsid w:val="00CD458B"/>
    <w:rsid w:val="00CD45D2"/>
    <w:rsid w:val="00CD49B2"/>
    <w:rsid w:val="00CD4B8A"/>
    <w:rsid w:val="00CD5707"/>
    <w:rsid w:val="00CD5886"/>
    <w:rsid w:val="00CD63E0"/>
    <w:rsid w:val="00CD695B"/>
    <w:rsid w:val="00CE1E7D"/>
    <w:rsid w:val="00CE31C6"/>
    <w:rsid w:val="00CE3EC9"/>
    <w:rsid w:val="00CE47A6"/>
    <w:rsid w:val="00CE516C"/>
    <w:rsid w:val="00CE6769"/>
    <w:rsid w:val="00CE70DC"/>
    <w:rsid w:val="00CE7101"/>
    <w:rsid w:val="00CE761F"/>
    <w:rsid w:val="00CE7AF5"/>
    <w:rsid w:val="00CE7FB9"/>
    <w:rsid w:val="00CF095D"/>
    <w:rsid w:val="00CF1A71"/>
    <w:rsid w:val="00CF24C6"/>
    <w:rsid w:val="00CF470C"/>
    <w:rsid w:val="00CF495F"/>
    <w:rsid w:val="00CF7839"/>
    <w:rsid w:val="00D0037E"/>
    <w:rsid w:val="00D0242D"/>
    <w:rsid w:val="00D02FE5"/>
    <w:rsid w:val="00D0569A"/>
    <w:rsid w:val="00D05816"/>
    <w:rsid w:val="00D05893"/>
    <w:rsid w:val="00D05A3E"/>
    <w:rsid w:val="00D06380"/>
    <w:rsid w:val="00D069ED"/>
    <w:rsid w:val="00D06A0F"/>
    <w:rsid w:val="00D06C55"/>
    <w:rsid w:val="00D124A4"/>
    <w:rsid w:val="00D1310A"/>
    <w:rsid w:val="00D1358B"/>
    <w:rsid w:val="00D13804"/>
    <w:rsid w:val="00D1466A"/>
    <w:rsid w:val="00D148B2"/>
    <w:rsid w:val="00D15BCA"/>
    <w:rsid w:val="00D20484"/>
    <w:rsid w:val="00D217E1"/>
    <w:rsid w:val="00D219E2"/>
    <w:rsid w:val="00D24FCD"/>
    <w:rsid w:val="00D2627A"/>
    <w:rsid w:val="00D26638"/>
    <w:rsid w:val="00D26B5D"/>
    <w:rsid w:val="00D27B5C"/>
    <w:rsid w:val="00D31035"/>
    <w:rsid w:val="00D31255"/>
    <w:rsid w:val="00D32138"/>
    <w:rsid w:val="00D32EBB"/>
    <w:rsid w:val="00D33ECD"/>
    <w:rsid w:val="00D347CD"/>
    <w:rsid w:val="00D34AE5"/>
    <w:rsid w:val="00D35F24"/>
    <w:rsid w:val="00D35F60"/>
    <w:rsid w:val="00D364E0"/>
    <w:rsid w:val="00D364F3"/>
    <w:rsid w:val="00D36590"/>
    <w:rsid w:val="00D36A48"/>
    <w:rsid w:val="00D36FDA"/>
    <w:rsid w:val="00D37497"/>
    <w:rsid w:val="00D40016"/>
    <w:rsid w:val="00D41358"/>
    <w:rsid w:val="00D41812"/>
    <w:rsid w:val="00D41F97"/>
    <w:rsid w:val="00D4212B"/>
    <w:rsid w:val="00D42560"/>
    <w:rsid w:val="00D4363D"/>
    <w:rsid w:val="00D43F9F"/>
    <w:rsid w:val="00D444BB"/>
    <w:rsid w:val="00D447E1"/>
    <w:rsid w:val="00D44938"/>
    <w:rsid w:val="00D44AD4"/>
    <w:rsid w:val="00D45B7B"/>
    <w:rsid w:val="00D4650F"/>
    <w:rsid w:val="00D46E47"/>
    <w:rsid w:val="00D471C4"/>
    <w:rsid w:val="00D478F6"/>
    <w:rsid w:val="00D47AD5"/>
    <w:rsid w:val="00D50B3B"/>
    <w:rsid w:val="00D51A71"/>
    <w:rsid w:val="00D54A2B"/>
    <w:rsid w:val="00D55A4E"/>
    <w:rsid w:val="00D56B0B"/>
    <w:rsid w:val="00D6005F"/>
    <w:rsid w:val="00D608AF"/>
    <w:rsid w:val="00D61DA3"/>
    <w:rsid w:val="00D631BA"/>
    <w:rsid w:val="00D636F3"/>
    <w:rsid w:val="00D656C2"/>
    <w:rsid w:val="00D66013"/>
    <w:rsid w:val="00D66630"/>
    <w:rsid w:val="00D67B47"/>
    <w:rsid w:val="00D700D1"/>
    <w:rsid w:val="00D7026F"/>
    <w:rsid w:val="00D7061F"/>
    <w:rsid w:val="00D71B22"/>
    <w:rsid w:val="00D7221C"/>
    <w:rsid w:val="00D73535"/>
    <w:rsid w:val="00D751B7"/>
    <w:rsid w:val="00D75E8F"/>
    <w:rsid w:val="00D760CC"/>
    <w:rsid w:val="00D76920"/>
    <w:rsid w:val="00D76AB0"/>
    <w:rsid w:val="00D80CF7"/>
    <w:rsid w:val="00D8115F"/>
    <w:rsid w:val="00D816AC"/>
    <w:rsid w:val="00D81C4E"/>
    <w:rsid w:val="00D81ED9"/>
    <w:rsid w:val="00D826A9"/>
    <w:rsid w:val="00D82CEF"/>
    <w:rsid w:val="00D83586"/>
    <w:rsid w:val="00D841E9"/>
    <w:rsid w:val="00D844D9"/>
    <w:rsid w:val="00D86CC6"/>
    <w:rsid w:val="00D86E0B"/>
    <w:rsid w:val="00D86ED1"/>
    <w:rsid w:val="00D91434"/>
    <w:rsid w:val="00D928D2"/>
    <w:rsid w:val="00D92AA2"/>
    <w:rsid w:val="00D932F6"/>
    <w:rsid w:val="00D9534E"/>
    <w:rsid w:val="00D964CE"/>
    <w:rsid w:val="00D97525"/>
    <w:rsid w:val="00D97E99"/>
    <w:rsid w:val="00DA078E"/>
    <w:rsid w:val="00DA2996"/>
    <w:rsid w:val="00DA2E61"/>
    <w:rsid w:val="00DB0552"/>
    <w:rsid w:val="00DB0B38"/>
    <w:rsid w:val="00DB17D0"/>
    <w:rsid w:val="00DB2D9A"/>
    <w:rsid w:val="00DB3F3F"/>
    <w:rsid w:val="00DB4152"/>
    <w:rsid w:val="00DB493F"/>
    <w:rsid w:val="00DB560D"/>
    <w:rsid w:val="00DB581A"/>
    <w:rsid w:val="00DB60E8"/>
    <w:rsid w:val="00DB6D49"/>
    <w:rsid w:val="00DB7062"/>
    <w:rsid w:val="00DB795A"/>
    <w:rsid w:val="00DC05EF"/>
    <w:rsid w:val="00DC0863"/>
    <w:rsid w:val="00DC1BF2"/>
    <w:rsid w:val="00DC27B2"/>
    <w:rsid w:val="00DC35A9"/>
    <w:rsid w:val="00DC5730"/>
    <w:rsid w:val="00DC5C1E"/>
    <w:rsid w:val="00DD0956"/>
    <w:rsid w:val="00DD1B8A"/>
    <w:rsid w:val="00DD22B6"/>
    <w:rsid w:val="00DD2BFB"/>
    <w:rsid w:val="00DD518B"/>
    <w:rsid w:val="00DE0159"/>
    <w:rsid w:val="00DE030D"/>
    <w:rsid w:val="00DE045F"/>
    <w:rsid w:val="00DE0D7F"/>
    <w:rsid w:val="00DE19D8"/>
    <w:rsid w:val="00DE2CB7"/>
    <w:rsid w:val="00DE2FB6"/>
    <w:rsid w:val="00DE335D"/>
    <w:rsid w:val="00DE3514"/>
    <w:rsid w:val="00DE39C7"/>
    <w:rsid w:val="00DE452B"/>
    <w:rsid w:val="00DE5088"/>
    <w:rsid w:val="00DE5433"/>
    <w:rsid w:val="00DE57E7"/>
    <w:rsid w:val="00DE7799"/>
    <w:rsid w:val="00DF11A6"/>
    <w:rsid w:val="00DF1BEB"/>
    <w:rsid w:val="00DF1D78"/>
    <w:rsid w:val="00DF2406"/>
    <w:rsid w:val="00DF303C"/>
    <w:rsid w:val="00DF605A"/>
    <w:rsid w:val="00DF698A"/>
    <w:rsid w:val="00DF6AA1"/>
    <w:rsid w:val="00DF6E84"/>
    <w:rsid w:val="00DF73D5"/>
    <w:rsid w:val="00DF7CC3"/>
    <w:rsid w:val="00E001F3"/>
    <w:rsid w:val="00E03331"/>
    <w:rsid w:val="00E0361A"/>
    <w:rsid w:val="00E03DBF"/>
    <w:rsid w:val="00E045CB"/>
    <w:rsid w:val="00E066AE"/>
    <w:rsid w:val="00E06DF3"/>
    <w:rsid w:val="00E07E1D"/>
    <w:rsid w:val="00E10443"/>
    <w:rsid w:val="00E1105D"/>
    <w:rsid w:val="00E11215"/>
    <w:rsid w:val="00E11A03"/>
    <w:rsid w:val="00E12194"/>
    <w:rsid w:val="00E1299A"/>
    <w:rsid w:val="00E12EE9"/>
    <w:rsid w:val="00E152AD"/>
    <w:rsid w:val="00E15318"/>
    <w:rsid w:val="00E179BA"/>
    <w:rsid w:val="00E20850"/>
    <w:rsid w:val="00E21FA9"/>
    <w:rsid w:val="00E224B4"/>
    <w:rsid w:val="00E23078"/>
    <w:rsid w:val="00E24322"/>
    <w:rsid w:val="00E24A3C"/>
    <w:rsid w:val="00E24B3D"/>
    <w:rsid w:val="00E253EA"/>
    <w:rsid w:val="00E2576C"/>
    <w:rsid w:val="00E261C8"/>
    <w:rsid w:val="00E31D31"/>
    <w:rsid w:val="00E33374"/>
    <w:rsid w:val="00E33D67"/>
    <w:rsid w:val="00E34D2F"/>
    <w:rsid w:val="00E35F36"/>
    <w:rsid w:val="00E36CCB"/>
    <w:rsid w:val="00E37BF2"/>
    <w:rsid w:val="00E42095"/>
    <w:rsid w:val="00E44B4D"/>
    <w:rsid w:val="00E455C3"/>
    <w:rsid w:val="00E46DFE"/>
    <w:rsid w:val="00E47D2F"/>
    <w:rsid w:val="00E51A28"/>
    <w:rsid w:val="00E51F91"/>
    <w:rsid w:val="00E52022"/>
    <w:rsid w:val="00E52165"/>
    <w:rsid w:val="00E52EA1"/>
    <w:rsid w:val="00E535BA"/>
    <w:rsid w:val="00E53BBE"/>
    <w:rsid w:val="00E54ACE"/>
    <w:rsid w:val="00E554F0"/>
    <w:rsid w:val="00E55507"/>
    <w:rsid w:val="00E56E68"/>
    <w:rsid w:val="00E6065C"/>
    <w:rsid w:val="00E60B01"/>
    <w:rsid w:val="00E6209D"/>
    <w:rsid w:val="00E62175"/>
    <w:rsid w:val="00E630CD"/>
    <w:rsid w:val="00E63469"/>
    <w:rsid w:val="00E63705"/>
    <w:rsid w:val="00E64DDD"/>
    <w:rsid w:val="00E65B7C"/>
    <w:rsid w:val="00E7012A"/>
    <w:rsid w:val="00E71E71"/>
    <w:rsid w:val="00E7217F"/>
    <w:rsid w:val="00E726F2"/>
    <w:rsid w:val="00E72D2F"/>
    <w:rsid w:val="00E73CF2"/>
    <w:rsid w:val="00E73D56"/>
    <w:rsid w:val="00E76D88"/>
    <w:rsid w:val="00E7723F"/>
    <w:rsid w:val="00E77735"/>
    <w:rsid w:val="00E8036B"/>
    <w:rsid w:val="00E81158"/>
    <w:rsid w:val="00E8151A"/>
    <w:rsid w:val="00E816A1"/>
    <w:rsid w:val="00E81BFE"/>
    <w:rsid w:val="00E8262F"/>
    <w:rsid w:val="00E82B5B"/>
    <w:rsid w:val="00E82E1D"/>
    <w:rsid w:val="00E83980"/>
    <w:rsid w:val="00E83CE5"/>
    <w:rsid w:val="00E84B33"/>
    <w:rsid w:val="00E84EF1"/>
    <w:rsid w:val="00E84F07"/>
    <w:rsid w:val="00E85987"/>
    <w:rsid w:val="00E85C0C"/>
    <w:rsid w:val="00E86003"/>
    <w:rsid w:val="00E87442"/>
    <w:rsid w:val="00E87A8B"/>
    <w:rsid w:val="00E908AE"/>
    <w:rsid w:val="00E90BAE"/>
    <w:rsid w:val="00E916E4"/>
    <w:rsid w:val="00E91E3C"/>
    <w:rsid w:val="00E9223D"/>
    <w:rsid w:val="00E9519F"/>
    <w:rsid w:val="00E95325"/>
    <w:rsid w:val="00E958DC"/>
    <w:rsid w:val="00E971E3"/>
    <w:rsid w:val="00E9758C"/>
    <w:rsid w:val="00EA0BF8"/>
    <w:rsid w:val="00EA1511"/>
    <w:rsid w:val="00EA1CFD"/>
    <w:rsid w:val="00EA3AF6"/>
    <w:rsid w:val="00EA3DB0"/>
    <w:rsid w:val="00EA448D"/>
    <w:rsid w:val="00EA5635"/>
    <w:rsid w:val="00EA58DD"/>
    <w:rsid w:val="00EA59D1"/>
    <w:rsid w:val="00EA64BE"/>
    <w:rsid w:val="00EA69CB"/>
    <w:rsid w:val="00EA7887"/>
    <w:rsid w:val="00EA78D3"/>
    <w:rsid w:val="00EB03AE"/>
    <w:rsid w:val="00EB3E13"/>
    <w:rsid w:val="00EB40FF"/>
    <w:rsid w:val="00EB46F1"/>
    <w:rsid w:val="00EB4AC8"/>
    <w:rsid w:val="00EB4E19"/>
    <w:rsid w:val="00EB56E0"/>
    <w:rsid w:val="00EB61FF"/>
    <w:rsid w:val="00EB6CF4"/>
    <w:rsid w:val="00EC12B1"/>
    <w:rsid w:val="00EC178E"/>
    <w:rsid w:val="00EC4820"/>
    <w:rsid w:val="00EC4C75"/>
    <w:rsid w:val="00EC5924"/>
    <w:rsid w:val="00EC63E4"/>
    <w:rsid w:val="00EC6BA7"/>
    <w:rsid w:val="00EC6C48"/>
    <w:rsid w:val="00EC74B4"/>
    <w:rsid w:val="00ED004F"/>
    <w:rsid w:val="00ED09AA"/>
    <w:rsid w:val="00ED17B7"/>
    <w:rsid w:val="00ED1A47"/>
    <w:rsid w:val="00ED41B8"/>
    <w:rsid w:val="00ED5261"/>
    <w:rsid w:val="00ED5BF5"/>
    <w:rsid w:val="00ED604E"/>
    <w:rsid w:val="00ED78AD"/>
    <w:rsid w:val="00EE1B31"/>
    <w:rsid w:val="00EE215C"/>
    <w:rsid w:val="00EE28F4"/>
    <w:rsid w:val="00EE2AF6"/>
    <w:rsid w:val="00EE340E"/>
    <w:rsid w:val="00EE59F6"/>
    <w:rsid w:val="00EF03BB"/>
    <w:rsid w:val="00EF1C22"/>
    <w:rsid w:val="00EF387E"/>
    <w:rsid w:val="00EF43C8"/>
    <w:rsid w:val="00EF4873"/>
    <w:rsid w:val="00EF4FAE"/>
    <w:rsid w:val="00EF4FC7"/>
    <w:rsid w:val="00EF6082"/>
    <w:rsid w:val="00EF6C37"/>
    <w:rsid w:val="00EF702D"/>
    <w:rsid w:val="00EF7547"/>
    <w:rsid w:val="00F002E6"/>
    <w:rsid w:val="00F01D2D"/>
    <w:rsid w:val="00F02458"/>
    <w:rsid w:val="00F027B4"/>
    <w:rsid w:val="00F0289E"/>
    <w:rsid w:val="00F028AF"/>
    <w:rsid w:val="00F02A76"/>
    <w:rsid w:val="00F0325A"/>
    <w:rsid w:val="00F0504E"/>
    <w:rsid w:val="00F061D4"/>
    <w:rsid w:val="00F06F73"/>
    <w:rsid w:val="00F12461"/>
    <w:rsid w:val="00F14353"/>
    <w:rsid w:val="00F14560"/>
    <w:rsid w:val="00F14A87"/>
    <w:rsid w:val="00F161C4"/>
    <w:rsid w:val="00F16D47"/>
    <w:rsid w:val="00F20E19"/>
    <w:rsid w:val="00F214F9"/>
    <w:rsid w:val="00F237D1"/>
    <w:rsid w:val="00F23C08"/>
    <w:rsid w:val="00F25151"/>
    <w:rsid w:val="00F27178"/>
    <w:rsid w:val="00F3166A"/>
    <w:rsid w:val="00F3244C"/>
    <w:rsid w:val="00F33863"/>
    <w:rsid w:val="00F33D6C"/>
    <w:rsid w:val="00F34495"/>
    <w:rsid w:val="00F3516B"/>
    <w:rsid w:val="00F40C40"/>
    <w:rsid w:val="00F40D64"/>
    <w:rsid w:val="00F41680"/>
    <w:rsid w:val="00F41F6A"/>
    <w:rsid w:val="00F422BC"/>
    <w:rsid w:val="00F42666"/>
    <w:rsid w:val="00F44287"/>
    <w:rsid w:val="00F44CD0"/>
    <w:rsid w:val="00F44F40"/>
    <w:rsid w:val="00F467DD"/>
    <w:rsid w:val="00F471AA"/>
    <w:rsid w:val="00F474FA"/>
    <w:rsid w:val="00F504DD"/>
    <w:rsid w:val="00F50534"/>
    <w:rsid w:val="00F50D98"/>
    <w:rsid w:val="00F53BC9"/>
    <w:rsid w:val="00F53F51"/>
    <w:rsid w:val="00F54B6A"/>
    <w:rsid w:val="00F554A5"/>
    <w:rsid w:val="00F55CA4"/>
    <w:rsid w:val="00F56C81"/>
    <w:rsid w:val="00F56D85"/>
    <w:rsid w:val="00F56E13"/>
    <w:rsid w:val="00F56F7C"/>
    <w:rsid w:val="00F57B58"/>
    <w:rsid w:val="00F608EE"/>
    <w:rsid w:val="00F60A78"/>
    <w:rsid w:val="00F61782"/>
    <w:rsid w:val="00F6242B"/>
    <w:rsid w:val="00F633DC"/>
    <w:rsid w:val="00F64AA0"/>
    <w:rsid w:val="00F64C49"/>
    <w:rsid w:val="00F665D8"/>
    <w:rsid w:val="00F665E5"/>
    <w:rsid w:val="00F66FCC"/>
    <w:rsid w:val="00F6720F"/>
    <w:rsid w:val="00F677FA"/>
    <w:rsid w:val="00F67D33"/>
    <w:rsid w:val="00F70417"/>
    <w:rsid w:val="00F70C3E"/>
    <w:rsid w:val="00F71221"/>
    <w:rsid w:val="00F71F53"/>
    <w:rsid w:val="00F72524"/>
    <w:rsid w:val="00F72805"/>
    <w:rsid w:val="00F73967"/>
    <w:rsid w:val="00F74281"/>
    <w:rsid w:val="00F76F3B"/>
    <w:rsid w:val="00F772C6"/>
    <w:rsid w:val="00F7799C"/>
    <w:rsid w:val="00F77F88"/>
    <w:rsid w:val="00F8131C"/>
    <w:rsid w:val="00F82C2F"/>
    <w:rsid w:val="00F838A8"/>
    <w:rsid w:val="00F84B88"/>
    <w:rsid w:val="00F8615D"/>
    <w:rsid w:val="00F86EE2"/>
    <w:rsid w:val="00F87873"/>
    <w:rsid w:val="00F87B4B"/>
    <w:rsid w:val="00F87C9D"/>
    <w:rsid w:val="00F90890"/>
    <w:rsid w:val="00F909D7"/>
    <w:rsid w:val="00F90BA5"/>
    <w:rsid w:val="00F92AB7"/>
    <w:rsid w:val="00F9311A"/>
    <w:rsid w:val="00F93505"/>
    <w:rsid w:val="00F95494"/>
    <w:rsid w:val="00F972C1"/>
    <w:rsid w:val="00F97C70"/>
    <w:rsid w:val="00FA0245"/>
    <w:rsid w:val="00FA0F9D"/>
    <w:rsid w:val="00FA157A"/>
    <w:rsid w:val="00FA282B"/>
    <w:rsid w:val="00FA567D"/>
    <w:rsid w:val="00FA56AA"/>
    <w:rsid w:val="00FA592C"/>
    <w:rsid w:val="00FA5EE6"/>
    <w:rsid w:val="00FA5F19"/>
    <w:rsid w:val="00FA6C8C"/>
    <w:rsid w:val="00FA7569"/>
    <w:rsid w:val="00FA76A7"/>
    <w:rsid w:val="00FB0980"/>
    <w:rsid w:val="00FB17F6"/>
    <w:rsid w:val="00FB7317"/>
    <w:rsid w:val="00FB74E4"/>
    <w:rsid w:val="00FB7834"/>
    <w:rsid w:val="00FC0BCE"/>
    <w:rsid w:val="00FC1BC3"/>
    <w:rsid w:val="00FC1C92"/>
    <w:rsid w:val="00FC2F1E"/>
    <w:rsid w:val="00FC3265"/>
    <w:rsid w:val="00FC3608"/>
    <w:rsid w:val="00FC36D4"/>
    <w:rsid w:val="00FC36E7"/>
    <w:rsid w:val="00FC5780"/>
    <w:rsid w:val="00FC5C4D"/>
    <w:rsid w:val="00FC6242"/>
    <w:rsid w:val="00FC6E1C"/>
    <w:rsid w:val="00FC72DF"/>
    <w:rsid w:val="00FC7937"/>
    <w:rsid w:val="00FD00ED"/>
    <w:rsid w:val="00FD0557"/>
    <w:rsid w:val="00FD216E"/>
    <w:rsid w:val="00FD28E4"/>
    <w:rsid w:val="00FD293B"/>
    <w:rsid w:val="00FD4B7F"/>
    <w:rsid w:val="00FD6889"/>
    <w:rsid w:val="00FD71DB"/>
    <w:rsid w:val="00FE099F"/>
    <w:rsid w:val="00FE24BF"/>
    <w:rsid w:val="00FE45B2"/>
    <w:rsid w:val="00FE55BA"/>
    <w:rsid w:val="00FE5E6F"/>
    <w:rsid w:val="00FE6BFD"/>
    <w:rsid w:val="00FE6C95"/>
    <w:rsid w:val="00FF10A1"/>
    <w:rsid w:val="00FF3392"/>
    <w:rsid w:val="00FF67CE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54A5"/>
  <w15:chartTrackingRefBased/>
  <w15:docId w15:val="{23B86534-DDD6-4C8E-82E1-9D22F5B6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DF0"/>
  </w:style>
  <w:style w:type="paragraph" w:styleId="Nadpis1">
    <w:name w:val="heading 1"/>
    <w:basedOn w:val="Normln"/>
    <w:next w:val="Normln"/>
    <w:link w:val="Nadpis1Char"/>
    <w:uiPriority w:val="9"/>
    <w:qFormat/>
    <w:rsid w:val="004E5FE7"/>
    <w:pPr>
      <w:keepNext/>
      <w:keepLines/>
      <w:suppressAutoHyphens/>
      <w:overflowPunct w:val="0"/>
      <w:autoSpaceDE w:val="0"/>
      <w:autoSpaceDN w:val="0"/>
      <w:adjustRightInd w:val="0"/>
      <w:spacing w:before="480" w:after="240" w:line="240" w:lineRule="auto"/>
      <w:textAlignment w:val="baseline"/>
      <w:outlineLvl w:val="0"/>
    </w:pPr>
    <w:rPr>
      <w:rFonts w:ascii="Arial Narrow" w:eastAsia="Times New Roman" w:hAnsi="Arial Narrow" w:cs="Times New Roman"/>
      <w:b/>
      <w:kern w:val="36"/>
      <w:sz w:val="3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30BE"/>
    <w:pPr>
      <w:keepNext/>
      <w:keepLines/>
      <w:spacing w:before="40" w:after="120" w:line="240" w:lineRule="auto"/>
      <w:ind w:left="567" w:hanging="567"/>
      <w:jc w:val="both"/>
      <w:outlineLvl w:val="1"/>
    </w:pPr>
    <w:rPr>
      <w:rFonts w:eastAsiaTheme="majorEastAsia" w:cstheme="minorHAnsi"/>
      <w:b/>
      <w:sz w:val="24"/>
      <w:szCs w:val="24"/>
    </w:rPr>
  </w:style>
  <w:style w:type="paragraph" w:styleId="Nadpis3">
    <w:name w:val="heading 3"/>
    <w:basedOn w:val="Normln"/>
    <w:next w:val="KZnormln"/>
    <w:link w:val="Nadpis3Char"/>
    <w:uiPriority w:val="9"/>
    <w:unhideWhenUsed/>
    <w:qFormat/>
    <w:rsid w:val="003330BE"/>
    <w:pPr>
      <w:keepNext/>
      <w:keepLines/>
      <w:spacing w:before="40" w:after="40" w:line="240" w:lineRule="auto"/>
      <w:ind w:left="851" w:hanging="851"/>
      <w:jc w:val="both"/>
      <w:outlineLvl w:val="2"/>
    </w:pPr>
    <w:rPr>
      <w:rFonts w:eastAsiaTheme="majorEastAsia" w:cstheme="minorHAnsi"/>
      <w:b/>
      <w:i/>
      <w:sz w:val="24"/>
      <w:szCs w:val="24"/>
    </w:rPr>
  </w:style>
  <w:style w:type="paragraph" w:styleId="Nadpis4">
    <w:name w:val="heading 4"/>
    <w:basedOn w:val="Zkladntun"/>
    <w:next w:val="KZnormln"/>
    <w:link w:val="Nadpis4Char"/>
    <w:uiPriority w:val="9"/>
    <w:unhideWhenUsed/>
    <w:qFormat/>
    <w:rsid w:val="003330BE"/>
    <w:pPr>
      <w:keepNext/>
      <w:outlineLvl w:val="3"/>
    </w:pPr>
  </w:style>
  <w:style w:type="paragraph" w:styleId="Nadpis5">
    <w:name w:val="heading 5"/>
    <w:basedOn w:val="Normln"/>
    <w:next w:val="KZnormln"/>
    <w:link w:val="Nadpis5Char"/>
    <w:uiPriority w:val="9"/>
    <w:unhideWhenUsed/>
    <w:qFormat/>
    <w:rsid w:val="003330BE"/>
    <w:pPr>
      <w:keepNext/>
      <w:keepLines/>
      <w:spacing w:before="40" w:after="40" w:line="240" w:lineRule="auto"/>
      <w:ind w:left="737" w:hanging="737"/>
      <w:jc w:val="both"/>
      <w:outlineLvl w:val="4"/>
    </w:pPr>
    <w:rPr>
      <w:rFonts w:eastAsiaTheme="majorEastAsia" w:cstheme="minorHAnsi"/>
      <w:i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1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,Boston 10,Char Char Char1,Char1,Font: Geneva 9,Fußnotentextf,Geneva 9,Podrozdzia3,Podrozdział,Schriftart: 10 pt,Schriftart: 8 pt,Schriftart: 9 pt,Text pozn. pod čarou1,Text poznámky pod čiarou 007,f,o,pozn. pod čarou"/>
    <w:basedOn w:val="Normln"/>
    <w:link w:val="TextpoznpodarouChar"/>
    <w:uiPriority w:val="99"/>
    <w:unhideWhenUsed/>
    <w:qFormat/>
    <w:rsid w:val="00916E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,Boston 10 Char,Char Char Char1 Char,Char1 Char,Font: Geneva 9 Char,Fußnotentextf Char,Geneva 9 Char,Podrozdzia3 Char,Podrozdział Char,Schriftart: 10 pt Char,Schriftart: 8 pt Char,Schriftart: 9 pt Char,f Char,o Char"/>
    <w:basedOn w:val="Standardnpsmoodstavce"/>
    <w:link w:val="Textpoznpodarou"/>
    <w:uiPriority w:val="99"/>
    <w:rsid w:val="00916EDC"/>
    <w:rPr>
      <w:sz w:val="20"/>
      <w:szCs w:val="20"/>
    </w:rPr>
  </w:style>
  <w:style w:type="character" w:styleId="Znakapoznpodarou">
    <w:name w:val="footnote reference"/>
    <w:aliases w:val="12 b.,Footnote,Footnote call,PGI Fußnote Ziffer,PGI Fußnote Ziffer + Times New Roman,Zúžené o ...,Appel note de bas de p,Appel note de bas de page,BVI fnr,Char Car Car Car Car,Footnote Reference Superscript,Footnote symbol,Légende"/>
    <w:basedOn w:val="Standardnpsmoodstavce"/>
    <w:uiPriority w:val="99"/>
    <w:rsid w:val="00916E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3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08F"/>
  </w:style>
  <w:style w:type="paragraph" w:styleId="Zpat">
    <w:name w:val="footer"/>
    <w:basedOn w:val="Normln"/>
    <w:link w:val="ZpatChar"/>
    <w:uiPriority w:val="99"/>
    <w:unhideWhenUsed/>
    <w:rsid w:val="00C3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08F"/>
  </w:style>
  <w:style w:type="paragraph" w:styleId="Odstavecseseznamem">
    <w:name w:val="List Paragraph"/>
    <w:aliases w:val="List Paragraph1,List Paragraph2,List Paragraph_0,Literatura,Nad,Nad1,Nad2,Nadpis pro KZ,Odstavec_muj,Odstavec_muj1,Odstavec_muj10,Odstavec_muj2,Odstavec_muj3,Odstavec_muj4,Odstavec_muj5,Odstavec_muj6,Odstavec_muj7,nad 1,odrážky"/>
    <w:basedOn w:val="Normln"/>
    <w:link w:val="OdstavecseseznamemChar"/>
    <w:uiPriority w:val="34"/>
    <w:qFormat/>
    <w:rsid w:val="005436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unhideWhenUsed/>
    <w:rsid w:val="00AB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B7E3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253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3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3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385"/>
    <w:rPr>
      <w:b/>
      <w:bCs/>
      <w:sz w:val="20"/>
      <w:szCs w:val="20"/>
    </w:rPr>
  </w:style>
  <w:style w:type="paragraph" w:customStyle="1" w:styleId="Default">
    <w:name w:val="Default"/>
    <w:rsid w:val="009F3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E5FE7"/>
    <w:rPr>
      <w:rFonts w:ascii="Arial Narrow" w:eastAsia="Times New Roman" w:hAnsi="Arial Narrow" w:cs="Times New Roman"/>
      <w:b/>
      <w:kern w:val="36"/>
      <w:sz w:val="36"/>
      <w:szCs w:val="20"/>
      <w:lang w:eastAsia="cs-CZ"/>
    </w:rPr>
  </w:style>
  <w:style w:type="character" w:customStyle="1" w:styleId="OdstavecseseznamemChar">
    <w:name w:val="Odstavec se seznamem Char"/>
    <w:aliases w:val="List Paragraph1 Char,List Paragraph2 Char,List Paragraph_0 Char,Literatura Char,Nad Char,Nad1 Char,Nad2 Char,Nadpis pro KZ Char,Odstavec_muj Char,Odstavec_muj1 Char,Odstavec_muj10 Char,Odstavec_muj2 Char,Odstavec_muj3 Char"/>
    <w:basedOn w:val="Standardnpsmoodstavce"/>
    <w:link w:val="Odstavecseseznamem"/>
    <w:uiPriority w:val="34"/>
    <w:locked/>
    <w:rsid w:val="00260294"/>
  </w:style>
  <w:style w:type="character" w:customStyle="1" w:styleId="Nadpis8Char">
    <w:name w:val="Nadpis 8 Char"/>
    <w:basedOn w:val="Standardnpsmoodstavce"/>
    <w:link w:val="Nadpis8"/>
    <w:uiPriority w:val="99"/>
    <w:rsid w:val="007F11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yl1">
    <w:name w:val="Styl   1."/>
    <w:basedOn w:val="Normln"/>
    <w:qFormat/>
    <w:rsid w:val="00D06A0F"/>
    <w:pPr>
      <w:numPr>
        <w:numId w:val="1"/>
      </w:numPr>
      <w:spacing w:before="120" w:after="240" w:line="240" w:lineRule="auto"/>
      <w:jc w:val="both"/>
    </w:pPr>
    <w:rPr>
      <w:rFonts w:ascii="Arial" w:eastAsia="Calibri" w:hAnsi="Arial" w:cs="Arial"/>
      <w:lang w:eastAsia="cs-CZ"/>
    </w:rPr>
  </w:style>
  <w:style w:type="character" w:styleId="Siln">
    <w:name w:val="Strong"/>
    <w:basedOn w:val="Standardnpsmoodstavce"/>
    <w:uiPriority w:val="22"/>
    <w:qFormat/>
    <w:rsid w:val="00971EAD"/>
    <w:rPr>
      <w:b/>
      <w:bCs/>
    </w:rPr>
  </w:style>
  <w:style w:type="paragraph" w:customStyle="1" w:styleId="poznmkapodarou">
    <w:name w:val="poznámka pod čarou"/>
    <w:basedOn w:val="Normln"/>
    <w:uiPriority w:val="99"/>
    <w:rsid w:val="00F14560"/>
    <w:pPr>
      <w:spacing w:after="0" w:line="240" w:lineRule="auto"/>
      <w:ind w:left="284" w:hanging="284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4D06A3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06A3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xl25">
    <w:name w:val="xl25"/>
    <w:basedOn w:val="Normln"/>
    <w:rsid w:val="00167251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Styl1-NzevmateriluChar">
    <w:name w:val="Styl1 - Název materiálu Char"/>
    <w:link w:val="Styl1-Nzevmaterilu"/>
    <w:locked/>
    <w:rsid w:val="006C5EB3"/>
    <w:rPr>
      <w:rFonts w:ascii="Arial" w:hAnsi="Arial" w:cs="Arial"/>
      <w:b/>
      <w:noProof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6C5EB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Cs w:val="24"/>
    </w:rPr>
  </w:style>
  <w:style w:type="paragraph" w:customStyle="1" w:styleId="CM4">
    <w:name w:val="CM4"/>
    <w:basedOn w:val="Default"/>
    <w:next w:val="Default"/>
    <w:uiPriority w:val="99"/>
    <w:rsid w:val="006C5EB3"/>
    <w:rPr>
      <w:rFonts w:ascii="EUAlbertina" w:hAnsi="EUAlbertina" w:cstheme="minorBidi"/>
      <w:color w:val="auto"/>
    </w:rPr>
  </w:style>
  <w:style w:type="character" w:styleId="Hypertextovodkaz">
    <w:name w:val="Hyperlink"/>
    <w:basedOn w:val="Standardnpsmoodstavce"/>
    <w:uiPriority w:val="99"/>
    <w:rsid w:val="008F77B0"/>
    <w:rPr>
      <w:rFonts w:cs="Times New Roman"/>
      <w:color w:val="0000FF"/>
      <w:u w:val="single"/>
    </w:rPr>
  </w:style>
  <w:style w:type="character" w:customStyle="1" w:styleId="Zkladntext">
    <w:name w:val="Základní text_"/>
    <w:basedOn w:val="Standardnpsmoodstavce"/>
    <w:link w:val="Zkladntext1"/>
    <w:rsid w:val="008F77B0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77B0"/>
    <w:pPr>
      <w:widowControl w:val="0"/>
      <w:shd w:val="clear" w:color="auto" w:fill="FFFFFF"/>
      <w:spacing w:after="100" w:line="252" w:lineRule="auto"/>
      <w:ind w:firstLine="400"/>
      <w:jc w:val="both"/>
    </w:pPr>
  </w:style>
  <w:style w:type="paragraph" w:styleId="Zkladntext3">
    <w:name w:val="Body Text 3"/>
    <w:basedOn w:val="Normln"/>
    <w:link w:val="Zkladntext3Char1"/>
    <w:uiPriority w:val="99"/>
    <w:rsid w:val="00667A0F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uiPriority w:val="99"/>
    <w:semiHidden/>
    <w:rsid w:val="00667A0F"/>
    <w:rPr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locked/>
    <w:rsid w:val="00667A0F"/>
    <w:rPr>
      <w:rFonts w:ascii="Arial" w:eastAsia="Times New Roman" w:hAnsi="Arial" w:cs="Times New Roman"/>
      <w:sz w:val="16"/>
      <w:szCs w:val="16"/>
    </w:rPr>
  </w:style>
  <w:style w:type="character" w:customStyle="1" w:styleId="Nadpis40">
    <w:name w:val="Nadpis #4_"/>
    <w:basedOn w:val="Standardnpsmoodstavce"/>
    <w:link w:val="Nadpis41"/>
    <w:rsid w:val="00667A0F"/>
    <w:rPr>
      <w:b/>
      <w:bCs/>
      <w:shd w:val="clear" w:color="auto" w:fill="FFFFFF"/>
    </w:rPr>
  </w:style>
  <w:style w:type="paragraph" w:customStyle="1" w:styleId="Nadpis41">
    <w:name w:val="Nadpis #4"/>
    <w:basedOn w:val="Normln"/>
    <w:link w:val="Nadpis40"/>
    <w:rsid w:val="00667A0F"/>
    <w:pPr>
      <w:widowControl w:val="0"/>
      <w:shd w:val="clear" w:color="auto" w:fill="FFFFFF"/>
      <w:spacing w:after="100" w:line="230" w:lineRule="auto"/>
      <w:ind w:left="740" w:hanging="170"/>
      <w:jc w:val="both"/>
      <w:outlineLvl w:val="3"/>
    </w:pPr>
    <w:rPr>
      <w:b/>
      <w:bCs/>
    </w:rPr>
  </w:style>
  <w:style w:type="paragraph" w:customStyle="1" w:styleId="normlnblok">
    <w:name w:val="normální blok"/>
    <w:basedOn w:val="Normln"/>
    <w:uiPriority w:val="99"/>
    <w:rsid w:val="0008440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DSR">
    <w:name w:val="MDS ČR"/>
    <w:rsid w:val="00E07E1D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43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ffix">
    <w:name w:val="suffix"/>
    <w:basedOn w:val="Standardnpsmoodstavce"/>
    <w:rsid w:val="00435BB4"/>
  </w:style>
  <w:style w:type="character" w:customStyle="1" w:styleId="Jin">
    <w:name w:val="Jiné_"/>
    <w:basedOn w:val="Standardnpsmoodstavce"/>
    <w:link w:val="Jin0"/>
    <w:rsid w:val="001733E1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Jin0">
    <w:name w:val="Jiné"/>
    <w:basedOn w:val="Normln"/>
    <w:link w:val="Jin"/>
    <w:rsid w:val="001733E1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15"/>
      <w:szCs w:val="15"/>
    </w:rPr>
  </w:style>
  <w:style w:type="paragraph" w:customStyle="1" w:styleId="Pa7">
    <w:name w:val="Pa7"/>
    <w:basedOn w:val="Default"/>
    <w:next w:val="Default"/>
    <w:uiPriority w:val="99"/>
    <w:rsid w:val="000D4479"/>
    <w:pPr>
      <w:spacing w:line="161" w:lineRule="atLeast"/>
    </w:pPr>
    <w:rPr>
      <w:rFonts w:ascii="RePublic Book" w:hAnsi="RePublic Book" w:cstheme="minorBidi"/>
      <w:color w:val="auto"/>
    </w:rPr>
  </w:style>
  <w:style w:type="character" w:customStyle="1" w:styleId="ng-binding">
    <w:name w:val="ng-binding"/>
    <w:basedOn w:val="Standardnpsmoodstavce"/>
    <w:rsid w:val="002111C7"/>
  </w:style>
  <w:style w:type="table" w:styleId="Prosttabulka4">
    <w:name w:val="Plain Table 4"/>
    <w:basedOn w:val="Normlntabulka"/>
    <w:uiPriority w:val="44"/>
    <w:rsid w:val="00293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3B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Zdraznn">
    <w:name w:val="Emphasis"/>
    <w:basedOn w:val="Standardnpsmoodstavce"/>
    <w:uiPriority w:val="20"/>
    <w:qFormat/>
    <w:rsid w:val="008C346B"/>
    <w:rPr>
      <w:i/>
      <w:iCs/>
    </w:rPr>
  </w:style>
  <w:style w:type="character" w:customStyle="1" w:styleId="A1">
    <w:name w:val="A1"/>
    <w:uiPriority w:val="99"/>
    <w:rsid w:val="000840E8"/>
    <w:rPr>
      <w:color w:val="000000"/>
      <w:sz w:val="28"/>
      <w:szCs w:val="28"/>
    </w:rPr>
  </w:style>
  <w:style w:type="character" w:customStyle="1" w:styleId="A4">
    <w:name w:val="A4"/>
    <w:uiPriority w:val="99"/>
    <w:rsid w:val="000840E8"/>
    <w:rPr>
      <w:color w:val="000000"/>
      <w:sz w:val="60"/>
      <w:szCs w:val="60"/>
    </w:rPr>
  </w:style>
  <w:style w:type="character" w:customStyle="1" w:styleId="A5">
    <w:name w:val="A5"/>
    <w:uiPriority w:val="99"/>
    <w:rsid w:val="000840E8"/>
    <w:rPr>
      <w:b/>
      <w:bCs/>
      <w:color w:val="000000"/>
      <w:sz w:val="40"/>
      <w:szCs w:val="40"/>
    </w:rPr>
  </w:style>
  <w:style w:type="paragraph" w:customStyle="1" w:styleId="Zkladn">
    <w:name w:val="Základní"/>
    <w:basedOn w:val="Normln"/>
    <w:rsid w:val="00C012FE"/>
    <w:pPr>
      <w:spacing w:after="0" w:line="240" w:lineRule="auto"/>
      <w:jc w:val="both"/>
    </w:pPr>
    <w:rPr>
      <w:rFonts w:eastAsia="Times New Roman" w:cs="Calibri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0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18">
    <w:name w:val="Pa18"/>
    <w:basedOn w:val="Default"/>
    <w:next w:val="Default"/>
    <w:uiPriority w:val="99"/>
    <w:rsid w:val="003652B9"/>
    <w:pPr>
      <w:spacing w:line="211" w:lineRule="atLeast"/>
    </w:pPr>
    <w:rPr>
      <w:rFonts w:ascii="Calibri" w:hAnsi="Calibri" w:cs="Calibri"/>
      <w:color w:val="auto"/>
    </w:rPr>
  </w:style>
  <w:style w:type="paragraph" w:customStyle="1" w:styleId="Pa19">
    <w:name w:val="Pa19"/>
    <w:basedOn w:val="Default"/>
    <w:next w:val="Default"/>
    <w:uiPriority w:val="99"/>
    <w:rsid w:val="003652B9"/>
    <w:pPr>
      <w:spacing w:line="211" w:lineRule="atLeast"/>
    </w:pPr>
    <w:rPr>
      <w:rFonts w:ascii="Calibri" w:hAnsi="Calibri" w:cs="Calibri"/>
      <w:color w:val="auto"/>
    </w:rPr>
  </w:style>
  <w:style w:type="paragraph" w:customStyle="1" w:styleId="KZnormln">
    <w:name w:val="KZ normální"/>
    <w:basedOn w:val="Normln"/>
    <w:link w:val="KZnormlnChar"/>
    <w:qFormat/>
    <w:rsid w:val="003330BE"/>
    <w:pPr>
      <w:spacing w:after="120" w:line="240" w:lineRule="auto"/>
      <w:jc w:val="both"/>
    </w:pPr>
    <w:rPr>
      <w:rFonts w:eastAsia="Times New Roman" w:cstheme="minorHAnsi"/>
      <w:color w:val="000000"/>
      <w:sz w:val="24"/>
    </w:rPr>
  </w:style>
  <w:style w:type="character" w:customStyle="1" w:styleId="KZnormlnChar">
    <w:name w:val="KZ normální Char"/>
    <w:basedOn w:val="Standardnpsmoodstavce"/>
    <w:link w:val="KZnormln"/>
    <w:rsid w:val="003330BE"/>
    <w:rPr>
      <w:rFonts w:eastAsia="Times New Roman" w:cstheme="minorHAnsi"/>
      <w:color w:val="000000"/>
      <w:sz w:val="24"/>
    </w:rPr>
  </w:style>
  <w:style w:type="paragraph" w:customStyle="1" w:styleId="Nadpistabulky">
    <w:name w:val="Nadpis tabulky"/>
    <w:basedOn w:val="Normln"/>
    <w:qFormat/>
    <w:rsid w:val="003330BE"/>
    <w:pPr>
      <w:keepNext/>
      <w:tabs>
        <w:tab w:val="left" w:pos="1418"/>
        <w:tab w:val="right" w:pos="9213"/>
      </w:tabs>
      <w:spacing w:after="80" w:line="240" w:lineRule="auto"/>
      <w:ind w:left="1418" w:hanging="1418"/>
      <w:jc w:val="both"/>
    </w:pPr>
    <w:rPr>
      <w:rFonts w:ascii="Calibri" w:eastAsia="Times New Roman" w:hAnsi="Calibri" w:cs="Arial"/>
      <w:b/>
      <w:snapToGrid w:val="0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330BE"/>
    <w:rPr>
      <w:rFonts w:eastAsiaTheme="majorEastAsia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3330BE"/>
    <w:rPr>
      <w:rFonts w:eastAsiaTheme="majorEastAsia" w:cstheme="minorHAns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330BE"/>
    <w:rPr>
      <w:rFonts w:eastAsia="Times New Roman" w:cs="Calibri"/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330BE"/>
    <w:rPr>
      <w:rFonts w:eastAsiaTheme="majorEastAsia" w:cstheme="minorHAnsi"/>
      <w:i/>
      <w:sz w:val="24"/>
      <w:szCs w:val="24"/>
    </w:rPr>
  </w:style>
  <w:style w:type="paragraph" w:customStyle="1" w:styleId="PoznmkavtextuProgramu">
    <w:name w:val="Poznámka v textu Programu"/>
    <w:basedOn w:val="Normln"/>
    <w:qFormat/>
    <w:rsid w:val="003330BE"/>
    <w:pPr>
      <w:tabs>
        <w:tab w:val="left" w:pos="1276"/>
      </w:tabs>
      <w:ind w:left="1276" w:hanging="1276"/>
      <w:jc w:val="both"/>
    </w:pPr>
    <w:rPr>
      <w:rFonts w:eastAsia="Times New Roman" w:cs="Times New Roman"/>
      <w:i/>
      <w:sz w:val="24"/>
      <w:szCs w:val="24"/>
    </w:rPr>
  </w:style>
  <w:style w:type="paragraph" w:customStyle="1" w:styleId="KP-hlavika">
    <w:name w:val="KP-hlavička"/>
    <w:basedOn w:val="Zkladntext2"/>
    <w:qFormat/>
    <w:rsid w:val="003330BE"/>
    <w:pPr>
      <w:spacing w:after="0" w:line="240" w:lineRule="auto"/>
    </w:pPr>
    <w:rPr>
      <w:rFonts w:eastAsia="Times New Roman" w:cstheme="minorHAnsi"/>
      <w:color w:val="00459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330BE"/>
    <w:pPr>
      <w:spacing w:after="120" w:line="480" w:lineRule="auto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330BE"/>
    <w:rPr>
      <w:sz w:val="24"/>
      <w:szCs w:val="24"/>
    </w:rPr>
  </w:style>
  <w:style w:type="paragraph" w:customStyle="1" w:styleId="KP-normlnmalpsmo">
    <w:name w:val="KP-normální malé písmo"/>
    <w:basedOn w:val="Normln"/>
    <w:qFormat/>
    <w:rsid w:val="003330BE"/>
    <w:pPr>
      <w:spacing w:after="0" w:line="240" w:lineRule="auto"/>
      <w:jc w:val="both"/>
    </w:pPr>
    <w:rPr>
      <w:rFonts w:eastAsia="Times New Roman" w:cstheme="minorHAnsi"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330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330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P-normlntext">
    <w:name w:val="KP-normální text"/>
    <w:basedOn w:val="Normln"/>
    <w:link w:val="KP-normlntextChar"/>
    <w:qFormat/>
    <w:rsid w:val="003330BE"/>
    <w:pPr>
      <w:spacing w:after="120" w:line="240" w:lineRule="auto"/>
      <w:jc w:val="both"/>
    </w:pPr>
    <w:rPr>
      <w:rFonts w:ascii="Calibri" w:eastAsia="Times New Roman" w:hAnsi="Calibri" w:cs="Arial"/>
      <w:color w:val="000000"/>
      <w:sz w:val="24"/>
      <w:szCs w:val="24"/>
    </w:rPr>
  </w:style>
  <w:style w:type="character" w:customStyle="1" w:styleId="KP-normlntextChar">
    <w:name w:val="KP-normální text Char"/>
    <w:link w:val="KP-normlntext"/>
    <w:rsid w:val="003330BE"/>
    <w:rPr>
      <w:rFonts w:ascii="Calibri" w:eastAsia="Times New Roman" w:hAnsi="Calibri" w:cs="Arial"/>
      <w:color w:val="000000"/>
      <w:sz w:val="24"/>
      <w:szCs w:val="24"/>
    </w:rPr>
  </w:style>
  <w:style w:type="paragraph" w:customStyle="1" w:styleId="Poznmkapodarou0">
    <w:name w:val="Poznámka pod čarou"/>
    <w:basedOn w:val="Textpoznpodarou"/>
    <w:autoRedefine/>
    <w:qFormat/>
    <w:rsid w:val="003330BE"/>
    <w:pPr>
      <w:tabs>
        <w:tab w:val="left" w:pos="284"/>
      </w:tabs>
      <w:ind w:left="284" w:hanging="284"/>
      <w:jc w:val="both"/>
    </w:pPr>
    <w:rPr>
      <w:rFonts w:eastAsia="Times New Roman" w:cstheme="minorHAnsi"/>
    </w:rPr>
  </w:style>
  <w:style w:type="table" w:customStyle="1" w:styleId="Mkatabulky3">
    <w:name w:val="Mřížka tabulky3"/>
    <w:basedOn w:val="Normlntabulka"/>
    <w:next w:val="Mkatabulky"/>
    <w:uiPriority w:val="39"/>
    <w:rsid w:val="003330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Znormlntun">
    <w:name w:val="KZ normální tučně"/>
    <w:basedOn w:val="KZnormln"/>
    <w:next w:val="KZnormln"/>
    <w:qFormat/>
    <w:rsid w:val="003330BE"/>
    <w:rPr>
      <w:b/>
    </w:rPr>
  </w:style>
  <w:style w:type="paragraph" w:customStyle="1" w:styleId="KP-normlnbezodsazen">
    <w:name w:val="KP-normální bez odsazení"/>
    <w:basedOn w:val="KP-normlntext"/>
    <w:qFormat/>
    <w:rsid w:val="003330BE"/>
    <w:pPr>
      <w:spacing w:after="0"/>
    </w:pPr>
    <w:rPr>
      <w:rFonts w:asciiTheme="minorHAnsi" w:hAnsiTheme="minorHAnsi" w:cstheme="minorHAnsi"/>
      <w:color w:val="auto"/>
    </w:rPr>
  </w:style>
  <w:style w:type="paragraph" w:customStyle="1" w:styleId="Rmeek">
    <w:name w:val="Rámeček"/>
    <w:basedOn w:val="KZnormln"/>
    <w:qFormat/>
    <w:rsid w:val="003330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ind w:left="284" w:right="282"/>
    </w:pPr>
  </w:style>
  <w:style w:type="paragraph" w:customStyle="1" w:styleId="Pklady-modrrmeek">
    <w:name w:val="Příklady - modrý rámeček"/>
    <w:basedOn w:val="Zkladn"/>
    <w:qFormat/>
    <w:rsid w:val="003330BE"/>
    <w:pPr>
      <w:shd w:val="clear" w:color="auto" w:fill="E5F1FF"/>
      <w:ind w:left="284" w:right="282"/>
    </w:pPr>
    <w:rPr>
      <w:i/>
    </w:rPr>
  </w:style>
  <w:style w:type="paragraph" w:customStyle="1" w:styleId="Mluvctitulek">
    <w:name w:val="Mluvící titulek"/>
    <w:basedOn w:val="KZnormlntun"/>
    <w:next w:val="KZnormln"/>
    <w:rsid w:val="003330BE"/>
    <w:pPr>
      <w:keepNext/>
      <w:spacing w:after="0"/>
    </w:pPr>
  </w:style>
  <w:style w:type="paragraph" w:customStyle="1" w:styleId="Zkladntun">
    <w:name w:val="Základní tučně"/>
    <w:basedOn w:val="Zkladn"/>
    <w:next w:val="KZnormln"/>
    <w:qFormat/>
    <w:rsid w:val="003330BE"/>
    <w:pPr>
      <w:spacing w:after="40"/>
    </w:pPr>
    <w:rPr>
      <w:b/>
    </w:rPr>
  </w:style>
  <w:style w:type="character" w:customStyle="1" w:styleId="A15">
    <w:name w:val="A15"/>
    <w:uiPriority w:val="99"/>
    <w:rsid w:val="003330BE"/>
    <w:rPr>
      <w:b/>
      <w:bCs/>
      <w:color w:val="000000"/>
      <w:sz w:val="54"/>
      <w:szCs w:val="54"/>
    </w:rPr>
  </w:style>
  <w:style w:type="character" w:customStyle="1" w:styleId="A16">
    <w:name w:val="A16"/>
    <w:uiPriority w:val="99"/>
    <w:rsid w:val="003330BE"/>
    <w:rPr>
      <w:color w:val="000000"/>
      <w:sz w:val="36"/>
      <w:szCs w:val="36"/>
    </w:rPr>
  </w:style>
  <w:style w:type="paragraph" w:customStyle="1" w:styleId="Pa6">
    <w:name w:val="Pa6"/>
    <w:basedOn w:val="Default"/>
    <w:next w:val="Default"/>
    <w:uiPriority w:val="99"/>
    <w:rsid w:val="003330BE"/>
    <w:pPr>
      <w:spacing w:line="211" w:lineRule="atLeast"/>
    </w:pPr>
    <w:rPr>
      <w:rFonts w:ascii="Calibri" w:hAnsi="Calibri" w:cs="Calibri"/>
      <w:color w:val="auto"/>
    </w:rPr>
  </w:style>
  <w:style w:type="character" w:customStyle="1" w:styleId="A13">
    <w:name w:val="A13"/>
    <w:uiPriority w:val="99"/>
    <w:rsid w:val="003330BE"/>
    <w:rPr>
      <w:b/>
      <w:bCs/>
      <w:color w:val="000000"/>
      <w:sz w:val="34"/>
      <w:szCs w:val="34"/>
    </w:rPr>
  </w:style>
  <w:style w:type="paragraph" w:customStyle="1" w:styleId="Pa16">
    <w:name w:val="Pa16"/>
    <w:basedOn w:val="Default"/>
    <w:next w:val="Default"/>
    <w:uiPriority w:val="99"/>
    <w:rsid w:val="003330BE"/>
    <w:pPr>
      <w:spacing w:line="211" w:lineRule="atLeast"/>
    </w:pPr>
    <w:rPr>
      <w:rFonts w:ascii="Calibri" w:hAnsi="Calibri" w:cs="Calibri"/>
      <w:color w:val="auto"/>
    </w:rPr>
  </w:style>
  <w:style w:type="character" w:customStyle="1" w:styleId="A14">
    <w:name w:val="A14"/>
    <w:uiPriority w:val="99"/>
    <w:rsid w:val="003330BE"/>
    <w:rPr>
      <w:rFonts w:ascii="Arial" w:hAnsi="Arial" w:cs="Arial"/>
      <w:b/>
      <w:bCs/>
      <w:color w:val="000000"/>
      <w:sz w:val="19"/>
      <w:szCs w:val="19"/>
    </w:rPr>
  </w:style>
  <w:style w:type="numbering" w:customStyle="1" w:styleId="Bezseznamu1">
    <w:name w:val="Bez seznamu1"/>
    <w:next w:val="Bezseznamu"/>
    <w:uiPriority w:val="99"/>
    <w:semiHidden/>
    <w:unhideWhenUsed/>
    <w:rsid w:val="003330BE"/>
  </w:style>
  <w:style w:type="paragraph" w:styleId="Zkladntext0">
    <w:name w:val="Body Text"/>
    <w:basedOn w:val="Normln"/>
    <w:link w:val="ZkladntextChar"/>
    <w:uiPriority w:val="99"/>
    <w:semiHidden/>
    <w:unhideWhenUsed/>
    <w:rsid w:val="003330BE"/>
    <w:pPr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3330BE"/>
    <w:rPr>
      <w:sz w:val="24"/>
      <w:szCs w:val="24"/>
    </w:rPr>
  </w:style>
  <w:style w:type="paragraph" w:styleId="Revize">
    <w:name w:val="Revision"/>
    <w:hidden/>
    <w:uiPriority w:val="99"/>
    <w:semiHidden/>
    <w:rsid w:val="003330B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uova.cz/Kontakty/Lokalit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uusti.cz/o-nas/kontakty-2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%23%23%23JPS\KONTROLY\Kontroly%20PK&#268;%202019\KA%2019-30\Kontroln&#237;%20z&#225;v&#283;r\Z&#218;%20-%20struktura%20v&#253;nos&#36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%23%23%23JPS\KONTROLY\Kontroly%20PK&#268;%202019\KA%2019-30\Kontroln&#237;%20z&#225;v&#283;r\Z&#218;%20-%20struktura%20v&#253;nos&#36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cs-CZ" b="1">
                <a:solidFill>
                  <a:schemeClr val="tx1"/>
                </a:solidFill>
              </a:rPr>
              <a:t>ZÚ v Ústí n. L.</a:t>
            </a:r>
          </a:p>
          <a:p>
            <a:pPr>
              <a:defRPr>
                <a:solidFill>
                  <a:schemeClr val="tx1"/>
                </a:solidFill>
              </a:defRPr>
            </a:pPr>
            <a:r>
              <a:rPr lang="cs-CZ" b="1">
                <a:solidFill>
                  <a:schemeClr val="tx1"/>
                </a:solidFill>
              </a:rPr>
              <a:t>421 mil. Kč</a:t>
            </a:r>
          </a:p>
        </c:rich>
      </c:tx>
      <c:layout>
        <c:manualLayout>
          <c:xMode val="edge"/>
          <c:yMode val="edge"/>
          <c:x val="0.23749887186080421"/>
          <c:y val="0.404200462480398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4.7538598194027271E-3"/>
          <c:y val="3.3992494413392305E-2"/>
          <c:w val="0.7726371703537056"/>
          <c:h val="0.89232157162756109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A7-43E3-9688-9BB0C9300E18}"/>
              </c:ext>
            </c:extLst>
          </c:dPt>
          <c:dPt>
            <c:idx val="1"/>
            <c:bubble3D val="0"/>
            <c:spPr>
              <a:solidFill>
                <a:srgbClr val="004595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A7-43E3-9688-9BB0C9300E18}"/>
              </c:ext>
            </c:extLst>
          </c:dPt>
          <c:dPt>
            <c:idx val="2"/>
            <c:bubble3D val="0"/>
            <c:spPr>
              <a:solidFill>
                <a:srgbClr val="80808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9A7-43E3-9688-9BB0C9300E18}"/>
              </c:ext>
            </c:extLst>
          </c:dPt>
          <c:dPt>
            <c:idx val="3"/>
            <c:bubble3D val="0"/>
            <c:spPr>
              <a:solidFill>
                <a:srgbClr val="BD2A33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9A7-43E3-9688-9BB0C9300E18}"/>
              </c:ext>
            </c:extLst>
          </c:dPt>
          <c:dPt>
            <c:idx val="4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9A7-43E3-9688-9BB0C9300E18}"/>
              </c:ext>
            </c:extLst>
          </c:dPt>
          <c:dPt>
            <c:idx val="5"/>
            <c:bubble3D val="0"/>
            <c:spPr>
              <a:solidFill>
                <a:srgbClr val="004595">
                  <a:alpha val="2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9A7-43E3-9688-9BB0C9300E18}"/>
              </c:ext>
            </c:extLst>
          </c:dPt>
          <c:dLbls>
            <c:dLbl>
              <c:idx val="0"/>
              <c:layout>
                <c:manualLayout>
                  <c:x val="8.0555555555555561E-2"/>
                  <c:y val="-6.48148148148148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A7-43E3-9688-9BB0C9300E18}"/>
                </c:ext>
              </c:extLst>
            </c:dLbl>
            <c:dLbl>
              <c:idx val="1"/>
              <c:layout>
                <c:manualLayout>
                  <c:x val="0.18242845783786299"/>
                  <c:y val="4.23928057294601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A7-43E3-9688-9BB0C9300E18}"/>
                </c:ext>
              </c:extLst>
            </c:dLbl>
            <c:dLbl>
              <c:idx val="2"/>
              <c:layout>
                <c:manualLayout>
                  <c:x val="-8.3333333333333329E-2"/>
                  <c:y val="7.40740740740740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A7-43E3-9688-9BB0C9300E18}"/>
                </c:ext>
              </c:extLst>
            </c:dLbl>
            <c:dLbl>
              <c:idx val="3"/>
              <c:layout>
                <c:manualLayout>
                  <c:x val="-8.3333333333333384E-2"/>
                  <c:y val="-2.314814814814814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9A7-43E3-9688-9BB0C9300E18}"/>
                </c:ext>
              </c:extLst>
            </c:dLbl>
            <c:dLbl>
              <c:idx val="4"/>
              <c:layout>
                <c:manualLayout>
                  <c:x val="-8.3333333333333384E-2"/>
                  <c:y val="-6.48148148148148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9A7-43E3-9688-9BB0C9300E18}"/>
                </c:ext>
              </c:extLst>
            </c:dLbl>
            <c:dLbl>
              <c:idx val="5"/>
              <c:layout>
                <c:manualLayout>
                  <c:x val="-0.10951796765197264"/>
                  <c:y val="-7.100583551991938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9A7-43E3-9688-9BB0C9300E18}"/>
                </c:ext>
              </c:extLst>
            </c:dLbl>
            <c:numFmt formatCode="0_I%" sourceLinked="0"/>
            <c:spPr>
              <a:solidFill>
                <a:sysClr val="window" lastClr="FFFFFF"/>
              </a:solidFill>
              <a:ln>
                <a:solidFill>
                  <a:srgbClr val="808080">
                    <a:alpha val="60000"/>
                  </a:srgb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Grafy!$M$17:$M$22</c:f>
              <c:numCache>
                <c:formatCode>0.00%</c:formatCode>
                <c:ptCount val="6"/>
                <c:pt idx="0">
                  <c:v>0.32183404068791982</c:v>
                </c:pt>
                <c:pt idx="1">
                  <c:v>0.32469919445378653</c:v>
                </c:pt>
                <c:pt idx="2">
                  <c:v>8.4230230114461693E-2</c:v>
                </c:pt>
                <c:pt idx="3">
                  <c:v>0.1014016806897028</c:v>
                </c:pt>
                <c:pt idx="4">
                  <c:v>9.6110382614643691E-2</c:v>
                </c:pt>
                <c:pt idx="5">
                  <c:v>7.1724471439485502E-2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9A7-43E3-9688-9BB0C9300E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ZÚ v Ostravě</a:t>
            </a:r>
            <a:endParaRPr lang="cs-CZ" b="1">
              <a:solidFill>
                <a:schemeClr val="tx1"/>
              </a:solidFill>
            </a:endParaRPr>
          </a:p>
          <a:p>
            <a:pPr>
              <a:defRPr b="1">
                <a:solidFill>
                  <a:schemeClr val="tx1"/>
                </a:solidFill>
              </a:defRPr>
            </a:pPr>
            <a:r>
              <a:rPr lang="cs-CZ" b="1">
                <a:solidFill>
                  <a:schemeClr val="tx1"/>
                </a:solidFill>
              </a:rPr>
              <a:t>478 mil. Kč</a:t>
            </a:r>
            <a:endParaRPr lang="en-US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4795708665093676"/>
          <c:y val="0.29248914375111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3.9137755117217829E-2"/>
          <c:y val="5.6799203970942645E-2"/>
          <c:w val="0.3720341195094567"/>
          <c:h val="0.5820472440944881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4595"/>
              </a:solidFill>
              <a:ln w="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8B-4148-9085-03D549FD13A8}"/>
              </c:ext>
            </c:extLst>
          </c:dPt>
          <c:dPt>
            <c:idx val="1"/>
            <c:bubble3D val="0"/>
            <c:spPr>
              <a:solidFill>
                <a:srgbClr val="004595">
                  <a:alpha val="60000"/>
                </a:srgbClr>
              </a:solidFill>
              <a:ln w="19050" cmpd="sng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8B-4148-9085-03D549FD13A8}"/>
              </c:ext>
            </c:extLst>
          </c:dPt>
          <c:dPt>
            <c:idx val="2"/>
            <c:bubble3D val="0"/>
            <c:spPr>
              <a:solidFill>
                <a:srgbClr val="80808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78B-4148-9085-03D549FD13A8}"/>
              </c:ext>
            </c:extLst>
          </c:dPt>
          <c:dPt>
            <c:idx val="3"/>
            <c:bubble3D val="0"/>
            <c:spPr>
              <a:solidFill>
                <a:srgbClr val="BD2A33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78B-4148-9085-03D549FD13A8}"/>
              </c:ext>
            </c:extLst>
          </c:dPt>
          <c:dPt>
            <c:idx val="4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78B-4148-9085-03D549FD13A8}"/>
              </c:ext>
            </c:extLst>
          </c:dPt>
          <c:dPt>
            <c:idx val="5"/>
            <c:bubble3D val="0"/>
            <c:spPr>
              <a:solidFill>
                <a:srgbClr val="004595">
                  <a:alpha val="2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78B-4148-9085-03D549FD13A8}"/>
              </c:ext>
            </c:extLst>
          </c:dPt>
          <c:dLbls>
            <c:dLbl>
              <c:idx val="0"/>
              <c:layout>
                <c:manualLayout>
                  <c:x val="4.5711748323524266E-2"/>
                  <c:y val="-6.420329863286724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8B-4148-9085-03D549FD13A8}"/>
                </c:ext>
              </c:extLst>
            </c:dLbl>
            <c:dLbl>
              <c:idx val="1"/>
              <c:layout>
                <c:manualLayout>
                  <c:x val="-6.2927903780181052E-2"/>
                  <c:y val="2.539909307556922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8B-4148-9085-03D549FD13A8}"/>
                </c:ext>
              </c:extLst>
            </c:dLbl>
            <c:dLbl>
              <c:idx val="2"/>
              <c:layout>
                <c:manualLayout>
                  <c:x val="-4.8123086741990263E-2"/>
                  <c:y val="1.18428336382246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8B-4148-9085-03D549FD13A8}"/>
                </c:ext>
              </c:extLst>
            </c:dLbl>
            <c:dLbl>
              <c:idx val="3"/>
              <c:layout>
                <c:manualLayout>
                  <c:x val="-4.6825789533038377E-2"/>
                  <c:y val="-2.777773626692210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78B-4148-9085-03D549FD13A8}"/>
                </c:ext>
              </c:extLst>
            </c:dLbl>
            <c:dLbl>
              <c:idx val="4"/>
              <c:layout>
                <c:manualLayout>
                  <c:x val="-4.0705713337768006E-2"/>
                  <c:y val="-2.95684434190551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8B-4148-9085-03D549FD13A8}"/>
                </c:ext>
              </c:extLst>
            </c:dLbl>
            <c:dLbl>
              <c:idx val="5"/>
              <c:layout>
                <c:manualLayout>
                  <c:x val="-3.8005394304803986E-2"/>
                  <c:y val="-5.847188293027834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78B-4148-9085-03D549FD13A8}"/>
                </c:ext>
              </c:extLst>
            </c:dLbl>
            <c:numFmt formatCode="0_I%" sourceLinked="0"/>
            <c:spPr>
              <a:solidFill>
                <a:sysClr val="window" lastClr="FFFFFF"/>
              </a:solidFill>
              <a:ln>
                <a:solidFill>
                  <a:srgbClr val="808080">
                    <a:alpha val="60000"/>
                  </a:srgbClr>
                </a:solidFill>
                <a:round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Grafy!$B$17:$B$22</c:f>
              <c:strCache>
                <c:ptCount val="6"/>
                <c:pt idx="0">
                  <c:v>Výnosy z úhrad zdravotních služeb ze strany zdravotních pojišťoven</c:v>
                </c:pt>
                <c:pt idx="1">
                  <c:v>Výnosy z prodeje služeb – placené služby (mimo zdravotní služby a SZD)</c:v>
                </c:pt>
                <c:pt idx="2">
                  <c:v>Výnosy ze SZD</c:v>
                </c:pt>
                <c:pt idx="3">
                  <c:v>Výnosy z prodeje zdrav. služeb – očkování mimo zdravotní pojištění</c:v>
                </c:pt>
                <c:pt idx="4">
                  <c:v>Výnosy z transferů</c:v>
                </c:pt>
                <c:pt idx="5">
                  <c:v>Ostatní výnosy (samoplátci, agregované výkony, doprava, monitoring, pronájmy, …)</c:v>
                </c:pt>
              </c:strCache>
            </c:strRef>
          </c:cat>
          <c:val>
            <c:numRef>
              <c:f>Grafy!$D$17:$D$22</c:f>
              <c:numCache>
                <c:formatCode>0.00%</c:formatCode>
                <c:ptCount val="6"/>
                <c:pt idx="0">
                  <c:v>0.40983727534221592</c:v>
                </c:pt>
                <c:pt idx="1">
                  <c:v>0.33822725126953379</c:v>
                </c:pt>
                <c:pt idx="2">
                  <c:v>5.5141639240960653E-2</c:v>
                </c:pt>
                <c:pt idx="3">
                  <c:v>2.0248801532884966E-2</c:v>
                </c:pt>
                <c:pt idx="4">
                  <c:v>0.10901924238644951</c:v>
                </c:pt>
                <c:pt idx="5">
                  <c:v>6.7525790227955129E-2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78B-4148-9085-03D549FD13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69415305251378E-2"/>
          <c:y val="0.69543096089846246"/>
          <c:w val="0.8615578279987729"/>
          <c:h val="0.25068772539298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46A7-ECD1-4DA3-A5C3-C0C37B9B9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B02F8-D079-4C69-BA0F-D2F32659E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FA7A4-7A50-4AC0-B5BD-0A33090B2B60}">
  <ds:schemaRefs>
    <ds:schemaRef ds:uri="http://schemas.microsoft.com/office/2006/metadata/properties"/>
    <ds:schemaRef ds:uri="http://www.w3.org/XML/1998/namespace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C8CE1B-1294-44B0-B21D-1B42B550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46A1AB6.dotm</Template>
  <TotalTime>1</TotalTime>
  <Pages>34</Pages>
  <Words>11600</Words>
  <Characters>68446</Characters>
  <Application>Microsoft Office Word</Application>
  <DocSecurity>4</DocSecurity>
  <Lines>570</Lines>
  <Paragraphs>159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79887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19/30 - Majetek a peněžní prostředky státu, se kterými jsou příslušné hospodařit zdravotní ústavy, jejichž zřizovatelem je Ministerstvo zdravotnictví</dc:title>
  <dc:creator>Nejvyšší kontrolní úřad</dc:creator>
  <cp:keywords>kontrolní závěr; zdravotní ústavy; MZd</cp:keywords>
  <cp:lastModifiedBy>KOKRDA Daniel</cp:lastModifiedBy>
  <cp:revision>2</cp:revision>
  <cp:lastPrinted>2020-08-12T07:22:00Z</cp:lastPrinted>
  <dcterms:created xsi:type="dcterms:W3CDTF">2021-04-07T07:56:00Z</dcterms:created>
  <dcterms:modified xsi:type="dcterms:W3CDTF">2021-04-07T07:56:00Z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20/11-NKU30/107/21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510/144/19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0x0101002F7A625AE9F5AB4A939F92BCAA7FEC02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12.2.2021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&lt;TABLE&gt;&lt;TR&gt;&lt;TD&gt;Č.j.:&lt;/TD&gt;&lt;TD&gt;20/11-NKU30/107/21&lt;/TD&gt;&lt;/TR&gt;&lt;TR&gt;&lt;TD&gt;&lt;/TD&gt;&lt;TD&gt;&lt;/TD&gt;&lt;/TR&gt;&lt;/TABLE&gt;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Členové Úřadu</vt:lpwstr>
  </property>
  <property fmtid="{D5CDD505-2E9C-101B-9397-08002B2CF9AE}" pid="17" name="DisplayName_UserPoriz_Pisemnost">
    <vt:lpwstr>Bc. Monika Hoffmannová, DiS.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21-2219/NKU</vt:lpwstr>
  </property>
  <property fmtid="{D5CDD505-2E9C-101B-9397-08002B2CF9AE}" pid="20" name="Key_BarCode_Pisemnost">
    <vt:lpwstr>*B000380714*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21-2219/NKU</vt:lpwstr>
  </property>
  <property fmtid="{D5CDD505-2E9C-101B-9397-08002B2CF9AE}" pid="34" name="RC">
    <vt:lpwstr/>
  </property>
  <property fmtid="{D5CDD505-2E9C-101B-9397-08002B2CF9AE}" pid="35" name="SkartacniZnakLhuta_PisemnostZnak">
    <vt:lpwstr>?/?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20/11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Návrh kontrolního závěru č. 20/11 do připomínek</vt:lpwstr>
  </property>
  <property fmtid="{D5CDD505-2E9C-101B-9397-08002B2CF9AE}" pid="42" name="Zkratka_SpisovyUzel_PoziceZodpo_Pisemnost">
    <vt:lpwstr>30</vt:lpwstr>
  </property>
</Properties>
</file>