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405A7" w14:textId="77777777" w:rsidR="00A063D1" w:rsidRDefault="00A063D1" w:rsidP="009F3413">
      <w:pPr>
        <w:spacing w:after="0" w:line="240" w:lineRule="auto"/>
        <w:jc w:val="center"/>
      </w:pPr>
      <w:r w:rsidRPr="00452B92">
        <w:rPr>
          <w:rFonts w:cstheme="minorHAnsi"/>
          <w:b/>
          <w:noProof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FC7AFA7" wp14:editId="3AAA6E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91210" cy="559435"/>
            <wp:effectExtent l="0" t="0" r="8890" b="0"/>
            <wp:wrapTopAndBottom/>
            <wp:docPr id="14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29151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79B8B4" w14:textId="77777777" w:rsidR="00A063D1" w:rsidRDefault="00A063D1" w:rsidP="009F3413">
      <w:pPr>
        <w:spacing w:after="0" w:line="240" w:lineRule="auto"/>
        <w:jc w:val="center"/>
      </w:pPr>
    </w:p>
    <w:p w14:paraId="02AF8D7D" w14:textId="77777777" w:rsidR="00A063D1" w:rsidRDefault="00A063D1" w:rsidP="009F3413">
      <w:pPr>
        <w:spacing w:after="0" w:line="240" w:lineRule="auto"/>
        <w:jc w:val="center"/>
      </w:pPr>
    </w:p>
    <w:p w14:paraId="23D39B73" w14:textId="77777777" w:rsidR="00A063D1" w:rsidRPr="0067032C" w:rsidRDefault="00A063D1" w:rsidP="0067032C">
      <w:pPr>
        <w:spacing w:after="0"/>
        <w:jc w:val="center"/>
        <w:rPr>
          <w:b/>
          <w:sz w:val="28"/>
          <w:szCs w:val="28"/>
        </w:rPr>
      </w:pPr>
      <w:r w:rsidRPr="0067032C">
        <w:rPr>
          <w:b/>
          <w:sz w:val="28"/>
          <w:szCs w:val="28"/>
        </w:rPr>
        <w:t>Kontrolní závěr z kontrolní akce</w:t>
      </w:r>
    </w:p>
    <w:p w14:paraId="07FF569C" w14:textId="77777777" w:rsidR="009F3413" w:rsidRDefault="009F3413" w:rsidP="009F3413">
      <w:pPr>
        <w:spacing w:after="0" w:line="240" w:lineRule="auto"/>
        <w:jc w:val="center"/>
      </w:pPr>
    </w:p>
    <w:p w14:paraId="69AA6241" w14:textId="77777777" w:rsidR="00A063D1" w:rsidRPr="0067032C" w:rsidRDefault="00A063D1" w:rsidP="0067032C">
      <w:pPr>
        <w:spacing w:after="0"/>
        <w:jc w:val="center"/>
        <w:rPr>
          <w:b/>
          <w:sz w:val="28"/>
          <w:szCs w:val="28"/>
        </w:rPr>
      </w:pPr>
      <w:r w:rsidRPr="0067032C">
        <w:rPr>
          <w:b/>
          <w:sz w:val="28"/>
          <w:szCs w:val="28"/>
        </w:rPr>
        <w:t>19/</w:t>
      </w:r>
      <w:r w:rsidR="00DD0C5E">
        <w:rPr>
          <w:b/>
          <w:sz w:val="28"/>
          <w:szCs w:val="28"/>
        </w:rPr>
        <w:t>26</w:t>
      </w:r>
    </w:p>
    <w:p w14:paraId="488851AC" w14:textId="77777777" w:rsidR="009F3413" w:rsidRDefault="009F3413" w:rsidP="009F3413">
      <w:pPr>
        <w:spacing w:after="0" w:line="240" w:lineRule="auto"/>
        <w:jc w:val="center"/>
      </w:pPr>
    </w:p>
    <w:p w14:paraId="30B20934" w14:textId="77777777" w:rsidR="00F248DC" w:rsidRDefault="00DD0C5E" w:rsidP="008C0C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Budování kybernetické bezpečnosti České republiky</w:t>
      </w:r>
    </w:p>
    <w:p w14:paraId="3917E1F0" w14:textId="77777777" w:rsidR="009F3413" w:rsidRDefault="009F3413" w:rsidP="009F3413">
      <w:pPr>
        <w:spacing w:after="0" w:line="240" w:lineRule="auto"/>
      </w:pPr>
    </w:p>
    <w:p w14:paraId="64438A0E" w14:textId="77777777" w:rsidR="009F3413" w:rsidRDefault="009F3413" w:rsidP="009F3413">
      <w:pPr>
        <w:spacing w:after="0" w:line="240" w:lineRule="auto"/>
      </w:pPr>
    </w:p>
    <w:p w14:paraId="0E141B13" w14:textId="77777777" w:rsidR="0067032C" w:rsidRDefault="0067032C" w:rsidP="009F3413">
      <w:pPr>
        <w:pStyle w:val="Zkladn"/>
        <w:spacing w:before="0"/>
        <w:rPr>
          <w:rFonts w:asciiTheme="minorHAnsi" w:hAnsiTheme="minorHAnsi" w:cstheme="minorHAnsi"/>
        </w:rPr>
      </w:pPr>
      <w:r w:rsidRPr="00746677">
        <w:rPr>
          <w:rFonts w:asciiTheme="minorHAnsi" w:hAnsiTheme="minorHAnsi" w:cstheme="minorHAnsi"/>
        </w:rPr>
        <w:t>Kontrolní akce byla zařazena do plánu kontrolní činnosti Nejvyššího kontrolního úřadu (dále také „NKÚ“) na rok 201</w:t>
      </w:r>
      <w:r w:rsidR="008C0C51" w:rsidRPr="00746677">
        <w:rPr>
          <w:rFonts w:asciiTheme="minorHAnsi" w:hAnsiTheme="minorHAnsi" w:cstheme="minorHAnsi"/>
        </w:rPr>
        <w:t>9</w:t>
      </w:r>
      <w:r w:rsidRPr="00746677">
        <w:rPr>
          <w:rFonts w:asciiTheme="minorHAnsi" w:hAnsiTheme="minorHAnsi" w:cstheme="minorHAnsi"/>
        </w:rPr>
        <w:t xml:space="preserve"> pod číslem </w:t>
      </w:r>
      <w:r w:rsidR="008C0C51" w:rsidRPr="00746677">
        <w:rPr>
          <w:rFonts w:asciiTheme="minorHAnsi" w:hAnsiTheme="minorHAnsi" w:cstheme="minorHAnsi"/>
        </w:rPr>
        <w:t>19/</w:t>
      </w:r>
      <w:r w:rsidR="00746677" w:rsidRPr="00746677">
        <w:rPr>
          <w:rFonts w:asciiTheme="minorHAnsi" w:hAnsiTheme="minorHAnsi" w:cstheme="minorHAnsi"/>
        </w:rPr>
        <w:t>26</w:t>
      </w:r>
      <w:r w:rsidR="008C0C51" w:rsidRPr="00746677">
        <w:rPr>
          <w:rFonts w:asciiTheme="minorHAnsi" w:hAnsiTheme="minorHAnsi" w:cstheme="minorHAnsi"/>
        </w:rPr>
        <w:t>.</w:t>
      </w:r>
      <w:r w:rsidRPr="00746677">
        <w:rPr>
          <w:rFonts w:asciiTheme="minorHAnsi" w:hAnsiTheme="minorHAnsi" w:cstheme="minorHAnsi"/>
        </w:rPr>
        <w:t xml:space="preserve"> Kontrolní akci řídil a kontrolní závěr vypracoval člen NKÚ Ing. </w:t>
      </w:r>
      <w:r w:rsidR="00746677" w:rsidRPr="00746677">
        <w:rPr>
          <w:rFonts w:asciiTheme="minorHAnsi" w:hAnsiTheme="minorHAnsi" w:cstheme="minorHAnsi"/>
        </w:rPr>
        <w:t>Roman Procházka.</w:t>
      </w:r>
    </w:p>
    <w:p w14:paraId="345F4F2A" w14:textId="77777777" w:rsidR="009F3413" w:rsidRPr="00746677" w:rsidRDefault="009F3413" w:rsidP="009F3413">
      <w:pPr>
        <w:pStyle w:val="Zkladn"/>
        <w:spacing w:before="0"/>
        <w:rPr>
          <w:rFonts w:asciiTheme="minorHAnsi" w:hAnsiTheme="minorHAnsi" w:cstheme="minorHAnsi"/>
        </w:rPr>
      </w:pPr>
    </w:p>
    <w:p w14:paraId="476CDEFD" w14:textId="09100472" w:rsidR="008E5064" w:rsidRDefault="0067032C" w:rsidP="009F3413">
      <w:pPr>
        <w:pStyle w:val="Zkladn"/>
        <w:spacing w:before="0"/>
        <w:rPr>
          <w:rFonts w:asciiTheme="minorHAnsi" w:hAnsiTheme="minorHAnsi" w:cstheme="minorHAnsi"/>
        </w:rPr>
      </w:pPr>
      <w:r w:rsidRPr="00746677">
        <w:rPr>
          <w:rFonts w:asciiTheme="minorHAnsi" w:hAnsiTheme="minorHAnsi" w:cstheme="minorHAnsi"/>
          <w:b/>
        </w:rPr>
        <w:t>Cílem kontroly</w:t>
      </w:r>
      <w:r w:rsidRPr="00746677">
        <w:rPr>
          <w:rFonts w:asciiTheme="minorHAnsi" w:hAnsiTheme="minorHAnsi" w:cstheme="minorHAnsi"/>
        </w:rPr>
        <w:t xml:space="preserve"> bylo </w:t>
      </w:r>
      <w:r w:rsidR="00746677" w:rsidRPr="00746677">
        <w:rPr>
          <w:rFonts w:asciiTheme="minorHAnsi" w:hAnsiTheme="minorHAnsi" w:cstheme="minorHAnsi"/>
        </w:rPr>
        <w:t>prověřit, zda činnosti hlavních subjektů podílejících se na zajištění kybernetické bezpečnosti</w:t>
      </w:r>
      <w:r w:rsidR="00337754">
        <w:rPr>
          <w:rFonts w:asciiTheme="minorHAnsi" w:hAnsiTheme="minorHAnsi" w:cstheme="minorHAnsi"/>
        </w:rPr>
        <w:t xml:space="preserve"> </w:t>
      </w:r>
      <w:r w:rsidR="00746677" w:rsidRPr="00746677">
        <w:rPr>
          <w:rFonts w:asciiTheme="minorHAnsi" w:hAnsiTheme="minorHAnsi" w:cstheme="minorHAnsi"/>
        </w:rPr>
        <w:t xml:space="preserve">ČR a míra efektivity jejich vzájemné spolupráce vedou k jejímu zvyšování ve smyslu cílů a aktivit definovaných </w:t>
      </w:r>
      <w:r w:rsidR="00746677" w:rsidRPr="006374C0">
        <w:rPr>
          <w:rFonts w:asciiTheme="minorHAnsi" w:hAnsiTheme="minorHAnsi" w:cstheme="minorHAnsi"/>
          <w:i/>
        </w:rPr>
        <w:t>Národní strategi</w:t>
      </w:r>
      <w:r w:rsidR="00BA24D1" w:rsidRPr="006374C0">
        <w:rPr>
          <w:rFonts w:asciiTheme="minorHAnsi" w:hAnsiTheme="minorHAnsi" w:cstheme="minorHAnsi"/>
          <w:i/>
        </w:rPr>
        <w:t xml:space="preserve">í kybernetické bezpečnosti </w:t>
      </w:r>
      <w:r w:rsidR="00537E04" w:rsidRPr="006374C0">
        <w:rPr>
          <w:rFonts w:asciiTheme="minorHAnsi" w:hAnsiTheme="minorHAnsi" w:cstheme="minorHAnsi"/>
          <w:i/>
        </w:rPr>
        <w:t xml:space="preserve">České republiky </w:t>
      </w:r>
      <w:r w:rsidR="00BA24D1" w:rsidRPr="006374C0">
        <w:rPr>
          <w:rFonts w:asciiTheme="minorHAnsi" w:hAnsiTheme="minorHAnsi" w:cstheme="minorHAnsi"/>
          <w:i/>
        </w:rPr>
        <w:t>2015–</w:t>
      </w:r>
      <w:r w:rsidR="00746677" w:rsidRPr="006374C0">
        <w:rPr>
          <w:rFonts w:asciiTheme="minorHAnsi" w:hAnsiTheme="minorHAnsi" w:cstheme="minorHAnsi"/>
          <w:i/>
        </w:rPr>
        <w:t>2020</w:t>
      </w:r>
      <w:r w:rsidR="00746677" w:rsidRPr="00746677">
        <w:rPr>
          <w:rFonts w:asciiTheme="minorHAnsi" w:hAnsiTheme="minorHAnsi" w:cstheme="minorHAnsi"/>
        </w:rPr>
        <w:t xml:space="preserve"> a </w:t>
      </w:r>
      <w:r w:rsidR="000D517A" w:rsidRPr="006374C0">
        <w:rPr>
          <w:rFonts w:asciiTheme="minorHAnsi" w:hAnsiTheme="minorHAnsi" w:cstheme="minorHAnsi"/>
          <w:i/>
        </w:rPr>
        <w:t>Akčního plánu ke</w:t>
      </w:r>
      <w:r w:rsidR="000D517A" w:rsidRPr="00CD105B">
        <w:rPr>
          <w:rFonts w:asciiTheme="minorHAnsi" w:hAnsiTheme="minorHAnsi" w:cstheme="minorHAnsi"/>
          <w:i/>
        </w:rPr>
        <w:t xml:space="preserve"> strategii 2015</w:t>
      </w:r>
      <w:r w:rsidR="000D517A" w:rsidRPr="006374C0">
        <w:rPr>
          <w:rFonts w:asciiTheme="minorHAnsi" w:hAnsiTheme="minorHAnsi" w:cstheme="minorHAnsi"/>
          <w:i/>
        </w:rPr>
        <w:t>–</w:t>
      </w:r>
      <w:r w:rsidR="00746677" w:rsidRPr="00CD105B">
        <w:rPr>
          <w:rFonts w:asciiTheme="minorHAnsi" w:hAnsiTheme="minorHAnsi" w:cstheme="minorHAnsi"/>
          <w:i/>
        </w:rPr>
        <w:t>2020</w:t>
      </w:r>
      <w:r w:rsidR="00B31BA2" w:rsidRPr="006374C0">
        <w:rPr>
          <w:rFonts w:asciiTheme="minorHAnsi" w:hAnsiTheme="minorHAnsi" w:cstheme="minorHAnsi"/>
        </w:rPr>
        <w:t>.</w:t>
      </w:r>
    </w:p>
    <w:p w14:paraId="36B37CDB" w14:textId="77777777" w:rsidR="009F3413" w:rsidRPr="00746677" w:rsidRDefault="009F3413" w:rsidP="009F3413">
      <w:pPr>
        <w:pStyle w:val="Zkladn"/>
        <w:spacing w:before="0"/>
        <w:rPr>
          <w:rFonts w:asciiTheme="minorHAnsi" w:hAnsiTheme="minorHAnsi" w:cstheme="minorHAnsi"/>
        </w:rPr>
      </w:pPr>
    </w:p>
    <w:p w14:paraId="1EC9BB72" w14:textId="77777777" w:rsidR="0067032C" w:rsidRPr="00746677" w:rsidRDefault="0067032C" w:rsidP="009F3413">
      <w:pPr>
        <w:pStyle w:val="Zkladn"/>
        <w:spacing w:before="0"/>
        <w:rPr>
          <w:rFonts w:asciiTheme="minorHAnsi" w:hAnsiTheme="minorHAnsi" w:cstheme="minorHAnsi"/>
          <w:b/>
        </w:rPr>
      </w:pPr>
      <w:r w:rsidRPr="00746677">
        <w:rPr>
          <w:rFonts w:asciiTheme="minorHAnsi" w:hAnsiTheme="minorHAnsi" w:cstheme="minorHAnsi"/>
          <w:b/>
        </w:rPr>
        <w:t>Kontrolované osoby:</w:t>
      </w:r>
    </w:p>
    <w:p w14:paraId="3C28CEBE" w14:textId="77777777" w:rsidR="00746677" w:rsidRPr="00746677" w:rsidRDefault="00746677" w:rsidP="009F3413">
      <w:pPr>
        <w:spacing w:after="0" w:line="240" w:lineRule="auto"/>
        <w:rPr>
          <w:rFonts w:cstheme="minorHAnsi"/>
          <w:szCs w:val="24"/>
        </w:rPr>
      </w:pPr>
      <w:r w:rsidRPr="00746677">
        <w:rPr>
          <w:rFonts w:cstheme="minorHAnsi"/>
          <w:szCs w:val="24"/>
        </w:rPr>
        <w:t>Národní úřad pro kybernetickou a informační bezpečnost</w:t>
      </w:r>
      <w:r w:rsidR="00A73018">
        <w:rPr>
          <w:rFonts w:cstheme="minorHAnsi"/>
          <w:szCs w:val="24"/>
        </w:rPr>
        <w:t>, Brno</w:t>
      </w:r>
      <w:r w:rsidRPr="00746677">
        <w:rPr>
          <w:rFonts w:cstheme="minorHAnsi"/>
          <w:szCs w:val="24"/>
        </w:rPr>
        <w:t xml:space="preserve"> (dále také „NÚKIB“)</w:t>
      </w:r>
      <w:r w:rsidR="00667D59">
        <w:rPr>
          <w:rFonts w:cstheme="minorHAnsi"/>
          <w:szCs w:val="24"/>
        </w:rPr>
        <w:t>,</w:t>
      </w:r>
    </w:p>
    <w:p w14:paraId="0490300F" w14:textId="77777777" w:rsidR="0067032C" w:rsidRPr="00746677" w:rsidRDefault="008E5064" w:rsidP="009F3413">
      <w:pPr>
        <w:spacing w:after="0" w:line="240" w:lineRule="auto"/>
        <w:rPr>
          <w:rFonts w:cstheme="minorHAnsi"/>
          <w:szCs w:val="24"/>
        </w:rPr>
      </w:pPr>
      <w:r w:rsidRPr="00746677">
        <w:rPr>
          <w:rFonts w:cstheme="minorHAnsi"/>
          <w:szCs w:val="24"/>
        </w:rPr>
        <w:t xml:space="preserve">Ministerstvo vnitra </w:t>
      </w:r>
      <w:r w:rsidR="0067032C" w:rsidRPr="00746677">
        <w:rPr>
          <w:rFonts w:cstheme="minorHAnsi"/>
          <w:szCs w:val="24"/>
        </w:rPr>
        <w:t>(dále také „M</w:t>
      </w:r>
      <w:r w:rsidRPr="00746677">
        <w:rPr>
          <w:rFonts w:cstheme="minorHAnsi"/>
          <w:szCs w:val="24"/>
        </w:rPr>
        <w:t>V</w:t>
      </w:r>
      <w:r w:rsidR="0067032C" w:rsidRPr="00746677">
        <w:rPr>
          <w:rFonts w:cstheme="minorHAnsi"/>
          <w:szCs w:val="24"/>
        </w:rPr>
        <w:t>“)</w:t>
      </w:r>
      <w:r w:rsidR="00667D59">
        <w:rPr>
          <w:rFonts w:cstheme="minorHAnsi"/>
          <w:szCs w:val="24"/>
        </w:rPr>
        <w:t>.</w:t>
      </w:r>
    </w:p>
    <w:p w14:paraId="2A906B8B" w14:textId="77777777" w:rsidR="008E5064" w:rsidRPr="00DD0C5E" w:rsidRDefault="008E5064" w:rsidP="009F3413">
      <w:pPr>
        <w:spacing w:after="0" w:line="240" w:lineRule="auto"/>
        <w:rPr>
          <w:rFonts w:cstheme="minorHAnsi"/>
          <w:szCs w:val="24"/>
          <w:highlight w:val="yellow"/>
        </w:rPr>
      </w:pPr>
    </w:p>
    <w:p w14:paraId="017A80E7" w14:textId="77777777" w:rsidR="0067032C" w:rsidRDefault="0067032C" w:rsidP="009F3413">
      <w:pPr>
        <w:spacing w:after="0" w:line="240" w:lineRule="auto"/>
        <w:rPr>
          <w:rFonts w:eastAsia="Times New Roman" w:cstheme="minorHAnsi"/>
          <w:szCs w:val="24"/>
        </w:rPr>
      </w:pPr>
      <w:r w:rsidRPr="00746677">
        <w:rPr>
          <w:rFonts w:eastAsia="Times New Roman" w:cstheme="minorHAnsi"/>
          <w:szCs w:val="24"/>
        </w:rPr>
        <w:t xml:space="preserve">Kontrola byla prováděna u kontrolovaných osob v období od </w:t>
      </w:r>
      <w:r w:rsidR="00746677" w:rsidRPr="00746677">
        <w:rPr>
          <w:rFonts w:eastAsia="Times New Roman" w:cstheme="minorHAnsi"/>
          <w:szCs w:val="24"/>
        </w:rPr>
        <w:t>října</w:t>
      </w:r>
      <w:r w:rsidRPr="00746677">
        <w:rPr>
          <w:rFonts w:eastAsia="Times New Roman" w:cstheme="minorHAnsi"/>
          <w:szCs w:val="24"/>
        </w:rPr>
        <w:t xml:space="preserve"> 20</w:t>
      </w:r>
      <w:r w:rsidR="0044421C" w:rsidRPr="00746677">
        <w:rPr>
          <w:rFonts w:eastAsia="Times New Roman" w:cstheme="minorHAnsi"/>
          <w:szCs w:val="24"/>
        </w:rPr>
        <w:t>19</w:t>
      </w:r>
      <w:r w:rsidRPr="00746677">
        <w:rPr>
          <w:rFonts w:eastAsia="Times New Roman" w:cstheme="minorHAnsi"/>
          <w:szCs w:val="24"/>
        </w:rPr>
        <w:t xml:space="preserve"> do </w:t>
      </w:r>
      <w:r w:rsidR="00746677" w:rsidRPr="00746677">
        <w:rPr>
          <w:rFonts w:eastAsia="Times New Roman" w:cstheme="minorHAnsi"/>
          <w:szCs w:val="24"/>
        </w:rPr>
        <w:t>června</w:t>
      </w:r>
      <w:r w:rsidR="003A13C2" w:rsidRPr="00746677">
        <w:rPr>
          <w:rFonts w:eastAsia="Times New Roman" w:cstheme="minorHAnsi"/>
          <w:szCs w:val="24"/>
        </w:rPr>
        <w:t xml:space="preserve"> </w:t>
      </w:r>
      <w:r w:rsidRPr="00746677">
        <w:rPr>
          <w:rFonts w:eastAsia="Times New Roman" w:cstheme="minorHAnsi"/>
          <w:szCs w:val="24"/>
        </w:rPr>
        <w:t>20</w:t>
      </w:r>
      <w:r w:rsidR="0044421C" w:rsidRPr="00746677">
        <w:rPr>
          <w:rFonts w:eastAsia="Times New Roman" w:cstheme="minorHAnsi"/>
          <w:szCs w:val="24"/>
        </w:rPr>
        <w:t>20</w:t>
      </w:r>
      <w:r w:rsidRPr="00746677">
        <w:rPr>
          <w:rFonts w:eastAsia="Times New Roman" w:cstheme="minorHAnsi"/>
          <w:szCs w:val="24"/>
        </w:rPr>
        <w:t>.</w:t>
      </w:r>
    </w:p>
    <w:p w14:paraId="53AFC362" w14:textId="77777777" w:rsidR="009F3413" w:rsidRPr="00746677" w:rsidRDefault="009F3413" w:rsidP="009F3413">
      <w:pPr>
        <w:spacing w:after="0" w:line="240" w:lineRule="auto"/>
        <w:rPr>
          <w:rFonts w:cstheme="minorHAnsi"/>
          <w:szCs w:val="24"/>
        </w:rPr>
      </w:pPr>
    </w:p>
    <w:p w14:paraId="18E7598D" w14:textId="77777777" w:rsidR="0067032C" w:rsidRDefault="0067032C" w:rsidP="009F3413">
      <w:pPr>
        <w:spacing w:after="0" w:line="240" w:lineRule="auto"/>
        <w:rPr>
          <w:rFonts w:cstheme="minorHAnsi"/>
          <w:szCs w:val="24"/>
        </w:rPr>
      </w:pPr>
      <w:r w:rsidRPr="00746677">
        <w:rPr>
          <w:rFonts w:cstheme="minorHAnsi"/>
          <w:b/>
          <w:szCs w:val="24"/>
        </w:rPr>
        <w:t>Kontrolováno bylo období</w:t>
      </w:r>
      <w:r w:rsidRPr="00746677">
        <w:rPr>
          <w:rFonts w:cstheme="minorHAnsi"/>
          <w:szCs w:val="24"/>
        </w:rPr>
        <w:t xml:space="preserve"> od </w:t>
      </w:r>
      <w:r w:rsidR="00877CC9" w:rsidRPr="00746677">
        <w:rPr>
          <w:rFonts w:cstheme="minorHAnsi"/>
          <w:szCs w:val="24"/>
        </w:rPr>
        <w:t>roku 201</w:t>
      </w:r>
      <w:r w:rsidR="00746677" w:rsidRPr="00746677">
        <w:rPr>
          <w:rFonts w:cstheme="minorHAnsi"/>
          <w:szCs w:val="24"/>
        </w:rPr>
        <w:t>5</w:t>
      </w:r>
      <w:r w:rsidRPr="00746677">
        <w:rPr>
          <w:rFonts w:cstheme="minorHAnsi"/>
          <w:szCs w:val="24"/>
        </w:rPr>
        <w:t xml:space="preserve"> do </w:t>
      </w:r>
      <w:r w:rsidR="00877CC9" w:rsidRPr="00746677">
        <w:rPr>
          <w:rFonts w:cstheme="minorHAnsi"/>
          <w:szCs w:val="24"/>
        </w:rPr>
        <w:t>roku 20</w:t>
      </w:r>
      <w:r w:rsidR="00746677" w:rsidRPr="00746677">
        <w:rPr>
          <w:rFonts w:cstheme="minorHAnsi"/>
          <w:szCs w:val="24"/>
        </w:rPr>
        <w:t>20</w:t>
      </w:r>
      <w:r w:rsidR="00765CB1">
        <w:rPr>
          <w:rFonts w:cstheme="minorHAnsi"/>
          <w:szCs w:val="24"/>
        </w:rPr>
        <w:t>.</w:t>
      </w:r>
    </w:p>
    <w:p w14:paraId="7E633815" w14:textId="77777777" w:rsidR="009F3413" w:rsidRDefault="009F3413" w:rsidP="009F3413">
      <w:pPr>
        <w:spacing w:after="0" w:line="240" w:lineRule="auto"/>
        <w:rPr>
          <w:rFonts w:cstheme="minorHAnsi"/>
          <w:szCs w:val="24"/>
        </w:rPr>
      </w:pPr>
    </w:p>
    <w:p w14:paraId="3F6B70DE" w14:textId="77777777" w:rsidR="009F3413" w:rsidRPr="00746677" w:rsidRDefault="009F3413" w:rsidP="009F3413">
      <w:pPr>
        <w:spacing w:after="0" w:line="240" w:lineRule="auto"/>
        <w:rPr>
          <w:rFonts w:cstheme="minorHAnsi"/>
          <w:szCs w:val="24"/>
        </w:rPr>
      </w:pPr>
    </w:p>
    <w:p w14:paraId="17D5DC94" w14:textId="77777777" w:rsidR="0067032C" w:rsidRPr="00746677" w:rsidRDefault="0067032C" w:rsidP="00545D96">
      <w:pPr>
        <w:spacing w:after="0"/>
        <w:ind w:left="567" w:hanging="567"/>
        <w:rPr>
          <w:rFonts w:cstheme="minorHAnsi"/>
          <w:sz w:val="20"/>
          <w:szCs w:val="20"/>
        </w:rPr>
      </w:pPr>
      <w:r w:rsidRPr="00746677">
        <w:rPr>
          <w:rFonts w:cstheme="minorHAnsi"/>
          <w:b/>
          <w:sz w:val="20"/>
          <w:szCs w:val="20"/>
        </w:rPr>
        <w:t xml:space="preserve">Pozn.: </w:t>
      </w:r>
      <w:r w:rsidR="00545D96" w:rsidRPr="00746677">
        <w:rPr>
          <w:rFonts w:cstheme="minorHAnsi"/>
          <w:sz w:val="20"/>
          <w:szCs w:val="20"/>
        </w:rPr>
        <w:tab/>
      </w:r>
      <w:r w:rsidRPr="00746677">
        <w:rPr>
          <w:rFonts w:cstheme="minorHAnsi"/>
          <w:sz w:val="20"/>
          <w:szCs w:val="20"/>
        </w:rPr>
        <w:t>Právní předpisy uvedené v tomto kontrolním závěru jsou aplikovány ve znění účinném pro kontrolované období.</w:t>
      </w:r>
    </w:p>
    <w:p w14:paraId="027BCAC6" w14:textId="77777777" w:rsidR="009F3413" w:rsidRDefault="009F3413" w:rsidP="009F3413">
      <w:pPr>
        <w:spacing w:after="0" w:line="240" w:lineRule="auto"/>
      </w:pPr>
    </w:p>
    <w:p w14:paraId="621EB976" w14:textId="77777777" w:rsidR="009F3413" w:rsidRDefault="009F3413" w:rsidP="009F3413">
      <w:pPr>
        <w:spacing w:after="0" w:line="240" w:lineRule="auto"/>
      </w:pPr>
    </w:p>
    <w:p w14:paraId="4FBDD22A" w14:textId="77777777" w:rsidR="00E548D4" w:rsidRPr="00215449" w:rsidRDefault="0067032C" w:rsidP="00E548D4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cs-CZ"/>
        </w:rPr>
      </w:pPr>
      <w:r w:rsidRPr="00215449">
        <w:rPr>
          <w:rFonts w:cstheme="minorHAnsi"/>
          <w:b/>
          <w:bCs/>
          <w:i/>
          <w:iCs/>
          <w:szCs w:val="24"/>
        </w:rPr>
        <w:t>K o l e g i u m   N K</w:t>
      </w:r>
      <w:r w:rsidR="00E548D4" w:rsidRPr="00215449">
        <w:rPr>
          <w:rFonts w:cstheme="minorHAnsi"/>
          <w:b/>
          <w:bCs/>
          <w:i/>
          <w:iCs/>
          <w:szCs w:val="24"/>
        </w:rPr>
        <w:t> </w:t>
      </w:r>
      <w:r w:rsidRPr="00215449">
        <w:rPr>
          <w:rFonts w:cstheme="minorHAnsi"/>
          <w:b/>
          <w:bCs/>
          <w:i/>
          <w:iCs/>
          <w:szCs w:val="24"/>
        </w:rPr>
        <w:t>Ú</w:t>
      </w:r>
      <w:r w:rsidR="007725B0" w:rsidRPr="00215449">
        <w:rPr>
          <w:rFonts w:cstheme="minorHAnsi"/>
          <w:b/>
          <w:bCs/>
          <w:i/>
          <w:iCs/>
          <w:szCs w:val="24"/>
        </w:rPr>
        <w:t xml:space="preserve"> </w:t>
      </w:r>
      <w:r w:rsidR="00E75314">
        <w:rPr>
          <w:rFonts w:cstheme="minorHAnsi"/>
          <w:b/>
          <w:bCs/>
          <w:i/>
          <w:iCs/>
          <w:szCs w:val="24"/>
        </w:rPr>
        <w:t xml:space="preserve"> </w:t>
      </w:r>
      <w:r w:rsidR="007725B0" w:rsidRPr="00215449">
        <w:rPr>
          <w:rFonts w:cstheme="minorHAnsi"/>
          <w:b/>
          <w:bCs/>
          <w:i/>
          <w:iCs/>
          <w:szCs w:val="24"/>
        </w:rPr>
        <w:t xml:space="preserve"> </w:t>
      </w:r>
      <w:r w:rsidR="00E548D4" w:rsidRPr="00215449">
        <w:rPr>
          <w:rFonts w:ascii="Calibri" w:hAnsi="Calibri" w:cs="Calibri"/>
          <w:lang w:eastAsia="cs-CZ"/>
        </w:rPr>
        <w:t xml:space="preserve">na svém </w:t>
      </w:r>
      <w:r w:rsidR="00EA13C1">
        <w:rPr>
          <w:rFonts w:ascii="Calibri" w:hAnsi="Calibri" w:cs="Calibri"/>
          <w:lang w:eastAsia="cs-CZ"/>
        </w:rPr>
        <w:t>XIV</w:t>
      </w:r>
      <w:r w:rsidR="00E548D4" w:rsidRPr="00215449">
        <w:rPr>
          <w:rFonts w:ascii="Calibri" w:hAnsi="Calibri" w:cs="Calibri"/>
          <w:lang w:eastAsia="cs-CZ"/>
        </w:rPr>
        <w:t xml:space="preserve">. jednání, které se konalo dne </w:t>
      </w:r>
      <w:r w:rsidR="00EA13C1">
        <w:rPr>
          <w:rFonts w:ascii="Calibri" w:hAnsi="Calibri" w:cs="Calibri"/>
          <w:lang w:eastAsia="cs-CZ"/>
        </w:rPr>
        <w:t>14. září</w:t>
      </w:r>
      <w:r w:rsidR="00E548D4" w:rsidRPr="00215449">
        <w:rPr>
          <w:rFonts w:ascii="Calibri" w:hAnsi="Calibri" w:cs="Calibri"/>
          <w:lang w:eastAsia="cs-CZ"/>
        </w:rPr>
        <w:t xml:space="preserve"> 2020,</w:t>
      </w:r>
    </w:p>
    <w:p w14:paraId="40346E20" w14:textId="77777777" w:rsidR="0067032C" w:rsidRPr="00215449" w:rsidRDefault="0067032C" w:rsidP="0070785A">
      <w:pPr>
        <w:ind w:right="68"/>
        <w:rPr>
          <w:rFonts w:ascii="Calibri" w:hAnsi="Calibri" w:cs="Calibri"/>
          <w:lang w:eastAsia="cs-CZ"/>
        </w:rPr>
      </w:pPr>
      <w:proofErr w:type="gramStart"/>
      <w:r w:rsidRPr="00215449">
        <w:rPr>
          <w:rFonts w:cstheme="minorHAnsi"/>
          <w:b/>
          <w:bCs/>
          <w:i/>
          <w:iCs/>
          <w:szCs w:val="24"/>
        </w:rPr>
        <w:t>s c h v á l i l o</w:t>
      </w:r>
      <w:r w:rsidR="00BD486B" w:rsidRPr="00215449">
        <w:rPr>
          <w:rFonts w:cstheme="minorHAnsi"/>
          <w:b/>
          <w:bCs/>
          <w:i/>
          <w:iCs/>
          <w:szCs w:val="24"/>
        </w:rPr>
        <w:t xml:space="preserve">   </w:t>
      </w:r>
      <w:r w:rsidR="007725B0" w:rsidRPr="00215449">
        <w:rPr>
          <w:rFonts w:ascii="Calibri" w:hAnsi="Calibri" w:cs="Calibri"/>
          <w:lang w:eastAsia="cs-CZ"/>
        </w:rPr>
        <w:t>usnesením č.</w:t>
      </w:r>
      <w:proofErr w:type="gramEnd"/>
      <w:r w:rsidR="007725B0" w:rsidRPr="00215449">
        <w:rPr>
          <w:rFonts w:ascii="Calibri" w:hAnsi="Calibri" w:cs="Calibri"/>
          <w:lang w:eastAsia="cs-CZ"/>
        </w:rPr>
        <w:t xml:space="preserve"> </w:t>
      </w:r>
      <w:r w:rsidR="00EA13C1">
        <w:rPr>
          <w:rFonts w:ascii="Calibri" w:hAnsi="Calibri" w:cs="Calibri"/>
          <w:lang w:eastAsia="cs-CZ"/>
        </w:rPr>
        <w:t>8/XIV/</w:t>
      </w:r>
      <w:r w:rsidR="00746677" w:rsidRPr="00215449">
        <w:rPr>
          <w:rFonts w:ascii="Calibri" w:hAnsi="Calibri" w:cs="Calibri"/>
          <w:lang w:eastAsia="cs-CZ"/>
        </w:rPr>
        <w:t>202</w:t>
      </w:r>
      <w:r w:rsidR="007725B0" w:rsidRPr="00215449">
        <w:rPr>
          <w:rFonts w:ascii="Calibri" w:hAnsi="Calibri" w:cs="Calibri"/>
          <w:lang w:eastAsia="cs-CZ"/>
        </w:rPr>
        <w:t>0</w:t>
      </w:r>
    </w:p>
    <w:p w14:paraId="36718570" w14:textId="77777777" w:rsidR="0067032C" w:rsidRPr="00746677" w:rsidRDefault="0067032C" w:rsidP="0067032C">
      <w:pPr>
        <w:spacing w:after="0"/>
        <w:ind w:right="70"/>
        <w:rPr>
          <w:rFonts w:cstheme="minorHAnsi"/>
          <w:szCs w:val="24"/>
        </w:rPr>
      </w:pPr>
      <w:r w:rsidRPr="00746677">
        <w:rPr>
          <w:rFonts w:cstheme="minorHAnsi"/>
          <w:b/>
          <w:bCs/>
          <w:i/>
          <w:iCs/>
          <w:szCs w:val="24"/>
        </w:rPr>
        <w:t>k o n t r o l n í   z á v ě r</w:t>
      </w:r>
      <w:r w:rsidRPr="00746677">
        <w:rPr>
          <w:rFonts w:cstheme="minorHAnsi"/>
          <w:b/>
          <w:szCs w:val="24"/>
        </w:rPr>
        <w:t xml:space="preserve">   </w:t>
      </w:r>
      <w:r w:rsidRPr="00746677">
        <w:rPr>
          <w:rFonts w:cstheme="minorHAnsi"/>
          <w:szCs w:val="24"/>
        </w:rPr>
        <w:t>v tomto znění:</w:t>
      </w:r>
    </w:p>
    <w:p w14:paraId="3C18DBED" w14:textId="77777777" w:rsidR="00254D6D" w:rsidRPr="00DD0C5E" w:rsidRDefault="00254D6D" w:rsidP="005C7F8F">
      <w:pPr>
        <w:jc w:val="center"/>
        <w:rPr>
          <w:b/>
          <w:smallCaps/>
          <w:color w:val="2E74B5" w:themeColor="accent1" w:themeShade="BF"/>
          <w:sz w:val="32"/>
          <w:highlight w:val="yellow"/>
        </w:rPr>
      </w:pPr>
    </w:p>
    <w:p w14:paraId="20B9DC74" w14:textId="77777777" w:rsidR="00E76FAB" w:rsidRDefault="00E76FAB">
      <w:pPr>
        <w:jc w:val="left"/>
        <w:rPr>
          <w:rStyle w:val="A4"/>
          <w:b/>
          <w:color w:val="auto"/>
          <w:sz w:val="32"/>
          <w:szCs w:val="32"/>
          <w:highlight w:val="yellow"/>
        </w:rPr>
      </w:pPr>
      <w:r>
        <w:rPr>
          <w:rStyle w:val="A4"/>
          <w:b/>
          <w:color w:val="auto"/>
          <w:sz w:val="32"/>
          <w:szCs w:val="32"/>
          <w:highlight w:val="yellow"/>
        </w:rPr>
        <w:br w:type="page"/>
      </w:r>
    </w:p>
    <w:tbl>
      <w:tblPr>
        <w:tblpPr w:leftFromText="141" w:rightFromText="141" w:bottomFromText="160" w:vertAnchor="text" w:horzAnchor="margin" w:tblpXSpec="right" w:tblpY="-24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259"/>
        <w:gridCol w:w="1578"/>
        <w:gridCol w:w="1683"/>
        <w:gridCol w:w="3152"/>
        <w:gridCol w:w="58"/>
      </w:tblGrid>
      <w:tr w:rsidR="00A667BE" w14:paraId="0A3A3976" w14:textId="77777777" w:rsidTr="00D364B8">
        <w:trPr>
          <w:gridAfter w:val="1"/>
          <w:wAfter w:w="57" w:type="dxa"/>
          <w:trHeight w:val="870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2150" w14:textId="77777777" w:rsidR="00A667BE" w:rsidRPr="003C71B5" w:rsidRDefault="00A667BE" w:rsidP="006C1787">
            <w:pPr>
              <w:jc w:val="center"/>
              <w:rPr>
                <w:rStyle w:val="A4"/>
                <w:rFonts w:ascii="Calibri" w:hAnsi="Calibri"/>
                <w:b/>
                <w:color w:val="2E74B5" w:themeColor="accent1" w:themeShade="BF"/>
                <w:sz w:val="40"/>
                <w:szCs w:val="40"/>
              </w:rPr>
            </w:pPr>
            <w:r w:rsidRPr="003C71B5">
              <w:rPr>
                <w:rStyle w:val="A4"/>
                <w:rFonts w:ascii="Calibri" w:hAnsi="Calibri"/>
                <w:b/>
                <w:color w:val="2E74B5" w:themeColor="accent1" w:themeShade="BF"/>
                <w:sz w:val="40"/>
                <w:szCs w:val="40"/>
              </w:rPr>
              <w:lastRenderedPageBreak/>
              <w:t>Kybernetická bezpečnost České republiky v číslech</w:t>
            </w:r>
          </w:p>
          <w:p w14:paraId="7E49C55D" w14:textId="77777777" w:rsidR="007B422A" w:rsidRDefault="007B422A" w:rsidP="007B422A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</w:p>
          <w:p w14:paraId="6F256FAD" w14:textId="77777777" w:rsidR="00A667BE" w:rsidRDefault="00A667BE" w:rsidP="007B422A">
            <w:pPr>
              <w:spacing w:after="0"/>
              <w:jc w:val="center"/>
              <w:rPr>
                <w:rStyle w:val="A5"/>
                <w:sz w:val="20"/>
                <w:szCs w:val="20"/>
              </w:rPr>
            </w:pPr>
            <w:r w:rsidRPr="007B422A">
              <w:rPr>
                <w:rStyle w:val="A5"/>
                <w:sz w:val="24"/>
                <w:szCs w:val="24"/>
              </w:rPr>
              <w:t>Česká republika</w:t>
            </w:r>
          </w:p>
        </w:tc>
      </w:tr>
      <w:tr w:rsidR="00A667BE" w14:paraId="114590A5" w14:textId="77777777" w:rsidTr="00D364B8">
        <w:trPr>
          <w:gridAfter w:val="1"/>
          <w:wAfter w:w="57" w:type="dxa"/>
          <w:trHeight w:val="1442"/>
        </w:trPr>
        <w:tc>
          <w:tcPr>
            <w:tcW w:w="4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B0FD9" w14:textId="7FC66174" w:rsidR="00A667BE" w:rsidRDefault="00A667BE" w:rsidP="00D21FDF">
            <w:pPr>
              <w:spacing w:after="120" w:line="240" w:lineRule="auto"/>
              <w:ind w:left="-567"/>
              <w:jc w:val="center"/>
              <w:rPr>
                <w:rStyle w:val="A5"/>
                <w:sz w:val="24"/>
                <w:szCs w:val="24"/>
              </w:rPr>
            </w:pPr>
            <w:r w:rsidRPr="00AE6ECF">
              <w:rPr>
                <w:rStyle w:val="A5"/>
                <w:sz w:val="24"/>
                <w:szCs w:val="24"/>
              </w:rPr>
              <w:t xml:space="preserve">348 </w:t>
            </w:r>
            <w:r w:rsidR="00221CFF" w:rsidRPr="00AE6ECF">
              <w:rPr>
                <w:rStyle w:val="A5"/>
                <w:sz w:val="24"/>
                <w:szCs w:val="24"/>
              </w:rPr>
              <w:t>informačních systémů</w:t>
            </w:r>
            <w:r w:rsidR="00C438C4" w:rsidRPr="00B930C3">
              <w:rPr>
                <w:rStyle w:val="Znakapoznpodarou"/>
                <w:bCs/>
                <w:color w:val="000000"/>
                <w:sz w:val="20"/>
                <w:szCs w:val="24"/>
              </w:rPr>
              <w:footnoteReference w:id="2"/>
            </w:r>
          </w:p>
          <w:p w14:paraId="015BE994" w14:textId="40F14110" w:rsidR="00A667BE" w:rsidRDefault="00221CFF" w:rsidP="007B422A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  <w:r w:rsidR="00264C50">
              <w:rPr>
                <w:sz w:val="20"/>
                <w:szCs w:val="20"/>
              </w:rPr>
              <w:t>systémů kritické</w:t>
            </w:r>
            <w:r>
              <w:t xml:space="preserve"> </w:t>
            </w:r>
            <w:r w:rsidR="00264C50">
              <w:rPr>
                <w:sz w:val="20"/>
                <w:szCs w:val="20"/>
              </w:rPr>
              <w:t>informační</w:t>
            </w:r>
            <w:r w:rsidRPr="00221CFF">
              <w:rPr>
                <w:sz w:val="20"/>
                <w:szCs w:val="20"/>
              </w:rPr>
              <w:t xml:space="preserve"> </w:t>
            </w:r>
            <w:r w:rsidR="00264C50">
              <w:rPr>
                <w:sz w:val="20"/>
                <w:szCs w:val="20"/>
              </w:rPr>
              <w:t>infrastruktury</w:t>
            </w:r>
            <w:r w:rsidR="00E73591">
              <w:rPr>
                <w:sz w:val="20"/>
                <w:szCs w:val="20"/>
              </w:rPr>
              <w:t xml:space="preserve"> (KII)</w:t>
            </w:r>
          </w:p>
          <w:p w14:paraId="3E1C7C0D" w14:textId="1641AA36" w:rsidR="00A667BE" w:rsidRDefault="00A667BE" w:rsidP="007B422A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21CFF">
              <w:rPr>
                <w:sz w:val="20"/>
                <w:szCs w:val="20"/>
              </w:rPr>
              <w:t>9 významných</w:t>
            </w:r>
            <w:r w:rsidR="00221CFF" w:rsidRPr="00221CFF">
              <w:rPr>
                <w:sz w:val="20"/>
                <w:szCs w:val="20"/>
              </w:rPr>
              <w:t xml:space="preserve"> informačních systémů</w:t>
            </w:r>
            <w:r w:rsidR="00E73591">
              <w:rPr>
                <w:sz w:val="20"/>
                <w:szCs w:val="20"/>
              </w:rPr>
              <w:t xml:space="preserve"> (VIS)</w:t>
            </w:r>
          </w:p>
          <w:p w14:paraId="65CFDBC8" w14:textId="33803415" w:rsidR="00A667BE" w:rsidRPr="007B422A" w:rsidRDefault="00221CFF" w:rsidP="007B422A">
            <w:pPr>
              <w:spacing w:after="0" w:line="240" w:lineRule="auto"/>
              <w:ind w:left="-567"/>
              <w:jc w:val="center"/>
              <w:rPr>
                <w:rStyle w:val="A1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</w:t>
            </w:r>
            <w:r w:rsidRPr="00221CFF">
              <w:rPr>
                <w:sz w:val="20"/>
                <w:szCs w:val="20"/>
              </w:rPr>
              <w:t>informačních systémů</w:t>
            </w:r>
            <w:r w:rsidR="00A667BE">
              <w:rPr>
                <w:sz w:val="20"/>
                <w:szCs w:val="20"/>
              </w:rPr>
              <w:t xml:space="preserve"> základních služeb</w:t>
            </w:r>
            <w:r w:rsidR="00E73591">
              <w:rPr>
                <w:sz w:val="20"/>
                <w:szCs w:val="20"/>
              </w:rPr>
              <w:t xml:space="preserve"> (ISZS)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F83E2" w14:textId="77777777" w:rsidR="00A667BE" w:rsidRDefault="00A667BE" w:rsidP="00D21FDF">
            <w:pPr>
              <w:spacing w:after="120"/>
              <w:jc w:val="center"/>
              <w:rPr>
                <w:rStyle w:val="A5"/>
                <w:sz w:val="24"/>
                <w:szCs w:val="24"/>
              </w:rPr>
            </w:pPr>
            <w:r w:rsidRPr="007B422A">
              <w:rPr>
                <w:rStyle w:val="A5"/>
                <w:sz w:val="24"/>
                <w:szCs w:val="24"/>
              </w:rPr>
              <w:t>2 787 mil. Kč</w:t>
            </w:r>
            <w:r w:rsidR="00B930C3">
              <w:rPr>
                <w:rStyle w:val="Znakapoznpodarou"/>
                <w:sz w:val="20"/>
                <w:szCs w:val="20"/>
              </w:rPr>
              <w:footnoteReference w:id="3"/>
            </w:r>
          </w:p>
          <w:p w14:paraId="23E37B73" w14:textId="77777777" w:rsidR="00A667BE" w:rsidRDefault="00A667BE" w:rsidP="007B422A">
            <w:pPr>
              <w:ind w:lef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Odhad celkových peněžních prostředků vynaložených ministerstvy a Úřadem vlády ČR na zajištění kybernetické bezpečnosti v letech 2015 až 2019</w:t>
            </w:r>
          </w:p>
          <w:p w14:paraId="4EC90805" w14:textId="77777777" w:rsidR="007B422A" w:rsidRPr="007B422A" w:rsidRDefault="007B422A" w:rsidP="007B422A">
            <w:pPr>
              <w:ind w:left="-168"/>
              <w:jc w:val="center"/>
              <w:rPr>
                <w:rStyle w:val="A1"/>
                <w:sz w:val="20"/>
                <w:szCs w:val="20"/>
              </w:rPr>
            </w:pPr>
          </w:p>
        </w:tc>
      </w:tr>
      <w:tr w:rsidR="00A667BE" w14:paraId="617B1BE9" w14:textId="77777777" w:rsidTr="00D364B8">
        <w:trPr>
          <w:gridAfter w:val="1"/>
          <w:wAfter w:w="57" w:type="dxa"/>
          <w:trHeight w:val="340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30E52" w14:textId="77777777" w:rsidR="00D364B8" w:rsidRDefault="00D364B8" w:rsidP="00D364B8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</w:p>
          <w:p w14:paraId="34CAC1D7" w14:textId="270B91DA" w:rsidR="00A667BE" w:rsidRPr="007B422A" w:rsidRDefault="00D21FDF" w:rsidP="007B422A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  <w:r w:rsidRPr="003C71B5">
              <w:rPr>
                <w:rStyle w:val="A5"/>
                <w:sz w:val="28"/>
                <w:szCs w:val="24"/>
              </w:rPr>
              <w:t>Národní úřad pro kybernetickou a informační bezpečnost</w:t>
            </w:r>
          </w:p>
        </w:tc>
      </w:tr>
      <w:tr w:rsidR="00A667BE" w14:paraId="201579F9" w14:textId="77777777" w:rsidTr="00D364B8">
        <w:trPr>
          <w:gridAfter w:val="1"/>
          <w:wAfter w:w="58" w:type="dxa"/>
          <w:trHeight w:val="208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EAAC6F" w14:textId="77777777" w:rsidR="00A667BE" w:rsidRDefault="00D21FDF" w:rsidP="00E73591">
            <w:pPr>
              <w:spacing w:after="120"/>
              <w:jc w:val="center"/>
              <w:rPr>
                <w:rStyle w:val="A5"/>
                <w:sz w:val="24"/>
                <w:szCs w:val="20"/>
              </w:rPr>
            </w:pPr>
            <w:r w:rsidRPr="00D21FDF">
              <w:rPr>
                <w:rStyle w:val="A5"/>
                <w:sz w:val="24"/>
                <w:szCs w:val="20"/>
              </w:rPr>
              <w:t>916</w:t>
            </w:r>
          </w:p>
          <w:p w14:paraId="27E602A8" w14:textId="39D263C9" w:rsidR="00D21FDF" w:rsidRPr="00D21FDF" w:rsidRDefault="00D21FDF" w:rsidP="003C71B5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 w:rsidRPr="00D21FDF">
              <w:rPr>
                <w:rStyle w:val="A5"/>
                <w:b w:val="0"/>
                <w:sz w:val="20"/>
                <w:szCs w:val="20"/>
              </w:rPr>
              <w:t xml:space="preserve">Počet kybernetických incidentů hlášených vládnímu </w:t>
            </w:r>
            <w:r w:rsidR="00AE6ECF">
              <w:rPr>
                <w:rStyle w:val="A5"/>
                <w:b w:val="0"/>
                <w:sz w:val="20"/>
                <w:szCs w:val="20"/>
              </w:rPr>
              <w:t>CERT od roku 2017 do poloviny roku 2020</w:t>
            </w:r>
            <w:r w:rsidR="003C71B5">
              <w:rPr>
                <w:rStyle w:val="A5"/>
                <w:b w:val="0"/>
                <w:sz w:val="20"/>
                <w:szCs w:val="20"/>
              </w:rPr>
              <w:t>,</w:t>
            </w:r>
            <w:r w:rsidR="00AE6ECF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="003C71B5">
              <w:rPr>
                <w:rStyle w:val="A5"/>
                <w:b w:val="0"/>
                <w:sz w:val="20"/>
                <w:szCs w:val="20"/>
              </w:rPr>
              <w:t>z</w:t>
            </w:r>
            <w:r w:rsidR="00A760A4">
              <w:rPr>
                <w:rStyle w:val="A5"/>
                <w:b w:val="0"/>
                <w:sz w:val="20"/>
                <w:szCs w:val="20"/>
              </w:rPr>
              <w:t> </w:t>
            </w:r>
            <w:r w:rsidRPr="00D21FDF">
              <w:rPr>
                <w:rStyle w:val="A5"/>
                <w:b w:val="0"/>
                <w:sz w:val="20"/>
                <w:szCs w:val="20"/>
              </w:rPr>
              <w:t xml:space="preserve">toho 31% připadalo na incidenty </w:t>
            </w:r>
            <w:r w:rsidR="003C71B5">
              <w:rPr>
                <w:rStyle w:val="A5"/>
                <w:b w:val="0"/>
                <w:sz w:val="20"/>
                <w:szCs w:val="20"/>
              </w:rPr>
              <w:br/>
            </w:r>
            <w:r w:rsidRPr="00D21FDF">
              <w:rPr>
                <w:rStyle w:val="A5"/>
                <w:b w:val="0"/>
                <w:sz w:val="20"/>
                <w:szCs w:val="20"/>
              </w:rPr>
              <w:t>za první polovinu roku 2020</w:t>
            </w:r>
            <w:r w:rsidR="002B21F8">
              <w:rPr>
                <w:rStyle w:val="A5"/>
                <w:b w:val="0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00A2D3" w14:textId="77777777" w:rsidR="007B422A" w:rsidRDefault="00D21FDF" w:rsidP="00E73591">
            <w:pPr>
              <w:spacing w:after="120"/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884 mil. Kč</w:t>
            </w:r>
          </w:p>
          <w:p w14:paraId="3973508B" w14:textId="77777777" w:rsidR="00D21FDF" w:rsidRPr="00D21FDF" w:rsidRDefault="0083300E" w:rsidP="00E73591">
            <w:pPr>
              <w:spacing w:after="0"/>
              <w:jc w:val="center"/>
              <w:rPr>
                <w:rStyle w:val="A5"/>
                <w:b w:val="0"/>
                <w:sz w:val="20"/>
                <w:szCs w:val="24"/>
              </w:rPr>
            </w:pPr>
            <w:r>
              <w:rPr>
                <w:rStyle w:val="A5"/>
                <w:b w:val="0"/>
                <w:sz w:val="20"/>
                <w:szCs w:val="24"/>
              </w:rPr>
              <w:t>V</w:t>
            </w:r>
            <w:r w:rsidR="00D21FDF" w:rsidRPr="00D21FDF">
              <w:rPr>
                <w:rStyle w:val="A5"/>
                <w:b w:val="0"/>
                <w:sz w:val="20"/>
                <w:szCs w:val="24"/>
              </w:rPr>
              <w:t>ýdaje v</w:t>
            </w:r>
            <w:r w:rsidR="00797ECF">
              <w:rPr>
                <w:rStyle w:val="A5"/>
                <w:b w:val="0"/>
                <w:sz w:val="20"/>
                <w:szCs w:val="24"/>
              </w:rPr>
              <w:t> </w:t>
            </w:r>
            <w:r w:rsidR="00D21FDF" w:rsidRPr="00D21FDF">
              <w:rPr>
                <w:rStyle w:val="A5"/>
                <w:b w:val="0"/>
                <w:sz w:val="20"/>
                <w:szCs w:val="24"/>
              </w:rPr>
              <w:t>kapitole</w:t>
            </w:r>
            <w:r w:rsidR="00797ECF">
              <w:rPr>
                <w:rStyle w:val="A5"/>
                <w:b w:val="0"/>
                <w:sz w:val="20"/>
                <w:szCs w:val="24"/>
              </w:rPr>
              <w:t xml:space="preserve"> </w:t>
            </w:r>
            <w:r w:rsidR="00D21FDF">
              <w:rPr>
                <w:rStyle w:val="A5"/>
                <w:b w:val="0"/>
                <w:sz w:val="20"/>
                <w:szCs w:val="24"/>
              </w:rPr>
              <w:t xml:space="preserve">NÚKIB </w:t>
            </w:r>
            <w:r w:rsidR="00797ECF">
              <w:rPr>
                <w:rStyle w:val="A5"/>
                <w:b w:val="0"/>
                <w:sz w:val="20"/>
                <w:szCs w:val="24"/>
              </w:rPr>
              <w:br/>
            </w:r>
            <w:r w:rsidR="00D21FDF">
              <w:rPr>
                <w:rStyle w:val="A5"/>
                <w:b w:val="0"/>
                <w:sz w:val="20"/>
                <w:szCs w:val="24"/>
              </w:rPr>
              <w:t xml:space="preserve">od jeho vzniku </w:t>
            </w:r>
            <w:r w:rsidR="00797ECF">
              <w:rPr>
                <w:rStyle w:val="A5"/>
                <w:b w:val="0"/>
                <w:sz w:val="20"/>
                <w:szCs w:val="24"/>
              </w:rPr>
              <w:br/>
            </w:r>
            <w:r w:rsidR="00D21FDF">
              <w:rPr>
                <w:rStyle w:val="A5"/>
                <w:b w:val="0"/>
                <w:sz w:val="20"/>
                <w:szCs w:val="24"/>
              </w:rPr>
              <w:t xml:space="preserve">do </w:t>
            </w:r>
            <w:r w:rsidR="00D21FDF" w:rsidRPr="00D21FDF">
              <w:rPr>
                <w:rStyle w:val="A5"/>
                <w:b w:val="0"/>
                <w:sz w:val="20"/>
                <w:szCs w:val="24"/>
              </w:rPr>
              <w:t>konce roku 2019</w:t>
            </w:r>
          </w:p>
          <w:p w14:paraId="17E5C0CF" w14:textId="77777777" w:rsidR="00A667BE" w:rsidRPr="007B422A" w:rsidRDefault="00A667BE" w:rsidP="00E73591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642296A5" w14:textId="77777777" w:rsidR="00A667BE" w:rsidRDefault="00D21FDF" w:rsidP="00E73591">
            <w:pPr>
              <w:spacing w:after="120"/>
              <w:jc w:val="center"/>
              <w:rPr>
                <w:rStyle w:val="A5"/>
                <w:sz w:val="24"/>
                <w:szCs w:val="20"/>
              </w:rPr>
            </w:pPr>
            <w:r w:rsidRPr="00D21FDF">
              <w:rPr>
                <w:rStyle w:val="A5"/>
                <w:sz w:val="24"/>
                <w:szCs w:val="20"/>
              </w:rPr>
              <w:t>112 mil. Kč</w:t>
            </w:r>
          </w:p>
          <w:p w14:paraId="1DFA22CB" w14:textId="574AF9E6" w:rsidR="00D21FDF" w:rsidRPr="00D21FDF" w:rsidRDefault="00D21FDF" w:rsidP="002B21F8">
            <w:pPr>
              <w:jc w:val="center"/>
              <w:rPr>
                <w:rStyle w:val="A5"/>
                <w:b w:val="0"/>
                <w:sz w:val="24"/>
                <w:szCs w:val="20"/>
              </w:rPr>
            </w:pPr>
            <w:r w:rsidRPr="00D21FDF">
              <w:rPr>
                <w:rStyle w:val="A5"/>
                <w:b w:val="0"/>
                <w:sz w:val="20"/>
                <w:szCs w:val="20"/>
              </w:rPr>
              <w:t xml:space="preserve">Peněžní prostředky </w:t>
            </w:r>
            <w:r w:rsidR="002B21F8">
              <w:rPr>
                <w:rStyle w:val="A5"/>
                <w:b w:val="0"/>
                <w:sz w:val="20"/>
                <w:szCs w:val="20"/>
              </w:rPr>
              <w:t>V</w:t>
            </w:r>
            <w:r w:rsidRPr="00D21FDF">
              <w:rPr>
                <w:rStyle w:val="A5"/>
                <w:b w:val="0"/>
                <w:sz w:val="20"/>
                <w:szCs w:val="20"/>
              </w:rPr>
              <w:t xml:space="preserve">ýzvy č. 10, které NÚKIB využil </w:t>
            </w:r>
            <w:r w:rsidR="00AE6ECF">
              <w:rPr>
                <w:rStyle w:val="A5"/>
                <w:b w:val="0"/>
                <w:sz w:val="20"/>
                <w:szCs w:val="20"/>
              </w:rPr>
              <w:t>v rámci</w:t>
            </w:r>
            <w:r w:rsidRPr="00D21FDF">
              <w:rPr>
                <w:rStyle w:val="A5"/>
                <w:b w:val="0"/>
                <w:sz w:val="20"/>
                <w:szCs w:val="20"/>
              </w:rPr>
              <w:t xml:space="preserve"> 2</w:t>
            </w:r>
            <w:r w:rsidR="00A760A4">
              <w:rPr>
                <w:rStyle w:val="A5"/>
                <w:b w:val="0"/>
                <w:sz w:val="20"/>
                <w:szCs w:val="20"/>
              </w:rPr>
              <w:t> </w:t>
            </w:r>
            <w:r w:rsidR="00AE6ECF">
              <w:rPr>
                <w:rStyle w:val="A5"/>
                <w:b w:val="0"/>
                <w:sz w:val="20"/>
                <w:szCs w:val="20"/>
              </w:rPr>
              <w:t>projektů</w:t>
            </w:r>
            <w:r w:rsidRPr="00D21FDF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="00AE6ECF">
              <w:rPr>
                <w:rStyle w:val="A5"/>
                <w:b w:val="0"/>
                <w:sz w:val="20"/>
                <w:szCs w:val="20"/>
              </w:rPr>
              <w:t>zaměřených na kybernetickou bezpečnost</w:t>
            </w:r>
          </w:p>
        </w:tc>
      </w:tr>
      <w:tr w:rsidR="00D21FDF" w14:paraId="744343D0" w14:textId="77777777" w:rsidTr="00D364B8">
        <w:trPr>
          <w:gridAfter w:val="1"/>
          <w:wAfter w:w="57" w:type="dxa"/>
          <w:trHeight w:val="340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1015" w14:textId="77777777" w:rsidR="00E73591" w:rsidRDefault="00E73591" w:rsidP="00D21FDF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</w:p>
          <w:p w14:paraId="3E76F289" w14:textId="77777777" w:rsidR="00D21FDF" w:rsidRDefault="00D21FDF" w:rsidP="00D21FDF">
            <w:pPr>
              <w:spacing w:after="0"/>
              <w:jc w:val="center"/>
              <w:rPr>
                <w:rStyle w:val="A5"/>
                <w:sz w:val="20"/>
                <w:szCs w:val="20"/>
              </w:rPr>
            </w:pPr>
            <w:r w:rsidRPr="003C71B5">
              <w:rPr>
                <w:rStyle w:val="A5"/>
                <w:sz w:val="28"/>
                <w:szCs w:val="24"/>
              </w:rPr>
              <w:t>Ministerstvo vnitra</w:t>
            </w:r>
          </w:p>
        </w:tc>
      </w:tr>
      <w:tr w:rsidR="00D21FDF" w14:paraId="70783EDA" w14:textId="77777777" w:rsidTr="00D364B8">
        <w:trPr>
          <w:trHeight w:val="141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38D7ECB" w14:textId="77777777" w:rsidR="00D21FDF" w:rsidRDefault="001852F8" w:rsidP="00797ECF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19</w:t>
            </w:r>
            <w:r w:rsidR="00D21FDF">
              <w:rPr>
                <w:rStyle w:val="A5"/>
                <w:sz w:val="24"/>
                <w:szCs w:val="24"/>
              </w:rPr>
              <w:t xml:space="preserve"> informačních systémů</w:t>
            </w:r>
            <w:r w:rsidR="00B930C3">
              <w:rPr>
                <w:rStyle w:val="Znakapoznpodarou"/>
                <w:b/>
                <w:bCs/>
                <w:color w:val="000000"/>
                <w:szCs w:val="24"/>
              </w:rPr>
              <w:footnoteReference w:id="4"/>
            </w:r>
          </w:p>
          <w:p w14:paraId="764611E0" w14:textId="77777777" w:rsidR="00D21FDF" w:rsidRDefault="00D21FDF" w:rsidP="00797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52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E73591">
              <w:rPr>
                <w:sz w:val="20"/>
                <w:szCs w:val="20"/>
              </w:rPr>
              <w:t>KII</w:t>
            </w:r>
          </w:p>
          <w:p w14:paraId="7928C04C" w14:textId="77777777" w:rsidR="00D21FDF" w:rsidRDefault="001852F8" w:rsidP="00797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73591">
              <w:rPr>
                <w:sz w:val="20"/>
                <w:szCs w:val="20"/>
              </w:rPr>
              <w:t xml:space="preserve"> VIS</w:t>
            </w:r>
          </w:p>
          <w:p w14:paraId="2B66229D" w14:textId="77777777" w:rsidR="00D21FDF" w:rsidRPr="007B422A" w:rsidRDefault="00D21FDF" w:rsidP="00E73591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AB662" w14:textId="77777777" w:rsidR="00D21FDF" w:rsidRDefault="00D21FDF" w:rsidP="0041754A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750 mil. Kč</w:t>
            </w:r>
            <w:r w:rsidR="00B930C3">
              <w:rPr>
                <w:sz w:val="20"/>
                <w:vertAlign w:val="superscript"/>
              </w:rPr>
              <w:t>2</w:t>
            </w:r>
          </w:p>
          <w:p w14:paraId="7917D54E" w14:textId="07A85A2E" w:rsidR="00D21FDF" w:rsidRPr="00D21FDF" w:rsidRDefault="00D21FDF" w:rsidP="00D364B8">
            <w:pPr>
              <w:spacing w:after="0"/>
              <w:jc w:val="center"/>
              <w:rPr>
                <w:rStyle w:val="A5"/>
                <w:sz w:val="24"/>
                <w:szCs w:val="24"/>
                <w:vertAlign w:val="superscript"/>
              </w:rPr>
            </w:pPr>
            <w:r w:rsidRPr="00D21FDF">
              <w:rPr>
                <w:rStyle w:val="A5"/>
                <w:b w:val="0"/>
                <w:sz w:val="20"/>
                <w:szCs w:val="20"/>
              </w:rPr>
              <w:t>Odhad peněžních</w:t>
            </w:r>
            <w:r w:rsidR="00D364B8">
              <w:rPr>
                <w:rStyle w:val="A5"/>
                <w:b w:val="0"/>
                <w:sz w:val="20"/>
                <w:szCs w:val="20"/>
              </w:rPr>
              <w:br/>
            </w:r>
            <w:r w:rsidRPr="00D21FDF">
              <w:rPr>
                <w:rStyle w:val="A5"/>
                <w:b w:val="0"/>
                <w:sz w:val="20"/>
                <w:szCs w:val="20"/>
              </w:rPr>
              <w:t xml:space="preserve">prostředků vynaložených MV </w:t>
            </w:r>
            <w:r w:rsidR="00D364B8">
              <w:rPr>
                <w:rStyle w:val="A5"/>
                <w:b w:val="0"/>
                <w:sz w:val="20"/>
                <w:szCs w:val="20"/>
              </w:rPr>
              <w:br/>
            </w:r>
            <w:r w:rsidRPr="00D21FDF">
              <w:rPr>
                <w:rStyle w:val="A5"/>
                <w:b w:val="0"/>
                <w:sz w:val="20"/>
                <w:szCs w:val="20"/>
              </w:rPr>
              <w:t>na</w:t>
            </w:r>
            <w:r w:rsidR="00AE6ECF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D21FDF">
              <w:rPr>
                <w:rStyle w:val="A5"/>
                <w:b w:val="0"/>
                <w:sz w:val="20"/>
                <w:szCs w:val="20"/>
              </w:rPr>
              <w:t>zajištění kybernetické bezpečnosti</w:t>
            </w:r>
            <w:r w:rsidR="002B21F8">
              <w:rPr>
                <w:rStyle w:val="A5"/>
                <w:b w:val="0"/>
                <w:sz w:val="20"/>
                <w:szCs w:val="20"/>
              </w:rPr>
              <w:t xml:space="preserve"> </w:t>
            </w:r>
            <w:r>
              <w:rPr>
                <w:rStyle w:val="A5"/>
                <w:b w:val="0"/>
                <w:sz w:val="20"/>
                <w:szCs w:val="20"/>
              </w:rPr>
              <w:t>v</w:t>
            </w:r>
            <w:r w:rsidR="002B21F8">
              <w:rPr>
                <w:rStyle w:val="A5"/>
                <w:b w:val="0"/>
                <w:sz w:val="20"/>
                <w:szCs w:val="20"/>
              </w:rPr>
              <w:t> </w:t>
            </w:r>
            <w:r>
              <w:rPr>
                <w:rStyle w:val="A5"/>
                <w:b w:val="0"/>
                <w:sz w:val="20"/>
                <w:szCs w:val="20"/>
              </w:rPr>
              <w:t>letech 2015 až 2019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15D0" w14:textId="77777777" w:rsidR="00E73591" w:rsidRPr="00E73591" w:rsidRDefault="00E73591" w:rsidP="0041754A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  <w:r w:rsidRPr="00E73591">
              <w:rPr>
                <w:rStyle w:val="A5"/>
                <w:sz w:val="24"/>
                <w:szCs w:val="24"/>
              </w:rPr>
              <w:t>0 Kč</w:t>
            </w:r>
          </w:p>
          <w:p w14:paraId="580FC7FE" w14:textId="698FED0F" w:rsidR="00D21FDF" w:rsidRPr="007B422A" w:rsidRDefault="00E73591" w:rsidP="00D364B8">
            <w:pPr>
              <w:spacing w:after="0"/>
              <w:jc w:val="center"/>
              <w:rPr>
                <w:rStyle w:val="A5"/>
                <w:sz w:val="24"/>
                <w:szCs w:val="24"/>
              </w:rPr>
            </w:pPr>
            <w:r w:rsidRPr="00E73591">
              <w:rPr>
                <w:rStyle w:val="A5"/>
                <w:b w:val="0"/>
                <w:sz w:val="20"/>
                <w:szCs w:val="24"/>
              </w:rPr>
              <w:t xml:space="preserve">MV </w:t>
            </w:r>
            <w:r w:rsidR="00AE6ECF">
              <w:rPr>
                <w:rStyle w:val="A5"/>
                <w:b w:val="0"/>
                <w:sz w:val="20"/>
                <w:szCs w:val="24"/>
              </w:rPr>
              <w:t>nečerpalo</w:t>
            </w:r>
            <w:r w:rsidRPr="00E73591">
              <w:rPr>
                <w:rStyle w:val="A5"/>
                <w:b w:val="0"/>
                <w:sz w:val="20"/>
                <w:szCs w:val="24"/>
              </w:rPr>
              <w:t xml:space="preserve"> v rámci </w:t>
            </w:r>
            <w:r w:rsidR="002B21F8">
              <w:rPr>
                <w:rStyle w:val="A5"/>
                <w:b w:val="0"/>
                <w:sz w:val="20"/>
                <w:szCs w:val="24"/>
              </w:rPr>
              <w:t>V</w:t>
            </w:r>
            <w:r w:rsidRPr="00E73591">
              <w:rPr>
                <w:rStyle w:val="A5"/>
                <w:b w:val="0"/>
                <w:sz w:val="20"/>
                <w:szCs w:val="24"/>
              </w:rPr>
              <w:t>ýzvy č. 10</w:t>
            </w:r>
            <w:r w:rsidR="00D364B8">
              <w:rPr>
                <w:rStyle w:val="A5"/>
                <w:b w:val="0"/>
                <w:sz w:val="20"/>
                <w:szCs w:val="24"/>
              </w:rPr>
              <w:br/>
            </w:r>
            <w:r w:rsidRPr="00E73591">
              <w:rPr>
                <w:rStyle w:val="A5"/>
                <w:b w:val="0"/>
                <w:sz w:val="20"/>
                <w:szCs w:val="24"/>
              </w:rPr>
              <w:t xml:space="preserve">žádné </w:t>
            </w:r>
            <w:r w:rsidR="00AE6ECF">
              <w:rPr>
                <w:rStyle w:val="A5"/>
                <w:b w:val="0"/>
                <w:sz w:val="20"/>
                <w:szCs w:val="24"/>
              </w:rPr>
              <w:t>peněžní prostředky</w:t>
            </w:r>
            <w:r w:rsidR="002B21F8">
              <w:rPr>
                <w:rStyle w:val="A5"/>
                <w:b w:val="0"/>
                <w:sz w:val="20"/>
                <w:szCs w:val="24"/>
              </w:rPr>
              <w:t>.</w:t>
            </w:r>
          </w:p>
        </w:tc>
      </w:tr>
    </w:tbl>
    <w:p w14:paraId="14D16F6F" w14:textId="77777777" w:rsidR="000B36F1" w:rsidRPr="00DD0C5E" w:rsidRDefault="000B36F1" w:rsidP="000B36F1">
      <w:pPr>
        <w:jc w:val="left"/>
        <w:rPr>
          <w:i/>
          <w:sz w:val="20"/>
          <w:szCs w:val="20"/>
          <w:highlight w:val="yellow"/>
        </w:rPr>
      </w:pPr>
      <w:r>
        <w:rPr>
          <w:i/>
          <w:sz w:val="20"/>
          <w:szCs w:val="20"/>
          <w:highlight w:val="yellow"/>
        </w:rPr>
        <w:br w:type="page"/>
      </w:r>
    </w:p>
    <w:p w14:paraId="41ACA787" w14:textId="77777777" w:rsidR="00CE023C" w:rsidRPr="00373B47" w:rsidRDefault="00373B47" w:rsidP="00373B47">
      <w:pPr>
        <w:pStyle w:val="Nadpis1"/>
        <w:numPr>
          <w:ilvl w:val="0"/>
          <w:numId w:val="0"/>
        </w:numPr>
        <w:spacing w:after="120"/>
        <w:rPr>
          <w:rFonts w:ascii="Calibri" w:hAnsi="Calibri" w:cs="Calibri"/>
          <w:sz w:val="28"/>
        </w:rPr>
      </w:pPr>
      <w:r w:rsidRPr="00373B47">
        <w:rPr>
          <w:rFonts w:ascii="Calibri" w:hAnsi="Calibri" w:cs="Calibri"/>
          <w:sz w:val="28"/>
        </w:rPr>
        <w:lastRenderedPageBreak/>
        <w:t xml:space="preserve">i. </w:t>
      </w:r>
      <w:r w:rsidR="006856AF" w:rsidRPr="00373B47">
        <w:rPr>
          <w:rFonts w:ascii="Calibri" w:hAnsi="Calibri" w:cs="Calibri"/>
          <w:sz w:val="28"/>
        </w:rPr>
        <w:t>Shrnutí a vyhodnocení</w:t>
      </w:r>
    </w:p>
    <w:p w14:paraId="17A3B459" w14:textId="6A2631B5" w:rsidR="00AA620A" w:rsidRPr="001C0072" w:rsidRDefault="00AE6ECF" w:rsidP="00AA620A">
      <w:pPr>
        <w:pStyle w:val="Zkladn"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Kontrolovanými osobami byly </w:t>
      </w:r>
      <w:r w:rsidR="00AA620A" w:rsidRPr="001C0072">
        <w:rPr>
          <w:rFonts w:ascii="Calibri" w:hAnsi="Calibri" w:cs="Calibri"/>
        </w:rPr>
        <w:t xml:space="preserve">NÚKIB, který dozoruje kybernetickou a informační bezpečnost státu, a dále MV, </w:t>
      </w:r>
      <w:r w:rsidR="00AA620A" w:rsidRPr="001C0072">
        <w:rPr>
          <w:rFonts w:ascii="Calibri" w:hAnsi="Calibri" w:cs="Calibri"/>
          <w:bCs/>
        </w:rPr>
        <w:t xml:space="preserve">které je mj. ústředním orgánem pro oblast informačních systémů </w:t>
      </w:r>
      <w:r w:rsidR="0061018F" w:rsidRPr="001C0072">
        <w:rPr>
          <w:rFonts w:ascii="Calibri" w:hAnsi="Calibri" w:cs="Calibri"/>
          <w:bCs/>
        </w:rPr>
        <w:t>státní</w:t>
      </w:r>
      <w:r w:rsidR="00AA620A" w:rsidRPr="001C0072">
        <w:rPr>
          <w:rFonts w:ascii="Calibri" w:hAnsi="Calibri" w:cs="Calibri"/>
          <w:bCs/>
        </w:rPr>
        <w:t xml:space="preserve"> správy, elektronickou identifikaci a služby vytvářející důvěru.</w:t>
      </w:r>
      <w:r w:rsidR="00D459EB">
        <w:rPr>
          <w:rFonts w:ascii="Calibri" w:hAnsi="Calibri" w:cs="Calibri"/>
          <w:bCs/>
        </w:rPr>
        <w:t xml:space="preserve"> NÚKIB </w:t>
      </w:r>
      <w:r w:rsidR="00EA412D">
        <w:rPr>
          <w:rFonts w:ascii="Calibri" w:hAnsi="Calibri" w:cs="Calibri"/>
        </w:rPr>
        <w:t>byl zřízen k 1. 8. 2017 a </w:t>
      </w:r>
      <w:r w:rsidR="00D459EB" w:rsidRPr="001C0072">
        <w:rPr>
          <w:rFonts w:ascii="Calibri" w:hAnsi="Calibri" w:cs="Calibri"/>
        </w:rPr>
        <w:t xml:space="preserve">převzal agendu </w:t>
      </w:r>
      <w:r w:rsidR="00204EC6" w:rsidRPr="001C0072">
        <w:rPr>
          <w:rFonts w:ascii="Calibri" w:hAnsi="Calibri" w:cs="Calibri"/>
        </w:rPr>
        <w:t>kybernetické bezpečnosti (dále také „</w:t>
      </w:r>
      <w:r w:rsidR="00D459EB" w:rsidRPr="001C0072">
        <w:rPr>
          <w:rFonts w:ascii="Calibri" w:hAnsi="Calibri" w:cs="Calibri"/>
        </w:rPr>
        <w:t>KB</w:t>
      </w:r>
      <w:r w:rsidR="00204EC6" w:rsidRPr="001C0072">
        <w:rPr>
          <w:rFonts w:ascii="Calibri" w:hAnsi="Calibri" w:cs="Calibri"/>
        </w:rPr>
        <w:t>“)</w:t>
      </w:r>
      <w:r w:rsidR="00D459EB" w:rsidRPr="001C0072">
        <w:rPr>
          <w:rFonts w:ascii="Calibri" w:hAnsi="Calibri" w:cs="Calibri"/>
        </w:rPr>
        <w:t xml:space="preserve"> státu od NBÚ. Celkové výdaje</w:t>
      </w:r>
      <w:r w:rsidR="00D459EB">
        <w:rPr>
          <w:rFonts w:ascii="Calibri" w:hAnsi="Calibri" w:cs="Calibri"/>
        </w:rPr>
        <w:t>, které</w:t>
      </w:r>
      <w:r w:rsidR="00D459EB" w:rsidRPr="001C0072">
        <w:rPr>
          <w:rFonts w:ascii="Calibri" w:hAnsi="Calibri" w:cs="Calibri"/>
        </w:rPr>
        <w:t xml:space="preserve"> NÚKIB</w:t>
      </w:r>
      <w:r w:rsidR="00D459EB">
        <w:rPr>
          <w:rFonts w:ascii="Calibri" w:hAnsi="Calibri" w:cs="Calibri"/>
        </w:rPr>
        <w:t xml:space="preserve"> vynaložil v souvislosti s výkonem svých činností</w:t>
      </w:r>
      <w:r w:rsidR="00D459EB" w:rsidRPr="001C0072">
        <w:rPr>
          <w:rFonts w:ascii="Calibri" w:hAnsi="Calibri" w:cs="Calibri"/>
        </w:rPr>
        <w:t xml:space="preserve"> v letech 2017 až 2019</w:t>
      </w:r>
      <w:r w:rsidR="00D459EB">
        <w:rPr>
          <w:rFonts w:ascii="Calibri" w:hAnsi="Calibri" w:cs="Calibri"/>
        </w:rPr>
        <w:t>,</w:t>
      </w:r>
      <w:r w:rsidR="00D459EB" w:rsidRPr="001C0072">
        <w:rPr>
          <w:rFonts w:ascii="Calibri" w:hAnsi="Calibri" w:cs="Calibri"/>
        </w:rPr>
        <w:t xml:space="preserve"> činily přibližně 884 mil. Kč.</w:t>
      </w:r>
      <w:r w:rsidR="00AA620A" w:rsidRPr="001C0072">
        <w:rPr>
          <w:rFonts w:ascii="Calibri" w:hAnsi="Calibri" w:cs="Calibri"/>
          <w:bCs/>
        </w:rPr>
        <w:t xml:space="preserve"> </w:t>
      </w:r>
      <w:r w:rsidR="00D459EB">
        <w:rPr>
          <w:rFonts w:ascii="Calibri" w:hAnsi="Calibri" w:cs="Calibri"/>
          <w:bCs/>
        </w:rPr>
        <w:t xml:space="preserve">V kontrole byly prověřeny </w:t>
      </w:r>
      <w:r w:rsidR="00924302">
        <w:rPr>
          <w:rFonts w:ascii="Calibri" w:hAnsi="Calibri" w:cs="Calibri"/>
          <w:bCs/>
        </w:rPr>
        <w:t xml:space="preserve">zejm. </w:t>
      </w:r>
      <w:r w:rsidR="00D459EB">
        <w:rPr>
          <w:rFonts w:ascii="Calibri" w:hAnsi="Calibri" w:cs="Calibri"/>
          <w:bCs/>
        </w:rPr>
        <w:t>činnosti</w:t>
      </w:r>
      <w:r w:rsidR="00AA620A" w:rsidRPr="00373B47">
        <w:rPr>
          <w:rFonts w:ascii="Calibri" w:hAnsi="Calibri" w:cs="Calibri"/>
          <w:bCs/>
        </w:rPr>
        <w:t xml:space="preserve"> </w:t>
      </w:r>
      <w:r w:rsidR="00D459EB" w:rsidRPr="00D459EB">
        <w:rPr>
          <w:rFonts w:ascii="Calibri" w:hAnsi="Calibri" w:cs="Calibri"/>
          <w:bCs/>
        </w:rPr>
        <w:t xml:space="preserve">NÚKIB </w:t>
      </w:r>
      <w:r w:rsidR="00D459EB">
        <w:rPr>
          <w:rFonts w:ascii="Calibri" w:hAnsi="Calibri" w:cs="Calibri"/>
          <w:bCs/>
        </w:rPr>
        <w:t xml:space="preserve">a MV v oblastech </w:t>
      </w:r>
      <w:r w:rsidR="00AA620A" w:rsidRPr="001C0072">
        <w:rPr>
          <w:rFonts w:ascii="Calibri" w:hAnsi="Calibri" w:cs="Calibri"/>
        </w:rPr>
        <w:t>na</w:t>
      </w:r>
      <w:r w:rsidR="002D1070">
        <w:rPr>
          <w:rFonts w:ascii="Calibri" w:hAnsi="Calibri" w:cs="Calibri"/>
        </w:rPr>
        <w:t>stavení a následné</w:t>
      </w:r>
      <w:r w:rsidR="000A3AA5">
        <w:rPr>
          <w:rFonts w:ascii="Calibri" w:hAnsi="Calibri" w:cs="Calibri"/>
        </w:rPr>
        <w:t>ho</w:t>
      </w:r>
      <w:r w:rsidR="002D1070">
        <w:rPr>
          <w:rFonts w:ascii="Calibri" w:hAnsi="Calibri" w:cs="Calibri"/>
        </w:rPr>
        <w:t xml:space="preserve"> zajišťování </w:t>
      </w:r>
      <w:r w:rsidR="002D1070" w:rsidRPr="001C0072">
        <w:rPr>
          <w:rFonts w:ascii="Calibri" w:hAnsi="Calibri" w:cs="Calibri"/>
        </w:rPr>
        <w:t>kybernetické bezpečnosti</w:t>
      </w:r>
      <w:r w:rsidR="00B31A0B">
        <w:rPr>
          <w:rFonts w:ascii="Calibri" w:hAnsi="Calibri" w:cs="Calibri"/>
        </w:rPr>
        <w:t xml:space="preserve"> </w:t>
      </w:r>
      <w:r w:rsidR="00851494" w:rsidRPr="001C0072">
        <w:rPr>
          <w:rFonts w:ascii="Calibri" w:hAnsi="Calibri" w:cs="Calibri"/>
        </w:rPr>
        <w:t>Č</w:t>
      </w:r>
      <w:r w:rsidR="002D1070">
        <w:rPr>
          <w:rFonts w:ascii="Calibri" w:hAnsi="Calibri" w:cs="Calibri"/>
        </w:rPr>
        <w:t>eské republiky (dále také „ČR“)</w:t>
      </w:r>
      <w:r w:rsidR="00EA412D">
        <w:rPr>
          <w:rFonts w:ascii="Calibri" w:hAnsi="Calibri" w:cs="Calibri"/>
        </w:rPr>
        <w:t xml:space="preserve"> a plnění cílů a </w:t>
      </w:r>
      <w:r w:rsidR="00AA620A" w:rsidRPr="001C0072">
        <w:rPr>
          <w:rFonts w:ascii="Calibri" w:hAnsi="Calibri" w:cs="Calibri"/>
        </w:rPr>
        <w:t xml:space="preserve">aktivit </w:t>
      </w:r>
      <w:r w:rsidR="00AA620A" w:rsidRPr="001C0072">
        <w:rPr>
          <w:rFonts w:ascii="Calibri" w:hAnsi="Calibri" w:cs="Calibri"/>
          <w:i/>
        </w:rPr>
        <w:t xml:space="preserve">Národní strategie kybernetické bezpečnosti České republiky na období let 2015 až 2020 </w:t>
      </w:r>
      <w:r w:rsidR="00AA620A" w:rsidRPr="001C0072">
        <w:rPr>
          <w:rFonts w:ascii="Calibri" w:hAnsi="Calibri" w:cs="Calibri"/>
        </w:rPr>
        <w:t xml:space="preserve">a </w:t>
      </w:r>
      <w:r w:rsidR="005A14D2">
        <w:rPr>
          <w:rFonts w:ascii="Calibri" w:hAnsi="Calibri" w:cs="Calibri"/>
          <w:i/>
        </w:rPr>
        <w:t>Akčního plánu k </w:t>
      </w:r>
      <w:r w:rsidR="00AA620A" w:rsidRPr="001C0072">
        <w:rPr>
          <w:rFonts w:ascii="Calibri" w:hAnsi="Calibri" w:cs="Calibri"/>
          <w:i/>
        </w:rPr>
        <w:t>Národní strategii kybernetické bezpečnosti České republiky na období let 2015 až 2020</w:t>
      </w:r>
      <w:r w:rsidR="00AA620A" w:rsidRPr="001C0072">
        <w:rPr>
          <w:rFonts w:ascii="Calibri" w:hAnsi="Calibri" w:cs="Calibri"/>
        </w:rPr>
        <w:t xml:space="preserve"> (dále také „AP NSKB“). </w:t>
      </w:r>
      <w:r w:rsidR="00C3159E" w:rsidRPr="001C0072">
        <w:rPr>
          <w:rFonts w:ascii="Calibri" w:hAnsi="Calibri" w:cs="Calibri"/>
        </w:rPr>
        <w:t>Podle výsledků dotazníkových šetření provedených NÚK</w:t>
      </w:r>
      <w:r w:rsidR="00AD6CE6" w:rsidRPr="001C0072">
        <w:rPr>
          <w:rFonts w:ascii="Calibri" w:hAnsi="Calibri" w:cs="Calibri"/>
        </w:rPr>
        <w:t>I</w:t>
      </w:r>
      <w:r w:rsidR="005A14D2">
        <w:rPr>
          <w:rFonts w:ascii="Calibri" w:hAnsi="Calibri" w:cs="Calibri"/>
        </w:rPr>
        <w:t>B v letech 2018 a </w:t>
      </w:r>
      <w:r w:rsidR="00C3159E" w:rsidRPr="001C0072">
        <w:rPr>
          <w:rFonts w:ascii="Calibri" w:hAnsi="Calibri" w:cs="Calibri"/>
        </w:rPr>
        <w:t xml:space="preserve">2019 </w:t>
      </w:r>
      <w:r w:rsidR="00AA620A" w:rsidRPr="001C0072">
        <w:rPr>
          <w:rFonts w:ascii="Calibri" w:hAnsi="Calibri" w:cs="Calibri"/>
        </w:rPr>
        <w:t>vynaložila min</w:t>
      </w:r>
      <w:r w:rsidR="003D4122">
        <w:rPr>
          <w:rFonts w:ascii="Calibri" w:hAnsi="Calibri" w:cs="Calibri"/>
        </w:rPr>
        <w:t>isterstva a </w:t>
      </w:r>
      <w:r w:rsidR="00C3159E" w:rsidRPr="001C0072">
        <w:rPr>
          <w:rFonts w:ascii="Calibri" w:hAnsi="Calibri" w:cs="Calibri"/>
        </w:rPr>
        <w:t xml:space="preserve">Úřad vlády ČR </w:t>
      </w:r>
      <w:r w:rsidR="002D1070" w:rsidRPr="001C0072">
        <w:rPr>
          <w:rFonts w:ascii="Calibri" w:hAnsi="Calibri" w:cs="Calibri"/>
        </w:rPr>
        <w:t xml:space="preserve">na zajištění </w:t>
      </w:r>
      <w:r w:rsidR="002D1070">
        <w:rPr>
          <w:rFonts w:ascii="Calibri" w:hAnsi="Calibri" w:cs="Calibri"/>
        </w:rPr>
        <w:t>KB</w:t>
      </w:r>
      <w:r w:rsidR="002D1070" w:rsidRPr="001C0072">
        <w:rPr>
          <w:rFonts w:ascii="Calibri" w:hAnsi="Calibri" w:cs="Calibri"/>
        </w:rPr>
        <w:t xml:space="preserve"> státu </w:t>
      </w:r>
      <w:r w:rsidR="00C3159E" w:rsidRPr="001C0072">
        <w:rPr>
          <w:rFonts w:ascii="Calibri" w:hAnsi="Calibri" w:cs="Calibri"/>
        </w:rPr>
        <w:t>mezi lety 2015 až 2019</w:t>
      </w:r>
      <w:r w:rsidR="00AD6CE6" w:rsidRPr="001C0072">
        <w:rPr>
          <w:rFonts w:ascii="Calibri" w:hAnsi="Calibri" w:cs="Calibri"/>
        </w:rPr>
        <w:t>,</w:t>
      </w:r>
      <w:r w:rsidR="00C3159E" w:rsidRPr="001C0072">
        <w:rPr>
          <w:rFonts w:ascii="Calibri" w:hAnsi="Calibri" w:cs="Calibri"/>
        </w:rPr>
        <w:t xml:space="preserve"> dle </w:t>
      </w:r>
      <w:r w:rsidR="00AD6CE6" w:rsidRPr="001C0072">
        <w:rPr>
          <w:rFonts w:ascii="Calibri" w:hAnsi="Calibri" w:cs="Calibri"/>
        </w:rPr>
        <w:t>jejich</w:t>
      </w:r>
      <w:r w:rsidR="00AA620A" w:rsidRPr="001C0072">
        <w:rPr>
          <w:rFonts w:ascii="Calibri" w:hAnsi="Calibri" w:cs="Calibri"/>
        </w:rPr>
        <w:t xml:space="preserve"> odhadu</w:t>
      </w:r>
      <w:r w:rsidR="00AD6CE6" w:rsidRPr="001C0072">
        <w:rPr>
          <w:rFonts w:ascii="Calibri" w:hAnsi="Calibri" w:cs="Calibri"/>
        </w:rPr>
        <w:t>,</w:t>
      </w:r>
      <w:r w:rsidR="00AA620A" w:rsidRPr="001C0072">
        <w:rPr>
          <w:rFonts w:ascii="Calibri" w:hAnsi="Calibri" w:cs="Calibri"/>
        </w:rPr>
        <w:t xml:space="preserve"> téměř </w:t>
      </w:r>
      <w:r w:rsidR="006E0658" w:rsidRPr="001C0072">
        <w:rPr>
          <w:rFonts w:ascii="Calibri" w:hAnsi="Calibri" w:cs="Calibri"/>
        </w:rPr>
        <w:t>2,8</w:t>
      </w:r>
      <w:r w:rsidR="00204EC6">
        <w:rPr>
          <w:rFonts w:ascii="Calibri" w:hAnsi="Calibri" w:cs="Calibri"/>
        </w:rPr>
        <w:t> </w:t>
      </w:r>
      <w:r w:rsidR="00AA620A" w:rsidRPr="001C0072">
        <w:rPr>
          <w:rFonts w:ascii="Calibri" w:hAnsi="Calibri" w:cs="Calibri"/>
        </w:rPr>
        <w:t>mld.</w:t>
      </w:r>
      <w:r w:rsidR="00204EC6">
        <w:rPr>
          <w:rFonts w:ascii="Calibri" w:hAnsi="Calibri" w:cs="Calibri"/>
        </w:rPr>
        <w:t> </w:t>
      </w:r>
      <w:r w:rsidR="00AA620A" w:rsidRPr="001C0072">
        <w:rPr>
          <w:rFonts w:ascii="Calibri" w:hAnsi="Calibri" w:cs="Calibri"/>
        </w:rPr>
        <w:t>Kč.</w:t>
      </w:r>
    </w:p>
    <w:p w14:paraId="7E4A66B0" w14:textId="5E2F94A4" w:rsidR="00AA620A" w:rsidRPr="001C0072" w:rsidRDefault="00AA3604" w:rsidP="001A7DD5">
      <w:pPr>
        <w:spacing w:after="120"/>
        <w:rPr>
          <w:rFonts w:ascii="Calibri" w:hAnsi="Calibri" w:cs="Calibri"/>
          <w:b/>
          <w:bCs/>
          <w:szCs w:val="24"/>
        </w:rPr>
      </w:pPr>
      <w:r w:rsidRPr="001C0072">
        <w:rPr>
          <w:rFonts w:ascii="Calibri" w:hAnsi="Calibri" w:cs="Calibri"/>
          <w:b/>
        </w:rPr>
        <w:t xml:space="preserve">NKÚ kontrolou ověřil, že činnosti hlavních subjektů podílejících se na zajištění KB </w:t>
      </w:r>
      <w:r w:rsidR="002D1070">
        <w:rPr>
          <w:rFonts w:ascii="Calibri" w:hAnsi="Calibri" w:cs="Calibri"/>
          <w:b/>
        </w:rPr>
        <w:t xml:space="preserve">ČR </w:t>
      </w:r>
      <w:r w:rsidRPr="001C0072">
        <w:rPr>
          <w:rFonts w:ascii="Calibri" w:hAnsi="Calibri" w:cs="Calibri"/>
          <w:b/>
        </w:rPr>
        <w:t>a míra efektivity jejich vzájemné spolupráce vedou k jejímu zvyšování.</w:t>
      </w:r>
      <w:r w:rsidRPr="001C0072">
        <w:rPr>
          <w:rFonts w:ascii="Calibri" w:hAnsi="Calibri" w:cs="Calibri"/>
        </w:rPr>
        <w:t xml:space="preserve"> </w:t>
      </w:r>
      <w:r w:rsidR="00AA620A" w:rsidRPr="001C0072">
        <w:rPr>
          <w:rFonts w:ascii="Calibri" w:hAnsi="Calibri" w:cs="Calibri"/>
          <w:b/>
          <w:bCs/>
          <w:szCs w:val="24"/>
        </w:rPr>
        <w:t xml:space="preserve">Zvyšování </w:t>
      </w:r>
      <w:r w:rsidR="000C2244" w:rsidRPr="001C0072">
        <w:rPr>
          <w:rFonts w:ascii="Calibri" w:hAnsi="Calibri" w:cs="Calibri"/>
          <w:b/>
          <w:bCs/>
          <w:szCs w:val="24"/>
        </w:rPr>
        <w:t>KB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státu a míru efektivity spolupráce NÚKIB a MV vyhodnocoval </w:t>
      </w:r>
      <w:r w:rsidRPr="001C0072">
        <w:rPr>
          <w:rFonts w:ascii="Calibri" w:hAnsi="Calibri" w:cs="Calibri"/>
          <w:b/>
          <w:bCs/>
          <w:szCs w:val="24"/>
        </w:rPr>
        <w:t xml:space="preserve">NKÚ </w:t>
      </w:r>
      <w:r w:rsidR="00AA620A" w:rsidRPr="001C0072">
        <w:rPr>
          <w:rFonts w:ascii="Calibri" w:hAnsi="Calibri" w:cs="Calibri"/>
          <w:b/>
          <w:bCs/>
          <w:szCs w:val="24"/>
        </w:rPr>
        <w:t xml:space="preserve">na základě plnění </w:t>
      </w:r>
      <w:r w:rsidR="00925F48">
        <w:rPr>
          <w:rFonts w:ascii="Calibri" w:hAnsi="Calibri" w:cs="Calibri"/>
          <w:b/>
          <w:bCs/>
          <w:szCs w:val="24"/>
        </w:rPr>
        <w:t xml:space="preserve">57 </w:t>
      </w:r>
      <w:r w:rsidR="00AA620A" w:rsidRPr="001C0072">
        <w:rPr>
          <w:rFonts w:ascii="Calibri" w:hAnsi="Calibri" w:cs="Calibri"/>
          <w:b/>
          <w:bCs/>
          <w:szCs w:val="24"/>
        </w:rPr>
        <w:t>vybraných úkolů AP NSKB</w:t>
      </w:r>
      <w:r w:rsidR="00925F48">
        <w:rPr>
          <w:rStyle w:val="Znakapoznpodarou"/>
          <w:rFonts w:ascii="Calibri" w:hAnsi="Calibri" w:cs="Calibri"/>
          <w:b/>
          <w:bCs/>
          <w:szCs w:val="24"/>
        </w:rPr>
        <w:footnoteReference w:id="5"/>
      </w:r>
      <w:r w:rsidR="00AA620A" w:rsidRPr="001C0072">
        <w:rPr>
          <w:rFonts w:ascii="Calibri" w:hAnsi="Calibri" w:cs="Calibri"/>
          <w:b/>
          <w:bCs/>
          <w:szCs w:val="24"/>
        </w:rPr>
        <w:t xml:space="preserve">. NÚKIB a MV se dařilo v kontrolovaném období 2015 až 2020 plnit většinu těchto úkolů. Z 57 prověřovaných úkolů zjistil NKÚ </w:t>
      </w:r>
      <w:r w:rsidR="00AD6CE6" w:rsidRPr="001C0072">
        <w:rPr>
          <w:rFonts w:ascii="Calibri" w:hAnsi="Calibri" w:cs="Calibri"/>
          <w:b/>
          <w:bCs/>
          <w:szCs w:val="24"/>
        </w:rPr>
        <w:t>nedostatky u osmi z nich.</w:t>
      </w:r>
    </w:p>
    <w:p w14:paraId="07525C29" w14:textId="03F4B19C" w:rsidR="00AA620A" w:rsidRPr="001C0072" w:rsidRDefault="0098792C" w:rsidP="001A7DD5">
      <w:pPr>
        <w:spacing w:after="120"/>
        <w:rPr>
          <w:rFonts w:ascii="Calibri" w:hAnsi="Calibri" w:cs="Calibri"/>
          <w:b/>
        </w:rPr>
      </w:pPr>
      <w:r w:rsidRPr="001C0072">
        <w:rPr>
          <w:rFonts w:ascii="Calibri" w:hAnsi="Calibri" w:cs="Calibri"/>
          <w:b/>
          <w:bCs/>
          <w:szCs w:val="24"/>
        </w:rPr>
        <w:t>MV je ústředním orgánem státní správy</w:t>
      </w:r>
      <w:r w:rsidR="005C7589">
        <w:rPr>
          <w:rFonts w:ascii="Calibri" w:hAnsi="Calibri" w:cs="Calibri"/>
          <w:b/>
          <w:bCs/>
          <w:szCs w:val="24"/>
        </w:rPr>
        <w:t xml:space="preserve"> mj.</w:t>
      </w:r>
      <w:r w:rsidRPr="001C0072">
        <w:rPr>
          <w:rFonts w:ascii="Calibri" w:hAnsi="Calibri" w:cs="Calibri"/>
          <w:b/>
          <w:bCs/>
          <w:szCs w:val="24"/>
        </w:rPr>
        <w:t xml:space="preserve"> pro oblast informačních systémů</w:t>
      </w:r>
      <w:r w:rsidR="009E6CAE">
        <w:rPr>
          <w:rFonts w:ascii="Calibri" w:hAnsi="Calibri" w:cs="Calibri"/>
          <w:b/>
          <w:bCs/>
          <w:szCs w:val="24"/>
        </w:rPr>
        <w:t xml:space="preserve"> (dále také „IS“)</w:t>
      </w:r>
      <w:r w:rsidRPr="001C0072">
        <w:rPr>
          <w:rFonts w:ascii="Calibri" w:hAnsi="Calibri" w:cs="Calibri"/>
          <w:b/>
          <w:bCs/>
          <w:szCs w:val="24"/>
        </w:rPr>
        <w:t xml:space="preserve"> veřejné správy</w:t>
      </w:r>
      <w:r w:rsidR="005C7589">
        <w:rPr>
          <w:rFonts w:ascii="Calibri" w:hAnsi="Calibri" w:cs="Calibri"/>
          <w:b/>
          <w:bCs/>
          <w:szCs w:val="24"/>
        </w:rPr>
        <w:t>. R</w:t>
      </w:r>
      <w:r>
        <w:rPr>
          <w:rFonts w:ascii="Calibri" w:hAnsi="Calibri" w:cs="Calibri"/>
          <w:b/>
          <w:bCs/>
          <w:szCs w:val="24"/>
        </w:rPr>
        <w:t>esort MV</w:t>
      </w:r>
      <w:r>
        <w:rPr>
          <w:rStyle w:val="Znakapoznpodarou"/>
          <w:rFonts w:ascii="Calibri" w:hAnsi="Calibri" w:cs="Calibri"/>
          <w:b/>
          <w:bCs/>
          <w:szCs w:val="24"/>
        </w:rPr>
        <w:footnoteReference w:id="6"/>
      </w:r>
      <w:r w:rsidR="005C7589">
        <w:rPr>
          <w:rFonts w:ascii="Calibri" w:hAnsi="Calibri" w:cs="Calibri"/>
          <w:b/>
          <w:bCs/>
          <w:szCs w:val="24"/>
        </w:rPr>
        <w:t xml:space="preserve"> je</w:t>
      </w:r>
      <w:r>
        <w:rPr>
          <w:rFonts w:ascii="Calibri" w:hAnsi="Calibri" w:cs="Calibri"/>
          <w:b/>
          <w:bCs/>
          <w:szCs w:val="24"/>
        </w:rPr>
        <w:t xml:space="preserve"> </w:t>
      </w:r>
      <w:r>
        <w:rPr>
          <w:rFonts w:ascii="Calibri" w:hAnsi="Calibri" w:cs="Calibri"/>
          <w:b/>
        </w:rPr>
        <w:t xml:space="preserve">z pohledu počtu </w:t>
      </w:r>
      <w:r w:rsidR="009E6CAE">
        <w:rPr>
          <w:rFonts w:ascii="Calibri" w:hAnsi="Calibri" w:cs="Calibri"/>
          <w:b/>
        </w:rPr>
        <w:t xml:space="preserve">spravovaných </w:t>
      </w:r>
      <w:r w:rsidR="004F1463">
        <w:rPr>
          <w:rFonts w:ascii="Calibri" w:hAnsi="Calibri" w:cs="Calibri"/>
          <w:b/>
        </w:rPr>
        <w:t>systémů kriti</w:t>
      </w:r>
      <w:r w:rsidR="00EA412D">
        <w:rPr>
          <w:rFonts w:ascii="Calibri" w:hAnsi="Calibri" w:cs="Calibri"/>
          <w:b/>
        </w:rPr>
        <w:t>cké informační infrastruktury a </w:t>
      </w:r>
      <w:r w:rsidR="004F1463">
        <w:rPr>
          <w:rFonts w:ascii="Calibri" w:hAnsi="Calibri" w:cs="Calibri"/>
          <w:b/>
        </w:rPr>
        <w:t>významných informačních systémů</w:t>
      </w:r>
      <w:r>
        <w:rPr>
          <w:rFonts w:ascii="Calibri" w:hAnsi="Calibri" w:cs="Calibri"/>
          <w:b/>
        </w:rPr>
        <w:t xml:space="preserve"> nejvýznamnějším resortem</w:t>
      </w:r>
      <w:r w:rsidR="009E6CAE">
        <w:rPr>
          <w:rFonts w:ascii="Calibri" w:hAnsi="Calibri" w:cs="Calibri"/>
          <w:b/>
        </w:rPr>
        <w:t xml:space="preserve"> státní správy</w:t>
      </w:r>
      <w:r w:rsidRPr="0098792C">
        <w:rPr>
          <w:rFonts w:ascii="Calibri" w:hAnsi="Calibri" w:cs="Calibri"/>
          <w:b/>
        </w:rPr>
        <w:t>.</w:t>
      </w:r>
      <w:r w:rsidRPr="001C0072">
        <w:rPr>
          <w:rFonts w:ascii="Calibri" w:hAnsi="Calibri" w:cs="Calibri"/>
          <w:b/>
          <w:bCs/>
          <w:szCs w:val="24"/>
        </w:rPr>
        <w:t xml:space="preserve"> </w:t>
      </w:r>
      <w:r w:rsidR="00D11FCD">
        <w:rPr>
          <w:rFonts w:ascii="Calibri" w:hAnsi="Calibri" w:cs="Calibri"/>
          <w:b/>
          <w:bCs/>
          <w:szCs w:val="24"/>
        </w:rPr>
        <w:t>MV uvedlo, že p</w:t>
      </w:r>
      <w:r w:rsidR="00AA620A" w:rsidRPr="001C0072">
        <w:rPr>
          <w:rFonts w:ascii="Calibri" w:hAnsi="Calibri" w:cs="Calibri"/>
          <w:b/>
          <w:bCs/>
          <w:szCs w:val="24"/>
        </w:rPr>
        <w:t xml:space="preserve">ro naplnění požadavků vyplývajících ze zákona č. 181/2014 </w:t>
      </w:r>
      <w:bookmarkStart w:id="0" w:name="_GoBack"/>
      <w:r w:rsidR="00AA620A" w:rsidRPr="001C0072">
        <w:rPr>
          <w:rFonts w:ascii="Calibri" w:hAnsi="Calibri" w:cs="Calibri"/>
          <w:b/>
          <w:bCs/>
          <w:szCs w:val="24"/>
        </w:rPr>
        <w:t>Sb.</w:t>
      </w:r>
      <w:bookmarkEnd w:id="0"/>
      <w:r w:rsidR="00AA620A" w:rsidRPr="001C0072">
        <w:rPr>
          <w:rFonts w:ascii="Calibri" w:hAnsi="Calibri" w:cs="Calibri"/>
          <w:b/>
          <w:bCs/>
          <w:szCs w:val="24"/>
        </w:rPr>
        <w:t xml:space="preserve">, </w:t>
      </w:r>
      <w:r w:rsidR="0087386C" w:rsidRPr="00F350D6">
        <w:rPr>
          <w:rFonts w:ascii="Calibri" w:hAnsi="Calibri" w:cs="Calibri"/>
          <w:b/>
          <w:bCs/>
          <w:iCs/>
          <w:szCs w:val="24"/>
        </w:rPr>
        <w:t>o </w:t>
      </w:r>
      <w:r w:rsidR="00B44A56" w:rsidRPr="00F350D6">
        <w:rPr>
          <w:rFonts w:ascii="Calibri" w:hAnsi="Calibri" w:cs="Calibri"/>
          <w:b/>
          <w:bCs/>
          <w:iCs/>
          <w:szCs w:val="24"/>
        </w:rPr>
        <w:t>kybernetické bezpečnosti a o změně souvisejících zákonů (zákon o kybernetické bezpečnosti</w:t>
      </w:r>
      <w:r w:rsidR="00204EC6">
        <w:rPr>
          <w:rFonts w:ascii="Calibri" w:hAnsi="Calibri" w:cs="Calibri"/>
          <w:b/>
          <w:bCs/>
          <w:iCs/>
          <w:szCs w:val="24"/>
        </w:rPr>
        <w:t>,</w:t>
      </w:r>
      <w:r w:rsidR="002D1070" w:rsidRPr="00204EC6">
        <w:rPr>
          <w:rFonts w:ascii="Calibri" w:hAnsi="Calibri" w:cs="Calibri"/>
          <w:b/>
          <w:bCs/>
          <w:iCs/>
          <w:szCs w:val="24"/>
        </w:rPr>
        <w:t xml:space="preserve"> </w:t>
      </w:r>
      <w:r w:rsidR="002D1070">
        <w:rPr>
          <w:rFonts w:ascii="Calibri" w:hAnsi="Calibri" w:cs="Calibri"/>
          <w:b/>
          <w:bCs/>
          <w:iCs/>
          <w:szCs w:val="24"/>
        </w:rPr>
        <w:t>dále také „ZKB“)</w:t>
      </w:r>
      <w:r w:rsidR="00AA620A" w:rsidRPr="001C0072">
        <w:rPr>
          <w:rFonts w:ascii="Calibri" w:hAnsi="Calibri" w:cs="Calibri"/>
          <w:b/>
          <w:bCs/>
          <w:i/>
          <w:iCs/>
          <w:szCs w:val="24"/>
        </w:rPr>
        <w:t>,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chybělo</w:t>
      </w:r>
      <w:r>
        <w:rPr>
          <w:rFonts w:ascii="Calibri" w:hAnsi="Calibri" w:cs="Calibri"/>
          <w:b/>
          <w:bCs/>
          <w:szCs w:val="24"/>
        </w:rPr>
        <w:t xml:space="preserve"> resortu MV </w:t>
      </w:r>
      <w:r w:rsidR="00E20686" w:rsidRPr="001C0072">
        <w:rPr>
          <w:rFonts w:ascii="Calibri" w:hAnsi="Calibri" w:cs="Calibri"/>
          <w:b/>
          <w:bCs/>
          <w:szCs w:val="24"/>
        </w:rPr>
        <w:t>k roku 2020</w:t>
      </w:r>
      <w:r w:rsidR="00E20686" w:rsidRPr="001C0072">
        <w:rPr>
          <w:rStyle w:val="Znakapoznpodarou"/>
          <w:rFonts w:ascii="Calibri" w:hAnsi="Calibri" w:cs="Calibri"/>
          <w:b/>
          <w:bCs/>
          <w:szCs w:val="24"/>
        </w:rPr>
        <w:footnoteReference w:id="7"/>
      </w:r>
      <w:r w:rsidR="00E20686">
        <w:rPr>
          <w:rFonts w:ascii="Calibri" w:hAnsi="Calibri" w:cs="Calibri"/>
          <w:b/>
          <w:bCs/>
          <w:szCs w:val="24"/>
        </w:rPr>
        <w:t xml:space="preserve">, </w:t>
      </w:r>
      <w:r>
        <w:rPr>
          <w:rFonts w:ascii="Calibri" w:hAnsi="Calibri" w:cs="Calibri"/>
          <w:b/>
          <w:bCs/>
          <w:szCs w:val="24"/>
        </w:rPr>
        <w:t>podle výsledků dotazníkového šetření provedeného NÚKIB</w:t>
      </w:r>
      <w:r w:rsidR="00E20686">
        <w:rPr>
          <w:rFonts w:ascii="Calibri" w:hAnsi="Calibri" w:cs="Calibri"/>
          <w:b/>
          <w:bCs/>
          <w:szCs w:val="24"/>
        </w:rPr>
        <w:t>,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</w:t>
      </w:r>
      <w:r w:rsidR="00531462">
        <w:rPr>
          <w:rFonts w:ascii="Calibri" w:hAnsi="Calibri" w:cs="Calibri"/>
          <w:b/>
          <w:bCs/>
          <w:szCs w:val="24"/>
        </w:rPr>
        <w:t xml:space="preserve">přibližně </w:t>
      </w:r>
      <w:r>
        <w:rPr>
          <w:rFonts w:ascii="Calibri" w:hAnsi="Calibri" w:cs="Calibri"/>
          <w:b/>
          <w:bCs/>
          <w:szCs w:val="24"/>
        </w:rPr>
        <w:t xml:space="preserve">309 mil. Kč. </w:t>
      </w:r>
      <w:r w:rsidR="00AE6ECF">
        <w:rPr>
          <w:rFonts w:ascii="Calibri" w:hAnsi="Calibri" w:cs="Calibri"/>
          <w:b/>
          <w:bCs/>
          <w:szCs w:val="24"/>
        </w:rPr>
        <w:t>I přes</w:t>
      </w:r>
      <w:r w:rsidR="00D11FCD">
        <w:rPr>
          <w:rFonts w:ascii="Calibri" w:hAnsi="Calibri" w:cs="Calibri"/>
          <w:b/>
          <w:bCs/>
          <w:szCs w:val="24"/>
        </w:rPr>
        <w:t xml:space="preserve"> uváděný</w:t>
      </w:r>
      <w:r w:rsidR="00AE6ECF">
        <w:rPr>
          <w:rFonts w:ascii="Calibri" w:hAnsi="Calibri" w:cs="Calibri"/>
          <w:b/>
          <w:bCs/>
          <w:szCs w:val="24"/>
        </w:rPr>
        <w:t xml:space="preserve"> nedostatek finančních prostředků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</w:t>
      </w:r>
      <w:r w:rsidR="007A57EB">
        <w:rPr>
          <w:rFonts w:ascii="Calibri" w:hAnsi="Calibri" w:cs="Calibri"/>
          <w:b/>
          <w:bCs/>
          <w:szCs w:val="24"/>
        </w:rPr>
        <w:t xml:space="preserve">ze státního rozpočtu </w:t>
      </w:r>
      <w:r w:rsidR="00AA620A" w:rsidRPr="001C0072">
        <w:rPr>
          <w:rFonts w:ascii="Calibri" w:hAnsi="Calibri" w:cs="Calibri"/>
          <w:b/>
          <w:bCs/>
          <w:szCs w:val="24"/>
        </w:rPr>
        <w:t xml:space="preserve">se </w:t>
      </w:r>
      <w:r w:rsidR="00AE6ECF">
        <w:rPr>
          <w:rFonts w:ascii="Calibri" w:hAnsi="Calibri" w:cs="Calibri"/>
          <w:b/>
          <w:bCs/>
          <w:szCs w:val="24"/>
        </w:rPr>
        <w:t>MV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nepodařilo využít </w:t>
      </w:r>
      <w:r w:rsidR="0052325D" w:rsidRPr="001C0072">
        <w:rPr>
          <w:rFonts w:ascii="Calibri" w:hAnsi="Calibri" w:cs="Calibri"/>
          <w:b/>
          <w:bCs/>
          <w:szCs w:val="24"/>
        </w:rPr>
        <w:t>výzvy</w:t>
      </w:r>
      <w:r w:rsidR="00373B47">
        <w:rPr>
          <w:rFonts w:ascii="Calibri" w:hAnsi="Calibri" w:cs="Calibri"/>
          <w:b/>
          <w:bCs/>
          <w:szCs w:val="24"/>
        </w:rPr>
        <w:t xml:space="preserve"> </w:t>
      </w:r>
      <w:r w:rsidR="0052325D" w:rsidRPr="001C0072">
        <w:rPr>
          <w:rFonts w:ascii="Calibri" w:hAnsi="Calibri" w:cs="Calibri"/>
          <w:b/>
          <w:bCs/>
          <w:szCs w:val="24"/>
        </w:rPr>
        <w:t>č.</w:t>
      </w:r>
      <w:r w:rsidR="00373B47">
        <w:rPr>
          <w:rFonts w:ascii="Calibri" w:hAnsi="Calibri" w:cs="Calibri"/>
          <w:b/>
          <w:bCs/>
          <w:szCs w:val="24"/>
        </w:rPr>
        <w:t> 10 </w:t>
      </w:r>
      <w:r w:rsidR="00373B47">
        <w:rPr>
          <w:rFonts w:ascii="Calibri" w:hAnsi="Calibri" w:cs="Calibri"/>
          <w:b/>
        </w:rPr>
        <w:t>– </w:t>
      </w:r>
      <w:r w:rsidR="0052325D" w:rsidRPr="001C0072">
        <w:rPr>
          <w:rFonts w:ascii="Calibri" w:hAnsi="Calibri" w:cs="Calibri"/>
          <w:b/>
          <w:i/>
        </w:rPr>
        <w:t>Kybernetická bezpečnost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</w:t>
      </w:r>
      <w:r w:rsidR="0052325D" w:rsidRPr="001C0072">
        <w:rPr>
          <w:rFonts w:ascii="Calibri" w:hAnsi="Calibri" w:cs="Calibri"/>
          <w:b/>
        </w:rPr>
        <w:t>(dále také „Výzva č. 10“)</w:t>
      </w:r>
      <w:r w:rsidR="0052325D" w:rsidRPr="001C0072">
        <w:rPr>
          <w:rFonts w:ascii="Calibri" w:hAnsi="Calibri" w:cs="Calibri"/>
          <w:b/>
          <w:bCs/>
          <w:szCs w:val="24"/>
        </w:rPr>
        <w:t xml:space="preserve"> </w:t>
      </w:r>
      <w:r w:rsidR="00AA620A" w:rsidRPr="001C0072">
        <w:rPr>
          <w:rFonts w:ascii="Calibri" w:hAnsi="Calibri" w:cs="Calibri"/>
          <w:b/>
          <w:bCs/>
          <w:szCs w:val="24"/>
        </w:rPr>
        <w:t>a nečerpalo jejím prostřednictvím</w:t>
      </w:r>
      <w:r w:rsidR="0050495B">
        <w:rPr>
          <w:rFonts w:ascii="Calibri" w:hAnsi="Calibri" w:cs="Calibri"/>
          <w:b/>
          <w:bCs/>
          <w:szCs w:val="24"/>
        </w:rPr>
        <w:t xml:space="preserve"> prostředky z fondů EU alokovaných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v programovém období 2014+ ve prospěch zvyšování </w:t>
      </w:r>
      <w:r w:rsidR="0052325D" w:rsidRPr="001C0072">
        <w:rPr>
          <w:rFonts w:ascii="Calibri" w:hAnsi="Calibri" w:cs="Calibri"/>
          <w:b/>
          <w:bCs/>
          <w:szCs w:val="24"/>
        </w:rPr>
        <w:t>KB</w:t>
      </w:r>
      <w:r w:rsidR="00AA620A" w:rsidRPr="001C0072">
        <w:rPr>
          <w:rFonts w:ascii="Calibri" w:hAnsi="Calibri" w:cs="Calibri"/>
          <w:b/>
          <w:bCs/>
          <w:szCs w:val="24"/>
        </w:rPr>
        <w:t xml:space="preserve">. Na nastavení </w:t>
      </w:r>
      <w:r w:rsidR="0052325D" w:rsidRPr="001C0072">
        <w:rPr>
          <w:rFonts w:ascii="Calibri" w:hAnsi="Calibri" w:cs="Calibri"/>
          <w:b/>
          <w:bCs/>
          <w:szCs w:val="24"/>
        </w:rPr>
        <w:t>V</w:t>
      </w:r>
      <w:r w:rsidR="00AA620A" w:rsidRPr="001C0072">
        <w:rPr>
          <w:rFonts w:ascii="Calibri" w:hAnsi="Calibri" w:cs="Calibri"/>
          <w:b/>
          <w:bCs/>
          <w:szCs w:val="24"/>
        </w:rPr>
        <w:t>ýzvy č. 10</w:t>
      </w:r>
      <w:r w:rsidR="000A229D" w:rsidRPr="001C0072">
        <w:rPr>
          <w:rFonts w:ascii="Calibri" w:hAnsi="Calibri" w:cs="Calibri"/>
          <w:b/>
        </w:rPr>
        <w:t xml:space="preserve"> </w:t>
      </w:r>
      <w:r w:rsidR="00AA620A" w:rsidRPr="001C0072">
        <w:rPr>
          <w:rFonts w:ascii="Calibri" w:hAnsi="Calibri" w:cs="Calibri"/>
          <w:b/>
          <w:bCs/>
          <w:szCs w:val="24"/>
        </w:rPr>
        <w:t xml:space="preserve">se </w:t>
      </w:r>
      <w:r w:rsidR="00EA412D">
        <w:rPr>
          <w:rFonts w:ascii="Calibri" w:hAnsi="Calibri" w:cs="Calibri"/>
          <w:b/>
          <w:bCs/>
          <w:szCs w:val="24"/>
        </w:rPr>
        <w:t xml:space="preserve">přitom MV </w:t>
      </w:r>
      <w:r w:rsidR="00204EC6" w:rsidRPr="001C0072">
        <w:rPr>
          <w:rFonts w:ascii="Calibri" w:hAnsi="Calibri" w:cs="Calibri"/>
          <w:b/>
          <w:bCs/>
          <w:szCs w:val="24"/>
        </w:rPr>
        <w:t>podílelo</w:t>
      </w:r>
      <w:r w:rsidR="00204EC6">
        <w:rPr>
          <w:rFonts w:ascii="Calibri" w:hAnsi="Calibri" w:cs="Calibri"/>
          <w:b/>
          <w:bCs/>
          <w:szCs w:val="24"/>
        </w:rPr>
        <w:t xml:space="preserve"> </w:t>
      </w:r>
      <w:r w:rsidR="00EA412D">
        <w:rPr>
          <w:rFonts w:ascii="Calibri" w:hAnsi="Calibri" w:cs="Calibri"/>
          <w:b/>
          <w:bCs/>
          <w:szCs w:val="24"/>
        </w:rPr>
        <w:t>ve spolupráci s MMR a </w:t>
      </w:r>
      <w:r w:rsidR="00AA620A" w:rsidRPr="001C0072">
        <w:rPr>
          <w:rFonts w:ascii="Calibri" w:hAnsi="Calibri" w:cs="Calibri"/>
          <w:b/>
          <w:bCs/>
          <w:szCs w:val="24"/>
        </w:rPr>
        <w:t>dalšími subjekty.</w:t>
      </w:r>
      <w:r w:rsidR="00D11FCD" w:rsidRPr="00D11FCD">
        <w:rPr>
          <w:rFonts w:ascii="Calibri" w:hAnsi="Calibri" w:cs="Calibri"/>
          <w:b/>
          <w:bCs/>
          <w:szCs w:val="24"/>
        </w:rPr>
        <w:t xml:space="preserve"> </w:t>
      </w:r>
      <w:r w:rsidR="00D11FCD" w:rsidRPr="0098792C">
        <w:rPr>
          <w:rFonts w:ascii="Calibri" w:hAnsi="Calibri" w:cs="Calibri"/>
          <w:b/>
          <w:bCs/>
          <w:szCs w:val="24"/>
        </w:rPr>
        <w:t xml:space="preserve">Zároveň </w:t>
      </w:r>
      <w:r w:rsidR="00D11FCD">
        <w:rPr>
          <w:rFonts w:ascii="Calibri" w:hAnsi="Calibri" w:cs="Calibri"/>
          <w:b/>
          <w:bCs/>
          <w:szCs w:val="24"/>
        </w:rPr>
        <w:t xml:space="preserve">NKÚ zjistil, že </w:t>
      </w:r>
      <w:r w:rsidR="00D11FCD" w:rsidRPr="0098792C">
        <w:rPr>
          <w:rFonts w:ascii="Calibri" w:hAnsi="Calibri" w:cs="Calibri"/>
          <w:b/>
          <w:bCs/>
          <w:szCs w:val="24"/>
        </w:rPr>
        <w:t xml:space="preserve">MV </w:t>
      </w:r>
      <w:r w:rsidR="00D11FCD" w:rsidRPr="0098792C">
        <w:rPr>
          <w:rFonts w:ascii="Calibri" w:hAnsi="Calibri" w:cs="Calibri"/>
          <w:b/>
        </w:rPr>
        <w:t>nerealizovalo každoročně část opatření, která byla navržena v jednotlivých plánech zvládání rizik</w:t>
      </w:r>
      <w:r w:rsidR="00D11FCD" w:rsidRPr="0098792C">
        <w:rPr>
          <w:rStyle w:val="Znakapoznpodarou"/>
          <w:rFonts w:ascii="Calibri" w:hAnsi="Calibri" w:cs="Calibri"/>
          <w:b/>
        </w:rPr>
        <w:footnoteReference w:id="8"/>
      </w:r>
      <w:r w:rsidR="00D11FCD" w:rsidRPr="0098792C">
        <w:rPr>
          <w:rFonts w:ascii="Calibri" w:hAnsi="Calibri" w:cs="Calibri"/>
          <w:b/>
        </w:rPr>
        <w:t xml:space="preserve">, což představuje zvýšené bezpečnostní riziko </w:t>
      </w:r>
      <w:r w:rsidR="00D11FCD">
        <w:rPr>
          <w:rFonts w:ascii="Calibri" w:hAnsi="Calibri" w:cs="Calibri"/>
          <w:b/>
        </w:rPr>
        <w:t>z pohledu KB</w:t>
      </w:r>
      <w:r w:rsidR="00D11FCD" w:rsidRPr="009E6CAE">
        <w:rPr>
          <w:rFonts w:ascii="Calibri" w:hAnsi="Calibri" w:cs="Calibri"/>
          <w:b/>
        </w:rPr>
        <w:t>.</w:t>
      </w:r>
    </w:p>
    <w:p w14:paraId="7DA64BDC" w14:textId="56913B10" w:rsidR="0052325D" w:rsidRPr="001C0072" w:rsidRDefault="00AA620A" w:rsidP="001A7DD5">
      <w:pPr>
        <w:spacing w:after="120"/>
        <w:rPr>
          <w:rFonts w:ascii="Calibri" w:hAnsi="Calibri" w:cs="Calibri"/>
          <w:b/>
          <w:bCs/>
          <w:szCs w:val="24"/>
        </w:rPr>
      </w:pPr>
      <w:r w:rsidRPr="001C0072">
        <w:rPr>
          <w:rFonts w:ascii="Calibri" w:hAnsi="Calibri" w:cs="Calibri"/>
          <w:b/>
          <w:bCs/>
          <w:szCs w:val="24"/>
        </w:rPr>
        <w:t>Na projekty KB mohli oprávnění žadatelé</w:t>
      </w:r>
      <w:r w:rsidRPr="001C0072">
        <w:rPr>
          <w:rStyle w:val="Znakapoznpodarou"/>
          <w:rFonts w:ascii="Calibri" w:hAnsi="Calibri" w:cs="Calibri"/>
          <w:b/>
          <w:bCs/>
          <w:szCs w:val="24"/>
        </w:rPr>
        <w:footnoteReference w:id="9"/>
      </w:r>
      <w:r w:rsidR="000A229D" w:rsidRPr="001C0072">
        <w:rPr>
          <w:rFonts w:ascii="Calibri" w:hAnsi="Calibri" w:cs="Calibri"/>
          <w:b/>
          <w:bCs/>
          <w:szCs w:val="24"/>
        </w:rPr>
        <w:t xml:space="preserve"> čerpat prostředky z V</w:t>
      </w:r>
      <w:r w:rsidR="005A14D2">
        <w:rPr>
          <w:rFonts w:ascii="Calibri" w:hAnsi="Calibri" w:cs="Calibri"/>
          <w:b/>
          <w:bCs/>
          <w:szCs w:val="24"/>
        </w:rPr>
        <w:t>ýzvy č. 10</w:t>
      </w:r>
      <w:r w:rsidR="007B4962">
        <w:rPr>
          <w:rFonts w:ascii="Calibri" w:hAnsi="Calibri" w:cs="Calibri"/>
          <w:b/>
          <w:bCs/>
          <w:szCs w:val="24"/>
        </w:rPr>
        <w:t>,</w:t>
      </w:r>
      <w:r w:rsidR="005A14D2">
        <w:rPr>
          <w:rFonts w:ascii="Calibri" w:hAnsi="Calibri" w:cs="Calibri"/>
          <w:b/>
          <w:bCs/>
          <w:szCs w:val="24"/>
        </w:rPr>
        <w:t xml:space="preserve"> a to až do výše 1,3 </w:t>
      </w:r>
      <w:r w:rsidR="00373B47">
        <w:rPr>
          <w:rFonts w:ascii="Calibri" w:hAnsi="Calibri" w:cs="Calibri"/>
          <w:b/>
          <w:bCs/>
          <w:szCs w:val="24"/>
        </w:rPr>
        <w:t>mld. </w:t>
      </w:r>
      <w:r w:rsidRPr="001C0072">
        <w:rPr>
          <w:rFonts w:ascii="Calibri" w:hAnsi="Calibri" w:cs="Calibri"/>
          <w:b/>
          <w:bCs/>
          <w:szCs w:val="24"/>
        </w:rPr>
        <w:t>Kč. Výzvu</w:t>
      </w:r>
      <w:r w:rsidR="000A229D" w:rsidRPr="001C0072">
        <w:rPr>
          <w:rFonts w:ascii="Calibri" w:hAnsi="Calibri" w:cs="Calibri"/>
          <w:b/>
          <w:bCs/>
          <w:szCs w:val="24"/>
        </w:rPr>
        <w:t xml:space="preserve"> č. 10</w:t>
      </w:r>
      <w:r w:rsidRPr="001C0072">
        <w:rPr>
          <w:rFonts w:ascii="Calibri" w:hAnsi="Calibri" w:cs="Calibri"/>
          <w:b/>
          <w:bCs/>
          <w:szCs w:val="24"/>
        </w:rPr>
        <w:t xml:space="preserve"> vyhlásilo MMR dne 21. 10. 2015. NÚKIB z Výzvy č. 10 vyčerpal </w:t>
      </w:r>
      <w:r w:rsidRPr="001C0072">
        <w:rPr>
          <w:rFonts w:ascii="Calibri" w:hAnsi="Calibri" w:cs="Calibri"/>
          <w:b/>
          <w:bCs/>
          <w:szCs w:val="24"/>
        </w:rPr>
        <w:lastRenderedPageBreak/>
        <w:t>celk</w:t>
      </w:r>
      <w:r w:rsidR="00155F10">
        <w:rPr>
          <w:rFonts w:ascii="Calibri" w:hAnsi="Calibri" w:cs="Calibri"/>
          <w:b/>
          <w:bCs/>
          <w:szCs w:val="24"/>
        </w:rPr>
        <w:t>em</w:t>
      </w:r>
      <w:r w:rsidR="00373B47">
        <w:rPr>
          <w:rFonts w:ascii="Calibri" w:hAnsi="Calibri" w:cs="Calibri"/>
          <w:b/>
          <w:bCs/>
          <w:szCs w:val="24"/>
        </w:rPr>
        <w:t xml:space="preserve"> </w:t>
      </w:r>
      <w:r w:rsidR="000A229D" w:rsidRPr="001C0072">
        <w:rPr>
          <w:rFonts w:ascii="Calibri" w:hAnsi="Calibri" w:cs="Calibri"/>
          <w:b/>
          <w:bCs/>
          <w:szCs w:val="24"/>
        </w:rPr>
        <w:t>112 mil. Kč na dva projekty.</w:t>
      </w:r>
      <w:r w:rsidRPr="001C0072" w:rsidDel="004F2EF4">
        <w:rPr>
          <w:rStyle w:val="Znakapoznpodarou"/>
          <w:rFonts w:ascii="Calibri" w:hAnsi="Calibri" w:cs="Calibri"/>
          <w:b/>
          <w:bCs/>
          <w:szCs w:val="24"/>
        </w:rPr>
        <w:t xml:space="preserve"> </w:t>
      </w:r>
      <w:r w:rsidRPr="001C0072">
        <w:rPr>
          <w:rFonts w:ascii="Calibri" w:hAnsi="Calibri" w:cs="Calibri"/>
          <w:b/>
          <w:bCs/>
          <w:szCs w:val="24"/>
        </w:rPr>
        <w:t xml:space="preserve">Největší objem finančních prostředků Výzvy č. 10 (přibližně </w:t>
      </w:r>
      <w:r w:rsidR="005155DA">
        <w:rPr>
          <w:rFonts w:ascii="Calibri" w:hAnsi="Calibri" w:cs="Calibri"/>
          <w:b/>
          <w:bCs/>
          <w:szCs w:val="24"/>
        </w:rPr>
        <w:t>903 </w:t>
      </w:r>
      <w:r w:rsidRPr="001C0072">
        <w:rPr>
          <w:rFonts w:ascii="Calibri" w:hAnsi="Calibri" w:cs="Calibri"/>
          <w:b/>
          <w:bCs/>
          <w:szCs w:val="24"/>
        </w:rPr>
        <w:t>mil. Kč) připadl na projekty KB u zdravotnických zařízení</w:t>
      </w:r>
      <w:r w:rsidRPr="00AE6ECF">
        <w:rPr>
          <w:rFonts w:ascii="Calibri" w:hAnsi="Calibri" w:cs="Calibri"/>
          <w:b/>
          <w:bCs/>
          <w:szCs w:val="24"/>
        </w:rPr>
        <w:t xml:space="preserve">, </w:t>
      </w:r>
      <w:r w:rsidR="00AE6ECF">
        <w:rPr>
          <w:rFonts w:ascii="Calibri" w:hAnsi="Calibri" w:cs="Calibri"/>
          <w:b/>
        </w:rPr>
        <w:t xml:space="preserve">z nichž velká část </w:t>
      </w:r>
      <w:r w:rsidR="00AE6ECF" w:rsidRPr="00AE6ECF">
        <w:rPr>
          <w:rFonts w:ascii="Calibri" w:hAnsi="Calibri" w:cs="Calibri"/>
          <w:b/>
        </w:rPr>
        <w:t xml:space="preserve">na základě platných kritérií </w:t>
      </w:r>
      <w:r w:rsidR="00AE6ECF">
        <w:rPr>
          <w:rFonts w:ascii="Calibri" w:hAnsi="Calibri" w:cs="Calibri"/>
          <w:b/>
        </w:rPr>
        <w:t>nespadá</w:t>
      </w:r>
      <w:r w:rsidR="00AE6ECF" w:rsidRPr="00AE6ECF">
        <w:rPr>
          <w:rFonts w:ascii="Calibri" w:hAnsi="Calibri" w:cs="Calibri"/>
          <w:b/>
        </w:rPr>
        <w:t xml:space="preserve"> mezi subjekty spravující KII, VIS nebo ISZS</w:t>
      </w:r>
      <w:r w:rsidRPr="00AE6ECF">
        <w:rPr>
          <w:rFonts w:ascii="Calibri" w:hAnsi="Calibri" w:cs="Calibri"/>
          <w:b/>
          <w:bCs/>
          <w:szCs w:val="24"/>
        </w:rPr>
        <w:t>.</w:t>
      </w:r>
      <w:r w:rsidRPr="001C0072">
        <w:rPr>
          <w:rFonts w:ascii="Calibri" w:hAnsi="Calibri" w:cs="Calibri"/>
          <w:b/>
          <w:bCs/>
          <w:szCs w:val="24"/>
        </w:rPr>
        <w:t xml:space="preserve"> </w:t>
      </w:r>
      <w:r w:rsidR="00D11FCD">
        <w:rPr>
          <w:rFonts w:ascii="Calibri" w:hAnsi="Calibri" w:cs="Calibri"/>
          <w:b/>
        </w:rPr>
        <w:t>Ve</w:t>
      </w:r>
      <w:r w:rsidR="00D11FCD" w:rsidRPr="001C0072">
        <w:rPr>
          <w:rFonts w:ascii="Calibri" w:hAnsi="Calibri" w:cs="Calibri"/>
          <w:b/>
        </w:rPr>
        <w:t xml:space="preserve"> vztahu k pokračující elektronizaci zdravotnictví </w:t>
      </w:r>
      <w:r w:rsidR="00D11FCD">
        <w:rPr>
          <w:rFonts w:ascii="Calibri" w:hAnsi="Calibri" w:cs="Calibri"/>
          <w:b/>
        </w:rPr>
        <w:t>byla</w:t>
      </w:r>
      <w:r w:rsidR="00D11FCD" w:rsidRPr="001C0072">
        <w:rPr>
          <w:rFonts w:ascii="Calibri" w:hAnsi="Calibri" w:cs="Calibri"/>
          <w:b/>
        </w:rPr>
        <w:t xml:space="preserve"> potřeb</w:t>
      </w:r>
      <w:r w:rsidR="00D11FCD">
        <w:rPr>
          <w:rFonts w:ascii="Calibri" w:hAnsi="Calibri" w:cs="Calibri"/>
          <w:b/>
        </w:rPr>
        <w:t>a</w:t>
      </w:r>
      <w:r w:rsidR="00F60AA0">
        <w:rPr>
          <w:rFonts w:ascii="Calibri" w:hAnsi="Calibri" w:cs="Calibri"/>
          <w:b/>
        </w:rPr>
        <w:t xml:space="preserve"> investic do KB informačních a </w:t>
      </w:r>
      <w:r w:rsidR="00D11FCD" w:rsidRPr="001C0072">
        <w:rPr>
          <w:rFonts w:ascii="Calibri" w:hAnsi="Calibri" w:cs="Calibri"/>
          <w:b/>
        </w:rPr>
        <w:t>komunikačních systémů zdravotnických zařízení</w:t>
      </w:r>
      <w:r w:rsidR="00D11FCD">
        <w:rPr>
          <w:rFonts w:ascii="Calibri" w:hAnsi="Calibri" w:cs="Calibri"/>
          <w:b/>
        </w:rPr>
        <w:t xml:space="preserve"> prostřednictvím Výzvy č. 10</w:t>
      </w:r>
      <w:r w:rsidR="00D11FCD" w:rsidRPr="001C0072">
        <w:rPr>
          <w:rFonts w:ascii="Calibri" w:hAnsi="Calibri" w:cs="Calibri"/>
          <w:b/>
        </w:rPr>
        <w:t xml:space="preserve"> </w:t>
      </w:r>
      <w:r w:rsidR="00D11FCD">
        <w:rPr>
          <w:rFonts w:ascii="Calibri" w:hAnsi="Calibri" w:cs="Calibri"/>
          <w:b/>
        </w:rPr>
        <w:t>opodstatněná</w:t>
      </w:r>
      <w:r w:rsidR="00D11FCD" w:rsidRPr="001C0072">
        <w:rPr>
          <w:rFonts w:ascii="Calibri" w:hAnsi="Calibri" w:cs="Calibri"/>
          <w:b/>
        </w:rPr>
        <w:t>.</w:t>
      </w:r>
    </w:p>
    <w:p w14:paraId="6FB93540" w14:textId="77777777" w:rsidR="006772F0" w:rsidRDefault="00AA620A" w:rsidP="001A7DD5">
      <w:pPr>
        <w:spacing w:after="120"/>
        <w:rPr>
          <w:rFonts w:ascii="Calibri" w:hAnsi="Calibri" w:cs="Calibri"/>
          <w:b/>
        </w:rPr>
      </w:pPr>
      <w:r w:rsidRPr="001C0072">
        <w:rPr>
          <w:rFonts w:ascii="Calibri" w:hAnsi="Calibri" w:cs="Calibri"/>
          <w:b/>
        </w:rPr>
        <w:t xml:space="preserve">Kybernetické útoky </w:t>
      </w:r>
      <w:r w:rsidR="00D11FCD" w:rsidRPr="001C0072">
        <w:rPr>
          <w:rFonts w:ascii="Calibri" w:hAnsi="Calibri" w:cs="Calibri"/>
          <w:b/>
        </w:rPr>
        <w:t>z přelomu let 2019 a 2020</w:t>
      </w:r>
      <w:r w:rsidR="00D11FCD">
        <w:rPr>
          <w:rFonts w:ascii="Calibri" w:hAnsi="Calibri" w:cs="Calibri"/>
          <w:b/>
        </w:rPr>
        <w:t xml:space="preserve"> </w:t>
      </w:r>
      <w:r w:rsidRPr="001C0072">
        <w:rPr>
          <w:rFonts w:ascii="Calibri" w:hAnsi="Calibri" w:cs="Calibri"/>
          <w:b/>
        </w:rPr>
        <w:t xml:space="preserve">na zdravotnická zařízení </w:t>
      </w:r>
      <w:r w:rsidR="00D11FCD">
        <w:rPr>
          <w:rFonts w:ascii="Calibri" w:hAnsi="Calibri" w:cs="Calibri"/>
          <w:b/>
        </w:rPr>
        <w:t xml:space="preserve">však </w:t>
      </w:r>
      <w:r w:rsidRPr="001C0072">
        <w:rPr>
          <w:rFonts w:ascii="Calibri" w:hAnsi="Calibri" w:cs="Calibri"/>
          <w:b/>
        </w:rPr>
        <w:t>ukázaly, že ač</w:t>
      </w:r>
      <w:r w:rsidR="00831BC2">
        <w:rPr>
          <w:rFonts w:ascii="Calibri" w:hAnsi="Calibri" w:cs="Calibri"/>
          <w:b/>
        </w:rPr>
        <w:t xml:space="preserve"> se </w:t>
      </w:r>
      <w:r w:rsidRPr="001C0072">
        <w:rPr>
          <w:rFonts w:ascii="Calibri" w:hAnsi="Calibri" w:cs="Calibri"/>
          <w:b/>
        </w:rPr>
        <w:t>nejednalo o povinné subjekty</w:t>
      </w:r>
      <w:r w:rsidR="002D1070">
        <w:rPr>
          <w:rFonts w:ascii="Calibri" w:hAnsi="Calibri" w:cs="Calibri"/>
          <w:b/>
        </w:rPr>
        <w:t xml:space="preserve"> podle ZKB</w:t>
      </w:r>
      <w:r w:rsidRPr="001C0072">
        <w:rPr>
          <w:rFonts w:ascii="Calibri" w:hAnsi="Calibri" w:cs="Calibri"/>
          <w:b/>
        </w:rPr>
        <w:t>, měla by série kybernetických útoků na</w:t>
      </w:r>
      <w:r w:rsidR="005813CF">
        <w:rPr>
          <w:rFonts w:ascii="Calibri" w:hAnsi="Calibri" w:cs="Calibri"/>
          <w:b/>
        </w:rPr>
        <w:t xml:space="preserve"> tato zařízení</w:t>
      </w:r>
      <w:r w:rsidRPr="001C0072">
        <w:rPr>
          <w:rFonts w:ascii="Calibri" w:hAnsi="Calibri" w:cs="Calibri"/>
          <w:b/>
        </w:rPr>
        <w:t xml:space="preserve"> významný dopad na funkčnost zdravotnického systému ČR.</w:t>
      </w:r>
      <w:r w:rsidR="00AA3604" w:rsidRPr="001C0072">
        <w:rPr>
          <w:rFonts w:ascii="Calibri" w:hAnsi="Calibri" w:cs="Calibri"/>
          <w:b/>
        </w:rPr>
        <w:t xml:space="preserve"> </w:t>
      </w:r>
    </w:p>
    <w:p w14:paraId="2F3CBBAE" w14:textId="77777777" w:rsidR="00B006A3" w:rsidRDefault="00AA620A" w:rsidP="001A7DD5">
      <w:pPr>
        <w:spacing w:after="120"/>
        <w:rPr>
          <w:rFonts w:ascii="Calibri" w:hAnsi="Calibri" w:cs="Calibri"/>
          <w:b/>
          <w:bCs/>
          <w:szCs w:val="24"/>
        </w:rPr>
      </w:pPr>
      <w:r w:rsidRPr="001C0072">
        <w:rPr>
          <w:rFonts w:ascii="Calibri" w:hAnsi="Calibri" w:cs="Calibri"/>
          <w:b/>
          <w:bCs/>
          <w:szCs w:val="24"/>
        </w:rPr>
        <w:t>Schopnost NÚKIB a MV napl</w:t>
      </w:r>
      <w:r w:rsidR="000A229D" w:rsidRPr="001C0072">
        <w:rPr>
          <w:rFonts w:ascii="Calibri" w:hAnsi="Calibri" w:cs="Calibri"/>
          <w:b/>
          <w:bCs/>
          <w:szCs w:val="24"/>
        </w:rPr>
        <w:t xml:space="preserve">ňovat klíčové aktivity KB byla </w:t>
      </w:r>
      <w:r w:rsidRPr="001C0072">
        <w:rPr>
          <w:rFonts w:ascii="Calibri" w:hAnsi="Calibri" w:cs="Calibri"/>
          <w:b/>
          <w:bCs/>
          <w:szCs w:val="24"/>
        </w:rPr>
        <w:t xml:space="preserve">závislá na </w:t>
      </w:r>
      <w:r w:rsidR="00AA3604" w:rsidRPr="001C0072">
        <w:rPr>
          <w:rFonts w:ascii="Calibri" w:hAnsi="Calibri" w:cs="Calibri"/>
          <w:b/>
          <w:bCs/>
          <w:szCs w:val="24"/>
        </w:rPr>
        <w:t xml:space="preserve">odborných a </w:t>
      </w:r>
      <w:r w:rsidRPr="001C0072">
        <w:rPr>
          <w:rFonts w:ascii="Calibri" w:hAnsi="Calibri" w:cs="Calibri"/>
          <w:b/>
          <w:bCs/>
          <w:szCs w:val="24"/>
        </w:rPr>
        <w:t>vysoce specializovaných personálních kapacitách, jejichž zajištění a udržení zůstá</w:t>
      </w:r>
      <w:r w:rsidR="00552B3E">
        <w:rPr>
          <w:rFonts w:ascii="Calibri" w:hAnsi="Calibri" w:cs="Calibri"/>
          <w:b/>
          <w:bCs/>
          <w:szCs w:val="24"/>
        </w:rPr>
        <w:t>vá pro státní správu dlouhodobě problematické</w:t>
      </w:r>
      <w:r w:rsidRPr="001C0072">
        <w:rPr>
          <w:rFonts w:ascii="Calibri" w:hAnsi="Calibri" w:cs="Calibri"/>
          <w:b/>
          <w:bCs/>
          <w:szCs w:val="24"/>
        </w:rPr>
        <w:t xml:space="preserve">. </w:t>
      </w:r>
    </w:p>
    <w:p w14:paraId="47F8DD8C" w14:textId="1C93B1F3" w:rsidR="00AA620A" w:rsidRPr="001C0072" w:rsidRDefault="00B006A3" w:rsidP="00AA620A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Spolupráce mezi NÚKIB a MV nebyla do doby ukončení kontroly formálně</w:t>
      </w:r>
      <w:r w:rsidR="00336556">
        <w:rPr>
          <w:rFonts w:ascii="Calibri" w:hAnsi="Calibri" w:cs="Calibri"/>
          <w:b/>
          <w:bCs/>
          <w:szCs w:val="24"/>
        </w:rPr>
        <w:t xml:space="preserve"> nastavena</w:t>
      </w:r>
      <w:r w:rsidR="000A229D" w:rsidRPr="001C0072">
        <w:rPr>
          <w:rFonts w:ascii="Calibri" w:hAnsi="Calibri" w:cs="Calibri"/>
          <w:b/>
          <w:bCs/>
          <w:szCs w:val="24"/>
        </w:rPr>
        <w:t>, k čemuž mělo dojít</w:t>
      </w:r>
      <w:r w:rsidR="005A14D2">
        <w:rPr>
          <w:rFonts w:ascii="Calibri" w:hAnsi="Calibri" w:cs="Calibri"/>
          <w:b/>
          <w:bCs/>
          <w:szCs w:val="24"/>
        </w:rPr>
        <w:t xml:space="preserve"> </w:t>
      </w:r>
      <w:r w:rsidR="00333AD1">
        <w:rPr>
          <w:rFonts w:ascii="Calibri" w:hAnsi="Calibri" w:cs="Calibri"/>
          <w:b/>
          <w:bCs/>
          <w:szCs w:val="24"/>
        </w:rPr>
        <w:t>i prostřednictvím</w:t>
      </w:r>
      <w:r w:rsidR="007A2505">
        <w:rPr>
          <w:rFonts w:ascii="Calibri" w:hAnsi="Calibri" w:cs="Calibri"/>
          <w:b/>
          <w:bCs/>
          <w:szCs w:val="24"/>
        </w:rPr>
        <w:t xml:space="preserve"> </w:t>
      </w:r>
      <w:r w:rsidR="007E417B" w:rsidRPr="001C0072">
        <w:rPr>
          <w:rFonts w:ascii="Calibri" w:hAnsi="Calibri" w:cs="Calibri"/>
          <w:b/>
          <w:bCs/>
          <w:szCs w:val="24"/>
        </w:rPr>
        <w:t>napl</w:t>
      </w:r>
      <w:r w:rsidR="00AA3604" w:rsidRPr="001C0072">
        <w:rPr>
          <w:rFonts w:ascii="Calibri" w:hAnsi="Calibri" w:cs="Calibri"/>
          <w:b/>
          <w:bCs/>
          <w:szCs w:val="24"/>
        </w:rPr>
        <w:t>něn</w:t>
      </w:r>
      <w:r w:rsidR="00333AD1">
        <w:rPr>
          <w:rFonts w:ascii="Calibri" w:hAnsi="Calibri" w:cs="Calibri"/>
          <w:b/>
          <w:bCs/>
          <w:szCs w:val="24"/>
        </w:rPr>
        <w:t>í</w:t>
      </w:r>
      <w:r w:rsidR="00AA3604" w:rsidRPr="001C0072">
        <w:rPr>
          <w:rFonts w:ascii="Calibri" w:hAnsi="Calibri" w:cs="Calibri"/>
          <w:b/>
          <w:bCs/>
          <w:szCs w:val="24"/>
        </w:rPr>
        <w:t xml:space="preserve"> vybraných</w:t>
      </w:r>
      <w:r w:rsidR="00AA620A" w:rsidRPr="001C0072">
        <w:rPr>
          <w:rFonts w:ascii="Calibri" w:hAnsi="Calibri" w:cs="Calibri"/>
          <w:b/>
          <w:bCs/>
          <w:szCs w:val="24"/>
        </w:rPr>
        <w:t xml:space="preserve"> </w:t>
      </w:r>
      <w:r w:rsidR="00C231D9" w:rsidRPr="001C0072">
        <w:rPr>
          <w:rFonts w:ascii="Calibri" w:hAnsi="Calibri" w:cs="Calibri"/>
          <w:b/>
          <w:bCs/>
          <w:szCs w:val="24"/>
        </w:rPr>
        <w:t xml:space="preserve">úkolů </w:t>
      </w:r>
      <w:r w:rsidR="00AA620A" w:rsidRPr="001C0072">
        <w:rPr>
          <w:rFonts w:ascii="Calibri" w:hAnsi="Calibri" w:cs="Calibri"/>
          <w:b/>
          <w:bCs/>
          <w:szCs w:val="24"/>
        </w:rPr>
        <w:t>AP</w:t>
      </w:r>
      <w:r w:rsidR="007E417B" w:rsidRPr="001C0072">
        <w:rPr>
          <w:rFonts w:ascii="Calibri" w:hAnsi="Calibri" w:cs="Calibri"/>
          <w:b/>
          <w:bCs/>
          <w:szCs w:val="24"/>
        </w:rPr>
        <w:t xml:space="preserve"> </w:t>
      </w:r>
      <w:r w:rsidR="00AA620A" w:rsidRPr="001C0072">
        <w:rPr>
          <w:rFonts w:ascii="Calibri" w:hAnsi="Calibri" w:cs="Calibri"/>
          <w:b/>
          <w:bCs/>
          <w:szCs w:val="24"/>
        </w:rPr>
        <w:t xml:space="preserve">NSKB. </w:t>
      </w:r>
      <w:r w:rsidR="007A57EB">
        <w:rPr>
          <w:rFonts w:ascii="Calibri" w:hAnsi="Calibri" w:cs="Calibri"/>
          <w:b/>
          <w:bCs/>
          <w:szCs w:val="24"/>
        </w:rPr>
        <w:t xml:space="preserve">Mimo jiné měl být </w:t>
      </w:r>
      <w:r>
        <w:rPr>
          <w:rFonts w:ascii="Calibri" w:hAnsi="Calibri" w:cs="Calibri"/>
          <w:b/>
          <w:bCs/>
          <w:szCs w:val="24"/>
        </w:rPr>
        <w:t xml:space="preserve">vytvořen podrobný model a schéma fungování spolupráce v oblasti KB. Spolupráce tak funguje zejm. na neformální úrovni a ad hoc v závislosti na aktuálních potřebách, což NKÚ ověřil na příkladu řešení </w:t>
      </w:r>
      <w:r w:rsidRPr="001C0072">
        <w:rPr>
          <w:rFonts w:ascii="Calibri" w:hAnsi="Calibri" w:cs="Calibri"/>
          <w:b/>
          <w:bCs/>
          <w:szCs w:val="24"/>
        </w:rPr>
        <w:t>aktuálních kybernetických útoků</w:t>
      </w:r>
      <w:r>
        <w:rPr>
          <w:rFonts w:ascii="Calibri" w:hAnsi="Calibri" w:cs="Calibri"/>
          <w:b/>
          <w:bCs/>
          <w:szCs w:val="24"/>
        </w:rPr>
        <w:t>.</w:t>
      </w:r>
      <w:r w:rsidRPr="00B006A3">
        <w:rPr>
          <w:rFonts w:ascii="Calibri" w:hAnsi="Calibri" w:cs="Calibri"/>
          <w:b/>
          <w:bCs/>
          <w:szCs w:val="24"/>
        </w:rPr>
        <w:t xml:space="preserve"> </w:t>
      </w:r>
      <w:r w:rsidRPr="001C0072">
        <w:rPr>
          <w:rFonts w:ascii="Calibri" w:hAnsi="Calibri" w:cs="Calibri"/>
          <w:b/>
          <w:bCs/>
          <w:szCs w:val="24"/>
        </w:rPr>
        <w:t>Tento stav</w:t>
      </w:r>
      <w:r>
        <w:rPr>
          <w:rFonts w:ascii="Calibri" w:hAnsi="Calibri" w:cs="Calibri"/>
          <w:b/>
          <w:bCs/>
          <w:szCs w:val="24"/>
        </w:rPr>
        <w:t xml:space="preserve"> však</w:t>
      </w:r>
      <w:r w:rsidRPr="001C0072">
        <w:rPr>
          <w:rFonts w:ascii="Calibri" w:hAnsi="Calibri" w:cs="Calibri"/>
          <w:b/>
          <w:bCs/>
          <w:szCs w:val="24"/>
        </w:rPr>
        <w:t xml:space="preserve"> podle názoru NKÚ představuje</w:t>
      </w:r>
      <w:r>
        <w:rPr>
          <w:rFonts w:ascii="Calibri" w:hAnsi="Calibri" w:cs="Calibri"/>
          <w:b/>
          <w:bCs/>
          <w:szCs w:val="24"/>
        </w:rPr>
        <w:t xml:space="preserve"> z dlouhodobého hlediska </w:t>
      </w:r>
      <w:r w:rsidRPr="001C0072">
        <w:rPr>
          <w:rFonts w:ascii="Calibri" w:hAnsi="Calibri" w:cs="Calibri"/>
          <w:b/>
          <w:bCs/>
          <w:szCs w:val="24"/>
        </w:rPr>
        <w:t>riziko pro udržení kontinuity spolupráce a potřebnou akceschopnost v případě personálních změn u obou nebo i jen jedné z kontrolovaných institucí</w:t>
      </w:r>
      <w:r>
        <w:rPr>
          <w:rFonts w:ascii="Calibri" w:hAnsi="Calibri" w:cs="Calibri"/>
          <w:b/>
          <w:bCs/>
          <w:szCs w:val="24"/>
        </w:rPr>
        <w:t>.</w:t>
      </w:r>
    </w:p>
    <w:p w14:paraId="31582DCF" w14:textId="77777777" w:rsidR="0077002F" w:rsidRPr="001C0072" w:rsidRDefault="0077002F" w:rsidP="00D74B6E">
      <w:pPr>
        <w:jc w:val="left"/>
        <w:rPr>
          <w:rFonts w:ascii="Calibri" w:eastAsia="Times New Roman" w:hAnsi="Calibri" w:cs="Calibri"/>
          <w:b/>
          <w:szCs w:val="24"/>
        </w:rPr>
      </w:pPr>
      <w:r w:rsidRPr="001C0072">
        <w:rPr>
          <w:rFonts w:ascii="Calibri" w:hAnsi="Calibri" w:cs="Calibri"/>
          <w:b/>
        </w:rPr>
        <w:t>Celkové vyhodnocení vyplývá z následujících skutečností:</w:t>
      </w:r>
    </w:p>
    <w:p w14:paraId="1EE231E5" w14:textId="77777777" w:rsidR="008C3DA4" w:rsidRPr="001C0072" w:rsidRDefault="008C3DA4" w:rsidP="000A0EA3">
      <w:pPr>
        <w:pStyle w:val="Zkladn"/>
        <w:keepNext/>
        <w:spacing w:before="0" w:after="120"/>
        <w:rPr>
          <w:rFonts w:ascii="Calibri" w:hAnsi="Calibri" w:cs="Calibri"/>
          <w:b/>
        </w:rPr>
      </w:pPr>
      <w:r w:rsidRPr="001C0072">
        <w:rPr>
          <w:rFonts w:ascii="Calibri" w:hAnsi="Calibri" w:cs="Calibri"/>
          <w:b/>
        </w:rPr>
        <w:t xml:space="preserve">Plnění úkolů AP NSKB </w:t>
      </w:r>
    </w:p>
    <w:p w14:paraId="66A0F3E8" w14:textId="1EA7ED13" w:rsidR="008C3DA4" w:rsidRDefault="008C3DA4" w:rsidP="008C3DA4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NÚKIB a MV se podařilo většinu z 57 NKÚ prověřovaných úkolů AP NSKB úspěšně naplnit. Díl</w:t>
      </w:r>
      <w:r w:rsidR="00EA412D">
        <w:rPr>
          <w:rFonts w:ascii="Calibri" w:hAnsi="Calibri" w:cs="Calibri"/>
        </w:rPr>
        <w:t>čí nedostatky NKÚ vyhodnotil u osmi</w:t>
      </w:r>
      <w:r w:rsidRPr="001C0072">
        <w:rPr>
          <w:rFonts w:ascii="Calibri" w:hAnsi="Calibri" w:cs="Calibri"/>
        </w:rPr>
        <w:t xml:space="preserve"> úkolů. Zejména pak ve vtahu k nastavení spolupráce klíčových aktérů KB.</w:t>
      </w:r>
      <w:r w:rsidR="007E417B" w:rsidRPr="001C0072">
        <w:rPr>
          <w:rFonts w:ascii="Calibri" w:hAnsi="Calibri" w:cs="Calibri"/>
        </w:rPr>
        <w:t xml:space="preserve"> Efektivita spolupráce NÚKIB, MV</w:t>
      </w:r>
      <w:r w:rsidR="00442AC9">
        <w:rPr>
          <w:rFonts w:ascii="Calibri" w:hAnsi="Calibri" w:cs="Calibri"/>
        </w:rPr>
        <w:t xml:space="preserve"> a dalších subjektů může být</w:t>
      </w:r>
      <w:r w:rsidR="007A2505">
        <w:rPr>
          <w:rFonts w:ascii="Calibri" w:hAnsi="Calibri" w:cs="Calibri"/>
        </w:rPr>
        <w:t xml:space="preserve"> </w:t>
      </w:r>
      <w:r w:rsidR="005A14D2">
        <w:rPr>
          <w:rFonts w:ascii="Calibri" w:hAnsi="Calibri" w:cs="Calibri"/>
        </w:rPr>
        <w:t>do</w:t>
      </w:r>
      <w:r w:rsidR="007A2505">
        <w:rPr>
          <w:rFonts w:ascii="Calibri" w:hAnsi="Calibri" w:cs="Calibri"/>
        </w:rPr>
        <w:t xml:space="preserve"> </w:t>
      </w:r>
      <w:r w:rsidR="007E417B" w:rsidRPr="001C0072">
        <w:rPr>
          <w:rFonts w:ascii="Calibri" w:hAnsi="Calibri" w:cs="Calibri"/>
        </w:rPr>
        <w:t>budoucna negativně ovlivněna tím, že doposud nedošlo k</w:t>
      </w:r>
      <w:r w:rsidR="00F10C3E">
        <w:rPr>
          <w:rFonts w:ascii="Calibri" w:hAnsi="Calibri" w:cs="Calibri"/>
        </w:rPr>
        <w:t xml:space="preserve"> jejímu</w:t>
      </w:r>
      <w:r w:rsidR="007E417B" w:rsidRPr="001C0072">
        <w:rPr>
          <w:rFonts w:ascii="Calibri" w:hAnsi="Calibri" w:cs="Calibri"/>
        </w:rPr>
        <w:t xml:space="preserve"> f</w:t>
      </w:r>
      <w:r w:rsidR="00F10C3E">
        <w:rPr>
          <w:rFonts w:ascii="Calibri" w:hAnsi="Calibri" w:cs="Calibri"/>
        </w:rPr>
        <w:t>ormálnímu nastavení a</w:t>
      </w:r>
      <w:r w:rsidR="00367498">
        <w:rPr>
          <w:rFonts w:ascii="Calibri" w:hAnsi="Calibri" w:cs="Calibri"/>
        </w:rPr>
        <w:t> </w:t>
      </w:r>
      <w:r w:rsidR="00F10C3E">
        <w:rPr>
          <w:rFonts w:ascii="Calibri" w:hAnsi="Calibri" w:cs="Calibri"/>
        </w:rPr>
        <w:t>ukotvení</w:t>
      </w:r>
      <w:r w:rsidR="007E417B" w:rsidRPr="001C0072">
        <w:rPr>
          <w:rFonts w:ascii="Calibri" w:hAnsi="Calibri" w:cs="Calibri"/>
        </w:rPr>
        <w:t xml:space="preserve"> mezi těmito orgány. K </w:t>
      </w:r>
      <w:r w:rsidR="00AD6CE6" w:rsidRPr="001C0072">
        <w:rPr>
          <w:rFonts w:ascii="Calibri" w:hAnsi="Calibri" w:cs="Calibri"/>
        </w:rPr>
        <w:t>tomu</w:t>
      </w:r>
      <w:r w:rsidR="007E417B" w:rsidRPr="001C0072">
        <w:rPr>
          <w:rFonts w:ascii="Calibri" w:hAnsi="Calibri" w:cs="Calibri"/>
        </w:rPr>
        <w:t xml:space="preserve"> mělo dojít i v rámci NKÚ prověřovaných vybraných úkolů AP NSKB.</w:t>
      </w:r>
      <w:r w:rsidR="000A229D" w:rsidRPr="001C0072">
        <w:rPr>
          <w:rFonts w:ascii="Calibri" w:hAnsi="Calibri" w:cs="Calibri"/>
        </w:rPr>
        <w:t xml:space="preserve"> Spolupráce </w:t>
      </w:r>
      <w:r w:rsidR="00AD6CE6" w:rsidRPr="001C0072">
        <w:rPr>
          <w:rFonts w:ascii="Calibri" w:hAnsi="Calibri" w:cs="Calibri"/>
        </w:rPr>
        <w:t>však</w:t>
      </w:r>
      <w:r w:rsidR="007E417B" w:rsidRPr="001C0072">
        <w:rPr>
          <w:rFonts w:ascii="Calibri" w:hAnsi="Calibri" w:cs="Calibri"/>
        </w:rPr>
        <w:t xml:space="preserve"> spočívá na osobních vazbách a řešení problémů ad hoc dle potřeb.</w:t>
      </w:r>
    </w:p>
    <w:p w14:paraId="47BA03B1" w14:textId="2AC9C735" w:rsidR="002D1070" w:rsidRPr="001C0072" w:rsidRDefault="002D1070" w:rsidP="008C3DA4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Spolupráce NÚKIB a MV při řešení mimořádných kybernetických událostí </w:t>
      </w:r>
      <w:r w:rsidR="005C7589">
        <w:rPr>
          <w:rFonts w:ascii="Calibri" w:hAnsi="Calibri" w:cs="Calibri"/>
        </w:rPr>
        <w:t xml:space="preserve">i přes výše uvedené </w:t>
      </w:r>
      <w:r w:rsidRPr="001C0072">
        <w:rPr>
          <w:rFonts w:ascii="Calibri" w:hAnsi="Calibri" w:cs="Calibri"/>
        </w:rPr>
        <w:t>fungovala. Obě kontrolované instituce se na přelomu let 2019-20</w:t>
      </w:r>
      <w:r>
        <w:rPr>
          <w:rFonts w:ascii="Calibri" w:hAnsi="Calibri" w:cs="Calibri"/>
        </w:rPr>
        <w:t>20 společně podílely na</w:t>
      </w:r>
      <w:r w:rsidR="000A0EA3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řešení</w:t>
      </w:r>
      <w:r w:rsidR="000A0EA3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kybernetických útoků na zdravotnická zařízení</w:t>
      </w:r>
      <w:r w:rsidRPr="001C0072">
        <w:rPr>
          <w:rStyle w:val="Znakapoznpodarou"/>
          <w:rFonts w:ascii="Calibri" w:hAnsi="Calibri" w:cs="Calibri"/>
        </w:rPr>
        <w:footnoteReference w:id="10"/>
      </w:r>
      <w:r w:rsidRPr="001C0072">
        <w:rPr>
          <w:rFonts w:ascii="Calibri" w:hAnsi="Calibri" w:cs="Calibri"/>
        </w:rPr>
        <w:t>. Personální kapacity NÚKIB i MV jsou však při souběhu několika mimořádných událostí velmi omezené.</w:t>
      </w:r>
    </w:p>
    <w:p w14:paraId="462C732B" w14:textId="77777777" w:rsidR="0077002F" w:rsidRPr="001C0072" w:rsidRDefault="005405C4" w:rsidP="007A2505">
      <w:pPr>
        <w:pStyle w:val="Zkladn"/>
        <w:keepNext/>
        <w:spacing w:before="0" w:after="120"/>
        <w:rPr>
          <w:rFonts w:ascii="Calibri" w:hAnsi="Calibri" w:cs="Calibri"/>
          <w:b/>
        </w:rPr>
      </w:pPr>
      <w:r w:rsidRPr="001C0072">
        <w:rPr>
          <w:rFonts w:ascii="Calibri" w:hAnsi="Calibri" w:cs="Calibri"/>
          <w:b/>
        </w:rPr>
        <w:t>Financování kybernetické bezpečnosti státu</w:t>
      </w:r>
    </w:p>
    <w:p w14:paraId="324B189B" w14:textId="19127ED6" w:rsidR="008D1EFF" w:rsidRPr="001C0072" w:rsidRDefault="00332AF6" w:rsidP="00332AF6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I přes </w:t>
      </w:r>
      <w:r w:rsidR="006C117D" w:rsidRPr="001C0072">
        <w:rPr>
          <w:rFonts w:ascii="Calibri" w:hAnsi="Calibri" w:cs="Calibri"/>
        </w:rPr>
        <w:t xml:space="preserve">avizované </w:t>
      </w:r>
      <w:r w:rsidRPr="001C0072">
        <w:rPr>
          <w:rFonts w:ascii="Calibri" w:hAnsi="Calibri" w:cs="Calibri"/>
        </w:rPr>
        <w:t xml:space="preserve">vynaložení </w:t>
      </w:r>
      <w:r w:rsidR="006E0658" w:rsidRPr="001C0072">
        <w:rPr>
          <w:rFonts w:ascii="Calibri" w:hAnsi="Calibri" w:cs="Calibri"/>
        </w:rPr>
        <w:t xml:space="preserve">2,8 </w:t>
      </w:r>
      <w:r w:rsidRPr="001C0072">
        <w:rPr>
          <w:rFonts w:ascii="Calibri" w:hAnsi="Calibri" w:cs="Calibri"/>
        </w:rPr>
        <w:t>mld. Kč za období let 2015 a</w:t>
      </w:r>
      <w:r w:rsidR="005A14D2">
        <w:rPr>
          <w:rFonts w:ascii="Calibri" w:hAnsi="Calibri" w:cs="Calibri"/>
        </w:rPr>
        <w:t xml:space="preserve">ž 2019 </w:t>
      </w:r>
      <w:r w:rsidR="00D11FCD">
        <w:rPr>
          <w:rFonts w:ascii="Calibri" w:hAnsi="Calibri" w:cs="Calibri"/>
        </w:rPr>
        <w:t xml:space="preserve">chyběly </w:t>
      </w:r>
      <w:r w:rsidR="005A14D2">
        <w:rPr>
          <w:rFonts w:ascii="Calibri" w:hAnsi="Calibri" w:cs="Calibri"/>
        </w:rPr>
        <w:t>ministerstvům a </w:t>
      </w:r>
      <w:r w:rsidRPr="001C0072">
        <w:rPr>
          <w:rFonts w:ascii="Calibri" w:hAnsi="Calibri" w:cs="Calibri"/>
        </w:rPr>
        <w:t>Úřadu vlády ČR</w:t>
      </w:r>
      <w:r w:rsidR="00AD6CE6" w:rsidRPr="001C0072">
        <w:rPr>
          <w:rFonts w:ascii="Calibri" w:hAnsi="Calibri" w:cs="Calibri"/>
        </w:rPr>
        <w:t>,</w:t>
      </w:r>
      <w:r w:rsidRPr="001C0072">
        <w:rPr>
          <w:rFonts w:ascii="Calibri" w:hAnsi="Calibri" w:cs="Calibri"/>
        </w:rPr>
        <w:t xml:space="preserve"> podle </w:t>
      </w:r>
      <w:r w:rsidR="0036570D" w:rsidRPr="001C0072">
        <w:rPr>
          <w:rFonts w:ascii="Calibri" w:hAnsi="Calibri" w:cs="Calibri"/>
        </w:rPr>
        <w:t>jejich odhadu</w:t>
      </w:r>
      <w:r w:rsidR="0036570D" w:rsidRPr="001C0072">
        <w:rPr>
          <w:rStyle w:val="Znakapoznpodarou"/>
          <w:rFonts w:ascii="Calibri" w:hAnsi="Calibri" w:cs="Calibri"/>
        </w:rPr>
        <w:footnoteReference w:id="11"/>
      </w:r>
      <w:r w:rsidR="00AD6CE6" w:rsidRPr="001C0072">
        <w:rPr>
          <w:rFonts w:ascii="Calibri" w:hAnsi="Calibri" w:cs="Calibri"/>
        </w:rPr>
        <w:t>,</w:t>
      </w:r>
      <w:r w:rsidR="00D11FCD">
        <w:rPr>
          <w:rFonts w:ascii="Calibri" w:hAnsi="Calibri" w:cs="Calibri"/>
        </w:rPr>
        <w:t xml:space="preserve"> řádově stovky </w:t>
      </w:r>
      <w:r w:rsidR="007A2505">
        <w:rPr>
          <w:rFonts w:ascii="Calibri" w:hAnsi="Calibri" w:cs="Calibri"/>
        </w:rPr>
        <w:t>milionů korun</w:t>
      </w:r>
      <w:r w:rsidR="00EA412D" w:rsidRPr="001C0072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na plné zajištění KB podle požadavků</w:t>
      </w:r>
      <w:r w:rsidR="00162B23" w:rsidRPr="001C0072">
        <w:rPr>
          <w:rFonts w:ascii="Calibri" w:hAnsi="Calibri" w:cs="Calibri"/>
        </w:rPr>
        <w:t xml:space="preserve"> zákona </w:t>
      </w:r>
      <w:r w:rsidR="005A14D2">
        <w:rPr>
          <w:rFonts w:ascii="Calibri" w:hAnsi="Calibri" w:cs="Calibri"/>
        </w:rPr>
        <w:t>č. </w:t>
      </w:r>
      <w:r w:rsidR="00346D7D" w:rsidRPr="001C0072">
        <w:rPr>
          <w:rFonts w:ascii="Calibri" w:hAnsi="Calibri" w:cs="Calibri"/>
        </w:rPr>
        <w:t>181/2014 Sb.</w:t>
      </w:r>
      <w:r w:rsidR="00346D7D" w:rsidRPr="007A2505">
        <w:rPr>
          <w:rFonts w:ascii="Calibri" w:hAnsi="Calibri" w:cs="Calibri"/>
        </w:rPr>
        <w:t xml:space="preserve">, </w:t>
      </w:r>
      <w:r w:rsidR="00162B23" w:rsidRPr="00970351">
        <w:rPr>
          <w:rFonts w:ascii="Calibri" w:hAnsi="Calibri" w:cs="Calibri"/>
        </w:rPr>
        <w:t xml:space="preserve">o </w:t>
      </w:r>
      <w:r w:rsidR="00B44A56" w:rsidRPr="00970351">
        <w:rPr>
          <w:rFonts w:ascii="Calibri" w:eastAsiaTheme="minorHAnsi" w:hAnsi="Calibri" w:cs="Calibri"/>
          <w:szCs w:val="22"/>
        </w:rPr>
        <w:t xml:space="preserve">kybernetické bezpečnosti a o změně souvisejících </w:t>
      </w:r>
      <w:r w:rsidR="00B44A56" w:rsidRPr="00970351">
        <w:rPr>
          <w:rFonts w:ascii="Calibri" w:eastAsiaTheme="minorHAnsi" w:hAnsi="Calibri" w:cs="Calibri"/>
          <w:szCs w:val="22"/>
        </w:rPr>
        <w:lastRenderedPageBreak/>
        <w:t>zákonů</w:t>
      </w:r>
      <w:r w:rsidR="00B44A56" w:rsidRPr="007A2505">
        <w:rPr>
          <w:rFonts w:ascii="Calibri" w:eastAsiaTheme="minorHAnsi" w:hAnsi="Calibri" w:cs="Calibri"/>
          <w:szCs w:val="22"/>
        </w:rPr>
        <w:t xml:space="preserve"> </w:t>
      </w:r>
      <w:r w:rsidR="005A14D2" w:rsidRPr="00970351">
        <w:rPr>
          <w:rFonts w:ascii="Calibri" w:eastAsiaTheme="minorHAnsi" w:hAnsi="Calibri" w:cs="Calibri"/>
          <w:szCs w:val="22"/>
        </w:rPr>
        <w:t>(zákon o </w:t>
      </w:r>
      <w:r w:rsidR="00B44A56" w:rsidRPr="00970351">
        <w:rPr>
          <w:rFonts w:ascii="Calibri" w:eastAsiaTheme="minorHAnsi" w:hAnsi="Calibri" w:cs="Calibri"/>
          <w:szCs w:val="22"/>
        </w:rPr>
        <w:t>kybernetické bezpečnosti)</w:t>
      </w:r>
      <w:r w:rsidRPr="001C0072">
        <w:rPr>
          <w:rFonts w:ascii="Calibri" w:hAnsi="Calibri" w:cs="Calibri"/>
        </w:rPr>
        <w:t xml:space="preserve">. </w:t>
      </w:r>
      <w:r w:rsidR="00757E86">
        <w:rPr>
          <w:rFonts w:ascii="Calibri" w:hAnsi="Calibri" w:cs="Calibri"/>
        </w:rPr>
        <w:t>O</w:t>
      </w:r>
      <w:r w:rsidR="00D11FCD">
        <w:rPr>
          <w:rFonts w:ascii="Calibri" w:hAnsi="Calibri" w:cs="Calibri"/>
        </w:rPr>
        <w:t>dhad vyčíslený MV</w:t>
      </w:r>
      <w:r w:rsidR="006C117D" w:rsidRPr="001C0072">
        <w:rPr>
          <w:rFonts w:ascii="Calibri" w:hAnsi="Calibri" w:cs="Calibri"/>
        </w:rPr>
        <w:t xml:space="preserve"> </w:t>
      </w:r>
      <w:r w:rsidR="00757E86">
        <w:rPr>
          <w:rFonts w:ascii="Calibri" w:hAnsi="Calibri" w:cs="Calibri"/>
        </w:rPr>
        <w:t>představoval 309 </w:t>
      </w:r>
      <w:r w:rsidR="002D1070">
        <w:rPr>
          <w:rFonts w:ascii="Calibri" w:hAnsi="Calibri" w:cs="Calibri"/>
        </w:rPr>
        <w:t>mil. </w:t>
      </w:r>
      <w:r w:rsidRPr="001C0072">
        <w:rPr>
          <w:rFonts w:ascii="Calibri" w:hAnsi="Calibri" w:cs="Calibri"/>
        </w:rPr>
        <w:t>Kč</w:t>
      </w:r>
      <w:r w:rsidR="00D11FCD">
        <w:rPr>
          <w:rFonts w:ascii="Calibri" w:hAnsi="Calibri" w:cs="Calibri"/>
        </w:rPr>
        <w:t>.</w:t>
      </w:r>
      <w:r w:rsidR="00977D6E">
        <w:rPr>
          <w:rFonts w:ascii="Calibri" w:hAnsi="Calibri" w:cs="Calibri"/>
        </w:rPr>
        <w:t xml:space="preserve"> Resort</w:t>
      </w:r>
      <w:r w:rsidR="00AF3139" w:rsidRPr="001C0072">
        <w:rPr>
          <w:rFonts w:ascii="Calibri" w:hAnsi="Calibri" w:cs="Calibri"/>
        </w:rPr>
        <w:t xml:space="preserve"> MV je</w:t>
      </w:r>
      <w:r w:rsidR="006C117D" w:rsidRPr="001C0072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 xml:space="preserve">z pohledu </w:t>
      </w:r>
      <w:r w:rsidR="009E6CAE">
        <w:rPr>
          <w:rFonts w:ascii="Calibri" w:hAnsi="Calibri" w:cs="Calibri"/>
        </w:rPr>
        <w:t>počtu spravovaných</w:t>
      </w:r>
      <w:r w:rsidRPr="001C0072">
        <w:rPr>
          <w:rFonts w:ascii="Calibri" w:hAnsi="Calibri" w:cs="Calibri"/>
        </w:rPr>
        <w:t xml:space="preserve"> </w:t>
      </w:r>
      <w:r w:rsidR="00BD7115">
        <w:rPr>
          <w:rFonts w:ascii="Calibri" w:hAnsi="Calibri" w:cs="Calibri"/>
        </w:rPr>
        <w:t>systémů kritické informační infrastruktury</w:t>
      </w:r>
      <w:r w:rsidR="00BD7115" w:rsidRPr="001C0072">
        <w:rPr>
          <w:rFonts w:ascii="Calibri" w:hAnsi="Calibri" w:cs="Calibri"/>
        </w:rPr>
        <w:t xml:space="preserve"> (dále</w:t>
      </w:r>
      <w:r w:rsidR="00931A5C">
        <w:rPr>
          <w:rFonts w:ascii="Calibri" w:hAnsi="Calibri" w:cs="Calibri"/>
        </w:rPr>
        <w:t xml:space="preserve"> </w:t>
      </w:r>
      <w:r w:rsidR="00BD7115" w:rsidRPr="001C0072">
        <w:rPr>
          <w:rFonts w:ascii="Calibri" w:hAnsi="Calibri" w:cs="Calibri"/>
        </w:rPr>
        <w:t>také</w:t>
      </w:r>
      <w:r w:rsidR="00931A5C">
        <w:rPr>
          <w:rFonts w:ascii="Calibri" w:hAnsi="Calibri" w:cs="Calibri"/>
        </w:rPr>
        <w:t xml:space="preserve"> </w:t>
      </w:r>
      <w:r w:rsidR="00BD7115" w:rsidRPr="001C0072">
        <w:rPr>
          <w:rFonts w:ascii="Calibri" w:hAnsi="Calibri" w:cs="Calibri"/>
        </w:rPr>
        <w:t>„KII“)</w:t>
      </w:r>
      <w:r w:rsidR="00BD7115">
        <w:rPr>
          <w:rStyle w:val="Znakapoznpodarou"/>
          <w:rFonts w:ascii="Calibri" w:hAnsi="Calibri" w:cs="Calibri"/>
        </w:rPr>
        <w:footnoteReference w:id="12"/>
      </w:r>
      <w:r w:rsidR="00BD7115" w:rsidRPr="001C0072">
        <w:rPr>
          <w:rFonts w:ascii="Calibri" w:hAnsi="Calibri" w:cs="Calibri"/>
        </w:rPr>
        <w:t xml:space="preserve"> a významných IS (dále také „VIS“) </w:t>
      </w:r>
      <w:r w:rsidRPr="001C0072">
        <w:rPr>
          <w:rFonts w:ascii="Calibri" w:hAnsi="Calibri" w:cs="Calibri"/>
        </w:rPr>
        <w:t>státu nejvýznamnější</w:t>
      </w:r>
      <w:r w:rsidR="00977D6E">
        <w:rPr>
          <w:rFonts w:ascii="Calibri" w:hAnsi="Calibri" w:cs="Calibri"/>
        </w:rPr>
        <w:t>m resortem</w:t>
      </w:r>
      <w:r w:rsidRPr="001C0072">
        <w:rPr>
          <w:rFonts w:ascii="Calibri" w:hAnsi="Calibri" w:cs="Calibri"/>
        </w:rPr>
        <w:t>.</w:t>
      </w:r>
      <w:r w:rsidR="00977D6E">
        <w:rPr>
          <w:rFonts w:ascii="Calibri" w:hAnsi="Calibri" w:cs="Calibri"/>
        </w:rPr>
        <w:t xml:space="preserve"> Celkově resort MV spravoval k roku 2020 19 KII a 11 VIS.</w:t>
      </w:r>
      <w:r w:rsidRPr="001C0072">
        <w:rPr>
          <w:rFonts w:ascii="Calibri" w:hAnsi="Calibri" w:cs="Calibri"/>
        </w:rPr>
        <w:t xml:space="preserve"> Vývoj počtu kybernetických útoků </w:t>
      </w:r>
      <w:proofErr w:type="gramStart"/>
      <w:r w:rsidRPr="001C0072">
        <w:rPr>
          <w:rFonts w:ascii="Calibri" w:hAnsi="Calibri" w:cs="Calibri"/>
        </w:rPr>
        <w:t>na</w:t>
      </w:r>
      <w:proofErr w:type="gramEnd"/>
      <w:r w:rsidRPr="001C0072">
        <w:rPr>
          <w:rFonts w:ascii="Calibri" w:hAnsi="Calibri" w:cs="Calibri"/>
        </w:rPr>
        <w:t xml:space="preserve"> </w:t>
      </w:r>
      <w:r w:rsidR="00162B23" w:rsidRPr="001C0072">
        <w:rPr>
          <w:rFonts w:ascii="Calibri" w:hAnsi="Calibri" w:cs="Calibri"/>
        </w:rPr>
        <w:t>IS</w:t>
      </w:r>
      <w:r w:rsidRPr="001C0072">
        <w:rPr>
          <w:rFonts w:ascii="Calibri" w:hAnsi="Calibri" w:cs="Calibri"/>
        </w:rPr>
        <w:t xml:space="preserve"> </w:t>
      </w:r>
      <w:r w:rsidR="00264C50">
        <w:rPr>
          <w:rFonts w:ascii="Calibri" w:hAnsi="Calibri" w:cs="Calibri"/>
        </w:rPr>
        <w:t>vykazuje</w:t>
      </w:r>
      <w:r w:rsidR="00382612" w:rsidRPr="001C0072">
        <w:rPr>
          <w:rFonts w:ascii="Calibri" w:hAnsi="Calibri" w:cs="Calibri"/>
        </w:rPr>
        <w:t xml:space="preserve"> rostoucí trend. U MV v</w:t>
      </w:r>
      <w:r w:rsidR="00162B23" w:rsidRPr="001C0072">
        <w:rPr>
          <w:rFonts w:ascii="Calibri" w:hAnsi="Calibri" w:cs="Calibri"/>
        </w:rPr>
        <w:t xml:space="preserve"> posledních </w:t>
      </w:r>
      <w:r w:rsidR="00382612" w:rsidRPr="001C0072">
        <w:rPr>
          <w:rFonts w:ascii="Calibri" w:hAnsi="Calibri" w:cs="Calibri"/>
        </w:rPr>
        <w:t>letech</w:t>
      </w:r>
      <w:r w:rsidRPr="001C0072">
        <w:rPr>
          <w:rFonts w:ascii="Calibri" w:hAnsi="Calibri" w:cs="Calibri"/>
        </w:rPr>
        <w:t xml:space="preserve"> došlo k jejich nárůstu </w:t>
      </w:r>
      <w:r w:rsidR="00162B23" w:rsidRPr="001C0072">
        <w:rPr>
          <w:rFonts w:ascii="Calibri" w:hAnsi="Calibri" w:cs="Calibri"/>
        </w:rPr>
        <w:t xml:space="preserve">nejméně </w:t>
      </w:r>
      <w:r w:rsidRPr="001C0072">
        <w:rPr>
          <w:rFonts w:ascii="Calibri" w:hAnsi="Calibri" w:cs="Calibri"/>
        </w:rPr>
        <w:t>o</w:t>
      </w:r>
      <w:r w:rsidR="00346D7D" w:rsidRPr="001C0072">
        <w:rPr>
          <w:rFonts w:ascii="Calibri" w:hAnsi="Calibri" w:cs="Calibri"/>
        </w:rPr>
        <w:t> </w:t>
      </w:r>
      <w:r w:rsidRPr="001C0072">
        <w:rPr>
          <w:rFonts w:ascii="Calibri" w:hAnsi="Calibri" w:cs="Calibri"/>
        </w:rPr>
        <w:t>220 %.</w:t>
      </w:r>
      <w:r w:rsidR="008D1EFF" w:rsidRPr="001C0072">
        <w:rPr>
          <w:rFonts w:ascii="Calibri" w:hAnsi="Calibri" w:cs="Calibri"/>
        </w:rPr>
        <w:t xml:space="preserve"> </w:t>
      </w:r>
    </w:p>
    <w:p w14:paraId="05FBBFF0" w14:textId="77777777" w:rsidR="004D74A9" w:rsidRPr="001C0072" w:rsidRDefault="004D74A9" w:rsidP="00332AF6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Ve vztahu k financování KB shledal NKÚ nedostatky </w:t>
      </w:r>
      <w:r w:rsidR="007E417B" w:rsidRPr="001C0072">
        <w:rPr>
          <w:rFonts w:ascii="Calibri" w:hAnsi="Calibri" w:cs="Calibri"/>
        </w:rPr>
        <w:t xml:space="preserve">v systému </w:t>
      </w:r>
      <w:r w:rsidRPr="001C0072">
        <w:rPr>
          <w:rFonts w:ascii="Calibri" w:hAnsi="Calibri" w:cs="Calibri"/>
        </w:rPr>
        <w:t xml:space="preserve">sledování </w:t>
      </w:r>
      <w:r w:rsidR="007E417B" w:rsidRPr="001C0072">
        <w:rPr>
          <w:rFonts w:ascii="Calibri" w:hAnsi="Calibri" w:cs="Calibri"/>
        </w:rPr>
        <w:t xml:space="preserve">vynakládaných </w:t>
      </w:r>
      <w:r w:rsidRPr="001C0072">
        <w:rPr>
          <w:rFonts w:ascii="Calibri" w:hAnsi="Calibri" w:cs="Calibri"/>
        </w:rPr>
        <w:t xml:space="preserve">peněžních prostředků. </w:t>
      </w:r>
      <w:r w:rsidR="001852F8">
        <w:rPr>
          <w:rFonts w:ascii="Calibri" w:hAnsi="Calibri" w:cs="Calibri"/>
        </w:rPr>
        <w:t xml:space="preserve">NÚKIB </w:t>
      </w:r>
      <w:r w:rsidR="001852F8" w:rsidRPr="001C0072">
        <w:rPr>
          <w:rFonts w:ascii="Calibri" w:hAnsi="Calibri" w:cs="Calibri"/>
        </w:rPr>
        <w:t>neměl v průběhu kontrolovaného období informace o celkové výši vynakládaných peněžních prostředků jednotlivých kapitol státního rozpočtu či celého státu</w:t>
      </w:r>
      <w:r w:rsidR="001852F8" w:rsidRPr="001C0072">
        <w:rPr>
          <w:rFonts w:ascii="Calibri" w:eastAsiaTheme="minorHAnsi" w:hAnsi="Calibri" w:cs="Calibri"/>
          <w:szCs w:val="22"/>
        </w:rPr>
        <w:t xml:space="preserve"> </w:t>
      </w:r>
      <w:r w:rsidR="001852F8" w:rsidRPr="001C0072">
        <w:rPr>
          <w:rFonts w:ascii="Calibri" w:hAnsi="Calibri" w:cs="Calibri"/>
        </w:rPr>
        <w:t>na KB</w:t>
      </w:r>
      <w:r w:rsidR="001852F8">
        <w:rPr>
          <w:rFonts w:ascii="Calibri" w:hAnsi="Calibri" w:cs="Calibri"/>
        </w:rPr>
        <w:t xml:space="preserve">, přičemž pro zjištění jejich výše realizoval v letech 2018 a 2019 </w:t>
      </w:r>
      <w:r w:rsidR="001852F8" w:rsidRPr="001C0072">
        <w:rPr>
          <w:rFonts w:ascii="Calibri" w:hAnsi="Calibri" w:cs="Calibri"/>
        </w:rPr>
        <w:t>celkem čtyři dotazníková šetření u</w:t>
      </w:r>
      <w:r w:rsidR="001852F8">
        <w:rPr>
          <w:rFonts w:ascii="Calibri" w:hAnsi="Calibri" w:cs="Calibri"/>
        </w:rPr>
        <w:t> </w:t>
      </w:r>
      <w:r w:rsidR="001852F8" w:rsidRPr="001C0072">
        <w:rPr>
          <w:rFonts w:ascii="Calibri" w:hAnsi="Calibri" w:cs="Calibri"/>
        </w:rPr>
        <w:t>ministerstev a Úřadu vlády ČR.</w:t>
      </w:r>
      <w:r w:rsidR="001852F8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V případě MV nebyly peněžní prostředky</w:t>
      </w:r>
      <w:r w:rsidR="001852F8">
        <w:rPr>
          <w:rFonts w:ascii="Calibri" w:hAnsi="Calibri" w:cs="Calibri"/>
        </w:rPr>
        <w:t xml:space="preserve"> vynakládané na KB</w:t>
      </w:r>
      <w:r w:rsidRPr="001C0072">
        <w:rPr>
          <w:rFonts w:ascii="Calibri" w:hAnsi="Calibri" w:cs="Calibri"/>
        </w:rPr>
        <w:t xml:space="preserve"> </w:t>
      </w:r>
      <w:r w:rsidR="00C33BE2" w:rsidRPr="001C0072">
        <w:rPr>
          <w:rFonts w:ascii="Calibri" w:hAnsi="Calibri" w:cs="Calibri"/>
        </w:rPr>
        <w:t xml:space="preserve">systematicky a pravidelně </w:t>
      </w:r>
      <w:r w:rsidRPr="001C0072">
        <w:rPr>
          <w:rFonts w:ascii="Calibri" w:hAnsi="Calibri" w:cs="Calibri"/>
        </w:rPr>
        <w:t>sledovány</w:t>
      </w:r>
      <w:r w:rsidR="007C1F71" w:rsidRPr="001C0072">
        <w:rPr>
          <w:rFonts w:ascii="Calibri" w:hAnsi="Calibri" w:cs="Calibri"/>
        </w:rPr>
        <w:t xml:space="preserve">, což představuje omezení pro </w:t>
      </w:r>
      <w:r w:rsidR="00AD6CE6" w:rsidRPr="001C0072">
        <w:rPr>
          <w:rFonts w:ascii="Calibri" w:hAnsi="Calibri" w:cs="Calibri"/>
        </w:rPr>
        <w:t xml:space="preserve">plnění </w:t>
      </w:r>
      <w:r w:rsidR="007C1F71" w:rsidRPr="001C0072">
        <w:rPr>
          <w:rFonts w:ascii="Calibri" w:hAnsi="Calibri" w:cs="Calibri"/>
        </w:rPr>
        <w:t>stanoven</w:t>
      </w:r>
      <w:r w:rsidR="00AD6CE6" w:rsidRPr="001C0072">
        <w:rPr>
          <w:rFonts w:ascii="Calibri" w:hAnsi="Calibri" w:cs="Calibri"/>
        </w:rPr>
        <w:t>é</w:t>
      </w:r>
      <w:r w:rsidR="007C1F71" w:rsidRPr="001C0072">
        <w:rPr>
          <w:rFonts w:ascii="Calibri" w:hAnsi="Calibri" w:cs="Calibri"/>
        </w:rPr>
        <w:t xml:space="preserve"> povinnost</w:t>
      </w:r>
      <w:r w:rsidR="00AD6CE6" w:rsidRPr="001C0072">
        <w:rPr>
          <w:rFonts w:ascii="Calibri" w:hAnsi="Calibri" w:cs="Calibri"/>
        </w:rPr>
        <w:t>i</w:t>
      </w:r>
      <w:r w:rsidR="007C1F71" w:rsidRPr="001C0072">
        <w:rPr>
          <w:rFonts w:ascii="Calibri" w:hAnsi="Calibri" w:cs="Calibri"/>
        </w:rPr>
        <w:t>, aby správc</w:t>
      </w:r>
      <w:r w:rsidR="001852F8">
        <w:rPr>
          <w:rFonts w:ascii="Calibri" w:hAnsi="Calibri" w:cs="Calibri"/>
        </w:rPr>
        <w:t>e</w:t>
      </w:r>
      <w:r w:rsidR="007C1F71" w:rsidRPr="001C0072">
        <w:rPr>
          <w:rFonts w:ascii="Calibri" w:hAnsi="Calibri" w:cs="Calibri"/>
        </w:rPr>
        <w:t xml:space="preserve"> kapitol</w:t>
      </w:r>
      <w:r w:rsidR="001852F8">
        <w:rPr>
          <w:rFonts w:ascii="Calibri" w:hAnsi="Calibri" w:cs="Calibri"/>
        </w:rPr>
        <w:t>y</w:t>
      </w:r>
      <w:r w:rsidR="007C1F71" w:rsidRPr="001C0072">
        <w:rPr>
          <w:rFonts w:ascii="Calibri" w:hAnsi="Calibri" w:cs="Calibri"/>
        </w:rPr>
        <w:t xml:space="preserve"> soustavně sledoval</w:t>
      </w:r>
      <w:r w:rsidR="005A14D2">
        <w:rPr>
          <w:rFonts w:ascii="Calibri" w:hAnsi="Calibri" w:cs="Calibri"/>
        </w:rPr>
        <w:t xml:space="preserve"> a </w:t>
      </w:r>
      <w:r w:rsidR="007C1F71" w:rsidRPr="001C0072">
        <w:rPr>
          <w:rFonts w:ascii="Calibri" w:hAnsi="Calibri" w:cs="Calibri"/>
        </w:rPr>
        <w:t>vyhodnocoval hospodárnost, efektivnost a účelnost vynakládání výdajů ve své kapitole.</w:t>
      </w:r>
      <w:r w:rsidR="007C1F71" w:rsidRPr="001C0072">
        <w:rPr>
          <w:rStyle w:val="Znakapoznpodarou"/>
          <w:rFonts w:ascii="Calibri" w:hAnsi="Calibri" w:cs="Calibri"/>
        </w:rPr>
        <w:footnoteReference w:id="13"/>
      </w:r>
      <w:r w:rsidR="001852F8">
        <w:rPr>
          <w:rFonts w:ascii="Calibri" w:hAnsi="Calibri" w:cs="Calibri"/>
        </w:rPr>
        <w:t xml:space="preserve"> </w:t>
      </w:r>
    </w:p>
    <w:p w14:paraId="25FF148F" w14:textId="77777777" w:rsidR="004D7CB4" w:rsidRPr="001C0072" w:rsidRDefault="008D1EFF" w:rsidP="00332AF6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S oblastí peněžních prostředků se </w:t>
      </w:r>
      <w:r w:rsidR="00AD6CE6" w:rsidRPr="001C0072">
        <w:rPr>
          <w:rFonts w:ascii="Calibri" w:hAnsi="Calibri" w:cs="Calibri"/>
        </w:rPr>
        <w:t xml:space="preserve">úzce </w:t>
      </w:r>
      <w:r w:rsidRPr="001C0072">
        <w:rPr>
          <w:rFonts w:ascii="Calibri" w:hAnsi="Calibri" w:cs="Calibri"/>
        </w:rPr>
        <w:t xml:space="preserve">pojí také oblast lidských zdrojů. Získání a udržení odborných kapacit </w:t>
      </w:r>
      <w:r w:rsidR="001F12D5">
        <w:rPr>
          <w:rFonts w:ascii="Calibri" w:hAnsi="Calibri" w:cs="Calibri"/>
        </w:rPr>
        <w:t>je</w:t>
      </w:r>
      <w:r w:rsidRPr="001C0072">
        <w:rPr>
          <w:rFonts w:ascii="Calibri" w:hAnsi="Calibri" w:cs="Calibri"/>
        </w:rPr>
        <w:t xml:space="preserve"> pro obě instituce </w:t>
      </w:r>
      <w:r w:rsidR="00AD6CE6" w:rsidRPr="001C0072">
        <w:rPr>
          <w:rFonts w:ascii="Calibri" w:hAnsi="Calibri" w:cs="Calibri"/>
        </w:rPr>
        <w:t>trvající</w:t>
      </w:r>
      <w:r w:rsidRPr="001C0072">
        <w:rPr>
          <w:rFonts w:ascii="Calibri" w:hAnsi="Calibri" w:cs="Calibri"/>
        </w:rPr>
        <w:t xml:space="preserve"> výzvou. NÚKIB</w:t>
      </w:r>
      <w:r w:rsidR="006E0658" w:rsidRPr="001C0072">
        <w:rPr>
          <w:rFonts w:ascii="Calibri" w:hAnsi="Calibri" w:cs="Calibri"/>
        </w:rPr>
        <w:t xml:space="preserve"> se dlouhodobě potýka</w:t>
      </w:r>
      <w:r w:rsidR="005A14D2">
        <w:rPr>
          <w:rFonts w:ascii="Calibri" w:hAnsi="Calibri" w:cs="Calibri"/>
        </w:rPr>
        <w:t>l s </w:t>
      </w:r>
      <w:r w:rsidR="006E0658" w:rsidRPr="001C0072">
        <w:rPr>
          <w:rFonts w:ascii="Calibri" w:hAnsi="Calibri" w:cs="Calibri"/>
        </w:rPr>
        <w:t>fluktuací odborných zaměstnanců na úrovni 10 %</w:t>
      </w:r>
      <w:r w:rsidR="00EA412D" w:rsidRPr="00EA412D">
        <w:rPr>
          <w:rFonts w:ascii="Calibri" w:hAnsi="Calibri" w:cs="Calibri"/>
          <w:i/>
        </w:rPr>
        <w:t xml:space="preserve">. </w:t>
      </w:r>
      <w:r w:rsidR="002F37EE" w:rsidRPr="001C0072">
        <w:rPr>
          <w:rFonts w:ascii="Calibri" w:hAnsi="Calibri" w:cs="Calibri"/>
        </w:rPr>
        <w:t>MV</w:t>
      </w:r>
      <w:r w:rsidR="00D00470" w:rsidRPr="001C0072">
        <w:rPr>
          <w:rFonts w:ascii="Calibri" w:hAnsi="Calibri" w:cs="Calibri"/>
        </w:rPr>
        <w:t xml:space="preserve"> se taktéž dlouhodobě potýkalo s</w:t>
      </w:r>
      <w:r w:rsidR="00FB421F">
        <w:rPr>
          <w:rFonts w:ascii="Calibri" w:hAnsi="Calibri" w:cs="Calibri"/>
        </w:rPr>
        <w:t> </w:t>
      </w:r>
      <w:r w:rsidR="002F37EE" w:rsidRPr="001C0072">
        <w:rPr>
          <w:rFonts w:ascii="Calibri" w:hAnsi="Calibri" w:cs="Calibri"/>
        </w:rPr>
        <w:t>vysokou fluktuací na příslušných pracovních pozicích</w:t>
      </w:r>
      <w:r w:rsidR="00D00470" w:rsidRPr="001C0072">
        <w:rPr>
          <w:rFonts w:ascii="Calibri" w:hAnsi="Calibri" w:cs="Calibri"/>
        </w:rPr>
        <w:t xml:space="preserve"> a některé klíčové bezpečnostní role zajišťovalo externě</w:t>
      </w:r>
      <w:r w:rsidR="006A5EA5">
        <w:rPr>
          <w:rFonts w:ascii="Calibri" w:hAnsi="Calibri" w:cs="Calibri"/>
        </w:rPr>
        <w:t>,</w:t>
      </w:r>
      <w:r w:rsidR="006A5EA5" w:rsidRPr="006A5EA5">
        <w:rPr>
          <w:rFonts w:ascii="Calibri" w:hAnsi="Calibri" w:cs="Calibri"/>
        </w:rPr>
        <w:t xml:space="preserve"> </w:t>
      </w:r>
      <w:r w:rsidR="006A5EA5" w:rsidRPr="001C0072">
        <w:rPr>
          <w:rFonts w:ascii="Calibri" w:hAnsi="Calibri" w:cs="Calibri"/>
        </w:rPr>
        <w:t>a</w:t>
      </w:r>
      <w:r w:rsidR="006A5EA5">
        <w:rPr>
          <w:rFonts w:ascii="Calibri" w:hAnsi="Calibri" w:cs="Calibri"/>
        </w:rPr>
        <w:t xml:space="preserve"> to i přes skutečnost, že může využívat</w:t>
      </w:r>
      <w:r w:rsidR="006A5EA5" w:rsidRPr="001C0072">
        <w:rPr>
          <w:rFonts w:ascii="Calibri" w:hAnsi="Calibri" w:cs="Calibri"/>
        </w:rPr>
        <w:t xml:space="preserve"> insti</w:t>
      </w:r>
      <w:r w:rsidR="006A5EA5">
        <w:rPr>
          <w:rFonts w:ascii="Calibri" w:hAnsi="Calibri" w:cs="Calibri"/>
        </w:rPr>
        <w:t>tutu klíčového služebního místa,</w:t>
      </w:r>
      <w:r w:rsidR="006A5EA5" w:rsidRPr="00EA412D">
        <w:rPr>
          <w:rFonts w:ascii="Calibri" w:hAnsi="Calibri" w:cs="Calibri"/>
        </w:rPr>
        <w:t xml:space="preserve"> neboť</w:t>
      </w:r>
      <w:r w:rsidR="006A5EA5">
        <w:rPr>
          <w:rFonts w:ascii="Calibri" w:hAnsi="Calibri" w:cs="Calibri"/>
        </w:rPr>
        <w:t xml:space="preserve"> se na něj </w:t>
      </w:r>
      <w:r w:rsidR="006A5EA5" w:rsidRPr="00EA412D">
        <w:rPr>
          <w:rFonts w:ascii="Calibri" w:hAnsi="Calibri" w:cs="Calibri"/>
        </w:rPr>
        <w:t>vztahuje zákon č. 234/2014 Sb.</w:t>
      </w:r>
      <w:r w:rsidR="006A5EA5" w:rsidRPr="00931A5C">
        <w:rPr>
          <w:rFonts w:ascii="Calibri" w:hAnsi="Calibri" w:cs="Calibri"/>
        </w:rPr>
        <w:t xml:space="preserve">, </w:t>
      </w:r>
      <w:r w:rsidR="006A5EA5" w:rsidRPr="00A71C3E">
        <w:rPr>
          <w:rFonts w:ascii="Calibri" w:hAnsi="Calibri" w:cs="Calibri"/>
        </w:rPr>
        <w:t>o státní službě</w:t>
      </w:r>
      <w:r w:rsidR="002F37EE" w:rsidRPr="001C0072">
        <w:rPr>
          <w:rFonts w:ascii="Calibri" w:hAnsi="Calibri" w:cs="Calibri"/>
        </w:rPr>
        <w:t>.</w:t>
      </w:r>
    </w:p>
    <w:p w14:paraId="45C47888" w14:textId="77777777" w:rsidR="006E0658" w:rsidRPr="00F10C3E" w:rsidRDefault="006E0658" w:rsidP="000A0EA3">
      <w:pPr>
        <w:pStyle w:val="Zkladn"/>
        <w:keepNext/>
        <w:spacing w:before="0" w:after="120"/>
        <w:rPr>
          <w:rFonts w:ascii="Calibri" w:hAnsi="Calibri" w:cs="Calibri"/>
          <w:b/>
        </w:rPr>
      </w:pPr>
      <w:r w:rsidRPr="00F10C3E">
        <w:rPr>
          <w:rFonts w:ascii="Calibri" w:hAnsi="Calibri" w:cs="Calibri"/>
          <w:b/>
        </w:rPr>
        <w:t>Využití peněžních prostředků ESIF na zajištění kybernetické bezpečnosti</w:t>
      </w:r>
    </w:p>
    <w:p w14:paraId="1D50D74B" w14:textId="4CAC346F" w:rsidR="00AA620A" w:rsidRPr="001C0072" w:rsidRDefault="00AA620A" w:rsidP="00AA620A">
      <w:pPr>
        <w:pStyle w:val="Zkladn"/>
        <w:spacing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Ministerstva </w:t>
      </w:r>
      <w:r w:rsidR="00D00470" w:rsidRPr="001C0072">
        <w:rPr>
          <w:rFonts w:ascii="Calibri" w:hAnsi="Calibri" w:cs="Calibri"/>
        </w:rPr>
        <w:t>a další subjekty měly</w:t>
      </w:r>
      <w:r w:rsidRPr="001C0072">
        <w:rPr>
          <w:rFonts w:ascii="Calibri" w:hAnsi="Calibri" w:cs="Calibri"/>
        </w:rPr>
        <w:t xml:space="preserve"> v kontrolovaném období možnost čerpat peněžní prostředky evropských strukturálních a investičních fondů (dále také „ESIF“) na projekty v oblasti KB z výzvy </w:t>
      </w:r>
      <w:r w:rsidRPr="00A71C3E">
        <w:rPr>
          <w:rFonts w:ascii="Calibri" w:hAnsi="Calibri" w:cs="Calibri"/>
          <w:i/>
        </w:rPr>
        <w:t>Integrovaného regionálního operačního pr</w:t>
      </w:r>
      <w:r w:rsidR="005A14D2" w:rsidRPr="00A71C3E">
        <w:rPr>
          <w:rFonts w:ascii="Calibri" w:hAnsi="Calibri" w:cs="Calibri"/>
          <w:i/>
        </w:rPr>
        <w:t>ogramu</w:t>
      </w:r>
      <w:r w:rsidR="005A14D2">
        <w:rPr>
          <w:rFonts w:ascii="Calibri" w:hAnsi="Calibri" w:cs="Calibri"/>
        </w:rPr>
        <w:t xml:space="preserve"> (dále také „IROP“) č. 10 </w:t>
      </w:r>
      <w:r w:rsidRPr="001C0072">
        <w:rPr>
          <w:rFonts w:ascii="Calibri" w:hAnsi="Calibri" w:cs="Calibri"/>
        </w:rPr>
        <w:t xml:space="preserve">– </w:t>
      </w:r>
      <w:r w:rsidRPr="001C0072">
        <w:rPr>
          <w:rFonts w:ascii="Calibri" w:hAnsi="Calibri" w:cs="Calibri"/>
          <w:i/>
        </w:rPr>
        <w:t>Kybernetická bezpečnost</w:t>
      </w:r>
      <w:r w:rsidRPr="001C0072">
        <w:rPr>
          <w:rFonts w:ascii="Calibri" w:hAnsi="Calibri" w:cs="Calibri"/>
        </w:rPr>
        <w:t>, a to až do výše 1 340 mil. Kč. Na</w:t>
      </w:r>
      <w:r w:rsidR="000A0EA3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projekty realizované subjekty státní</w:t>
      </w:r>
      <w:r w:rsidR="002B0CE0" w:rsidRPr="001C0072">
        <w:rPr>
          <w:rFonts w:ascii="Calibri" w:hAnsi="Calibri" w:cs="Calibri"/>
        </w:rPr>
        <w:t>ho</w:t>
      </w:r>
      <w:r w:rsidRPr="001C0072">
        <w:rPr>
          <w:rFonts w:ascii="Calibri" w:hAnsi="Calibri" w:cs="Calibri"/>
        </w:rPr>
        <w:t xml:space="preserve"> s</w:t>
      </w:r>
      <w:r w:rsidR="002B0CE0" w:rsidRPr="001C0072">
        <w:rPr>
          <w:rFonts w:ascii="Calibri" w:hAnsi="Calibri" w:cs="Calibri"/>
        </w:rPr>
        <w:t>ektoru</w:t>
      </w:r>
      <w:r w:rsidRPr="001C0072">
        <w:rPr>
          <w:rFonts w:ascii="Calibri" w:hAnsi="Calibri" w:cs="Calibri"/>
        </w:rPr>
        <w:t xml:space="preserve"> připadlo po posouzení </w:t>
      </w:r>
      <w:r w:rsidR="00931A5C">
        <w:rPr>
          <w:rFonts w:ascii="Calibri" w:hAnsi="Calibri" w:cs="Calibri"/>
        </w:rPr>
        <w:t>ř</w:t>
      </w:r>
      <w:r w:rsidRPr="001C0072">
        <w:rPr>
          <w:rFonts w:ascii="Calibri" w:hAnsi="Calibri" w:cs="Calibri"/>
        </w:rPr>
        <w:t>íd</w:t>
      </w:r>
      <w:r w:rsidR="00931A5C">
        <w:rPr>
          <w:rFonts w:ascii="Calibri" w:hAnsi="Calibri" w:cs="Calibri"/>
        </w:rPr>
        <w:t>i</w:t>
      </w:r>
      <w:r w:rsidRPr="001C0072">
        <w:rPr>
          <w:rFonts w:ascii="Calibri" w:hAnsi="Calibri" w:cs="Calibri"/>
        </w:rPr>
        <w:t xml:space="preserve">cím orgánem 799,6 mil. Kč, z toho na projekty </w:t>
      </w:r>
      <w:r w:rsidR="00D17430" w:rsidRPr="001C0072">
        <w:rPr>
          <w:rFonts w:ascii="Calibri" w:hAnsi="Calibri" w:cs="Calibri"/>
        </w:rPr>
        <w:t>ústředních orgánů státní správy</w:t>
      </w:r>
      <w:r w:rsidRPr="001C0072">
        <w:rPr>
          <w:rFonts w:ascii="Calibri" w:hAnsi="Calibri" w:cs="Calibri"/>
        </w:rPr>
        <w:t xml:space="preserve"> pouze 121 mil</w:t>
      </w:r>
      <w:r w:rsidR="006A5EA5">
        <w:rPr>
          <w:rStyle w:val="Znakapoznpodarou"/>
          <w:rFonts w:ascii="Calibri" w:hAnsi="Calibri" w:cs="Calibri"/>
        </w:rPr>
        <w:footnoteReference w:id="14"/>
      </w:r>
      <w:r w:rsidRPr="001C0072">
        <w:rPr>
          <w:rFonts w:ascii="Calibri" w:hAnsi="Calibri" w:cs="Calibri"/>
        </w:rPr>
        <w:t>. Kč. Z této částky navíc představovaly 112 mil.</w:t>
      </w:r>
      <w:r w:rsidR="00367498">
        <w:rPr>
          <w:rFonts w:ascii="Calibri" w:hAnsi="Calibri" w:cs="Calibri"/>
        </w:rPr>
        <w:t> </w:t>
      </w:r>
      <w:r w:rsidRPr="001C0072">
        <w:rPr>
          <w:rFonts w:ascii="Calibri" w:hAnsi="Calibri" w:cs="Calibri"/>
        </w:rPr>
        <w:t>Kč projekty NÚKIB. MV i přes svoji pozici v rámci státní správy</w:t>
      </w:r>
      <w:r w:rsidR="004C4FAC">
        <w:rPr>
          <w:rFonts w:ascii="Calibri" w:hAnsi="Calibri" w:cs="Calibri"/>
        </w:rPr>
        <w:t xml:space="preserve"> peněžní prostředky z Výzvy č. </w:t>
      </w:r>
      <w:r w:rsidRPr="001C0072">
        <w:rPr>
          <w:rFonts w:ascii="Calibri" w:hAnsi="Calibri" w:cs="Calibri"/>
        </w:rPr>
        <w:t>10 nečerpalo. MV podalo celkem dvě žádosti o podporu</w:t>
      </w:r>
      <w:r w:rsidR="00AA3604" w:rsidRPr="001C0072">
        <w:rPr>
          <w:rFonts w:ascii="Calibri" w:hAnsi="Calibri" w:cs="Calibri"/>
        </w:rPr>
        <w:t xml:space="preserve"> v listopadu 2017, tedy více než 2 roky </w:t>
      </w:r>
      <w:r w:rsidR="0052325D" w:rsidRPr="001C0072">
        <w:rPr>
          <w:rFonts w:ascii="Calibri" w:hAnsi="Calibri" w:cs="Calibri"/>
        </w:rPr>
        <w:t xml:space="preserve">po </w:t>
      </w:r>
      <w:r w:rsidR="00AA3604" w:rsidRPr="001C0072">
        <w:rPr>
          <w:rFonts w:ascii="Calibri" w:hAnsi="Calibri" w:cs="Calibri"/>
        </w:rPr>
        <w:t>vyhlášení Výzvy č. 10</w:t>
      </w:r>
      <w:r w:rsidRPr="001C0072">
        <w:rPr>
          <w:rFonts w:ascii="Calibri" w:hAnsi="Calibri" w:cs="Calibri"/>
        </w:rPr>
        <w:t xml:space="preserve">. Pro převis žádostí nad alokací výzvy však byly </w:t>
      </w:r>
      <w:r w:rsidRPr="005A6B5B">
        <w:rPr>
          <w:rFonts w:ascii="Calibri" w:hAnsi="Calibri" w:cs="Calibri"/>
        </w:rPr>
        <w:t>tyto žádosti ze strany říd</w:t>
      </w:r>
      <w:r w:rsidR="00931A5C">
        <w:rPr>
          <w:rFonts w:ascii="Calibri" w:hAnsi="Calibri" w:cs="Calibri"/>
        </w:rPr>
        <w:t>i</w:t>
      </w:r>
      <w:r w:rsidRPr="005A6B5B">
        <w:rPr>
          <w:rFonts w:ascii="Calibri" w:hAnsi="Calibri" w:cs="Calibri"/>
        </w:rPr>
        <w:t>cího orgánu zamítnuty. Největší objem finančních prostředků</w:t>
      </w:r>
      <w:r w:rsidR="005929B8" w:rsidRPr="005A6B5B">
        <w:rPr>
          <w:rFonts w:ascii="Calibri" w:hAnsi="Calibri" w:cs="Calibri"/>
        </w:rPr>
        <w:t xml:space="preserve"> z celkové alokace</w:t>
      </w:r>
      <w:r w:rsidRPr="005A6B5B">
        <w:rPr>
          <w:rFonts w:ascii="Calibri" w:hAnsi="Calibri" w:cs="Calibri"/>
        </w:rPr>
        <w:t xml:space="preserve"> Výzvy č. 10 (přibližně 903 mil. Kč) připadl na projekty zdravotnických zařízení, </w:t>
      </w:r>
      <w:r w:rsidR="005A6B5B" w:rsidRPr="005A6B5B">
        <w:rPr>
          <w:rFonts w:ascii="Calibri" w:hAnsi="Calibri" w:cs="Calibri"/>
        </w:rPr>
        <w:t>z nichž některá</w:t>
      </w:r>
      <w:r w:rsidRPr="005A6B5B">
        <w:rPr>
          <w:rFonts w:ascii="Calibri" w:hAnsi="Calibri" w:cs="Calibri"/>
        </w:rPr>
        <w:t xml:space="preserve"> mohla podávat žádosti na své projekty až po rozšíření</w:t>
      </w:r>
      <w:r w:rsidR="0083701B" w:rsidRPr="005A6B5B">
        <w:rPr>
          <w:rFonts w:ascii="Calibri" w:hAnsi="Calibri" w:cs="Calibri"/>
        </w:rPr>
        <w:t xml:space="preserve"> okruhu podporovaných aktivit</w:t>
      </w:r>
      <w:r w:rsidRPr="005A6B5B">
        <w:rPr>
          <w:rFonts w:ascii="Calibri" w:hAnsi="Calibri" w:cs="Calibri"/>
        </w:rPr>
        <w:t xml:space="preserve"> Výzvy č.</w:t>
      </w:r>
      <w:r w:rsidR="00367498">
        <w:rPr>
          <w:rFonts w:ascii="Calibri" w:hAnsi="Calibri" w:cs="Calibri"/>
        </w:rPr>
        <w:t> </w:t>
      </w:r>
      <w:r w:rsidRPr="005A6B5B">
        <w:rPr>
          <w:rFonts w:ascii="Calibri" w:hAnsi="Calibri" w:cs="Calibri"/>
        </w:rPr>
        <w:t>10, tj. po 19 měsících od jejíh</w:t>
      </w:r>
      <w:r w:rsidR="00134180" w:rsidRPr="005A6B5B">
        <w:rPr>
          <w:rFonts w:ascii="Calibri" w:hAnsi="Calibri" w:cs="Calibri"/>
        </w:rPr>
        <w:t>o</w:t>
      </w:r>
      <w:r w:rsidRPr="005A6B5B">
        <w:rPr>
          <w:rFonts w:ascii="Calibri" w:hAnsi="Calibri" w:cs="Calibri"/>
        </w:rPr>
        <w:t xml:space="preserve"> vyhlášení.</w:t>
      </w:r>
      <w:r w:rsidRPr="001C0072">
        <w:rPr>
          <w:rFonts w:ascii="Calibri" w:hAnsi="Calibri" w:cs="Calibri"/>
        </w:rPr>
        <w:t xml:space="preserve"> </w:t>
      </w:r>
    </w:p>
    <w:p w14:paraId="41602293" w14:textId="77777777" w:rsidR="00411BC0" w:rsidRPr="009956F7" w:rsidRDefault="006A5EA5" w:rsidP="009956F7">
      <w:pPr>
        <w:spacing w:after="0"/>
        <w:rPr>
          <w:rFonts w:ascii="Calibri" w:hAnsi="Calibri" w:cs="Calibri"/>
          <w:b/>
        </w:rPr>
      </w:pPr>
      <w:r w:rsidRPr="006A5EA5">
        <w:rPr>
          <w:rFonts w:ascii="Calibri" w:hAnsi="Calibri" w:cs="Calibri"/>
          <w:b/>
        </w:rPr>
        <w:t>NKÚ na základě skutečností zjištěných kontrolou doporučuje NÚKIB v rámci výkonu svěřené koordinační role</w:t>
      </w:r>
      <w:r w:rsidR="00D11FC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</w:t>
      </w:r>
      <w:r w:rsidR="00336556">
        <w:rPr>
          <w:rFonts w:ascii="Calibri" w:hAnsi="Calibri" w:cs="Calibri"/>
          <w:b/>
        </w:rPr>
        <w:t>rověřit</w:t>
      </w:r>
      <w:r w:rsidR="00411BC0" w:rsidRPr="001C0072">
        <w:rPr>
          <w:rFonts w:ascii="Calibri" w:hAnsi="Calibri" w:cs="Calibri"/>
          <w:b/>
        </w:rPr>
        <w:t xml:space="preserve"> nastavení kritérií pro určení poskytovatelů základních služeb</w:t>
      </w:r>
      <w:r w:rsidR="00411BC0">
        <w:rPr>
          <w:rFonts w:ascii="Calibri" w:hAnsi="Calibri" w:cs="Calibri"/>
          <w:b/>
        </w:rPr>
        <w:t xml:space="preserve"> v </w:t>
      </w:r>
      <w:r w:rsidR="00BD4D78">
        <w:rPr>
          <w:rFonts w:ascii="Calibri" w:hAnsi="Calibri" w:cs="Calibri"/>
          <w:b/>
        </w:rPr>
        <w:t>odvětví</w:t>
      </w:r>
      <w:r w:rsidR="00411BC0" w:rsidRPr="001C0072">
        <w:rPr>
          <w:rFonts w:ascii="Calibri" w:hAnsi="Calibri" w:cs="Calibri"/>
          <w:b/>
        </w:rPr>
        <w:t xml:space="preserve"> zdravotnictví</w:t>
      </w:r>
      <w:r w:rsidR="00336556">
        <w:rPr>
          <w:rFonts w:ascii="Calibri" w:hAnsi="Calibri" w:cs="Calibri"/>
          <w:b/>
        </w:rPr>
        <w:t xml:space="preserve"> a příp. provést jejich revizi.</w:t>
      </w:r>
    </w:p>
    <w:p w14:paraId="201B4270" w14:textId="77777777" w:rsidR="00FE61C8" w:rsidRDefault="00FE61C8" w:rsidP="000E5E76">
      <w:pPr>
        <w:spacing w:after="0" w:line="240" w:lineRule="auto"/>
        <w:jc w:val="left"/>
        <w:rPr>
          <w:rFonts w:ascii="Calibri" w:hAnsi="Calibri" w:cs="Calibri"/>
          <w:b/>
          <w:szCs w:val="24"/>
        </w:rPr>
      </w:pPr>
    </w:p>
    <w:p w14:paraId="50D07EC7" w14:textId="77777777" w:rsidR="000E5E76" w:rsidRPr="001C0072" w:rsidRDefault="000E5E76" w:rsidP="000E5E76">
      <w:pPr>
        <w:spacing w:after="0" w:line="240" w:lineRule="auto"/>
        <w:jc w:val="left"/>
        <w:rPr>
          <w:rFonts w:ascii="Calibri" w:hAnsi="Calibri" w:cs="Calibri"/>
          <w:b/>
          <w:szCs w:val="24"/>
        </w:rPr>
      </w:pPr>
    </w:p>
    <w:p w14:paraId="699C8C0E" w14:textId="77777777" w:rsidR="008B31BB" w:rsidRPr="00373B47" w:rsidRDefault="00373B47" w:rsidP="00373B47">
      <w:pPr>
        <w:pStyle w:val="Nadpis1"/>
        <w:numPr>
          <w:ilvl w:val="0"/>
          <w:numId w:val="0"/>
        </w:numPr>
        <w:spacing w:after="120"/>
        <w:rPr>
          <w:rFonts w:ascii="Calibri" w:hAnsi="Calibri" w:cs="Calibri"/>
          <w:sz w:val="28"/>
        </w:rPr>
      </w:pPr>
      <w:r w:rsidRPr="00373B47">
        <w:rPr>
          <w:rFonts w:ascii="Calibri" w:hAnsi="Calibri" w:cs="Calibri"/>
          <w:sz w:val="28"/>
        </w:rPr>
        <w:lastRenderedPageBreak/>
        <w:t xml:space="preserve">II. </w:t>
      </w:r>
      <w:r w:rsidR="00017B1D" w:rsidRPr="00373B47">
        <w:rPr>
          <w:rFonts w:ascii="Calibri" w:hAnsi="Calibri" w:cs="Calibri"/>
          <w:sz w:val="28"/>
        </w:rPr>
        <w:t>INFORMACE O KONTROLOVANÉ OBLASTI</w:t>
      </w:r>
    </w:p>
    <w:p w14:paraId="35B5E747" w14:textId="63DDB07D" w:rsidR="00F26563" w:rsidRPr="001C0072" w:rsidRDefault="002D36F9" w:rsidP="0060758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NÚKIB je ú</w:t>
      </w:r>
      <w:r w:rsidRPr="002D36F9">
        <w:rPr>
          <w:rFonts w:ascii="Calibri" w:hAnsi="Calibri" w:cs="Calibri"/>
        </w:rPr>
        <w:t>střední</w:t>
      </w:r>
      <w:r>
        <w:rPr>
          <w:rFonts w:ascii="Calibri" w:hAnsi="Calibri" w:cs="Calibri"/>
        </w:rPr>
        <w:t>m</w:t>
      </w:r>
      <w:r w:rsidRPr="002D36F9">
        <w:rPr>
          <w:rFonts w:ascii="Calibri" w:hAnsi="Calibri" w:cs="Calibri"/>
        </w:rPr>
        <w:t xml:space="preserve"> správní</w:t>
      </w:r>
      <w:r>
        <w:rPr>
          <w:rFonts w:ascii="Calibri" w:hAnsi="Calibri" w:cs="Calibri"/>
        </w:rPr>
        <w:t>m</w:t>
      </w:r>
      <w:r w:rsidRPr="002D36F9">
        <w:rPr>
          <w:rFonts w:ascii="Calibri" w:hAnsi="Calibri" w:cs="Calibri"/>
        </w:rPr>
        <w:t xml:space="preserve"> úřad</w:t>
      </w:r>
      <w:r>
        <w:rPr>
          <w:rFonts w:ascii="Calibri" w:hAnsi="Calibri" w:cs="Calibri"/>
        </w:rPr>
        <w:t>em</w:t>
      </w:r>
      <w:r w:rsidRPr="002D36F9">
        <w:rPr>
          <w:rFonts w:ascii="Calibri" w:hAnsi="Calibri" w:cs="Calibri"/>
        </w:rPr>
        <w:t xml:space="preserve"> pro oblast </w:t>
      </w:r>
      <w:r>
        <w:rPr>
          <w:rFonts w:ascii="Calibri" w:hAnsi="Calibri" w:cs="Calibri"/>
        </w:rPr>
        <w:t>KB. V</w:t>
      </w:r>
      <w:r w:rsidR="00DE5AF5" w:rsidRPr="001C0072">
        <w:rPr>
          <w:rFonts w:ascii="Calibri" w:hAnsi="Calibri" w:cs="Calibri"/>
        </w:rPr>
        <w:t>znikl na</w:t>
      </w:r>
      <w:r w:rsidR="00FE2FA3" w:rsidRPr="001C0072">
        <w:rPr>
          <w:rFonts w:ascii="Calibri" w:hAnsi="Calibri" w:cs="Calibri"/>
        </w:rPr>
        <w:t xml:space="preserve"> základě zákona</w:t>
      </w:r>
      <w:r w:rsidR="00607585" w:rsidRPr="001C0072">
        <w:rPr>
          <w:rFonts w:ascii="Calibri" w:hAnsi="Calibri" w:cs="Calibri"/>
        </w:rPr>
        <w:t xml:space="preserve"> č. 205/2017 Sb.</w:t>
      </w:r>
      <w:r w:rsidR="00607585" w:rsidRPr="000E5E76">
        <w:rPr>
          <w:rFonts w:ascii="Calibri" w:hAnsi="Calibri" w:cs="Calibri"/>
        </w:rPr>
        <w:t xml:space="preserve">, </w:t>
      </w:r>
      <w:r w:rsidR="00607585" w:rsidRPr="00CD5868">
        <w:rPr>
          <w:rFonts w:ascii="Calibri" w:hAnsi="Calibri" w:cs="Calibri"/>
        </w:rPr>
        <w:t>kterým se mění zákon č. 181/2014 Sb., o kybernetické bezpečnosti a o změn</w:t>
      </w:r>
      <w:r w:rsidR="000A229D" w:rsidRPr="00CD5868">
        <w:rPr>
          <w:rFonts w:ascii="Calibri" w:hAnsi="Calibri" w:cs="Calibri"/>
        </w:rPr>
        <w:t>ě souvisejících zákonů (zákon o</w:t>
      </w:r>
      <w:r w:rsidR="005A14D2" w:rsidRPr="00CD5868">
        <w:rPr>
          <w:rFonts w:ascii="Calibri" w:hAnsi="Calibri" w:cs="Calibri"/>
        </w:rPr>
        <w:t> </w:t>
      </w:r>
      <w:r w:rsidR="00607585" w:rsidRPr="00CD5868">
        <w:rPr>
          <w:rFonts w:ascii="Calibri" w:hAnsi="Calibri" w:cs="Calibri"/>
        </w:rPr>
        <w:t>kybernetick</w:t>
      </w:r>
      <w:r w:rsidR="000A229D" w:rsidRPr="00CD5868">
        <w:rPr>
          <w:rFonts w:ascii="Calibri" w:hAnsi="Calibri" w:cs="Calibri"/>
        </w:rPr>
        <w:t>é bezpečnosti), ve znění zákona</w:t>
      </w:r>
      <w:r w:rsidR="00607585" w:rsidRPr="00CD5868">
        <w:rPr>
          <w:rFonts w:ascii="Calibri" w:hAnsi="Calibri" w:cs="Calibri"/>
        </w:rPr>
        <w:t xml:space="preserve"> č. 104/2017 Sb., a některých dalších zákonů</w:t>
      </w:r>
      <w:r w:rsidR="00FE2FA3" w:rsidRPr="001C0072">
        <w:rPr>
          <w:rFonts w:ascii="Calibri" w:hAnsi="Calibri" w:cs="Calibri"/>
        </w:rPr>
        <w:t>.</w:t>
      </w:r>
      <w:r w:rsidR="00DE5AF5" w:rsidRPr="001C0072">
        <w:rPr>
          <w:rFonts w:ascii="Calibri" w:hAnsi="Calibri" w:cs="Calibri"/>
        </w:rPr>
        <w:t xml:space="preserve"> NÚKIB </w:t>
      </w:r>
      <w:r w:rsidR="00D52E15" w:rsidRPr="001C0072">
        <w:rPr>
          <w:rFonts w:ascii="Calibri" w:hAnsi="Calibri" w:cs="Calibri"/>
        </w:rPr>
        <w:t>byl zřízen k</w:t>
      </w:r>
      <w:r w:rsidR="00DE5AF5" w:rsidRPr="001C0072">
        <w:rPr>
          <w:rFonts w:ascii="Calibri" w:hAnsi="Calibri" w:cs="Calibri"/>
        </w:rPr>
        <w:t xml:space="preserve"> 1. 8. 2017 </w:t>
      </w:r>
      <w:r w:rsidR="0074707E" w:rsidRPr="001C0072">
        <w:rPr>
          <w:rFonts w:ascii="Calibri" w:hAnsi="Calibri" w:cs="Calibri"/>
        </w:rPr>
        <w:t>a</w:t>
      </w:r>
      <w:r w:rsidR="00DE5AF5" w:rsidRPr="001C0072">
        <w:rPr>
          <w:rFonts w:ascii="Calibri" w:hAnsi="Calibri" w:cs="Calibri"/>
        </w:rPr>
        <w:t xml:space="preserve"> převzal agendu </w:t>
      </w:r>
      <w:r w:rsidR="00C4792B" w:rsidRPr="001C0072">
        <w:rPr>
          <w:rFonts w:ascii="Calibri" w:hAnsi="Calibri" w:cs="Calibri"/>
        </w:rPr>
        <w:t>KB</w:t>
      </w:r>
      <w:r w:rsidR="00DE5AF5" w:rsidRPr="001C0072">
        <w:rPr>
          <w:rFonts w:ascii="Calibri" w:hAnsi="Calibri" w:cs="Calibri"/>
        </w:rPr>
        <w:t xml:space="preserve"> státu od </w:t>
      </w:r>
      <w:r w:rsidR="00C4792B" w:rsidRPr="001C0072">
        <w:rPr>
          <w:rFonts w:ascii="Calibri" w:hAnsi="Calibri" w:cs="Calibri"/>
        </w:rPr>
        <w:t>NBÚ</w:t>
      </w:r>
      <w:r w:rsidR="0016535B" w:rsidRPr="001C0072">
        <w:rPr>
          <w:rFonts w:ascii="Calibri" w:hAnsi="Calibri" w:cs="Calibri"/>
        </w:rPr>
        <w:t xml:space="preserve">. </w:t>
      </w:r>
      <w:r w:rsidR="00DE5AF5" w:rsidRPr="001C0072">
        <w:rPr>
          <w:rFonts w:ascii="Calibri" w:hAnsi="Calibri" w:cs="Calibri"/>
        </w:rPr>
        <w:t>NÚKIB</w:t>
      </w:r>
      <w:r w:rsidR="002F65E5" w:rsidRPr="001C0072">
        <w:rPr>
          <w:rFonts w:ascii="Calibri" w:hAnsi="Calibri" w:cs="Calibri"/>
        </w:rPr>
        <w:t xml:space="preserve"> má mj.</w:t>
      </w:r>
      <w:r w:rsidR="00DE5AF5" w:rsidRPr="001C0072">
        <w:rPr>
          <w:rFonts w:ascii="Calibri" w:hAnsi="Calibri" w:cs="Calibri"/>
        </w:rPr>
        <w:t xml:space="preserve"> z</w:t>
      </w:r>
      <w:r w:rsidR="002F65E5" w:rsidRPr="001C0072">
        <w:rPr>
          <w:rFonts w:ascii="Calibri" w:hAnsi="Calibri" w:cs="Calibri"/>
        </w:rPr>
        <w:t>ajišťovat</w:t>
      </w:r>
      <w:r w:rsidR="00DE5AF5" w:rsidRPr="001C0072">
        <w:rPr>
          <w:rFonts w:ascii="Calibri" w:hAnsi="Calibri" w:cs="Calibri"/>
        </w:rPr>
        <w:t xml:space="preserve"> prevenci, vzdělávání a metodickou podporu v oblasti </w:t>
      </w:r>
      <w:r w:rsidR="00C4792B" w:rsidRPr="001C0072">
        <w:rPr>
          <w:rFonts w:ascii="Calibri" w:hAnsi="Calibri" w:cs="Calibri"/>
        </w:rPr>
        <w:t>KB</w:t>
      </w:r>
      <w:r w:rsidR="00DE5AF5" w:rsidRPr="001C0072">
        <w:rPr>
          <w:rFonts w:ascii="Calibri" w:hAnsi="Calibri" w:cs="Calibri"/>
        </w:rPr>
        <w:t xml:space="preserve"> a ve vybraných oblastech ochrany utajova</w:t>
      </w:r>
      <w:r w:rsidR="002F65E5" w:rsidRPr="001C0072">
        <w:rPr>
          <w:rFonts w:ascii="Calibri" w:hAnsi="Calibri" w:cs="Calibri"/>
        </w:rPr>
        <w:t>ných informací, vydávat opatření</w:t>
      </w:r>
      <w:r w:rsidR="00DE5AF5" w:rsidRPr="001C0072">
        <w:rPr>
          <w:rFonts w:ascii="Calibri" w:hAnsi="Calibri" w:cs="Calibri"/>
        </w:rPr>
        <w:t xml:space="preserve"> </w:t>
      </w:r>
      <w:r w:rsidR="002F65E5" w:rsidRPr="001C0072">
        <w:rPr>
          <w:rFonts w:ascii="Calibri" w:hAnsi="Calibri" w:cs="Calibri"/>
        </w:rPr>
        <w:t>a působit</w:t>
      </w:r>
      <w:r w:rsidR="00DE5AF5" w:rsidRPr="001C0072">
        <w:rPr>
          <w:rFonts w:ascii="Calibri" w:hAnsi="Calibri" w:cs="Calibri"/>
        </w:rPr>
        <w:t xml:space="preserve"> jako koordinační orgán ve stavu kybernetického nebezpečí. Dále provádí analýzu a monitoring kybernetických hrozeb a rizik. NÚKIB také provádí příslušnou kontrolu dle </w:t>
      </w:r>
      <w:r w:rsidR="00C4792B" w:rsidRPr="001C0072">
        <w:rPr>
          <w:rFonts w:ascii="Calibri" w:hAnsi="Calibri" w:cs="Calibri"/>
        </w:rPr>
        <w:t>ZKB</w:t>
      </w:r>
      <w:r w:rsidR="00DE5AF5" w:rsidRPr="001C0072">
        <w:rPr>
          <w:rFonts w:ascii="Calibri" w:hAnsi="Calibri" w:cs="Calibri"/>
        </w:rPr>
        <w:t>.</w:t>
      </w:r>
      <w:r w:rsidR="008D2A15" w:rsidRPr="001C0072">
        <w:rPr>
          <w:rFonts w:ascii="Calibri" w:hAnsi="Calibri" w:cs="Calibri"/>
        </w:rPr>
        <w:t xml:space="preserve"> Celkové výdaje</w:t>
      </w:r>
      <w:r>
        <w:rPr>
          <w:rFonts w:ascii="Calibri" w:hAnsi="Calibri" w:cs="Calibri"/>
        </w:rPr>
        <w:t xml:space="preserve"> na zajištění činností</w:t>
      </w:r>
      <w:r w:rsidR="008D2A15" w:rsidRPr="001C0072">
        <w:rPr>
          <w:rFonts w:ascii="Calibri" w:hAnsi="Calibri" w:cs="Calibri"/>
        </w:rPr>
        <w:t xml:space="preserve"> NÚKIB v letech 2017 až 2019 činily přibližně 884 mil. Kč.</w:t>
      </w:r>
    </w:p>
    <w:p w14:paraId="1E7661BE" w14:textId="77777777" w:rsidR="00F26563" w:rsidRPr="001C0072" w:rsidRDefault="00F26563" w:rsidP="00B44487">
      <w:pPr>
        <w:spacing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>MV plní podle zákona č. 2/1969 Sb.</w:t>
      </w:r>
      <w:r w:rsidRPr="000E5E76">
        <w:rPr>
          <w:rFonts w:ascii="Calibri" w:hAnsi="Calibri" w:cs="Calibri"/>
        </w:rPr>
        <w:t xml:space="preserve">, </w:t>
      </w:r>
      <w:r w:rsidRPr="00CD5868">
        <w:rPr>
          <w:rFonts w:ascii="Calibri" w:hAnsi="Calibri" w:cs="Calibri"/>
        </w:rPr>
        <w:t>o zřízení ministerstev a jiných ústředních orgánů státní správy</w:t>
      </w:r>
      <w:r w:rsidRPr="000E5E76">
        <w:rPr>
          <w:rFonts w:ascii="Calibri" w:hAnsi="Calibri" w:cs="Calibri"/>
        </w:rPr>
        <w:t xml:space="preserve"> </w:t>
      </w:r>
      <w:r w:rsidRPr="00CD5868">
        <w:rPr>
          <w:rFonts w:ascii="Calibri" w:hAnsi="Calibri" w:cs="Calibri"/>
        </w:rPr>
        <w:t>Č</w:t>
      </w:r>
      <w:r w:rsidR="008F19AB" w:rsidRPr="00CD5868">
        <w:rPr>
          <w:rFonts w:ascii="Calibri" w:hAnsi="Calibri" w:cs="Calibri"/>
        </w:rPr>
        <w:t>eské republiky</w:t>
      </w:r>
      <w:r w:rsidR="000E5E76">
        <w:rPr>
          <w:rFonts w:ascii="Calibri" w:hAnsi="Calibri" w:cs="Calibri"/>
        </w:rPr>
        <w:t>,</w:t>
      </w:r>
      <w:r w:rsidRPr="001C0072">
        <w:rPr>
          <w:rFonts w:ascii="Calibri" w:hAnsi="Calibri" w:cs="Calibri"/>
        </w:rPr>
        <w:t xml:space="preserve"> </w:t>
      </w:r>
      <w:r w:rsidR="008F19AB" w:rsidRPr="001C0072">
        <w:rPr>
          <w:rFonts w:ascii="Calibri" w:hAnsi="Calibri" w:cs="Calibri"/>
        </w:rPr>
        <w:t xml:space="preserve">mj. </w:t>
      </w:r>
      <w:r w:rsidRPr="001C0072">
        <w:rPr>
          <w:rFonts w:ascii="Calibri" w:hAnsi="Calibri" w:cs="Calibri"/>
        </w:rPr>
        <w:t xml:space="preserve">koordinační úlohu pro informační a komunikační technologie. </w:t>
      </w:r>
      <w:r w:rsidR="00EA412D">
        <w:rPr>
          <w:rFonts w:ascii="Calibri" w:hAnsi="Calibri" w:cs="Calibri"/>
        </w:rPr>
        <w:t>K </w:t>
      </w:r>
      <w:r w:rsidR="002D36F9">
        <w:rPr>
          <w:rFonts w:ascii="Calibri" w:hAnsi="Calibri" w:cs="Calibri"/>
        </w:rPr>
        <w:t>31. </w:t>
      </w:r>
      <w:r w:rsidRPr="001C0072">
        <w:rPr>
          <w:rFonts w:ascii="Calibri" w:hAnsi="Calibri" w:cs="Calibri"/>
        </w:rPr>
        <w:t>1. 2020 spravovalo MV celkem 1</w:t>
      </w:r>
      <w:r w:rsidR="004F1463">
        <w:rPr>
          <w:rFonts w:ascii="Calibri" w:hAnsi="Calibri" w:cs="Calibri"/>
        </w:rPr>
        <w:t>2</w:t>
      </w:r>
      <w:r w:rsidRPr="001C0072">
        <w:rPr>
          <w:rFonts w:ascii="Calibri" w:hAnsi="Calibri" w:cs="Calibri"/>
        </w:rPr>
        <w:t xml:space="preserve"> KII, což představovalo 22 % ze všech KII ve správě OSS. Z pohledu resortu MV, tj. po započtení dalších 7 KII, pak tento podíl představoval cca 35 %. </w:t>
      </w:r>
      <w:r w:rsidR="00411BC0">
        <w:rPr>
          <w:rFonts w:ascii="Calibri" w:hAnsi="Calibri" w:cs="Calibri"/>
        </w:rPr>
        <w:t>K</w:t>
      </w:r>
      <w:r w:rsidR="002D36F9">
        <w:rPr>
          <w:rFonts w:ascii="Calibri" w:hAnsi="Calibri" w:cs="Calibri"/>
        </w:rPr>
        <w:t> </w:t>
      </w:r>
      <w:r w:rsidR="0050495B">
        <w:rPr>
          <w:rFonts w:ascii="Calibri" w:hAnsi="Calibri" w:cs="Calibri"/>
        </w:rPr>
        <w:t>31. </w:t>
      </w:r>
      <w:r w:rsidRPr="001C0072">
        <w:rPr>
          <w:rFonts w:ascii="Calibri" w:hAnsi="Calibri" w:cs="Calibri"/>
        </w:rPr>
        <w:t>1. 2020</w:t>
      </w:r>
      <w:r w:rsidR="00411BC0">
        <w:rPr>
          <w:rFonts w:ascii="Calibri" w:hAnsi="Calibri" w:cs="Calibri"/>
        </w:rPr>
        <w:t xml:space="preserve"> dále MV</w:t>
      </w:r>
      <w:r w:rsidRPr="001C0072">
        <w:rPr>
          <w:rFonts w:ascii="Calibri" w:hAnsi="Calibri" w:cs="Calibri"/>
        </w:rPr>
        <w:t xml:space="preserve"> spravovalo 7 VIS, resp. 11 </w:t>
      </w:r>
      <w:r w:rsidR="008F19AB" w:rsidRPr="001C0072">
        <w:rPr>
          <w:rFonts w:ascii="Calibri" w:hAnsi="Calibri" w:cs="Calibri"/>
        </w:rPr>
        <w:t xml:space="preserve">z resortního pohledu, tj. </w:t>
      </w:r>
      <w:r w:rsidRPr="001C0072">
        <w:rPr>
          <w:rFonts w:ascii="Calibri" w:hAnsi="Calibri" w:cs="Calibri"/>
        </w:rPr>
        <w:t xml:space="preserve">při započtení VIS ve správě </w:t>
      </w:r>
      <w:r w:rsidR="008F19AB" w:rsidRPr="001C0072">
        <w:rPr>
          <w:rFonts w:ascii="Calibri" w:hAnsi="Calibri" w:cs="Calibri"/>
        </w:rPr>
        <w:t>Policie České republiky (</w:t>
      </w:r>
      <w:r w:rsidR="00B44487">
        <w:rPr>
          <w:rFonts w:ascii="Calibri" w:hAnsi="Calibri" w:cs="Calibri"/>
        </w:rPr>
        <w:t xml:space="preserve">dále také </w:t>
      </w:r>
      <w:r w:rsidR="008F19AB" w:rsidRPr="001C0072">
        <w:rPr>
          <w:rFonts w:ascii="Calibri" w:hAnsi="Calibri" w:cs="Calibri"/>
        </w:rPr>
        <w:t>„</w:t>
      </w:r>
      <w:r w:rsidRPr="001C0072">
        <w:rPr>
          <w:rFonts w:ascii="Calibri" w:hAnsi="Calibri" w:cs="Calibri"/>
        </w:rPr>
        <w:t>PČR</w:t>
      </w:r>
      <w:r w:rsidR="008F19AB" w:rsidRPr="001C0072">
        <w:rPr>
          <w:rFonts w:ascii="Calibri" w:hAnsi="Calibri" w:cs="Calibri"/>
        </w:rPr>
        <w:t>“)</w:t>
      </w:r>
      <w:r w:rsidRPr="001C0072">
        <w:rPr>
          <w:rFonts w:ascii="Calibri" w:hAnsi="Calibri" w:cs="Calibri"/>
        </w:rPr>
        <w:t xml:space="preserve"> a </w:t>
      </w:r>
      <w:r w:rsidR="008F19AB" w:rsidRPr="001C0072">
        <w:rPr>
          <w:rFonts w:ascii="Calibri" w:hAnsi="Calibri" w:cs="Calibri"/>
        </w:rPr>
        <w:t>Správy základních registrů.</w:t>
      </w:r>
    </w:p>
    <w:p w14:paraId="3E906C6C" w14:textId="77777777" w:rsidR="006856AF" w:rsidRPr="001C0072" w:rsidRDefault="0016535B" w:rsidP="00D212BE">
      <w:pPr>
        <w:pStyle w:val="Zkladn"/>
        <w:spacing w:before="0" w:after="120"/>
        <w:rPr>
          <w:rFonts w:ascii="Calibri" w:hAnsi="Calibri" w:cs="Calibri"/>
          <w:b/>
        </w:rPr>
      </w:pPr>
      <w:r w:rsidRPr="001C0072">
        <w:rPr>
          <w:rFonts w:ascii="Calibri" w:hAnsi="Calibri" w:cs="Calibri"/>
          <w:b/>
        </w:rPr>
        <w:t>Kybernetická bezpečnost</w:t>
      </w:r>
    </w:p>
    <w:p w14:paraId="459C4021" w14:textId="77777777" w:rsidR="0016535B" w:rsidRPr="001C0072" w:rsidRDefault="00C4792B" w:rsidP="00D212BE">
      <w:pPr>
        <w:spacing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>KB</w:t>
      </w:r>
      <w:r w:rsidR="0016535B" w:rsidRPr="001C0072">
        <w:rPr>
          <w:rFonts w:ascii="Calibri" w:hAnsi="Calibri" w:cs="Calibri"/>
        </w:rPr>
        <w:t xml:space="preserve"> je specifickou oblastí výpočetní techniky. Jejím cílem je zajistit ochranu informací a majetku před krádeží, zneužitím, korupcí či přírodní katastrofou s tím, že chráněné informace musí zůstat přístupné svým uživatelům. Právní rámec </w:t>
      </w:r>
      <w:r w:rsidRPr="001C0072">
        <w:rPr>
          <w:rFonts w:ascii="Calibri" w:hAnsi="Calibri" w:cs="Calibri"/>
        </w:rPr>
        <w:t>KB</w:t>
      </w:r>
      <w:r w:rsidR="0016535B" w:rsidRPr="001C0072">
        <w:rPr>
          <w:rFonts w:ascii="Calibri" w:hAnsi="Calibri" w:cs="Calibri"/>
        </w:rPr>
        <w:t xml:space="preserve"> </w:t>
      </w:r>
      <w:r w:rsidR="00851494" w:rsidRPr="001C0072">
        <w:rPr>
          <w:rFonts w:ascii="Calibri" w:hAnsi="Calibri" w:cs="Calibri"/>
        </w:rPr>
        <w:t xml:space="preserve">státu </w:t>
      </w:r>
      <w:r w:rsidR="0016535B" w:rsidRPr="001C0072">
        <w:rPr>
          <w:rFonts w:ascii="Calibri" w:hAnsi="Calibri" w:cs="Calibri"/>
        </w:rPr>
        <w:t xml:space="preserve">a práva a povinnosti subjektů veřejné správy vymezuje </w:t>
      </w:r>
      <w:r w:rsidRPr="001C0072">
        <w:rPr>
          <w:rFonts w:ascii="Calibri" w:hAnsi="Calibri" w:cs="Calibri"/>
        </w:rPr>
        <w:t xml:space="preserve">ZKB </w:t>
      </w:r>
      <w:r w:rsidR="007272F3" w:rsidRPr="001C0072">
        <w:rPr>
          <w:rFonts w:ascii="Calibri" w:hAnsi="Calibri" w:cs="Calibri"/>
        </w:rPr>
        <w:t>a jeho prováděcí předpisy</w:t>
      </w:r>
      <w:r w:rsidR="0016535B" w:rsidRPr="001C0072">
        <w:rPr>
          <w:rFonts w:ascii="Calibri" w:hAnsi="Calibri" w:cs="Calibri"/>
        </w:rPr>
        <w:t>.</w:t>
      </w:r>
    </w:p>
    <w:p w14:paraId="1655041D" w14:textId="77777777" w:rsidR="0016535B" w:rsidRPr="001C0072" w:rsidRDefault="0016535B" w:rsidP="00D212BE">
      <w:pPr>
        <w:spacing w:after="120" w:line="240" w:lineRule="auto"/>
        <w:rPr>
          <w:rFonts w:ascii="Calibri" w:hAnsi="Calibri" w:cs="Calibri"/>
          <w:b/>
        </w:rPr>
      </w:pPr>
      <w:r w:rsidRPr="001C0072">
        <w:rPr>
          <w:rFonts w:ascii="Calibri" w:hAnsi="Calibri" w:cs="Calibri"/>
          <w:b/>
        </w:rPr>
        <w:t>Vládní CERT</w:t>
      </w:r>
      <w:r w:rsidR="00D212BE" w:rsidRPr="001C0072">
        <w:rPr>
          <w:rFonts w:ascii="Calibri" w:hAnsi="Calibri" w:cs="Calibri"/>
          <w:b/>
        </w:rPr>
        <w:t xml:space="preserve"> (</w:t>
      </w:r>
      <w:proofErr w:type="spellStart"/>
      <w:r w:rsidR="00D212BE" w:rsidRPr="001C0072">
        <w:rPr>
          <w:rFonts w:ascii="Calibri" w:hAnsi="Calibri" w:cs="Calibri"/>
          <w:b/>
        </w:rPr>
        <w:t>GovCERT</w:t>
      </w:r>
      <w:proofErr w:type="spellEnd"/>
      <w:r w:rsidR="00D212BE" w:rsidRPr="001C0072">
        <w:rPr>
          <w:rFonts w:ascii="Calibri" w:hAnsi="Calibri" w:cs="Calibri"/>
          <w:b/>
        </w:rPr>
        <w:t>)</w:t>
      </w:r>
    </w:p>
    <w:p w14:paraId="568B8302" w14:textId="77777777" w:rsidR="0016535B" w:rsidRPr="001C0072" w:rsidRDefault="0016535B" w:rsidP="00D212BE">
      <w:pPr>
        <w:spacing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Součástí NÚKIB je i odbor vládní CERT. Úlohou tohoto </w:t>
      </w:r>
      <w:r w:rsidR="0055110A" w:rsidRPr="001C0072">
        <w:rPr>
          <w:rFonts w:ascii="Calibri" w:hAnsi="Calibri" w:cs="Calibri"/>
        </w:rPr>
        <w:t xml:space="preserve">odboru </w:t>
      </w:r>
      <w:r w:rsidRPr="001C0072">
        <w:rPr>
          <w:rFonts w:ascii="Calibri" w:hAnsi="Calibri" w:cs="Calibri"/>
        </w:rPr>
        <w:t xml:space="preserve">je působit jako prvotní zdroj bezpečnostních informací a pomoci pro orgány státu, organizace i občany. Je klíčový při ochraně </w:t>
      </w:r>
      <w:r w:rsidR="005E1712" w:rsidRPr="001C0072">
        <w:rPr>
          <w:rFonts w:ascii="Calibri" w:hAnsi="Calibri" w:cs="Calibri"/>
        </w:rPr>
        <w:t>KII</w:t>
      </w:r>
      <w:r w:rsidRPr="001C0072">
        <w:rPr>
          <w:rFonts w:ascii="Calibri" w:hAnsi="Calibri" w:cs="Calibri"/>
        </w:rPr>
        <w:t xml:space="preserve"> a </w:t>
      </w:r>
      <w:r w:rsidR="005E1712" w:rsidRPr="001C0072">
        <w:rPr>
          <w:rFonts w:ascii="Calibri" w:hAnsi="Calibri" w:cs="Calibri"/>
        </w:rPr>
        <w:t xml:space="preserve">VIS </w:t>
      </w:r>
      <w:r w:rsidRPr="001C0072">
        <w:rPr>
          <w:rFonts w:ascii="Calibri" w:hAnsi="Calibri" w:cs="Calibri"/>
        </w:rPr>
        <w:t>podle ZKB a jeho prováděcích předpisů. Neméně důležitou roli hraje také při zvyšování vzdělanosti v oblasti bezpečnosti na internetu.</w:t>
      </w:r>
    </w:p>
    <w:p w14:paraId="412DBF97" w14:textId="77777777" w:rsidR="0016535B" w:rsidRPr="001C0072" w:rsidRDefault="0016535B" w:rsidP="00D212BE">
      <w:pPr>
        <w:spacing w:before="120" w:after="120" w:line="240" w:lineRule="auto"/>
        <w:rPr>
          <w:rFonts w:ascii="Calibri" w:hAnsi="Calibri" w:cs="Calibri"/>
          <w:b/>
        </w:rPr>
      </w:pPr>
      <w:r w:rsidRPr="00CD5868">
        <w:rPr>
          <w:rFonts w:ascii="Calibri" w:hAnsi="Calibri" w:cs="Calibri"/>
          <w:b/>
          <w:i/>
        </w:rPr>
        <w:t>Národní strategi</w:t>
      </w:r>
      <w:r w:rsidR="00667D59" w:rsidRPr="00CD5868">
        <w:rPr>
          <w:rFonts w:ascii="Calibri" w:hAnsi="Calibri" w:cs="Calibri"/>
          <w:b/>
          <w:i/>
        </w:rPr>
        <w:t>e</w:t>
      </w:r>
      <w:r w:rsidRPr="00CD5868">
        <w:rPr>
          <w:rFonts w:ascii="Calibri" w:hAnsi="Calibri" w:cs="Calibri"/>
          <w:b/>
          <w:i/>
        </w:rPr>
        <w:t xml:space="preserve"> kybernetické</w:t>
      </w:r>
      <w:r w:rsidR="006F4906" w:rsidRPr="00CD5868">
        <w:rPr>
          <w:rFonts w:ascii="Calibri" w:hAnsi="Calibri" w:cs="Calibri"/>
          <w:b/>
          <w:i/>
        </w:rPr>
        <w:t xml:space="preserve"> bezpečnosti na období let 2015–</w:t>
      </w:r>
      <w:r w:rsidRPr="00CD5868">
        <w:rPr>
          <w:rFonts w:ascii="Calibri" w:hAnsi="Calibri" w:cs="Calibri"/>
          <w:b/>
          <w:i/>
        </w:rPr>
        <w:t>2020</w:t>
      </w:r>
      <w:r w:rsidRPr="001C0072">
        <w:rPr>
          <w:rFonts w:ascii="Calibri" w:hAnsi="Calibri" w:cs="Calibri"/>
          <w:b/>
        </w:rPr>
        <w:t xml:space="preserve"> a </w:t>
      </w:r>
      <w:r w:rsidR="00F32DAA" w:rsidRPr="001C0072">
        <w:rPr>
          <w:rFonts w:ascii="Calibri" w:hAnsi="Calibri" w:cs="Calibri"/>
          <w:b/>
        </w:rPr>
        <w:t>AP NSKB</w:t>
      </w:r>
    </w:p>
    <w:p w14:paraId="131BD1DC" w14:textId="77777777" w:rsidR="00460109" w:rsidRPr="001C0072" w:rsidRDefault="0016535B" w:rsidP="00D212BE">
      <w:pPr>
        <w:spacing w:before="120"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NÚKIB a MV se významně podílejí na rozvoji </w:t>
      </w:r>
      <w:r w:rsidR="009C3431" w:rsidRPr="001C0072">
        <w:rPr>
          <w:rFonts w:ascii="Calibri" w:hAnsi="Calibri" w:cs="Calibri"/>
        </w:rPr>
        <w:t>informačních a komunikačních technologií (dále také „</w:t>
      </w:r>
      <w:r w:rsidRPr="001C0072">
        <w:rPr>
          <w:rFonts w:ascii="Calibri" w:hAnsi="Calibri" w:cs="Calibri"/>
        </w:rPr>
        <w:t>ICT</w:t>
      </w:r>
      <w:r w:rsidR="009C3431" w:rsidRPr="001C0072">
        <w:rPr>
          <w:rFonts w:ascii="Calibri" w:hAnsi="Calibri" w:cs="Calibri"/>
        </w:rPr>
        <w:t>“)</w:t>
      </w:r>
      <w:r w:rsidRPr="001C0072">
        <w:rPr>
          <w:rFonts w:ascii="Calibri" w:hAnsi="Calibri" w:cs="Calibri"/>
        </w:rPr>
        <w:t xml:space="preserve"> ve veřejné správě ČR a jejím zabezpečení. K problematice </w:t>
      </w:r>
      <w:r w:rsidR="00C4792B" w:rsidRPr="001C0072">
        <w:rPr>
          <w:rFonts w:ascii="Calibri" w:hAnsi="Calibri" w:cs="Calibri"/>
        </w:rPr>
        <w:t>KB</w:t>
      </w:r>
      <w:r w:rsidRPr="001C0072">
        <w:rPr>
          <w:rFonts w:ascii="Calibri" w:hAnsi="Calibri" w:cs="Calibri"/>
        </w:rPr>
        <w:t xml:space="preserve"> vydal NBÚ </w:t>
      </w:r>
      <w:r w:rsidRPr="001C0072">
        <w:rPr>
          <w:rFonts w:ascii="Calibri" w:hAnsi="Calibri" w:cs="Calibri"/>
          <w:i/>
        </w:rPr>
        <w:t>Národní strategii kybernetické</w:t>
      </w:r>
      <w:r w:rsidR="006F4906" w:rsidRPr="001C0072">
        <w:rPr>
          <w:rFonts w:ascii="Calibri" w:hAnsi="Calibri" w:cs="Calibri"/>
          <w:i/>
        </w:rPr>
        <w:t xml:space="preserve"> bezpečnosti na období let 2015–</w:t>
      </w:r>
      <w:r w:rsidRPr="001C0072">
        <w:rPr>
          <w:rFonts w:ascii="Calibri" w:hAnsi="Calibri" w:cs="Calibri"/>
          <w:i/>
        </w:rPr>
        <w:t>2020</w:t>
      </w:r>
      <w:r w:rsidRPr="001C0072">
        <w:rPr>
          <w:rFonts w:ascii="Calibri" w:hAnsi="Calibri" w:cs="Calibri"/>
        </w:rPr>
        <w:t xml:space="preserve">. Ta byla schválena usnesením vlády ČR ze dne 16. února 2015 č. 105. Dne 25. května 2015 byl pak usnesením vlády ČR č. 382 schválen </w:t>
      </w:r>
      <w:r w:rsidR="00F32DAA" w:rsidRPr="001C0072">
        <w:rPr>
          <w:rFonts w:ascii="Calibri" w:hAnsi="Calibri" w:cs="Calibri"/>
        </w:rPr>
        <w:t>AP NSKB</w:t>
      </w:r>
      <w:r w:rsidRPr="001C0072">
        <w:rPr>
          <w:rFonts w:ascii="Calibri" w:hAnsi="Calibri" w:cs="Calibri"/>
        </w:rPr>
        <w:t xml:space="preserve">. </w:t>
      </w:r>
      <w:r w:rsidR="002E4DAE">
        <w:rPr>
          <w:rFonts w:ascii="Calibri" w:hAnsi="Calibri" w:cs="Calibri"/>
        </w:rPr>
        <w:t>Ten</w:t>
      </w:r>
      <w:r w:rsidRPr="001C0072">
        <w:rPr>
          <w:rFonts w:ascii="Calibri" w:hAnsi="Calibri" w:cs="Calibri"/>
        </w:rPr>
        <w:t xml:space="preserve"> obsahoval celkem 141 úkolů rozdělených mezi jednotlivá ministerstva a další orgány </w:t>
      </w:r>
      <w:r w:rsidR="00DD0FB8" w:rsidRPr="001C0072">
        <w:rPr>
          <w:rFonts w:ascii="Calibri" w:hAnsi="Calibri" w:cs="Calibri"/>
        </w:rPr>
        <w:t>veřejné správy</w:t>
      </w:r>
      <w:r w:rsidRPr="001C0072">
        <w:rPr>
          <w:rFonts w:ascii="Calibri" w:hAnsi="Calibri" w:cs="Calibri"/>
        </w:rPr>
        <w:t>.</w:t>
      </w:r>
      <w:r w:rsidR="00621CEB" w:rsidRPr="001C0072">
        <w:rPr>
          <w:rFonts w:ascii="Calibri" w:hAnsi="Calibri" w:cs="Calibri"/>
        </w:rPr>
        <w:t xml:space="preserve"> Výše zmíněná strategie a </w:t>
      </w:r>
      <w:r w:rsidR="00F32DAA" w:rsidRPr="001C0072">
        <w:rPr>
          <w:rFonts w:ascii="Calibri" w:hAnsi="Calibri" w:cs="Calibri"/>
        </w:rPr>
        <w:t xml:space="preserve">AP NSKB </w:t>
      </w:r>
      <w:r w:rsidR="00621CEB" w:rsidRPr="001C0072">
        <w:rPr>
          <w:rFonts w:ascii="Calibri" w:hAnsi="Calibri" w:cs="Calibri"/>
        </w:rPr>
        <w:t xml:space="preserve">přesahují v některých oblastech ustanovení </w:t>
      </w:r>
      <w:r w:rsidR="00610231" w:rsidRPr="001C0072">
        <w:rPr>
          <w:rFonts w:ascii="Calibri" w:hAnsi="Calibri" w:cs="Calibri"/>
        </w:rPr>
        <w:t>ZKB</w:t>
      </w:r>
      <w:r w:rsidR="00621CEB" w:rsidRPr="001C0072">
        <w:rPr>
          <w:rFonts w:ascii="Calibri" w:hAnsi="Calibri" w:cs="Calibri"/>
        </w:rPr>
        <w:t xml:space="preserve">. </w:t>
      </w:r>
    </w:p>
    <w:p w14:paraId="2D4E9BC5" w14:textId="77777777" w:rsidR="00215449" w:rsidRPr="001C0072" w:rsidRDefault="00215449">
      <w:pPr>
        <w:jc w:val="left"/>
        <w:rPr>
          <w:rFonts w:ascii="Calibri" w:eastAsiaTheme="majorEastAsia" w:hAnsi="Calibri" w:cs="Calibri"/>
          <w:b/>
          <w:caps/>
          <w:szCs w:val="32"/>
        </w:rPr>
      </w:pPr>
      <w:r w:rsidRPr="001C0072">
        <w:rPr>
          <w:rFonts w:ascii="Calibri" w:hAnsi="Calibri" w:cs="Calibri"/>
        </w:rPr>
        <w:br w:type="page"/>
      </w:r>
    </w:p>
    <w:p w14:paraId="3BBAACE8" w14:textId="77777777" w:rsidR="00460109" w:rsidRPr="00373B47" w:rsidRDefault="00373B47" w:rsidP="00373B47">
      <w:pPr>
        <w:pStyle w:val="Nadpis1"/>
        <w:numPr>
          <w:ilvl w:val="0"/>
          <w:numId w:val="0"/>
        </w:numPr>
        <w:spacing w:after="120"/>
        <w:rPr>
          <w:rFonts w:ascii="Calibri" w:hAnsi="Calibri" w:cs="Calibri"/>
          <w:sz w:val="28"/>
        </w:rPr>
      </w:pPr>
      <w:r w:rsidRPr="00373B47">
        <w:rPr>
          <w:rFonts w:ascii="Calibri" w:hAnsi="Calibri" w:cs="Calibri"/>
          <w:sz w:val="28"/>
        </w:rPr>
        <w:lastRenderedPageBreak/>
        <w:t xml:space="preserve">III. </w:t>
      </w:r>
      <w:r w:rsidR="00460109" w:rsidRPr="00373B47">
        <w:rPr>
          <w:rFonts w:ascii="Calibri" w:hAnsi="Calibri" w:cs="Calibri"/>
          <w:sz w:val="28"/>
        </w:rPr>
        <w:t>ROZSAH KONTROLY</w:t>
      </w:r>
    </w:p>
    <w:p w14:paraId="0388200B" w14:textId="3EA9EC42" w:rsidR="00460109" w:rsidRPr="001C0072" w:rsidRDefault="0071374A" w:rsidP="003120DF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Cílem kontroly bylo prověřit, zda činnosti hlavních subjektů podílejících se na zajištění kybernetické bezpečnosti ČR a míra efektivity jejich vzájemné spolupráce vedou k jejímu zvyšování ve smyslu cílů a aktivit definovaných </w:t>
      </w:r>
      <w:r w:rsidRPr="00CD5868">
        <w:rPr>
          <w:rFonts w:ascii="Calibri" w:hAnsi="Calibri" w:cs="Calibri"/>
          <w:i/>
        </w:rPr>
        <w:t>Národní strategií kybernetické bezpečnosti České republiky 2015–2020</w:t>
      </w:r>
      <w:r w:rsidRPr="001C0072">
        <w:rPr>
          <w:rFonts w:ascii="Calibri" w:hAnsi="Calibri" w:cs="Calibri"/>
        </w:rPr>
        <w:t xml:space="preserve"> a </w:t>
      </w:r>
      <w:r w:rsidRPr="00CD5868">
        <w:rPr>
          <w:rFonts w:ascii="Calibri" w:hAnsi="Calibri" w:cs="Calibri"/>
          <w:i/>
        </w:rPr>
        <w:t>Akčního plánu ke</w:t>
      </w:r>
      <w:r w:rsidRPr="00CD105B">
        <w:rPr>
          <w:rFonts w:ascii="Calibri" w:hAnsi="Calibri" w:cs="Calibri"/>
          <w:i/>
        </w:rPr>
        <w:t xml:space="preserve"> strategii 2015</w:t>
      </w:r>
      <w:r w:rsidRPr="00CD5868">
        <w:rPr>
          <w:rFonts w:ascii="Calibri" w:hAnsi="Calibri" w:cs="Calibri"/>
          <w:i/>
        </w:rPr>
        <w:t>–</w:t>
      </w:r>
      <w:r w:rsidRPr="00CD105B">
        <w:rPr>
          <w:rFonts w:ascii="Calibri" w:hAnsi="Calibri" w:cs="Calibri"/>
          <w:i/>
        </w:rPr>
        <w:t>2020</w:t>
      </w:r>
      <w:r w:rsidRPr="00CD5868">
        <w:rPr>
          <w:rFonts w:ascii="Calibri" w:hAnsi="Calibri" w:cs="Calibri"/>
        </w:rPr>
        <w:t>.</w:t>
      </w:r>
      <w:r w:rsidRPr="001C0072">
        <w:rPr>
          <w:rFonts w:ascii="Calibri" w:hAnsi="Calibri" w:cs="Calibri"/>
        </w:rPr>
        <w:t xml:space="preserve"> </w:t>
      </w:r>
      <w:r w:rsidR="00593F41" w:rsidRPr="001C0072">
        <w:rPr>
          <w:rFonts w:ascii="Calibri" w:hAnsi="Calibri" w:cs="Calibri"/>
        </w:rPr>
        <w:t xml:space="preserve">V souvislosti </w:t>
      </w:r>
      <w:r w:rsidR="002E4DAE">
        <w:rPr>
          <w:rFonts w:ascii="Calibri" w:hAnsi="Calibri" w:cs="Calibri"/>
        </w:rPr>
        <w:t>s výše uvedeným</w:t>
      </w:r>
      <w:r w:rsidR="00685504" w:rsidRPr="001C0072">
        <w:rPr>
          <w:rFonts w:ascii="Calibri" w:hAnsi="Calibri" w:cs="Calibri"/>
        </w:rPr>
        <w:t xml:space="preserve"> prověřil NKÚ také realizaci</w:t>
      </w:r>
      <w:r w:rsidR="00593F41" w:rsidRPr="001C0072">
        <w:rPr>
          <w:rFonts w:ascii="Calibri" w:hAnsi="Calibri" w:cs="Calibri"/>
        </w:rPr>
        <w:t xml:space="preserve"> tří projektů </w:t>
      </w:r>
      <w:r w:rsidR="00685504" w:rsidRPr="001C0072">
        <w:rPr>
          <w:rFonts w:ascii="Calibri" w:hAnsi="Calibri" w:cs="Calibri"/>
        </w:rPr>
        <w:t xml:space="preserve">v oblasti </w:t>
      </w:r>
      <w:r w:rsidR="000664D4" w:rsidRPr="001C0072">
        <w:rPr>
          <w:rFonts w:ascii="Calibri" w:hAnsi="Calibri" w:cs="Calibri"/>
        </w:rPr>
        <w:t>KB</w:t>
      </w:r>
      <w:r w:rsidR="00685504" w:rsidRPr="001C0072">
        <w:rPr>
          <w:rFonts w:ascii="Calibri" w:hAnsi="Calibri" w:cs="Calibri"/>
        </w:rPr>
        <w:t xml:space="preserve">. Dva z těchto projektů realizoval NÚKIB a jeden projekt </w:t>
      </w:r>
      <w:r w:rsidR="003F274F">
        <w:rPr>
          <w:rFonts w:ascii="Calibri" w:hAnsi="Calibri" w:cs="Calibri"/>
        </w:rPr>
        <w:t xml:space="preserve">realizovalo </w:t>
      </w:r>
      <w:r w:rsidR="00685504" w:rsidRPr="001C0072">
        <w:rPr>
          <w:rFonts w:ascii="Calibri" w:hAnsi="Calibri" w:cs="Calibri"/>
        </w:rPr>
        <w:t>MV.</w:t>
      </w:r>
    </w:p>
    <w:p w14:paraId="1841FEB8" w14:textId="1949F3F8" w:rsidR="0071374A" w:rsidRPr="001C0072" w:rsidRDefault="00E32E62" w:rsidP="003120DF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NÚKIB</w:t>
      </w:r>
      <w:r w:rsidR="008341B8" w:rsidRPr="001C0072">
        <w:rPr>
          <w:rFonts w:ascii="Calibri" w:hAnsi="Calibri" w:cs="Calibri"/>
        </w:rPr>
        <w:t xml:space="preserve"> dozoruje kybernetickou a i</w:t>
      </w:r>
      <w:r w:rsidR="000F386A" w:rsidRPr="001C0072">
        <w:rPr>
          <w:rFonts w:ascii="Calibri" w:hAnsi="Calibri" w:cs="Calibri"/>
        </w:rPr>
        <w:t>nformační bezpečnost státu a pl</w:t>
      </w:r>
      <w:r w:rsidR="008341B8" w:rsidRPr="001C0072">
        <w:rPr>
          <w:rFonts w:ascii="Calibri" w:hAnsi="Calibri" w:cs="Calibri"/>
        </w:rPr>
        <w:t>nění povinností dle ZKB. MV</w:t>
      </w:r>
      <w:r w:rsidR="008341B8" w:rsidRPr="001C0072">
        <w:rPr>
          <w:rFonts w:ascii="Calibri" w:hAnsi="Calibri" w:cs="Calibri"/>
          <w:bCs/>
        </w:rPr>
        <w:t xml:space="preserve"> je mj. ústředním orgánem</w:t>
      </w:r>
      <w:r w:rsidR="0061018F" w:rsidRPr="001C0072">
        <w:rPr>
          <w:rFonts w:ascii="Calibri" w:hAnsi="Calibri" w:cs="Calibri"/>
          <w:bCs/>
        </w:rPr>
        <w:t xml:space="preserve"> státní správy</w:t>
      </w:r>
      <w:r w:rsidR="008341B8" w:rsidRPr="001C0072">
        <w:rPr>
          <w:rFonts w:ascii="Calibri" w:hAnsi="Calibri" w:cs="Calibri"/>
          <w:bCs/>
        </w:rPr>
        <w:t xml:space="preserve"> pro oblast informačních systémů veřejné správy, elektronickou identifikaci a služby vytvářející důvěru</w:t>
      </w:r>
      <w:r w:rsidR="009A197A">
        <w:rPr>
          <w:rFonts w:ascii="Calibri" w:hAnsi="Calibri" w:cs="Calibri"/>
          <w:bCs/>
        </w:rPr>
        <w:t>.</w:t>
      </w:r>
      <w:r w:rsidR="008341B8" w:rsidRPr="001C0072">
        <w:rPr>
          <w:rFonts w:ascii="Calibri" w:hAnsi="Calibri" w:cs="Calibri"/>
          <w:bCs/>
        </w:rPr>
        <w:t xml:space="preserve"> </w:t>
      </w:r>
      <w:r w:rsidR="009A197A">
        <w:rPr>
          <w:rFonts w:ascii="Calibri" w:hAnsi="Calibri" w:cs="Calibri"/>
          <w:bCs/>
        </w:rPr>
        <w:t>Zároveň MV</w:t>
      </w:r>
      <w:r w:rsidR="009A197A" w:rsidRPr="00DC326B">
        <w:rPr>
          <w:rFonts w:ascii="Calibri" w:hAnsi="Calibri" w:cs="Calibri"/>
          <w:bCs/>
        </w:rPr>
        <w:t>, resp. resort MV</w:t>
      </w:r>
      <w:r w:rsidR="00CB311A">
        <w:rPr>
          <w:rFonts w:ascii="Calibri" w:hAnsi="Calibri" w:cs="Calibri"/>
          <w:bCs/>
        </w:rPr>
        <w:t>,</w:t>
      </w:r>
      <w:r w:rsidR="008341B8" w:rsidRPr="001C0072">
        <w:rPr>
          <w:rFonts w:ascii="Calibri" w:hAnsi="Calibri" w:cs="Calibri"/>
          <w:bCs/>
        </w:rPr>
        <w:t xml:space="preserve"> </w:t>
      </w:r>
      <w:r w:rsidR="009A197A" w:rsidRPr="001C0072">
        <w:rPr>
          <w:rFonts w:ascii="Calibri" w:hAnsi="Calibri" w:cs="Calibri"/>
          <w:bCs/>
        </w:rPr>
        <w:t>s</w:t>
      </w:r>
      <w:r w:rsidR="009A197A">
        <w:rPr>
          <w:rFonts w:ascii="Calibri" w:hAnsi="Calibri" w:cs="Calibri"/>
          <w:bCs/>
        </w:rPr>
        <w:t>pravuje</w:t>
      </w:r>
      <w:r w:rsidR="009A197A" w:rsidRPr="001C0072">
        <w:rPr>
          <w:rFonts w:ascii="Calibri" w:hAnsi="Calibri" w:cs="Calibri"/>
          <w:bCs/>
        </w:rPr>
        <w:t xml:space="preserve"> </w:t>
      </w:r>
      <w:r w:rsidR="008341B8" w:rsidRPr="001C0072">
        <w:rPr>
          <w:rFonts w:ascii="Calibri" w:hAnsi="Calibri" w:cs="Calibri"/>
          <w:bCs/>
        </w:rPr>
        <w:t xml:space="preserve">30 IS </w:t>
      </w:r>
      <w:r w:rsidR="008341B8" w:rsidRPr="001C0072">
        <w:rPr>
          <w:rFonts w:ascii="Calibri" w:hAnsi="Calibri" w:cs="Calibri"/>
        </w:rPr>
        <w:t>(19 KII, 11 VIS)</w:t>
      </w:r>
      <w:r w:rsidR="008341B8" w:rsidRPr="001C0072">
        <w:rPr>
          <w:rFonts w:ascii="Calibri" w:hAnsi="Calibri" w:cs="Calibri"/>
          <w:bCs/>
        </w:rPr>
        <w:t xml:space="preserve"> spadajících pod ZKB. </w:t>
      </w:r>
      <w:r w:rsidR="0071374A" w:rsidRPr="001C0072">
        <w:rPr>
          <w:rFonts w:ascii="Calibri" w:hAnsi="Calibri" w:cs="Calibri"/>
        </w:rPr>
        <w:t xml:space="preserve">Zvyšování kybernetické bezpečnosti státu a míru efektivity spolupráce NÚKIB a MV vyhodnocoval </w:t>
      </w:r>
      <w:r w:rsidR="002E4DAE" w:rsidRPr="001C0072">
        <w:rPr>
          <w:rFonts w:ascii="Calibri" w:hAnsi="Calibri" w:cs="Calibri"/>
        </w:rPr>
        <w:t xml:space="preserve">NKÚ </w:t>
      </w:r>
      <w:r w:rsidR="0071374A" w:rsidRPr="001C0072">
        <w:rPr>
          <w:rFonts w:ascii="Calibri" w:hAnsi="Calibri" w:cs="Calibri"/>
        </w:rPr>
        <w:t xml:space="preserve">na základě vybraných úkolů AP NSKB. </w:t>
      </w:r>
      <w:r w:rsidR="00E321B9" w:rsidRPr="001C0072">
        <w:rPr>
          <w:rFonts w:ascii="Calibri" w:hAnsi="Calibri" w:cs="Calibri"/>
        </w:rPr>
        <w:t>Z</w:t>
      </w:r>
      <w:r w:rsidR="0007684B">
        <w:rPr>
          <w:rFonts w:ascii="Calibri" w:hAnsi="Calibri" w:cs="Calibri"/>
        </w:rPr>
        <w:t> celkového počtu 141 </w:t>
      </w:r>
      <w:r w:rsidR="00D808BF" w:rsidRPr="001C0072">
        <w:rPr>
          <w:rFonts w:ascii="Calibri" w:hAnsi="Calibri" w:cs="Calibri"/>
        </w:rPr>
        <w:t>úkolů</w:t>
      </w:r>
      <w:r w:rsidR="0071374A" w:rsidRPr="001C0072">
        <w:rPr>
          <w:rFonts w:ascii="Calibri" w:hAnsi="Calibri" w:cs="Calibri"/>
        </w:rPr>
        <w:t xml:space="preserve"> AP NSKB NKÚ vybral</w:t>
      </w:r>
      <w:r w:rsidR="00240C1A" w:rsidRPr="001C0072">
        <w:rPr>
          <w:rFonts w:ascii="Calibri" w:hAnsi="Calibri" w:cs="Calibri"/>
        </w:rPr>
        <w:t xml:space="preserve"> </w:t>
      </w:r>
      <w:r w:rsidR="00421F80" w:rsidRPr="001C0072">
        <w:rPr>
          <w:rFonts w:ascii="Calibri" w:hAnsi="Calibri" w:cs="Calibri"/>
        </w:rPr>
        <w:t>57 úkolů</w:t>
      </w:r>
      <w:r w:rsidR="0071374A" w:rsidRPr="001C0072">
        <w:rPr>
          <w:rFonts w:ascii="Calibri" w:hAnsi="Calibri" w:cs="Calibri"/>
        </w:rPr>
        <w:t xml:space="preserve"> s ohledem na jejich </w:t>
      </w:r>
      <w:r w:rsidR="00EA412D">
        <w:rPr>
          <w:rFonts w:ascii="Calibri" w:hAnsi="Calibri" w:cs="Calibri"/>
        </w:rPr>
        <w:t>gestory a </w:t>
      </w:r>
      <w:proofErr w:type="spellStart"/>
      <w:r w:rsidR="00D808BF" w:rsidRPr="001C0072">
        <w:rPr>
          <w:rFonts w:ascii="Calibri" w:hAnsi="Calibri" w:cs="Calibri"/>
        </w:rPr>
        <w:t>spolugestory</w:t>
      </w:r>
      <w:proofErr w:type="spellEnd"/>
      <w:r w:rsidR="00D808BF" w:rsidRPr="001C0072">
        <w:rPr>
          <w:rFonts w:ascii="Calibri" w:hAnsi="Calibri" w:cs="Calibri"/>
        </w:rPr>
        <w:t xml:space="preserve"> a zároveň s cílem prověřit primárně úkoly vyžadující spolupráci NÚKIB a MV.</w:t>
      </w:r>
    </w:p>
    <w:p w14:paraId="36D59F94" w14:textId="77777777" w:rsidR="00F55229" w:rsidRPr="001C0072" w:rsidRDefault="00C66BEA" w:rsidP="00D212BE">
      <w:pPr>
        <w:spacing w:before="120"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U NÚKIB </w:t>
      </w:r>
      <w:r w:rsidR="00F55229" w:rsidRPr="001C0072">
        <w:rPr>
          <w:rFonts w:ascii="Calibri" w:hAnsi="Calibri" w:cs="Calibri"/>
        </w:rPr>
        <w:t xml:space="preserve">se kontrola zaměřila na činnosti </w:t>
      </w:r>
      <w:r w:rsidR="006D08F1" w:rsidRPr="001C0072">
        <w:rPr>
          <w:rFonts w:ascii="Calibri" w:hAnsi="Calibri" w:cs="Calibri"/>
        </w:rPr>
        <w:t>tohoto úřadu</w:t>
      </w:r>
      <w:r w:rsidR="00F55229" w:rsidRPr="001C0072">
        <w:rPr>
          <w:rFonts w:ascii="Calibri" w:hAnsi="Calibri" w:cs="Calibri"/>
        </w:rPr>
        <w:t xml:space="preserve"> z pohledu gestora </w:t>
      </w:r>
      <w:r w:rsidR="000664D4" w:rsidRPr="001C0072">
        <w:rPr>
          <w:rFonts w:ascii="Calibri" w:hAnsi="Calibri" w:cs="Calibri"/>
        </w:rPr>
        <w:t xml:space="preserve">KB </w:t>
      </w:r>
      <w:r w:rsidR="00F55229" w:rsidRPr="001C0072">
        <w:rPr>
          <w:rFonts w:ascii="Calibri" w:hAnsi="Calibri" w:cs="Calibri"/>
        </w:rPr>
        <w:t>státu</w:t>
      </w:r>
      <w:r w:rsidR="009A197A">
        <w:rPr>
          <w:rFonts w:ascii="Calibri" w:hAnsi="Calibri" w:cs="Calibri"/>
        </w:rPr>
        <w:t xml:space="preserve">, přičemž </w:t>
      </w:r>
      <w:r w:rsidR="009A197A" w:rsidRPr="001C0072">
        <w:rPr>
          <w:rFonts w:ascii="Calibri" w:hAnsi="Calibri" w:cs="Calibri"/>
        </w:rPr>
        <w:t>celkové výdaje</w:t>
      </w:r>
      <w:r w:rsidR="009A197A">
        <w:rPr>
          <w:rFonts w:ascii="Calibri" w:hAnsi="Calibri" w:cs="Calibri"/>
        </w:rPr>
        <w:t>, které</w:t>
      </w:r>
      <w:r w:rsidR="009A197A" w:rsidRPr="001C0072">
        <w:rPr>
          <w:rFonts w:ascii="Calibri" w:hAnsi="Calibri" w:cs="Calibri"/>
        </w:rPr>
        <w:t xml:space="preserve"> NÚKIB</w:t>
      </w:r>
      <w:r w:rsidR="009A197A">
        <w:rPr>
          <w:rFonts w:ascii="Calibri" w:hAnsi="Calibri" w:cs="Calibri"/>
        </w:rPr>
        <w:t xml:space="preserve"> vynaložil v souvislosti s výkonem svých činností</w:t>
      </w:r>
      <w:r w:rsidR="00EA412D">
        <w:rPr>
          <w:rFonts w:ascii="Calibri" w:hAnsi="Calibri" w:cs="Calibri"/>
        </w:rPr>
        <w:t xml:space="preserve"> v letech 2017 až </w:t>
      </w:r>
      <w:r w:rsidR="009A197A" w:rsidRPr="001C0072">
        <w:rPr>
          <w:rFonts w:ascii="Calibri" w:hAnsi="Calibri" w:cs="Calibri"/>
        </w:rPr>
        <w:t>2019</w:t>
      </w:r>
      <w:r w:rsidR="009A197A">
        <w:rPr>
          <w:rFonts w:ascii="Calibri" w:hAnsi="Calibri" w:cs="Calibri"/>
        </w:rPr>
        <w:t>,</w:t>
      </w:r>
      <w:r w:rsidR="009A197A" w:rsidRPr="001C0072">
        <w:rPr>
          <w:rFonts w:ascii="Calibri" w:hAnsi="Calibri" w:cs="Calibri"/>
        </w:rPr>
        <w:t xml:space="preserve"> činily přibližně 884 mil.</w:t>
      </w:r>
      <w:r w:rsidR="00FF3C86">
        <w:rPr>
          <w:rFonts w:ascii="Calibri" w:hAnsi="Calibri" w:cs="Calibri"/>
        </w:rPr>
        <w:t> Kč.</w:t>
      </w:r>
      <w:r w:rsidR="009A197A" w:rsidRPr="001C0072">
        <w:rPr>
          <w:rFonts w:ascii="Calibri" w:hAnsi="Calibri" w:cs="Calibri"/>
        </w:rPr>
        <w:t xml:space="preserve"> </w:t>
      </w:r>
      <w:r w:rsidR="006D08F1" w:rsidRPr="001C0072">
        <w:rPr>
          <w:rFonts w:ascii="Calibri" w:hAnsi="Calibri" w:cs="Calibri"/>
        </w:rPr>
        <w:t>Jednalo se mimo jiné o činnosti v oblastech:</w:t>
      </w:r>
      <w:r w:rsidR="00F55229" w:rsidRPr="001C0072">
        <w:rPr>
          <w:rFonts w:ascii="Calibri" w:hAnsi="Calibri" w:cs="Calibri"/>
        </w:rPr>
        <w:t xml:space="preserve"> financování </w:t>
      </w:r>
      <w:r w:rsidR="000664D4" w:rsidRPr="001C0072">
        <w:rPr>
          <w:rFonts w:ascii="Calibri" w:hAnsi="Calibri" w:cs="Calibri"/>
        </w:rPr>
        <w:t>KB</w:t>
      </w:r>
      <w:r w:rsidR="00F55229" w:rsidRPr="001C0072">
        <w:rPr>
          <w:rFonts w:ascii="Calibri" w:hAnsi="Calibri" w:cs="Calibri"/>
        </w:rPr>
        <w:t xml:space="preserve"> státu, </w:t>
      </w:r>
      <w:r w:rsidRPr="001C0072">
        <w:rPr>
          <w:rFonts w:ascii="Calibri" w:hAnsi="Calibri" w:cs="Calibri"/>
        </w:rPr>
        <w:t xml:space="preserve">personální kapacity NÚKIB pro </w:t>
      </w:r>
      <w:r w:rsidR="00F55229" w:rsidRPr="001C0072">
        <w:rPr>
          <w:rFonts w:ascii="Calibri" w:hAnsi="Calibri" w:cs="Calibri"/>
        </w:rPr>
        <w:t>její zajištění, spoluprác</w:t>
      </w:r>
      <w:r w:rsidR="006D08F1" w:rsidRPr="001C0072">
        <w:rPr>
          <w:rFonts w:ascii="Calibri" w:hAnsi="Calibri" w:cs="Calibri"/>
        </w:rPr>
        <w:t>e</w:t>
      </w:r>
      <w:r w:rsidR="00F55229" w:rsidRPr="001C0072">
        <w:rPr>
          <w:rFonts w:ascii="Calibri" w:hAnsi="Calibri" w:cs="Calibri"/>
        </w:rPr>
        <w:t xml:space="preserve"> NÚKIB a MV při vybraných činnostech</w:t>
      </w:r>
      <w:r w:rsidR="006D08F1" w:rsidRPr="001C0072">
        <w:rPr>
          <w:rFonts w:ascii="Calibri" w:hAnsi="Calibri" w:cs="Calibri"/>
        </w:rPr>
        <w:t xml:space="preserve"> a</w:t>
      </w:r>
      <w:r w:rsidR="00F55229" w:rsidRPr="001C0072">
        <w:rPr>
          <w:rFonts w:ascii="Calibri" w:hAnsi="Calibri" w:cs="Calibri"/>
        </w:rPr>
        <w:t xml:space="preserve"> </w:t>
      </w:r>
      <w:r w:rsidR="006D08F1" w:rsidRPr="001C0072">
        <w:rPr>
          <w:rFonts w:ascii="Calibri" w:hAnsi="Calibri" w:cs="Calibri"/>
        </w:rPr>
        <w:t xml:space="preserve">podíl NÚKIB na nastavení pravidel pro čerpání prostředků </w:t>
      </w:r>
      <w:r w:rsidR="00890128" w:rsidRPr="001C0072">
        <w:rPr>
          <w:rFonts w:ascii="Calibri" w:hAnsi="Calibri" w:cs="Calibri"/>
        </w:rPr>
        <w:t xml:space="preserve">na </w:t>
      </w:r>
      <w:r w:rsidR="000664D4" w:rsidRPr="001C0072">
        <w:rPr>
          <w:rFonts w:ascii="Calibri" w:hAnsi="Calibri" w:cs="Calibri"/>
        </w:rPr>
        <w:t>KB</w:t>
      </w:r>
      <w:r w:rsidR="00890128" w:rsidRPr="001C0072">
        <w:rPr>
          <w:rFonts w:ascii="Calibri" w:hAnsi="Calibri" w:cs="Calibri"/>
        </w:rPr>
        <w:t xml:space="preserve"> </w:t>
      </w:r>
      <w:r w:rsidR="006D08F1" w:rsidRPr="001C0072">
        <w:rPr>
          <w:rFonts w:ascii="Calibri" w:hAnsi="Calibri" w:cs="Calibri"/>
        </w:rPr>
        <w:t>z </w:t>
      </w:r>
      <w:r w:rsidR="009C3431" w:rsidRPr="001C0072">
        <w:rPr>
          <w:rFonts w:ascii="Calibri" w:hAnsi="Calibri" w:cs="Calibri"/>
        </w:rPr>
        <w:t>evropských strukturálních a investičních fondů (dále také „ESIF“)</w:t>
      </w:r>
      <w:r w:rsidR="006D08F1" w:rsidRPr="001C0072">
        <w:rPr>
          <w:rFonts w:ascii="Calibri" w:hAnsi="Calibri" w:cs="Calibri"/>
        </w:rPr>
        <w:t xml:space="preserve">. </w:t>
      </w:r>
      <w:r w:rsidR="00F55229" w:rsidRPr="001C0072">
        <w:rPr>
          <w:rFonts w:ascii="Calibri" w:hAnsi="Calibri" w:cs="Calibri"/>
        </w:rPr>
        <w:t>Dále se NKÚ zaměřil na hospodárnost a</w:t>
      </w:r>
      <w:r w:rsidR="00FB421F">
        <w:rPr>
          <w:rFonts w:ascii="Calibri" w:hAnsi="Calibri" w:cs="Calibri"/>
        </w:rPr>
        <w:t> </w:t>
      </w:r>
      <w:r w:rsidR="00F55229" w:rsidRPr="001C0072">
        <w:rPr>
          <w:rFonts w:ascii="Calibri" w:hAnsi="Calibri" w:cs="Calibri"/>
        </w:rPr>
        <w:t xml:space="preserve">účelnost vynaložení peněžních prostředků na projekty </w:t>
      </w:r>
      <w:r w:rsidR="00F55229" w:rsidRPr="001C0072">
        <w:rPr>
          <w:rFonts w:ascii="Calibri" w:hAnsi="Calibri" w:cs="Calibri"/>
          <w:i/>
        </w:rPr>
        <w:t>Systém detekce kybernetických bezpečnostních incidentů ve vybraných informačních systémech veřejné správy</w:t>
      </w:r>
      <w:r w:rsidR="00F55229" w:rsidRPr="001C0072">
        <w:rPr>
          <w:rFonts w:ascii="Calibri" w:hAnsi="Calibri" w:cs="Calibri"/>
        </w:rPr>
        <w:t xml:space="preserve"> a</w:t>
      </w:r>
      <w:r w:rsidR="002E4DAE">
        <w:rPr>
          <w:rFonts w:ascii="Calibri" w:hAnsi="Calibri" w:cs="Calibri"/>
        </w:rPr>
        <w:t xml:space="preserve"> projekt</w:t>
      </w:r>
      <w:r w:rsidR="00F55229" w:rsidRPr="001C0072">
        <w:rPr>
          <w:rFonts w:ascii="Calibri" w:hAnsi="Calibri" w:cs="Calibri"/>
        </w:rPr>
        <w:t xml:space="preserve"> </w:t>
      </w:r>
      <w:r w:rsidR="00F55229" w:rsidRPr="001C0072">
        <w:rPr>
          <w:rFonts w:ascii="Calibri" w:hAnsi="Calibri" w:cs="Calibri"/>
          <w:i/>
        </w:rPr>
        <w:t>Ochrana vnějšího perimetru</w:t>
      </w:r>
      <w:r w:rsidR="00F55229" w:rsidRPr="001C0072">
        <w:rPr>
          <w:rFonts w:ascii="Calibri" w:hAnsi="Calibri" w:cs="Calibri"/>
        </w:rPr>
        <w:t>.</w:t>
      </w:r>
    </w:p>
    <w:p w14:paraId="3C57B63A" w14:textId="0D89F442" w:rsidR="00460109" w:rsidRPr="001C0072" w:rsidRDefault="001B2070" w:rsidP="00D212BE">
      <w:pPr>
        <w:spacing w:before="120"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V případě MV se kontrola zaměřila </w:t>
      </w:r>
      <w:r w:rsidR="00AD48EE" w:rsidRPr="001C0072">
        <w:rPr>
          <w:rFonts w:ascii="Calibri" w:hAnsi="Calibri" w:cs="Calibri"/>
        </w:rPr>
        <w:t xml:space="preserve">mimo jiné </w:t>
      </w:r>
      <w:r w:rsidR="009A197A">
        <w:rPr>
          <w:rFonts w:ascii="Calibri" w:hAnsi="Calibri" w:cs="Calibri"/>
        </w:rPr>
        <w:t>na</w:t>
      </w:r>
      <w:r w:rsidR="003F274F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 xml:space="preserve">plánování a rozvoj </w:t>
      </w:r>
      <w:r w:rsidR="000664D4" w:rsidRPr="001C0072">
        <w:rPr>
          <w:rFonts w:ascii="Calibri" w:hAnsi="Calibri" w:cs="Calibri"/>
        </w:rPr>
        <w:t xml:space="preserve">KB </w:t>
      </w:r>
      <w:r w:rsidRPr="001C0072">
        <w:rPr>
          <w:rFonts w:ascii="Calibri" w:hAnsi="Calibri" w:cs="Calibri"/>
        </w:rPr>
        <w:t xml:space="preserve">jím spravovaných </w:t>
      </w:r>
      <w:r w:rsidR="000664D4" w:rsidRPr="001C0072">
        <w:rPr>
          <w:rFonts w:ascii="Calibri" w:hAnsi="Calibri" w:cs="Calibri"/>
        </w:rPr>
        <w:t>IS</w:t>
      </w:r>
      <w:r w:rsidRPr="001C0072">
        <w:rPr>
          <w:rFonts w:ascii="Calibri" w:hAnsi="Calibri" w:cs="Calibri"/>
        </w:rPr>
        <w:t xml:space="preserve">, zajištění financování </w:t>
      </w:r>
      <w:r w:rsidR="00AD48EE" w:rsidRPr="001C0072">
        <w:rPr>
          <w:rFonts w:ascii="Calibri" w:hAnsi="Calibri" w:cs="Calibri"/>
        </w:rPr>
        <w:t xml:space="preserve">rozvoje </w:t>
      </w:r>
      <w:r w:rsidR="000664D4" w:rsidRPr="001C0072">
        <w:rPr>
          <w:rFonts w:ascii="Calibri" w:hAnsi="Calibri" w:cs="Calibri"/>
        </w:rPr>
        <w:t>KB</w:t>
      </w:r>
      <w:r w:rsidR="00AD48EE" w:rsidRPr="001C0072">
        <w:rPr>
          <w:rFonts w:ascii="Calibri" w:hAnsi="Calibri" w:cs="Calibri"/>
        </w:rPr>
        <w:t>, personální kapacity MV v této oblasti, spolupráci MV a NÚKIB při vybraných činnostech a podíl MV na nastavení pravidel pro čerpání prostředků</w:t>
      </w:r>
      <w:r w:rsidR="00890128" w:rsidRPr="001C0072">
        <w:rPr>
          <w:rFonts w:ascii="Calibri" w:hAnsi="Calibri" w:cs="Calibri"/>
        </w:rPr>
        <w:t xml:space="preserve"> na </w:t>
      </w:r>
      <w:r w:rsidR="000664D4" w:rsidRPr="001C0072">
        <w:rPr>
          <w:rFonts w:ascii="Calibri" w:hAnsi="Calibri" w:cs="Calibri"/>
        </w:rPr>
        <w:t>KB</w:t>
      </w:r>
      <w:r w:rsidR="00AD48EE" w:rsidRPr="001C0072">
        <w:rPr>
          <w:rFonts w:ascii="Calibri" w:hAnsi="Calibri" w:cs="Calibri"/>
        </w:rPr>
        <w:t xml:space="preserve"> z ESIF.</w:t>
      </w:r>
      <w:r w:rsidR="00890128" w:rsidRPr="001C0072">
        <w:rPr>
          <w:rFonts w:ascii="Calibri" w:hAnsi="Calibri" w:cs="Calibri"/>
        </w:rPr>
        <w:t xml:space="preserve"> Dále se NKÚ zaměřil na účelnost vynaložení peněžních prostředků na projekt </w:t>
      </w:r>
      <w:r w:rsidR="00890128" w:rsidRPr="009F567F">
        <w:rPr>
          <w:rFonts w:ascii="Calibri" w:hAnsi="Calibri" w:cs="Calibri"/>
        </w:rPr>
        <w:t>Dohledového centra eGovernmentu</w:t>
      </w:r>
      <w:r w:rsidR="00F32DAA" w:rsidRPr="00EC1255">
        <w:rPr>
          <w:rFonts w:ascii="Calibri" w:hAnsi="Calibri" w:cs="Calibri"/>
        </w:rPr>
        <w:t xml:space="preserve"> (dále také „</w:t>
      </w:r>
      <w:proofErr w:type="spellStart"/>
      <w:r w:rsidR="00F32DAA" w:rsidRPr="00EC1255">
        <w:rPr>
          <w:rFonts w:ascii="Calibri" w:hAnsi="Calibri" w:cs="Calibri"/>
        </w:rPr>
        <w:t>DCeGOV</w:t>
      </w:r>
      <w:proofErr w:type="spellEnd"/>
      <w:r w:rsidR="00F32DAA" w:rsidRPr="00EC1255">
        <w:rPr>
          <w:rFonts w:ascii="Calibri" w:hAnsi="Calibri" w:cs="Calibri"/>
        </w:rPr>
        <w:t>“)</w:t>
      </w:r>
      <w:r w:rsidR="00890128" w:rsidRPr="00EC1255">
        <w:rPr>
          <w:rFonts w:ascii="Calibri" w:hAnsi="Calibri" w:cs="Calibri"/>
        </w:rPr>
        <w:t>.</w:t>
      </w:r>
    </w:p>
    <w:p w14:paraId="0BF69129" w14:textId="77777777" w:rsidR="00D41D76" w:rsidRPr="001C0072" w:rsidRDefault="00D41D76" w:rsidP="00D212BE">
      <w:pPr>
        <w:spacing w:before="120"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V souvislosti s aktuálním děním prověřil NKÚ také </w:t>
      </w:r>
      <w:r w:rsidR="009A197A">
        <w:rPr>
          <w:rFonts w:ascii="Calibri" w:hAnsi="Calibri" w:cs="Calibri"/>
        </w:rPr>
        <w:t>činnosti</w:t>
      </w:r>
      <w:r w:rsidR="009A197A" w:rsidRPr="001C0072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NÚKIB a MV při řešení kybernetických útoků na zdravotnická zařízení a další subjekty</w:t>
      </w:r>
      <w:r w:rsidR="00214FB8" w:rsidRPr="001C0072">
        <w:rPr>
          <w:rFonts w:ascii="Calibri" w:hAnsi="Calibri" w:cs="Calibri"/>
        </w:rPr>
        <w:t>, a to zejména v souvislosti s vytížením jejich personálních kapacit</w:t>
      </w:r>
      <w:r w:rsidRPr="001C0072">
        <w:rPr>
          <w:rFonts w:ascii="Calibri" w:hAnsi="Calibri" w:cs="Calibri"/>
        </w:rPr>
        <w:t>.</w:t>
      </w:r>
    </w:p>
    <w:p w14:paraId="0D2B8D51" w14:textId="77777777" w:rsidR="006E4FAA" w:rsidRPr="001C0072" w:rsidRDefault="006E4FAA" w:rsidP="00D212BE">
      <w:pPr>
        <w:spacing w:before="120"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>Kontrolovaný objem peněžních prostředků byl 828 828 806 Kč.</w:t>
      </w:r>
    </w:p>
    <w:p w14:paraId="5AD91179" w14:textId="77777777" w:rsidR="00C9685F" w:rsidRPr="001C0072" w:rsidRDefault="00C9685F" w:rsidP="00D212BE">
      <w:pPr>
        <w:pStyle w:val="Zkladn"/>
        <w:spacing w:before="0" w:after="120"/>
        <w:rPr>
          <w:rFonts w:ascii="Calibri" w:hAnsi="Calibri" w:cs="Calibri"/>
        </w:rPr>
      </w:pPr>
    </w:p>
    <w:p w14:paraId="54803FDF" w14:textId="77777777" w:rsidR="00D212BE" w:rsidRPr="001C0072" w:rsidRDefault="00D212BE" w:rsidP="00D212BE">
      <w:pPr>
        <w:spacing w:line="240" w:lineRule="auto"/>
        <w:jc w:val="left"/>
        <w:rPr>
          <w:rFonts w:ascii="Calibri" w:hAnsi="Calibri" w:cs="Calibri"/>
        </w:rPr>
      </w:pPr>
      <w:r w:rsidRPr="001C0072">
        <w:rPr>
          <w:rFonts w:ascii="Calibri" w:hAnsi="Calibri" w:cs="Calibri"/>
        </w:rPr>
        <w:br w:type="page"/>
      </w:r>
    </w:p>
    <w:p w14:paraId="571F43F3" w14:textId="77777777" w:rsidR="00CE023C" w:rsidRPr="003F274F" w:rsidRDefault="00350527" w:rsidP="00350527">
      <w:pPr>
        <w:pStyle w:val="Nadpis1"/>
        <w:numPr>
          <w:ilvl w:val="0"/>
          <w:numId w:val="0"/>
        </w:numPr>
        <w:spacing w:before="0" w:after="120" w:line="240" w:lineRule="auto"/>
        <w:rPr>
          <w:rFonts w:ascii="Calibri" w:hAnsi="Calibri" w:cs="Calibri"/>
          <w:sz w:val="28"/>
        </w:rPr>
      </w:pPr>
      <w:r w:rsidRPr="003F274F">
        <w:rPr>
          <w:rFonts w:ascii="Calibri" w:hAnsi="Calibri" w:cs="Calibri"/>
          <w:sz w:val="28"/>
        </w:rPr>
        <w:lastRenderedPageBreak/>
        <w:t xml:space="preserve">IV. </w:t>
      </w:r>
      <w:r w:rsidR="00CE023C" w:rsidRPr="003F274F">
        <w:rPr>
          <w:rFonts w:ascii="Calibri" w:hAnsi="Calibri" w:cs="Calibri"/>
          <w:sz w:val="28"/>
        </w:rPr>
        <w:t>PODROBNÉ SKUTEČNOSTI ZJIŠTĚNÉ KONTROLOU</w:t>
      </w:r>
    </w:p>
    <w:p w14:paraId="657E975E" w14:textId="77777777" w:rsidR="00D72D15" w:rsidRPr="0087118C" w:rsidRDefault="00D72D15" w:rsidP="0087118C">
      <w:pPr>
        <w:pStyle w:val="Zkladn"/>
        <w:keepNext/>
        <w:spacing w:before="0" w:after="120"/>
        <w:rPr>
          <w:rFonts w:ascii="Calibri" w:hAnsi="Calibri" w:cs="Calibri"/>
          <w:b/>
          <w:szCs w:val="26"/>
        </w:rPr>
      </w:pPr>
      <w:r w:rsidRPr="0087118C">
        <w:rPr>
          <w:rFonts w:ascii="Calibri" w:hAnsi="Calibri" w:cs="Calibri"/>
          <w:b/>
          <w:szCs w:val="26"/>
        </w:rPr>
        <w:t xml:space="preserve">Plnění úkolů AP NSKB </w:t>
      </w:r>
    </w:p>
    <w:p w14:paraId="4481E609" w14:textId="5F2B21B4" w:rsidR="00D72D15" w:rsidRPr="001C0072" w:rsidRDefault="00362E5A" w:rsidP="008C625F">
      <w:pPr>
        <w:spacing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Zvyšování kybernetické bezpečnosti státu a míru efektivity spolupráce NÚKIB a MV vyhodnocoval </w:t>
      </w:r>
      <w:r w:rsidR="002E4DAE" w:rsidRPr="001C0072">
        <w:rPr>
          <w:rFonts w:ascii="Calibri" w:hAnsi="Calibri" w:cs="Calibri"/>
        </w:rPr>
        <w:t xml:space="preserve">NKÚ </w:t>
      </w:r>
      <w:r w:rsidR="009D11B7" w:rsidRPr="001C0072">
        <w:rPr>
          <w:rFonts w:ascii="Calibri" w:hAnsi="Calibri" w:cs="Calibri"/>
        </w:rPr>
        <w:t xml:space="preserve">zejm. </w:t>
      </w:r>
      <w:r w:rsidR="002E4DAE">
        <w:rPr>
          <w:rFonts w:ascii="Calibri" w:hAnsi="Calibri" w:cs="Calibri"/>
        </w:rPr>
        <w:t xml:space="preserve">na základě naplnění či </w:t>
      </w:r>
      <w:r w:rsidRPr="001C0072">
        <w:rPr>
          <w:rFonts w:ascii="Calibri" w:hAnsi="Calibri" w:cs="Calibri"/>
        </w:rPr>
        <w:t xml:space="preserve">nenaplnění </w:t>
      </w:r>
      <w:r w:rsidR="00EA412D">
        <w:rPr>
          <w:rFonts w:ascii="Calibri" w:hAnsi="Calibri" w:cs="Calibri"/>
        </w:rPr>
        <w:t>vybraných úkolů AP NSKB a </w:t>
      </w:r>
      <w:r w:rsidRPr="001C0072">
        <w:rPr>
          <w:rFonts w:ascii="Calibri" w:hAnsi="Calibri" w:cs="Calibri"/>
        </w:rPr>
        <w:t>spolupráce výše uvedených subjektů při plnění těchto úkolů.</w:t>
      </w:r>
      <w:r w:rsidR="006A208A" w:rsidRPr="001C0072">
        <w:rPr>
          <w:rFonts w:ascii="Calibri" w:hAnsi="Calibri" w:cs="Calibri"/>
        </w:rPr>
        <w:t xml:space="preserve"> </w:t>
      </w:r>
      <w:r w:rsidR="00D72D15" w:rsidRPr="001C0072">
        <w:rPr>
          <w:rFonts w:ascii="Calibri" w:hAnsi="Calibri" w:cs="Calibri"/>
        </w:rPr>
        <w:t xml:space="preserve">Z celkového počtu 141 úkolů AP NSKB prověřoval NKÚ </w:t>
      </w:r>
      <w:r w:rsidRPr="001C0072">
        <w:rPr>
          <w:rFonts w:ascii="Calibri" w:hAnsi="Calibri" w:cs="Calibri"/>
        </w:rPr>
        <w:t>na</w:t>
      </w:r>
      <w:r w:rsidR="00D72D15" w:rsidRPr="001C0072">
        <w:rPr>
          <w:rFonts w:ascii="Calibri" w:hAnsi="Calibri" w:cs="Calibri"/>
        </w:rPr>
        <w:t>plnění</w:t>
      </w:r>
      <w:r w:rsidRPr="001C0072">
        <w:rPr>
          <w:rFonts w:ascii="Calibri" w:hAnsi="Calibri" w:cs="Calibri"/>
        </w:rPr>
        <w:t>/nenaplnění a spolupráci</w:t>
      </w:r>
      <w:r w:rsidR="00D72D15" w:rsidRPr="001C0072">
        <w:rPr>
          <w:rFonts w:ascii="Calibri" w:hAnsi="Calibri" w:cs="Calibri"/>
        </w:rPr>
        <w:t xml:space="preserve"> u 57 vybraných úkolů. NKÚ vybral </w:t>
      </w:r>
      <w:r w:rsidR="007A31BD" w:rsidRPr="001C0072">
        <w:rPr>
          <w:rFonts w:ascii="Calibri" w:hAnsi="Calibri" w:cs="Calibri"/>
        </w:rPr>
        <w:t>tyto úkoly</w:t>
      </w:r>
      <w:r w:rsidR="00D72D15" w:rsidRPr="001C0072">
        <w:rPr>
          <w:rFonts w:ascii="Calibri" w:hAnsi="Calibri" w:cs="Calibri"/>
        </w:rPr>
        <w:t xml:space="preserve"> s ohledem na jejich gestory a </w:t>
      </w:r>
      <w:proofErr w:type="spellStart"/>
      <w:r w:rsidR="00D72D15" w:rsidRPr="001C0072">
        <w:rPr>
          <w:rFonts w:ascii="Calibri" w:hAnsi="Calibri" w:cs="Calibri"/>
        </w:rPr>
        <w:t>spolugestory</w:t>
      </w:r>
      <w:proofErr w:type="spellEnd"/>
      <w:r w:rsidR="00D72D15" w:rsidRPr="001C0072">
        <w:rPr>
          <w:rFonts w:ascii="Calibri" w:hAnsi="Calibri" w:cs="Calibri"/>
        </w:rPr>
        <w:t xml:space="preserve"> a zároveň s cílem prověřit primárně úkoly vyžadující spolupráci NÚKIB a MV.</w:t>
      </w:r>
      <w:r w:rsidR="00323117" w:rsidRPr="001C0072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NÚKIB v rámci plnění povinnosti vyc</w:t>
      </w:r>
      <w:r w:rsidR="002E4DAE">
        <w:rPr>
          <w:rFonts w:ascii="Calibri" w:hAnsi="Calibri" w:cs="Calibri"/>
        </w:rPr>
        <w:t>házející z u</w:t>
      </w:r>
      <w:r w:rsidR="0007684B">
        <w:rPr>
          <w:rFonts w:ascii="Calibri" w:hAnsi="Calibri" w:cs="Calibri"/>
        </w:rPr>
        <w:t>snesení vlády ČR ze</w:t>
      </w:r>
      <w:r w:rsidR="00FF3C86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dne 25. května 2015 č. 382 vytvořil předpoklady pro spolupráci se zástupci jednotlivých subjektů, kte</w:t>
      </w:r>
      <w:r w:rsidR="003F274F">
        <w:rPr>
          <w:rFonts w:ascii="Calibri" w:hAnsi="Calibri" w:cs="Calibri"/>
        </w:rPr>
        <w:t>ré</w:t>
      </w:r>
      <w:r w:rsidRPr="001C0072">
        <w:rPr>
          <w:rFonts w:ascii="Calibri" w:hAnsi="Calibri" w:cs="Calibri"/>
        </w:rPr>
        <w:t xml:space="preserve"> se podílejí na plnění úkolů AP NSKB.</w:t>
      </w:r>
      <w:r w:rsidR="009D11B7" w:rsidRPr="001C0072">
        <w:rPr>
          <w:rFonts w:ascii="Calibri" w:hAnsi="Calibri" w:cs="Calibri"/>
        </w:rPr>
        <w:t xml:space="preserve"> D</w:t>
      </w:r>
      <w:r w:rsidR="000A229D" w:rsidRPr="001C0072">
        <w:rPr>
          <w:rFonts w:ascii="Calibri" w:hAnsi="Calibri" w:cs="Calibri"/>
        </w:rPr>
        <w:t xml:space="preserve">ílčí nedostatky NKÚ vyhodnotil </w:t>
      </w:r>
      <w:r w:rsidR="009D11B7" w:rsidRPr="001C0072">
        <w:rPr>
          <w:rFonts w:ascii="Calibri" w:hAnsi="Calibri" w:cs="Calibri"/>
        </w:rPr>
        <w:t>u</w:t>
      </w:r>
      <w:r w:rsidR="003F274F">
        <w:rPr>
          <w:rFonts w:ascii="Calibri" w:hAnsi="Calibri" w:cs="Calibri"/>
        </w:rPr>
        <w:t> </w:t>
      </w:r>
      <w:r w:rsidR="009D11B7" w:rsidRPr="001C0072">
        <w:rPr>
          <w:rFonts w:ascii="Calibri" w:hAnsi="Calibri" w:cs="Calibri"/>
        </w:rPr>
        <w:t>8</w:t>
      </w:r>
      <w:r w:rsidR="003F274F">
        <w:rPr>
          <w:rFonts w:ascii="Calibri" w:hAnsi="Calibri" w:cs="Calibri"/>
        </w:rPr>
        <w:t> </w:t>
      </w:r>
      <w:r w:rsidR="009D11B7" w:rsidRPr="001C0072">
        <w:rPr>
          <w:rFonts w:ascii="Calibri" w:hAnsi="Calibri" w:cs="Calibri"/>
        </w:rPr>
        <w:t>úkolů, a to zejm. ve vtahu k nastavení a ukotvení spolupráce klíčových aktérů KB.</w:t>
      </w:r>
    </w:p>
    <w:p w14:paraId="4662CEE5" w14:textId="72544A96" w:rsidR="00D72D15" w:rsidRPr="00A97749" w:rsidRDefault="00D72D15" w:rsidP="0039185D">
      <w:pPr>
        <w:pStyle w:val="Titulek"/>
        <w:keepNext/>
        <w:spacing w:after="120"/>
        <w:rPr>
          <w:rFonts w:ascii="Calibri" w:hAnsi="Calibri" w:cs="Calibri"/>
          <w:b/>
          <w:i w:val="0"/>
          <w:color w:val="000000" w:themeColor="text1"/>
          <w:sz w:val="24"/>
        </w:rPr>
      </w:pPr>
      <w:r w:rsidRPr="00A97749">
        <w:rPr>
          <w:rFonts w:ascii="Calibri" w:hAnsi="Calibri" w:cs="Calibri"/>
          <w:b/>
          <w:i w:val="0"/>
          <w:color w:val="000000" w:themeColor="text1"/>
          <w:sz w:val="24"/>
        </w:rPr>
        <w:t xml:space="preserve">Tabulka č. </w:t>
      </w:r>
      <w:r w:rsidRPr="00A97749">
        <w:rPr>
          <w:rFonts w:ascii="Calibri" w:hAnsi="Calibri" w:cs="Calibri"/>
          <w:b/>
          <w:i w:val="0"/>
          <w:color w:val="000000" w:themeColor="text1"/>
          <w:sz w:val="24"/>
        </w:rPr>
        <w:fldChar w:fldCharType="begin"/>
      </w:r>
      <w:r w:rsidRPr="00A97749">
        <w:rPr>
          <w:rFonts w:ascii="Calibri" w:hAnsi="Calibri" w:cs="Calibri"/>
          <w:b/>
          <w:i w:val="0"/>
          <w:color w:val="000000" w:themeColor="text1"/>
          <w:sz w:val="24"/>
        </w:rPr>
        <w:instrText xml:space="preserve"> SEQ Tabulka \* ARABIC </w:instrText>
      </w:r>
      <w:r w:rsidRPr="00A97749">
        <w:rPr>
          <w:rFonts w:ascii="Calibri" w:hAnsi="Calibri" w:cs="Calibri"/>
          <w:b/>
          <w:i w:val="0"/>
          <w:color w:val="000000" w:themeColor="text1"/>
          <w:sz w:val="24"/>
        </w:rPr>
        <w:fldChar w:fldCharType="separate"/>
      </w:r>
      <w:r w:rsidR="00C46889">
        <w:rPr>
          <w:rFonts w:ascii="Calibri" w:hAnsi="Calibri" w:cs="Calibri"/>
          <w:b/>
          <w:i w:val="0"/>
          <w:noProof/>
          <w:color w:val="000000" w:themeColor="text1"/>
          <w:sz w:val="24"/>
        </w:rPr>
        <w:t>1</w:t>
      </w:r>
      <w:r w:rsidRPr="00A97749">
        <w:rPr>
          <w:rFonts w:ascii="Calibri" w:hAnsi="Calibri" w:cs="Calibri"/>
          <w:b/>
          <w:i w:val="0"/>
          <w:noProof/>
          <w:color w:val="000000" w:themeColor="text1"/>
          <w:sz w:val="24"/>
        </w:rPr>
        <w:fldChar w:fldCharType="end"/>
      </w:r>
      <w:r w:rsidRPr="00A97749">
        <w:rPr>
          <w:rFonts w:ascii="Calibri" w:hAnsi="Calibri" w:cs="Calibri"/>
          <w:b/>
          <w:i w:val="0"/>
          <w:noProof/>
          <w:color w:val="000000" w:themeColor="text1"/>
          <w:sz w:val="24"/>
        </w:rPr>
        <w:t>:</w:t>
      </w:r>
      <w:r w:rsidRPr="00A97749">
        <w:rPr>
          <w:rFonts w:ascii="Calibri" w:hAnsi="Calibri" w:cs="Calibri"/>
          <w:b/>
          <w:i w:val="0"/>
          <w:color w:val="000000" w:themeColor="text1"/>
          <w:sz w:val="24"/>
        </w:rPr>
        <w:t xml:space="preserve"> </w:t>
      </w:r>
      <w:r w:rsidR="00500C3D" w:rsidRPr="00A97749">
        <w:rPr>
          <w:rFonts w:ascii="Calibri" w:hAnsi="Calibri" w:cs="Calibri"/>
          <w:b/>
          <w:i w:val="0"/>
          <w:color w:val="000000" w:themeColor="text1"/>
          <w:sz w:val="24"/>
        </w:rPr>
        <w:t>Prověřované ú</w:t>
      </w:r>
      <w:r w:rsidRPr="00A97749">
        <w:rPr>
          <w:rFonts w:ascii="Calibri" w:hAnsi="Calibri" w:cs="Calibri"/>
          <w:b/>
          <w:i w:val="0"/>
          <w:color w:val="000000" w:themeColor="text1"/>
          <w:sz w:val="24"/>
        </w:rPr>
        <w:t>koly AP NSKB</w:t>
      </w:r>
      <w:r w:rsidR="00500C3D" w:rsidRPr="00A97749">
        <w:rPr>
          <w:rFonts w:ascii="Calibri" w:hAnsi="Calibri" w:cs="Calibri"/>
          <w:b/>
          <w:i w:val="0"/>
          <w:color w:val="000000" w:themeColor="text1"/>
          <w:sz w:val="24"/>
        </w:rPr>
        <w:t xml:space="preserve"> se zjištěnými nedostatky</w:t>
      </w:r>
    </w:p>
    <w:tbl>
      <w:tblPr>
        <w:tblW w:w="507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15"/>
        <w:gridCol w:w="4137"/>
        <w:gridCol w:w="847"/>
        <w:gridCol w:w="1206"/>
        <w:gridCol w:w="1584"/>
      </w:tblGrid>
      <w:tr w:rsidR="0087118C" w:rsidRPr="00A97749" w14:paraId="62D4C066" w14:textId="77777777" w:rsidTr="00DA671B">
        <w:trPr>
          <w:trHeight w:val="567"/>
          <w:jc w:val="center"/>
        </w:trPr>
        <w:tc>
          <w:tcPr>
            <w:tcW w:w="772" w:type="pct"/>
            <w:shd w:val="clear" w:color="auto" w:fill="E5F1FF"/>
            <w:vAlign w:val="center"/>
          </w:tcPr>
          <w:p w14:paraId="57A8090C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Číslo opatření AP NSKB</w:t>
            </w:r>
          </w:p>
        </w:tc>
        <w:tc>
          <w:tcPr>
            <w:tcW w:w="2253" w:type="pct"/>
            <w:shd w:val="clear" w:color="auto" w:fill="E5F1FF"/>
            <w:vAlign w:val="center"/>
          </w:tcPr>
          <w:p w14:paraId="646FF3BD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Znění</w:t>
            </w:r>
          </w:p>
        </w:tc>
        <w:tc>
          <w:tcPr>
            <w:tcW w:w="463" w:type="pct"/>
            <w:shd w:val="clear" w:color="auto" w:fill="E5F1FF"/>
            <w:vAlign w:val="center"/>
          </w:tcPr>
          <w:p w14:paraId="35E68675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Gestor</w:t>
            </w:r>
          </w:p>
        </w:tc>
        <w:tc>
          <w:tcPr>
            <w:tcW w:w="648" w:type="pct"/>
            <w:shd w:val="clear" w:color="auto" w:fill="E5F1FF"/>
            <w:vAlign w:val="center"/>
          </w:tcPr>
          <w:p w14:paraId="67C10673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977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Spolugestor</w:t>
            </w:r>
            <w:proofErr w:type="spellEnd"/>
          </w:p>
        </w:tc>
        <w:tc>
          <w:tcPr>
            <w:tcW w:w="864" w:type="pct"/>
            <w:shd w:val="clear" w:color="auto" w:fill="E5F1FF"/>
            <w:vAlign w:val="center"/>
          </w:tcPr>
          <w:p w14:paraId="732162B5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Stav</w:t>
            </w:r>
          </w:p>
        </w:tc>
      </w:tr>
      <w:tr w:rsidR="0087118C" w:rsidRPr="00A97749" w14:paraId="2358115D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16E5F2A2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A.1.01</w:t>
            </w:r>
            <w:proofErr w:type="gramEnd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3" w:type="pct"/>
            <w:vAlign w:val="center"/>
          </w:tcPr>
          <w:p w14:paraId="0E99E1B5" w14:textId="16D12691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Vytvořit v koordinaci s ostatními subjekty schém</w:t>
            </w:r>
            <w:r w:rsidR="00A97749">
              <w:rPr>
                <w:rFonts w:ascii="Calibri" w:hAnsi="Calibri" w:cs="Calibri"/>
                <w:color w:val="000000"/>
                <w:sz w:val="20"/>
                <w:szCs w:val="20"/>
              </w:rPr>
              <w:t>a a podrobný model spolupráce v </w:t>
            </w: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rámci zajišťování kybernetické bezpečnosti </w:t>
            </w:r>
          </w:p>
        </w:tc>
        <w:tc>
          <w:tcPr>
            <w:tcW w:w="463" w:type="pct"/>
            <w:vAlign w:val="center"/>
          </w:tcPr>
          <w:p w14:paraId="4074A0B7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NÚKIB</w:t>
            </w:r>
          </w:p>
        </w:tc>
        <w:tc>
          <w:tcPr>
            <w:tcW w:w="648" w:type="pct"/>
            <w:vAlign w:val="center"/>
          </w:tcPr>
          <w:p w14:paraId="55465CA7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864" w:type="pct"/>
            <w:vAlign w:val="center"/>
          </w:tcPr>
          <w:p w14:paraId="075D5A26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Úkol za NÚKIB nesplněn, MV se na plnění úkolu nepodílelo</w:t>
            </w:r>
          </w:p>
        </w:tc>
      </w:tr>
      <w:tr w:rsidR="0087118C" w:rsidRPr="00A97749" w14:paraId="2F588213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049EE10C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A.1.02</w:t>
            </w:r>
            <w:proofErr w:type="gramEnd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3" w:type="pct"/>
            <w:vAlign w:val="center"/>
          </w:tcPr>
          <w:p w14:paraId="5E2C4F0B" w14:textId="1C8AADED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Provést analýzu agend v rámci problematiky kybernetické bezpečnosti a</w:t>
            </w:r>
            <w:r w:rsidR="00A9774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na jejím základě definovat národní z</w:t>
            </w:r>
            <w:r w:rsidR="0087118C">
              <w:rPr>
                <w:rFonts w:ascii="Calibri" w:hAnsi="Calibri" w:cs="Calibri"/>
                <w:color w:val="000000"/>
                <w:sz w:val="20"/>
                <w:szCs w:val="20"/>
              </w:rPr>
              <w:t>ájmy a priority v této oblasti</w:t>
            </w:r>
          </w:p>
        </w:tc>
        <w:tc>
          <w:tcPr>
            <w:tcW w:w="463" w:type="pct"/>
            <w:vAlign w:val="center"/>
          </w:tcPr>
          <w:p w14:paraId="64E12FFC" w14:textId="77777777" w:rsidR="00D72D15" w:rsidRPr="00A97749" w:rsidRDefault="002E4DAE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NÚKIB</w:t>
            </w:r>
          </w:p>
        </w:tc>
        <w:tc>
          <w:tcPr>
            <w:tcW w:w="648" w:type="pct"/>
            <w:vAlign w:val="center"/>
          </w:tcPr>
          <w:p w14:paraId="2DFAD254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0A63BD0E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Úkol nesplněn</w:t>
            </w:r>
          </w:p>
        </w:tc>
      </w:tr>
      <w:tr w:rsidR="0087118C" w:rsidRPr="00A97749" w14:paraId="4954DD1A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7182F162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A.1.03</w:t>
            </w:r>
            <w:proofErr w:type="gramEnd"/>
          </w:p>
        </w:tc>
        <w:tc>
          <w:tcPr>
            <w:tcW w:w="2253" w:type="pct"/>
            <w:vAlign w:val="center"/>
          </w:tcPr>
          <w:p w14:paraId="47733EAD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Provádět technická i netechnická národní cvičení kybernetické bezpečnosti</w:t>
            </w:r>
          </w:p>
        </w:tc>
        <w:tc>
          <w:tcPr>
            <w:tcW w:w="463" w:type="pct"/>
            <w:vAlign w:val="center"/>
          </w:tcPr>
          <w:p w14:paraId="2B385947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NÚKIB</w:t>
            </w:r>
          </w:p>
        </w:tc>
        <w:tc>
          <w:tcPr>
            <w:tcW w:w="648" w:type="pct"/>
            <w:vAlign w:val="center"/>
          </w:tcPr>
          <w:p w14:paraId="2BC5B7E2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864" w:type="pct"/>
            <w:vAlign w:val="center"/>
          </w:tcPr>
          <w:p w14:paraId="5B2C30B1" w14:textId="4A040E58" w:rsidR="00D72D15" w:rsidRPr="00A97749" w:rsidRDefault="0062399D" w:rsidP="00DE574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Úkol za NÚKIB splněn</w:t>
            </w:r>
            <w:r w:rsidR="00DE5748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D72D15"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E5748">
              <w:rPr>
                <w:rFonts w:ascii="Calibri" w:hAnsi="Calibri" w:cs="Calibri"/>
                <w:color w:val="000000"/>
                <w:sz w:val="20"/>
                <w:szCs w:val="20"/>
              </w:rPr>
              <w:t>ú</w:t>
            </w:r>
            <w:r w:rsidR="00D72D15"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kol za MV částečně splněn</w:t>
            </w:r>
          </w:p>
        </w:tc>
      </w:tr>
      <w:tr w:rsidR="0087118C" w:rsidRPr="00A97749" w14:paraId="3DF2767C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57B31060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A.2.02</w:t>
            </w:r>
            <w:proofErr w:type="gramEnd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3" w:type="pct"/>
            <w:vAlign w:val="center"/>
          </w:tcPr>
          <w:p w14:paraId="0B881C3A" w14:textId="19C890E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Vytvořit komunikační matici mezi vrcholovými aktéry kybernetické bezpečnosti (národní aktéři, KII, VIS) </w:t>
            </w:r>
          </w:p>
        </w:tc>
        <w:tc>
          <w:tcPr>
            <w:tcW w:w="463" w:type="pct"/>
            <w:vAlign w:val="center"/>
          </w:tcPr>
          <w:p w14:paraId="7FAF9F61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NÚKIB</w:t>
            </w:r>
          </w:p>
        </w:tc>
        <w:tc>
          <w:tcPr>
            <w:tcW w:w="648" w:type="pct"/>
            <w:vAlign w:val="center"/>
          </w:tcPr>
          <w:p w14:paraId="0F8242EE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134E4D26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Úkol částečně splněn </w:t>
            </w:r>
          </w:p>
        </w:tc>
      </w:tr>
      <w:tr w:rsidR="0087118C" w:rsidRPr="00A97749" w14:paraId="4BAF2F2B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19B8380F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A.4.01</w:t>
            </w:r>
            <w:proofErr w:type="gramEnd"/>
          </w:p>
        </w:tc>
        <w:tc>
          <w:tcPr>
            <w:tcW w:w="2253" w:type="pct"/>
            <w:vAlign w:val="center"/>
          </w:tcPr>
          <w:p w14:paraId="4B4B5617" w14:textId="77777777" w:rsidR="00D72D15" w:rsidRPr="00A97749" w:rsidRDefault="00D72D15" w:rsidP="00564C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Vytvořit efektivní model pro sdílení informací o</w:t>
            </w:r>
            <w:r w:rsidR="00564C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zah</w:t>
            </w:r>
            <w:r w:rsidR="00564CEE">
              <w:rPr>
                <w:rFonts w:ascii="Calibri" w:hAnsi="Calibri" w:cs="Calibri"/>
                <w:color w:val="000000"/>
                <w:sz w:val="20"/>
                <w:szCs w:val="20"/>
              </w:rPr>
              <w:t>raničních aktivitách mezi NBÚ a </w:t>
            </w: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ostatními relevantními subjekty</w:t>
            </w:r>
          </w:p>
        </w:tc>
        <w:tc>
          <w:tcPr>
            <w:tcW w:w="463" w:type="pct"/>
            <w:vAlign w:val="center"/>
          </w:tcPr>
          <w:p w14:paraId="24328481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NÚKIB</w:t>
            </w:r>
          </w:p>
        </w:tc>
        <w:tc>
          <w:tcPr>
            <w:tcW w:w="648" w:type="pct"/>
            <w:vAlign w:val="center"/>
          </w:tcPr>
          <w:p w14:paraId="4111FBAA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864" w:type="pct"/>
            <w:vAlign w:val="center"/>
          </w:tcPr>
          <w:p w14:paraId="69F08870" w14:textId="2E839FFA" w:rsidR="00D72D15" w:rsidRPr="00A97749" w:rsidRDefault="0062399D" w:rsidP="00DE574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Úkol za NÚKIB splněn</w:t>
            </w:r>
            <w:r w:rsidR="00DE5748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D72D15"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 se na plnění úkolu nepodílelo</w:t>
            </w:r>
          </w:p>
        </w:tc>
      </w:tr>
      <w:tr w:rsidR="0087118C" w:rsidRPr="00A97749" w14:paraId="6F3ECAF5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1AB14F7A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C.5.02</w:t>
            </w:r>
            <w:proofErr w:type="gramEnd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3" w:type="pct"/>
            <w:vAlign w:val="center"/>
          </w:tcPr>
          <w:p w14:paraId="1F42C068" w14:textId="32B45FB4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Vytvořit na základě dokončení mapování zabezpečovacích prvků u KII a VIS automatizovanou platformu na sdílení informací o kyberneti</w:t>
            </w:r>
            <w:r w:rsidR="0087118C">
              <w:rPr>
                <w:rFonts w:ascii="Calibri" w:hAnsi="Calibri" w:cs="Calibri"/>
                <w:color w:val="000000"/>
                <w:sz w:val="20"/>
                <w:szCs w:val="20"/>
              </w:rPr>
              <w:t>ckých bezpečnostních hrozbách a </w:t>
            </w: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incidentec</w:t>
            </w:r>
            <w:r w:rsidR="0087118C">
              <w:rPr>
                <w:rFonts w:ascii="Calibri" w:hAnsi="Calibri" w:cs="Calibri"/>
                <w:color w:val="000000"/>
                <w:sz w:val="20"/>
                <w:szCs w:val="20"/>
              </w:rPr>
              <w:t>h vybraným ohroženým subjektům</w:t>
            </w:r>
          </w:p>
        </w:tc>
        <w:tc>
          <w:tcPr>
            <w:tcW w:w="463" w:type="pct"/>
            <w:vAlign w:val="center"/>
          </w:tcPr>
          <w:p w14:paraId="5EDC1B63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NÚKIB</w:t>
            </w:r>
          </w:p>
        </w:tc>
        <w:tc>
          <w:tcPr>
            <w:tcW w:w="648" w:type="pct"/>
            <w:vAlign w:val="center"/>
          </w:tcPr>
          <w:p w14:paraId="3D139B5A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343BA53C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Úkol nesplněn</w:t>
            </w:r>
          </w:p>
        </w:tc>
      </w:tr>
      <w:tr w:rsidR="0087118C" w:rsidRPr="00A97749" w14:paraId="1ACF0C32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56FD02E0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G.2.03</w:t>
            </w:r>
            <w:proofErr w:type="gramEnd"/>
          </w:p>
        </w:tc>
        <w:tc>
          <w:tcPr>
            <w:tcW w:w="2253" w:type="pct"/>
            <w:vAlign w:val="center"/>
          </w:tcPr>
          <w:p w14:paraId="43643E8A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Společně plánovat jednotlivé nákupy pro výkonná pracoviště OIK a znalecká pracoviště počítačové analýzy s garancí vázanosti plánovaných prostředků v plánovaných rozpočtech pro další údobí</w:t>
            </w:r>
          </w:p>
        </w:tc>
        <w:tc>
          <w:tcPr>
            <w:tcW w:w="463" w:type="pct"/>
            <w:vAlign w:val="center"/>
          </w:tcPr>
          <w:p w14:paraId="77C014F0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MV (PČR)</w:t>
            </w:r>
          </w:p>
        </w:tc>
        <w:tc>
          <w:tcPr>
            <w:tcW w:w="648" w:type="pct"/>
            <w:vAlign w:val="center"/>
          </w:tcPr>
          <w:p w14:paraId="1EF02F1B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7F4BD248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Úkol nesplněn</w:t>
            </w:r>
          </w:p>
        </w:tc>
      </w:tr>
      <w:tr w:rsidR="0087118C" w:rsidRPr="00A97749" w14:paraId="17597A36" w14:textId="77777777" w:rsidTr="0087118C">
        <w:trPr>
          <w:trHeight w:val="283"/>
          <w:jc w:val="center"/>
        </w:trPr>
        <w:tc>
          <w:tcPr>
            <w:tcW w:w="772" w:type="pct"/>
            <w:vAlign w:val="center"/>
          </w:tcPr>
          <w:p w14:paraId="14138D58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G.5.01</w:t>
            </w:r>
            <w:proofErr w:type="gramEnd"/>
          </w:p>
        </w:tc>
        <w:tc>
          <w:tcPr>
            <w:tcW w:w="2253" w:type="pct"/>
            <w:vAlign w:val="center"/>
          </w:tcPr>
          <w:p w14:paraId="4D221EC4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Rozšíři</w:t>
            </w:r>
            <w:r w:rsidR="00A97749">
              <w:rPr>
                <w:rFonts w:ascii="Calibri" w:hAnsi="Calibri" w:cs="Calibri"/>
                <w:color w:val="000000"/>
                <w:sz w:val="20"/>
                <w:szCs w:val="20"/>
              </w:rPr>
              <w:t>t kurzy kvalifikační přípravy o </w:t>
            </w: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základní znalosti a dovednosti spojené s kriminalitou páchanou v prostředí informačních technologií a zavést elektronický nebo obdobně plošně </w:t>
            </w:r>
            <w:proofErr w:type="spellStart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nasaditelný</w:t>
            </w:r>
            <w:proofErr w:type="spellEnd"/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systém průběžného vzdělávání</w:t>
            </w:r>
          </w:p>
        </w:tc>
        <w:tc>
          <w:tcPr>
            <w:tcW w:w="463" w:type="pct"/>
            <w:vAlign w:val="center"/>
          </w:tcPr>
          <w:p w14:paraId="31032F14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MV (PČR)</w:t>
            </w:r>
          </w:p>
        </w:tc>
        <w:tc>
          <w:tcPr>
            <w:tcW w:w="648" w:type="pct"/>
            <w:vAlign w:val="center"/>
          </w:tcPr>
          <w:p w14:paraId="6231DEFE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2E44901D" w14:textId="77777777" w:rsidR="00D72D15" w:rsidRPr="00A97749" w:rsidRDefault="00D72D15" w:rsidP="00A9774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7749">
              <w:rPr>
                <w:rFonts w:ascii="Calibri" w:hAnsi="Calibri" w:cs="Calibri"/>
                <w:color w:val="000000"/>
                <w:sz w:val="20"/>
                <w:szCs w:val="20"/>
              </w:rPr>
              <w:t>Úkol částečně splněn</w:t>
            </w:r>
          </w:p>
        </w:tc>
      </w:tr>
    </w:tbl>
    <w:p w14:paraId="5EB21CA4" w14:textId="06FFF28F" w:rsidR="00D72D15" w:rsidRPr="001C0072" w:rsidRDefault="00D72D15" w:rsidP="00D72D15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  <w:r w:rsidRPr="00945408">
        <w:rPr>
          <w:rFonts w:ascii="Calibri" w:hAnsi="Calibri" w:cs="Calibri"/>
          <w:b/>
          <w:sz w:val="20"/>
          <w:szCs w:val="20"/>
        </w:rPr>
        <w:t>Zdroj:</w:t>
      </w:r>
      <w:r w:rsidRPr="001C0072">
        <w:rPr>
          <w:rFonts w:ascii="Calibri" w:hAnsi="Calibri" w:cs="Calibri"/>
          <w:sz w:val="20"/>
          <w:szCs w:val="20"/>
        </w:rPr>
        <w:t xml:space="preserve"> </w:t>
      </w:r>
      <w:r w:rsidR="00DE5748">
        <w:rPr>
          <w:rFonts w:ascii="Calibri" w:hAnsi="Calibri" w:cs="Calibri"/>
          <w:sz w:val="20"/>
          <w:szCs w:val="20"/>
        </w:rPr>
        <w:t>vypracoval</w:t>
      </w:r>
      <w:r w:rsidRPr="001C0072">
        <w:rPr>
          <w:rFonts w:ascii="Calibri" w:hAnsi="Calibri" w:cs="Calibri"/>
          <w:sz w:val="20"/>
          <w:szCs w:val="20"/>
        </w:rPr>
        <w:t xml:space="preserve"> NKÚ.</w:t>
      </w:r>
    </w:p>
    <w:p w14:paraId="7201B42A" w14:textId="77777777" w:rsidR="00D72D15" w:rsidRPr="001C0072" w:rsidRDefault="00D72D15" w:rsidP="00D72D15">
      <w:pPr>
        <w:spacing w:before="120" w:after="120" w:line="240" w:lineRule="auto"/>
        <w:rPr>
          <w:rFonts w:ascii="Calibri" w:hAnsi="Calibri" w:cs="Calibri"/>
          <w:szCs w:val="24"/>
        </w:rPr>
      </w:pPr>
      <w:r w:rsidRPr="001C0072">
        <w:rPr>
          <w:rFonts w:ascii="Calibri" w:hAnsi="Calibri" w:cs="Calibri"/>
          <w:szCs w:val="24"/>
        </w:rPr>
        <w:lastRenderedPageBreak/>
        <w:t xml:space="preserve">Cíl </w:t>
      </w:r>
      <w:proofErr w:type="gramStart"/>
      <w:r w:rsidRPr="001C0072">
        <w:rPr>
          <w:rFonts w:ascii="Calibri" w:hAnsi="Calibri" w:cs="Calibri"/>
          <w:szCs w:val="24"/>
        </w:rPr>
        <w:t>A.1.01</w:t>
      </w:r>
      <w:proofErr w:type="gramEnd"/>
      <w:r w:rsidRPr="001C0072">
        <w:rPr>
          <w:rFonts w:ascii="Calibri" w:hAnsi="Calibri" w:cs="Calibri"/>
          <w:szCs w:val="24"/>
        </w:rPr>
        <w:t xml:space="preserve"> nebyl naplněn, protože NÚKIB ani MV nepředložil žádný dokument zachycující schéma a podrobný model spolupráce v rámci zajišťování kybernetické bezpečnosti. Spolupráce mezi NÚKIB a MV funguje zejména na neformální úrovni a s ohledem na aktuální potřeby. </w:t>
      </w:r>
    </w:p>
    <w:p w14:paraId="4669A160" w14:textId="68B2556C" w:rsidR="00D72D15" w:rsidRPr="001C0072" w:rsidRDefault="00D72D15" w:rsidP="00D72D15">
      <w:pPr>
        <w:spacing w:before="120" w:after="120" w:line="240" w:lineRule="auto"/>
        <w:rPr>
          <w:rFonts w:ascii="Calibri" w:hAnsi="Calibri" w:cs="Calibri"/>
          <w:b/>
          <w:szCs w:val="24"/>
        </w:rPr>
      </w:pPr>
      <w:r w:rsidRPr="001C0072">
        <w:rPr>
          <w:rFonts w:ascii="Calibri" w:hAnsi="Calibri" w:cs="Calibri"/>
          <w:color w:val="000000"/>
          <w:szCs w:val="24"/>
        </w:rPr>
        <w:t xml:space="preserve">Cíl </w:t>
      </w:r>
      <w:proofErr w:type="gramStart"/>
      <w:r w:rsidRPr="001C0072">
        <w:rPr>
          <w:rFonts w:ascii="Calibri" w:hAnsi="Calibri" w:cs="Calibri"/>
          <w:color w:val="000000"/>
          <w:szCs w:val="24"/>
        </w:rPr>
        <w:t>A.1.02</w:t>
      </w:r>
      <w:proofErr w:type="gramEnd"/>
      <w:r w:rsidRPr="001C0072">
        <w:rPr>
          <w:rFonts w:ascii="Calibri" w:hAnsi="Calibri" w:cs="Calibri"/>
          <w:color w:val="000000"/>
          <w:szCs w:val="24"/>
        </w:rPr>
        <w:t xml:space="preserve"> nebyl naplněn, protože NÚKIB nepředložil žádné vý</w:t>
      </w:r>
      <w:r w:rsidR="005A14D2">
        <w:rPr>
          <w:rFonts w:ascii="Calibri" w:hAnsi="Calibri" w:cs="Calibri"/>
          <w:color w:val="000000"/>
          <w:szCs w:val="24"/>
        </w:rPr>
        <w:t>stupy analýzy agend týkající se</w:t>
      </w:r>
      <w:r w:rsidR="00DE5748">
        <w:rPr>
          <w:rFonts w:ascii="Calibri" w:hAnsi="Calibri" w:cs="Calibri"/>
          <w:color w:val="000000"/>
          <w:szCs w:val="24"/>
        </w:rPr>
        <w:t xml:space="preserve"> </w:t>
      </w:r>
      <w:r w:rsidRPr="001C0072">
        <w:rPr>
          <w:rFonts w:ascii="Calibri" w:hAnsi="Calibri" w:cs="Calibri"/>
          <w:color w:val="000000"/>
          <w:szCs w:val="24"/>
        </w:rPr>
        <w:t xml:space="preserve">problematiky </w:t>
      </w:r>
      <w:r w:rsidR="008C625F" w:rsidRPr="001C0072">
        <w:rPr>
          <w:rFonts w:ascii="Calibri" w:hAnsi="Calibri" w:cs="Calibri"/>
          <w:color w:val="000000"/>
          <w:szCs w:val="24"/>
        </w:rPr>
        <w:t>KB</w:t>
      </w:r>
      <w:r w:rsidRPr="001C0072">
        <w:rPr>
          <w:rFonts w:ascii="Calibri" w:hAnsi="Calibri" w:cs="Calibri"/>
          <w:color w:val="000000"/>
          <w:szCs w:val="24"/>
        </w:rPr>
        <w:t xml:space="preserve"> ani definici národních zájmů a priorit v této oblasti.</w:t>
      </w:r>
    </w:p>
    <w:p w14:paraId="5D60ABED" w14:textId="1C83FA7C" w:rsidR="00D72D15" w:rsidRPr="001C0072" w:rsidRDefault="00D72D15" w:rsidP="00D72D15">
      <w:pPr>
        <w:spacing w:before="120" w:after="120" w:line="240" w:lineRule="auto"/>
        <w:rPr>
          <w:rFonts w:ascii="Calibri" w:hAnsi="Calibri" w:cs="Calibri"/>
          <w:color w:val="000000"/>
          <w:szCs w:val="24"/>
        </w:rPr>
      </w:pPr>
      <w:r w:rsidRPr="001C0072">
        <w:rPr>
          <w:rFonts w:ascii="Calibri" w:hAnsi="Calibri" w:cs="Calibri"/>
          <w:color w:val="000000"/>
          <w:szCs w:val="24"/>
        </w:rPr>
        <w:t xml:space="preserve">NÚKIB naplnil cíl </w:t>
      </w:r>
      <w:proofErr w:type="gramStart"/>
      <w:r w:rsidRPr="001C0072">
        <w:rPr>
          <w:rFonts w:ascii="Calibri" w:hAnsi="Calibri" w:cs="Calibri"/>
          <w:color w:val="000000"/>
          <w:szCs w:val="24"/>
        </w:rPr>
        <w:t>A.1.03</w:t>
      </w:r>
      <w:proofErr w:type="gramEnd"/>
      <w:r w:rsidRPr="001C0072">
        <w:rPr>
          <w:rFonts w:ascii="Calibri" w:hAnsi="Calibri" w:cs="Calibri"/>
          <w:color w:val="000000"/>
          <w:szCs w:val="24"/>
        </w:rPr>
        <w:t xml:space="preserve">, protože v letech 2015 až 2019 byla provedena řada cvičení kybernetické bezpečnosti technického i netechnického charakteru. MV tento cíl jakožto </w:t>
      </w:r>
      <w:proofErr w:type="spellStart"/>
      <w:r w:rsidRPr="001C0072">
        <w:rPr>
          <w:rFonts w:ascii="Calibri" w:hAnsi="Calibri" w:cs="Calibri"/>
          <w:color w:val="000000"/>
          <w:szCs w:val="24"/>
        </w:rPr>
        <w:t>spolugestor</w:t>
      </w:r>
      <w:proofErr w:type="spellEnd"/>
      <w:r w:rsidRPr="001C0072">
        <w:rPr>
          <w:rFonts w:ascii="Calibri" w:hAnsi="Calibri" w:cs="Calibri"/>
          <w:color w:val="000000"/>
          <w:szCs w:val="24"/>
        </w:rPr>
        <w:t xml:space="preserve"> naplnilo pouze částečně, neboť se těchto cvičení mělo účastnit průběžně, avšak zúčastnilo</w:t>
      </w:r>
      <w:r w:rsidR="008C625F" w:rsidRPr="001C0072">
        <w:rPr>
          <w:rFonts w:ascii="Calibri" w:hAnsi="Calibri" w:cs="Calibri"/>
          <w:color w:val="000000"/>
          <w:szCs w:val="24"/>
        </w:rPr>
        <w:t xml:space="preserve"> se</w:t>
      </w:r>
      <w:r w:rsidRPr="001C0072">
        <w:rPr>
          <w:rFonts w:ascii="Calibri" w:hAnsi="Calibri" w:cs="Calibri"/>
          <w:color w:val="000000"/>
          <w:szCs w:val="24"/>
        </w:rPr>
        <w:t xml:space="preserve"> tří cvičení</w:t>
      </w:r>
      <w:r w:rsidR="00BD7711" w:rsidRPr="001C0072">
        <w:rPr>
          <w:rFonts w:ascii="Calibri" w:hAnsi="Calibri" w:cs="Calibri"/>
          <w:color w:val="000000"/>
          <w:szCs w:val="24"/>
        </w:rPr>
        <w:t>, a to pouze</w:t>
      </w:r>
      <w:r w:rsidRPr="001C0072">
        <w:rPr>
          <w:rFonts w:ascii="Calibri" w:hAnsi="Calibri" w:cs="Calibri"/>
          <w:color w:val="000000"/>
          <w:szCs w:val="24"/>
        </w:rPr>
        <w:t xml:space="preserve"> v letech 2018 a 2019.</w:t>
      </w:r>
    </w:p>
    <w:p w14:paraId="60B08AF2" w14:textId="77777777" w:rsidR="00D72D15" w:rsidRPr="001C0072" w:rsidRDefault="00D72D15" w:rsidP="00D72D15">
      <w:pPr>
        <w:spacing w:before="120" w:after="120" w:line="240" w:lineRule="auto"/>
        <w:rPr>
          <w:rFonts w:ascii="Calibri" w:hAnsi="Calibri" w:cs="Calibri"/>
          <w:color w:val="000000"/>
          <w:szCs w:val="24"/>
        </w:rPr>
      </w:pPr>
      <w:r w:rsidRPr="001C0072">
        <w:rPr>
          <w:rFonts w:ascii="Calibri" w:hAnsi="Calibri" w:cs="Calibri"/>
          <w:color w:val="000000"/>
          <w:szCs w:val="24"/>
        </w:rPr>
        <w:t xml:space="preserve">Cíl </w:t>
      </w:r>
      <w:proofErr w:type="gramStart"/>
      <w:r w:rsidRPr="001C0072">
        <w:rPr>
          <w:rFonts w:ascii="Calibri" w:hAnsi="Calibri" w:cs="Calibri"/>
          <w:color w:val="000000"/>
          <w:szCs w:val="24"/>
        </w:rPr>
        <w:t>A.2.02</w:t>
      </w:r>
      <w:proofErr w:type="gramEnd"/>
      <w:r w:rsidRPr="001C0072">
        <w:rPr>
          <w:rFonts w:ascii="Calibri" w:hAnsi="Calibri" w:cs="Calibri"/>
          <w:color w:val="000000"/>
          <w:szCs w:val="24"/>
        </w:rPr>
        <w:t xml:space="preserve"> naplnil NÚKIB pouze částečně, neboť vytvořil databázi kontaktů, avšak nevytvořil komunikační matici mezi vrcholovými aktéry </w:t>
      </w:r>
      <w:r w:rsidR="008C625F" w:rsidRPr="001C0072">
        <w:rPr>
          <w:rFonts w:ascii="Calibri" w:hAnsi="Calibri" w:cs="Calibri"/>
          <w:color w:val="000000"/>
          <w:szCs w:val="24"/>
        </w:rPr>
        <w:t>KB</w:t>
      </w:r>
      <w:r w:rsidRPr="001C0072">
        <w:rPr>
          <w:rFonts w:ascii="Calibri" w:hAnsi="Calibri" w:cs="Calibri"/>
          <w:color w:val="000000"/>
          <w:szCs w:val="24"/>
        </w:rPr>
        <w:t xml:space="preserve">, která měla vzniknout podle cíle nastaveného v akčním plánu. </w:t>
      </w:r>
    </w:p>
    <w:p w14:paraId="6FCF5CAC" w14:textId="77777777" w:rsidR="00D72D15" w:rsidRPr="001C0072" w:rsidRDefault="00D72D15" w:rsidP="00D72D15">
      <w:pPr>
        <w:spacing w:before="120" w:after="120" w:line="240" w:lineRule="auto"/>
        <w:rPr>
          <w:rFonts w:ascii="Calibri" w:hAnsi="Calibri" w:cs="Calibri"/>
          <w:color w:val="000000"/>
          <w:szCs w:val="24"/>
        </w:rPr>
      </w:pPr>
      <w:r w:rsidRPr="001C0072">
        <w:rPr>
          <w:rFonts w:ascii="Calibri" w:hAnsi="Calibri" w:cs="Calibri"/>
          <w:color w:val="000000"/>
          <w:szCs w:val="24"/>
        </w:rPr>
        <w:t xml:space="preserve">Cíl </w:t>
      </w:r>
      <w:proofErr w:type="gramStart"/>
      <w:r w:rsidRPr="001C0072">
        <w:rPr>
          <w:rFonts w:ascii="Calibri" w:hAnsi="Calibri" w:cs="Calibri"/>
          <w:color w:val="000000"/>
          <w:szCs w:val="24"/>
        </w:rPr>
        <w:t>A.4.01</w:t>
      </w:r>
      <w:proofErr w:type="gramEnd"/>
      <w:r w:rsidRPr="001C0072">
        <w:rPr>
          <w:rFonts w:ascii="Calibri" w:hAnsi="Calibri" w:cs="Calibri"/>
          <w:color w:val="000000"/>
          <w:szCs w:val="24"/>
        </w:rPr>
        <w:t xml:space="preserve"> splnilo NBÚ již v roce 2015 (před vznikem NÚKIB) tím, že vytvořilo model sdílení informací o zahraničních aktivitách a nastavilo rámec spolupráce mezi </w:t>
      </w:r>
      <w:r w:rsidR="005A14D2">
        <w:rPr>
          <w:rFonts w:ascii="Calibri" w:hAnsi="Calibri" w:cs="Calibri"/>
          <w:color w:val="000000"/>
          <w:szCs w:val="24"/>
        </w:rPr>
        <w:t>NBÚ/NCKB a </w:t>
      </w:r>
      <w:r w:rsidRPr="001C0072">
        <w:rPr>
          <w:rFonts w:ascii="Calibri" w:hAnsi="Calibri" w:cs="Calibri"/>
          <w:color w:val="000000"/>
          <w:szCs w:val="24"/>
        </w:rPr>
        <w:t xml:space="preserve">ostatními relevantními subjekty. Za tímto účelem byla vytvořena pracovní skupina pro harmonizaci mezinárodních aktivit na národní úrovni. MV se na plnění úkolu </w:t>
      </w:r>
      <w:r w:rsidR="00BD7711" w:rsidRPr="001C0072">
        <w:rPr>
          <w:rFonts w:ascii="Calibri" w:hAnsi="Calibri" w:cs="Calibri"/>
          <w:color w:val="000000"/>
          <w:szCs w:val="24"/>
        </w:rPr>
        <w:t xml:space="preserve">jako </w:t>
      </w:r>
      <w:proofErr w:type="spellStart"/>
      <w:r w:rsidR="00BD7711" w:rsidRPr="001C0072">
        <w:rPr>
          <w:rFonts w:ascii="Calibri" w:hAnsi="Calibri" w:cs="Calibri"/>
          <w:color w:val="000000"/>
          <w:szCs w:val="24"/>
        </w:rPr>
        <w:t>spolugestor</w:t>
      </w:r>
      <w:proofErr w:type="spellEnd"/>
      <w:r w:rsidR="00BD7711" w:rsidRPr="001C0072">
        <w:rPr>
          <w:rFonts w:ascii="Calibri" w:hAnsi="Calibri" w:cs="Calibri"/>
          <w:color w:val="000000"/>
          <w:szCs w:val="24"/>
        </w:rPr>
        <w:t xml:space="preserve"> nezapojilo</w:t>
      </w:r>
      <w:r w:rsidRPr="001C0072">
        <w:rPr>
          <w:rFonts w:ascii="Calibri" w:hAnsi="Calibri" w:cs="Calibri"/>
          <w:color w:val="000000"/>
          <w:szCs w:val="24"/>
        </w:rPr>
        <w:t>.</w:t>
      </w:r>
    </w:p>
    <w:p w14:paraId="01232EDF" w14:textId="77777777" w:rsidR="00D72D15" w:rsidRPr="001C0072" w:rsidRDefault="00D72D15" w:rsidP="00D72D15">
      <w:pPr>
        <w:spacing w:before="120" w:after="120" w:line="240" w:lineRule="auto"/>
        <w:rPr>
          <w:rFonts w:ascii="Calibri" w:hAnsi="Calibri" w:cs="Calibri"/>
          <w:color w:val="000000"/>
          <w:szCs w:val="24"/>
        </w:rPr>
      </w:pPr>
      <w:r w:rsidRPr="001C0072">
        <w:rPr>
          <w:rFonts w:ascii="Calibri" w:hAnsi="Calibri" w:cs="Calibri"/>
          <w:color w:val="000000"/>
          <w:szCs w:val="24"/>
        </w:rPr>
        <w:t xml:space="preserve">NÚKIB nenaplnil cíl </w:t>
      </w:r>
      <w:proofErr w:type="gramStart"/>
      <w:r w:rsidRPr="001C0072">
        <w:rPr>
          <w:rFonts w:ascii="Calibri" w:hAnsi="Calibri" w:cs="Calibri"/>
          <w:color w:val="000000"/>
          <w:szCs w:val="24"/>
        </w:rPr>
        <w:t>C.5.02</w:t>
      </w:r>
      <w:proofErr w:type="gramEnd"/>
      <w:r w:rsidRPr="001C0072">
        <w:rPr>
          <w:rFonts w:ascii="Calibri" w:hAnsi="Calibri" w:cs="Calibri"/>
          <w:color w:val="000000"/>
          <w:szCs w:val="24"/>
        </w:rPr>
        <w:t xml:space="preserve">, neboť ani čtyři roky po termínu nevytvořil na základě dokončení mapování zabezpečovacích prvků u KII a VIS automatizovanou platformu na sdílení informací o kybernetických bezpečnostních hrozbách a incidentech. </w:t>
      </w:r>
    </w:p>
    <w:p w14:paraId="3DC9C235" w14:textId="1710D448" w:rsidR="00D72D15" w:rsidRPr="001C0072" w:rsidRDefault="00A60312" w:rsidP="00D72D15">
      <w:pPr>
        <w:spacing w:before="120" w:after="120" w:line="240" w:lineRule="auto"/>
        <w:rPr>
          <w:rFonts w:ascii="Calibri" w:hAnsi="Calibri" w:cs="Calibri"/>
          <w:color w:val="000000"/>
          <w:szCs w:val="24"/>
        </w:rPr>
      </w:pPr>
      <w:r w:rsidRPr="009A27FF">
        <w:rPr>
          <w:rFonts w:ascii="Calibri" w:hAnsi="Calibri" w:cs="Calibri"/>
          <w:color w:val="000000"/>
          <w:szCs w:val="24"/>
        </w:rPr>
        <w:t>MV</w:t>
      </w:r>
      <w:r w:rsidR="00CD105B">
        <w:rPr>
          <w:rFonts w:ascii="Calibri" w:hAnsi="Calibri" w:cs="Calibri"/>
          <w:color w:val="000000"/>
          <w:szCs w:val="24"/>
        </w:rPr>
        <w:t xml:space="preserve"> (</w:t>
      </w:r>
      <w:r w:rsidRPr="009A27FF">
        <w:rPr>
          <w:rFonts w:ascii="Calibri" w:hAnsi="Calibri" w:cs="Calibri"/>
          <w:color w:val="000000"/>
          <w:szCs w:val="24"/>
        </w:rPr>
        <w:t>PČR</w:t>
      </w:r>
      <w:r w:rsidR="00CD105B">
        <w:rPr>
          <w:rFonts w:ascii="Calibri" w:hAnsi="Calibri" w:cs="Calibri"/>
          <w:color w:val="000000"/>
          <w:szCs w:val="24"/>
        </w:rPr>
        <w:t>)</w:t>
      </w:r>
      <w:r w:rsidRPr="009A27FF">
        <w:rPr>
          <w:rFonts w:ascii="Calibri" w:hAnsi="Calibri" w:cs="Calibri"/>
          <w:color w:val="000000"/>
          <w:szCs w:val="24"/>
        </w:rPr>
        <w:t xml:space="preserve"> </w:t>
      </w:r>
      <w:r w:rsidR="00D72D15" w:rsidRPr="009A27FF">
        <w:rPr>
          <w:rFonts w:ascii="Calibri" w:hAnsi="Calibri" w:cs="Calibri"/>
          <w:color w:val="000000"/>
          <w:szCs w:val="24"/>
        </w:rPr>
        <w:t>nenaplnilo</w:t>
      </w:r>
      <w:r w:rsidR="00D72D15" w:rsidRPr="001C0072">
        <w:rPr>
          <w:rFonts w:ascii="Calibri" w:hAnsi="Calibri" w:cs="Calibri"/>
          <w:color w:val="000000"/>
          <w:szCs w:val="24"/>
        </w:rPr>
        <w:t xml:space="preserve"> </w:t>
      </w:r>
      <w:proofErr w:type="gramStart"/>
      <w:r w:rsidR="00D72D15" w:rsidRPr="001C0072">
        <w:rPr>
          <w:rFonts w:ascii="Calibri" w:hAnsi="Calibri" w:cs="Calibri"/>
          <w:color w:val="000000"/>
          <w:szCs w:val="24"/>
        </w:rPr>
        <w:t>cíl G.2.03</w:t>
      </w:r>
      <w:proofErr w:type="gramEnd"/>
      <w:r w:rsidR="00D72D15" w:rsidRPr="001C0072">
        <w:rPr>
          <w:rFonts w:ascii="Calibri" w:hAnsi="Calibri" w:cs="Calibri"/>
          <w:color w:val="000000"/>
          <w:szCs w:val="24"/>
        </w:rPr>
        <w:t>, neboť plánované nákupy HW a SW nebyly pořizovány z</w:t>
      </w:r>
      <w:r w:rsidR="00BD7711" w:rsidRPr="001C0072">
        <w:rPr>
          <w:rFonts w:ascii="Calibri" w:hAnsi="Calibri" w:cs="Calibri"/>
          <w:color w:val="000000"/>
          <w:szCs w:val="24"/>
        </w:rPr>
        <w:t> </w:t>
      </w:r>
      <w:r w:rsidR="00D72D15" w:rsidRPr="001C0072">
        <w:rPr>
          <w:rFonts w:ascii="Calibri" w:hAnsi="Calibri" w:cs="Calibri"/>
          <w:color w:val="000000"/>
          <w:szCs w:val="24"/>
        </w:rPr>
        <w:t>vázaných</w:t>
      </w:r>
      <w:r w:rsidR="00BD7711" w:rsidRPr="001C0072">
        <w:rPr>
          <w:rFonts w:ascii="Calibri" w:hAnsi="Calibri" w:cs="Calibri"/>
          <w:color w:val="000000"/>
          <w:szCs w:val="24"/>
        </w:rPr>
        <w:t xml:space="preserve"> (garantovaných)</w:t>
      </w:r>
      <w:r w:rsidR="00D72D15" w:rsidRPr="001C0072">
        <w:rPr>
          <w:rFonts w:ascii="Calibri" w:hAnsi="Calibri" w:cs="Calibri"/>
          <w:color w:val="000000"/>
          <w:szCs w:val="24"/>
        </w:rPr>
        <w:t xml:space="preserve"> plánovaných peněžních prostředků, ale z peněžních prostředků evropských fondů a mimořádné dotace ve výši 30 mil. Kč</w:t>
      </w:r>
      <w:r w:rsidR="00BD7711" w:rsidRPr="001C0072">
        <w:rPr>
          <w:rFonts w:ascii="Calibri" w:hAnsi="Calibri" w:cs="Calibri"/>
          <w:color w:val="000000"/>
          <w:szCs w:val="24"/>
        </w:rPr>
        <w:t xml:space="preserve"> (jednalo se o přesun finančních prostředků v rámci kapitoly MV)</w:t>
      </w:r>
      <w:r w:rsidR="00D72D15" w:rsidRPr="001C0072">
        <w:rPr>
          <w:rFonts w:ascii="Calibri" w:hAnsi="Calibri" w:cs="Calibri"/>
          <w:color w:val="000000"/>
          <w:szCs w:val="24"/>
        </w:rPr>
        <w:t>. Do doby ukončení kontroly nebyly schváleny finanční prostředky na periodickou obnovu materiálně technického vybavení, což může negativně ovlivnit udržitelnost.</w:t>
      </w:r>
    </w:p>
    <w:p w14:paraId="002C30A5" w14:textId="78CE5F03" w:rsidR="00D72D15" w:rsidRPr="001C0072" w:rsidRDefault="00D72D15" w:rsidP="00A60312">
      <w:pPr>
        <w:pStyle w:val="Zkladn"/>
        <w:spacing w:after="240"/>
        <w:rPr>
          <w:rFonts w:ascii="Calibri" w:eastAsiaTheme="minorHAnsi" w:hAnsi="Calibri" w:cs="Calibri"/>
          <w:color w:val="000000"/>
        </w:rPr>
      </w:pPr>
      <w:r w:rsidRPr="009A27FF">
        <w:rPr>
          <w:rFonts w:ascii="Calibri" w:eastAsiaTheme="minorHAnsi" w:hAnsi="Calibri" w:cs="Calibri"/>
          <w:color w:val="000000"/>
        </w:rPr>
        <w:t>MV</w:t>
      </w:r>
      <w:r w:rsidR="00CD105B">
        <w:rPr>
          <w:rFonts w:ascii="Calibri" w:eastAsiaTheme="minorHAnsi" w:hAnsi="Calibri" w:cs="Calibri"/>
          <w:color w:val="000000"/>
        </w:rPr>
        <w:t xml:space="preserve"> (</w:t>
      </w:r>
      <w:r w:rsidRPr="009A27FF">
        <w:rPr>
          <w:rFonts w:ascii="Calibri" w:eastAsiaTheme="minorHAnsi" w:hAnsi="Calibri" w:cs="Calibri"/>
          <w:color w:val="000000"/>
        </w:rPr>
        <w:t>PČR</w:t>
      </w:r>
      <w:r w:rsidR="00CD105B">
        <w:rPr>
          <w:rFonts w:ascii="Calibri" w:eastAsiaTheme="minorHAnsi" w:hAnsi="Calibri" w:cs="Calibri"/>
          <w:color w:val="000000"/>
        </w:rPr>
        <w:t>)</w:t>
      </w:r>
      <w:r w:rsidRPr="009A27FF">
        <w:rPr>
          <w:rFonts w:ascii="Calibri" w:eastAsiaTheme="minorHAnsi" w:hAnsi="Calibri" w:cs="Calibri"/>
          <w:color w:val="000000"/>
        </w:rPr>
        <w:t xml:space="preserve"> splnilo</w:t>
      </w:r>
      <w:r w:rsidRPr="001C0072">
        <w:rPr>
          <w:rFonts w:ascii="Calibri" w:eastAsiaTheme="minorHAnsi" w:hAnsi="Calibri" w:cs="Calibri"/>
          <w:color w:val="000000"/>
        </w:rPr>
        <w:t xml:space="preserve"> </w:t>
      </w:r>
      <w:proofErr w:type="gramStart"/>
      <w:r w:rsidRPr="001C0072">
        <w:rPr>
          <w:rFonts w:ascii="Calibri" w:eastAsiaTheme="minorHAnsi" w:hAnsi="Calibri" w:cs="Calibri"/>
          <w:color w:val="000000"/>
        </w:rPr>
        <w:t>úkol G.5.01</w:t>
      </w:r>
      <w:proofErr w:type="gramEnd"/>
      <w:r w:rsidRPr="001C0072">
        <w:rPr>
          <w:rFonts w:ascii="Calibri" w:eastAsiaTheme="minorHAnsi" w:hAnsi="Calibri" w:cs="Calibri"/>
          <w:color w:val="000000"/>
        </w:rPr>
        <w:t xml:space="preserve"> částečně, neboť do doby ukončení kontroly nezavedl</w:t>
      </w:r>
      <w:r w:rsidR="00514FE3">
        <w:rPr>
          <w:rFonts w:ascii="Calibri" w:eastAsiaTheme="minorHAnsi" w:hAnsi="Calibri" w:cs="Calibri"/>
          <w:color w:val="000000"/>
        </w:rPr>
        <w:t>o</w:t>
      </w:r>
      <w:r w:rsidRPr="001C0072">
        <w:rPr>
          <w:rFonts w:ascii="Calibri" w:eastAsiaTheme="minorHAnsi" w:hAnsi="Calibri" w:cs="Calibri"/>
          <w:color w:val="000000"/>
        </w:rPr>
        <w:t xml:space="preserve"> elektronický nebo jiný podobně plošně </w:t>
      </w:r>
      <w:proofErr w:type="spellStart"/>
      <w:r w:rsidRPr="001C0072">
        <w:rPr>
          <w:rFonts w:ascii="Calibri" w:eastAsiaTheme="minorHAnsi" w:hAnsi="Calibri" w:cs="Calibri"/>
          <w:color w:val="000000"/>
        </w:rPr>
        <w:t>nasaditelný</w:t>
      </w:r>
      <w:proofErr w:type="spellEnd"/>
      <w:r w:rsidRPr="001C0072">
        <w:rPr>
          <w:rFonts w:ascii="Calibri" w:eastAsiaTheme="minorHAnsi" w:hAnsi="Calibri" w:cs="Calibri"/>
          <w:color w:val="000000"/>
        </w:rPr>
        <w:t xml:space="preserve"> systém průběžného vzdělávání. </w:t>
      </w:r>
      <w:r w:rsidR="00AD6CE6" w:rsidRPr="001C0072">
        <w:rPr>
          <w:rFonts w:ascii="Calibri" w:eastAsiaTheme="minorHAnsi" w:hAnsi="Calibri" w:cs="Calibri"/>
          <w:color w:val="000000"/>
        </w:rPr>
        <w:t>K</w:t>
      </w:r>
      <w:r w:rsidRPr="001C0072">
        <w:rPr>
          <w:rFonts w:ascii="Calibri" w:eastAsiaTheme="minorHAnsi" w:hAnsi="Calibri" w:cs="Calibri"/>
          <w:color w:val="000000"/>
        </w:rPr>
        <w:t xml:space="preserve">urzy kvalifikační </w:t>
      </w:r>
      <w:r w:rsidRPr="00D604CB">
        <w:rPr>
          <w:rFonts w:ascii="Calibri" w:eastAsiaTheme="minorHAnsi" w:hAnsi="Calibri" w:cs="Calibri"/>
          <w:color w:val="000000"/>
        </w:rPr>
        <w:t>přípravy</w:t>
      </w:r>
      <w:r w:rsidR="00AD6CE6" w:rsidRPr="00D604CB">
        <w:rPr>
          <w:rFonts w:ascii="Calibri" w:eastAsiaTheme="minorHAnsi" w:hAnsi="Calibri" w:cs="Calibri"/>
          <w:color w:val="000000"/>
        </w:rPr>
        <w:t xml:space="preserve"> MV</w:t>
      </w:r>
      <w:r w:rsidR="00514FE3">
        <w:rPr>
          <w:rFonts w:ascii="Calibri" w:eastAsiaTheme="minorHAnsi" w:hAnsi="Calibri" w:cs="Calibri"/>
          <w:color w:val="000000"/>
        </w:rPr>
        <w:t xml:space="preserve"> (</w:t>
      </w:r>
      <w:r w:rsidR="00AD6CE6" w:rsidRPr="00D604CB">
        <w:rPr>
          <w:rFonts w:ascii="Calibri" w:eastAsiaTheme="minorHAnsi" w:hAnsi="Calibri" w:cs="Calibri"/>
          <w:color w:val="000000"/>
        </w:rPr>
        <w:t>PČR</w:t>
      </w:r>
      <w:r w:rsidR="00514FE3">
        <w:rPr>
          <w:rFonts w:ascii="Calibri" w:eastAsiaTheme="minorHAnsi" w:hAnsi="Calibri" w:cs="Calibri"/>
          <w:color w:val="000000"/>
        </w:rPr>
        <w:t>)</w:t>
      </w:r>
      <w:r w:rsidR="00AD6CE6" w:rsidRPr="00D604CB">
        <w:rPr>
          <w:rFonts w:ascii="Calibri" w:eastAsiaTheme="minorHAnsi" w:hAnsi="Calibri" w:cs="Calibri"/>
          <w:color w:val="000000"/>
        </w:rPr>
        <w:t xml:space="preserve"> rozšířilo</w:t>
      </w:r>
      <w:r w:rsidRPr="001C0072">
        <w:rPr>
          <w:rFonts w:ascii="Calibri" w:eastAsiaTheme="minorHAnsi" w:hAnsi="Calibri" w:cs="Calibri"/>
          <w:color w:val="000000"/>
        </w:rPr>
        <w:t xml:space="preserve"> o základní znalosti a dovednosti spojené s kriminalitou páchanou prostředni</w:t>
      </w:r>
      <w:r w:rsidR="00A60312">
        <w:rPr>
          <w:rFonts w:ascii="Calibri" w:eastAsiaTheme="minorHAnsi" w:hAnsi="Calibri" w:cs="Calibri"/>
          <w:color w:val="000000"/>
        </w:rPr>
        <w:t>ctvím informačních a komunikačních technologií.</w:t>
      </w:r>
    </w:p>
    <w:p w14:paraId="3A52CA29" w14:textId="13965882" w:rsidR="009D11B7" w:rsidRPr="001C0072" w:rsidRDefault="009D11B7" w:rsidP="007B422A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Spolupráce NÚKIB, MV a ostatních orgánů zajišťujících KB státu nebyla doposu</w:t>
      </w:r>
      <w:r w:rsidR="00A60312">
        <w:rPr>
          <w:rFonts w:ascii="Calibri" w:hAnsi="Calibri" w:cs="Calibri"/>
        </w:rPr>
        <w:t>d formálně nastavena a ukotvena. K tomu</w:t>
      </w:r>
      <w:r w:rsidRPr="001C0072">
        <w:rPr>
          <w:rFonts w:ascii="Calibri" w:hAnsi="Calibri" w:cs="Calibri"/>
        </w:rPr>
        <w:t xml:space="preserve"> mělo dojít i v rámci plnění některých výše uvedených úkolů</w:t>
      </w:r>
      <w:r w:rsidR="005A14D2">
        <w:rPr>
          <w:rFonts w:ascii="Calibri" w:hAnsi="Calibri" w:cs="Calibri"/>
        </w:rPr>
        <w:t xml:space="preserve"> AP </w:t>
      </w:r>
      <w:r w:rsidR="000A229D" w:rsidRPr="001C0072">
        <w:rPr>
          <w:rFonts w:ascii="Calibri" w:hAnsi="Calibri" w:cs="Calibri"/>
        </w:rPr>
        <w:t>NSKB</w:t>
      </w:r>
      <w:r w:rsidR="0025703E">
        <w:rPr>
          <w:rFonts w:ascii="Calibri" w:hAnsi="Calibri" w:cs="Calibri"/>
        </w:rPr>
        <w:t xml:space="preserve">, zejm. úkolu </w:t>
      </w:r>
      <w:proofErr w:type="gramStart"/>
      <w:r w:rsidR="0025703E">
        <w:rPr>
          <w:rFonts w:ascii="Calibri" w:hAnsi="Calibri" w:cs="Calibri"/>
        </w:rPr>
        <w:t>A.1.01</w:t>
      </w:r>
      <w:proofErr w:type="gramEnd"/>
      <w:r w:rsidR="0025703E">
        <w:rPr>
          <w:rFonts w:ascii="Calibri" w:hAnsi="Calibri" w:cs="Calibri"/>
        </w:rPr>
        <w:t xml:space="preserve"> </w:t>
      </w:r>
      <w:r w:rsidR="00717990">
        <w:rPr>
          <w:rFonts w:ascii="Calibri" w:hAnsi="Calibri" w:cs="Calibri"/>
        </w:rPr>
        <w:t>–</w:t>
      </w:r>
      <w:r w:rsidR="0025703E">
        <w:rPr>
          <w:rFonts w:ascii="Calibri" w:hAnsi="Calibri" w:cs="Calibri"/>
        </w:rPr>
        <w:t xml:space="preserve"> </w:t>
      </w:r>
      <w:r w:rsidR="0025703E" w:rsidRPr="00A760A4">
        <w:rPr>
          <w:rFonts w:ascii="Calibri" w:hAnsi="Calibri" w:cs="Calibri"/>
          <w:i/>
        </w:rPr>
        <w:t>Vytvořit v koordinaci s ostatními subjekty schéma a podrobný model spolupráce v rámci zajišťování kybernetické bezpečnosti</w:t>
      </w:r>
      <w:r w:rsidR="00717990">
        <w:rPr>
          <w:rFonts w:ascii="Calibri" w:hAnsi="Calibri" w:cs="Calibri"/>
        </w:rPr>
        <w:t>,</w:t>
      </w:r>
      <w:r w:rsidR="0025703E" w:rsidRPr="0025703E">
        <w:rPr>
          <w:rFonts w:ascii="Calibri" w:hAnsi="Calibri" w:cs="Calibri"/>
        </w:rPr>
        <w:t xml:space="preserve"> </w:t>
      </w:r>
      <w:r w:rsidR="000A229D" w:rsidRPr="001C0072">
        <w:rPr>
          <w:rFonts w:ascii="Calibri" w:hAnsi="Calibri" w:cs="Calibri"/>
        </w:rPr>
        <w:t xml:space="preserve">a </w:t>
      </w:r>
      <w:r w:rsidR="00A60312">
        <w:rPr>
          <w:rFonts w:ascii="Calibri" w:hAnsi="Calibri" w:cs="Calibri"/>
        </w:rPr>
        <w:t xml:space="preserve">spolupráce těchto subjektů tak </w:t>
      </w:r>
      <w:r w:rsidR="000A229D" w:rsidRPr="001C0072">
        <w:rPr>
          <w:rFonts w:ascii="Calibri" w:hAnsi="Calibri" w:cs="Calibri"/>
        </w:rPr>
        <w:t xml:space="preserve">spočívá zejména </w:t>
      </w:r>
      <w:r w:rsidRPr="001C0072">
        <w:rPr>
          <w:rFonts w:ascii="Calibri" w:hAnsi="Calibri" w:cs="Calibri"/>
        </w:rPr>
        <w:t xml:space="preserve">na osobních vazbách a dohodách ad hoc. </w:t>
      </w:r>
    </w:p>
    <w:p w14:paraId="152264C9" w14:textId="2A5DD7DE" w:rsidR="008C625F" w:rsidRPr="001C0072" w:rsidRDefault="008C625F" w:rsidP="008C625F">
      <w:pPr>
        <w:spacing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  <w:color w:val="000000"/>
        </w:rPr>
        <w:t xml:space="preserve">V souvislosti s nastavením </w:t>
      </w:r>
      <w:r w:rsidR="00265443">
        <w:rPr>
          <w:rFonts w:ascii="Calibri" w:hAnsi="Calibri" w:cs="Calibri"/>
          <w:color w:val="000000"/>
        </w:rPr>
        <w:t>předávání hodnoticích zpráv</w:t>
      </w:r>
      <w:r w:rsidRPr="001C0072">
        <w:rPr>
          <w:rFonts w:ascii="Calibri" w:hAnsi="Calibri" w:cs="Calibri"/>
          <w:color w:val="000000"/>
        </w:rPr>
        <w:t xml:space="preserve"> o plnění jednotlivých úkolů AP NSKB upozorňuje</w:t>
      </w:r>
      <w:r w:rsidR="0062399D" w:rsidRPr="0062399D">
        <w:rPr>
          <w:rFonts w:ascii="Calibri" w:hAnsi="Calibri" w:cs="Calibri"/>
          <w:color w:val="000000"/>
        </w:rPr>
        <w:t xml:space="preserve"> </w:t>
      </w:r>
      <w:r w:rsidR="0062399D" w:rsidRPr="001C0072">
        <w:rPr>
          <w:rFonts w:ascii="Calibri" w:hAnsi="Calibri" w:cs="Calibri"/>
          <w:color w:val="000000"/>
        </w:rPr>
        <w:t>NKÚ</w:t>
      </w:r>
      <w:r w:rsidRPr="001C0072">
        <w:rPr>
          <w:rFonts w:ascii="Calibri" w:hAnsi="Calibri" w:cs="Calibri"/>
          <w:color w:val="000000"/>
        </w:rPr>
        <w:t xml:space="preserve">, že </w:t>
      </w:r>
      <w:r w:rsidRPr="001C0072">
        <w:rPr>
          <w:rFonts w:ascii="Calibri" w:hAnsi="Calibri" w:cs="Calibri"/>
        </w:rPr>
        <w:t xml:space="preserve">NÚKIB nastavený systém nevedl k získání </w:t>
      </w:r>
      <w:r w:rsidR="00265443">
        <w:rPr>
          <w:rFonts w:ascii="Calibri" w:hAnsi="Calibri" w:cs="Calibri"/>
        </w:rPr>
        <w:t>zpráv</w:t>
      </w:r>
      <w:r w:rsidR="00265443" w:rsidRPr="001C0072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 xml:space="preserve">o plnění AP NSKB od všech dotazovaných subjektů. Např. MV v letech 2015, 2016 a 2018 nepředávalo NÚKIB veškeré požadované informace o úkolech, které mělo v gesci nebo </w:t>
      </w:r>
      <w:proofErr w:type="spellStart"/>
      <w:r w:rsidRPr="001C0072">
        <w:rPr>
          <w:rFonts w:ascii="Calibri" w:hAnsi="Calibri" w:cs="Calibri"/>
        </w:rPr>
        <w:t>spolugesci</w:t>
      </w:r>
      <w:proofErr w:type="spellEnd"/>
      <w:r w:rsidR="00717990">
        <w:rPr>
          <w:rFonts w:ascii="Calibri" w:hAnsi="Calibri" w:cs="Calibri"/>
        </w:rPr>
        <w:t>,</w:t>
      </w:r>
      <w:r w:rsidRPr="001C0072">
        <w:rPr>
          <w:rFonts w:ascii="Calibri" w:hAnsi="Calibri" w:cs="Calibri"/>
        </w:rPr>
        <w:t xml:space="preserve"> a</w:t>
      </w:r>
      <w:r w:rsidR="00265443">
        <w:rPr>
          <w:rFonts w:ascii="Calibri" w:hAnsi="Calibri" w:cs="Calibri"/>
        </w:rPr>
        <w:t> </w:t>
      </w:r>
      <w:r w:rsidRPr="001C0072">
        <w:rPr>
          <w:rFonts w:ascii="Calibri" w:hAnsi="Calibri" w:cs="Calibri"/>
        </w:rPr>
        <w:t xml:space="preserve">zároveň tak nepostupovalo </w:t>
      </w:r>
      <w:r w:rsidR="00025E5A">
        <w:rPr>
          <w:rFonts w:ascii="Calibri" w:hAnsi="Calibri" w:cs="Calibri"/>
        </w:rPr>
        <w:t>podle</w:t>
      </w:r>
      <w:r w:rsidRPr="001C0072">
        <w:rPr>
          <w:rFonts w:ascii="Calibri" w:hAnsi="Calibri" w:cs="Calibri"/>
        </w:rPr>
        <w:t xml:space="preserve"> ustanovení § 21 zákona č. 2/1969 Sb., když svým postupem důsledně neposkytovalo součinnost při naplňování AP NSKB podle úkolu III/1b </w:t>
      </w:r>
      <w:r w:rsidR="00025E5A">
        <w:rPr>
          <w:rFonts w:ascii="Calibri" w:hAnsi="Calibri" w:cs="Calibri"/>
        </w:rPr>
        <w:t>uloženého</w:t>
      </w:r>
      <w:r w:rsidRPr="001C0072">
        <w:rPr>
          <w:rFonts w:ascii="Calibri" w:hAnsi="Calibri" w:cs="Calibri"/>
        </w:rPr>
        <w:t xml:space="preserve"> </w:t>
      </w:r>
      <w:r w:rsidR="00025E5A">
        <w:rPr>
          <w:rFonts w:ascii="Calibri" w:hAnsi="Calibri" w:cs="Calibri"/>
        </w:rPr>
        <w:t>usnesením vlády ČR ze</w:t>
      </w:r>
      <w:r w:rsidR="00717990">
        <w:rPr>
          <w:rFonts w:ascii="Calibri" w:hAnsi="Calibri" w:cs="Calibri"/>
        </w:rPr>
        <w:t xml:space="preserve"> </w:t>
      </w:r>
      <w:r w:rsidR="00025E5A" w:rsidRPr="001C0072">
        <w:rPr>
          <w:rFonts w:ascii="Calibri" w:hAnsi="Calibri" w:cs="Calibri"/>
        </w:rPr>
        <w:t>dne 25. května 2015 č. 382</w:t>
      </w:r>
      <w:r w:rsidR="00025E5A">
        <w:rPr>
          <w:rFonts w:ascii="Calibri" w:hAnsi="Calibri" w:cs="Calibri"/>
        </w:rPr>
        <w:t>.</w:t>
      </w:r>
    </w:p>
    <w:p w14:paraId="6381255F" w14:textId="77777777" w:rsidR="00D72D15" w:rsidRPr="001C0072" w:rsidRDefault="000A229D" w:rsidP="00D72D15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lastRenderedPageBreak/>
        <w:t xml:space="preserve">NKÚ </w:t>
      </w:r>
      <w:r w:rsidR="009D11B7" w:rsidRPr="001C0072">
        <w:rPr>
          <w:rFonts w:ascii="Calibri" w:hAnsi="Calibri" w:cs="Calibri"/>
        </w:rPr>
        <w:t>nad rámec plnění AP NKSB prověřoval také další oblasti K</w:t>
      </w:r>
      <w:r w:rsidR="005A14D2">
        <w:rPr>
          <w:rFonts w:ascii="Calibri" w:hAnsi="Calibri" w:cs="Calibri"/>
        </w:rPr>
        <w:t>B vyžadující spolupráci NÚKIB a </w:t>
      </w:r>
      <w:r w:rsidR="009D11B7" w:rsidRPr="001C0072">
        <w:rPr>
          <w:rFonts w:ascii="Calibri" w:hAnsi="Calibri" w:cs="Calibri"/>
        </w:rPr>
        <w:t xml:space="preserve">MV. </w:t>
      </w:r>
      <w:r w:rsidR="00D72D15" w:rsidRPr="001C0072">
        <w:rPr>
          <w:rFonts w:ascii="Calibri" w:hAnsi="Calibri" w:cs="Calibri"/>
        </w:rPr>
        <w:t xml:space="preserve">NKÚ ověřil, že NÚKIB v oblasti přípravy právních předpisů aktivně spolupracoval s MV jak na samotných zněních jednotlivých materiálů, tak i na ostatních s tím souvisejících dokumentech. NÚKIB také jakožto gestor KB vydával doporučení směřující k jednotlivým oblastem ZKB a komunikoval s Odborem hlavního architekta eGovernmentu </w:t>
      </w:r>
      <w:r w:rsidR="009D11B7" w:rsidRPr="001C0072">
        <w:rPr>
          <w:rFonts w:ascii="Calibri" w:hAnsi="Calibri" w:cs="Calibri"/>
        </w:rPr>
        <w:t xml:space="preserve">MV </w:t>
      </w:r>
      <w:r w:rsidR="00D72D15" w:rsidRPr="001C0072">
        <w:rPr>
          <w:rFonts w:ascii="Calibri" w:hAnsi="Calibri" w:cs="Calibri"/>
        </w:rPr>
        <w:t xml:space="preserve">(dále také „OHA“) při posuzování ICT projektů týkajících se KB. Tato komunikace probíhala nepravidelně formou oficiálních dopisů, a to zejména v případě vzniku potřeby konzultovat otázky související s KB. </w:t>
      </w:r>
    </w:p>
    <w:p w14:paraId="6C8389BF" w14:textId="77777777" w:rsidR="00AB6A7E" w:rsidRPr="001C0072" w:rsidRDefault="00AA620A" w:rsidP="00AA620A">
      <w:pPr>
        <w:pStyle w:val="Default"/>
        <w:spacing w:after="120"/>
        <w:jc w:val="both"/>
      </w:pPr>
      <w:r w:rsidRPr="001C0072">
        <w:t>V období od prosince 2019 do doby ukončení kontroly NKÚ došlo na území ČR k řadě významných kybernetických útoků, zejména s dopady na provoz nemocnic. První případ nastal dne 11. 12. 2019 v nemocnici v Benešově. K dalšímu útoku došlo dne 13. 3. 2020, kdy byla napadena počítačová síť brněnské fakultní nemocnice v Bohunicích. NÚKIB a MV se podílely na řešení těchto kybernetických incidentů, a to i v přípa</w:t>
      </w:r>
      <w:r w:rsidR="005A14D2">
        <w:t>dě, kdy tento incident nastal u </w:t>
      </w:r>
      <w:r w:rsidRPr="001C0072">
        <w:t>subjektu, který nespadal jako tzv. povinný subjekt pod ZKB</w:t>
      </w:r>
      <w:r w:rsidR="00393333" w:rsidRPr="001C0072">
        <w:rPr>
          <w:rStyle w:val="Znakapoznpodarou"/>
        </w:rPr>
        <w:footnoteReference w:id="15"/>
      </w:r>
      <w:r w:rsidRPr="001C0072">
        <w:t>. V případě výskytu několika incidentů současně však existuje riziko, že NÚKIB a MV nebudou mít dostatek personálních kapacit, které by mohly na jejich řešení využít.</w:t>
      </w:r>
      <w:r w:rsidR="00866187">
        <w:t xml:space="preserve"> </w:t>
      </w:r>
    </w:p>
    <w:p w14:paraId="0D48553B" w14:textId="77777777" w:rsidR="00CE023C" w:rsidRPr="0087118C" w:rsidRDefault="00CE023C" w:rsidP="0087118C">
      <w:pPr>
        <w:pStyle w:val="Zkladn"/>
        <w:keepNext/>
        <w:spacing w:before="0" w:after="120"/>
        <w:rPr>
          <w:rFonts w:ascii="Calibri" w:hAnsi="Calibri" w:cs="Calibri"/>
          <w:b/>
          <w:szCs w:val="26"/>
        </w:rPr>
      </w:pPr>
      <w:r w:rsidRPr="0087118C">
        <w:rPr>
          <w:rFonts w:ascii="Calibri" w:hAnsi="Calibri" w:cs="Calibri"/>
          <w:b/>
          <w:szCs w:val="26"/>
        </w:rPr>
        <w:t>Financování kybernetické bezpečnosti státu</w:t>
      </w:r>
    </w:p>
    <w:p w14:paraId="2AFA8131" w14:textId="77777777" w:rsidR="00B549F3" w:rsidRPr="001C0072" w:rsidRDefault="00C62C79" w:rsidP="00D212BE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NÚKIB, potažmo stát, neměl</w:t>
      </w:r>
      <w:r w:rsidR="00CC75A2" w:rsidRPr="001C0072">
        <w:rPr>
          <w:rFonts w:ascii="Calibri" w:hAnsi="Calibri" w:cs="Calibri"/>
        </w:rPr>
        <w:t xml:space="preserve"> v průběhu kontrolovaného období informace</w:t>
      </w:r>
      <w:r w:rsidRPr="001C0072">
        <w:rPr>
          <w:rFonts w:ascii="Calibri" w:hAnsi="Calibri" w:cs="Calibri"/>
        </w:rPr>
        <w:t xml:space="preserve"> o celkové výši vynakládaných peněžních prostředků jednotlivých kapitol státního rozpočtu či celého státu</w:t>
      </w:r>
      <w:r w:rsidR="00550012" w:rsidRPr="001C0072">
        <w:rPr>
          <w:rFonts w:ascii="Calibri" w:eastAsiaTheme="minorHAnsi" w:hAnsi="Calibri" w:cs="Calibri"/>
          <w:szCs w:val="22"/>
        </w:rPr>
        <w:t xml:space="preserve"> </w:t>
      </w:r>
      <w:r w:rsidR="00550012" w:rsidRPr="001C0072">
        <w:rPr>
          <w:rFonts w:ascii="Calibri" w:hAnsi="Calibri" w:cs="Calibri"/>
        </w:rPr>
        <w:t>na KB</w:t>
      </w:r>
      <w:r w:rsidRPr="001C0072">
        <w:rPr>
          <w:rFonts w:ascii="Calibri" w:hAnsi="Calibri" w:cs="Calibri"/>
        </w:rPr>
        <w:t xml:space="preserve">. </w:t>
      </w:r>
      <w:r w:rsidR="00CE023C" w:rsidRPr="001C0072">
        <w:rPr>
          <w:rFonts w:ascii="Calibri" w:hAnsi="Calibri" w:cs="Calibri"/>
        </w:rPr>
        <w:t xml:space="preserve">Vzhledem k výše uvedené absenci informací o vynakládaných peněžních prostředcích </w:t>
      </w:r>
      <w:r w:rsidR="005A14D2">
        <w:rPr>
          <w:rFonts w:ascii="Calibri" w:hAnsi="Calibri" w:cs="Calibri"/>
        </w:rPr>
        <w:t>a </w:t>
      </w:r>
      <w:r w:rsidRPr="001C0072">
        <w:rPr>
          <w:rFonts w:ascii="Calibri" w:hAnsi="Calibri" w:cs="Calibri"/>
        </w:rPr>
        <w:t>potřeb</w:t>
      </w:r>
      <w:r w:rsidR="00550012" w:rsidRPr="001C0072">
        <w:rPr>
          <w:rFonts w:ascii="Calibri" w:hAnsi="Calibri" w:cs="Calibri"/>
        </w:rPr>
        <w:t>ě</w:t>
      </w:r>
      <w:r w:rsidRPr="001C0072">
        <w:rPr>
          <w:rFonts w:ascii="Calibri" w:hAnsi="Calibri" w:cs="Calibri"/>
        </w:rPr>
        <w:t xml:space="preserve"> jejich získání</w:t>
      </w:r>
      <w:r w:rsidR="000A229D" w:rsidRPr="001C0072">
        <w:rPr>
          <w:rFonts w:ascii="Calibri" w:hAnsi="Calibri" w:cs="Calibri"/>
        </w:rPr>
        <w:t xml:space="preserve"> mj. v souvislosti </w:t>
      </w:r>
      <w:r w:rsidR="00CC75A2" w:rsidRPr="001C0072">
        <w:rPr>
          <w:rFonts w:ascii="Calibri" w:hAnsi="Calibri" w:cs="Calibri"/>
        </w:rPr>
        <w:t xml:space="preserve">s novou </w:t>
      </w:r>
      <w:r w:rsidR="00C223FF" w:rsidRPr="001C0072">
        <w:rPr>
          <w:rFonts w:ascii="Calibri" w:hAnsi="Calibri" w:cs="Calibri"/>
        </w:rPr>
        <w:t>vyhláškou č. 82/2018 Sb.</w:t>
      </w:r>
      <w:r w:rsidR="00C223FF" w:rsidRPr="00E27D6B">
        <w:rPr>
          <w:rFonts w:ascii="Calibri" w:hAnsi="Calibri" w:cs="Calibri"/>
        </w:rPr>
        <w:t>, o bezpečnostn</w:t>
      </w:r>
      <w:r w:rsidR="000A229D" w:rsidRPr="00E27D6B">
        <w:rPr>
          <w:rFonts w:ascii="Calibri" w:hAnsi="Calibri" w:cs="Calibri"/>
        </w:rPr>
        <w:t xml:space="preserve">ích opatřeních, kybernetických </w:t>
      </w:r>
      <w:r w:rsidR="00C223FF" w:rsidRPr="00E27D6B">
        <w:rPr>
          <w:rFonts w:ascii="Calibri" w:hAnsi="Calibri" w:cs="Calibri"/>
        </w:rPr>
        <w:t>bezpečnostních incidentech, reaktivních op</w:t>
      </w:r>
      <w:r w:rsidR="000A229D" w:rsidRPr="00E27D6B">
        <w:rPr>
          <w:rFonts w:ascii="Calibri" w:hAnsi="Calibri" w:cs="Calibri"/>
        </w:rPr>
        <w:t>atřeních, náležitostech podání</w:t>
      </w:r>
      <w:r w:rsidR="00C223FF" w:rsidRPr="00E27D6B">
        <w:rPr>
          <w:rFonts w:ascii="Calibri" w:hAnsi="Calibri" w:cs="Calibri"/>
        </w:rPr>
        <w:t xml:space="preserve"> v oblasti kybernetické bezpečnosti a likvidaci dat (vyhláška o kybernetické bezpečnosti)</w:t>
      </w:r>
      <w:r w:rsidRPr="00E27D6B">
        <w:rPr>
          <w:rFonts w:ascii="Calibri" w:hAnsi="Calibri" w:cs="Calibri"/>
        </w:rPr>
        <w:t>,</w:t>
      </w:r>
      <w:r w:rsidR="00CE023C" w:rsidRPr="00C25A44">
        <w:rPr>
          <w:rFonts w:ascii="Calibri" w:hAnsi="Calibri" w:cs="Calibri"/>
          <w:i/>
        </w:rPr>
        <w:t xml:space="preserve"> </w:t>
      </w:r>
      <w:r w:rsidRPr="001C0072">
        <w:rPr>
          <w:rFonts w:ascii="Calibri" w:hAnsi="Calibri" w:cs="Calibri"/>
        </w:rPr>
        <w:t xml:space="preserve">prováděl </w:t>
      </w:r>
      <w:r w:rsidR="00CE023C" w:rsidRPr="001C0072">
        <w:rPr>
          <w:rFonts w:ascii="Calibri" w:hAnsi="Calibri" w:cs="Calibri"/>
        </w:rPr>
        <w:t xml:space="preserve">NÚKIB v letech 2018 a 2019 </w:t>
      </w:r>
      <w:r w:rsidRPr="001C0072">
        <w:rPr>
          <w:rFonts w:ascii="Calibri" w:hAnsi="Calibri" w:cs="Calibri"/>
        </w:rPr>
        <w:t>celkem čtyři</w:t>
      </w:r>
      <w:r w:rsidR="00CC75A2" w:rsidRPr="001C0072">
        <w:rPr>
          <w:rFonts w:ascii="Calibri" w:hAnsi="Calibri" w:cs="Calibri"/>
        </w:rPr>
        <w:t xml:space="preserve"> </w:t>
      </w:r>
      <w:r w:rsidR="002C170D" w:rsidRPr="001C0072">
        <w:rPr>
          <w:rFonts w:ascii="Calibri" w:hAnsi="Calibri" w:cs="Calibri"/>
        </w:rPr>
        <w:t>dotazníková šetření u</w:t>
      </w:r>
      <w:r w:rsidR="005A14D2">
        <w:rPr>
          <w:rFonts w:ascii="Calibri" w:hAnsi="Calibri" w:cs="Calibri"/>
        </w:rPr>
        <w:t> </w:t>
      </w:r>
      <w:r w:rsidRPr="001C0072">
        <w:rPr>
          <w:rFonts w:ascii="Calibri" w:hAnsi="Calibri" w:cs="Calibri"/>
        </w:rPr>
        <w:t>ministerstev a Úřadu vlády ČR</w:t>
      </w:r>
      <w:r w:rsidR="00CC75A2" w:rsidRPr="001C0072">
        <w:rPr>
          <w:rStyle w:val="Znakapoznpodarou"/>
          <w:rFonts w:ascii="Calibri" w:hAnsi="Calibri" w:cs="Calibri"/>
        </w:rPr>
        <w:footnoteReference w:id="16"/>
      </w:r>
      <w:r w:rsidRPr="001C0072">
        <w:rPr>
          <w:rFonts w:ascii="Calibri" w:hAnsi="Calibri" w:cs="Calibri"/>
        </w:rPr>
        <w:t>.</w:t>
      </w:r>
    </w:p>
    <w:p w14:paraId="673AF696" w14:textId="072F5C04" w:rsidR="00B549F3" w:rsidRDefault="00C62C79" w:rsidP="00D212BE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Z dotazní</w:t>
      </w:r>
      <w:r w:rsidR="00CC75A2" w:rsidRPr="001C0072">
        <w:rPr>
          <w:rFonts w:ascii="Calibri" w:hAnsi="Calibri" w:cs="Calibri"/>
        </w:rPr>
        <w:t>kových</w:t>
      </w:r>
      <w:r w:rsidR="00D212BE" w:rsidRPr="001C0072">
        <w:rPr>
          <w:rFonts w:ascii="Calibri" w:hAnsi="Calibri" w:cs="Calibri"/>
        </w:rPr>
        <w:t xml:space="preserve"> šetření provedených</w:t>
      </w:r>
      <w:r w:rsidRPr="001C0072">
        <w:rPr>
          <w:rFonts w:ascii="Calibri" w:hAnsi="Calibri" w:cs="Calibri"/>
        </w:rPr>
        <w:t xml:space="preserve"> NÚKIB vyplynulo, že na zajištění KB </w:t>
      </w:r>
      <w:r w:rsidR="005E1712" w:rsidRPr="001C0072">
        <w:rPr>
          <w:rFonts w:ascii="Calibri" w:hAnsi="Calibri" w:cs="Calibri"/>
        </w:rPr>
        <w:t>informačních systémů</w:t>
      </w:r>
      <w:r w:rsidRPr="001C0072">
        <w:rPr>
          <w:rFonts w:ascii="Calibri" w:hAnsi="Calibri" w:cs="Calibri"/>
        </w:rPr>
        <w:t xml:space="preserve"> státu </w:t>
      </w:r>
      <w:r w:rsidR="00610231" w:rsidRPr="001C0072">
        <w:rPr>
          <w:rFonts w:ascii="Calibri" w:hAnsi="Calibri" w:cs="Calibri"/>
        </w:rPr>
        <w:t xml:space="preserve">podle ZKB a souvisejících vyhlášek </w:t>
      </w:r>
      <w:r w:rsidRPr="001C0072">
        <w:rPr>
          <w:rFonts w:ascii="Calibri" w:hAnsi="Calibri" w:cs="Calibri"/>
        </w:rPr>
        <w:t>vynaložila</w:t>
      </w:r>
      <w:r w:rsidR="00334AC2" w:rsidRPr="001C0072">
        <w:rPr>
          <w:rFonts w:ascii="Calibri" w:hAnsi="Calibri" w:cs="Calibri"/>
        </w:rPr>
        <w:t xml:space="preserve"> ministerstva a Úřad vlády ČR v </w:t>
      </w:r>
      <w:r w:rsidRPr="001C0072">
        <w:rPr>
          <w:rFonts w:ascii="Calibri" w:hAnsi="Calibri" w:cs="Calibri"/>
        </w:rPr>
        <w:t xml:space="preserve">letech 2015 až 2019 </w:t>
      </w:r>
      <w:r w:rsidR="001C2C7E" w:rsidRPr="001C0072">
        <w:rPr>
          <w:rFonts w:ascii="Calibri" w:hAnsi="Calibri" w:cs="Calibri"/>
        </w:rPr>
        <w:t xml:space="preserve">podle jejich odhadu </w:t>
      </w:r>
      <w:r w:rsidRPr="001C0072">
        <w:rPr>
          <w:rFonts w:ascii="Calibri" w:hAnsi="Calibri" w:cs="Calibri"/>
        </w:rPr>
        <w:t xml:space="preserve">téměř </w:t>
      </w:r>
      <w:r w:rsidR="006E0658" w:rsidRPr="001C0072">
        <w:rPr>
          <w:rFonts w:ascii="Calibri" w:hAnsi="Calibri" w:cs="Calibri"/>
        </w:rPr>
        <w:t xml:space="preserve">2,8 </w:t>
      </w:r>
      <w:r w:rsidRPr="001C0072">
        <w:rPr>
          <w:rFonts w:ascii="Calibri" w:hAnsi="Calibri" w:cs="Calibri"/>
        </w:rPr>
        <w:t>mld. Kč</w:t>
      </w:r>
      <w:r w:rsidR="00393333">
        <w:rPr>
          <w:rFonts w:ascii="Calibri" w:hAnsi="Calibri" w:cs="Calibri"/>
        </w:rPr>
        <w:t>. V</w:t>
      </w:r>
      <w:r w:rsidR="002734DF" w:rsidRPr="001C0072">
        <w:rPr>
          <w:rFonts w:ascii="Calibri" w:hAnsi="Calibri" w:cs="Calibri"/>
        </w:rPr>
        <w:t> případě MV činil</w:t>
      </w:r>
      <w:r w:rsidR="000A229D" w:rsidRPr="001C0072">
        <w:rPr>
          <w:rFonts w:ascii="Calibri" w:hAnsi="Calibri" w:cs="Calibri"/>
        </w:rPr>
        <w:t xml:space="preserve"> odhad</w:t>
      </w:r>
      <w:r w:rsidR="002734DF" w:rsidRPr="001C0072">
        <w:rPr>
          <w:rFonts w:ascii="Calibri" w:hAnsi="Calibri" w:cs="Calibri"/>
        </w:rPr>
        <w:t xml:space="preserve"> </w:t>
      </w:r>
      <w:r w:rsidR="001C2C7E" w:rsidRPr="001C0072">
        <w:rPr>
          <w:rFonts w:ascii="Calibri" w:hAnsi="Calibri" w:cs="Calibri"/>
        </w:rPr>
        <w:t xml:space="preserve">celkových </w:t>
      </w:r>
      <w:r w:rsidR="002734DF" w:rsidRPr="001C0072">
        <w:rPr>
          <w:rFonts w:ascii="Calibri" w:hAnsi="Calibri" w:cs="Calibri"/>
        </w:rPr>
        <w:t>vynaložen</w:t>
      </w:r>
      <w:r w:rsidR="001C2C7E" w:rsidRPr="001C0072">
        <w:rPr>
          <w:rFonts w:ascii="Calibri" w:hAnsi="Calibri" w:cs="Calibri"/>
        </w:rPr>
        <w:t>ých</w:t>
      </w:r>
      <w:r w:rsidR="002734DF" w:rsidRPr="001C0072">
        <w:rPr>
          <w:rFonts w:ascii="Calibri" w:hAnsi="Calibri" w:cs="Calibri"/>
        </w:rPr>
        <w:t xml:space="preserve"> peněžní</w:t>
      </w:r>
      <w:r w:rsidR="001C2C7E" w:rsidRPr="001C0072">
        <w:rPr>
          <w:rFonts w:ascii="Calibri" w:hAnsi="Calibri" w:cs="Calibri"/>
        </w:rPr>
        <w:t>ch</w:t>
      </w:r>
      <w:r w:rsidR="002734DF" w:rsidRPr="001C0072">
        <w:rPr>
          <w:rFonts w:ascii="Calibri" w:hAnsi="Calibri" w:cs="Calibri"/>
        </w:rPr>
        <w:t xml:space="preserve"> </w:t>
      </w:r>
      <w:r w:rsidR="001C2C7E" w:rsidRPr="001C0072">
        <w:rPr>
          <w:rFonts w:ascii="Calibri" w:hAnsi="Calibri" w:cs="Calibri"/>
        </w:rPr>
        <w:t xml:space="preserve">prostředků </w:t>
      </w:r>
      <w:r w:rsidR="002734DF" w:rsidRPr="001C0072">
        <w:rPr>
          <w:rFonts w:ascii="Calibri" w:hAnsi="Calibri" w:cs="Calibri"/>
        </w:rPr>
        <w:t xml:space="preserve">na KB v období 2015–2019 </w:t>
      </w:r>
      <w:r w:rsidR="003A7E70" w:rsidRPr="001C0072">
        <w:rPr>
          <w:rFonts w:ascii="Calibri" w:hAnsi="Calibri" w:cs="Calibri"/>
        </w:rPr>
        <w:t>cca</w:t>
      </w:r>
      <w:r w:rsidR="002734DF" w:rsidRPr="001C0072">
        <w:rPr>
          <w:rFonts w:ascii="Calibri" w:hAnsi="Calibri" w:cs="Calibri"/>
        </w:rPr>
        <w:t xml:space="preserve"> </w:t>
      </w:r>
      <w:r w:rsidR="003A7E70" w:rsidRPr="001C0072">
        <w:rPr>
          <w:rFonts w:ascii="Calibri" w:hAnsi="Calibri" w:cs="Calibri"/>
        </w:rPr>
        <w:t>750 mil. Kč</w:t>
      </w:r>
      <w:r w:rsidR="002734DF" w:rsidRPr="001C0072">
        <w:rPr>
          <w:rFonts w:ascii="Calibri" w:hAnsi="Calibri" w:cs="Calibri"/>
        </w:rPr>
        <w:t xml:space="preserve"> (pouze za správce kapitoly)</w:t>
      </w:r>
      <w:r w:rsidRPr="001C0072">
        <w:rPr>
          <w:rFonts w:ascii="Calibri" w:hAnsi="Calibri" w:cs="Calibri"/>
        </w:rPr>
        <w:t xml:space="preserve">. </w:t>
      </w:r>
      <w:r w:rsidR="00A03CB7" w:rsidRPr="001C0072">
        <w:rPr>
          <w:rFonts w:ascii="Calibri" w:hAnsi="Calibri" w:cs="Calibri"/>
        </w:rPr>
        <w:t>K roku</w:t>
      </w:r>
      <w:r w:rsidRPr="001C0072">
        <w:rPr>
          <w:rFonts w:ascii="Calibri" w:hAnsi="Calibri" w:cs="Calibri"/>
        </w:rPr>
        <w:t xml:space="preserve"> 2020 vyčíslili respondenti </w:t>
      </w:r>
      <w:r w:rsidR="002734DF" w:rsidRPr="001C0072">
        <w:rPr>
          <w:rFonts w:ascii="Calibri" w:hAnsi="Calibri" w:cs="Calibri"/>
        </w:rPr>
        <w:t xml:space="preserve">dotazníkových šetření </w:t>
      </w:r>
      <w:r w:rsidR="00393333">
        <w:rPr>
          <w:rFonts w:ascii="Calibri" w:hAnsi="Calibri" w:cs="Calibri"/>
        </w:rPr>
        <w:t xml:space="preserve">NÚKIB </w:t>
      </w:r>
      <w:r w:rsidRPr="001C0072">
        <w:rPr>
          <w:rFonts w:ascii="Calibri" w:hAnsi="Calibri" w:cs="Calibri"/>
        </w:rPr>
        <w:t xml:space="preserve">potřebné </w:t>
      </w:r>
      <w:r w:rsidR="00CC75A2" w:rsidRPr="001C0072">
        <w:rPr>
          <w:rFonts w:ascii="Calibri" w:hAnsi="Calibri" w:cs="Calibri"/>
        </w:rPr>
        <w:t xml:space="preserve">(chybějící) </w:t>
      </w:r>
      <w:r w:rsidRPr="001C0072">
        <w:rPr>
          <w:rFonts w:ascii="Calibri" w:hAnsi="Calibri" w:cs="Calibri"/>
        </w:rPr>
        <w:t xml:space="preserve">finanční prostředky </w:t>
      </w:r>
      <w:r w:rsidR="002734DF" w:rsidRPr="001C0072">
        <w:rPr>
          <w:rFonts w:ascii="Calibri" w:hAnsi="Calibri" w:cs="Calibri"/>
        </w:rPr>
        <w:t xml:space="preserve">na zajištění </w:t>
      </w:r>
      <w:r w:rsidR="00315A3D" w:rsidRPr="001C0072">
        <w:rPr>
          <w:rFonts w:ascii="Calibri" w:hAnsi="Calibri" w:cs="Calibri"/>
        </w:rPr>
        <w:t>KB</w:t>
      </w:r>
      <w:r w:rsidR="002734DF" w:rsidRPr="001C0072">
        <w:rPr>
          <w:rFonts w:ascii="Calibri" w:hAnsi="Calibri" w:cs="Calibri"/>
        </w:rPr>
        <w:t xml:space="preserve"> podle požadavků ZKB v jejich kapitolách </w:t>
      </w:r>
      <w:r w:rsidR="00D60994">
        <w:rPr>
          <w:rFonts w:ascii="Calibri" w:hAnsi="Calibri" w:cs="Calibri"/>
        </w:rPr>
        <w:t xml:space="preserve">řádově ve stovkách </w:t>
      </w:r>
      <w:r w:rsidR="00BB45C5">
        <w:rPr>
          <w:rFonts w:ascii="Calibri" w:hAnsi="Calibri" w:cs="Calibri"/>
        </w:rPr>
        <w:t>milionů korun</w:t>
      </w:r>
      <w:r w:rsidR="00CC75A2" w:rsidRPr="001C0072">
        <w:rPr>
          <w:rFonts w:ascii="Calibri" w:hAnsi="Calibri" w:cs="Calibri"/>
        </w:rPr>
        <w:t>.</w:t>
      </w:r>
      <w:r w:rsidR="00A30E54">
        <w:rPr>
          <w:rFonts w:ascii="Calibri" w:hAnsi="Calibri" w:cs="Calibri"/>
        </w:rPr>
        <w:t xml:space="preserve"> Odhad vyčíslený MV</w:t>
      </w:r>
      <w:r w:rsidR="00A30E54" w:rsidRPr="001C0072">
        <w:rPr>
          <w:rFonts w:ascii="Calibri" w:hAnsi="Calibri" w:cs="Calibri"/>
        </w:rPr>
        <w:t xml:space="preserve"> </w:t>
      </w:r>
      <w:r w:rsidR="00A30E54">
        <w:rPr>
          <w:rFonts w:ascii="Calibri" w:hAnsi="Calibri" w:cs="Calibri"/>
        </w:rPr>
        <w:t>představoval 309 mil. </w:t>
      </w:r>
      <w:r w:rsidR="00A30E54" w:rsidRPr="001C0072">
        <w:rPr>
          <w:rFonts w:ascii="Calibri" w:hAnsi="Calibri" w:cs="Calibri"/>
        </w:rPr>
        <w:t>Kč</w:t>
      </w:r>
      <w:r w:rsidR="00A30E54">
        <w:rPr>
          <w:rFonts w:ascii="Calibri" w:hAnsi="Calibri" w:cs="Calibri"/>
        </w:rPr>
        <w:t>.</w:t>
      </w:r>
      <w:r w:rsidR="002734DF" w:rsidRPr="001C0072">
        <w:rPr>
          <w:rFonts w:ascii="Calibri" w:hAnsi="Calibri" w:cs="Calibri"/>
        </w:rPr>
        <w:t xml:space="preserve"> </w:t>
      </w:r>
      <w:r w:rsidR="001C2C7E" w:rsidRPr="001C0072">
        <w:rPr>
          <w:rFonts w:ascii="Calibri" w:hAnsi="Calibri" w:cs="Calibri"/>
        </w:rPr>
        <w:t xml:space="preserve">NKÚ prověřil, že </w:t>
      </w:r>
      <w:r w:rsidR="002734DF" w:rsidRPr="001C0072">
        <w:rPr>
          <w:rFonts w:ascii="Calibri" w:hAnsi="Calibri" w:cs="Calibri"/>
        </w:rPr>
        <w:t>MV nerealizovalo v některých oblastech KB veškerá potřebná opatření,</w:t>
      </w:r>
      <w:r w:rsidR="00315A3D" w:rsidRPr="001C0072">
        <w:rPr>
          <w:rFonts w:ascii="Calibri" w:hAnsi="Calibri" w:cs="Calibri"/>
        </w:rPr>
        <w:t xml:space="preserve"> která byla navržena</w:t>
      </w:r>
      <w:r w:rsidR="00A44CAE" w:rsidRPr="001C0072">
        <w:rPr>
          <w:rFonts w:ascii="Calibri" w:hAnsi="Calibri" w:cs="Calibri"/>
        </w:rPr>
        <w:t xml:space="preserve"> v</w:t>
      </w:r>
      <w:r w:rsidR="00334AC2" w:rsidRPr="001C0072">
        <w:rPr>
          <w:rFonts w:ascii="Calibri" w:hAnsi="Calibri" w:cs="Calibri"/>
        </w:rPr>
        <w:t> </w:t>
      </w:r>
      <w:r w:rsidR="00315A3D" w:rsidRPr="001C0072">
        <w:rPr>
          <w:rFonts w:ascii="Calibri" w:hAnsi="Calibri" w:cs="Calibri"/>
        </w:rPr>
        <w:t>jednotlivých plánech zvládání rizik</w:t>
      </w:r>
      <w:r w:rsidR="00315A3D" w:rsidRPr="001C0072">
        <w:rPr>
          <w:rStyle w:val="Znakapoznpodarou"/>
          <w:rFonts w:ascii="Calibri" w:hAnsi="Calibri" w:cs="Calibri"/>
        </w:rPr>
        <w:footnoteReference w:id="17"/>
      </w:r>
      <w:r w:rsidR="00315A3D" w:rsidRPr="001C0072">
        <w:rPr>
          <w:rFonts w:ascii="Calibri" w:hAnsi="Calibri" w:cs="Calibri"/>
        </w:rPr>
        <w:t>,</w:t>
      </w:r>
      <w:r w:rsidR="000A229D" w:rsidRPr="001C0072">
        <w:rPr>
          <w:rFonts w:ascii="Calibri" w:hAnsi="Calibri" w:cs="Calibri"/>
        </w:rPr>
        <w:t xml:space="preserve"> což představuje zvýšené </w:t>
      </w:r>
      <w:r w:rsidR="002734DF" w:rsidRPr="001C0072">
        <w:rPr>
          <w:rFonts w:ascii="Calibri" w:hAnsi="Calibri" w:cs="Calibri"/>
        </w:rPr>
        <w:t>bezpečnostní riziko</w:t>
      </w:r>
      <w:r w:rsidR="00A44CAE" w:rsidRPr="001C0072">
        <w:rPr>
          <w:rFonts w:ascii="Calibri" w:hAnsi="Calibri" w:cs="Calibri"/>
        </w:rPr>
        <w:t xml:space="preserve"> pro </w:t>
      </w:r>
      <w:r w:rsidR="00C25A44">
        <w:rPr>
          <w:rFonts w:ascii="Calibri" w:hAnsi="Calibri" w:cs="Calibri"/>
        </w:rPr>
        <w:t>KB resortu MV</w:t>
      </w:r>
      <w:r w:rsidR="002734DF" w:rsidRPr="001C0072">
        <w:rPr>
          <w:rFonts w:ascii="Calibri" w:hAnsi="Calibri" w:cs="Calibri"/>
        </w:rPr>
        <w:t xml:space="preserve">. </w:t>
      </w:r>
      <w:r w:rsidR="00315A3D" w:rsidRPr="001C0072">
        <w:rPr>
          <w:rFonts w:ascii="Calibri" w:hAnsi="Calibri" w:cs="Calibri"/>
        </w:rPr>
        <w:t xml:space="preserve">Jednalo se např. o opatření v oblastech: rozvoje </w:t>
      </w:r>
      <w:proofErr w:type="spellStart"/>
      <w:r w:rsidR="00315A3D" w:rsidRPr="001C0072">
        <w:rPr>
          <w:rFonts w:ascii="Calibri" w:hAnsi="Calibri" w:cs="Calibri"/>
        </w:rPr>
        <w:t>DCeGOV</w:t>
      </w:r>
      <w:proofErr w:type="spellEnd"/>
      <w:r w:rsidR="00315A3D" w:rsidRPr="001C0072">
        <w:rPr>
          <w:rFonts w:ascii="Calibri" w:hAnsi="Calibri" w:cs="Calibri"/>
        </w:rPr>
        <w:t>, zabezpečení některých KII a VIS podle ZKB</w:t>
      </w:r>
      <w:r w:rsidR="00A44CAE" w:rsidRPr="001C0072">
        <w:rPr>
          <w:rFonts w:ascii="Calibri" w:hAnsi="Calibri" w:cs="Calibri"/>
        </w:rPr>
        <w:t xml:space="preserve"> nebo</w:t>
      </w:r>
      <w:r w:rsidR="00315A3D" w:rsidRPr="001C0072">
        <w:rPr>
          <w:rFonts w:ascii="Calibri" w:hAnsi="Calibri" w:cs="Calibri"/>
        </w:rPr>
        <w:t xml:space="preserve"> rozvoje </w:t>
      </w:r>
      <w:r w:rsidR="003E439F" w:rsidRPr="001C0072">
        <w:rPr>
          <w:rFonts w:ascii="Calibri" w:hAnsi="Calibri" w:cs="Calibri"/>
        </w:rPr>
        <w:t>systému řízení bezpečnosti informací</w:t>
      </w:r>
      <w:r w:rsidR="00315A3D" w:rsidRPr="001C0072">
        <w:rPr>
          <w:rFonts w:ascii="Calibri" w:hAnsi="Calibri" w:cs="Calibri"/>
        </w:rPr>
        <w:t>.</w:t>
      </w:r>
      <w:r w:rsidR="00A44CAE" w:rsidRPr="001C0072">
        <w:rPr>
          <w:rFonts w:ascii="Calibri" w:hAnsi="Calibri" w:cs="Calibri"/>
        </w:rPr>
        <w:t xml:space="preserve"> </w:t>
      </w:r>
      <w:r w:rsidR="00633750" w:rsidRPr="001C0072">
        <w:rPr>
          <w:rFonts w:ascii="Calibri" w:hAnsi="Calibri" w:cs="Calibri"/>
        </w:rPr>
        <w:t>V kontrolovaném období přitom MV čelil</w:t>
      </w:r>
      <w:r w:rsidR="001F5D0A">
        <w:rPr>
          <w:rFonts w:ascii="Calibri" w:hAnsi="Calibri" w:cs="Calibri"/>
        </w:rPr>
        <w:t>o</w:t>
      </w:r>
      <w:r w:rsidR="00633750" w:rsidRPr="001C0072">
        <w:rPr>
          <w:rFonts w:ascii="Calibri" w:hAnsi="Calibri" w:cs="Calibri"/>
        </w:rPr>
        <w:t xml:space="preserve"> vzrůstajícímu počtu kybernetických útoků, když ve srovnání let 2016 až 2019 došlo k jejich </w:t>
      </w:r>
      <w:r w:rsidR="005A14D2">
        <w:rPr>
          <w:rFonts w:ascii="Calibri" w:hAnsi="Calibri" w:cs="Calibri"/>
        </w:rPr>
        <w:t>nárůstu nejméně o </w:t>
      </w:r>
      <w:r w:rsidR="00633750" w:rsidRPr="001C0072">
        <w:rPr>
          <w:rFonts w:ascii="Calibri" w:hAnsi="Calibri" w:cs="Calibri"/>
        </w:rPr>
        <w:t>220</w:t>
      </w:r>
      <w:r w:rsidR="005A14D2">
        <w:rPr>
          <w:rFonts w:ascii="Calibri" w:hAnsi="Calibri" w:cs="Calibri"/>
        </w:rPr>
        <w:t> </w:t>
      </w:r>
      <w:r w:rsidR="00633750" w:rsidRPr="001C0072">
        <w:rPr>
          <w:rFonts w:ascii="Calibri" w:hAnsi="Calibri" w:cs="Calibri"/>
        </w:rPr>
        <w:t>%. Napříkl</w:t>
      </w:r>
      <w:r w:rsidR="00426873">
        <w:rPr>
          <w:rFonts w:ascii="Calibri" w:hAnsi="Calibri" w:cs="Calibri"/>
        </w:rPr>
        <w:t>ad v roce 2019 MV evidovalo 397 </w:t>
      </w:r>
      <w:r w:rsidR="00633750" w:rsidRPr="001C0072">
        <w:rPr>
          <w:rFonts w:ascii="Calibri" w:hAnsi="Calibri" w:cs="Calibri"/>
        </w:rPr>
        <w:t>kybernetických útoků.</w:t>
      </w:r>
      <w:r w:rsidR="001F5D0A">
        <w:rPr>
          <w:rFonts w:ascii="Calibri" w:hAnsi="Calibri" w:cs="Calibri"/>
        </w:rPr>
        <w:t xml:space="preserve"> I z pohledu celé ČR jako celku narůstal v posledních letech počet kybernetických útoků, s čímž souvisí i rostoucí počet kybernetických incidentů, </w:t>
      </w:r>
      <w:r w:rsidR="001F5D0A">
        <w:rPr>
          <w:rFonts w:ascii="Calibri" w:hAnsi="Calibri" w:cs="Calibri"/>
        </w:rPr>
        <w:lastRenderedPageBreak/>
        <w:t xml:space="preserve">které byly hlášeny vládnímu CERT, resp. NÚKIB. Jen za prvních 6 měsíců bylo NÚKIB nahlášeno více incidentů než za celý rok 2019, což ilustruje následující graf. </w:t>
      </w:r>
    </w:p>
    <w:p w14:paraId="5C12C4C3" w14:textId="599AEE88" w:rsidR="001F5D0A" w:rsidRPr="001C1A25" w:rsidRDefault="001F5D0A" w:rsidP="001F5D0A">
      <w:pPr>
        <w:pStyle w:val="Titulek"/>
        <w:keepNext/>
        <w:spacing w:after="120"/>
        <w:rPr>
          <w:rFonts w:ascii="Calibri" w:hAnsi="Calibri" w:cs="Calibri"/>
          <w:b/>
          <w:bCs/>
          <w:i w:val="0"/>
          <w:color w:val="000000" w:themeColor="text1"/>
          <w:sz w:val="24"/>
        </w:rPr>
      </w:pPr>
      <w:r w:rsidRPr="001C1A25">
        <w:rPr>
          <w:rFonts w:ascii="Calibri" w:hAnsi="Calibri" w:cs="Calibri"/>
          <w:b/>
          <w:bCs/>
          <w:i w:val="0"/>
          <w:color w:val="000000" w:themeColor="text1"/>
          <w:sz w:val="24"/>
        </w:rPr>
        <w:t>Graf č. 1: Vývoj počtu kybernetických incidentů hlášených</w:t>
      </w:r>
      <w:r w:rsidRPr="001C1A25" w:rsidDel="00EA24E2">
        <w:rPr>
          <w:rFonts w:ascii="Calibri" w:hAnsi="Calibri" w:cs="Calibri"/>
          <w:b/>
          <w:bCs/>
          <w:i w:val="0"/>
          <w:color w:val="000000" w:themeColor="text1"/>
          <w:sz w:val="24"/>
        </w:rPr>
        <w:t xml:space="preserve"> </w:t>
      </w:r>
      <w:r w:rsidRPr="001C1A25">
        <w:rPr>
          <w:rFonts w:ascii="Calibri" w:hAnsi="Calibri" w:cs="Calibri"/>
          <w:b/>
          <w:bCs/>
          <w:i w:val="0"/>
          <w:color w:val="000000" w:themeColor="text1"/>
          <w:sz w:val="24"/>
        </w:rPr>
        <w:t>vládnímu CERT</w:t>
      </w:r>
    </w:p>
    <w:p w14:paraId="571358BC" w14:textId="77777777" w:rsidR="001F5D0A" w:rsidRPr="00DD0C5E" w:rsidRDefault="001F5D0A" w:rsidP="001F5D0A">
      <w:pPr>
        <w:jc w:val="center"/>
        <w:rPr>
          <w:i/>
          <w:sz w:val="20"/>
          <w:szCs w:val="20"/>
          <w:highlight w:val="yellow"/>
        </w:rPr>
      </w:pPr>
      <w:r w:rsidRPr="00BB70D3">
        <w:rPr>
          <w:noProof/>
          <w:color w:val="BD2A33"/>
          <w:lang w:eastAsia="cs-CZ"/>
        </w:rPr>
        <w:drawing>
          <wp:inline distT="0" distB="0" distL="0" distR="0" wp14:anchorId="37633C4E" wp14:editId="1D95C634">
            <wp:extent cx="4817659" cy="2204113"/>
            <wp:effectExtent l="0" t="0" r="2540" b="571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4013B8" w14:textId="70DC79D6" w:rsidR="001F5D0A" w:rsidRPr="001C1A25" w:rsidRDefault="001F5D0A" w:rsidP="001C1A25">
      <w:pPr>
        <w:spacing w:after="120"/>
        <w:jc w:val="left"/>
        <w:rPr>
          <w:sz w:val="20"/>
          <w:szCs w:val="20"/>
        </w:rPr>
      </w:pPr>
      <w:r w:rsidRPr="001C1A25">
        <w:rPr>
          <w:b/>
          <w:sz w:val="20"/>
          <w:szCs w:val="20"/>
        </w:rPr>
        <w:t>Zdroj:</w:t>
      </w:r>
      <w:r w:rsidRPr="001C1A25">
        <w:rPr>
          <w:sz w:val="20"/>
          <w:szCs w:val="20"/>
        </w:rPr>
        <w:t xml:space="preserve"> </w:t>
      </w:r>
      <w:r w:rsidR="0005573D">
        <w:rPr>
          <w:sz w:val="20"/>
          <w:szCs w:val="20"/>
        </w:rPr>
        <w:t xml:space="preserve">vypracoval NKÚ na základě dat od </w:t>
      </w:r>
      <w:r w:rsidRPr="001C1A25">
        <w:rPr>
          <w:sz w:val="20"/>
          <w:szCs w:val="20"/>
        </w:rPr>
        <w:t>NÚKIB.</w:t>
      </w:r>
    </w:p>
    <w:p w14:paraId="61413124" w14:textId="545BD324" w:rsidR="006A5EA5" w:rsidRPr="001C0072" w:rsidRDefault="006A5EA5" w:rsidP="006A5EA5">
      <w:pPr>
        <w:spacing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>S oblastí peněžních prostředků se pojí také oblast lidských zdrojů. Fluktuace zaměstnanců NÚKIB</w:t>
      </w:r>
      <w:r w:rsidR="00C16326">
        <w:rPr>
          <w:rFonts w:ascii="Calibri" w:hAnsi="Calibri" w:cs="Calibri"/>
        </w:rPr>
        <w:t xml:space="preserve"> </w:t>
      </w:r>
      <w:r w:rsidR="0005573D">
        <w:rPr>
          <w:rFonts w:ascii="Calibri" w:hAnsi="Calibri" w:cs="Calibri"/>
        </w:rPr>
        <w:t>–</w:t>
      </w:r>
      <w:r w:rsidR="00C16326">
        <w:rPr>
          <w:rFonts w:ascii="Calibri" w:hAnsi="Calibri" w:cs="Calibri"/>
        </w:rPr>
        <w:t xml:space="preserve"> specialistů</w:t>
      </w:r>
      <w:r w:rsidRPr="001C0072">
        <w:rPr>
          <w:rFonts w:ascii="Calibri" w:hAnsi="Calibri" w:cs="Calibri"/>
        </w:rPr>
        <w:t xml:space="preserve"> vykonávajících odbornou činnost</w:t>
      </w:r>
      <w:r w:rsidR="0005573D">
        <w:rPr>
          <w:rFonts w:ascii="Calibri" w:hAnsi="Calibri" w:cs="Calibri"/>
        </w:rPr>
        <w:t xml:space="preserve"> –</w:t>
      </w:r>
      <w:r w:rsidRPr="001C0072">
        <w:rPr>
          <w:rFonts w:ascii="Calibri" w:hAnsi="Calibri" w:cs="Calibri"/>
        </w:rPr>
        <w:t xml:space="preserve"> se pohybovala na úrovni 10 %, což </w:t>
      </w:r>
      <w:r>
        <w:rPr>
          <w:rFonts w:ascii="Calibri" w:hAnsi="Calibri" w:cs="Calibri"/>
        </w:rPr>
        <w:t xml:space="preserve">z dlouhodobého pohledu </w:t>
      </w:r>
      <w:r w:rsidRPr="001C0072">
        <w:rPr>
          <w:rFonts w:ascii="Calibri" w:hAnsi="Calibri" w:cs="Calibri"/>
        </w:rPr>
        <w:t>představuje riziko snížení schopnosti zabezpečovat KB státu. V případě MV za zajišťování implementace ZKB a za nastavení, provoz, rozvoj a</w:t>
      </w:r>
      <w:r w:rsidR="00C87AB2">
        <w:rPr>
          <w:rFonts w:ascii="Calibri" w:hAnsi="Calibri" w:cs="Calibri"/>
        </w:rPr>
        <w:t> </w:t>
      </w:r>
      <w:r w:rsidRPr="001C0072">
        <w:rPr>
          <w:rFonts w:ascii="Calibri" w:hAnsi="Calibri" w:cs="Calibri"/>
        </w:rPr>
        <w:t>kontrolu systému zajištění KB</w:t>
      </w:r>
      <w:r w:rsidRPr="001C0072">
        <w:rPr>
          <w:rStyle w:val="Znakapoznpodarou"/>
          <w:rFonts w:ascii="Calibri" w:hAnsi="Calibri" w:cs="Calibri"/>
        </w:rPr>
        <w:footnoteReference w:id="18"/>
      </w:r>
      <w:r w:rsidRPr="001C0072">
        <w:rPr>
          <w:rFonts w:ascii="Calibri" w:hAnsi="Calibri" w:cs="Calibri"/>
        </w:rPr>
        <w:t xml:space="preserve"> </w:t>
      </w:r>
      <w:r w:rsidR="0005573D">
        <w:rPr>
          <w:rFonts w:ascii="Calibri" w:hAnsi="Calibri" w:cs="Calibri"/>
        </w:rPr>
        <w:t xml:space="preserve">zodpovídalo </w:t>
      </w:r>
      <w:r w:rsidRPr="001C0072">
        <w:rPr>
          <w:rFonts w:ascii="Calibri" w:hAnsi="Calibri" w:cs="Calibri"/>
        </w:rPr>
        <w:t xml:space="preserve">oddělení KB. MV se však dlouhodobě potýkalo s nedostatkem personálních kapacit pro jeho obsazení. Obsazenost </w:t>
      </w:r>
      <w:r>
        <w:rPr>
          <w:rFonts w:ascii="Calibri" w:hAnsi="Calibri" w:cs="Calibri"/>
        </w:rPr>
        <w:t>12 </w:t>
      </w:r>
      <w:r w:rsidRPr="001C0072">
        <w:rPr>
          <w:rFonts w:ascii="Calibri" w:hAnsi="Calibri" w:cs="Calibri"/>
        </w:rPr>
        <w:t>systemizovaných míst oddělení KB se v kontrolovaném ob</w:t>
      </w:r>
      <w:r>
        <w:rPr>
          <w:rFonts w:ascii="Calibri" w:hAnsi="Calibri" w:cs="Calibri"/>
        </w:rPr>
        <w:t>dobí pohybovala mezi 66 % až 83 </w:t>
      </w:r>
      <w:r w:rsidRPr="001C0072">
        <w:rPr>
          <w:rFonts w:ascii="Calibri" w:hAnsi="Calibri" w:cs="Calibri"/>
        </w:rPr>
        <w:t>%, přičemž ale v době ukončení kontroly bylo pouze 25 % pozic obsazeno zaměstnanci, kteří v oddělení KB působili déle než 3 roky</w:t>
      </w:r>
      <w:r w:rsidRPr="00C16326">
        <w:rPr>
          <w:rFonts w:ascii="Calibri" w:hAnsi="Calibri" w:cs="Calibri"/>
        </w:rPr>
        <w:t>, a to i přes využívání institutu klíčového služebního místa. NÚKIB nemůže využívat institutu klíčového služebního místa, neboť zákon č. 234/2014 Sb.</w:t>
      </w:r>
      <w:r w:rsidRPr="0005573D">
        <w:rPr>
          <w:rFonts w:ascii="Calibri" w:hAnsi="Calibri" w:cs="Calibri"/>
        </w:rPr>
        <w:t xml:space="preserve">, </w:t>
      </w:r>
      <w:r w:rsidRPr="00DC69E8">
        <w:rPr>
          <w:rFonts w:ascii="Calibri" w:hAnsi="Calibri" w:cs="Calibri"/>
        </w:rPr>
        <w:t>o</w:t>
      </w:r>
      <w:r w:rsidR="00C87AB2" w:rsidRPr="00DC69E8">
        <w:rPr>
          <w:rFonts w:ascii="Calibri" w:hAnsi="Calibri" w:cs="Calibri"/>
        </w:rPr>
        <w:t> </w:t>
      </w:r>
      <w:r w:rsidRPr="00DC69E8">
        <w:rPr>
          <w:rFonts w:ascii="Calibri" w:hAnsi="Calibri" w:cs="Calibri"/>
        </w:rPr>
        <w:t>státní službě</w:t>
      </w:r>
      <w:r w:rsidRPr="00C16326">
        <w:rPr>
          <w:rFonts w:ascii="Calibri" w:hAnsi="Calibri" w:cs="Calibri"/>
        </w:rPr>
        <w:t>, se na jeho zaměstnance</w:t>
      </w:r>
      <w:r w:rsidR="006D5786" w:rsidRPr="006D5786">
        <w:rPr>
          <w:rFonts w:ascii="Calibri" w:hAnsi="Calibri" w:cs="Calibri"/>
        </w:rPr>
        <w:t xml:space="preserve"> </w:t>
      </w:r>
      <w:r w:rsidR="006D5786" w:rsidRPr="00C16326">
        <w:rPr>
          <w:rFonts w:ascii="Calibri" w:hAnsi="Calibri" w:cs="Calibri"/>
        </w:rPr>
        <w:t>nevztahuje</w:t>
      </w:r>
      <w:r w:rsidR="006D5786">
        <w:rPr>
          <w:rFonts w:ascii="Calibri" w:hAnsi="Calibri" w:cs="Calibri"/>
        </w:rPr>
        <w:t>,</w:t>
      </w:r>
      <w:r w:rsidRPr="00C16326">
        <w:rPr>
          <w:rFonts w:ascii="Calibri" w:hAnsi="Calibri" w:cs="Calibri"/>
        </w:rPr>
        <w:t xml:space="preserve"> </w:t>
      </w:r>
      <w:r w:rsidR="00E13DEC" w:rsidRPr="00C16326">
        <w:rPr>
          <w:rFonts w:ascii="Calibri" w:hAnsi="Calibri" w:cs="Calibri"/>
        </w:rPr>
        <w:t>na rozdíl od MV</w:t>
      </w:r>
      <w:r w:rsidRPr="00C1632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 xml:space="preserve">MV navíc </w:t>
      </w:r>
      <w:r w:rsidRPr="001C0072">
        <w:rPr>
          <w:rFonts w:ascii="Calibri" w:hAnsi="Calibri" w:cs="Calibri"/>
          <w:bCs/>
        </w:rPr>
        <w:t xml:space="preserve">v období let </w:t>
      </w:r>
      <w:r w:rsidR="006D5786">
        <w:rPr>
          <w:rFonts w:ascii="Calibri" w:hAnsi="Calibri" w:cs="Calibri"/>
          <w:bCs/>
        </w:rPr>
        <w:br/>
      </w:r>
      <w:r w:rsidRPr="001C0072">
        <w:rPr>
          <w:rFonts w:ascii="Calibri" w:hAnsi="Calibri" w:cs="Calibri"/>
          <w:bCs/>
        </w:rPr>
        <w:t xml:space="preserve">2016–2020 zajišťovalo </w:t>
      </w:r>
      <w:r w:rsidR="006D5786">
        <w:rPr>
          <w:rFonts w:ascii="Calibri" w:hAnsi="Calibri" w:cs="Calibri"/>
          <w:bCs/>
        </w:rPr>
        <w:t>externě</w:t>
      </w:r>
      <w:r w:rsidR="006D5786" w:rsidRPr="001C0072">
        <w:rPr>
          <w:rFonts w:ascii="Calibri" w:hAnsi="Calibri" w:cs="Calibri"/>
          <w:bCs/>
        </w:rPr>
        <w:t xml:space="preserve"> </w:t>
      </w:r>
      <w:r w:rsidRPr="001C0072">
        <w:rPr>
          <w:rFonts w:ascii="Calibri" w:hAnsi="Calibri" w:cs="Calibri"/>
          <w:bCs/>
        </w:rPr>
        <w:t xml:space="preserve">dvě </w:t>
      </w:r>
      <w:r>
        <w:rPr>
          <w:rFonts w:ascii="Calibri" w:hAnsi="Calibri" w:cs="Calibri"/>
          <w:bCs/>
        </w:rPr>
        <w:t>klíčové bezpečnostní role, tzn. </w:t>
      </w:r>
      <w:r w:rsidRPr="001C0072">
        <w:rPr>
          <w:rFonts w:ascii="Calibri" w:hAnsi="Calibri" w:cs="Calibri"/>
          <w:bCs/>
        </w:rPr>
        <w:t>architekta KB a auditora</w:t>
      </w:r>
      <w:r w:rsidR="00F22EBE">
        <w:rPr>
          <w:rFonts w:ascii="Calibri" w:hAnsi="Calibri" w:cs="Calibri"/>
          <w:bCs/>
        </w:rPr>
        <w:t xml:space="preserve"> KB, </w:t>
      </w:r>
      <w:r w:rsidR="006D5786">
        <w:rPr>
          <w:rFonts w:ascii="Calibri" w:hAnsi="Calibri" w:cs="Calibri"/>
          <w:bCs/>
        </w:rPr>
        <w:t xml:space="preserve">a to </w:t>
      </w:r>
      <w:r w:rsidR="00F22EBE">
        <w:rPr>
          <w:rFonts w:ascii="Calibri" w:hAnsi="Calibri" w:cs="Calibri"/>
          <w:bCs/>
        </w:rPr>
        <w:t>na základě smluv o </w:t>
      </w:r>
      <w:r w:rsidRPr="001C0072">
        <w:rPr>
          <w:rFonts w:ascii="Calibri" w:hAnsi="Calibri" w:cs="Calibri"/>
          <w:bCs/>
        </w:rPr>
        <w:t>poskytování konzultačních služeb v celkové výši 2,25 mil. Kč. Zjištěná skutečnost představuje riziko z hlediska dlouhodobého rozvoje a uchování znalostí v oblasti KB uvnitř MV.</w:t>
      </w:r>
    </w:p>
    <w:p w14:paraId="1D070DDE" w14:textId="77777777" w:rsidR="00CE023C" w:rsidRPr="00A522AD" w:rsidRDefault="00CE023C" w:rsidP="00A522AD">
      <w:pPr>
        <w:pStyle w:val="Zkladn"/>
        <w:keepNext/>
        <w:spacing w:before="0" w:after="120"/>
        <w:rPr>
          <w:rFonts w:ascii="Calibri" w:hAnsi="Calibri" w:cs="Calibri"/>
          <w:b/>
          <w:szCs w:val="26"/>
        </w:rPr>
      </w:pPr>
      <w:r w:rsidRPr="00A522AD">
        <w:rPr>
          <w:rFonts w:ascii="Calibri" w:hAnsi="Calibri" w:cs="Calibri"/>
          <w:b/>
          <w:szCs w:val="26"/>
        </w:rPr>
        <w:t xml:space="preserve">Využití peněžních prostředků </w:t>
      </w:r>
      <w:r w:rsidR="009C3431" w:rsidRPr="00A522AD">
        <w:rPr>
          <w:rFonts w:ascii="Calibri" w:hAnsi="Calibri" w:cs="Calibri"/>
          <w:b/>
          <w:szCs w:val="26"/>
        </w:rPr>
        <w:t>ESIF</w:t>
      </w:r>
      <w:r w:rsidRPr="00A522AD">
        <w:rPr>
          <w:rFonts w:ascii="Calibri" w:hAnsi="Calibri" w:cs="Calibri"/>
          <w:b/>
          <w:szCs w:val="26"/>
        </w:rPr>
        <w:t xml:space="preserve"> </w:t>
      </w:r>
      <w:r w:rsidR="00334715" w:rsidRPr="00A522AD">
        <w:rPr>
          <w:rFonts w:ascii="Calibri" w:hAnsi="Calibri" w:cs="Calibri"/>
          <w:b/>
          <w:szCs w:val="26"/>
        </w:rPr>
        <w:t>na zajištění kybernetické bezpečnosti</w:t>
      </w:r>
    </w:p>
    <w:p w14:paraId="32ABC4AE" w14:textId="622BBD97" w:rsidR="00304565" w:rsidRPr="001C0072" w:rsidRDefault="007C4B5D" w:rsidP="00D212BE">
      <w:pPr>
        <w:pStyle w:val="Zkladn"/>
        <w:spacing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Ministerstva</w:t>
      </w:r>
      <w:r w:rsidR="00D00470" w:rsidRPr="001C0072">
        <w:rPr>
          <w:rFonts w:ascii="Calibri" w:hAnsi="Calibri" w:cs="Calibri"/>
        </w:rPr>
        <w:t>,</w:t>
      </w:r>
      <w:r w:rsidRPr="001C0072">
        <w:rPr>
          <w:rFonts w:ascii="Calibri" w:hAnsi="Calibri" w:cs="Calibri"/>
        </w:rPr>
        <w:t xml:space="preserve"> Úřad vlády ČR</w:t>
      </w:r>
      <w:r w:rsidR="00D00470" w:rsidRPr="001C0072">
        <w:rPr>
          <w:rFonts w:ascii="Calibri" w:hAnsi="Calibri" w:cs="Calibri"/>
        </w:rPr>
        <w:t xml:space="preserve"> a další subjekty</w:t>
      </w:r>
      <w:r w:rsidRPr="001C0072">
        <w:rPr>
          <w:rFonts w:ascii="Calibri" w:hAnsi="Calibri" w:cs="Calibri"/>
        </w:rPr>
        <w:t xml:space="preserve"> měl</w:t>
      </w:r>
      <w:r w:rsidR="00D00470" w:rsidRPr="001C0072">
        <w:rPr>
          <w:rFonts w:ascii="Calibri" w:hAnsi="Calibri" w:cs="Calibri"/>
        </w:rPr>
        <w:t>y</w:t>
      </w:r>
      <w:r w:rsidRPr="001C0072">
        <w:rPr>
          <w:rFonts w:ascii="Calibri" w:hAnsi="Calibri" w:cs="Calibri"/>
        </w:rPr>
        <w:t xml:space="preserve"> v kontrolovaném období možnost čerpat peněžní prostředky na projekty v oblasti KB v rámci </w:t>
      </w:r>
      <w:r w:rsidR="00304565" w:rsidRPr="001C0072">
        <w:rPr>
          <w:rFonts w:ascii="Calibri" w:hAnsi="Calibri" w:cs="Calibri"/>
        </w:rPr>
        <w:t xml:space="preserve">průběžné </w:t>
      </w:r>
      <w:r w:rsidR="0052325D" w:rsidRPr="001C0072">
        <w:rPr>
          <w:rFonts w:ascii="Calibri" w:hAnsi="Calibri" w:cs="Calibri"/>
        </w:rPr>
        <w:t>Výzvy</w:t>
      </w:r>
      <w:r w:rsidRPr="001C0072">
        <w:rPr>
          <w:rFonts w:ascii="Calibri" w:hAnsi="Calibri" w:cs="Calibri"/>
        </w:rPr>
        <w:t xml:space="preserve"> č. 10</w:t>
      </w:r>
      <w:r w:rsidR="006C3500" w:rsidRPr="001C0072">
        <w:rPr>
          <w:rStyle w:val="Znakapoznpodarou"/>
          <w:rFonts w:ascii="Calibri" w:hAnsi="Calibri" w:cs="Calibri"/>
        </w:rPr>
        <w:footnoteReference w:id="19"/>
      </w:r>
      <w:r w:rsidRPr="001C0072">
        <w:rPr>
          <w:rFonts w:ascii="Calibri" w:hAnsi="Calibri" w:cs="Calibri"/>
        </w:rPr>
        <w:t xml:space="preserve">. </w:t>
      </w:r>
      <w:r w:rsidR="004E6E2D">
        <w:rPr>
          <w:rFonts w:ascii="Calibri" w:hAnsi="Calibri" w:cs="Calibri"/>
        </w:rPr>
        <w:t xml:space="preserve">Ta </w:t>
      </w:r>
      <w:r w:rsidRPr="001C0072">
        <w:rPr>
          <w:rFonts w:ascii="Calibri" w:hAnsi="Calibri" w:cs="Calibri"/>
        </w:rPr>
        <w:t xml:space="preserve">byla </w:t>
      </w:r>
      <w:r w:rsidR="00EA67DA" w:rsidRPr="001C0072">
        <w:rPr>
          <w:rFonts w:ascii="Calibri" w:hAnsi="Calibri" w:cs="Calibri"/>
        </w:rPr>
        <w:t xml:space="preserve">MMR </w:t>
      </w:r>
      <w:r w:rsidR="007B1B3D" w:rsidRPr="001C0072">
        <w:rPr>
          <w:rFonts w:ascii="Calibri" w:hAnsi="Calibri" w:cs="Calibri"/>
        </w:rPr>
        <w:t>vyhlášena dne 21. 10. 2015</w:t>
      </w:r>
      <w:r w:rsidR="00EA67DA" w:rsidRPr="001C0072">
        <w:rPr>
          <w:rFonts w:ascii="Calibri" w:hAnsi="Calibri" w:cs="Calibri"/>
        </w:rPr>
        <w:t>.</w:t>
      </w:r>
      <w:r w:rsidR="007B1B3D" w:rsidRPr="001C0072">
        <w:rPr>
          <w:rFonts w:ascii="Calibri" w:hAnsi="Calibri" w:cs="Calibri"/>
        </w:rPr>
        <w:t xml:space="preserve"> </w:t>
      </w:r>
      <w:r w:rsidR="00EA67DA" w:rsidRPr="001C0072">
        <w:rPr>
          <w:rFonts w:ascii="Calibri" w:hAnsi="Calibri" w:cs="Calibri"/>
        </w:rPr>
        <w:t xml:space="preserve">Při </w:t>
      </w:r>
      <w:r w:rsidRPr="001C0072">
        <w:rPr>
          <w:rFonts w:ascii="Calibri" w:hAnsi="Calibri" w:cs="Calibri"/>
        </w:rPr>
        <w:t xml:space="preserve">vyhlášení </w:t>
      </w:r>
      <w:r w:rsidR="00EA67DA" w:rsidRPr="001C0072">
        <w:rPr>
          <w:rFonts w:ascii="Calibri" w:hAnsi="Calibri" w:cs="Calibri"/>
        </w:rPr>
        <w:t xml:space="preserve">byla hlavní podporovaná aktivita zaměřena pouze na </w:t>
      </w:r>
      <w:r w:rsidRPr="001C0072">
        <w:rPr>
          <w:rFonts w:ascii="Calibri" w:hAnsi="Calibri" w:cs="Calibri"/>
        </w:rPr>
        <w:t>zabezpečení KII a VIS dle ZKB.</w:t>
      </w:r>
      <w:r w:rsidR="00EA67DA" w:rsidRPr="001C0072">
        <w:rPr>
          <w:rFonts w:ascii="Calibri" w:hAnsi="Calibri" w:cs="Calibri"/>
        </w:rPr>
        <w:t xml:space="preserve"> Od svého vyhlášení</w:t>
      </w:r>
      <w:r w:rsidR="00F97C1D" w:rsidRPr="001C0072">
        <w:rPr>
          <w:rFonts w:ascii="Calibri" w:hAnsi="Calibri" w:cs="Calibri"/>
        </w:rPr>
        <w:t xml:space="preserve"> však</w:t>
      </w:r>
      <w:r w:rsidR="00EA67DA" w:rsidRPr="001C0072">
        <w:rPr>
          <w:rFonts w:ascii="Calibri" w:hAnsi="Calibri" w:cs="Calibri"/>
        </w:rPr>
        <w:t xml:space="preserve"> prošla Výzva č. 10 celkem sedmi změnami</w:t>
      </w:r>
      <w:r w:rsidR="00976687" w:rsidRPr="001C0072">
        <w:rPr>
          <w:rFonts w:ascii="Calibri" w:hAnsi="Calibri" w:cs="Calibri"/>
        </w:rPr>
        <w:t>, přičemž změnou ze dne</w:t>
      </w:r>
      <w:r w:rsidR="000A229D" w:rsidRPr="001C0072">
        <w:rPr>
          <w:rFonts w:ascii="Calibri" w:hAnsi="Calibri" w:cs="Calibri"/>
        </w:rPr>
        <w:t xml:space="preserve"> 12. 5. 2017</w:t>
      </w:r>
      <w:r w:rsidRPr="001C0072">
        <w:rPr>
          <w:rFonts w:ascii="Calibri" w:hAnsi="Calibri" w:cs="Calibri"/>
        </w:rPr>
        <w:t xml:space="preserve"> došlo mj. k</w:t>
      </w:r>
      <w:r w:rsidR="00EA67DA" w:rsidRPr="001C0072">
        <w:rPr>
          <w:rFonts w:ascii="Calibri" w:hAnsi="Calibri" w:cs="Calibri"/>
        </w:rPr>
        <w:t xml:space="preserve"> </w:t>
      </w:r>
      <w:r w:rsidR="004A2D79" w:rsidRPr="001C0072">
        <w:rPr>
          <w:rFonts w:ascii="Calibri" w:hAnsi="Calibri" w:cs="Calibri"/>
        </w:rPr>
        <w:t>úpravě</w:t>
      </w:r>
      <w:r w:rsidR="00EA67DA" w:rsidRPr="001C0072">
        <w:rPr>
          <w:rFonts w:ascii="Calibri" w:hAnsi="Calibri" w:cs="Calibri"/>
        </w:rPr>
        <w:t xml:space="preserve"> hlavní podporované aktivity. </w:t>
      </w:r>
      <w:r w:rsidRPr="001C0072">
        <w:rPr>
          <w:rFonts w:ascii="Calibri" w:hAnsi="Calibri" w:cs="Calibri"/>
        </w:rPr>
        <w:t>Oprávnění žadatelé mohli následn</w:t>
      </w:r>
      <w:r w:rsidR="005A14D2">
        <w:rPr>
          <w:rFonts w:ascii="Calibri" w:hAnsi="Calibri" w:cs="Calibri"/>
        </w:rPr>
        <w:t>ě žádat o peněžní prostředky na</w:t>
      </w:r>
      <w:r w:rsidR="006D5786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zabezpečení</w:t>
      </w:r>
      <w:r w:rsidR="00D1015A" w:rsidRPr="001C0072">
        <w:rPr>
          <w:rFonts w:ascii="Calibri" w:hAnsi="Calibri" w:cs="Calibri"/>
        </w:rPr>
        <w:t xml:space="preserve"> nejen KII a</w:t>
      </w:r>
      <w:r w:rsidR="00526CB2">
        <w:rPr>
          <w:rFonts w:ascii="Calibri" w:hAnsi="Calibri" w:cs="Calibri"/>
        </w:rPr>
        <w:t> </w:t>
      </w:r>
      <w:r w:rsidR="00D1015A" w:rsidRPr="001C0072">
        <w:rPr>
          <w:rFonts w:ascii="Calibri" w:hAnsi="Calibri" w:cs="Calibri"/>
        </w:rPr>
        <w:t>VIS</w:t>
      </w:r>
      <w:r w:rsidR="006D5786">
        <w:rPr>
          <w:rFonts w:ascii="Calibri" w:hAnsi="Calibri" w:cs="Calibri"/>
        </w:rPr>
        <w:t>,</w:t>
      </w:r>
      <w:r w:rsidR="00D1015A" w:rsidRPr="001C0072">
        <w:rPr>
          <w:rFonts w:ascii="Calibri" w:hAnsi="Calibri" w:cs="Calibri"/>
        </w:rPr>
        <w:t xml:space="preserve"> ale i </w:t>
      </w:r>
      <w:r w:rsidRPr="001C0072">
        <w:rPr>
          <w:rFonts w:ascii="Calibri" w:hAnsi="Calibri" w:cs="Calibri"/>
        </w:rPr>
        <w:t>ISZS</w:t>
      </w:r>
      <w:r w:rsidR="007C0F78">
        <w:t xml:space="preserve"> </w:t>
      </w:r>
      <w:r w:rsidR="00D1015A" w:rsidRPr="001C0072">
        <w:rPr>
          <w:rFonts w:ascii="Calibri" w:hAnsi="Calibri" w:cs="Calibri"/>
        </w:rPr>
        <w:t xml:space="preserve">a ostatních </w:t>
      </w:r>
      <w:r w:rsidRPr="001C0072">
        <w:rPr>
          <w:rFonts w:ascii="Calibri" w:hAnsi="Calibri" w:cs="Calibri"/>
        </w:rPr>
        <w:t>IS</w:t>
      </w:r>
      <w:r w:rsidR="00D1015A" w:rsidRPr="001C0072">
        <w:rPr>
          <w:rFonts w:ascii="Calibri" w:hAnsi="Calibri" w:cs="Calibri"/>
        </w:rPr>
        <w:t xml:space="preserve"> a </w:t>
      </w:r>
      <w:r w:rsidRPr="001C0072">
        <w:rPr>
          <w:rFonts w:ascii="Calibri" w:hAnsi="Calibri" w:cs="Calibri"/>
        </w:rPr>
        <w:t>KS</w:t>
      </w:r>
      <w:r w:rsidR="0079293D" w:rsidRPr="001C0072">
        <w:rPr>
          <w:rFonts w:ascii="Calibri" w:hAnsi="Calibri" w:cs="Calibri"/>
        </w:rPr>
        <w:t xml:space="preserve">, které nespadají pod </w:t>
      </w:r>
      <w:r w:rsidR="00D26FF7" w:rsidRPr="001C0072">
        <w:rPr>
          <w:rFonts w:ascii="Calibri" w:hAnsi="Calibri" w:cs="Calibri"/>
        </w:rPr>
        <w:t xml:space="preserve">dříve uvedené </w:t>
      </w:r>
      <w:r w:rsidR="004E6E2D">
        <w:rPr>
          <w:rFonts w:ascii="Calibri" w:hAnsi="Calibri" w:cs="Calibri"/>
        </w:rPr>
        <w:t>kategorie systémů</w:t>
      </w:r>
      <w:r w:rsidR="0079293D" w:rsidRPr="001C0072">
        <w:rPr>
          <w:rFonts w:ascii="Calibri" w:hAnsi="Calibri" w:cs="Calibri"/>
        </w:rPr>
        <w:t>.</w:t>
      </w:r>
      <w:r w:rsidRPr="001C0072">
        <w:rPr>
          <w:rFonts w:ascii="Calibri" w:hAnsi="Calibri" w:cs="Calibri"/>
        </w:rPr>
        <w:t xml:space="preserve"> </w:t>
      </w:r>
      <w:r w:rsidR="0079293D" w:rsidRPr="001C0072">
        <w:rPr>
          <w:rFonts w:ascii="Calibri" w:hAnsi="Calibri" w:cs="Calibri"/>
        </w:rPr>
        <w:t xml:space="preserve">Celková alokace výzvy dosahovala </w:t>
      </w:r>
      <w:r w:rsidRPr="001C0072">
        <w:rPr>
          <w:rFonts w:ascii="Calibri" w:hAnsi="Calibri" w:cs="Calibri"/>
        </w:rPr>
        <w:t>výše</w:t>
      </w:r>
      <w:r w:rsidR="003A7E70" w:rsidRPr="001C0072">
        <w:rPr>
          <w:rFonts w:ascii="Calibri" w:hAnsi="Calibri" w:cs="Calibri"/>
        </w:rPr>
        <w:t xml:space="preserve"> cca</w:t>
      </w:r>
      <w:r w:rsidRPr="001C0072">
        <w:rPr>
          <w:rFonts w:ascii="Calibri" w:hAnsi="Calibri" w:cs="Calibri"/>
        </w:rPr>
        <w:t xml:space="preserve"> 1</w:t>
      </w:r>
      <w:r w:rsidR="00E47130" w:rsidRPr="001C0072">
        <w:rPr>
          <w:rFonts w:ascii="Calibri" w:hAnsi="Calibri" w:cs="Calibri"/>
        </w:rPr>
        <w:t xml:space="preserve"> </w:t>
      </w:r>
      <w:r w:rsidR="003A7E70" w:rsidRPr="001C0072">
        <w:rPr>
          <w:rFonts w:ascii="Calibri" w:hAnsi="Calibri" w:cs="Calibri"/>
        </w:rPr>
        <w:t>34</w:t>
      </w:r>
      <w:r w:rsidR="00E47130" w:rsidRPr="001C0072">
        <w:rPr>
          <w:rFonts w:ascii="Calibri" w:hAnsi="Calibri" w:cs="Calibri"/>
        </w:rPr>
        <w:t>0 mil</w:t>
      </w:r>
      <w:r w:rsidR="003A7E70" w:rsidRPr="001C0072">
        <w:rPr>
          <w:rFonts w:ascii="Calibri" w:hAnsi="Calibri" w:cs="Calibri"/>
        </w:rPr>
        <w:t xml:space="preserve">. Kč </w:t>
      </w:r>
      <w:r w:rsidRPr="001C0072">
        <w:rPr>
          <w:rFonts w:ascii="Calibri" w:hAnsi="Calibri" w:cs="Calibri"/>
        </w:rPr>
        <w:t>(dotace z EFRR)</w:t>
      </w:r>
      <w:r w:rsidR="00D1015A" w:rsidRPr="001C0072">
        <w:rPr>
          <w:rFonts w:ascii="Calibri" w:hAnsi="Calibri" w:cs="Calibri"/>
        </w:rPr>
        <w:t>.</w:t>
      </w:r>
      <w:r w:rsidRPr="001C0072">
        <w:rPr>
          <w:rFonts w:ascii="Calibri" w:hAnsi="Calibri" w:cs="Calibri"/>
        </w:rPr>
        <w:t xml:space="preserve"> </w:t>
      </w:r>
      <w:r w:rsidR="00D1015A" w:rsidRPr="001C0072">
        <w:rPr>
          <w:rFonts w:ascii="Calibri" w:hAnsi="Calibri" w:cs="Calibri"/>
        </w:rPr>
        <w:t xml:space="preserve">Podmínkou poskytnutí dotace </w:t>
      </w:r>
      <w:r w:rsidR="00D1015A" w:rsidRPr="001C0072">
        <w:rPr>
          <w:rFonts w:ascii="Calibri" w:hAnsi="Calibri" w:cs="Calibri"/>
        </w:rPr>
        <w:lastRenderedPageBreak/>
        <w:t>bylo</w:t>
      </w:r>
      <w:r w:rsidRPr="001C0072">
        <w:rPr>
          <w:rFonts w:ascii="Calibri" w:hAnsi="Calibri" w:cs="Calibri"/>
        </w:rPr>
        <w:t xml:space="preserve"> dodržení souladu se standardy KB podle ZKB.</w:t>
      </w:r>
      <w:r w:rsidR="00304565" w:rsidRPr="001C0072">
        <w:rPr>
          <w:rFonts w:ascii="Calibri" w:hAnsi="Calibri" w:cs="Calibri"/>
        </w:rPr>
        <w:t xml:space="preserve"> Průběh podávání žádostí znázorňuje následující</w:t>
      </w:r>
      <w:r w:rsidR="000151F2" w:rsidRPr="001C0072">
        <w:rPr>
          <w:rFonts w:ascii="Calibri" w:hAnsi="Calibri" w:cs="Calibri"/>
        </w:rPr>
        <w:t xml:space="preserve"> graf</w:t>
      </w:r>
      <w:r w:rsidR="00304565" w:rsidRPr="001C0072">
        <w:rPr>
          <w:rFonts w:ascii="Calibri" w:hAnsi="Calibri" w:cs="Calibri"/>
        </w:rPr>
        <w:t>.</w:t>
      </w:r>
    </w:p>
    <w:p w14:paraId="02A5288C" w14:textId="5ADF8E38" w:rsidR="00304565" w:rsidRPr="00856B4B" w:rsidRDefault="00304565" w:rsidP="0039185D">
      <w:pPr>
        <w:pStyle w:val="Titulek"/>
        <w:keepNext/>
        <w:spacing w:after="120"/>
        <w:rPr>
          <w:rFonts w:ascii="Calibri" w:hAnsi="Calibri" w:cs="Calibri"/>
          <w:b/>
          <w:i w:val="0"/>
          <w:color w:val="000000" w:themeColor="text1"/>
          <w:sz w:val="24"/>
        </w:rPr>
      </w:pPr>
      <w:r w:rsidRPr="00856B4B">
        <w:rPr>
          <w:rFonts w:ascii="Calibri" w:hAnsi="Calibri" w:cs="Calibri"/>
          <w:b/>
          <w:i w:val="0"/>
          <w:color w:val="000000" w:themeColor="text1"/>
          <w:sz w:val="24"/>
        </w:rPr>
        <w:t xml:space="preserve">Graf č. </w:t>
      </w:r>
      <w:r w:rsidR="001F5D0A" w:rsidRPr="00856B4B">
        <w:rPr>
          <w:rFonts w:ascii="Calibri" w:hAnsi="Calibri" w:cs="Calibri"/>
          <w:b/>
          <w:i w:val="0"/>
          <w:color w:val="000000" w:themeColor="text1"/>
          <w:sz w:val="24"/>
        </w:rPr>
        <w:t>2</w:t>
      </w:r>
      <w:r w:rsidRPr="00856B4B">
        <w:rPr>
          <w:rFonts w:ascii="Calibri" w:hAnsi="Calibri" w:cs="Calibri"/>
          <w:b/>
          <w:i w:val="0"/>
          <w:color w:val="000000" w:themeColor="text1"/>
          <w:sz w:val="24"/>
        </w:rPr>
        <w:t>: Vývoj podaných žádostí o podporu do Výzvy č. 10 od srpna 2016 do listopadu 2017</w:t>
      </w:r>
    </w:p>
    <w:p w14:paraId="15113477" w14:textId="77777777" w:rsidR="00304565" w:rsidRPr="001C0072" w:rsidRDefault="00A523DB" w:rsidP="007B422A">
      <w:pPr>
        <w:spacing w:after="120" w:line="240" w:lineRule="auto"/>
        <w:rPr>
          <w:rFonts w:ascii="Calibri" w:hAnsi="Calibri" w:cs="Calibri"/>
          <w:i/>
          <w:iCs/>
        </w:rPr>
      </w:pPr>
      <w:r w:rsidRPr="001C0072">
        <w:rPr>
          <w:rFonts w:ascii="Calibri" w:hAnsi="Calibri" w:cs="Calibri"/>
          <w:noProof/>
          <w:lang w:eastAsia="cs-CZ"/>
        </w:rPr>
        <w:drawing>
          <wp:inline distT="0" distB="0" distL="0" distR="0" wp14:anchorId="1B84AFF6" wp14:editId="1D0CEEAC">
            <wp:extent cx="5723906" cy="2394585"/>
            <wp:effectExtent l="0" t="0" r="10160" b="571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0167626" w14:textId="7E2A646B" w:rsidR="00304565" w:rsidRPr="00856B4B" w:rsidRDefault="00304565" w:rsidP="007B422A">
      <w:pPr>
        <w:pStyle w:val="Zkladn"/>
        <w:spacing w:before="0"/>
        <w:rPr>
          <w:rFonts w:ascii="Calibri" w:hAnsi="Calibri" w:cs="Calibri"/>
          <w:color w:val="000000" w:themeColor="text1"/>
        </w:rPr>
      </w:pPr>
      <w:r w:rsidRPr="00856B4B">
        <w:rPr>
          <w:rFonts w:ascii="Calibri" w:hAnsi="Calibri" w:cs="Calibri"/>
          <w:b/>
          <w:iCs/>
          <w:color w:val="000000" w:themeColor="text1"/>
          <w:sz w:val="20"/>
        </w:rPr>
        <w:t>Zdroj:</w:t>
      </w:r>
      <w:r w:rsidR="0004752D">
        <w:rPr>
          <w:rFonts w:ascii="Calibri" w:hAnsi="Calibri" w:cs="Calibri"/>
          <w:b/>
          <w:iCs/>
          <w:color w:val="000000" w:themeColor="text1"/>
          <w:sz w:val="20"/>
        </w:rPr>
        <w:t xml:space="preserve"> </w:t>
      </w:r>
      <w:r w:rsidR="0004752D">
        <w:rPr>
          <w:rFonts w:ascii="Calibri" w:hAnsi="Calibri" w:cs="Calibri"/>
          <w:iCs/>
          <w:color w:val="000000" w:themeColor="text1"/>
          <w:sz w:val="20"/>
        </w:rPr>
        <w:t>informační systém</w:t>
      </w:r>
      <w:r w:rsidRPr="00856B4B">
        <w:rPr>
          <w:rFonts w:ascii="Calibri" w:hAnsi="Calibri" w:cs="Calibri"/>
          <w:i/>
          <w:iCs/>
          <w:color w:val="000000" w:themeColor="text1"/>
          <w:sz w:val="20"/>
        </w:rPr>
        <w:t xml:space="preserve"> MS2014+</w:t>
      </w:r>
      <w:r w:rsidRPr="00856B4B">
        <w:rPr>
          <w:rFonts w:ascii="Calibri" w:hAnsi="Calibri" w:cs="Calibri"/>
          <w:iCs/>
          <w:color w:val="000000" w:themeColor="text1"/>
          <w:sz w:val="20"/>
        </w:rPr>
        <w:t xml:space="preserve"> (údaje k 24. 3. 2020)</w:t>
      </w:r>
      <w:r w:rsidR="00470B2F" w:rsidRPr="00856B4B">
        <w:rPr>
          <w:rFonts w:ascii="Calibri" w:hAnsi="Calibri" w:cs="Calibri"/>
          <w:iCs/>
          <w:color w:val="000000" w:themeColor="text1"/>
          <w:sz w:val="20"/>
        </w:rPr>
        <w:t>.</w:t>
      </w:r>
    </w:p>
    <w:p w14:paraId="08BF7423" w14:textId="6C381153" w:rsidR="00A760A4" w:rsidRDefault="000151F2" w:rsidP="00D212BE">
      <w:pPr>
        <w:pStyle w:val="Zkladn"/>
        <w:spacing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NÚKIB a MV byly</w:t>
      </w:r>
      <w:r w:rsidR="007C4B5D" w:rsidRPr="001C0072">
        <w:rPr>
          <w:rFonts w:ascii="Calibri" w:hAnsi="Calibri" w:cs="Calibri"/>
        </w:rPr>
        <w:t xml:space="preserve"> oprávněným</w:t>
      </w:r>
      <w:r w:rsidR="00304565" w:rsidRPr="001C0072">
        <w:rPr>
          <w:rFonts w:ascii="Calibri" w:hAnsi="Calibri" w:cs="Calibri"/>
        </w:rPr>
        <w:t>i žadateli</w:t>
      </w:r>
      <w:r w:rsidR="007C4B5D" w:rsidRPr="001C0072">
        <w:rPr>
          <w:rFonts w:ascii="Calibri" w:hAnsi="Calibri" w:cs="Calibri"/>
        </w:rPr>
        <w:t xml:space="preserve"> spravujícím</w:t>
      </w:r>
      <w:r w:rsidR="00304565" w:rsidRPr="001C0072">
        <w:rPr>
          <w:rFonts w:ascii="Calibri" w:hAnsi="Calibri" w:cs="Calibri"/>
        </w:rPr>
        <w:t>i</w:t>
      </w:r>
      <w:r w:rsidR="007C4B5D" w:rsidRPr="001C0072">
        <w:rPr>
          <w:rFonts w:ascii="Calibri" w:hAnsi="Calibri" w:cs="Calibri"/>
        </w:rPr>
        <w:t xml:space="preserve"> p</w:t>
      </w:r>
      <w:r w:rsidR="00304565" w:rsidRPr="001C0072">
        <w:rPr>
          <w:rFonts w:ascii="Calibri" w:hAnsi="Calibri" w:cs="Calibri"/>
        </w:rPr>
        <w:t>rvky KII, VIS a další IS a KS. NÚKIB využil možnosti financování v rámci Výzvy č. 10, když podal dvě žádos</w:t>
      </w:r>
      <w:r w:rsidR="00334715" w:rsidRPr="001C0072">
        <w:rPr>
          <w:rFonts w:ascii="Calibri" w:hAnsi="Calibri" w:cs="Calibri"/>
        </w:rPr>
        <w:t xml:space="preserve">ti o podporu v celkové výši </w:t>
      </w:r>
      <w:r w:rsidR="005A14D2">
        <w:rPr>
          <w:rFonts w:ascii="Calibri" w:hAnsi="Calibri" w:cs="Calibri"/>
        </w:rPr>
        <w:t>cca </w:t>
      </w:r>
      <w:r w:rsidR="00334715" w:rsidRPr="001C0072">
        <w:rPr>
          <w:rFonts w:ascii="Calibri" w:hAnsi="Calibri" w:cs="Calibri"/>
        </w:rPr>
        <w:t>112 </w:t>
      </w:r>
      <w:r w:rsidR="003A7E70" w:rsidRPr="001C0072">
        <w:rPr>
          <w:rFonts w:ascii="Calibri" w:hAnsi="Calibri" w:cs="Calibri"/>
        </w:rPr>
        <w:t>mil. Kč,</w:t>
      </w:r>
      <w:r w:rsidR="00304565" w:rsidRPr="001C0072">
        <w:rPr>
          <w:rFonts w:ascii="Calibri" w:hAnsi="Calibri" w:cs="Calibri"/>
        </w:rPr>
        <w:t xml:space="preserve"> které byly následně schváleny MMR. Oba projekty realizované NÚKIB byly již finančně ukončeny ze strany MMR. MV podalo v rámci Výzv</w:t>
      </w:r>
      <w:r w:rsidR="00201561" w:rsidRPr="001C0072">
        <w:rPr>
          <w:rFonts w:ascii="Calibri" w:hAnsi="Calibri" w:cs="Calibri"/>
        </w:rPr>
        <w:t>y č. 10 dvě žádosti o podporu s </w:t>
      </w:r>
      <w:r w:rsidR="00304565" w:rsidRPr="001C0072">
        <w:rPr>
          <w:rFonts w:ascii="Calibri" w:hAnsi="Calibri" w:cs="Calibri"/>
        </w:rPr>
        <w:t xml:space="preserve">požadovanými prostředky na jejich realizaci ve výši </w:t>
      </w:r>
      <w:r w:rsidR="003A7E70" w:rsidRPr="001C0072">
        <w:rPr>
          <w:rFonts w:ascii="Calibri" w:hAnsi="Calibri" w:cs="Calibri"/>
        </w:rPr>
        <w:t xml:space="preserve">cca </w:t>
      </w:r>
      <w:r w:rsidR="00304565" w:rsidRPr="001C0072">
        <w:rPr>
          <w:rFonts w:ascii="Calibri" w:hAnsi="Calibri" w:cs="Calibri"/>
        </w:rPr>
        <w:t xml:space="preserve">368 </w:t>
      </w:r>
      <w:r w:rsidR="003A7E70" w:rsidRPr="001C0072">
        <w:rPr>
          <w:rFonts w:ascii="Calibri" w:hAnsi="Calibri" w:cs="Calibri"/>
        </w:rPr>
        <w:t>mil.</w:t>
      </w:r>
      <w:r w:rsidR="00304565" w:rsidRPr="001C0072">
        <w:rPr>
          <w:rFonts w:ascii="Calibri" w:hAnsi="Calibri" w:cs="Calibri"/>
        </w:rPr>
        <w:t xml:space="preserve"> Kč. Obě žádosti podalo MV v listopadu 2017, tedy až po rozšíření okruhu podporovaných a</w:t>
      </w:r>
      <w:r w:rsidR="005A14D2">
        <w:rPr>
          <w:rFonts w:ascii="Calibri" w:hAnsi="Calibri" w:cs="Calibri"/>
        </w:rPr>
        <w:t>ktivit v rámci Výzvy č. 10. Obě</w:t>
      </w:r>
      <w:r w:rsidR="0004752D">
        <w:rPr>
          <w:rFonts w:ascii="Calibri" w:hAnsi="Calibri" w:cs="Calibri"/>
        </w:rPr>
        <w:t xml:space="preserve"> </w:t>
      </w:r>
      <w:r w:rsidR="00304565" w:rsidRPr="001C0072">
        <w:rPr>
          <w:rFonts w:ascii="Calibri" w:hAnsi="Calibri" w:cs="Calibri"/>
        </w:rPr>
        <w:t>žádosti byly ze strany MMR vyřazeny z administrace z dů</w:t>
      </w:r>
      <w:r w:rsidR="00201561" w:rsidRPr="001C0072">
        <w:rPr>
          <w:rFonts w:ascii="Calibri" w:hAnsi="Calibri" w:cs="Calibri"/>
        </w:rPr>
        <w:t>vodu vysokého převisu žádostí o </w:t>
      </w:r>
      <w:r w:rsidR="00304565" w:rsidRPr="001C0072">
        <w:rPr>
          <w:rFonts w:ascii="Calibri" w:hAnsi="Calibri" w:cs="Calibri"/>
        </w:rPr>
        <w:t>podporu nad alokací. MV tak nečerpalo v rámci Výzvy č. 10 žádné peněžní prostředky</w:t>
      </w:r>
      <w:r w:rsidR="00EE69DC">
        <w:rPr>
          <w:rFonts w:ascii="Calibri" w:hAnsi="Calibri" w:cs="Calibri"/>
        </w:rPr>
        <w:t>,</w:t>
      </w:r>
      <w:r w:rsidR="005A14D2">
        <w:rPr>
          <w:rFonts w:ascii="Calibri" w:hAnsi="Calibri" w:cs="Calibri"/>
        </w:rPr>
        <w:t xml:space="preserve"> a </w:t>
      </w:r>
      <w:r w:rsidR="00DE2187" w:rsidRPr="001C0072">
        <w:rPr>
          <w:rFonts w:ascii="Calibri" w:hAnsi="Calibri" w:cs="Calibri"/>
        </w:rPr>
        <w:t xml:space="preserve">nevyužilo </w:t>
      </w:r>
      <w:r w:rsidR="00041455" w:rsidRPr="001C0072">
        <w:rPr>
          <w:rFonts w:ascii="Calibri" w:hAnsi="Calibri" w:cs="Calibri"/>
        </w:rPr>
        <w:t>tak</w:t>
      </w:r>
      <w:r w:rsidR="00DE2187" w:rsidRPr="001C0072">
        <w:rPr>
          <w:rFonts w:ascii="Calibri" w:hAnsi="Calibri" w:cs="Calibri"/>
        </w:rPr>
        <w:t xml:space="preserve"> možnosti </w:t>
      </w:r>
      <w:r w:rsidR="00041455" w:rsidRPr="001C0072">
        <w:rPr>
          <w:rFonts w:ascii="Calibri" w:hAnsi="Calibri" w:cs="Calibri"/>
        </w:rPr>
        <w:t>financovat zajištění KB</w:t>
      </w:r>
      <w:r w:rsidR="00DE2187" w:rsidRPr="001C0072">
        <w:rPr>
          <w:rFonts w:ascii="Calibri" w:hAnsi="Calibri" w:cs="Calibri"/>
        </w:rPr>
        <w:t xml:space="preserve"> z</w:t>
      </w:r>
      <w:r w:rsidR="00041455" w:rsidRPr="001C0072">
        <w:rPr>
          <w:rFonts w:ascii="Calibri" w:hAnsi="Calibri" w:cs="Calibri"/>
        </w:rPr>
        <w:t> prostředků</w:t>
      </w:r>
      <w:r w:rsidR="00EE69DC">
        <w:rPr>
          <w:rFonts w:ascii="Calibri" w:hAnsi="Calibri" w:cs="Calibri"/>
        </w:rPr>
        <w:t xml:space="preserve"> alokace</w:t>
      </w:r>
      <w:r w:rsidR="00304565" w:rsidRPr="001C0072">
        <w:rPr>
          <w:rFonts w:ascii="Calibri" w:hAnsi="Calibri" w:cs="Calibri"/>
        </w:rPr>
        <w:t>. MV bylo přitom z</w:t>
      </w:r>
      <w:r w:rsidR="00EE69DC">
        <w:rPr>
          <w:rFonts w:ascii="Calibri" w:hAnsi="Calibri" w:cs="Calibri"/>
        </w:rPr>
        <w:t> </w:t>
      </w:r>
      <w:r w:rsidR="00304565" w:rsidRPr="001C0072">
        <w:rPr>
          <w:rFonts w:ascii="Calibri" w:hAnsi="Calibri" w:cs="Calibri"/>
        </w:rPr>
        <w:t>pohledu spravovaných KII a VIS jednou z nejvýznamnější OSS.</w:t>
      </w:r>
      <w:r w:rsidR="003A7E70" w:rsidRPr="001C0072">
        <w:rPr>
          <w:rFonts w:ascii="Calibri" w:hAnsi="Calibri" w:cs="Calibri"/>
        </w:rPr>
        <w:t xml:space="preserve"> </w:t>
      </w:r>
      <w:r w:rsidR="00304565" w:rsidRPr="001C0072">
        <w:rPr>
          <w:rFonts w:ascii="Calibri" w:hAnsi="Calibri" w:cs="Calibri"/>
        </w:rPr>
        <w:t>Souhrnně byly n</w:t>
      </w:r>
      <w:r w:rsidR="007C4B5D" w:rsidRPr="001C0072">
        <w:rPr>
          <w:rFonts w:ascii="Calibri" w:hAnsi="Calibri" w:cs="Calibri"/>
        </w:rPr>
        <w:t>a projekty realizované subjekty státní</w:t>
      </w:r>
      <w:r w:rsidR="002B0CE0" w:rsidRPr="001C0072">
        <w:rPr>
          <w:rFonts w:ascii="Calibri" w:hAnsi="Calibri" w:cs="Calibri"/>
        </w:rPr>
        <w:t>ho</w:t>
      </w:r>
      <w:r w:rsidR="007C4B5D" w:rsidRPr="001C0072">
        <w:rPr>
          <w:rFonts w:ascii="Calibri" w:hAnsi="Calibri" w:cs="Calibri"/>
        </w:rPr>
        <w:t xml:space="preserve"> s</w:t>
      </w:r>
      <w:r w:rsidR="002B0CE0" w:rsidRPr="001C0072">
        <w:rPr>
          <w:rFonts w:ascii="Calibri" w:hAnsi="Calibri" w:cs="Calibri"/>
        </w:rPr>
        <w:t>ektoru</w:t>
      </w:r>
      <w:r w:rsidR="007C4B5D" w:rsidRPr="001C0072">
        <w:rPr>
          <w:rFonts w:ascii="Calibri" w:hAnsi="Calibri" w:cs="Calibri"/>
        </w:rPr>
        <w:t xml:space="preserve"> v rámci Výzvy č. 10 </w:t>
      </w:r>
      <w:r w:rsidR="00334715" w:rsidRPr="001C0072">
        <w:rPr>
          <w:rFonts w:ascii="Calibri" w:hAnsi="Calibri" w:cs="Calibri"/>
        </w:rPr>
        <w:t xml:space="preserve">ze </w:t>
      </w:r>
      <w:r w:rsidR="007C4B5D" w:rsidRPr="001C0072">
        <w:rPr>
          <w:rFonts w:ascii="Calibri" w:hAnsi="Calibri" w:cs="Calibri"/>
        </w:rPr>
        <w:t>strany</w:t>
      </w:r>
      <w:r w:rsidR="00304565" w:rsidRPr="001C0072">
        <w:rPr>
          <w:rFonts w:ascii="Calibri" w:hAnsi="Calibri" w:cs="Calibri"/>
        </w:rPr>
        <w:t xml:space="preserve"> </w:t>
      </w:r>
      <w:r w:rsidR="00EE69DC">
        <w:rPr>
          <w:rFonts w:ascii="Calibri" w:hAnsi="Calibri" w:cs="Calibri"/>
        </w:rPr>
        <w:t>ř</w:t>
      </w:r>
      <w:r w:rsidR="00304565" w:rsidRPr="001C0072">
        <w:rPr>
          <w:rFonts w:ascii="Calibri" w:hAnsi="Calibri" w:cs="Calibri"/>
        </w:rPr>
        <w:t>íd</w:t>
      </w:r>
      <w:r w:rsidR="00EE69DC">
        <w:rPr>
          <w:rFonts w:ascii="Calibri" w:hAnsi="Calibri" w:cs="Calibri"/>
        </w:rPr>
        <w:t>i</w:t>
      </w:r>
      <w:r w:rsidR="00304565" w:rsidRPr="001C0072">
        <w:rPr>
          <w:rFonts w:ascii="Calibri" w:hAnsi="Calibri" w:cs="Calibri"/>
        </w:rPr>
        <w:t>cího orgánu</w:t>
      </w:r>
      <w:r w:rsidR="007C4B5D" w:rsidRPr="001C0072">
        <w:rPr>
          <w:rFonts w:ascii="Calibri" w:hAnsi="Calibri" w:cs="Calibri"/>
        </w:rPr>
        <w:t xml:space="preserve"> schváleny p</w:t>
      </w:r>
      <w:r w:rsidR="00CA6292" w:rsidRPr="001C0072">
        <w:rPr>
          <w:rFonts w:ascii="Calibri" w:hAnsi="Calibri" w:cs="Calibri"/>
        </w:rPr>
        <w:t xml:space="preserve">rostředky ve výši cca </w:t>
      </w:r>
      <w:r w:rsidR="003A7E70" w:rsidRPr="001C0072">
        <w:rPr>
          <w:rFonts w:ascii="Calibri" w:hAnsi="Calibri" w:cs="Calibri"/>
        </w:rPr>
        <w:t>800 mil. Kč</w:t>
      </w:r>
      <w:r w:rsidR="00304565" w:rsidRPr="001C0072">
        <w:rPr>
          <w:rFonts w:ascii="Calibri" w:hAnsi="Calibri" w:cs="Calibri"/>
        </w:rPr>
        <w:t>. Podrobnější údaje jsou uvedeny v</w:t>
      </w:r>
      <w:r w:rsidR="00A760A4">
        <w:rPr>
          <w:rFonts w:ascii="Calibri" w:hAnsi="Calibri" w:cs="Calibri"/>
        </w:rPr>
        <w:t> </w:t>
      </w:r>
      <w:r w:rsidR="00EE69DC">
        <w:rPr>
          <w:rFonts w:ascii="Calibri" w:hAnsi="Calibri" w:cs="Calibri"/>
        </w:rPr>
        <w:t xml:space="preserve">následující </w:t>
      </w:r>
      <w:r w:rsidR="00304565" w:rsidRPr="001C0072">
        <w:rPr>
          <w:rFonts w:ascii="Calibri" w:hAnsi="Calibri" w:cs="Calibri"/>
        </w:rPr>
        <w:t>tabulce.</w:t>
      </w:r>
    </w:p>
    <w:p w14:paraId="33D71E82" w14:textId="398F8828" w:rsidR="00304565" w:rsidRPr="00856B4B" w:rsidRDefault="00304565" w:rsidP="00B257DB">
      <w:pPr>
        <w:pStyle w:val="Titulek"/>
        <w:keepNext/>
        <w:spacing w:after="120"/>
        <w:rPr>
          <w:rFonts w:ascii="Calibri" w:hAnsi="Calibri" w:cs="Calibri"/>
          <w:b/>
          <w:i w:val="0"/>
          <w:color w:val="000000" w:themeColor="text1"/>
          <w:sz w:val="24"/>
        </w:rPr>
      </w:pPr>
      <w:bookmarkStart w:id="1" w:name="_Toc44308162"/>
      <w:r w:rsidRPr="00856B4B">
        <w:rPr>
          <w:rFonts w:ascii="Calibri" w:hAnsi="Calibri" w:cs="Calibri"/>
          <w:b/>
          <w:i w:val="0"/>
          <w:color w:val="000000" w:themeColor="text1"/>
          <w:sz w:val="24"/>
        </w:rPr>
        <w:lastRenderedPageBreak/>
        <w:t xml:space="preserve">Tabulka č. </w:t>
      </w:r>
      <w:r w:rsidR="00D212BE" w:rsidRPr="00856B4B">
        <w:rPr>
          <w:rFonts w:ascii="Calibri" w:hAnsi="Calibri" w:cs="Calibri"/>
          <w:b/>
          <w:i w:val="0"/>
          <w:color w:val="000000" w:themeColor="text1"/>
          <w:sz w:val="24"/>
        </w:rPr>
        <w:fldChar w:fldCharType="begin"/>
      </w:r>
      <w:r w:rsidR="00D212BE" w:rsidRPr="00856B4B">
        <w:rPr>
          <w:rFonts w:ascii="Calibri" w:hAnsi="Calibri" w:cs="Calibri"/>
          <w:b/>
          <w:i w:val="0"/>
          <w:color w:val="000000" w:themeColor="text1"/>
          <w:sz w:val="24"/>
        </w:rPr>
        <w:instrText xml:space="preserve"> SEQ Tabulka \* ARABIC </w:instrText>
      </w:r>
      <w:r w:rsidR="00D212BE" w:rsidRPr="00856B4B">
        <w:rPr>
          <w:rFonts w:ascii="Calibri" w:hAnsi="Calibri" w:cs="Calibri"/>
          <w:b/>
          <w:i w:val="0"/>
          <w:color w:val="000000" w:themeColor="text1"/>
          <w:sz w:val="24"/>
        </w:rPr>
        <w:fldChar w:fldCharType="separate"/>
      </w:r>
      <w:r w:rsidR="00C46889">
        <w:rPr>
          <w:rFonts w:ascii="Calibri" w:hAnsi="Calibri" w:cs="Calibri"/>
          <w:b/>
          <w:i w:val="0"/>
          <w:noProof/>
          <w:color w:val="000000" w:themeColor="text1"/>
          <w:sz w:val="24"/>
        </w:rPr>
        <w:t>2</w:t>
      </w:r>
      <w:r w:rsidR="00D212BE" w:rsidRPr="00856B4B">
        <w:rPr>
          <w:rFonts w:ascii="Calibri" w:hAnsi="Calibri" w:cs="Calibri"/>
          <w:b/>
          <w:i w:val="0"/>
          <w:color w:val="000000" w:themeColor="text1"/>
          <w:sz w:val="24"/>
        </w:rPr>
        <w:fldChar w:fldCharType="end"/>
      </w:r>
      <w:r w:rsidRPr="00856B4B">
        <w:rPr>
          <w:rFonts w:ascii="Calibri" w:hAnsi="Calibri" w:cs="Calibri"/>
          <w:b/>
          <w:i w:val="0"/>
          <w:color w:val="000000" w:themeColor="text1"/>
          <w:sz w:val="24"/>
        </w:rPr>
        <w:t>: Výzva č. 10 – projekty se schválenými prostředky na realizaci</w:t>
      </w:r>
      <w:bookmarkEnd w:id="1"/>
    </w:p>
    <w:tbl>
      <w:tblPr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2"/>
        <w:gridCol w:w="2695"/>
        <w:gridCol w:w="1558"/>
        <w:gridCol w:w="3402"/>
      </w:tblGrid>
      <w:tr w:rsidR="00304565" w:rsidRPr="00856B4B" w14:paraId="3A6C7EFC" w14:textId="77777777" w:rsidTr="00856B4B">
        <w:trPr>
          <w:trHeight w:val="283"/>
        </w:trPr>
        <w:tc>
          <w:tcPr>
            <w:tcW w:w="779" w:type="pct"/>
            <w:shd w:val="clear" w:color="auto" w:fill="E5F1FF"/>
            <w:vAlign w:val="center"/>
          </w:tcPr>
          <w:p w14:paraId="5EBA391E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Žadatelé</w:t>
            </w:r>
          </w:p>
        </w:tc>
        <w:tc>
          <w:tcPr>
            <w:tcW w:w="1486" w:type="pct"/>
            <w:shd w:val="clear" w:color="auto" w:fill="E5F1FF"/>
            <w:vAlign w:val="center"/>
          </w:tcPr>
          <w:p w14:paraId="292E1036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Podrobnější klasifikace žadatele</w:t>
            </w:r>
          </w:p>
        </w:tc>
        <w:tc>
          <w:tcPr>
            <w:tcW w:w="859" w:type="pct"/>
            <w:shd w:val="clear" w:color="auto" w:fill="E5F1FF"/>
            <w:vAlign w:val="center"/>
          </w:tcPr>
          <w:p w14:paraId="6730B910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Počet projektů</w:t>
            </w:r>
          </w:p>
        </w:tc>
        <w:tc>
          <w:tcPr>
            <w:tcW w:w="1876" w:type="pct"/>
            <w:shd w:val="clear" w:color="auto" w:fill="E5F1FF"/>
            <w:vAlign w:val="center"/>
          </w:tcPr>
          <w:p w14:paraId="533885A9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Finanční objem schválených žádostí o</w:t>
            </w:r>
            <w:r w:rsidR="00856B4B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podporu</w:t>
            </w:r>
            <w:r w:rsidR="003A7E70"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(EFRR)</w:t>
            </w:r>
          </w:p>
        </w:tc>
      </w:tr>
      <w:tr w:rsidR="00304565" w:rsidRPr="00856B4B" w14:paraId="6B90C960" w14:textId="77777777" w:rsidTr="00856B4B">
        <w:trPr>
          <w:trHeight w:val="283"/>
        </w:trPr>
        <w:tc>
          <w:tcPr>
            <w:tcW w:w="779" w:type="pct"/>
            <w:vMerge w:val="restart"/>
            <w:vAlign w:val="center"/>
          </w:tcPr>
          <w:p w14:paraId="6F50542C" w14:textId="6D30F334" w:rsidR="00304565" w:rsidRPr="00856B4B" w:rsidRDefault="00EE69DC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9B2889" w:rsidRPr="00856B4B">
              <w:rPr>
                <w:rFonts w:ascii="Calibri" w:hAnsi="Calibri" w:cs="Calibri"/>
                <w:sz w:val="20"/>
                <w:szCs w:val="20"/>
              </w:rPr>
              <w:t>tátní sektor</w:t>
            </w:r>
          </w:p>
        </w:tc>
        <w:tc>
          <w:tcPr>
            <w:tcW w:w="1486" w:type="pct"/>
            <w:vAlign w:val="center"/>
          </w:tcPr>
          <w:p w14:paraId="77BA18E3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OSS</w:t>
            </w:r>
          </w:p>
        </w:tc>
        <w:tc>
          <w:tcPr>
            <w:tcW w:w="859" w:type="pct"/>
            <w:vAlign w:val="center"/>
          </w:tcPr>
          <w:p w14:paraId="3959B4E0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76" w:type="pct"/>
            <w:vAlign w:val="center"/>
          </w:tcPr>
          <w:p w14:paraId="417CCB51" w14:textId="77777777" w:rsidR="00304565" w:rsidRPr="00856B4B" w:rsidRDefault="001121AC" w:rsidP="00B257DB">
            <w:pPr>
              <w:keepNext/>
              <w:spacing w:after="0" w:line="240" w:lineRule="auto"/>
              <w:ind w:right="46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156</w:t>
            </w:r>
            <w:r w:rsidR="001B7666" w:rsidRPr="00856B4B">
              <w:rPr>
                <w:rFonts w:ascii="Calibri" w:hAnsi="Calibri" w:cs="Calibri"/>
                <w:sz w:val="20"/>
                <w:szCs w:val="20"/>
              </w:rPr>
              <w:t>,</w:t>
            </w:r>
            <w:r w:rsidRPr="00856B4B">
              <w:rPr>
                <w:rFonts w:ascii="Calibri" w:hAnsi="Calibri" w:cs="Calibri"/>
                <w:sz w:val="20"/>
                <w:szCs w:val="20"/>
              </w:rPr>
              <w:t>1</w:t>
            </w:r>
            <w:r w:rsidR="001B7666" w:rsidRPr="00856B4B">
              <w:rPr>
                <w:rFonts w:ascii="Calibri" w:hAnsi="Calibri" w:cs="Calibri"/>
                <w:sz w:val="20"/>
                <w:szCs w:val="20"/>
              </w:rPr>
              <w:t xml:space="preserve"> mil.</w:t>
            </w:r>
            <w:r w:rsidR="00304565" w:rsidRPr="00856B4B">
              <w:rPr>
                <w:rFonts w:ascii="Calibri" w:hAnsi="Calibri" w:cs="Calibri"/>
                <w:sz w:val="20"/>
                <w:szCs w:val="20"/>
              </w:rPr>
              <w:t xml:space="preserve"> Kč</w:t>
            </w:r>
            <w:r w:rsidR="00DD64FF" w:rsidRPr="00856B4B">
              <w:rPr>
                <w:rFonts w:ascii="Calibri" w:hAnsi="Calibri" w:cs="Calibri"/>
                <w:sz w:val="20"/>
                <w:szCs w:val="20"/>
              </w:rPr>
              <w:t>***</w:t>
            </w:r>
          </w:p>
        </w:tc>
      </w:tr>
      <w:tr w:rsidR="00304565" w:rsidRPr="00856B4B" w14:paraId="78083CC9" w14:textId="77777777" w:rsidTr="00856B4B">
        <w:trPr>
          <w:trHeight w:val="283"/>
        </w:trPr>
        <w:tc>
          <w:tcPr>
            <w:tcW w:w="779" w:type="pct"/>
            <w:vMerge/>
          </w:tcPr>
          <w:p w14:paraId="2C8A57BF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5254F534" w14:textId="77777777" w:rsidR="00304565" w:rsidRPr="00856B4B" w:rsidRDefault="00F22207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státní příspěvkové organizace</w:t>
            </w:r>
          </w:p>
        </w:tc>
        <w:tc>
          <w:tcPr>
            <w:tcW w:w="859" w:type="pct"/>
            <w:vAlign w:val="center"/>
          </w:tcPr>
          <w:p w14:paraId="204FBC49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76" w:type="pct"/>
            <w:vAlign w:val="center"/>
          </w:tcPr>
          <w:p w14:paraId="2DF701AE" w14:textId="77777777" w:rsidR="00304565" w:rsidRPr="00856B4B" w:rsidRDefault="00304565" w:rsidP="00B257DB">
            <w:pPr>
              <w:keepNext/>
              <w:spacing w:after="0" w:line="240" w:lineRule="auto"/>
              <w:ind w:right="652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589</w:t>
            </w:r>
            <w:r w:rsidR="001B7666" w:rsidRPr="00856B4B">
              <w:rPr>
                <w:rFonts w:ascii="Calibri" w:hAnsi="Calibri" w:cs="Calibri"/>
                <w:sz w:val="20"/>
                <w:szCs w:val="20"/>
              </w:rPr>
              <w:t>,5 mil.</w:t>
            </w:r>
            <w:r w:rsidR="00A925AC" w:rsidRPr="00856B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56B4B">
              <w:rPr>
                <w:rFonts w:ascii="Calibri" w:hAnsi="Calibri" w:cs="Calibri"/>
                <w:sz w:val="20"/>
                <w:szCs w:val="20"/>
              </w:rPr>
              <w:t>Kč</w:t>
            </w:r>
            <w:r w:rsidR="00334715" w:rsidRPr="00856B4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304565" w:rsidRPr="00856B4B" w14:paraId="18216691" w14:textId="77777777" w:rsidTr="00856B4B">
        <w:trPr>
          <w:trHeight w:val="283"/>
        </w:trPr>
        <w:tc>
          <w:tcPr>
            <w:tcW w:w="779" w:type="pct"/>
            <w:vMerge/>
          </w:tcPr>
          <w:p w14:paraId="6F10DD48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75061381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státní podniky</w:t>
            </w:r>
          </w:p>
        </w:tc>
        <w:tc>
          <w:tcPr>
            <w:tcW w:w="859" w:type="pct"/>
            <w:vAlign w:val="center"/>
          </w:tcPr>
          <w:p w14:paraId="052741EA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76" w:type="pct"/>
            <w:vAlign w:val="center"/>
          </w:tcPr>
          <w:p w14:paraId="4E185FD6" w14:textId="77777777" w:rsidR="00304565" w:rsidRPr="00856B4B" w:rsidRDefault="00304565" w:rsidP="00B257DB">
            <w:pPr>
              <w:keepNext/>
              <w:spacing w:after="0" w:line="240" w:lineRule="auto"/>
              <w:ind w:right="74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53</w:t>
            </w:r>
            <w:r w:rsidR="001B7666" w:rsidRPr="00856B4B">
              <w:rPr>
                <w:rFonts w:ascii="Calibri" w:hAnsi="Calibri" w:cs="Calibri"/>
                <w:sz w:val="20"/>
                <w:szCs w:val="20"/>
              </w:rPr>
              <w:t>,</w:t>
            </w:r>
            <w:r w:rsidRPr="00856B4B">
              <w:rPr>
                <w:rFonts w:ascii="Calibri" w:hAnsi="Calibri" w:cs="Calibri"/>
                <w:sz w:val="20"/>
                <w:szCs w:val="20"/>
              </w:rPr>
              <w:t>9</w:t>
            </w:r>
            <w:r w:rsidR="001B7666" w:rsidRPr="00856B4B">
              <w:rPr>
                <w:rFonts w:ascii="Calibri" w:hAnsi="Calibri" w:cs="Calibri"/>
                <w:sz w:val="20"/>
                <w:szCs w:val="20"/>
              </w:rPr>
              <w:t> mil.</w:t>
            </w:r>
            <w:r w:rsidRPr="00856B4B">
              <w:rPr>
                <w:rFonts w:ascii="Calibri" w:hAnsi="Calibri" w:cs="Calibri"/>
                <w:sz w:val="20"/>
                <w:szCs w:val="20"/>
              </w:rPr>
              <w:t xml:space="preserve"> Kč</w:t>
            </w:r>
          </w:p>
        </w:tc>
      </w:tr>
      <w:tr w:rsidR="00304565" w:rsidRPr="00856B4B" w14:paraId="170384DD" w14:textId="77777777" w:rsidTr="00856B4B">
        <w:trPr>
          <w:trHeight w:val="283"/>
        </w:trPr>
        <w:tc>
          <w:tcPr>
            <w:tcW w:w="2265" w:type="pct"/>
            <w:gridSpan w:val="2"/>
            <w:vAlign w:val="center"/>
          </w:tcPr>
          <w:p w14:paraId="546889A3" w14:textId="389D3440" w:rsidR="00304565" w:rsidRPr="00856B4B" w:rsidRDefault="004E6E2D" w:rsidP="00EE69DC">
            <w:pPr>
              <w:keepNext/>
              <w:spacing w:after="0"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Mezisoučet </w:t>
            </w:r>
            <w:r w:rsidR="00EE69DC">
              <w:rPr>
                <w:rFonts w:ascii="Calibri" w:hAnsi="Calibri" w:cs="Calibri"/>
                <w:b/>
                <w:sz w:val="20"/>
                <w:szCs w:val="20"/>
              </w:rPr>
              <w:t xml:space="preserve">– 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304565"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tátní </w:t>
            </w:r>
            <w:r w:rsidR="002B0CE0" w:rsidRPr="00856B4B">
              <w:rPr>
                <w:rFonts w:ascii="Calibri" w:hAnsi="Calibri" w:cs="Calibri"/>
                <w:b/>
                <w:sz w:val="20"/>
                <w:szCs w:val="20"/>
              </w:rPr>
              <w:t>sektor</w:t>
            </w:r>
          </w:p>
        </w:tc>
        <w:tc>
          <w:tcPr>
            <w:tcW w:w="859" w:type="pct"/>
            <w:vAlign w:val="center"/>
          </w:tcPr>
          <w:p w14:paraId="49751E90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1876" w:type="pct"/>
            <w:vAlign w:val="center"/>
          </w:tcPr>
          <w:p w14:paraId="2D2246D1" w14:textId="77777777" w:rsidR="00304565" w:rsidRPr="00856B4B" w:rsidRDefault="00304565" w:rsidP="00B257DB">
            <w:pPr>
              <w:keepNext/>
              <w:spacing w:after="0" w:line="240" w:lineRule="auto"/>
              <w:ind w:right="746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799</w:t>
            </w:r>
            <w:r w:rsidR="00F97C5E" w:rsidRPr="00856B4B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F97C5E" w:rsidRPr="00856B4B">
              <w:rPr>
                <w:rFonts w:ascii="Calibri" w:hAnsi="Calibri" w:cs="Calibri"/>
                <w:b/>
                <w:sz w:val="20"/>
                <w:szCs w:val="20"/>
              </w:rPr>
              <w:t> mil.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 Kč</w:t>
            </w:r>
          </w:p>
        </w:tc>
      </w:tr>
      <w:tr w:rsidR="00304565" w:rsidRPr="00856B4B" w14:paraId="0CF2084B" w14:textId="77777777" w:rsidTr="00856B4B">
        <w:trPr>
          <w:trHeight w:val="283"/>
        </w:trPr>
        <w:tc>
          <w:tcPr>
            <w:tcW w:w="779" w:type="pct"/>
            <w:vMerge w:val="restart"/>
            <w:vAlign w:val="center"/>
          </w:tcPr>
          <w:p w14:paraId="7D0CC9F4" w14:textId="09EEFEC4" w:rsidR="00304565" w:rsidRPr="00856B4B" w:rsidRDefault="00EE69DC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304565" w:rsidRPr="00856B4B">
              <w:rPr>
                <w:rFonts w:ascii="Calibri" w:hAnsi="Calibri" w:cs="Calibri"/>
                <w:sz w:val="20"/>
                <w:szCs w:val="20"/>
              </w:rPr>
              <w:t>amospráva</w:t>
            </w:r>
          </w:p>
        </w:tc>
        <w:tc>
          <w:tcPr>
            <w:tcW w:w="1486" w:type="pct"/>
            <w:vAlign w:val="center"/>
          </w:tcPr>
          <w:p w14:paraId="6EAC9444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kraje</w:t>
            </w:r>
          </w:p>
        </w:tc>
        <w:tc>
          <w:tcPr>
            <w:tcW w:w="859" w:type="pct"/>
            <w:vAlign w:val="center"/>
          </w:tcPr>
          <w:p w14:paraId="6DC0F401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76" w:type="pct"/>
            <w:vAlign w:val="center"/>
          </w:tcPr>
          <w:p w14:paraId="1E5DBB95" w14:textId="77777777" w:rsidR="00304565" w:rsidRPr="00856B4B" w:rsidRDefault="00A925AC" w:rsidP="00B257DB">
            <w:pPr>
              <w:keepNext/>
              <w:spacing w:after="0" w:line="240" w:lineRule="auto"/>
              <w:ind w:right="74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158 mil.</w:t>
            </w:r>
            <w:r w:rsidR="00304565" w:rsidRPr="00856B4B">
              <w:rPr>
                <w:rFonts w:ascii="Calibri" w:hAnsi="Calibri" w:cs="Calibri"/>
                <w:sz w:val="20"/>
                <w:szCs w:val="20"/>
              </w:rPr>
              <w:t xml:space="preserve"> Kč</w:t>
            </w:r>
          </w:p>
        </w:tc>
      </w:tr>
      <w:tr w:rsidR="00304565" w:rsidRPr="00856B4B" w14:paraId="4116C46C" w14:textId="77777777" w:rsidTr="00856B4B">
        <w:trPr>
          <w:trHeight w:val="283"/>
        </w:trPr>
        <w:tc>
          <w:tcPr>
            <w:tcW w:w="779" w:type="pct"/>
            <w:vMerge/>
          </w:tcPr>
          <w:p w14:paraId="3C34CB76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506E39C5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obce</w:t>
            </w:r>
          </w:p>
        </w:tc>
        <w:tc>
          <w:tcPr>
            <w:tcW w:w="859" w:type="pct"/>
            <w:vAlign w:val="center"/>
          </w:tcPr>
          <w:p w14:paraId="2FAB147B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76" w:type="pct"/>
            <w:vAlign w:val="center"/>
          </w:tcPr>
          <w:p w14:paraId="513D8B53" w14:textId="77777777" w:rsidR="00304565" w:rsidRPr="00856B4B" w:rsidRDefault="00EE058B" w:rsidP="00B257DB">
            <w:pPr>
              <w:keepNext/>
              <w:spacing w:after="0" w:line="240" w:lineRule="auto"/>
              <w:ind w:right="74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66</w:t>
            </w:r>
            <w:r w:rsidR="00A925AC" w:rsidRPr="00856B4B">
              <w:rPr>
                <w:rFonts w:ascii="Calibri" w:hAnsi="Calibri" w:cs="Calibri"/>
                <w:sz w:val="20"/>
                <w:szCs w:val="20"/>
              </w:rPr>
              <w:t>,6 mil</w:t>
            </w:r>
            <w:r w:rsidR="00304565" w:rsidRPr="00856B4B">
              <w:rPr>
                <w:rFonts w:ascii="Calibri" w:hAnsi="Calibri" w:cs="Calibri"/>
                <w:sz w:val="20"/>
                <w:szCs w:val="20"/>
              </w:rPr>
              <w:t xml:space="preserve"> Kč</w:t>
            </w:r>
          </w:p>
        </w:tc>
      </w:tr>
      <w:tr w:rsidR="00304565" w:rsidRPr="00856B4B" w14:paraId="35549EDC" w14:textId="77777777" w:rsidTr="00856B4B">
        <w:trPr>
          <w:trHeight w:val="283"/>
        </w:trPr>
        <w:tc>
          <w:tcPr>
            <w:tcW w:w="779" w:type="pct"/>
            <w:vMerge/>
          </w:tcPr>
          <w:p w14:paraId="217A31D6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67D6A6F9" w14:textId="77777777" w:rsidR="00304565" w:rsidRPr="00856B4B" w:rsidRDefault="00304565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organizace zřizované nebo zakládané kraji/obcemi</w:t>
            </w:r>
          </w:p>
        </w:tc>
        <w:tc>
          <w:tcPr>
            <w:tcW w:w="859" w:type="pct"/>
            <w:vAlign w:val="center"/>
          </w:tcPr>
          <w:p w14:paraId="30D07C32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876" w:type="pct"/>
            <w:vAlign w:val="center"/>
          </w:tcPr>
          <w:p w14:paraId="4939468E" w14:textId="77777777" w:rsidR="00304565" w:rsidRPr="00856B4B" w:rsidRDefault="00304565" w:rsidP="00B257DB">
            <w:pPr>
              <w:keepNext/>
              <w:spacing w:after="0" w:line="240" w:lineRule="auto"/>
              <w:ind w:right="53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6B4B">
              <w:rPr>
                <w:rFonts w:ascii="Calibri" w:hAnsi="Calibri" w:cs="Calibri"/>
                <w:sz w:val="20"/>
                <w:szCs w:val="20"/>
              </w:rPr>
              <w:t>34</w:t>
            </w:r>
            <w:r w:rsidR="00A925AC" w:rsidRPr="00856B4B">
              <w:rPr>
                <w:rFonts w:ascii="Calibri" w:hAnsi="Calibri" w:cs="Calibri"/>
                <w:sz w:val="20"/>
                <w:szCs w:val="20"/>
              </w:rPr>
              <w:t xml:space="preserve">4 mil. </w:t>
            </w:r>
            <w:r w:rsidRPr="00856B4B">
              <w:rPr>
                <w:rFonts w:ascii="Calibri" w:hAnsi="Calibri" w:cs="Calibri"/>
                <w:sz w:val="20"/>
                <w:szCs w:val="20"/>
              </w:rPr>
              <w:t>Kč</w:t>
            </w:r>
            <w:r w:rsidR="00334715" w:rsidRPr="00856B4B">
              <w:rPr>
                <w:rFonts w:ascii="Calibri" w:hAnsi="Calibri" w:cs="Calibri"/>
                <w:sz w:val="20"/>
                <w:szCs w:val="20"/>
              </w:rPr>
              <w:t>*</w:t>
            </w:r>
            <w:r w:rsidR="00952AB0" w:rsidRPr="00856B4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304565" w:rsidRPr="00856B4B" w14:paraId="619F8FB3" w14:textId="77777777" w:rsidTr="00856B4B">
        <w:trPr>
          <w:trHeight w:val="283"/>
        </w:trPr>
        <w:tc>
          <w:tcPr>
            <w:tcW w:w="2265" w:type="pct"/>
            <w:gridSpan w:val="2"/>
            <w:vAlign w:val="center"/>
          </w:tcPr>
          <w:p w14:paraId="0A5F3FA2" w14:textId="556A9607" w:rsidR="00304565" w:rsidRPr="00856B4B" w:rsidRDefault="004E6E2D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Mezisoučet </w:t>
            </w:r>
            <w:r w:rsidR="00EE69DC">
              <w:rPr>
                <w:rFonts w:ascii="Calibri" w:hAnsi="Calibri" w:cs="Calibri"/>
                <w:b/>
                <w:sz w:val="20"/>
                <w:szCs w:val="20"/>
              </w:rPr>
              <w:t xml:space="preserve">– 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304565" w:rsidRPr="00856B4B">
              <w:rPr>
                <w:rFonts w:ascii="Calibri" w:hAnsi="Calibri" w:cs="Calibri"/>
                <w:b/>
                <w:sz w:val="20"/>
                <w:szCs w:val="20"/>
              </w:rPr>
              <w:t>amospráva</w:t>
            </w:r>
          </w:p>
        </w:tc>
        <w:tc>
          <w:tcPr>
            <w:tcW w:w="859" w:type="pct"/>
            <w:vAlign w:val="center"/>
          </w:tcPr>
          <w:p w14:paraId="0318D7F0" w14:textId="77777777" w:rsidR="00304565" w:rsidRPr="00856B4B" w:rsidRDefault="008C5B1E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40</w:t>
            </w:r>
          </w:p>
        </w:tc>
        <w:tc>
          <w:tcPr>
            <w:tcW w:w="1876" w:type="pct"/>
            <w:vAlign w:val="center"/>
          </w:tcPr>
          <w:p w14:paraId="6B20BA7F" w14:textId="77777777" w:rsidR="00304565" w:rsidRPr="00856B4B" w:rsidRDefault="00304565" w:rsidP="00B257DB">
            <w:pPr>
              <w:keepNext/>
              <w:spacing w:after="0" w:line="240" w:lineRule="auto"/>
              <w:ind w:right="746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568</w:t>
            </w:r>
            <w:r w:rsidR="00A925AC" w:rsidRPr="00856B4B">
              <w:rPr>
                <w:rFonts w:ascii="Calibri" w:hAnsi="Calibri" w:cs="Calibri"/>
                <w:b/>
                <w:sz w:val="20"/>
                <w:szCs w:val="20"/>
              </w:rPr>
              <w:t>,6 mil.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 Kč</w:t>
            </w:r>
          </w:p>
        </w:tc>
      </w:tr>
      <w:tr w:rsidR="00304565" w:rsidRPr="00856B4B" w14:paraId="70670893" w14:textId="77777777" w:rsidTr="00856B4B">
        <w:trPr>
          <w:trHeight w:val="283"/>
        </w:trPr>
        <w:tc>
          <w:tcPr>
            <w:tcW w:w="2265" w:type="pct"/>
            <w:gridSpan w:val="2"/>
            <w:vAlign w:val="center"/>
          </w:tcPr>
          <w:p w14:paraId="4158B6A5" w14:textId="77777777" w:rsidR="00304565" w:rsidRPr="00856B4B" w:rsidRDefault="004E6E2D" w:rsidP="00B257DB">
            <w:pPr>
              <w:keepNext/>
              <w:spacing w:after="0"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Celkem s</w:t>
            </w:r>
            <w:r w:rsidR="00304565"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tátní </w:t>
            </w:r>
            <w:r w:rsidR="002B0CE0"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sektor 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+ s</w:t>
            </w:r>
            <w:r w:rsidR="00304565" w:rsidRPr="00856B4B">
              <w:rPr>
                <w:rFonts w:ascii="Calibri" w:hAnsi="Calibri" w:cs="Calibri"/>
                <w:b/>
                <w:sz w:val="20"/>
                <w:szCs w:val="20"/>
              </w:rPr>
              <w:t>amospráva</w:t>
            </w:r>
          </w:p>
        </w:tc>
        <w:tc>
          <w:tcPr>
            <w:tcW w:w="859" w:type="pct"/>
            <w:vAlign w:val="center"/>
          </w:tcPr>
          <w:p w14:paraId="0363B202" w14:textId="77777777" w:rsidR="00304565" w:rsidRPr="00856B4B" w:rsidRDefault="00304565" w:rsidP="00B257DB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54</w:t>
            </w:r>
          </w:p>
        </w:tc>
        <w:tc>
          <w:tcPr>
            <w:tcW w:w="1876" w:type="pct"/>
            <w:vAlign w:val="center"/>
          </w:tcPr>
          <w:p w14:paraId="22B0B6F1" w14:textId="77777777" w:rsidR="00304565" w:rsidRPr="00856B4B" w:rsidRDefault="00304565" w:rsidP="00B257DB">
            <w:pPr>
              <w:keepNext/>
              <w:spacing w:after="0" w:line="240" w:lineRule="auto"/>
              <w:ind w:right="746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A925AC" w:rsidRPr="00856B4B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368</w:t>
            </w:r>
            <w:r w:rsidR="00A925AC" w:rsidRPr="00856B4B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A925AC"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 mil.</w:t>
            </w:r>
            <w:r w:rsidRPr="00856B4B">
              <w:rPr>
                <w:rFonts w:ascii="Calibri" w:hAnsi="Calibri" w:cs="Calibri"/>
                <w:b/>
                <w:sz w:val="20"/>
                <w:szCs w:val="20"/>
              </w:rPr>
              <w:t xml:space="preserve"> Kč</w:t>
            </w:r>
          </w:p>
        </w:tc>
      </w:tr>
    </w:tbl>
    <w:p w14:paraId="3BC0E51E" w14:textId="1EC5C389" w:rsidR="00304565" w:rsidRPr="00B257DB" w:rsidRDefault="00304565" w:rsidP="00B257DB">
      <w:pPr>
        <w:keepNext/>
        <w:spacing w:before="120" w:after="0" w:line="240" w:lineRule="auto"/>
        <w:rPr>
          <w:rFonts w:ascii="Calibri" w:hAnsi="Calibri" w:cs="Calibri"/>
          <w:iCs/>
          <w:color w:val="000000" w:themeColor="text1"/>
          <w:sz w:val="20"/>
        </w:rPr>
      </w:pPr>
      <w:r w:rsidRPr="00B257DB">
        <w:rPr>
          <w:rFonts w:ascii="Calibri" w:hAnsi="Calibri" w:cs="Calibri"/>
          <w:b/>
          <w:iCs/>
          <w:color w:val="000000" w:themeColor="text1"/>
          <w:sz w:val="20"/>
        </w:rPr>
        <w:t>Zdroj:</w:t>
      </w:r>
      <w:r w:rsidR="00EE69DC">
        <w:rPr>
          <w:rFonts w:ascii="Calibri" w:hAnsi="Calibri" w:cs="Calibri"/>
          <w:iCs/>
          <w:color w:val="000000" w:themeColor="text1"/>
          <w:sz w:val="20"/>
        </w:rPr>
        <w:t xml:space="preserve"> informační systém</w:t>
      </w:r>
      <w:r w:rsidRPr="00B257DB">
        <w:rPr>
          <w:rFonts w:ascii="Calibri" w:hAnsi="Calibri" w:cs="Calibri"/>
          <w:iCs/>
          <w:color w:val="000000" w:themeColor="text1"/>
          <w:sz w:val="20"/>
        </w:rPr>
        <w:t xml:space="preserve"> </w:t>
      </w:r>
      <w:r w:rsidRPr="00B257DB">
        <w:rPr>
          <w:rFonts w:ascii="Calibri" w:hAnsi="Calibri" w:cs="Calibri"/>
          <w:i/>
          <w:iCs/>
          <w:color w:val="000000" w:themeColor="text1"/>
          <w:sz w:val="20"/>
        </w:rPr>
        <w:t>MS2014+</w:t>
      </w:r>
      <w:r w:rsidRPr="00B257DB">
        <w:rPr>
          <w:rFonts w:ascii="Calibri" w:hAnsi="Calibri" w:cs="Calibri"/>
          <w:iCs/>
          <w:color w:val="000000" w:themeColor="text1"/>
          <w:sz w:val="20"/>
        </w:rPr>
        <w:t xml:space="preserve"> (údaje k 24. 3. 2020)</w:t>
      </w:r>
      <w:r w:rsidR="00470B2F" w:rsidRPr="00B257DB">
        <w:rPr>
          <w:rFonts w:ascii="Calibri" w:hAnsi="Calibri" w:cs="Calibri"/>
          <w:iCs/>
          <w:color w:val="000000" w:themeColor="text1"/>
          <w:sz w:val="20"/>
        </w:rPr>
        <w:t>.</w:t>
      </w:r>
    </w:p>
    <w:p w14:paraId="72227129" w14:textId="30B055D5" w:rsidR="00334715" w:rsidRPr="00B257DB" w:rsidRDefault="00334715" w:rsidP="00B257DB">
      <w:pPr>
        <w:pStyle w:val="Titulek"/>
        <w:keepNext/>
        <w:spacing w:after="0"/>
        <w:ind w:left="369" w:hanging="369"/>
        <w:rPr>
          <w:rFonts w:ascii="Calibri" w:hAnsi="Calibri" w:cs="Calibri"/>
          <w:i w:val="0"/>
          <w:color w:val="000000" w:themeColor="text1"/>
          <w:sz w:val="20"/>
        </w:rPr>
      </w:pP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* </w:t>
      </w:r>
      <w:r w:rsidR="00B257DB">
        <w:rPr>
          <w:rFonts w:ascii="Calibri" w:hAnsi="Calibri" w:cs="Calibri"/>
          <w:i w:val="0"/>
          <w:color w:val="000000" w:themeColor="text1"/>
          <w:sz w:val="20"/>
        </w:rPr>
        <w:tab/>
      </w:r>
      <w:r w:rsidR="00EE69DC">
        <w:rPr>
          <w:rFonts w:ascii="Calibri" w:hAnsi="Calibri" w:cs="Calibri"/>
          <w:i w:val="0"/>
          <w:color w:val="000000" w:themeColor="text1"/>
          <w:sz w:val="20"/>
        </w:rPr>
        <w:t>Z</w:t>
      </w: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 toho 6 projektů zdravotnických zařízení v hodnotě 579</w:t>
      </w:r>
      <w:r w:rsidR="008D4D1A" w:rsidRPr="00B257DB">
        <w:rPr>
          <w:rFonts w:ascii="Calibri" w:hAnsi="Calibri" w:cs="Calibri"/>
          <w:i w:val="0"/>
          <w:color w:val="000000" w:themeColor="text1"/>
          <w:sz w:val="20"/>
        </w:rPr>
        <w:t>,1 mil.</w:t>
      </w: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 Kč</w:t>
      </w:r>
      <w:r w:rsidR="00470B2F" w:rsidRPr="00B257DB">
        <w:rPr>
          <w:rFonts w:ascii="Calibri" w:hAnsi="Calibri" w:cs="Calibri"/>
          <w:i w:val="0"/>
          <w:color w:val="000000" w:themeColor="text1"/>
          <w:sz w:val="20"/>
        </w:rPr>
        <w:t>.</w:t>
      </w:r>
    </w:p>
    <w:p w14:paraId="2E5C13C1" w14:textId="77D9A1CB" w:rsidR="00DD64FF" w:rsidRPr="00B257DB" w:rsidRDefault="00334715" w:rsidP="00B257DB">
      <w:pPr>
        <w:pStyle w:val="Titulek"/>
        <w:keepNext/>
        <w:spacing w:after="0"/>
        <w:ind w:left="369" w:hanging="369"/>
        <w:rPr>
          <w:rFonts w:ascii="Calibri" w:hAnsi="Calibri" w:cs="Calibri"/>
          <w:i w:val="0"/>
          <w:color w:val="000000" w:themeColor="text1"/>
          <w:sz w:val="20"/>
        </w:rPr>
      </w:pP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** </w:t>
      </w:r>
      <w:r w:rsidR="00B257DB">
        <w:rPr>
          <w:rFonts w:ascii="Calibri" w:hAnsi="Calibri" w:cs="Calibri"/>
          <w:i w:val="0"/>
          <w:color w:val="000000" w:themeColor="text1"/>
          <w:sz w:val="20"/>
        </w:rPr>
        <w:tab/>
      </w:r>
      <w:r w:rsidR="00EE69DC">
        <w:rPr>
          <w:rFonts w:ascii="Calibri" w:hAnsi="Calibri" w:cs="Calibri"/>
          <w:i w:val="0"/>
          <w:color w:val="000000" w:themeColor="text1"/>
          <w:sz w:val="20"/>
        </w:rPr>
        <w:t>Z</w:t>
      </w: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 toho 23 projektů zdravotnických zařízení v hodnotě 324</w:t>
      </w:r>
      <w:r w:rsidR="008D4D1A" w:rsidRPr="00B257DB">
        <w:rPr>
          <w:rFonts w:ascii="Calibri" w:hAnsi="Calibri" w:cs="Calibri"/>
          <w:i w:val="0"/>
          <w:color w:val="000000" w:themeColor="text1"/>
          <w:sz w:val="20"/>
        </w:rPr>
        <w:t>,1 mil.</w:t>
      </w: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 Kč</w:t>
      </w:r>
      <w:r w:rsidR="00470B2F" w:rsidRPr="00B257DB">
        <w:rPr>
          <w:rFonts w:ascii="Calibri" w:hAnsi="Calibri" w:cs="Calibri"/>
          <w:i w:val="0"/>
          <w:color w:val="000000" w:themeColor="text1"/>
          <w:sz w:val="20"/>
        </w:rPr>
        <w:t>.</w:t>
      </w: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 </w:t>
      </w:r>
    </w:p>
    <w:p w14:paraId="1D6E8F48" w14:textId="0F601C06" w:rsidR="00334715" w:rsidRPr="00B257DB" w:rsidRDefault="00DD64FF" w:rsidP="00B257DB">
      <w:pPr>
        <w:pStyle w:val="Titulek"/>
        <w:spacing w:after="0"/>
        <w:ind w:left="369" w:hanging="369"/>
        <w:rPr>
          <w:rFonts w:ascii="Calibri" w:hAnsi="Calibri" w:cs="Calibri"/>
          <w:i w:val="0"/>
          <w:color w:val="000000" w:themeColor="text1"/>
          <w:sz w:val="20"/>
        </w:rPr>
      </w:pP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*** </w:t>
      </w:r>
      <w:r w:rsidR="00B257DB">
        <w:rPr>
          <w:rFonts w:ascii="Calibri" w:hAnsi="Calibri" w:cs="Calibri"/>
          <w:i w:val="0"/>
          <w:color w:val="000000" w:themeColor="text1"/>
          <w:sz w:val="20"/>
        </w:rPr>
        <w:tab/>
      </w:r>
      <w:r w:rsidR="00EE69DC">
        <w:rPr>
          <w:rFonts w:ascii="Calibri" w:hAnsi="Calibri" w:cs="Calibri"/>
          <w:i w:val="0"/>
          <w:color w:val="000000" w:themeColor="text1"/>
          <w:sz w:val="20"/>
        </w:rPr>
        <w:t xml:space="preserve">Z toho </w:t>
      </w:r>
      <w:r w:rsidRPr="00B257DB">
        <w:rPr>
          <w:rFonts w:ascii="Calibri" w:hAnsi="Calibri" w:cs="Calibri"/>
          <w:i w:val="0"/>
          <w:color w:val="000000" w:themeColor="text1"/>
          <w:sz w:val="20"/>
        </w:rPr>
        <w:t xml:space="preserve">121 mil. Kč představovaly projekty </w:t>
      </w:r>
      <w:r w:rsidR="001A7DD5" w:rsidRPr="00B257DB">
        <w:rPr>
          <w:rFonts w:ascii="Calibri" w:hAnsi="Calibri" w:cs="Calibri"/>
          <w:i w:val="0"/>
          <w:color w:val="000000" w:themeColor="text1"/>
          <w:sz w:val="20"/>
        </w:rPr>
        <w:t>ústředních orgánů státní správy</w:t>
      </w:r>
      <w:r w:rsidRPr="00B257DB">
        <w:rPr>
          <w:rFonts w:ascii="Calibri" w:hAnsi="Calibri" w:cs="Calibri"/>
          <w:i w:val="0"/>
          <w:color w:val="000000" w:themeColor="text1"/>
          <w:sz w:val="20"/>
        </w:rPr>
        <w:t>, z čehož 112 mil. Kč připadlo na projekty NÚKIB</w:t>
      </w:r>
      <w:r w:rsidR="00470B2F" w:rsidRPr="00B257DB">
        <w:rPr>
          <w:rFonts w:ascii="Calibri" w:hAnsi="Calibri" w:cs="Calibri"/>
          <w:i w:val="0"/>
          <w:color w:val="000000" w:themeColor="text1"/>
          <w:sz w:val="20"/>
        </w:rPr>
        <w:t>.</w:t>
      </w:r>
    </w:p>
    <w:p w14:paraId="357B9187" w14:textId="24C3AE52" w:rsidR="00015A3F" w:rsidRPr="001C0072" w:rsidRDefault="00D3646B" w:rsidP="007C0F78">
      <w:pPr>
        <w:spacing w:before="120" w:after="120" w:line="240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NKÚ považuje za </w:t>
      </w:r>
      <w:r w:rsidR="00C4385B" w:rsidRPr="001C0072">
        <w:rPr>
          <w:rFonts w:ascii="Calibri" w:hAnsi="Calibri" w:cs="Calibri"/>
        </w:rPr>
        <w:t>účelné</w:t>
      </w:r>
      <w:r w:rsidRPr="001C0072">
        <w:rPr>
          <w:rFonts w:ascii="Calibri" w:hAnsi="Calibri" w:cs="Calibri"/>
        </w:rPr>
        <w:t xml:space="preserve">, že došlo </w:t>
      </w:r>
      <w:r w:rsidR="00D26FF7" w:rsidRPr="001C0072">
        <w:rPr>
          <w:rFonts w:ascii="Calibri" w:hAnsi="Calibri" w:cs="Calibri"/>
        </w:rPr>
        <w:t xml:space="preserve">k </w:t>
      </w:r>
      <w:r w:rsidR="004A2D79" w:rsidRPr="001C0072">
        <w:rPr>
          <w:rFonts w:ascii="Calibri" w:hAnsi="Calibri" w:cs="Calibri"/>
        </w:rPr>
        <w:t>úpravě podporované</w:t>
      </w:r>
      <w:r w:rsidRPr="001C0072">
        <w:rPr>
          <w:rFonts w:ascii="Calibri" w:hAnsi="Calibri" w:cs="Calibri"/>
        </w:rPr>
        <w:t xml:space="preserve"> aktivit</w:t>
      </w:r>
      <w:r w:rsidR="004A2D79" w:rsidRPr="001C0072">
        <w:rPr>
          <w:rFonts w:ascii="Calibri" w:hAnsi="Calibri" w:cs="Calibri"/>
        </w:rPr>
        <w:t>y</w:t>
      </w:r>
      <w:r w:rsidRPr="001C0072">
        <w:rPr>
          <w:rFonts w:ascii="Calibri" w:hAnsi="Calibri" w:cs="Calibri"/>
        </w:rPr>
        <w:t>, po které mohli oprávnění žadatelé čerpat prostředky z Výzvy č. 10 na zajištění KB</w:t>
      </w:r>
      <w:r w:rsidR="004A2D79" w:rsidRPr="001C0072">
        <w:rPr>
          <w:rFonts w:ascii="Calibri" w:hAnsi="Calibri" w:cs="Calibri"/>
        </w:rPr>
        <w:t xml:space="preserve"> nejen KII a VIS</w:t>
      </w:r>
      <w:r w:rsidR="0079293D" w:rsidRPr="001C0072">
        <w:rPr>
          <w:rFonts w:ascii="Calibri" w:hAnsi="Calibri" w:cs="Calibri"/>
        </w:rPr>
        <w:t xml:space="preserve">, ale i </w:t>
      </w:r>
      <w:r w:rsidRPr="001C0072">
        <w:rPr>
          <w:rFonts w:ascii="Calibri" w:hAnsi="Calibri" w:cs="Calibri"/>
        </w:rPr>
        <w:t>ISZS</w:t>
      </w:r>
      <w:r w:rsidR="0079293D" w:rsidRPr="001C0072">
        <w:rPr>
          <w:rFonts w:ascii="Calibri" w:hAnsi="Calibri" w:cs="Calibri"/>
        </w:rPr>
        <w:t xml:space="preserve"> a </w:t>
      </w:r>
      <w:r w:rsidR="00D26FF7" w:rsidRPr="001C0072">
        <w:rPr>
          <w:rFonts w:ascii="Calibri" w:hAnsi="Calibri" w:cs="Calibri"/>
        </w:rPr>
        <w:t xml:space="preserve">dalších </w:t>
      </w:r>
      <w:r w:rsidR="005A14D2">
        <w:rPr>
          <w:rFonts w:ascii="Calibri" w:hAnsi="Calibri" w:cs="Calibri"/>
        </w:rPr>
        <w:t>IS a </w:t>
      </w:r>
      <w:r w:rsidRPr="001C0072">
        <w:rPr>
          <w:rFonts w:ascii="Calibri" w:hAnsi="Calibri" w:cs="Calibri"/>
        </w:rPr>
        <w:t>KS</w:t>
      </w:r>
      <w:r w:rsidR="0079293D" w:rsidRPr="001C0072">
        <w:rPr>
          <w:rFonts w:ascii="Calibri" w:hAnsi="Calibri" w:cs="Calibri"/>
        </w:rPr>
        <w:t xml:space="preserve">, které nespadají pod KII, </w:t>
      </w:r>
      <w:r w:rsidR="00EE69DC">
        <w:rPr>
          <w:rFonts w:ascii="Calibri" w:hAnsi="Calibri" w:cs="Calibri"/>
        </w:rPr>
        <w:t xml:space="preserve">příp. </w:t>
      </w:r>
      <w:r w:rsidR="0079293D" w:rsidRPr="001C0072">
        <w:rPr>
          <w:rFonts w:ascii="Calibri" w:hAnsi="Calibri" w:cs="Calibri"/>
        </w:rPr>
        <w:t>VIS</w:t>
      </w:r>
      <w:r w:rsidRPr="001C0072">
        <w:rPr>
          <w:rFonts w:ascii="Calibri" w:hAnsi="Calibri" w:cs="Calibri"/>
        </w:rPr>
        <w:t>. Podmínkou bylo dodržení souladu se standardy KB podle ZKB. V</w:t>
      </w:r>
      <w:r w:rsidR="0069680D" w:rsidRPr="001C0072">
        <w:rPr>
          <w:rFonts w:ascii="Calibri" w:hAnsi="Calibri" w:cs="Calibri"/>
        </w:rPr>
        <w:t xml:space="preserve">elká část schválených projektů </w:t>
      </w:r>
      <w:r w:rsidR="00AD5F24" w:rsidRPr="001C0072">
        <w:rPr>
          <w:rFonts w:ascii="Calibri" w:hAnsi="Calibri" w:cs="Calibri"/>
        </w:rPr>
        <w:t xml:space="preserve">tak </w:t>
      </w:r>
      <w:r w:rsidR="0069680D" w:rsidRPr="001C0072">
        <w:rPr>
          <w:rFonts w:ascii="Calibri" w:hAnsi="Calibri" w:cs="Calibri"/>
        </w:rPr>
        <w:t xml:space="preserve">byla podána zdravotnickými zařízeními, která na základě </w:t>
      </w:r>
      <w:r w:rsidR="00CA6292" w:rsidRPr="001C0072">
        <w:rPr>
          <w:rFonts w:ascii="Calibri" w:hAnsi="Calibri" w:cs="Calibri"/>
        </w:rPr>
        <w:t xml:space="preserve">platných </w:t>
      </w:r>
      <w:r w:rsidR="002D789E" w:rsidRPr="001C0072">
        <w:rPr>
          <w:rFonts w:ascii="Calibri" w:hAnsi="Calibri" w:cs="Calibri"/>
        </w:rPr>
        <w:t>kritérií</w:t>
      </w:r>
      <w:r w:rsidR="00EF6683" w:rsidRPr="001C0072">
        <w:rPr>
          <w:rFonts w:ascii="Calibri" w:hAnsi="Calibri" w:cs="Calibri"/>
        </w:rPr>
        <w:t xml:space="preserve"> ve vyhlášce č. 437/2017 Sb.</w:t>
      </w:r>
      <w:r w:rsidR="002D789E" w:rsidRPr="001C0072">
        <w:rPr>
          <w:rFonts w:ascii="Calibri" w:hAnsi="Calibri" w:cs="Calibri"/>
        </w:rPr>
        <w:t xml:space="preserve"> </w:t>
      </w:r>
      <w:r w:rsidR="0069680D" w:rsidRPr="001C0072">
        <w:rPr>
          <w:rFonts w:ascii="Calibri" w:hAnsi="Calibri" w:cs="Calibri"/>
        </w:rPr>
        <w:t>nespadají mezi subjekty spravující KII</w:t>
      </w:r>
      <w:r w:rsidR="00AD5F24" w:rsidRPr="001C0072">
        <w:rPr>
          <w:rFonts w:ascii="Calibri" w:hAnsi="Calibri" w:cs="Calibri"/>
        </w:rPr>
        <w:t xml:space="preserve">, </w:t>
      </w:r>
      <w:r w:rsidR="0069680D" w:rsidRPr="001C0072">
        <w:rPr>
          <w:rFonts w:ascii="Calibri" w:hAnsi="Calibri" w:cs="Calibri"/>
        </w:rPr>
        <w:t>VIS</w:t>
      </w:r>
      <w:r w:rsidR="00AD5F24" w:rsidRPr="001C0072">
        <w:rPr>
          <w:rFonts w:ascii="Calibri" w:hAnsi="Calibri" w:cs="Calibri"/>
        </w:rPr>
        <w:t xml:space="preserve"> nebo </w:t>
      </w:r>
      <w:r w:rsidR="00587DE4" w:rsidRPr="001C0072">
        <w:rPr>
          <w:rFonts w:ascii="Calibri" w:hAnsi="Calibri" w:cs="Calibri"/>
        </w:rPr>
        <w:t>ISZS</w:t>
      </w:r>
      <w:r w:rsidR="0069680D" w:rsidRPr="001C0072">
        <w:rPr>
          <w:rFonts w:ascii="Calibri" w:hAnsi="Calibri" w:cs="Calibri"/>
        </w:rPr>
        <w:t xml:space="preserve">. </w:t>
      </w:r>
      <w:r w:rsidR="00587DE4" w:rsidRPr="001C0072">
        <w:rPr>
          <w:rFonts w:ascii="Calibri" w:hAnsi="Calibri" w:cs="Calibri"/>
          <w:szCs w:val="24"/>
        </w:rPr>
        <w:t xml:space="preserve">Kritéria pro určení </w:t>
      </w:r>
      <w:r w:rsidR="00587DE4" w:rsidRPr="001C0072">
        <w:rPr>
          <w:rFonts w:ascii="Calibri" w:hAnsi="Calibri" w:cs="Calibri"/>
        </w:rPr>
        <w:t>ISZS v odvětví zdravotnictví uvádí následující tabulka</w:t>
      </w:r>
      <w:r w:rsidR="005642F5">
        <w:rPr>
          <w:rFonts w:ascii="Calibri" w:hAnsi="Calibri" w:cs="Calibri"/>
        </w:rPr>
        <w:t xml:space="preserve"> č. 3</w:t>
      </w:r>
      <w:r w:rsidR="00587DE4" w:rsidRPr="001C0072">
        <w:rPr>
          <w:rFonts w:ascii="Calibri" w:hAnsi="Calibri" w:cs="Calibri"/>
        </w:rPr>
        <w:t>.</w:t>
      </w:r>
      <w:r w:rsidR="005642F5">
        <w:rPr>
          <w:rFonts w:ascii="Calibri" w:hAnsi="Calibri" w:cs="Calibri"/>
        </w:rPr>
        <w:t xml:space="preserve"> </w:t>
      </w:r>
      <w:r w:rsidR="005642F5" w:rsidRPr="001C0072">
        <w:rPr>
          <w:rFonts w:ascii="Calibri" w:hAnsi="Calibri" w:cs="Calibri"/>
        </w:rPr>
        <w:t xml:space="preserve">Podle těchto kritérií je v ČR pouze šestnáct zdravotnických zařízení, </w:t>
      </w:r>
      <w:r w:rsidR="005642F5" w:rsidRPr="001C0072">
        <w:rPr>
          <w:rFonts w:ascii="Calibri" w:hAnsi="Calibri" w:cs="Calibri"/>
          <w:szCs w:val="24"/>
        </w:rPr>
        <w:t>na které se vztahují povinnosti vyplývající ze zákona č. 181/2014 Sb.</w:t>
      </w:r>
      <w:r w:rsidR="005642F5">
        <w:rPr>
          <w:rFonts w:ascii="Calibri" w:hAnsi="Calibri" w:cs="Calibri"/>
          <w:szCs w:val="24"/>
        </w:rPr>
        <w:t xml:space="preserve"> (ve všech případech se jedná o </w:t>
      </w:r>
      <w:r w:rsidR="005642F5" w:rsidRPr="001C0072">
        <w:rPr>
          <w:rFonts w:ascii="Calibri" w:hAnsi="Calibri" w:cs="Calibri"/>
          <w:szCs w:val="24"/>
        </w:rPr>
        <w:t>zařízení spravující ISZS).</w:t>
      </w:r>
      <w:r w:rsidR="005642F5">
        <w:rPr>
          <w:rFonts w:ascii="Calibri" w:hAnsi="Calibri" w:cs="Calibri"/>
          <w:szCs w:val="24"/>
        </w:rPr>
        <w:t xml:space="preserve"> </w:t>
      </w:r>
      <w:r w:rsidR="005642F5" w:rsidRPr="005642F5">
        <w:rPr>
          <w:rFonts w:ascii="Calibri" w:hAnsi="Calibri" w:cs="Calibri"/>
          <w:szCs w:val="24"/>
        </w:rPr>
        <w:t>Kybernetické útoky na zdravotnická zařízení z přelomu let 2019 a 2020 ukázaly, že ač se nejednalo o povinné subjekty podle ZKB, měla by série kybernetických útoků na tato zařízení významný dopad na funkčnost zdravotnického systému ČR.</w:t>
      </w:r>
    </w:p>
    <w:p w14:paraId="608AAFBF" w14:textId="2108896D" w:rsidR="009D11B7" w:rsidRPr="00FA6DB2" w:rsidRDefault="009D11B7" w:rsidP="009C058B">
      <w:pPr>
        <w:pStyle w:val="Titulek"/>
        <w:keepNext/>
        <w:spacing w:after="120"/>
        <w:rPr>
          <w:rFonts w:ascii="Calibri" w:hAnsi="Calibri" w:cs="Calibri"/>
          <w:b/>
          <w:i w:val="0"/>
          <w:color w:val="000000" w:themeColor="text1"/>
          <w:sz w:val="24"/>
        </w:rPr>
      </w:pPr>
      <w:r w:rsidRPr="00FA6DB2">
        <w:rPr>
          <w:rFonts w:ascii="Calibri" w:hAnsi="Calibri" w:cs="Calibri"/>
          <w:b/>
          <w:i w:val="0"/>
          <w:color w:val="000000" w:themeColor="text1"/>
          <w:sz w:val="24"/>
        </w:rPr>
        <w:lastRenderedPageBreak/>
        <w:t>Tabulka</w:t>
      </w:r>
      <w:r w:rsidR="004E6E2D" w:rsidRPr="00FA6DB2">
        <w:rPr>
          <w:rFonts w:ascii="Calibri" w:hAnsi="Calibri" w:cs="Calibri"/>
          <w:b/>
          <w:i w:val="0"/>
          <w:color w:val="000000" w:themeColor="text1"/>
          <w:sz w:val="24"/>
        </w:rPr>
        <w:t xml:space="preserve"> č. </w:t>
      </w:r>
      <w:r w:rsidR="0014727D" w:rsidRPr="00FA6DB2">
        <w:rPr>
          <w:rFonts w:ascii="Calibri" w:hAnsi="Calibri" w:cs="Calibri"/>
          <w:b/>
          <w:i w:val="0"/>
          <w:color w:val="000000" w:themeColor="text1"/>
          <w:sz w:val="24"/>
        </w:rPr>
        <w:fldChar w:fldCharType="begin"/>
      </w:r>
      <w:r w:rsidR="0014727D" w:rsidRPr="00FA6DB2">
        <w:rPr>
          <w:rFonts w:ascii="Calibri" w:hAnsi="Calibri" w:cs="Calibri"/>
          <w:b/>
          <w:i w:val="0"/>
          <w:color w:val="000000" w:themeColor="text1"/>
          <w:sz w:val="24"/>
        </w:rPr>
        <w:instrText xml:space="preserve"> SEQ Tabulka \* ARABIC </w:instrText>
      </w:r>
      <w:r w:rsidR="0014727D" w:rsidRPr="00FA6DB2">
        <w:rPr>
          <w:rFonts w:ascii="Calibri" w:hAnsi="Calibri" w:cs="Calibri"/>
          <w:b/>
          <w:i w:val="0"/>
          <w:color w:val="000000" w:themeColor="text1"/>
          <w:sz w:val="24"/>
        </w:rPr>
        <w:fldChar w:fldCharType="separate"/>
      </w:r>
      <w:r w:rsidR="00C46889">
        <w:rPr>
          <w:rFonts w:ascii="Calibri" w:hAnsi="Calibri" w:cs="Calibri"/>
          <w:b/>
          <w:i w:val="0"/>
          <w:noProof/>
          <w:color w:val="000000" w:themeColor="text1"/>
          <w:sz w:val="24"/>
        </w:rPr>
        <w:t>3</w:t>
      </w:r>
      <w:r w:rsidR="0014727D" w:rsidRPr="00FA6DB2">
        <w:rPr>
          <w:rFonts w:ascii="Calibri" w:hAnsi="Calibri" w:cs="Calibri"/>
          <w:b/>
          <w:i w:val="0"/>
          <w:noProof/>
          <w:color w:val="000000" w:themeColor="text1"/>
          <w:sz w:val="24"/>
        </w:rPr>
        <w:fldChar w:fldCharType="end"/>
      </w:r>
      <w:r w:rsidR="004E6E2D" w:rsidRPr="00FA6DB2">
        <w:rPr>
          <w:rFonts w:ascii="Calibri" w:hAnsi="Calibri" w:cs="Calibri"/>
          <w:b/>
          <w:i w:val="0"/>
          <w:noProof/>
          <w:color w:val="000000" w:themeColor="text1"/>
          <w:sz w:val="24"/>
        </w:rPr>
        <w:t>:</w:t>
      </w:r>
      <w:r w:rsidRPr="00FA6DB2">
        <w:rPr>
          <w:rFonts w:ascii="Calibri" w:hAnsi="Calibri" w:cs="Calibri"/>
          <w:b/>
          <w:i w:val="0"/>
          <w:color w:val="000000" w:themeColor="text1"/>
          <w:sz w:val="24"/>
        </w:rPr>
        <w:t xml:space="preserve"> Kritéria pro určení ISZS v odvětví zdravotnictví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194"/>
        <w:gridCol w:w="1423"/>
        <w:gridCol w:w="5376"/>
      </w:tblGrid>
      <w:tr w:rsidR="009D11B7" w:rsidRPr="00FA6DB2" w14:paraId="677DC3F1" w14:textId="77777777" w:rsidTr="00FA6DB2">
        <w:trPr>
          <w:trHeight w:val="283"/>
        </w:trPr>
        <w:tc>
          <w:tcPr>
            <w:tcW w:w="1980" w:type="pct"/>
            <w:gridSpan w:val="3"/>
            <w:shd w:val="clear" w:color="auto" w:fill="E5F1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52C12" w14:textId="77777777" w:rsidR="009D11B7" w:rsidRPr="00FA6DB2" w:rsidRDefault="009D11B7" w:rsidP="009C058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  <w:t>Odvětvová kritéria</w:t>
            </w:r>
          </w:p>
        </w:tc>
        <w:tc>
          <w:tcPr>
            <w:tcW w:w="3020" w:type="pct"/>
            <w:vMerge w:val="restart"/>
            <w:shd w:val="clear" w:color="auto" w:fill="E5F1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887C7" w14:textId="77777777" w:rsidR="009D11B7" w:rsidRPr="00FA6DB2" w:rsidRDefault="009D11B7" w:rsidP="009C058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  <w:t>Dopadová kritéria</w:t>
            </w:r>
          </w:p>
        </w:tc>
      </w:tr>
      <w:tr w:rsidR="009C31FC" w:rsidRPr="00FA6DB2" w14:paraId="76A6287B" w14:textId="77777777" w:rsidTr="00FA6DB2">
        <w:trPr>
          <w:trHeight w:val="283"/>
        </w:trPr>
        <w:tc>
          <w:tcPr>
            <w:tcW w:w="582" w:type="pct"/>
            <w:shd w:val="clear" w:color="auto" w:fill="E5F1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2EEE8" w14:textId="77777777" w:rsidR="009D11B7" w:rsidRPr="00FA6DB2" w:rsidRDefault="009D11B7" w:rsidP="009C058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  <w:t>Druh služby</w:t>
            </w:r>
          </w:p>
        </w:tc>
        <w:tc>
          <w:tcPr>
            <w:tcW w:w="583" w:type="pct"/>
            <w:shd w:val="clear" w:color="auto" w:fill="E5F1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42BDF" w14:textId="77777777" w:rsidR="009D11B7" w:rsidRPr="00FA6DB2" w:rsidRDefault="009D11B7" w:rsidP="009C058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  <w:t>Druh subjektu</w:t>
            </w:r>
          </w:p>
        </w:tc>
        <w:tc>
          <w:tcPr>
            <w:tcW w:w="814" w:type="pct"/>
            <w:shd w:val="clear" w:color="auto" w:fill="E5F1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3F1F0" w14:textId="77777777" w:rsidR="009D11B7" w:rsidRPr="00FA6DB2" w:rsidRDefault="009D11B7" w:rsidP="009C058B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  <w:t>Speciální kritéria druhu subjektu</w:t>
            </w:r>
          </w:p>
        </w:tc>
        <w:tc>
          <w:tcPr>
            <w:tcW w:w="3020" w:type="pct"/>
            <w:vMerge/>
            <w:shd w:val="clear" w:color="auto" w:fill="E5F1FF"/>
            <w:vAlign w:val="center"/>
            <w:hideMark/>
          </w:tcPr>
          <w:p w14:paraId="45555B8E" w14:textId="77777777" w:rsidR="009D11B7" w:rsidRPr="00FA6DB2" w:rsidRDefault="009D11B7" w:rsidP="009C058B">
            <w:pPr>
              <w:keepNext/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cs-CZ"/>
              </w:rPr>
            </w:pPr>
          </w:p>
        </w:tc>
      </w:tr>
      <w:tr w:rsidR="008F6942" w:rsidRPr="00FA6DB2" w14:paraId="5D8521D5" w14:textId="77777777" w:rsidTr="00FA6DB2">
        <w:trPr>
          <w:trHeight w:val="283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BE4FA" w14:textId="77777777" w:rsidR="009D11B7" w:rsidRPr="00FA6DB2" w:rsidRDefault="009D11B7" w:rsidP="009C058B">
            <w:pPr>
              <w:keepNext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5.1. Poskytování zdravotních služeb</w:t>
            </w:r>
          </w:p>
        </w:tc>
        <w:tc>
          <w:tcPr>
            <w:tcW w:w="58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C330C" w14:textId="77777777" w:rsidR="009D11B7" w:rsidRPr="00FA6DB2" w:rsidRDefault="009D11B7" w:rsidP="009C058B">
            <w:pPr>
              <w:keepNext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Poskytovatel zdravotních služeb podle zákona o</w:t>
            </w:r>
            <w:r w:rsidR="009C058B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zdravotních službách</w:t>
            </w:r>
          </w:p>
        </w:tc>
        <w:tc>
          <w:tcPr>
            <w:tcW w:w="81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F203D" w14:textId="23307E1E" w:rsidR="009D11B7" w:rsidRPr="00FA6DB2" w:rsidRDefault="009D11B7" w:rsidP="00BC773A">
            <w:pPr>
              <w:keepNext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</w:pPr>
            <w:r w:rsidRPr="00BC773A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 xml:space="preserve">a) </w:t>
            </w:r>
            <w:r w:rsidR="00BC773A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ce</w:t>
            </w:r>
            <w:r w:rsidRPr="00BC773A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lkový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 xml:space="preserve"> počet akutních lůžek v</w:t>
            </w:r>
            <w:r w:rsidR="009C058B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posledních třech kalendářních letech nejméně 800 nebo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br/>
              <w:t>b) statut centra vysoce specializované traumatologické péče podle zákona o</w:t>
            </w:r>
            <w:r w:rsidR="009C058B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zdravotních službách</w:t>
            </w:r>
          </w:p>
        </w:tc>
        <w:tc>
          <w:tcPr>
            <w:tcW w:w="302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48593" w14:textId="4C44F979" w:rsidR="009D11B7" w:rsidRPr="00FA6DB2" w:rsidRDefault="009D11B7" w:rsidP="009C058B">
            <w:pPr>
              <w:keepNext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</w:pP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Dopad kybernetického bezpečnostního incidentu v informačním systému nebo síti elektronických komunikací, na jejichž fungování je závislé poskytování služby, může způsobit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br/>
              <w:t>I. závažné omezení druhu služby postihující více než 50</w:t>
            </w:r>
            <w:r w:rsidR="000579FC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000 osob,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br/>
              <w:t>II. závažné omezení či narušení jiné základní služby nebo omezení či narušení provozu prvku kritické infrastruktury,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br/>
              <w:t>III. nedostupnost druhu služby pro více než 1</w:t>
            </w:r>
            <w:r w:rsidR="000579FC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600 osob, která není nahraditelná jiným způsobem bez vynaložení nepřiměřených nákladů,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br/>
              <w:t>IV. oběti na životech s mezní hodnotou více než 100 mrtvých nebo 1</w:t>
            </w:r>
            <w:r w:rsidR="000579FC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000 zraněných osob vyžadujících lékařské ošetření,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br/>
              <w:t>V. narušení veřejné bezpečnosti na významné části správního obvodu obce s rozšířenou působností, které by mohlo vyžadovat provedení záchranných a likvidačních prací složkami integrovaného záchranného systému, nebo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br/>
              <w:t>VI. kompromitaci citlivých osobních údajů o více než 200</w:t>
            </w:r>
            <w:r w:rsidR="000579FC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000</w:t>
            </w:r>
            <w:r w:rsidR="009C058B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 </w:t>
            </w:r>
            <w:r w:rsidRPr="00FA6DB2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cs-CZ"/>
              </w:rPr>
              <w:t>osobách.</w:t>
            </w:r>
          </w:p>
        </w:tc>
      </w:tr>
    </w:tbl>
    <w:p w14:paraId="576FC284" w14:textId="44EF9C7E" w:rsidR="00A96C45" w:rsidRDefault="009D11B7" w:rsidP="00D212BE">
      <w:pPr>
        <w:spacing w:before="120" w:after="120" w:line="240" w:lineRule="auto"/>
        <w:rPr>
          <w:rFonts w:ascii="Calibri" w:hAnsi="Calibri" w:cs="Calibri"/>
          <w:sz w:val="20"/>
          <w:szCs w:val="20"/>
        </w:rPr>
      </w:pPr>
      <w:r w:rsidRPr="00470B2F">
        <w:rPr>
          <w:rFonts w:ascii="Calibri" w:hAnsi="Calibri" w:cs="Calibri"/>
          <w:b/>
          <w:sz w:val="20"/>
          <w:szCs w:val="20"/>
        </w:rPr>
        <w:t>Zdroj:</w:t>
      </w:r>
      <w:r w:rsidRPr="001C0072">
        <w:rPr>
          <w:rFonts w:ascii="Calibri" w:hAnsi="Calibri" w:cs="Calibri"/>
          <w:sz w:val="20"/>
          <w:szCs w:val="20"/>
        </w:rPr>
        <w:t xml:space="preserve"> </w:t>
      </w:r>
      <w:r w:rsidR="00514FE3">
        <w:rPr>
          <w:rFonts w:ascii="Calibri" w:hAnsi="Calibri" w:cs="Calibri"/>
          <w:sz w:val="20"/>
          <w:szCs w:val="20"/>
        </w:rPr>
        <w:t>převzato z </w:t>
      </w:r>
      <w:r w:rsidRPr="001C0072">
        <w:rPr>
          <w:rFonts w:ascii="Calibri" w:hAnsi="Calibri" w:cs="Calibri"/>
          <w:sz w:val="20"/>
          <w:szCs w:val="20"/>
        </w:rPr>
        <w:t>vyhlášk</w:t>
      </w:r>
      <w:r w:rsidR="00514FE3">
        <w:rPr>
          <w:rFonts w:ascii="Calibri" w:hAnsi="Calibri" w:cs="Calibri"/>
          <w:sz w:val="20"/>
          <w:szCs w:val="20"/>
        </w:rPr>
        <w:t>y</w:t>
      </w:r>
      <w:r w:rsidRPr="001C0072">
        <w:rPr>
          <w:rFonts w:ascii="Calibri" w:hAnsi="Calibri" w:cs="Calibri"/>
          <w:sz w:val="20"/>
          <w:szCs w:val="20"/>
        </w:rPr>
        <w:t xml:space="preserve"> č. 437/2017 Sb.</w:t>
      </w:r>
    </w:p>
    <w:p w14:paraId="75862F7F" w14:textId="77777777" w:rsidR="005A6E25" w:rsidRPr="001C0072" w:rsidRDefault="005A6E25" w:rsidP="00D212BE">
      <w:pPr>
        <w:spacing w:before="120" w:after="120" w:line="240" w:lineRule="auto"/>
        <w:rPr>
          <w:rFonts w:ascii="Calibri" w:hAnsi="Calibri" w:cs="Calibri"/>
          <w:szCs w:val="24"/>
        </w:rPr>
      </w:pPr>
      <w:r w:rsidRPr="001C0072">
        <w:rPr>
          <w:rFonts w:ascii="Calibri" w:hAnsi="Calibri" w:cs="Calibri"/>
          <w:szCs w:val="24"/>
        </w:rPr>
        <w:t>NKÚ v kontrole také prověřoval následující tři projekty:</w:t>
      </w:r>
    </w:p>
    <w:p w14:paraId="37D90A68" w14:textId="762FE0BB" w:rsidR="005A6E25" w:rsidRPr="001C0072" w:rsidRDefault="005A6E25" w:rsidP="009C058B">
      <w:pPr>
        <w:pStyle w:val="Odstavecseseznamem"/>
        <w:numPr>
          <w:ilvl w:val="0"/>
          <w:numId w:val="28"/>
        </w:numPr>
        <w:spacing w:before="120" w:after="120" w:line="240" w:lineRule="auto"/>
        <w:ind w:left="284" w:hanging="284"/>
        <w:rPr>
          <w:rFonts w:ascii="Calibri" w:hAnsi="Calibri" w:cs="Calibri"/>
          <w:szCs w:val="24"/>
        </w:rPr>
      </w:pPr>
      <w:r w:rsidRPr="00B71060">
        <w:rPr>
          <w:rFonts w:ascii="Calibri" w:hAnsi="Calibri" w:cs="Calibri"/>
          <w:i/>
          <w:szCs w:val="24"/>
        </w:rPr>
        <w:t>Ochrana vnějšího perimetru</w:t>
      </w:r>
      <w:r w:rsidR="00BD7711" w:rsidRPr="001C0072">
        <w:rPr>
          <w:rFonts w:ascii="Calibri" w:hAnsi="Calibri" w:cs="Calibri"/>
          <w:szCs w:val="24"/>
        </w:rPr>
        <w:t xml:space="preserve"> (NÚKIB)</w:t>
      </w:r>
      <w:r w:rsidR="0088273A" w:rsidRPr="001C0072">
        <w:rPr>
          <w:rFonts w:ascii="Calibri" w:hAnsi="Calibri" w:cs="Calibri"/>
          <w:szCs w:val="24"/>
        </w:rPr>
        <w:t xml:space="preserve"> – prověřována byla hospodárnost </w:t>
      </w:r>
      <w:r w:rsidR="00552B3E" w:rsidRPr="001C0072">
        <w:rPr>
          <w:rFonts w:ascii="Calibri" w:hAnsi="Calibri" w:cs="Calibri"/>
          <w:szCs w:val="24"/>
        </w:rPr>
        <w:t xml:space="preserve">a účelnost </w:t>
      </w:r>
      <w:r w:rsidR="0088273A" w:rsidRPr="001C0072">
        <w:rPr>
          <w:rFonts w:ascii="Calibri" w:hAnsi="Calibri" w:cs="Calibri"/>
          <w:szCs w:val="24"/>
        </w:rPr>
        <w:t>vynaložených prostředků</w:t>
      </w:r>
      <w:r w:rsidR="000579FC">
        <w:rPr>
          <w:rFonts w:ascii="Calibri" w:hAnsi="Calibri" w:cs="Calibri"/>
          <w:szCs w:val="24"/>
        </w:rPr>
        <w:t>,</w:t>
      </w:r>
      <w:r w:rsidR="0088273A" w:rsidRPr="001C0072">
        <w:rPr>
          <w:rFonts w:ascii="Calibri" w:hAnsi="Calibri" w:cs="Calibri"/>
          <w:szCs w:val="24"/>
        </w:rPr>
        <w:t xml:space="preserve"> </w:t>
      </w:r>
    </w:p>
    <w:p w14:paraId="1C710795" w14:textId="10C5706F" w:rsidR="005A6E25" w:rsidRPr="001C0072" w:rsidRDefault="005A6E25" w:rsidP="009C058B">
      <w:pPr>
        <w:pStyle w:val="Odstavecseseznamem"/>
        <w:numPr>
          <w:ilvl w:val="0"/>
          <w:numId w:val="28"/>
        </w:numPr>
        <w:spacing w:before="120" w:after="120" w:line="240" w:lineRule="auto"/>
        <w:ind w:left="284" w:hanging="284"/>
        <w:rPr>
          <w:rFonts w:ascii="Calibri" w:hAnsi="Calibri" w:cs="Calibri"/>
          <w:szCs w:val="24"/>
        </w:rPr>
      </w:pPr>
      <w:r w:rsidRPr="00B71060">
        <w:rPr>
          <w:rFonts w:ascii="Calibri" w:hAnsi="Calibri" w:cs="Calibri"/>
          <w:i/>
          <w:szCs w:val="24"/>
        </w:rPr>
        <w:t>Systém detekce kybernetických bezpečnostních incidentů ve vybraných informačních systémech veřejné správy</w:t>
      </w:r>
      <w:r w:rsidR="00BD7711" w:rsidRPr="001C0072">
        <w:rPr>
          <w:rFonts w:ascii="Calibri" w:hAnsi="Calibri" w:cs="Calibri"/>
          <w:szCs w:val="24"/>
        </w:rPr>
        <w:t xml:space="preserve"> (NÚKIB)</w:t>
      </w:r>
      <w:r w:rsidR="0088273A" w:rsidRPr="001C0072">
        <w:rPr>
          <w:rFonts w:ascii="Calibri" w:hAnsi="Calibri" w:cs="Calibri"/>
          <w:szCs w:val="24"/>
        </w:rPr>
        <w:t xml:space="preserve"> – prověřována byla hospodárnost </w:t>
      </w:r>
      <w:r w:rsidR="00552B3E" w:rsidRPr="001C0072">
        <w:rPr>
          <w:rFonts w:ascii="Calibri" w:hAnsi="Calibri" w:cs="Calibri"/>
          <w:szCs w:val="24"/>
        </w:rPr>
        <w:t xml:space="preserve">a účelnost </w:t>
      </w:r>
      <w:r w:rsidR="0088273A" w:rsidRPr="001C0072">
        <w:rPr>
          <w:rFonts w:ascii="Calibri" w:hAnsi="Calibri" w:cs="Calibri"/>
          <w:szCs w:val="24"/>
        </w:rPr>
        <w:t>vynalož</w:t>
      </w:r>
      <w:r w:rsidR="00552B3E">
        <w:rPr>
          <w:rFonts w:ascii="Calibri" w:hAnsi="Calibri" w:cs="Calibri"/>
          <w:szCs w:val="24"/>
        </w:rPr>
        <w:t>ených prostředků</w:t>
      </w:r>
      <w:r w:rsidR="000579FC">
        <w:rPr>
          <w:rFonts w:ascii="Calibri" w:hAnsi="Calibri" w:cs="Calibri"/>
          <w:szCs w:val="24"/>
        </w:rPr>
        <w:t>,</w:t>
      </w:r>
    </w:p>
    <w:p w14:paraId="373CA3C4" w14:textId="538F5961" w:rsidR="005A6E25" w:rsidRPr="001C0072" w:rsidRDefault="00F32DAA" w:rsidP="009C058B">
      <w:pPr>
        <w:pStyle w:val="Odstavecseseznamem"/>
        <w:numPr>
          <w:ilvl w:val="0"/>
          <w:numId w:val="28"/>
        </w:numPr>
        <w:spacing w:before="120" w:after="120" w:line="240" w:lineRule="auto"/>
        <w:ind w:left="284" w:hanging="284"/>
        <w:rPr>
          <w:rFonts w:ascii="Calibri" w:hAnsi="Calibri" w:cs="Calibri"/>
          <w:szCs w:val="24"/>
        </w:rPr>
      </w:pPr>
      <w:proofErr w:type="spellStart"/>
      <w:r w:rsidRPr="001C0072">
        <w:rPr>
          <w:rFonts w:ascii="Calibri" w:hAnsi="Calibri" w:cs="Calibri"/>
          <w:szCs w:val="24"/>
        </w:rPr>
        <w:t>DCeGOV</w:t>
      </w:r>
      <w:proofErr w:type="spellEnd"/>
      <w:r w:rsidR="00BD7711" w:rsidRPr="001C0072">
        <w:rPr>
          <w:rFonts w:ascii="Calibri" w:hAnsi="Calibri" w:cs="Calibri"/>
          <w:szCs w:val="24"/>
        </w:rPr>
        <w:t xml:space="preserve"> (MV)</w:t>
      </w:r>
      <w:r w:rsidR="002C5ABE" w:rsidRPr="001C0072">
        <w:rPr>
          <w:rFonts w:ascii="Calibri" w:hAnsi="Calibri" w:cs="Calibri"/>
          <w:szCs w:val="24"/>
        </w:rPr>
        <w:t xml:space="preserve"> – prověřována byla účelnost </w:t>
      </w:r>
      <w:r w:rsidR="00552B3E" w:rsidRPr="001C0072">
        <w:rPr>
          <w:rFonts w:ascii="Calibri" w:hAnsi="Calibri" w:cs="Calibri"/>
          <w:szCs w:val="24"/>
        </w:rPr>
        <w:t>vynalož</w:t>
      </w:r>
      <w:r w:rsidR="00552B3E">
        <w:rPr>
          <w:rFonts w:ascii="Calibri" w:hAnsi="Calibri" w:cs="Calibri"/>
          <w:szCs w:val="24"/>
        </w:rPr>
        <w:t>ených prostředků</w:t>
      </w:r>
      <w:r w:rsidR="000579FC">
        <w:rPr>
          <w:rFonts w:ascii="Calibri" w:hAnsi="Calibri" w:cs="Calibri"/>
          <w:szCs w:val="24"/>
        </w:rPr>
        <w:t xml:space="preserve"> a v rámci tohoto projektu byly dále prověřovány:</w:t>
      </w:r>
    </w:p>
    <w:p w14:paraId="2C63585E" w14:textId="2A849C13" w:rsidR="005A6E25" w:rsidRPr="001C0072" w:rsidRDefault="000579FC" w:rsidP="009C058B">
      <w:pPr>
        <w:pStyle w:val="Odstavecseseznamem"/>
        <w:numPr>
          <w:ilvl w:val="1"/>
          <w:numId w:val="28"/>
        </w:numPr>
        <w:spacing w:before="120" w:after="120" w:line="240" w:lineRule="auto"/>
        <w:ind w:left="567" w:hanging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5A6E25" w:rsidRPr="001C0072">
        <w:rPr>
          <w:rFonts w:ascii="Calibri" w:hAnsi="Calibri" w:cs="Calibri"/>
          <w:szCs w:val="24"/>
        </w:rPr>
        <w:t>ohledové centrum MV pro provoz ICT systémů a kybernetickou bezpečnost (SOCCR)</w:t>
      </w:r>
      <w:r>
        <w:rPr>
          <w:rFonts w:ascii="Calibri" w:hAnsi="Calibri" w:cs="Calibri"/>
          <w:szCs w:val="24"/>
        </w:rPr>
        <w:t>,</w:t>
      </w:r>
    </w:p>
    <w:p w14:paraId="7A41D088" w14:textId="1214B5CD" w:rsidR="005A6E25" w:rsidRPr="001C0072" w:rsidRDefault="000579FC" w:rsidP="009C058B">
      <w:pPr>
        <w:pStyle w:val="Odstavecseseznamem"/>
        <w:numPr>
          <w:ilvl w:val="1"/>
          <w:numId w:val="28"/>
        </w:numPr>
        <w:spacing w:before="120" w:after="120" w:line="240" w:lineRule="auto"/>
        <w:ind w:left="567" w:hanging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5A6E25" w:rsidRPr="001C0072">
        <w:rPr>
          <w:rFonts w:ascii="Calibri" w:hAnsi="Calibri" w:cs="Calibri"/>
          <w:szCs w:val="24"/>
        </w:rPr>
        <w:t>ybudování první etapy dohledového centra NOC</w:t>
      </w:r>
      <w:r>
        <w:rPr>
          <w:rFonts w:ascii="Calibri" w:hAnsi="Calibri" w:cs="Calibri"/>
          <w:szCs w:val="24"/>
        </w:rPr>
        <w:t>,</w:t>
      </w:r>
    </w:p>
    <w:p w14:paraId="49E9EF10" w14:textId="6E195AFB" w:rsidR="005A6E25" w:rsidRPr="001C0072" w:rsidRDefault="000579FC" w:rsidP="009C058B">
      <w:pPr>
        <w:pStyle w:val="Odstavecseseznamem"/>
        <w:numPr>
          <w:ilvl w:val="1"/>
          <w:numId w:val="28"/>
        </w:numPr>
        <w:spacing w:before="120" w:after="240" w:line="240" w:lineRule="auto"/>
        <w:ind w:left="567" w:hanging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5A6E25" w:rsidRPr="001C0072">
        <w:rPr>
          <w:rFonts w:ascii="Calibri" w:hAnsi="Calibri" w:cs="Calibri"/>
          <w:szCs w:val="24"/>
        </w:rPr>
        <w:t xml:space="preserve">ontinuální rozvoj </w:t>
      </w:r>
      <w:proofErr w:type="spellStart"/>
      <w:r w:rsidR="005A6E25" w:rsidRPr="001C0072">
        <w:rPr>
          <w:rFonts w:ascii="Calibri" w:hAnsi="Calibri" w:cs="Calibri"/>
          <w:szCs w:val="24"/>
        </w:rPr>
        <w:t>DCeGOV</w:t>
      </w:r>
      <w:proofErr w:type="spellEnd"/>
      <w:r>
        <w:rPr>
          <w:rFonts w:ascii="Calibri" w:hAnsi="Calibri" w:cs="Calibri"/>
          <w:szCs w:val="24"/>
        </w:rPr>
        <w:t>.</w:t>
      </w:r>
    </w:p>
    <w:p w14:paraId="2E8503D1" w14:textId="713A4832" w:rsidR="00D212BE" w:rsidRPr="00792596" w:rsidRDefault="002C5ABE" w:rsidP="00015A3F">
      <w:pPr>
        <w:spacing w:before="120" w:after="120" w:line="240" w:lineRule="auto"/>
        <w:rPr>
          <w:rFonts w:ascii="Calibri" w:hAnsi="Calibri" w:cs="Calibri"/>
          <w:lang w:eastAsia="cs-CZ"/>
        </w:rPr>
      </w:pPr>
      <w:r w:rsidRPr="001C0072">
        <w:rPr>
          <w:rFonts w:ascii="Calibri" w:hAnsi="Calibri" w:cs="Calibri"/>
          <w:lang w:eastAsia="cs-CZ"/>
        </w:rPr>
        <w:t>Hospodárnost vynaložených prostředků byla u vybraných projektů</w:t>
      </w:r>
      <w:r w:rsidR="00792596">
        <w:rPr>
          <w:rFonts w:ascii="Calibri" w:hAnsi="Calibri" w:cs="Calibri"/>
          <w:lang w:eastAsia="cs-CZ"/>
        </w:rPr>
        <w:t>,</w:t>
      </w:r>
      <w:r w:rsidRPr="001C0072">
        <w:rPr>
          <w:rFonts w:ascii="Calibri" w:hAnsi="Calibri" w:cs="Calibri"/>
          <w:lang w:eastAsia="cs-CZ"/>
        </w:rPr>
        <w:t xml:space="preserve"> realizovaných NÚKIB</w:t>
      </w:r>
      <w:r w:rsidR="00EA412D">
        <w:rPr>
          <w:rFonts w:ascii="Calibri" w:hAnsi="Calibri" w:cs="Calibri"/>
          <w:lang w:eastAsia="cs-CZ"/>
        </w:rPr>
        <w:t xml:space="preserve"> a </w:t>
      </w:r>
      <w:r w:rsidR="00792596">
        <w:rPr>
          <w:rFonts w:ascii="Calibri" w:hAnsi="Calibri" w:cs="Calibri"/>
          <w:lang w:eastAsia="cs-CZ"/>
        </w:rPr>
        <w:t>financovaných</w:t>
      </w:r>
      <w:r w:rsidRPr="001C0072">
        <w:rPr>
          <w:rFonts w:ascii="Calibri" w:hAnsi="Calibri" w:cs="Calibri"/>
          <w:lang w:eastAsia="cs-CZ"/>
        </w:rPr>
        <w:t xml:space="preserve"> </w:t>
      </w:r>
      <w:r w:rsidR="00792596" w:rsidRPr="001C0072">
        <w:rPr>
          <w:rFonts w:ascii="Calibri" w:hAnsi="Calibri" w:cs="Calibri"/>
          <w:lang w:eastAsia="cs-CZ"/>
        </w:rPr>
        <w:t>ze SR a ESIF</w:t>
      </w:r>
      <w:r w:rsidR="00792596">
        <w:rPr>
          <w:rFonts w:ascii="Calibri" w:hAnsi="Calibri" w:cs="Calibri"/>
          <w:lang w:eastAsia="cs-CZ"/>
        </w:rPr>
        <w:t>,</w:t>
      </w:r>
      <w:r w:rsidR="00792596" w:rsidRPr="001C0072">
        <w:rPr>
          <w:rFonts w:ascii="Calibri" w:hAnsi="Calibri" w:cs="Calibri"/>
          <w:lang w:eastAsia="cs-CZ"/>
        </w:rPr>
        <w:t xml:space="preserve"> posouzena </w:t>
      </w:r>
      <w:r w:rsidRPr="001C0072">
        <w:rPr>
          <w:rFonts w:ascii="Calibri" w:hAnsi="Calibri" w:cs="Calibri"/>
          <w:lang w:eastAsia="cs-CZ"/>
        </w:rPr>
        <w:t xml:space="preserve">v souvislosti s naplňováním úkolů stanovených </w:t>
      </w:r>
      <w:r w:rsidR="00792596">
        <w:rPr>
          <w:rFonts w:ascii="Calibri" w:hAnsi="Calibri" w:cs="Calibri"/>
          <w:lang w:eastAsia="cs-CZ"/>
        </w:rPr>
        <w:t>AP</w:t>
      </w:r>
      <w:r w:rsidR="000579FC">
        <w:rPr>
          <w:rFonts w:ascii="Calibri" w:hAnsi="Calibri" w:cs="Calibri"/>
          <w:lang w:eastAsia="cs-CZ"/>
        </w:rPr>
        <w:t> </w:t>
      </w:r>
      <w:r w:rsidR="00792596">
        <w:rPr>
          <w:rFonts w:ascii="Calibri" w:hAnsi="Calibri" w:cs="Calibri"/>
          <w:lang w:eastAsia="cs-CZ"/>
        </w:rPr>
        <w:t>NSKB</w:t>
      </w:r>
      <w:r w:rsidRPr="001C0072">
        <w:rPr>
          <w:rFonts w:ascii="Calibri" w:hAnsi="Calibri" w:cs="Calibri"/>
          <w:lang w:eastAsia="cs-CZ"/>
        </w:rPr>
        <w:t xml:space="preserve">. Kontrolou bylo ověřeno, zda NÚKIB postupoval při realizaci vybraných projektů v souladu se zákonem </w:t>
      </w:r>
      <w:r w:rsidR="004E6E2D">
        <w:rPr>
          <w:rFonts w:ascii="Calibri" w:hAnsi="Calibri" w:cs="Calibri"/>
          <w:lang w:eastAsia="cs-CZ"/>
        </w:rPr>
        <w:t xml:space="preserve">č. </w:t>
      </w:r>
      <w:r w:rsidRPr="001C0072">
        <w:rPr>
          <w:rFonts w:ascii="Calibri" w:hAnsi="Calibri" w:cs="Calibri"/>
          <w:lang w:eastAsia="cs-CZ"/>
        </w:rPr>
        <w:t>134/2016 Sb., o zadávání veřejných zakázek.</w:t>
      </w:r>
      <w:r w:rsidR="00BD7711" w:rsidRPr="001C0072">
        <w:rPr>
          <w:rFonts w:ascii="Calibri" w:hAnsi="Calibri" w:cs="Calibri"/>
          <w:lang w:eastAsia="cs-CZ"/>
        </w:rPr>
        <w:t xml:space="preserve"> </w:t>
      </w:r>
      <w:r w:rsidRPr="001C0072">
        <w:rPr>
          <w:rFonts w:ascii="Calibri" w:hAnsi="Calibri" w:cs="Calibri"/>
        </w:rPr>
        <w:t>Účelnost projekt</w:t>
      </w:r>
      <w:r w:rsidR="009E1B3F" w:rsidRPr="001C0072">
        <w:rPr>
          <w:rFonts w:ascii="Calibri" w:hAnsi="Calibri" w:cs="Calibri"/>
        </w:rPr>
        <w:t>ů</w:t>
      </w:r>
      <w:r w:rsidRPr="001C0072">
        <w:rPr>
          <w:rFonts w:ascii="Calibri" w:hAnsi="Calibri" w:cs="Calibri"/>
        </w:rPr>
        <w:t xml:space="preserve"> byla </w:t>
      </w:r>
      <w:r w:rsidR="00792596">
        <w:rPr>
          <w:rFonts w:ascii="Calibri" w:hAnsi="Calibri" w:cs="Calibri"/>
        </w:rPr>
        <w:t xml:space="preserve">u MV a NÚKIB </w:t>
      </w:r>
      <w:r w:rsidRPr="001C0072">
        <w:rPr>
          <w:rFonts w:ascii="Calibri" w:hAnsi="Calibri" w:cs="Calibri"/>
        </w:rPr>
        <w:t>posouzena ve vztahu</w:t>
      </w:r>
      <w:r w:rsidR="00C4385B" w:rsidRPr="001C0072">
        <w:rPr>
          <w:rFonts w:ascii="Calibri" w:hAnsi="Calibri" w:cs="Calibri"/>
        </w:rPr>
        <w:t xml:space="preserve"> plnění</w:t>
      </w:r>
      <w:r w:rsidRPr="001C0072">
        <w:rPr>
          <w:rFonts w:ascii="Calibri" w:hAnsi="Calibri" w:cs="Calibri"/>
        </w:rPr>
        <w:t xml:space="preserve"> k</w:t>
      </w:r>
      <w:r w:rsidR="007C0F78">
        <w:rPr>
          <w:rFonts w:ascii="Calibri" w:hAnsi="Calibri" w:cs="Calibri"/>
        </w:rPr>
        <w:t>e</w:t>
      </w:r>
      <w:r w:rsidR="000579FC">
        <w:rPr>
          <w:rFonts w:ascii="Calibri" w:hAnsi="Calibri" w:cs="Calibri"/>
        </w:rPr>
        <w:t xml:space="preserve"> </w:t>
      </w:r>
      <w:r w:rsidR="00C4385B" w:rsidRPr="001C0072">
        <w:rPr>
          <w:rFonts w:ascii="Calibri" w:hAnsi="Calibri" w:cs="Calibri"/>
        </w:rPr>
        <w:t>schváleným</w:t>
      </w:r>
      <w:r w:rsidR="009E1B3F" w:rsidRPr="001C0072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>cílům projekt</w:t>
      </w:r>
      <w:r w:rsidR="007C0F78">
        <w:rPr>
          <w:rFonts w:ascii="Calibri" w:hAnsi="Calibri" w:cs="Calibri"/>
        </w:rPr>
        <w:t>ů</w:t>
      </w:r>
      <w:r w:rsidRPr="001C0072">
        <w:rPr>
          <w:rFonts w:ascii="Calibri" w:hAnsi="Calibri" w:cs="Calibri"/>
        </w:rPr>
        <w:t xml:space="preserve"> </w:t>
      </w:r>
      <w:r w:rsidR="009E1B3F" w:rsidRPr="001C0072">
        <w:rPr>
          <w:rFonts w:ascii="Calibri" w:hAnsi="Calibri" w:cs="Calibri"/>
        </w:rPr>
        <w:t>a cílům AP NSKB.</w:t>
      </w:r>
      <w:r w:rsidR="00BD7711" w:rsidRPr="001C0072">
        <w:rPr>
          <w:rFonts w:ascii="Calibri" w:hAnsi="Calibri" w:cs="Calibri"/>
          <w:lang w:eastAsia="cs-CZ"/>
        </w:rPr>
        <w:t xml:space="preserve"> </w:t>
      </w:r>
      <w:r w:rsidR="005A6E25" w:rsidRPr="001C0072">
        <w:rPr>
          <w:rFonts w:ascii="Calibri" w:hAnsi="Calibri" w:cs="Calibri"/>
          <w:szCs w:val="24"/>
        </w:rPr>
        <w:t>Při kontrole výše uvedených projektů neshledal NKÚ nedostatky</w:t>
      </w:r>
      <w:r w:rsidR="00C4385B" w:rsidRPr="001C0072">
        <w:rPr>
          <w:rFonts w:ascii="Calibri" w:hAnsi="Calibri" w:cs="Calibri"/>
          <w:szCs w:val="24"/>
        </w:rPr>
        <w:t>, které by měly závažný vliv na jejich hospodárnost a účelnost</w:t>
      </w:r>
      <w:r w:rsidR="005A6E25" w:rsidRPr="001C0072">
        <w:rPr>
          <w:rFonts w:ascii="Calibri" w:hAnsi="Calibri" w:cs="Calibri"/>
          <w:szCs w:val="24"/>
        </w:rPr>
        <w:t>.</w:t>
      </w:r>
    </w:p>
    <w:p w14:paraId="3FF03BF2" w14:textId="77777777" w:rsidR="007C0F78" w:rsidRDefault="0039185D" w:rsidP="0039185D">
      <w:pPr>
        <w:pStyle w:val="Zkladn"/>
        <w:spacing w:before="0"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>NKÚ v rámci kontrolní akce č. 19/26 provedl mezinárodní srovnání v oblasti KB. Více informací k tomu srovnání je uvedeno v příloze č. 1.</w:t>
      </w:r>
    </w:p>
    <w:p w14:paraId="7E3896A4" w14:textId="77777777" w:rsidR="0039185D" w:rsidRPr="007C0F78" w:rsidRDefault="007C0F78" w:rsidP="007C0F78">
      <w:pPr>
        <w:jc w:val="left"/>
        <w:rPr>
          <w:rFonts w:ascii="Calibri" w:eastAsia="Times New Roman" w:hAnsi="Calibri" w:cs="Calibri"/>
          <w:szCs w:val="24"/>
        </w:rPr>
      </w:pPr>
      <w:r>
        <w:rPr>
          <w:rFonts w:ascii="Calibri" w:hAnsi="Calibri" w:cs="Calibri"/>
        </w:rPr>
        <w:br w:type="page"/>
      </w:r>
    </w:p>
    <w:p w14:paraId="5BF808B6" w14:textId="4E34226C" w:rsidR="00A522AD" w:rsidRPr="009C058B" w:rsidRDefault="00A522AD" w:rsidP="00A522AD">
      <w:pPr>
        <w:pStyle w:val="Zkladn"/>
        <w:tabs>
          <w:tab w:val="left" w:pos="2323"/>
        </w:tabs>
        <w:spacing w:before="0" w:after="160"/>
        <w:ind w:left="57"/>
        <w:jc w:val="left"/>
        <w:rPr>
          <w:rFonts w:ascii="Calibri" w:hAnsi="Calibri" w:cs="Calibri"/>
          <w:color w:val="000000" w:themeColor="text1"/>
        </w:rPr>
      </w:pPr>
      <w:r w:rsidRPr="00A522AD">
        <w:rPr>
          <w:rFonts w:ascii="Calibri" w:hAnsi="Calibri" w:cs="Calibri"/>
          <w:b/>
        </w:rPr>
        <w:lastRenderedPageBreak/>
        <w:t xml:space="preserve">Seznam </w:t>
      </w:r>
      <w:r w:rsidR="000579FC">
        <w:rPr>
          <w:rFonts w:ascii="Calibri" w:hAnsi="Calibri" w:cs="Calibri"/>
          <w:b/>
        </w:rPr>
        <w:t>z</w:t>
      </w:r>
      <w:r w:rsidRPr="00A522AD">
        <w:rPr>
          <w:rFonts w:ascii="Calibri" w:hAnsi="Calibri" w:cs="Calibri"/>
          <w:b/>
        </w:rPr>
        <w:t>kratek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7370"/>
      </w:tblGrid>
      <w:tr w:rsidR="009C058B" w:rsidRPr="009C058B" w14:paraId="453CBFC1" w14:textId="77777777" w:rsidTr="007B5B05">
        <w:trPr>
          <w:trHeight w:val="283"/>
        </w:trPr>
        <w:tc>
          <w:tcPr>
            <w:tcW w:w="2268" w:type="dxa"/>
          </w:tcPr>
          <w:p w14:paraId="55732720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 xml:space="preserve">AP NSKB </w:t>
            </w:r>
          </w:p>
        </w:tc>
        <w:tc>
          <w:tcPr>
            <w:tcW w:w="7370" w:type="dxa"/>
          </w:tcPr>
          <w:p w14:paraId="3DB0DDE0" w14:textId="77777777" w:rsidR="00F32DAA" w:rsidRPr="00B71060" w:rsidRDefault="00F32DAA" w:rsidP="00A522AD">
            <w:pPr>
              <w:pStyle w:val="Zkladn"/>
              <w:spacing w:before="0"/>
              <w:jc w:val="left"/>
              <w:rPr>
                <w:rFonts w:ascii="Calibri" w:hAnsi="Calibri" w:cs="Calibri"/>
                <w:i/>
                <w:color w:val="000000" w:themeColor="text1"/>
              </w:rPr>
            </w:pPr>
            <w:r w:rsidRPr="00B71060">
              <w:rPr>
                <w:rFonts w:ascii="Calibri" w:hAnsi="Calibri" w:cs="Calibri"/>
                <w:i/>
                <w:color w:val="000000" w:themeColor="text1"/>
              </w:rPr>
              <w:t>Akční plán k Národní strategii kybernetické bezpečnosti České republiky na období let 2015 až 2020</w:t>
            </w:r>
          </w:p>
        </w:tc>
      </w:tr>
      <w:tr w:rsidR="009C058B" w:rsidRPr="009C058B" w14:paraId="3664F7E7" w14:textId="77777777" w:rsidTr="007B5B05">
        <w:trPr>
          <w:trHeight w:val="283"/>
        </w:trPr>
        <w:tc>
          <w:tcPr>
            <w:tcW w:w="2268" w:type="dxa"/>
          </w:tcPr>
          <w:p w14:paraId="46951FBC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CERT</w:t>
            </w:r>
          </w:p>
        </w:tc>
        <w:tc>
          <w:tcPr>
            <w:tcW w:w="7370" w:type="dxa"/>
          </w:tcPr>
          <w:p w14:paraId="61EF5A38" w14:textId="77777777" w:rsidR="00F32DAA" w:rsidRPr="009C058B" w:rsidRDefault="00F32DAA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proofErr w:type="spellStart"/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>Computer</w:t>
            </w:r>
            <w:proofErr w:type="spellEnd"/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proofErr w:type="spellStart"/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>Emergency</w:t>
            </w:r>
            <w:proofErr w:type="spellEnd"/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 xml:space="preserve"> Response Team</w:t>
            </w:r>
          </w:p>
        </w:tc>
      </w:tr>
      <w:tr w:rsidR="009C058B" w:rsidRPr="009C058B" w14:paraId="403BE967" w14:textId="77777777" w:rsidTr="007B5B05">
        <w:trPr>
          <w:trHeight w:val="283"/>
        </w:trPr>
        <w:tc>
          <w:tcPr>
            <w:tcW w:w="2268" w:type="dxa"/>
          </w:tcPr>
          <w:p w14:paraId="5A871F6D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ČR</w:t>
            </w:r>
          </w:p>
        </w:tc>
        <w:tc>
          <w:tcPr>
            <w:tcW w:w="7370" w:type="dxa"/>
          </w:tcPr>
          <w:p w14:paraId="0CCD6F85" w14:textId="77777777" w:rsidR="00F32DAA" w:rsidRPr="009C058B" w:rsidRDefault="00F32DAA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>Česká republika</w:t>
            </w:r>
          </w:p>
        </w:tc>
      </w:tr>
      <w:tr w:rsidR="009C058B" w:rsidRPr="009C058B" w14:paraId="4098FCBF" w14:textId="77777777" w:rsidTr="007B5B05">
        <w:trPr>
          <w:trHeight w:val="283"/>
        </w:trPr>
        <w:tc>
          <w:tcPr>
            <w:tcW w:w="2268" w:type="dxa"/>
          </w:tcPr>
          <w:p w14:paraId="5575F513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proofErr w:type="spellStart"/>
            <w:r w:rsidRPr="00A522AD">
              <w:rPr>
                <w:rFonts w:ascii="Calibri" w:hAnsi="Calibri" w:cs="Calibri"/>
                <w:b/>
                <w:szCs w:val="24"/>
              </w:rPr>
              <w:t>DCeGOV</w:t>
            </w:r>
            <w:proofErr w:type="spellEnd"/>
          </w:p>
        </w:tc>
        <w:tc>
          <w:tcPr>
            <w:tcW w:w="7370" w:type="dxa"/>
          </w:tcPr>
          <w:p w14:paraId="2947BFE2" w14:textId="1A016385" w:rsidR="00F32DAA" w:rsidRPr="009C058B" w:rsidRDefault="00CD105B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D</w:t>
            </w:r>
            <w:r w:rsidR="00F32DAA" w:rsidRPr="009C058B">
              <w:rPr>
                <w:rFonts w:ascii="Calibri" w:hAnsi="Calibri" w:cs="Calibri"/>
                <w:color w:val="000000" w:themeColor="text1"/>
                <w:szCs w:val="24"/>
              </w:rPr>
              <w:t>ohledové centrum eGovernmentu</w:t>
            </w:r>
          </w:p>
        </w:tc>
      </w:tr>
      <w:tr w:rsidR="009C058B" w:rsidRPr="009C058B" w14:paraId="05B7C899" w14:textId="77777777" w:rsidTr="007B5B05">
        <w:trPr>
          <w:trHeight w:val="283"/>
        </w:trPr>
        <w:tc>
          <w:tcPr>
            <w:tcW w:w="2268" w:type="dxa"/>
          </w:tcPr>
          <w:p w14:paraId="4824F557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EFRR</w:t>
            </w:r>
          </w:p>
        </w:tc>
        <w:tc>
          <w:tcPr>
            <w:tcW w:w="7370" w:type="dxa"/>
          </w:tcPr>
          <w:p w14:paraId="4CE4EF29" w14:textId="77777777" w:rsidR="00F32DAA" w:rsidRPr="00B71060" w:rsidRDefault="00F32DAA" w:rsidP="00A522AD">
            <w:pPr>
              <w:spacing w:after="0" w:line="240" w:lineRule="auto"/>
              <w:jc w:val="left"/>
              <w:rPr>
                <w:rFonts w:ascii="Calibri" w:hAnsi="Calibri" w:cs="Calibri"/>
                <w:i/>
                <w:color w:val="000000" w:themeColor="text1"/>
                <w:szCs w:val="24"/>
              </w:rPr>
            </w:pPr>
            <w:r w:rsidRPr="00B71060">
              <w:rPr>
                <w:rFonts w:ascii="Calibri" w:hAnsi="Calibri" w:cs="Calibri"/>
                <w:i/>
                <w:color w:val="000000" w:themeColor="text1"/>
                <w:szCs w:val="24"/>
              </w:rPr>
              <w:t>Evropský fond pro regionální rozvoj</w:t>
            </w:r>
          </w:p>
        </w:tc>
      </w:tr>
      <w:tr w:rsidR="009C058B" w:rsidRPr="009C058B" w14:paraId="2A34FB9C" w14:textId="77777777" w:rsidTr="007B5B05">
        <w:trPr>
          <w:trHeight w:val="283"/>
        </w:trPr>
        <w:tc>
          <w:tcPr>
            <w:tcW w:w="2268" w:type="dxa"/>
          </w:tcPr>
          <w:p w14:paraId="76973ABE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ESIF</w:t>
            </w:r>
          </w:p>
        </w:tc>
        <w:tc>
          <w:tcPr>
            <w:tcW w:w="7370" w:type="dxa"/>
          </w:tcPr>
          <w:p w14:paraId="22B58ED3" w14:textId="074532B5" w:rsidR="00F32DAA" w:rsidRPr="009C058B" w:rsidRDefault="00EE537E" w:rsidP="00A522AD">
            <w:pPr>
              <w:spacing w:after="0" w:line="240" w:lineRule="auto"/>
              <w:jc w:val="left"/>
              <w:rPr>
                <w:rFonts w:ascii="Calibri" w:hAnsi="Calibri" w:cs="Calibri"/>
                <w:i/>
                <w:color w:val="000000" w:themeColor="text1"/>
                <w:szCs w:val="24"/>
              </w:rPr>
            </w:pPr>
            <w:r>
              <w:rPr>
                <w:rStyle w:val="Zdraznn"/>
                <w:rFonts w:ascii="Calibri" w:hAnsi="Calibri" w:cs="Calibri"/>
                <w:i w:val="0"/>
                <w:color w:val="000000" w:themeColor="text1"/>
                <w:szCs w:val="24"/>
              </w:rPr>
              <w:t>e</w:t>
            </w:r>
            <w:r w:rsidR="00F32DAA" w:rsidRPr="009C058B">
              <w:rPr>
                <w:rStyle w:val="Zdraznn"/>
                <w:rFonts w:ascii="Calibri" w:hAnsi="Calibri" w:cs="Calibri"/>
                <w:i w:val="0"/>
                <w:color w:val="000000" w:themeColor="text1"/>
                <w:szCs w:val="24"/>
              </w:rPr>
              <w:t>vropské strukturální a investiční fondy</w:t>
            </w:r>
            <w:r w:rsidR="00F32DAA" w:rsidRPr="009C058B">
              <w:rPr>
                <w:rFonts w:ascii="Calibri" w:hAnsi="Calibri" w:cs="Calibri"/>
                <w:i/>
                <w:color w:val="000000" w:themeColor="text1"/>
                <w:szCs w:val="24"/>
              </w:rPr>
              <w:t xml:space="preserve"> </w:t>
            </w:r>
          </w:p>
        </w:tc>
      </w:tr>
      <w:tr w:rsidR="00EE537E" w:rsidRPr="009C058B" w14:paraId="4AE92433" w14:textId="77777777" w:rsidTr="007B5B05">
        <w:trPr>
          <w:trHeight w:val="283"/>
        </w:trPr>
        <w:tc>
          <w:tcPr>
            <w:tcW w:w="2268" w:type="dxa"/>
          </w:tcPr>
          <w:p w14:paraId="579A8510" w14:textId="4A192EF1" w:rsidR="00EE537E" w:rsidRPr="00A522AD" w:rsidRDefault="00EE537E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HW</w:t>
            </w:r>
          </w:p>
        </w:tc>
        <w:tc>
          <w:tcPr>
            <w:tcW w:w="7370" w:type="dxa"/>
          </w:tcPr>
          <w:p w14:paraId="5DEF930C" w14:textId="775D8FF4" w:rsidR="00EE537E" w:rsidRPr="009C058B" w:rsidRDefault="00EE537E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hardware</w:t>
            </w:r>
          </w:p>
        </w:tc>
      </w:tr>
      <w:tr w:rsidR="009C058B" w:rsidRPr="009C058B" w14:paraId="374400F7" w14:textId="77777777" w:rsidTr="007B5B05">
        <w:trPr>
          <w:trHeight w:val="283"/>
        </w:trPr>
        <w:tc>
          <w:tcPr>
            <w:tcW w:w="2268" w:type="dxa"/>
          </w:tcPr>
          <w:p w14:paraId="4DA56A09" w14:textId="632E954D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ICT</w:t>
            </w:r>
          </w:p>
        </w:tc>
        <w:tc>
          <w:tcPr>
            <w:tcW w:w="7370" w:type="dxa"/>
          </w:tcPr>
          <w:p w14:paraId="5DE1B75B" w14:textId="77777777" w:rsidR="00F32DAA" w:rsidRPr="009C058B" w:rsidRDefault="004E6E2D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>i</w:t>
            </w:r>
            <w:r w:rsidR="00F32DAA" w:rsidRPr="009C058B">
              <w:rPr>
                <w:rFonts w:ascii="Calibri" w:hAnsi="Calibri" w:cs="Calibri"/>
                <w:color w:val="000000" w:themeColor="text1"/>
                <w:szCs w:val="24"/>
              </w:rPr>
              <w:t>nformační a komunikační technologie</w:t>
            </w:r>
          </w:p>
        </w:tc>
      </w:tr>
      <w:tr w:rsidR="009C058B" w:rsidRPr="009C058B" w14:paraId="2DD0ABA1" w14:textId="77777777" w:rsidTr="007B5B05">
        <w:trPr>
          <w:trHeight w:val="283"/>
        </w:trPr>
        <w:tc>
          <w:tcPr>
            <w:tcW w:w="2268" w:type="dxa"/>
          </w:tcPr>
          <w:p w14:paraId="46E5D494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IROP</w:t>
            </w:r>
          </w:p>
        </w:tc>
        <w:tc>
          <w:tcPr>
            <w:tcW w:w="7370" w:type="dxa"/>
          </w:tcPr>
          <w:p w14:paraId="7A190B3A" w14:textId="77777777" w:rsidR="00F32DAA" w:rsidRPr="00B71060" w:rsidRDefault="00F32DAA" w:rsidP="00A522AD">
            <w:pPr>
              <w:pStyle w:val="Zkladn"/>
              <w:spacing w:before="0"/>
              <w:jc w:val="left"/>
              <w:rPr>
                <w:rFonts w:ascii="Calibri" w:hAnsi="Calibri" w:cs="Calibri"/>
                <w:i/>
                <w:color w:val="000000" w:themeColor="text1"/>
              </w:rPr>
            </w:pPr>
            <w:r w:rsidRPr="00B71060">
              <w:rPr>
                <w:rFonts w:ascii="Calibri" w:hAnsi="Calibri" w:cs="Calibri"/>
                <w:i/>
                <w:color w:val="000000" w:themeColor="text1"/>
              </w:rPr>
              <w:t>Integrovaný regionální operační program</w:t>
            </w:r>
          </w:p>
        </w:tc>
      </w:tr>
      <w:tr w:rsidR="009C058B" w:rsidRPr="009C058B" w14:paraId="78745A49" w14:textId="77777777" w:rsidTr="007B5B05">
        <w:trPr>
          <w:trHeight w:val="283"/>
        </w:trPr>
        <w:tc>
          <w:tcPr>
            <w:tcW w:w="2268" w:type="dxa"/>
          </w:tcPr>
          <w:p w14:paraId="39550732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IS</w:t>
            </w:r>
          </w:p>
        </w:tc>
        <w:tc>
          <w:tcPr>
            <w:tcW w:w="7370" w:type="dxa"/>
          </w:tcPr>
          <w:p w14:paraId="0E01DC7D" w14:textId="77777777" w:rsidR="00F32DAA" w:rsidRPr="009C058B" w:rsidRDefault="004E6E2D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i</w:t>
            </w:r>
            <w:r w:rsidR="00F32DAA" w:rsidRPr="009C058B">
              <w:rPr>
                <w:rFonts w:ascii="Calibri" w:hAnsi="Calibri" w:cs="Calibri"/>
                <w:color w:val="000000" w:themeColor="text1"/>
              </w:rPr>
              <w:t>nformační systémy</w:t>
            </w:r>
          </w:p>
        </w:tc>
      </w:tr>
      <w:tr w:rsidR="009C058B" w:rsidRPr="009C058B" w14:paraId="0A309828" w14:textId="77777777" w:rsidTr="007B5B05">
        <w:trPr>
          <w:trHeight w:val="283"/>
        </w:trPr>
        <w:tc>
          <w:tcPr>
            <w:tcW w:w="2268" w:type="dxa"/>
          </w:tcPr>
          <w:p w14:paraId="22B8892C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ISZS</w:t>
            </w:r>
          </w:p>
        </w:tc>
        <w:tc>
          <w:tcPr>
            <w:tcW w:w="7370" w:type="dxa"/>
          </w:tcPr>
          <w:p w14:paraId="1C733122" w14:textId="77777777" w:rsidR="00F32DAA" w:rsidRPr="00B71060" w:rsidRDefault="00F32DAA" w:rsidP="00A522AD">
            <w:pPr>
              <w:spacing w:after="0" w:line="240" w:lineRule="auto"/>
              <w:jc w:val="left"/>
              <w:rPr>
                <w:rFonts w:ascii="Calibri" w:hAnsi="Calibri" w:cs="Calibri"/>
                <w:i/>
                <w:color w:val="000000" w:themeColor="text1"/>
                <w:szCs w:val="24"/>
              </w:rPr>
            </w:pPr>
            <w:r w:rsidRPr="00B71060">
              <w:rPr>
                <w:rFonts w:ascii="Calibri" w:hAnsi="Calibri" w:cs="Calibri"/>
                <w:i/>
                <w:color w:val="000000" w:themeColor="text1"/>
                <w:szCs w:val="24"/>
              </w:rPr>
              <w:t>Informační systém základní služby</w:t>
            </w:r>
          </w:p>
        </w:tc>
      </w:tr>
      <w:tr w:rsidR="009C058B" w:rsidRPr="009C058B" w14:paraId="499305EA" w14:textId="77777777" w:rsidTr="007B5B05">
        <w:trPr>
          <w:trHeight w:val="283"/>
        </w:trPr>
        <w:tc>
          <w:tcPr>
            <w:tcW w:w="2268" w:type="dxa"/>
          </w:tcPr>
          <w:p w14:paraId="0549EFDB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KB</w:t>
            </w:r>
          </w:p>
        </w:tc>
        <w:tc>
          <w:tcPr>
            <w:tcW w:w="7370" w:type="dxa"/>
          </w:tcPr>
          <w:p w14:paraId="00835651" w14:textId="77777777" w:rsidR="00F32DAA" w:rsidRPr="009C058B" w:rsidRDefault="004E6E2D" w:rsidP="00A522AD">
            <w:pPr>
              <w:pStyle w:val="Obsahtabulky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k</w:t>
            </w:r>
            <w:r w:rsidR="00F32DAA" w:rsidRPr="009C058B">
              <w:rPr>
                <w:rFonts w:ascii="Calibri" w:hAnsi="Calibri" w:cs="Calibri"/>
                <w:color w:val="000000" w:themeColor="text1"/>
              </w:rPr>
              <w:t>ybernetická bezpečnost</w:t>
            </w:r>
          </w:p>
        </w:tc>
      </w:tr>
      <w:tr w:rsidR="009C058B" w:rsidRPr="009C058B" w14:paraId="2ADF3FC6" w14:textId="77777777" w:rsidTr="007B5B05">
        <w:trPr>
          <w:trHeight w:val="283"/>
        </w:trPr>
        <w:tc>
          <w:tcPr>
            <w:tcW w:w="2268" w:type="dxa"/>
          </w:tcPr>
          <w:p w14:paraId="2856CD75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KII</w:t>
            </w:r>
          </w:p>
        </w:tc>
        <w:tc>
          <w:tcPr>
            <w:tcW w:w="7370" w:type="dxa"/>
          </w:tcPr>
          <w:p w14:paraId="2514D294" w14:textId="77777777" w:rsidR="00F32DAA" w:rsidRPr="009C058B" w:rsidRDefault="004E6E2D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k</w:t>
            </w:r>
            <w:r w:rsidR="00F32DAA" w:rsidRPr="009C058B">
              <w:rPr>
                <w:rFonts w:ascii="Calibri" w:hAnsi="Calibri" w:cs="Calibri"/>
                <w:color w:val="000000" w:themeColor="text1"/>
              </w:rPr>
              <w:t>ritická informační infrastruktura</w:t>
            </w:r>
          </w:p>
        </w:tc>
      </w:tr>
      <w:tr w:rsidR="009C058B" w:rsidRPr="009C058B" w14:paraId="1A195B5F" w14:textId="77777777" w:rsidTr="007B5B05">
        <w:trPr>
          <w:trHeight w:val="283"/>
        </w:trPr>
        <w:tc>
          <w:tcPr>
            <w:tcW w:w="2268" w:type="dxa"/>
          </w:tcPr>
          <w:p w14:paraId="519E57C2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KS</w:t>
            </w:r>
          </w:p>
        </w:tc>
        <w:tc>
          <w:tcPr>
            <w:tcW w:w="7370" w:type="dxa"/>
          </w:tcPr>
          <w:p w14:paraId="42999C98" w14:textId="77777777" w:rsidR="00F32DAA" w:rsidRPr="009C058B" w:rsidRDefault="004E6E2D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k</w:t>
            </w:r>
            <w:r w:rsidR="00F32DAA" w:rsidRPr="009C058B">
              <w:rPr>
                <w:rFonts w:ascii="Calibri" w:hAnsi="Calibri" w:cs="Calibri"/>
                <w:color w:val="000000" w:themeColor="text1"/>
              </w:rPr>
              <w:t>omunikační systémy</w:t>
            </w:r>
          </w:p>
        </w:tc>
      </w:tr>
      <w:tr w:rsidR="009C058B" w:rsidRPr="009C058B" w14:paraId="4A2C4B9F" w14:textId="77777777" w:rsidTr="007B5B05">
        <w:trPr>
          <w:trHeight w:val="283"/>
        </w:trPr>
        <w:tc>
          <w:tcPr>
            <w:tcW w:w="2268" w:type="dxa"/>
          </w:tcPr>
          <w:p w14:paraId="59D3116B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MMR</w:t>
            </w:r>
          </w:p>
        </w:tc>
        <w:tc>
          <w:tcPr>
            <w:tcW w:w="7370" w:type="dxa"/>
          </w:tcPr>
          <w:p w14:paraId="115021C5" w14:textId="77777777" w:rsidR="00F32DAA" w:rsidRPr="009C058B" w:rsidRDefault="00F32DAA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>Ministerstvo pro místní rozvoj</w:t>
            </w:r>
          </w:p>
        </w:tc>
      </w:tr>
      <w:tr w:rsidR="009C058B" w:rsidRPr="009C058B" w14:paraId="182E1C37" w14:textId="77777777" w:rsidTr="007B5B05">
        <w:trPr>
          <w:trHeight w:val="283"/>
        </w:trPr>
        <w:tc>
          <w:tcPr>
            <w:tcW w:w="2268" w:type="dxa"/>
          </w:tcPr>
          <w:p w14:paraId="205DF06D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MV</w:t>
            </w:r>
          </w:p>
        </w:tc>
        <w:tc>
          <w:tcPr>
            <w:tcW w:w="7370" w:type="dxa"/>
          </w:tcPr>
          <w:p w14:paraId="4EDD3B05" w14:textId="77777777" w:rsidR="00F32DAA" w:rsidRPr="009C058B" w:rsidRDefault="00F32DAA" w:rsidP="00A522AD">
            <w:pPr>
              <w:pStyle w:val="Obsahtabulky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Ministerstvo vnitra</w:t>
            </w:r>
          </w:p>
        </w:tc>
      </w:tr>
      <w:tr w:rsidR="009C058B" w:rsidRPr="009C058B" w14:paraId="251C6BCE" w14:textId="77777777" w:rsidTr="007B5B05">
        <w:trPr>
          <w:trHeight w:val="283"/>
        </w:trPr>
        <w:tc>
          <w:tcPr>
            <w:tcW w:w="2268" w:type="dxa"/>
          </w:tcPr>
          <w:p w14:paraId="3BFD24F3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NBÚ</w:t>
            </w:r>
          </w:p>
        </w:tc>
        <w:tc>
          <w:tcPr>
            <w:tcW w:w="7370" w:type="dxa"/>
          </w:tcPr>
          <w:p w14:paraId="797F563D" w14:textId="77777777" w:rsidR="00F32DAA" w:rsidRPr="009C058B" w:rsidRDefault="00F32DAA" w:rsidP="00A522AD">
            <w:pPr>
              <w:pStyle w:val="Obsahtabulky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Národní bezpečnostní úřad</w:t>
            </w:r>
          </w:p>
        </w:tc>
      </w:tr>
      <w:tr w:rsidR="009C058B" w:rsidRPr="009C058B" w14:paraId="3910B2DB" w14:textId="77777777" w:rsidTr="007B5B05">
        <w:trPr>
          <w:trHeight w:val="283"/>
        </w:trPr>
        <w:tc>
          <w:tcPr>
            <w:tcW w:w="2268" w:type="dxa"/>
          </w:tcPr>
          <w:p w14:paraId="4E608B3C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NKÚ</w:t>
            </w:r>
          </w:p>
        </w:tc>
        <w:tc>
          <w:tcPr>
            <w:tcW w:w="7370" w:type="dxa"/>
          </w:tcPr>
          <w:p w14:paraId="68CA6EFC" w14:textId="77777777" w:rsidR="00F32DAA" w:rsidRPr="009C058B" w:rsidRDefault="00F32DAA" w:rsidP="00A522AD">
            <w:pPr>
              <w:pStyle w:val="Obsahtabulky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Nejvyšší kontrolní úřad</w:t>
            </w:r>
          </w:p>
        </w:tc>
      </w:tr>
      <w:tr w:rsidR="009C058B" w:rsidRPr="009C058B" w14:paraId="6E7209B1" w14:textId="77777777" w:rsidTr="007B5B05">
        <w:trPr>
          <w:trHeight w:val="283"/>
        </w:trPr>
        <w:tc>
          <w:tcPr>
            <w:tcW w:w="2268" w:type="dxa"/>
          </w:tcPr>
          <w:p w14:paraId="50AA5852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NÚKIB</w:t>
            </w:r>
          </w:p>
        </w:tc>
        <w:tc>
          <w:tcPr>
            <w:tcW w:w="7370" w:type="dxa"/>
          </w:tcPr>
          <w:p w14:paraId="320B16AF" w14:textId="77777777" w:rsidR="00F32DAA" w:rsidRPr="009C058B" w:rsidRDefault="00F32DAA" w:rsidP="00A522AD">
            <w:pPr>
              <w:pStyle w:val="Obsahtabulky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Národní úřad pro kybernetickou a informační bezpečnost</w:t>
            </w:r>
          </w:p>
        </w:tc>
      </w:tr>
      <w:tr w:rsidR="009C058B" w:rsidRPr="009C058B" w14:paraId="1AAEFDA9" w14:textId="77777777" w:rsidTr="007B5B05">
        <w:trPr>
          <w:trHeight w:val="283"/>
        </w:trPr>
        <w:tc>
          <w:tcPr>
            <w:tcW w:w="2268" w:type="dxa"/>
          </w:tcPr>
          <w:p w14:paraId="27EACE81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OHA</w:t>
            </w:r>
          </w:p>
        </w:tc>
        <w:tc>
          <w:tcPr>
            <w:tcW w:w="7370" w:type="dxa"/>
          </w:tcPr>
          <w:p w14:paraId="7600E06F" w14:textId="77777777" w:rsidR="00F32DAA" w:rsidRPr="009C058B" w:rsidRDefault="00F32DAA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r w:rsidRPr="009C058B">
              <w:rPr>
                <w:rFonts w:ascii="Calibri" w:hAnsi="Calibri" w:cs="Calibri"/>
                <w:color w:val="000000" w:themeColor="text1"/>
                <w:szCs w:val="24"/>
              </w:rPr>
              <w:t>Odbor hlavního architekta eGovernmentu</w:t>
            </w:r>
          </w:p>
        </w:tc>
      </w:tr>
      <w:tr w:rsidR="009C058B" w:rsidRPr="009C058B" w14:paraId="050336D8" w14:textId="77777777" w:rsidTr="007B5B05">
        <w:trPr>
          <w:trHeight w:val="283"/>
        </w:trPr>
        <w:tc>
          <w:tcPr>
            <w:tcW w:w="2268" w:type="dxa"/>
          </w:tcPr>
          <w:p w14:paraId="4645EF45" w14:textId="77777777" w:rsidR="004B6102" w:rsidRPr="00A522AD" w:rsidRDefault="004B6102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OIK</w:t>
            </w:r>
          </w:p>
        </w:tc>
        <w:tc>
          <w:tcPr>
            <w:tcW w:w="7370" w:type="dxa"/>
          </w:tcPr>
          <w:p w14:paraId="03F910B9" w14:textId="61871755" w:rsidR="004B6102" w:rsidRPr="009C058B" w:rsidRDefault="00EE537E" w:rsidP="00A522AD">
            <w:pPr>
              <w:spacing w:after="0" w:line="240" w:lineRule="auto"/>
              <w:jc w:val="left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>p</w:t>
            </w:r>
            <w:r w:rsidR="004B6102" w:rsidRPr="009C058B">
              <w:rPr>
                <w:rFonts w:ascii="Calibri" w:hAnsi="Calibri" w:cs="Calibri"/>
                <w:color w:val="000000" w:themeColor="text1"/>
                <w:szCs w:val="24"/>
              </w:rPr>
              <w:t>racoviště kybernetické kriminality</w:t>
            </w:r>
          </w:p>
        </w:tc>
      </w:tr>
      <w:tr w:rsidR="009C058B" w:rsidRPr="009C058B" w14:paraId="2DA2B334" w14:textId="77777777" w:rsidTr="007B5B05">
        <w:trPr>
          <w:trHeight w:val="283"/>
        </w:trPr>
        <w:tc>
          <w:tcPr>
            <w:tcW w:w="2268" w:type="dxa"/>
          </w:tcPr>
          <w:p w14:paraId="675BA155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OSS</w:t>
            </w:r>
          </w:p>
        </w:tc>
        <w:tc>
          <w:tcPr>
            <w:tcW w:w="7370" w:type="dxa"/>
          </w:tcPr>
          <w:p w14:paraId="414921CE" w14:textId="77777777" w:rsidR="00F32DAA" w:rsidRPr="009C058B" w:rsidRDefault="004E6E2D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o</w:t>
            </w:r>
            <w:r w:rsidR="00F32DAA" w:rsidRPr="009C058B">
              <w:rPr>
                <w:rFonts w:ascii="Calibri" w:hAnsi="Calibri" w:cs="Calibri"/>
                <w:color w:val="000000" w:themeColor="text1"/>
              </w:rPr>
              <w:t>rganizační složky státu</w:t>
            </w:r>
          </w:p>
        </w:tc>
      </w:tr>
      <w:tr w:rsidR="009C058B" w:rsidRPr="009C058B" w14:paraId="450A994A" w14:textId="77777777" w:rsidTr="007B5B05">
        <w:trPr>
          <w:trHeight w:val="283"/>
        </w:trPr>
        <w:tc>
          <w:tcPr>
            <w:tcW w:w="2268" w:type="dxa"/>
          </w:tcPr>
          <w:p w14:paraId="55C1A3C9" w14:textId="77777777" w:rsidR="00DA52ED" w:rsidRPr="00A522AD" w:rsidRDefault="00DA52ED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PČR</w:t>
            </w:r>
          </w:p>
        </w:tc>
        <w:tc>
          <w:tcPr>
            <w:tcW w:w="7370" w:type="dxa"/>
          </w:tcPr>
          <w:p w14:paraId="00B54451" w14:textId="77777777" w:rsidR="00DA52ED" w:rsidRPr="009C058B" w:rsidRDefault="00DA52ED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Policie České republiky</w:t>
            </w:r>
          </w:p>
        </w:tc>
      </w:tr>
      <w:tr w:rsidR="00EE537E" w:rsidRPr="009C058B" w14:paraId="1981785B" w14:textId="77777777" w:rsidTr="007B5B05">
        <w:trPr>
          <w:trHeight w:val="283"/>
        </w:trPr>
        <w:tc>
          <w:tcPr>
            <w:tcW w:w="2268" w:type="dxa"/>
          </w:tcPr>
          <w:p w14:paraId="6CA6C6F9" w14:textId="6394FCCF" w:rsidR="00EE537E" w:rsidRPr="00A522AD" w:rsidRDefault="00EE537E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SW</w:t>
            </w:r>
          </w:p>
        </w:tc>
        <w:tc>
          <w:tcPr>
            <w:tcW w:w="7370" w:type="dxa"/>
          </w:tcPr>
          <w:p w14:paraId="552C2482" w14:textId="3A843A8A" w:rsidR="00EE537E" w:rsidRPr="009C058B" w:rsidRDefault="00EE537E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software</w:t>
            </w:r>
          </w:p>
        </w:tc>
      </w:tr>
      <w:tr w:rsidR="009C058B" w:rsidRPr="009C058B" w14:paraId="373F5D42" w14:textId="77777777" w:rsidTr="007B5B05">
        <w:trPr>
          <w:trHeight w:val="283"/>
        </w:trPr>
        <w:tc>
          <w:tcPr>
            <w:tcW w:w="2268" w:type="dxa"/>
          </w:tcPr>
          <w:p w14:paraId="42A778C3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VIS</w:t>
            </w:r>
          </w:p>
        </w:tc>
        <w:tc>
          <w:tcPr>
            <w:tcW w:w="7370" w:type="dxa"/>
          </w:tcPr>
          <w:p w14:paraId="2DD09DB8" w14:textId="77777777" w:rsidR="00F32DAA" w:rsidRPr="009C058B" w:rsidRDefault="004E6E2D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>v</w:t>
            </w:r>
            <w:r w:rsidR="00F32DAA" w:rsidRPr="009C058B">
              <w:rPr>
                <w:rFonts w:ascii="Calibri" w:hAnsi="Calibri" w:cs="Calibri"/>
                <w:color w:val="000000" w:themeColor="text1"/>
              </w:rPr>
              <w:t>ýznamné informační systémy</w:t>
            </w:r>
          </w:p>
        </w:tc>
      </w:tr>
      <w:tr w:rsidR="009C058B" w:rsidRPr="009C058B" w14:paraId="7E6A1DEA" w14:textId="77777777" w:rsidTr="007B5B05">
        <w:trPr>
          <w:trHeight w:val="283"/>
        </w:trPr>
        <w:tc>
          <w:tcPr>
            <w:tcW w:w="2268" w:type="dxa"/>
          </w:tcPr>
          <w:p w14:paraId="14E97669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Výzva č. 10</w:t>
            </w:r>
          </w:p>
        </w:tc>
        <w:tc>
          <w:tcPr>
            <w:tcW w:w="7370" w:type="dxa"/>
          </w:tcPr>
          <w:p w14:paraId="5B704DEB" w14:textId="77777777" w:rsidR="00F32DAA" w:rsidRPr="009C058B" w:rsidRDefault="00F32DAA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9C058B">
              <w:rPr>
                <w:rFonts w:ascii="Calibri" w:hAnsi="Calibri" w:cs="Calibri"/>
                <w:color w:val="000000" w:themeColor="text1"/>
              </w:rPr>
              <w:t xml:space="preserve">výzva IROP č. 10 – </w:t>
            </w:r>
            <w:r w:rsidRPr="00B71060">
              <w:rPr>
                <w:rFonts w:ascii="Calibri" w:hAnsi="Calibri" w:cs="Calibri"/>
                <w:i/>
                <w:color w:val="000000" w:themeColor="text1"/>
              </w:rPr>
              <w:t>Kybernetická bezpečnost</w:t>
            </w:r>
          </w:p>
        </w:tc>
      </w:tr>
      <w:tr w:rsidR="009C058B" w:rsidRPr="009C058B" w14:paraId="7C24E3DA" w14:textId="77777777" w:rsidTr="007B5B05">
        <w:trPr>
          <w:trHeight w:val="283"/>
        </w:trPr>
        <w:tc>
          <w:tcPr>
            <w:tcW w:w="2268" w:type="dxa"/>
          </w:tcPr>
          <w:p w14:paraId="480A8947" w14:textId="77777777" w:rsidR="00F32DAA" w:rsidRPr="00A522AD" w:rsidRDefault="00F32DAA" w:rsidP="00A522AD">
            <w:pPr>
              <w:spacing w:after="0" w:line="240" w:lineRule="auto"/>
              <w:rPr>
                <w:rFonts w:ascii="Calibri" w:hAnsi="Calibri" w:cs="Calibri"/>
                <w:b/>
                <w:szCs w:val="24"/>
              </w:rPr>
            </w:pPr>
            <w:r w:rsidRPr="00A522AD">
              <w:rPr>
                <w:rFonts w:ascii="Calibri" w:hAnsi="Calibri" w:cs="Calibri"/>
                <w:b/>
                <w:szCs w:val="24"/>
              </w:rPr>
              <w:t>ZKB</w:t>
            </w:r>
          </w:p>
        </w:tc>
        <w:tc>
          <w:tcPr>
            <w:tcW w:w="7370" w:type="dxa"/>
          </w:tcPr>
          <w:p w14:paraId="57413897" w14:textId="16970AAC" w:rsidR="00F32DAA" w:rsidRPr="009C058B" w:rsidRDefault="00EE537E" w:rsidP="00A522AD">
            <w:pPr>
              <w:pStyle w:val="Zkladn"/>
              <w:spacing w:before="0"/>
              <w:jc w:val="lef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z</w:t>
            </w:r>
            <w:r w:rsidR="00F32DAA" w:rsidRPr="009C058B">
              <w:rPr>
                <w:rFonts w:ascii="Calibri" w:hAnsi="Calibri" w:cs="Calibri"/>
                <w:color w:val="000000" w:themeColor="text1"/>
              </w:rPr>
              <w:t>ákon č. 181/2014 Sb.</w:t>
            </w:r>
            <w:r w:rsidR="00F32DAA" w:rsidRPr="00EE537E">
              <w:rPr>
                <w:rFonts w:ascii="Calibri" w:hAnsi="Calibri" w:cs="Calibri"/>
                <w:color w:val="000000" w:themeColor="text1"/>
              </w:rPr>
              <w:t>,</w:t>
            </w:r>
            <w:r w:rsidR="00F32DAA" w:rsidRPr="00B71060">
              <w:rPr>
                <w:rFonts w:ascii="Calibri" w:hAnsi="Calibri" w:cs="Calibri"/>
                <w:color w:val="000000" w:themeColor="text1"/>
              </w:rPr>
              <w:t xml:space="preserve"> o kybernetické bezpečnosti</w:t>
            </w:r>
          </w:p>
        </w:tc>
      </w:tr>
    </w:tbl>
    <w:p w14:paraId="2E460AB9" w14:textId="77777777" w:rsidR="00D17430" w:rsidRPr="001C0072" w:rsidRDefault="00D17430">
      <w:pPr>
        <w:jc w:val="left"/>
        <w:rPr>
          <w:rFonts w:ascii="Calibri" w:hAnsi="Calibri" w:cs="Calibri"/>
          <w:b/>
          <w:szCs w:val="24"/>
        </w:rPr>
      </w:pPr>
    </w:p>
    <w:p w14:paraId="50161DAB" w14:textId="77777777" w:rsidR="009C058B" w:rsidRDefault="009C058B">
      <w:pPr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5A7607EA" w14:textId="67C12D06" w:rsidR="00EE537E" w:rsidRDefault="00AC6933" w:rsidP="006D4622">
      <w:pPr>
        <w:spacing w:before="120" w:after="120"/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Příloha č. 1</w:t>
      </w:r>
    </w:p>
    <w:p w14:paraId="7B7D0761" w14:textId="254EC8B1" w:rsidR="005A6E25" w:rsidRPr="001C0072" w:rsidRDefault="000D2EB1" w:rsidP="00F32DAA">
      <w:pPr>
        <w:spacing w:before="120" w:after="120"/>
        <w:jc w:val="center"/>
        <w:rPr>
          <w:rFonts w:ascii="Calibri" w:hAnsi="Calibri" w:cs="Calibri"/>
          <w:b/>
          <w:szCs w:val="24"/>
        </w:rPr>
      </w:pPr>
      <w:r w:rsidRPr="001C0072">
        <w:rPr>
          <w:rFonts w:ascii="Calibri" w:hAnsi="Calibri" w:cs="Calibri"/>
          <w:b/>
          <w:szCs w:val="24"/>
        </w:rPr>
        <w:t>Mezinárodní srovnání</w:t>
      </w:r>
    </w:p>
    <w:p w14:paraId="0691016A" w14:textId="77777777" w:rsidR="000D2EB1" w:rsidRPr="001C0072" w:rsidRDefault="000D2EB1" w:rsidP="00AA1E82">
      <w:pPr>
        <w:spacing w:after="0"/>
        <w:rPr>
          <w:rFonts w:ascii="Calibri" w:hAnsi="Calibri" w:cs="Calibri"/>
        </w:rPr>
      </w:pPr>
      <w:r w:rsidRPr="001C0072">
        <w:rPr>
          <w:rFonts w:ascii="Calibri" w:hAnsi="Calibri" w:cs="Calibri"/>
        </w:rPr>
        <w:t>NKÚ oslovil</w:t>
      </w:r>
      <w:r w:rsidR="004E6E2D">
        <w:rPr>
          <w:rFonts w:ascii="Calibri" w:hAnsi="Calibri" w:cs="Calibri"/>
        </w:rPr>
        <w:t xml:space="preserve"> nejvyšší</w:t>
      </w:r>
      <w:r w:rsidRPr="001C0072">
        <w:rPr>
          <w:rFonts w:ascii="Calibri" w:hAnsi="Calibri" w:cs="Calibri"/>
        </w:rPr>
        <w:t xml:space="preserve"> kontr</w:t>
      </w:r>
      <w:r w:rsidR="009C3431" w:rsidRPr="001C0072">
        <w:rPr>
          <w:rFonts w:ascii="Calibri" w:hAnsi="Calibri" w:cs="Calibri"/>
        </w:rPr>
        <w:t>olní instituce ostatních zemí Evropské unie</w:t>
      </w:r>
      <w:r w:rsidRPr="001C0072">
        <w:rPr>
          <w:rFonts w:ascii="Calibri" w:hAnsi="Calibri" w:cs="Calibri"/>
        </w:rPr>
        <w:t xml:space="preserve"> s cílem získat informace týkající se zajištění KB v jiných zemích a srovnat problematiku KB na systémové úrovni. </w:t>
      </w:r>
      <w:r w:rsidR="002531A0" w:rsidRPr="001C0072">
        <w:rPr>
          <w:rFonts w:ascii="Calibri" w:hAnsi="Calibri" w:cs="Calibri"/>
        </w:rPr>
        <w:t>Z odpovědí oslovených zemí mimo jiné vyplynulo, že:</w:t>
      </w:r>
    </w:p>
    <w:p w14:paraId="03EFE5A6" w14:textId="3C6667B8" w:rsidR="002531A0" w:rsidRPr="001C0072" w:rsidRDefault="00EE537E" w:rsidP="007B5B05">
      <w:pPr>
        <w:pStyle w:val="Odstavecseseznamem"/>
        <w:numPr>
          <w:ilvl w:val="0"/>
          <w:numId w:val="33"/>
        </w:num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26FF7" w:rsidRPr="001C0072">
        <w:rPr>
          <w:rFonts w:ascii="Calibri" w:hAnsi="Calibri" w:cs="Calibri"/>
        </w:rPr>
        <w:t>eněžní prostředky vynakládané</w:t>
      </w:r>
      <w:r w:rsidR="002531A0" w:rsidRPr="001C0072">
        <w:rPr>
          <w:rFonts w:ascii="Calibri" w:hAnsi="Calibri" w:cs="Calibri"/>
        </w:rPr>
        <w:t xml:space="preserve"> na KB jsou na úrovni státního rozpočtu sledovány pouze ve Velké Británii</w:t>
      </w:r>
      <w:r>
        <w:rPr>
          <w:rFonts w:ascii="Calibri" w:hAnsi="Calibri" w:cs="Calibri"/>
        </w:rPr>
        <w:t>,</w:t>
      </w:r>
    </w:p>
    <w:p w14:paraId="2549D63E" w14:textId="35CD02D0" w:rsidR="002531A0" w:rsidRDefault="00EE537E" w:rsidP="007B5B05">
      <w:pPr>
        <w:pStyle w:val="Odstavecseseznamem"/>
        <w:numPr>
          <w:ilvl w:val="0"/>
          <w:numId w:val="33"/>
        </w:num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531A0" w:rsidRPr="001C0072">
        <w:rPr>
          <w:rFonts w:ascii="Calibri" w:hAnsi="Calibri" w:cs="Calibri"/>
        </w:rPr>
        <w:t xml:space="preserve">eznam </w:t>
      </w:r>
      <w:r w:rsidR="00D26FF7" w:rsidRPr="001C0072">
        <w:rPr>
          <w:rFonts w:ascii="Calibri" w:hAnsi="Calibri" w:cs="Calibri"/>
        </w:rPr>
        <w:t>VIS a KII</w:t>
      </w:r>
      <w:r w:rsidR="002531A0" w:rsidRPr="001C0072">
        <w:rPr>
          <w:rFonts w:ascii="Calibri" w:hAnsi="Calibri" w:cs="Calibri"/>
        </w:rPr>
        <w:t xml:space="preserve"> je považován za citlivou informaci</w:t>
      </w:r>
      <w:r>
        <w:rPr>
          <w:rFonts w:ascii="Calibri" w:hAnsi="Calibri" w:cs="Calibri"/>
        </w:rPr>
        <w:t>.</w:t>
      </w:r>
    </w:p>
    <w:p w14:paraId="1CACC033" w14:textId="6CB53052" w:rsidR="000D2EB1" w:rsidRPr="001C0072" w:rsidRDefault="000D2EB1" w:rsidP="000D2EB1">
      <w:pPr>
        <w:spacing w:after="120" w:line="252" w:lineRule="auto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Souhrnné výsledky dotazníkového šetření uvádí následující tabulka. Z tabulky je patrné, že </w:t>
      </w:r>
      <w:r w:rsidR="00F32DAA" w:rsidRPr="001C0072">
        <w:rPr>
          <w:rFonts w:ascii="Calibri" w:hAnsi="Calibri" w:cs="Calibri"/>
        </w:rPr>
        <w:t>ČR</w:t>
      </w:r>
      <w:r w:rsidRPr="001C0072">
        <w:rPr>
          <w:rFonts w:ascii="Calibri" w:hAnsi="Calibri" w:cs="Calibri"/>
        </w:rPr>
        <w:t xml:space="preserve"> má systém zajištění KB nastaven podobně jako ostatní srovnávané země. Ve všech sledovaných zemích existuje subjekt zodpovědný za oblast KB, ať již v podobě zvláštního státního orgánu či v podobě některého z ministerstev, pod které je problematika zařazena. Tento subjekt stanovuje kritéria pro určení klíčových informačních systémů, která jsou v případě většiny zemí součástí zákona. Posouzení, zda daný informační systém naplňuje kritéria klíčového systému, provádí buď správce daného informačního systému (tj</w:t>
      </w:r>
      <w:r w:rsidR="00EE06A0">
        <w:rPr>
          <w:rFonts w:ascii="Calibri" w:hAnsi="Calibri" w:cs="Calibri"/>
        </w:rPr>
        <w:t>.</w:t>
      </w:r>
      <w:r w:rsidR="005A14D2">
        <w:rPr>
          <w:rFonts w:ascii="Calibri" w:hAnsi="Calibri" w:cs="Calibri"/>
        </w:rPr>
        <w:t> </w:t>
      </w:r>
      <w:r w:rsidRPr="001C0072">
        <w:rPr>
          <w:rFonts w:ascii="Calibri" w:hAnsi="Calibri" w:cs="Calibri"/>
        </w:rPr>
        <w:t xml:space="preserve">ministerstvo, instituce) nebo zvláštní orgán </w:t>
      </w:r>
      <w:r w:rsidR="00C4792B" w:rsidRPr="001C0072">
        <w:rPr>
          <w:rFonts w:ascii="Calibri" w:hAnsi="Calibri" w:cs="Calibri"/>
        </w:rPr>
        <w:t>KB</w:t>
      </w:r>
      <w:r w:rsidRPr="001C0072">
        <w:rPr>
          <w:rFonts w:ascii="Calibri" w:hAnsi="Calibri" w:cs="Calibri"/>
        </w:rPr>
        <w:t xml:space="preserve">. Všechny sledované země za účelem dalšího rozvoje </w:t>
      </w:r>
      <w:r w:rsidR="00C4792B" w:rsidRPr="001C0072">
        <w:rPr>
          <w:rFonts w:ascii="Calibri" w:hAnsi="Calibri" w:cs="Calibri"/>
        </w:rPr>
        <w:t>KB</w:t>
      </w:r>
      <w:r w:rsidRPr="001C0072">
        <w:rPr>
          <w:rFonts w:ascii="Calibri" w:hAnsi="Calibri" w:cs="Calibri"/>
        </w:rPr>
        <w:t xml:space="preserve"> státních </w:t>
      </w:r>
      <w:r w:rsidR="00C4792B" w:rsidRPr="001C0072">
        <w:rPr>
          <w:rFonts w:ascii="Calibri" w:hAnsi="Calibri" w:cs="Calibri"/>
        </w:rPr>
        <w:t>IS</w:t>
      </w:r>
      <w:r w:rsidRPr="001C0072">
        <w:rPr>
          <w:rFonts w:ascii="Calibri" w:hAnsi="Calibri" w:cs="Calibri"/>
        </w:rPr>
        <w:t xml:space="preserve"> přijaly příslušnou strategii. </w:t>
      </w:r>
    </w:p>
    <w:p w14:paraId="2A56166E" w14:textId="4EE1C13F" w:rsidR="00C47F23" w:rsidRPr="001C0072" w:rsidRDefault="000D2EB1" w:rsidP="000D2EB1">
      <w:pPr>
        <w:spacing w:after="120"/>
        <w:rPr>
          <w:rFonts w:ascii="Calibri" w:hAnsi="Calibri" w:cs="Calibri"/>
        </w:rPr>
      </w:pPr>
      <w:r w:rsidRPr="001C0072">
        <w:rPr>
          <w:rFonts w:ascii="Calibri" w:hAnsi="Calibri" w:cs="Calibri"/>
        </w:rPr>
        <w:t xml:space="preserve">Výše v kontrolním závěru bylo popsáno, </w:t>
      </w:r>
      <w:r w:rsidR="00371553" w:rsidRPr="001C0072">
        <w:rPr>
          <w:rFonts w:ascii="Calibri" w:hAnsi="Calibri" w:cs="Calibri"/>
        </w:rPr>
        <w:t xml:space="preserve">že NÚKIB, potažmo stát, neměl v průběhu kontrolovaného období informace o celkové výši peněžních prostředků </w:t>
      </w:r>
      <w:r w:rsidR="0019578C" w:rsidRPr="001C0072">
        <w:rPr>
          <w:rFonts w:ascii="Calibri" w:hAnsi="Calibri" w:cs="Calibri"/>
        </w:rPr>
        <w:t xml:space="preserve">vynakládaných </w:t>
      </w:r>
      <w:r w:rsidR="00371553" w:rsidRPr="001C0072">
        <w:rPr>
          <w:rFonts w:ascii="Calibri" w:hAnsi="Calibri" w:cs="Calibri"/>
        </w:rPr>
        <w:t>jednotlivý</w:t>
      </w:r>
      <w:r w:rsidR="0019578C" w:rsidRPr="001C0072">
        <w:rPr>
          <w:rFonts w:ascii="Calibri" w:hAnsi="Calibri" w:cs="Calibri"/>
        </w:rPr>
        <w:t>mi</w:t>
      </w:r>
      <w:r w:rsidR="00371553" w:rsidRPr="001C0072">
        <w:rPr>
          <w:rFonts w:ascii="Calibri" w:hAnsi="Calibri" w:cs="Calibri"/>
        </w:rPr>
        <w:t xml:space="preserve"> kapitol</w:t>
      </w:r>
      <w:r w:rsidR="0019578C" w:rsidRPr="001C0072">
        <w:rPr>
          <w:rFonts w:ascii="Calibri" w:hAnsi="Calibri" w:cs="Calibri"/>
        </w:rPr>
        <w:t>ami</w:t>
      </w:r>
      <w:r w:rsidR="00371553" w:rsidRPr="001C0072">
        <w:rPr>
          <w:rFonts w:ascii="Calibri" w:hAnsi="Calibri" w:cs="Calibri"/>
        </w:rPr>
        <w:t xml:space="preserve"> státního rozpočtu na KB</w:t>
      </w:r>
      <w:r w:rsidRPr="001C0072">
        <w:rPr>
          <w:rFonts w:ascii="Calibri" w:hAnsi="Calibri" w:cs="Calibri"/>
        </w:rPr>
        <w:t xml:space="preserve">. Většina srovnávaných zemí má nastaven systém zajištění </w:t>
      </w:r>
      <w:r w:rsidR="00371553" w:rsidRPr="001C0072">
        <w:rPr>
          <w:rFonts w:ascii="Calibri" w:hAnsi="Calibri" w:cs="Calibri"/>
        </w:rPr>
        <w:t>KB</w:t>
      </w:r>
      <w:r w:rsidRPr="001C0072">
        <w:rPr>
          <w:rFonts w:ascii="Calibri" w:hAnsi="Calibri" w:cs="Calibri"/>
        </w:rPr>
        <w:t xml:space="preserve"> a jejího rozvoje podobně jako </w:t>
      </w:r>
      <w:r w:rsidR="00F32DAA" w:rsidRPr="001C0072">
        <w:rPr>
          <w:rFonts w:ascii="Calibri" w:hAnsi="Calibri" w:cs="Calibri"/>
        </w:rPr>
        <w:t>ČR</w:t>
      </w:r>
      <w:r w:rsidRPr="001C0072">
        <w:rPr>
          <w:rFonts w:ascii="Calibri" w:hAnsi="Calibri" w:cs="Calibri"/>
        </w:rPr>
        <w:t xml:space="preserve">. Za zmínku stojí </w:t>
      </w:r>
      <w:r w:rsidR="0028394C" w:rsidRPr="001C0072">
        <w:rPr>
          <w:rFonts w:ascii="Calibri" w:hAnsi="Calibri" w:cs="Calibri"/>
        </w:rPr>
        <w:t>rozdílný přístup k </w:t>
      </w:r>
      <w:r w:rsidRPr="001C0072">
        <w:rPr>
          <w:rFonts w:ascii="Calibri" w:hAnsi="Calibri" w:cs="Calibri"/>
        </w:rPr>
        <w:t xml:space="preserve">vykazování </w:t>
      </w:r>
      <w:r w:rsidR="00371553" w:rsidRPr="001C0072">
        <w:rPr>
          <w:rFonts w:ascii="Calibri" w:hAnsi="Calibri" w:cs="Calibri"/>
        </w:rPr>
        <w:t>peněžních prostředků</w:t>
      </w:r>
      <w:r w:rsidRPr="001C0072">
        <w:rPr>
          <w:rFonts w:ascii="Calibri" w:hAnsi="Calibri" w:cs="Calibri"/>
        </w:rPr>
        <w:t xml:space="preserve"> na zajištění a rozvoj </w:t>
      </w:r>
      <w:r w:rsidR="00371553" w:rsidRPr="001C0072">
        <w:rPr>
          <w:rFonts w:ascii="Calibri" w:hAnsi="Calibri" w:cs="Calibri"/>
        </w:rPr>
        <w:t>KB</w:t>
      </w:r>
      <w:r w:rsidRPr="001C0072">
        <w:rPr>
          <w:rFonts w:ascii="Calibri" w:hAnsi="Calibri" w:cs="Calibri"/>
        </w:rPr>
        <w:t xml:space="preserve"> v případě</w:t>
      </w:r>
      <w:r w:rsidR="005A14D2">
        <w:rPr>
          <w:rFonts w:ascii="Calibri" w:hAnsi="Calibri" w:cs="Calibri"/>
        </w:rPr>
        <w:t xml:space="preserve"> Velké Británie. Ta</w:t>
      </w:r>
      <w:r w:rsidR="00026F73">
        <w:rPr>
          <w:rFonts w:ascii="Calibri" w:hAnsi="Calibri" w:cs="Calibri"/>
        </w:rPr>
        <w:t xml:space="preserve"> </w:t>
      </w:r>
      <w:r w:rsidRPr="001C0072">
        <w:rPr>
          <w:rFonts w:ascii="Calibri" w:hAnsi="Calibri" w:cs="Calibri"/>
        </w:rPr>
        <w:t xml:space="preserve">vykazuje </w:t>
      </w:r>
      <w:r w:rsidR="00371553" w:rsidRPr="001C0072">
        <w:rPr>
          <w:rFonts w:ascii="Calibri" w:hAnsi="Calibri" w:cs="Calibri"/>
        </w:rPr>
        <w:t>peněžní prostředky</w:t>
      </w:r>
      <w:r w:rsidRPr="001C0072">
        <w:rPr>
          <w:rFonts w:ascii="Calibri" w:hAnsi="Calibri" w:cs="Calibri"/>
        </w:rPr>
        <w:t xml:space="preserve"> na zajištění a rozvoj </w:t>
      </w:r>
      <w:r w:rsidR="00371553" w:rsidRPr="001C0072">
        <w:rPr>
          <w:rFonts w:ascii="Calibri" w:hAnsi="Calibri" w:cs="Calibri"/>
        </w:rPr>
        <w:t>KB</w:t>
      </w:r>
      <w:r w:rsidRPr="001C0072">
        <w:rPr>
          <w:rFonts w:ascii="Calibri" w:hAnsi="Calibri" w:cs="Calibri"/>
        </w:rPr>
        <w:t xml:space="preserve"> státu na úrovni zvláštní položky rozpočtu. Díky tomu může Velká Británie lépe monitorovat výši prostředků, které jsou na </w:t>
      </w:r>
      <w:r w:rsidR="00371553" w:rsidRPr="001C0072">
        <w:rPr>
          <w:rFonts w:ascii="Calibri" w:hAnsi="Calibri" w:cs="Calibri"/>
        </w:rPr>
        <w:t>KB</w:t>
      </w:r>
      <w:r w:rsidRPr="001C0072">
        <w:rPr>
          <w:rFonts w:ascii="Calibri" w:hAnsi="Calibri" w:cs="Calibri"/>
        </w:rPr>
        <w:t xml:space="preserve"> vynakládány na úrovni celého státu.</w:t>
      </w:r>
    </w:p>
    <w:p w14:paraId="051E72F5" w14:textId="77777777" w:rsidR="000D2EB1" w:rsidRPr="007B5B05" w:rsidRDefault="000D2EB1" w:rsidP="00AA1E82">
      <w:pPr>
        <w:pStyle w:val="Titulek"/>
        <w:keepNext/>
        <w:rPr>
          <w:rFonts w:ascii="Calibri" w:hAnsi="Calibri" w:cs="Calibri"/>
          <w:b/>
          <w:i w:val="0"/>
          <w:color w:val="000000" w:themeColor="text1"/>
          <w:sz w:val="24"/>
        </w:rPr>
      </w:pPr>
      <w:r w:rsidRPr="007B5B05">
        <w:rPr>
          <w:rFonts w:ascii="Calibri" w:hAnsi="Calibri" w:cs="Calibri"/>
          <w:b/>
          <w:i w:val="0"/>
          <w:color w:val="000000" w:themeColor="text1"/>
          <w:sz w:val="24"/>
        </w:rPr>
        <w:lastRenderedPageBreak/>
        <w:t>Souhrn výsledků dotazníkového šetření</w:t>
      </w:r>
    </w:p>
    <w:tbl>
      <w:tblPr>
        <w:tblStyle w:val="Mkatabulky"/>
        <w:tblW w:w="9188" w:type="dxa"/>
        <w:jc w:val="center"/>
        <w:tblLook w:val="04A0" w:firstRow="1" w:lastRow="0" w:firstColumn="1" w:lastColumn="0" w:noHBand="0" w:noVBand="1"/>
      </w:tblPr>
      <w:tblGrid>
        <w:gridCol w:w="1304"/>
        <w:gridCol w:w="1361"/>
        <w:gridCol w:w="1361"/>
        <w:gridCol w:w="1191"/>
        <w:gridCol w:w="1193"/>
        <w:gridCol w:w="1417"/>
        <w:gridCol w:w="1361"/>
      </w:tblGrid>
      <w:tr w:rsidR="0053177D" w:rsidRPr="007B5B05" w14:paraId="3230B8D3" w14:textId="77777777" w:rsidTr="00DA671B">
        <w:trPr>
          <w:trHeight w:val="192"/>
          <w:jc w:val="center"/>
        </w:trPr>
        <w:tc>
          <w:tcPr>
            <w:tcW w:w="1304" w:type="dxa"/>
          </w:tcPr>
          <w:p w14:paraId="7C2CE75C" w14:textId="77777777" w:rsidR="000D2EB1" w:rsidRPr="007B5B05" w:rsidRDefault="000D2EB1" w:rsidP="00AA1E82">
            <w:pPr>
              <w:keepNext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E5F1FF"/>
          </w:tcPr>
          <w:p w14:paraId="61B4A3C3" w14:textId="77777777" w:rsidR="000D2EB1" w:rsidRPr="007B5B05" w:rsidRDefault="000D2EB1" w:rsidP="00AA1E82">
            <w:pPr>
              <w:keepNext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Česká republika</w:t>
            </w:r>
          </w:p>
        </w:tc>
        <w:tc>
          <w:tcPr>
            <w:tcW w:w="1361" w:type="dxa"/>
            <w:shd w:val="clear" w:color="auto" w:fill="E5F1FF"/>
          </w:tcPr>
          <w:p w14:paraId="69FB6D0B" w14:textId="77777777" w:rsidR="000D2EB1" w:rsidRPr="007B5B05" w:rsidRDefault="000D2EB1" w:rsidP="00AA1E82">
            <w:pPr>
              <w:keepNext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Lotyšsko</w:t>
            </w:r>
          </w:p>
        </w:tc>
        <w:tc>
          <w:tcPr>
            <w:tcW w:w="1191" w:type="dxa"/>
            <w:shd w:val="clear" w:color="auto" w:fill="E5F1FF"/>
          </w:tcPr>
          <w:p w14:paraId="6D932CD7" w14:textId="77777777" w:rsidR="000D2EB1" w:rsidRPr="007B5B05" w:rsidRDefault="000D2EB1" w:rsidP="00AA1E82">
            <w:pPr>
              <w:keepNext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Německo</w:t>
            </w:r>
          </w:p>
        </w:tc>
        <w:tc>
          <w:tcPr>
            <w:tcW w:w="1193" w:type="dxa"/>
            <w:shd w:val="clear" w:color="auto" w:fill="E5F1FF"/>
          </w:tcPr>
          <w:p w14:paraId="422C18E2" w14:textId="77777777" w:rsidR="000D2EB1" w:rsidRPr="007B5B05" w:rsidRDefault="000D2EB1" w:rsidP="00AA1E82">
            <w:pPr>
              <w:keepNext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Velká Británie</w:t>
            </w:r>
          </w:p>
        </w:tc>
        <w:tc>
          <w:tcPr>
            <w:tcW w:w="1417" w:type="dxa"/>
            <w:shd w:val="clear" w:color="auto" w:fill="E5F1FF"/>
          </w:tcPr>
          <w:p w14:paraId="30C37BC8" w14:textId="77777777" w:rsidR="000D2EB1" w:rsidRPr="007B5B05" w:rsidRDefault="000D2EB1" w:rsidP="00AA1E82">
            <w:pPr>
              <w:keepNext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Kypr</w:t>
            </w:r>
          </w:p>
        </w:tc>
        <w:tc>
          <w:tcPr>
            <w:tcW w:w="1361" w:type="dxa"/>
            <w:shd w:val="clear" w:color="auto" w:fill="E5F1FF"/>
          </w:tcPr>
          <w:p w14:paraId="56706DCA" w14:textId="77777777" w:rsidR="000D2EB1" w:rsidRPr="007B5B05" w:rsidRDefault="000D2EB1" w:rsidP="00AA1E82">
            <w:pPr>
              <w:keepNext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Finsko</w:t>
            </w:r>
          </w:p>
        </w:tc>
      </w:tr>
      <w:tr w:rsidR="0053177D" w:rsidRPr="007B5B05" w14:paraId="532336DB" w14:textId="77777777" w:rsidTr="00DA671B">
        <w:trPr>
          <w:trHeight w:val="558"/>
          <w:jc w:val="center"/>
        </w:trPr>
        <w:tc>
          <w:tcPr>
            <w:tcW w:w="1304" w:type="dxa"/>
            <w:shd w:val="clear" w:color="auto" w:fill="E5F1FF"/>
          </w:tcPr>
          <w:p w14:paraId="122F3359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Existence kritérií pro určení klíčových IS</w:t>
            </w:r>
          </w:p>
        </w:tc>
        <w:tc>
          <w:tcPr>
            <w:tcW w:w="1361" w:type="dxa"/>
          </w:tcPr>
          <w:p w14:paraId="37D195C1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1361" w:type="dxa"/>
          </w:tcPr>
          <w:p w14:paraId="7E6ADE55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1191" w:type="dxa"/>
          </w:tcPr>
          <w:p w14:paraId="64E05F2F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1193" w:type="dxa"/>
          </w:tcPr>
          <w:p w14:paraId="0EB0751B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1417" w:type="dxa"/>
          </w:tcPr>
          <w:p w14:paraId="228936EC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</w:p>
        </w:tc>
        <w:tc>
          <w:tcPr>
            <w:tcW w:w="1361" w:type="dxa"/>
          </w:tcPr>
          <w:p w14:paraId="050CB25C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</w:p>
        </w:tc>
      </w:tr>
      <w:tr w:rsidR="0053177D" w:rsidRPr="007B5B05" w14:paraId="4041A0D1" w14:textId="77777777" w:rsidTr="00DA671B">
        <w:trPr>
          <w:trHeight w:val="968"/>
          <w:jc w:val="center"/>
        </w:trPr>
        <w:tc>
          <w:tcPr>
            <w:tcW w:w="1304" w:type="dxa"/>
            <w:shd w:val="clear" w:color="auto" w:fill="E5F1FF"/>
          </w:tcPr>
          <w:p w14:paraId="08FC5BAF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Legislativní úprava kritérií</w:t>
            </w:r>
          </w:p>
        </w:tc>
        <w:tc>
          <w:tcPr>
            <w:tcW w:w="1361" w:type="dxa"/>
          </w:tcPr>
          <w:p w14:paraId="5456002C" w14:textId="2E8EAF91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Zákon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(o KB)</w:t>
            </w:r>
            <w:r w:rsidR="00026F7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02516949" w14:textId="5E6EAF57" w:rsidR="000D2EB1" w:rsidRPr="007B5B05" w:rsidRDefault="00026F73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v</w:t>
            </w:r>
            <w:r w:rsidR="000D2EB1"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yhláška</w:t>
            </w:r>
          </w:p>
        </w:tc>
        <w:tc>
          <w:tcPr>
            <w:tcW w:w="1361" w:type="dxa"/>
          </w:tcPr>
          <w:p w14:paraId="0840CC12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Zákon</w:t>
            </w:r>
          </w:p>
        </w:tc>
        <w:tc>
          <w:tcPr>
            <w:tcW w:w="1191" w:type="dxa"/>
          </w:tcPr>
          <w:p w14:paraId="38E18B02" w14:textId="4B71E64C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Zákon</w:t>
            </w:r>
            <w:r w:rsidR="000A229D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(o 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KB)</w:t>
            </w:r>
            <w:r w:rsidR="00026F7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3F9EAC9A" w14:textId="57499504" w:rsidR="000D2EB1" w:rsidRPr="007B5B05" w:rsidRDefault="00026F73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v</w:t>
            </w:r>
            <w:r w:rsidR="000D2EB1"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yhláška</w:t>
            </w:r>
          </w:p>
        </w:tc>
        <w:tc>
          <w:tcPr>
            <w:tcW w:w="1193" w:type="dxa"/>
          </w:tcPr>
          <w:p w14:paraId="4550552E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Jiný metodický materiál</w:t>
            </w:r>
          </w:p>
        </w:tc>
        <w:tc>
          <w:tcPr>
            <w:tcW w:w="1417" w:type="dxa"/>
          </w:tcPr>
          <w:p w14:paraId="35E09942" w14:textId="4BCC642D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Zákon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(obecná krité</w:t>
            </w:r>
            <w:r w:rsidR="000A229D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ria)</w:t>
            </w:r>
            <w:r w:rsidR="00026F7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046440C3" w14:textId="3CE69052" w:rsidR="000D2EB1" w:rsidRPr="007B5B05" w:rsidRDefault="00026F73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j</w:t>
            </w:r>
            <w:r w:rsidR="000D2EB1"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iný metodický materiál</w:t>
            </w:r>
            <w:r w:rsidR="000D2EB1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(detailní kritéria)</w:t>
            </w:r>
          </w:p>
        </w:tc>
        <w:tc>
          <w:tcPr>
            <w:tcW w:w="1361" w:type="dxa"/>
          </w:tcPr>
          <w:p w14:paraId="15152CC5" w14:textId="7D23ED34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Zákon</w:t>
            </w:r>
            <w:r w:rsidR="00026F73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,</w:t>
            </w: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68633052" w14:textId="743B79C5" w:rsidR="000D2EB1" w:rsidRPr="007B5B05" w:rsidRDefault="00026F73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j</w:t>
            </w:r>
            <w:r w:rsidR="000D2EB1"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iný metodický materiál</w:t>
            </w:r>
          </w:p>
        </w:tc>
      </w:tr>
      <w:tr w:rsidR="0053177D" w:rsidRPr="007B5B05" w14:paraId="2A91E37C" w14:textId="77777777" w:rsidTr="00DA671B">
        <w:trPr>
          <w:trHeight w:val="1135"/>
          <w:jc w:val="center"/>
        </w:trPr>
        <w:tc>
          <w:tcPr>
            <w:tcW w:w="1304" w:type="dxa"/>
            <w:shd w:val="clear" w:color="auto" w:fill="E5F1FF"/>
          </w:tcPr>
          <w:p w14:paraId="30C34266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Orgán odpovědný za kybernetickou bezpečnost </w:t>
            </w:r>
          </w:p>
        </w:tc>
        <w:tc>
          <w:tcPr>
            <w:tcW w:w="1361" w:type="dxa"/>
          </w:tcPr>
          <w:p w14:paraId="4DD7200A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Zvláštní orgán KB </w:t>
            </w:r>
          </w:p>
          <w:p w14:paraId="50F5096E" w14:textId="28BB6E8F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(N</w:t>
            </w:r>
            <w:r w:rsidR="00026F7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Ú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KIB)</w:t>
            </w:r>
          </w:p>
        </w:tc>
        <w:tc>
          <w:tcPr>
            <w:tcW w:w="1361" w:type="dxa"/>
          </w:tcPr>
          <w:p w14:paraId="6377AD15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Ministerstvo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(obrany, které zodpovídá za KB)</w:t>
            </w:r>
          </w:p>
        </w:tc>
        <w:tc>
          <w:tcPr>
            <w:tcW w:w="1191" w:type="dxa"/>
          </w:tcPr>
          <w:p w14:paraId="0137DC98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Ministerstvo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r w:rsidR="00D463BF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Spolkové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ministerstvo vnitra, výstavby a</w:t>
            </w:r>
            <w:r w:rsidR="0053177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domova)</w:t>
            </w:r>
          </w:p>
        </w:tc>
        <w:tc>
          <w:tcPr>
            <w:tcW w:w="1193" w:type="dxa"/>
          </w:tcPr>
          <w:p w14:paraId="57165E27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Ministerstvo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(Úřad vlády, Centrum pro ochranu národní infrastruktury)</w:t>
            </w:r>
          </w:p>
        </w:tc>
        <w:tc>
          <w:tcPr>
            <w:tcW w:w="1417" w:type="dxa"/>
          </w:tcPr>
          <w:p w14:paraId="1026DB15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Zvláštní orgán KB </w:t>
            </w:r>
          </w:p>
          <w:p w14:paraId="3DAF7C8F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(Úřad digitální bezpečnosti)</w:t>
            </w:r>
          </w:p>
        </w:tc>
        <w:tc>
          <w:tcPr>
            <w:tcW w:w="1361" w:type="dxa"/>
          </w:tcPr>
          <w:p w14:paraId="104A622D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Ministerstvo</w:t>
            </w:r>
          </w:p>
          <w:p w14:paraId="10A5253A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(financí, které zodpovídá za KB)</w:t>
            </w:r>
          </w:p>
        </w:tc>
      </w:tr>
      <w:tr w:rsidR="0053177D" w:rsidRPr="007B5B05" w14:paraId="1A967067" w14:textId="77777777" w:rsidTr="00DA671B">
        <w:trPr>
          <w:trHeight w:val="2252"/>
          <w:jc w:val="center"/>
        </w:trPr>
        <w:tc>
          <w:tcPr>
            <w:tcW w:w="1304" w:type="dxa"/>
            <w:shd w:val="clear" w:color="auto" w:fill="E5F1FF"/>
          </w:tcPr>
          <w:p w14:paraId="39D0D57A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Orgán posuzující naplnění kritérií kritických IS</w:t>
            </w:r>
          </w:p>
        </w:tc>
        <w:tc>
          <w:tcPr>
            <w:tcW w:w="1361" w:type="dxa"/>
          </w:tcPr>
          <w:p w14:paraId="1B9A8376" w14:textId="75D0F65E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Správce IS, 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výsledky 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předává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N</w:t>
            </w:r>
            <w:r w:rsidR="00026F7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Ú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KIB (ten dá významné IS a</w:t>
            </w:r>
            <w:r w:rsidR="0053177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základní služby na příslušný seznam a</w:t>
            </w:r>
            <w:r w:rsidR="0053177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</w:t>
            </w:r>
            <w:r w:rsidR="0053177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kritických IS dá požadavek na zařazení do seznamu kritické infrastruktury</w:t>
            </w:r>
          </w:p>
        </w:tc>
        <w:tc>
          <w:tcPr>
            <w:tcW w:w="1361" w:type="dxa"/>
          </w:tcPr>
          <w:p w14:paraId="11B20D0D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Správce IS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 u</w:t>
            </w:r>
            <w:r w:rsidR="0053177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kritických IS správce nebo úřad bezpečnosti (návrh posoudí meziresortní komise pro národní bezpečnost a</w:t>
            </w:r>
            <w:r w:rsidR="0053177D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předloží ke schválení vládě)</w:t>
            </w:r>
          </w:p>
        </w:tc>
        <w:tc>
          <w:tcPr>
            <w:tcW w:w="1191" w:type="dxa"/>
          </w:tcPr>
          <w:p w14:paraId="76AB74A0" w14:textId="6C887865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Správce IS 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(pokud vyhodnotí jako kritický IS, kontaktuje 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Ú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řad pro informační bezpečnost)</w:t>
            </w:r>
          </w:p>
        </w:tc>
        <w:tc>
          <w:tcPr>
            <w:tcW w:w="1193" w:type="dxa"/>
          </w:tcPr>
          <w:p w14:paraId="2AA61437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Respondentovi není známo</w:t>
            </w:r>
          </w:p>
        </w:tc>
        <w:tc>
          <w:tcPr>
            <w:tcW w:w="1417" w:type="dxa"/>
          </w:tcPr>
          <w:p w14:paraId="40623FA6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Zvláštní orgán KB </w:t>
            </w:r>
          </w:p>
          <w:p w14:paraId="14308997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(Úřad digitální bezpečnosti)</w:t>
            </w:r>
          </w:p>
        </w:tc>
        <w:tc>
          <w:tcPr>
            <w:tcW w:w="1361" w:type="dxa"/>
          </w:tcPr>
          <w:p w14:paraId="251B27DF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Zvláštní orgán KB </w:t>
            </w:r>
          </w:p>
          <w:p w14:paraId="1DD54A77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(Národní centrum pro KB)</w:t>
            </w:r>
          </w:p>
        </w:tc>
      </w:tr>
      <w:tr w:rsidR="0053177D" w:rsidRPr="007B5B05" w14:paraId="48D4CA95" w14:textId="77777777" w:rsidTr="00DA671B">
        <w:trPr>
          <w:trHeight w:val="1773"/>
          <w:jc w:val="center"/>
        </w:trPr>
        <w:tc>
          <w:tcPr>
            <w:tcW w:w="1304" w:type="dxa"/>
            <w:shd w:val="clear" w:color="auto" w:fill="E5F1FF"/>
          </w:tcPr>
          <w:p w14:paraId="1862E99A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Počet veřejných IS, z toho kritických</w:t>
            </w:r>
          </w:p>
        </w:tc>
        <w:tc>
          <w:tcPr>
            <w:tcW w:w="1361" w:type="dxa"/>
          </w:tcPr>
          <w:p w14:paraId="25A865AE" w14:textId="064939E3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000</w:t>
            </w:r>
          </w:p>
          <w:p w14:paraId="4851888C" w14:textId="6940C0B3" w:rsidR="000D2EB1" w:rsidRPr="007B5B05" w:rsidRDefault="000D2EB1" w:rsidP="00AA1E82">
            <w:pPr>
              <w:pStyle w:val="Odstavecseseznamem"/>
              <w:keepNext/>
              <w:numPr>
                <w:ilvl w:val="0"/>
                <w:numId w:val="29"/>
              </w:numPr>
              <w:ind w:left="142" w:hanging="142"/>
              <w:contextualSpacing w:val="0"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45 kritických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7AF02F82" w14:textId="7C837D3F" w:rsidR="000D2EB1" w:rsidRPr="007B5B05" w:rsidRDefault="000D2EB1" w:rsidP="00AA1E82">
            <w:pPr>
              <w:pStyle w:val="Odstavecseseznamem"/>
              <w:keepNext/>
              <w:numPr>
                <w:ilvl w:val="0"/>
                <w:numId w:val="29"/>
              </w:numPr>
              <w:ind w:left="142" w:hanging="142"/>
              <w:contextualSpacing w:val="0"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178 významných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6B5B8775" w14:textId="77777777" w:rsidR="000D2EB1" w:rsidRPr="007B5B05" w:rsidRDefault="000D2EB1" w:rsidP="00AA1E82">
            <w:pPr>
              <w:pStyle w:val="Odstavecseseznamem"/>
              <w:keepNext/>
              <w:numPr>
                <w:ilvl w:val="0"/>
                <w:numId w:val="29"/>
              </w:numPr>
              <w:ind w:left="142" w:hanging="142"/>
              <w:contextualSpacing w:val="0"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30 poskytovatelů základních služeb</w:t>
            </w:r>
          </w:p>
        </w:tc>
        <w:tc>
          <w:tcPr>
            <w:tcW w:w="1361" w:type="dxa"/>
          </w:tcPr>
          <w:p w14:paraId="31688FD0" w14:textId="1BAFAE52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Celkový počet IS není znám, počet kritických je vyhrazená info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rmace</w:t>
            </w:r>
          </w:p>
        </w:tc>
        <w:tc>
          <w:tcPr>
            <w:tcW w:w="1191" w:type="dxa"/>
          </w:tcPr>
          <w:p w14:paraId="1361DF3B" w14:textId="05D8A2C4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Celkový počet IS nelze kvantifikovat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2CBD848B" w14:textId="2E41CE4B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500 kritických IS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7D92A57B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600 operátorů kritické infrastruktury</w:t>
            </w:r>
          </w:p>
        </w:tc>
        <w:tc>
          <w:tcPr>
            <w:tcW w:w="1193" w:type="dxa"/>
          </w:tcPr>
          <w:p w14:paraId="7DE3497B" w14:textId="13559F13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Info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rmace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není veřejně dostupná</w:t>
            </w:r>
          </w:p>
        </w:tc>
        <w:tc>
          <w:tcPr>
            <w:tcW w:w="1417" w:type="dxa"/>
          </w:tcPr>
          <w:p w14:paraId="1386DFCF" w14:textId="5330AC01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Údaj o celkovém počtu IS neuveden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3844BFDF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50 kritických IS + další v polostátním sektoru (organizace vlastněné vládou)</w:t>
            </w:r>
          </w:p>
        </w:tc>
        <w:tc>
          <w:tcPr>
            <w:tcW w:w="1361" w:type="dxa"/>
          </w:tcPr>
          <w:p w14:paraId="4081A647" w14:textId="717AE3F8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000 IS ve veřejném sektoru </w:t>
            </w:r>
          </w:p>
        </w:tc>
      </w:tr>
      <w:tr w:rsidR="0053177D" w:rsidRPr="007B5B05" w14:paraId="4A96B832" w14:textId="77777777" w:rsidTr="00DA671B">
        <w:trPr>
          <w:trHeight w:val="2551"/>
          <w:jc w:val="center"/>
        </w:trPr>
        <w:tc>
          <w:tcPr>
            <w:tcW w:w="1304" w:type="dxa"/>
            <w:shd w:val="clear" w:color="auto" w:fill="E5F1FF"/>
          </w:tcPr>
          <w:p w14:paraId="266C9956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Financování zajištění kybernetické bezpečnosti </w:t>
            </w:r>
          </w:p>
        </w:tc>
        <w:tc>
          <w:tcPr>
            <w:tcW w:w="1361" w:type="dxa"/>
          </w:tcPr>
          <w:p w14:paraId="2F433E9A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Na úrovni správce IS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(není zvláštní rozpočtová položka, proto nelze kvantifikovat plánované náklady na KB)</w:t>
            </w:r>
          </w:p>
        </w:tc>
        <w:tc>
          <w:tcPr>
            <w:tcW w:w="1361" w:type="dxa"/>
          </w:tcPr>
          <w:p w14:paraId="41C562ED" w14:textId="04F13F53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Na úrovni správce IS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(není zvláštní rozpočtová položka, proto nelze kvantifikovat plánované náklady na KB)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;</w:t>
            </w:r>
          </w:p>
          <w:p w14:paraId="4C70F4CA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246BC94B" w14:textId="3BBDE1FE" w:rsidR="000D2EB1" w:rsidRPr="007B5B05" w:rsidRDefault="003D5BF5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</w:t>
            </w:r>
            <w:r w:rsidR="000D2EB1"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 úrovni zvláštního orgánu KB</w:t>
            </w:r>
          </w:p>
        </w:tc>
        <w:tc>
          <w:tcPr>
            <w:tcW w:w="1191" w:type="dxa"/>
          </w:tcPr>
          <w:p w14:paraId="561608E7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Na úrovni správce IS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u w:val="single"/>
              </w:rPr>
              <w:t>většinou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není zvláštní rozpočtová položka, proto </w:t>
            </w: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u w:val="single"/>
              </w:rPr>
              <w:t>většinou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nelze kvantifikovat plánované náklady na KB)</w:t>
            </w:r>
          </w:p>
        </w:tc>
        <w:tc>
          <w:tcPr>
            <w:tcW w:w="1193" w:type="dxa"/>
          </w:tcPr>
          <w:p w14:paraId="26606AC6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Na úrovni státního rozpočtu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(zvláštní rozpočtová položka) </w:t>
            </w:r>
          </w:p>
        </w:tc>
        <w:tc>
          <w:tcPr>
            <w:tcW w:w="1417" w:type="dxa"/>
          </w:tcPr>
          <w:p w14:paraId="5BECF423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Na úrovni správce IS 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(respondent neuvádí detaily, ale vzhledem k nemožnosti vyčíslit náklady v následující otázce lze předpokládat, že ani zde není zvláštní rozpočtová položka)</w:t>
            </w:r>
          </w:p>
        </w:tc>
        <w:tc>
          <w:tcPr>
            <w:tcW w:w="1361" w:type="dxa"/>
          </w:tcPr>
          <w:p w14:paraId="2C5EC420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Na úrovni správce IS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(není zvláštní rozpočtová položka, proto nelze kvantifikovat plánované náklady na KB)</w:t>
            </w:r>
          </w:p>
        </w:tc>
      </w:tr>
      <w:tr w:rsidR="0053177D" w:rsidRPr="007B5B05" w14:paraId="60A66207" w14:textId="77777777" w:rsidTr="00DA671B">
        <w:trPr>
          <w:trHeight w:val="1684"/>
          <w:jc w:val="center"/>
        </w:trPr>
        <w:tc>
          <w:tcPr>
            <w:tcW w:w="1304" w:type="dxa"/>
            <w:shd w:val="clear" w:color="auto" w:fill="E5F1FF"/>
          </w:tcPr>
          <w:p w14:paraId="13253553" w14:textId="7E93A8D5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Náklady na KB IS 2015</w:t>
            </w:r>
            <w:r w:rsidR="006E2CA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–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361" w:type="dxa"/>
          </w:tcPr>
          <w:p w14:paraId="157B7EDB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Není možné stanovit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(vzhledem ke způsobu plánování nákladů viz výše)</w:t>
            </w:r>
          </w:p>
        </w:tc>
        <w:tc>
          <w:tcPr>
            <w:tcW w:w="1361" w:type="dxa"/>
          </w:tcPr>
          <w:p w14:paraId="3DBE58E6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Není možné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stanovit (vzhledem ke způsobu plánování nákladů viz výše)</w:t>
            </w:r>
          </w:p>
        </w:tc>
        <w:tc>
          <w:tcPr>
            <w:tcW w:w="1191" w:type="dxa"/>
          </w:tcPr>
          <w:p w14:paraId="4A653204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Není možné stanovit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(vzhledem ke způsobu plánování nákladů viz výše)</w:t>
            </w:r>
          </w:p>
        </w:tc>
        <w:tc>
          <w:tcPr>
            <w:tcW w:w="1193" w:type="dxa"/>
          </w:tcPr>
          <w:p w14:paraId="273CA1B7" w14:textId="01C0F23D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1,3 mld. GBP (2016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–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21)</w:t>
            </w:r>
          </w:p>
        </w:tc>
        <w:tc>
          <w:tcPr>
            <w:tcW w:w="1417" w:type="dxa"/>
          </w:tcPr>
          <w:p w14:paraId="5C14B049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Není možné stanovit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(vzhledem ke způsobu plánování nákladů viz výše)</w:t>
            </w:r>
          </w:p>
        </w:tc>
        <w:tc>
          <w:tcPr>
            <w:tcW w:w="1361" w:type="dxa"/>
          </w:tcPr>
          <w:p w14:paraId="20BBD350" w14:textId="6219AF34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Není možné stanovit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(vzhledem ke způsobu plánování nákladů viz výše). Řeší se. Možné zlepšení do budoucna</w:t>
            </w:r>
          </w:p>
        </w:tc>
      </w:tr>
      <w:tr w:rsidR="0053177D" w:rsidRPr="007B5B05" w14:paraId="14309FA1" w14:textId="77777777" w:rsidTr="00DA671B">
        <w:trPr>
          <w:trHeight w:val="1135"/>
          <w:jc w:val="center"/>
        </w:trPr>
        <w:tc>
          <w:tcPr>
            <w:tcW w:w="1304" w:type="dxa"/>
            <w:shd w:val="clear" w:color="auto" w:fill="E5F1FF"/>
          </w:tcPr>
          <w:p w14:paraId="6A0B88B2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Strategie rozvoje kybernetické bezpečnosti</w:t>
            </w:r>
          </w:p>
        </w:tc>
        <w:tc>
          <w:tcPr>
            <w:tcW w:w="1361" w:type="dxa"/>
          </w:tcPr>
          <w:p w14:paraId="578812EB" w14:textId="0E633BB5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(2015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–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20)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1A4A9DAF" w14:textId="0FF642C2" w:rsidR="000D2EB1" w:rsidRPr="007B5B05" w:rsidRDefault="003D5BF5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</w:t>
            </w:r>
            <w:r w:rsidR="000D2EB1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ydal zvláštní orgán KB</w:t>
            </w:r>
          </w:p>
          <w:p w14:paraId="3B901406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+ akční plán</w:t>
            </w:r>
          </w:p>
        </w:tc>
        <w:tc>
          <w:tcPr>
            <w:tcW w:w="1361" w:type="dxa"/>
          </w:tcPr>
          <w:p w14:paraId="215CEEAB" w14:textId="756BC232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(2019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–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22)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053CCA5A" w14:textId="4206016F" w:rsidR="000D2EB1" w:rsidRPr="007B5B05" w:rsidRDefault="003D5BF5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</w:t>
            </w:r>
            <w:r w:rsidR="000D2EB1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řipravilo MO odpovědné za KB, schválila vláda</w:t>
            </w:r>
          </w:p>
          <w:p w14:paraId="082B82F7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+ akční plán</w:t>
            </w:r>
          </w:p>
        </w:tc>
        <w:tc>
          <w:tcPr>
            <w:tcW w:w="1191" w:type="dxa"/>
          </w:tcPr>
          <w:p w14:paraId="084BEDEA" w14:textId="77777777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(2016)</w:t>
            </w:r>
          </w:p>
        </w:tc>
        <w:tc>
          <w:tcPr>
            <w:tcW w:w="1193" w:type="dxa"/>
          </w:tcPr>
          <w:p w14:paraId="63F2D59D" w14:textId="7B71D02B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(2016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–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21)</w:t>
            </w:r>
          </w:p>
        </w:tc>
        <w:tc>
          <w:tcPr>
            <w:tcW w:w="1417" w:type="dxa"/>
          </w:tcPr>
          <w:p w14:paraId="75F9DD4C" w14:textId="110E51B4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(2012)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0DAB90B8" w14:textId="584C0173" w:rsidR="000D2EB1" w:rsidRPr="007B5B05" w:rsidRDefault="003D5BF5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</w:t>
            </w:r>
            <w:r w:rsidR="000D2EB1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ydal zvláštní orgán KB</w:t>
            </w:r>
          </w:p>
        </w:tc>
        <w:tc>
          <w:tcPr>
            <w:tcW w:w="1361" w:type="dxa"/>
          </w:tcPr>
          <w:p w14:paraId="09DB89BC" w14:textId="0AE21328" w:rsidR="000D2EB1" w:rsidRPr="007B5B05" w:rsidRDefault="000D2EB1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B5B05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ANO</w:t>
            </w:r>
            <w:r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(2019)</w:t>
            </w:r>
            <w:r w:rsidR="003D5BF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14:paraId="463FAF30" w14:textId="76E06E1E" w:rsidR="000D2EB1" w:rsidRPr="007B5B05" w:rsidRDefault="003D5BF5" w:rsidP="00AA1E82">
            <w:pPr>
              <w:keepNext/>
              <w:jc w:val="lef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</w:t>
            </w:r>
            <w:r w:rsidR="000D2EB1" w:rsidRPr="007B5B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ude detailnější implementační plán</w:t>
            </w:r>
          </w:p>
        </w:tc>
      </w:tr>
    </w:tbl>
    <w:p w14:paraId="28689924" w14:textId="1AED70D5" w:rsidR="000D2EB1" w:rsidRPr="001C0072" w:rsidRDefault="000D2EB1" w:rsidP="00B7083A">
      <w:pPr>
        <w:spacing w:before="40" w:after="0"/>
        <w:rPr>
          <w:rFonts w:ascii="Calibri" w:hAnsi="Calibri" w:cs="Calibri"/>
          <w:sz w:val="20"/>
          <w:szCs w:val="20"/>
        </w:rPr>
      </w:pPr>
      <w:r w:rsidRPr="00470B2F">
        <w:rPr>
          <w:rFonts w:ascii="Calibri" w:hAnsi="Calibri" w:cs="Calibri"/>
          <w:b/>
          <w:sz w:val="20"/>
          <w:szCs w:val="20"/>
        </w:rPr>
        <w:t>Zdroj:</w:t>
      </w:r>
      <w:r w:rsidRPr="001C0072">
        <w:rPr>
          <w:rFonts w:ascii="Calibri" w:hAnsi="Calibri" w:cs="Calibri"/>
          <w:sz w:val="20"/>
          <w:szCs w:val="20"/>
        </w:rPr>
        <w:t xml:space="preserve"> </w:t>
      </w:r>
      <w:r w:rsidR="003D5BF5">
        <w:rPr>
          <w:rFonts w:ascii="Calibri" w:hAnsi="Calibri" w:cs="Calibri"/>
          <w:sz w:val="20"/>
          <w:szCs w:val="20"/>
        </w:rPr>
        <w:t>vypracoval NKÚ</w:t>
      </w:r>
      <w:r w:rsidRPr="001C0072">
        <w:rPr>
          <w:rFonts w:ascii="Calibri" w:hAnsi="Calibri" w:cs="Calibri"/>
          <w:sz w:val="20"/>
          <w:szCs w:val="20"/>
        </w:rPr>
        <w:t xml:space="preserve"> dle</w:t>
      </w:r>
      <w:r w:rsidR="00470B2F">
        <w:rPr>
          <w:rFonts w:ascii="Calibri" w:hAnsi="Calibri" w:cs="Calibri"/>
          <w:sz w:val="20"/>
          <w:szCs w:val="20"/>
        </w:rPr>
        <w:t xml:space="preserve"> odpovědí kontrolních institucí.</w:t>
      </w:r>
    </w:p>
    <w:sectPr w:rsidR="000D2EB1" w:rsidRPr="001C0072" w:rsidSect="004D48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1D04" w14:textId="77777777" w:rsidR="00CB311A" w:rsidRDefault="00CB311A" w:rsidP="002A30AC">
      <w:pPr>
        <w:spacing w:after="0" w:line="240" w:lineRule="auto"/>
      </w:pPr>
      <w:r>
        <w:separator/>
      </w:r>
    </w:p>
  </w:endnote>
  <w:endnote w:type="continuationSeparator" w:id="0">
    <w:p w14:paraId="2A4E173E" w14:textId="77777777" w:rsidR="00CB311A" w:rsidRDefault="00CB311A" w:rsidP="002A30AC">
      <w:pPr>
        <w:spacing w:after="0" w:line="240" w:lineRule="auto"/>
      </w:pPr>
      <w:r>
        <w:continuationSeparator/>
      </w:r>
    </w:p>
  </w:endnote>
  <w:endnote w:type="continuationNotice" w:id="1">
    <w:p w14:paraId="3FFD24A9" w14:textId="77777777" w:rsidR="00CB311A" w:rsidRDefault="00CB3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C036" w14:textId="77777777" w:rsidR="00C46889" w:rsidRDefault="00C46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247421"/>
      <w:docPartObj>
        <w:docPartGallery w:val="Page Numbers (Bottom of Page)"/>
        <w:docPartUnique/>
      </w:docPartObj>
    </w:sdtPr>
    <w:sdtEndPr/>
    <w:sdtContent>
      <w:p w14:paraId="23A1F645" w14:textId="13A8D9A7" w:rsidR="00CB311A" w:rsidRDefault="00CB311A" w:rsidP="009F34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4F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D1DB1" w14:textId="77777777" w:rsidR="00CB311A" w:rsidRPr="009F3413" w:rsidRDefault="00CB311A" w:rsidP="009F3413">
    <w:pPr>
      <w:pStyle w:val="Zpat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50B1" w14:textId="77777777" w:rsidR="00CB311A" w:rsidRDefault="00CB311A" w:rsidP="002A30AC">
      <w:pPr>
        <w:spacing w:after="0" w:line="240" w:lineRule="auto"/>
      </w:pPr>
      <w:r>
        <w:separator/>
      </w:r>
    </w:p>
  </w:footnote>
  <w:footnote w:type="continuationSeparator" w:id="0">
    <w:p w14:paraId="6EB0F52D" w14:textId="77777777" w:rsidR="00CB311A" w:rsidRDefault="00CB311A" w:rsidP="002A30AC">
      <w:pPr>
        <w:spacing w:after="0" w:line="240" w:lineRule="auto"/>
      </w:pPr>
      <w:r>
        <w:continuationSeparator/>
      </w:r>
    </w:p>
  </w:footnote>
  <w:footnote w:type="continuationNotice" w:id="1">
    <w:p w14:paraId="35C3F375" w14:textId="77777777" w:rsidR="00CB311A" w:rsidRDefault="00CB311A">
      <w:pPr>
        <w:spacing w:after="0" w:line="240" w:lineRule="auto"/>
      </w:pPr>
    </w:p>
  </w:footnote>
  <w:footnote w:id="2">
    <w:p w14:paraId="2A7346B2" w14:textId="400B4870" w:rsidR="00CB311A" w:rsidRPr="00797ECF" w:rsidRDefault="00CB311A" w:rsidP="00797ECF">
      <w:pPr>
        <w:pStyle w:val="Textpoznpodarou"/>
        <w:ind w:left="284" w:hanging="284"/>
        <w:rPr>
          <w:rFonts w:ascii="Calibri" w:hAnsi="Calibri" w:cs="Calibri"/>
          <w:color w:val="000000" w:themeColor="text1"/>
        </w:rPr>
      </w:pPr>
      <w:r w:rsidRPr="00797ECF">
        <w:rPr>
          <w:rStyle w:val="Znakapoznpodarou"/>
          <w:rFonts w:ascii="Calibri" w:hAnsi="Calibri" w:cs="Calibri"/>
        </w:rPr>
        <w:footnoteRef/>
      </w:r>
      <w:r w:rsidRPr="00797E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97ECF">
        <w:rPr>
          <w:rFonts w:ascii="Calibri" w:hAnsi="Calibri" w:cs="Calibri"/>
          <w:b/>
          <w:color w:val="000000" w:themeColor="text1"/>
        </w:rPr>
        <w:t>KII</w:t>
      </w:r>
      <w:r w:rsidRPr="00797EC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–</w:t>
      </w:r>
      <w:r w:rsidRPr="00797ECF">
        <w:rPr>
          <w:rFonts w:ascii="Calibri" w:hAnsi="Calibri" w:cs="Calibri"/>
          <w:color w:val="000000" w:themeColor="text1"/>
        </w:rPr>
        <w:t xml:space="preserve"> systém, u kterého by </w:t>
      </w:r>
      <w:r w:rsidRPr="00797ECF">
        <w:rPr>
          <w:rFonts w:ascii="Calibri" w:hAnsi="Calibri" w:cs="Calibri"/>
          <w:color w:val="000000" w:themeColor="text1"/>
          <w:shd w:val="clear" w:color="auto" w:fill="FFFFFF"/>
        </w:rPr>
        <w:t>narušení funkce mělo závažný dopad na bezpečnost státu, zabezpečení základních životních potřeb obyvatelstva, zdraví osob nebo ekonomiku státu</w:t>
      </w:r>
      <w:r w:rsidRPr="00797ECF">
        <w:rPr>
          <w:rFonts w:ascii="Calibri" w:hAnsi="Calibri" w:cs="Calibri"/>
          <w:color w:val="000000" w:themeColor="text1"/>
        </w:rPr>
        <w:t xml:space="preserve">, </w:t>
      </w:r>
      <w:r w:rsidRPr="00797ECF">
        <w:rPr>
          <w:rFonts w:ascii="Calibri" w:hAnsi="Calibri" w:cs="Calibri"/>
          <w:b/>
          <w:color w:val="000000" w:themeColor="text1"/>
        </w:rPr>
        <w:t>VIS</w:t>
      </w:r>
      <w:r w:rsidRPr="00797EC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–</w:t>
      </w:r>
      <w:r w:rsidRPr="00797ECF">
        <w:rPr>
          <w:rFonts w:ascii="Calibri" w:hAnsi="Calibri" w:cs="Calibri"/>
          <w:color w:val="000000" w:themeColor="text1"/>
        </w:rPr>
        <w:t xml:space="preserve"> systém, u kterého narušení bezpečnosti informací může omezit nebo výrazně ohrozit výkon působnosti orgánu veřejné moci, </w:t>
      </w:r>
      <w:r>
        <w:rPr>
          <w:rFonts w:ascii="Calibri" w:hAnsi="Calibri" w:cs="Calibri"/>
          <w:color w:val="000000" w:themeColor="text1"/>
        </w:rPr>
        <w:br/>
      </w:r>
      <w:r w:rsidRPr="00797ECF">
        <w:rPr>
          <w:rFonts w:ascii="Calibri" w:hAnsi="Calibri" w:cs="Calibri"/>
          <w:b/>
          <w:color w:val="000000" w:themeColor="text1"/>
        </w:rPr>
        <w:t>ISZS</w:t>
      </w:r>
      <w:r w:rsidRPr="00797EC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–</w:t>
      </w:r>
      <w:r w:rsidRPr="00797ECF">
        <w:rPr>
          <w:rFonts w:ascii="Calibri" w:hAnsi="Calibri" w:cs="Calibri"/>
          <w:color w:val="000000" w:themeColor="text1"/>
        </w:rPr>
        <w:t xml:space="preserve"> systém, na jehož fungování je závislé poskytování základní služby a narušení by mohlo mít významný dopad na zabezpečení společenských nebo ekonomických činností v některém z těchto odvětví: energetika, doprava, bankovnictví, infrastruktura finančních trhů, zdravotnictví, vodní hospodářství, digitální infrastruktura, chemický průmysl.</w:t>
      </w:r>
    </w:p>
  </w:footnote>
  <w:footnote w:id="3">
    <w:p w14:paraId="236BD6E9" w14:textId="77777777" w:rsidR="00CB311A" w:rsidRPr="00797ECF" w:rsidRDefault="00CB311A" w:rsidP="00797ECF">
      <w:pPr>
        <w:pStyle w:val="Textpoznpodarou"/>
        <w:ind w:left="284" w:hanging="284"/>
        <w:rPr>
          <w:rFonts w:ascii="Calibri" w:hAnsi="Calibri" w:cs="Calibri"/>
        </w:rPr>
      </w:pPr>
      <w:r w:rsidRPr="00797ECF">
        <w:rPr>
          <w:rStyle w:val="Znakapoznpodarou"/>
          <w:rFonts w:ascii="Calibri" w:hAnsi="Calibri" w:cs="Calibri"/>
          <w:color w:val="000000" w:themeColor="text1"/>
        </w:rPr>
        <w:footnoteRef/>
      </w:r>
      <w:r w:rsidRPr="00797ECF">
        <w:rPr>
          <w:rFonts w:ascii="Calibri" w:hAnsi="Calibri" w:cs="Calibri"/>
          <w:color w:val="000000" w:themeColor="text1"/>
        </w:rPr>
        <w:t> </w:t>
      </w:r>
      <w:r w:rsidRPr="00797ECF">
        <w:rPr>
          <w:rFonts w:ascii="Calibri" w:hAnsi="Calibri" w:cs="Calibri"/>
          <w:color w:val="000000" w:themeColor="text1"/>
        </w:rPr>
        <w:tab/>
        <w:t>Jedná se o odhad peněž</w:t>
      </w:r>
      <w:r w:rsidRPr="00797ECF">
        <w:rPr>
          <w:rFonts w:ascii="Calibri" w:hAnsi="Calibri" w:cs="Calibri"/>
        </w:rPr>
        <w:t>ních prostředků získaný NÚKIB prostřednictvím</w:t>
      </w:r>
      <w:r>
        <w:rPr>
          <w:rFonts w:ascii="Calibri" w:hAnsi="Calibri" w:cs="Calibri"/>
        </w:rPr>
        <w:t xml:space="preserve"> </w:t>
      </w:r>
      <w:r w:rsidRPr="00797ECF">
        <w:rPr>
          <w:rFonts w:ascii="Calibri" w:hAnsi="Calibri" w:cs="Calibri"/>
        </w:rPr>
        <w:t>dotazníkových šetření v letech 2018 a 2019 u vybraných organizačních složek státu.</w:t>
      </w:r>
    </w:p>
  </w:footnote>
  <w:footnote w:id="4">
    <w:p w14:paraId="7B205D9E" w14:textId="0BE6CE5A" w:rsidR="00CB311A" w:rsidRPr="00797ECF" w:rsidRDefault="00CB311A" w:rsidP="00797ECF">
      <w:pPr>
        <w:pStyle w:val="Textpoznpodarou"/>
        <w:ind w:left="284" w:hanging="284"/>
        <w:rPr>
          <w:rFonts w:ascii="Calibri" w:hAnsi="Calibri" w:cs="Calibri"/>
        </w:rPr>
      </w:pPr>
      <w:r w:rsidRPr="00797ECF">
        <w:rPr>
          <w:rStyle w:val="Znakapoznpodarou"/>
          <w:rFonts w:ascii="Calibri" w:hAnsi="Calibri" w:cs="Calibri"/>
        </w:rPr>
        <w:footnoteRef/>
      </w:r>
      <w:r w:rsidRPr="00797E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97ECF">
        <w:rPr>
          <w:rFonts w:ascii="Calibri" w:hAnsi="Calibri" w:cs="Calibri"/>
        </w:rPr>
        <w:t>Údaj se týká pouze organizační složky státu Ministerstvo vnitra. Kybernetická bezpečnost je však na Ministerstvu vnitra řešena z resortního pohledu. V případě resortu Ministerst</w:t>
      </w:r>
      <w:r>
        <w:rPr>
          <w:rFonts w:ascii="Calibri" w:hAnsi="Calibri" w:cs="Calibri"/>
        </w:rPr>
        <w:t>va vnitra se tak jedná celkem o </w:t>
      </w:r>
      <w:r w:rsidRPr="00797ECF">
        <w:rPr>
          <w:rFonts w:ascii="Calibri" w:hAnsi="Calibri" w:cs="Calibri"/>
        </w:rPr>
        <w:t>30 informačních systémů (19 KII a 11 VIS). Podrobnější informace jsou k tomuto uvedeny v části II.</w:t>
      </w:r>
      <w:r>
        <w:rPr>
          <w:rFonts w:ascii="Calibri" w:hAnsi="Calibri" w:cs="Calibri"/>
        </w:rPr>
        <w:t xml:space="preserve"> tohoto kontrolního závěru.</w:t>
      </w:r>
      <w:r w:rsidRPr="00797ECF">
        <w:rPr>
          <w:rFonts w:ascii="Calibri" w:hAnsi="Calibri" w:cs="Calibri"/>
        </w:rPr>
        <w:t xml:space="preserve"> </w:t>
      </w:r>
    </w:p>
  </w:footnote>
  <w:footnote w:id="5">
    <w:p w14:paraId="23B46059" w14:textId="7A5DCB8B" w:rsidR="00CB311A" w:rsidRPr="00925F48" w:rsidRDefault="00CB311A" w:rsidP="00373B47">
      <w:pPr>
        <w:pStyle w:val="Textpoznpodarou"/>
        <w:ind w:left="284" w:hanging="284"/>
      </w:pPr>
      <w:r w:rsidRPr="00797ECF">
        <w:rPr>
          <w:rStyle w:val="Znakapoznpodarou"/>
          <w:rFonts w:ascii="Calibri" w:hAnsi="Calibri" w:cs="Calibri"/>
        </w:rPr>
        <w:footnoteRef/>
      </w:r>
      <w:r w:rsidRPr="00797E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97ECF">
        <w:rPr>
          <w:rFonts w:ascii="Calibri" w:hAnsi="Calibri" w:cs="Calibri"/>
          <w:bCs/>
        </w:rPr>
        <w:t>NKÚ prověřil 57 z celkového počtu 141 úkolů AP NSKB. Ke kontrole NKÚ vybral primárně ty úkoly AP NS</w:t>
      </w:r>
      <w:r w:rsidRPr="00925F48">
        <w:rPr>
          <w:rFonts w:ascii="Calibri" w:hAnsi="Calibri" w:cs="Calibri"/>
          <w:bCs/>
          <w:szCs w:val="24"/>
        </w:rPr>
        <w:t>KB, jejichž plnění vyžadovalo spolupráci MV a NÚKIB nebo ve kterých figuroval NÚKIB či MV jako gestor.</w:t>
      </w:r>
      <w:r>
        <w:rPr>
          <w:rFonts w:ascii="Calibri" w:hAnsi="Calibri" w:cs="Calibri"/>
          <w:bCs/>
          <w:szCs w:val="24"/>
        </w:rPr>
        <w:t xml:space="preserve"> Nejednalo se o všechny úkoly v gesci NÚKIB a MV.</w:t>
      </w:r>
    </w:p>
  </w:footnote>
  <w:footnote w:id="6">
    <w:p w14:paraId="59E10A2D" w14:textId="77777777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KB je na MV řešena z resortního pohledu skrze jednotný systém řízení bezpečnosti informací.</w:t>
      </w:r>
    </w:p>
  </w:footnote>
  <w:footnote w:id="7">
    <w:p w14:paraId="29504401" w14:textId="77777777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0249E">
        <w:t xml:space="preserve">Cílem </w:t>
      </w:r>
      <w:r>
        <w:t xml:space="preserve">dotazníkového šetření NÚKIB v letech 2018 a 2019 bylo </w:t>
      </w:r>
      <w:r w:rsidRPr="0080249E">
        <w:t xml:space="preserve">zjistit rozdíl mezi stavem prostředků na oblast </w:t>
      </w:r>
      <w:r>
        <w:t>KB</w:t>
      </w:r>
      <w:r w:rsidRPr="0080249E">
        <w:t xml:space="preserve"> a jejich potřebou</w:t>
      </w:r>
      <w:r>
        <w:t xml:space="preserve"> v roce 2020</w:t>
      </w:r>
      <w:r w:rsidRPr="0080249E">
        <w:t>.</w:t>
      </w:r>
    </w:p>
  </w:footnote>
  <w:footnote w:id="8">
    <w:p w14:paraId="074DA42C" w14:textId="77777777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Jedná se o základní dokumenty </w:t>
      </w:r>
      <w:r w:rsidRPr="00315A3D">
        <w:t>MV</w:t>
      </w:r>
      <w:r>
        <w:t xml:space="preserve"> upravující jeho směřování v oblasti KB.</w:t>
      </w:r>
    </w:p>
  </w:footnote>
  <w:footnote w:id="9">
    <w:p w14:paraId="489FDC3D" w14:textId="421F9AC7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Tj. organizační složky státu, příspěvkové organizace OSS, státní organizace, státní podniky, kraje, organizace zřizované nebo zakládané kraji, obce (kromě Prahy), organizace zřizované nebo zakládané obcemi (kromě Prahy).</w:t>
      </w:r>
    </w:p>
  </w:footnote>
  <w:footnote w:id="10">
    <w:p w14:paraId="37D0E91A" w14:textId="77777777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A to i v případě, že se jednalo o subjekty, na které se nevztahovaly povinnosti vyplývající ze ZKB.</w:t>
      </w:r>
    </w:p>
  </w:footnote>
  <w:footnote w:id="11">
    <w:p w14:paraId="648B5539" w14:textId="057E0A0D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Jedná se o odhad peněžních prostředků získaný NÚKIB prostřednictvím dotazníkových šetření v letech 2018 a 2019. NKÚ tento odhad neověřoval.</w:t>
      </w:r>
    </w:p>
  </w:footnote>
  <w:footnote w:id="12">
    <w:p w14:paraId="5051502F" w14:textId="77777777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Podle ZKB se jedná o informační a komunikační systémy kritické informační infrastruktury. Pro zjednodušení je však užíván v kontrolním závěru pojem „systémy kritické informační infrastruktury“ a zkratka „KII“.</w:t>
      </w:r>
    </w:p>
  </w:footnote>
  <w:footnote w:id="13">
    <w:p w14:paraId="5A7E0B2A" w14:textId="77777777" w:rsidR="00CB311A" w:rsidRPr="002D38D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39 zákona č. 218/2000 Sb</w:t>
      </w:r>
      <w:r w:rsidRPr="00AD6CE6">
        <w:rPr>
          <w:i/>
        </w:rPr>
        <w:t>.</w:t>
      </w:r>
      <w:r w:rsidRPr="002D38DA">
        <w:t>, o rozpočtových pravidlech a o změně některých souvisejících zákonů</w:t>
      </w:r>
      <w:r>
        <w:t xml:space="preserve"> (rozpočtová pravidla).</w:t>
      </w:r>
    </w:p>
  </w:footnote>
  <w:footnote w:id="14">
    <w:p w14:paraId="307F4045" w14:textId="77777777" w:rsidR="00CB311A" w:rsidRDefault="00CB311A" w:rsidP="00373B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Zdroj dat: informační systém </w:t>
      </w:r>
      <w:r w:rsidRPr="002D38DA">
        <w:rPr>
          <w:i/>
        </w:rPr>
        <w:t>MS2014+</w:t>
      </w:r>
      <w:r>
        <w:t>, podrobněji viz kapitola IV. tohoto kontrolního závěru.</w:t>
      </w:r>
    </w:p>
  </w:footnote>
  <w:footnote w:id="15">
    <w:p w14:paraId="1CD17421" w14:textId="48BC4B28" w:rsidR="00CB311A" w:rsidRPr="00A760A4" w:rsidRDefault="00CB311A" w:rsidP="00564CE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NÚKIB se na řešení incidentů podílel podle ustanovení </w:t>
      </w:r>
      <w:r w:rsidRPr="00000835">
        <w:t>§ 20 písm. l) zákona č. 181/</w:t>
      </w:r>
      <w:r w:rsidRPr="00A760A4">
        <w:t>2014 Sb., který mu umožňuje podílet se na řešení kybernetického incidentu i u subjektů, které ne</w:t>
      </w:r>
      <w:r>
        <w:t xml:space="preserve">jsou </w:t>
      </w:r>
      <w:r w:rsidRPr="00A760A4">
        <w:t>uveden</w:t>
      </w:r>
      <w:r>
        <w:t>y</w:t>
      </w:r>
      <w:r w:rsidRPr="00A760A4">
        <w:t xml:space="preserve"> v</w:t>
      </w:r>
      <w:r>
        <w:t> ustanovení</w:t>
      </w:r>
      <w:r w:rsidRPr="00A760A4">
        <w:t xml:space="preserve"> §</w:t>
      </w:r>
      <w:r>
        <w:t> </w:t>
      </w:r>
      <w:r w:rsidRPr="00A760A4">
        <w:t>3 ZKB, pokud má vážný dopad a kapacity mu to umožňují. MV se na řešení incidentu v Benešově podílelo na žádost NÚKIB, neboť mělo zkušenosti s podobným typem útoku.</w:t>
      </w:r>
    </w:p>
  </w:footnote>
  <w:footnote w:id="16">
    <w:p w14:paraId="2A60E065" w14:textId="77777777" w:rsidR="00CB311A" w:rsidRDefault="00CB311A" w:rsidP="00564CEE">
      <w:pPr>
        <w:pStyle w:val="Textpoznpodarou"/>
        <w:ind w:left="284" w:hanging="284"/>
      </w:pPr>
      <w:r w:rsidRPr="00A760A4">
        <w:rPr>
          <w:rStyle w:val="Znakapoznpodarou"/>
        </w:rPr>
        <w:footnoteRef/>
      </w:r>
      <w:r w:rsidRPr="00A760A4">
        <w:t xml:space="preserve"> </w:t>
      </w:r>
      <w:r>
        <w:tab/>
      </w:r>
      <w:r w:rsidRPr="00A760A4">
        <w:t>Před průzkumy realizovanými NÚKIB v letech 2018 a 2019 provádělo podobné</w:t>
      </w:r>
      <w:r>
        <w:t xml:space="preserve"> šetření i MV.</w:t>
      </w:r>
    </w:p>
  </w:footnote>
  <w:footnote w:id="17">
    <w:p w14:paraId="618D4454" w14:textId="77777777" w:rsidR="00CB311A" w:rsidRDefault="00CB311A" w:rsidP="00564CE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Jedná se o základní dokumenty resortu </w:t>
      </w:r>
      <w:r w:rsidRPr="00315A3D">
        <w:t>MV</w:t>
      </w:r>
      <w:r>
        <w:t xml:space="preserve"> upravující jeho směřování v oblasti KB.</w:t>
      </w:r>
    </w:p>
  </w:footnote>
  <w:footnote w:id="18">
    <w:p w14:paraId="038328DB" w14:textId="77777777" w:rsidR="00CB311A" w:rsidRDefault="00CB311A" w:rsidP="00856B4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KB je na MV řešena z resortního pohledu. Z pohledu resortu MV se jednalo o zajišťování KB u 19 KII a 11 VIS.</w:t>
      </w:r>
    </w:p>
  </w:footnote>
  <w:footnote w:id="19">
    <w:p w14:paraId="59C300F8" w14:textId="259C412B" w:rsidR="00CB311A" w:rsidRDefault="00CB311A" w:rsidP="00856B4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C3500">
        <w:t>Ve vztahu k nastavení pravidel pro čerpání prostředků na KB z ESIF NKÚ ověřil, že MV se pod</w:t>
      </w:r>
      <w:r>
        <w:t>ílelo na nastavení Výzvy č. 10. NÚKIB a</w:t>
      </w:r>
      <w:r w:rsidRPr="006C3500">
        <w:t xml:space="preserve"> MV se také podíl</w:t>
      </w:r>
      <w:r>
        <w:t>ej</w:t>
      </w:r>
      <w:r w:rsidRPr="006C3500">
        <w:t>í na přípravě čerpání prostředků ESIF na KB v následujícím programovém období.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0555A" w14:textId="77777777" w:rsidR="00C46889" w:rsidRDefault="00C468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5DEE" w14:textId="77777777" w:rsidR="00CB311A" w:rsidRPr="009F3413" w:rsidRDefault="00CB311A" w:rsidP="002F65E5">
    <w:pPr>
      <w:pStyle w:val="Zhlav"/>
      <w:jc w:val="right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B7162" w14:textId="77777777" w:rsidR="00CB311A" w:rsidRPr="009F3413" w:rsidRDefault="00CB311A" w:rsidP="0021524E">
    <w:pPr>
      <w:pStyle w:val="Zhlav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7A0"/>
    <w:multiLevelType w:val="hybridMultilevel"/>
    <w:tmpl w:val="FAB46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BC7"/>
    <w:multiLevelType w:val="hybridMultilevel"/>
    <w:tmpl w:val="C2C82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CA3"/>
    <w:multiLevelType w:val="hybridMultilevel"/>
    <w:tmpl w:val="1562BDD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021FE"/>
    <w:multiLevelType w:val="hybridMultilevel"/>
    <w:tmpl w:val="8532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F4F3E"/>
    <w:multiLevelType w:val="hybridMultilevel"/>
    <w:tmpl w:val="8FBC91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0607"/>
    <w:multiLevelType w:val="hybridMultilevel"/>
    <w:tmpl w:val="F1C2469E"/>
    <w:lvl w:ilvl="0" w:tplc="570610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7B4A"/>
    <w:multiLevelType w:val="hybridMultilevel"/>
    <w:tmpl w:val="96F26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B7412"/>
    <w:multiLevelType w:val="hybridMultilevel"/>
    <w:tmpl w:val="40789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B08D9"/>
    <w:multiLevelType w:val="hybridMultilevel"/>
    <w:tmpl w:val="987C7742"/>
    <w:lvl w:ilvl="0" w:tplc="E4F2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5A45"/>
    <w:multiLevelType w:val="hybridMultilevel"/>
    <w:tmpl w:val="02AE235E"/>
    <w:lvl w:ilvl="0" w:tplc="7F928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86866"/>
    <w:multiLevelType w:val="hybridMultilevel"/>
    <w:tmpl w:val="FD8A1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D33CF"/>
    <w:multiLevelType w:val="hybridMultilevel"/>
    <w:tmpl w:val="95987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411CE"/>
    <w:multiLevelType w:val="hybridMultilevel"/>
    <w:tmpl w:val="A1FA9EA0"/>
    <w:lvl w:ilvl="0" w:tplc="3FE46F6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27FE"/>
    <w:multiLevelType w:val="hybridMultilevel"/>
    <w:tmpl w:val="DD3499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311E2D"/>
    <w:multiLevelType w:val="hybridMultilevel"/>
    <w:tmpl w:val="C866A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D24C2"/>
    <w:multiLevelType w:val="hybridMultilevel"/>
    <w:tmpl w:val="C8587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44AB"/>
    <w:multiLevelType w:val="hybridMultilevel"/>
    <w:tmpl w:val="A830A974"/>
    <w:lvl w:ilvl="0" w:tplc="491C12C2">
      <w:start w:val="1"/>
      <w:numFmt w:val="bullet"/>
      <w:pStyle w:val="Odrkypunt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F2943"/>
    <w:multiLevelType w:val="hybridMultilevel"/>
    <w:tmpl w:val="55E48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336C7"/>
    <w:multiLevelType w:val="hybridMultilevel"/>
    <w:tmpl w:val="5A54D7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81114"/>
    <w:multiLevelType w:val="hybridMultilevel"/>
    <w:tmpl w:val="AB264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33FB2"/>
    <w:multiLevelType w:val="hybridMultilevel"/>
    <w:tmpl w:val="8DC651BA"/>
    <w:lvl w:ilvl="0" w:tplc="9724A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B441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F8AE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EEA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8259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BC9F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4A8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F425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4A25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58710C"/>
    <w:multiLevelType w:val="hybridMultilevel"/>
    <w:tmpl w:val="4334A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C48E7"/>
    <w:multiLevelType w:val="hybridMultilevel"/>
    <w:tmpl w:val="908005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5206B"/>
    <w:multiLevelType w:val="hybridMultilevel"/>
    <w:tmpl w:val="A0E265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F90AED"/>
    <w:multiLevelType w:val="hybridMultilevel"/>
    <w:tmpl w:val="F2623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0F2B"/>
    <w:multiLevelType w:val="hybridMultilevel"/>
    <w:tmpl w:val="3E800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926A4"/>
    <w:multiLevelType w:val="hybridMultilevel"/>
    <w:tmpl w:val="28D0285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8E1950"/>
    <w:multiLevelType w:val="hybridMultilevel"/>
    <w:tmpl w:val="733AE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3"/>
  </w:num>
  <w:num w:numId="5">
    <w:abstractNumId w:val="17"/>
  </w:num>
  <w:num w:numId="6">
    <w:abstractNumId w:val="6"/>
  </w:num>
  <w:num w:numId="7">
    <w:abstractNumId w:val="10"/>
  </w:num>
  <w:num w:numId="8">
    <w:abstractNumId w:val="21"/>
  </w:num>
  <w:num w:numId="9">
    <w:abstractNumId w:val="5"/>
  </w:num>
  <w:num w:numId="10">
    <w:abstractNumId w:val="15"/>
  </w:num>
  <w:num w:numId="11">
    <w:abstractNumId w:val="23"/>
  </w:num>
  <w:num w:numId="12">
    <w:abstractNumId w:val="26"/>
  </w:num>
  <w:num w:numId="13">
    <w:abstractNumId w:val="2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9"/>
  </w:num>
  <w:num w:numId="17">
    <w:abstractNumId w:val="8"/>
  </w:num>
  <w:num w:numId="18">
    <w:abstractNumId w:val="18"/>
  </w:num>
  <w:num w:numId="19">
    <w:abstractNumId w:val="22"/>
  </w:num>
  <w:num w:numId="20">
    <w:abstractNumId w:val="4"/>
  </w:num>
  <w:num w:numId="21">
    <w:abstractNumId w:val="12"/>
  </w:num>
  <w:num w:numId="22">
    <w:abstractNumId w:val="7"/>
  </w:num>
  <w:num w:numId="23">
    <w:abstractNumId w:val="14"/>
  </w:num>
  <w:num w:numId="24">
    <w:abstractNumId w:val="1"/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9"/>
  </w:num>
  <w:num w:numId="29">
    <w:abstractNumId w:val="20"/>
  </w:num>
  <w:num w:numId="30">
    <w:abstractNumId w:val="27"/>
  </w:num>
  <w:num w:numId="31">
    <w:abstractNumId w:val="7"/>
  </w:num>
  <w:num w:numId="32">
    <w:abstractNumId w:val="2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14"/>
    <w:rsid w:val="00000835"/>
    <w:rsid w:val="00000FC7"/>
    <w:rsid w:val="00001557"/>
    <w:rsid w:val="000028B4"/>
    <w:rsid w:val="00002B91"/>
    <w:rsid w:val="00002C4F"/>
    <w:rsid w:val="00003A9A"/>
    <w:rsid w:val="000041E5"/>
    <w:rsid w:val="000075A4"/>
    <w:rsid w:val="000110DF"/>
    <w:rsid w:val="00011F1B"/>
    <w:rsid w:val="00012F4D"/>
    <w:rsid w:val="0001492E"/>
    <w:rsid w:val="000151F2"/>
    <w:rsid w:val="00015A3F"/>
    <w:rsid w:val="0001773D"/>
    <w:rsid w:val="00017B1D"/>
    <w:rsid w:val="000205FD"/>
    <w:rsid w:val="00020771"/>
    <w:rsid w:val="00021ADC"/>
    <w:rsid w:val="00021EE6"/>
    <w:rsid w:val="000222B7"/>
    <w:rsid w:val="00023125"/>
    <w:rsid w:val="000232E8"/>
    <w:rsid w:val="00023C0A"/>
    <w:rsid w:val="00024BF2"/>
    <w:rsid w:val="00025E5A"/>
    <w:rsid w:val="00025ED8"/>
    <w:rsid w:val="00026F73"/>
    <w:rsid w:val="00030CFE"/>
    <w:rsid w:val="00031E87"/>
    <w:rsid w:val="00031F84"/>
    <w:rsid w:val="000360B5"/>
    <w:rsid w:val="00037C25"/>
    <w:rsid w:val="00037D14"/>
    <w:rsid w:val="00037D98"/>
    <w:rsid w:val="00040804"/>
    <w:rsid w:val="00040D10"/>
    <w:rsid w:val="00041455"/>
    <w:rsid w:val="00042273"/>
    <w:rsid w:val="00043977"/>
    <w:rsid w:val="000443A9"/>
    <w:rsid w:val="0004752D"/>
    <w:rsid w:val="00047850"/>
    <w:rsid w:val="000507BE"/>
    <w:rsid w:val="00051B6A"/>
    <w:rsid w:val="00051D0F"/>
    <w:rsid w:val="0005209B"/>
    <w:rsid w:val="000520BB"/>
    <w:rsid w:val="00052375"/>
    <w:rsid w:val="000534B3"/>
    <w:rsid w:val="00053937"/>
    <w:rsid w:val="00053A19"/>
    <w:rsid w:val="0005431E"/>
    <w:rsid w:val="0005573D"/>
    <w:rsid w:val="000579FC"/>
    <w:rsid w:val="00063661"/>
    <w:rsid w:val="00065F73"/>
    <w:rsid w:val="000664D4"/>
    <w:rsid w:val="000676E3"/>
    <w:rsid w:val="00070AD6"/>
    <w:rsid w:val="000713D0"/>
    <w:rsid w:val="000714CE"/>
    <w:rsid w:val="0007180C"/>
    <w:rsid w:val="00072C19"/>
    <w:rsid w:val="00073B64"/>
    <w:rsid w:val="0007565E"/>
    <w:rsid w:val="0007684B"/>
    <w:rsid w:val="0007783A"/>
    <w:rsid w:val="00080966"/>
    <w:rsid w:val="0008196C"/>
    <w:rsid w:val="0008240D"/>
    <w:rsid w:val="00082492"/>
    <w:rsid w:val="00082935"/>
    <w:rsid w:val="00083A2E"/>
    <w:rsid w:val="00085D1E"/>
    <w:rsid w:val="000876B3"/>
    <w:rsid w:val="00087DD8"/>
    <w:rsid w:val="000916D2"/>
    <w:rsid w:val="00093057"/>
    <w:rsid w:val="0009326B"/>
    <w:rsid w:val="00096075"/>
    <w:rsid w:val="000965E8"/>
    <w:rsid w:val="000966B0"/>
    <w:rsid w:val="000A0EA3"/>
    <w:rsid w:val="000A158D"/>
    <w:rsid w:val="000A229D"/>
    <w:rsid w:val="000A3AA5"/>
    <w:rsid w:val="000A6259"/>
    <w:rsid w:val="000A728E"/>
    <w:rsid w:val="000A79F1"/>
    <w:rsid w:val="000A7DB6"/>
    <w:rsid w:val="000B0A87"/>
    <w:rsid w:val="000B204D"/>
    <w:rsid w:val="000B36EE"/>
    <w:rsid w:val="000B36F1"/>
    <w:rsid w:val="000B419E"/>
    <w:rsid w:val="000B5419"/>
    <w:rsid w:val="000B58F9"/>
    <w:rsid w:val="000B5B21"/>
    <w:rsid w:val="000B5FA9"/>
    <w:rsid w:val="000B6666"/>
    <w:rsid w:val="000B6BBC"/>
    <w:rsid w:val="000C2244"/>
    <w:rsid w:val="000C26E1"/>
    <w:rsid w:val="000C3811"/>
    <w:rsid w:val="000C5BE6"/>
    <w:rsid w:val="000C6A18"/>
    <w:rsid w:val="000D2199"/>
    <w:rsid w:val="000D2EB1"/>
    <w:rsid w:val="000D3E68"/>
    <w:rsid w:val="000D48C9"/>
    <w:rsid w:val="000D517A"/>
    <w:rsid w:val="000D6893"/>
    <w:rsid w:val="000D73BC"/>
    <w:rsid w:val="000E12D8"/>
    <w:rsid w:val="000E2E7B"/>
    <w:rsid w:val="000E56FB"/>
    <w:rsid w:val="000E5E76"/>
    <w:rsid w:val="000E6057"/>
    <w:rsid w:val="000E6569"/>
    <w:rsid w:val="000E6A93"/>
    <w:rsid w:val="000E785A"/>
    <w:rsid w:val="000F052C"/>
    <w:rsid w:val="000F1715"/>
    <w:rsid w:val="000F386A"/>
    <w:rsid w:val="000F3D94"/>
    <w:rsid w:val="000F5729"/>
    <w:rsid w:val="000F5DBD"/>
    <w:rsid w:val="001013D3"/>
    <w:rsid w:val="00102B13"/>
    <w:rsid w:val="001036E9"/>
    <w:rsid w:val="00103E6C"/>
    <w:rsid w:val="00104E49"/>
    <w:rsid w:val="0010519C"/>
    <w:rsid w:val="00106752"/>
    <w:rsid w:val="00107212"/>
    <w:rsid w:val="001074EA"/>
    <w:rsid w:val="00111B35"/>
    <w:rsid w:val="001121AC"/>
    <w:rsid w:val="00112AD7"/>
    <w:rsid w:val="001142A6"/>
    <w:rsid w:val="001147CC"/>
    <w:rsid w:val="00114809"/>
    <w:rsid w:val="0011579A"/>
    <w:rsid w:val="00115A6F"/>
    <w:rsid w:val="00115FE4"/>
    <w:rsid w:val="0011662E"/>
    <w:rsid w:val="00117C02"/>
    <w:rsid w:val="00117DD0"/>
    <w:rsid w:val="0012049D"/>
    <w:rsid w:val="001215E3"/>
    <w:rsid w:val="001224BB"/>
    <w:rsid w:val="001229FB"/>
    <w:rsid w:val="00126EB7"/>
    <w:rsid w:val="0013037D"/>
    <w:rsid w:val="00132E42"/>
    <w:rsid w:val="0013343E"/>
    <w:rsid w:val="00133656"/>
    <w:rsid w:val="00134180"/>
    <w:rsid w:val="00135CC8"/>
    <w:rsid w:val="00136AF0"/>
    <w:rsid w:val="0013769E"/>
    <w:rsid w:val="00142261"/>
    <w:rsid w:val="00142505"/>
    <w:rsid w:val="00142BFF"/>
    <w:rsid w:val="00143472"/>
    <w:rsid w:val="0014375B"/>
    <w:rsid w:val="001437B7"/>
    <w:rsid w:val="00144283"/>
    <w:rsid w:val="00146256"/>
    <w:rsid w:val="0014727D"/>
    <w:rsid w:val="0015021F"/>
    <w:rsid w:val="00150A2A"/>
    <w:rsid w:val="00151098"/>
    <w:rsid w:val="001518C9"/>
    <w:rsid w:val="001530FA"/>
    <w:rsid w:val="00153516"/>
    <w:rsid w:val="00153DD1"/>
    <w:rsid w:val="00154372"/>
    <w:rsid w:val="00154706"/>
    <w:rsid w:val="00154866"/>
    <w:rsid w:val="00154EFC"/>
    <w:rsid w:val="00155261"/>
    <w:rsid w:val="001552E0"/>
    <w:rsid w:val="00155F10"/>
    <w:rsid w:val="001564F2"/>
    <w:rsid w:val="0015732C"/>
    <w:rsid w:val="00161831"/>
    <w:rsid w:val="00161982"/>
    <w:rsid w:val="001624F9"/>
    <w:rsid w:val="00162B23"/>
    <w:rsid w:val="001638D0"/>
    <w:rsid w:val="00163CA2"/>
    <w:rsid w:val="0016535B"/>
    <w:rsid w:val="001664CA"/>
    <w:rsid w:val="001701A5"/>
    <w:rsid w:val="00175232"/>
    <w:rsid w:val="00175393"/>
    <w:rsid w:val="001754EA"/>
    <w:rsid w:val="00175E57"/>
    <w:rsid w:val="00176C22"/>
    <w:rsid w:val="001774C0"/>
    <w:rsid w:val="001774E0"/>
    <w:rsid w:val="00182AF3"/>
    <w:rsid w:val="00182B57"/>
    <w:rsid w:val="001852F8"/>
    <w:rsid w:val="001904A7"/>
    <w:rsid w:val="001906CF"/>
    <w:rsid w:val="00190792"/>
    <w:rsid w:val="00190A2A"/>
    <w:rsid w:val="00191538"/>
    <w:rsid w:val="00191F62"/>
    <w:rsid w:val="00192519"/>
    <w:rsid w:val="00192A97"/>
    <w:rsid w:val="00192AA9"/>
    <w:rsid w:val="0019430F"/>
    <w:rsid w:val="00194CB0"/>
    <w:rsid w:val="00195426"/>
    <w:rsid w:val="0019578C"/>
    <w:rsid w:val="001966B3"/>
    <w:rsid w:val="001A0B00"/>
    <w:rsid w:val="001A334E"/>
    <w:rsid w:val="001A4366"/>
    <w:rsid w:val="001A6C8E"/>
    <w:rsid w:val="001A76FD"/>
    <w:rsid w:val="001A7716"/>
    <w:rsid w:val="001A7DD5"/>
    <w:rsid w:val="001B1339"/>
    <w:rsid w:val="001B2070"/>
    <w:rsid w:val="001B2870"/>
    <w:rsid w:val="001B2A97"/>
    <w:rsid w:val="001B36EA"/>
    <w:rsid w:val="001B37A3"/>
    <w:rsid w:val="001B3E22"/>
    <w:rsid w:val="001B3E5A"/>
    <w:rsid w:val="001B4515"/>
    <w:rsid w:val="001B4E75"/>
    <w:rsid w:val="001B58A9"/>
    <w:rsid w:val="001B635C"/>
    <w:rsid w:val="001B7666"/>
    <w:rsid w:val="001B76CE"/>
    <w:rsid w:val="001C0072"/>
    <w:rsid w:val="001C0A9C"/>
    <w:rsid w:val="001C12C9"/>
    <w:rsid w:val="001C1A25"/>
    <w:rsid w:val="001C2C7E"/>
    <w:rsid w:val="001C4EBA"/>
    <w:rsid w:val="001C5D5E"/>
    <w:rsid w:val="001C5EB8"/>
    <w:rsid w:val="001C69A7"/>
    <w:rsid w:val="001C6EA2"/>
    <w:rsid w:val="001D078C"/>
    <w:rsid w:val="001D1187"/>
    <w:rsid w:val="001D20F9"/>
    <w:rsid w:val="001D2464"/>
    <w:rsid w:val="001D2A75"/>
    <w:rsid w:val="001D35EB"/>
    <w:rsid w:val="001D3F56"/>
    <w:rsid w:val="001D5940"/>
    <w:rsid w:val="001E0466"/>
    <w:rsid w:val="001E249E"/>
    <w:rsid w:val="001E26C4"/>
    <w:rsid w:val="001E29BB"/>
    <w:rsid w:val="001E6338"/>
    <w:rsid w:val="001E6383"/>
    <w:rsid w:val="001E6839"/>
    <w:rsid w:val="001F12D5"/>
    <w:rsid w:val="001F33A2"/>
    <w:rsid w:val="001F3D58"/>
    <w:rsid w:val="001F3F71"/>
    <w:rsid w:val="001F4364"/>
    <w:rsid w:val="001F5D0A"/>
    <w:rsid w:val="001F6E8F"/>
    <w:rsid w:val="001F7C69"/>
    <w:rsid w:val="00201561"/>
    <w:rsid w:val="0020330D"/>
    <w:rsid w:val="00203530"/>
    <w:rsid w:val="002035C8"/>
    <w:rsid w:val="00204EC6"/>
    <w:rsid w:val="00205A05"/>
    <w:rsid w:val="00206031"/>
    <w:rsid w:val="002068EE"/>
    <w:rsid w:val="002070BB"/>
    <w:rsid w:val="00210EB0"/>
    <w:rsid w:val="002147F4"/>
    <w:rsid w:val="00214FB8"/>
    <w:rsid w:val="0021524E"/>
    <w:rsid w:val="00215449"/>
    <w:rsid w:val="00216312"/>
    <w:rsid w:val="00217672"/>
    <w:rsid w:val="00221201"/>
    <w:rsid w:val="002216C0"/>
    <w:rsid w:val="00221CFF"/>
    <w:rsid w:val="00222A21"/>
    <w:rsid w:val="00223454"/>
    <w:rsid w:val="00225202"/>
    <w:rsid w:val="00231538"/>
    <w:rsid w:val="00231B86"/>
    <w:rsid w:val="00231C34"/>
    <w:rsid w:val="0023494B"/>
    <w:rsid w:val="00235686"/>
    <w:rsid w:val="002374B3"/>
    <w:rsid w:val="00240C1A"/>
    <w:rsid w:val="002417FE"/>
    <w:rsid w:val="00242645"/>
    <w:rsid w:val="00245033"/>
    <w:rsid w:val="002458EA"/>
    <w:rsid w:val="00247192"/>
    <w:rsid w:val="002529C1"/>
    <w:rsid w:val="002531A0"/>
    <w:rsid w:val="00253ED8"/>
    <w:rsid w:val="0025469F"/>
    <w:rsid w:val="00254864"/>
    <w:rsid w:val="00254D6D"/>
    <w:rsid w:val="002550C2"/>
    <w:rsid w:val="0025562F"/>
    <w:rsid w:val="002556E4"/>
    <w:rsid w:val="002562A5"/>
    <w:rsid w:val="0025703E"/>
    <w:rsid w:val="002600F7"/>
    <w:rsid w:val="0026084E"/>
    <w:rsid w:val="00261571"/>
    <w:rsid w:val="00263386"/>
    <w:rsid w:val="0026454E"/>
    <w:rsid w:val="00264C50"/>
    <w:rsid w:val="00265443"/>
    <w:rsid w:val="002655B3"/>
    <w:rsid w:val="00266DF8"/>
    <w:rsid w:val="00270B49"/>
    <w:rsid w:val="00272959"/>
    <w:rsid w:val="002734DF"/>
    <w:rsid w:val="00275B81"/>
    <w:rsid w:val="00275BE1"/>
    <w:rsid w:val="002761CA"/>
    <w:rsid w:val="00276C89"/>
    <w:rsid w:val="00277CE4"/>
    <w:rsid w:val="0028136B"/>
    <w:rsid w:val="002817F2"/>
    <w:rsid w:val="0028394C"/>
    <w:rsid w:val="002845D2"/>
    <w:rsid w:val="00284D41"/>
    <w:rsid w:val="002863C1"/>
    <w:rsid w:val="00286ECA"/>
    <w:rsid w:val="002910DF"/>
    <w:rsid w:val="00291915"/>
    <w:rsid w:val="00292D0F"/>
    <w:rsid w:val="0029462A"/>
    <w:rsid w:val="0029524A"/>
    <w:rsid w:val="0029579D"/>
    <w:rsid w:val="002978B9"/>
    <w:rsid w:val="002A0994"/>
    <w:rsid w:val="002A1689"/>
    <w:rsid w:val="002A1FD1"/>
    <w:rsid w:val="002A30AC"/>
    <w:rsid w:val="002A31FF"/>
    <w:rsid w:val="002A3F94"/>
    <w:rsid w:val="002A469C"/>
    <w:rsid w:val="002A50E3"/>
    <w:rsid w:val="002A7E3F"/>
    <w:rsid w:val="002B044E"/>
    <w:rsid w:val="002B0CE0"/>
    <w:rsid w:val="002B1D61"/>
    <w:rsid w:val="002B1E45"/>
    <w:rsid w:val="002B20BA"/>
    <w:rsid w:val="002B21F8"/>
    <w:rsid w:val="002B3BA5"/>
    <w:rsid w:val="002B4A9D"/>
    <w:rsid w:val="002B4B46"/>
    <w:rsid w:val="002B4E95"/>
    <w:rsid w:val="002B587A"/>
    <w:rsid w:val="002B67B4"/>
    <w:rsid w:val="002C0BFC"/>
    <w:rsid w:val="002C105B"/>
    <w:rsid w:val="002C170D"/>
    <w:rsid w:val="002C42AD"/>
    <w:rsid w:val="002C497F"/>
    <w:rsid w:val="002C53A0"/>
    <w:rsid w:val="002C5ABE"/>
    <w:rsid w:val="002D0563"/>
    <w:rsid w:val="002D1070"/>
    <w:rsid w:val="002D10C3"/>
    <w:rsid w:val="002D1785"/>
    <w:rsid w:val="002D2A7A"/>
    <w:rsid w:val="002D32F3"/>
    <w:rsid w:val="002D36F9"/>
    <w:rsid w:val="002D38DA"/>
    <w:rsid w:val="002D4523"/>
    <w:rsid w:val="002D58CD"/>
    <w:rsid w:val="002D789E"/>
    <w:rsid w:val="002D7DAE"/>
    <w:rsid w:val="002E043B"/>
    <w:rsid w:val="002E0B68"/>
    <w:rsid w:val="002E2977"/>
    <w:rsid w:val="002E29F2"/>
    <w:rsid w:val="002E3F64"/>
    <w:rsid w:val="002E4DAE"/>
    <w:rsid w:val="002E4EA7"/>
    <w:rsid w:val="002E5810"/>
    <w:rsid w:val="002E7404"/>
    <w:rsid w:val="002F131D"/>
    <w:rsid w:val="002F37EE"/>
    <w:rsid w:val="002F59E2"/>
    <w:rsid w:val="002F65E5"/>
    <w:rsid w:val="003007A3"/>
    <w:rsid w:val="00302798"/>
    <w:rsid w:val="00304294"/>
    <w:rsid w:val="00304565"/>
    <w:rsid w:val="0030713F"/>
    <w:rsid w:val="003104C5"/>
    <w:rsid w:val="00310AD5"/>
    <w:rsid w:val="003120DF"/>
    <w:rsid w:val="00312AC3"/>
    <w:rsid w:val="00312F7B"/>
    <w:rsid w:val="0031390F"/>
    <w:rsid w:val="003148CE"/>
    <w:rsid w:val="00315A3D"/>
    <w:rsid w:val="003169B2"/>
    <w:rsid w:val="00322518"/>
    <w:rsid w:val="00322603"/>
    <w:rsid w:val="00323117"/>
    <w:rsid w:val="00323F0D"/>
    <w:rsid w:val="00324ECD"/>
    <w:rsid w:val="00326C61"/>
    <w:rsid w:val="00330196"/>
    <w:rsid w:val="00332AF6"/>
    <w:rsid w:val="003332CC"/>
    <w:rsid w:val="00333AD1"/>
    <w:rsid w:val="00334715"/>
    <w:rsid w:val="00334AC2"/>
    <w:rsid w:val="00334D58"/>
    <w:rsid w:val="00335191"/>
    <w:rsid w:val="0033543F"/>
    <w:rsid w:val="00336556"/>
    <w:rsid w:val="0033664F"/>
    <w:rsid w:val="00336AE0"/>
    <w:rsid w:val="00337754"/>
    <w:rsid w:val="00337BED"/>
    <w:rsid w:val="00340A20"/>
    <w:rsid w:val="0034115F"/>
    <w:rsid w:val="00343AF3"/>
    <w:rsid w:val="003451E6"/>
    <w:rsid w:val="00345689"/>
    <w:rsid w:val="00345779"/>
    <w:rsid w:val="00345AD8"/>
    <w:rsid w:val="00346D7D"/>
    <w:rsid w:val="00350527"/>
    <w:rsid w:val="00352B31"/>
    <w:rsid w:val="0035564B"/>
    <w:rsid w:val="00357725"/>
    <w:rsid w:val="00357EE6"/>
    <w:rsid w:val="00357FD7"/>
    <w:rsid w:val="003618B6"/>
    <w:rsid w:val="00362E5A"/>
    <w:rsid w:val="00363685"/>
    <w:rsid w:val="003637AD"/>
    <w:rsid w:val="0036570D"/>
    <w:rsid w:val="00366074"/>
    <w:rsid w:val="0036670C"/>
    <w:rsid w:val="00367498"/>
    <w:rsid w:val="003674C7"/>
    <w:rsid w:val="0036776C"/>
    <w:rsid w:val="00371553"/>
    <w:rsid w:val="00371C3E"/>
    <w:rsid w:val="00372AA5"/>
    <w:rsid w:val="003739E2"/>
    <w:rsid w:val="003739F4"/>
    <w:rsid w:val="00373B47"/>
    <w:rsid w:val="0037678F"/>
    <w:rsid w:val="00376FB0"/>
    <w:rsid w:val="00377711"/>
    <w:rsid w:val="00382612"/>
    <w:rsid w:val="00382BD4"/>
    <w:rsid w:val="0038308A"/>
    <w:rsid w:val="003830C9"/>
    <w:rsid w:val="00384294"/>
    <w:rsid w:val="00385A64"/>
    <w:rsid w:val="00385FC5"/>
    <w:rsid w:val="003909AE"/>
    <w:rsid w:val="003911BF"/>
    <w:rsid w:val="0039185D"/>
    <w:rsid w:val="00392731"/>
    <w:rsid w:val="00393333"/>
    <w:rsid w:val="00393443"/>
    <w:rsid w:val="00394439"/>
    <w:rsid w:val="00394537"/>
    <w:rsid w:val="0039508C"/>
    <w:rsid w:val="00395B4D"/>
    <w:rsid w:val="003A0546"/>
    <w:rsid w:val="003A13C2"/>
    <w:rsid w:val="003A26F6"/>
    <w:rsid w:val="003A45D4"/>
    <w:rsid w:val="003A4C17"/>
    <w:rsid w:val="003A5BA0"/>
    <w:rsid w:val="003A5E5E"/>
    <w:rsid w:val="003A7E70"/>
    <w:rsid w:val="003B27BF"/>
    <w:rsid w:val="003B2FD8"/>
    <w:rsid w:val="003B3C82"/>
    <w:rsid w:val="003B5EBA"/>
    <w:rsid w:val="003B796B"/>
    <w:rsid w:val="003C395B"/>
    <w:rsid w:val="003C5D07"/>
    <w:rsid w:val="003C665B"/>
    <w:rsid w:val="003C71B5"/>
    <w:rsid w:val="003C7AC4"/>
    <w:rsid w:val="003D0648"/>
    <w:rsid w:val="003D2AE7"/>
    <w:rsid w:val="003D2AF7"/>
    <w:rsid w:val="003D4122"/>
    <w:rsid w:val="003D4A41"/>
    <w:rsid w:val="003D54B9"/>
    <w:rsid w:val="003D5BF5"/>
    <w:rsid w:val="003E1BCE"/>
    <w:rsid w:val="003E1E51"/>
    <w:rsid w:val="003E3097"/>
    <w:rsid w:val="003E3AF8"/>
    <w:rsid w:val="003E439F"/>
    <w:rsid w:val="003E45C1"/>
    <w:rsid w:val="003E5D17"/>
    <w:rsid w:val="003E6249"/>
    <w:rsid w:val="003F057B"/>
    <w:rsid w:val="003F0BE7"/>
    <w:rsid w:val="003F274F"/>
    <w:rsid w:val="003F2CAB"/>
    <w:rsid w:val="003F4151"/>
    <w:rsid w:val="003F4457"/>
    <w:rsid w:val="003F4D39"/>
    <w:rsid w:val="003F5DEA"/>
    <w:rsid w:val="00400119"/>
    <w:rsid w:val="0040351E"/>
    <w:rsid w:val="00403AB0"/>
    <w:rsid w:val="0040500B"/>
    <w:rsid w:val="0040570F"/>
    <w:rsid w:val="004063DF"/>
    <w:rsid w:val="00406509"/>
    <w:rsid w:val="00406D86"/>
    <w:rsid w:val="00407191"/>
    <w:rsid w:val="00407278"/>
    <w:rsid w:val="004076DE"/>
    <w:rsid w:val="00411BC0"/>
    <w:rsid w:val="0041222E"/>
    <w:rsid w:val="004124F7"/>
    <w:rsid w:val="00412D84"/>
    <w:rsid w:val="00414A18"/>
    <w:rsid w:val="00414D8F"/>
    <w:rsid w:val="00414DB4"/>
    <w:rsid w:val="004163C2"/>
    <w:rsid w:val="0041680C"/>
    <w:rsid w:val="00416D40"/>
    <w:rsid w:val="00416EC9"/>
    <w:rsid w:val="00417050"/>
    <w:rsid w:val="0041754A"/>
    <w:rsid w:val="00417BAD"/>
    <w:rsid w:val="00421F80"/>
    <w:rsid w:val="00423C4B"/>
    <w:rsid w:val="00424415"/>
    <w:rsid w:val="00424D47"/>
    <w:rsid w:val="0042520F"/>
    <w:rsid w:val="00426873"/>
    <w:rsid w:val="0043048C"/>
    <w:rsid w:val="004309A4"/>
    <w:rsid w:val="00430E55"/>
    <w:rsid w:val="00433A7C"/>
    <w:rsid w:val="0043688B"/>
    <w:rsid w:val="00436AFB"/>
    <w:rsid w:val="00441D60"/>
    <w:rsid w:val="00442AC9"/>
    <w:rsid w:val="0044421C"/>
    <w:rsid w:val="00444D96"/>
    <w:rsid w:val="00445B13"/>
    <w:rsid w:val="00445CBA"/>
    <w:rsid w:val="004521DA"/>
    <w:rsid w:val="00452A17"/>
    <w:rsid w:val="004534F2"/>
    <w:rsid w:val="00454664"/>
    <w:rsid w:val="00454B12"/>
    <w:rsid w:val="00454ED6"/>
    <w:rsid w:val="0045518F"/>
    <w:rsid w:val="00456610"/>
    <w:rsid w:val="00460109"/>
    <w:rsid w:val="004615CA"/>
    <w:rsid w:val="00465992"/>
    <w:rsid w:val="00466695"/>
    <w:rsid w:val="00466B07"/>
    <w:rsid w:val="00467576"/>
    <w:rsid w:val="00470B2F"/>
    <w:rsid w:val="00471CC7"/>
    <w:rsid w:val="00471CDF"/>
    <w:rsid w:val="00473347"/>
    <w:rsid w:val="004739F7"/>
    <w:rsid w:val="00474561"/>
    <w:rsid w:val="004752DC"/>
    <w:rsid w:val="0048016E"/>
    <w:rsid w:val="0048123C"/>
    <w:rsid w:val="00482945"/>
    <w:rsid w:val="00483B3A"/>
    <w:rsid w:val="00485943"/>
    <w:rsid w:val="00485A0E"/>
    <w:rsid w:val="004863B3"/>
    <w:rsid w:val="00491540"/>
    <w:rsid w:val="004934B5"/>
    <w:rsid w:val="004938D9"/>
    <w:rsid w:val="00494073"/>
    <w:rsid w:val="004953AF"/>
    <w:rsid w:val="00497D69"/>
    <w:rsid w:val="004A0500"/>
    <w:rsid w:val="004A17D1"/>
    <w:rsid w:val="004A26F5"/>
    <w:rsid w:val="004A2D79"/>
    <w:rsid w:val="004A31FE"/>
    <w:rsid w:val="004A4423"/>
    <w:rsid w:val="004A6409"/>
    <w:rsid w:val="004A6F67"/>
    <w:rsid w:val="004A70DB"/>
    <w:rsid w:val="004B18F5"/>
    <w:rsid w:val="004B4F49"/>
    <w:rsid w:val="004B5F10"/>
    <w:rsid w:val="004B6102"/>
    <w:rsid w:val="004B640D"/>
    <w:rsid w:val="004B6D1B"/>
    <w:rsid w:val="004B7799"/>
    <w:rsid w:val="004C1120"/>
    <w:rsid w:val="004C2238"/>
    <w:rsid w:val="004C2958"/>
    <w:rsid w:val="004C40DF"/>
    <w:rsid w:val="004C4FAC"/>
    <w:rsid w:val="004C6A24"/>
    <w:rsid w:val="004D099C"/>
    <w:rsid w:val="004D17C8"/>
    <w:rsid w:val="004D48B9"/>
    <w:rsid w:val="004D6763"/>
    <w:rsid w:val="004D68A2"/>
    <w:rsid w:val="004D74A9"/>
    <w:rsid w:val="004D7CB4"/>
    <w:rsid w:val="004E0165"/>
    <w:rsid w:val="004E0A40"/>
    <w:rsid w:val="004E1338"/>
    <w:rsid w:val="004E1785"/>
    <w:rsid w:val="004E32A1"/>
    <w:rsid w:val="004E3690"/>
    <w:rsid w:val="004E6E2D"/>
    <w:rsid w:val="004E71E5"/>
    <w:rsid w:val="004E7FD0"/>
    <w:rsid w:val="004F13BB"/>
    <w:rsid w:val="004F1463"/>
    <w:rsid w:val="004F214E"/>
    <w:rsid w:val="004F2EF7"/>
    <w:rsid w:val="004F4E2A"/>
    <w:rsid w:val="004F55B6"/>
    <w:rsid w:val="004F7B8A"/>
    <w:rsid w:val="00500341"/>
    <w:rsid w:val="0050038E"/>
    <w:rsid w:val="00500C3D"/>
    <w:rsid w:val="00501A05"/>
    <w:rsid w:val="00501B31"/>
    <w:rsid w:val="00502697"/>
    <w:rsid w:val="005042CE"/>
    <w:rsid w:val="0050495B"/>
    <w:rsid w:val="00505444"/>
    <w:rsid w:val="0050675F"/>
    <w:rsid w:val="00507F74"/>
    <w:rsid w:val="00510669"/>
    <w:rsid w:val="005110A1"/>
    <w:rsid w:val="005112C5"/>
    <w:rsid w:val="00512401"/>
    <w:rsid w:val="00513663"/>
    <w:rsid w:val="0051390F"/>
    <w:rsid w:val="00514FE3"/>
    <w:rsid w:val="005155DA"/>
    <w:rsid w:val="00516B89"/>
    <w:rsid w:val="00520B7D"/>
    <w:rsid w:val="00520FBC"/>
    <w:rsid w:val="005213B6"/>
    <w:rsid w:val="00521E95"/>
    <w:rsid w:val="0052325D"/>
    <w:rsid w:val="0052393F"/>
    <w:rsid w:val="005243B2"/>
    <w:rsid w:val="00526559"/>
    <w:rsid w:val="00526CB2"/>
    <w:rsid w:val="00526F7C"/>
    <w:rsid w:val="0053034E"/>
    <w:rsid w:val="0053077E"/>
    <w:rsid w:val="00530A64"/>
    <w:rsid w:val="00531462"/>
    <w:rsid w:val="0053177D"/>
    <w:rsid w:val="00533107"/>
    <w:rsid w:val="00536813"/>
    <w:rsid w:val="00536C0F"/>
    <w:rsid w:val="00537E04"/>
    <w:rsid w:val="005405C4"/>
    <w:rsid w:val="0054384A"/>
    <w:rsid w:val="00544D90"/>
    <w:rsid w:val="00545D68"/>
    <w:rsid w:val="00545D96"/>
    <w:rsid w:val="00547AE2"/>
    <w:rsid w:val="00550012"/>
    <w:rsid w:val="0055110A"/>
    <w:rsid w:val="00551791"/>
    <w:rsid w:val="00552AA0"/>
    <w:rsid w:val="00552B3E"/>
    <w:rsid w:val="00552C93"/>
    <w:rsid w:val="00553225"/>
    <w:rsid w:val="005532F2"/>
    <w:rsid w:val="00553363"/>
    <w:rsid w:val="00553684"/>
    <w:rsid w:val="00553891"/>
    <w:rsid w:val="0055426D"/>
    <w:rsid w:val="00554CFF"/>
    <w:rsid w:val="005553F6"/>
    <w:rsid w:val="005556A6"/>
    <w:rsid w:val="00555B4A"/>
    <w:rsid w:val="005607B3"/>
    <w:rsid w:val="00562F74"/>
    <w:rsid w:val="005642F5"/>
    <w:rsid w:val="00564A90"/>
    <w:rsid w:val="00564CEE"/>
    <w:rsid w:val="0056541E"/>
    <w:rsid w:val="00566B00"/>
    <w:rsid w:val="0056765E"/>
    <w:rsid w:val="00570214"/>
    <w:rsid w:val="00570DB8"/>
    <w:rsid w:val="0057279E"/>
    <w:rsid w:val="00572D86"/>
    <w:rsid w:val="00572E57"/>
    <w:rsid w:val="005739B4"/>
    <w:rsid w:val="00575BB5"/>
    <w:rsid w:val="005774B8"/>
    <w:rsid w:val="0057788A"/>
    <w:rsid w:val="00577D1D"/>
    <w:rsid w:val="00577DAF"/>
    <w:rsid w:val="005802FE"/>
    <w:rsid w:val="0058054B"/>
    <w:rsid w:val="00580E46"/>
    <w:rsid w:val="005813CF"/>
    <w:rsid w:val="00581512"/>
    <w:rsid w:val="005827AA"/>
    <w:rsid w:val="00582B8C"/>
    <w:rsid w:val="005841AF"/>
    <w:rsid w:val="00586211"/>
    <w:rsid w:val="00586B23"/>
    <w:rsid w:val="00586B36"/>
    <w:rsid w:val="00587236"/>
    <w:rsid w:val="00587DE4"/>
    <w:rsid w:val="005929B8"/>
    <w:rsid w:val="0059318F"/>
    <w:rsid w:val="00593F41"/>
    <w:rsid w:val="0059411B"/>
    <w:rsid w:val="00595951"/>
    <w:rsid w:val="005966F4"/>
    <w:rsid w:val="005969FE"/>
    <w:rsid w:val="00596C3F"/>
    <w:rsid w:val="005A14D2"/>
    <w:rsid w:val="005A398C"/>
    <w:rsid w:val="005A3BD7"/>
    <w:rsid w:val="005A4230"/>
    <w:rsid w:val="005A4A71"/>
    <w:rsid w:val="005A587A"/>
    <w:rsid w:val="005A6B5B"/>
    <w:rsid w:val="005A6E25"/>
    <w:rsid w:val="005B376F"/>
    <w:rsid w:val="005B55EA"/>
    <w:rsid w:val="005B6154"/>
    <w:rsid w:val="005C0025"/>
    <w:rsid w:val="005C0361"/>
    <w:rsid w:val="005C2A86"/>
    <w:rsid w:val="005C502C"/>
    <w:rsid w:val="005C5337"/>
    <w:rsid w:val="005C5738"/>
    <w:rsid w:val="005C6424"/>
    <w:rsid w:val="005C71DA"/>
    <w:rsid w:val="005C73BE"/>
    <w:rsid w:val="005C7589"/>
    <w:rsid w:val="005C764C"/>
    <w:rsid w:val="005C7F8F"/>
    <w:rsid w:val="005D03AB"/>
    <w:rsid w:val="005D24E1"/>
    <w:rsid w:val="005D2895"/>
    <w:rsid w:val="005D3DDD"/>
    <w:rsid w:val="005D3EF3"/>
    <w:rsid w:val="005D4977"/>
    <w:rsid w:val="005D5353"/>
    <w:rsid w:val="005D6147"/>
    <w:rsid w:val="005D7105"/>
    <w:rsid w:val="005E1712"/>
    <w:rsid w:val="005E1DD5"/>
    <w:rsid w:val="005E31E3"/>
    <w:rsid w:val="005E46E1"/>
    <w:rsid w:val="005E560B"/>
    <w:rsid w:val="005E592A"/>
    <w:rsid w:val="005E5E2C"/>
    <w:rsid w:val="005E7AD1"/>
    <w:rsid w:val="005F0052"/>
    <w:rsid w:val="005F0F1B"/>
    <w:rsid w:val="005F3972"/>
    <w:rsid w:val="005F3E6F"/>
    <w:rsid w:val="005F40A1"/>
    <w:rsid w:val="005F44AE"/>
    <w:rsid w:val="005F51AF"/>
    <w:rsid w:val="005F5AB9"/>
    <w:rsid w:val="00600342"/>
    <w:rsid w:val="00600835"/>
    <w:rsid w:val="00601728"/>
    <w:rsid w:val="00601D8A"/>
    <w:rsid w:val="00602EA3"/>
    <w:rsid w:val="0060562B"/>
    <w:rsid w:val="00605F17"/>
    <w:rsid w:val="006071EC"/>
    <w:rsid w:val="00607585"/>
    <w:rsid w:val="0061018F"/>
    <w:rsid w:val="00610231"/>
    <w:rsid w:val="006122A0"/>
    <w:rsid w:val="006133A5"/>
    <w:rsid w:val="00613C3A"/>
    <w:rsid w:val="00613E2B"/>
    <w:rsid w:val="00614031"/>
    <w:rsid w:val="00614E42"/>
    <w:rsid w:val="00616755"/>
    <w:rsid w:val="0061728B"/>
    <w:rsid w:val="00617679"/>
    <w:rsid w:val="006177E0"/>
    <w:rsid w:val="00617AD3"/>
    <w:rsid w:val="00620849"/>
    <w:rsid w:val="006210BA"/>
    <w:rsid w:val="00621CEB"/>
    <w:rsid w:val="00622518"/>
    <w:rsid w:val="0062399D"/>
    <w:rsid w:val="006240F5"/>
    <w:rsid w:val="00630354"/>
    <w:rsid w:val="006324F5"/>
    <w:rsid w:val="00633750"/>
    <w:rsid w:val="0063384F"/>
    <w:rsid w:val="00633AE5"/>
    <w:rsid w:val="006374C0"/>
    <w:rsid w:val="00637563"/>
    <w:rsid w:val="00641406"/>
    <w:rsid w:val="00641C85"/>
    <w:rsid w:val="00641ED6"/>
    <w:rsid w:val="00643071"/>
    <w:rsid w:val="00647268"/>
    <w:rsid w:val="00651A08"/>
    <w:rsid w:val="006527EB"/>
    <w:rsid w:val="00653FC6"/>
    <w:rsid w:val="006541AC"/>
    <w:rsid w:val="0065653C"/>
    <w:rsid w:val="006579A1"/>
    <w:rsid w:val="00657EC1"/>
    <w:rsid w:val="00660989"/>
    <w:rsid w:val="00660C8F"/>
    <w:rsid w:val="006617DE"/>
    <w:rsid w:val="00667D59"/>
    <w:rsid w:val="0067032C"/>
    <w:rsid w:val="00670D3F"/>
    <w:rsid w:val="00674396"/>
    <w:rsid w:val="00674638"/>
    <w:rsid w:val="006772F0"/>
    <w:rsid w:val="0068009B"/>
    <w:rsid w:val="00681523"/>
    <w:rsid w:val="00681B5F"/>
    <w:rsid w:val="00682157"/>
    <w:rsid w:val="00683242"/>
    <w:rsid w:val="00685412"/>
    <w:rsid w:val="00685504"/>
    <w:rsid w:val="006856AF"/>
    <w:rsid w:val="00685769"/>
    <w:rsid w:val="00685A19"/>
    <w:rsid w:val="00687D38"/>
    <w:rsid w:val="00690D7D"/>
    <w:rsid w:val="006915AD"/>
    <w:rsid w:val="006915C5"/>
    <w:rsid w:val="00691ED6"/>
    <w:rsid w:val="00694950"/>
    <w:rsid w:val="00694E3A"/>
    <w:rsid w:val="00695778"/>
    <w:rsid w:val="00695C46"/>
    <w:rsid w:val="00695CB1"/>
    <w:rsid w:val="006960C1"/>
    <w:rsid w:val="0069680D"/>
    <w:rsid w:val="006971CF"/>
    <w:rsid w:val="00697679"/>
    <w:rsid w:val="00697D1F"/>
    <w:rsid w:val="006A0E8D"/>
    <w:rsid w:val="006A1A3E"/>
    <w:rsid w:val="006A1EDB"/>
    <w:rsid w:val="006A208A"/>
    <w:rsid w:val="006A279E"/>
    <w:rsid w:val="006A28BB"/>
    <w:rsid w:val="006A478C"/>
    <w:rsid w:val="006A49C8"/>
    <w:rsid w:val="006A5704"/>
    <w:rsid w:val="006A5B0B"/>
    <w:rsid w:val="006A5EA5"/>
    <w:rsid w:val="006B08A5"/>
    <w:rsid w:val="006B0A79"/>
    <w:rsid w:val="006B2685"/>
    <w:rsid w:val="006B426D"/>
    <w:rsid w:val="006B4A4F"/>
    <w:rsid w:val="006B4FEF"/>
    <w:rsid w:val="006B537F"/>
    <w:rsid w:val="006B6D28"/>
    <w:rsid w:val="006B6E2B"/>
    <w:rsid w:val="006C106C"/>
    <w:rsid w:val="006C117D"/>
    <w:rsid w:val="006C1787"/>
    <w:rsid w:val="006C1DB6"/>
    <w:rsid w:val="006C260C"/>
    <w:rsid w:val="006C3061"/>
    <w:rsid w:val="006C3500"/>
    <w:rsid w:val="006C40EA"/>
    <w:rsid w:val="006C4BCB"/>
    <w:rsid w:val="006C6EDD"/>
    <w:rsid w:val="006D0737"/>
    <w:rsid w:val="006D08F1"/>
    <w:rsid w:val="006D0D71"/>
    <w:rsid w:val="006D0E78"/>
    <w:rsid w:val="006D15F6"/>
    <w:rsid w:val="006D2A84"/>
    <w:rsid w:val="006D4622"/>
    <w:rsid w:val="006D5786"/>
    <w:rsid w:val="006D72E2"/>
    <w:rsid w:val="006E05ED"/>
    <w:rsid w:val="006E0658"/>
    <w:rsid w:val="006E068D"/>
    <w:rsid w:val="006E24DB"/>
    <w:rsid w:val="006E2CA3"/>
    <w:rsid w:val="006E2D27"/>
    <w:rsid w:val="006E2FBD"/>
    <w:rsid w:val="006E4FAA"/>
    <w:rsid w:val="006E64C4"/>
    <w:rsid w:val="006F17F3"/>
    <w:rsid w:val="006F1D51"/>
    <w:rsid w:val="006F35D0"/>
    <w:rsid w:val="006F3A1F"/>
    <w:rsid w:val="006F485E"/>
    <w:rsid w:val="006F4906"/>
    <w:rsid w:val="006F70DE"/>
    <w:rsid w:val="006F7174"/>
    <w:rsid w:val="006F7789"/>
    <w:rsid w:val="00700477"/>
    <w:rsid w:val="00700DCD"/>
    <w:rsid w:val="007035EA"/>
    <w:rsid w:val="00704F08"/>
    <w:rsid w:val="00706E08"/>
    <w:rsid w:val="0070785A"/>
    <w:rsid w:val="007078FE"/>
    <w:rsid w:val="00710C26"/>
    <w:rsid w:val="0071374A"/>
    <w:rsid w:val="00714AB8"/>
    <w:rsid w:val="00715BC6"/>
    <w:rsid w:val="007169C2"/>
    <w:rsid w:val="00716A65"/>
    <w:rsid w:val="00717434"/>
    <w:rsid w:val="007177BB"/>
    <w:rsid w:val="007177CD"/>
    <w:rsid w:val="00717990"/>
    <w:rsid w:val="0072158E"/>
    <w:rsid w:val="00722009"/>
    <w:rsid w:val="007236CF"/>
    <w:rsid w:val="007272F3"/>
    <w:rsid w:val="00727506"/>
    <w:rsid w:val="00727D30"/>
    <w:rsid w:val="007313BB"/>
    <w:rsid w:val="00732BB8"/>
    <w:rsid w:val="00734E44"/>
    <w:rsid w:val="00735998"/>
    <w:rsid w:val="00737DB2"/>
    <w:rsid w:val="007460E3"/>
    <w:rsid w:val="00746677"/>
    <w:rsid w:val="00746F29"/>
    <w:rsid w:val="0074707E"/>
    <w:rsid w:val="00747D42"/>
    <w:rsid w:val="00747ECC"/>
    <w:rsid w:val="0075043A"/>
    <w:rsid w:val="00751D99"/>
    <w:rsid w:val="00753A7D"/>
    <w:rsid w:val="00755F56"/>
    <w:rsid w:val="007574C0"/>
    <w:rsid w:val="00757E86"/>
    <w:rsid w:val="00760822"/>
    <w:rsid w:val="00760AF5"/>
    <w:rsid w:val="00762BE8"/>
    <w:rsid w:val="007634F3"/>
    <w:rsid w:val="00764FED"/>
    <w:rsid w:val="00765CB1"/>
    <w:rsid w:val="00765DE7"/>
    <w:rsid w:val="0076661A"/>
    <w:rsid w:val="0077002F"/>
    <w:rsid w:val="00770AE4"/>
    <w:rsid w:val="00771E9D"/>
    <w:rsid w:val="007725B0"/>
    <w:rsid w:val="0077494C"/>
    <w:rsid w:val="00774DF6"/>
    <w:rsid w:val="00774E68"/>
    <w:rsid w:val="00775698"/>
    <w:rsid w:val="007758D3"/>
    <w:rsid w:val="00775C80"/>
    <w:rsid w:val="0077750C"/>
    <w:rsid w:val="007777B4"/>
    <w:rsid w:val="0078044E"/>
    <w:rsid w:val="00781D35"/>
    <w:rsid w:val="00781E54"/>
    <w:rsid w:val="007823B3"/>
    <w:rsid w:val="0078441F"/>
    <w:rsid w:val="00785798"/>
    <w:rsid w:val="00787E10"/>
    <w:rsid w:val="00787E16"/>
    <w:rsid w:val="00787E1E"/>
    <w:rsid w:val="00790651"/>
    <w:rsid w:val="00792596"/>
    <w:rsid w:val="0079293D"/>
    <w:rsid w:val="00792D5C"/>
    <w:rsid w:val="00792FAA"/>
    <w:rsid w:val="00793294"/>
    <w:rsid w:val="00796AE1"/>
    <w:rsid w:val="00797AC6"/>
    <w:rsid w:val="00797ECF"/>
    <w:rsid w:val="007A07A1"/>
    <w:rsid w:val="007A0EEA"/>
    <w:rsid w:val="007A1302"/>
    <w:rsid w:val="007A1910"/>
    <w:rsid w:val="007A1F3C"/>
    <w:rsid w:val="007A2505"/>
    <w:rsid w:val="007A31BD"/>
    <w:rsid w:val="007A389C"/>
    <w:rsid w:val="007A55E0"/>
    <w:rsid w:val="007A563B"/>
    <w:rsid w:val="007A5799"/>
    <w:rsid w:val="007A57EB"/>
    <w:rsid w:val="007A6825"/>
    <w:rsid w:val="007A6DB3"/>
    <w:rsid w:val="007A7F3C"/>
    <w:rsid w:val="007B0BB6"/>
    <w:rsid w:val="007B1B3D"/>
    <w:rsid w:val="007B2ACB"/>
    <w:rsid w:val="007B3572"/>
    <w:rsid w:val="007B3C90"/>
    <w:rsid w:val="007B4143"/>
    <w:rsid w:val="007B422A"/>
    <w:rsid w:val="007B4962"/>
    <w:rsid w:val="007B57D6"/>
    <w:rsid w:val="007B5B05"/>
    <w:rsid w:val="007B5B2F"/>
    <w:rsid w:val="007B72A2"/>
    <w:rsid w:val="007B7486"/>
    <w:rsid w:val="007C0F78"/>
    <w:rsid w:val="007C1F71"/>
    <w:rsid w:val="007C2DB7"/>
    <w:rsid w:val="007C4B5D"/>
    <w:rsid w:val="007D0B87"/>
    <w:rsid w:val="007D190E"/>
    <w:rsid w:val="007D6E01"/>
    <w:rsid w:val="007D7125"/>
    <w:rsid w:val="007E0654"/>
    <w:rsid w:val="007E20BB"/>
    <w:rsid w:val="007E2606"/>
    <w:rsid w:val="007E33B9"/>
    <w:rsid w:val="007E417B"/>
    <w:rsid w:val="007E4190"/>
    <w:rsid w:val="007E776D"/>
    <w:rsid w:val="007F1EBE"/>
    <w:rsid w:val="007F2061"/>
    <w:rsid w:val="007F304F"/>
    <w:rsid w:val="007F5F81"/>
    <w:rsid w:val="007F5FE6"/>
    <w:rsid w:val="007F652A"/>
    <w:rsid w:val="007F7949"/>
    <w:rsid w:val="00801238"/>
    <w:rsid w:val="00801805"/>
    <w:rsid w:val="0080181F"/>
    <w:rsid w:val="0080249E"/>
    <w:rsid w:val="00803155"/>
    <w:rsid w:val="008042E5"/>
    <w:rsid w:val="008065A3"/>
    <w:rsid w:val="00807BF6"/>
    <w:rsid w:val="00810393"/>
    <w:rsid w:val="00812D4A"/>
    <w:rsid w:val="0081318A"/>
    <w:rsid w:val="008137AA"/>
    <w:rsid w:val="0081387E"/>
    <w:rsid w:val="008147DC"/>
    <w:rsid w:val="00815096"/>
    <w:rsid w:val="00815A47"/>
    <w:rsid w:val="00815B44"/>
    <w:rsid w:val="008170F3"/>
    <w:rsid w:val="00820F4E"/>
    <w:rsid w:val="00823553"/>
    <w:rsid w:val="00823B10"/>
    <w:rsid w:val="00825B54"/>
    <w:rsid w:val="00826DA8"/>
    <w:rsid w:val="00827080"/>
    <w:rsid w:val="00827334"/>
    <w:rsid w:val="00827E9A"/>
    <w:rsid w:val="0083122D"/>
    <w:rsid w:val="00831263"/>
    <w:rsid w:val="00831BC2"/>
    <w:rsid w:val="00831F07"/>
    <w:rsid w:val="008321E8"/>
    <w:rsid w:val="00832DAA"/>
    <w:rsid w:val="00832FD1"/>
    <w:rsid w:val="0083300E"/>
    <w:rsid w:val="008341B8"/>
    <w:rsid w:val="00834A9B"/>
    <w:rsid w:val="008351F1"/>
    <w:rsid w:val="00835568"/>
    <w:rsid w:val="00836166"/>
    <w:rsid w:val="008369BF"/>
    <w:rsid w:val="0083701B"/>
    <w:rsid w:val="00837738"/>
    <w:rsid w:val="00837A13"/>
    <w:rsid w:val="00837B3A"/>
    <w:rsid w:val="00837FA6"/>
    <w:rsid w:val="0084049F"/>
    <w:rsid w:val="008418E6"/>
    <w:rsid w:val="00842534"/>
    <w:rsid w:val="00843B75"/>
    <w:rsid w:val="00844ADA"/>
    <w:rsid w:val="008453AE"/>
    <w:rsid w:val="00845B2B"/>
    <w:rsid w:val="008462F5"/>
    <w:rsid w:val="008465BB"/>
    <w:rsid w:val="00851494"/>
    <w:rsid w:val="00852049"/>
    <w:rsid w:val="00852199"/>
    <w:rsid w:val="0085366D"/>
    <w:rsid w:val="0085547A"/>
    <w:rsid w:val="00856B4B"/>
    <w:rsid w:val="00856CF2"/>
    <w:rsid w:val="00861C61"/>
    <w:rsid w:val="00862818"/>
    <w:rsid w:val="00862899"/>
    <w:rsid w:val="00862AF7"/>
    <w:rsid w:val="00862C53"/>
    <w:rsid w:val="00862C73"/>
    <w:rsid w:val="0086573B"/>
    <w:rsid w:val="00865766"/>
    <w:rsid w:val="00865B9B"/>
    <w:rsid w:val="00866011"/>
    <w:rsid w:val="00866187"/>
    <w:rsid w:val="008674E5"/>
    <w:rsid w:val="0087118C"/>
    <w:rsid w:val="0087386C"/>
    <w:rsid w:val="00873EAC"/>
    <w:rsid w:val="00874BE2"/>
    <w:rsid w:val="008768BA"/>
    <w:rsid w:val="00876D06"/>
    <w:rsid w:val="008775D2"/>
    <w:rsid w:val="00877CC9"/>
    <w:rsid w:val="00877D76"/>
    <w:rsid w:val="0088183E"/>
    <w:rsid w:val="00881C2D"/>
    <w:rsid w:val="0088273A"/>
    <w:rsid w:val="00883656"/>
    <w:rsid w:val="00883761"/>
    <w:rsid w:val="008839C7"/>
    <w:rsid w:val="00890128"/>
    <w:rsid w:val="00891877"/>
    <w:rsid w:val="00892A2B"/>
    <w:rsid w:val="00894DEA"/>
    <w:rsid w:val="0089568F"/>
    <w:rsid w:val="008972AA"/>
    <w:rsid w:val="008A07B2"/>
    <w:rsid w:val="008A185C"/>
    <w:rsid w:val="008A1C2E"/>
    <w:rsid w:val="008A1ED3"/>
    <w:rsid w:val="008A30D2"/>
    <w:rsid w:val="008A384A"/>
    <w:rsid w:val="008A44B6"/>
    <w:rsid w:val="008A5452"/>
    <w:rsid w:val="008A55F4"/>
    <w:rsid w:val="008A684F"/>
    <w:rsid w:val="008B0A24"/>
    <w:rsid w:val="008B2BF8"/>
    <w:rsid w:val="008B31BB"/>
    <w:rsid w:val="008B3E36"/>
    <w:rsid w:val="008B56D8"/>
    <w:rsid w:val="008B64DD"/>
    <w:rsid w:val="008B7B25"/>
    <w:rsid w:val="008C0C51"/>
    <w:rsid w:val="008C250E"/>
    <w:rsid w:val="008C349B"/>
    <w:rsid w:val="008C3DA4"/>
    <w:rsid w:val="008C4037"/>
    <w:rsid w:val="008C538C"/>
    <w:rsid w:val="008C5513"/>
    <w:rsid w:val="008C55FF"/>
    <w:rsid w:val="008C5B1E"/>
    <w:rsid w:val="008C5F37"/>
    <w:rsid w:val="008C625F"/>
    <w:rsid w:val="008D1EFF"/>
    <w:rsid w:val="008D2A15"/>
    <w:rsid w:val="008D3D1E"/>
    <w:rsid w:val="008D4D1A"/>
    <w:rsid w:val="008E01EE"/>
    <w:rsid w:val="008E1019"/>
    <w:rsid w:val="008E16A9"/>
    <w:rsid w:val="008E2A62"/>
    <w:rsid w:val="008E5064"/>
    <w:rsid w:val="008E7022"/>
    <w:rsid w:val="008E7510"/>
    <w:rsid w:val="008E77B5"/>
    <w:rsid w:val="008F0020"/>
    <w:rsid w:val="008F094B"/>
    <w:rsid w:val="008F1970"/>
    <w:rsid w:val="008F19AB"/>
    <w:rsid w:val="008F2993"/>
    <w:rsid w:val="008F29DA"/>
    <w:rsid w:val="008F2C2A"/>
    <w:rsid w:val="008F46C8"/>
    <w:rsid w:val="008F6942"/>
    <w:rsid w:val="008F7DB4"/>
    <w:rsid w:val="00902B7D"/>
    <w:rsid w:val="00903399"/>
    <w:rsid w:val="00905170"/>
    <w:rsid w:val="00906E98"/>
    <w:rsid w:val="009105B6"/>
    <w:rsid w:val="00910B90"/>
    <w:rsid w:val="0091154C"/>
    <w:rsid w:val="00911E67"/>
    <w:rsid w:val="0091291A"/>
    <w:rsid w:val="009129BE"/>
    <w:rsid w:val="009139D6"/>
    <w:rsid w:val="009163C1"/>
    <w:rsid w:val="009165D6"/>
    <w:rsid w:val="0091727D"/>
    <w:rsid w:val="00917C0B"/>
    <w:rsid w:val="009207D4"/>
    <w:rsid w:val="0092248D"/>
    <w:rsid w:val="00922BF7"/>
    <w:rsid w:val="00924302"/>
    <w:rsid w:val="0092494A"/>
    <w:rsid w:val="009251E4"/>
    <w:rsid w:val="00925F48"/>
    <w:rsid w:val="00927378"/>
    <w:rsid w:val="00931A5C"/>
    <w:rsid w:val="0093385F"/>
    <w:rsid w:val="00933F26"/>
    <w:rsid w:val="00934A14"/>
    <w:rsid w:val="00935E3A"/>
    <w:rsid w:val="00936013"/>
    <w:rsid w:val="00937EA9"/>
    <w:rsid w:val="00940316"/>
    <w:rsid w:val="009426BB"/>
    <w:rsid w:val="00942AA4"/>
    <w:rsid w:val="009449E1"/>
    <w:rsid w:val="00945408"/>
    <w:rsid w:val="0094701A"/>
    <w:rsid w:val="0094729E"/>
    <w:rsid w:val="00947593"/>
    <w:rsid w:val="00947E4E"/>
    <w:rsid w:val="00951257"/>
    <w:rsid w:val="00952AB0"/>
    <w:rsid w:val="00953032"/>
    <w:rsid w:val="00953AE2"/>
    <w:rsid w:val="00953CB4"/>
    <w:rsid w:val="0095455B"/>
    <w:rsid w:val="00957F34"/>
    <w:rsid w:val="0096027C"/>
    <w:rsid w:val="00960976"/>
    <w:rsid w:val="0096124C"/>
    <w:rsid w:val="00963526"/>
    <w:rsid w:val="00963AA3"/>
    <w:rsid w:val="00965879"/>
    <w:rsid w:val="00966D27"/>
    <w:rsid w:val="00967E12"/>
    <w:rsid w:val="00970351"/>
    <w:rsid w:val="009711AF"/>
    <w:rsid w:val="009714B6"/>
    <w:rsid w:val="0097384C"/>
    <w:rsid w:val="00973EDE"/>
    <w:rsid w:val="00976687"/>
    <w:rsid w:val="00977D6E"/>
    <w:rsid w:val="009819DA"/>
    <w:rsid w:val="00984467"/>
    <w:rsid w:val="00985733"/>
    <w:rsid w:val="00985992"/>
    <w:rsid w:val="00986141"/>
    <w:rsid w:val="009873B9"/>
    <w:rsid w:val="0098792C"/>
    <w:rsid w:val="009879FF"/>
    <w:rsid w:val="009907A0"/>
    <w:rsid w:val="00990D63"/>
    <w:rsid w:val="0099117B"/>
    <w:rsid w:val="009936FB"/>
    <w:rsid w:val="00995059"/>
    <w:rsid w:val="009953BC"/>
    <w:rsid w:val="009956F7"/>
    <w:rsid w:val="009960EE"/>
    <w:rsid w:val="00996578"/>
    <w:rsid w:val="0099661C"/>
    <w:rsid w:val="00997616"/>
    <w:rsid w:val="00997974"/>
    <w:rsid w:val="009A077A"/>
    <w:rsid w:val="009A197A"/>
    <w:rsid w:val="009A27FF"/>
    <w:rsid w:val="009A32D9"/>
    <w:rsid w:val="009A3F1E"/>
    <w:rsid w:val="009A4226"/>
    <w:rsid w:val="009A42E3"/>
    <w:rsid w:val="009A7700"/>
    <w:rsid w:val="009A7C9F"/>
    <w:rsid w:val="009B02C8"/>
    <w:rsid w:val="009B0415"/>
    <w:rsid w:val="009B2889"/>
    <w:rsid w:val="009B3468"/>
    <w:rsid w:val="009B43D2"/>
    <w:rsid w:val="009B586F"/>
    <w:rsid w:val="009B5A0A"/>
    <w:rsid w:val="009B6386"/>
    <w:rsid w:val="009B67FE"/>
    <w:rsid w:val="009B722E"/>
    <w:rsid w:val="009C0269"/>
    <w:rsid w:val="009C058B"/>
    <w:rsid w:val="009C31FC"/>
    <w:rsid w:val="009C3431"/>
    <w:rsid w:val="009C4FB8"/>
    <w:rsid w:val="009C5313"/>
    <w:rsid w:val="009C7F61"/>
    <w:rsid w:val="009D0114"/>
    <w:rsid w:val="009D11B7"/>
    <w:rsid w:val="009D1242"/>
    <w:rsid w:val="009D1FF3"/>
    <w:rsid w:val="009D258B"/>
    <w:rsid w:val="009D4F2A"/>
    <w:rsid w:val="009D5AE3"/>
    <w:rsid w:val="009D7382"/>
    <w:rsid w:val="009D75E1"/>
    <w:rsid w:val="009D761C"/>
    <w:rsid w:val="009E11D2"/>
    <w:rsid w:val="009E1857"/>
    <w:rsid w:val="009E1B3F"/>
    <w:rsid w:val="009E3DFB"/>
    <w:rsid w:val="009E47BB"/>
    <w:rsid w:val="009E6CAE"/>
    <w:rsid w:val="009F0591"/>
    <w:rsid w:val="009F15C3"/>
    <w:rsid w:val="009F2592"/>
    <w:rsid w:val="009F3413"/>
    <w:rsid w:val="009F3999"/>
    <w:rsid w:val="009F3C88"/>
    <w:rsid w:val="009F567F"/>
    <w:rsid w:val="009F583C"/>
    <w:rsid w:val="009F5987"/>
    <w:rsid w:val="009F7CA0"/>
    <w:rsid w:val="009F7F27"/>
    <w:rsid w:val="00A0002F"/>
    <w:rsid w:val="00A0178D"/>
    <w:rsid w:val="00A03187"/>
    <w:rsid w:val="00A03CB7"/>
    <w:rsid w:val="00A05563"/>
    <w:rsid w:val="00A063D1"/>
    <w:rsid w:val="00A06B95"/>
    <w:rsid w:val="00A06FE9"/>
    <w:rsid w:val="00A07366"/>
    <w:rsid w:val="00A07B3C"/>
    <w:rsid w:val="00A1145C"/>
    <w:rsid w:val="00A11ABA"/>
    <w:rsid w:val="00A13684"/>
    <w:rsid w:val="00A14F3D"/>
    <w:rsid w:val="00A152C3"/>
    <w:rsid w:val="00A170BF"/>
    <w:rsid w:val="00A17C07"/>
    <w:rsid w:val="00A20B23"/>
    <w:rsid w:val="00A22A51"/>
    <w:rsid w:val="00A23C6A"/>
    <w:rsid w:val="00A23F44"/>
    <w:rsid w:val="00A24EA5"/>
    <w:rsid w:val="00A274E1"/>
    <w:rsid w:val="00A2763B"/>
    <w:rsid w:val="00A27869"/>
    <w:rsid w:val="00A30E54"/>
    <w:rsid w:val="00A3337A"/>
    <w:rsid w:val="00A34989"/>
    <w:rsid w:val="00A365AC"/>
    <w:rsid w:val="00A37A6E"/>
    <w:rsid w:val="00A37B7A"/>
    <w:rsid w:val="00A37FBF"/>
    <w:rsid w:val="00A401E8"/>
    <w:rsid w:val="00A43121"/>
    <w:rsid w:val="00A44CAE"/>
    <w:rsid w:val="00A46132"/>
    <w:rsid w:val="00A46DCC"/>
    <w:rsid w:val="00A504CD"/>
    <w:rsid w:val="00A51353"/>
    <w:rsid w:val="00A51714"/>
    <w:rsid w:val="00A522AD"/>
    <w:rsid w:val="00A523DB"/>
    <w:rsid w:val="00A5288A"/>
    <w:rsid w:val="00A54639"/>
    <w:rsid w:val="00A55C9F"/>
    <w:rsid w:val="00A55D7A"/>
    <w:rsid w:val="00A566FE"/>
    <w:rsid w:val="00A572A8"/>
    <w:rsid w:val="00A60312"/>
    <w:rsid w:val="00A607C5"/>
    <w:rsid w:val="00A618AE"/>
    <w:rsid w:val="00A62703"/>
    <w:rsid w:val="00A63622"/>
    <w:rsid w:val="00A63F23"/>
    <w:rsid w:val="00A63F63"/>
    <w:rsid w:val="00A64CC0"/>
    <w:rsid w:val="00A65D04"/>
    <w:rsid w:val="00A667BE"/>
    <w:rsid w:val="00A6712E"/>
    <w:rsid w:val="00A711E1"/>
    <w:rsid w:val="00A71C3E"/>
    <w:rsid w:val="00A71CD7"/>
    <w:rsid w:val="00A73018"/>
    <w:rsid w:val="00A758D5"/>
    <w:rsid w:val="00A760A4"/>
    <w:rsid w:val="00A7661B"/>
    <w:rsid w:val="00A76A51"/>
    <w:rsid w:val="00A76EEB"/>
    <w:rsid w:val="00A77927"/>
    <w:rsid w:val="00A77D10"/>
    <w:rsid w:val="00A77F9B"/>
    <w:rsid w:val="00A81189"/>
    <w:rsid w:val="00A82589"/>
    <w:rsid w:val="00A834AC"/>
    <w:rsid w:val="00A8362E"/>
    <w:rsid w:val="00A84D12"/>
    <w:rsid w:val="00A86DB3"/>
    <w:rsid w:val="00A87B4C"/>
    <w:rsid w:val="00A90040"/>
    <w:rsid w:val="00A9040C"/>
    <w:rsid w:val="00A920FA"/>
    <w:rsid w:val="00A925AC"/>
    <w:rsid w:val="00A9262A"/>
    <w:rsid w:val="00A93B99"/>
    <w:rsid w:val="00A96C45"/>
    <w:rsid w:val="00A97749"/>
    <w:rsid w:val="00A979A5"/>
    <w:rsid w:val="00AA0050"/>
    <w:rsid w:val="00AA02EB"/>
    <w:rsid w:val="00AA0B34"/>
    <w:rsid w:val="00AA1069"/>
    <w:rsid w:val="00AA1E82"/>
    <w:rsid w:val="00AA3604"/>
    <w:rsid w:val="00AA620A"/>
    <w:rsid w:val="00AB0B9D"/>
    <w:rsid w:val="00AB2C03"/>
    <w:rsid w:val="00AB4C69"/>
    <w:rsid w:val="00AB6861"/>
    <w:rsid w:val="00AB6A7E"/>
    <w:rsid w:val="00AB6FCE"/>
    <w:rsid w:val="00AC046A"/>
    <w:rsid w:val="00AC0617"/>
    <w:rsid w:val="00AC0D81"/>
    <w:rsid w:val="00AC46AD"/>
    <w:rsid w:val="00AC4F87"/>
    <w:rsid w:val="00AC4FE7"/>
    <w:rsid w:val="00AC65B8"/>
    <w:rsid w:val="00AC6933"/>
    <w:rsid w:val="00AD47E3"/>
    <w:rsid w:val="00AD48EE"/>
    <w:rsid w:val="00AD5DEA"/>
    <w:rsid w:val="00AD5F24"/>
    <w:rsid w:val="00AD6CE6"/>
    <w:rsid w:val="00AE0625"/>
    <w:rsid w:val="00AE085D"/>
    <w:rsid w:val="00AE144E"/>
    <w:rsid w:val="00AE3A87"/>
    <w:rsid w:val="00AE49F5"/>
    <w:rsid w:val="00AE6ECF"/>
    <w:rsid w:val="00AE74C2"/>
    <w:rsid w:val="00AF00B5"/>
    <w:rsid w:val="00AF1F96"/>
    <w:rsid w:val="00AF2AC1"/>
    <w:rsid w:val="00AF3139"/>
    <w:rsid w:val="00AF5829"/>
    <w:rsid w:val="00B00266"/>
    <w:rsid w:val="00B006A3"/>
    <w:rsid w:val="00B03780"/>
    <w:rsid w:val="00B03C77"/>
    <w:rsid w:val="00B03D26"/>
    <w:rsid w:val="00B06016"/>
    <w:rsid w:val="00B0754A"/>
    <w:rsid w:val="00B102AD"/>
    <w:rsid w:val="00B10333"/>
    <w:rsid w:val="00B11F65"/>
    <w:rsid w:val="00B14885"/>
    <w:rsid w:val="00B1582B"/>
    <w:rsid w:val="00B22902"/>
    <w:rsid w:val="00B257DB"/>
    <w:rsid w:val="00B26902"/>
    <w:rsid w:val="00B27F30"/>
    <w:rsid w:val="00B31397"/>
    <w:rsid w:val="00B31A0B"/>
    <w:rsid w:val="00B31BA2"/>
    <w:rsid w:val="00B32B1A"/>
    <w:rsid w:val="00B33669"/>
    <w:rsid w:val="00B34CDE"/>
    <w:rsid w:val="00B363CD"/>
    <w:rsid w:val="00B409D7"/>
    <w:rsid w:val="00B414EB"/>
    <w:rsid w:val="00B41A5B"/>
    <w:rsid w:val="00B42A82"/>
    <w:rsid w:val="00B4387F"/>
    <w:rsid w:val="00B44487"/>
    <w:rsid w:val="00B44A56"/>
    <w:rsid w:val="00B44D63"/>
    <w:rsid w:val="00B45461"/>
    <w:rsid w:val="00B45CD3"/>
    <w:rsid w:val="00B4735C"/>
    <w:rsid w:val="00B477D1"/>
    <w:rsid w:val="00B51866"/>
    <w:rsid w:val="00B54665"/>
    <w:rsid w:val="00B549F3"/>
    <w:rsid w:val="00B54FC6"/>
    <w:rsid w:val="00B55A9A"/>
    <w:rsid w:val="00B57969"/>
    <w:rsid w:val="00B62500"/>
    <w:rsid w:val="00B62F65"/>
    <w:rsid w:val="00B659D5"/>
    <w:rsid w:val="00B70551"/>
    <w:rsid w:val="00B7078E"/>
    <w:rsid w:val="00B7083A"/>
    <w:rsid w:val="00B71060"/>
    <w:rsid w:val="00B721CC"/>
    <w:rsid w:val="00B72963"/>
    <w:rsid w:val="00B76720"/>
    <w:rsid w:val="00B804E8"/>
    <w:rsid w:val="00B809E4"/>
    <w:rsid w:val="00B8126A"/>
    <w:rsid w:val="00B8144F"/>
    <w:rsid w:val="00B81670"/>
    <w:rsid w:val="00B824B0"/>
    <w:rsid w:val="00B83BB1"/>
    <w:rsid w:val="00B83DBF"/>
    <w:rsid w:val="00B8564C"/>
    <w:rsid w:val="00B86292"/>
    <w:rsid w:val="00B86C3C"/>
    <w:rsid w:val="00B86C63"/>
    <w:rsid w:val="00B877B6"/>
    <w:rsid w:val="00B9067F"/>
    <w:rsid w:val="00B90DB9"/>
    <w:rsid w:val="00B91366"/>
    <w:rsid w:val="00B923BB"/>
    <w:rsid w:val="00B93009"/>
    <w:rsid w:val="00B930C3"/>
    <w:rsid w:val="00B93DC0"/>
    <w:rsid w:val="00B96FBA"/>
    <w:rsid w:val="00B97586"/>
    <w:rsid w:val="00B97961"/>
    <w:rsid w:val="00BA0ADD"/>
    <w:rsid w:val="00BA0EBE"/>
    <w:rsid w:val="00BA18A8"/>
    <w:rsid w:val="00BA24D1"/>
    <w:rsid w:val="00BA2F1D"/>
    <w:rsid w:val="00BA3771"/>
    <w:rsid w:val="00BA3D38"/>
    <w:rsid w:val="00BA5024"/>
    <w:rsid w:val="00BA692D"/>
    <w:rsid w:val="00BB0067"/>
    <w:rsid w:val="00BB0D9E"/>
    <w:rsid w:val="00BB1EB5"/>
    <w:rsid w:val="00BB4010"/>
    <w:rsid w:val="00BB45C5"/>
    <w:rsid w:val="00BB45DE"/>
    <w:rsid w:val="00BB5259"/>
    <w:rsid w:val="00BB558F"/>
    <w:rsid w:val="00BB6577"/>
    <w:rsid w:val="00BB7A62"/>
    <w:rsid w:val="00BC126C"/>
    <w:rsid w:val="00BC1C80"/>
    <w:rsid w:val="00BC1D31"/>
    <w:rsid w:val="00BC1D41"/>
    <w:rsid w:val="00BC2D79"/>
    <w:rsid w:val="00BC3757"/>
    <w:rsid w:val="00BC410C"/>
    <w:rsid w:val="00BC4416"/>
    <w:rsid w:val="00BC5F89"/>
    <w:rsid w:val="00BC773A"/>
    <w:rsid w:val="00BD0765"/>
    <w:rsid w:val="00BD09BA"/>
    <w:rsid w:val="00BD1F46"/>
    <w:rsid w:val="00BD47BA"/>
    <w:rsid w:val="00BD486B"/>
    <w:rsid w:val="00BD4D78"/>
    <w:rsid w:val="00BD5621"/>
    <w:rsid w:val="00BD656F"/>
    <w:rsid w:val="00BD6B43"/>
    <w:rsid w:val="00BD7115"/>
    <w:rsid w:val="00BD7627"/>
    <w:rsid w:val="00BD7711"/>
    <w:rsid w:val="00BE155F"/>
    <w:rsid w:val="00BE1813"/>
    <w:rsid w:val="00BE18CF"/>
    <w:rsid w:val="00BE2699"/>
    <w:rsid w:val="00BE2D9D"/>
    <w:rsid w:val="00BE2F70"/>
    <w:rsid w:val="00BE417E"/>
    <w:rsid w:val="00BE4EE3"/>
    <w:rsid w:val="00BE4EEC"/>
    <w:rsid w:val="00BE50B6"/>
    <w:rsid w:val="00BE6D06"/>
    <w:rsid w:val="00BE7396"/>
    <w:rsid w:val="00BE78D7"/>
    <w:rsid w:val="00BF0C4E"/>
    <w:rsid w:val="00BF0CA3"/>
    <w:rsid w:val="00BF1B3C"/>
    <w:rsid w:val="00BF585A"/>
    <w:rsid w:val="00BF7AC9"/>
    <w:rsid w:val="00BF7F8E"/>
    <w:rsid w:val="00C001D2"/>
    <w:rsid w:val="00C00FEE"/>
    <w:rsid w:val="00C011F9"/>
    <w:rsid w:val="00C0189E"/>
    <w:rsid w:val="00C029D8"/>
    <w:rsid w:val="00C02A4F"/>
    <w:rsid w:val="00C0302D"/>
    <w:rsid w:val="00C03A70"/>
    <w:rsid w:val="00C061AB"/>
    <w:rsid w:val="00C06C30"/>
    <w:rsid w:val="00C06D1D"/>
    <w:rsid w:val="00C1198B"/>
    <w:rsid w:val="00C11FCD"/>
    <w:rsid w:val="00C120A2"/>
    <w:rsid w:val="00C13466"/>
    <w:rsid w:val="00C1450F"/>
    <w:rsid w:val="00C16326"/>
    <w:rsid w:val="00C1727D"/>
    <w:rsid w:val="00C210DE"/>
    <w:rsid w:val="00C223FF"/>
    <w:rsid w:val="00C231D9"/>
    <w:rsid w:val="00C241F7"/>
    <w:rsid w:val="00C25A44"/>
    <w:rsid w:val="00C25E4B"/>
    <w:rsid w:val="00C26AC9"/>
    <w:rsid w:val="00C30AF9"/>
    <w:rsid w:val="00C3107A"/>
    <w:rsid w:val="00C3159E"/>
    <w:rsid w:val="00C326A5"/>
    <w:rsid w:val="00C33394"/>
    <w:rsid w:val="00C3372C"/>
    <w:rsid w:val="00C33820"/>
    <w:rsid w:val="00C33BE2"/>
    <w:rsid w:val="00C341A5"/>
    <w:rsid w:val="00C3454C"/>
    <w:rsid w:val="00C35C0B"/>
    <w:rsid w:val="00C36A86"/>
    <w:rsid w:val="00C3775E"/>
    <w:rsid w:val="00C37D0E"/>
    <w:rsid w:val="00C42611"/>
    <w:rsid w:val="00C4385B"/>
    <w:rsid w:val="00C438C4"/>
    <w:rsid w:val="00C44016"/>
    <w:rsid w:val="00C44C60"/>
    <w:rsid w:val="00C45929"/>
    <w:rsid w:val="00C4597C"/>
    <w:rsid w:val="00C46889"/>
    <w:rsid w:val="00C47281"/>
    <w:rsid w:val="00C4792B"/>
    <w:rsid w:val="00C47F23"/>
    <w:rsid w:val="00C50D59"/>
    <w:rsid w:val="00C51385"/>
    <w:rsid w:val="00C51EC5"/>
    <w:rsid w:val="00C52B5A"/>
    <w:rsid w:val="00C541FC"/>
    <w:rsid w:val="00C5523E"/>
    <w:rsid w:val="00C55D43"/>
    <w:rsid w:val="00C5718D"/>
    <w:rsid w:val="00C624CD"/>
    <w:rsid w:val="00C62C79"/>
    <w:rsid w:val="00C64712"/>
    <w:rsid w:val="00C6489A"/>
    <w:rsid w:val="00C66258"/>
    <w:rsid w:val="00C6628E"/>
    <w:rsid w:val="00C664ED"/>
    <w:rsid w:val="00C66BEA"/>
    <w:rsid w:val="00C70B35"/>
    <w:rsid w:val="00C70B8D"/>
    <w:rsid w:val="00C71611"/>
    <w:rsid w:val="00C72E6E"/>
    <w:rsid w:val="00C73BE2"/>
    <w:rsid w:val="00C74A28"/>
    <w:rsid w:val="00C74D96"/>
    <w:rsid w:val="00C75868"/>
    <w:rsid w:val="00C7596F"/>
    <w:rsid w:val="00C75C70"/>
    <w:rsid w:val="00C80D67"/>
    <w:rsid w:val="00C81A6C"/>
    <w:rsid w:val="00C8229A"/>
    <w:rsid w:val="00C82525"/>
    <w:rsid w:val="00C8318E"/>
    <w:rsid w:val="00C8335F"/>
    <w:rsid w:val="00C83B13"/>
    <w:rsid w:val="00C84D81"/>
    <w:rsid w:val="00C84F96"/>
    <w:rsid w:val="00C85B81"/>
    <w:rsid w:val="00C87AB2"/>
    <w:rsid w:val="00C90922"/>
    <w:rsid w:val="00C92116"/>
    <w:rsid w:val="00C92FDC"/>
    <w:rsid w:val="00C942A1"/>
    <w:rsid w:val="00C95481"/>
    <w:rsid w:val="00C9685F"/>
    <w:rsid w:val="00CA0548"/>
    <w:rsid w:val="00CA2928"/>
    <w:rsid w:val="00CA2ED2"/>
    <w:rsid w:val="00CA3087"/>
    <w:rsid w:val="00CA3334"/>
    <w:rsid w:val="00CA37A2"/>
    <w:rsid w:val="00CA4C0C"/>
    <w:rsid w:val="00CA58C5"/>
    <w:rsid w:val="00CA6292"/>
    <w:rsid w:val="00CA6B5B"/>
    <w:rsid w:val="00CA6CBC"/>
    <w:rsid w:val="00CB17AB"/>
    <w:rsid w:val="00CB1DBB"/>
    <w:rsid w:val="00CB1FFD"/>
    <w:rsid w:val="00CB311A"/>
    <w:rsid w:val="00CB49A3"/>
    <w:rsid w:val="00CB590F"/>
    <w:rsid w:val="00CB6C05"/>
    <w:rsid w:val="00CC04ED"/>
    <w:rsid w:val="00CC089F"/>
    <w:rsid w:val="00CC08AC"/>
    <w:rsid w:val="00CC08B3"/>
    <w:rsid w:val="00CC0F1E"/>
    <w:rsid w:val="00CC2AE4"/>
    <w:rsid w:val="00CC3E01"/>
    <w:rsid w:val="00CC4F9C"/>
    <w:rsid w:val="00CC4FD6"/>
    <w:rsid w:val="00CC5003"/>
    <w:rsid w:val="00CC56F0"/>
    <w:rsid w:val="00CC5AB2"/>
    <w:rsid w:val="00CC75A2"/>
    <w:rsid w:val="00CD0871"/>
    <w:rsid w:val="00CD105B"/>
    <w:rsid w:val="00CD1B95"/>
    <w:rsid w:val="00CD1DF7"/>
    <w:rsid w:val="00CD3ECC"/>
    <w:rsid w:val="00CD49E1"/>
    <w:rsid w:val="00CD4FC0"/>
    <w:rsid w:val="00CD5868"/>
    <w:rsid w:val="00CD5DB2"/>
    <w:rsid w:val="00CE023C"/>
    <w:rsid w:val="00CE06A8"/>
    <w:rsid w:val="00CE1283"/>
    <w:rsid w:val="00CE1440"/>
    <w:rsid w:val="00CE19C6"/>
    <w:rsid w:val="00CE1F3D"/>
    <w:rsid w:val="00CE2357"/>
    <w:rsid w:val="00CE4D8B"/>
    <w:rsid w:val="00CE54E6"/>
    <w:rsid w:val="00CE6530"/>
    <w:rsid w:val="00CE6800"/>
    <w:rsid w:val="00CE7ECB"/>
    <w:rsid w:val="00CF0802"/>
    <w:rsid w:val="00CF1B84"/>
    <w:rsid w:val="00CF3731"/>
    <w:rsid w:val="00CF3C4F"/>
    <w:rsid w:val="00CF4DC9"/>
    <w:rsid w:val="00CF61BC"/>
    <w:rsid w:val="00CF6E6C"/>
    <w:rsid w:val="00D002D7"/>
    <w:rsid w:val="00D00470"/>
    <w:rsid w:val="00D02D95"/>
    <w:rsid w:val="00D02E0B"/>
    <w:rsid w:val="00D054E2"/>
    <w:rsid w:val="00D05FEB"/>
    <w:rsid w:val="00D06315"/>
    <w:rsid w:val="00D06438"/>
    <w:rsid w:val="00D06C34"/>
    <w:rsid w:val="00D1015A"/>
    <w:rsid w:val="00D1132E"/>
    <w:rsid w:val="00D11FCD"/>
    <w:rsid w:val="00D12AE6"/>
    <w:rsid w:val="00D12CB1"/>
    <w:rsid w:val="00D134B5"/>
    <w:rsid w:val="00D13617"/>
    <w:rsid w:val="00D13BAC"/>
    <w:rsid w:val="00D13FE3"/>
    <w:rsid w:val="00D165B3"/>
    <w:rsid w:val="00D17430"/>
    <w:rsid w:val="00D1778B"/>
    <w:rsid w:val="00D17D99"/>
    <w:rsid w:val="00D212BE"/>
    <w:rsid w:val="00D218E5"/>
    <w:rsid w:val="00D21F30"/>
    <w:rsid w:val="00D21FDF"/>
    <w:rsid w:val="00D22E46"/>
    <w:rsid w:val="00D22F61"/>
    <w:rsid w:val="00D2578C"/>
    <w:rsid w:val="00D26FF7"/>
    <w:rsid w:val="00D278B6"/>
    <w:rsid w:val="00D278D6"/>
    <w:rsid w:val="00D27C40"/>
    <w:rsid w:val="00D27C90"/>
    <w:rsid w:val="00D30EE0"/>
    <w:rsid w:val="00D314A7"/>
    <w:rsid w:val="00D31F31"/>
    <w:rsid w:val="00D32699"/>
    <w:rsid w:val="00D35B2C"/>
    <w:rsid w:val="00D360C5"/>
    <w:rsid w:val="00D36229"/>
    <w:rsid w:val="00D3646B"/>
    <w:rsid w:val="00D364B8"/>
    <w:rsid w:val="00D36A89"/>
    <w:rsid w:val="00D36F5E"/>
    <w:rsid w:val="00D37AE7"/>
    <w:rsid w:val="00D37B05"/>
    <w:rsid w:val="00D4028C"/>
    <w:rsid w:val="00D406D9"/>
    <w:rsid w:val="00D41D76"/>
    <w:rsid w:val="00D42706"/>
    <w:rsid w:val="00D42E89"/>
    <w:rsid w:val="00D43CED"/>
    <w:rsid w:val="00D43E6F"/>
    <w:rsid w:val="00D44F17"/>
    <w:rsid w:val="00D4516C"/>
    <w:rsid w:val="00D459EB"/>
    <w:rsid w:val="00D463BF"/>
    <w:rsid w:val="00D464C7"/>
    <w:rsid w:val="00D50F68"/>
    <w:rsid w:val="00D51110"/>
    <w:rsid w:val="00D51170"/>
    <w:rsid w:val="00D52B53"/>
    <w:rsid w:val="00D52E15"/>
    <w:rsid w:val="00D531A1"/>
    <w:rsid w:val="00D54C2A"/>
    <w:rsid w:val="00D5710C"/>
    <w:rsid w:val="00D57115"/>
    <w:rsid w:val="00D604CB"/>
    <w:rsid w:val="00D60994"/>
    <w:rsid w:val="00D61553"/>
    <w:rsid w:val="00D6213F"/>
    <w:rsid w:val="00D63A53"/>
    <w:rsid w:val="00D64DE0"/>
    <w:rsid w:val="00D64FAB"/>
    <w:rsid w:val="00D67481"/>
    <w:rsid w:val="00D674C8"/>
    <w:rsid w:val="00D71076"/>
    <w:rsid w:val="00D71831"/>
    <w:rsid w:val="00D729EE"/>
    <w:rsid w:val="00D72D15"/>
    <w:rsid w:val="00D73BAA"/>
    <w:rsid w:val="00D74B6E"/>
    <w:rsid w:val="00D751E3"/>
    <w:rsid w:val="00D77807"/>
    <w:rsid w:val="00D808BF"/>
    <w:rsid w:val="00D81ECD"/>
    <w:rsid w:val="00D82E84"/>
    <w:rsid w:val="00D84F38"/>
    <w:rsid w:val="00D8588B"/>
    <w:rsid w:val="00D85F1B"/>
    <w:rsid w:val="00D85F84"/>
    <w:rsid w:val="00D86ACE"/>
    <w:rsid w:val="00D86C3A"/>
    <w:rsid w:val="00D87772"/>
    <w:rsid w:val="00D879CE"/>
    <w:rsid w:val="00D93091"/>
    <w:rsid w:val="00D93C52"/>
    <w:rsid w:val="00D947A1"/>
    <w:rsid w:val="00D9776D"/>
    <w:rsid w:val="00D97C16"/>
    <w:rsid w:val="00DA2CC1"/>
    <w:rsid w:val="00DA2D16"/>
    <w:rsid w:val="00DA52ED"/>
    <w:rsid w:val="00DA671B"/>
    <w:rsid w:val="00DA6DAB"/>
    <w:rsid w:val="00DA712E"/>
    <w:rsid w:val="00DA7419"/>
    <w:rsid w:val="00DA7A57"/>
    <w:rsid w:val="00DB0112"/>
    <w:rsid w:val="00DB0CBD"/>
    <w:rsid w:val="00DB1BF2"/>
    <w:rsid w:val="00DB3572"/>
    <w:rsid w:val="00DB738A"/>
    <w:rsid w:val="00DB7DF3"/>
    <w:rsid w:val="00DC0992"/>
    <w:rsid w:val="00DC18EB"/>
    <w:rsid w:val="00DC2356"/>
    <w:rsid w:val="00DC326B"/>
    <w:rsid w:val="00DC33F0"/>
    <w:rsid w:val="00DC4786"/>
    <w:rsid w:val="00DC578E"/>
    <w:rsid w:val="00DC69E8"/>
    <w:rsid w:val="00DD0B71"/>
    <w:rsid w:val="00DD0C5E"/>
    <w:rsid w:val="00DD0FB8"/>
    <w:rsid w:val="00DD10F1"/>
    <w:rsid w:val="00DD13BE"/>
    <w:rsid w:val="00DD1D3D"/>
    <w:rsid w:val="00DD4708"/>
    <w:rsid w:val="00DD58EB"/>
    <w:rsid w:val="00DD5C74"/>
    <w:rsid w:val="00DD64FF"/>
    <w:rsid w:val="00DD6567"/>
    <w:rsid w:val="00DD6A4A"/>
    <w:rsid w:val="00DD6B43"/>
    <w:rsid w:val="00DD7677"/>
    <w:rsid w:val="00DE04F1"/>
    <w:rsid w:val="00DE217A"/>
    <w:rsid w:val="00DE2187"/>
    <w:rsid w:val="00DE432F"/>
    <w:rsid w:val="00DE5494"/>
    <w:rsid w:val="00DE5748"/>
    <w:rsid w:val="00DE5AF5"/>
    <w:rsid w:val="00DE5EDC"/>
    <w:rsid w:val="00DE70EC"/>
    <w:rsid w:val="00DF21F0"/>
    <w:rsid w:val="00DF236A"/>
    <w:rsid w:val="00DF2727"/>
    <w:rsid w:val="00DF2CD2"/>
    <w:rsid w:val="00DF38BB"/>
    <w:rsid w:val="00DF4053"/>
    <w:rsid w:val="00DF4455"/>
    <w:rsid w:val="00DF466D"/>
    <w:rsid w:val="00DF77AC"/>
    <w:rsid w:val="00E00626"/>
    <w:rsid w:val="00E01226"/>
    <w:rsid w:val="00E02C70"/>
    <w:rsid w:val="00E04257"/>
    <w:rsid w:val="00E055BB"/>
    <w:rsid w:val="00E055FD"/>
    <w:rsid w:val="00E061E8"/>
    <w:rsid w:val="00E064DA"/>
    <w:rsid w:val="00E12D58"/>
    <w:rsid w:val="00E12E13"/>
    <w:rsid w:val="00E13DEC"/>
    <w:rsid w:val="00E14832"/>
    <w:rsid w:val="00E152C8"/>
    <w:rsid w:val="00E15F32"/>
    <w:rsid w:val="00E16501"/>
    <w:rsid w:val="00E16D96"/>
    <w:rsid w:val="00E2036B"/>
    <w:rsid w:val="00E20686"/>
    <w:rsid w:val="00E213D1"/>
    <w:rsid w:val="00E2356D"/>
    <w:rsid w:val="00E256B9"/>
    <w:rsid w:val="00E27D6B"/>
    <w:rsid w:val="00E321B9"/>
    <w:rsid w:val="00E32E62"/>
    <w:rsid w:val="00E35262"/>
    <w:rsid w:val="00E356D0"/>
    <w:rsid w:val="00E35FA5"/>
    <w:rsid w:val="00E37906"/>
    <w:rsid w:val="00E42CFA"/>
    <w:rsid w:val="00E454FA"/>
    <w:rsid w:val="00E4705F"/>
    <w:rsid w:val="00E47130"/>
    <w:rsid w:val="00E50484"/>
    <w:rsid w:val="00E521E7"/>
    <w:rsid w:val="00E52BFA"/>
    <w:rsid w:val="00E548D4"/>
    <w:rsid w:val="00E54D27"/>
    <w:rsid w:val="00E5529F"/>
    <w:rsid w:val="00E56987"/>
    <w:rsid w:val="00E57A3C"/>
    <w:rsid w:val="00E57B33"/>
    <w:rsid w:val="00E60633"/>
    <w:rsid w:val="00E60C9B"/>
    <w:rsid w:val="00E62014"/>
    <w:rsid w:val="00E634B3"/>
    <w:rsid w:val="00E63D66"/>
    <w:rsid w:val="00E65D61"/>
    <w:rsid w:val="00E662B0"/>
    <w:rsid w:val="00E66522"/>
    <w:rsid w:val="00E703B2"/>
    <w:rsid w:val="00E70BFC"/>
    <w:rsid w:val="00E7101E"/>
    <w:rsid w:val="00E71715"/>
    <w:rsid w:val="00E71CF5"/>
    <w:rsid w:val="00E71D25"/>
    <w:rsid w:val="00E73591"/>
    <w:rsid w:val="00E75314"/>
    <w:rsid w:val="00E76FAB"/>
    <w:rsid w:val="00E77424"/>
    <w:rsid w:val="00E81694"/>
    <w:rsid w:val="00E817C4"/>
    <w:rsid w:val="00E81DFE"/>
    <w:rsid w:val="00E852BF"/>
    <w:rsid w:val="00E8686F"/>
    <w:rsid w:val="00E8728B"/>
    <w:rsid w:val="00E928CB"/>
    <w:rsid w:val="00E930F9"/>
    <w:rsid w:val="00E94ED9"/>
    <w:rsid w:val="00E9621B"/>
    <w:rsid w:val="00E97679"/>
    <w:rsid w:val="00E97DD4"/>
    <w:rsid w:val="00EA0719"/>
    <w:rsid w:val="00EA13C1"/>
    <w:rsid w:val="00EA24E2"/>
    <w:rsid w:val="00EA2639"/>
    <w:rsid w:val="00EA412D"/>
    <w:rsid w:val="00EA65F9"/>
    <w:rsid w:val="00EA67DA"/>
    <w:rsid w:val="00EA6B68"/>
    <w:rsid w:val="00EB1898"/>
    <w:rsid w:val="00EB34BB"/>
    <w:rsid w:val="00EB577B"/>
    <w:rsid w:val="00EB60B9"/>
    <w:rsid w:val="00EB76F1"/>
    <w:rsid w:val="00EB789C"/>
    <w:rsid w:val="00EC1255"/>
    <w:rsid w:val="00EC1328"/>
    <w:rsid w:val="00EC1C5B"/>
    <w:rsid w:val="00EC3CFF"/>
    <w:rsid w:val="00EC4A6E"/>
    <w:rsid w:val="00EC5DA0"/>
    <w:rsid w:val="00EC61A6"/>
    <w:rsid w:val="00EC7EF7"/>
    <w:rsid w:val="00EC7F09"/>
    <w:rsid w:val="00ED0893"/>
    <w:rsid w:val="00ED2850"/>
    <w:rsid w:val="00ED44DC"/>
    <w:rsid w:val="00ED4ECE"/>
    <w:rsid w:val="00ED588D"/>
    <w:rsid w:val="00EE058B"/>
    <w:rsid w:val="00EE06A0"/>
    <w:rsid w:val="00EE201C"/>
    <w:rsid w:val="00EE26B8"/>
    <w:rsid w:val="00EE34DE"/>
    <w:rsid w:val="00EE3571"/>
    <w:rsid w:val="00EE4E92"/>
    <w:rsid w:val="00EE525E"/>
    <w:rsid w:val="00EE537E"/>
    <w:rsid w:val="00EE57B4"/>
    <w:rsid w:val="00EE632A"/>
    <w:rsid w:val="00EE69DC"/>
    <w:rsid w:val="00EF1E83"/>
    <w:rsid w:val="00EF262F"/>
    <w:rsid w:val="00EF44A5"/>
    <w:rsid w:val="00EF58C4"/>
    <w:rsid w:val="00EF64E7"/>
    <w:rsid w:val="00EF6683"/>
    <w:rsid w:val="00F0214F"/>
    <w:rsid w:val="00F02E62"/>
    <w:rsid w:val="00F0401C"/>
    <w:rsid w:val="00F06B83"/>
    <w:rsid w:val="00F07172"/>
    <w:rsid w:val="00F10C3E"/>
    <w:rsid w:val="00F1190B"/>
    <w:rsid w:val="00F14366"/>
    <w:rsid w:val="00F15E80"/>
    <w:rsid w:val="00F16A6E"/>
    <w:rsid w:val="00F16CB8"/>
    <w:rsid w:val="00F17EE0"/>
    <w:rsid w:val="00F2030E"/>
    <w:rsid w:val="00F20942"/>
    <w:rsid w:val="00F20EB6"/>
    <w:rsid w:val="00F22207"/>
    <w:rsid w:val="00F22EBE"/>
    <w:rsid w:val="00F248DC"/>
    <w:rsid w:val="00F24F8D"/>
    <w:rsid w:val="00F26563"/>
    <w:rsid w:val="00F26D29"/>
    <w:rsid w:val="00F26DDE"/>
    <w:rsid w:val="00F313CB"/>
    <w:rsid w:val="00F31D2C"/>
    <w:rsid w:val="00F32DAA"/>
    <w:rsid w:val="00F33186"/>
    <w:rsid w:val="00F350D6"/>
    <w:rsid w:val="00F36037"/>
    <w:rsid w:val="00F37974"/>
    <w:rsid w:val="00F41469"/>
    <w:rsid w:val="00F42E0B"/>
    <w:rsid w:val="00F4379C"/>
    <w:rsid w:val="00F44BC7"/>
    <w:rsid w:val="00F45633"/>
    <w:rsid w:val="00F50978"/>
    <w:rsid w:val="00F52651"/>
    <w:rsid w:val="00F5291C"/>
    <w:rsid w:val="00F534F1"/>
    <w:rsid w:val="00F549C2"/>
    <w:rsid w:val="00F55034"/>
    <w:rsid w:val="00F55220"/>
    <w:rsid w:val="00F55229"/>
    <w:rsid w:val="00F56612"/>
    <w:rsid w:val="00F56A27"/>
    <w:rsid w:val="00F56B8F"/>
    <w:rsid w:val="00F60AA0"/>
    <w:rsid w:val="00F619D5"/>
    <w:rsid w:val="00F62444"/>
    <w:rsid w:val="00F64A8E"/>
    <w:rsid w:val="00F64BE0"/>
    <w:rsid w:val="00F65E7D"/>
    <w:rsid w:val="00F65F36"/>
    <w:rsid w:val="00F66FCF"/>
    <w:rsid w:val="00F67448"/>
    <w:rsid w:val="00F6788E"/>
    <w:rsid w:val="00F67A73"/>
    <w:rsid w:val="00F7294C"/>
    <w:rsid w:val="00F737D3"/>
    <w:rsid w:val="00F73F8F"/>
    <w:rsid w:val="00F74AA0"/>
    <w:rsid w:val="00F76B38"/>
    <w:rsid w:val="00F77CE3"/>
    <w:rsid w:val="00F81EB0"/>
    <w:rsid w:val="00F827FD"/>
    <w:rsid w:val="00F82AB2"/>
    <w:rsid w:val="00F84144"/>
    <w:rsid w:val="00F87F8B"/>
    <w:rsid w:val="00F909DB"/>
    <w:rsid w:val="00F90B9C"/>
    <w:rsid w:val="00F93620"/>
    <w:rsid w:val="00F95985"/>
    <w:rsid w:val="00F95CE3"/>
    <w:rsid w:val="00F963F1"/>
    <w:rsid w:val="00F96641"/>
    <w:rsid w:val="00F96AA0"/>
    <w:rsid w:val="00F97B27"/>
    <w:rsid w:val="00F97C1D"/>
    <w:rsid w:val="00F97C5E"/>
    <w:rsid w:val="00FA08EA"/>
    <w:rsid w:val="00FA0F05"/>
    <w:rsid w:val="00FA0F98"/>
    <w:rsid w:val="00FA1C2F"/>
    <w:rsid w:val="00FA286D"/>
    <w:rsid w:val="00FA336F"/>
    <w:rsid w:val="00FA57DD"/>
    <w:rsid w:val="00FA6DB2"/>
    <w:rsid w:val="00FA79E7"/>
    <w:rsid w:val="00FB0A12"/>
    <w:rsid w:val="00FB0A7C"/>
    <w:rsid w:val="00FB1EBE"/>
    <w:rsid w:val="00FB2B65"/>
    <w:rsid w:val="00FB3233"/>
    <w:rsid w:val="00FB395C"/>
    <w:rsid w:val="00FB421F"/>
    <w:rsid w:val="00FB519F"/>
    <w:rsid w:val="00FC0365"/>
    <w:rsid w:val="00FC3225"/>
    <w:rsid w:val="00FC3228"/>
    <w:rsid w:val="00FC4432"/>
    <w:rsid w:val="00FC4622"/>
    <w:rsid w:val="00FC5F08"/>
    <w:rsid w:val="00FD2D37"/>
    <w:rsid w:val="00FD33F2"/>
    <w:rsid w:val="00FD5347"/>
    <w:rsid w:val="00FD61BA"/>
    <w:rsid w:val="00FD7F77"/>
    <w:rsid w:val="00FE0DA9"/>
    <w:rsid w:val="00FE0E5A"/>
    <w:rsid w:val="00FE1A25"/>
    <w:rsid w:val="00FE296D"/>
    <w:rsid w:val="00FE2FA3"/>
    <w:rsid w:val="00FE32C9"/>
    <w:rsid w:val="00FE3669"/>
    <w:rsid w:val="00FE5973"/>
    <w:rsid w:val="00FE61C8"/>
    <w:rsid w:val="00FE7E6C"/>
    <w:rsid w:val="00FF10C9"/>
    <w:rsid w:val="00FF2DE1"/>
    <w:rsid w:val="00FF3C86"/>
    <w:rsid w:val="00FF469C"/>
    <w:rsid w:val="00FF4872"/>
    <w:rsid w:val="00FF5270"/>
    <w:rsid w:val="00FF60FD"/>
    <w:rsid w:val="00FF69B3"/>
    <w:rsid w:val="00FF6B4B"/>
    <w:rsid w:val="00FF707A"/>
    <w:rsid w:val="00FF7146"/>
    <w:rsid w:val="00FF7242"/>
    <w:rsid w:val="00FF74F8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A83B9"/>
  <w15:chartTrackingRefBased/>
  <w15:docId w15:val="{9B8466AD-9C22-4A2C-8F64-D810639A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27D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6D86"/>
    <w:pPr>
      <w:keepNext/>
      <w:keepLines/>
      <w:numPr>
        <w:numId w:val="21"/>
      </w:numPr>
      <w:spacing w:before="240" w:after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7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_0,Nad,Odstavec_muj"/>
    <w:basedOn w:val="Normln"/>
    <w:link w:val="OdstavecseseznamemChar"/>
    <w:uiPriority w:val="34"/>
    <w:qFormat/>
    <w:rsid w:val="00FB51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11"/>
    <w:rPr>
      <w:rFonts w:ascii="Segoe UI" w:hAnsi="Segoe UI" w:cs="Segoe UI"/>
      <w:sz w:val="18"/>
      <w:szCs w:val="18"/>
    </w:rPr>
  </w:style>
  <w:style w:type="paragraph" w:customStyle="1" w:styleId="Zkladn">
    <w:name w:val="Základní"/>
    <w:basedOn w:val="Normln"/>
    <w:qFormat/>
    <w:rsid w:val="0067032C"/>
    <w:pPr>
      <w:spacing w:before="120"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06D86"/>
    <w:rPr>
      <w:rFonts w:eastAsiaTheme="majorEastAsia" w:cstheme="majorBidi"/>
      <w:b/>
      <w:caps/>
      <w:sz w:val="24"/>
      <w:szCs w:val="32"/>
    </w:rPr>
  </w:style>
  <w:style w:type="paragraph" w:styleId="Zhlav">
    <w:name w:val="header"/>
    <w:basedOn w:val="Normln"/>
    <w:link w:val="ZhlavChar"/>
    <w:uiPriority w:val="99"/>
    <w:unhideWhenUsed/>
    <w:rsid w:val="00B1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88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14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88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148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48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48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8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88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A4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Char Char Char Char"/>
    <w:basedOn w:val="Normln"/>
    <w:link w:val="TextpoznpodarouChar"/>
    <w:uiPriority w:val="99"/>
    <w:unhideWhenUsed/>
    <w:rsid w:val="00A365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 Char Char Char Char"/>
    <w:basedOn w:val="Standardnpsmoodstavce"/>
    <w:link w:val="Textpoznpodarou"/>
    <w:uiPriority w:val="99"/>
    <w:rsid w:val="00A365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365AC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5C7F8F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Odrkypuntky">
    <w:name w:val="Odrážky puntíky"/>
    <w:basedOn w:val="Normln"/>
    <w:rsid w:val="00FA0F05"/>
    <w:pPr>
      <w:numPr>
        <w:numId w:val="14"/>
      </w:numPr>
    </w:pPr>
  </w:style>
  <w:style w:type="paragraph" w:customStyle="1" w:styleId="Default">
    <w:name w:val="Default"/>
    <w:rsid w:val="00A37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B4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643071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430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Mkatabulky2">
    <w:name w:val="Mřížka tabulky2"/>
    <w:basedOn w:val="Normlntabulka"/>
    <w:next w:val="Mkatabulky"/>
    <w:uiPriority w:val="59"/>
    <w:rsid w:val="0049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0B6666"/>
    <w:rPr>
      <w:color w:val="000000"/>
      <w:sz w:val="28"/>
      <w:szCs w:val="28"/>
    </w:rPr>
  </w:style>
  <w:style w:type="character" w:customStyle="1" w:styleId="A4">
    <w:name w:val="A4"/>
    <w:uiPriority w:val="99"/>
    <w:rsid w:val="000B6666"/>
    <w:rPr>
      <w:color w:val="000000"/>
      <w:sz w:val="60"/>
      <w:szCs w:val="60"/>
    </w:rPr>
  </w:style>
  <w:style w:type="character" w:customStyle="1" w:styleId="A5">
    <w:name w:val="A5"/>
    <w:uiPriority w:val="99"/>
    <w:rsid w:val="000B6666"/>
    <w:rPr>
      <w:b/>
      <w:bCs/>
      <w:color w:val="000000"/>
      <w:sz w:val="40"/>
      <w:szCs w:val="40"/>
    </w:rPr>
  </w:style>
  <w:style w:type="character" w:styleId="Sledovanodkaz">
    <w:name w:val="FollowedHyperlink"/>
    <w:basedOn w:val="Standardnpsmoodstavce"/>
    <w:uiPriority w:val="99"/>
    <w:semiHidden/>
    <w:unhideWhenUsed/>
    <w:rsid w:val="001A334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909DB"/>
    <w:pPr>
      <w:spacing w:after="0" w:line="240" w:lineRule="auto"/>
    </w:pPr>
    <w:rPr>
      <w:sz w:val="24"/>
    </w:rPr>
  </w:style>
  <w:style w:type="paragraph" w:styleId="Normlnweb">
    <w:name w:val="Normal (Web)"/>
    <w:basedOn w:val="Normln"/>
    <w:uiPriority w:val="99"/>
    <w:rsid w:val="00304565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OdstavecseseznamemChar">
    <w:name w:val="Odstavec se seznamem Char"/>
    <w:aliases w:val="List Paragraph_0 Char,Nad Char,Odstavec_muj Char"/>
    <w:basedOn w:val="Standardnpsmoodstavce"/>
    <w:link w:val="Odstavecseseznamem"/>
    <w:uiPriority w:val="34"/>
    <w:rsid w:val="000D2EB1"/>
    <w:rPr>
      <w:sz w:val="24"/>
    </w:rPr>
  </w:style>
  <w:style w:type="character" w:styleId="Zdraznn">
    <w:name w:val="Emphasis"/>
    <w:qFormat/>
    <w:rsid w:val="00F32DAA"/>
    <w:rPr>
      <w:i/>
      <w:iCs/>
    </w:rPr>
  </w:style>
  <w:style w:type="paragraph" w:customStyle="1" w:styleId="Obsahtabulky">
    <w:name w:val="Obsah tabulky"/>
    <w:basedOn w:val="Normln"/>
    <w:qFormat/>
    <w:rsid w:val="00F32DAA"/>
    <w:pPr>
      <w:suppressLineNumbers/>
      <w:spacing w:after="0" w:line="240" w:lineRule="auto"/>
      <w:jc w:val="left"/>
    </w:pPr>
    <w:rPr>
      <w:rFonts w:ascii="Liberation Serif" w:eastAsia="NSimSun" w:hAnsi="Liberation Serif" w:cs="Lucida Sans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ROPACEK\Plocha\KB%20incident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počet incidentů hlášených GovCERT.CZ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52F304F3-7930-453D-86F4-96C10632FBC6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7CA-4A50-A9CE-9B45032D4ED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0527608-0D44-4480-8378-7795670FFCFA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7CA-4A50-A9CE-9B45032D4ED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5B39A656-668A-4AEE-B7C2-C82409216B95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7CA-4A50-A9CE-9B45032D4ED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119E5A5C-AB12-4EF5-B056-28D66F2FCCEC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7CA-4A50-A9CE-9B45032D4ED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List1!$B$1:$E$1</c:f>
              <c:strCach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 (leden až červenec)</c:v>
                </c:pt>
              </c:strCache>
            </c:strRef>
          </c:cat>
          <c:val>
            <c:numRef>
              <c:f>List1!$B$2:$E$2</c:f>
              <c:numCache>
                <c:formatCode>General</c:formatCode>
                <c:ptCount val="4"/>
                <c:pt idx="0">
                  <c:v>248</c:v>
                </c:pt>
                <c:pt idx="1">
                  <c:v>164</c:v>
                </c:pt>
                <c:pt idx="2">
                  <c:v>217</c:v>
                </c:pt>
                <c:pt idx="3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CA-4A50-A9CE-9B45032D4E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5039535"/>
        <c:axId val="1275040367"/>
      </c:barChart>
      <c:catAx>
        <c:axId val="1275039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75040367"/>
        <c:crosses val="autoZero"/>
        <c:auto val="1"/>
        <c:lblAlgn val="ctr"/>
        <c:lblOffset val="100"/>
        <c:noMultiLvlLbl val="0"/>
      </c:catAx>
      <c:valAx>
        <c:axId val="127504036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750395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986528688823874E-2"/>
          <c:y val="6.6396374670380037E-2"/>
          <c:w val="0.78091283597733585"/>
          <c:h val="0.6029604835980868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'IROP_Výzva č. 10_export z MS'!$C$158</c:f>
              <c:strCache>
                <c:ptCount val="1"/>
                <c:pt idx="0">
                  <c:v>Finanční objem podaných projektových žádostí (kumulativně)</c:v>
                </c:pt>
              </c:strCache>
            </c:strRef>
          </c:tx>
          <c:spPr>
            <a:solidFill>
              <a:srgbClr val="C00000"/>
            </a:solidFill>
            <a:ln w="34925">
              <a:noFill/>
            </a:ln>
            <a:effectLst/>
          </c:spPr>
          <c:invertIfNegative val="0"/>
          <c:cat>
            <c:numRef>
              <c:f>'IROP_Výzva č. 10_export z MS'!$A$169:$A$184</c:f>
              <c:numCache>
                <c:formatCode>mmm\-yy</c:formatCode>
                <c:ptCount val="16"/>
                <c:pt idx="0">
                  <c:v>42583</c:v>
                </c:pt>
                <c:pt idx="1">
                  <c:v>42614</c:v>
                </c:pt>
                <c:pt idx="2">
                  <c:v>42644</c:v>
                </c:pt>
                <c:pt idx="3">
                  <c:v>42675</c:v>
                </c:pt>
                <c:pt idx="4">
                  <c:v>42705</c:v>
                </c:pt>
                <c:pt idx="5">
                  <c:v>42736</c:v>
                </c:pt>
                <c:pt idx="6">
                  <c:v>42767</c:v>
                </c:pt>
                <c:pt idx="7">
                  <c:v>42795</c:v>
                </c:pt>
                <c:pt idx="8">
                  <c:v>42826</c:v>
                </c:pt>
                <c:pt idx="9">
                  <c:v>42856</c:v>
                </c:pt>
                <c:pt idx="10">
                  <c:v>42887</c:v>
                </c:pt>
                <c:pt idx="11">
                  <c:v>42917</c:v>
                </c:pt>
                <c:pt idx="12">
                  <c:v>42948</c:v>
                </c:pt>
                <c:pt idx="13">
                  <c:v>42979</c:v>
                </c:pt>
                <c:pt idx="14">
                  <c:v>43009</c:v>
                </c:pt>
                <c:pt idx="15">
                  <c:v>43040</c:v>
                </c:pt>
              </c:numCache>
            </c:numRef>
          </c:cat>
          <c:val>
            <c:numRef>
              <c:f>'IROP_Výzva č. 10_export z MS'!$C$169:$C$184</c:f>
              <c:numCache>
                <c:formatCode>#\ ##0.0</c:formatCode>
                <c:ptCount val="16"/>
                <c:pt idx="0">
                  <c:v>0</c:v>
                </c:pt>
                <c:pt idx="1">
                  <c:v>97143069.629999995</c:v>
                </c:pt>
                <c:pt idx="2">
                  <c:v>97143069.629999995</c:v>
                </c:pt>
                <c:pt idx="3">
                  <c:v>97143069.629999995</c:v>
                </c:pt>
                <c:pt idx="4">
                  <c:v>112959705.84</c:v>
                </c:pt>
                <c:pt idx="5">
                  <c:v>112959705.84</c:v>
                </c:pt>
                <c:pt idx="6">
                  <c:v>112959705.84</c:v>
                </c:pt>
                <c:pt idx="7">
                  <c:v>112959705.84</c:v>
                </c:pt>
                <c:pt idx="8">
                  <c:v>136717075.78999999</c:v>
                </c:pt>
                <c:pt idx="9">
                  <c:v>167238368.95999998</c:v>
                </c:pt>
                <c:pt idx="10">
                  <c:v>167238368.95999998</c:v>
                </c:pt>
                <c:pt idx="11">
                  <c:v>192607430.60999998</c:v>
                </c:pt>
                <c:pt idx="12">
                  <c:v>275038356.79999995</c:v>
                </c:pt>
                <c:pt idx="13">
                  <c:v>442168907.93999994</c:v>
                </c:pt>
                <c:pt idx="14">
                  <c:v>530647978.33999991</c:v>
                </c:pt>
                <c:pt idx="15">
                  <c:v>3717807983.6699982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AE-4AF6-AC46-8485637EA6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702240"/>
        <c:axId val="315700576"/>
      </c:barChart>
      <c:lineChart>
        <c:grouping val="standard"/>
        <c:varyColors val="0"/>
        <c:ser>
          <c:idx val="0"/>
          <c:order val="0"/>
          <c:tx>
            <c:strRef>
              <c:f>'IROP_Výzva č. 10_export z MS'!$B$158</c:f>
              <c:strCache>
                <c:ptCount val="1"/>
                <c:pt idx="0">
                  <c:v>Podané projektové žádosti o podporu (kumulativně)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5361172450145177E-2"/>
                  <c:y val="-0.2910114996479700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a:rPr>
                      <a:t>Od vyhlášení výzvy dne 21. 10. 2015 nebyla do srpna 2016 podána žádná žádost o podporu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1000" b="0" i="0" u="none" strike="noStrike" kern="1200" baseline="0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365557339501628"/>
                      <c:h val="0.34288154314839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8148-4EEE-8EF2-95F53A3A7597}"/>
                </c:ext>
              </c:extLst>
            </c:dLbl>
            <c:dLbl>
              <c:idx val="9"/>
              <c:layout>
                <c:manualLayout>
                  <c:x val="-0.11238406983087834"/>
                  <c:y val="-0.1858304297328687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Rozšíření výzvy k 12. 5. 2017</a:t>
                    </a:r>
                  </a:p>
                </c:rich>
              </c:tx>
              <c:spPr>
                <a:xfrm>
                  <a:off x="2672857" y="1084240"/>
                  <a:ext cx="1660627" cy="351506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5353"/>
                        <a:gd name="adj2" fmla="val 153362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8534213092430549"/>
                      <c:h val="0.128583683137168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BAE-4AF6-AC46-8485637EA6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'IROP_Výzva č. 10_export z MS'!$A$169:$A$184</c:f>
              <c:numCache>
                <c:formatCode>mmm\-yy</c:formatCode>
                <c:ptCount val="16"/>
                <c:pt idx="0">
                  <c:v>42583</c:v>
                </c:pt>
                <c:pt idx="1">
                  <c:v>42614</c:v>
                </c:pt>
                <c:pt idx="2">
                  <c:v>42644</c:v>
                </c:pt>
                <c:pt idx="3">
                  <c:v>42675</c:v>
                </c:pt>
                <c:pt idx="4">
                  <c:v>42705</c:v>
                </c:pt>
                <c:pt idx="5">
                  <c:v>42736</c:v>
                </c:pt>
                <c:pt idx="6">
                  <c:v>42767</c:v>
                </c:pt>
                <c:pt idx="7">
                  <c:v>42795</c:v>
                </c:pt>
                <c:pt idx="8">
                  <c:v>42826</c:v>
                </c:pt>
                <c:pt idx="9">
                  <c:v>42856</c:v>
                </c:pt>
                <c:pt idx="10">
                  <c:v>42887</c:v>
                </c:pt>
                <c:pt idx="11">
                  <c:v>42917</c:v>
                </c:pt>
                <c:pt idx="12">
                  <c:v>42948</c:v>
                </c:pt>
                <c:pt idx="13">
                  <c:v>42979</c:v>
                </c:pt>
                <c:pt idx="14">
                  <c:v>43009</c:v>
                </c:pt>
                <c:pt idx="15">
                  <c:v>43040</c:v>
                </c:pt>
              </c:numCache>
            </c:numRef>
          </c:cat>
          <c:val>
            <c:numRef>
              <c:f>'IROP_Výzva č. 10_export z MS'!$B$169:$B$184</c:f>
              <c:numCache>
                <c:formatCode>General</c:formatCode>
                <c:ptCount val="16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7</c:v>
                </c:pt>
                <c:pt idx="12">
                  <c:v>9</c:v>
                </c:pt>
                <c:pt idx="13">
                  <c:v>13</c:v>
                </c:pt>
                <c:pt idx="14">
                  <c:v>19</c:v>
                </c:pt>
                <c:pt idx="15">
                  <c:v>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BAE-4AF6-AC46-8485637EA6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829296"/>
        <c:axId val="313608032"/>
      </c:lineChart>
      <c:valAx>
        <c:axId val="31570057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mld.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5702240"/>
        <c:crosses val="max"/>
        <c:crossBetween val="between"/>
        <c:dispUnits>
          <c:builtInUnit val="billions"/>
        </c:dispUnits>
      </c:valAx>
      <c:dateAx>
        <c:axId val="31570224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5700576"/>
        <c:crossesAt val="0"/>
        <c:auto val="1"/>
        <c:lblOffset val="100"/>
        <c:baseTimeUnit val="months"/>
      </c:dateAx>
      <c:valAx>
        <c:axId val="3136080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i="0"/>
                  <a:t>Počet podaných žádostí o podporu</a:t>
                </a:r>
              </a:p>
            </c:rich>
          </c:tx>
          <c:layout>
            <c:manualLayout>
              <c:xMode val="edge"/>
              <c:yMode val="edge"/>
              <c:x val="6.0992048661675062E-3"/>
              <c:y val="3.387600940126386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5829296"/>
        <c:crosses val="autoZero"/>
        <c:crossBetween val="between"/>
      </c:valAx>
      <c:dateAx>
        <c:axId val="115829296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3608032"/>
        <c:crosses val="autoZero"/>
        <c:auto val="1"/>
        <c:lblOffset val="100"/>
        <c:baseTimeUnit val="month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1000"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8948C0894C94B9A07A70EDAA354C7" ma:contentTypeVersion="1" ma:contentTypeDescription="Vytvoří nový dokument" ma:contentTypeScope="" ma:versionID="92bbfb38d6b8db7687629c143a6720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EF75-023A-4A29-A99F-B5944C11A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8CCB2-9427-44E6-8F86-54987B79B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00624-1141-42C4-88C4-1EB97AC3138E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D7ED44-B222-4A27-B66D-2EA902A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3029AD0E.dotm</Template>
  <TotalTime>8</TotalTime>
  <Pages>17</Pages>
  <Words>5776</Words>
  <Characters>34084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19/26 - Budování kybernetické bezpečnosti České republiky</vt:lpstr>
    </vt:vector>
  </TitlesOfParts>
  <Company>NKU</Company>
  <LinksUpToDate>false</LinksUpToDate>
  <CharactersWithSpaces>39781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19/26 - Budování kybernetické bezpečnosti České republiky</dc:title>
  <dc:subject/>
  <dc:creator>Nejvyšší kontrolní úřad</dc:creator>
  <cp:keywords>kontrolní závěr; kybernetická bezpečnost</cp:keywords>
  <dc:description/>
  <cp:lastModifiedBy>KOKRDA Daniel</cp:lastModifiedBy>
  <cp:revision>3</cp:revision>
  <cp:lastPrinted>2020-10-01T10:31:00Z</cp:lastPrinted>
  <dcterms:created xsi:type="dcterms:W3CDTF">2020-10-01T10:30:00Z</dcterms:created>
  <dcterms:modified xsi:type="dcterms:W3CDTF">2020-10-01T10:37:00Z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0x0101005448948C0894C94B9A07A70EDAA354C7</vt:lpwstr>
  </property>
</Properties>
</file>