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39DDD" w14:textId="77777777" w:rsidR="0058538C" w:rsidRDefault="0058538C" w:rsidP="0037757A">
      <w:pPr>
        <w:spacing w:after="0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DC8C09" wp14:editId="69F507B0">
            <wp:simplePos x="0" y="0"/>
            <wp:positionH relativeFrom="column">
              <wp:posOffset>2519045</wp:posOffset>
            </wp:positionH>
            <wp:positionV relativeFrom="paragraph">
              <wp:posOffset>111</wp:posOffset>
            </wp:positionV>
            <wp:extent cx="763905" cy="539623"/>
            <wp:effectExtent l="0" t="0" r="0" b="0"/>
            <wp:wrapTopAndBottom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539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BEC12" w14:textId="77777777" w:rsidR="0058538C" w:rsidRDefault="0058538C" w:rsidP="0037757A">
      <w:pPr>
        <w:spacing w:after="0"/>
        <w:ind w:left="0" w:firstLine="0"/>
        <w:jc w:val="center"/>
      </w:pPr>
    </w:p>
    <w:p w14:paraId="602C3EA3" w14:textId="77777777" w:rsidR="00095556" w:rsidRDefault="00095556" w:rsidP="0037757A">
      <w:pPr>
        <w:spacing w:after="0"/>
        <w:ind w:left="0" w:firstLine="0"/>
        <w:jc w:val="center"/>
      </w:pPr>
    </w:p>
    <w:p w14:paraId="1C6BD3BA" w14:textId="77777777" w:rsidR="00095556" w:rsidRDefault="00AE7EF5" w:rsidP="0037757A">
      <w:pPr>
        <w:spacing w:after="0"/>
        <w:ind w:left="361" w:right="358"/>
        <w:jc w:val="center"/>
      </w:pPr>
      <w:r>
        <w:rPr>
          <w:b/>
          <w:sz w:val="28"/>
        </w:rPr>
        <w:t xml:space="preserve">Kontrolní závěr z kontrolní akce </w:t>
      </w:r>
    </w:p>
    <w:p w14:paraId="6FA6383F" w14:textId="77777777" w:rsidR="007D37DA" w:rsidRDefault="007D37DA" w:rsidP="0037757A">
      <w:pPr>
        <w:spacing w:after="0"/>
        <w:ind w:left="361" w:right="358"/>
        <w:jc w:val="center"/>
        <w:rPr>
          <w:b/>
          <w:sz w:val="28"/>
        </w:rPr>
      </w:pPr>
    </w:p>
    <w:p w14:paraId="56C8B322" w14:textId="77777777" w:rsidR="00095556" w:rsidRDefault="001D2624" w:rsidP="0037757A">
      <w:pPr>
        <w:spacing w:after="0"/>
        <w:ind w:left="361" w:right="358"/>
        <w:jc w:val="center"/>
        <w:rPr>
          <w:b/>
          <w:sz w:val="28"/>
        </w:rPr>
      </w:pPr>
      <w:r>
        <w:rPr>
          <w:b/>
          <w:sz w:val="28"/>
        </w:rPr>
        <w:t>19/20</w:t>
      </w:r>
    </w:p>
    <w:p w14:paraId="2C04F309" w14:textId="77777777" w:rsidR="0037757A" w:rsidRDefault="0037757A" w:rsidP="0037757A">
      <w:pPr>
        <w:spacing w:after="0"/>
        <w:ind w:left="361" w:right="358"/>
        <w:jc w:val="center"/>
        <w:rPr>
          <w:b/>
          <w:sz w:val="28"/>
        </w:rPr>
      </w:pPr>
    </w:p>
    <w:p w14:paraId="7A87F8B5" w14:textId="5E094C79" w:rsidR="00095556" w:rsidRDefault="001D2624" w:rsidP="0037757A">
      <w:pPr>
        <w:spacing w:after="0"/>
        <w:ind w:left="361" w:right="351"/>
        <w:jc w:val="center"/>
        <w:rPr>
          <w:b/>
          <w:sz w:val="28"/>
        </w:rPr>
      </w:pPr>
      <w:r>
        <w:rPr>
          <w:b/>
          <w:sz w:val="28"/>
        </w:rPr>
        <w:t>Vysokoškolské vzdělávání příslušníků bezpečnostních sborů a vojáků ozbrojených sil</w:t>
      </w:r>
    </w:p>
    <w:p w14:paraId="4D5D2992" w14:textId="1974DFF9" w:rsidR="00095556" w:rsidRDefault="00095556" w:rsidP="0037757A">
      <w:pPr>
        <w:spacing w:after="0"/>
        <w:ind w:left="0" w:firstLine="0"/>
        <w:jc w:val="left"/>
      </w:pPr>
    </w:p>
    <w:p w14:paraId="33C10C54" w14:textId="77777777" w:rsidR="0037757A" w:rsidRDefault="0037757A" w:rsidP="0037757A">
      <w:pPr>
        <w:spacing w:after="0"/>
        <w:ind w:left="0" w:firstLine="0"/>
        <w:jc w:val="left"/>
      </w:pPr>
    </w:p>
    <w:p w14:paraId="0A109C96" w14:textId="77777777" w:rsidR="00095556" w:rsidRDefault="00AE7EF5" w:rsidP="0037757A">
      <w:pPr>
        <w:spacing w:after="0"/>
        <w:ind w:left="0" w:firstLine="0"/>
      </w:pPr>
      <w:r>
        <w:t>Kontrolní akce byla zařazena do plánu kontrolní činnosti Nejvyššího kontrolního úřadu (dále také „NK</w:t>
      </w:r>
      <w:r w:rsidR="006F6F3F">
        <w:t>Ú“) na rok 201</w:t>
      </w:r>
      <w:r w:rsidR="001D2624">
        <w:t>9</w:t>
      </w:r>
      <w:r w:rsidR="006F6F3F">
        <w:t xml:space="preserve"> pod číslem </w:t>
      </w:r>
      <w:r w:rsidR="001D2624">
        <w:t>19/20</w:t>
      </w:r>
      <w:r>
        <w:t>. Kontrolní akci řídil a kontrolní závěr vypracoval člen</w:t>
      </w:r>
      <w:r w:rsidR="00EC2492">
        <w:t> </w:t>
      </w:r>
      <w:r>
        <w:t>NKÚ Ing.</w:t>
      </w:r>
      <w:r w:rsidR="00EC2492">
        <w:t> </w:t>
      </w:r>
      <w:r w:rsidR="006F6F3F">
        <w:t>Jan Stárek</w:t>
      </w:r>
      <w:r>
        <w:t xml:space="preserve">. </w:t>
      </w:r>
    </w:p>
    <w:p w14:paraId="3A53D21A" w14:textId="77777777" w:rsidR="00095556" w:rsidRDefault="00095556" w:rsidP="0037757A">
      <w:pPr>
        <w:spacing w:after="0"/>
        <w:ind w:left="0" w:firstLine="0"/>
        <w:jc w:val="left"/>
      </w:pPr>
    </w:p>
    <w:p w14:paraId="3CAFFE58" w14:textId="77777777" w:rsidR="00095556" w:rsidRDefault="00AE7EF5" w:rsidP="0037757A">
      <w:pPr>
        <w:spacing w:after="0"/>
        <w:ind w:left="0" w:firstLine="0"/>
      </w:pPr>
      <w:r>
        <w:t xml:space="preserve">Cílem kontroly bylo </w:t>
      </w:r>
      <w:r w:rsidR="001D2624">
        <w:t>posoudit, zda činnost Policejní akademie ČR a Univerzity obrany zabezpečuje vzdělávací potřeby Policie ČR a Armády ČR a zda hospodařily instituce při realizaci své činnosti s majetkem a peněžními prostředky státu v souladu s právními předpisy, účelně, hospodárně a efektivně</w:t>
      </w:r>
      <w:r>
        <w:t>.</w:t>
      </w:r>
    </w:p>
    <w:p w14:paraId="46BD5A13" w14:textId="77777777" w:rsidR="007D37DA" w:rsidRDefault="007D37DA" w:rsidP="0037757A">
      <w:pPr>
        <w:spacing w:after="0"/>
        <w:ind w:left="0" w:firstLine="0"/>
      </w:pPr>
    </w:p>
    <w:p w14:paraId="69355827" w14:textId="77777777" w:rsidR="00095556" w:rsidRDefault="00AE7EF5" w:rsidP="0037757A">
      <w:pPr>
        <w:spacing w:after="0"/>
        <w:ind w:left="0" w:firstLine="0"/>
      </w:pPr>
      <w:r>
        <w:t xml:space="preserve">Kontrola byla prováděna u kontrolovaných osob v období od </w:t>
      </w:r>
      <w:r w:rsidR="001D2624">
        <w:t>září 2019</w:t>
      </w:r>
      <w:r>
        <w:t xml:space="preserve"> do </w:t>
      </w:r>
      <w:r w:rsidR="002E50A2" w:rsidRPr="00CD0F59">
        <w:t>června</w:t>
      </w:r>
      <w:r w:rsidR="001D2624">
        <w:t xml:space="preserve"> 2020</w:t>
      </w:r>
      <w:r>
        <w:t>.</w:t>
      </w:r>
    </w:p>
    <w:p w14:paraId="3E83B46C" w14:textId="77777777" w:rsidR="00095556" w:rsidRDefault="00095556" w:rsidP="0037757A">
      <w:pPr>
        <w:spacing w:after="0"/>
        <w:ind w:left="0" w:firstLine="0"/>
        <w:jc w:val="left"/>
      </w:pPr>
    </w:p>
    <w:p w14:paraId="5DAD6E6C" w14:textId="595403F8" w:rsidR="00095556" w:rsidRDefault="00AE7EF5" w:rsidP="0037757A">
      <w:pPr>
        <w:spacing w:after="0"/>
        <w:ind w:left="0" w:firstLine="0"/>
      </w:pPr>
      <w:r>
        <w:t>Kontrolovaným obdobím byly roky 201</w:t>
      </w:r>
      <w:r w:rsidR="001D2624">
        <w:t>6</w:t>
      </w:r>
      <w:r w:rsidR="002D4D8E">
        <w:t xml:space="preserve"> </w:t>
      </w:r>
      <w:r>
        <w:t>až 201</w:t>
      </w:r>
      <w:r w:rsidR="001D2624">
        <w:t>8</w:t>
      </w:r>
      <w:r>
        <w:t>, v případě věcných souvislostí i období předcházející</w:t>
      </w:r>
      <w:r w:rsidR="006F6F3F">
        <w:t xml:space="preserve"> a </w:t>
      </w:r>
      <w:r w:rsidR="00B26945">
        <w:t>následující</w:t>
      </w:r>
      <w:r>
        <w:t xml:space="preserve">. </w:t>
      </w:r>
    </w:p>
    <w:p w14:paraId="6172013F" w14:textId="77777777" w:rsidR="005D427E" w:rsidRDefault="005D427E" w:rsidP="0037757A">
      <w:pPr>
        <w:spacing w:after="0"/>
        <w:ind w:left="0" w:firstLine="0"/>
      </w:pPr>
    </w:p>
    <w:p w14:paraId="6DA6A9D2" w14:textId="77777777" w:rsidR="005D427E" w:rsidRDefault="005D427E" w:rsidP="0037757A">
      <w:pPr>
        <w:spacing w:after="0"/>
        <w:ind w:left="0" w:firstLine="0"/>
      </w:pPr>
      <w:r>
        <w:rPr>
          <w:b/>
        </w:rPr>
        <w:t xml:space="preserve">Kontrolované osoby: </w:t>
      </w:r>
    </w:p>
    <w:p w14:paraId="2DCDD89F" w14:textId="77777777" w:rsidR="005D427E" w:rsidRDefault="005D427E" w:rsidP="0037757A">
      <w:pPr>
        <w:spacing w:after="0"/>
        <w:ind w:left="0" w:firstLine="0"/>
      </w:pPr>
      <w:r>
        <w:t>Ministe</w:t>
      </w:r>
      <w:r w:rsidR="00196FD2">
        <w:t>rstvo vnitra (dále také „MV“),</w:t>
      </w:r>
    </w:p>
    <w:p w14:paraId="4CFC2500" w14:textId="77777777" w:rsidR="005D427E" w:rsidRDefault="001D2624" w:rsidP="0037757A">
      <w:pPr>
        <w:spacing w:after="0"/>
        <w:ind w:left="0" w:firstLine="0"/>
      </w:pPr>
      <w:r>
        <w:t>Ministerstvo obrany</w:t>
      </w:r>
      <w:r w:rsidR="005D427E">
        <w:t xml:space="preserve"> (dále také „</w:t>
      </w:r>
      <w:r>
        <w:t>MO</w:t>
      </w:r>
      <w:r w:rsidR="005D427E">
        <w:t>“),</w:t>
      </w:r>
    </w:p>
    <w:p w14:paraId="002457A8" w14:textId="77777777" w:rsidR="005D427E" w:rsidRDefault="00243915" w:rsidP="0037757A">
      <w:pPr>
        <w:spacing w:after="0"/>
        <w:ind w:left="0" w:firstLine="0"/>
      </w:pPr>
      <w:r>
        <w:t>Policejní akademie České republiky</w:t>
      </w:r>
      <w:r w:rsidR="005D427E">
        <w:t xml:space="preserve"> v Praze (dále také „</w:t>
      </w:r>
      <w:r>
        <w:t>PA ČR</w:t>
      </w:r>
      <w:r w:rsidR="005D427E">
        <w:t>“).</w:t>
      </w:r>
    </w:p>
    <w:p w14:paraId="0D4375AA" w14:textId="149E44A9" w:rsidR="0058538C" w:rsidRDefault="0058538C" w:rsidP="0037757A">
      <w:pPr>
        <w:spacing w:after="0"/>
        <w:ind w:left="0" w:firstLine="0"/>
        <w:jc w:val="left"/>
      </w:pPr>
    </w:p>
    <w:p w14:paraId="16BCC7FC" w14:textId="77777777" w:rsidR="0037757A" w:rsidRDefault="0037757A" w:rsidP="0037757A">
      <w:pPr>
        <w:spacing w:after="0"/>
        <w:ind w:left="0" w:firstLine="0"/>
        <w:jc w:val="left"/>
      </w:pPr>
    </w:p>
    <w:p w14:paraId="7005C5FC" w14:textId="31172C5D" w:rsidR="007F7D25" w:rsidRPr="0073668B" w:rsidRDefault="00AE7EF5" w:rsidP="00C92CFC">
      <w:pPr>
        <w:ind w:left="-5"/>
      </w:pPr>
      <w:r w:rsidRPr="00196FD2">
        <w:rPr>
          <w:b/>
          <w:i/>
          <w:spacing w:val="20"/>
        </w:rPr>
        <w:t>Kolegium</w:t>
      </w:r>
      <w:r w:rsidRPr="00196FD2">
        <w:rPr>
          <w:b/>
          <w:i/>
        </w:rPr>
        <w:t xml:space="preserve">   </w:t>
      </w:r>
      <w:r w:rsidRPr="00196FD2">
        <w:rPr>
          <w:b/>
          <w:i/>
          <w:spacing w:val="20"/>
        </w:rPr>
        <w:t>NKÚ</w:t>
      </w:r>
      <w:r w:rsidRPr="00196FD2">
        <w:rPr>
          <w:b/>
          <w:i/>
        </w:rPr>
        <w:t xml:space="preserve">   </w:t>
      </w:r>
      <w:r>
        <w:t xml:space="preserve">na </w:t>
      </w:r>
      <w:r w:rsidR="00243915" w:rsidRPr="0073668B">
        <w:t xml:space="preserve">svém </w:t>
      </w:r>
      <w:r w:rsidR="0073668B" w:rsidRPr="0073668B">
        <w:t>XV</w:t>
      </w:r>
      <w:r w:rsidR="00C92CFC">
        <w:t>I</w:t>
      </w:r>
      <w:r w:rsidR="0073668B" w:rsidRPr="0073668B">
        <w:t xml:space="preserve">I. </w:t>
      </w:r>
      <w:r w:rsidRPr="0073668B">
        <w:t xml:space="preserve">jednání, které se konalo dne </w:t>
      </w:r>
      <w:r w:rsidR="0073668B">
        <w:t xml:space="preserve">9. </w:t>
      </w:r>
      <w:r w:rsidR="00C92CFC">
        <w:t xml:space="preserve">listopadu </w:t>
      </w:r>
      <w:r w:rsidRPr="0073668B">
        <w:t>20</w:t>
      </w:r>
      <w:r w:rsidR="00243915" w:rsidRPr="0073668B">
        <w:t>20</w:t>
      </w:r>
      <w:r w:rsidR="00196FD2" w:rsidRPr="0073668B">
        <w:t>,</w:t>
      </w:r>
    </w:p>
    <w:p w14:paraId="28894ADA" w14:textId="35B49441" w:rsidR="009062F1" w:rsidRDefault="00AE7EF5" w:rsidP="00DB478C">
      <w:pPr>
        <w:ind w:left="-5" w:right="1462"/>
        <w:rPr>
          <w:b/>
          <w:i/>
        </w:rPr>
      </w:pPr>
      <w:r w:rsidRPr="0073668B">
        <w:rPr>
          <w:b/>
          <w:i/>
          <w:spacing w:val="20"/>
        </w:rPr>
        <w:t>schválilo</w:t>
      </w:r>
      <w:r w:rsidRPr="0073668B">
        <w:rPr>
          <w:b/>
          <w:i/>
        </w:rPr>
        <w:t xml:space="preserve">   </w:t>
      </w:r>
      <w:r w:rsidRPr="0073668B">
        <w:t xml:space="preserve">usnesením č. </w:t>
      </w:r>
      <w:r w:rsidR="00F30AEC">
        <w:t>10</w:t>
      </w:r>
      <w:r w:rsidR="0073668B">
        <w:t>/XV</w:t>
      </w:r>
      <w:r w:rsidR="00C92CFC">
        <w:t>I</w:t>
      </w:r>
      <w:r w:rsidR="0073668B">
        <w:t>I</w:t>
      </w:r>
      <w:r w:rsidRPr="0073668B">
        <w:t>/20</w:t>
      </w:r>
      <w:r w:rsidR="00243915" w:rsidRPr="0073668B">
        <w:t>20</w:t>
      </w:r>
      <w:r>
        <w:rPr>
          <w:b/>
          <w:i/>
        </w:rPr>
        <w:t xml:space="preserve"> </w:t>
      </w:r>
    </w:p>
    <w:p w14:paraId="3609508F" w14:textId="77777777" w:rsidR="00095556" w:rsidRDefault="00AE7EF5" w:rsidP="00DB478C">
      <w:pPr>
        <w:ind w:left="-5" w:right="1462"/>
      </w:pPr>
      <w:r w:rsidRPr="00196FD2">
        <w:rPr>
          <w:b/>
          <w:i/>
          <w:spacing w:val="20"/>
        </w:rPr>
        <w:t>kontrolní</w:t>
      </w:r>
      <w:r>
        <w:rPr>
          <w:b/>
          <w:i/>
        </w:rPr>
        <w:t xml:space="preserve">   </w:t>
      </w:r>
      <w:r w:rsidRPr="00196FD2">
        <w:rPr>
          <w:b/>
          <w:i/>
          <w:spacing w:val="20"/>
        </w:rPr>
        <w:t>závěr</w:t>
      </w:r>
      <w:r>
        <w:rPr>
          <w:b/>
          <w:i/>
        </w:rPr>
        <w:t xml:space="preserve">   </w:t>
      </w:r>
      <w:r>
        <w:t>v tomto znění:</w:t>
      </w:r>
    </w:p>
    <w:p w14:paraId="1E643CBE" w14:textId="77777777" w:rsidR="0058538C" w:rsidRDefault="0058538C" w:rsidP="00DB478C">
      <w:pPr>
        <w:spacing w:after="160"/>
        <w:ind w:left="0" w:firstLine="0"/>
        <w:jc w:val="left"/>
        <w:rPr>
          <w:noProof/>
        </w:rPr>
      </w:pPr>
      <w:r>
        <w:rPr>
          <w:noProof/>
        </w:rPr>
        <w:br w:type="page"/>
      </w:r>
    </w:p>
    <w:p w14:paraId="067B00BF" w14:textId="77777777" w:rsidR="004F2D92" w:rsidRDefault="004F2D92" w:rsidP="00835A8D">
      <w:pPr>
        <w:rPr>
          <w:rStyle w:val="A4"/>
          <w:b/>
          <w:color w:val="BDD6EE" w:themeColor="accent1" w:themeTint="66"/>
          <w:sz w:val="40"/>
          <w:szCs w:val="40"/>
        </w:rPr>
      </w:pPr>
    </w:p>
    <w:p w14:paraId="45028C68" w14:textId="7A39D367" w:rsidR="00835A8D" w:rsidRPr="00C12BAF" w:rsidRDefault="00835A8D" w:rsidP="00056E9B">
      <w:pPr>
        <w:jc w:val="center"/>
        <w:rPr>
          <w:rStyle w:val="A4"/>
          <w:b/>
          <w:color w:val="BDD6EE" w:themeColor="accent1" w:themeTint="66"/>
          <w:sz w:val="18"/>
          <w:szCs w:val="18"/>
        </w:rPr>
      </w:pPr>
      <w:r>
        <w:rPr>
          <w:rStyle w:val="A4"/>
          <w:b/>
          <w:color w:val="BDD6EE" w:themeColor="accent1" w:themeTint="66"/>
          <w:sz w:val="40"/>
          <w:szCs w:val="40"/>
        </w:rPr>
        <w:t>Vysokoškolské vzdělávání policistů a vojáků</w:t>
      </w:r>
      <w:r w:rsidR="005F640C">
        <w:rPr>
          <w:rStyle w:val="A4"/>
          <w:b/>
          <w:color w:val="BDD6EE" w:themeColor="accent1" w:themeTint="66"/>
          <w:sz w:val="40"/>
          <w:szCs w:val="40"/>
        </w:rPr>
        <w:t xml:space="preserve"> v kontrolovaném období</w:t>
      </w:r>
      <w:r w:rsidR="004249AE">
        <w:rPr>
          <w:rStyle w:val="Znakapoznpodarou"/>
          <w:b/>
          <w:color w:val="BDD6EE" w:themeColor="accent1" w:themeTint="66"/>
          <w:sz w:val="40"/>
          <w:szCs w:val="40"/>
        </w:rPr>
        <w:footnoteReference w:id="1"/>
      </w:r>
    </w:p>
    <w:p w14:paraId="0DD139F1" w14:textId="77777777" w:rsidR="00835A8D" w:rsidRPr="00383FAC" w:rsidRDefault="00835A8D" w:rsidP="00835A8D">
      <w:pPr>
        <w:rPr>
          <w:rStyle w:val="A1"/>
          <w:rFonts w:ascii="Calibri Light" w:hAnsi="Calibri Light" w:cs="Calibri Light"/>
        </w:rPr>
      </w:pPr>
    </w:p>
    <w:p w14:paraId="2EA882F5" w14:textId="77777777" w:rsidR="00AA0BC0" w:rsidRDefault="00AA0BC0" w:rsidP="00187734">
      <w:pPr>
        <w:jc w:val="center"/>
        <w:rPr>
          <w:rStyle w:val="A5"/>
        </w:rPr>
        <w:sectPr w:rsidR="00AA0BC0" w:rsidSect="00161A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417" w:bottom="1417" w:left="1417" w:header="708" w:footer="484" w:gutter="0"/>
          <w:cols w:space="708"/>
          <w:titlePg/>
          <w:docGrid w:linePitch="326"/>
        </w:sect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5A8D" w14:paraId="267E0899" w14:textId="77777777" w:rsidTr="0037757A">
        <w:trPr>
          <w:trHeight w:val="1510"/>
          <w:jc w:val="center"/>
        </w:trPr>
        <w:tc>
          <w:tcPr>
            <w:tcW w:w="3020" w:type="dxa"/>
          </w:tcPr>
          <w:p w14:paraId="11B4B185" w14:textId="791A9F41" w:rsidR="00835A8D" w:rsidRDefault="00740B73" w:rsidP="00187734">
            <w:pPr>
              <w:jc w:val="center"/>
              <w:rPr>
                <w:rStyle w:val="A5"/>
              </w:rPr>
            </w:pPr>
            <w:r>
              <w:rPr>
                <w:rStyle w:val="A5"/>
              </w:rPr>
              <w:t xml:space="preserve">805 </w:t>
            </w:r>
            <w:r w:rsidR="00187734">
              <w:rPr>
                <w:rStyle w:val="A5"/>
              </w:rPr>
              <w:t xml:space="preserve">mil. </w:t>
            </w:r>
            <w:r w:rsidR="00835A8D">
              <w:rPr>
                <w:rStyle w:val="A5"/>
              </w:rPr>
              <w:t>Kč</w:t>
            </w:r>
          </w:p>
          <w:p w14:paraId="5C0AFDDA" w14:textId="6F8CDFF6" w:rsidR="00835A8D" w:rsidRPr="00411A32" w:rsidRDefault="00740B73" w:rsidP="00095681">
            <w:pPr>
              <w:jc w:val="center"/>
              <w:rPr>
                <w:rStyle w:val="A1"/>
                <w:b/>
                <w:bCs/>
                <w:sz w:val="20"/>
              </w:rPr>
            </w:pPr>
            <w:r>
              <w:t>Náklady</w:t>
            </w:r>
            <w:r w:rsidR="00187734">
              <w:t xml:space="preserve"> </w:t>
            </w:r>
            <w:r w:rsidR="0037757A">
              <w:br/>
            </w:r>
            <w:r w:rsidR="00095681">
              <w:t xml:space="preserve">na činnost </w:t>
            </w:r>
            <w:r w:rsidR="00835A8D">
              <w:t xml:space="preserve">PA ČR </w:t>
            </w:r>
          </w:p>
        </w:tc>
        <w:tc>
          <w:tcPr>
            <w:tcW w:w="3021" w:type="dxa"/>
          </w:tcPr>
          <w:p w14:paraId="2CB9796D" w14:textId="77777777" w:rsidR="00835A8D" w:rsidRPr="00055D3A" w:rsidRDefault="00835A8D" w:rsidP="00187734">
            <w:pPr>
              <w:jc w:val="center"/>
              <w:rPr>
                <w:rStyle w:val="A1"/>
                <w:color w:val="auto"/>
                <w:sz w:val="20"/>
              </w:rPr>
            </w:pPr>
          </w:p>
        </w:tc>
        <w:tc>
          <w:tcPr>
            <w:tcW w:w="3021" w:type="dxa"/>
          </w:tcPr>
          <w:p w14:paraId="62740D48" w14:textId="15BE7E80" w:rsidR="00835A8D" w:rsidRDefault="00740B73" w:rsidP="00187734">
            <w:pPr>
              <w:jc w:val="center"/>
              <w:rPr>
                <w:rStyle w:val="A5"/>
              </w:rPr>
            </w:pPr>
            <w:r>
              <w:rPr>
                <w:rStyle w:val="A5"/>
              </w:rPr>
              <w:t>4 019</w:t>
            </w:r>
            <w:r w:rsidR="00835A8D">
              <w:rPr>
                <w:rStyle w:val="A5"/>
              </w:rPr>
              <w:t> </w:t>
            </w:r>
            <w:r w:rsidR="00187734">
              <w:rPr>
                <w:rStyle w:val="A5"/>
              </w:rPr>
              <w:t>mil.</w:t>
            </w:r>
            <w:r w:rsidR="00835A8D">
              <w:rPr>
                <w:rStyle w:val="A5"/>
              </w:rPr>
              <w:t xml:space="preserve"> Kč</w:t>
            </w:r>
          </w:p>
          <w:p w14:paraId="192E7653" w14:textId="5752595F" w:rsidR="00835A8D" w:rsidRPr="002D0F91" w:rsidRDefault="00740B73" w:rsidP="00FD5A4F">
            <w:pPr>
              <w:jc w:val="center"/>
              <w:rPr>
                <w:rStyle w:val="A1"/>
                <w:rFonts w:ascii="Calibri Light" w:hAnsi="Calibri Light" w:cs="Calibri Light"/>
                <w:sz w:val="20"/>
              </w:rPr>
            </w:pPr>
            <w:r>
              <w:t>Náklady</w:t>
            </w:r>
            <w:r w:rsidR="00835A8D">
              <w:t xml:space="preserve"> MO </w:t>
            </w:r>
            <w:r w:rsidR="0037757A">
              <w:br/>
            </w:r>
            <w:r w:rsidR="00187734">
              <w:t>na</w:t>
            </w:r>
            <w:r w:rsidR="00095681">
              <w:t xml:space="preserve"> činnost </w:t>
            </w:r>
            <w:r w:rsidR="00187734">
              <w:t>UNOB</w:t>
            </w:r>
            <w:r w:rsidR="00AA0BC0">
              <w:rPr>
                <w:rStyle w:val="Znakapoznpodarou"/>
              </w:rPr>
              <w:footnoteReference w:id="2"/>
            </w:r>
            <w:r w:rsidR="00187734">
              <w:t xml:space="preserve"> </w:t>
            </w:r>
          </w:p>
        </w:tc>
      </w:tr>
      <w:tr w:rsidR="00835A8D" w14:paraId="0169CCE6" w14:textId="77777777" w:rsidTr="0037757A">
        <w:trPr>
          <w:jc w:val="center"/>
        </w:trPr>
        <w:tc>
          <w:tcPr>
            <w:tcW w:w="3020" w:type="dxa"/>
          </w:tcPr>
          <w:p w14:paraId="4C1CA322" w14:textId="77777777" w:rsidR="00835A8D" w:rsidRDefault="00187734" w:rsidP="00187734">
            <w:pPr>
              <w:jc w:val="center"/>
              <w:rPr>
                <w:rStyle w:val="A5"/>
              </w:rPr>
            </w:pPr>
            <w:r w:rsidRPr="00187734">
              <w:rPr>
                <w:rStyle w:val="A5"/>
              </w:rPr>
              <w:t>1</w:t>
            </w:r>
            <w:r>
              <w:rPr>
                <w:rStyle w:val="A5"/>
              </w:rPr>
              <w:t> </w:t>
            </w:r>
            <w:r w:rsidR="00FD13C4" w:rsidRPr="00187734">
              <w:rPr>
                <w:rStyle w:val="A5"/>
              </w:rPr>
              <w:t>8</w:t>
            </w:r>
            <w:r w:rsidR="00FD13C4">
              <w:rPr>
                <w:rStyle w:val="A5"/>
              </w:rPr>
              <w:t>53</w:t>
            </w:r>
          </w:p>
          <w:p w14:paraId="01AB291F" w14:textId="6B6719E9" w:rsidR="00187734" w:rsidRDefault="00187734" w:rsidP="00F02A98">
            <w:pPr>
              <w:jc w:val="center"/>
              <w:rPr>
                <w:rStyle w:val="A1"/>
                <w:rFonts w:ascii="Calibri Light" w:hAnsi="Calibri Light" w:cs="Calibri Light"/>
              </w:rPr>
            </w:pPr>
            <w:r w:rsidRPr="00187734">
              <w:t xml:space="preserve">Celkový počet </w:t>
            </w:r>
            <w:r w:rsidR="0037757A">
              <w:br/>
            </w:r>
            <w:r w:rsidRPr="00187734">
              <w:t xml:space="preserve">absolventů PA ČR </w:t>
            </w:r>
          </w:p>
        </w:tc>
        <w:tc>
          <w:tcPr>
            <w:tcW w:w="3021" w:type="dxa"/>
          </w:tcPr>
          <w:p w14:paraId="1E552E9B" w14:textId="76061A59" w:rsidR="00835A8D" w:rsidRPr="00187734" w:rsidRDefault="00187734" w:rsidP="0037757A">
            <w:pPr>
              <w:pStyle w:val="Odstavecseseznamem"/>
              <w:ind w:left="0" w:firstLine="0"/>
              <w:jc w:val="center"/>
              <w:rPr>
                <w:rStyle w:val="A5"/>
              </w:rPr>
            </w:pPr>
            <w:r w:rsidRPr="0016542D">
              <w:rPr>
                <w:rStyle w:val="A5"/>
                <w:color w:val="auto"/>
              </w:rPr>
              <w:t>4</w:t>
            </w:r>
            <w:r w:rsidR="0016542D" w:rsidRPr="0016542D">
              <w:rPr>
                <w:rStyle w:val="A5"/>
                <w:color w:val="auto"/>
              </w:rPr>
              <w:t>6</w:t>
            </w:r>
            <w:r w:rsidRPr="0016542D">
              <w:rPr>
                <w:rStyle w:val="A5"/>
                <w:color w:val="auto"/>
              </w:rPr>
              <w:t xml:space="preserve"> %</w:t>
            </w:r>
          </w:p>
          <w:p w14:paraId="44E9A775" w14:textId="1B05363A" w:rsidR="00187734" w:rsidRPr="002D0F91" w:rsidRDefault="00187734" w:rsidP="00C72936">
            <w:pPr>
              <w:jc w:val="center"/>
              <w:rPr>
                <w:rStyle w:val="A1"/>
                <w:rFonts w:ascii="Calibri Light" w:hAnsi="Calibri Light" w:cs="Calibri Light"/>
                <w:sz w:val="20"/>
              </w:rPr>
            </w:pPr>
            <w:r w:rsidRPr="00F84972">
              <w:t>Pokles počtu absolventů vojáků z povolání na UNOB</w:t>
            </w:r>
            <w:r>
              <w:t xml:space="preserve"> </w:t>
            </w:r>
          </w:p>
        </w:tc>
        <w:tc>
          <w:tcPr>
            <w:tcW w:w="3021" w:type="dxa"/>
          </w:tcPr>
          <w:p w14:paraId="52CA185B" w14:textId="77777777" w:rsidR="00187734" w:rsidRPr="00187734" w:rsidRDefault="00187734" w:rsidP="00187734">
            <w:pPr>
              <w:jc w:val="center"/>
              <w:rPr>
                <w:rStyle w:val="A5"/>
              </w:rPr>
            </w:pPr>
            <w:r w:rsidRPr="00187734">
              <w:rPr>
                <w:rStyle w:val="A5"/>
              </w:rPr>
              <w:t>1</w:t>
            </w:r>
            <w:r>
              <w:rPr>
                <w:rStyle w:val="A5"/>
              </w:rPr>
              <w:t xml:space="preserve"> </w:t>
            </w:r>
            <w:r w:rsidRPr="00187734">
              <w:rPr>
                <w:rStyle w:val="A5"/>
              </w:rPr>
              <w:t>171</w:t>
            </w:r>
          </w:p>
          <w:p w14:paraId="2E1547A2" w14:textId="31F2617E" w:rsidR="00835A8D" w:rsidRPr="002D0F91" w:rsidRDefault="00187734" w:rsidP="00F02A98">
            <w:pPr>
              <w:jc w:val="center"/>
              <w:rPr>
                <w:rStyle w:val="A1"/>
                <w:rFonts w:ascii="Calibri Light" w:hAnsi="Calibri Light" w:cs="Calibri Light"/>
                <w:sz w:val="20"/>
              </w:rPr>
            </w:pPr>
            <w:r w:rsidRPr="00187734">
              <w:t xml:space="preserve">Celkový počet </w:t>
            </w:r>
            <w:r w:rsidR="0037757A">
              <w:br/>
            </w:r>
            <w:r w:rsidRPr="00187734">
              <w:t xml:space="preserve">absolventů </w:t>
            </w:r>
            <w:r>
              <w:t>UNOB</w:t>
            </w:r>
            <w:r w:rsidRPr="00187734">
              <w:t xml:space="preserve"> </w:t>
            </w:r>
          </w:p>
        </w:tc>
      </w:tr>
    </w:tbl>
    <w:p w14:paraId="52E64C20" w14:textId="77777777" w:rsidR="00835A8D" w:rsidRDefault="00835A8D" w:rsidP="00835A8D">
      <w:pPr>
        <w:pStyle w:val="Text"/>
        <w:tabs>
          <w:tab w:val="left" w:pos="2696"/>
          <w:tab w:val="center" w:pos="4536"/>
        </w:tabs>
        <w:spacing w:before="0"/>
        <w:jc w:val="left"/>
        <w:rPr>
          <w:b/>
        </w:rPr>
      </w:pPr>
    </w:p>
    <w:p w14:paraId="680346C8" w14:textId="77777777" w:rsidR="00835A8D" w:rsidRDefault="00835A8D" w:rsidP="00835A8D">
      <w:pPr>
        <w:pStyle w:val="Text"/>
        <w:tabs>
          <w:tab w:val="left" w:pos="2696"/>
          <w:tab w:val="center" w:pos="4536"/>
        </w:tabs>
        <w:spacing w:before="0"/>
        <w:jc w:val="left"/>
        <w:rPr>
          <w:b/>
        </w:rPr>
      </w:pPr>
    </w:p>
    <w:p w14:paraId="60BF662F" w14:textId="322B5034" w:rsidR="00161A3D" w:rsidRDefault="00161A3D" w:rsidP="00161A3D">
      <w:pPr>
        <w:ind w:left="0" w:firstLine="0"/>
        <w:jc w:val="center"/>
        <w:rPr>
          <w:rStyle w:val="A5"/>
        </w:rPr>
        <w:sectPr w:rsidR="00161A3D" w:rsidSect="00161A3D">
          <w:type w:val="continuous"/>
          <w:pgSz w:w="11906" w:h="16838"/>
          <w:pgMar w:top="1417" w:right="1417" w:bottom="1417" w:left="1417" w:header="708" w:footer="484" w:gutter="0"/>
          <w:cols w:space="708"/>
          <w:titlePg/>
          <w:docGrid w:linePitch="326"/>
        </w:sect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417"/>
        <w:gridCol w:w="6090"/>
      </w:tblGrid>
      <w:tr w:rsidR="00161A3D" w14:paraId="44B70298" w14:textId="77777777" w:rsidTr="00713CAF">
        <w:trPr>
          <w:trHeight w:val="510"/>
          <w:jc w:val="center"/>
        </w:trPr>
        <w:tc>
          <w:tcPr>
            <w:tcW w:w="9051" w:type="dxa"/>
            <w:gridSpan w:val="3"/>
            <w:vAlign w:val="center"/>
          </w:tcPr>
          <w:p w14:paraId="29BFF8C2" w14:textId="4CA88D8B" w:rsidR="00161A3D" w:rsidRDefault="00056E9B" w:rsidP="00DA0A2A">
            <w:pPr>
              <w:ind w:left="0" w:firstLine="0"/>
              <w:jc w:val="center"/>
              <w:rPr>
                <w:rStyle w:val="A5"/>
              </w:rPr>
            </w:pPr>
            <w:r>
              <w:rPr>
                <w:rStyle w:val="A5"/>
              </w:rPr>
              <w:t>Vybrané ukazatele</w:t>
            </w:r>
            <w:r w:rsidR="00161A3D">
              <w:rPr>
                <w:rStyle w:val="A5"/>
              </w:rPr>
              <w:t xml:space="preserve"> státních vysokých škol </w:t>
            </w:r>
            <w:r>
              <w:rPr>
                <w:rStyle w:val="A5"/>
              </w:rPr>
              <w:t>v</w:t>
            </w:r>
            <w:r w:rsidR="00DA0A2A">
              <w:rPr>
                <w:rStyle w:val="A5"/>
              </w:rPr>
              <w:t xml:space="preserve"> období 2016</w:t>
            </w:r>
            <w:r w:rsidR="00DA0A2A" w:rsidRPr="00DA0A2A">
              <w:rPr>
                <w:b/>
                <w:i/>
                <w:sz w:val="40"/>
                <w:szCs w:val="40"/>
              </w:rPr>
              <w:t>–</w:t>
            </w:r>
            <w:r w:rsidR="00161A3D">
              <w:rPr>
                <w:rStyle w:val="A5"/>
              </w:rPr>
              <w:t>2019</w:t>
            </w:r>
            <w:r w:rsidR="00161A3D" w:rsidRPr="00DA0A2A">
              <w:rPr>
                <w:rStyle w:val="Znakapoznpodarou"/>
                <w:bCs/>
                <w:sz w:val="36"/>
                <w:szCs w:val="36"/>
              </w:rPr>
              <w:footnoteReference w:id="3"/>
            </w:r>
          </w:p>
        </w:tc>
      </w:tr>
      <w:tr w:rsidR="000D22EF" w14:paraId="0EA81258" w14:textId="77777777" w:rsidTr="00713CAF">
        <w:trPr>
          <w:trHeight w:val="624"/>
          <w:jc w:val="center"/>
        </w:trPr>
        <w:tc>
          <w:tcPr>
            <w:tcW w:w="1544" w:type="dxa"/>
            <w:vAlign w:val="center"/>
          </w:tcPr>
          <w:p w14:paraId="3BEB4C13" w14:textId="77777777" w:rsidR="000D22EF" w:rsidRDefault="000D22EF" w:rsidP="00713CAF">
            <w:pPr>
              <w:spacing w:line="276" w:lineRule="auto"/>
              <w:ind w:left="0" w:firstLine="0"/>
              <w:jc w:val="center"/>
              <w:rPr>
                <w:rStyle w:val="A5"/>
              </w:rPr>
            </w:pPr>
            <w:r w:rsidRPr="00E8240B">
              <w:rPr>
                <w:rStyle w:val="A5"/>
              </w:rPr>
              <w:t>PA ČR</w:t>
            </w:r>
          </w:p>
        </w:tc>
        <w:tc>
          <w:tcPr>
            <w:tcW w:w="1417" w:type="dxa"/>
            <w:vAlign w:val="center"/>
          </w:tcPr>
          <w:p w14:paraId="4CD239FC" w14:textId="77777777" w:rsidR="000D22EF" w:rsidRDefault="000D22EF" w:rsidP="00AA0BC0">
            <w:pPr>
              <w:spacing w:line="276" w:lineRule="auto"/>
              <w:ind w:left="0" w:firstLine="0"/>
              <w:jc w:val="center"/>
              <w:rPr>
                <w:rStyle w:val="A5"/>
              </w:rPr>
            </w:pPr>
            <w:r w:rsidRPr="00E8240B">
              <w:rPr>
                <w:rStyle w:val="A5"/>
              </w:rPr>
              <w:t>UNOB</w:t>
            </w:r>
          </w:p>
        </w:tc>
        <w:tc>
          <w:tcPr>
            <w:tcW w:w="6090" w:type="dxa"/>
            <w:vAlign w:val="center"/>
          </w:tcPr>
          <w:p w14:paraId="38076485" w14:textId="77777777" w:rsidR="000D22EF" w:rsidRDefault="000D22EF" w:rsidP="00B43CA5">
            <w:pPr>
              <w:spacing w:line="360" w:lineRule="auto"/>
              <w:ind w:left="0" w:firstLine="0"/>
              <w:rPr>
                <w:rStyle w:val="A5"/>
              </w:rPr>
            </w:pPr>
          </w:p>
        </w:tc>
      </w:tr>
      <w:tr w:rsidR="000D22EF" w14:paraId="2F992E04" w14:textId="77777777" w:rsidTr="00713CAF">
        <w:trPr>
          <w:jc w:val="center"/>
        </w:trPr>
        <w:tc>
          <w:tcPr>
            <w:tcW w:w="1544" w:type="dxa"/>
            <w:shd w:val="clear" w:color="auto" w:fill="FFFFFF" w:themeFill="background1"/>
            <w:vAlign w:val="center"/>
          </w:tcPr>
          <w:p w14:paraId="60D46D25" w14:textId="77777777" w:rsidR="000D22EF" w:rsidRPr="00713CAF" w:rsidRDefault="000D22EF" w:rsidP="00EA7249">
            <w:pPr>
              <w:spacing w:line="360" w:lineRule="auto"/>
              <w:ind w:left="0" w:firstLine="0"/>
              <w:jc w:val="center"/>
              <w:rPr>
                <w:rStyle w:val="A5"/>
                <w:color w:val="auto"/>
              </w:rPr>
            </w:pPr>
            <w:r w:rsidRPr="00713CAF">
              <w:rPr>
                <w:rStyle w:val="A5"/>
                <w:color w:val="auto"/>
              </w:rPr>
              <w:t>4</w:t>
            </w:r>
            <w:r w:rsidR="00EA7249" w:rsidRPr="00713CAF">
              <w:rPr>
                <w:rStyle w:val="A5"/>
                <w:color w:val="auto"/>
              </w:rPr>
              <w:t>3</w:t>
            </w:r>
            <w:r w:rsidRPr="00713CAF">
              <w:rPr>
                <w:rStyle w:val="A5"/>
                <w:color w:val="auto"/>
              </w:rPr>
              <w:t xml:space="preserve"> 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6C009A" w14:textId="4CAA2711" w:rsidR="000D22EF" w:rsidRPr="00713CAF" w:rsidRDefault="004F0373" w:rsidP="00E34989">
            <w:pPr>
              <w:spacing w:line="360" w:lineRule="auto"/>
              <w:ind w:left="0" w:firstLine="0"/>
              <w:jc w:val="center"/>
              <w:rPr>
                <w:rStyle w:val="A5"/>
                <w:color w:val="auto"/>
              </w:rPr>
            </w:pPr>
            <w:r w:rsidRPr="00713CAF">
              <w:rPr>
                <w:rStyle w:val="A5"/>
                <w:color w:val="auto"/>
              </w:rPr>
              <w:t>6</w:t>
            </w:r>
            <w:r w:rsidR="00E34989">
              <w:rPr>
                <w:rStyle w:val="A5"/>
                <w:color w:val="auto"/>
              </w:rPr>
              <w:t>8</w:t>
            </w:r>
            <w:r w:rsidRPr="00713CAF">
              <w:rPr>
                <w:rStyle w:val="A5"/>
                <w:color w:val="auto"/>
              </w:rPr>
              <w:t xml:space="preserve"> </w:t>
            </w:r>
            <w:r w:rsidR="000D22EF" w:rsidRPr="00713CAF">
              <w:rPr>
                <w:rStyle w:val="A5"/>
                <w:color w:val="auto"/>
              </w:rPr>
              <w:t>%</w:t>
            </w:r>
          </w:p>
        </w:tc>
        <w:tc>
          <w:tcPr>
            <w:tcW w:w="6090" w:type="dxa"/>
            <w:vAlign w:val="center"/>
          </w:tcPr>
          <w:p w14:paraId="5A5FFDD1" w14:textId="1CBE98ED" w:rsidR="000D22EF" w:rsidRPr="004B0593" w:rsidRDefault="00B70FC7" w:rsidP="004B0593">
            <w:pPr>
              <w:ind w:left="0" w:firstLine="0"/>
              <w:rPr>
                <w:rStyle w:val="A5"/>
                <w:sz w:val="24"/>
                <w:szCs w:val="24"/>
              </w:rPr>
            </w:pPr>
            <w:r w:rsidRPr="004B0593">
              <w:rPr>
                <w:szCs w:val="24"/>
              </w:rPr>
              <w:t>Průměrný p</w:t>
            </w:r>
            <w:r w:rsidR="000D22EF" w:rsidRPr="004B0593">
              <w:rPr>
                <w:szCs w:val="24"/>
              </w:rPr>
              <w:t>odíl studujících policistů</w:t>
            </w:r>
            <w:r w:rsidR="00E34989" w:rsidRPr="004B0593">
              <w:rPr>
                <w:rStyle w:val="Znakapoznpodarou"/>
                <w:szCs w:val="24"/>
                <w:shd w:val="clear" w:color="auto" w:fill="FFFFFF" w:themeFill="background1"/>
              </w:rPr>
              <w:footnoteReference w:id="4"/>
            </w:r>
            <w:r w:rsidR="000D22EF" w:rsidRPr="004B0593">
              <w:rPr>
                <w:szCs w:val="24"/>
              </w:rPr>
              <w:t xml:space="preserve">, resp. vojáků </w:t>
            </w:r>
            <w:r w:rsidR="004249AE" w:rsidRPr="004B0593">
              <w:rPr>
                <w:szCs w:val="24"/>
              </w:rPr>
              <w:t>ze všech</w:t>
            </w:r>
            <w:r w:rsidR="000D22EF" w:rsidRPr="004B0593">
              <w:rPr>
                <w:szCs w:val="24"/>
              </w:rPr>
              <w:t xml:space="preserve"> studentů </w:t>
            </w:r>
          </w:p>
        </w:tc>
      </w:tr>
      <w:tr w:rsidR="000D22EF" w14:paraId="27E4A211" w14:textId="77777777" w:rsidTr="00713CAF">
        <w:trPr>
          <w:jc w:val="center"/>
        </w:trPr>
        <w:tc>
          <w:tcPr>
            <w:tcW w:w="1544" w:type="dxa"/>
            <w:shd w:val="clear" w:color="auto" w:fill="auto"/>
            <w:vAlign w:val="center"/>
          </w:tcPr>
          <w:p w14:paraId="2287294B" w14:textId="77777777" w:rsidR="000D22EF" w:rsidRPr="00713CAF" w:rsidRDefault="000D22EF" w:rsidP="00B43CA5">
            <w:pPr>
              <w:spacing w:line="360" w:lineRule="auto"/>
              <w:ind w:left="0" w:firstLine="0"/>
              <w:jc w:val="center"/>
              <w:rPr>
                <w:rStyle w:val="A5"/>
                <w:color w:val="auto"/>
              </w:rPr>
            </w:pPr>
            <w:r w:rsidRPr="00713CAF">
              <w:rPr>
                <w:rStyle w:val="A5"/>
                <w:color w:val="auto"/>
              </w:rPr>
              <w:t>21 %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47F3EB" w14:textId="77777777" w:rsidR="000D22EF" w:rsidRPr="00713CAF" w:rsidRDefault="000D22EF" w:rsidP="00B43CA5">
            <w:pPr>
              <w:spacing w:line="360" w:lineRule="auto"/>
              <w:ind w:left="0" w:firstLine="0"/>
              <w:jc w:val="center"/>
              <w:rPr>
                <w:rStyle w:val="A5"/>
                <w:color w:val="auto"/>
              </w:rPr>
            </w:pPr>
            <w:r w:rsidRPr="00713CAF">
              <w:rPr>
                <w:rStyle w:val="A5"/>
                <w:color w:val="auto"/>
              </w:rPr>
              <w:t>54 %</w:t>
            </w:r>
          </w:p>
        </w:tc>
        <w:tc>
          <w:tcPr>
            <w:tcW w:w="6090" w:type="dxa"/>
            <w:vAlign w:val="center"/>
          </w:tcPr>
          <w:p w14:paraId="016557C4" w14:textId="051E6179" w:rsidR="000D22EF" w:rsidRPr="004B0593" w:rsidRDefault="00B70FC7" w:rsidP="004B0593">
            <w:pPr>
              <w:ind w:left="0" w:firstLine="0"/>
              <w:rPr>
                <w:rStyle w:val="A5"/>
                <w:sz w:val="24"/>
                <w:szCs w:val="24"/>
              </w:rPr>
            </w:pPr>
            <w:r w:rsidRPr="004B0593">
              <w:rPr>
                <w:szCs w:val="24"/>
              </w:rPr>
              <w:t>P</w:t>
            </w:r>
            <w:r w:rsidR="000D22EF" w:rsidRPr="004B0593">
              <w:rPr>
                <w:szCs w:val="24"/>
              </w:rPr>
              <w:t>odíl absolventů státní vysoké školy</w:t>
            </w:r>
            <w:r w:rsidR="0016542D" w:rsidRPr="004B0593">
              <w:rPr>
                <w:szCs w:val="24"/>
              </w:rPr>
              <w:t>, kteří se uplatnili</w:t>
            </w:r>
            <w:r w:rsidR="000D22EF" w:rsidRPr="004B0593">
              <w:rPr>
                <w:szCs w:val="24"/>
              </w:rPr>
              <w:t xml:space="preserve"> na vedoucích pozicích </w:t>
            </w:r>
            <w:r w:rsidR="005F640C" w:rsidRPr="004B0593">
              <w:rPr>
                <w:szCs w:val="24"/>
              </w:rPr>
              <w:t>u policie</w:t>
            </w:r>
            <w:r w:rsidR="00325767" w:rsidRPr="004B0593">
              <w:rPr>
                <w:szCs w:val="24"/>
              </w:rPr>
              <w:t xml:space="preserve"> a </w:t>
            </w:r>
            <w:r w:rsidR="005F640C" w:rsidRPr="004B0593">
              <w:rPr>
                <w:szCs w:val="24"/>
              </w:rPr>
              <w:t xml:space="preserve">v </w:t>
            </w:r>
            <w:r w:rsidR="00325767" w:rsidRPr="004B0593">
              <w:rPr>
                <w:szCs w:val="24"/>
              </w:rPr>
              <w:t>armádě</w:t>
            </w:r>
            <w:r w:rsidR="00C14259" w:rsidRPr="004B0593">
              <w:rPr>
                <w:szCs w:val="24"/>
              </w:rPr>
              <w:t xml:space="preserve"> ke konci srpna 2019</w:t>
            </w:r>
          </w:p>
        </w:tc>
      </w:tr>
      <w:tr w:rsidR="000D22EF" w14:paraId="2C7D33C7" w14:textId="77777777" w:rsidTr="00713CAF">
        <w:trPr>
          <w:jc w:val="center"/>
        </w:trPr>
        <w:tc>
          <w:tcPr>
            <w:tcW w:w="1544" w:type="dxa"/>
            <w:shd w:val="clear" w:color="auto" w:fill="auto"/>
            <w:vAlign w:val="center"/>
          </w:tcPr>
          <w:p w14:paraId="092A31EF" w14:textId="77777777" w:rsidR="000D22EF" w:rsidRPr="00713CAF" w:rsidRDefault="000D22EF" w:rsidP="00745426">
            <w:pPr>
              <w:spacing w:line="360" w:lineRule="auto"/>
              <w:ind w:left="0" w:firstLine="0"/>
              <w:jc w:val="center"/>
              <w:rPr>
                <w:rStyle w:val="A5"/>
                <w:color w:val="auto"/>
              </w:rPr>
            </w:pPr>
            <w:r w:rsidRPr="00713CAF">
              <w:rPr>
                <w:rStyle w:val="A5"/>
                <w:color w:val="auto"/>
              </w:rPr>
              <w:t>3</w:t>
            </w:r>
            <w:r w:rsidR="00745426" w:rsidRPr="00713CAF">
              <w:rPr>
                <w:rStyle w:val="A5"/>
                <w:color w:val="auto"/>
              </w:rPr>
              <w:t>1</w:t>
            </w:r>
            <w:r w:rsidRPr="00713CAF">
              <w:rPr>
                <w:rStyle w:val="A5"/>
                <w:color w:val="auto"/>
              </w:rPr>
              <w:t xml:space="preserve">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CA4EF1" w14:textId="77777777" w:rsidR="000D22EF" w:rsidRPr="00713CAF" w:rsidRDefault="00B44E12">
            <w:pPr>
              <w:spacing w:line="360" w:lineRule="auto"/>
              <w:ind w:left="0" w:firstLine="0"/>
              <w:jc w:val="center"/>
              <w:rPr>
                <w:rStyle w:val="A5"/>
                <w:color w:val="auto"/>
              </w:rPr>
            </w:pPr>
            <w:r w:rsidRPr="00713CAF">
              <w:rPr>
                <w:rStyle w:val="A5"/>
                <w:color w:val="auto"/>
              </w:rPr>
              <w:t>5</w:t>
            </w:r>
            <w:r>
              <w:rPr>
                <w:rStyle w:val="A5"/>
                <w:color w:val="auto"/>
              </w:rPr>
              <w:t>6</w:t>
            </w:r>
            <w:r w:rsidRPr="00713CAF">
              <w:rPr>
                <w:rStyle w:val="A5"/>
                <w:color w:val="auto"/>
              </w:rPr>
              <w:t xml:space="preserve"> </w:t>
            </w:r>
            <w:r w:rsidR="000D22EF" w:rsidRPr="00713CAF">
              <w:rPr>
                <w:rStyle w:val="A5"/>
                <w:color w:val="auto"/>
              </w:rPr>
              <w:t>%</w:t>
            </w:r>
          </w:p>
        </w:tc>
        <w:tc>
          <w:tcPr>
            <w:tcW w:w="6090" w:type="dxa"/>
            <w:vAlign w:val="center"/>
          </w:tcPr>
          <w:p w14:paraId="16433CB9" w14:textId="1C218830" w:rsidR="000D22EF" w:rsidRPr="004B0593" w:rsidRDefault="00B70FC7" w:rsidP="004B0593">
            <w:pPr>
              <w:ind w:left="0" w:firstLine="0"/>
              <w:rPr>
                <w:rStyle w:val="A5"/>
                <w:sz w:val="24"/>
                <w:szCs w:val="24"/>
              </w:rPr>
            </w:pPr>
            <w:r w:rsidRPr="004B0593">
              <w:rPr>
                <w:szCs w:val="24"/>
              </w:rPr>
              <w:t>Průměrný p</w:t>
            </w:r>
            <w:r w:rsidR="000D22EF" w:rsidRPr="004B0593">
              <w:rPr>
                <w:szCs w:val="24"/>
              </w:rPr>
              <w:t>odíl pedagogických zaměstnanců k celkovému počtu zaměstnanců státní vysoké školy</w:t>
            </w:r>
          </w:p>
        </w:tc>
      </w:tr>
      <w:tr w:rsidR="000D22EF" w:rsidRPr="00F830D6" w14:paraId="779573F6" w14:textId="77777777" w:rsidTr="00667808">
        <w:trPr>
          <w:trHeight w:val="680"/>
          <w:jc w:val="center"/>
        </w:trPr>
        <w:tc>
          <w:tcPr>
            <w:tcW w:w="1544" w:type="dxa"/>
            <w:shd w:val="clear" w:color="auto" w:fill="auto"/>
            <w:vAlign w:val="center"/>
          </w:tcPr>
          <w:p w14:paraId="5A381BB7" w14:textId="77777777" w:rsidR="000D22EF" w:rsidRPr="004B0593" w:rsidRDefault="000D22EF" w:rsidP="004B0593">
            <w:pPr>
              <w:ind w:left="0" w:right="284" w:firstLine="0"/>
              <w:jc w:val="center"/>
              <w:rPr>
                <w:rStyle w:val="A5"/>
                <w:color w:val="auto"/>
                <w:szCs w:val="24"/>
              </w:rPr>
            </w:pPr>
            <w:r w:rsidRPr="004B0593">
              <w:rPr>
                <w:rStyle w:val="A5"/>
                <w:color w:val="auto"/>
                <w:szCs w:val="24"/>
              </w:rPr>
              <w:t>2</w:t>
            </w:r>
            <w:r w:rsidR="00B4790E" w:rsidRPr="004B0593">
              <w:rPr>
                <w:rStyle w:val="A5"/>
                <w:color w:val="auto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C2970" w14:textId="77777777" w:rsidR="000D22EF" w:rsidRPr="004B0593" w:rsidRDefault="000D22EF" w:rsidP="004B0593">
            <w:pPr>
              <w:ind w:left="0" w:right="284" w:firstLine="0"/>
              <w:jc w:val="center"/>
              <w:rPr>
                <w:rStyle w:val="A5"/>
                <w:color w:val="auto"/>
                <w:szCs w:val="24"/>
              </w:rPr>
            </w:pPr>
            <w:r w:rsidRPr="004B0593">
              <w:rPr>
                <w:rStyle w:val="A5"/>
                <w:color w:val="auto"/>
                <w:szCs w:val="24"/>
              </w:rPr>
              <w:t>4</w:t>
            </w:r>
          </w:p>
        </w:tc>
        <w:tc>
          <w:tcPr>
            <w:tcW w:w="6090" w:type="dxa"/>
          </w:tcPr>
          <w:p w14:paraId="5D1E89B3" w14:textId="00A8817C" w:rsidR="000D22EF" w:rsidRPr="004B0593" w:rsidRDefault="00C14259" w:rsidP="004B0593">
            <w:pPr>
              <w:ind w:left="0" w:firstLine="0"/>
              <w:jc w:val="left"/>
              <w:rPr>
                <w:rStyle w:val="A5"/>
                <w:sz w:val="24"/>
                <w:szCs w:val="24"/>
              </w:rPr>
            </w:pPr>
            <w:r w:rsidRPr="004B0593">
              <w:rPr>
                <w:bCs/>
                <w:szCs w:val="24"/>
              </w:rPr>
              <w:t>Průměrný p</w:t>
            </w:r>
            <w:r w:rsidR="000D22EF" w:rsidRPr="004B0593">
              <w:rPr>
                <w:bCs/>
                <w:szCs w:val="24"/>
              </w:rPr>
              <w:t xml:space="preserve">očet studentů na pedagoga </w:t>
            </w:r>
            <w:r w:rsidR="000D22EF" w:rsidRPr="004B0593">
              <w:rPr>
                <w:szCs w:val="24"/>
              </w:rPr>
              <w:t>státní vysoké školy</w:t>
            </w:r>
            <w:r w:rsidRPr="004B0593">
              <w:rPr>
                <w:szCs w:val="24"/>
              </w:rPr>
              <w:t xml:space="preserve"> </w:t>
            </w:r>
          </w:p>
        </w:tc>
      </w:tr>
    </w:tbl>
    <w:p w14:paraId="5AA71198" w14:textId="77777777" w:rsidR="00F830D6" w:rsidRDefault="00F830D6" w:rsidP="00F830D6">
      <w:pPr>
        <w:pStyle w:val="Nadpis1"/>
        <w:keepNext/>
        <w:spacing w:after="120" w:line="240" w:lineRule="auto"/>
        <w:ind w:left="0" w:firstLine="0"/>
        <w:rPr>
          <w:sz w:val="24"/>
          <w:szCs w:val="24"/>
        </w:rPr>
      </w:pPr>
    </w:p>
    <w:p w14:paraId="7654D376" w14:textId="77777777" w:rsidR="00F830D6" w:rsidRDefault="00F830D6">
      <w:pPr>
        <w:spacing w:after="0"/>
        <w:rPr>
          <w:b/>
          <w:szCs w:val="24"/>
        </w:rPr>
      </w:pPr>
      <w:r>
        <w:rPr>
          <w:szCs w:val="24"/>
        </w:rPr>
        <w:br w:type="page"/>
      </w:r>
    </w:p>
    <w:p w14:paraId="07015951" w14:textId="565AD972" w:rsidR="00095556" w:rsidRPr="00F830D6" w:rsidRDefault="0058538C" w:rsidP="00F830D6">
      <w:pPr>
        <w:pStyle w:val="Nadpis1"/>
        <w:keepNext/>
        <w:spacing w:after="120" w:line="240" w:lineRule="auto"/>
        <w:ind w:left="0" w:firstLine="0"/>
        <w:rPr>
          <w:szCs w:val="24"/>
        </w:rPr>
      </w:pPr>
      <w:r w:rsidRPr="00F830D6">
        <w:rPr>
          <w:szCs w:val="24"/>
        </w:rPr>
        <w:lastRenderedPageBreak/>
        <w:t xml:space="preserve">I. </w:t>
      </w:r>
      <w:r w:rsidR="00AE7EF5" w:rsidRPr="00F830D6">
        <w:rPr>
          <w:szCs w:val="24"/>
        </w:rPr>
        <w:t xml:space="preserve">Shrnutí a vyhodnocení </w:t>
      </w:r>
    </w:p>
    <w:p w14:paraId="59CC39FD" w14:textId="634A8061" w:rsidR="005A6066" w:rsidRPr="00F830D6" w:rsidRDefault="00A337A8" w:rsidP="00F830D6">
      <w:pPr>
        <w:ind w:left="0" w:right="-2" w:firstLine="0"/>
        <w:rPr>
          <w:szCs w:val="24"/>
        </w:rPr>
      </w:pPr>
      <w:r w:rsidRPr="00F830D6">
        <w:rPr>
          <w:szCs w:val="24"/>
        </w:rPr>
        <w:t xml:space="preserve">NKÚ </w:t>
      </w:r>
      <w:r w:rsidR="00BD4708" w:rsidRPr="00F830D6">
        <w:rPr>
          <w:szCs w:val="24"/>
        </w:rPr>
        <w:t>prověřil</w:t>
      </w:r>
      <w:r w:rsidR="006F3671" w:rsidRPr="00F830D6">
        <w:rPr>
          <w:szCs w:val="24"/>
        </w:rPr>
        <w:t xml:space="preserve"> zabezpečování vzdělávacích potřeb Policie</w:t>
      </w:r>
      <w:r w:rsidR="000E6D6C" w:rsidRPr="00F830D6">
        <w:rPr>
          <w:szCs w:val="24"/>
        </w:rPr>
        <w:t xml:space="preserve"> </w:t>
      </w:r>
      <w:r w:rsidR="006F3671" w:rsidRPr="00F830D6">
        <w:rPr>
          <w:szCs w:val="24"/>
        </w:rPr>
        <w:t xml:space="preserve">ČR </w:t>
      </w:r>
      <w:r w:rsidR="00FD7336" w:rsidRPr="00F830D6">
        <w:rPr>
          <w:szCs w:val="24"/>
        </w:rPr>
        <w:t>(dále také „PČR“</w:t>
      </w:r>
      <w:r w:rsidR="00C92284" w:rsidRPr="00F830D6">
        <w:rPr>
          <w:szCs w:val="24"/>
        </w:rPr>
        <w:t xml:space="preserve"> nebo „policie“</w:t>
      </w:r>
      <w:r w:rsidR="00FD7336" w:rsidRPr="00F830D6">
        <w:rPr>
          <w:szCs w:val="24"/>
        </w:rPr>
        <w:t xml:space="preserve">) </w:t>
      </w:r>
      <w:r w:rsidR="00EC3A78" w:rsidRPr="00F830D6">
        <w:rPr>
          <w:szCs w:val="24"/>
        </w:rPr>
        <w:t>a </w:t>
      </w:r>
      <w:r w:rsidR="00BD4708" w:rsidRPr="00F830D6">
        <w:rPr>
          <w:szCs w:val="24"/>
        </w:rPr>
        <w:t xml:space="preserve">Armády ČR </w:t>
      </w:r>
      <w:r w:rsidR="00FD7336" w:rsidRPr="00F830D6">
        <w:rPr>
          <w:szCs w:val="24"/>
        </w:rPr>
        <w:t>(dále také „AČR“</w:t>
      </w:r>
      <w:r w:rsidR="00C92284" w:rsidRPr="00F830D6">
        <w:rPr>
          <w:szCs w:val="24"/>
        </w:rPr>
        <w:t xml:space="preserve"> nebo „armáda“</w:t>
      </w:r>
      <w:r w:rsidR="00FD7336" w:rsidRPr="00F830D6">
        <w:rPr>
          <w:szCs w:val="24"/>
        </w:rPr>
        <w:t>)</w:t>
      </w:r>
      <w:r w:rsidR="00BD4708" w:rsidRPr="00F830D6">
        <w:rPr>
          <w:szCs w:val="24"/>
        </w:rPr>
        <w:t xml:space="preserve"> prostřednictvím </w:t>
      </w:r>
      <w:r w:rsidR="00DA4F45" w:rsidRPr="00F830D6">
        <w:rPr>
          <w:szCs w:val="24"/>
        </w:rPr>
        <w:t>PA</w:t>
      </w:r>
      <w:r w:rsidR="0012506F" w:rsidRPr="00F830D6">
        <w:rPr>
          <w:szCs w:val="24"/>
        </w:rPr>
        <w:t xml:space="preserve"> </w:t>
      </w:r>
      <w:r w:rsidR="00EA088B" w:rsidRPr="00F830D6">
        <w:rPr>
          <w:szCs w:val="24"/>
        </w:rPr>
        <w:t>ČR</w:t>
      </w:r>
      <w:r w:rsidR="000E0ACA" w:rsidRPr="00F830D6">
        <w:rPr>
          <w:szCs w:val="24"/>
        </w:rPr>
        <w:t xml:space="preserve"> a</w:t>
      </w:r>
      <w:r w:rsidR="0020243B" w:rsidRPr="00F830D6">
        <w:rPr>
          <w:szCs w:val="24"/>
        </w:rPr>
        <w:t xml:space="preserve"> UNOB</w:t>
      </w:r>
      <w:r w:rsidR="006F3671" w:rsidRPr="00F830D6">
        <w:rPr>
          <w:szCs w:val="24"/>
        </w:rPr>
        <w:t xml:space="preserve">. NKÚ </w:t>
      </w:r>
      <w:r w:rsidR="0012506F" w:rsidRPr="00F830D6">
        <w:rPr>
          <w:szCs w:val="24"/>
        </w:rPr>
        <w:t xml:space="preserve">také </w:t>
      </w:r>
      <w:r w:rsidR="003165B9" w:rsidRPr="00F830D6">
        <w:rPr>
          <w:szCs w:val="24"/>
        </w:rPr>
        <w:t>zkontroloval</w:t>
      </w:r>
      <w:r w:rsidR="00BD4708" w:rsidRPr="00F830D6">
        <w:rPr>
          <w:szCs w:val="24"/>
        </w:rPr>
        <w:t xml:space="preserve">, zda </w:t>
      </w:r>
      <w:r w:rsidR="0012506F" w:rsidRPr="00F830D6">
        <w:rPr>
          <w:szCs w:val="24"/>
        </w:rPr>
        <w:t>tyto</w:t>
      </w:r>
      <w:r w:rsidR="00DA4F45" w:rsidRPr="00F830D6">
        <w:rPr>
          <w:szCs w:val="24"/>
        </w:rPr>
        <w:t xml:space="preserve"> </w:t>
      </w:r>
      <w:r w:rsidR="00FD7336" w:rsidRPr="00F830D6">
        <w:rPr>
          <w:szCs w:val="24"/>
        </w:rPr>
        <w:t>instituce</w:t>
      </w:r>
      <w:r w:rsidR="0012506F" w:rsidRPr="00F830D6">
        <w:rPr>
          <w:szCs w:val="24"/>
        </w:rPr>
        <w:t xml:space="preserve"> </w:t>
      </w:r>
      <w:r w:rsidR="00BD4708" w:rsidRPr="00F830D6">
        <w:rPr>
          <w:szCs w:val="24"/>
        </w:rPr>
        <w:t xml:space="preserve">hospodařily při své činnosti </w:t>
      </w:r>
      <w:r w:rsidR="00DC5E6A" w:rsidRPr="00F830D6">
        <w:rPr>
          <w:szCs w:val="24"/>
        </w:rPr>
        <w:t xml:space="preserve">s </w:t>
      </w:r>
      <w:r w:rsidR="00BD4708" w:rsidRPr="00F830D6">
        <w:rPr>
          <w:szCs w:val="24"/>
        </w:rPr>
        <w:t>majetkem</w:t>
      </w:r>
      <w:r w:rsidRPr="00F830D6">
        <w:rPr>
          <w:szCs w:val="24"/>
        </w:rPr>
        <w:t xml:space="preserve"> a </w:t>
      </w:r>
      <w:r w:rsidR="00BD4708" w:rsidRPr="00F830D6">
        <w:rPr>
          <w:szCs w:val="24"/>
        </w:rPr>
        <w:t>peněžními prostředky</w:t>
      </w:r>
      <w:r w:rsidRPr="00F830D6">
        <w:rPr>
          <w:szCs w:val="24"/>
        </w:rPr>
        <w:t xml:space="preserve"> </w:t>
      </w:r>
      <w:r w:rsidR="00BD4708" w:rsidRPr="00F830D6">
        <w:rPr>
          <w:szCs w:val="24"/>
        </w:rPr>
        <w:t xml:space="preserve">státu </w:t>
      </w:r>
      <w:r w:rsidR="00DE6955" w:rsidRPr="00F830D6">
        <w:rPr>
          <w:szCs w:val="24"/>
        </w:rPr>
        <w:t>v souladu s </w:t>
      </w:r>
      <w:r w:rsidR="00BD4708" w:rsidRPr="00F830D6">
        <w:rPr>
          <w:szCs w:val="24"/>
        </w:rPr>
        <w:t>právními předpisy, účelně, hospodárně a efektivně</w:t>
      </w:r>
      <w:r w:rsidRPr="00F830D6">
        <w:rPr>
          <w:szCs w:val="24"/>
        </w:rPr>
        <w:t>.</w:t>
      </w:r>
      <w:r w:rsidR="005A6066" w:rsidRPr="00F830D6">
        <w:rPr>
          <w:szCs w:val="24"/>
        </w:rPr>
        <w:t xml:space="preserve"> </w:t>
      </w:r>
    </w:p>
    <w:p w14:paraId="0AD97648" w14:textId="41C92D90" w:rsidR="005A6066" w:rsidRPr="00F830D6" w:rsidRDefault="006921C7" w:rsidP="00F830D6">
      <w:pPr>
        <w:ind w:left="0" w:right="-2" w:firstLine="0"/>
        <w:rPr>
          <w:b/>
          <w:szCs w:val="24"/>
        </w:rPr>
      </w:pPr>
      <w:r w:rsidRPr="00F830D6">
        <w:rPr>
          <w:b/>
          <w:szCs w:val="24"/>
        </w:rPr>
        <w:t>PA ČR a UNOB jsou jediné dvě státní vysoké školy ve vzdělávací soustavě ČR</w:t>
      </w:r>
      <w:r w:rsidR="005C0EA0" w:rsidRPr="00F830D6">
        <w:rPr>
          <w:b/>
          <w:szCs w:val="24"/>
        </w:rPr>
        <w:t>.</w:t>
      </w:r>
      <w:r w:rsidR="00E812DD" w:rsidRPr="00F830D6">
        <w:rPr>
          <w:b/>
          <w:szCs w:val="24"/>
        </w:rPr>
        <w:t xml:space="preserve"> </w:t>
      </w:r>
      <w:r w:rsidR="005C0EA0" w:rsidRPr="00F830D6">
        <w:rPr>
          <w:b/>
          <w:szCs w:val="24"/>
        </w:rPr>
        <w:t>J</w:t>
      </w:r>
      <w:r w:rsidR="00E812DD" w:rsidRPr="00F830D6">
        <w:rPr>
          <w:b/>
          <w:szCs w:val="24"/>
        </w:rPr>
        <w:t xml:space="preserve">ejich vzdělávací programy jsou specifické a </w:t>
      </w:r>
      <w:r w:rsidR="004F3CB3" w:rsidRPr="00F830D6">
        <w:rPr>
          <w:b/>
          <w:szCs w:val="24"/>
        </w:rPr>
        <w:t>z hlediska nákladovosti</w:t>
      </w:r>
      <w:r w:rsidR="00E812DD" w:rsidRPr="00F830D6">
        <w:rPr>
          <w:b/>
          <w:szCs w:val="24"/>
        </w:rPr>
        <w:t xml:space="preserve"> </w:t>
      </w:r>
      <w:r w:rsidR="00363DDE" w:rsidRPr="00F830D6">
        <w:rPr>
          <w:b/>
          <w:szCs w:val="24"/>
        </w:rPr>
        <w:t>rozdí</w:t>
      </w:r>
      <w:r w:rsidR="00E812DD" w:rsidRPr="00F830D6">
        <w:rPr>
          <w:b/>
          <w:szCs w:val="24"/>
        </w:rPr>
        <w:t>lné</w:t>
      </w:r>
      <w:r w:rsidR="005A6066" w:rsidRPr="00F830D6">
        <w:rPr>
          <w:b/>
          <w:szCs w:val="24"/>
        </w:rPr>
        <w:t>. PA ČR je organizační složkou státu</w:t>
      </w:r>
      <w:r w:rsidR="006242D2" w:rsidRPr="00F830D6">
        <w:rPr>
          <w:b/>
          <w:szCs w:val="24"/>
        </w:rPr>
        <w:t xml:space="preserve"> financovanou z rozpočtové kapitoly MV</w:t>
      </w:r>
      <w:r w:rsidR="005A6066" w:rsidRPr="00F830D6">
        <w:rPr>
          <w:b/>
          <w:szCs w:val="24"/>
        </w:rPr>
        <w:t xml:space="preserve">. </w:t>
      </w:r>
      <w:r w:rsidR="00C92284" w:rsidRPr="00F830D6">
        <w:rPr>
          <w:b/>
          <w:szCs w:val="24"/>
        </w:rPr>
        <w:t>UNOB</w:t>
      </w:r>
      <w:r w:rsidR="00B70FC7" w:rsidRPr="00F830D6">
        <w:rPr>
          <w:b/>
          <w:szCs w:val="24"/>
        </w:rPr>
        <w:t xml:space="preserve"> </w:t>
      </w:r>
      <w:r w:rsidR="00C92284" w:rsidRPr="00F830D6">
        <w:rPr>
          <w:b/>
          <w:szCs w:val="24"/>
        </w:rPr>
        <w:t xml:space="preserve">je součástí organizační </w:t>
      </w:r>
      <w:r w:rsidR="004775C6" w:rsidRPr="00F830D6">
        <w:rPr>
          <w:b/>
          <w:szCs w:val="24"/>
        </w:rPr>
        <w:t xml:space="preserve">složky státu </w:t>
      </w:r>
      <w:r w:rsidR="00C92284" w:rsidRPr="00F830D6">
        <w:rPr>
          <w:b/>
          <w:szCs w:val="24"/>
        </w:rPr>
        <w:t>MO</w:t>
      </w:r>
      <w:r w:rsidR="004775C6" w:rsidRPr="00F830D6">
        <w:rPr>
          <w:b/>
          <w:szCs w:val="24"/>
        </w:rPr>
        <w:t>, z jehož rozpočtové kapitoly je financována</w:t>
      </w:r>
      <w:r w:rsidR="00C92284" w:rsidRPr="00F830D6">
        <w:rPr>
          <w:b/>
          <w:szCs w:val="24"/>
        </w:rPr>
        <w:t>.</w:t>
      </w:r>
      <w:r w:rsidRPr="00F830D6">
        <w:rPr>
          <w:b/>
          <w:szCs w:val="24"/>
        </w:rPr>
        <w:t xml:space="preserve"> Podle ustanovení § 94 odst. 1 a 2 zákona č. 111/1998 Sb</w:t>
      </w:r>
      <w:r w:rsidRPr="00F830D6">
        <w:rPr>
          <w:b/>
          <w:szCs w:val="24"/>
          <w:shd w:val="clear" w:color="auto" w:fill="FFFFFF" w:themeFill="background1"/>
        </w:rPr>
        <w:t>.</w:t>
      </w:r>
      <w:r w:rsidRPr="00F830D6">
        <w:rPr>
          <w:rStyle w:val="Znakapoznpodarou"/>
          <w:szCs w:val="24"/>
          <w:shd w:val="clear" w:color="auto" w:fill="FFFFFF" w:themeFill="background1"/>
        </w:rPr>
        <w:footnoteReference w:id="5"/>
      </w:r>
      <w:r w:rsidR="00F56CA7" w:rsidRPr="00F830D6">
        <w:rPr>
          <w:b/>
          <w:szCs w:val="24"/>
          <w:shd w:val="clear" w:color="auto" w:fill="FFFFFF" w:themeFill="background1"/>
        </w:rPr>
        <w:t xml:space="preserve"> t</w:t>
      </w:r>
      <w:r w:rsidRPr="00F830D6">
        <w:rPr>
          <w:b/>
          <w:szCs w:val="24"/>
          <w:shd w:val="clear" w:color="auto" w:fill="FFFFFF" w:themeFill="background1"/>
        </w:rPr>
        <w:t>yto státní vysoké školy vzdělávají zejména odborníky pro ozbrojené síly</w:t>
      </w:r>
      <w:r w:rsidRPr="00F830D6">
        <w:rPr>
          <w:szCs w:val="24"/>
          <w:shd w:val="clear" w:color="auto" w:fill="FFFFFF" w:themeFill="background1"/>
          <w:vertAlign w:val="superscript"/>
        </w:rPr>
        <w:footnoteReference w:id="6"/>
      </w:r>
      <w:r w:rsidRPr="00F830D6">
        <w:rPr>
          <w:b/>
          <w:szCs w:val="24"/>
          <w:shd w:val="clear" w:color="auto" w:fill="FFFFFF" w:themeFill="background1"/>
        </w:rPr>
        <w:t xml:space="preserve"> (UNOB) a odborníky pro bezpečnostní sbory</w:t>
      </w:r>
      <w:r w:rsidRPr="00F830D6">
        <w:rPr>
          <w:rStyle w:val="Znakapoznpodarou"/>
          <w:szCs w:val="24"/>
          <w:shd w:val="clear" w:color="auto" w:fill="FFFFFF" w:themeFill="background1"/>
        </w:rPr>
        <w:footnoteReference w:id="7"/>
      </w:r>
      <w:r w:rsidRPr="00F830D6">
        <w:rPr>
          <w:b/>
          <w:szCs w:val="24"/>
          <w:shd w:val="clear" w:color="auto" w:fill="FFFFFF" w:themeFill="background1"/>
        </w:rPr>
        <w:t xml:space="preserve"> a obecní policie (PA ČR).</w:t>
      </w:r>
      <w:r w:rsidR="00E812DD" w:rsidRPr="00F830D6">
        <w:rPr>
          <w:b/>
          <w:szCs w:val="24"/>
          <w:shd w:val="clear" w:color="auto" w:fill="FFFFFF" w:themeFill="background1"/>
        </w:rPr>
        <w:t xml:space="preserve">  </w:t>
      </w:r>
    </w:p>
    <w:p w14:paraId="68C4B84C" w14:textId="5180F58B" w:rsidR="00A26766" w:rsidRPr="00F830D6" w:rsidRDefault="005A6066" w:rsidP="00F830D6">
      <w:pPr>
        <w:rPr>
          <w:b/>
          <w:szCs w:val="24"/>
          <w:shd w:val="clear" w:color="auto" w:fill="FFFFFF" w:themeFill="background1"/>
        </w:rPr>
      </w:pPr>
      <w:r w:rsidRPr="00F830D6">
        <w:rPr>
          <w:b/>
          <w:szCs w:val="24"/>
          <w:shd w:val="clear" w:color="auto" w:fill="FFFFFF" w:themeFill="background1"/>
        </w:rPr>
        <w:t xml:space="preserve">NKÚ při kontrole zjistil, že </w:t>
      </w:r>
      <w:r w:rsidR="0043247F" w:rsidRPr="00F830D6">
        <w:rPr>
          <w:b/>
          <w:szCs w:val="24"/>
          <w:shd w:val="clear" w:color="auto" w:fill="FFFFFF" w:themeFill="background1"/>
        </w:rPr>
        <w:t xml:space="preserve">MV </w:t>
      </w:r>
      <w:r w:rsidR="00BA47A9" w:rsidRPr="00F830D6">
        <w:rPr>
          <w:b/>
          <w:szCs w:val="24"/>
          <w:shd w:val="clear" w:color="auto" w:fill="FFFFFF" w:themeFill="background1"/>
        </w:rPr>
        <w:t xml:space="preserve">v kontrolovaném období </w:t>
      </w:r>
      <w:r w:rsidR="006921C7" w:rsidRPr="00F830D6">
        <w:rPr>
          <w:b/>
          <w:szCs w:val="24"/>
          <w:shd w:val="clear" w:color="auto" w:fill="FFFFFF" w:themeFill="background1"/>
        </w:rPr>
        <w:t xml:space="preserve">nastavilo požadavky na počty </w:t>
      </w:r>
      <w:r w:rsidR="00F90196" w:rsidRPr="00F830D6">
        <w:rPr>
          <w:b/>
          <w:szCs w:val="24"/>
          <w:shd w:val="clear" w:color="auto" w:fill="FFFFFF" w:themeFill="background1"/>
        </w:rPr>
        <w:t xml:space="preserve">přijímaných </w:t>
      </w:r>
      <w:r w:rsidR="006921C7" w:rsidRPr="00F830D6">
        <w:rPr>
          <w:b/>
          <w:szCs w:val="24"/>
          <w:shd w:val="clear" w:color="auto" w:fill="FFFFFF" w:themeFill="background1"/>
        </w:rPr>
        <w:t xml:space="preserve">studentů </w:t>
      </w:r>
      <w:r w:rsidR="00F90196" w:rsidRPr="00F830D6">
        <w:rPr>
          <w:b/>
          <w:szCs w:val="24"/>
          <w:shd w:val="clear" w:color="auto" w:fill="FFFFFF" w:themeFill="background1"/>
        </w:rPr>
        <w:t xml:space="preserve">na </w:t>
      </w:r>
      <w:r w:rsidR="006921C7" w:rsidRPr="00F830D6">
        <w:rPr>
          <w:b/>
          <w:szCs w:val="24"/>
          <w:shd w:val="clear" w:color="auto" w:fill="FFFFFF" w:themeFill="background1"/>
        </w:rPr>
        <w:t xml:space="preserve">PA ČR </w:t>
      </w:r>
      <w:r w:rsidR="006B3B5B" w:rsidRPr="00F830D6">
        <w:rPr>
          <w:b/>
          <w:szCs w:val="24"/>
          <w:shd w:val="clear" w:color="auto" w:fill="FFFFFF" w:themeFill="background1"/>
        </w:rPr>
        <w:t xml:space="preserve">bez ohledu na </w:t>
      </w:r>
      <w:r w:rsidR="005B4129" w:rsidRPr="00F830D6">
        <w:rPr>
          <w:b/>
          <w:szCs w:val="24"/>
          <w:shd w:val="clear" w:color="auto" w:fill="FFFFFF" w:themeFill="background1"/>
        </w:rPr>
        <w:t>reálné potřeby</w:t>
      </w:r>
      <w:r w:rsidR="005518DD" w:rsidRPr="00F830D6">
        <w:rPr>
          <w:b/>
          <w:szCs w:val="24"/>
          <w:shd w:val="clear" w:color="auto" w:fill="FFFFFF" w:themeFill="background1"/>
        </w:rPr>
        <w:t xml:space="preserve"> </w:t>
      </w:r>
      <w:r w:rsidR="006B3B5B" w:rsidRPr="00F830D6">
        <w:rPr>
          <w:b/>
          <w:szCs w:val="24"/>
          <w:shd w:val="clear" w:color="auto" w:fill="FFFFFF" w:themeFill="background1"/>
        </w:rPr>
        <w:t>policie</w:t>
      </w:r>
      <w:r w:rsidR="00FC43B2" w:rsidRPr="00F830D6">
        <w:rPr>
          <w:b/>
          <w:szCs w:val="24"/>
          <w:shd w:val="clear" w:color="auto" w:fill="FFFFFF" w:themeFill="background1"/>
        </w:rPr>
        <w:t xml:space="preserve">. </w:t>
      </w:r>
      <w:r w:rsidR="009A0C44" w:rsidRPr="00F830D6">
        <w:rPr>
          <w:b/>
          <w:szCs w:val="24"/>
          <w:shd w:val="clear" w:color="auto" w:fill="FFFFFF" w:themeFill="background1"/>
        </w:rPr>
        <w:t xml:space="preserve">Dle MV policie zaměstnávala ve stejném období trojnásobek požadovaných vysokoškolsky vzdělaných policistů. </w:t>
      </w:r>
      <w:r w:rsidR="005C0EA0" w:rsidRPr="00F830D6">
        <w:rPr>
          <w:b/>
          <w:szCs w:val="24"/>
          <w:shd w:val="clear" w:color="auto" w:fill="FFFFFF" w:themeFill="background1"/>
        </w:rPr>
        <w:t xml:space="preserve">Přesto </w:t>
      </w:r>
      <w:r w:rsidR="00FC43B2" w:rsidRPr="00F830D6">
        <w:rPr>
          <w:b/>
          <w:szCs w:val="24"/>
          <w:shd w:val="clear" w:color="auto" w:fill="FFFFFF" w:themeFill="background1"/>
        </w:rPr>
        <w:t xml:space="preserve">MV </w:t>
      </w:r>
      <w:r w:rsidR="00FA4A06" w:rsidRPr="00F830D6">
        <w:rPr>
          <w:b/>
          <w:szCs w:val="24"/>
          <w:shd w:val="clear" w:color="auto" w:fill="FFFFFF" w:themeFill="background1"/>
        </w:rPr>
        <w:t xml:space="preserve">navyšovalo </w:t>
      </w:r>
      <w:r w:rsidR="00FC43B2" w:rsidRPr="00F830D6">
        <w:rPr>
          <w:b/>
          <w:szCs w:val="24"/>
          <w:shd w:val="clear" w:color="auto" w:fill="FFFFFF" w:themeFill="background1"/>
        </w:rPr>
        <w:t xml:space="preserve">peněžní prostředky státu pro zajištění vzdělávacích potřeb </w:t>
      </w:r>
      <w:r w:rsidR="00FC4A8F" w:rsidRPr="00F830D6">
        <w:rPr>
          <w:b/>
          <w:szCs w:val="24"/>
          <w:shd w:val="clear" w:color="auto" w:fill="FFFFFF" w:themeFill="background1"/>
        </w:rPr>
        <w:t>u PA ČR</w:t>
      </w:r>
      <w:r w:rsidR="00D9360F" w:rsidRPr="00F830D6">
        <w:rPr>
          <w:b/>
          <w:szCs w:val="24"/>
          <w:shd w:val="clear" w:color="auto" w:fill="FFFFFF" w:themeFill="background1"/>
        </w:rPr>
        <w:t>.</w:t>
      </w:r>
      <w:r w:rsidR="00FC4A8F" w:rsidRPr="00F830D6">
        <w:rPr>
          <w:b/>
          <w:szCs w:val="24"/>
          <w:shd w:val="clear" w:color="auto" w:fill="FFFFFF" w:themeFill="background1"/>
        </w:rPr>
        <w:t xml:space="preserve"> </w:t>
      </w:r>
      <w:r w:rsidR="00340186" w:rsidRPr="00F830D6">
        <w:rPr>
          <w:b/>
          <w:szCs w:val="24"/>
          <w:shd w:val="clear" w:color="auto" w:fill="FFFFFF" w:themeFill="background1"/>
        </w:rPr>
        <w:t xml:space="preserve">MV </w:t>
      </w:r>
      <w:r w:rsidR="00210F81" w:rsidRPr="00F830D6">
        <w:rPr>
          <w:b/>
          <w:szCs w:val="24"/>
          <w:shd w:val="clear" w:color="auto" w:fill="FFFFFF" w:themeFill="background1"/>
        </w:rPr>
        <w:t xml:space="preserve">zároveň </w:t>
      </w:r>
      <w:r w:rsidR="006921C7" w:rsidRPr="00F830D6">
        <w:rPr>
          <w:b/>
          <w:szCs w:val="24"/>
          <w:shd w:val="clear" w:color="auto" w:fill="FFFFFF" w:themeFill="background1"/>
        </w:rPr>
        <w:t xml:space="preserve">nestanovilo ukazatele pro hodnocení </w:t>
      </w:r>
      <w:r w:rsidR="00260D6F" w:rsidRPr="00F830D6">
        <w:rPr>
          <w:b/>
          <w:szCs w:val="24"/>
          <w:shd w:val="clear" w:color="auto" w:fill="FFFFFF" w:themeFill="background1"/>
        </w:rPr>
        <w:t>efektivnosti</w:t>
      </w:r>
      <w:r w:rsidR="00BA47A9" w:rsidRPr="00F830D6">
        <w:rPr>
          <w:b/>
          <w:szCs w:val="24"/>
          <w:shd w:val="clear" w:color="auto" w:fill="FFFFFF" w:themeFill="background1"/>
        </w:rPr>
        <w:t xml:space="preserve"> </w:t>
      </w:r>
      <w:r w:rsidR="006921C7" w:rsidRPr="00F830D6">
        <w:rPr>
          <w:b/>
          <w:szCs w:val="24"/>
          <w:shd w:val="clear" w:color="auto" w:fill="FFFFFF" w:themeFill="background1"/>
        </w:rPr>
        <w:t>činnosti PA ČR v</w:t>
      </w:r>
      <w:r w:rsidR="00FC4A8F" w:rsidRPr="00F830D6">
        <w:rPr>
          <w:b/>
          <w:szCs w:val="24"/>
          <w:shd w:val="clear" w:color="auto" w:fill="FFFFFF" w:themeFill="background1"/>
        </w:rPr>
        <w:t>e vazbě na vzdělávací potřeby a </w:t>
      </w:r>
      <w:r w:rsidR="006921C7" w:rsidRPr="00F830D6">
        <w:rPr>
          <w:b/>
          <w:szCs w:val="24"/>
          <w:shd w:val="clear" w:color="auto" w:fill="FFFFFF" w:themeFill="background1"/>
        </w:rPr>
        <w:t xml:space="preserve">nenaplnilo cíle vzdělávání stanovené v koncepčních dokumentech, jako např. preference oboru vzdělávání, využití absolventů PA ČR nebo dokončení kompetenčního modelu. </w:t>
      </w:r>
      <w:r w:rsidR="00FE0580" w:rsidRPr="00F830D6">
        <w:rPr>
          <w:b/>
          <w:szCs w:val="24"/>
          <w:shd w:val="clear" w:color="auto" w:fill="FFFFFF" w:themeFill="background1"/>
        </w:rPr>
        <w:t xml:space="preserve">Nedostatky MV v oblasti plánování vzdělávacích potřeb </w:t>
      </w:r>
      <w:r w:rsidR="00733225" w:rsidRPr="00F830D6">
        <w:rPr>
          <w:b/>
          <w:szCs w:val="24"/>
          <w:shd w:val="clear" w:color="auto" w:fill="FFFFFF" w:themeFill="background1"/>
        </w:rPr>
        <w:t>PČR</w:t>
      </w:r>
      <w:r w:rsidR="00FE0580" w:rsidRPr="00F830D6">
        <w:rPr>
          <w:b/>
          <w:szCs w:val="24"/>
          <w:shd w:val="clear" w:color="auto" w:fill="FFFFFF" w:themeFill="background1"/>
        </w:rPr>
        <w:t xml:space="preserve"> potvrzuje i </w:t>
      </w:r>
      <w:r w:rsidR="003165B9" w:rsidRPr="00F830D6">
        <w:rPr>
          <w:b/>
          <w:szCs w:val="24"/>
          <w:shd w:val="clear" w:color="auto" w:fill="FFFFFF" w:themeFill="background1"/>
        </w:rPr>
        <w:t xml:space="preserve">zjištěný </w:t>
      </w:r>
      <w:r w:rsidR="00FE0580" w:rsidRPr="00F830D6">
        <w:rPr>
          <w:b/>
          <w:szCs w:val="24"/>
          <w:shd w:val="clear" w:color="auto" w:fill="FFFFFF" w:themeFill="background1"/>
        </w:rPr>
        <w:t xml:space="preserve">43% </w:t>
      </w:r>
      <w:r w:rsidR="003165B9" w:rsidRPr="00F830D6">
        <w:rPr>
          <w:b/>
          <w:szCs w:val="24"/>
          <w:shd w:val="clear" w:color="auto" w:fill="FFFFFF" w:themeFill="background1"/>
        </w:rPr>
        <w:t xml:space="preserve">průměrný </w:t>
      </w:r>
      <w:r w:rsidR="00FE0580" w:rsidRPr="00F830D6">
        <w:rPr>
          <w:b/>
          <w:szCs w:val="24"/>
          <w:shd w:val="clear" w:color="auto" w:fill="FFFFFF" w:themeFill="background1"/>
        </w:rPr>
        <w:t xml:space="preserve">podíl policistů </w:t>
      </w:r>
      <w:r w:rsidR="00222345" w:rsidRPr="00F830D6">
        <w:rPr>
          <w:b/>
          <w:szCs w:val="24"/>
          <w:shd w:val="clear" w:color="auto" w:fill="FFFFFF" w:themeFill="background1"/>
        </w:rPr>
        <w:t xml:space="preserve">studujících </w:t>
      </w:r>
      <w:r w:rsidR="00FE0580" w:rsidRPr="00F830D6">
        <w:rPr>
          <w:b/>
          <w:szCs w:val="24"/>
          <w:shd w:val="clear" w:color="auto" w:fill="FFFFFF" w:themeFill="background1"/>
        </w:rPr>
        <w:t>na jiných vysokých školách</w:t>
      </w:r>
      <w:r w:rsidR="004B0593">
        <w:rPr>
          <w:b/>
          <w:szCs w:val="24"/>
          <w:shd w:val="clear" w:color="auto" w:fill="FFFFFF" w:themeFill="background1"/>
        </w:rPr>
        <w:t>,</w:t>
      </w:r>
      <w:r w:rsidR="00FE0580" w:rsidRPr="00F830D6">
        <w:rPr>
          <w:b/>
          <w:szCs w:val="24"/>
          <w:shd w:val="clear" w:color="auto" w:fill="FFFFFF" w:themeFill="background1"/>
        </w:rPr>
        <w:t xml:space="preserve"> než je PA ČR</w:t>
      </w:r>
      <w:r w:rsidR="004B0593">
        <w:rPr>
          <w:b/>
          <w:szCs w:val="24"/>
          <w:shd w:val="clear" w:color="auto" w:fill="FFFFFF" w:themeFill="background1"/>
        </w:rPr>
        <w:t>,</w:t>
      </w:r>
      <w:r w:rsidR="00FE0580" w:rsidRPr="00F830D6">
        <w:rPr>
          <w:b/>
          <w:szCs w:val="24"/>
          <w:shd w:val="clear" w:color="auto" w:fill="FFFFFF" w:themeFill="background1"/>
        </w:rPr>
        <w:t xml:space="preserve"> nebo skutečnost, že pouze 31</w:t>
      </w:r>
      <w:r w:rsidR="00BA47A9" w:rsidRPr="00F830D6">
        <w:rPr>
          <w:b/>
          <w:szCs w:val="24"/>
          <w:shd w:val="clear" w:color="auto" w:fill="FFFFFF" w:themeFill="background1"/>
        </w:rPr>
        <w:t> </w:t>
      </w:r>
      <w:r w:rsidR="00FE0580" w:rsidRPr="00F830D6">
        <w:rPr>
          <w:b/>
          <w:szCs w:val="24"/>
          <w:shd w:val="clear" w:color="auto" w:fill="FFFFFF" w:themeFill="background1"/>
        </w:rPr>
        <w:t xml:space="preserve">% celkového počtu vysokoškolsky vzdělaných policistů </w:t>
      </w:r>
      <w:r w:rsidR="00522CDE" w:rsidRPr="00F830D6">
        <w:rPr>
          <w:b/>
          <w:szCs w:val="24"/>
          <w:shd w:val="clear" w:color="auto" w:fill="FFFFFF" w:themeFill="background1"/>
        </w:rPr>
        <w:t xml:space="preserve">v roce 2019 </w:t>
      </w:r>
      <w:r w:rsidR="00FE0580" w:rsidRPr="00F830D6">
        <w:rPr>
          <w:b/>
          <w:szCs w:val="24"/>
          <w:shd w:val="clear" w:color="auto" w:fill="FFFFFF" w:themeFill="background1"/>
        </w:rPr>
        <w:t>absolvovalo bezpečnostně právní obor</w:t>
      </w:r>
      <w:r w:rsidR="00BA47A9" w:rsidRPr="00F830D6">
        <w:rPr>
          <w:b/>
          <w:szCs w:val="24"/>
          <w:shd w:val="clear" w:color="auto" w:fill="FFFFFF" w:themeFill="background1"/>
        </w:rPr>
        <w:t xml:space="preserve"> realizovaný PA ČR</w:t>
      </w:r>
      <w:r w:rsidR="00FE0580" w:rsidRPr="00F830D6">
        <w:rPr>
          <w:b/>
          <w:szCs w:val="24"/>
          <w:shd w:val="clear" w:color="auto" w:fill="FFFFFF" w:themeFill="background1"/>
        </w:rPr>
        <w:t xml:space="preserve">. </w:t>
      </w:r>
      <w:r w:rsidR="00340186" w:rsidRPr="00F830D6">
        <w:rPr>
          <w:b/>
          <w:szCs w:val="24"/>
          <w:shd w:val="clear" w:color="auto" w:fill="FFFFFF" w:themeFill="background1"/>
        </w:rPr>
        <w:t xml:space="preserve">Z výše uvedených </w:t>
      </w:r>
      <w:r w:rsidR="005518DD" w:rsidRPr="00F830D6">
        <w:rPr>
          <w:b/>
          <w:szCs w:val="24"/>
          <w:shd w:val="clear" w:color="auto" w:fill="FFFFFF" w:themeFill="background1"/>
        </w:rPr>
        <w:t xml:space="preserve">skutečností vyplývá, že </w:t>
      </w:r>
      <w:r w:rsidR="006921C7" w:rsidRPr="00F830D6">
        <w:rPr>
          <w:b/>
          <w:szCs w:val="24"/>
          <w:shd w:val="clear" w:color="auto" w:fill="FFFFFF" w:themeFill="background1"/>
        </w:rPr>
        <w:t xml:space="preserve">MV v kontrolovaném období </w:t>
      </w:r>
      <w:r w:rsidR="00E61943" w:rsidRPr="00F830D6">
        <w:rPr>
          <w:b/>
          <w:szCs w:val="24"/>
          <w:shd w:val="clear" w:color="auto" w:fill="FFFFFF" w:themeFill="background1"/>
        </w:rPr>
        <w:t>nezabezpeč</w:t>
      </w:r>
      <w:r w:rsidR="00FD78F9" w:rsidRPr="00F830D6">
        <w:rPr>
          <w:b/>
          <w:szCs w:val="24"/>
          <w:shd w:val="clear" w:color="auto" w:fill="FFFFFF" w:themeFill="background1"/>
        </w:rPr>
        <w:t>ova</w:t>
      </w:r>
      <w:r w:rsidR="00E61943" w:rsidRPr="00F830D6">
        <w:rPr>
          <w:b/>
          <w:szCs w:val="24"/>
          <w:shd w:val="clear" w:color="auto" w:fill="FFFFFF" w:themeFill="background1"/>
        </w:rPr>
        <w:t>lo</w:t>
      </w:r>
      <w:r w:rsidRPr="00F830D6">
        <w:rPr>
          <w:b/>
          <w:szCs w:val="24"/>
          <w:shd w:val="clear" w:color="auto" w:fill="FFFFFF" w:themeFill="background1"/>
        </w:rPr>
        <w:t xml:space="preserve"> vzdělávací potřeby PČR </w:t>
      </w:r>
      <w:r w:rsidR="00EF4FD9" w:rsidRPr="00F830D6">
        <w:rPr>
          <w:b/>
          <w:szCs w:val="24"/>
          <w:shd w:val="clear" w:color="auto" w:fill="FFFFFF" w:themeFill="background1"/>
        </w:rPr>
        <w:t>prostřednictvím PA ČR</w:t>
      </w:r>
      <w:r w:rsidR="00210F81" w:rsidRPr="00F830D6">
        <w:rPr>
          <w:b/>
          <w:szCs w:val="24"/>
          <w:shd w:val="clear" w:color="auto" w:fill="FFFFFF" w:themeFill="background1"/>
        </w:rPr>
        <w:t xml:space="preserve"> koncepčně</w:t>
      </w:r>
      <w:r w:rsidR="005518DD" w:rsidRPr="00F830D6">
        <w:rPr>
          <w:b/>
          <w:szCs w:val="24"/>
          <w:shd w:val="clear" w:color="auto" w:fill="FFFFFF" w:themeFill="background1"/>
        </w:rPr>
        <w:t xml:space="preserve"> a </w:t>
      </w:r>
      <w:r w:rsidR="00733225" w:rsidRPr="00F830D6">
        <w:rPr>
          <w:b/>
          <w:szCs w:val="24"/>
          <w:shd w:val="clear" w:color="auto" w:fill="FFFFFF" w:themeFill="background1"/>
        </w:rPr>
        <w:t xml:space="preserve">věcně </w:t>
      </w:r>
      <w:r w:rsidR="00446756" w:rsidRPr="00F830D6">
        <w:rPr>
          <w:b/>
          <w:szCs w:val="24"/>
          <w:shd w:val="clear" w:color="auto" w:fill="FFFFFF" w:themeFill="background1"/>
        </w:rPr>
        <w:t>správně</w:t>
      </w:r>
      <w:r w:rsidR="00BA47A9" w:rsidRPr="00F830D6">
        <w:rPr>
          <w:b/>
          <w:szCs w:val="24"/>
          <w:shd w:val="clear" w:color="auto" w:fill="FFFFFF" w:themeFill="background1"/>
        </w:rPr>
        <w:t>.</w:t>
      </w:r>
    </w:p>
    <w:p w14:paraId="1437C1A4" w14:textId="294474B2" w:rsidR="006921C7" w:rsidRPr="00F830D6" w:rsidRDefault="00901284" w:rsidP="00F830D6">
      <w:pPr>
        <w:rPr>
          <w:b/>
          <w:szCs w:val="24"/>
          <w:shd w:val="clear" w:color="auto" w:fill="FFFFFF" w:themeFill="background1"/>
        </w:rPr>
      </w:pPr>
      <w:r w:rsidRPr="00F830D6">
        <w:rPr>
          <w:b/>
          <w:szCs w:val="24"/>
          <w:shd w:val="clear" w:color="auto" w:fill="FFFFFF" w:themeFill="background1"/>
        </w:rPr>
        <w:t xml:space="preserve">MO </w:t>
      </w:r>
      <w:r w:rsidR="00A26766" w:rsidRPr="00F830D6">
        <w:rPr>
          <w:b/>
          <w:szCs w:val="24"/>
          <w:shd w:val="clear" w:color="auto" w:fill="FFFFFF" w:themeFill="background1"/>
        </w:rPr>
        <w:t>prostřednictvím UNOB nezabezpeč</w:t>
      </w:r>
      <w:r w:rsidR="00FD78F9" w:rsidRPr="00F830D6">
        <w:rPr>
          <w:b/>
          <w:szCs w:val="24"/>
          <w:shd w:val="clear" w:color="auto" w:fill="FFFFFF" w:themeFill="background1"/>
        </w:rPr>
        <w:t>ovalo</w:t>
      </w:r>
      <w:r w:rsidR="00A26766" w:rsidRPr="00F830D6">
        <w:rPr>
          <w:b/>
          <w:szCs w:val="24"/>
          <w:shd w:val="clear" w:color="auto" w:fill="FFFFFF" w:themeFill="background1"/>
        </w:rPr>
        <w:t xml:space="preserve"> </w:t>
      </w:r>
      <w:r w:rsidR="00522CDE" w:rsidRPr="00F830D6">
        <w:rPr>
          <w:b/>
          <w:szCs w:val="24"/>
          <w:shd w:val="clear" w:color="auto" w:fill="FFFFFF" w:themeFill="background1"/>
        </w:rPr>
        <w:t xml:space="preserve">v kontrolovaném období </w:t>
      </w:r>
      <w:r w:rsidR="00A26766" w:rsidRPr="00F830D6">
        <w:rPr>
          <w:b/>
          <w:szCs w:val="24"/>
          <w:shd w:val="clear" w:color="auto" w:fill="FFFFFF" w:themeFill="background1"/>
        </w:rPr>
        <w:t xml:space="preserve">efektivně vzdělávací potřeby AČR. Důvodem </w:t>
      </w:r>
      <w:r w:rsidR="005C0EA0" w:rsidRPr="00F830D6">
        <w:rPr>
          <w:b/>
          <w:szCs w:val="24"/>
          <w:shd w:val="clear" w:color="auto" w:fill="FFFFFF" w:themeFill="background1"/>
        </w:rPr>
        <w:t>pro toto konstatování je skutečnost, že objem</w:t>
      </w:r>
      <w:r w:rsidR="00A26766" w:rsidRPr="00F830D6">
        <w:rPr>
          <w:b/>
          <w:szCs w:val="24"/>
          <w:shd w:val="clear" w:color="auto" w:fill="FFFFFF" w:themeFill="background1"/>
        </w:rPr>
        <w:t xml:space="preserve"> peněžních prostředků státu vynaložených </w:t>
      </w:r>
      <w:r w:rsidR="00733225" w:rsidRPr="00F830D6">
        <w:rPr>
          <w:b/>
          <w:szCs w:val="24"/>
          <w:shd w:val="clear" w:color="auto" w:fill="FFFFFF" w:themeFill="background1"/>
        </w:rPr>
        <w:t xml:space="preserve">MO </w:t>
      </w:r>
      <w:r w:rsidR="00A26766" w:rsidRPr="00F830D6">
        <w:rPr>
          <w:b/>
          <w:szCs w:val="24"/>
          <w:shd w:val="clear" w:color="auto" w:fill="FFFFFF" w:themeFill="background1"/>
        </w:rPr>
        <w:t xml:space="preserve">na vysokoškolské vzdělávání </w:t>
      </w:r>
      <w:r w:rsidR="005C0EA0" w:rsidRPr="00F830D6">
        <w:rPr>
          <w:b/>
          <w:szCs w:val="24"/>
          <w:shd w:val="clear" w:color="auto" w:fill="FFFFFF" w:themeFill="background1"/>
        </w:rPr>
        <w:t xml:space="preserve">vzrostl </w:t>
      </w:r>
      <w:r w:rsidR="004B0593">
        <w:rPr>
          <w:b/>
          <w:szCs w:val="24"/>
          <w:shd w:val="clear" w:color="auto" w:fill="FFFFFF" w:themeFill="background1"/>
        </w:rPr>
        <w:t>p</w:t>
      </w:r>
      <w:r w:rsidR="00A26766" w:rsidRPr="00F830D6">
        <w:rPr>
          <w:b/>
          <w:szCs w:val="24"/>
          <w:shd w:val="clear" w:color="auto" w:fill="FFFFFF" w:themeFill="background1"/>
        </w:rPr>
        <w:t xml:space="preserve">ři současném poklesu </w:t>
      </w:r>
      <w:r w:rsidR="005C0EA0" w:rsidRPr="00F830D6">
        <w:rPr>
          <w:b/>
          <w:szCs w:val="24"/>
          <w:shd w:val="clear" w:color="auto" w:fill="FFFFFF" w:themeFill="background1"/>
        </w:rPr>
        <w:t xml:space="preserve">počtu </w:t>
      </w:r>
      <w:r w:rsidR="00A26766" w:rsidRPr="00F830D6">
        <w:rPr>
          <w:b/>
          <w:szCs w:val="24"/>
          <w:shd w:val="clear" w:color="auto" w:fill="FFFFFF" w:themeFill="background1"/>
        </w:rPr>
        <w:t>absolventů</w:t>
      </w:r>
      <w:r w:rsidR="004B0593" w:rsidRPr="00F830D6">
        <w:rPr>
          <w:b/>
          <w:szCs w:val="24"/>
          <w:shd w:val="clear" w:color="auto" w:fill="FFFFFF" w:themeFill="background1"/>
        </w:rPr>
        <w:t xml:space="preserve"> UNOB</w:t>
      </w:r>
      <w:r w:rsidR="00A26766" w:rsidRPr="00F830D6">
        <w:rPr>
          <w:b/>
          <w:szCs w:val="24"/>
          <w:shd w:val="clear" w:color="auto" w:fill="FFFFFF" w:themeFill="background1"/>
        </w:rPr>
        <w:t xml:space="preserve"> </w:t>
      </w:r>
      <w:r w:rsidR="001C63CB" w:rsidRPr="00F830D6">
        <w:rPr>
          <w:b/>
          <w:szCs w:val="24"/>
          <w:shd w:val="clear" w:color="auto" w:fill="FFFFFF" w:themeFill="background1"/>
        </w:rPr>
        <w:t>(vojáků</w:t>
      </w:r>
      <w:r w:rsidR="00522CDE" w:rsidRPr="00F830D6">
        <w:rPr>
          <w:b/>
          <w:szCs w:val="24"/>
          <w:shd w:val="clear" w:color="auto" w:fill="FFFFFF" w:themeFill="background1"/>
        </w:rPr>
        <w:t xml:space="preserve"> z povolání</w:t>
      </w:r>
      <w:r w:rsidR="001C63CB" w:rsidRPr="00F830D6">
        <w:rPr>
          <w:b/>
          <w:szCs w:val="24"/>
          <w:shd w:val="clear" w:color="auto" w:fill="FFFFFF" w:themeFill="background1"/>
        </w:rPr>
        <w:t>)</w:t>
      </w:r>
      <w:r w:rsidR="005F72C1" w:rsidRPr="005F72C1">
        <w:rPr>
          <w:b/>
          <w:szCs w:val="24"/>
          <w:shd w:val="clear" w:color="auto" w:fill="FFFFFF" w:themeFill="background1"/>
        </w:rPr>
        <w:t xml:space="preserve"> </w:t>
      </w:r>
      <w:r w:rsidR="005F72C1" w:rsidRPr="00F830D6">
        <w:rPr>
          <w:b/>
          <w:szCs w:val="24"/>
          <w:shd w:val="clear" w:color="auto" w:fill="FFFFFF" w:themeFill="background1"/>
        </w:rPr>
        <w:t>o 47 %</w:t>
      </w:r>
      <w:r w:rsidR="006A7D6B" w:rsidRPr="00F830D6">
        <w:rPr>
          <w:b/>
          <w:szCs w:val="24"/>
          <w:shd w:val="clear" w:color="auto" w:fill="FFFFFF" w:themeFill="background1"/>
        </w:rPr>
        <w:t>, přičemž</w:t>
      </w:r>
      <w:r w:rsidR="00B113CF" w:rsidRPr="00F830D6">
        <w:rPr>
          <w:b/>
          <w:szCs w:val="24"/>
          <w:shd w:val="clear" w:color="auto" w:fill="FFFFFF" w:themeFill="background1"/>
        </w:rPr>
        <w:t xml:space="preserve"> </w:t>
      </w:r>
      <w:r w:rsidR="006A7D6B" w:rsidRPr="00F830D6">
        <w:rPr>
          <w:b/>
          <w:szCs w:val="24"/>
          <w:shd w:val="clear" w:color="auto" w:fill="FFFFFF" w:themeFill="background1"/>
        </w:rPr>
        <w:t>požadavky</w:t>
      </w:r>
      <w:r w:rsidR="00A26766" w:rsidRPr="00F830D6">
        <w:rPr>
          <w:b/>
          <w:szCs w:val="24"/>
          <w:shd w:val="clear" w:color="auto" w:fill="FFFFFF" w:themeFill="background1"/>
        </w:rPr>
        <w:t xml:space="preserve"> MO při přijímání nových uchazečů</w:t>
      </w:r>
      <w:r w:rsidR="00522CDE" w:rsidRPr="00F830D6">
        <w:rPr>
          <w:b/>
          <w:szCs w:val="24"/>
          <w:shd w:val="clear" w:color="auto" w:fill="FFFFFF" w:themeFill="background1"/>
        </w:rPr>
        <w:t xml:space="preserve"> v</w:t>
      </w:r>
      <w:r w:rsidR="006A7D6B" w:rsidRPr="00F830D6">
        <w:rPr>
          <w:b/>
          <w:szCs w:val="24"/>
          <w:shd w:val="clear" w:color="auto" w:fill="FFFFFF" w:themeFill="background1"/>
        </w:rPr>
        <w:t> </w:t>
      </w:r>
      <w:r w:rsidR="00522CDE" w:rsidRPr="00F830D6">
        <w:rPr>
          <w:b/>
          <w:szCs w:val="24"/>
          <w:shd w:val="clear" w:color="auto" w:fill="FFFFFF" w:themeFill="background1"/>
        </w:rPr>
        <w:t>období</w:t>
      </w:r>
      <w:r w:rsidR="006A7D6B" w:rsidRPr="00F830D6">
        <w:rPr>
          <w:b/>
          <w:szCs w:val="24"/>
          <w:shd w:val="clear" w:color="auto" w:fill="FFFFFF" w:themeFill="background1"/>
        </w:rPr>
        <w:t xml:space="preserve"> let </w:t>
      </w:r>
      <w:r w:rsidR="00522CDE" w:rsidRPr="00F830D6">
        <w:rPr>
          <w:b/>
          <w:szCs w:val="24"/>
          <w:shd w:val="clear" w:color="auto" w:fill="FFFFFF" w:themeFill="background1"/>
        </w:rPr>
        <w:t>2016 až 2019</w:t>
      </w:r>
      <w:r w:rsidR="006A7D6B" w:rsidRPr="00F830D6">
        <w:rPr>
          <w:b/>
          <w:szCs w:val="24"/>
          <w:shd w:val="clear" w:color="auto" w:fill="FFFFFF" w:themeFill="background1"/>
        </w:rPr>
        <w:t xml:space="preserve"> byly naplněny pouze na 64 %</w:t>
      </w:r>
      <w:r w:rsidR="00A26766" w:rsidRPr="00F830D6">
        <w:rPr>
          <w:b/>
          <w:szCs w:val="24"/>
          <w:shd w:val="clear" w:color="auto" w:fill="FFFFFF" w:themeFill="background1"/>
        </w:rPr>
        <w:t xml:space="preserve">. MO zároveň </w:t>
      </w:r>
      <w:r w:rsidR="00733225" w:rsidRPr="00F830D6">
        <w:rPr>
          <w:b/>
          <w:szCs w:val="24"/>
          <w:shd w:val="clear" w:color="auto" w:fill="FFFFFF" w:themeFill="background1"/>
        </w:rPr>
        <w:t xml:space="preserve">nastavilo </w:t>
      </w:r>
      <w:r w:rsidR="00A26766" w:rsidRPr="00F830D6">
        <w:rPr>
          <w:b/>
          <w:szCs w:val="24"/>
          <w:shd w:val="clear" w:color="auto" w:fill="FFFFFF" w:themeFill="background1"/>
        </w:rPr>
        <w:t>cíle v koncepčních dokume</w:t>
      </w:r>
      <w:r w:rsidR="00BF0E3B" w:rsidRPr="00F830D6">
        <w:rPr>
          <w:b/>
          <w:szCs w:val="24"/>
          <w:shd w:val="clear" w:color="auto" w:fill="FFFFFF" w:themeFill="background1"/>
        </w:rPr>
        <w:t>ntech vzdělávání pouze obecně a </w:t>
      </w:r>
      <w:r w:rsidR="00A26766" w:rsidRPr="00F830D6">
        <w:rPr>
          <w:b/>
          <w:szCs w:val="24"/>
          <w:shd w:val="clear" w:color="auto" w:fill="FFFFFF" w:themeFill="background1"/>
        </w:rPr>
        <w:t xml:space="preserve">nemělo obdobně jako MV nastaven způsob vyhodnocení </w:t>
      </w:r>
      <w:r w:rsidR="00260D6F" w:rsidRPr="00F830D6">
        <w:rPr>
          <w:b/>
          <w:szCs w:val="24"/>
          <w:shd w:val="clear" w:color="auto" w:fill="FFFFFF" w:themeFill="background1"/>
        </w:rPr>
        <w:t>efektivnosti</w:t>
      </w:r>
      <w:r w:rsidR="00BA47A9" w:rsidRPr="00F830D6">
        <w:rPr>
          <w:b/>
          <w:szCs w:val="24"/>
          <w:shd w:val="clear" w:color="auto" w:fill="FFFFFF" w:themeFill="background1"/>
        </w:rPr>
        <w:t xml:space="preserve"> </w:t>
      </w:r>
      <w:r w:rsidR="00A26766" w:rsidRPr="00F830D6">
        <w:rPr>
          <w:b/>
          <w:szCs w:val="24"/>
          <w:shd w:val="clear" w:color="auto" w:fill="FFFFFF" w:themeFill="background1"/>
        </w:rPr>
        <w:t xml:space="preserve">činnosti UNOB. </w:t>
      </w:r>
    </w:p>
    <w:p w14:paraId="539B53B0" w14:textId="4F25F603" w:rsidR="005A6066" w:rsidRPr="00F830D6" w:rsidRDefault="005A6066" w:rsidP="00F830D6">
      <w:pPr>
        <w:rPr>
          <w:b/>
          <w:szCs w:val="24"/>
        </w:rPr>
      </w:pPr>
    </w:p>
    <w:p w14:paraId="08E6753C" w14:textId="77777777" w:rsidR="00095556" w:rsidRPr="00F830D6" w:rsidRDefault="00AE7EF5" w:rsidP="00162A7E">
      <w:pPr>
        <w:keepNext/>
        <w:ind w:left="0" w:firstLine="0"/>
        <w:rPr>
          <w:szCs w:val="24"/>
        </w:rPr>
      </w:pPr>
      <w:r w:rsidRPr="00F830D6">
        <w:rPr>
          <w:szCs w:val="24"/>
        </w:rPr>
        <w:t xml:space="preserve">Výše uvedené vyhodnocení vyplývá z následujících skutečností zjištěných kontrolou: </w:t>
      </w:r>
    </w:p>
    <w:p w14:paraId="0C2C40AA" w14:textId="2DC6939F" w:rsidR="005A6066" w:rsidRPr="00F830D6" w:rsidRDefault="00EF4FD9" w:rsidP="00E34A98">
      <w:pPr>
        <w:pStyle w:val="Odstavecseseznamem"/>
        <w:numPr>
          <w:ilvl w:val="0"/>
          <w:numId w:val="1"/>
        </w:numPr>
        <w:ind w:left="284" w:hanging="284"/>
        <w:contextualSpacing w:val="0"/>
        <w:rPr>
          <w:szCs w:val="24"/>
        </w:rPr>
      </w:pPr>
      <w:r w:rsidRPr="00F830D6">
        <w:rPr>
          <w:color w:val="auto"/>
          <w:szCs w:val="24"/>
        </w:rPr>
        <w:t>MV</w:t>
      </w:r>
      <w:r w:rsidR="00B46F67" w:rsidRPr="00F830D6">
        <w:rPr>
          <w:color w:val="auto"/>
          <w:szCs w:val="24"/>
        </w:rPr>
        <w:t xml:space="preserve"> </w:t>
      </w:r>
      <w:r w:rsidR="00597620" w:rsidRPr="00F830D6">
        <w:rPr>
          <w:szCs w:val="24"/>
        </w:rPr>
        <w:t xml:space="preserve">v období </w:t>
      </w:r>
      <w:r w:rsidR="0066182D" w:rsidRPr="00F830D6">
        <w:rPr>
          <w:szCs w:val="24"/>
        </w:rPr>
        <w:t xml:space="preserve">2016 až 2019 </w:t>
      </w:r>
      <w:r w:rsidR="00E61943" w:rsidRPr="00F830D6">
        <w:rPr>
          <w:color w:val="auto"/>
          <w:szCs w:val="24"/>
        </w:rPr>
        <w:t>nezabezpečovalo</w:t>
      </w:r>
      <w:r w:rsidR="00B46F67" w:rsidRPr="00F830D6">
        <w:rPr>
          <w:color w:val="auto"/>
          <w:szCs w:val="24"/>
        </w:rPr>
        <w:t xml:space="preserve"> </w:t>
      </w:r>
      <w:r w:rsidR="009D3A5C" w:rsidRPr="00F830D6">
        <w:rPr>
          <w:color w:val="auto"/>
          <w:szCs w:val="24"/>
        </w:rPr>
        <w:t xml:space="preserve">vysokoškolské vzdělávací </w:t>
      </w:r>
      <w:r w:rsidR="00B46F67" w:rsidRPr="00F830D6">
        <w:rPr>
          <w:color w:val="auto"/>
          <w:szCs w:val="24"/>
        </w:rPr>
        <w:t xml:space="preserve">potřeby </w:t>
      </w:r>
      <w:r w:rsidR="009D3A5C" w:rsidRPr="00F830D6">
        <w:rPr>
          <w:color w:val="auto"/>
          <w:szCs w:val="24"/>
        </w:rPr>
        <w:t xml:space="preserve">PČR </w:t>
      </w:r>
      <w:r w:rsidRPr="00F830D6">
        <w:rPr>
          <w:color w:val="auto"/>
          <w:szCs w:val="24"/>
        </w:rPr>
        <w:t>prostřednictvím PA ČR</w:t>
      </w:r>
      <w:r w:rsidR="00733225" w:rsidRPr="00F830D6">
        <w:rPr>
          <w:color w:val="auto"/>
          <w:szCs w:val="24"/>
        </w:rPr>
        <w:t xml:space="preserve"> koncepčně a </w:t>
      </w:r>
      <w:r w:rsidR="00BA47A9" w:rsidRPr="00F830D6">
        <w:rPr>
          <w:color w:val="auto"/>
          <w:szCs w:val="24"/>
        </w:rPr>
        <w:t>věcně dle aktuálních potřeb</w:t>
      </w:r>
      <w:r w:rsidR="00736D1C" w:rsidRPr="00F830D6">
        <w:rPr>
          <w:color w:val="auto"/>
          <w:szCs w:val="24"/>
        </w:rPr>
        <w:t>. MO prostřednictvím</w:t>
      </w:r>
      <w:r w:rsidRPr="00F830D6">
        <w:rPr>
          <w:color w:val="auto"/>
          <w:szCs w:val="24"/>
        </w:rPr>
        <w:t xml:space="preserve"> UNOB </w:t>
      </w:r>
      <w:r w:rsidR="00736D1C" w:rsidRPr="00F830D6">
        <w:rPr>
          <w:color w:val="auto"/>
          <w:szCs w:val="24"/>
        </w:rPr>
        <w:t xml:space="preserve">nezabezpečovalo </w:t>
      </w:r>
      <w:r w:rsidR="00F64D28" w:rsidRPr="00F830D6">
        <w:rPr>
          <w:color w:val="auto"/>
          <w:szCs w:val="24"/>
        </w:rPr>
        <w:t xml:space="preserve">efektivně </w:t>
      </w:r>
      <w:r w:rsidR="00736D1C" w:rsidRPr="00F830D6">
        <w:rPr>
          <w:color w:val="auto"/>
          <w:szCs w:val="24"/>
        </w:rPr>
        <w:t>vzdělávací potřeby AČR</w:t>
      </w:r>
      <w:r w:rsidR="00B46F67" w:rsidRPr="00F830D6">
        <w:rPr>
          <w:color w:val="auto"/>
          <w:szCs w:val="24"/>
        </w:rPr>
        <w:t xml:space="preserve">. </w:t>
      </w:r>
      <w:r w:rsidR="00B70FC7" w:rsidRPr="00F830D6">
        <w:rPr>
          <w:color w:val="auto"/>
          <w:szCs w:val="24"/>
        </w:rPr>
        <w:t xml:space="preserve">Průměrný podíl studujících </w:t>
      </w:r>
      <w:r w:rsidR="0020243B" w:rsidRPr="00F830D6">
        <w:rPr>
          <w:szCs w:val="24"/>
        </w:rPr>
        <w:t>příslušníků PČR (dále také „policistů“)</w:t>
      </w:r>
      <w:r w:rsidR="00B70FC7" w:rsidRPr="00F830D6">
        <w:rPr>
          <w:color w:val="auto"/>
          <w:szCs w:val="24"/>
        </w:rPr>
        <w:t xml:space="preserve">, resp. </w:t>
      </w:r>
      <w:r w:rsidR="0020243B" w:rsidRPr="00F830D6">
        <w:rPr>
          <w:szCs w:val="24"/>
        </w:rPr>
        <w:t>vojáků z povolání (dále také „vojáků“)</w:t>
      </w:r>
      <w:r w:rsidR="00E8210E" w:rsidRPr="00F830D6">
        <w:rPr>
          <w:color w:val="auto"/>
          <w:szCs w:val="24"/>
        </w:rPr>
        <w:t xml:space="preserve"> </w:t>
      </w:r>
      <w:r w:rsidR="00E8210E" w:rsidRPr="00F830D6">
        <w:rPr>
          <w:color w:val="auto"/>
          <w:szCs w:val="24"/>
        </w:rPr>
        <w:lastRenderedPageBreak/>
        <w:t>k </w:t>
      </w:r>
      <w:r w:rsidR="00B70FC7" w:rsidRPr="00F830D6">
        <w:rPr>
          <w:color w:val="auto"/>
          <w:szCs w:val="24"/>
        </w:rPr>
        <w:t xml:space="preserve">ostatním studentům činil ve stejném období na PA ČR 43 %, resp. na UNOB </w:t>
      </w:r>
      <w:r w:rsidR="002756CA" w:rsidRPr="00F830D6">
        <w:rPr>
          <w:color w:val="auto"/>
          <w:szCs w:val="24"/>
        </w:rPr>
        <w:t>6</w:t>
      </w:r>
      <w:r w:rsidR="00964BA4" w:rsidRPr="00F830D6">
        <w:rPr>
          <w:color w:val="auto"/>
          <w:szCs w:val="24"/>
        </w:rPr>
        <w:t>9</w:t>
      </w:r>
      <w:r w:rsidR="002756CA" w:rsidRPr="00F830D6">
        <w:rPr>
          <w:color w:val="auto"/>
          <w:szCs w:val="24"/>
        </w:rPr>
        <w:t xml:space="preserve"> </w:t>
      </w:r>
      <w:r w:rsidR="00B70FC7" w:rsidRPr="00F830D6">
        <w:rPr>
          <w:color w:val="auto"/>
          <w:szCs w:val="24"/>
        </w:rPr>
        <w:t xml:space="preserve">%. </w:t>
      </w:r>
      <w:r w:rsidR="00F64D28" w:rsidRPr="00F830D6">
        <w:rPr>
          <w:color w:val="auto"/>
          <w:szCs w:val="24"/>
        </w:rPr>
        <w:t>PA ČR</w:t>
      </w:r>
      <w:r w:rsidR="009D3A5C" w:rsidRPr="00F830D6">
        <w:rPr>
          <w:color w:val="auto"/>
          <w:szCs w:val="24"/>
        </w:rPr>
        <w:t xml:space="preserve"> </w:t>
      </w:r>
      <w:r w:rsidR="00E400EF" w:rsidRPr="00F830D6">
        <w:rPr>
          <w:szCs w:val="24"/>
        </w:rPr>
        <w:t>dosáhla</w:t>
      </w:r>
      <w:r w:rsidR="00051C63" w:rsidRPr="00F830D6">
        <w:rPr>
          <w:szCs w:val="24"/>
        </w:rPr>
        <w:t xml:space="preserve"> </w:t>
      </w:r>
      <w:r w:rsidR="00AD3528" w:rsidRPr="00F830D6">
        <w:rPr>
          <w:szCs w:val="24"/>
        </w:rPr>
        <w:t xml:space="preserve">MV </w:t>
      </w:r>
      <w:r w:rsidR="00F62C58" w:rsidRPr="00F830D6">
        <w:rPr>
          <w:szCs w:val="24"/>
        </w:rPr>
        <w:t>požadovan</w:t>
      </w:r>
      <w:r w:rsidR="00E400EF" w:rsidRPr="00F830D6">
        <w:rPr>
          <w:szCs w:val="24"/>
        </w:rPr>
        <w:t>ého</w:t>
      </w:r>
      <w:r w:rsidR="00051C63" w:rsidRPr="00F830D6">
        <w:rPr>
          <w:szCs w:val="24"/>
        </w:rPr>
        <w:t xml:space="preserve"> počt</w:t>
      </w:r>
      <w:r w:rsidR="00E400EF" w:rsidRPr="00F830D6">
        <w:rPr>
          <w:szCs w:val="24"/>
        </w:rPr>
        <w:t>u</w:t>
      </w:r>
      <w:r w:rsidR="00051C63" w:rsidRPr="00F830D6">
        <w:rPr>
          <w:szCs w:val="24"/>
        </w:rPr>
        <w:t xml:space="preserve"> studentů</w:t>
      </w:r>
      <w:r w:rsidR="0020243B" w:rsidRPr="00F830D6">
        <w:rPr>
          <w:szCs w:val="24"/>
        </w:rPr>
        <w:t xml:space="preserve"> policistů</w:t>
      </w:r>
      <w:r w:rsidR="00051C63" w:rsidRPr="00F830D6">
        <w:rPr>
          <w:szCs w:val="24"/>
        </w:rPr>
        <w:t xml:space="preserve"> </w:t>
      </w:r>
      <w:r w:rsidR="00F64D28" w:rsidRPr="00F830D6">
        <w:rPr>
          <w:szCs w:val="24"/>
        </w:rPr>
        <w:t xml:space="preserve">přijatých ke studiu </w:t>
      </w:r>
      <w:r w:rsidR="00B70FC7" w:rsidRPr="00F830D6">
        <w:rPr>
          <w:szCs w:val="24"/>
        </w:rPr>
        <w:t xml:space="preserve">průměrně </w:t>
      </w:r>
      <w:r w:rsidR="00E400EF" w:rsidRPr="00F830D6">
        <w:rPr>
          <w:szCs w:val="24"/>
        </w:rPr>
        <w:t>z</w:t>
      </w:r>
      <w:r w:rsidR="00F64D28" w:rsidRPr="00F830D6">
        <w:rPr>
          <w:szCs w:val="24"/>
        </w:rPr>
        <w:t xml:space="preserve"> </w:t>
      </w:r>
      <w:r w:rsidR="002756CA" w:rsidRPr="00F830D6">
        <w:rPr>
          <w:szCs w:val="24"/>
        </w:rPr>
        <w:t xml:space="preserve">84 </w:t>
      </w:r>
      <w:r w:rsidR="00F64D28" w:rsidRPr="00F830D6">
        <w:rPr>
          <w:szCs w:val="24"/>
        </w:rPr>
        <w:t xml:space="preserve">% </w:t>
      </w:r>
      <w:r w:rsidR="00FD7336" w:rsidRPr="00F830D6">
        <w:rPr>
          <w:szCs w:val="24"/>
        </w:rPr>
        <w:t>a</w:t>
      </w:r>
      <w:r w:rsidR="00495583">
        <w:rPr>
          <w:szCs w:val="24"/>
        </w:rPr>
        <w:t> </w:t>
      </w:r>
      <w:r w:rsidR="00F64D28" w:rsidRPr="00F830D6">
        <w:rPr>
          <w:szCs w:val="24"/>
        </w:rPr>
        <w:t xml:space="preserve">UNOB plnila počet </w:t>
      </w:r>
      <w:r w:rsidR="0020243B" w:rsidRPr="00F830D6">
        <w:rPr>
          <w:szCs w:val="24"/>
        </w:rPr>
        <w:t xml:space="preserve">vojáků </w:t>
      </w:r>
      <w:r w:rsidR="00051C63" w:rsidRPr="00F830D6">
        <w:rPr>
          <w:szCs w:val="24"/>
        </w:rPr>
        <w:t xml:space="preserve">přijatých ke studiu </w:t>
      </w:r>
      <w:r w:rsidR="009D3A5C" w:rsidRPr="00F830D6">
        <w:rPr>
          <w:szCs w:val="24"/>
        </w:rPr>
        <w:t xml:space="preserve">dle </w:t>
      </w:r>
      <w:r w:rsidR="00051C63" w:rsidRPr="00F830D6">
        <w:rPr>
          <w:szCs w:val="24"/>
        </w:rPr>
        <w:t>požadavků MO</w:t>
      </w:r>
      <w:r w:rsidR="00F64D28" w:rsidRPr="00F830D6">
        <w:rPr>
          <w:szCs w:val="24"/>
        </w:rPr>
        <w:t xml:space="preserve"> </w:t>
      </w:r>
      <w:r w:rsidR="00B70FC7" w:rsidRPr="00F830D6">
        <w:rPr>
          <w:szCs w:val="24"/>
        </w:rPr>
        <w:t xml:space="preserve">průměrně </w:t>
      </w:r>
      <w:r w:rsidR="00F64D28" w:rsidRPr="00F830D6">
        <w:rPr>
          <w:szCs w:val="24"/>
        </w:rPr>
        <w:t xml:space="preserve">na </w:t>
      </w:r>
      <w:r w:rsidR="002756CA" w:rsidRPr="00F830D6">
        <w:rPr>
          <w:szCs w:val="24"/>
        </w:rPr>
        <w:t xml:space="preserve">64 </w:t>
      </w:r>
      <w:r w:rsidR="00F64D28" w:rsidRPr="00F830D6">
        <w:rPr>
          <w:szCs w:val="24"/>
        </w:rPr>
        <w:t>%</w:t>
      </w:r>
      <w:r w:rsidR="009F3394" w:rsidRPr="00F830D6">
        <w:rPr>
          <w:szCs w:val="24"/>
        </w:rPr>
        <w:t xml:space="preserve">. </w:t>
      </w:r>
      <w:r w:rsidR="005A6066" w:rsidRPr="00F830D6">
        <w:rPr>
          <w:szCs w:val="24"/>
        </w:rPr>
        <w:t xml:space="preserve">Např. </w:t>
      </w:r>
      <w:r w:rsidR="009D3A5C" w:rsidRPr="00F830D6">
        <w:rPr>
          <w:szCs w:val="24"/>
        </w:rPr>
        <w:t xml:space="preserve">UNOB </w:t>
      </w:r>
      <w:r w:rsidR="00051C63" w:rsidRPr="00F830D6">
        <w:rPr>
          <w:szCs w:val="24"/>
        </w:rPr>
        <w:t xml:space="preserve">splnila </w:t>
      </w:r>
      <w:r w:rsidR="00597620" w:rsidRPr="00F830D6">
        <w:rPr>
          <w:szCs w:val="24"/>
        </w:rPr>
        <w:t>požadavek MO</w:t>
      </w:r>
      <w:r w:rsidR="00051C63" w:rsidRPr="00F830D6">
        <w:rPr>
          <w:szCs w:val="24"/>
        </w:rPr>
        <w:t xml:space="preserve"> </w:t>
      </w:r>
      <w:r w:rsidR="005A6066" w:rsidRPr="00F830D6">
        <w:rPr>
          <w:szCs w:val="24"/>
        </w:rPr>
        <w:t xml:space="preserve">v roce 2019 </w:t>
      </w:r>
      <w:r w:rsidR="00051C63" w:rsidRPr="00F830D6">
        <w:rPr>
          <w:szCs w:val="24"/>
        </w:rPr>
        <w:t>pouze z 50 %</w:t>
      </w:r>
      <w:r w:rsidR="001961F7" w:rsidRPr="00F830D6">
        <w:rPr>
          <w:szCs w:val="24"/>
        </w:rPr>
        <w:t xml:space="preserve">. </w:t>
      </w:r>
      <w:r w:rsidR="001961F7" w:rsidRPr="00F830D6">
        <w:rPr>
          <w:color w:val="auto"/>
          <w:szCs w:val="24"/>
        </w:rPr>
        <w:t>Současně</w:t>
      </w:r>
      <w:r w:rsidR="0009589B" w:rsidRPr="00F830D6">
        <w:rPr>
          <w:color w:val="auto"/>
          <w:szCs w:val="24"/>
        </w:rPr>
        <w:t xml:space="preserve"> </w:t>
      </w:r>
      <w:r w:rsidR="00225735" w:rsidRPr="00F830D6">
        <w:rPr>
          <w:color w:val="auto"/>
          <w:szCs w:val="24"/>
        </w:rPr>
        <w:t>p</w:t>
      </w:r>
      <w:r w:rsidR="005A6066" w:rsidRPr="00F830D6">
        <w:rPr>
          <w:color w:val="auto"/>
          <w:szCs w:val="24"/>
        </w:rPr>
        <w:t xml:space="preserve">očet neobsazených vysokoškolských míst AČR v období </w:t>
      </w:r>
      <w:r w:rsidR="0066182D" w:rsidRPr="00F830D6">
        <w:rPr>
          <w:color w:val="auto"/>
          <w:szCs w:val="24"/>
        </w:rPr>
        <w:t xml:space="preserve">2016 až 2019 </w:t>
      </w:r>
      <w:r w:rsidR="005A6066" w:rsidRPr="00F830D6">
        <w:rPr>
          <w:color w:val="auto"/>
          <w:szCs w:val="24"/>
        </w:rPr>
        <w:t>vzrostl o 15 %.</w:t>
      </w:r>
      <w:r w:rsidR="00225735" w:rsidRPr="00F830D6">
        <w:rPr>
          <w:color w:val="auto"/>
          <w:szCs w:val="24"/>
        </w:rPr>
        <w:t xml:space="preserve"> </w:t>
      </w:r>
      <w:r w:rsidR="00FD78F9" w:rsidRPr="00F830D6">
        <w:rPr>
          <w:color w:val="auto"/>
          <w:szCs w:val="24"/>
        </w:rPr>
        <w:t>Podíl absolventů PA ČR na vedoucích pozicích</w:t>
      </w:r>
      <w:r w:rsidR="00911367" w:rsidRPr="00F830D6">
        <w:rPr>
          <w:color w:val="auto"/>
          <w:szCs w:val="24"/>
        </w:rPr>
        <w:t>, kteří se uplatnili</w:t>
      </w:r>
      <w:r w:rsidR="00FD78F9" w:rsidRPr="00F830D6">
        <w:rPr>
          <w:color w:val="auto"/>
          <w:szCs w:val="24"/>
        </w:rPr>
        <w:t xml:space="preserve"> u policie</w:t>
      </w:r>
      <w:r w:rsidR="00911367" w:rsidRPr="00F830D6">
        <w:rPr>
          <w:color w:val="auto"/>
          <w:szCs w:val="24"/>
        </w:rPr>
        <w:t>,</w:t>
      </w:r>
      <w:r w:rsidR="00FD78F9" w:rsidRPr="00F830D6">
        <w:rPr>
          <w:color w:val="auto"/>
          <w:szCs w:val="24"/>
        </w:rPr>
        <w:t xml:space="preserve"> činil ke konci srpna 2019 celkem 21 %. Ke stejnému datu podíl absolventů UNOB </w:t>
      </w:r>
      <w:r w:rsidR="00911367" w:rsidRPr="00F830D6">
        <w:rPr>
          <w:color w:val="auto"/>
          <w:szCs w:val="24"/>
        </w:rPr>
        <w:t xml:space="preserve">uplatněných </w:t>
      </w:r>
      <w:r w:rsidR="00FD78F9" w:rsidRPr="00F830D6">
        <w:rPr>
          <w:color w:val="auto"/>
          <w:szCs w:val="24"/>
        </w:rPr>
        <w:t>na vedoucích pozicích v armádě dosáhl 54 %.</w:t>
      </w:r>
    </w:p>
    <w:p w14:paraId="18B96046" w14:textId="68CD2E0D" w:rsidR="00956B18" w:rsidRPr="00F830D6" w:rsidRDefault="00786F39" w:rsidP="00E34A98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eastAsiaTheme="minorHAnsi"/>
          <w:szCs w:val="24"/>
        </w:rPr>
      </w:pPr>
      <w:r w:rsidRPr="00F830D6">
        <w:rPr>
          <w:rFonts w:asciiTheme="minorHAnsi" w:hAnsiTheme="minorHAnsi" w:cstheme="minorHAnsi"/>
          <w:szCs w:val="24"/>
        </w:rPr>
        <w:t xml:space="preserve">PČR měla </w:t>
      </w:r>
      <w:r w:rsidR="00964BA4" w:rsidRPr="00F830D6">
        <w:rPr>
          <w:rFonts w:asciiTheme="minorHAnsi" w:hAnsiTheme="minorHAnsi" w:cstheme="minorHAnsi"/>
          <w:szCs w:val="24"/>
        </w:rPr>
        <w:t>k</w:t>
      </w:r>
      <w:r w:rsidR="00FD78F9" w:rsidRPr="00F830D6">
        <w:rPr>
          <w:rFonts w:asciiTheme="minorHAnsi" w:hAnsiTheme="minorHAnsi" w:cstheme="minorHAnsi"/>
          <w:szCs w:val="24"/>
        </w:rPr>
        <w:t xml:space="preserve">e konci srpna 2019 </w:t>
      </w:r>
      <w:r w:rsidRPr="00F830D6">
        <w:rPr>
          <w:rFonts w:asciiTheme="minorHAnsi" w:hAnsiTheme="minorHAnsi" w:cstheme="minorHAnsi"/>
          <w:szCs w:val="24"/>
        </w:rPr>
        <w:t xml:space="preserve">o 223 % více </w:t>
      </w:r>
      <w:r w:rsidR="001A091E" w:rsidRPr="00F830D6">
        <w:rPr>
          <w:rFonts w:asciiTheme="minorHAnsi" w:hAnsiTheme="minorHAnsi" w:cstheme="minorHAnsi"/>
          <w:szCs w:val="24"/>
        </w:rPr>
        <w:t>policistů</w:t>
      </w:r>
      <w:r w:rsidRPr="00F830D6">
        <w:rPr>
          <w:rFonts w:asciiTheme="minorHAnsi" w:hAnsiTheme="minorHAnsi" w:cstheme="minorHAnsi"/>
          <w:szCs w:val="24"/>
        </w:rPr>
        <w:t xml:space="preserve"> s vysokoškolským vzděláním, než bylo požadováno </w:t>
      </w:r>
      <w:r w:rsidR="006444E6" w:rsidRPr="00F830D6">
        <w:rPr>
          <w:rFonts w:asciiTheme="minorHAnsi" w:hAnsiTheme="minorHAnsi" w:cstheme="minorHAnsi"/>
          <w:szCs w:val="24"/>
        </w:rPr>
        <w:t xml:space="preserve">její </w:t>
      </w:r>
      <w:r w:rsidRPr="00F830D6">
        <w:rPr>
          <w:rFonts w:asciiTheme="minorHAnsi" w:hAnsiTheme="minorHAnsi" w:cstheme="minorHAnsi"/>
          <w:szCs w:val="24"/>
        </w:rPr>
        <w:t xml:space="preserve">systemizací. </w:t>
      </w:r>
      <w:r w:rsidR="008E2A06" w:rsidRPr="00F830D6">
        <w:rPr>
          <w:rFonts w:asciiTheme="minorHAnsi" w:hAnsiTheme="minorHAnsi" w:cstheme="minorHAnsi"/>
          <w:szCs w:val="24"/>
        </w:rPr>
        <w:t xml:space="preserve">Přitom </w:t>
      </w:r>
      <w:r w:rsidR="00403B57" w:rsidRPr="00F830D6">
        <w:rPr>
          <w:rFonts w:eastAsiaTheme="minorHAnsi"/>
          <w:szCs w:val="24"/>
        </w:rPr>
        <w:t>pouze 31 </w:t>
      </w:r>
      <w:r w:rsidR="00597620" w:rsidRPr="00F830D6">
        <w:rPr>
          <w:rFonts w:eastAsiaTheme="minorHAnsi"/>
          <w:szCs w:val="24"/>
        </w:rPr>
        <w:t xml:space="preserve">% </w:t>
      </w:r>
      <w:r w:rsidR="00462027" w:rsidRPr="00F830D6">
        <w:rPr>
          <w:rFonts w:eastAsiaTheme="minorHAnsi"/>
          <w:szCs w:val="24"/>
        </w:rPr>
        <w:t>z nich</w:t>
      </w:r>
      <w:r w:rsidR="00597620" w:rsidRPr="00F830D6">
        <w:rPr>
          <w:rFonts w:eastAsiaTheme="minorHAnsi"/>
          <w:szCs w:val="24"/>
        </w:rPr>
        <w:t xml:space="preserve"> absolvovalo vzdělání v bezpečnostně právním oboru</w:t>
      </w:r>
      <w:r w:rsidR="008E2A06" w:rsidRPr="00F830D6">
        <w:rPr>
          <w:rFonts w:eastAsiaTheme="minorHAnsi"/>
          <w:szCs w:val="24"/>
        </w:rPr>
        <w:t xml:space="preserve">. </w:t>
      </w:r>
      <w:r w:rsidR="00AA329A" w:rsidRPr="00F830D6">
        <w:rPr>
          <w:color w:val="auto"/>
          <w:szCs w:val="24"/>
        </w:rPr>
        <w:t>T</w:t>
      </w:r>
      <w:r w:rsidR="00453EF7" w:rsidRPr="00F830D6">
        <w:rPr>
          <w:rFonts w:eastAsiaTheme="minorHAnsi"/>
          <w:szCs w:val="24"/>
        </w:rPr>
        <w:t>éměř 43 %</w:t>
      </w:r>
      <w:r w:rsidR="00E00545" w:rsidRPr="00F830D6">
        <w:rPr>
          <w:rFonts w:eastAsiaTheme="minorHAnsi"/>
          <w:szCs w:val="24"/>
        </w:rPr>
        <w:t xml:space="preserve"> </w:t>
      </w:r>
      <w:r w:rsidR="001A091E" w:rsidRPr="00F830D6">
        <w:rPr>
          <w:rFonts w:eastAsiaTheme="minorHAnsi"/>
          <w:szCs w:val="24"/>
        </w:rPr>
        <w:t>policistů</w:t>
      </w:r>
      <w:r w:rsidR="00E00545" w:rsidRPr="00F830D6">
        <w:rPr>
          <w:rFonts w:eastAsiaTheme="minorHAnsi"/>
          <w:szCs w:val="24"/>
        </w:rPr>
        <w:t xml:space="preserve">, kteří si </w:t>
      </w:r>
      <w:r w:rsidR="00AA329A" w:rsidRPr="00F830D6">
        <w:rPr>
          <w:rFonts w:eastAsiaTheme="minorHAnsi"/>
          <w:szCs w:val="24"/>
        </w:rPr>
        <w:t xml:space="preserve">v uvedeném období </w:t>
      </w:r>
      <w:r w:rsidR="00E00545" w:rsidRPr="00F830D6">
        <w:rPr>
          <w:rFonts w:eastAsiaTheme="minorHAnsi"/>
          <w:szCs w:val="24"/>
        </w:rPr>
        <w:t>zvyšovali stupeň vzdělání při výkonu služby, nestudoval</w:t>
      </w:r>
      <w:r w:rsidR="000E6D6C" w:rsidRPr="00F830D6">
        <w:rPr>
          <w:rFonts w:eastAsiaTheme="minorHAnsi"/>
          <w:szCs w:val="24"/>
        </w:rPr>
        <w:t>o</w:t>
      </w:r>
      <w:r w:rsidR="00E00545" w:rsidRPr="00F830D6">
        <w:rPr>
          <w:rFonts w:eastAsiaTheme="minorHAnsi"/>
          <w:szCs w:val="24"/>
        </w:rPr>
        <w:t xml:space="preserve"> PA ČR.</w:t>
      </w:r>
      <w:r w:rsidR="0061157A" w:rsidRPr="00F830D6">
        <w:rPr>
          <w:rFonts w:eastAsiaTheme="minorHAnsi"/>
          <w:szCs w:val="24"/>
        </w:rPr>
        <w:t xml:space="preserve"> </w:t>
      </w:r>
      <w:r w:rsidR="000C2BFB" w:rsidRPr="00F830D6">
        <w:rPr>
          <w:rFonts w:eastAsiaTheme="minorHAnsi"/>
          <w:szCs w:val="24"/>
        </w:rPr>
        <w:t>MV</w:t>
      </w:r>
      <w:r w:rsidR="0061157A" w:rsidRPr="00F830D6">
        <w:rPr>
          <w:rFonts w:eastAsiaTheme="minorHAnsi"/>
          <w:szCs w:val="24"/>
        </w:rPr>
        <w:t xml:space="preserve"> </w:t>
      </w:r>
      <w:r w:rsidR="0084476E" w:rsidRPr="00F830D6">
        <w:rPr>
          <w:rFonts w:eastAsiaTheme="minorHAnsi"/>
          <w:szCs w:val="24"/>
        </w:rPr>
        <w:t xml:space="preserve">tak </w:t>
      </w:r>
      <w:r w:rsidR="00B74C9C" w:rsidRPr="00F830D6">
        <w:rPr>
          <w:rFonts w:eastAsiaTheme="minorHAnsi"/>
          <w:szCs w:val="24"/>
        </w:rPr>
        <w:t xml:space="preserve">dostatečně </w:t>
      </w:r>
      <w:r w:rsidR="0061157A" w:rsidRPr="00F830D6">
        <w:rPr>
          <w:rFonts w:eastAsiaTheme="minorHAnsi"/>
          <w:szCs w:val="24"/>
        </w:rPr>
        <w:t>nevyužíval</w:t>
      </w:r>
      <w:r w:rsidR="008E2A06" w:rsidRPr="00F830D6">
        <w:rPr>
          <w:rFonts w:eastAsiaTheme="minorHAnsi"/>
          <w:szCs w:val="24"/>
        </w:rPr>
        <w:t>o</w:t>
      </w:r>
      <w:r w:rsidR="0061157A" w:rsidRPr="00F830D6">
        <w:rPr>
          <w:rFonts w:eastAsiaTheme="minorHAnsi"/>
          <w:szCs w:val="24"/>
        </w:rPr>
        <w:t xml:space="preserve"> ustanovení</w:t>
      </w:r>
      <w:r w:rsidR="00B765E9" w:rsidRPr="00F830D6">
        <w:rPr>
          <w:rFonts w:eastAsiaTheme="minorHAnsi"/>
          <w:szCs w:val="24"/>
        </w:rPr>
        <w:t xml:space="preserve"> </w:t>
      </w:r>
      <w:r w:rsidR="0061157A" w:rsidRPr="00F830D6">
        <w:rPr>
          <w:rFonts w:eastAsiaTheme="minorHAnsi"/>
          <w:szCs w:val="24"/>
        </w:rPr>
        <w:t>§ 19 odst. 2 zákona č. 361/2003 Sb.</w:t>
      </w:r>
      <w:r w:rsidR="0061157A" w:rsidRPr="00F830D6">
        <w:rPr>
          <w:szCs w:val="24"/>
          <w:vertAlign w:val="superscript"/>
        </w:rPr>
        <w:footnoteReference w:id="8"/>
      </w:r>
      <w:r w:rsidR="0061157A" w:rsidRPr="00F830D6">
        <w:rPr>
          <w:rFonts w:eastAsiaTheme="minorHAnsi"/>
          <w:szCs w:val="24"/>
        </w:rPr>
        <w:t xml:space="preserve"> a umož</w:t>
      </w:r>
      <w:r w:rsidR="00B74C9C" w:rsidRPr="00F830D6">
        <w:rPr>
          <w:rFonts w:eastAsiaTheme="minorHAnsi"/>
          <w:szCs w:val="24"/>
        </w:rPr>
        <w:t>nil</w:t>
      </w:r>
      <w:r w:rsidR="000E6D6C" w:rsidRPr="00F830D6">
        <w:rPr>
          <w:rFonts w:eastAsiaTheme="minorHAnsi"/>
          <w:szCs w:val="24"/>
        </w:rPr>
        <w:t>o</w:t>
      </w:r>
      <w:r w:rsidR="00B74C9C" w:rsidRPr="00F830D6">
        <w:rPr>
          <w:rFonts w:eastAsiaTheme="minorHAnsi"/>
          <w:szCs w:val="24"/>
        </w:rPr>
        <w:t xml:space="preserve"> policistům </w:t>
      </w:r>
      <w:r w:rsidR="000E0ACA" w:rsidRPr="00F830D6">
        <w:rPr>
          <w:rFonts w:eastAsiaTheme="minorHAnsi"/>
          <w:szCs w:val="24"/>
        </w:rPr>
        <w:t>studovat</w:t>
      </w:r>
      <w:r w:rsidR="0061157A" w:rsidRPr="00F830D6">
        <w:rPr>
          <w:rFonts w:eastAsiaTheme="minorHAnsi"/>
          <w:szCs w:val="24"/>
        </w:rPr>
        <w:t xml:space="preserve"> bez ohledu na </w:t>
      </w:r>
      <w:r w:rsidR="000E0ACA" w:rsidRPr="00F830D6">
        <w:rPr>
          <w:rFonts w:eastAsiaTheme="minorHAnsi"/>
          <w:szCs w:val="24"/>
        </w:rPr>
        <w:t>preferovaný</w:t>
      </w:r>
      <w:r w:rsidR="00000A75" w:rsidRPr="00F830D6">
        <w:rPr>
          <w:rFonts w:eastAsiaTheme="minorHAnsi"/>
          <w:szCs w:val="24"/>
        </w:rPr>
        <w:t xml:space="preserve"> </w:t>
      </w:r>
      <w:r w:rsidR="0061157A" w:rsidRPr="00F830D6">
        <w:rPr>
          <w:rFonts w:eastAsiaTheme="minorHAnsi"/>
          <w:szCs w:val="24"/>
        </w:rPr>
        <w:t>obor</w:t>
      </w:r>
      <w:r w:rsidR="0084476E" w:rsidRPr="00F830D6">
        <w:rPr>
          <w:rFonts w:eastAsiaTheme="minorHAnsi"/>
          <w:szCs w:val="24"/>
        </w:rPr>
        <w:t xml:space="preserve"> </w:t>
      </w:r>
      <w:r w:rsidR="00E04625" w:rsidRPr="00F830D6">
        <w:rPr>
          <w:rFonts w:eastAsiaTheme="minorHAnsi"/>
          <w:szCs w:val="24"/>
        </w:rPr>
        <w:t>vzdělání</w:t>
      </w:r>
      <w:r w:rsidR="0061157A" w:rsidRPr="00F830D6">
        <w:rPr>
          <w:rFonts w:eastAsiaTheme="minorHAnsi"/>
          <w:szCs w:val="24"/>
        </w:rPr>
        <w:t>.</w:t>
      </w:r>
    </w:p>
    <w:p w14:paraId="1AAF1ED8" w14:textId="1F75A0C3" w:rsidR="00D87033" w:rsidRPr="00F830D6" w:rsidRDefault="00786F39" w:rsidP="00E34A98">
      <w:pPr>
        <w:pStyle w:val="Odstavecseseznamem"/>
        <w:numPr>
          <w:ilvl w:val="0"/>
          <w:numId w:val="1"/>
        </w:numPr>
        <w:tabs>
          <w:tab w:val="left" w:pos="284"/>
        </w:tabs>
        <w:ind w:left="284" w:hanging="284"/>
        <w:contextualSpacing w:val="0"/>
        <w:rPr>
          <w:szCs w:val="24"/>
        </w:rPr>
      </w:pPr>
      <w:r w:rsidRPr="00F830D6">
        <w:rPr>
          <w:szCs w:val="24"/>
        </w:rPr>
        <w:t>MV neplnilo cíle stanovené v koncepčních dokumentech vysokoškolsk</w:t>
      </w:r>
      <w:r w:rsidR="001D6122" w:rsidRPr="00F830D6">
        <w:rPr>
          <w:szCs w:val="24"/>
        </w:rPr>
        <w:t>ého</w:t>
      </w:r>
      <w:r w:rsidRPr="00F830D6">
        <w:rPr>
          <w:szCs w:val="24"/>
        </w:rPr>
        <w:t xml:space="preserve"> vzdělávání, které se týkaly </w:t>
      </w:r>
      <w:r w:rsidR="00AD3528" w:rsidRPr="00F830D6">
        <w:rPr>
          <w:szCs w:val="24"/>
        </w:rPr>
        <w:t xml:space="preserve">např. </w:t>
      </w:r>
      <w:r w:rsidR="000E0ACA" w:rsidRPr="00F830D6">
        <w:rPr>
          <w:szCs w:val="24"/>
        </w:rPr>
        <w:t>výše zmíněn</w:t>
      </w:r>
      <w:r w:rsidR="00DF7DB9" w:rsidRPr="00F830D6">
        <w:rPr>
          <w:szCs w:val="24"/>
        </w:rPr>
        <w:t>ého</w:t>
      </w:r>
      <w:r w:rsidR="000E0ACA" w:rsidRPr="00F830D6">
        <w:rPr>
          <w:szCs w:val="24"/>
        </w:rPr>
        <w:t xml:space="preserve"> stanovení </w:t>
      </w:r>
      <w:r w:rsidRPr="00F830D6">
        <w:rPr>
          <w:szCs w:val="24"/>
        </w:rPr>
        <w:t xml:space="preserve">oboru vzdělání pro konkrétní </w:t>
      </w:r>
      <w:r w:rsidR="00990DA2" w:rsidRPr="00F830D6">
        <w:rPr>
          <w:szCs w:val="24"/>
        </w:rPr>
        <w:t xml:space="preserve">systemizované </w:t>
      </w:r>
      <w:r w:rsidRPr="00F830D6">
        <w:rPr>
          <w:szCs w:val="24"/>
        </w:rPr>
        <w:t>služební místo</w:t>
      </w:r>
      <w:r w:rsidR="00990DA2" w:rsidRPr="00F830D6">
        <w:rPr>
          <w:szCs w:val="24"/>
        </w:rPr>
        <w:t xml:space="preserve"> (dále také „SSM“)</w:t>
      </w:r>
      <w:r w:rsidR="007E7896" w:rsidRPr="00F830D6">
        <w:rPr>
          <w:szCs w:val="24"/>
        </w:rPr>
        <w:t xml:space="preserve">, </w:t>
      </w:r>
      <w:r w:rsidR="00CB26FF" w:rsidRPr="00F830D6">
        <w:rPr>
          <w:bCs/>
          <w:szCs w:val="24"/>
        </w:rPr>
        <w:t>maximální</w:t>
      </w:r>
      <w:r w:rsidR="00DF7DB9" w:rsidRPr="00F830D6">
        <w:rPr>
          <w:bCs/>
          <w:szCs w:val="24"/>
        </w:rPr>
        <w:t>ho</w:t>
      </w:r>
      <w:r w:rsidR="00CB26FF" w:rsidRPr="00F830D6">
        <w:rPr>
          <w:bCs/>
          <w:szCs w:val="24"/>
        </w:rPr>
        <w:t xml:space="preserve"> využití absolventů vybraných studijních programů</w:t>
      </w:r>
      <w:r w:rsidR="007E7896" w:rsidRPr="00F830D6">
        <w:rPr>
          <w:bCs/>
          <w:szCs w:val="24"/>
        </w:rPr>
        <w:t xml:space="preserve"> nebo tvorby kompetenčního modelu</w:t>
      </w:r>
      <w:r w:rsidR="00CB26FF" w:rsidRPr="00F830D6">
        <w:rPr>
          <w:bCs/>
          <w:szCs w:val="24"/>
        </w:rPr>
        <w:t xml:space="preserve">. </w:t>
      </w:r>
      <w:r w:rsidR="00CB26FF" w:rsidRPr="00F830D6">
        <w:rPr>
          <w:szCs w:val="24"/>
        </w:rPr>
        <w:t>Z</w:t>
      </w:r>
      <w:r w:rsidR="006C5C6D" w:rsidRPr="00F830D6">
        <w:rPr>
          <w:szCs w:val="24"/>
        </w:rPr>
        <w:t xml:space="preserve">poždění v plnění cílů činilo </w:t>
      </w:r>
      <w:r w:rsidRPr="00F830D6">
        <w:rPr>
          <w:szCs w:val="24"/>
        </w:rPr>
        <w:t xml:space="preserve">v době </w:t>
      </w:r>
      <w:r w:rsidR="006C5C6D" w:rsidRPr="00F830D6">
        <w:rPr>
          <w:szCs w:val="24"/>
        </w:rPr>
        <w:t xml:space="preserve">ukončení </w:t>
      </w:r>
      <w:r w:rsidRPr="00F830D6">
        <w:rPr>
          <w:szCs w:val="24"/>
        </w:rPr>
        <w:t>kontroly NKÚ</w:t>
      </w:r>
      <w:r w:rsidR="006C5C6D" w:rsidRPr="00F830D6">
        <w:rPr>
          <w:szCs w:val="24"/>
        </w:rPr>
        <w:t xml:space="preserve"> </w:t>
      </w:r>
      <w:r w:rsidR="00462027" w:rsidRPr="00F830D6">
        <w:rPr>
          <w:szCs w:val="24"/>
        </w:rPr>
        <w:t xml:space="preserve">asi </w:t>
      </w:r>
      <w:r w:rsidRPr="00F830D6">
        <w:rPr>
          <w:szCs w:val="24"/>
        </w:rPr>
        <w:t xml:space="preserve">rok a půl. Tím </w:t>
      </w:r>
      <w:r w:rsidR="006770F3" w:rsidRPr="00F830D6">
        <w:rPr>
          <w:szCs w:val="24"/>
        </w:rPr>
        <w:t xml:space="preserve">MV ohrožuje </w:t>
      </w:r>
      <w:r w:rsidRPr="00F830D6">
        <w:rPr>
          <w:szCs w:val="24"/>
        </w:rPr>
        <w:t xml:space="preserve">i splnění </w:t>
      </w:r>
      <w:r w:rsidR="006C5C6D" w:rsidRPr="00F830D6">
        <w:rPr>
          <w:szCs w:val="24"/>
        </w:rPr>
        <w:t>cíle</w:t>
      </w:r>
      <w:r w:rsidRPr="00F830D6">
        <w:rPr>
          <w:szCs w:val="24"/>
        </w:rPr>
        <w:t xml:space="preserve"> </w:t>
      </w:r>
      <w:r w:rsidRPr="00F830D6">
        <w:rPr>
          <w:i/>
          <w:szCs w:val="24"/>
        </w:rPr>
        <w:t xml:space="preserve">Strategického rámce rozvoje veřejné správy </w:t>
      </w:r>
      <w:r w:rsidR="002105C8" w:rsidRPr="00F830D6">
        <w:rPr>
          <w:i/>
          <w:szCs w:val="24"/>
        </w:rPr>
        <w:t>České republiky pro období 2014–</w:t>
      </w:r>
      <w:r w:rsidRPr="00F830D6">
        <w:rPr>
          <w:i/>
          <w:szCs w:val="24"/>
        </w:rPr>
        <w:t>2020</w:t>
      </w:r>
      <w:r w:rsidRPr="00F830D6">
        <w:rPr>
          <w:rStyle w:val="Znakapoznpodarou"/>
          <w:szCs w:val="24"/>
        </w:rPr>
        <w:footnoteReference w:id="9"/>
      </w:r>
      <w:r w:rsidRPr="00F830D6">
        <w:rPr>
          <w:szCs w:val="24"/>
        </w:rPr>
        <w:t xml:space="preserve">. </w:t>
      </w:r>
      <w:r w:rsidR="00F42704" w:rsidRPr="00F830D6">
        <w:rPr>
          <w:szCs w:val="24"/>
        </w:rPr>
        <w:t>Obecné c</w:t>
      </w:r>
      <w:r w:rsidRPr="00F830D6">
        <w:rPr>
          <w:szCs w:val="24"/>
        </w:rPr>
        <w:t>íle v</w:t>
      </w:r>
      <w:r w:rsidR="00AB3498">
        <w:rPr>
          <w:szCs w:val="24"/>
        </w:rPr>
        <w:t> </w:t>
      </w:r>
      <w:r w:rsidRPr="00F830D6">
        <w:rPr>
          <w:szCs w:val="24"/>
        </w:rPr>
        <w:t xml:space="preserve">koncepčních dokumentech </w:t>
      </w:r>
      <w:r w:rsidR="008E2A06" w:rsidRPr="00F830D6">
        <w:rPr>
          <w:szCs w:val="24"/>
        </w:rPr>
        <w:t xml:space="preserve">vysokoškolského vzdělávání </w:t>
      </w:r>
      <w:r w:rsidRPr="00F830D6">
        <w:rPr>
          <w:szCs w:val="24"/>
        </w:rPr>
        <w:t>MO</w:t>
      </w:r>
      <w:r w:rsidRPr="00F830D6">
        <w:rPr>
          <w:rFonts w:asciiTheme="minorHAnsi" w:hAnsiTheme="minorHAnsi" w:cstheme="minorHAnsi"/>
          <w:szCs w:val="24"/>
        </w:rPr>
        <w:t xml:space="preserve"> byly plněny, nicméně nebyly hodnotiteln</w:t>
      </w:r>
      <w:r w:rsidR="008E2A06" w:rsidRPr="00F830D6">
        <w:rPr>
          <w:rFonts w:asciiTheme="minorHAnsi" w:hAnsiTheme="minorHAnsi" w:cstheme="minorHAnsi"/>
          <w:szCs w:val="24"/>
        </w:rPr>
        <w:t xml:space="preserve">é </w:t>
      </w:r>
      <w:r w:rsidRPr="00F830D6">
        <w:rPr>
          <w:rFonts w:asciiTheme="minorHAnsi" w:hAnsiTheme="minorHAnsi" w:cstheme="minorHAnsi"/>
          <w:szCs w:val="24"/>
        </w:rPr>
        <w:t>z hlediska SMART</w:t>
      </w:r>
      <w:r w:rsidRPr="00F830D6">
        <w:rPr>
          <w:rStyle w:val="Znakapoznpodarou"/>
          <w:rFonts w:asciiTheme="minorHAnsi" w:hAnsiTheme="minorHAnsi" w:cstheme="minorHAnsi"/>
          <w:szCs w:val="24"/>
        </w:rPr>
        <w:footnoteReference w:id="10"/>
      </w:r>
      <w:r w:rsidRPr="00F830D6">
        <w:rPr>
          <w:rFonts w:asciiTheme="minorHAnsi" w:hAnsiTheme="minorHAnsi" w:cstheme="minorHAnsi"/>
          <w:szCs w:val="24"/>
        </w:rPr>
        <w:t xml:space="preserve">. </w:t>
      </w:r>
      <w:r w:rsidR="00F61C46" w:rsidRPr="00F830D6">
        <w:rPr>
          <w:rFonts w:asciiTheme="minorHAnsi" w:hAnsiTheme="minorHAnsi" w:cstheme="minorHAnsi"/>
          <w:szCs w:val="24"/>
        </w:rPr>
        <w:t xml:space="preserve">Z koncepčních dokumentů vyplynulo, že </w:t>
      </w:r>
      <w:r w:rsidR="00F61C46" w:rsidRPr="00F830D6">
        <w:rPr>
          <w:szCs w:val="24"/>
        </w:rPr>
        <w:t>MV, resp. PČR</w:t>
      </w:r>
      <w:r w:rsidR="006F7B9F">
        <w:rPr>
          <w:szCs w:val="24"/>
        </w:rPr>
        <w:t>,</w:t>
      </w:r>
      <w:r w:rsidR="00F61C46" w:rsidRPr="00F830D6">
        <w:rPr>
          <w:szCs w:val="24"/>
        </w:rPr>
        <w:t xml:space="preserve"> nepovažovalo PA ČR v období 2016 až 2019 za </w:t>
      </w:r>
      <w:r w:rsidR="003C5118" w:rsidRPr="00F830D6">
        <w:rPr>
          <w:szCs w:val="24"/>
        </w:rPr>
        <w:t>„</w:t>
      </w:r>
      <w:r w:rsidR="00F61C46" w:rsidRPr="00F830D6">
        <w:rPr>
          <w:szCs w:val="24"/>
        </w:rPr>
        <w:t>profesní akademii policistů</w:t>
      </w:r>
      <w:r w:rsidR="003C5118" w:rsidRPr="00F830D6">
        <w:rPr>
          <w:szCs w:val="24"/>
        </w:rPr>
        <w:t>“</w:t>
      </w:r>
      <w:r w:rsidR="00F61C46" w:rsidRPr="00F830D6">
        <w:rPr>
          <w:szCs w:val="24"/>
        </w:rPr>
        <w:t xml:space="preserve">, kdežto MO stanovilo UNOB jako hlavní </w:t>
      </w:r>
      <w:proofErr w:type="spellStart"/>
      <w:r w:rsidR="00F61C46" w:rsidRPr="00F830D6">
        <w:rPr>
          <w:szCs w:val="24"/>
        </w:rPr>
        <w:t>rekrutační</w:t>
      </w:r>
      <w:proofErr w:type="spellEnd"/>
      <w:r w:rsidR="00F61C46" w:rsidRPr="00F830D6">
        <w:rPr>
          <w:szCs w:val="24"/>
        </w:rPr>
        <w:t xml:space="preserve"> zdroj pro doplňování důstojnického sboru AČR.</w:t>
      </w:r>
    </w:p>
    <w:p w14:paraId="4B3F0DE6" w14:textId="212EBF0D" w:rsidR="00E80061" w:rsidRPr="00F830D6" w:rsidRDefault="00B115AF" w:rsidP="00E34A98">
      <w:pPr>
        <w:pStyle w:val="Odstavecseseznamem"/>
        <w:numPr>
          <w:ilvl w:val="0"/>
          <w:numId w:val="1"/>
        </w:numPr>
        <w:ind w:left="284" w:hanging="284"/>
        <w:contextualSpacing w:val="0"/>
        <w:rPr>
          <w:rFonts w:asciiTheme="minorHAnsi" w:hAnsiTheme="minorHAnsi" w:cstheme="minorHAnsi"/>
          <w:szCs w:val="24"/>
        </w:rPr>
      </w:pPr>
      <w:r w:rsidRPr="00F830D6">
        <w:rPr>
          <w:color w:val="auto"/>
          <w:szCs w:val="24"/>
        </w:rPr>
        <w:t xml:space="preserve">Počet </w:t>
      </w:r>
      <w:r w:rsidR="00FA468B" w:rsidRPr="00F830D6">
        <w:rPr>
          <w:color w:val="auto"/>
          <w:szCs w:val="24"/>
        </w:rPr>
        <w:t xml:space="preserve">vojáků </w:t>
      </w:r>
      <w:r w:rsidR="00437236" w:rsidRPr="00F830D6">
        <w:rPr>
          <w:color w:val="auto"/>
          <w:szCs w:val="24"/>
        </w:rPr>
        <w:t xml:space="preserve">absolventů </w:t>
      </w:r>
      <w:r w:rsidR="00BA47A9" w:rsidRPr="00F830D6">
        <w:rPr>
          <w:color w:val="auto"/>
          <w:szCs w:val="24"/>
        </w:rPr>
        <w:t xml:space="preserve">UNOB </w:t>
      </w:r>
      <w:r w:rsidRPr="00F830D6">
        <w:rPr>
          <w:color w:val="auto"/>
          <w:szCs w:val="24"/>
        </w:rPr>
        <w:t xml:space="preserve">v období </w:t>
      </w:r>
      <w:r w:rsidR="0066182D" w:rsidRPr="00F830D6">
        <w:rPr>
          <w:color w:val="auto"/>
          <w:szCs w:val="24"/>
        </w:rPr>
        <w:t xml:space="preserve">2016 až 2019 </w:t>
      </w:r>
      <w:r w:rsidRPr="00F830D6">
        <w:rPr>
          <w:color w:val="auto"/>
          <w:szCs w:val="24"/>
        </w:rPr>
        <w:t>klesl o 47 %</w:t>
      </w:r>
      <w:r w:rsidR="00F544AA" w:rsidRPr="00F830D6">
        <w:rPr>
          <w:color w:val="auto"/>
          <w:szCs w:val="24"/>
        </w:rPr>
        <w:t>,</w:t>
      </w:r>
      <w:r w:rsidR="001124E8" w:rsidRPr="00F830D6">
        <w:rPr>
          <w:color w:val="auto"/>
          <w:szCs w:val="24"/>
        </w:rPr>
        <w:t xml:space="preserve"> kles</w:t>
      </w:r>
      <w:r w:rsidR="00F544AA" w:rsidRPr="00F830D6">
        <w:rPr>
          <w:color w:val="auto"/>
          <w:szCs w:val="24"/>
        </w:rPr>
        <w:t>l</w:t>
      </w:r>
      <w:r w:rsidR="001124E8" w:rsidRPr="00F830D6">
        <w:rPr>
          <w:color w:val="auto"/>
          <w:szCs w:val="24"/>
        </w:rPr>
        <w:t xml:space="preserve"> </w:t>
      </w:r>
      <w:r w:rsidR="00F544AA" w:rsidRPr="00F830D6">
        <w:rPr>
          <w:color w:val="auto"/>
          <w:szCs w:val="24"/>
        </w:rPr>
        <w:t>také počet</w:t>
      </w:r>
      <w:r w:rsidR="001124E8" w:rsidRPr="00F830D6">
        <w:rPr>
          <w:color w:val="auto"/>
          <w:szCs w:val="24"/>
        </w:rPr>
        <w:t xml:space="preserve"> vojáků přijatých ke studiu</w:t>
      </w:r>
      <w:r w:rsidR="00437236">
        <w:rPr>
          <w:color w:val="auto"/>
          <w:szCs w:val="24"/>
        </w:rPr>
        <w:t>, a to</w:t>
      </w:r>
      <w:r w:rsidR="001124E8" w:rsidRPr="00F830D6">
        <w:rPr>
          <w:color w:val="auto"/>
          <w:szCs w:val="24"/>
        </w:rPr>
        <w:t xml:space="preserve"> o 28 %</w:t>
      </w:r>
      <w:r w:rsidR="00B87F03" w:rsidRPr="00F830D6">
        <w:rPr>
          <w:color w:val="auto"/>
          <w:szCs w:val="24"/>
        </w:rPr>
        <w:t xml:space="preserve">. </w:t>
      </w:r>
      <w:r w:rsidR="009169C5" w:rsidRPr="00F830D6">
        <w:rPr>
          <w:rFonts w:asciiTheme="minorHAnsi" w:hAnsiTheme="minorHAnsi" w:cstheme="minorHAnsi"/>
          <w:szCs w:val="24"/>
        </w:rPr>
        <w:t xml:space="preserve">Zároveň peněžní prostředky státu </w:t>
      </w:r>
      <w:r w:rsidR="00B87F03" w:rsidRPr="00F830D6">
        <w:rPr>
          <w:rFonts w:asciiTheme="minorHAnsi" w:hAnsiTheme="minorHAnsi" w:cstheme="minorHAnsi"/>
          <w:szCs w:val="24"/>
        </w:rPr>
        <w:t>vynaložené</w:t>
      </w:r>
      <w:r w:rsidR="009169C5" w:rsidRPr="00F830D6">
        <w:rPr>
          <w:rFonts w:asciiTheme="minorHAnsi" w:hAnsiTheme="minorHAnsi" w:cstheme="minorHAnsi"/>
          <w:szCs w:val="24"/>
        </w:rPr>
        <w:t xml:space="preserve"> MO</w:t>
      </w:r>
      <w:r w:rsidR="00B87F03" w:rsidRPr="00F830D6">
        <w:rPr>
          <w:rFonts w:asciiTheme="minorHAnsi" w:hAnsiTheme="minorHAnsi" w:cstheme="minorHAnsi"/>
          <w:szCs w:val="24"/>
        </w:rPr>
        <w:t xml:space="preserve"> na </w:t>
      </w:r>
      <w:r w:rsidR="00964BA4" w:rsidRPr="00F830D6">
        <w:rPr>
          <w:rFonts w:asciiTheme="minorHAnsi" w:hAnsiTheme="minorHAnsi" w:cstheme="minorHAnsi"/>
          <w:szCs w:val="24"/>
        </w:rPr>
        <w:t>UNOB</w:t>
      </w:r>
      <w:r w:rsidR="00B87F03" w:rsidRPr="00F830D6">
        <w:rPr>
          <w:rFonts w:asciiTheme="minorHAnsi" w:hAnsiTheme="minorHAnsi" w:cstheme="minorHAnsi"/>
          <w:szCs w:val="24"/>
        </w:rPr>
        <w:t xml:space="preserve"> </w:t>
      </w:r>
      <w:r w:rsidR="00964BA4" w:rsidRPr="00F830D6">
        <w:rPr>
          <w:rFonts w:asciiTheme="minorHAnsi" w:hAnsiTheme="minorHAnsi" w:cstheme="minorHAnsi"/>
          <w:szCs w:val="24"/>
        </w:rPr>
        <w:t>vz</w:t>
      </w:r>
      <w:r w:rsidR="00B87F03" w:rsidRPr="00F830D6">
        <w:rPr>
          <w:rFonts w:asciiTheme="minorHAnsi" w:hAnsiTheme="minorHAnsi" w:cstheme="minorHAnsi"/>
          <w:szCs w:val="24"/>
        </w:rPr>
        <w:t xml:space="preserve">rostly </w:t>
      </w:r>
      <w:r w:rsidRPr="00F830D6">
        <w:rPr>
          <w:rFonts w:asciiTheme="minorHAnsi" w:hAnsiTheme="minorHAnsi" w:cstheme="minorHAnsi"/>
          <w:szCs w:val="24"/>
        </w:rPr>
        <w:t xml:space="preserve">o </w:t>
      </w:r>
      <w:r w:rsidR="008F6669" w:rsidRPr="00F830D6">
        <w:rPr>
          <w:rFonts w:asciiTheme="minorHAnsi" w:hAnsiTheme="minorHAnsi" w:cstheme="minorHAnsi"/>
          <w:szCs w:val="24"/>
        </w:rPr>
        <w:t xml:space="preserve">15 </w:t>
      </w:r>
      <w:r w:rsidRPr="00F830D6">
        <w:rPr>
          <w:rFonts w:asciiTheme="minorHAnsi" w:hAnsiTheme="minorHAnsi" w:cstheme="minorHAnsi"/>
          <w:szCs w:val="24"/>
        </w:rPr>
        <w:t xml:space="preserve">%, což </w:t>
      </w:r>
      <w:r w:rsidR="009169C5" w:rsidRPr="00F830D6">
        <w:rPr>
          <w:rFonts w:asciiTheme="minorHAnsi" w:hAnsiTheme="minorHAnsi" w:cstheme="minorHAnsi"/>
          <w:szCs w:val="24"/>
        </w:rPr>
        <w:t>ovli</w:t>
      </w:r>
      <w:r w:rsidR="006770F3" w:rsidRPr="00F830D6">
        <w:rPr>
          <w:rFonts w:asciiTheme="minorHAnsi" w:hAnsiTheme="minorHAnsi" w:cstheme="minorHAnsi"/>
          <w:szCs w:val="24"/>
        </w:rPr>
        <w:t>v</w:t>
      </w:r>
      <w:r w:rsidR="009169C5" w:rsidRPr="00F830D6">
        <w:rPr>
          <w:rFonts w:asciiTheme="minorHAnsi" w:hAnsiTheme="minorHAnsi" w:cstheme="minorHAnsi"/>
          <w:szCs w:val="24"/>
        </w:rPr>
        <w:t xml:space="preserve">nilo </w:t>
      </w:r>
      <w:r w:rsidRPr="00F830D6">
        <w:rPr>
          <w:rFonts w:asciiTheme="minorHAnsi" w:hAnsiTheme="minorHAnsi" w:cstheme="minorHAnsi"/>
          <w:szCs w:val="24"/>
        </w:rPr>
        <w:t>efektivnost vy</w:t>
      </w:r>
      <w:r w:rsidR="00B455F7" w:rsidRPr="00F830D6">
        <w:rPr>
          <w:rFonts w:asciiTheme="minorHAnsi" w:hAnsiTheme="minorHAnsi" w:cstheme="minorHAnsi"/>
          <w:szCs w:val="24"/>
        </w:rPr>
        <w:t>naložených peněžních prostředků</w:t>
      </w:r>
      <w:r w:rsidR="00C36775" w:rsidRPr="00F830D6">
        <w:rPr>
          <w:rFonts w:asciiTheme="minorHAnsi" w:hAnsiTheme="minorHAnsi" w:cstheme="minorHAnsi"/>
          <w:szCs w:val="24"/>
        </w:rPr>
        <w:t xml:space="preserve"> státu</w:t>
      </w:r>
      <w:r w:rsidR="00B455F7" w:rsidRPr="00F830D6">
        <w:rPr>
          <w:rFonts w:asciiTheme="minorHAnsi" w:hAnsiTheme="minorHAnsi" w:cstheme="minorHAnsi"/>
          <w:szCs w:val="24"/>
        </w:rPr>
        <w:t xml:space="preserve">. </w:t>
      </w:r>
      <w:r w:rsidR="00FE7C0F" w:rsidRPr="00F830D6">
        <w:rPr>
          <w:szCs w:val="24"/>
        </w:rPr>
        <w:t xml:space="preserve">Podíl počtu pedagogických zaměstnanců k celkovému počtu </w:t>
      </w:r>
      <w:r w:rsidR="00AD3528" w:rsidRPr="00F830D6">
        <w:rPr>
          <w:szCs w:val="24"/>
        </w:rPr>
        <w:t xml:space="preserve">zaměstnanců </w:t>
      </w:r>
      <w:r w:rsidR="00FE7C0F" w:rsidRPr="00F830D6">
        <w:rPr>
          <w:szCs w:val="24"/>
        </w:rPr>
        <w:t xml:space="preserve">činil průměrně </w:t>
      </w:r>
      <w:r w:rsidR="001818F9" w:rsidRPr="00F830D6">
        <w:rPr>
          <w:szCs w:val="24"/>
        </w:rPr>
        <w:t>na PA ČR 31</w:t>
      </w:r>
      <w:r w:rsidR="004263E7" w:rsidRPr="00F830D6">
        <w:rPr>
          <w:szCs w:val="24"/>
        </w:rPr>
        <w:t> </w:t>
      </w:r>
      <w:r w:rsidR="00FE7C0F" w:rsidRPr="00F830D6">
        <w:rPr>
          <w:szCs w:val="24"/>
        </w:rPr>
        <w:t>%, na UNOB to bylo 5</w:t>
      </w:r>
      <w:r w:rsidR="001048A8" w:rsidRPr="00F830D6">
        <w:rPr>
          <w:szCs w:val="24"/>
        </w:rPr>
        <w:t>6</w:t>
      </w:r>
      <w:r w:rsidR="00FE7C0F" w:rsidRPr="00F830D6">
        <w:rPr>
          <w:szCs w:val="24"/>
        </w:rPr>
        <w:t xml:space="preserve"> %. </w:t>
      </w:r>
      <w:r w:rsidR="00E37D28" w:rsidRPr="00F830D6">
        <w:rPr>
          <w:szCs w:val="24"/>
        </w:rPr>
        <w:t xml:space="preserve">Počet studentů na </w:t>
      </w:r>
      <w:r w:rsidR="00FE7C0F" w:rsidRPr="00F830D6">
        <w:rPr>
          <w:szCs w:val="24"/>
        </w:rPr>
        <w:t>pedagoga</w:t>
      </w:r>
      <w:r w:rsidR="00FE6A87" w:rsidRPr="00F830D6">
        <w:rPr>
          <w:rStyle w:val="Znakapoznpodarou"/>
          <w:szCs w:val="24"/>
        </w:rPr>
        <w:footnoteReference w:id="11"/>
      </w:r>
      <w:r w:rsidR="00FE7C0F" w:rsidRPr="00F830D6">
        <w:rPr>
          <w:szCs w:val="24"/>
        </w:rPr>
        <w:t xml:space="preserve"> </w:t>
      </w:r>
      <w:r w:rsidR="00F64D28" w:rsidRPr="00F830D6">
        <w:rPr>
          <w:szCs w:val="24"/>
        </w:rPr>
        <w:t xml:space="preserve">zároveň </w:t>
      </w:r>
      <w:r w:rsidR="00FE7C0F" w:rsidRPr="00F830D6">
        <w:rPr>
          <w:szCs w:val="24"/>
        </w:rPr>
        <w:t>činil na PA ČR průměrně 2</w:t>
      </w:r>
      <w:r w:rsidR="00B4790E" w:rsidRPr="00F830D6">
        <w:rPr>
          <w:szCs w:val="24"/>
        </w:rPr>
        <w:t>5</w:t>
      </w:r>
      <w:r w:rsidR="00FE7C0F" w:rsidRPr="00F830D6">
        <w:rPr>
          <w:szCs w:val="24"/>
        </w:rPr>
        <w:t xml:space="preserve"> studentů, u UNOB to byli </w:t>
      </w:r>
      <w:r w:rsidR="00F757B9" w:rsidRPr="00F830D6">
        <w:rPr>
          <w:szCs w:val="24"/>
        </w:rPr>
        <w:t xml:space="preserve">čtyři </w:t>
      </w:r>
      <w:r w:rsidR="00FE7C0F" w:rsidRPr="00F830D6">
        <w:rPr>
          <w:szCs w:val="24"/>
        </w:rPr>
        <w:t xml:space="preserve">studenti. </w:t>
      </w:r>
      <w:r w:rsidR="0075118E" w:rsidRPr="00F830D6">
        <w:rPr>
          <w:szCs w:val="24"/>
        </w:rPr>
        <w:t>PA ČR ani</w:t>
      </w:r>
      <w:r w:rsidR="00930F86" w:rsidRPr="00F830D6">
        <w:rPr>
          <w:szCs w:val="24"/>
        </w:rPr>
        <w:t xml:space="preserve"> MO, resp.</w:t>
      </w:r>
      <w:r w:rsidR="0075118E" w:rsidRPr="00F830D6">
        <w:rPr>
          <w:szCs w:val="24"/>
        </w:rPr>
        <w:t xml:space="preserve"> UNOB</w:t>
      </w:r>
      <w:r w:rsidR="00437236">
        <w:rPr>
          <w:szCs w:val="24"/>
        </w:rPr>
        <w:t>,</w:t>
      </w:r>
      <w:r w:rsidR="0075118E" w:rsidRPr="00F830D6">
        <w:rPr>
          <w:szCs w:val="24"/>
        </w:rPr>
        <w:t xml:space="preserve"> nesledovaly </w:t>
      </w:r>
      <w:r w:rsidR="00A37124" w:rsidRPr="00F830D6">
        <w:rPr>
          <w:szCs w:val="24"/>
        </w:rPr>
        <w:t xml:space="preserve">např. </w:t>
      </w:r>
      <w:r w:rsidR="00B87F03" w:rsidRPr="00F830D6">
        <w:rPr>
          <w:szCs w:val="24"/>
        </w:rPr>
        <w:t>ukazatel</w:t>
      </w:r>
      <w:r w:rsidR="00A37124" w:rsidRPr="00F830D6">
        <w:rPr>
          <w:szCs w:val="24"/>
        </w:rPr>
        <w:t xml:space="preserve"> </w:t>
      </w:r>
      <w:r w:rsidR="00B87F03" w:rsidRPr="00F830D6">
        <w:rPr>
          <w:szCs w:val="24"/>
        </w:rPr>
        <w:t>„</w:t>
      </w:r>
      <w:r w:rsidR="0075118E" w:rsidRPr="00F830D6">
        <w:rPr>
          <w:szCs w:val="24"/>
        </w:rPr>
        <w:t>náklady na studenta</w:t>
      </w:r>
      <w:r w:rsidR="00B87F03" w:rsidRPr="00F830D6">
        <w:rPr>
          <w:szCs w:val="24"/>
        </w:rPr>
        <w:t>“</w:t>
      </w:r>
      <w:r w:rsidR="000E6D6C" w:rsidRPr="00F830D6">
        <w:rPr>
          <w:szCs w:val="24"/>
        </w:rPr>
        <w:t>,</w:t>
      </w:r>
      <w:r w:rsidRPr="00F830D6">
        <w:rPr>
          <w:szCs w:val="24"/>
        </w:rPr>
        <w:t xml:space="preserve"> </w:t>
      </w:r>
      <w:r w:rsidR="009169C5" w:rsidRPr="00F830D6">
        <w:rPr>
          <w:szCs w:val="24"/>
        </w:rPr>
        <w:t>který umožňuje</w:t>
      </w:r>
      <w:r w:rsidR="00B00377" w:rsidRPr="00F830D6">
        <w:rPr>
          <w:szCs w:val="24"/>
        </w:rPr>
        <w:t xml:space="preserve"> vyhodnocovat efektivnost </w:t>
      </w:r>
      <w:r w:rsidR="00462027" w:rsidRPr="00F830D6">
        <w:rPr>
          <w:szCs w:val="24"/>
        </w:rPr>
        <w:t xml:space="preserve">jejich </w:t>
      </w:r>
      <w:r w:rsidR="009169C5" w:rsidRPr="00F830D6">
        <w:rPr>
          <w:szCs w:val="24"/>
        </w:rPr>
        <w:t>činnosti</w:t>
      </w:r>
      <w:r w:rsidR="00B00377" w:rsidRPr="00F830D6">
        <w:rPr>
          <w:szCs w:val="24"/>
        </w:rPr>
        <w:t xml:space="preserve">. </w:t>
      </w:r>
      <w:r w:rsidR="00E80061" w:rsidRPr="00F830D6">
        <w:rPr>
          <w:rFonts w:asciiTheme="minorHAnsi" w:hAnsiTheme="minorHAnsi" w:cstheme="minorHAnsi"/>
          <w:szCs w:val="24"/>
        </w:rPr>
        <w:t>Sledování</w:t>
      </w:r>
      <w:r w:rsidR="00462027" w:rsidRPr="00F830D6">
        <w:rPr>
          <w:rFonts w:asciiTheme="minorHAnsi" w:hAnsiTheme="minorHAnsi" w:cstheme="minorHAnsi"/>
          <w:szCs w:val="24"/>
        </w:rPr>
        <w:t xml:space="preserve"> struktury </w:t>
      </w:r>
      <w:r w:rsidR="00E80061" w:rsidRPr="00F830D6">
        <w:rPr>
          <w:rFonts w:asciiTheme="minorHAnsi" w:hAnsiTheme="minorHAnsi" w:cstheme="minorHAnsi"/>
          <w:szCs w:val="24"/>
        </w:rPr>
        <w:t xml:space="preserve">nákladů </w:t>
      </w:r>
      <w:r w:rsidR="00F64D28" w:rsidRPr="00F830D6">
        <w:rPr>
          <w:rFonts w:asciiTheme="minorHAnsi" w:hAnsiTheme="minorHAnsi" w:cstheme="minorHAnsi"/>
          <w:szCs w:val="24"/>
        </w:rPr>
        <w:t xml:space="preserve">v kombinaci s počty pedagogů nebo studentů </w:t>
      </w:r>
      <w:r w:rsidR="00E80061" w:rsidRPr="00F830D6">
        <w:rPr>
          <w:rFonts w:asciiTheme="minorHAnsi" w:hAnsiTheme="minorHAnsi" w:cstheme="minorHAnsi"/>
          <w:szCs w:val="24"/>
        </w:rPr>
        <w:t xml:space="preserve">je </w:t>
      </w:r>
      <w:r w:rsidR="008D4175" w:rsidRPr="00F830D6">
        <w:rPr>
          <w:rFonts w:asciiTheme="minorHAnsi" w:hAnsiTheme="minorHAnsi" w:cstheme="minorHAnsi"/>
          <w:szCs w:val="24"/>
        </w:rPr>
        <w:t xml:space="preserve">žádoucí </w:t>
      </w:r>
      <w:r w:rsidR="00E80061" w:rsidRPr="00F830D6">
        <w:rPr>
          <w:rFonts w:asciiTheme="minorHAnsi" w:hAnsiTheme="minorHAnsi" w:cstheme="minorHAnsi"/>
          <w:szCs w:val="24"/>
        </w:rPr>
        <w:t xml:space="preserve">i proto, </w:t>
      </w:r>
      <w:r w:rsidR="00AE187B" w:rsidRPr="00F830D6">
        <w:rPr>
          <w:rFonts w:asciiTheme="minorHAnsi" w:hAnsiTheme="minorHAnsi" w:cstheme="minorHAnsi"/>
          <w:szCs w:val="24"/>
        </w:rPr>
        <w:t xml:space="preserve">že </w:t>
      </w:r>
      <w:r w:rsidR="00E80061" w:rsidRPr="00F830D6">
        <w:rPr>
          <w:rFonts w:asciiTheme="minorHAnsi" w:hAnsiTheme="minorHAnsi" w:cstheme="minorHAnsi"/>
          <w:szCs w:val="24"/>
        </w:rPr>
        <w:t>p</w:t>
      </w:r>
      <w:r w:rsidR="0074239C" w:rsidRPr="00F830D6">
        <w:rPr>
          <w:szCs w:val="24"/>
        </w:rPr>
        <w:t xml:space="preserve">růměrné platy </w:t>
      </w:r>
      <w:r w:rsidR="00E35E49" w:rsidRPr="00F830D6">
        <w:rPr>
          <w:szCs w:val="24"/>
        </w:rPr>
        <w:t>pedagogů – policistů</w:t>
      </w:r>
      <w:r w:rsidR="004560E2" w:rsidRPr="00F830D6">
        <w:rPr>
          <w:szCs w:val="24"/>
        </w:rPr>
        <w:t xml:space="preserve">, resp. </w:t>
      </w:r>
      <w:r w:rsidR="009740D1">
        <w:rPr>
          <w:szCs w:val="24"/>
        </w:rPr>
        <w:t xml:space="preserve">pedagogů – </w:t>
      </w:r>
      <w:r w:rsidR="004A0B1D" w:rsidRPr="00F830D6">
        <w:rPr>
          <w:szCs w:val="24"/>
        </w:rPr>
        <w:t>vojáků</w:t>
      </w:r>
      <w:r w:rsidR="00DA2D3D" w:rsidRPr="00F830D6">
        <w:rPr>
          <w:szCs w:val="24"/>
        </w:rPr>
        <w:t xml:space="preserve"> </w:t>
      </w:r>
      <w:r w:rsidR="009740D1">
        <w:rPr>
          <w:szCs w:val="24"/>
        </w:rPr>
        <w:t xml:space="preserve">na </w:t>
      </w:r>
      <w:r w:rsidR="00A37124" w:rsidRPr="00F830D6">
        <w:rPr>
          <w:szCs w:val="24"/>
        </w:rPr>
        <w:t>státních vysokých škol</w:t>
      </w:r>
      <w:r w:rsidR="009740D1">
        <w:rPr>
          <w:szCs w:val="24"/>
        </w:rPr>
        <w:t>ách</w:t>
      </w:r>
      <w:r w:rsidR="00DA2D3D" w:rsidRPr="00F830D6">
        <w:rPr>
          <w:szCs w:val="24"/>
        </w:rPr>
        <w:t xml:space="preserve"> </w:t>
      </w:r>
      <w:r w:rsidR="00E35E49" w:rsidRPr="00F830D6">
        <w:rPr>
          <w:szCs w:val="24"/>
        </w:rPr>
        <w:t xml:space="preserve">byly v kontrolovaném období vyšší </w:t>
      </w:r>
      <w:r w:rsidR="00222D0F" w:rsidRPr="00F830D6">
        <w:rPr>
          <w:szCs w:val="24"/>
        </w:rPr>
        <w:t xml:space="preserve">než průměrné platy pedagogů </w:t>
      </w:r>
      <w:r w:rsidR="00E35E49" w:rsidRPr="00F830D6">
        <w:rPr>
          <w:szCs w:val="24"/>
        </w:rPr>
        <w:t>veřejných vysokých škol</w:t>
      </w:r>
      <w:r w:rsidR="00F757B9" w:rsidRPr="00F830D6">
        <w:rPr>
          <w:szCs w:val="24"/>
        </w:rPr>
        <w:t xml:space="preserve"> zhruba o 18 %.</w:t>
      </w:r>
    </w:p>
    <w:p w14:paraId="4D050AB1" w14:textId="1F207014" w:rsidR="00E27B72" w:rsidRPr="00F830D6" w:rsidRDefault="00D87033" w:rsidP="00E34A98">
      <w:pPr>
        <w:pStyle w:val="Odstavecseseznamem"/>
        <w:numPr>
          <w:ilvl w:val="0"/>
          <w:numId w:val="1"/>
        </w:numPr>
        <w:ind w:left="284" w:hanging="284"/>
        <w:contextualSpacing w:val="0"/>
        <w:rPr>
          <w:szCs w:val="24"/>
        </w:rPr>
      </w:pPr>
      <w:r w:rsidRPr="00F830D6">
        <w:rPr>
          <w:szCs w:val="24"/>
        </w:rPr>
        <w:lastRenderedPageBreak/>
        <w:t xml:space="preserve">Z odlišného právního postavení </w:t>
      </w:r>
      <w:r w:rsidR="00DB6E56" w:rsidRPr="00F830D6">
        <w:rPr>
          <w:szCs w:val="24"/>
        </w:rPr>
        <w:t xml:space="preserve">obou </w:t>
      </w:r>
      <w:r w:rsidRPr="00F830D6">
        <w:rPr>
          <w:szCs w:val="24"/>
        </w:rPr>
        <w:t xml:space="preserve">státních vysokých škol vyplývá jejich rozdílné ekonomické postavení. </w:t>
      </w:r>
      <w:r w:rsidR="00B150A7" w:rsidRPr="00F830D6">
        <w:rPr>
          <w:szCs w:val="24"/>
        </w:rPr>
        <w:t>PA</w:t>
      </w:r>
      <w:r w:rsidR="004263E7" w:rsidRPr="00F830D6">
        <w:rPr>
          <w:szCs w:val="24"/>
        </w:rPr>
        <w:t xml:space="preserve"> </w:t>
      </w:r>
      <w:r w:rsidR="00B150A7" w:rsidRPr="00F830D6">
        <w:rPr>
          <w:szCs w:val="24"/>
        </w:rPr>
        <w:t>ČR je organizační složkou</w:t>
      </w:r>
      <w:r w:rsidR="00C20479" w:rsidRPr="00F830D6">
        <w:rPr>
          <w:szCs w:val="24"/>
        </w:rPr>
        <w:t xml:space="preserve"> státu</w:t>
      </w:r>
      <w:r w:rsidR="00F448E3" w:rsidRPr="00F830D6">
        <w:rPr>
          <w:szCs w:val="24"/>
        </w:rPr>
        <w:t xml:space="preserve"> hospodařící s majetkem státu a </w:t>
      </w:r>
      <w:r w:rsidR="00C20479" w:rsidRPr="00F830D6">
        <w:rPr>
          <w:szCs w:val="24"/>
        </w:rPr>
        <w:t>samostatnou účetní jednotkou</w:t>
      </w:r>
      <w:r w:rsidR="00DA2D3D" w:rsidRPr="00F830D6">
        <w:rPr>
          <w:szCs w:val="24"/>
        </w:rPr>
        <w:t xml:space="preserve">. </w:t>
      </w:r>
      <w:r w:rsidR="00C20479" w:rsidRPr="00F830D6">
        <w:rPr>
          <w:szCs w:val="24"/>
        </w:rPr>
        <w:t>UNOB je vnitřní organizační jednotkou MO.</w:t>
      </w:r>
      <w:r w:rsidR="00E27B72" w:rsidRPr="00F830D6">
        <w:rPr>
          <w:szCs w:val="24"/>
        </w:rPr>
        <w:t xml:space="preserve"> </w:t>
      </w:r>
      <w:r w:rsidR="00BC5939" w:rsidRPr="00F830D6">
        <w:rPr>
          <w:szCs w:val="24"/>
        </w:rPr>
        <w:t>MO</w:t>
      </w:r>
      <w:r w:rsidR="008E2A06" w:rsidRPr="00F830D6">
        <w:rPr>
          <w:szCs w:val="24"/>
        </w:rPr>
        <w:t xml:space="preserve"> </w:t>
      </w:r>
      <w:r w:rsidR="000E6D6C" w:rsidRPr="00F830D6">
        <w:rPr>
          <w:szCs w:val="24"/>
        </w:rPr>
        <w:t xml:space="preserve">v kontrolovaném období </w:t>
      </w:r>
      <w:r w:rsidR="00EE0CC1" w:rsidRPr="00F830D6">
        <w:rPr>
          <w:szCs w:val="24"/>
        </w:rPr>
        <w:t>nesled</w:t>
      </w:r>
      <w:r w:rsidR="00242B7C" w:rsidRPr="00F830D6">
        <w:rPr>
          <w:szCs w:val="24"/>
        </w:rPr>
        <w:t>oval</w:t>
      </w:r>
      <w:r w:rsidR="00BC5939" w:rsidRPr="00F830D6">
        <w:rPr>
          <w:szCs w:val="24"/>
        </w:rPr>
        <w:t>o</w:t>
      </w:r>
      <w:r w:rsidR="00EE0CC1" w:rsidRPr="00F830D6">
        <w:rPr>
          <w:szCs w:val="24"/>
        </w:rPr>
        <w:t xml:space="preserve"> </w:t>
      </w:r>
      <w:r w:rsidR="00E27B72" w:rsidRPr="00F830D6">
        <w:rPr>
          <w:szCs w:val="24"/>
        </w:rPr>
        <w:t>náklady</w:t>
      </w:r>
      <w:r w:rsidR="00BC5939" w:rsidRPr="00F830D6">
        <w:rPr>
          <w:szCs w:val="24"/>
        </w:rPr>
        <w:t xml:space="preserve"> vynaložené na vysokoškolské vzdělávání</w:t>
      </w:r>
      <w:r w:rsidR="00994951">
        <w:rPr>
          <w:szCs w:val="24"/>
        </w:rPr>
        <w:t>,</w:t>
      </w:r>
      <w:r w:rsidR="00E27B72" w:rsidRPr="00F830D6">
        <w:rPr>
          <w:szCs w:val="24"/>
        </w:rPr>
        <w:t xml:space="preserve"> </w:t>
      </w:r>
      <w:r w:rsidR="00F448E3" w:rsidRPr="00F830D6">
        <w:rPr>
          <w:szCs w:val="24"/>
        </w:rPr>
        <w:t>a </w:t>
      </w:r>
      <w:r w:rsidR="001E349C" w:rsidRPr="00F830D6">
        <w:rPr>
          <w:szCs w:val="24"/>
        </w:rPr>
        <w:t>nem</w:t>
      </w:r>
      <w:r w:rsidR="00242B7C" w:rsidRPr="00F830D6">
        <w:rPr>
          <w:szCs w:val="24"/>
        </w:rPr>
        <w:t>ohl</w:t>
      </w:r>
      <w:r w:rsidR="00BC5939" w:rsidRPr="00F830D6">
        <w:rPr>
          <w:szCs w:val="24"/>
        </w:rPr>
        <w:t>o</w:t>
      </w:r>
      <w:r w:rsidR="001E349C" w:rsidRPr="00F830D6">
        <w:rPr>
          <w:szCs w:val="24"/>
        </w:rPr>
        <w:t xml:space="preserve"> </w:t>
      </w:r>
      <w:r w:rsidR="00E27B72" w:rsidRPr="00F830D6">
        <w:rPr>
          <w:szCs w:val="24"/>
        </w:rPr>
        <w:t xml:space="preserve">tak </w:t>
      </w:r>
      <w:r w:rsidR="00C54049" w:rsidRPr="00F830D6">
        <w:rPr>
          <w:szCs w:val="24"/>
        </w:rPr>
        <w:t xml:space="preserve">efektivně vyhodnocovat </w:t>
      </w:r>
      <w:r w:rsidR="001649C7" w:rsidRPr="00F830D6">
        <w:rPr>
          <w:szCs w:val="24"/>
        </w:rPr>
        <w:t xml:space="preserve">např. </w:t>
      </w:r>
      <w:r w:rsidR="00462027" w:rsidRPr="00F830D6">
        <w:rPr>
          <w:szCs w:val="24"/>
        </w:rPr>
        <w:t>využití majetku</w:t>
      </w:r>
      <w:r w:rsidR="001E349C" w:rsidRPr="00F830D6">
        <w:rPr>
          <w:szCs w:val="24"/>
        </w:rPr>
        <w:t xml:space="preserve"> </w:t>
      </w:r>
      <w:r w:rsidR="00930F86" w:rsidRPr="00F830D6">
        <w:rPr>
          <w:szCs w:val="24"/>
        </w:rPr>
        <w:t xml:space="preserve">užívaného UNOB </w:t>
      </w:r>
      <w:r w:rsidR="001E349C" w:rsidRPr="00F830D6">
        <w:rPr>
          <w:szCs w:val="24"/>
        </w:rPr>
        <w:t xml:space="preserve">ve vazbě na </w:t>
      </w:r>
      <w:r w:rsidR="00760FB1" w:rsidRPr="00F830D6">
        <w:rPr>
          <w:szCs w:val="24"/>
        </w:rPr>
        <w:t xml:space="preserve">klesající </w:t>
      </w:r>
      <w:r w:rsidR="006310F7" w:rsidRPr="00F830D6">
        <w:rPr>
          <w:szCs w:val="24"/>
        </w:rPr>
        <w:t>počet studentů</w:t>
      </w:r>
      <w:r w:rsidR="00902F21" w:rsidRPr="00F830D6">
        <w:rPr>
          <w:szCs w:val="24"/>
        </w:rPr>
        <w:t>, resp. absolventů</w:t>
      </w:r>
      <w:r w:rsidR="00C54049" w:rsidRPr="00F830D6">
        <w:rPr>
          <w:szCs w:val="24"/>
        </w:rPr>
        <w:t>.</w:t>
      </w:r>
      <w:r w:rsidR="00E27B72" w:rsidRPr="00F830D6">
        <w:rPr>
          <w:szCs w:val="24"/>
        </w:rPr>
        <w:t xml:space="preserve"> </w:t>
      </w:r>
      <w:r w:rsidR="00C54049" w:rsidRPr="00F830D6">
        <w:rPr>
          <w:szCs w:val="24"/>
        </w:rPr>
        <w:t xml:space="preserve">Z analýzy </w:t>
      </w:r>
      <w:r w:rsidR="001E349C" w:rsidRPr="00F830D6">
        <w:rPr>
          <w:szCs w:val="24"/>
        </w:rPr>
        <w:t xml:space="preserve">kapacit areálů </w:t>
      </w:r>
      <w:r w:rsidR="00FA5C65" w:rsidRPr="00F830D6">
        <w:rPr>
          <w:szCs w:val="24"/>
        </w:rPr>
        <w:t xml:space="preserve">užívaných </w:t>
      </w:r>
      <w:r w:rsidR="001E349C" w:rsidRPr="00F830D6">
        <w:rPr>
          <w:szCs w:val="24"/>
        </w:rPr>
        <w:t xml:space="preserve">UNOB </w:t>
      </w:r>
      <w:r w:rsidR="00C54049" w:rsidRPr="00F830D6">
        <w:rPr>
          <w:szCs w:val="24"/>
        </w:rPr>
        <w:t>vyplynulo, že na jednu učebnu</w:t>
      </w:r>
      <w:r w:rsidR="0084476E" w:rsidRPr="00F830D6">
        <w:rPr>
          <w:szCs w:val="24"/>
        </w:rPr>
        <w:t xml:space="preserve"> </w:t>
      </w:r>
      <w:r w:rsidR="00E27B72" w:rsidRPr="00F830D6">
        <w:rPr>
          <w:szCs w:val="24"/>
        </w:rPr>
        <w:t xml:space="preserve">připadli </w:t>
      </w:r>
      <w:r w:rsidR="00FE16A1" w:rsidRPr="00F830D6">
        <w:rPr>
          <w:szCs w:val="24"/>
        </w:rPr>
        <w:t xml:space="preserve">v roce 2019 </w:t>
      </w:r>
      <w:r w:rsidR="00E27B72" w:rsidRPr="00F830D6">
        <w:rPr>
          <w:szCs w:val="24"/>
        </w:rPr>
        <w:t xml:space="preserve">průměrně </w:t>
      </w:r>
      <w:r w:rsidR="00C54049" w:rsidRPr="00F830D6">
        <w:rPr>
          <w:szCs w:val="24"/>
        </w:rPr>
        <w:t>tři studenti</w:t>
      </w:r>
      <w:r w:rsidR="006310F7" w:rsidRPr="00F830D6">
        <w:rPr>
          <w:szCs w:val="24"/>
        </w:rPr>
        <w:t xml:space="preserve">. </w:t>
      </w:r>
    </w:p>
    <w:p w14:paraId="557815D8" w14:textId="3583399A" w:rsidR="00F757B9" w:rsidRPr="00F830D6" w:rsidRDefault="00892DBD" w:rsidP="00E34A98">
      <w:pPr>
        <w:pStyle w:val="Odstavecseseznamem"/>
        <w:numPr>
          <w:ilvl w:val="0"/>
          <w:numId w:val="1"/>
        </w:numPr>
        <w:ind w:left="284" w:hanging="284"/>
        <w:contextualSpacing w:val="0"/>
        <w:rPr>
          <w:szCs w:val="24"/>
        </w:rPr>
      </w:pPr>
      <w:r w:rsidRPr="00F830D6">
        <w:rPr>
          <w:szCs w:val="24"/>
        </w:rPr>
        <w:t xml:space="preserve">MV opakovaně prodlužovalo </w:t>
      </w:r>
      <w:r w:rsidR="00994951">
        <w:rPr>
          <w:szCs w:val="24"/>
        </w:rPr>
        <w:t xml:space="preserve">termín pro </w:t>
      </w:r>
      <w:r w:rsidR="006358A2">
        <w:rPr>
          <w:szCs w:val="24"/>
        </w:rPr>
        <w:t xml:space="preserve">ukončení </w:t>
      </w:r>
      <w:r w:rsidRPr="00F830D6">
        <w:rPr>
          <w:szCs w:val="24"/>
        </w:rPr>
        <w:t>realizac</w:t>
      </w:r>
      <w:r w:rsidR="006358A2">
        <w:rPr>
          <w:szCs w:val="24"/>
        </w:rPr>
        <w:t>e</w:t>
      </w:r>
      <w:r w:rsidRPr="00F830D6">
        <w:rPr>
          <w:szCs w:val="24"/>
        </w:rPr>
        <w:t xml:space="preserve"> </w:t>
      </w:r>
      <w:r w:rsidR="00E6586E" w:rsidRPr="00F830D6">
        <w:rPr>
          <w:szCs w:val="24"/>
        </w:rPr>
        <w:t>p</w:t>
      </w:r>
      <w:r w:rsidRPr="00F830D6">
        <w:rPr>
          <w:rFonts w:cstheme="minorHAnsi"/>
          <w:bCs/>
          <w:szCs w:val="24"/>
        </w:rPr>
        <w:t xml:space="preserve">rogramu </w:t>
      </w:r>
      <w:r w:rsidR="00E6586E" w:rsidRPr="00F830D6">
        <w:rPr>
          <w:rFonts w:cstheme="minorHAnsi"/>
          <w:bCs/>
          <w:szCs w:val="24"/>
        </w:rPr>
        <w:t xml:space="preserve">č. </w:t>
      </w:r>
      <w:r w:rsidRPr="00F830D6">
        <w:rPr>
          <w:rFonts w:cstheme="minorHAnsi"/>
          <w:bCs/>
          <w:szCs w:val="24"/>
        </w:rPr>
        <w:t>114V02</w:t>
      </w:r>
      <w:r w:rsidR="00994951">
        <w:rPr>
          <w:rFonts w:cstheme="minorHAnsi"/>
          <w:bCs/>
          <w:szCs w:val="24"/>
        </w:rPr>
        <w:t> </w:t>
      </w:r>
      <w:r w:rsidR="00994951" w:rsidRPr="00F830D6">
        <w:rPr>
          <w:rFonts w:cstheme="minorHAnsi"/>
          <w:bCs/>
          <w:i/>
          <w:szCs w:val="24"/>
        </w:rPr>
        <w:t>–</w:t>
      </w:r>
      <w:r w:rsidRPr="00F830D6">
        <w:rPr>
          <w:rFonts w:cstheme="minorHAnsi"/>
          <w:bCs/>
          <w:i/>
          <w:szCs w:val="24"/>
        </w:rPr>
        <w:t xml:space="preserve"> Rozvoj a</w:t>
      </w:r>
      <w:r w:rsidR="005610B6">
        <w:rPr>
          <w:rFonts w:cstheme="minorHAnsi"/>
          <w:bCs/>
          <w:i/>
          <w:szCs w:val="24"/>
        </w:rPr>
        <w:t> </w:t>
      </w:r>
      <w:r w:rsidRPr="00F830D6">
        <w:rPr>
          <w:rFonts w:cstheme="minorHAnsi"/>
          <w:bCs/>
          <w:i/>
          <w:szCs w:val="24"/>
        </w:rPr>
        <w:t>obnova materiálně</w:t>
      </w:r>
      <w:r w:rsidR="00994951">
        <w:rPr>
          <w:rFonts w:cstheme="minorHAnsi"/>
          <w:bCs/>
          <w:i/>
          <w:szCs w:val="24"/>
        </w:rPr>
        <w:t>-</w:t>
      </w:r>
      <w:r w:rsidRPr="00F830D6">
        <w:rPr>
          <w:rFonts w:cstheme="minorHAnsi"/>
          <w:bCs/>
          <w:i/>
          <w:szCs w:val="24"/>
        </w:rPr>
        <w:t>technické základny školství, vzdělávání a tělovýchovy</w:t>
      </w:r>
      <w:r w:rsidR="00F757B9" w:rsidRPr="00F830D6">
        <w:rPr>
          <w:rFonts w:cstheme="minorHAnsi"/>
          <w:bCs/>
          <w:i/>
          <w:szCs w:val="24"/>
        </w:rPr>
        <w:t>.</w:t>
      </w:r>
      <w:r w:rsidRPr="00F830D6">
        <w:rPr>
          <w:rFonts w:cstheme="minorHAnsi"/>
          <w:bCs/>
          <w:i/>
          <w:szCs w:val="24"/>
        </w:rPr>
        <w:t xml:space="preserve"> </w:t>
      </w:r>
      <w:r w:rsidR="00F757B9" w:rsidRPr="00F830D6">
        <w:rPr>
          <w:rFonts w:cstheme="minorHAnsi"/>
          <w:bCs/>
          <w:szCs w:val="24"/>
        </w:rPr>
        <w:t>D</w:t>
      </w:r>
      <w:r w:rsidRPr="00F830D6">
        <w:rPr>
          <w:rFonts w:cstheme="minorHAnsi"/>
          <w:bCs/>
          <w:szCs w:val="24"/>
        </w:rPr>
        <w:t xml:space="preserve">okumentace </w:t>
      </w:r>
      <w:r w:rsidR="00F757B9" w:rsidRPr="00F830D6">
        <w:rPr>
          <w:rFonts w:cstheme="minorHAnsi"/>
          <w:bCs/>
          <w:szCs w:val="24"/>
        </w:rPr>
        <w:t xml:space="preserve">programu </w:t>
      </w:r>
      <w:r w:rsidRPr="00F830D6">
        <w:rPr>
          <w:rFonts w:cstheme="minorHAnsi"/>
          <w:bCs/>
          <w:szCs w:val="24"/>
        </w:rPr>
        <w:t xml:space="preserve">neobsahovala soubor </w:t>
      </w:r>
      <w:r w:rsidRPr="00F830D6">
        <w:rPr>
          <w:szCs w:val="24"/>
        </w:rPr>
        <w:t>konkrétních akcí na pořízení nebo technické zhodnocení hmotného a nehmotného dlouhodobého majetku</w:t>
      </w:r>
      <w:r w:rsidR="00FE7C0F" w:rsidRPr="00F830D6">
        <w:rPr>
          <w:szCs w:val="24"/>
        </w:rPr>
        <w:t xml:space="preserve"> určených k realizaci. </w:t>
      </w:r>
      <w:r w:rsidR="00B36ED4" w:rsidRPr="00F830D6">
        <w:rPr>
          <w:szCs w:val="24"/>
        </w:rPr>
        <w:t>MO stanovilo u</w:t>
      </w:r>
      <w:r w:rsidR="00994951">
        <w:rPr>
          <w:szCs w:val="24"/>
        </w:rPr>
        <w:t> </w:t>
      </w:r>
      <w:r w:rsidR="00B36ED4" w:rsidRPr="00F830D6">
        <w:rPr>
          <w:szCs w:val="24"/>
        </w:rPr>
        <w:t xml:space="preserve">kontrolované investiční akce pouze cíl akce, ale již nedefinovalo parametry nebo indikátory jako měřitelné věcné ukazatele. MO se zavázalo </w:t>
      </w:r>
      <w:r w:rsidR="001649C7" w:rsidRPr="00F830D6">
        <w:rPr>
          <w:szCs w:val="24"/>
        </w:rPr>
        <w:t>po ukončení</w:t>
      </w:r>
      <w:r w:rsidR="00B36ED4" w:rsidRPr="00F830D6">
        <w:rPr>
          <w:szCs w:val="24"/>
        </w:rPr>
        <w:t xml:space="preserve"> kontroly NKÚ</w:t>
      </w:r>
      <w:r w:rsidR="00F757B9" w:rsidRPr="00F830D6">
        <w:rPr>
          <w:szCs w:val="24"/>
        </w:rPr>
        <w:t xml:space="preserve"> nedostatek systémově napravit</w:t>
      </w:r>
      <w:r w:rsidR="00B95315" w:rsidRPr="00F830D6">
        <w:rPr>
          <w:szCs w:val="24"/>
        </w:rPr>
        <w:t>,</w:t>
      </w:r>
      <w:r w:rsidR="00F757B9" w:rsidRPr="00F830D6">
        <w:rPr>
          <w:szCs w:val="24"/>
        </w:rPr>
        <w:t xml:space="preserve"> a to doplněním </w:t>
      </w:r>
      <w:r w:rsidR="00F757B9" w:rsidRPr="00F830D6">
        <w:rPr>
          <w:rStyle w:val="CharStyle7"/>
          <w:rFonts w:cstheme="minorHAnsi"/>
          <w:bCs/>
          <w:iCs/>
          <w:szCs w:val="24"/>
        </w:rPr>
        <w:t xml:space="preserve">věcného parametru akce ve smyslu účelu při </w:t>
      </w:r>
      <w:r w:rsidR="00FA0CD0" w:rsidRPr="00F830D6">
        <w:rPr>
          <w:rStyle w:val="CharStyle7"/>
          <w:rFonts w:cstheme="minorHAnsi"/>
          <w:bCs/>
          <w:iCs/>
          <w:szCs w:val="24"/>
        </w:rPr>
        <w:t xml:space="preserve">evidenci a </w:t>
      </w:r>
      <w:r w:rsidR="00F757B9" w:rsidRPr="00F830D6">
        <w:rPr>
          <w:rStyle w:val="CharStyle7"/>
          <w:rFonts w:cstheme="minorHAnsi"/>
          <w:bCs/>
          <w:iCs/>
          <w:szCs w:val="24"/>
        </w:rPr>
        <w:t>registraci</w:t>
      </w:r>
      <w:r w:rsidR="00AB5491" w:rsidRPr="00F830D6">
        <w:rPr>
          <w:rStyle w:val="CharStyle7"/>
          <w:rFonts w:cstheme="minorHAnsi"/>
          <w:bCs/>
          <w:iCs/>
          <w:szCs w:val="24"/>
        </w:rPr>
        <w:t xml:space="preserve"> akcí</w:t>
      </w:r>
      <w:r w:rsidR="00F757B9" w:rsidRPr="00F830D6">
        <w:rPr>
          <w:rStyle w:val="CharStyle7"/>
          <w:rFonts w:cstheme="minorHAnsi"/>
          <w:bCs/>
          <w:iCs/>
          <w:szCs w:val="24"/>
        </w:rPr>
        <w:t>.</w:t>
      </w:r>
    </w:p>
    <w:p w14:paraId="7AEAEEBC" w14:textId="7CDE60BC" w:rsidR="00095556" w:rsidRDefault="00095556" w:rsidP="00940A67">
      <w:pPr>
        <w:spacing w:after="0"/>
        <w:ind w:left="0" w:firstLine="0"/>
      </w:pPr>
    </w:p>
    <w:p w14:paraId="7A31F7D1" w14:textId="77777777" w:rsidR="00940A67" w:rsidRPr="00F830D6" w:rsidRDefault="00940A67" w:rsidP="00940A67">
      <w:pPr>
        <w:spacing w:after="0"/>
        <w:ind w:left="0" w:firstLine="0"/>
      </w:pPr>
    </w:p>
    <w:p w14:paraId="21D59863" w14:textId="77777777" w:rsidR="00095556" w:rsidRPr="00F830D6" w:rsidRDefault="00AE7EF5" w:rsidP="00F830D6">
      <w:pPr>
        <w:pStyle w:val="Nadpis1"/>
        <w:keepNext/>
        <w:spacing w:after="120" w:line="240" w:lineRule="auto"/>
        <w:ind w:left="0" w:firstLine="0"/>
        <w:rPr>
          <w:szCs w:val="24"/>
        </w:rPr>
      </w:pPr>
      <w:r w:rsidRPr="00F830D6">
        <w:rPr>
          <w:szCs w:val="24"/>
        </w:rPr>
        <w:t>II. Informace o kontrolované oblasti</w:t>
      </w:r>
    </w:p>
    <w:p w14:paraId="1A43CBA2" w14:textId="30963354" w:rsidR="00FE16A1" w:rsidRPr="00F830D6" w:rsidRDefault="00E4388E" w:rsidP="00F830D6">
      <w:pPr>
        <w:pStyle w:val="Odstavecseseznamem"/>
        <w:shd w:val="clear" w:color="auto" w:fill="FFFFFF" w:themeFill="background1"/>
        <w:ind w:left="0" w:firstLine="0"/>
        <w:contextualSpacing w:val="0"/>
        <w:rPr>
          <w:szCs w:val="24"/>
        </w:rPr>
      </w:pPr>
      <w:r w:rsidRPr="00F830D6">
        <w:rPr>
          <w:szCs w:val="24"/>
        </w:rPr>
        <w:t xml:space="preserve">MV vytváří </w:t>
      </w:r>
      <w:r w:rsidR="0055517D" w:rsidRPr="00F830D6">
        <w:rPr>
          <w:szCs w:val="24"/>
        </w:rPr>
        <w:t xml:space="preserve">mimo jiné </w:t>
      </w:r>
      <w:r w:rsidRPr="00F830D6">
        <w:rPr>
          <w:szCs w:val="24"/>
        </w:rPr>
        <w:t>podmínky pro plnění úkolů PČR</w:t>
      </w:r>
      <w:r w:rsidR="00B4533E" w:rsidRPr="00F830D6">
        <w:rPr>
          <w:rStyle w:val="Znakapoznpodarou"/>
          <w:szCs w:val="24"/>
        </w:rPr>
        <w:footnoteReference w:id="12"/>
      </w:r>
      <w:r w:rsidR="00246A4E" w:rsidRPr="00F830D6">
        <w:rPr>
          <w:szCs w:val="24"/>
        </w:rPr>
        <w:t xml:space="preserve">, </w:t>
      </w:r>
      <w:r w:rsidRPr="00F830D6">
        <w:rPr>
          <w:szCs w:val="24"/>
        </w:rPr>
        <w:t xml:space="preserve">odpovídá za její činnost, kterou koordinuje, usměrňuje a kontroluje. </w:t>
      </w:r>
      <w:r w:rsidR="0023642A" w:rsidRPr="00F830D6">
        <w:rPr>
          <w:szCs w:val="24"/>
        </w:rPr>
        <w:t>PČR je podřízena MV.</w:t>
      </w:r>
      <w:r w:rsidR="003F1A6B" w:rsidRPr="00F830D6">
        <w:rPr>
          <w:szCs w:val="24"/>
        </w:rPr>
        <w:t xml:space="preserve"> Údaje a dokumenty </w:t>
      </w:r>
      <w:r w:rsidR="002A0D90" w:rsidRPr="00F830D6">
        <w:rPr>
          <w:szCs w:val="24"/>
        </w:rPr>
        <w:t>uvedené v </w:t>
      </w:r>
      <w:r w:rsidR="00940A67">
        <w:rPr>
          <w:szCs w:val="24"/>
        </w:rPr>
        <w:t xml:space="preserve">tomto </w:t>
      </w:r>
      <w:r w:rsidR="002A0D90" w:rsidRPr="00F830D6">
        <w:rPr>
          <w:szCs w:val="24"/>
        </w:rPr>
        <w:t xml:space="preserve">kontrolním závěru </w:t>
      </w:r>
      <w:r w:rsidR="003F1A6B" w:rsidRPr="00F830D6">
        <w:rPr>
          <w:szCs w:val="24"/>
        </w:rPr>
        <w:t xml:space="preserve">týkající se PČR byly předloženy </w:t>
      </w:r>
      <w:r w:rsidR="002A0D90" w:rsidRPr="00F830D6">
        <w:rPr>
          <w:szCs w:val="24"/>
        </w:rPr>
        <w:t xml:space="preserve">MV prostřednictvím </w:t>
      </w:r>
      <w:r w:rsidR="003F1A6B" w:rsidRPr="00F830D6">
        <w:rPr>
          <w:szCs w:val="24"/>
        </w:rPr>
        <w:t>Policejního prezidia ČR.</w:t>
      </w:r>
      <w:r w:rsidR="0023642A" w:rsidRPr="00F830D6">
        <w:rPr>
          <w:szCs w:val="24"/>
        </w:rPr>
        <w:t xml:space="preserve"> </w:t>
      </w:r>
      <w:r w:rsidR="00806120" w:rsidRPr="00F830D6">
        <w:rPr>
          <w:szCs w:val="24"/>
        </w:rPr>
        <w:t>MV</w:t>
      </w:r>
      <w:r w:rsidR="001649C7" w:rsidRPr="00F830D6">
        <w:rPr>
          <w:szCs w:val="24"/>
        </w:rPr>
        <w:t xml:space="preserve"> </w:t>
      </w:r>
      <w:r w:rsidR="00806120" w:rsidRPr="00F830D6">
        <w:rPr>
          <w:szCs w:val="24"/>
        </w:rPr>
        <w:t>vůči PA ČR vykonává zřizovatelské funkce vycház</w:t>
      </w:r>
      <w:r w:rsidR="00410002" w:rsidRPr="00F830D6">
        <w:rPr>
          <w:szCs w:val="24"/>
        </w:rPr>
        <w:t>ející z příslušných ustanovení</w:t>
      </w:r>
      <w:r w:rsidR="00806120" w:rsidRPr="00F830D6">
        <w:rPr>
          <w:szCs w:val="24"/>
        </w:rPr>
        <w:t xml:space="preserve"> zákona č. 218/2000 Sb.</w:t>
      </w:r>
      <w:r w:rsidR="00806120" w:rsidRPr="00F830D6">
        <w:rPr>
          <w:rStyle w:val="Znakapoznpodarou"/>
          <w:szCs w:val="24"/>
        </w:rPr>
        <w:footnoteReference w:id="13"/>
      </w:r>
      <w:r w:rsidR="00E72823" w:rsidRPr="00F830D6">
        <w:rPr>
          <w:szCs w:val="24"/>
        </w:rPr>
        <w:t>,</w:t>
      </w:r>
      <w:r w:rsidR="003612DC" w:rsidRPr="00F830D6">
        <w:rPr>
          <w:szCs w:val="24"/>
        </w:rPr>
        <w:t xml:space="preserve"> č. </w:t>
      </w:r>
      <w:r w:rsidR="00806120" w:rsidRPr="00F830D6">
        <w:rPr>
          <w:szCs w:val="24"/>
        </w:rPr>
        <w:t>219/2000 Sb.</w:t>
      </w:r>
      <w:r w:rsidR="00E6430F" w:rsidRPr="00F830D6">
        <w:rPr>
          <w:rStyle w:val="Znakapoznpodarou"/>
          <w:szCs w:val="24"/>
        </w:rPr>
        <w:t xml:space="preserve"> </w:t>
      </w:r>
      <w:r w:rsidR="00E6430F" w:rsidRPr="00F830D6">
        <w:rPr>
          <w:rStyle w:val="Znakapoznpodarou"/>
          <w:szCs w:val="24"/>
        </w:rPr>
        <w:footnoteReference w:id="14"/>
      </w:r>
      <w:r w:rsidR="00806120" w:rsidRPr="00F830D6">
        <w:rPr>
          <w:szCs w:val="24"/>
        </w:rPr>
        <w:t xml:space="preserve"> a č. 111/1998 Sb.</w:t>
      </w:r>
      <w:r w:rsidR="001856A1" w:rsidRPr="00F830D6" w:rsidDel="001856A1">
        <w:rPr>
          <w:rStyle w:val="Znakapoznpodarou"/>
          <w:szCs w:val="24"/>
        </w:rPr>
        <w:t xml:space="preserve"> </w:t>
      </w:r>
    </w:p>
    <w:p w14:paraId="35E7CC23" w14:textId="77777777" w:rsidR="001305C3" w:rsidRPr="00F830D6" w:rsidRDefault="00DF7DB9" w:rsidP="00F830D6">
      <w:pPr>
        <w:pStyle w:val="Odstavecseseznamem"/>
        <w:shd w:val="clear" w:color="auto" w:fill="FFFFFF" w:themeFill="background1"/>
        <w:ind w:left="0" w:firstLine="0"/>
        <w:contextualSpacing w:val="0"/>
        <w:rPr>
          <w:szCs w:val="24"/>
        </w:rPr>
      </w:pPr>
      <w:r w:rsidRPr="00F830D6">
        <w:rPr>
          <w:szCs w:val="24"/>
        </w:rPr>
        <w:t>MO řídí a mimo jiné provádí kontrolu AČR.</w:t>
      </w:r>
      <w:r w:rsidR="00FE16A1" w:rsidRPr="00F830D6">
        <w:rPr>
          <w:szCs w:val="24"/>
        </w:rPr>
        <w:t xml:space="preserve"> MO vůči UNOB vykonává zřizovatelské funkce vycházející z příslušných ustanovení zákona č. 111/1998 Sb.</w:t>
      </w:r>
    </w:p>
    <w:p w14:paraId="188F1CBB" w14:textId="37254CFD" w:rsidR="001F0694" w:rsidRPr="00F830D6" w:rsidRDefault="001F0694" w:rsidP="00F830D6">
      <w:pPr>
        <w:pStyle w:val="Odstavecseseznamem"/>
        <w:shd w:val="clear" w:color="auto" w:fill="FFFFFF" w:themeFill="background1"/>
        <w:ind w:left="0" w:firstLine="0"/>
        <w:contextualSpacing w:val="0"/>
        <w:rPr>
          <w:szCs w:val="24"/>
        </w:rPr>
      </w:pPr>
      <w:r w:rsidRPr="00F830D6">
        <w:rPr>
          <w:szCs w:val="24"/>
        </w:rPr>
        <w:t xml:space="preserve">PA ČR a UNOB jsou jediné dvě státní vysoké školy ve vzdělávací soustavě ČR. Jejich postavení je zásadně odlišné. </w:t>
      </w:r>
      <w:r w:rsidR="00C20479" w:rsidRPr="00F830D6">
        <w:rPr>
          <w:szCs w:val="24"/>
        </w:rPr>
        <w:t>PA ČR je organizační složkou státu financovanou z rozpočtové kapitoly MV a samostatnou účetní jednotkou.</w:t>
      </w:r>
      <w:r w:rsidRPr="00F830D6">
        <w:rPr>
          <w:szCs w:val="24"/>
        </w:rPr>
        <w:t xml:space="preserve"> </w:t>
      </w:r>
      <w:r w:rsidR="00C20479" w:rsidRPr="00F830D6">
        <w:rPr>
          <w:szCs w:val="24"/>
        </w:rPr>
        <w:t xml:space="preserve">UNOB je vnitřní organizační </w:t>
      </w:r>
      <w:r w:rsidR="00E6586E" w:rsidRPr="00F830D6">
        <w:rPr>
          <w:szCs w:val="24"/>
        </w:rPr>
        <w:t xml:space="preserve">jednotkou </w:t>
      </w:r>
      <w:r w:rsidR="00C20479" w:rsidRPr="00F830D6">
        <w:rPr>
          <w:szCs w:val="24"/>
        </w:rPr>
        <w:t>MO a není samostatnou účetní jednotkou.</w:t>
      </w:r>
      <w:r w:rsidRPr="00F830D6">
        <w:rPr>
          <w:szCs w:val="24"/>
        </w:rPr>
        <w:t xml:space="preserve"> </w:t>
      </w:r>
      <w:r w:rsidR="00C20479" w:rsidRPr="00F830D6">
        <w:rPr>
          <w:szCs w:val="24"/>
        </w:rPr>
        <w:t>Obě státní vysoké školy u</w:t>
      </w:r>
      <w:r w:rsidRPr="00F830D6">
        <w:rPr>
          <w:szCs w:val="24"/>
        </w:rPr>
        <w:t>skute</w:t>
      </w:r>
      <w:r w:rsidR="003612DC" w:rsidRPr="00F830D6">
        <w:rPr>
          <w:szCs w:val="24"/>
        </w:rPr>
        <w:t>čňují bakalářské, magisterské a </w:t>
      </w:r>
      <w:r w:rsidRPr="00F830D6">
        <w:rPr>
          <w:szCs w:val="24"/>
        </w:rPr>
        <w:t>doktorské studijní programy v prezenční</w:t>
      </w:r>
      <w:r w:rsidRPr="00F830D6">
        <w:rPr>
          <w:rStyle w:val="Znakapoznpodarou"/>
          <w:szCs w:val="24"/>
        </w:rPr>
        <w:footnoteReference w:id="15"/>
      </w:r>
      <w:r w:rsidRPr="00F830D6">
        <w:rPr>
          <w:szCs w:val="24"/>
        </w:rPr>
        <w:t xml:space="preserve"> nebo kombinované</w:t>
      </w:r>
      <w:r w:rsidRPr="00F830D6">
        <w:rPr>
          <w:rStyle w:val="Znakapoznpodarou"/>
          <w:szCs w:val="24"/>
        </w:rPr>
        <w:footnoteReference w:id="16"/>
      </w:r>
      <w:r w:rsidRPr="00F830D6">
        <w:rPr>
          <w:szCs w:val="24"/>
        </w:rPr>
        <w:t xml:space="preserve"> formě. </w:t>
      </w:r>
      <w:r w:rsidR="00C20479" w:rsidRPr="00F830D6">
        <w:rPr>
          <w:szCs w:val="24"/>
        </w:rPr>
        <w:t>D</w:t>
      </w:r>
      <w:r w:rsidRPr="00F830D6">
        <w:rPr>
          <w:szCs w:val="24"/>
        </w:rPr>
        <w:t>ále uskutečňují programy celoživotního vzdělávání, vědeckou a výzkumnou činnost, které nebyly ze</w:t>
      </w:r>
      <w:r w:rsidR="004A789C" w:rsidRPr="00F830D6">
        <w:rPr>
          <w:szCs w:val="24"/>
        </w:rPr>
        <w:t xml:space="preserve"> strany NKÚ podrobeny kontrole.</w:t>
      </w:r>
      <w:r w:rsidR="00CC490E" w:rsidRPr="00F830D6">
        <w:rPr>
          <w:szCs w:val="24"/>
        </w:rPr>
        <w:t xml:space="preserve"> </w:t>
      </w:r>
    </w:p>
    <w:p w14:paraId="454DE662" w14:textId="5CDB3F3C" w:rsidR="00496B52" w:rsidRPr="00F830D6" w:rsidRDefault="00496B52" w:rsidP="00F830D6">
      <w:pPr>
        <w:pStyle w:val="Odstavecseseznamem"/>
        <w:shd w:val="clear" w:color="auto" w:fill="FFFFFF" w:themeFill="background1"/>
        <w:ind w:left="0" w:firstLine="0"/>
        <w:contextualSpacing w:val="0"/>
        <w:rPr>
          <w:szCs w:val="24"/>
        </w:rPr>
      </w:pPr>
      <w:r w:rsidRPr="00F830D6">
        <w:rPr>
          <w:szCs w:val="24"/>
        </w:rPr>
        <w:t xml:space="preserve">PA ČR je policejní vysoká škola, která </w:t>
      </w:r>
      <w:r w:rsidR="00410002" w:rsidRPr="00F830D6">
        <w:rPr>
          <w:szCs w:val="24"/>
        </w:rPr>
        <w:t>na základě ustanovení § 94 odst. 2 zákona č. 111/1998</w:t>
      </w:r>
      <w:r w:rsidR="00BD1364" w:rsidRPr="00F830D6">
        <w:rPr>
          <w:szCs w:val="24"/>
        </w:rPr>
        <w:t> </w:t>
      </w:r>
      <w:r w:rsidR="00410002" w:rsidRPr="00F830D6">
        <w:rPr>
          <w:szCs w:val="24"/>
        </w:rPr>
        <w:t xml:space="preserve">Sb. </w:t>
      </w:r>
      <w:r w:rsidRPr="00F830D6">
        <w:rPr>
          <w:szCs w:val="24"/>
        </w:rPr>
        <w:t>vzdělává odborníky zejména pro bezpečnostní sbory a obecní polici</w:t>
      </w:r>
      <w:r w:rsidR="00BD1364" w:rsidRPr="00F830D6">
        <w:rPr>
          <w:szCs w:val="24"/>
        </w:rPr>
        <w:t>i</w:t>
      </w:r>
      <w:r w:rsidRPr="00F830D6">
        <w:rPr>
          <w:szCs w:val="24"/>
        </w:rPr>
        <w:t xml:space="preserve">. Mohou na ní studovat </w:t>
      </w:r>
      <w:r w:rsidR="00EE35EF" w:rsidRPr="00F830D6">
        <w:rPr>
          <w:szCs w:val="24"/>
        </w:rPr>
        <w:t>i </w:t>
      </w:r>
      <w:r w:rsidRPr="00F830D6">
        <w:rPr>
          <w:szCs w:val="24"/>
        </w:rPr>
        <w:t>studenti, kteří nejsou příslušníky bezpečnostní</w:t>
      </w:r>
      <w:r w:rsidR="00E31FCE" w:rsidRPr="00F830D6">
        <w:rPr>
          <w:szCs w:val="24"/>
        </w:rPr>
        <w:t>ch</w:t>
      </w:r>
      <w:r w:rsidRPr="00F830D6">
        <w:rPr>
          <w:szCs w:val="24"/>
        </w:rPr>
        <w:t xml:space="preserve"> sbor</w:t>
      </w:r>
      <w:r w:rsidR="00E31FCE" w:rsidRPr="00F830D6">
        <w:rPr>
          <w:szCs w:val="24"/>
        </w:rPr>
        <w:t>ů</w:t>
      </w:r>
      <w:r w:rsidRPr="00F830D6">
        <w:rPr>
          <w:szCs w:val="24"/>
        </w:rPr>
        <w:t xml:space="preserve">. </w:t>
      </w:r>
    </w:p>
    <w:p w14:paraId="588C1D22" w14:textId="1EF0ECAE" w:rsidR="002E2B94" w:rsidRPr="00F830D6" w:rsidRDefault="00F615A5" w:rsidP="00F830D6">
      <w:pPr>
        <w:shd w:val="clear" w:color="auto" w:fill="FFFFFF" w:themeFill="background1"/>
        <w:ind w:left="0" w:firstLine="0"/>
        <w:rPr>
          <w:szCs w:val="24"/>
        </w:rPr>
      </w:pPr>
      <w:r w:rsidRPr="00F830D6">
        <w:rPr>
          <w:szCs w:val="24"/>
        </w:rPr>
        <w:lastRenderedPageBreak/>
        <w:t xml:space="preserve">UNOB je vojenská vysoká škola, která </w:t>
      </w:r>
      <w:r w:rsidR="00410002" w:rsidRPr="00F830D6">
        <w:rPr>
          <w:szCs w:val="24"/>
        </w:rPr>
        <w:t>na základě ustanovení §</w:t>
      </w:r>
      <w:r w:rsidR="00050B9B" w:rsidRPr="00F830D6">
        <w:rPr>
          <w:szCs w:val="24"/>
        </w:rPr>
        <w:t> </w:t>
      </w:r>
      <w:r w:rsidR="00410002" w:rsidRPr="00F830D6">
        <w:rPr>
          <w:szCs w:val="24"/>
        </w:rPr>
        <w:t>94 odst. 1 zákona č.</w:t>
      </w:r>
      <w:r w:rsidR="00F830D6">
        <w:rPr>
          <w:szCs w:val="24"/>
        </w:rPr>
        <w:t> </w:t>
      </w:r>
      <w:r w:rsidR="00410002" w:rsidRPr="00F830D6">
        <w:rPr>
          <w:szCs w:val="24"/>
        </w:rPr>
        <w:t>111/1998</w:t>
      </w:r>
      <w:r w:rsidR="002C35BE" w:rsidRPr="00F830D6">
        <w:rPr>
          <w:szCs w:val="24"/>
        </w:rPr>
        <w:t> </w:t>
      </w:r>
      <w:r w:rsidR="00410002" w:rsidRPr="00F830D6">
        <w:rPr>
          <w:szCs w:val="24"/>
        </w:rPr>
        <w:t xml:space="preserve">Sb. </w:t>
      </w:r>
      <w:r w:rsidRPr="00F830D6">
        <w:rPr>
          <w:szCs w:val="24"/>
        </w:rPr>
        <w:t xml:space="preserve">vzdělává odborníky zejména pro ozbrojené síly. Mohou na ní studovat též studenti, kteří nejsou vojáky. </w:t>
      </w:r>
    </w:p>
    <w:p w14:paraId="7ED6169B" w14:textId="23E47CF5" w:rsidR="000E6500" w:rsidRPr="00F830D6" w:rsidRDefault="000E6500" w:rsidP="00F830D6">
      <w:pPr>
        <w:shd w:val="clear" w:color="auto" w:fill="FFFFFF" w:themeFill="background1"/>
        <w:ind w:left="0" w:firstLine="0"/>
        <w:rPr>
          <w:szCs w:val="24"/>
        </w:rPr>
      </w:pPr>
      <w:r w:rsidRPr="00F830D6">
        <w:rPr>
          <w:szCs w:val="24"/>
        </w:rPr>
        <w:t xml:space="preserve">NKÚ </w:t>
      </w:r>
      <w:r w:rsidR="0062654E" w:rsidRPr="00F830D6">
        <w:rPr>
          <w:szCs w:val="24"/>
        </w:rPr>
        <w:t xml:space="preserve">v kontrolním závěru </w:t>
      </w:r>
      <w:r w:rsidR="001E25CF" w:rsidRPr="00F830D6">
        <w:rPr>
          <w:szCs w:val="24"/>
        </w:rPr>
        <w:t xml:space="preserve">vzájemně </w:t>
      </w:r>
      <w:r w:rsidR="0062654E" w:rsidRPr="00F830D6">
        <w:rPr>
          <w:szCs w:val="24"/>
        </w:rPr>
        <w:t xml:space="preserve">neporovnával </w:t>
      </w:r>
      <w:r w:rsidRPr="00F830D6">
        <w:rPr>
          <w:szCs w:val="24"/>
        </w:rPr>
        <w:t xml:space="preserve">PA ČR a UNOB </w:t>
      </w:r>
      <w:r w:rsidR="001E25CF" w:rsidRPr="00F830D6">
        <w:rPr>
          <w:rFonts w:eastAsia="Times New Roman" w:cstheme="minorHAnsi"/>
          <w:szCs w:val="24"/>
        </w:rPr>
        <w:t xml:space="preserve">z </w:t>
      </w:r>
      <w:r w:rsidR="00DA2D3D" w:rsidRPr="00F830D6">
        <w:rPr>
          <w:rFonts w:eastAsia="Times New Roman" w:cstheme="minorHAnsi"/>
          <w:szCs w:val="24"/>
        </w:rPr>
        <w:t xml:space="preserve">důvodu </w:t>
      </w:r>
      <w:r w:rsidR="0062654E" w:rsidRPr="00F830D6">
        <w:rPr>
          <w:rFonts w:eastAsia="Times New Roman" w:cstheme="minorHAnsi"/>
          <w:szCs w:val="24"/>
        </w:rPr>
        <w:t xml:space="preserve">zjištěných specifik v </w:t>
      </w:r>
      <w:r w:rsidR="00DA2D3D" w:rsidRPr="00F830D6">
        <w:rPr>
          <w:rFonts w:eastAsia="Times New Roman" w:cstheme="minorHAnsi"/>
          <w:szCs w:val="24"/>
        </w:rPr>
        <w:t>nákladovosti vzdělávacích program</w:t>
      </w:r>
      <w:r w:rsidR="001E25CF" w:rsidRPr="00F830D6">
        <w:rPr>
          <w:rFonts w:eastAsia="Times New Roman" w:cstheme="minorHAnsi"/>
          <w:szCs w:val="24"/>
        </w:rPr>
        <w:t xml:space="preserve">ů, ani z </w:t>
      </w:r>
      <w:r w:rsidR="001E25CF" w:rsidRPr="00F830D6">
        <w:rPr>
          <w:szCs w:val="24"/>
        </w:rPr>
        <w:t xml:space="preserve">hlediska kvality vzdělávací činnosti nebo </w:t>
      </w:r>
      <w:r w:rsidR="001E25CF" w:rsidRPr="00F830D6">
        <w:rPr>
          <w:rFonts w:eastAsia="Times New Roman" w:cstheme="minorHAnsi"/>
          <w:szCs w:val="24"/>
        </w:rPr>
        <w:t>dosažených znalostí a dovedností absolventů studijních programů</w:t>
      </w:r>
      <w:r w:rsidR="00DA2D3D" w:rsidRPr="00F830D6">
        <w:rPr>
          <w:rFonts w:eastAsia="Times New Roman" w:cstheme="minorHAnsi"/>
          <w:szCs w:val="24"/>
        </w:rPr>
        <w:t xml:space="preserve">. </w:t>
      </w:r>
    </w:p>
    <w:p w14:paraId="124691E6" w14:textId="777E60BC" w:rsidR="002E2B94" w:rsidRPr="00F830D6" w:rsidRDefault="002E2B94" w:rsidP="00F830D6">
      <w:pPr>
        <w:shd w:val="clear" w:color="auto" w:fill="FFFFFF" w:themeFill="background1"/>
        <w:ind w:left="0" w:firstLine="0"/>
        <w:rPr>
          <w:szCs w:val="24"/>
        </w:rPr>
      </w:pPr>
      <w:r w:rsidRPr="00F830D6">
        <w:rPr>
          <w:szCs w:val="24"/>
        </w:rPr>
        <w:t xml:space="preserve">Přehled </w:t>
      </w:r>
      <w:r w:rsidR="00095681" w:rsidRPr="00F830D6">
        <w:rPr>
          <w:szCs w:val="24"/>
        </w:rPr>
        <w:t>nákladů na činnost státních vysokých škol</w:t>
      </w:r>
      <w:r w:rsidRPr="00F830D6">
        <w:rPr>
          <w:szCs w:val="24"/>
        </w:rPr>
        <w:t xml:space="preserve"> </w:t>
      </w:r>
      <w:r w:rsidR="004A789C" w:rsidRPr="00F830D6">
        <w:rPr>
          <w:szCs w:val="24"/>
        </w:rPr>
        <w:t xml:space="preserve">a </w:t>
      </w:r>
      <w:r w:rsidRPr="00F830D6">
        <w:rPr>
          <w:szCs w:val="24"/>
        </w:rPr>
        <w:t>poč</w:t>
      </w:r>
      <w:r w:rsidR="004A789C" w:rsidRPr="00F830D6">
        <w:rPr>
          <w:szCs w:val="24"/>
        </w:rPr>
        <w:t>e</w:t>
      </w:r>
      <w:r w:rsidRPr="00F830D6">
        <w:rPr>
          <w:szCs w:val="24"/>
        </w:rPr>
        <w:t xml:space="preserve">t </w:t>
      </w:r>
      <w:r w:rsidR="00095681" w:rsidRPr="00F830D6">
        <w:rPr>
          <w:szCs w:val="24"/>
        </w:rPr>
        <w:t xml:space="preserve">jejich </w:t>
      </w:r>
      <w:r w:rsidRPr="00F830D6">
        <w:rPr>
          <w:szCs w:val="24"/>
        </w:rPr>
        <w:t xml:space="preserve">absolventů </w:t>
      </w:r>
      <w:r w:rsidR="00050B9B" w:rsidRPr="00F830D6">
        <w:rPr>
          <w:szCs w:val="24"/>
        </w:rPr>
        <w:t xml:space="preserve">v kontrolovaném období </w:t>
      </w:r>
      <w:r w:rsidRPr="00F830D6">
        <w:rPr>
          <w:szCs w:val="24"/>
        </w:rPr>
        <w:t>j</w:t>
      </w:r>
      <w:r w:rsidR="00CD2C59" w:rsidRPr="00F830D6">
        <w:rPr>
          <w:szCs w:val="24"/>
        </w:rPr>
        <w:t>sou</w:t>
      </w:r>
      <w:r w:rsidRPr="00F830D6">
        <w:rPr>
          <w:szCs w:val="24"/>
        </w:rPr>
        <w:t xml:space="preserve"> uveden</w:t>
      </w:r>
      <w:r w:rsidR="00CD2C59" w:rsidRPr="00F830D6">
        <w:rPr>
          <w:szCs w:val="24"/>
        </w:rPr>
        <w:t>y</w:t>
      </w:r>
      <w:r w:rsidRPr="00F830D6">
        <w:rPr>
          <w:szCs w:val="24"/>
        </w:rPr>
        <w:t xml:space="preserve"> v tabulce č. </w:t>
      </w:r>
      <w:r w:rsidR="0063482A" w:rsidRPr="00F830D6">
        <w:rPr>
          <w:szCs w:val="24"/>
        </w:rPr>
        <w:t>1</w:t>
      </w:r>
      <w:r w:rsidRPr="00F830D6">
        <w:rPr>
          <w:szCs w:val="24"/>
        </w:rPr>
        <w:t>.</w:t>
      </w:r>
    </w:p>
    <w:p w14:paraId="3857D14A" w14:textId="40CF1BD8" w:rsidR="00050B9B" w:rsidRPr="00C660F1" w:rsidRDefault="00C660F1" w:rsidP="00C660F1">
      <w:pPr>
        <w:spacing w:after="40"/>
        <w:ind w:left="1304" w:hanging="1304"/>
        <w:rPr>
          <w:b/>
          <w:color w:val="000000" w:themeColor="text1"/>
        </w:rPr>
      </w:pPr>
      <w:r>
        <w:rPr>
          <w:b/>
          <w:color w:val="000000" w:themeColor="text1"/>
        </w:rPr>
        <w:t>Tabulka č. 1</w:t>
      </w:r>
      <w:r w:rsidR="00940A67">
        <w:rPr>
          <w:b/>
          <w:color w:val="000000" w:themeColor="text1"/>
        </w:rPr>
        <w:t>:</w:t>
      </w:r>
      <w:r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ab/>
      </w:r>
      <w:r w:rsidR="00E6513F" w:rsidRPr="00C660F1">
        <w:rPr>
          <w:b/>
          <w:color w:val="000000" w:themeColor="text1"/>
        </w:rPr>
        <w:t xml:space="preserve">Přehled </w:t>
      </w:r>
      <w:r w:rsidR="008750A9" w:rsidRPr="00C660F1">
        <w:rPr>
          <w:b/>
          <w:color w:val="000000" w:themeColor="text1"/>
        </w:rPr>
        <w:t>nákladů</w:t>
      </w:r>
      <w:r w:rsidR="00596431" w:rsidRPr="00C660F1">
        <w:rPr>
          <w:b/>
          <w:color w:val="000000" w:themeColor="text1"/>
        </w:rPr>
        <w:t xml:space="preserve"> </w:t>
      </w:r>
      <w:r w:rsidR="00095681" w:rsidRPr="00C660F1">
        <w:rPr>
          <w:b/>
          <w:color w:val="000000" w:themeColor="text1"/>
        </w:rPr>
        <w:t>na činnost státních vysokých škol</w:t>
      </w:r>
      <w:r w:rsidR="006B79A7" w:rsidRPr="00C660F1">
        <w:rPr>
          <w:b/>
          <w:color w:val="000000" w:themeColor="text1"/>
        </w:rPr>
        <w:t>,</w:t>
      </w:r>
      <w:r w:rsidR="00E6513F" w:rsidRPr="00C660F1">
        <w:rPr>
          <w:b/>
          <w:color w:val="000000" w:themeColor="text1"/>
        </w:rPr>
        <w:t xml:space="preserve"> počt</w:t>
      </w:r>
      <w:r w:rsidR="00E6430F" w:rsidRPr="00C660F1">
        <w:rPr>
          <w:b/>
          <w:color w:val="000000" w:themeColor="text1"/>
        </w:rPr>
        <w:t>y</w:t>
      </w:r>
      <w:r w:rsidR="00434B30" w:rsidRPr="00C660F1">
        <w:rPr>
          <w:b/>
          <w:color w:val="000000" w:themeColor="text1"/>
        </w:rPr>
        <w:t xml:space="preserve"> absolventů PA ČR a </w:t>
      </w:r>
      <w:r w:rsidR="00E6513F" w:rsidRPr="00C660F1">
        <w:rPr>
          <w:b/>
          <w:color w:val="000000" w:themeColor="text1"/>
        </w:rPr>
        <w:t>UNOB</w:t>
      </w:r>
      <w:r w:rsidR="00050B9B" w:rsidRPr="00C660F1">
        <w:rPr>
          <w:b/>
          <w:color w:val="000000" w:themeColor="text1"/>
        </w:rPr>
        <w:t xml:space="preserve"> </w:t>
      </w:r>
    </w:p>
    <w:tbl>
      <w:tblPr>
        <w:tblStyle w:val="Mkatabulky"/>
        <w:tblW w:w="9013" w:type="dxa"/>
        <w:jc w:val="center"/>
        <w:tblLayout w:type="fixed"/>
        <w:tblLook w:val="04A0" w:firstRow="1" w:lastRow="0" w:firstColumn="1" w:lastColumn="0" w:noHBand="0" w:noVBand="1"/>
      </w:tblPr>
      <w:tblGrid>
        <w:gridCol w:w="1077"/>
        <w:gridCol w:w="907"/>
        <w:gridCol w:w="1020"/>
        <w:gridCol w:w="964"/>
        <w:gridCol w:w="1020"/>
        <w:gridCol w:w="964"/>
        <w:gridCol w:w="1020"/>
        <w:gridCol w:w="1077"/>
        <w:gridCol w:w="964"/>
      </w:tblGrid>
      <w:tr w:rsidR="004F6AAD" w:rsidRPr="00162A7E" w14:paraId="5AD55F4C" w14:textId="77777777" w:rsidTr="008D0034">
        <w:trPr>
          <w:trHeight w:val="227"/>
          <w:jc w:val="center"/>
        </w:trPr>
        <w:tc>
          <w:tcPr>
            <w:tcW w:w="1077" w:type="dxa"/>
            <w:vMerge w:val="restart"/>
            <w:shd w:val="clear" w:color="auto" w:fill="E5F1FF"/>
            <w:vAlign w:val="bottom"/>
          </w:tcPr>
          <w:p w14:paraId="05961464" w14:textId="77777777" w:rsidR="004F6AAD" w:rsidRPr="00162A7E" w:rsidRDefault="004F6AAD" w:rsidP="00CB639C">
            <w:pPr>
              <w:spacing w:after="0"/>
              <w:ind w:left="-57" w:right="-57" w:firstLine="0"/>
              <w:rPr>
                <w:b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shd w:val="clear" w:color="auto" w:fill="E5F1FF"/>
            <w:vAlign w:val="center"/>
          </w:tcPr>
          <w:p w14:paraId="291EF66B" w14:textId="04DC78E2" w:rsidR="004F6AAD" w:rsidRPr="00162A7E" w:rsidRDefault="004F6AAD" w:rsidP="004F6AAD">
            <w:pPr>
              <w:spacing w:after="0"/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984" w:type="dxa"/>
            <w:gridSpan w:val="2"/>
            <w:shd w:val="clear" w:color="auto" w:fill="E5F1FF"/>
            <w:vAlign w:val="center"/>
          </w:tcPr>
          <w:p w14:paraId="6B2E0E29" w14:textId="6C56D2A6" w:rsidR="004F6AAD" w:rsidRPr="00162A7E" w:rsidRDefault="004F6AAD" w:rsidP="004F6AAD">
            <w:pPr>
              <w:spacing w:after="0"/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984" w:type="dxa"/>
            <w:gridSpan w:val="2"/>
            <w:shd w:val="clear" w:color="auto" w:fill="E5F1FF"/>
            <w:vAlign w:val="center"/>
          </w:tcPr>
          <w:p w14:paraId="5F8C7C13" w14:textId="040CDBF2" w:rsidR="004F6AAD" w:rsidRPr="00162A7E" w:rsidRDefault="004F6AAD" w:rsidP="004F6AAD">
            <w:pPr>
              <w:spacing w:after="0"/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2041" w:type="dxa"/>
            <w:gridSpan w:val="2"/>
            <w:shd w:val="clear" w:color="auto" w:fill="E5F1FF"/>
            <w:vAlign w:val="center"/>
          </w:tcPr>
          <w:p w14:paraId="08164EB0" w14:textId="1C504EC5" w:rsidR="004F6AAD" w:rsidRPr="00162A7E" w:rsidRDefault="004F6AAD" w:rsidP="004F6AAD">
            <w:pPr>
              <w:spacing w:after="0"/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Celkem</w:t>
            </w:r>
          </w:p>
        </w:tc>
      </w:tr>
      <w:tr w:rsidR="004F6AAD" w:rsidRPr="00162A7E" w14:paraId="44F64E25" w14:textId="77777777" w:rsidTr="008D0034">
        <w:trPr>
          <w:trHeight w:val="227"/>
          <w:jc w:val="center"/>
        </w:trPr>
        <w:tc>
          <w:tcPr>
            <w:tcW w:w="1077" w:type="dxa"/>
            <w:vMerge/>
            <w:shd w:val="clear" w:color="auto" w:fill="E5F1FF"/>
            <w:vAlign w:val="bottom"/>
          </w:tcPr>
          <w:p w14:paraId="03E53378" w14:textId="77777777" w:rsidR="004F6AAD" w:rsidRPr="00162A7E" w:rsidRDefault="004F6AAD" w:rsidP="00CB639C">
            <w:pPr>
              <w:spacing w:after="0"/>
              <w:ind w:left="-57" w:right="-57" w:firstLine="0"/>
              <w:rPr>
                <w:b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E5F1FF"/>
            <w:vAlign w:val="center"/>
          </w:tcPr>
          <w:p w14:paraId="0AF42643" w14:textId="23B17CA8" w:rsidR="004F6AAD" w:rsidRPr="00162A7E" w:rsidRDefault="004F6AAD" w:rsidP="004F6AAD">
            <w:pPr>
              <w:spacing w:after="0"/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162A7E">
              <w:rPr>
                <w:b/>
                <w:sz w:val="18"/>
                <w:szCs w:val="18"/>
              </w:rPr>
              <w:t>Náklady v tis. Kč</w:t>
            </w:r>
          </w:p>
        </w:tc>
        <w:tc>
          <w:tcPr>
            <w:tcW w:w="1020" w:type="dxa"/>
            <w:shd w:val="clear" w:color="auto" w:fill="E5F1FF"/>
            <w:vAlign w:val="center"/>
          </w:tcPr>
          <w:p w14:paraId="536C9D7F" w14:textId="77777777" w:rsidR="004F6AAD" w:rsidRPr="00162A7E" w:rsidRDefault="004F6AAD" w:rsidP="004F6AAD">
            <w:pPr>
              <w:spacing w:after="0"/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162A7E">
              <w:rPr>
                <w:b/>
                <w:sz w:val="18"/>
                <w:szCs w:val="18"/>
              </w:rPr>
              <w:t>Počet absolventů</w:t>
            </w:r>
          </w:p>
        </w:tc>
        <w:tc>
          <w:tcPr>
            <w:tcW w:w="964" w:type="dxa"/>
            <w:shd w:val="clear" w:color="auto" w:fill="E5F1FF"/>
            <w:vAlign w:val="center"/>
          </w:tcPr>
          <w:p w14:paraId="08E30415" w14:textId="6B07FFFC" w:rsidR="004F6AAD" w:rsidRPr="00162A7E" w:rsidRDefault="004F6AAD" w:rsidP="004F6AAD">
            <w:pPr>
              <w:spacing w:after="0"/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162A7E">
              <w:rPr>
                <w:b/>
                <w:sz w:val="18"/>
                <w:szCs w:val="18"/>
              </w:rPr>
              <w:t>Náklady v tis. Kč</w:t>
            </w:r>
          </w:p>
        </w:tc>
        <w:tc>
          <w:tcPr>
            <w:tcW w:w="1020" w:type="dxa"/>
            <w:shd w:val="clear" w:color="auto" w:fill="E5F1FF"/>
            <w:vAlign w:val="center"/>
          </w:tcPr>
          <w:p w14:paraId="08203F2C" w14:textId="77777777" w:rsidR="004F6AAD" w:rsidRPr="00162A7E" w:rsidRDefault="004F6AAD" w:rsidP="004F6AAD">
            <w:pPr>
              <w:spacing w:after="0"/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162A7E">
              <w:rPr>
                <w:b/>
                <w:sz w:val="18"/>
                <w:szCs w:val="18"/>
              </w:rPr>
              <w:t>Počet absolventů</w:t>
            </w:r>
          </w:p>
        </w:tc>
        <w:tc>
          <w:tcPr>
            <w:tcW w:w="964" w:type="dxa"/>
            <w:shd w:val="clear" w:color="auto" w:fill="E5F1FF"/>
            <w:vAlign w:val="center"/>
          </w:tcPr>
          <w:p w14:paraId="58242E89" w14:textId="2CF46746" w:rsidR="004F6AAD" w:rsidRPr="00162A7E" w:rsidRDefault="004F6AAD" w:rsidP="004F6AAD">
            <w:pPr>
              <w:spacing w:after="0"/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162A7E">
              <w:rPr>
                <w:b/>
                <w:sz w:val="18"/>
                <w:szCs w:val="18"/>
              </w:rPr>
              <w:t>Náklady v tis. Kč</w:t>
            </w:r>
          </w:p>
        </w:tc>
        <w:tc>
          <w:tcPr>
            <w:tcW w:w="1020" w:type="dxa"/>
            <w:shd w:val="clear" w:color="auto" w:fill="E5F1FF"/>
            <w:vAlign w:val="center"/>
          </w:tcPr>
          <w:p w14:paraId="7F1A1668" w14:textId="77777777" w:rsidR="004F6AAD" w:rsidRPr="00162A7E" w:rsidRDefault="004F6AAD" w:rsidP="004F6AAD">
            <w:pPr>
              <w:spacing w:after="0"/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162A7E">
              <w:rPr>
                <w:b/>
                <w:sz w:val="18"/>
                <w:szCs w:val="18"/>
              </w:rPr>
              <w:t>Počet absolventů</w:t>
            </w:r>
          </w:p>
        </w:tc>
        <w:tc>
          <w:tcPr>
            <w:tcW w:w="1077" w:type="dxa"/>
            <w:shd w:val="clear" w:color="auto" w:fill="E5F1FF"/>
            <w:vAlign w:val="center"/>
          </w:tcPr>
          <w:p w14:paraId="26DA8F6A" w14:textId="77777777" w:rsidR="004F6AAD" w:rsidRPr="00162A7E" w:rsidRDefault="004F6AAD" w:rsidP="004F6AAD">
            <w:pPr>
              <w:spacing w:after="0"/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162A7E">
              <w:rPr>
                <w:b/>
                <w:sz w:val="18"/>
                <w:szCs w:val="18"/>
              </w:rPr>
              <w:t>Celkové náklady v tis. Kč</w:t>
            </w:r>
          </w:p>
        </w:tc>
        <w:tc>
          <w:tcPr>
            <w:tcW w:w="964" w:type="dxa"/>
            <w:shd w:val="clear" w:color="auto" w:fill="E5F1FF"/>
            <w:vAlign w:val="center"/>
          </w:tcPr>
          <w:p w14:paraId="29BCA442" w14:textId="77777777" w:rsidR="004F6AAD" w:rsidRPr="00162A7E" w:rsidRDefault="004F6AAD" w:rsidP="004F6AAD">
            <w:pPr>
              <w:spacing w:after="0"/>
              <w:ind w:left="-57" w:right="-57" w:firstLine="0"/>
              <w:jc w:val="center"/>
              <w:rPr>
                <w:b/>
                <w:sz w:val="18"/>
                <w:szCs w:val="18"/>
              </w:rPr>
            </w:pPr>
            <w:r w:rsidRPr="00162A7E">
              <w:rPr>
                <w:b/>
                <w:sz w:val="18"/>
                <w:szCs w:val="18"/>
              </w:rPr>
              <w:t>Počet absolventů</w:t>
            </w:r>
          </w:p>
        </w:tc>
      </w:tr>
      <w:tr w:rsidR="004F6AAD" w:rsidRPr="00162A7E" w14:paraId="79855AD4" w14:textId="77777777" w:rsidTr="008D0034">
        <w:trPr>
          <w:trHeight w:val="227"/>
          <w:jc w:val="center"/>
        </w:trPr>
        <w:tc>
          <w:tcPr>
            <w:tcW w:w="1077" w:type="dxa"/>
            <w:vAlign w:val="bottom"/>
          </w:tcPr>
          <w:p w14:paraId="3820B6EF" w14:textId="77777777" w:rsidR="00E07FDA" w:rsidRPr="00162A7E" w:rsidRDefault="00E07FDA" w:rsidP="00CB639C">
            <w:pPr>
              <w:spacing w:after="0"/>
              <w:ind w:left="-57" w:right="-57" w:firstLine="0"/>
              <w:rPr>
                <w:sz w:val="18"/>
                <w:szCs w:val="18"/>
              </w:rPr>
            </w:pPr>
            <w:r w:rsidRPr="00162A7E">
              <w:rPr>
                <w:sz w:val="18"/>
                <w:szCs w:val="18"/>
              </w:rPr>
              <w:t>PA ČR</w:t>
            </w:r>
          </w:p>
        </w:tc>
        <w:tc>
          <w:tcPr>
            <w:tcW w:w="907" w:type="dxa"/>
            <w:vAlign w:val="bottom"/>
          </w:tcPr>
          <w:p w14:paraId="5A16D254" w14:textId="49FCD83C" w:rsidR="00E07FDA" w:rsidRPr="00162A7E" w:rsidRDefault="00F544AA" w:rsidP="00CB639C">
            <w:pPr>
              <w:spacing w:after="0"/>
              <w:ind w:left="-57" w:right="-57" w:firstLine="0"/>
              <w:jc w:val="right"/>
              <w:rPr>
                <w:sz w:val="18"/>
                <w:szCs w:val="18"/>
              </w:rPr>
            </w:pPr>
            <w:r w:rsidRPr="00162A7E">
              <w:rPr>
                <w:sz w:val="18"/>
                <w:szCs w:val="18"/>
              </w:rPr>
              <w:t>246 899</w:t>
            </w:r>
          </w:p>
        </w:tc>
        <w:tc>
          <w:tcPr>
            <w:tcW w:w="1020" w:type="dxa"/>
            <w:vAlign w:val="center"/>
          </w:tcPr>
          <w:p w14:paraId="388FC2BF" w14:textId="77777777" w:rsidR="00E07FDA" w:rsidRPr="00162A7E" w:rsidRDefault="00E07FDA" w:rsidP="004F6AAD">
            <w:pPr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 w:rsidRPr="00162A7E">
              <w:rPr>
                <w:sz w:val="18"/>
                <w:szCs w:val="18"/>
              </w:rPr>
              <w:t>586</w:t>
            </w:r>
          </w:p>
        </w:tc>
        <w:tc>
          <w:tcPr>
            <w:tcW w:w="964" w:type="dxa"/>
            <w:vAlign w:val="bottom"/>
          </w:tcPr>
          <w:p w14:paraId="7E2EF83E" w14:textId="2823EAAD" w:rsidR="00E07FDA" w:rsidRPr="00162A7E" w:rsidRDefault="00F544AA" w:rsidP="00CB639C">
            <w:pPr>
              <w:spacing w:after="0"/>
              <w:ind w:left="0" w:firstLine="0"/>
              <w:jc w:val="right"/>
              <w:rPr>
                <w:sz w:val="18"/>
                <w:szCs w:val="18"/>
              </w:rPr>
            </w:pPr>
            <w:r w:rsidRPr="00162A7E">
              <w:rPr>
                <w:sz w:val="18"/>
                <w:szCs w:val="18"/>
              </w:rPr>
              <w:t>263 609</w:t>
            </w:r>
          </w:p>
        </w:tc>
        <w:tc>
          <w:tcPr>
            <w:tcW w:w="1020" w:type="dxa"/>
            <w:vAlign w:val="center"/>
          </w:tcPr>
          <w:p w14:paraId="6AF66113" w14:textId="77777777" w:rsidR="00E07FDA" w:rsidRPr="00162A7E" w:rsidRDefault="00E07FDA" w:rsidP="004F6AAD">
            <w:pPr>
              <w:spacing w:after="0"/>
              <w:ind w:left="-57" w:right="-57" w:firstLine="0"/>
              <w:jc w:val="center"/>
              <w:rPr>
                <w:sz w:val="18"/>
                <w:szCs w:val="18"/>
              </w:rPr>
            </w:pPr>
            <w:r w:rsidRPr="00162A7E">
              <w:rPr>
                <w:sz w:val="18"/>
                <w:szCs w:val="18"/>
              </w:rPr>
              <w:t>66</w:t>
            </w:r>
            <w:r w:rsidR="00FD13C4" w:rsidRPr="00162A7E">
              <w:rPr>
                <w:sz w:val="18"/>
                <w:szCs w:val="18"/>
              </w:rPr>
              <w:t>9</w:t>
            </w:r>
          </w:p>
        </w:tc>
        <w:tc>
          <w:tcPr>
            <w:tcW w:w="964" w:type="dxa"/>
            <w:vAlign w:val="bottom"/>
          </w:tcPr>
          <w:p w14:paraId="08F70E2A" w14:textId="084D085B" w:rsidR="00E07FDA" w:rsidRPr="00162A7E" w:rsidRDefault="00F544AA" w:rsidP="00CB639C">
            <w:pPr>
              <w:spacing w:after="0"/>
              <w:ind w:left="0" w:firstLine="0"/>
              <w:jc w:val="right"/>
              <w:rPr>
                <w:sz w:val="18"/>
                <w:szCs w:val="18"/>
              </w:rPr>
            </w:pPr>
            <w:r w:rsidRPr="00162A7E">
              <w:rPr>
                <w:sz w:val="18"/>
                <w:szCs w:val="18"/>
              </w:rPr>
              <w:t>294 059</w:t>
            </w:r>
          </w:p>
        </w:tc>
        <w:tc>
          <w:tcPr>
            <w:tcW w:w="1020" w:type="dxa"/>
            <w:vAlign w:val="center"/>
          </w:tcPr>
          <w:p w14:paraId="08E72945" w14:textId="77777777" w:rsidR="00E07FDA" w:rsidRPr="00162A7E" w:rsidRDefault="00E07FDA" w:rsidP="004F6AAD">
            <w:pPr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 w:rsidRPr="00162A7E">
              <w:rPr>
                <w:sz w:val="18"/>
                <w:szCs w:val="18"/>
              </w:rPr>
              <w:t>59</w:t>
            </w:r>
            <w:r w:rsidR="00FD13C4" w:rsidRPr="00162A7E">
              <w:rPr>
                <w:sz w:val="18"/>
                <w:szCs w:val="18"/>
              </w:rPr>
              <w:t>8</w:t>
            </w:r>
          </w:p>
        </w:tc>
        <w:tc>
          <w:tcPr>
            <w:tcW w:w="1077" w:type="dxa"/>
          </w:tcPr>
          <w:p w14:paraId="2726DE89" w14:textId="142015BF" w:rsidR="00E07FDA" w:rsidRPr="00162A7E" w:rsidRDefault="00F544AA" w:rsidP="00CB639C">
            <w:pPr>
              <w:spacing w:after="0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162A7E">
              <w:rPr>
                <w:b/>
                <w:sz w:val="18"/>
                <w:szCs w:val="18"/>
              </w:rPr>
              <w:t>804 567</w:t>
            </w:r>
          </w:p>
        </w:tc>
        <w:tc>
          <w:tcPr>
            <w:tcW w:w="964" w:type="dxa"/>
            <w:vAlign w:val="center"/>
          </w:tcPr>
          <w:p w14:paraId="1933F687" w14:textId="77777777" w:rsidR="00E07FDA" w:rsidRPr="00162A7E" w:rsidRDefault="00FD13C4" w:rsidP="004F6AAD">
            <w:pPr>
              <w:spacing w:after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162A7E">
              <w:rPr>
                <w:b/>
                <w:sz w:val="18"/>
                <w:szCs w:val="18"/>
              </w:rPr>
              <w:t>1 853</w:t>
            </w:r>
          </w:p>
        </w:tc>
      </w:tr>
      <w:tr w:rsidR="004F6AAD" w:rsidRPr="00162A7E" w14:paraId="15963A5C" w14:textId="77777777" w:rsidTr="008D0034">
        <w:trPr>
          <w:trHeight w:val="227"/>
          <w:jc w:val="center"/>
        </w:trPr>
        <w:tc>
          <w:tcPr>
            <w:tcW w:w="1077" w:type="dxa"/>
            <w:vAlign w:val="bottom"/>
          </w:tcPr>
          <w:p w14:paraId="0BFA634A" w14:textId="77777777" w:rsidR="00E07FDA" w:rsidRPr="00162A7E" w:rsidRDefault="00E07FDA" w:rsidP="00CB639C">
            <w:pPr>
              <w:spacing w:after="0"/>
              <w:ind w:left="-57" w:right="-57" w:firstLine="0"/>
              <w:rPr>
                <w:sz w:val="18"/>
                <w:szCs w:val="18"/>
              </w:rPr>
            </w:pPr>
            <w:r w:rsidRPr="00162A7E">
              <w:rPr>
                <w:sz w:val="18"/>
                <w:szCs w:val="18"/>
              </w:rPr>
              <w:t xml:space="preserve">MO </w:t>
            </w:r>
            <w:r w:rsidR="00FD13C4" w:rsidRPr="00162A7E">
              <w:rPr>
                <w:sz w:val="18"/>
                <w:szCs w:val="18"/>
              </w:rPr>
              <w:t>(</w:t>
            </w:r>
            <w:r w:rsidRPr="00162A7E">
              <w:rPr>
                <w:sz w:val="18"/>
                <w:szCs w:val="18"/>
              </w:rPr>
              <w:t>UNOB)</w:t>
            </w:r>
          </w:p>
        </w:tc>
        <w:tc>
          <w:tcPr>
            <w:tcW w:w="907" w:type="dxa"/>
            <w:vAlign w:val="bottom"/>
          </w:tcPr>
          <w:p w14:paraId="1FBFD37E" w14:textId="0D34BA15" w:rsidR="00E07FDA" w:rsidRPr="00162A7E" w:rsidRDefault="00E07FDA" w:rsidP="00CB639C">
            <w:pPr>
              <w:spacing w:after="0"/>
              <w:ind w:left="-57" w:right="-57" w:firstLine="0"/>
              <w:jc w:val="right"/>
              <w:rPr>
                <w:sz w:val="18"/>
                <w:szCs w:val="18"/>
              </w:rPr>
            </w:pPr>
            <w:r w:rsidRPr="00162A7E">
              <w:rPr>
                <w:sz w:val="18"/>
                <w:szCs w:val="18"/>
              </w:rPr>
              <w:t>1 267 830</w:t>
            </w:r>
          </w:p>
        </w:tc>
        <w:tc>
          <w:tcPr>
            <w:tcW w:w="1020" w:type="dxa"/>
            <w:vAlign w:val="center"/>
          </w:tcPr>
          <w:p w14:paraId="1D2158CD" w14:textId="77777777" w:rsidR="00E07FDA" w:rsidRPr="00162A7E" w:rsidRDefault="00E07FDA" w:rsidP="004F6AAD">
            <w:pPr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 w:rsidRPr="00162A7E">
              <w:rPr>
                <w:sz w:val="18"/>
                <w:szCs w:val="18"/>
              </w:rPr>
              <w:t>509</w:t>
            </w:r>
          </w:p>
        </w:tc>
        <w:tc>
          <w:tcPr>
            <w:tcW w:w="964" w:type="dxa"/>
            <w:vAlign w:val="bottom"/>
          </w:tcPr>
          <w:p w14:paraId="235863A7" w14:textId="372AC4AB" w:rsidR="00E07FDA" w:rsidRPr="00162A7E" w:rsidRDefault="00E07FDA" w:rsidP="00CB639C">
            <w:pPr>
              <w:spacing w:after="0"/>
              <w:ind w:left="0" w:firstLine="0"/>
              <w:jc w:val="right"/>
              <w:rPr>
                <w:sz w:val="18"/>
                <w:szCs w:val="18"/>
              </w:rPr>
            </w:pPr>
            <w:r w:rsidRPr="00162A7E">
              <w:rPr>
                <w:sz w:val="18"/>
                <w:szCs w:val="18"/>
              </w:rPr>
              <w:t>1 295 60</w:t>
            </w:r>
            <w:r w:rsidR="00D61B0E" w:rsidRPr="00162A7E">
              <w:rPr>
                <w:sz w:val="18"/>
                <w:szCs w:val="18"/>
              </w:rPr>
              <w:t>3</w:t>
            </w:r>
          </w:p>
        </w:tc>
        <w:tc>
          <w:tcPr>
            <w:tcW w:w="1020" w:type="dxa"/>
            <w:vAlign w:val="center"/>
          </w:tcPr>
          <w:p w14:paraId="10F3B378" w14:textId="77777777" w:rsidR="00E07FDA" w:rsidRPr="00162A7E" w:rsidRDefault="00E07FDA" w:rsidP="004F6AAD">
            <w:pPr>
              <w:spacing w:after="0"/>
              <w:ind w:left="-57" w:right="-57" w:firstLine="0"/>
              <w:jc w:val="center"/>
              <w:rPr>
                <w:sz w:val="18"/>
                <w:szCs w:val="18"/>
              </w:rPr>
            </w:pPr>
            <w:r w:rsidRPr="00162A7E">
              <w:rPr>
                <w:sz w:val="18"/>
                <w:szCs w:val="18"/>
              </w:rPr>
              <w:t>349</w:t>
            </w:r>
          </w:p>
        </w:tc>
        <w:tc>
          <w:tcPr>
            <w:tcW w:w="964" w:type="dxa"/>
            <w:vAlign w:val="bottom"/>
          </w:tcPr>
          <w:p w14:paraId="7038C61A" w14:textId="10CBC608" w:rsidR="00E07FDA" w:rsidRPr="00162A7E" w:rsidRDefault="00E07FDA" w:rsidP="004F6AAD">
            <w:pPr>
              <w:spacing w:after="0"/>
              <w:ind w:left="0" w:firstLine="0"/>
              <w:jc w:val="right"/>
              <w:rPr>
                <w:sz w:val="18"/>
                <w:szCs w:val="18"/>
              </w:rPr>
            </w:pPr>
            <w:r w:rsidRPr="00162A7E">
              <w:rPr>
                <w:sz w:val="18"/>
                <w:szCs w:val="18"/>
              </w:rPr>
              <w:t>1 455 92</w:t>
            </w:r>
            <w:r w:rsidR="00D61B0E" w:rsidRPr="00162A7E">
              <w:rPr>
                <w:sz w:val="18"/>
                <w:szCs w:val="18"/>
              </w:rPr>
              <w:t>5</w:t>
            </w:r>
          </w:p>
        </w:tc>
        <w:tc>
          <w:tcPr>
            <w:tcW w:w="1020" w:type="dxa"/>
            <w:vAlign w:val="center"/>
          </w:tcPr>
          <w:p w14:paraId="4D14C689" w14:textId="77777777" w:rsidR="00E07FDA" w:rsidRPr="00162A7E" w:rsidRDefault="00E07FDA" w:rsidP="004F6AAD">
            <w:pPr>
              <w:spacing w:after="0"/>
              <w:ind w:left="0" w:firstLine="0"/>
              <w:jc w:val="center"/>
              <w:rPr>
                <w:sz w:val="18"/>
                <w:szCs w:val="18"/>
              </w:rPr>
            </w:pPr>
            <w:r w:rsidRPr="00162A7E">
              <w:rPr>
                <w:sz w:val="18"/>
                <w:szCs w:val="18"/>
              </w:rPr>
              <w:t>313</w:t>
            </w:r>
          </w:p>
        </w:tc>
        <w:tc>
          <w:tcPr>
            <w:tcW w:w="1077" w:type="dxa"/>
          </w:tcPr>
          <w:p w14:paraId="31114F9C" w14:textId="4B1C428D" w:rsidR="00E07FDA" w:rsidRPr="00162A7E" w:rsidRDefault="00FD13C4" w:rsidP="00CB639C">
            <w:pPr>
              <w:spacing w:after="0"/>
              <w:ind w:left="0" w:firstLine="0"/>
              <w:jc w:val="right"/>
              <w:rPr>
                <w:b/>
                <w:sz w:val="18"/>
                <w:szCs w:val="18"/>
              </w:rPr>
            </w:pPr>
            <w:r w:rsidRPr="00162A7E">
              <w:rPr>
                <w:b/>
                <w:sz w:val="18"/>
                <w:szCs w:val="18"/>
              </w:rPr>
              <w:t>4 019 35</w:t>
            </w:r>
            <w:r w:rsidR="00D61B0E" w:rsidRPr="00162A7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64" w:type="dxa"/>
            <w:vAlign w:val="center"/>
          </w:tcPr>
          <w:p w14:paraId="0027E559" w14:textId="77777777" w:rsidR="00FD13C4" w:rsidRPr="00162A7E" w:rsidRDefault="00FD13C4" w:rsidP="004F6AAD">
            <w:pPr>
              <w:spacing w:after="0"/>
              <w:ind w:left="0" w:firstLine="0"/>
              <w:jc w:val="center"/>
              <w:rPr>
                <w:b/>
                <w:sz w:val="18"/>
                <w:szCs w:val="18"/>
              </w:rPr>
            </w:pPr>
            <w:r w:rsidRPr="00162A7E">
              <w:rPr>
                <w:b/>
                <w:sz w:val="18"/>
                <w:szCs w:val="18"/>
              </w:rPr>
              <w:t>1 171</w:t>
            </w:r>
          </w:p>
        </w:tc>
      </w:tr>
    </w:tbl>
    <w:p w14:paraId="3F49A9A6" w14:textId="3CE8FF48" w:rsidR="002E2B94" w:rsidRDefault="00E35293" w:rsidP="00162A7E">
      <w:pPr>
        <w:shd w:val="clear" w:color="auto" w:fill="FFFFFF" w:themeFill="background1"/>
        <w:spacing w:before="40"/>
        <w:ind w:left="567" w:hanging="567"/>
        <w:rPr>
          <w:sz w:val="20"/>
          <w:szCs w:val="20"/>
        </w:rPr>
      </w:pPr>
      <w:r w:rsidRPr="008B42F0">
        <w:rPr>
          <w:b/>
          <w:sz w:val="20"/>
          <w:szCs w:val="20"/>
        </w:rPr>
        <w:t>Zdroj:</w:t>
      </w:r>
      <w:r w:rsidR="0000058E" w:rsidRPr="00BE438C">
        <w:rPr>
          <w:sz w:val="20"/>
          <w:szCs w:val="20"/>
        </w:rPr>
        <w:t xml:space="preserve"> </w:t>
      </w:r>
      <w:r w:rsidR="00D00850" w:rsidRPr="00D00850">
        <w:rPr>
          <w:sz w:val="20"/>
          <w:szCs w:val="20"/>
        </w:rPr>
        <w:t>Monitor státní pokladny (</w:t>
      </w:r>
      <w:r w:rsidR="00940A67">
        <w:rPr>
          <w:sz w:val="20"/>
          <w:szCs w:val="20"/>
        </w:rPr>
        <w:t>v</w:t>
      </w:r>
      <w:r w:rsidR="00D00850" w:rsidRPr="00D00850">
        <w:rPr>
          <w:sz w:val="20"/>
          <w:szCs w:val="20"/>
        </w:rPr>
        <w:t>ýkaz zisků a ztráty PA ČR) a informace MO (náklady re</w:t>
      </w:r>
      <w:r w:rsidR="00940A67">
        <w:rPr>
          <w:sz w:val="20"/>
          <w:szCs w:val="20"/>
        </w:rPr>
        <w:t>s</w:t>
      </w:r>
      <w:r w:rsidR="00D00850" w:rsidRPr="00D00850">
        <w:rPr>
          <w:sz w:val="20"/>
          <w:szCs w:val="20"/>
        </w:rPr>
        <w:t>ortu zahrnují náklady MO, Armádní Servisní, p. o.</w:t>
      </w:r>
      <w:r w:rsidR="00940A67">
        <w:rPr>
          <w:sz w:val="20"/>
          <w:szCs w:val="20"/>
        </w:rPr>
        <w:t>,</w:t>
      </w:r>
      <w:r w:rsidR="00D00850" w:rsidRPr="00D00850">
        <w:rPr>
          <w:sz w:val="20"/>
          <w:szCs w:val="20"/>
        </w:rPr>
        <w:t xml:space="preserve"> a </w:t>
      </w:r>
      <w:r w:rsidR="003900AB">
        <w:rPr>
          <w:sz w:val="20"/>
          <w:szCs w:val="20"/>
        </w:rPr>
        <w:t xml:space="preserve">organizace </w:t>
      </w:r>
      <w:r w:rsidR="00D00850" w:rsidRPr="00D00850">
        <w:rPr>
          <w:sz w:val="20"/>
          <w:szCs w:val="20"/>
        </w:rPr>
        <w:t>Vojenská lázeňská a rekreační zařízení,</w:t>
      </w:r>
      <w:r w:rsidR="00940A67">
        <w:rPr>
          <w:sz w:val="20"/>
          <w:szCs w:val="20"/>
        </w:rPr>
        <w:t xml:space="preserve"> </w:t>
      </w:r>
      <w:r w:rsidR="00D00850" w:rsidRPr="00D00850">
        <w:rPr>
          <w:sz w:val="20"/>
          <w:szCs w:val="20"/>
        </w:rPr>
        <w:t>p. o., které se vztahují k vysokoškolskému vzdělávání).</w:t>
      </w:r>
    </w:p>
    <w:p w14:paraId="793193CB" w14:textId="50F0623E" w:rsidR="00434B30" w:rsidRPr="00C660F1" w:rsidRDefault="00434B30" w:rsidP="00272204">
      <w:pPr>
        <w:shd w:val="clear" w:color="auto" w:fill="FFFFFF" w:themeFill="background1"/>
        <w:spacing w:after="0"/>
        <w:ind w:left="0" w:firstLine="0"/>
        <w:rPr>
          <w:szCs w:val="20"/>
        </w:rPr>
      </w:pPr>
    </w:p>
    <w:p w14:paraId="30F5BD2A" w14:textId="77777777" w:rsidR="00272204" w:rsidRPr="00C660F1" w:rsidRDefault="00272204" w:rsidP="00272204">
      <w:pPr>
        <w:shd w:val="clear" w:color="auto" w:fill="FFFFFF" w:themeFill="background1"/>
        <w:spacing w:after="0"/>
        <w:ind w:left="0" w:firstLine="0"/>
        <w:rPr>
          <w:szCs w:val="20"/>
        </w:rPr>
      </w:pPr>
    </w:p>
    <w:p w14:paraId="07FE1F6E" w14:textId="77777777" w:rsidR="00906E86" w:rsidRDefault="00AE7EF5" w:rsidP="00272204">
      <w:pPr>
        <w:pStyle w:val="Nadpis1"/>
        <w:keepNext/>
        <w:spacing w:after="120" w:line="240" w:lineRule="auto"/>
        <w:ind w:left="0" w:firstLine="0"/>
      </w:pPr>
      <w:r>
        <w:t>III. Rozsah kontroly</w:t>
      </w:r>
    </w:p>
    <w:p w14:paraId="3B0867A6" w14:textId="77777777" w:rsidR="008D37B4" w:rsidRDefault="00AE7EF5" w:rsidP="00272204">
      <w:pPr>
        <w:shd w:val="clear" w:color="auto" w:fill="FFFFFF" w:themeFill="background1"/>
        <w:ind w:left="0" w:firstLine="0"/>
      </w:pPr>
      <w:r w:rsidRPr="008D37B4">
        <w:t xml:space="preserve">Kontrolní akcí č. </w:t>
      </w:r>
      <w:r w:rsidR="008D37B4" w:rsidRPr="008D37B4">
        <w:t>19/20</w:t>
      </w:r>
      <w:r w:rsidRPr="008D37B4">
        <w:t xml:space="preserve"> bylo prověřeno, zda </w:t>
      </w:r>
      <w:r w:rsidR="008D37B4" w:rsidRPr="008D37B4">
        <w:t>PA ČR</w:t>
      </w:r>
      <w:r w:rsidR="00BD1364">
        <w:t xml:space="preserve"> a </w:t>
      </w:r>
      <w:r w:rsidR="008D37B4" w:rsidRPr="008D37B4">
        <w:t>UNOB</w:t>
      </w:r>
      <w:r w:rsidR="00527F14" w:rsidRPr="008D37B4">
        <w:t xml:space="preserve"> </w:t>
      </w:r>
      <w:r w:rsidR="008D37B4" w:rsidRPr="008D37B4">
        <w:t>zabezpečovaly vzdělávací potřeby PČR</w:t>
      </w:r>
      <w:r w:rsidR="00050B9B">
        <w:t xml:space="preserve"> a </w:t>
      </w:r>
      <w:r w:rsidR="008D37B4" w:rsidRPr="008D37B4">
        <w:t xml:space="preserve">AČR a zda při zabezpečování těchto potřeb </w:t>
      </w:r>
      <w:r w:rsidR="00527F14" w:rsidRPr="008D37B4">
        <w:t>hospodař</w:t>
      </w:r>
      <w:r w:rsidR="008D37B4" w:rsidRPr="008D37B4">
        <w:t>ily</w:t>
      </w:r>
      <w:r w:rsidR="00527F14" w:rsidRPr="008D37B4">
        <w:t xml:space="preserve"> s majetkem a </w:t>
      </w:r>
      <w:r w:rsidRPr="008D37B4">
        <w:t>peněžními prostředky státu v souladu s právními předpisy, účelně</w:t>
      </w:r>
      <w:r w:rsidR="008D37B4" w:rsidRPr="008D37B4">
        <w:t xml:space="preserve">, hospodárně </w:t>
      </w:r>
      <w:r w:rsidRPr="008D37B4">
        <w:t>a efektivně.</w:t>
      </w:r>
    </w:p>
    <w:p w14:paraId="4C7D16FB" w14:textId="77777777" w:rsidR="00095556" w:rsidRDefault="00B34363" w:rsidP="00272204">
      <w:pPr>
        <w:shd w:val="clear" w:color="auto" w:fill="FFFFFF" w:themeFill="background1"/>
        <w:spacing w:after="0"/>
        <w:ind w:left="0" w:firstLine="0"/>
      </w:pPr>
      <w:r>
        <w:t>Při kontrole b</w:t>
      </w:r>
      <w:r w:rsidR="00AE7EF5" w:rsidRPr="008D37B4">
        <w:t xml:space="preserve">yly stanoveny tyto cíle: </w:t>
      </w:r>
    </w:p>
    <w:p w14:paraId="75E7868E" w14:textId="57435928" w:rsidR="009E0208" w:rsidRPr="006677A4" w:rsidRDefault="009E0208" w:rsidP="00272204">
      <w:pPr>
        <w:numPr>
          <w:ilvl w:val="0"/>
          <w:numId w:val="2"/>
        </w:numPr>
        <w:tabs>
          <w:tab w:val="left" w:pos="284"/>
        </w:tabs>
        <w:spacing w:after="0"/>
        <w:ind w:left="284" w:hanging="284"/>
      </w:pPr>
      <w:r w:rsidRPr="006677A4">
        <w:t xml:space="preserve">ověřit, zda </w:t>
      </w:r>
      <w:r w:rsidR="00496B52">
        <w:t>PA ČR</w:t>
      </w:r>
      <w:r w:rsidR="001D68E9">
        <w:t>, resp.</w:t>
      </w:r>
      <w:r w:rsidR="00496B52">
        <w:t xml:space="preserve"> UNOB efektivně zabezpečovaly vzdělávací potřeby</w:t>
      </w:r>
      <w:r w:rsidR="003E2107">
        <w:t xml:space="preserve"> PČR, resp. AČR</w:t>
      </w:r>
      <w:r w:rsidR="006677A4" w:rsidRPr="006677A4">
        <w:t>;</w:t>
      </w:r>
    </w:p>
    <w:p w14:paraId="4E21DA97" w14:textId="37832068" w:rsidR="00071022" w:rsidRPr="006677A4" w:rsidRDefault="00071022" w:rsidP="00272204">
      <w:pPr>
        <w:numPr>
          <w:ilvl w:val="0"/>
          <w:numId w:val="2"/>
        </w:numPr>
        <w:tabs>
          <w:tab w:val="left" w:pos="284"/>
        </w:tabs>
        <w:spacing w:after="0"/>
        <w:ind w:left="284" w:hanging="284"/>
      </w:pPr>
      <w:r w:rsidRPr="006677A4">
        <w:t>ověřit koncepční</w:t>
      </w:r>
      <w:r w:rsidR="00496B52">
        <w:t xml:space="preserve"> a</w:t>
      </w:r>
      <w:r w:rsidRPr="006677A4">
        <w:t xml:space="preserve"> </w:t>
      </w:r>
      <w:r w:rsidR="00496B52">
        <w:t>kontrolní</w:t>
      </w:r>
      <w:r w:rsidRPr="006677A4">
        <w:t xml:space="preserve"> činnost MV</w:t>
      </w:r>
      <w:r w:rsidR="0062654E">
        <w:t>, resp.</w:t>
      </w:r>
      <w:r w:rsidR="0000058E">
        <w:t xml:space="preserve"> </w:t>
      </w:r>
      <w:r w:rsidR="00496B52">
        <w:t>MO</w:t>
      </w:r>
      <w:r w:rsidRPr="006677A4">
        <w:t xml:space="preserve"> v</w:t>
      </w:r>
      <w:r w:rsidR="00496B52">
        <w:t> </w:t>
      </w:r>
      <w:r w:rsidRPr="006677A4">
        <w:t>oblasti</w:t>
      </w:r>
      <w:r w:rsidR="0025173F">
        <w:t xml:space="preserve"> vysokoškolského vzdělávání a </w:t>
      </w:r>
      <w:r w:rsidR="00496B52">
        <w:t>plnění jejich zřizovatelských funkcí vůči PA ČR</w:t>
      </w:r>
      <w:r w:rsidR="0062654E">
        <w:t>, resp.</w:t>
      </w:r>
      <w:r w:rsidR="00496B52">
        <w:t xml:space="preserve"> UNOB</w:t>
      </w:r>
      <w:r w:rsidRPr="006677A4">
        <w:t>;</w:t>
      </w:r>
    </w:p>
    <w:p w14:paraId="03CBA701" w14:textId="77777777" w:rsidR="00496B52" w:rsidRDefault="00496B52" w:rsidP="00272204">
      <w:pPr>
        <w:numPr>
          <w:ilvl w:val="0"/>
          <w:numId w:val="2"/>
        </w:numPr>
        <w:tabs>
          <w:tab w:val="left" w:pos="284"/>
        </w:tabs>
        <w:spacing w:after="0"/>
        <w:ind w:left="284" w:hanging="284"/>
      </w:pPr>
      <w:r w:rsidRPr="006677A4">
        <w:t xml:space="preserve">ověřit, zda </w:t>
      </w:r>
      <w:r w:rsidR="003B3513">
        <w:t>PA ČR</w:t>
      </w:r>
      <w:r w:rsidRPr="006677A4">
        <w:t xml:space="preserve"> hospodař</w:t>
      </w:r>
      <w:r w:rsidR="003B3513">
        <w:t>ila</w:t>
      </w:r>
      <w:r w:rsidRPr="006677A4">
        <w:t xml:space="preserve"> </w:t>
      </w:r>
      <w:r>
        <w:t>s</w:t>
      </w:r>
      <w:r w:rsidRPr="006677A4">
        <w:t xml:space="preserve"> majetkem </w:t>
      </w:r>
      <w:r w:rsidR="003B3513">
        <w:t xml:space="preserve">a peněžními prostředky státu </w:t>
      </w:r>
      <w:r w:rsidR="00803215">
        <w:t xml:space="preserve">v souladu s právními předpisy, </w:t>
      </w:r>
      <w:r w:rsidRPr="006677A4">
        <w:t>účelně</w:t>
      </w:r>
      <w:r w:rsidR="00803215">
        <w:t>, hospodárně</w:t>
      </w:r>
      <w:r>
        <w:t xml:space="preserve"> a efektivně;</w:t>
      </w:r>
    </w:p>
    <w:p w14:paraId="36D2842A" w14:textId="500F8FBE" w:rsidR="00803215" w:rsidRDefault="00803215" w:rsidP="00272204">
      <w:pPr>
        <w:numPr>
          <w:ilvl w:val="0"/>
          <w:numId w:val="2"/>
        </w:numPr>
        <w:tabs>
          <w:tab w:val="left" w:pos="284"/>
        </w:tabs>
        <w:spacing w:after="0"/>
        <w:ind w:left="284" w:hanging="284"/>
      </w:pPr>
      <w:r>
        <w:t xml:space="preserve">ověřit, zda MO sledovalo majetek </w:t>
      </w:r>
      <w:r w:rsidR="00050B9B">
        <w:t xml:space="preserve">využívaný </w:t>
      </w:r>
      <w:r>
        <w:t xml:space="preserve">UNOB a vyhodnocovalo náklady </w:t>
      </w:r>
      <w:r w:rsidR="00172F06">
        <w:t>související s</w:t>
      </w:r>
      <w:r w:rsidR="0025173F">
        <w:t> </w:t>
      </w:r>
      <w:r>
        <w:t>jeho údržb</w:t>
      </w:r>
      <w:r w:rsidR="00172F06">
        <w:t>o</w:t>
      </w:r>
      <w:r>
        <w:t>u a provoz</w:t>
      </w:r>
      <w:r w:rsidR="00172F06">
        <w:t>em</w:t>
      </w:r>
      <w:r>
        <w:t>;</w:t>
      </w:r>
    </w:p>
    <w:p w14:paraId="45251EF1" w14:textId="3B66AF71" w:rsidR="00803215" w:rsidRPr="006677A4" w:rsidRDefault="00803215" w:rsidP="00272204">
      <w:pPr>
        <w:numPr>
          <w:ilvl w:val="0"/>
          <w:numId w:val="2"/>
        </w:numPr>
        <w:tabs>
          <w:tab w:val="left" w:pos="284"/>
        </w:tabs>
        <w:spacing w:after="0"/>
        <w:ind w:left="284" w:hanging="284"/>
      </w:pPr>
      <w:r w:rsidRPr="006677A4">
        <w:t>ověřit, zda MV</w:t>
      </w:r>
      <w:r>
        <w:t>, resp. MO zabezpečily</w:t>
      </w:r>
      <w:r w:rsidRPr="006677A4">
        <w:t xml:space="preserve"> dostatečné podmínky pro dosažení předpokládaných cílů </w:t>
      </w:r>
      <w:r w:rsidR="00E6586E">
        <w:t xml:space="preserve">vybraných </w:t>
      </w:r>
      <w:r w:rsidRPr="006677A4">
        <w:t>programů</w:t>
      </w:r>
      <w:r w:rsidR="00E6586E">
        <w:t xml:space="preserve"> a investičních akcí</w:t>
      </w:r>
      <w:r w:rsidRPr="006677A4">
        <w:t>;</w:t>
      </w:r>
    </w:p>
    <w:p w14:paraId="3C20DBAB" w14:textId="2390883A" w:rsidR="006E7619" w:rsidRDefault="005B11C6" w:rsidP="00272204">
      <w:pPr>
        <w:numPr>
          <w:ilvl w:val="0"/>
          <w:numId w:val="2"/>
        </w:numPr>
        <w:tabs>
          <w:tab w:val="left" w:pos="284"/>
        </w:tabs>
        <w:ind w:left="284" w:hanging="284"/>
      </w:pPr>
      <w:r>
        <w:t xml:space="preserve">ověřit, zda </w:t>
      </w:r>
      <w:r w:rsidR="00496B52">
        <w:t>PA ČR</w:t>
      </w:r>
      <w:r w:rsidR="001D68E9">
        <w:t>, resp.</w:t>
      </w:r>
      <w:r w:rsidR="00496B52">
        <w:t xml:space="preserve"> </w:t>
      </w:r>
      <w:r w:rsidR="00406366">
        <w:t xml:space="preserve">MO </w:t>
      </w:r>
      <w:r>
        <w:t xml:space="preserve">postupovaly při realizaci </w:t>
      </w:r>
      <w:r w:rsidR="006226EE">
        <w:t xml:space="preserve">vybraných </w:t>
      </w:r>
      <w:r>
        <w:t>investičních akc</w:t>
      </w:r>
      <w:r w:rsidR="00496B52">
        <w:t>í v souladu s právními předpisy.</w:t>
      </w:r>
    </w:p>
    <w:p w14:paraId="5397F9F9" w14:textId="520F9E57" w:rsidR="00095556" w:rsidRDefault="00311C71" w:rsidP="00272204">
      <w:pPr>
        <w:shd w:val="clear" w:color="auto" w:fill="FFFFFF" w:themeFill="background1"/>
        <w:ind w:left="0" w:firstLine="0"/>
        <w:rPr>
          <w:shd w:val="clear" w:color="auto" w:fill="FFFFFF" w:themeFill="background1"/>
        </w:rPr>
      </w:pPr>
      <w:r w:rsidRPr="00C07E81">
        <w:rPr>
          <w:shd w:val="clear" w:color="auto" w:fill="FFFFFF" w:themeFill="background1"/>
        </w:rPr>
        <w:t xml:space="preserve">Kontrole byl podroben dlouhodobý majetek u </w:t>
      </w:r>
      <w:r w:rsidR="00410002">
        <w:rPr>
          <w:shd w:val="clear" w:color="auto" w:fill="FFFFFF" w:themeFill="background1"/>
        </w:rPr>
        <w:t>PA ČR</w:t>
      </w:r>
      <w:r w:rsidRPr="00C07E81">
        <w:rPr>
          <w:shd w:val="clear" w:color="auto" w:fill="FFFFFF" w:themeFill="background1"/>
        </w:rPr>
        <w:t xml:space="preserve"> a </w:t>
      </w:r>
      <w:r w:rsidR="00410002">
        <w:rPr>
          <w:shd w:val="clear" w:color="auto" w:fill="FFFFFF" w:themeFill="background1"/>
        </w:rPr>
        <w:t>MO</w:t>
      </w:r>
      <w:r w:rsidRPr="00C07E81">
        <w:rPr>
          <w:shd w:val="clear" w:color="auto" w:fill="FFFFFF" w:themeFill="background1"/>
        </w:rPr>
        <w:t xml:space="preserve"> v celkové výši</w:t>
      </w:r>
      <w:r>
        <w:rPr>
          <w:shd w:val="clear" w:color="auto" w:fill="FFFFFF" w:themeFill="background1"/>
        </w:rPr>
        <w:t xml:space="preserve"> </w:t>
      </w:r>
      <w:r w:rsidR="00506B3E">
        <w:rPr>
          <w:shd w:val="clear" w:color="auto" w:fill="FFFFFF" w:themeFill="background1"/>
        </w:rPr>
        <w:t>113 205 tis.</w:t>
      </w:r>
      <w:r>
        <w:rPr>
          <w:shd w:val="clear" w:color="auto" w:fill="FFFFFF" w:themeFill="background1"/>
        </w:rPr>
        <w:t xml:space="preserve"> Kč</w:t>
      </w:r>
      <w:r w:rsidR="006226EE">
        <w:rPr>
          <w:shd w:val="clear" w:color="auto" w:fill="FFFFFF" w:themeFill="background1"/>
        </w:rPr>
        <w:t xml:space="preserve"> </w:t>
      </w:r>
      <w:r w:rsidR="00F917CD">
        <w:rPr>
          <w:shd w:val="clear" w:color="auto" w:fill="FFFFFF" w:themeFill="background1"/>
        </w:rPr>
        <w:t>a </w:t>
      </w:r>
      <w:r w:rsidR="0025173F">
        <w:rPr>
          <w:shd w:val="clear" w:color="auto" w:fill="FFFFFF" w:themeFill="background1"/>
        </w:rPr>
        <w:t>p</w:t>
      </w:r>
      <w:r>
        <w:rPr>
          <w:shd w:val="clear" w:color="auto" w:fill="FFFFFF" w:themeFill="background1"/>
        </w:rPr>
        <w:t xml:space="preserve">eněžní prostředky </w:t>
      </w:r>
      <w:r w:rsidR="00C36775">
        <w:rPr>
          <w:shd w:val="clear" w:color="auto" w:fill="FFFFFF" w:themeFill="background1"/>
        </w:rPr>
        <w:t xml:space="preserve">státu </w:t>
      </w:r>
      <w:r>
        <w:rPr>
          <w:shd w:val="clear" w:color="auto" w:fill="FFFFFF" w:themeFill="background1"/>
        </w:rPr>
        <w:t>na MV a PA ČR v celkové výši</w:t>
      </w:r>
      <w:r w:rsidR="00506B3E">
        <w:rPr>
          <w:shd w:val="clear" w:color="auto" w:fill="FFFFFF" w:themeFill="background1"/>
        </w:rPr>
        <w:t xml:space="preserve"> 392 222 tis. Kč</w:t>
      </w:r>
      <w:r>
        <w:rPr>
          <w:shd w:val="clear" w:color="auto" w:fill="FFFFFF" w:themeFill="background1"/>
        </w:rPr>
        <w:t xml:space="preserve">. </w:t>
      </w:r>
      <w:r w:rsidRPr="008D37B4">
        <w:rPr>
          <w:shd w:val="clear" w:color="auto" w:fill="FFFFFF" w:themeFill="background1"/>
        </w:rPr>
        <w:t>V rámci programového financování byly na M</w:t>
      </w:r>
      <w:r w:rsidR="00410002">
        <w:rPr>
          <w:shd w:val="clear" w:color="auto" w:fill="FFFFFF" w:themeFill="background1"/>
        </w:rPr>
        <w:t>V</w:t>
      </w:r>
      <w:r w:rsidRPr="008D37B4">
        <w:rPr>
          <w:shd w:val="clear" w:color="auto" w:fill="FFFFFF" w:themeFill="background1"/>
        </w:rPr>
        <w:t xml:space="preserve"> a M</w:t>
      </w:r>
      <w:r w:rsidR="00410002">
        <w:rPr>
          <w:shd w:val="clear" w:color="auto" w:fill="FFFFFF" w:themeFill="background1"/>
        </w:rPr>
        <w:t>O</w:t>
      </w:r>
      <w:r w:rsidRPr="008D37B4">
        <w:rPr>
          <w:shd w:val="clear" w:color="auto" w:fill="FFFFFF" w:themeFill="background1"/>
        </w:rPr>
        <w:t xml:space="preserve"> kontrole podrobeny peněžní prostředky </w:t>
      </w:r>
      <w:r w:rsidR="00C36775">
        <w:rPr>
          <w:shd w:val="clear" w:color="auto" w:fill="FFFFFF" w:themeFill="background1"/>
        </w:rPr>
        <w:t>státu</w:t>
      </w:r>
      <w:r w:rsidR="001233ED">
        <w:rPr>
          <w:shd w:val="clear" w:color="auto" w:fill="FFFFFF" w:themeFill="background1"/>
        </w:rPr>
        <w:t xml:space="preserve"> poskytnuté na investiční akce</w:t>
      </w:r>
      <w:r w:rsidR="00C36775">
        <w:rPr>
          <w:shd w:val="clear" w:color="auto" w:fill="FFFFFF" w:themeFill="background1"/>
        </w:rPr>
        <w:t xml:space="preserve"> </w:t>
      </w:r>
      <w:r w:rsidRPr="008D37B4">
        <w:rPr>
          <w:shd w:val="clear" w:color="auto" w:fill="FFFFFF" w:themeFill="background1"/>
        </w:rPr>
        <w:t>ve výši</w:t>
      </w:r>
      <w:r w:rsidR="00CE5F9E">
        <w:rPr>
          <w:shd w:val="clear" w:color="auto" w:fill="FFFFFF" w:themeFill="background1"/>
        </w:rPr>
        <w:t xml:space="preserve"> </w:t>
      </w:r>
      <w:r w:rsidR="00A230DA">
        <w:rPr>
          <w:shd w:val="clear" w:color="auto" w:fill="FFFFFF" w:themeFill="background1"/>
        </w:rPr>
        <w:t>215 556</w:t>
      </w:r>
      <w:r w:rsidR="00406366">
        <w:rPr>
          <w:shd w:val="clear" w:color="auto" w:fill="FFFFFF" w:themeFill="background1"/>
        </w:rPr>
        <w:t xml:space="preserve"> tis. Kč</w:t>
      </w:r>
      <w:r>
        <w:rPr>
          <w:shd w:val="clear" w:color="auto" w:fill="FFFFFF" w:themeFill="background1"/>
        </w:rPr>
        <w:t>.</w:t>
      </w:r>
    </w:p>
    <w:p w14:paraId="00481F27" w14:textId="51963922" w:rsidR="00DF33EB" w:rsidRDefault="00DF33EB" w:rsidP="00272204">
      <w:pPr>
        <w:widowControl w:val="0"/>
        <w:shd w:val="clear" w:color="auto" w:fill="FFFFFF" w:themeFill="background1"/>
        <w:spacing w:after="0"/>
        <w:ind w:left="567" w:hanging="567"/>
        <w:rPr>
          <w:sz w:val="20"/>
        </w:rPr>
      </w:pPr>
      <w:r w:rsidRPr="0020243B">
        <w:rPr>
          <w:b/>
          <w:sz w:val="20"/>
        </w:rPr>
        <w:t>Pozn.:</w:t>
      </w:r>
      <w:r w:rsidRPr="0020243B">
        <w:rPr>
          <w:sz w:val="20"/>
        </w:rPr>
        <w:t xml:space="preserve"> </w:t>
      </w:r>
      <w:r>
        <w:rPr>
          <w:sz w:val="20"/>
        </w:rPr>
        <w:tab/>
      </w:r>
      <w:r w:rsidRPr="0020243B">
        <w:rPr>
          <w:sz w:val="20"/>
        </w:rPr>
        <w:t>Právní předpisy uvedené v tomto kontrolním závěru jsou aplikovány ve znění účinném pro kontrolované období.</w:t>
      </w:r>
    </w:p>
    <w:p w14:paraId="11ED4E3D" w14:textId="0D3AE427" w:rsidR="008E16A7" w:rsidRDefault="008E16A7" w:rsidP="00272204">
      <w:pPr>
        <w:shd w:val="clear" w:color="auto" w:fill="FFFFFF" w:themeFill="background1"/>
        <w:spacing w:after="0"/>
        <w:ind w:left="0" w:firstLine="0"/>
        <w:rPr>
          <w:shd w:val="clear" w:color="auto" w:fill="FFFFFF" w:themeFill="background1"/>
        </w:rPr>
      </w:pPr>
    </w:p>
    <w:p w14:paraId="274F59E0" w14:textId="77777777" w:rsidR="00272204" w:rsidRDefault="00272204" w:rsidP="00272204">
      <w:pPr>
        <w:shd w:val="clear" w:color="auto" w:fill="FFFFFF" w:themeFill="background1"/>
        <w:spacing w:after="0"/>
        <w:ind w:left="0" w:firstLine="0"/>
        <w:rPr>
          <w:shd w:val="clear" w:color="auto" w:fill="FFFFFF" w:themeFill="background1"/>
        </w:rPr>
      </w:pPr>
    </w:p>
    <w:p w14:paraId="085DB0E8" w14:textId="77777777" w:rsidR="00095556" w:rsidRDefault="00AE7EF5" w:rsidP="00857556">
      <w:pPr>
        <w:pStyle w:val="Nadpis1"/>
        <w:keepNext/>
        <w:spacing w:line="240" w:lineRule="auto"/>
        <w:ind w:left="0" w:firstLine="0"/>
      </w:pPr>
      <w:r>
        <w:lastRenderedPageBreak/>
        <w:t>IV. Podrobné</w:t>
      </w:r>
      <w:r w:rsidR="0095505F">
        <w:t xml:space="preserve"> skutečnosti zjištěné kontrolou</w:t>
      </w:r>
    </w:p>
    <w:p w14:paraId="0D5879E5" w14:textId="4B5EEDF1" w:rsidR="008F0CEF" w:rsidRPr="006947E1" w:rsidRDefault="006947E1" w:rsidP="00B07768">
      <w:pPr>
        <w:pStyle w:val="Nadpis2"/>
        <w:spacing w:before="0" w:line="240" w:lineRule="auto"/>
        <w:ind w:left="284" w:hanging="284"/>
        <w:jc w:val="left"/>
      </w:pPr>
      <w:r w:rsidRPr="006947E1">
        <w:t>1.</w:t>
      </w:r>
      <w:r>
        <w:t xml:space="preserve"> </w:t>
      </w:r>
      <w:r w:rsidR="00C660F1">
        <w:tab/>
      </w:r>
      <w:r w:rsidR="00EF4FD9">
        <w:t xml:space="preserve">MV </w:t>
      </w:r>
      <w:r w:rsidR="0055517D">
        <w:t>nezabezpečoval</w:t>
      </w:r>
      <w:r w:rsidR="00E61943">
        <w:t>o</w:t>
      </w:r>
      <w:r w:rsidR="003A27D0" w:rsidRPr="006947E1">
        <w:t xml:space="preserve"> vzdělávací potřeby PČR</w:t>
      </w:r>
      <w:r w:rsidR="00F544AA">
        <w:t xml:space="preserve"> koncepčně a věcně dle aktuálních potřeb,</w:t>
      </w:r>
      <w:r w:rsidR="003A27D0" w:rsidRPr="006947E1">
        <w:t xml:space="preserve"> </w:t>
      </w:r>
      <w:r w:rsidR="00F544AA">
        <w:t xml:space="preserve">MO nezabezpečovalo vzdělávací potřeby </w:t>
      </w:r>
      <w:r w:rsidR="003A27D0" w:rsidRPr="006947E1">
        <w:t>AČR</w:t>
      </w:r>
      <w:r w:rsidR="00C14FD5" w:rsidRPr="006947E1">
        <w:t xml:space="preserve"> </w:t>
      </w:r>
      <w:r w:rsidR="00F544AA">
        <w:t>efektivně</w:t>
      </w:r>
    </w:p>
    <w:p w14:paraId="1648EFDB" w14:textId="77777777" w:rsidR="00244A5E" w:rsidRDefault="00CD7180" w:rsidP="004A789C">
      <w:pPr>
        <w:ind w:left="0" w:firstLine="0"/>
      </w:pPr>
      <w:r>
        <w:t xml:space="preserve">PA ČR se dle </w:t>
      </w:r>
      <w:r w:rsidR="00D45518">
        <w:t>ustanovení § 95 odst. 3 zákona č. 111/1998 Sb. při přijímání uchazečů ke studiu řídí požadavky MV</w:t>
      </w:r>
      <w:r>
        <w:rPr>
          <w:rStyle w:val="Znakapoznpodarou"/>
        </w:rPr>
        <w:footnoteReference w:id="17"/>
      </w:r>
      <w:r w:rsidR="00D45518">
        <w:t xml:space="preserve">. </w:t>
      </w:r>
      <w:r>
        <w:t>UNOB se dle ustanovení § 9</w:t>
      </w:r>
      <w:r w:rsidR="006C598C">
        <w:t>5</w:t>
      </w:r>
      <w:r>
        <w:t xml:space="preserve"> odst. 2 </w:t>
      </w:r>
      <w:r w:rsidR="00D06C11">
        <w:t xml:space="preserve">téhož </w:t>
      </w:r>
      <w:r>
        <w:t xml:space="preserve">zákona při přijímání vojáků ke studiu řídí požadavky MO. Počet </w:t>
      </w:r>
      <w:r w:rsidR="001C24B8">
        <w:t xml:space="preserve">civilních </w:t>
      </w:r>
      <w:r>
        <w:t xml:space="preserve">studentů </w:t>
      </w:r>
      <w:r w:rsidR="003D3ED7">
        <w:t xml:space="preserve">UNOB </w:t>
      </w:r>
      <w:r>
        <w:t>je každoročně upřesňován v návaznosti na výši požadavku MO na přípravu studentů vojáků</w:t>
      </w:r>
      <w:r>
        <w:rPr>
          <w:rStyle w:val="Znakapoznpodarou"/>
        </w:rPr>
        <w:footnoteReference w:id="18"/>
      </w:r>
      <w:r w:rsidR="00A0323C">
        <w:t>.</w:t>
      </w:r>
      <w:r w:rsidR="00FB4706">
        <w:t xml:space="preserve"> </w:t>
      </w:r>
      <w:r w:rsidR="003A7918" w:rsidRPr="003A7918">
        <w:t xml:space="preserve">Na základě </w:t>
      </w:r>
      <w:r w:rsidR="006C598C">
        <w:t xml:space="preserve">výše uvedených ustanovení </w:t>
      </w:r>
      <w:r w:rsidR="00124041">
        <w:t xml:space="preserve">zákona </w:t>
      </w:r>
      <w:r w:rsidR="00FB4706">
        <w:t>stanovilo</w:t>
      </w:r>
      <w:r w:rsidR="00FB4706" w:rsidDel="00FB4706">
        <w:t xml:space="preserve"> </w:t>
      </w:r>
      <w:r w:rsidR="00D45518" w:rsidRPr="003A7918">
        <w:t>MV</w:t>
      </w:r>
      <w:r w:rsidR="006C598C">
        <w:t xml:space="preserve"> a </w:t>
      </w:r>
      <w:r w:rsidR="007B2016">
        <w:t xml:space="preserve">MO </w:t>
      </w:r>
      <w:r w:rsidR="003A7918" w:rsidRPr="003A7918">
        <w:t xml:space="preserve">podmínky pro vzdělávání </w:t>
      </w:r>
      <w:r w:rsidR="00D06C11">
        <w:t>PA ČR</w:t>
      </w:r>
      <w:r w:rsidR="006C598C">
        <w:t xml:space="preserve"> a </w:t>
      </w:r>
      <w:r w:rsidR="003A7918" w:rsidRPr="003A7918">
        <w:t>UNOB</w:t>
      </w:r>
      <w:r w:rsidR="006C598C">
        <w:t xml:space="preserve"> </w:t>
      </w:r>
      <w:r w:rsidR="003A7918" w:rsidRPr="003A7918">
        <w:t>stanovení</w:t>
      </w:r>
      <w:r w:rsidR="000B70BE">
        <w:t>m</w:t>
      </w:r>
      <w:r w:rsidR="003A7918" w:rsidRPr="003A7918">
        <w:t xml:space="preserve"> počtu studentů</w:t>
      </w:r>
      <w:r w:rsidR="00EB6790">
        <w:t xml:space="preserve"> přijímaných ke studiu</w:t>
      </w:r>
      <w:r w:rsidR="004A789C">
        <w:t>.</w:t>
      </w:r>
    </w:p>
    <w:p w14:paraId="072657BD" w14:textId="0B1AAE3D" w:rsidR="0046043F" w:rsidRDefault="003A7918" w:rsidP="00ED29F3">
      <w:pPr>
        <w:ind w:left="0" w:firstLine="0"/>
      </w:pPr>
      <w:r w:rsidRPr="003A7918">
        <w:t xml:space="preserve">MV </w:t>
      </w:r>
      <w:r w:rsidR="00D45518" w:rsidRPr="003A7918">
        <w:t xml:space="preserve">v roce 2016 </w:t>
      </w:r>
      <w:r w:rsidR="00AB5574">
        <w:t xml:space="preserve">navíc </w:t>
      </w:r>
      <w:r w:rsidRPr="003A7918">
        <w:t>stanovilo</w:t>
      </w:r>
      <w:r w:rsidR="00AB5574">
        <w:t xml:space="preserve"> na rok 2017/2018</w:t>
      </w:r>
      <w:r w:rsidR="00D45518" w:rsidRPr="003A7918">
        <w:t xml:space="preserve"> </w:t>
      </w:r>
      <w:r w:rsidR="00393DDE">
        <w:t xml:space="preserve">pravidlo </w:t>
      </w:r>
      <w:r w:rsidR="00D45518" w:rsidRPr="003A7918">
        <w:t xml:space="preserve">pro přijímání uchazečů </w:t>
      </w:r>
      <w:r w:rsidR="00D06C11">
        <w:t xml:space="preserve">ke studiu </w:t>
      </w:r>
      <w:r w:rsidR="00393DDE">
        <w:t xml:space="preserve">jako </w:t>
      </w:r>
      <w:r w:rsidR="00D45518" w:rsidRPr="003A7918">
        <w:t xml:space="preserve">poměr dvou přijatých </w:t>
      </w:r>
      <w:r w:rsidR="00533370">
        <w:t>uchazečů</w:t>
      </w:r>
      <w:r w:rsidR="00533370" w:rsidRPr="003A7918">
        <w:t xml:space="preserve"> </w:t>
      </w:r>
      <w:r w:rsidR="00D45518" w:rsidRPr="003A7918">
        <w:t xml:space="preserve">z bezpečnostních sborů a obecní policie a jednoho přijatého </w:t>
      </w:r>
      <w:r w:rsidR="0096656C" w:rsidRPr="003A7918">
        <w:t>civilního</w:t>
      </w:r>
      <w:r w:rsidR="0096656C">
        <w:t xml:space="preserve"> </w:t>
      </w:r>
      <w:r w:rsidR="00533370">
        <w:t>uchazeče</w:t>
      </w:r>
      <w:r w:rsidR="00533370" w:rsidRPr="003A7918">
        <w:t xml:space="preserve"> </w:t>
      </w:r>
      <w:r w:rsidR="00244A5E">
        <w:t>(</w:t>
      </w:r>
      <w:r w:rsidR="00B05D27">
        <w:t>2</w:t>
      </w:r>
      <w:r w:rsidR="00244A5E">
        <w:t>:</w:t>
      </w:r>
      <w:r w:rsidR="00B05D27">
        <w:t>1)</w:t>
      </w:r>
      <w:r w:rsidR="00D45518" w:rsidRPr="003A7918">
        <w:t>.</w:t>
      </w:r>
      <w:r w:rsidR="00ED29F3">
        <w:t xml:space="preserve"> Kontrolou NKÚ bylo zjištěno, že </w:t>
      </w:r>
      <w:r w:rsidR="00ED29F3">
        <w:rPr>
          <w:rFonts w:asciiTheme="minorHAnsi" w:hAnsiTheme="minorHAnsi" w:cs="TimesNewRomanPSMT"/>
          <w:color w:val="000000" w:themeColor="text1"/>
          <w:szCs w:val="24"/>
        </w:rPr>
        <w:t xml:space="preserve">PA ČR </w:t>
      </w:r>
      <w:r w:rsidR="00ED29F3" w:rsidRPr="00215D93">
        <w:rPr>
          <w:rFonts w:asciiTheme="minorHAnsi" w:hAnsiTheme="minorHAnsi" w:cs="TimesNewRomanPSMT"/>
          <w:color w:val="000000" w:themeColor="text1"/>
          <w:szCs w:val="24"/>
        </w:rPr>
        <w:t xml:space="preserve">se </w:t>
      </w:r>
      <w:r w:rsidR="00ED29F3">
        <w:rPr>
          <w:rFonts w:asciiTheme="minorHAnsi" w:hAnsiTheme="minorHAnsi" w:cs="TimesNewRomanPSMT"/>
          <w:color w:val="000000" w:themeColor="text1"/>
          <w:szCs w:val="24"/>
        </w:rPr>
        <w:t xml:space="preserve">stanoveného poměru dosáhnout </w:t>
      </w:r>
      <w:r w:rsidR="00ED29F3" w:rsidRPr="00215D93">
        <w:rPr>
          <w:rFonts w:asciiTheme="minorHAnsi" w:hAnsiTheme="minorHAnsi" w:cs="TimesNewRomanPSMT"/>
          <w:color w:val="000000" w:themeColor="text1"/>
          <w:szCs w:val="24"/>
        </w:rPr>
        <w:t>nepodařilo</w:t>
      </w:r>
      <w:r w:rsidR="00ED29F3">
        <w:rPr>
          <w:rFonts w:asciiTheme="minorHAnsi" w:hAnsiTheme="minorHAnsi" w:cs="TimesNewRomanPSMT"/>
          <w:color w:val="000000" w:themeColor="text1"/>
          <w:szCs w:val="24"/>
        </w:rPr>
        <w:t xml:space="preserve">, </w:t>
      </w:r>
      <w:r w:rsidR="00ED29F3">
        <w:t>v</w:t>
      </w:r>
      <w:r w:rsidR="00ED29F3" w:rsidRPr="00215D93">
        <w:rPr>
          <w:rFonts w:asciiTheme="minorHAnsi" w:hAnsiTheme="minorHAnsi" w:cs="TimesNewRomanPSMT"/>
          <w:color w:val="000000" w:themeColor="text1"/>
          <w:szCs w:val="24"/>
        </w:rPr>
        <w:t xml:space="preserve"> roce 2017 bylo </w:t>
      </w:r>
      <w:r w:rsidR="00D96678">
        <w:rPr>
          <w:rFonts w:asciiTheme="minorHAnsi" w:hAnsiTheme="minorHAnsi" w:cs="TimesNewRomanPSMT"/>
          <w:color w:val="000000" w:themeColor="text1"/>
          <w:szCs w:val="24"/>
        </w:rPr>
        <w:t>ke studiu</w:t>
      </w:r>
      <w:r w:rsidR="00ED29F3">
        <w:rPr>
          <w:rFonts w:asciiTheme="minorHAnsi" w:hAnsiTheme="minorHAnsi" w:cs="TimesNewRomanPSMT"/>
          <w:color w:val="000000" w:themeColor="text1"/>
          <w:szCs w:val="24"/>
        </w:rPr>
        <w:t xml:space="preserve"> přijato 619 </w:t>
      </w:r>
      <w:r w:rsidR="00ED29F3" w:rsidRPr="00215D93">
        <w:rPr>
          <w:rFonts w:asciiTheme="minorHAnsi" w:hAnsiTheme="minorHAnsi" w:cs="TimesNewRomanPSMT"/>
          <w:color w:val="000000" w:themeColor="text1"/>
          <w:szCs w:val="24"/>
        </w:rPr>
        <w:t xml:space="preserve">příslušníků </w:t>
      </w:r>
      <w:r w:rsidR="00ED29F3">
        <w:rPr>
          <w:rFonts w:asciiTheme="minorHAnsi" w:hAnsiTheme="minorHAnsi" w:cs="TimesNewRomanPSMT"/>
          <w:color w:val="000000" w:themeColor="text1"/>
          <w:szCs w:val="24"/>
        </w:rPr>
        <w:t xml:space="preserve">bezpečnostních sborů a obecní policie a </w:t>
      </w:r>
      <w:r w:rsidR="00ED29F3" w:rsidRPr="00215D93">
        <w:rPr>
          <w:rFonts w:asciiTheme="minorHAnsi" w:hAnsiTheme="minorHAnsi" w:cs="TimesNewRomanPSMT"/>
          <w:color w:val="000000" w:themeColor="text1"/>
          <w:szCs w:val="24"/>
        </w:rPr>
        <w:t>523 civilistů</w:t>
      </w:r>
      <w:r w:rsidR="00ED29F3">
        <w:rPr>
          <w:rFonts w:asciiTheme="minorHAnsi" w:hAnsiTheme="minorHAnsi" w:cs="TimesNewRomanPSMT"/>
          <w:color w:val="000000" w:themeColor="text1"/>
          <w:szCs w:val="24"/>
        </w:rPr>
        <w:t xml:space="preserve"> (1,18:1).</w:t>
      </w:r>
      <w:r w:rsidR="00ED29F3">
        <w:t xml:space="preserve"> </w:t>
      </w:r>
      <w:r w:rsidR="00ED29F3">
        <w:rPr>
          <w:rFonts w:asciiTheme="minorHAnsi" w:hAnsiTheme="minorHAnsi" w:cs="TimesNewRomanPSMT"/>
          <w:color w:val="000000" w:themeColor="text1"/>
          <w:szCs w:val="24"/>
        </w:rPr>
        <w:t xml:space="preserve">V dalším roce MV stanovený poměr </w:t>
      </w:r>
      <w:r w:rsidR="00990DA2">
        <w:rPr>
          <w:rFonts w:asciiTheme="minorHAnsi" w:hAnsiTheme="minorHAnsi" w:cs="TimesNewRomanPSMT"/>
          <w:color w:val="000000" w:themeColor="text1"/>
          <w:szCs w:val="24"/>
        </w:rPr>
        <w:t>sníži</w:t>
      </w:r>
      <w:r w:rsidR="00ED29F3">
        <w:rPr>
          <w:rFonts w:asciiTheme="minorHAnsi" w:hAnsiTheme="minorHAnsi" w:cs="TimesNewRomanPSMT"/>
          <w:color w:val="000000" w:themeColor="text1"/>
          <w:szCs w:val="24"/>
        </w:rPr>
        <w:t>lo</w:t>
      </w:r>
      <w:r w:rsidR="00AA3E1F">
        <w:rPr>
          <w:rFonts w:asciiTheme="minorHAnsi" w:hAnsiTheme="minorHAnsi" w:cs="TimesNewRomanPSMT"/>
          <w:color w:val="000000" w:themeColor="text1"/>
          <w:szCs w:val="24"/>
        </w:rPr>
        <w:t xml:space="preserve">. MV </w:t>
      </w:r>
      <w:r w:rsidR="009956BA" w:rsidRPr="00A51325">
        <w:t>počt</w:t>
      </w:r>
      <w:r w:rsidR="00AC37D5">
        <w:t>y</w:t>
      </w:r>
      <w:r w:rsidR="009956BA" w:rsidRPr="00A51325">
        <w:t xml:space="preserve"> uchazečů přijímaných ke studiu na PA ČR </w:t>
      </w:r>
      <w:r w:rsidR="009956BA">
        <w:t>v</w:t>
      </w:r>
      <w:r w:rsidR="008F6669">
        <w:t> </w:t>
      </w:r>
      <w:r w:rsidR="009956BA">
        <w:t>období</w:t>
      </w:r>
      <w:r w:rsidR="008F6669">
        <w:t xml:space="preserve"> 2016 </w:t>
      </w:r>
      <w:r w:rsidR="0066182D">
        <w:t>až</w:t>
      </w:r>
      <w:r w:rsidR="008F6669">
        <w:t xml:space="preserve"> 2019</w:t>
      </w:r>
      <w:r w:rsidR="009956BA">
        <w:t xml:space="preserve"> </w:t>
      </w:r>
      <w:r w:rsidR="00AC37D5" w:rsidRPr="00A51325">
        <w:t>ne</w:t>
      </w:r>
      <w:r w:rsidR="00AC37D5">
        <w:t>nastavilo ve vazbě na</w:t>
      </w:r>
      <w:r w:rsidR="001F0ED1">
        <w:t xml:space="preserve"> </w:t>
      </w:r>
      <w:r w:rsidR="009956BA" w:rsidRPr="00A51325">
        <w:t xml:space="preserve">aktuální potřeby </w:t>
      </w:r>
      <w:r w:rsidR="00F93CAB">
        <w:t xml:space="preserve">vysokoškolsky vzdělaných policistů </w:t>
      </w:r>
      <w:r w:rsidR="009956BA" w:rsidRPr="00A51325">
        <w:t>PČR</w:t>
      </w:r>
      <w:r w:rsidR="00990DA2">
        <w:t>.</w:t>
      </w:r>
      <w:r w:rsidR="00A976B5">
        <w:t xml:space="preserve"> </w:t>
      </w:r>
      <w:r w:rsidR="00990DA2">
        <w:t>MV pouze</w:t>
      </w:r>
      <w:r w:rsidR="009956BA" w:rsidRPr="00A51325">
        <w:t xml:space="preserve"> </w:t>
      </w:r>
      <w:r w:rsidR="002E7030">
        <w:t>opakovalo počty stanovené pro rok 2017</w:t>
      </w:r>
      <w:r w:rsidR="00F93CAB">
        <w:t xml:space="preserve"> </w:t>
      </w:r>
      <w:r w:rsidR="00244A5E">
        <w:t>(viz tabulka</w:t>
      </w:r>
      <w:r w:rsidR="00ED29F3">
        <w:t xml:space="preserve"> č. 2</w:t>
      </w:r>
      <w:r w:rsidR="00244A5E">
        <w:t>)</w:t>
      </w:r>
      <w:r w:rsidR="009956BA" w:rsidRPr="00A51325">
        <w:t>.</w:t>
      </w:r>
      <w:r w:rsidR="00374AF9">
        <w:t xml:space="preserve"> </w:t>
      </w:r>
    </w:p>
    <w:p w14:paraId="6500A375" w14:textId="0226F795" w:rsidR="00D45518" w:rsidRPr="00BF14B0" w:rsidRDefault="0046043F" w:rsidP="00120B62">
      <w:pPr>
        <w:spacing w:after="40"/>
        <w:ind w:left="1361" w:hanging="1361"/>
      </w:pPr>
      <w:r w:rsidRPr="00831942">
        <w:rPr>
          <w:b/>
        </w:rPr>
        <w:t xml:space="preserve">Tabulka č. 2: </w:t>
      </w:r>
      <w:r w:rsidR="00F830D6">
        <w:rPr>
          <w:b/>
        </w:rPr>
        <w:tab/>
      </w:r>
      <w:r w:rsidR="00F62C58">
        <w:rPr>
          <w:b/>
        </w:rPr>
        <w:t>Požadovaný</w:t>
      </w:r>
      <w:r w:rsidR="00F93CAB" w:rsidRPr="00831942">
        <w:rPr>
          <w:b/>
        </w:rPr>
        <w:t xml:space="preserve"> a skutečný počet studentů</w:t>
      </w:r>
      <w:r w:rsidR="00406366" w:rsidRPr="00831942">
        <w:rPr>
          <w:b/>
        </w:rPr>
        <w:t xml:space="preserve"> </w:t>
      </w:r>
      <w:r w:rsidR="001A091E">
        <w:rPr>
          <w:b/>
        </w:rPr>
        <w:t>policistů</w:t>
      </w:r>
      <w:r w:rsidR="00406366" w:rsidRPr="00831942">
        <w:rPr>
          <w:b/>
        </w:rPr>
        <w:t xml:space="preserve"> a vojáků přijatých na</w:t>
      </w:r>
      <w:r w:rsidR="00F93CAB" w:rsidRPr="00831942">
        <w:rPr>
          <w:b/>
        </w:rPr>
        <w:t xml:space="preserve"> PA ČR a</w:t>
      </w:r>
      <w:r w:rsidR="00F830D6">
        <w:rPr>
          <w:b/>
        </w:rPr>
        <w:t> </w:t>
      </w:r>
      <w:r w:rsidR="00F93CAB" w:rsidRPr="00831942">
        <w:rPr>
          <w:b/>
        </w:rPr>
        <w:t>UNOB</w:t>
      </w:r>
    </w:p>
    <w:tbl>
      <w:tblPr>
        <w:tblStyle w:val="Mkatabulky"/>
        <w:tblW w:w="0" w:type="auto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805"/>
        <w:gridCol w:w="768"/>
        <w:gridCol w:w="1022"/>
        <w:gridCol w:w="769"/>
        <w:gridCol w:w="1022"/>
        <w:gridCol w:w="551"/>
        <w:gridCol w:w="769"/>
        <w:gridCol w:w="1022"/>
        <w:gridCol w:w="765"/>
        <w:gridCol w:w="1022"/>
        <w:gridCol w:w="551"/>
      </w:tblGrid>
      <w:tr w:rsidR="00B75423" w:rsidRPr="00EA747D" w14:paraId="6C58328E" w14:textId="347DEE56" w:rsidTr="00EC2573">
        <w:trPr>
          <w:trHeight w:val="227"/>
          <w:jc w:val="center"/>
        </w:trPr>
        <w:tc>
          <w:tcPr>
            <w:tcW w:w="820" w:type="dxa"/>
            <w:vMerge w:val="restart"/>
            <w:shd w:val="clear" w:color="auto" w:fill="E5F1FF"/>
            <w:vAlign w:val="center"/>
          </w:tcPr>
          <w:p w14:paraId="3B0180C6" w14:textId="58585474" w:rsidR="00B75423" w:rsidRPr="00EA747D" w:rsidRDefault="00B75423" w:rsidP="006B68CD">
            <w:pPr>
              <w:spacing w:after="0"/>
              <w:ind w:left="-57" w:right="-57" w:firstLine="0"/>
              <w:jc w:val="center"/>
              <w:rPr>
                <w:b/>
                <w:sz w:val="16"/>
                <w:szCs w:val="16"/>
              </w:rPr>
            </w:pPr>
            <w:r w:rsidRPr="00EA747D">
              <w:rPr>
                <w:b/>
                <w:sz w:val="16"/>
                <w:szCs w:val="16"/>
              </w:rPr>
              <w:t>Rok</w:t>
            </w:r>
          </w:p>
        </w:tc>
        <w:tc>
          <w:tcPr>
            <w:tcW w:w="1789" w:type="dxa"/>
            <w:gridSpan w:val="2"/>
            <w:shd w:val="clear" w:color="auto" w:fill="E5F1FF"/>
            <w:vAlign w:val="center"/>
          </w:tcPr>
          <w:p w14:paraId="3A165C15" w14:textId="15114222" w:rsidR="00B75423" w:rsidRPr="006B68CD" w:rsidRDefault="00B75423" w:rsidP="006B68CD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  <w:r w:rsidRPr="006B68CD">
              <w:rPr>
                <w:b/>
                <w:sz w:val="15"/>
                <w:szCs w:val="15"/>
              </w:rPr>
              <w:t>Požadavky MV* na počet policistů přijímaných ke studiu na PA ČR</w:t>
            </w:r>
          </w:p>
        </w:tc>
        <w:tc>
          <w:tcPr>
            <w:tcW w:w="1789" w:type="dxa"/>
            <w:gridSpan w:val="2"/>
            <w:shd w:val="clear" w:color="auto" w:fill="E5F1FF"/>
            <w:vAlign w:val="center"/>
          </w:tcPr>
          <w:p w14:paraId="10A1B383" w14:textId="0614939F" w:rsidR="00B75423" w:rsidRPr="006B68CD" w:rsidRDefault="00B75423" w:rsidP="006B68CD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  <w:r w:rsidRPr="006B68CD">
              <w:rPr>
                <w:b/>
                <w:sz w:val="15"/>
                <w:szCs w:val="15"/>
              </w:rPr>
              <w:t xml:space="preserve">Skutečný počet přijatých policistů ke studiu </w:t>
            </w:r>
            <w:r>
              <w:rPr>
                <w:b/>
                <w:sz w:val="15"/>
                <w:szCs w:val="15"/>
              </w:rPr>
              <w:br/>
            </w:r>
            <w:r w:rsidRPr="006B68CD">
              <w:rPr>
                <w:b/>
                <w:sz w:val="15"/>
                <w:szCs w:val="15"/>
              </w:rPr>
              <w:t>na PA</w:t>
            </w:r>
            <w:r>
              <w:rPr>
                <w:b/>
                <w:sz w:val="15"/>
                <w:szCs w:val="15"/>
              </w:rPr>
              <w:t> </w:t>
            </w:r>
            <w:r w:rsidRPr="006B68CD">
              <w:rPr>
                <w:b/>
                <w:sz w:val="15"/>
                <w:szCs w:val="15"/>
              </w:rPr>
              <w:t>ČR</w:t>
            </w:r>
          </w:p>
        </w:tc>
        <w:tc>
          <w:tcPr>
            <w:tcW w:w="551" w:type="dxa"/>
            <w:vMerge w:val="restart"/>
            <w:shd w:val="clear" w:color="auto" w:fill="E5F1FF"/>
            <w:vAlign w:val="center"/>
          </w:tcPr>
          <w:p w14:paraId="26705C38" w14:textId="2BFEB72E" w:rsidR="00B75423" w:rsidRPr="006B68CD" w:rsidRDefault="00B75423" w:rsidP="006B68CD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  <w:r w:rsidRPr="006B68CD">
              <w:rPr>
                <w:b/>
                <w:sz w:val="15"/>
                <w:szCs w:val="15"/>
              </w:rPr>
              <w:t>Míra plnění</w:t>
            </w:r>
          </w:p>
        </w:tc>
        <w:tc>
          <w:tcPr>
            <w:tcW w:w="1789" w:type="dxa"/>
            <w:gridSpan w:val="2"/>
            <w:shd w:val="clear" w:color="auto" w:fill="E5F1FF"/>
            <w:vAlign w:val="center"/>
          </w:tcPr>
          <w:p w14:paraId="5A413700" w14:textId="735EB7E5" w:rsidR="00B75423" w:rsidRPr="006B68CD" w:rsidRDefault="00B75423" w:rsidP="006B68CD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  <w:r w:rsidRPr="006B68CD">
              <w:rPr>
                <w:b/>
                <w:sz w:val="15"/>
                <w:szCs w:val="15"/>
              </w:rPr>
              <w:t xml:space="preserve">Požadavky MV* na počet </w:t>
            </w:r>
            <w:r>
              <w:rPr>
                <w:b/>
                <w:sz w:val="15"/>
                <w:szCs w:val="15"/>
              </w:rPr>
              <w:t>voják</w:t>
            </w:r>
            <w:r w:rsidRPr="006B68CD">
              <w:rPr>
                <w:b/>
                <w:sz w:val="15"/>
                <w:szCs w:val="15"/>
              </w:rPr>
              <w:t xml:space="preserve">ů přijímaných ke studiu na </w:t>
            </w:r>
            <w:r>
              <w:rPr>
                <w:b/>
                <w:sz w:val="15"/>
                <w:szCs w:val="15"/>
              </w:rPr>
              <w:t>UNOB</w:t>
            </w:r>
          </w:p>
        </w:tc>
        <w:tc>
          <w:tcPr>
            <w:tcW w:w="1777" w:type="dxa"/>
            <w:gridSpan w:val="2"/>
            <w:shd w:val="clear" w:color="auto" w:fill="E5F1FF"/>
            <w:vAlign w:val="center"/>
          </w:tcPr>
          <w:p w14:paraId="66FBFE50" w14:textId="76BB3485" w:rsidR="00B75423" w:rsidRPr="006B68CD" w:rsidRDefault="00B75423" w:rsidP="00B75423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  <w:r w:rsidRPr="00B75423">
              <w:rPr>
                <w:b/>
                <w:sz w:val="15"/>
                <w:szCs w:val="15"/>
              </w:rPr>
              <w:t xml:space="preserve">Skutečný počet přijatých </w:t>
            </w:r>
            <w:r>
              <w:rPr>
                <w:b/>
                <w:sz w:val="15"/>
                <w:szCs w:val="15"/>
              </w:rPr>
              <w:t>voják</w:t>
            </w:r>
            <w:r w:rsidRPr="00B75423">
              <w:rPr>
                <w:b/>
                <w:sz w:val="15"/>
                <w:szCs w:val="15"/>
              </w:rPr>
              <w:t xml:space="preserve">ů ke studiu </w:t>
            </w:r>
            <w:r>
              <w:rPr>
                <w:b/>
                <w:sz w:val="15"/>
                <w:szCs w:val="15"/>
              </w:rPr>
              <w:br/>
            </w:r>
            <w:r w:rsidRPr="00B75423">
              <w:rPr>
                <w:b/>
                <w:sz w:val="15"/>
                <w:szCs w:val="15"/>
              </w:rPr>
              <w:t xml:space="preserve">na </w:t>
            </w:r>
            <w:r>
              <w:rPr>
                <w:b/>
                <w:sz w:val="15"/>
                <w:szCs w:val="15"/>
              </w:rPr>
              <w:t>UNOB</w:t>
            </w:r>
          </w:p>
        </w:tc>
        <w:tc>
          <w:tcPr>
            <w:tcW w:w="551" w:type="dxa"/>
            <w:vMerge w:val="restart"/>
            <w:shd w:val="clear" w:color="auto" w:fill="E5F1FF"/>
            <w:vAlign w:val="center"/>
          </w:tcPr>
          <w:p w14:paraId="5E2D2392" w14:textId="4014B206" w:rsidR="00B75423" w:rsidRPr="006B68CD" w:rsidRDefault="00B75423" w:rsidP="006B68CD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  <w:r w:rsidRPr="006B68CD">
              <w:rPr>
                <w:b/>
                <w:sz w:val="15"/>
                <w:szCs w:val="15"/>
              </w:rPr>
              <w:t>Míra plnění</w:t>
            </w:r>
          </w:p>
        </w:tc>
      </w:tr>
      <w:tr w:rsidR="00B75423" w:rsidRPr="00EA747D" w14:paraId="53CC4638" w14:textId="04BA7913" w:rsidTr="006B68CD">
        <w:trPr>
          <w:trHeight w:val="227"/>
          <w:jc w:val="center"/>
        </w:trPr>
        <w:tc>
          <w:tcPr>
            <w:tcW w:w="820" w:type="dxa"/>
            <w:vMerge/>
            <w:shd w:val="clear" w:color="auto" w:fill="E5F1FF"/>
            <w:vAlign w:val="center"/>
          </w:tcPr>
          <w:p w14:paraId="0E985638" w14:textId="60813843" w:rsidR="00B75423" w:rsidRPr="00EA747D" w:rsidRDefault="00B75423" w:rsidP="006B68CD">
            <w:pPr>
              <w:spacing w:after="0"/>
              <w:ind w:left="-57" w:right="-57"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shd w:val="clear" w:color="auto" w:fill="E5F1FF"/>
            <w:vAlign w:val="center"/>
          </w:tcPr>
          <w:p w14:paraId="053053BA" w14:textId="199B0852" w:rsidR="00B75423" w:rsidRPr="006B68CD" w:rsidRDefault="007B78A1" w:rsidP="007B78A1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</w:t>
            </w:r>
            <w:r w:rsidR="00B75423" w:rsidRPr="006B68CD">
              <w:rPr>
                <w:b/>
                <w:sz w:val="15"/>
                <w:szCs w:val="15"/>
              </w:rPr>
              <w:t>rezenční forma</w:t>
            </w:r>
          </w:p>
        </w:tc>
        <w:tc>
          <w:tcPr>
            <w:tcW w:w="1018" w:type="dxa"/>
            <w:shd w:val="clear" w:color="auto" w:fill="E5F1FF"/>
            <w:vAlign w:val="center"/>
          </w:tcPr>
          <w:p w14:paraId="2A08AE95" w14:textId="6B9AE111" w:rsidR="00B75423" w:rsidRPr="006B68CD" w:rsidRDefault="007B78A1" w:rsidP="007B78A1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</w:t>
            </w:r>
            <w:r w:rsidR="00B75423" w:rsidRPr="006B68CD">
              <w:rPr>
                <w:b/>
                <w:sz w:val="15"/>
                <w:szCs w:val="15"/>
              </w:rPr>
              <w:t>ombinovaná forma</w:t>
            </w:r>
          </w:p>
        </w:tc>
        <w:tc>
          <w:tcPr>
            <w:tcW w:w="771" w:type="dxa"/>
            <w:shd w:val="clear" w:color="auto" w:fill="E5F1FF"/>
            <w:vAlign w:val="center"/>
          </w:tcPr>
          <w:p w14:paraId="2A1E63D2" w14:textId="2FB93A9E" w:rsidR="00B75423" w:rsidRPr="006B68CD" w:rsidRDefault="007B78A1" w:rsidP="007B78A1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</w:t>
            </w:r>
            <w:r w:rsidR="00B75423" w:rsidRPr="006B68CD">
              <w:rPr>
                <w:b/>
                <w:sz w:val="15"/>
                <w:szCs w:val="15"/>
              </w:rPr>
              <w:t>rezenční forma</w:t>
            </w:r>
          </w:p>
        </w:tc>
        <w:tc>
          <w:tcPr>
            <w:tcW w:w="1018" w:type="dxa"/>
            <w:shd w:val="clear" w:color="auto" w:fill="E5F1FF"/>
            <w:vAlign w:val="center"/>
          </w:tcPr>
          <w:p w14:paraId="6AE83306" w14:textId="700A9989" w:rsidR="00B75423" w:rsidRPr="006B68CD" w:rsidRDefault="007B78A1" w:rsidP="007B78A1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</w:t>
            </w:r>
            <w:r w:rsidR="00B75423" w:rsidRPr="006B68CD">
              <w:rPr>
                <w:b/>
                <w:sz w:val="15"/>
                <w:szCs w:val="15"/>
              </w:rPr>
              <w:t>ombinovaná forma</w:t>
            </w:r>
          </w:p>
        </w:tc>
        <w:tc>
          <w:tcPr>
            <w:tcW w:w="551" w:type="dxa"/>
            <w:vMerge/>
            <w:shd w:val="clear" w:color="auto" w:fill="E5F1FF"/>
            <w:vAlign w:val="center"/>
          </w:tcPr>
          <w:p w14:paraId="68FA4ECF" w14:textId="2615C3A1" w:rsidR="00B75423" w:rsidRPr="006B68CD" w:rsidRDefault="00B75423" w:rsidP="006B68CD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71" w:type="dxa"/>
            <w:shd w:val="clear" w:color="auto" w:fill="E5F1FF"/>
            <w:vAlign w:val="center"/>
          </w:tcPr>
          <w:p w14:paraId="65AE4F1C" w14:textId="61B10A50" w:rsidR="00B75423" w:rsidRPr="006B68CD" w:rsidRDefault="007B78A1" w:rsidP="007B78A1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</w:t>
            </w:r>
            <w:r w:rsidR="00B75423" w:rsidRPr="006B68CD">
              <w:rPr>
                <w:b/>
                <w:sz w:val="15"/>
                <w:szCs w:val="15"/>
              </w:rPr>
              <w:t>rezenční forma</w:t>
            </w:r>
          </w:p>
        </w:tc>
        <w:tc>
          <w:tcPr>
            <w:tcW w:w="1018" w:type="dxa"/>
            <w:shd w:val="clear" w:color="auto" w:fill="E5F1FF"/>
            <w:vAlign w:val="center"/>
          </w:tcPr>
          <w:p w14:paraId="6B1DE54C" w14:textId="5FE58E7B" w:rsidR="00B75423" w:rsidRPr="006B68CD" w:rsidRDefault="007B78A1" w:rsidP="007B78A1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</w:t>
            </w:r>
            <w:r w:rsidR="00B75423" w:rsidRPr="006B68CD">
              <w:rPr>
                <w:b/>
                <w:sz w:val="15"/>
                <w:szCs w:val="15"/>
              </w:rPr>
              <w:t>ombinovaná forma</w:t>
            </w:r>
          </w:p>
        </w:tc>
        <w:tc>
          <w:tcPr>
            <w:tcW w:w="765" w:type="dxa"/>
            <w:shd w:val="clear" w:color="auto" w:fill="E5F1FF"/>
            <w:vAlign w:val="center"/>
          </w:tcPr>
          <w:p w14:paraId="74F285AC" w14:textId="0497E259" w:rsidR="00B75423" w:rsidRPr="006B68CD" w:rsidRDefault="007B78A1" w:rsidP="007B78A1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</w:t>
            </w:r>
            <w:r w:rsidR="00B75423" w:rsidRPr="006B68CD">
              <w:rPr>
                <w:b/>
                <w:sz w:val="15"/>
                <w:szCs w:val="15"/>
              </w:rPr>
              <w:t>rezenční forma</w:t>
            </w:r>
          </w:p>
        </w:tc>
        <w:tc>
          <w:tcPr>
            <w:tcW w:w="1012" w:type="dxa"/>
            <w:shd w:val="clear" w:color="auto" w:fill="E5F1FF"/>
            <w:vAlign w:val="center"/>
          </w:tcPr>
          <w:p w14:paraId="16FF1B70" w14:textId="51D325C1" w:rsidR="00B75423" w:rsidRPr="006B68CD" w:rsidRDefault="007B78A1" w:rsidP="007B78A1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</w:t>
            </w:r>
            <w:r w:rsidR="00B75423" w:rsidRPr="006B68CD">
              <w:rPr>
                <w:b/>
                <w:sz w:val="15"/>
                <w:szCs w:val="15"/>
              </w:rPr>
              <w:t>ombinovaná forma</w:t>
            </w:r>
          </w:p>
        </w:tc>
        <w:tc>
          <w:tcPr>
            <w:tcW w:w="551" w:type="dxa"/>
            <w:vMerge/>
            <w:shd w:val="clear" w:color="auto" w:fill="E5F1FF"/>
            <w:vAlign w:val="center"/>
          </w:tcPr>
          <w:p w14:paraId="00C38A00" w14:textId="256F7628" w:rsidR="00B75423" w:rsidRPr="006B68CD" w:rsidRDefault="00B75423" w:rsidP="006B68CD">
            <w:pPr>
              <w:spacing w:after="0"/>
              <w:ind w:left="-57" w:right="-57" w:firstLine="0"/>
              <w:jc w:val="center"/>
              <w:rPr>
                <w:b/>
                <w:sz w:val="15"/>
                <w:szCs w:val="15"/>
              </w:rPr>
            </w:pPr>
          </w:p>
        </w:tc>
      </w:tr>
      <w:tr w:rsidR="00B75423" w:rsidRPr="00EA747D" w14:paraId="3C7C378C" w14:textId="6891C909" w:rsidTr="00B75423">
        <w:trPr>
          <w:trHeight w:val="227"/>
          <w:jc w:val="center"/>
        </w:trPr>
        <w:tc>
          <w:tcPr>
            <w:tcW w:w="820" w:type="dxa"/>
            <w:vAlign w:val="center"/>
          </w:tcPr>
          <w:p w14:paraId="5EAEA477" w14:textId="48269604" w:rsidR="00B75423" w:rsidRPr="00EA747D" w:rsidRDefault="00B75423" w:rsidP="00B75423">
            <w:pPr>
              <w:spacing w:after="0"/>
              <w:ind w:left="-57" w:right="-57" w:firstLine="0"/>
              <w:jc w:val="center"/>
              <w:rPr>
                <w:sz w:val="16"/>
                <w:szCs w:val="16"/>
              </w:rPr>
            </w:pPr>
            <w:r w:rsidRPr="00EA747D">
              <w:rPr>
                <w:sz w:val="16"/>
                <w:szCs w:val="16"/>
              </w:rPr>
              <w:t>2016</w:t>
            </w:r>
          </w:p>
        </w:tc>
        <w:tc>
          <w:tcPr>
            <w:tcW w:w="771" w:type="dxa"/>
            <w:vAlign w:val="center"/>
          </w:tcPr>
          <w:p w14:paraId="6CE84610" w14:textId="73C00711" w:rsidR="00B75423" w:rsidRPr="00B75423" w:rsidRDefault="00B75423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 w:rsidRPr="00B75423">
              <w:rPr>
                <w:sz w:val="16"/>
                <w:szCs w:val="16"/>
              </w:rPr>
              <w:t>10</w:t>
            </w:r>
          </w:p>
        </w:tc>
        <w:tc>
          <w:tcPr>
            <w:tcW w:w="1018" w:type="dxa"/>
            <w:vAlign w:val="center"/>
          </w:tcPr>
          <w:p w14:paraId="25D4D60A" w14:textId="1CE654CC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</w:t>
            </w:r>
          </w:p>
        </w:tc>
        <w:tc>
          <w:tcPr>
            <w:tcW w:w="771" w:type="dxa"/>
            <w:vAlign w:val="center"/>
          </w:tcPr>
          <w:p w14:paraId="71240BC8" w14:textId="210A3910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18" w:type="dxa"/>
            <w:vAlign w:val="center"/>
          </w:tcPr>
          <w:p w14:paraId="0EE4E2CF" w14:textId="1C005FE2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</w:t>
            </w:r>
          </w:p>
        </w:tc>
        <w:tc>
          <w:tcPr>
            <w:tcW w:w="551" w:type="dxa"/>
            <w:vAlign w:val="center"/>
          </w:tcPr>
          <w:p w14:paraId="7DDDC915" w14:textId="1032A82A" w:rsidR="00B75423" w:rsidRPr="00B75423" w:rsidRDefault="00B75423" w:rsidP="007B78A1">
            <w:pPr>
              <w:spacing w:after="0"/>
              <w:ind w:left="-113" w:firstLine="0"/>
              <w:jc w:val="right"/>
              <w:rPr>
                <w:sz w:val="16"/>
                <w:szCs w:val="16"/>
              </w:rPr>
            </w:pPr>
            <w:r w:rsidRPr="00B75423">
              <w:rPr>
                <w:sz w:val="16"/>
                <w:szCs w:val="16"/>
              </w:rPr>
              <w:t>101</w:t>
            </w:r>
            <w:r w:rsidR="007B78A1">
              <w:rPr>
                <w:sz w:val="16"/>
                <w:szCs w:val="16"/>
              </w:rPr>
              <w:t> </w:t>
            </w:r>
            <w:r w:rsidRPr="00B75423">
              <w:rPr>
                <w:sz w:val="16"/>
                <w:szCs w:val="16"/>
              </w:rPr>
              <w:t>%</w:t>
            </w:r>
          </w:p>
        </w:tc>
        <w:tc>
          <w:tcPr>
            <w:tcW w:w="771" w:type="dxa"/>
            <w:vAlign w:val="center"/>
          </w:tcPr>
          <w:p w14:paraId="40781913" w14:textId="1661C8C5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</w:tc>
        <w:tc>
          <w:tcPr>
            <w:tcW w:w="1018" w:type="dxa"/>
            <w:vAlign w:val="center"/>
          </w:tcPr>
          <w:p w14:paraId="5A66BDD9" w14:textId="377769C4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65" w:type="dxa"/>
            <w:vAlign w:val="center"/>
          </w:tcPr>
          <w:p w14:paraId="328E26C4" w14:textId="3EF93510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</w:t>
            </w:r>
          </w:p>
        </w:tc>
        <w:tc>
          <w:tcPr>
            <w:tcW w:w="1012" w:type="dxa"/>
            <w:vAlign w:val="center"/>
          </w:tcPr>
          <w:p w14:paraId="12720D7D" w14:textId="01CCD89D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551" w:type="dxa"/>
            <w:vAlign w:val="center"/>
          </w:tcPr>
          <w:p w14:paraId="3BDA5076" w14:textId="4481F556" w:rsidR="00B75423" w:rsidRPr="00B75423" w:rsidRDefault="00120B62" w:rsidP="00B75423">
            <w:pPr>
              <w:spacing w:after="0"/>
              <w:ind w:left="-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  <w:r w:rsidR="007B78A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%</w:t>
            </w:r>
          </w:p>
        </w:tc>
      </w:tr>
      <w:tr w:rsidR="00B75423" w:rsidRPr="00EA747D" w14:paraId="30A0C357" w14:textId="414D9D47" w:rsidTr="00B75423">
        <w:trPr>
          <w:trHeight w:val="227"/>
          <w:jc w:val="center"/>
        </w:trPr>
        <w:tc>
          <w:tcPr>
            <w:tcW w:w="820" w:type="dxa"/>
            <w:vAlign w:val="center"/>
          </w:tcPr>
          <w:p w14:paraId="046BC61D" w14:textId="011AF0D6" w:rsidR="00B75423" w:rsidRPr="00EA747D" w:rsidRDefault="00B75423" w:rsidP="00B75423">
            <w:pPr>
              <w:spacing w:after="0"/>
              <w:ind w:left="-57" w:right="-57" w:firstLine="0"/>
              <w:jc w:val="center"/>
              <w:rPr>
                <w:sz w:val="16"/>
                <w:szCs w:val="16"/>
              </w:rPr>
            </w:pPr>
            <w:r w:rsidRPr="00EA747D">
              <w:rPr>
                <w:sz w:val="16"/>
                <w:szCs w:val="16"/>
              </w:rPr>
              <w:t>2017</w:t>
            </w:r>
          </w:p>
        </w:tc>
        <w:tc>
          <w:tcPr>
            <w:tcW w:w="771" w:type="dxa"/>
            <w:vAlign w:val="center"/>
          </w:tcPr>
          <w:p w14:paraId="359BE841" w14:textId="28DC14AF" w:rsidR="00B75423" w:rsidRPr="00B75423" w:rsidRDefault="00B75423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 w:rsidRPr="00B75423">
              <w:rPr>
                <w:sz w:val="16"/>
                <w:szCs w:val="16"/>
              </w:rPr>
              <w:t>100</w:t>
            </w:r>
          </w:p>
        </w:tc>
        <w:tc>
          <w:tcPr>
            <w:tcW w:w="1018" w:type="dxa"/>
            <w:vAlign w:val="center"/>
          </w:tcPr>
          <w:p w14:paraId="3929D56A" w14:textId="22910724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771" w:type="dxa"/>
            <w:vAlign w:val="center"/>
          </w:tcPr>
          <w:p w14:paraId="14ED0825" w14:textId="6A0EFE75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18" w:type="dxa"/>
            <w:vAlign w:val="center"/>
          </w:tcPr>
          <w:p w14:paraId="645E359A" w14:textId="32B00648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</w:p>
        </w:tc>
        <w:tc>
          <w:tcPr>
            <w:tcW w:w="551" w:type="dxa"/>
            <w:vAlign w:val="center"/>
          </w:tcPr>
          <w:p w14:paraId="0D3B3DB3" w14:textId="4A6C1CD1" w:rsidR="00B75423" w:rsidRPr="00B75423" w:rsidRDefault="00120B62" w:rsidP="00B75423">
            <w:pPr>
              <w:spacing w:after="0"/>
              <w:ind w:left="-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="007B78A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71" w:type="dxa"/>
            <w:vAlign w:val="center"/>
          </w:tcPr>
          <w:p w14:paraId="34BAACF5" w14:textId="0A2F8AC0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</w:t>
            </w:r>
          </w:p>
        </w:tc>
        <w:tc>
          <w:tcPr>
            <w:tcW w:w="1018" w:type="dxa"/>
            <w:vAlign w:val="center"/>
          </w:tcPr>
          <w:p w14:paraId="7889FDEE" w14:textId="7CDA6C86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765" w:type="dxa"/>
            <w:vAlign w:val="center"/>
          </w:tcPr>
          <w:p w14:paraId="60DF85E0" w14:textId="57DEF363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</w:p>
        </w:tc>
        <w:tc>
          <w:tcPr>
            <w:tcW w:w="1012" w:type="dxa"/>
            <w:vAlign w:val="center"/>
          </w:tcPr>
          <w:p w14:paraId="7A1FCA4C" w14:textId="52CE5BB5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551" w:type="dxa"/>
            <w:vAlign w:val="center"/>
          </w:tcPr>
          <w:p w14:paraId="59978189" w14:textId="1D0318F7" w:rsidR="00B75423" w:rsidRPr="00B75423" w:rsidRDefault="00120B62" w:rsidP="00B75423">
            <w:pPr>
              <w:spacing w:after="0"/>
              <w:ind w:left="-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  <w:r w:rsidR="007B78A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%</w:t>
            </w:r>
          </w:p>
        </w:tc>
      </w:tr>
      <w:tr w:rsidR="00B75423" w:rsidRPr="00EA747D" w14:paraId="134E53A1" w14:textId="24514F52" w:rsidTr="00B75423">
        <w:trPr>
          <w:trHeight w:val="227"/>
          <w:jc w:val="center"/>
        </w:trPr>
        <w:tc>
          <w:tcPr>
            <w:tcW w:w="820" w:type="dxa"/>
            <w:vAlign w:val="center"/>
          </w:tcPr>
          <w:p w14:paraId="2272B2A7" w14:textId="07BF155C" w:rsidR="00B75423" w:rsidRPr="00EA747D" w:rsidRDefault="00B75423" w:rsidP="00B75423">
            <w:pPr>
              <w:spacing w:after="0"/>
              <w:ind w:left="-57" w:right="-57" w:firstLine="0"/>
              <w:jc w:val="center"/>
              <w:rPr>
                <w:sz w:val="16"/>
                <w:szCs w:val="16"/>
              </w:rPr>
            </w:pPr>
            <w:r w:rsidRPr="00EA747D">
              <w:rPr>
                <w:sz w:val="16"/>
                <w:szCs w:val="16"/>
              </w:rPr>
              <w:t>2018</w:t>
            </w:r>
          </w:p>
        </w:tc>
        <w:tc>
          <w:tcPr>
            <w:tcW w:w="771" w:type="dxa"/>
            <w:vAlign w:val="center"/>
          </w:tcPr>
          <w:p w14:paraId="253C868A" w14:textId="1E123AA5" w:rsidR="00B75423" w:rsidRPr="00B75423" w:rsidRDefault="00B75423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 w:rsidRPr="00B75423">
              <w:rPr>
                <w:sz w:val="16"/>
                <w:szCs w:val="16"/>
              </w:rPr>
              <w:t>100</w:t>
            </w:r>
          </w:p>
        </w:tc>
        <w:tc>
          <w:tcPr>
            <w:tcW w:w="1018" w:type="dxa"/>
            <w:vAlign w:val="center"/>
          </w:tcPr>
          <w:p w14:paraId="1E0215C1" w14:textId="3D41A2CE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771" w:type="dxa"/>
            <w:vAlign w:val="center"/>
          </w:tcPr>
          <w:p w14:paraId="51095ABD" w14:textId="497681DB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18" w:type="dxa"/>
            <w:vAlign w:val="center"/>
          </w:tcPr>
          <w:p w14:paraId="6EEAE564" w14:textId="43462408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</w:t>
            </w:r>
          </w:p>
        </w:tc>
        <w:tc>
          <w:tcPr>
            <w:tcW w:w="551" w:type="dxa"/>
            <w:vAlign w:val="center"/>
          </w:tcPr>
          <w:p w14:paraId="446F1A46" w14:textId="09361659" w:rsidR="00B75423" w:rsidRPr="00B75423" w:rsidRDefault="00120B62" w:rsidP="00B75423">
            <w:pPr>
              <w:spacing w:after="0"/>
              <w:ind w:left="-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  <w:r w:rsidR="007B78A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71" w:type="dxa"/>
            <w:vAlign w:val="center"/>
          </w:tcPr>
          <w:p w14:paraId="754FCD76" w14:textId="4D9143CC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</w:t>
            </w:r>
          </w:p>
        </w:tc>
        <w:tc>
          <w:tcPr>
            <w:tcW w:w="1018" w:type="dxa"/>
            <w:vAlign w:val="center"/>
          </w:tcPr>
          <w:p w14:paraId="118A2680" w14:textId="3859B3A7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765" w:type="dxa"/>
            <w:vAlign w:val="center"/>
          </w:tcPr>
          <w:p w14:paraId="7BF3AF13" w14:textId="123769DC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1012" w:type="dxa"/>
            <w:vAlign w:val="center"/>
          </w:tcPr>
          <w:p w14:paraId="4E905D0B" w14:textId="12B1A683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51" w:type="dxa"/>
            <w:vAlign w:val="center"/>
          </w:tcPr>
          <w:p w14:paraId="5E5CBB81" w14:textId="4C98943C" w:rsidR="00B75423" w:rsidRPr="00B75423" w:rsidRDefault="00120B62" w:rsidP="00B75423">
            <w:pPr>
              <w:spacing w:after="0"/>
              <w:ind w:left="-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7B78A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%</w:t>
            </w:r>
          </w:p>
        </w:tc>
      </w:tr>
      <w:tr w:rsidR="00B75423" w:rsidRPr="00EA747D" w14:paraId="5BCCD61D" w14:textId="26921EFA" w:rsidTr="00B75423">
        <w:trPr>
          <w:trHeight w:val="227"/>
          <w:jc w:val="center"/>
        </w:trPr>
        <w:tc>
          <w:tcPr>
            <w:tcW w:w="820" w:type="dxa"/>
            <w:vAlign w:val="center"/>
          </w:tcPr>
          <w:p w14:paraId="3EEAF8CB" w14:textId="53934386" w:rsidR="00B75423" w:rsidRPr="00EA747D" w:rsidRDefault="00B75423" w:rsidP="00B75423">
            <w:pPr>
              <w:spacing w:after="0"/>
              <w:ind w:left="-57" w:right="-57" w:firstLine="0"/>
              <w:jc w:val="center"/>
              <w:rPr>
                <w:sz w:val="16"/>
                <w:szCs w:val="16"/>
              </w:rPr>
            </w:pPr>
            <w:r w:rsidRPr="00EA747D">
              <w:rPr>
                <w:sz w:val="16"/>
                <w:szCs w:val="16"/>
              </w:rPr>
              <w:t>2019</w:t>
            </w:r>
          </w:p>
        </w:tc>
        <w:tc>
          <w:tcPr>
            <w:tcW w:w="771" w:type="dxa"/>
            <w:vAlign w:val="center"/>
          </w:tcPr>
          <w:p w14:paraId="57574B27" w14:textId="3C6080D7" w:rsidR="00B75423" w:rsidRPr="00B75423" w:rsidRDefault="00B75423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 w:rsidRPr="00B75423">
              <w:rPr>
                <w:sz w:val="16"/>
                <w:szCs w:val="16"/>
              </w:rPr>
              <w:t>100</w:t>
            </w:r>
          </w:p>
        </w:tc>
        <w:tc>
          <w:tcPr>
            <w:tcW w:w="1018" w:type="dxa"/>
            <w:vAlign w:val="center"/>
          </w:tcPr>
          <w:p w14:paraId="4AEAF4FA" w14:textId="52795EF3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771" w:type="dxa"/>
            <w:vAlign w:val="center"/>
          </w:tcPr>
          <w:p w14:paraId="32C5048C" w14:textId="6C987FA9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18" w:type="dxa"/>
            <w:vAlign w:val="center"/>
          </w:tcPr>
          <w:p w14:paraId="4B4C2DA6" w14:textId="7367CB70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</w:t>
            </w:r>
          </w:p>
        </w:tc>
        <w:tc>
          <w:tcPr>
            <w:tcW w:w="551" w:type="dxa"/>
            <w:vAlign w:val="center"/>
          </w:tcPr>
          <w:p w14:paraId="44801B63" w14:textId="5AEEC2F6" w:rsidR="00B75423" w:rsidRPr="00B75423" w:rsidRDefault="00120B62" w:rsidP="00B75423">
            <w:pPr>
              <w:spacing w:after="0"/>
              <w:ind w:left="-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  <w:r w:rsidR="007B78A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771" w:type="dxa"/>
            <w:vAlign w:val="center"/>
          </w:tcPr>
          <w:p w14:paraId="01A775E4" w14:textId="39164AA1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</w:p>
        </w:tc>
        <w:tc>
          <w:tcPr>
            <w:tcW w:w="1018" w:type="dxa"/>
            <w:vAlign w:val="center"/>
          </w:tcPr>
          <w:p w14:paraId="106265E7" w14:textId="081ACBD9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765" w:type="dxa"/>
            <w:vAlign w:val="center"/>
          </w:tcPr>
          <w:p w14:paraId="29EBF9A1" w14:textId="204E41C6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  <w:tc>
          <w:tcPr>
            <w:tcW w:w="1012" w:type="dxa"/>
            <w:vAlign w:val="center"/>
          </w:tcPr>
          <w:p w14:paraId="5CD468FF" w14:textId="5828F6E2" w:rsidR="00B75423" w:rsidRPr="00B75423" w:rsidRDefault="00120B62" w:rsidP="00B75423">
            <w:pPr>
              <w:spacing w:after="0"/>
              <w:ind w:left="-57" w:right="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551" w:type="dxa"/>
            <w:vAlign w:val="center"/>
          </w:tcPr>
          <w:p w14:paraId="4EBB31DD" w14:textId="7629E51C" w:rsidR="00B75423" w:rsidRPr="00B75423" w:rsidRDefault="00120B62" w:rsidP="00B75423">
            <w:pPr>
              <w:spacing w:after="0"/>
              <w:ind w:left="-57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7B78A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%</w:t>
            </w:r>
          </w:p>
        </w:tc>
      </w:tr>
      <w:tr w:rsidR="00120B62" w:rsidRPr="00EA747D" w14:paraId="290C45BA" w14:textId="7E74CB57" w:rsidTr="00EC2573">
        <w:trPr>
          <w:trHeight w:val="227"/>
          <w:jc w:val="center"/>
        </w:trPr>
        <w:tc>
          <w:tcPr>
            <w:tcW w:w="820" w:type="dxa"/>
            <w:vAlign w:val="center"/>
          </w:tcPr>
          <w:p w14:paraId="5C3F0607" w14:textId="17D4AB75" w:rsidR="00120B62" w:rsidRPr="00B75423" w:rsidRDefault="00120B62" w:rsidP="00DB3D92">
            <w:pPr>
              <w:spacing w:after="0"/>
              <w:ind w:left="-57" w:right="-57" w:firstLine="0"/>
              <w:jc w:val="center"/>
              <w:rPr>
                <w:sz w:val="15"/>
                <w:szCs w:val="15"/>
              </w:rPr>
            </w:pPr>
            <w:r w:rsidRPr="00B75423">
              <w:rPr>
                <w:rFonts w:asciiTheme="minorHAnsi" w:eastAsia="Times New Roman" w:hAnsiTheme="minorHAnsi" w:cstheme="minorHAnsi"/>
                <w:b/>
                <w:sz w:val="15"/>
                <w:szCs w:val="15"/>
              </w:rPr>
              <w:t>Průměrná míra plnění</w:t>
            </w:r>
          </w:p>
        </w:tc>
        <w:tc>
          <w:tcPr>
            <w:tcW w:w="4129" w:type="dxa"/>
            <w:gridSpan w:val="5"/>
            <w:vAlign w:val="center"/>
          </w:tcPr>
          <w:p w14:paraId="5568397E" w14:textId="22FB8B5D" w:rsidR="00120B62" w:rsidRPr="00B75423" w:rsidRDefault="00120B62" w:rsidP="00B75423">
            <w:pPr>
              <w:spacing w:after="0"/>
              <w:ind w:left="-57" w:firstLine="0"/>
              <w:jc w:val="right"/>
              <w:rPr>
                <w:sz w:val="16"/>
                <w:szCs w:val="16"/>
              </w:rPr>
            </w:pPr>
            <w:r w:rsidRPr="00B7542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84 %</w:t>
            </w:r>
          </w:p>
        </w:tc>
        <w:tc>
          <w:tcPr>
            <w:tcW w:w="4117" w:type="dxa"/>
            <w:gridSpan w:val="5"/>
            <w:vAlign w:val="center"/>
          </w:tcPr>
          <w:p w14:paraId="61A9C390" w14:textId="03D48B2D" w:rsidR="00120B62" w:rsidRPr="00B75423" w:rsidRDefault="00120B62" w:rsidP="00B75423">
            <w:pPr>
              <w:spacing w:after="0"/>
              <w:ind w:left="-57" w:firstLine="0"/>
              <w:jc w:val="right"/>
              <w:rPr>
                <w:sz w:val="16"/>
                <w:szCs w:val="16"/>
              </w:rPr>
            </w:pPr>
            <w:r w:rsidRPr="00B7542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64 %</w:t>
            </w:r>
          </w:p>
        </w:tc>
      </w:tr>
    </w:tbl>
    <w:p w14:paraId="5258E8C2" w14:textId="2C5C4A83" w:rsidR="00D45518" w:rsidRDefault="00D45518" w:rsidP="0072254C">
      <w:pPr>
        <w:pStyle w:val="Zdroj"/>
        <w:spacing w:before="40" w:after="0"/>
        <w:rPr>
          <w:b w:val="0"/>
          <w:szCs w:val="20"/>
        </w:rPr>
      </w:pPr>
      <w:r w:rsidRPr="007529A8">
        <w:rPr>
          <w:szCs w:val="20"/>
          <w:lang w:eastAsia="cs-CZ"/>
        </w:rPr>
        <w:t>Zdroj:</w:t>
      </w:r>
      <w:r w:rsidRPr="00BE438C">
        <w:rPr>
          <w:b w:val="0"/>
          <w:szCs w:val="20"/>
          <w:lang w:eastAsia="cs-CZ"/>
        </w:rPr>
        <w:t xml:space="preserve"> </w:t>
      </w:r>
      <w:r w:rsidR="007B78A1">
        <w:rPr>
          <w:b w:val="0"/>
          <w:szCs w:val="20"/>
        </w:rPr>
        <w:t>i</w:t>
      </w:r>
      <w:r w:rsidR="002640BF" w:rsidRPr="002640BF">
        <w:rPr>
          <w:b w:val="0"/>
          <w:szCs w:val="20"/>
        </w:rPr>
        <w:t xml:space="preserve">nformace </w:t>
      </w:r>
      <w:r w:rsidR="00A6349A" w:rsidRPr="00A6349A">
        <w:rPr>
          <w:b w:val="0"/>
          <w:szCs w:val="20"/>
        </w:rPr>
        <w:t>PA ČR, MO.</w:t>
      </w:r>
    </w:p>
    <w:p w14:paraId="37E63DAF" w14:textId="70A3CBEA" w:rsidR="00600AFF" w:rsidRPr="00600AFF" w:rsidRDefault="00600AFF" w:rsidP="00983200">
      <w:pPr>
        <w:ind w:left="142" w:hanging="142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*</w:t>
      </w:r>
      <w:r w:rsidR="007B78A1"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>Za požadavek MV v letech 2017 a 2018 se považuje celkový maximální počet přijatých studentů.</w:t>
      </w:r>
    </w:p>
    <w:p w14:paraId="16D928EF" w14:textId="3D501678" w:rsidR="000B70BE" w:rsidRDefault="00210302" w:rsidP="00FB4706">
      <w:r w:rsidRPr="00EC3BF0">
        <w:t xml:space="preserve">Od akademického roku 2017/2018 </w:t>
      </w:r>
      <w:r>
        <w:t>bylo</w:t>
      </w:r>
      <w:r w:rsidRPr="00EC3BF0">
        <w:t xml:space="preserve"> určeno </w:t>
      </w:r>
      <w:r w:rsidRPr="00215D93">
        <w:rPr>
          <w:bCs/>
        </w:rPr>
        <w:t xml:space="preserve">100 míst prezenční formy studia pro </w:t>
      </w:r>
      <w:r w:rsidR="001A091E">
        <w:rPr>
          <w:bCs/>
        </w:rPr>
        <w:t>policisty</w:t>
      </w:r>
      <w:r w:rsidR="008F6669">
        <w:t>.</w:t>
      </w:r>
      <w:r w:rsidRPr="00EC3BF0">
        <w:t xml:space="preserve"> </w:t>
      </w:r>
      <w:r w:rsidR="008F6669">
        <w:t xml:space="preserve">MV přitom umožňovalo </w:t>
      </w:r>
      <w:r w:rsidR="0018604C">
        <w:t>tuto formu studia stávajícím policistům</w:t>
      </w:r>
      <w:r w:rsidR="004E2C19">
        <w:t xml:space="preserve"> v minimálním rozsahu</w:t>
      </w:r>
      <w:r w:rsidR="0018604C">
        <w:t xml:space="preserve"> </w:t>
      </w:r>
      <w:r w:rsidR="008F6669">
        <w:t>z důvodu nedost</w:t>
      </w:r>
      <w:r w:rsidR="0018604C">
        <w:t xml:space="preserve">atku policistů ve výkonu služby </w:t>
      </w:r>
      <w:r w:rsidR="008F6669">
        <w:t>(k 1. 1. 2020 ji</w:t>
      </w:r>
      <w:r w:rsidR="00A85AC6">
        <w:t>ch oproti stavu vycházejícího z </w:t>
      </w:r>
      <w:r w:rsidR="008F6669">
        <w:rPr>
          <w:i/>
        </w:rPr>
        <w:t>Koncepce</w:t>
      </w:r>
      <w:r w:rsidR="008F6669" w:rsidRPr="006E6B54">
        <w:rPr>
          <w:i/>
        </w:rPr>
        <w:t xml:space="preserve"> rozvoje Policie České republiky do roku 2020</w:t>
      </w:r>
      <w:r w:rsidR="00A85AC6">
        <w:t xml:space="preserve"> chybělo celkem 2 </w:t>
      </w:r>
      <w:r w:rsidR="008F6669">
        <w:t>943)</w:t>
      </w:r>
      <w:r w:rsidR="00990DA2">
        <w:t>.</w:t>
      </w:r>
      <w:r w:rsidR="008F6669">
        <w:t xml:space="preserve"> </w:t>
      </w:r>
      <w:r w:rsidR="00990DA2">
        <w:t>MV</w:t>
      </w:r>
      <w:r w:rsidR="008F6669">
        <w:t xml:space="preserve"> upřednostňoval</w:t>
      </w:r>
      <w:r w:rsidR="00B65623">
        <w:t>o</w:t>
      </w:r>
      <w:r w:rsidR="008F6669">
        <w:t xml:space="preserve"> </w:t>
      </w:r>
      <w:r w:rsidR="00497ABA">
        <w:t xml:space="preserve">především </w:t>
      </w:r>
      <w:r w:rsidR="008F6669">
        <w:t>kombinovanou formu studia.</w:t>
      </w:r>
    </w:p>
    <w:p w14:paraId="240421CE" w14:textId="6C3AAB06" w:rsidR="00C665C6" w:rsidRDefault="00F62C58" w:rsidP="00831942">
      <w:pPr>
        <w:rPr>
          <w:rFonts w:asciiTheme="minorHAnsi" w:hAnsiTheme="minorHAnsi" w:cstheme="minorHAnsi"/>
        </w:rPr>
      </w:pPr>
      <w:r>
        <w:t>Požadovaný</w:t>
      </w:r>
      <w:r w:rsidR="00244A5E">
        <w:t xml:space="preserve"> počet studentů vojáků přijatých ke studiu</w:t>
      </w:r>
      <w:r w:rsidR="00244A5E" w:rsidRPr="009956BA">
        <w:t xml:space="preserve"> </w:t>
      </w:r>
      <w:r w:rsidR="00A77788">
        <w:t xml:space="preserve">podle požadavků MO </w:t>
      </w:r>
      <w:r w:rsidR="00244A5E">
        <w:t xml:space="preserve">neplnila </w:t>
      </w:r>
      <w:r w:rsidR="004964BD">
        <w:t xml:space="preserve">ani </w:t>
      </w:r>
      <w:r w:rsidR="009956BA" w:rsidRPr="009956BA">
        <w:t>UNOB</w:t>
      </w:r>
      <w:r w:rsidR="00244A5E">
        <w:t xml:space="preserve">, která </w:t>
      </w:r>
      <w:r w:rsidR="00DB0488">
        <w:t xml:space="preserve">např. </w:t>
      </w:r>
      <w:r w:rsidR="00244A5E">
        <w:t xml:space="preserve">v roce 2019 splnila </w:t>
      </w:r>
      <w:r>
        <w:t>požadovaný</w:t>
      </w:r>
      <w:r w:rsidR="00244A5E">
        <w:t xml:space="preserve"> počet </w:t>
      </w:r>
      <w:r w:rsidR="00FA5C65">
        <w:t xml:space="preserve">přijatých </w:t>
      </w:r>
      <w:r w:rsidR="00E20221">
        <w:t xml:space="preserve">studentů </w:t>
      </w:r>
      <w:r w:rsidR="00244A5E">
        <w:t xml:space="preserve">pouze </w:t>
      </w:r>
      <w:r w:rsidR="00E20221">
        <w:t>z</w:t>
      </w:r>
      <w:r w:rsidR="00DB0488">
        <w:t xml:space="preserve"> 50 %. </w:t>
      </w:r>
      <w:r w:rsidR="00D513D1">
        <w:t>Zároveň p</w:t>
      </w:r>
      <w:r w:rsidR="00C665C6" w:rsidRPr="00215D93">
        <w:rPr>
          <w:rFonts w:asciiTheme="minorHAnsi" w:hAnsiTheme="minorHAnsi" w:cstheme="minorHAnsi"/>
        </w:rPr>
        <w:t xml:space="preserve">očet </w:t>
      </w:r>
      <w:r w:rsidR="00D513D1">
        <w:rPr>
          <w:rFonts w:asciiTheme="minorHAnsi" w:hAnsiTheme="minorHAnsi" w:cstheme="minorHAnsi"/>
        </w:rPr>
        <w:t>jej</w:t>
      </w:r>
      <w:r w:rsidR="00446756">
        <w:rPr>
          <w:rFonts w:asciiTheme="minorHAnsi" w:hAnsiTheme="minorHAnsi" w:cstheme="minorHAnsi"/>
        </w:rPr>
        <w:t>i</w:t>
      </w:r>
      <w:r w:rsidR="00D513D1">
        <w:rPr>
          <w:rFonts w:asciiTheme="minorHAnsi" w:hAnsiTheme="minorHAnsi" w:cstheme="minorHAnsi"/>
        </w:rPr>
        <w:t xml:space="preserve">ch </w:t>
      </w:r>
      <w:r w:rsidR="00C665C6" w:rsidRPr="00215D93">
        <w:rPr>
          <w:rFonts w:asciiTheme="minorHAnsi" w:hAnsiTheme="minorHAnsi" w:cstheme="minorHAnsi"/>
        </w:rPr>
        <w:t xml:space="preserve">absolventů </w:t>
      </w:r>
      <w:r w:rsidR="00D513D1">
        <w:rPr>
          <w:rFonts w:asciiTheme="minorHAnsi" w:hAnsiTheme="minorHAnsi" w:cstheme="minorHAnsi"/>
        </w:rPr>
        <w:t>vojáků</w:t>
      </w:r>
      <w:r w:rsidR="00C665C6" w:rsidRPr="00215D93">
        <w:rPr>
          <w:rFonts w:asciiTheme="minorHAnsi" w:hAnsiTheme="minorHAnsi" w:cstheme="minorHAnsi"/>
        </w:rPr>
        <w:t xml:space="preserve"> </w:t>
      </w:r>
      <w:r w:rsidR="00C665C6" w:rsidRPr="00A6349A">
        <w:rPr>
          <w:rFonts w:asciiTheme="minorHAnsi" w:hAnsiTheme="minorHAnsi" w:cstheme="minorHAnsi"/>
        </w:rPr>
        <w:t xml:space="preserve">v období </w:t>
      </w:r>
      <w:r w:rsidR="0066182D" w:rsidRPr="00A6349A">
        <w:rPr>
          <w:rFonts w:asciiTheme="minorHAnsi" w:hAnsiTheme="minorHAnsi" w:cstheme="minorHAnsi"/>
        </w:rPr>
        <w:t xml:space="preserve">2016 až 2019 </w:t>
      </w:r>
      <w:r w:rsidR="00C665C6" w:rsidRPr="00A6349A">
        <w:rPr>
          <w:rFonts w:asciiTheme="minorHAnsi" w:hAnsiTheme="minorHAnsi" w:cstheme="minorHAnsi"/>
        </w:rPr>
        <w:t>klesl o 47 %</w:t>
      </w:r>
      <w:r w:rsidR="00C665C6">
        <w:rPr>
          <w:rFonts w:asciiTheme="minorHAnsi" w:hAnsiTheme="minorHAnsi" w:cstheme="minorHAnsi"/>
        </w:rPr>
        <w:t xml:space="preserve"> (viz bod </w:t>
      </w:r>
      <w:r w:rsidR="001C24B8">
        <w:rPr>
          <w:rFonts w:asciiTheme="minorHAnsi" w:hAnsiTheme="minorHAnsi" w:cstheme="minorHAnsi"/>
        </w:rPr>
        <w:t xml:space="preserve">4. </w:t>
      </w:r>
      <w:r w:rsidR="007B78A1">
        <w:rPr>
          <w:rFonts w:asciiTheme="minorHAnsi" w:hAnsiTheme="minorHAnsi" w:cstheme="minorHAnsi"/>
        </w:rPr>
        <w:t xml:space="preserve">tohoto </w:t>
      </w:r>
      <w:r w:rsidR="001C24B8">
        <w:rPr>
          <w:rFonts w:asciiTheme="minorHAnsi" w:hAnsiTheme="minorHAnsi" w:cstheme="minorHAnsi"/>
        </w:rPr>
        <w:t>kontrolního závěru)</w:t>
      </w:r>
      <w:r w:rsidR="008750A9">
        <w:rPr>
          <w:rFonts w:asciiTheme="minorHAnsi" w:hAnsiTheme="minorHAnsi" w:cstheme="minorHAnsi"/>
        </w:rPr>
        <w:t>.</w:t>
      </w:r>
      <w:r w:rsidR="00A6349A">
        <w:rPr>
          <w:rFonts w:asciiTheme="minorHAnsi" w:hAnsiTheme="minorHAnsi" w:cstheme="minorHAnsi"/>
        </w:rPr>
        <w:t xml:space="preserve"> </w:t>
      </w:r>
      <w:r w:rsidR="00000882">
        <w:rPr>
          <w:rFonts w:asciiTheme="minorHAnsi" w:hAnsiTheme="minorHAnsi" w:cstheme="minorHAnsi"/>
        </w:rPr>
        <w:t xml:space="preserve">Současně </w:t>
      </w:r>
      <w:r w:rsidR="00C665C6" w:rsidRPr="00215D93">
        <w:rPr>
          <w:rFonts w:asciiTheme="minorHAnsi" w:hAnsiTheme="minorHAnsi" w:cstheme="minorHAnsi"/>
        </w:rPr>
        <w:t xml:space="preserve">počet neobsazených míst </w:t>
      </w:r>
      <w:r w:rsidR="008F6669">
        <w:rPr>
          <w:rFonts w:asciiTheme="minorHAnsi" w:hAnsiTheme="minorHAnsi" w:cstheme="minorHAnsi"/>
        </w:rPr>
        <w:t>MO (</w:t>
      </w:r>
      <w:r w:rsidR="00C665C6">
        <w:rPr>
          <w:rFonts w:asciiTheme="minorHAnsi" w:hAnsiTheme="minorHAnsi" w:cstheme="minorHAnsi"/>
        </w:rPr>
        <w:t>AČR</w:t>
      </w:r>
      <w:r w:rsidR="008F6669">
        <w:rPr>
          <w:rFonts w:asciiTheme="minorHAnsi" w:hAnsiTheme="minorHAnsi" w:cstheme="minorHAnsi"/>
        </w:rPr>
        <w:t>)</w:t>
      </w:r>
      <w:r w:rsidR="00C665C6">
        <w:rPr>
          <w:rFonts w:asciiTheme="minorHAnsi" w:hAnsiTheme="minorHAnsi" w:cstheme="minorHAnsi"/>
        </w:rPr>
        <w:t xml:space="preserve"> </w:t>
      </w:r>
      <w:r w:rsidR="00C665C6" w:rsidRPr="00215D93">
        <w:rPr>
          <w:rFonts w:asciiTheme="minorHAnsi" w:hAnsiTheme="minorHAnsi" w:cstheme="minorHAnsi"/>
        </w:rPr>
        <w:t xml:space="preserve">vysokoškolsky vzdělaným personálem </w:t>
      </w:r>
      <w:r w:rsidR="00000882" w:rsidRPr="00215D93">
        <w:rPr>
          <w:rFonts w:asciiTheme="minorHAnsi" w:hAnsiTheme="minorHAnsi" w:cstheme="minorHAnsi"/>
        </w:rPr>
        <w:t xml:space="preserve">vzrostl </w:t>
      </w:r>
      <w:r w:rsidR="00C665C6" w:rsidRPr="00215D93">
        <w:rPr>
          <w:rFonts w:asciiTheme="minorHAnsi" w:hAnsiTheme="minorHAnsi" w:cstheme="minorHAnsi"/>
        </w:rPr>
        <w:t xml:space="preserve">ze 456 v roce 2016 na 523 v roce 2019, tj. o 15 %. </w:t>
      </w:r>
      <w:r w:rsidR="003C59FE" w:rsidRPr="00215D93">
        <w:rPr>
          <w:rFonts w:asciiTheme="minorHAnsi" w:hAnsiTheme="minorHAnsi" w:cstheme="minorHAnsi"/>
        </w:rPr>
        <w:t>MO mělo nastaven</w:t>
      </w:r>
      <w:r w:rsidR="003C59FE">
        <w:rPr>
          <w:rFonts w:asciiTheme="minorHAnsi" w:hAnsiTheme="minorHAnsi" w:cstheme="minorHAnsi"/>
        </w:rPr>
        <w:t>y</w:t>
      </w:r>
      <w:r w:rsidR="003C59FE" w:rsidRPr="00215D93">
        <w:rPr>
          <w:rFonts w:asciiTheme="minorHAnsi" w:hAnsiTheme="minorHAnsi" w:cstheme="minorHAnsi"/>
        </w:rPr>
        <w:t xml:space="preserve"> </w:t>
      </w:r>
      <w:r w:rsidR="003C59FE">
        <w:rPr>
          <w:rFonts w:asciiTheme="minorHAnsi" w:hAnsiTheme="minorHAnsi" w:cstheme="minorHAnsi"/>
        </w:rPr>
        <w:t>požadavky</w:t>
      </w:r>
      <w:r w:rsidR="003C59FE" w:rsidRPr="00215D93">
        <w:rPr>
          <w:rFonts w:asciiTheme="minorHAnsi" w:hAnsiTheme="minorHAnsi" w:cstheme="minorHAnsi"/>
        </w:rPr>
        <w:t xml:space="preserve"> pro stanovení počtu studentů přijímaných do prvního ročníku </w:t>
      </w:r>
      <w:r w:rsidR="007B78A1">
        <w:rPr>
          <w:rFonts w:asciiTheme="minorHAnsi" w:hAnsiTheme="minorHAnsi" w:cstheme="minorHAnsi"/>
        </w:rPr>
        <w:t>podle</w:t>
      </w:r>
      <w:r w:rsidR="003C59FE" w:rsidRPr="00215D93">
        <w:rPr>
          <w:rFonts w:asciiTheme="minorHAnsi" w:hAnsiTheme="minorHAnsi" w:cstheme="minorHAnsi"/>
        </w:rPr>
        <w:t xml:space="preserve"> požadavků AČR</w:t>
      </w:r>
      <w:r w:rsidR="005371FD">
        <w:rPr>
          <w:rFonts w:asciiTheme="minorHAnsi" w:hAnsiTheme="minorHAnsi" w:cstheme="minorHAnsi"/>
        </w:rPr>
        <w:t xml:space="preserve">. </w:t>
      </w:r>
      <w:r w:rsidR="005371FD" w:rsidRPr="005371FD">
        <w:rPr>
          <w:rFonts w:asciiTheme="minorHAnsi" w:hAnsiTheme="minorHAnsi" w:cstheme="minorHAnsi"/>
        </w:rPr>
        <w:t>MO tyto požadavky v období 2017 až 2019 každoročně navyšovalo</w:t>
      </w:r>
      <w:r w:rsidR="003C59FE">
        <w:rPr>
          <w:rFonts w:asciiTheme="minorHAnsi" w:hAnsiTheme="minorHAnsi" w:cstheme="minorHAnsi"/>
        </w:rPr>
        <w:t>,</w:t>
      </w:r>
      <w:r w:rsidR="005371FD" w:rsidRPr="005371FD">
        <w:rPr>
          <w:rFonts w:asciiTheme="minorHAnsi" w:hAnsiTheme="minorHAnsi" w:cstheme="minorHAnsi"/>
        </w:rPr>
        <w:t xml:space="preserve"> ačkoliv je UNOB </w:t>
      </w:r>
      <w:r w:rsidR="005371FD" w:rsidRPr="005371FD">
        <w:rPr>
          <w:rFonts w:asciiTheme="minorHAnsi" w:hAnsiTheme="minorHAnsi" w:cstheme="minorHAnsi"/>
        </w:rPr>
        <w:lastRenderedPageBreak/>
        <w:t>nebyl</w:t>
      </w:r>
      <w:r w:rsidR="005371FD">
        <w:rPr>
          <w:rFonts w:asciiTheme="minorHAnsi" w:hAnsiTheme="minorHAnsi" w:cstheme="minorHAnsi"/>
        </w:rPr>
        <w:t>a schop</w:t>
      </w:r>
      <w:r w:rsidR="005371FD" w:rsidRPr="005371FD">
        <w:rPr>
          <w:rFonts w:asciiTheme="minorHAnsi" w:hAnsiTheme="minorHAnsi" w:cstheme="minorHAnsi"/>
        </w:rPr>
        <w:t>n</w:t>
      </w:r>
      <w:r w:rsidR="005371FD">
        <w:rPr>
          <w:rFonts w:asciiTheme="minorHAnsi" w:hAnsiTheme="minorHAnsi" w:cstheme="minorHAnsi"/>
        </w:rPr>
        <w:t>a</w:t>
      </w:r>
      <w:r w:rsidR="005371FD" w:rsidRPr="005371FD">
        <w:rPr>
          <w:rFonts w:asciiTheme="minorHAnsi" w:hAnsiTheme="minorHAnsi" w:cstheme="minorHAnsi"/>
        </w:rPr>
        <w:t xml:space="preserve"> splnit ani v prvním z uvedených roků. Skutečný počet přijatých vojáků ke studiu byl v uvedeném období obdobný</w:t>
      </w:r>
      <w:r w:rsidR="005371FD">
        <w:rPr>
          <w:rFonts w:asciiTheme="minorHAnsi" w:hAnsiTheme="minorHAnsi" w:cstheme="minorHAnsi"/>
        </w:rPr>
        <w:t>,</w:t>
      </w:r>
      <w:r w:rsidR="003C59FE">
        <w:rPr>
          <w:rFonts w:asciiTheme="minorHAnsi" w:hAnsiTheme="minorHAnsi" w:cstheme="minorHAnsi"/>
        </w:rPr>
        <w:t xml:space="preserve"> požadavky </w:t>
      </w:r>
      <w:r w:rsidR="005371FD">
        <w:rPr>
          <w:rFonts w:asciiTheme="minorHAnsi" w:hAnsiTheme="minorHAnsi" w:cstheme="minorHAnsi"/>
        </w:rPr>
        <w:t xml:space="preserve">MO </w:t>
      </w:r>
      <w:r w:rsidR="003C59FE">
        <w:rPr>
          <w:rFonts w:asciiTheme="minorHAnsi" w:hAnsiTheme="minorHAnsi" w:cstheme="minorHAnsi"/>
        </w:rPr>
        <w:t>se</w:t>
      </w:r>
      <w:r w:rsidR="005371FD">
        <w:rPr>
          <w:rFonts w:asciiTheme="minorHAnsi" w:hAnsiTheme="minorHAnsi" w:cstheme="minorHAnsi"/>
        </w:rPr>
        <w:t xml:space="preserve"> tak</w:t>
      </w:r>
      <w:r w:rsidR="007B78A1">
        <w:rPr>
          <w:rFonts w:asciiTheme="minorHAnsi" w:hAnsiTheme="minorHAnsi" w:cstheme="minorHAnsi"/>
        </w:rPr>
        <w:t>é</w:t>
      </w:r>
      <w:r w:rsidR="003C59FE">
        <w:rPr>
          <w:rFonts w:asciiTheme="minorHAnsi" w:hAnsiTheme="minorHAnsi" w:cstheme="minorHAnsi"/>
        </w:rPr>
        <w:t xml:space="preserve"> </w:t>
      </w:r>
      <w:r w:rsidR="003C59FE" w:rsidRPr="00215D93">
        <w:rPr>
          <w:rFonts w:asciiTheme="minorHAnsi" w:hAnsiTheme="minorHAnsi" w:cstheme="minorHAnsi"/>
        </w:rPr>
        <w:t>nedař</w:t>
      </w:r>
      <w:r w:rsidR="003C59FE">
        <w:rPr>
          <w:rFonts w:asciiTheme="minorHAnsi" w:hAnsiTheme="minorHAnsi" w:cstheme="minorHAnsi"/>
        </w:rPr>
        <w:t>ilo</w:t>
      </w:r>
      <w:r w:rsidR="003C59FE" w:rsidRPr="00215D93">
        <w:rPr>
          <w:rFonts w:asciiTheme="minorHAnsi" w:hAnsiTheme="minorHAnsi" w:cstheme="minorHAnsi"/>
        </w:rPr>
        <w:t xml:space="preserve"> </w:t>
      </w:r>
      <w:r w:rsidR="0018604C">
        <w:rPr>
          <w:rFonts w:asciiTheme="minorHAnsi" w:hAnsiTheme="minorHAnsi" w:cstheme="minorHAnsi"/>
        </w:rPr>
        <w:t xml:space="preserve">UNOB </w:t>
      </w:r>
      <w:r w:rsidR="003C59FE" w:rsidRPr="00215D93">
        <w:rPr>
          <w:rFonts w:asciiTheme="minorHAnsi" w:hAnsiTheme="minorHAnsi" w:cstheme="minorHAnsi"/>
        </w:rPr>
        <w:t xml:space="preserve">dlouhodobě </w:t>
      </w:r>
      <w:r w:rsidR="003C59FE" w:rsidRPr="00805735">
        <w:rPr>
          <w:rFonts w:asciiTheme="minorHAnsi" w:hAnsiTheme="minorHAnsi" w:cstheme="minorHAnsi"/>
        </w:rPr>
        <w:t>plnit</w:t>
      </w:r>
      <w:r w:rsidR="003C59FE">
        <w:rPr>
          <w:rFonts w:asciiTheme="minorHAnsi" w:hAnsiTheme="minorHAnsi" w:cstheme="minorHAnsi"/>
        </w:rPr>
        <w:t>. P</w:t>
      </w:r>
      <w:r w:rsidR="003C59FE" w:rsidRPr="006F73F8">
        <w:rPr>
          <w:rFonts w:asciiTheme="minorHAnsi" w:hAnsiTheme="minorHAnsi" w:cstheme="minorHAnsi"/>
        </w:rPr>
        <w:t xml:space="preserve">očet absolventů </w:t>
      </w:r>
      <w:r w:rsidR="0018604C">
        <w:rPr>
          <w:rFonts w:asciiTheme="minorHAnsi" w:hAnsiTheme="minorHAnsi" w:cstheme="minorHAnsi"/>
        </w:rPr>
        <w:t xml:space="preserve">UNOB </w:t>
      </w:r>
      <w:r w:rsidR="004D598C">
        <w:rPr>
          <w:rFonts w:asciiTheme="minorHAnsi" w:hAnsiTheme="minorHAnsi" w:cstheme="minorHAnsi"/>
        </w:rPr>
        <w:t xml:space="preserve">tak </w:t>
      </w:r>
      <w:r w:rsidR="003C59FE" w:rsidRPr="006F73F8">
        <w:rPr>
          <w:rFonts w:asciiTheme="minorHAnsi" w:hAnsiTheme="minorHAnsi" w:cstheme="minorHAnsi"/>
        </w:rPr>
        <w:t>neodpovíd</w:t>
      </w:r>
      <w:r w:rsidR="003C59FE">
        <w:rPr>
          <w:rFonts w:asciiTheme="minorHAnsi" w:hAnsiTheme="minorHAnsi" w:cstheme="minorHAnsi"/>
        </w:rPr>
        <w:t>al</w:t>
      </w:r>
      <w:r w:rsidR="003C59FE" w:rsidRPr="006F73F8">
        <w:rPr>
          <w:rFonts w:asciiTheme="minorHAnsi" w:hAnsiTheme="minorHAnsi" w:cstheme="minorHAnsi"/>
        </w:rPr>
        <w:t xml:space="preserve"> potřebám AČR</w:t>
      </w:r>
      <w:r w:rsidR="006A268D" w:rsidRPr="005371FD">
        <w:rPr>
          <w:rFonts w:asciiTheme="minorHAnsi" w:hAnsiTheme="minorHAnsi" w:cstheme="minorHAnsi"/>
        </w:rPr>
        <w:t xml:space="preserve">, jejímž úkolem </w:t>
      </w:r>
      <w:r w:rsidR="00797551" w:rsidRPr="005371FD">
        <w:rPr>
          <w:rFonts w:asciiTheme="minorHAnsi" w:hAnsiTheme="minorHAnsi" w:cstheme="minorHAnsi"/>
        </w:rPr>
        <w:t>vycházejícím z </w:t>
      </w:r>
      <w:r w:rsidR="00797551" w:rsidRPr="005371FD">
        <w:rPr>
          <w:rFonts w:asciiTheme="minorHAnsi" w:hAnsiTheme="minorHAnsi" w:cstheme="minorHAnsi"/>
          <w:i/>
        </w:rPr>
        <w:t xml:space="preserve">Koncepce výstavby Armády ČR do roku 2025 </w:t>
      </w:r>
      <w:r w:rsidR="006A268D" w:rsidRPr="005371FD">
        <w:rPr>
          <w:rFonts w:asciiTheme="minorHAnsi" w:hAnsiTheme="minorHAnsi" w:cstheme="minorHAnsi"/>
        </w:rPr>
        <w:t xml:space="preserve">bylo </w:t>
      </w:r>
      <w:r w:rsidR="00797551" w:rsidRPr="005371FD">
        <w:rPr>
          <w:rFonts w:asciiTheme="minorHAnsi" w:hAnsiTheme="minorHAnsi" w:cstheme="minorHAnsi"/>
        </w:rPr>
        <w:t xml:space="preserve">od roku 2016 </w:t>
      </w:r>
      <w:r w:rsidR="006A268D" w:rsidRPr="005371FD">
        <w:rPr>
          <w:rFonts w:asciiTheme="minorHAnsi" w:hAnsiTheme="minorHAnsi" w:cstheme="minorHAnsi"/>
        </w:rPr>
        <w:t>zvýšit počet vojáků o 5</w:t>
      </w:r>
      <w:r w:rsidR="0001333B" w:rsidRPr="005371FD">
        <w:rPr>
          <w:rFonts w:asciiTheme="minorHAnsi" w:hAnsiTheme="minorHAnsi" w:cstheme="minorHAnsi"/>
        </w:rPr>
        <w:t> </w:t>
      </w:r>
      <w:r w:rsidR="006A268D" w:rsidRPr="005371FD">
        <w:rPr>
          <w:rFonts w:asciiTheme="minorHAnsi" w:hAnsiTheme="minorHAnsi" w:cstheme="minorHAnsi"/>
        </w:rPr>
        <w:t>000</w:t>
      </w:r>
      <w:r w:rsidR="003C59FE">
        <w:rPr>
          <w:rFonts w:asciiTheme="minorHAnsi" w:hAnsiTheme="minorHAnsi" w:cstheme="minorHAnsi"/>
        </w:rPr>
        <w:t>.</w:t>
      </w:r>
    </w:p>
    <w:p w14:paraId="4D91B287" w14:textId="21BFEF21" w:rsidR="0018604C" w:rsidRDefault="0018604C" w:rsidP="0018604C">
      <w:pPr>
        <w:ind w:left="0" w:right="-2" w:firstLine="0"/>
      </w:pPr>
      <w:r>
        <w:t xml:space="preserve">PA ČR </w:t>
      </w:r>
      <w:r w:rsidRPr="00682B8B">
        <w:t>má vzdělávat odborníky zejména pro bezpečnostní sbory</w:t>
      </w:r>
      <w:r w:rsidR="00402AB7">
        <w:t xml:space="preserve"> </w:t>
      </w:r>
      <w:r w:rsidRPr="00682B8B">
        <w:t>a obecní policie</w:t>
      </w:r>
      <w:r>
        <w:t xml:space="preserve">, UNOB </w:t>
      </w:r>
      <w:r w:rsidRPr="00682B8B">
        <w:t>má vzdělávat odborníky zejména pro ozbrojené síly</w:t>
      </w:r>
      <w:r>
        <w:t xml:space="preserve">. </w:t>
      </w:r>
      <w:r w:rsidRPr="00353036">
        <w:t xml:space="preserve">Poměr </w:t>
      </w:r>
      <w:r>
        <w:t>policistů a vojáků k</w:t>
      </w:r>
      <w:r w:rsidRPr="00353036">
        <w:t xml:space="preserve"> civilní</w:t>
      </w:r>
      <w:r>
        <w:t>m</w:t>
      </w:r>
      <w:r w:rsidRPr="00353036">
        <w:t xml:space="preserve"> studentů</w:t>
      </w:r>
      <w:r>
        <w:t>m</w:t>
      </w:r>
      <w:r w:rsidRPr="00353036">
        <w:t xml:space="preserve"> přijatých na PA ČR a UNOB</w:t>
      </w:r>
      <w:r>
        <w:t xml:space="preserve"> je uveden v tabulce č. 3.</w:t>
      </w:r>
    </w:p>
    <w:p w14:paraId="697AC4F3" w14:textId="7BBD173D" w:rsidR="001E344A" w:rsidRPr="00C660F1" w:rsidRDefault="00C660F1" w:rsidP="00C660F1">
      <w:pPr>
        <w:spacing w:after="40"/>
        <w:ind w:left="1304" w:hanging="1304"/>
        <w:rPr>
          <w:b/>
        </w:rPr>
      </w:pPr>
      <w:r>
        <w:rPr>
          <w:b/>
          <w:color w:val="000000" w:themeColor="text1"/>
        </w:rPr>
        <w:t>Tabulka č. 3:</w:t>
      </w:r>
      <w:r>
        <w:rPr>
          <w:b/>
          <w:color w:val="000000" w:themeColor="text1"/>
        </w:rPr>
        <w:tab/>
      </w:r>
      <w:r w:rsidR="004964BD" w:rsidRPr="00C660F1">
        <w:rPr>
          <w:b/>
        </w:rPr>
        <w:t xml:space="preserve">Poměr </w:t>
      </w:r>
      <w:r w:rsidR="00276EF5" w:rsidRPr="00C660F1">
        <w:rPr>
          <w:b/>
        </w:rPr>
        <w:t xml:space="preserve">jednotlivých skupin studentů </w:t>
      </w:r>
      <w:r w:rsidR="002B666C" w:rsidRPr="00C660F1">
        <w:rPr>
          <w:b/>
        </w:rPr>
        <w:t>k</w:t>
      </w:r>
      <w:r w:rsidR="00276EF5" w:rsidRPr="00C660F1">
        <w:rPr>
          <w:b/>
        </w:rPr>
        <w:t xml:space="preserve"> celkovém</w:t>
      </w:r>
      <w:r w:rsidR="002B666C" w:rsidRPr="00C660F1">
        <w:rPr>
          <w:b/>
        </w:rPr>
        <w:t>u</w:t>
      </w:r>
      <w:r w:rsidR="00276EF5" w:rsidRPr="00C660F1">
        <w:rPr>
          <w:b/>
        </w:rPr>
        <w:t xml:space="preserve"> počtu studentů</w:t>
      </w:r>
      <w:r w:rsidR="004964BD" w:rsidRPr="00C660F1">
        <w:rPr>
          <w:b/>
        </w:rPr>
        <w:t xml:space="preserve"> přijatých </w:t>
      </w:r>
      <w:r w:rsidR="001F0ED1" w:rsidRPr="00C660F1">
        <w:rPr>
          <w:b/>
        </w:rPr>
        <w:br/>
      </w:r>
      <w:r w:rsidR="004964BD" w:rsidRPr="00C660F1">
        <w:rPr>
          <w:b/>
        </w:rPr>
        <w:t>na PA ČR a UNOB</w:t>
      </w:r>
      <w:r w:rsidR="00830A5F" w:rsidRPr="00C660F1">
        <w:rPr>
          <w:b/>
        </w:rPr>
        <w:t xml:space="preserve"> </w:t>
      </w:r>
    </w:p>
    <w:tbl>
      <w:tblPr>
        <w:tblStyle w:val="Mkatabulky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851"/>
        <w:gridCol w:w="708"/>
        <w:gridCol w:w="863"/>
        <w:gridCol w:w="847"/>
        <w:gridCol w:w="847"/>
        <w:gridCol w:w="847"/>
        <w:gridCol w:w="847"/>
        <w:gridCol w:w="847"/>
      </w:tblGrid>
      <w:tr w:rsidR="00406366" w:rsidRPr="00831942" w14:paraId="367B382C" w14:textId="77777777" w:rsidTr="00713CAF">
        <w:tc>
          <w:tcPr>
            <w:tcW w:w="851" w:type="dxa"/>
            <w:vMerge w:val="restart"/>
            <w:shd w:val="clear" w:color="auto" w:fill="E5F1FF"/>
            <w:vAlign w:val="center"/>
          </w:tcPr>
          <w:p w14:paraId="25E28B4D" w14:textId="77777777" w:rsidR="00406366" w:rsidRPr="00831942" w:rsidRDefault="00406366" w:rsidP="00831942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>Rok</w:t>
            </w:r>
          </w:p>
        </w:tc>
        <w:tc>
          <w:tcPr>
            <w:tcW w:w="4828" w:type="dxa"/>
            <w:gridSpan w:val="6"/>
            <w:shd w:val="clear" w:color="auto" w:fill="E5F1FF"/>
          </w:tcPr>
          <w:p w14:paraId="7F06C776" w14:textId="77777777" w:rsidR="00406366" w:rsidRPr="00831942" w:rsidRDefault="00406366" w:rsidP="00831942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>PA ČR</w:t>
            </w:r>
          </w:p>
        </w:tc>
        <w:tc>
          <w:tcPr>
            <w:tcW w:w="3388" w:type="dxa"/>
            <w:gridSpan w:val="4"/>
            <w:shd w:val="clear" w:color="auto" w:fill="E5F1FF"/>
          </w:tcPr>
          <w:p w14:paraId="421EE670" w14:textId="77777777" w:rsidR="00406366" w:rsidRPr="00831942" w:rsidRDefault="00406366" w:rsidP="00831942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>UNOB</w:t>
            </w:r>
          </w:p>
        </w:tc>
      </w:tr>
      <w:tr w:rsidR="00406366" w:rsidRPr="00831942" w14:paraId="7C5F397B" w14:textId="77777777" w:rsidTr="00713CAF">
        <w:trPr>
          <w:trHeight w:val="343"/>
        </w:trPr>
        <w:tc>
          <w:tcPr>
            <w:tcW w:w="851" w:type="dxa"/>
            <w:vMerge/>
            <w:shd w:val="clear" w:color="auto" w:fill="E5F1FF"/>
            <w:vAlign w:val="center"/>
          </w:tcPr>
          <w:p w14:paraId="3026AF86" w14:textId="77777777" w:rsidR="0063482A" w:rsidRPr="00831942" w:rsidRDefault="0063482A" w:rsidP="00831942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5F1FF"/>
            <w:vAlign w:val="center"/>
          </w:tcPr>
          <w:p w14:paraId="572882B7" w14:textId="5B4598D5" w:rsidR="0063482A" w:rsidRPr="00831942" w:rsidRDefault="00402AB7" w:rsidP="00402AB7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="0063482A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tudenti </w:t>
            </w:r>
            <w:r w:rsidR="001A091E">
              <w:rPr>
                <w:rFonts w:asciiTheme="minorHAnsi" w:hAnsiTheme="minorHAnsi" w:cstheme="minorHAnsi"/>
                <w:b/>
                <w:sz w:val="16"/>
                <w:szCs w:val="16"/>
              </w:rPr>
              <w:t>policisté</w:t>
            </w:r>
          </w:p>
        </w:tc>
        <w:tc>
          <w:tcPr>
            <w:tcW w:w="709" w:type="dxa"/>
            <w:shd w:val="clear" w:color="auto" w:fill="E5F1FF"/>
            <w:vAlign w:val="center"/>
          </w:tcPr>
          <w:p w14:paraId="482B9AEB" w14:textId="1136F26C" w:rsidR="0063482A" w:rsidRPr="00831942" w:rsidRDefault="00402AB7" w:rsidP="00402AB7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sym w:font="Symbol" w:char="F02D"/>
            </w:r>
            <w:r w:rsidR="0063482A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06366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jejich </w:t>
            </w:r>
            <w:r w:rsidR="0063482A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>podíl</w:t>
            </w:r>
          </w:p>
        </w:tc>
        <w:tc>
          <w:tcPr>
            <w:tcW w:w="851" w:type="dxa"/>
            <w:shd w:val="clear" w:color="auto" w:fill="E5F1FF"/>
            <w:vAlign w:val="center"/>
          </w:tcPr>
          <w:p w14:paraId="4BE30D8D" w14:textId="18050709" w:rsidR="0063482A" w:rsidRPr="00831942" w:rsidRDefault="00402AB7" w:rsidP="00831942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="0063482A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>ivilní studenti</w:t>
            </w:r>
          </w:p>
        </w:tc>
        <w:tc>
          <w:tcPr>
            <w:tcW w:w="708" w:type="dxa"/>
            <w:shd w:val="clear" w:color="auto" w:fill="E5F1FF"/>
            <w:vAlign w:val="center"/>
          </w:tcPr>
          <w:p w14:paraId="608BAE71" w14:textId="44624B0F" w:rsidR="0063482A" w:rsidRPr="00831942" w:rsidRDefault="00402AB7" w:rsidP="00831942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sym w:font="Symbol" w:char="F02D"/>
            </w:r>
            <w:r w:rsidR="0063482A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06366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jejich </w:t>
            </w:r>
            <w:r w:rsidR="0063482A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>podíl</w:t>
            </w:r>
          </w:p>
        </w:tc>
        <w:tc>
          <w:tcPr>
            <w:tcW w:w="863" w:type="dxa"/>
            <w:shd w:val="clear" w:color="auto" w:fill="E5F1FF"/>
            <w:vAlign w:val="center"/>
          </w:tcPr>
          <w:p w14:paraId="69B0052E" w14:textId="13EBAE14" w:rsidR="0063482A" w:rsidRPr="00831942" w:rsidRDefault="00402AB7" w:rsidP="00402AB7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="00A1256D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>statní</w:t>
            </w:r>
            <w:r w:rsidR="0063482A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studenti*</w:t>
            </w:r>
          </w:p>
        </w:tc>
        <w:tc>
          <w:tcPr>
            <w:tcW w:w="847" w:type="dxa"/>
            <w:shd w:val="clear" w:color="auto" w:fill="E5F1FF"/>
            <w:vAlign w:val="center"/>
          </w:tcPr>
          <w:p w14:paraId="20C3B7A4" w14:textId="5A01FD1C" w:rsidR="0063482A" w:rsidRPr="00831942" w:rsidRDefault="00402AB7" w:rsidP="00831942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sym w:font="Symbol" w:char="F02D"/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06366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jejich </w:t>
            </w:r>
            <w:r w:rsidR="0063482A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>podíl</w:t>
            </w:r>
          </w:p>
        </w:tc>
        <w:tc>
          <w:tcPr>
            <w:tcW w:w="847" w:type="dxa"/>
            <w:shd w:val="clear" w:color="auto" w:fill="E5F1FF"/>
            <w:vAlign w:val="center"/>
          </w:tcPr>
          <w:p w14:paraId="0F68C0B5" w14:textId="5381E585" w:rsidR="0063482A" w:rsidRPr="00831942" w:rsidRDefault="00402AB7" w:rsidP="00402AB7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="0063482A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tudenti vojáci </w:t>
            </w:r>
          </w:p>
        </w:tc>
        <w:tc>
          <w:tcPr>
            <w:tcW w:w="847" w:type="dxa"/>
            <w:shd w:val="clear" w:color="auto" w:fill="E5F1FF"/>
            <w:vAlign w:val="center"/>
          </w:tcPr>
          <w:p w14:paraId="40B5A716" w14:textId="75260C34" w:rsidR="0063482A" w:rsidRPr="00831942" w:rsidRDefault="00402AB7" w:rsidP="00831942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sym w:font="Symbol" w:char="F02D"/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06366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jejich </w:t>
            </w:r>
            <w:r w:rsidR="0063482A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>podíl</w:t>
            </w:r>
          </w:p>
        </w:tc>
        <w:tc>
          <w:tcPr>
            <w:tcW w:w="847" w:type="dxa"/>
            <w:shd w:val="clear" w:color="auto" w:fill="E5F1FF"/>
            <w:vAlign w:val="center"/>
          </w:tcPr>
          <w:p w14:paraId="13D7CDD6" w14:textId="394EF842" w:rsidR="0063482A" w:rsidRPr="00831942" w:rsidRDefault="00402AB7" w:rsidP="00402AB7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  <w:r w:rsidR="0063482A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>ivilní studenti</w:t>
            </w:r>
          </w:p>
        </w:tc>
        <w:tc>
          <w:tcPr>
            <w:tcW w:w="847" w:type="dxa"/>
            <w:shd w:val="clear" w:color="auto" w:fill="E5F1FF"/>
            <w:vAlign w:val="center"/>
          </w:tcPr>
          <w:p w14:paraId="59005239" w14:textId="2ED9F530" w:rsidR="0063482A" w:rsidRPr="00831942" w:rsidRDefault="00402AB7" w:rsidP="00831942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sym w:font="Symbol" w:char="F02D"/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06366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>jejich</w:t>
            </w:r>
            <w:r w:rsidR="0063482A" w:rsidRPr="0083194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podíl</w:t>
            </w:r>
          </w:p>
        </w:tc>
      </w:tr>
      <w:tr w:rsidR="00406366" w:rsidRPr="00831942" w14:paraId="3834BFD5" w14:textId="77777777" w:rsidTr="00713CAF">
        <w:tc>
          <w:tcPr>
            <w:tcW w:w="851" w:type="dxa"/>
            <w:shd w:val="clear" w:color="auto" w:fill="auto"/>
          </w:tcPr>
          <w:p w14:paraId="6C2D2FA6" w14:textId="77777777" w:rsidR="0063482A" w:rsidRPr="00831942" w:rsidRDefault="0063482A" w:rsidP="00831942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2016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89D8D6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506</w:t>
            </w:r>
          </w:p>
        </w:tc>
        <w:tc>
          <w:tcPr>
            <w:tcW w:w="709" w:type="dxa"/>
          </w:tcPr>
          <w:p w14:paraId="6F504203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53 %</w:t>
            </w:r>
          </w:p>
        </w:tc>
        <w:tc>
          <w:tcPr>
            <w:tcW w:w="851" w:type="dxa"/>
            <w:shd w:val="clear" w:color="auto" w:fill="auto"/>
          </w:tcPr>
          <w:p w14:paraId="750156BC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395</w:t>
            </w:r>
          </w:p>
        </w:tc>
        <w:tc>
          <w:tcPr>
            <w:tcW w:w="708" w:type="dxa"/>
          </w:tcPr>
          <w:p w14:paraId="4F696EFF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41 %</w:t>
            </w:r>
          </w:p>
        </w:tc>
        <w:tc>
          <w:tcPr>
            <w:tcW w:w="863" w:type="dxa"/>
            <w:shd w:val="clear" w:color="auto" w:fill="auto"/>
          </w:tcPr>
          <w:p w14:paraId="1AD3FA7D" w14:textId="77777777" w:rsidR="0063482A" w:rsidRPr="00831942" w:rsidRDefault="00A1256D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56</w:t>
            </w:r>
          </w:p>
        </w:tc>
        <w:tc>
          <w:tcPr>
            <w:tcW w:w="847" w:type="dxa"/>
          </w:tcPr>
          <w:p w14:paraId="513D5CAF" w14:textId="77777777" w:rsidR="0063482A" w:rsidRPr="00831942" w:rsidRDefault="00A1256D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6 %</w:t>
            </w:r>
          </w:p>
        </w:tc>
        <w:tc>
          <w:tcPr>
            <w:tcW w:w="847" w:type="dxa"/>
            <w:shd w:val="clear" w:color="auto" w:fill="auto"/>
          </w:tcPr>
          <w:p w14:paraId="3A198628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526</w:t>
            </w:r>
          </w:p>
        </w:tc>
        <w:tc>
          <w:tcPr>
            <w:tcW w:w="847" w:type="dxa"/>
          </w:tcPr>
          <w:p w14:paraId="003C8B8B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62 %</w:t>
            </w:r>
          </w:p>
        </w:tc>
        <w:tc>
          <w:tcPr>
            <w:tcW w:w="847" w:type="dxa"/>
            <w:shd w:val="clear" w:color="auto" w:fill="auto"/>
          </w:tcPr>
          <w:p w14:paraId="2DC21343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321</w:t>
            </w:r>
          </w:p>
        </w:tc>
        <w:tc>
          <w:tcPr>
            <w:tcW w:w="847" w:type="dxa"/>
          </w:tcPr>
          <w:p w14:paraId="0969BAED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38 %</w:t>
            </w:r>
          </w:p>
        </w:tc>
      </w:tr>
      <w:tr w:rsidR="00406366" w:rsidRPr="00831942" w14:paraId="3EAD20E2" w14:textId="77777777" w:rsidTr="00713CAF">
        <w:tc>
          <w:tcPr>
            <w:tcW w:w="851" w:type="dxa"/>
            <w:shd w:val="clear" w:color="auto" w:fill="auto"/>
          </w:tcPr>
          <w:p w14:paraId="5AB02EE3" w14:textId="77777777" w:rsidR="0063482A" w:rsidRPr="00831942" w:rsidRDefault="0063482A" w:rsidP="00831942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2017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039282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404</w:t>
            </w:r>
          </w:p>
        </w:tc>
        <w:tc>
          <w:tcPr>
            <w:tcW w:w="709" w:type="dxa"/>
          </w:tcPr>
          <w:p w14:paraId="0818491E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35 %</w:t>
            </w:r>
          </w:p>
        </w:tc>
        <w:tc>
          <w:tcPr>
            <w:tcW w:w="851" w:type="dxa"/>
            <w:shd w:val="clear" w:color="auto" w:fill="auto"/>
          </w:tcPr>
          <w:p w14:paraId="26B9A6BE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523</w:t>
            </w:r>
          </w:p>
        </w:tc>
        <w:tc>
          <w:tcPr>
            <w:tcW w:w="708" w:type="dxa"/>
          </w:tcPr>
          <w:p w14:paraId="3B3E8C42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46 %</w:t>
            </w:r>
          </w:p>
        </w:tc>
        <w:tc>
          <w:tcPr>
            <w:tcW w:w="863" w:type="dxa"/>
            <w:shd w:val="clear" w:color="auto" w:fill="auto"/>
          </w:tcPr>
          <w:p w14:paraId="69979385" w14:textId="77777777" w:rsidR="0063482A" w:rsidRPr="00831942" w:rsidRDefault="00A1256D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215</w:t>
            </w:r>
          </w:p>
        </w:tc>
        <w:tc>
          <w:tcPr>
            <w:tcW w:w="847" w:type="dxa"/>
          </w:tcPr>
          <w:p w14:paraId="77034375" w14:textId="77777777" w:rsidR="0063482A" w:rsidRPr="00831942" w:rsidRDefault="00A1256D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19 %</w:t>
            </w:r>
          </w:p>
        </w:tc>
        <w:tc>
          <w:tcPr>
            <w:tcW w:w="847" w:type="dxa"/>
            <w:shd w:val="clear" w:color="auto" w:fill="auto"/>
          </w:tcPr>
          <w:p w14:paraId="533FE028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392</w:t>
            </w:r>
          </w:p>
        </w:tc>
        <w:tc>
          <w:tcPr>
            <w:tcW w:w="847" w:type="dxa"/>
          </w:tcPr>
          <w:p w14:paraId="548733B9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64 %</w:t>
            </w:r>
          </w:p>
        </w:tc>
        <w:tc>
          <w:tcPr>
            <w:tcW w:w="847" w:type="dxa"/>
            <w:shd w:val="clear" w:color="auto" w:fill="auto"/>
          </w:tcPr>
          <w:p w14:paraId="61D82E33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216</w:t>
            </w:r>
          </w:p>
        </w:tc>
        <w:tc>
          <w:tcPr>
            <w:tcW w:w="847" w:type="dxa"/>
          </w:tcPr>
          <w:p w14:paraId="3D714D3E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36 %</w:t>
            </w:r>
          </w:p>
        </w:tc>
      </w:tr>
      <w:tr w:rsidR="00406366" w:rsidRPr="00831942" w14:paraId="2B6BF0B2" w14:textId="77777777" w:rsidTr="00713CAF">
        <w:tc>
          <w:tcPr>
            <w:tcW w:w="851" w:type="dxa"/>
            <w:shd w:val="clear" w:color="auto" w:fill="auto"/>
          </w:tcPr>
          <w:p w14:paraId="12D36462" w14:textId="77777777" w:rsidR="0063482A" w:rsidRPr="00831942" w:rsidRDefault="0063482A" w:rsidP="00831942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2018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BEB4C1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375</w:t>
            </w:r>
          </w:p>
        </w:tc>
        <w:tc>
          <w:tcPr>
            <w:tcW w:w="709" w:type="dxa"/>
          </w:tcPr>
          <w:p w14:paraId="79292FF2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41 %</w:t>
            </w:r>
          </w:p>
        </w:tc>
        <w:tc>
          <w:tcPr>
            <w:tcW w:w="851" w:type="dxa"/>
            <w:shd w:val="clear" w:color="auto" w:fill="auto"/>
          </w:tcPr>
          <w:p w14:paraId="3C213CF8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437</w:t>
            </w:r>
          </w:p>
        </w:tc>
        <w:tc>
          <w:tcPr>
            <w:tcW w:w="708" w:type="dxa"/>
          </w:tcPr>
          <w:p w14:paraId="622CB8DA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47 %</w:t>
            </w:r>
          </w:p>
        </w:tc>
        <w:tc>
          <w:tcPr>
            <w:tcW w:w="863" w:type="dxa"/>
            <w:shd w:val="clear" w:color="auto" w:fill="auto"/>
          </w:tcPr>
          <w:p w14:paraId="68BC7D54" w14:textId="77777777" w:rsidR="0063482A" w:rsidRPr="00831942" w:rsidRDefault="00A1256D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112</w:t>
            </w:r>
          </w:p>
        </w:tc>
        <w:tc>
          <w:tcPr>
            <w:tcW w:w="847" w:type="dxa"/>
          </w:tcPr>
          <w:p w14:paraId="2220DC34" w14:textId="77777777" w:rsidR="0063482A" w:rsidRPr="00831942" w:rsidRDefault="00A1256D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12 %</w:t>
            </w:r>
          </w:p>
        </w:tc>
        <w:tc>
          <w:tcPr>
            <w:tcW w:w="847" w:type="dxa"/>
            <w:shd w:val="clear" w:color="auto" w:fill="auto"/>
          </w:tcPr>
          <w:p w14:paraId="61AC84D0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369</w:t>
            </w:r>
          </w:p>
        </w:tc>
        <w:tc>
          <w:tcPr>
            <w:tcW w:w="847" w:type="dxa"/>
          </w:tcPr>
          <w:p w14:paraId="32701C2B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74 %</w:t>
            </w:r>
          </w:p>
        </w:tc>
        <w:tc>
          <w:tcPr>
            <w:tcW w:w="847" w:type="dxa"/>
            <w:shd w:val="clear" w:color="auto" w:fill="auto"/>
          </w:tcPr>
          <w:p w14:paraId="11F57A16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132</w:t>
            </w:r>
          </w:p>
        </w:tc>
        <w:tc>
          <w:tcPr>
            <w:tcW w:w="847" w:type="dxa"/>
          </w:tcPr>
          <w:p w14:paraId="11595704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26 %</w:t>
            </w:r>
          </w:p>
        </w:tc>
      </w:tr>
      <w:tr w:rsidR="00406366" w:rsidRPr="00831942" w14:paraId="7FB86E85" w14:textId="77777777" w:rsidTr="00713CAF">
        <w:tc>
          <w:tcPr>
            <w:tcW w:w="851" w:type="dxa"/>
            <w:shd w:val="clear" w:color="auto" w:fill="auto"/>
          </w:tcPr>
          <w:p w14:paraId="66FDB800" w14:textId="77777777" w:rsidR="0063482A" w:rsidRPr="00831942" w:rsidRDefault="0063482A" w:rsidP="00831942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2019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88C1F3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405</w:t>
            </w:r>
          </w:p>
        </w:tc>
        <w:tc>
          <w:tcPr>
            <w:tcW w:w="709" w:type="dxa"/>
          </w:tcPr>
          <w:p w14:paraId="4F855AF9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44 %</w:t>
            </w:r>
          </w:p>
        </w:tc>
        <w:tc>
          <w:tcPr>
            <w:tcW w:w="851" w:type="dxa"/>
            <w:shd w:val="clear" w:color="auto" w:fill="auto"/>
          </w:tcPr>
          <w:p w14:paraId="49FFD82D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435</w:t>
            </w:r>
          </w:p>
        </w:tc>
        <w:tc>
          <w:tcPr>
            <w:tcW w:w="708" w:type="dxa"/>
          </w:tcPr>
          <w:p w14:paraId="77150864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A1256D" w:rsidRPr="00831942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 xml:space="preserve"> %</w:t>
            </w:r>
          </w:p>
        </w:tc>
        <w:tc>
          <w:tcPr>
            <w:tcW w:w="863" w:type="dxa"/>
            <w:shd w:val="clear" w:color="auto" w:fill="auto"/>
          </w:tcPr>
          <w:p w14:paraId="7CEFE08E" w14:textId="77777777" w:rsidR="0063482A" w:rsidRPr="00831942" w:rsidRDefault="00A1256D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76</w:t>
            </w:r>
          </w:p>
        </w:tc>
        <w:tc>
          <w:tcPr>
            <w:tcW w:w="847" w:type="dxa"/>
          </w:tcPr>
          <w:p w14:paraId="1986AE16" w14:textId="77777777" w:rsidR="0063482A" w:rsidRPr="00831942" w:rsidRDefault="00A1256D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8 %</w:t>
            </w:r>
          </w:p>
        </w:tc>
        <w:tc>
          <w:tcPr>
            <w:tcW w:w="847" w:type="dxa"/>
            <w:shd w:val="clear" w:color="auto" w:fill="auto"/>
          </w:tcPr>
          <w:p w14:paraId="5ED13744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379</w:t>
            </w:r>
          </w:p>
        </w:tc>
        <w:tc>
          <w:tcPr>
            <w:tcW w:w="847" w:type="dxa"/>
          </w:tcPr>
          <w:p w14:paraId="1B420B2A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75 %</w:t>
            </w:r>
          </w:p>
        </w:tc>
        <w:tc>
          <w:tcPr>
            <w:tcW w:w="847" w:type="dxa"/>
            <w:shd w:val="clear" w:color="auto" w:fill="auto"/>
          </w:tcPr>
          <w:p w14:paraId="4FB30D78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126</w:t>
            </w:r>
          </w:p>
        </w:tc>
        <w:tc>
          <w:tcPr>
            <w:tcW w:w="847" w:type="dxa"/>
          </w:tcPr>
          <w:p w14:paraId="23188BD0" w14:textId="77777777" w:rsidR="0063482A" w:rsidRPr="00831942" w:rsidRDefault="0063482A" w:rsidP="00831942">
            <w:pPr>
              <w:spacing w:after="0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1942">
              <w:rPr>
                <w:rFonts w:asciiTheme="minorHAnsi" w:hAnsiTheme="minorHAnsi" w:cstheme="minorHAnsi"/>
                <w:sz w:val="16"/>
                <w:szCs w:val="16"/>
              </w:rPr>
              <w:t>25 %</w:t>
            </w:r>
          </w:p>
        </w:tc>
      </w:tr>
      <w:tr w:rsidR="008E21B1" w:rsidRPr="00831942" w14:paraId="6A5A1B1F" w14:textId="77777777" w:rsidTr="00713CAF">
        <w:tc>
          <w:tcPr>
            <w:tcW w:w="851" w:type="dxa"/>
            <w:shd w:val="clear" w:color="auto" w:fill="auto"/>
          </w:tcPr>
          <w:p w14:paraId="6174DADA" w14:textId="77777777" w:rsidR="008E21B1" w:rsidRPr="00713CAF" w:rsidRDefault="008E21B1" w:rsidP="00831942">
            <w:pPr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3CAF">
              <w:rPr>
                <w:rFonts w:asciiTheme="minorHAnsi" w:hAnsiTheme="minorHAnsi" w:cstheme="minorHAnsi"/>
                <w:b/>
                <w:sz w:val="16"/>
                <w:szCs w:val="16"/>
              </w:rPr>
              <w:t>Průměr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AFCC4D2" w14:textId="77777777" w:rsidR="008E21B1" w:rsidRPr="00713CAF" w:rsidRDefault="008E21B1" w:rsidP="00831942">
            <w:pPr>
              <w:spacing w:after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3CAF">
              <w:rPr>
                <w:rFonts w:asciiTheme="minorHAnsi" w:hAnsiTheme="minorHAnsi" w:cstheme="minorHAnsi"/>
                <w:b/>
                <w:sz w:val="16"/>
                <w:szCs w:val="16"/>
              </w:rPr>
              <w:t>43 %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178E26" w14:textId="689C7A83" w:rsidR="008E21B1" w:rsidRPr="00713CAF" w:rsidRDefault="008E21B1" w:rsidP="003923BE">
            <w:pPr>
              <w:spacing w:after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3CAF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 w:rsidR="003923BE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713CA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1710" w:type="dxa"/>
            <w:gridSpan w:val="2"/>
            <w:shd w:val="clear" w:color="auto" w:fill="auto"/>
          </w:tcPr>
          <w:p w14:paraId="58B503D2" w14:textId="5614D658" w:rsidR="008E21B1" w:rsidRPr="00713CAF" w:rsidRDefault="00827A0D" w:rsidP="003923BE">
            <w:pPr>
              <w:spacing w:after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3CAF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3923B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713CA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1694" w:type="dxa"/>
            <w:gridSpan w:val="2"/>
            <w:shd w:val="clear" w:color="auto" w:fill="auto"/>
          </w:tcPr>
          <w:p w14:paraId="33607C16" w14:textId="786FD73D" w:rsidR="008E21B1" w:rsidRPr="00713CAF" w:rsidRDefault="004F0373" w:rsidP="00831942">
            <w:pPr>
              <w:spacing w:after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  <w:r w:rsidR="003923BE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  <w:r w:rsidR="00827A0D" w:rsidRPr="00713CA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1694" w:type="dxa"/>
            <w:gridSpan w:val="2"/>
            <w:shd w:val="clear" w:color="auto" w:fill="auto"/>
          </w:tcPr>
          <w:p w14:paraId="178527F2" w14:textId="75A1473A" w:rsidR="008E21B1" w:rsidRPr="00713CAF" w:rsidRDefault="00827A0D" w:rsidP="00831942">
            <w:pPr>
              <w:spacing w:after="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13CAF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  <w:r w:rsidR="003923BE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  <w:r w:rsidRPr="00713CA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%</w:t>
            </w:r>
          </w:p>
        </w:tc>
      </w:tr>
    </w:tbl>
    <w:p w14:paraId="1DCF548C" w14:textId="2596C6C2" w:rsidR="002640BF" w:rsidRPr="00BE438C" w:rsidRDefault="002640BF" w:rsidP="001F0ED1">
      <w:pPr>
        <w:pStyle w:val="Zdroj"/>
        <w:spacing w:before="40" w:after="0"/>
        <w:rPr>
          <w:b w:val="0"/>
          <w:szCs w:val="20"/>
          <w:lang w:eastAsia="cs-CZ"/>
        </w:rPr>
      </w:pPr>
      <w:r w:rsidRPr="00A85AC6">
        <w:rPr>
          <w:szCs w:val="20"/>
          <w:lang w:eastAsia="cs-CZ"/>
        </w:rPr>
        <w:t>Zdroj:</w:t>
      </w:r>
      <w:r w:rsidRPr="00BE438C">
        <w:rPr>
          <w:b w:val="0"/>
          <w:szCs w:val="20"/>
          <w:lang w:eastAsia="cs-CZ"/>
        </w:rPr>
        <w:t xml:space="preserve"> </w:t>
      </w:r>
      <w:r w:rsidR="00402AB7">
        <w:rPr>
          <w:b w:val="0"/>
          <w:szCs w:val="20"/>
        </w:rPr>
        <w:t>i</w:t>
      </w:r>
      <w:r w:rsidRPr="002640BF">
        <w:rPr>
          <w:b w:val="0"/>
          <w:szCs w:val="20"/>
        </w:rPr>
        <w:t xml:space="preserve">nformace </w:t>
      </w:r>
      <w:r w:rsidRPr="00A6349A">
        <w:rPr>
          <w:b w:val="0"/>
          <w:szCs w:val="20"/>
        </w:rPr>
        <w:t>PA ČR, MO.</w:t>
      </w:r>
    </w:p>
    <w:p w14:paraId="35EB41FF" w14:textId="3BC396F3" w:rsidR="00E21F75" w:rsidRPr="00E21F75" w:rsidRDefault="00E21F75" w:rsidP="00983200">
      <w:pPr>
        <w:ind w:left="142" w:hanging="142"/>
        <w:rPr>
          <w:sz w:val="20"/>
          <w:szCs w:val="20"/>
        </w:rPr>
      </w:pPr>
      <w:r w:rsidRPr="00E21F75">
        <w:rPr>
          <w:sz w:val="20"/>
          <w:szCs w:val="20"/>
        </w:rPr>
        <w:t>*</w:t>
      </w:r>
      <w:r w:rsidR="001F0ED1">
        <w:rPr>
          <w:sz w:val="20"/>
          <w:szCs w:val="20"/>
        </w:rPr>
        <w:tab/>
      </w:r>
      <w:r>
        <w:rPr>
          <w:sz w:val="20"/>
          <w:szCs w:val="20"/>
        </w:rPr>
        <w:t>Na PA ČR mohou dále studovat příslušníci ostatních bezpečnostních sborů a obecní policie.</w:t>
      </w:r>
      <w:r w:rsidR="00612BE2">
        <w:rPr>
          <w:sz w:val="20"/>
          <w:szCs w:val="20"/>
        </w:rPr>
        <w:t xml:space="preserve"> Ti představují zbývající podíl studentů. </w:t>
      </w:r>
      <w:r>
        <w:rPr>
          <w:sz w:val="20"/>
          <w:szCs w:val="20"/>
        </w:rPr>
        <w:t xml:space="preserve"> </w:t>
      </w:r>
    </w:p>
    <w:p w14:paraId="1D4FA3E3" w14:textId="405271BF" w:rsidR="00AB2E4E" w:rsidRDefault="00644B68" w:rsidP="00594B04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 tabulky </w:t>
      </w:r>
      <w:r w:rsidR="00947A4F">
        <w:rPr>
          <w:rFonts w:asciiTheme="minorHAnsi" w:hAnsiTheme="minorHAnsi" w:cstheme="minorHAnsi"/>
        </w:rPr>
        <w:t xml:space="preserve">č. 3 </w:t>
      </w:r>
      <w:r>
        <w:rPr>
          <w:rFonts w:asciiTheme="minorHAnsi" w:hAnsiTheme="minorHAnsi" w:cstheme="minorHAnsi"/>
        </w:rPr>
        <w:t>vyplývá, že v</w:t>
      </w:r>
      <w:r w:rsidR="00D06C11">
        <w:rPr>
          <w:rFonts w:asciiTheme="minorHAnsi" w:hAnsiTheme="minorHAnsi" w:cstheme="minorHAnsi"/>
        </w:rPr>
        <w:t> období</w:t>
      </w:r>
      <w:r w:rsidR="00EF2E0A">
        <w:rPr>
          <w:rFonts w:asciiTheme="minorHAnsi" w:hAnsiTheme="minorHAnsi" w:cstheme="minorHAnsi"/>
        </w:rPr>
        <w:t xml:space="preserve"> </w:t>
      </w:r>
      <w:r w:rsidR="0066182D">
        <w:rPr>
          <w:rFonts w:asciiTheme="minorHAnsi" w:hAnsiTheme="minorHAnsi" w:cstheme="minorHAnsi"/>
        </w:rPr>
        <w:t xml:space="preserve">2016 až 2019 </w:t>
      </w:r>
      <w:r w:rsidR="00C7593F">
        <w:rPr>
          <w:rFonts w:asciiTheme="minorHAnsi" w:hAnsiTheme="minorHAnsi" w:cstheme="minorHAnsi"/>
        </w:rPr>
        <w:t xml:space="preserve">byl počet </w:t>
      </w:r>
      <w:r w:rsidR="00AA7C2E">
        <w:rPr>
          <w:rFonts w:asciiTheme="minorHAnsi" w:hAnsiTheme="minorHAnsi" w:cstheme="minorHAnsi"/>
        </w:rPr>
        <w:t xml:space="preserve">studentů </w:t>
      </w:r>
      <w:r w:rsidR="001A091E">
        <w:rPr>
          <w:rFonts w:asciiTheme="minorHAnsi" w:hAnsiTheme="minorHAnsi" w:cstheme="minorHAnsi"/>
        </w:rPr>
        <w:t>policistů</w:t>
      </w:r>
      <w:r w:rsidR="00C7593F">
        <w:rPr>
          <w:rFonts w:asciiTheme="minorHAnsi" w:hAnsiTheme="minorHAnsi" w:cstheme="minorHAnsi"/>
        </w:rPr>
        <w:t xml:space="preserve"> v poměru k celkovému počtu studentů přijatých na PA ČR nadpoloviční </w:t>
      </w:r>
      <w:r w:rsidR="00533370">
        <w:rPr>
          <w:rFonts w:asciiTheme="minorHAnsi" w:hAnsiTheme="minorHAnsi" w:cstheme="minorHAnsi"/>
        </w:rPr>
        <w:t>pouze</w:t>
      </w:r>
      <w:r w:rsidR="00353036">
        <w:rPr>
          <w:rFonts w:asciiTheme="minorHAnsi" w:hAnsiTheme="minorHAnsi" w:cstheme="minorHAnsi"/>
        </w:rPr>
        <w:t xml:space="preserve"> </w:t>
      </w:r>
      <w:r w:rsidR="005A623D">
        <w:rPr>
          <w:rFonts w:asciiTheme="minorHAnsi" w:hAnsiTheme="minorHAnsi" w:cstheme="minorHAnsi"/>
        </w:rPr>
        <w:t>v roce 2016</w:t>
      </w:r>
      <w:r w:rsidR="00612BE2">
        <w:rPr>
          <w:rFonts w:asciiTheme="minorHAnsi" w:hAnsiTheme="minorHAnsi" w:cstheme="minorHAnsi"/>
        </w:rPr>
        <w:t xml:space="preserve">. </w:t>
      </w:r>
      <w:r w:rsidR="00947A4F">
        <w:rPr>
          <w:rFonts w:asciiTheme="minorHAnsi" w:hAnsiTheme="minorHAnsi" w:cstheme="minorHAnsi"/>
        </w:rPr>
        <w:t>V roce 2017 poklesl n</w:t>
      </w:r>
      <w:r w:rsidR="0018604C">
        <w:rPr>
          <w:rFonts w:asciiTheme="minorHAnsi" w:hAnsiTheme="minorHAnsi" w:cstheme="minorHAnsi"/>
        </w:rPr>
        <w:t>a 35 %, poté nar</w:t>
      </w:r>
      <w:r w:rsidR="00682930">
        <w:rPr>
          <w:rFonts w:asciiTheme="minorHAnsi" w:hAnsiTheme="minorHAnsi" w:cstheme="minorHAnsi"/>
        </w:rPr>
        <w:t>ost</w:t>
      </w:r>
      <w:r w:rsidR="0018604C">
        <w:rPr>
          <w:rFonts w:asciiTheme="minorHAnsi" w:hAnsiTheme="minorHAnsi" w:cstheme="minorHAnsi"/>
        </w:rPr>
        <w:t xml:space="preserve">l na </w:t>
      </w:r>
      <w:r w:rsidR="00947A4F">
        <w:rPr>
          <w:rFonts w:asciiTheme="minorHAnsi" w:hAnsiTheme="minorHAnsi" w:cstheme="minorHAnsi"/>
        </w:rPr>
        <w:t xml:space="preserve">44 % v roce 2019. </w:t>
      </w:r>
      <w:r w:rsidR="006770F3">
        <w:rPr>
          <w:rFonts w:asciiTheme="minorHAnsi" w:hAnsiTheme="minorHAnsi" w:cstheme="minorHAnsi"/>
        </w:rPr>
        <w:t>P</w:t>
      </w:r>
      <w:r w:rsidR="00EF2E0A">
        <w:rPr>
          <w:rFonts w:asciiTheme="minorHAnsi" w:hAnsiTheme="minorHAnsi" w:cstheme="minorHAnsi"/>
        </w:rPr>
        <w:t xml:space="preserve">očet vojáků </w:t>
      </w:r>
      <w:r w:rsidR="00612BE2">
        <w:rPr>
          <w:rFonts w:asciiTheme="minorHAnsi" w:hAnsiTheme="minorHAnsi" w:cstheme="minorHAnsi"/>
        </w:rPr>
        <w:t xml:space="preserve">přijímaných na UNOB </w:t>
      </w:r>
      <w:r w:rsidR="00947A4F">
        <w:rPr>
          <w:rFonts w:asciiTheme="minorHAnsi" w:hAnsiTheme="minorHAnsi" w:cstheme="minorHAnsi"/>
        </w:rPr>
        <w:t xml:space="preserve">byl </w:t>
      </w:r>
      <w:r w:rsidR="00C7593F">
        <w:rPr>
          <w:rFonts w:asciiTheme="minorHAnsi" w:hAnsiTheme="minorHAnsi" w:cstheme="minorHAnsi"/>
        </w:rPr>
        <w:t>v</w:t>
      </w:r>
      <w:r w:rsidR="0066182D">
        <w:rPr>
          <w:rFonts w:asciiTheme="minorHAnsi" w:hAnsiTheme="minorHAnsi" w:cstheme="minorHAnsi"/>
        </w:rPr>
        <w:t>e stejném</w:t>
      </w:r>
      <w:r w:rsidR="00EC2573">
        <w:rPr>
          <w:rFonts w:asciiTheme="minorHAnsi" w:hAnsiTheme="minorHAnsi" w:cstheme="minorHAnsi"/>
        </w:rPr>
        <w:t xml:space="preserve"> </w:t>
      </w:r>
      <w:r w:rsidR="00C7593F">
        <w:rPr>
          <w:rFonts w:asciiTheme="minorHAnsi" w:hAnsiTheme="minorHAnsi" w:cstheme="minorHAnsi"/>
        </w:rPr>
        <w:t>období</w:t>
      </w:r>
      <w:r w:rsidR="00947A4F">
        <w:rPr>
          <w:rFonts w:asciiTheme="minorHAnsi" w:hAnsiTheme="minorHAnsi" w:cstheme="minorHAnsi"/>
        </w:rPr>
        <w:t xml:space="preserve"> </w:t>
      </w:r>
      <w:r w:rsidR="00EF2E0A">
        <w:rPr>
          <w:rFonts w:asciiTheme="minorHAnsi" w:hAnsiTheme="minorHAnsi" w:cstheme="minorHAnsi"/>
        </w:rPr>
        <w:t xml:space="preserve">v poměru k celkovému počtu </w:t>
      </w:r>
      <w:r w:rsidR="00353036">
        <w:rPr>
          <w:rFonts w:asciiTheme="minorHAnsi" w:hAnsiTheme="minorHAnsi" w:cstheme="minorHAnsi"/>
        </w:rPr>
        <w:t xml:space="preserve">přijatých </w:t>
      </w:r>
      <w:r w:rsidR="00EF2E0A">
        <w:rPr>
          <w:rFonts w:asciiTheme="minorHAnsi" w:hAnsiTheme="minorHAnsi" w:cstheme="minorHAnsi"/>
        </w:rPr>
        <w:t xml:space="preserve">studentů </w:t>
      </w:r>
      <w:r w:rsidR="00612BE2">
        <w:rPr>
          <w:rFonts w:asciiTheme="minorHAnsi" w:hAnsiTheme="minorHAnsi" w:cstheme="minorHAnsi"/>
        </w:rPr>
        <w:t xml:space="preserve">vždy </w:t>
      </w:r>
      <w:r w:rsidR="00EF2E0A">
        <w:rPr>
          <w:rFonts w:asciiTheme="minorHAnsi" w:hAnsiTheme="minorHAnsi" w:cstheme="minorHAnsi"/>
        </w:rPr>
        <w:t>nadpoloviční</w:t>
      </w:r>
      <w:r w:rsidR="00AA7C2E">
        <w:rPr>
          <w:rFonts w:asciiTheme="minorHAnsi" w:hAnsiTheme="minorHAnsi" w:cstheme="minorHAnsi"/>
        </w:rPr>
        <w:t xml:space="preserve"> </w:t>
      </w:r>
      <w:r w:rsidR="00353036">
        <w:rPr>
          <w:rFonts w:asciiTheme="minorHAnsi" w:hAnsiTheme="minorHAnsi" w:cstheme="minorHAnsi"/>
        </w:rPr>
        <w:t xml:space="preserve">s </w:t>
      </w:r>
      <w:r w:rsidR="00612BE2">
        <w:rPr>
          <w:rFonts w:asciiTheme="minorHAnsi" w:hAnsiTheme="minorHAnsi" w:cstheme="minorHAnsi"/>
        </w:rPr>
        <w:t>rostoucí tendenc</w:t>
      </w:r>
      <w:r w:rsidR="00353036">
        <w:rPr>
          <w:rFonts w:asciiTheme="minorHAnsi" w:hAnsiTheme="minorHAnsi" w:cstheme="minorHAnsi"/>
        </w:rPr>
        <w:t>í</w:t>
      </w:r>
      <w:r w:rsidR="00947A4F">
        <w:rPr>
          <w:rFonts w:asciiTheme="minorHAnsi" w:hAnsiTheme="minorHAnsi" w:cstheme="minorHAnsi"/>
        </w:rPr>
        <w:t xml:space="preserve"> (podíl se zvýšil z 62 % v roce 2016 až na 75 % v roce 2019). </w:t>
      </w:r>
      <w:r>
        <w:rPr>
          <w:rFonts w:asciiTheme="minorHAnsi" w:hAnsiTheme="minorHAnsi" w:cstheme="minorHAnsi"/>
        </w:rPr>
        <w:t>Z </w:t>
      </w:r>
      <w:r w:rsidR="00FC7806">
        <w:rPr>
          <w:rFonts w:asciiTheme="minorHAnsi" w:hAnsiTheme="minorHAnsi" w:cstheme="minorHAnsi"/>
        </w:rPr>
        <w:t xml:space="preserve">výše </w:t>
      </w:r>
      <w:r w:rsidR="000A6427">
        <w:rPr>
          <w:rFonts w:asciiTheme="minorHAnsi" w:hAnsiTheme="minorHAnsi" w:cstheme="minorHAnsi"/>
        </w:rPr>
        <w:t xml:space="preserve">uvedeného vyplývá zvyšující se podíl civilních studentů na </w:t>
      </w:r>
      <w:r w:rsidR="00993CE1">
        <w:rPr>
          <w:rFonts w:asciiTheme="minorHAnsi" w:hAnsiTheme="minorHAnsi" w:cstheme="minorHAnsi"/>
        </w:rPr>
        <w:t>PA ČR</w:t>
      </w:r>
      <w:r w:rsidR="00947A4F">
        <w:rPr>
          <w:rFonts w:asciiTheme="minorHAnsi" w:hAnsiTheme="minorHAnsi" w:cstheme="minorHAnsi"/>
        </w:rPr>
        <w:t xml:space="preserve">, naopak </w:t>
      </w:r>
      <w:r w:rsidR="00993CE1">
        <w:rPr>
          <w:rFonts w:asciiTheme="minorHAnsi" w:hAnsiTheme="minorHAnsi" w:cstheme="minorHAnsi"/>
        </w:rPr>
        <w:t xml:space="preserve">UNOB </w:t>
      </w:r>
      <w:r w:rsidR="00386A60">
        <w:rPr>
          <w:rFonts w:asciiTheme="minorHAnsi" w:hAnsiTheme="minorHAnsi" w:cstheme="minorHAnsi"/>
        </w:rPr>
        <w:t xml:space="preserve">svým zaměřením </w:t>
      </w:r>
      <w:r w:rsidR="00993CE1">
        <w:rPr>
          <w:rFonts w:asciiTheme="minorHAnsi" w:hAnsiTheme="minorHAnsi" w:cstheme="minorHAnsi"/>
        </w:rPr>
        <w:t xml:space="preserve">zůstává </w:t>
      </w:r>
      <w:r w:rsidR="00947A4F">
        <w:rPr>
          <w:rFonts w:asciiTheme="minorHAnsi" w:hAnsiTheme="minorHAnsi" w:cstheme="minorHAnsi"/>
        </w:rPr>
        <w:t xml:space="preserve">i </w:t>
      </w:r>
      <w:r w:rsidR="00FE55E4">
        <w:rPr>
          <w:rFonts w:asciiTheme="minorHAnsi" w:hAnsiTheme="minorHAnsi" w:cstheme="minorHAnsi"/>
        </w:rPr>
        <w:t xml:space="preserve">nadále </w:t>
      </w:r>
      <w:r w:rsidR="00353036">
        <w:rPr>
          <w:rFonts w:asciiTheme="minorHAnsi" w:hAnsiTheme="minorHAnsi" w:cstheme="minorHAnsi"/>
        </w:rPr>
        <w:t xml:space="preserve">státní </w:t>
      </w:r>
      <w:r w:rsidR="00993CE1">
        <w:rPr>
          <w:rFonts w:asciiTheme="minorHAnsi" w:hAnsiTheme="minorHAnsi" w:cstheme="minorHAnsi"/>
        </w:rPr>
        <w:t xml:space="preserve">vysokou školou pro vojáky. </w:t>
      </w:r>
    </w:p>
    <w:p w14:paraId="134F038D" w14:textId="06D6DC2A" w:rsidR="00AB2E4E" w:rsidRDefault="00AB2E4E" w:rsidP="00AB2E4E">
      <w:pPr>
        <w:shd w:val="clear" w:color="auto" w:fill="FFFFFF" w:themeFill="background1"/>
        <w:rPr>
          <w:rFonts w:asciiTheme="minorHAnsi" w:hAnsiTheme="minorHAnsi" w:cstheme="minorHAnsi"/>
        </w:rPr>
      </w:pPr>
      <w:r w:rsidRPr="00215D93">
        <w:rPr>
          <w:rFonts w:asciiTheme="minorHAnsi" w:hAnsiTheme="minorHAnsi" w:cstheme="minorHAnsi"/>
        </w:rPr>
        <w:t>Podíl absolventů UNOB</w:t>
      </w:r>
      <w:r w:rsidR="00C976FB">
        <w:rPr>
          <w:rFonts w:asciiTheme="minorHAnsi" w:hAnsiTheme="minorHAnsi" w:cstheme="minorHAnsi"/>
        </w:rPr>
        <w:t>, kteří se uplatnil</w:t>
      </w:r>
      <w:r w:rsidR="0016542D">
        <w:rPr>
          <w:rFonts w:asciiTheme="minorHAnsi" w:hAnsiTheme="minorHAnsi" w:cstheme="minorHAnsi"/>
        </w:rPr>
        <w:t xml:space="preserve">i </w:t>
      </w:r>
      <w:r w:rsidRPr="00215D93">
        <w:rPr>
          <w:rFonts w:asciiTheme="minorHAnsi" w:hAnsiTheme="minorHAnsi" w:cstheme="minorHAnsi"/>
        </w:rPr>
        <w:t>na vedoucích pozicích v rámci MO</w:t>
      </w:r>
      <w:r w:rsidR="00C976FB">
        <w:rPr>
          <w:rFonts w:asciiTheme="minorHAnsi" w:hAnsiTheme="minorHAnsi" w:cstheme="minorHAnsi"/>
        </w:rPr>
        <w:t>,</w:t>
      </w:r>
      <w:r w:rsidRPr="00215D93">
        <w:rPr>
          <w:rFonts w:asciiTheme="minorHAnsi" w:hAnsiTheme="minorHAnsi" w:cstheme="minorHAnsi"/>
        </w:rPr>
        <w:t xml:space="preserve"> byl </w:t>
      </w:r>
      <w:r w:rsidR="009A54E3">
        <w:rPr>
          <w:rFonts w:asciiTheme="minorHAnsi" w:hAnsiTheme="minorHAnsi" w:cstheme="minorHAnsi"/>
        </w:rPr>
        <w:t>ke konci srpna </w:t>
      </w:r>
      <w:r w:rsidRPr="00215D93">
        <w:rPr>
          <w:rFonts w:asciiTheme="minorHAnsi" w:hAnsiTheme="minorHAnsi" w:cstheme="minorHAnsi"/>
        </w:rPr>
        <w:t>2019 ve výši</w:t>
      </w:r>
      <w:r w:rsidR="00C976FB">
        <w:rPr>
          <w:rFonts w:asciiTheme="minorHAnsi" w:hAnsiTheme="minorHAnsi" w:cstheme="minorHAnsi"/>
        </w:rPr>
        <w:t xml:space="preserve"> </w:t>
      </w:r>
      <w:r w:rsidRPr="00215D93">
        <w:rPr>
          <w:rFonts w:asciiTheme="minorHAnsi" w:hAnsiTheme="minorHAnsi" w:cstheme="minorHAnsi"/>
        </w:rPr>
        <w:t xml:space="preserve">54 %. </w:t>
      </w:r>
      <w:r w:rsidR="00446756">
        <w:rPr>
          <w:rFonts w:asciiTheme="minorHAnsi" w:hAnsiTheme="minorHAnsi" w:cstheme="minorHAnsi"/>
        </w:rPr>
        <w:t>P</w:t>
      </w:r>
      <w:r w:rsidRPr="00215D93">
        <w:rPr>
          <w:rFonts w:asciiTheme="minorHAnsi" w:hAnsiTheme="minorHAnsi" w:cstheme="minorHAnsi"/>
        </w:rPr>
        <w:t>odíl absolventů PA ČR</w:t>
      </w:r>
      <w:r w:rsidR="00C976FB">
        <w:rPr>
          <w:rFonts w:asciiTheme="minorHAnsi" w:hAnsiTheme="minorHAnsi" w:cstheme="minorHAnsi"/>
        </w:rPr>
        <w:t>, kteří se uplatnil</w:t>
      </w:r>
      <w:r w:rsidR="00402AB7">
        <w:rPr>
          <w:rFonts w:asciiTheme="minorHAnsi" w:hAnsiTheme="minorHAnsi" w:cstheme="minorHAnsi"/>
        </w:rPr>
        <w:t>i</w:t>
      </w:r>
      <w:r w:rsidRPr="00215D93">
        <w:rPr>
          <w:rFonts w:asciiTheme="minorHAnsi" w:hAnsiTheme="minorHAnsi" w:cstheme="minorHAnsi"/>
        </w:rPr>
        <w:t xml:space="preserve"> na vedoucích pozicích v rámci PČR</w:t>
      </w:r>
      <w:r w:rsidR="00C976FB">
        <w:rPr>
          <w:rFonts w:asciiTheme="minorHAnsi" w:hAnsiTheme="minorHAnsi" w:cstheme="minorHAnsi"/>
        </w:rPr>
        <w:t>,</w:t>
      </w:r>
      <w:r w:rsidRPr="00215D93">
        <w:rPr>
          <w:rFonts w:asciiTheme="minorHAnsi" w:hAnsiTheme="minorHAnsi" w:cstheme="minorHAnsi"/>
        </w:rPr>
        <w:t xml:space="preserve"> byl k</w:t>
      </w:r>
      <w:r>
        <w:rPr>
          <w:rFonts w:asciiTheme="minorHAnsi" w:hAnsiTheme="minorHAnsi" w:cstheme="minorHAnsi"/>
        </w:rPr>
        <w:t xml:space="preserve">e stejnému datu </w:t>
      </w:r>
      <w:r w:rsidRPr="00215D93">
        <w:rPr>
          <w:rFonts w:asciiTheme="minorHAnsi" w:hAnsiTheme="minorHAnsi" w:cstheme="minorHAnsi"/>
        </w:rPr>
        <w:t>ve výši 21 %</w:t>
      </w:r>
      <w:r>
        <w:rPr>
          <w:rFonts w:asciiTheme="minorHAnsi" w:hAnsiTheme="minorHAnsi" w:cstheme="minorHAnsi"/>
        </w:rPr>
        <w:t xml:space="preserve">. </w:t>
      </w:r>
      <w:r w:rsidR="0060043A" w:rsidRPr="00DA5AD1">
        <w:t>V </w:t>
      </w:r>
      <w:r w:rsidR="0060043A" w:rsidRPr="0082037A">
        <w:t xml:space="preserve">letech 2016 až 2019 </w:t>
      </w:r>
      <w:r w:rsidR="007F12E2">
        <w:t>bylo k PČR přijato celkem 5 881 </w:t>
      </w:r>
      <w:r w:rsidR="0060043A" w:rsidRPr="0082037A">
        <w:t xml:space="preserve">policistů, z nichž bylo 1 493 vysokoškolsky vzdělaných, tj. 25 %. </w:t>
      </w:r>
      <w:r w:rsidR="008026C2">
        <w:rPr>
          <w:bCs/>
        </w:rPr>
        <w:t xml:space="preserve">MV ale </w:t>
      </w:r>
      <w:r w:rsidR="0060043A" w:rsidRPr="00EC5C41">
        <w:rPr>
          <w:bCs/>
        </w:rPr>
        <w:t xml:space="preserve">nesledovalo počty absolventů PA ČR, kteří bezprostředně po jejím absolvování nastoupili do služebního poměru k PČR. MV tak </w:t>
      </w:r>
      <w:r w:rsidR="008026C2">
        <w:rPr>
          <w:bCs/>
        </w:rPr>
        <w:t>nemohlo</w:t>
      </w:r>
      <w:r w:rsidR="0060043A" w:rsidRPr="00EC5C41">
        <w:rPr>
          <w:bCs/>
        </w:rPr>
        <w:t xml:space="preserve"> vyhodnotit </w:t>
      </w:r>
      <w:r w:rsidR="00861D2F">
        <w:rPr>
          <w:bCs/>
        </w:rPr>
        <w:t>přinos</w:t>
      </w:r>
      <w:r w:rsidR="0060043A" w:rsidRPr="00EC5C41">
        <w:rPr>
          <w:bCs/>
        </w:rPr>
        <w:t xml:space="preserve"> realizovaných aktivit směřující</w:t>
      </w:r>
      <w:r w:rsidR="009B3E24">
        <w:rPr>
          <w:bCs/>
        </w:rPr>
        <w:t>ch</w:t>
      </w:r>
      <w:r w:rsidR="0060043A" w:rsidRPr="00EC5C41">
        <w:rPr>
          <w:bCs/>
        </w:rPr>
        <w:t xml:space="preserve"> k </w:t>
      </w:r>
      <w:r w:rsidR="008026C2">
        <w:rPr>
          <w:bCs/>
        </w:rPr>
        <w:t>uplatnění</w:t>
      </w:r>
      <w:r w:rsidR="0060043A" w:rsidRPr="00EC5C41">
        <w:rPr>
          <w:bCs/>
        </w:rPr>
        <w:t xml:space="preserve"> těchto studentů.</w:t>
      </w:r>
      <w:r w:rsidRPr="00215D93">
        <w:rPr>
          <w:rFonts w:asciiTheme="minorHAnsi" w:hAnsiTheme="minorHAnsi" w:cstheme="minorHAnsi"/>
        </w:rPr>
        <w:t xml:space="preserve"> </w:t>
      </w:r>
      <w:r w:rsidR="00F544AA">
        <w:rPr>
          <w:rFonts w:asciiTheme="minorHAnsi" w:hAnsiTheme="minorHAnsi" w:cstheme="minorHAnsi"/>
        </w:rPr>
        <w:t>A</w:t>
      </w:r>
      <w:r w:rsidRPr="00215D93">
        <w:rPr>
          <w:rFonts w:asciiTheme="minorHAnsi" w:hAnsiTheme="minorHAnsi" w:cstheme="minorHAnsi"/>
        </w:rPr>
        <w:t xml:space="preserve">bsolventi UNOB byli </w:t>
      </w:r>
      <w:r w:rsidR="00EC5C41">
        <w:rPr>
          <w:rFonts w:asciiTheme="minorHAnsi" w:hAnsiTheme="minorHAnsi" w:cstheme="minorHAnsi"/>
        </w:rPr>
        <w:t xml:space="preserve">na </w:t>
      </w:r>
      <w:r w:rsidRPr="00215D93">
        <w:rPr>
          <w:rFonts w:asciiTheme="minorHAnsi" w:hAnsiTheme="minorHAnsi" w:cstheme="minorHAnsi"/>
        </w:rPr>
        <w:t xml:space="preserve">MO bezprostředně po ukončení studia zařazeni na </w:t>
      </w:r>
      <w:r w:rsidR="00990DA2">
        <w:rPr>
          <w:rFonts w:asciiTheme="minorHAnsi" w:hAnsiTheme="minorHAnsi" w:cstheme="minorHAnsi"/>
        </w:rPr>
        <w:t>SSM</w:t>
      </w:r>
      <w:r w:rsidRPr="00215D93">
        <w:rPr>
          <w:rFonts w:asciiTheme="minorHAnsi" w:hAnsiTheme="minorHAnsi" w:cstheme="minorHAnsi"/>
        </w:rPr>
        <w:t>, na která se připravovali</w:t>
      </w:r>
      <w:r w:rsidRPr="006874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již </w:t>
      </w:r>
      <w:r w:rsidRPr="00687448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rámci studia</w:t>
      </w:r>
      <w:r w:rsidRPr="00687448">
        <w:rPr>
          <w:rFonts w:asciiTheme="minorHAnsi" w:hAnsiTheme="minorHAnsi" w:cstheme="minorHAnsi"/>
        </w:rPr>
        <w:t>.</w:t>
      </w:r>
      <w:r w:rsidR="000E5B64">
        <w:rPr>
          <w:rFonts w:asciiTheme="minorHAnsi" w:hAnsiTheme="minorHAnsi" w:cstheme="minorHAnsi"/>
        </w:rPr>
        <w:t xml:space="preserve"> </w:t>
      </w:r>
    </w:p>
    <w:p w14:paraId="5947E1A8" w14:textId="1115B321" w:rsidR="00C665C6" w:rsidRPr="006947E1" w:rsidRDefault="00C665C6" w:rsidP="00B07768">
      <w:pPr>
        <w:pStyle w:val="Nadpis2"/>
        <w:spacing w:before="0" w:line="240" w:lineRule="auto"/>
        <w:ind w:left="284" w:hanging="284"/>
        <w:jc w:val="left"/>
      </w:pPr>
      <w:r>
        <w:t>2</w:t>
      </w:r>
      <w:r w:rsidRPr="006947E1">
        <w:t>.</w:t>
      </w:r>
      <w:r>
        <w:t xml:space="preserve"> </w:t>
      </w:r>
      <w:r w:rsidR="00B07768">
        <w:tab/>
      </w:r>
      <w:r w:rsidRPr="00A01F44">
        <w:rPr>
          <w:rFonts w:eastAsiaTheme="minorHAnsi"/>
        </w:rPr>
        <w:t>MV umožnil</w:t>
      </w:r>
      <w:r>
        <w:rPr>
          <w:rFonts w:eastAsiaTheme="minorHAnsi"/>
        </w:rPr>
        <w:t>o</w:t>
      </w:r>
      <w:r w:rsidRPr="00A01F44">
        <w:rPr>
          <w:rFonts w:eastAsiaTheme="minorHAnsi"/>
        </w:rPr>
        <w:t xml:space="preserve"> policistům zvyšovat si stupeň vzdělání při výkonu služby bez ohledu na studovaný obor vzdělání</w:t>
      </w:r>
    </w:p>
    <w:p w14:paraId="35A8D508" w14:textId="379A975F" w:rsidR="00EB6790" w:rsidRDefault="00EB0F11" w:rsidP="00EB6790">
      <w:r>
        <w:t>MV</w:t>
      </w:r>
      <w:r w:rsidR="006829D7">
        <w:t>,</w:t>
      </w:r>
      <w:r>
        <w:t xml:space="preserve"> resp. </w:t>
      </w:r>
      <w:r w:rsidR="001A091E">
        <w:t>P</w:t>
      </w:r>
      <w:r w:rsidR="00682930">
        <w:t>ČR</w:t>
      </w:r>
      <w:r w:rsidR="00AA7C2E">
        <w:t xml:space="preserve"> </w:t>
      </w:r>
      <w:r w:rsidR="00682930">
        <w:t xml:space="preserve">má </w:t>
      </w:r>
      <w:r w:rsidR="00FA631D">
        <w:t>vysoký</w:t>
      </w:r>
      <w:r w:rsidR="00682930">
        <w:t xml:space="preserve"> podíl vysokoškolsky vzdělaných policistů</w:t>
      </w:r>
      <w:r w:rsidR="00AA7C2E">
        <w:t>, což vypl</w:t>
      </w:r>
      <w:r w:rsidR="009E2A6E">
        <w:t>ý</w:t>
      </w:r>
      <w:r w:rsidR="000E5B64">
        <w:t>vá</w:t>
      </w:r>
      <w:r w:rsidR="00EB6790">
        <w:t xml:space="preserve"> z plnění </w:t>
      </w:r>
      <w:r w:rsidR="003F35DA">
        <w:t xml:space="preserve">její </w:t>
      </w:r>
      <w:r w:rsidR="00EB6790">
        <w:t xml:space="preserve">systemizace služebních míst (dále také „systemizace“). Následující tabulka </w:t>
      </w:r>
      <w:r w:rsidR="00FE7773">
        <w:t xml:space="preserve">uvádí </w:t>
      </w:r>
      <w:r w:rsidR="00EB6790">
        <w:t xml:space="preserve">plnění systemizace u vysokoškolského stupně vzdělání </w:t>
      </w:r>
      <w:r w:rsidR="001A091E">
        <w:t>policistů</w:t>
      </w:r>
      <w:r w:rsidR="00EB6790">
        <w:t xml:space="preserve"> a vojáků. </w:t>
      </w:r>
      <w:r>
        <w:t>MV</w:t>
      </w:r>
      <w:r w:rsidR="006829D7">
        <w:t>,</w:t>
      </w:r>
      <w:r>
        <w:t xml:space="preserve"> resp. </w:t>
      </w:r>
      <w:r w:rsidR="00386A60" w:rsidRPr="00386A60">
        <w:t>PČR</w:t>
      </w:r>
      <w:r w:rsidR="00F75D27">
        <w:t>,</w:t>
      </w:r>
      <w:r w:rsidR="00386A60" w:rsidRPr="00386A60">
        <w:t xml:space="preserve"> a MO vyjadřovaly systemizaci v odlišných jednotkách, nicméně pro </w:t>
      </w:r>
      <w:r w:rsidR="00386A60">
        <w:t>souhrnné</w:t>
      </w:r>
      <w:r w:rsidR="00386A60" w:rsidRPr="00386A60">
        <w:t xml:space="preserve"> srovnání </w:t>
      </w:r>
      <w:r w:rsidR="00386A60">
        <w:t xml:space="preserve">vývoje </w:t>
      </w:r>
      <w:r w:rsidR="00386A60" w:rsidRPr="00386A60">
        <w:t xml:space="preserve">plnění systemizací jsou údaje </w:t>
      </w:r>
      <w:r w:rsidR="00000882">
        <w:t>srovnatelné</w:t>
      </w:r>
      <w:r w:rsidR="00386A60" w:rsidRPr="00386A60">
        <w:t>.</w:t>
      </w:r>
    </w:p>
    <w:p w14:paraId="29015612" w14:textId="4AA9F2A7" w:rsidR="00EB6790" w:rsidRPr="00353036" w:rsidRDefault="00C665C6" w:rsidP="00EC2573">
      <w:pPr>
        <w:pStyle w:val="Nzevtabulka"/>
        <w:keepNext/>
        <w:numPr>
          <w:ilvl w:val="0"/>
          <w:numId w:val="0"/>
        </w:numPr>
        <w:spacing w:after="40"/>
      </w:pPr>
      <w:r>
        <w:lastRenderedPageBreak/>
        <w:t>Tabulka č. 4</w:t>
      </w:r>
      <w:r w:rsidRPr="00A01F44">
        <w:t xml:space="preserve">: </w:t>
      </w:r>
      <w:r w:rsidR="00353036" w:rsidRPr="00353036">
        <w:t>Naplnění systemizace vysokoškolského stupně vzdělání u PČR a MO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59"/>
        <w:gridCol w:w="1559"/>
        <w:gridCol w:w="1559"/>
        <w:gridCol w:w="1560"/>
      </w:tblGrid>
      <w:tr w:rsidR="00EB6790" w:rsidRPr="00831942" w14:paraId="7E7CE806" w14:textId="77777777" w:rsidTr="00AA02DF">
        <w:trPr>
          <w:trHeight w:val="109"/>
        </w:trPr>
        <w:tc>
          <w:tcPr>
            <w:tcW w:w="2835" w:type="dxa"/>
            <w:vMerge w:val="restart"/>
            <w:shd w:val="clear" w:color="auto" w:fill="E5F1FF"/>
            <w:vAlign w:val="center"/>
          </w:tcPr>
          <w:p w14:paraId="334FB2ED" w14:textId="77777777" w:rsidR="00EB6790" w:rsidRPr="00AC3D28" w:rsidRDefault="00EB6790" w:rsidP="00EC2573">
            <w:pPr>
              <w:keepNext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E5F1FF"/>
            <w:vAlign w:val="center"/>
          </w:tcPr>
          <w:p w14:paraId="13900564" w14:textId="77777777" w:rsidR="00EB6790" w:rsidRPr="00831942" w:rsidRDefault="00353036" w:rsidP="00EC2573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831942">
              <w:rPr>
                <w:b/>
                <w:sz w:val="20"/>
                <w:szCs w:val="20"/>
              </w:rPr>
              <w:t>PČR</w:t>
            </w:r>
          </w:p>
        </w:tc>
        <w:tc>
          <w:tcPr>
            <w:tcW w:w="3119" w:type="dxa"/>
            <w:gridSpan w:val="2"/>
            <w:shd w:val="clear" w:color="auto" w:fill="E5F1FF"/>
            <w:vAlign w:val="center"/>
          </w:tcPr>
          <w:p w14:paraId="172B9842" w14:textId="77777777" w:rsidR="00EB6790" w:rsidRPr="00831942" w:rsidRDefault="00EB6790" w:rsidP="00EC2573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831942">
              <w:rPr>
                <w:b/>
                <w:sz w:val="20"/>
                <w:szCs w:val="20"/>
              </w:rPr>
              <w:t>MO (počet</w:t>
            </w:r>
            <w:r w:rsidR="00353036" w:rsidRPr="00831942">
              <w:rPr>
                <w:b/>
                <w:sz w:val="20"/>
                <w:szCs w:val="20"/>
              </w:rPr>
              <w:t xml:space="preserve"> vojáků</w:t>
            </w:r>
            <w:r w:rsidRPr="00831942">
              <w:rPr>
                <w:b/>
                <w:sz w:val="20"/>
                <w:szCs w:val="20"/>
              </w:rPr>
              <w:t>)</w:t>
            </w:r>
          </w:p>
        </w:tc>
      </w:tr>
      <w:tr w:rsidR="00EB6790" w:rsidRPr="00831942" w14:paraId="65B04BEB" w14:textId="77777777" w:rsidTr="00AA02DF">
        <w:trPr>
          <w:trHeight w:val="30"/>
        </w:trPr>
        <w:tc>
          <w:tcPr>
            <w:tcW w:w="2835" w:type="dxa"/>
            <w:vMerge/>
            <w:shd w:val="clear" w:color="auto" w:fill="E5F1FF"/>
            <w:vAlign w:val="center"/>
          </w:tcPr>
          <w:p w14:paraId="18DE3C65" w14:textId="77777777" w:rsidR="00EB6790" w:rsidRPr="00AC3D28" w:rsidRDefault="00EB6790" w:rsidP="00EC2573">
            <w:pPr>
              <w:keepNext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5F1FF"/>
            <w:vAlign w:val="center"/>
          </w:tcPr>
          <w:p w14:paraId="20BFBF3E" w14:textId="77777777" w:rsidR="00EB6790" w:rsidRPr="00831942" w:rsidRDefault="00EB6790" w:rsidP="00EC2573">
            <w:pPr>
              <w:keepNext/>
              <w:spacing w:after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31942">
              <w:rPr>
                <w:b/>
                <w:sz w:val="20"/>
                <w:szCs w:val="20"/>
              </w:rPr>
              <w:t>k 31. 12. 2016</w:t>
            </w:r>
          </w:p>
        </w:tc>
        <w:tc>
          <w:tcPr>
            <w:tcW w:w="1559" w:type="dxa"/>
            <w:shd w:val="clear" w:color="auto" w:fill="E5F1FF"/>
            <w:vAlign w:val="center"/>
          </w:tcPr>
          <w:p w14:paraId="77186B1D" w14:textId="77777777" w:rsidR="00EB6790" w:rsidRPr="00831942" w:rsidRDefault="00EB6790" w:rsidP="00EC2573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831942">
              <w:rPr>
                <w:b/>
                <w:sz w:val="20"/>
                <w:szCs w:val="20"/>
              </w:rPr>
              <w:t>k 31. 8. 2019</w:t>
            </w:r>
          </w:p>
        </w:tc>
        <w:tc>
          <w:tcPr>
            <w:tcW w:w="1559" w:type="dxa"/>
            <w:shd w:val="clear" w:color="auto" w:fill="E5F1FF"/>
            <w:vAlign w:val="center"/>
          </w:tcPr>
          <w:p w14:paraId="7ED21D36" w14:textId="77777777" w:rsidR="00EB6790" w:rsidRPr="00831942" w:rsidRDefault="00EB6790" w:rsidP="00EC2573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831942">
              <w:rPr>
                <w:b/>
                <w:sz w:val="20"/>
                <w:szCs w:val="20"/>
              </w:rPr>
              <w:t>k 31. 12. 2016</w:t>
            </w:r>
          </w:p>
        </w:tc>
        <w:tc>
          <w:tcPr>
            <w:tcW w:w="1560" w:type="dxa"/>
            <w:shd w:val="clear" w:color="auto" w:fill="E5F1FF"/>
            <w:vAlign w:val="center"/>
          </w:tcPr>
          <w:p w14:paraId="5DB78D30" w14:textId="77777777" w:rsidR="00EB6790" w:rsidRPr="00831942" w:rsidRDefault="00EB6790" w:rsidP="00EC2573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831942">
              <w:rPr>
                <w:b/>
                <w:sz w:val="20"/>
                <w:szCs w:val="20"/>
              </w:rPr>
              <w:t>k 31. 8. 2019</w:t>
            </w:r>
          </w:p>
        </w:tc>
      </w:tr>
      <w:tr w:rsidR="00EB6790" w:rsidRPr="00831942" w14:paraId="68ADD2CD" w14:textId="77777777" w:rsidTr="00AA02DF">
        <w:trPr>
          <w:trHeight w:val="25"/>
        </w:trPr>
        <w:tc>
          <w:tcPr>
            <w:tcW w:w="2835" w:type="dxa"/>
            <w:shd w:val="clear" w:color="auto" w:fill="auto"/>
            <w:vAlign w:val="bottom"/>
            <w:hideMark/>
          </w:tcPr>
          <w:p w14:paraId="375D5C46" w14:textId="77777777" w:rsidR="00EB6790" w:rsidRPr="00AC3D28" w:rsidRDefault="006919F9" w:rsidP="00EC2573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AC3D28">
              <w:rPr>
                <w:sz w:val="20"/>
                <w:szCs w:val="20"/>
              </w:rPr>
              <w:t>Požadovaný stav s</w:t>
            </w:r>
            <w:r w:rsidR="00EB6790" w:rsidRPr="00AC3D28">
              <w:rPr>
                <w:sz w:val="20"/>
                <w:szCs w:val="20"/>
              </w:rPr>
              <w:t>ystemizace</w:t>
            </w:r>
            <w:r w:rsidR="00EB6790" w:rsidRPr="00AC3D28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EB6790" w:rsidRPr="00AC3D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A9C478" w14:textId="77777777" w:rsidR="00EB6790" w:rsidRPr="00AC3D28" w:rsidRDefault="00EB6790" w:rsidP="00EC2573">
            <w:pPr>
              <w:keepNext/>
              <w:spacing w:after="0"/>
              <w:ind w:left="0" w:right="57" w:firstLine="0"/>
              <w:jc w:val="right"/>
              <w:rPr>
                <w:sz w:val="20"/>
                <w:szCs w:val="20"/>
              </w:rPr>
            </w:pPr>
            <w:r w:rsidRPr="00AC3D28">
              <w:rPr>
                <w:sz w:val="20"/>
                <w:szCs w:val="20"/>
              </w:rPr>
              <w:t>13 %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E2FDAB" w14:textId="77777777" w:rsidR="00EB6790" w:rsidRPr="00AC3D28" w:rsidRDefault="00EB6790" w:rsidP="00EC2573">
            <w:pPr>
              <w:keepNext/>
              <w:spacing w:after="0"/>
              <w:ind w:left="0" w:right="57" w:firstLine="0"/>
              <w:jc w:val="right"/>
              <w:rPr>
                <w:sz w:val="20"/>
                <w:szCs w:val="20"/>
              </w:rPr>
            </w:pPr>
            <w:r w:rsidRPr="00AC3D28">
              <w:rPr>
                <w:sz w:val="20"/>
                <w:szCs w:val="20"/>
              </w:rPr>
              <w:t>14 %</w:t>
            </w:r>
          </w:p>
        </w:tc>
        <w:tc>
          <w:tcPr>
            <w:tcW w:w="1559" w:type="dxa"/>
            <w:vAlign w:val="center"/>
          </w:tcPr>
          <w:p w14:paraId="092A6D4E" w14:textId="77777777" w:rsidR="00EB6790" w:rsidRPr="00AC3D28" w:rsidRDefault="00EB6790" w:rsidP="00EC2573">
            <w:pPr>
              <w:keepNext/>
              <w:spacing w:after="0"/>
              <w:ind w:left="0" w:right="198" w:firstLine="0"/>
              <w:jc w:val="right"/>
              <w:rPr>
                <w:sz w:val="20"/>
                <w:szCs w:val="20"/>
              </w:rPr>
            </w:pPr>
            <w:r w:rsidRPr="00AC3D28">
              <w:rPr>
                <w:sz w:val="20"/>
                <w:szCs w:val="20"/>
              </w:rPr>
              <w:t>6 775</w:t>
            </w:r>
          </w:p>
        </w:tc>
        <w:tc>
          <w:tcPr>
            <w:tcW w:w="1560" w:type="dxa"/>
            <w:vAlign w:val="center"/>
          </w:tcPr>
          <w:p w14:paraId="3BAFF744" w14:textId="77777777" w:rsidR="00EB6790" w:rsidRPr="00AC3D28" w:rsidRDefault="00EB6790" w:rsidP="00EC2573">
            <w:pPr>
              <w:keepNext/>
              <w:spacing w:after="0"/>
              <w:ind w:left="0" w:right="198" w:firstLine="0"/>
              <w:jc w:val="right"/>
              <w:rPr>
                <w:sz w:val="20"/>
                <w:szCs w:val="20"/>
              </w:rPr>
            </w:pPr>
            <w:r w:rsidRPr="00AC3D28">
              <w:rPr>
                <w:sz w:val="20"/>
                <w:szCs w:val="20"/>
              </w:rPr>
              <w:t>6 910</w:t>
            </w:r>
          </w:p>
        </w:tc>
      </w:tr>
      <w:tr w:rsidR="00EB6790" w:rsidRPr="00831942" w14:paraId="1A74BE91" w14:textId="77777777" w:rsidTr="00AA02DF">
        <w:trPr>
          <w:trHeight w:val="25"/>
        </w:trPr>
        <w:tc>
          <w:tcPr>
            <w:tcW w:w="2835" w:type="dxa"/>
            <w:shd w:val="clear" w:color="auto" w:fill="auto"/>
            <w:vAlign w:val="bottom"/>
            <w:hideMark/>
          </w:tcPr>
          <w:p w14:paraId="6F7D0046" w14:textId="77777777" w:rsidR="00EB6790" w:rsidRPr="00AC3D28" w:rsidRDefault="006919F9" w:rsidP="00EC2573">
            <w:pPr>
              <w:keepNext/>
              <w:spacing w:after="0"/>
              <w:jc w:val="left"/>
              <w:rPr>
                <w:sz w:val="20"/>
                <w:szCs w:val="20"/>
              </w:rPr>
            </w:pPr>
            <w:r w:rsidRPr="00AC3D28">
              <w:rPr>
                <w:sz w:val="20"/>
                <w:szCs w:val="20"/>
              </w:rPr>
              <w:t>Skutečný stav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807CA9" w14:textId="77777777" w:rsidR="00EB6790" w:rsidRPr="00AC3D28" w:rsidRDefault="00EB6790" w:rsidP="00EC2573">
            <w:pPr>
              <w:keepNext/>
              <w:spacing w:after="0"/>
              <w:ind w:left="0" w:right="57" w:firstLine="0"/>
              <w:jc w:val="right"/>
              <w:rPr>
                <w:sz w:val="20"/>
                <w:szCs w:val="20"/>
              </w:rPr>
            </w:pPr>
            <w:r w:rsidRPr="00AC3D28">
              <w:rPr>
                <w:sz w:val="20"/>
                <w:szCs w:val="20"/>
              </w:rPr>
              <w:t>44 %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3B235B" w14:textId="77777777" w:rsidR="00EB6790" w:rsidRPr="00AC3D28" w:rsidRDefault="00EB6790" w:rsidP="00EC2573">
            <w:pPr>
              <w:keepNext/>
              <w:spacing w:after="0"/>
              <w:ind w:left="0" w:right="57" w:firstLine="0"/>
              <w:jc w:val="right"/>
              <w:rPr>
                <w:sz w:val="20"/>
                <w:szCs w:val="20"/>
              </w:rPr>
            </w:pPr>
            <w:r w:rsidRPr="00AC3D28">
              <w:rPr>
                <w:sz w:val="20"/>
                <w:szCs w:val="20"/>
              </w:rPr>
              <w:t>45 %</w:t>
            </w:r>
          </w:p>
        </w:tc>
        <w:tc>
          <w:tcPr>
            <w:tcW w:w="1559" w:type="dxa"/>
            <w:vAlign w:val="center"/>
          </w:tcPr>
          <w:p w14:paraId="14C82A3C" w14:textId="77777777" w:rsidR="00EB6790" w:rsidRPr="00AC3D28" w:rsidRDefault="00EB6790" w:rsidP="00EC2573">
            <w:pPr>
              <w:keepNext/>
              <w:spacing w:after="0"/>
              <w:ind w:left="0" w:right="198" w:firstLine="0"/>
              <w:jc w:val="right"/>
              <w:rPr>
                <w:sz w:val="20"/>
                <w:szCs w:val="20"/>
              </w:rPr>
            </w:pPr>
            <w:r w:rsidRPr="00AC3D28">
              <w:rPr>
                <w:sz w:val="20"/>
                <w:szCs w:val="20"/>
              </w:rPr>
              <w:t>5 685</w:t>
            </w:r>
          </w:p>
        </w:tc>
        <w:tc>
          <w:tcPr>
            <w:tcW w:w="1560" w:type="dxa"/>
            <w:vAlign w:val="center"/>
          </w:tcPr>
          <w:p w14:paraId="5E0900E8" w14:textId="77777777" w:rsidR="00EB6790" w:rsidRPr="00AC3D28" w:rsidRDefault="00EB6790" w:rsidP="00EC2573">
            <w:pPr>
              <w:keepNext/>
              <w:spacing w:after="0"/>
              <w:ind w:left="0" w:right="198" w:firstLine="0"/>
              <w:jc w:val="right"/>
              <w:rPr>
                <w:sz w:val="20"/>
                <w:szCs w:val="20"/>
              </w:rPr>
            </w:pPr>
            <w:r w:rsidRPr="00AC3D28">
              <w:rPr>
                <w:sz w:val="20"/>
                <w:szCs w:val="20"/>
              </w:rPr>
              <w:t>5 943</w:t>
            </w:r>
          </w:p>
        </w:tc>
      </w:tr>
      <w:tr w:rsidR="00EB6790" w:rsidRPr="00831942" w14:paraId="09E3AC28" w14:textId="77777777" w:rsidTr="00AA02DF">
        <w:trPr>
          <w:trHeight w:val="96"/>
        </w:trPr>
        <w:tc>
          <w:tcPr>
            <w:tcW w:w="2835" w:type="dxa"/>
            <w:shd w:val="clear" w:color="auto" w:fill="auto"/>
            <w:vAlign w:val="bottom"/>
            <w:hideMark/>
          </w:tcPr>
          <w:p w14:paraId="0BBF84F0" w14:textId="77777777" w:rsidR="00EB6790" w:rsidRPr="0099685F" w:rsidRDefault="006919F9" w:rsidP="00EC2573">
            <w:pPr>
              <w:keepNext/>
              <w:spacing w:after="0"/>
              <w:jc w:val="left"/>
              <w:rPr>
                <w:b/>
                <w:sz w:val="20"/>
                <w:szCs w:val="20"/>
              </w:rPr>
            </w:pPr>
            <w:r w:rsidRPr="0099685F">
              <w:rPr>
                <w:b/>
                <w:sz w:val="20"/>
                <w:szCs w:val="20"/>
              </w:rPr>
              <w:t>P</w:t>
            </w:r>
            <w:r w:rsidR="00EB6790" w:rsidRPr="0099685F">
              <w:rPr>
                <w:b/>
                <w:sz w:val="20"/>
                <w:szCs w:val="20"/>
              </w:rPr>
              <w:t>lnění systemizace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D5BB0DF" w14:textId="77777777" w:rsidR="00EB6790" w:rsidRPr="0099685F" w:rsidRDefault="00EB6790" w:rsidP="00EC2573">
            <w:pPr>
              <w:keepNext/>
              <w:spacing w:after="0"/>
              <w:ind w:left="0" w:right="57" w:firstLine="0"/>
              <w:jc w:val="right"/>
              <w:rPr>
                <w:b/>
                <w:sz w:val="20"/>
                <w:szCs w:val="20"/>
              </w:rPr>
            </w:pPr>
            <w:r w:rsidRPr="0099685F">
              <w:rPr>
                <w:b/>
                <w:sz w:val="20"/>
                <w:szCs w:val="20"/>
              </w:rPr>
              <w:t>341 %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9D3201" w14:textId="77777777" w:rsidR="00EB6790" w:rsidRPr="0099685F" w:rsidRDefault="00EB6790" w:rsidP="00EC2573">
            <w:pPr>
              <w:keepNext/>
              <w:spacing w:after="0"/>
              <w:ind w:left="0" w:right="57" w:firstLine="0"/>
              <w:jc w:val="right"/>
              <w:rPr>
                <w:b/>
                <w:sz w:val="20"/>
                <w:szCs w:val="20"/>
              </w:rPr>
            </w:pPr>
            <w:r w:rsidRPr="0099685F">
              <w:rPr>
                <w:b/>
                <w:sz w:val="20"/>
                <w:szCs w:val="20"/>
              </w:rPr>
              <w:t>323 %</w:t>
            </w:r>
          </w:p>
        </w:tc>
        <w:tc>
          <w:tcPr>
            <w:tcW w:w="1559" w:type="dxa"/>
            <w:vAlign w:val="center"/>
          </w:tcPr>
          <w:p w14:paraId="169425C9" w14:textId="77777777" w:rsidR="00EB6790" w:rsidRPr="0099685F" w:rsidRDefault="00EB6790" w:rsidP="00EC2573">
            <w:pPr>
              <w:keepNext/>
              <w:spacing w:after="0"/>
              <w:ind w:left="0" w:right="28" w:firstLine="0"/>
              <w:jc w:val="right"/>
              <w:rPr>
                <w:b/>
                <w:sz w:val="20"/>
                <w:szCs w:val="20"/>
              </w:rPr>
            </w:pPr>
            <w:r w:rsidRPr="0099685F">
              <w:rPr>
                <w:b/>
                <w:sz w:val="20"/>
                <w:szCs w:val="20"/>
              </w:rPr>
              <w:t>84 %</w:t>
            </w:r>
          </w:p>
        </w:tc>
        <w:tc>
          <w:tcPr>
            <w:tcW w:w="1560" w:type="dxa"/>
            <w:vAlign w:val="center"/>
          </w:tcPr>
          <w:p w14:paraId="4C7A4631" w14:textId="77777777" w:rsidR="00EB6790" w:rsidRPr="0099685F" w:rsidRDefault="00EB6790" w:rsidP="00EC2573">
            <w:pPr>
              <w:keepNext/>
              <w:spacing w:after="0"/>
              <w:ind w:left="0" w:right="28" w:firstLine="0"/>
              <w:jc w:val="right"/>
              <w:rPr>
                <w:b/>
                <w:sz w:val="20"/>
                <w:szCs w:val="20"/>
              </w:rPr>
            </w:pPr>
            <w:r w:rsidRPr="0099685F">
              <w:rPr>
                <w:b/>
                <w:sz w:val="20"/>
                <w:szCs w:val="20"/>
              </w:rPr>
              <w:t>86 %</w:t>
            </w:r>
          </w:p>
        </w:tc>
      </w:tr>
    </w:tbl>
    <w:p w14:paraId="7E5032A6" w14:textId="7BC8DB4C" w:rsidR="00EB6790" w:rsidRDefault="00EB6790" w:rsidP="00EC2573">
      <w:pPr>
        <w:pStyle w:val="Zdroj"/>
        <w:keepNext/>
        <w:spacing w:before="40" w:after="0"/>
        <w:ind w:left="567" w:hanging="567"/>
        <w:rPr>
          <w:b w:val="0"/>
          <w:lang w:eastAsia="cs-CZ"/>
        </w:rPr>
      </w:pPr>
      <w:r w:rsidRPr="00417AD2">
        <w:rPr>
          <w:lang w:eastAsia="cs-CZ"/>
        </w:rPr>
        <w:t>Zdroj:</w:t>
      </w:r>
      <w:r>
        <w:rPr>
          <w:b w:val="0"/>
          <w:lang w:eastAsia="cs-CZ"/>
        </w:rPr>
        <w:t xml:space="preserve"> </w:t>
      </w:r>
      <w:r w:rsidR="00402AB7">
        <w:rPr>
          <w:b w:val="0"/>
          <w:lang w:eastAsia="cs-CZ"/>
        </w:rPr>
        <w:t>v</w:t>
      </w:r>
      <w:r>
        <w:rPr>
          <w:b w:val="0"/>
          <w:lang w:eastAsia="cs-CZ"/>
        </w:rPr>
        <w:t>ýpočet</w:t>
      </w:r>
      <w:r w:rsidR="00402AB7">
        <w:rPr>
          <w:b w:val="0"/>
          <w:lang w:eastAsia="cs-CZ"/>
        </w:rPr>
        <w:t xml:space="preserve"> vypracoval</w:t>
      </w:r>
      <w:r>
        <w:rPr>
          <w:b w:val="0"/>
          <w:lang w:eastAsia="cs-CZ"/>
        </w:rPr>
        <w:t xml:space="preserve"> NKÚ</w:t>
      </w:r>
      <w:r w:rsidRPr="00772C59">
        <w:rPr>
          <w:b w:val="0"/>
          <w:i/>
          <w:lang w:eastAsia="cs-CZ"/>
        </w:rPr>
        <w:t>, Strategie řízení lidských zdrojů</w:t>
      </w:r>
      <w:r>
        <w:rPr>
          <w:b w:val="0"/>
          <w:lang w:eastAsia="cs-CZ"/>
        </w:rPr>
        <w:t>, informace PČR a MO.</w:t>
      </w:r>
    </w:p>
    <w:p w14:paraId="65B40C61" w14:textId="6D7C7101" w:rsidR="008A76CE" w:rsidRPr="00DA7614" w:rsidRDefault="00EB6790" w:rsidP="00983200">
      <w:pPr>
        <w:ind w:left="142" w:hanging="142"/>
        <w:rPr>
          <w:sz w:val="20"/>
          <w:szCs w:val="20"/>
        </w:rPr>
      </w:pPr>
      <w:r w:rsidRPr="00772C59">
        <w:rPr>
          <w:sz w:val="20"/>
          <w:szCs w:val="20"/>
        </w:rPr>
        <w:t>*</w:t>
      </w:r>
      <w:r w:rsidR="00EC2573">
        <w:rPr>
          <w:sz w:val="20"/>
          <w:szCs w:val="20"/>
        </w:rPr>
        <w:tab/>
      </w:r>
      <w:r>
        <w:rPr>
          <w:sz w:val="20"/>
          <w:szCs w:val="20"/>
        </w:rPr>
        <w:t xml:space="preserve">Systemizace PČR a MO byly průběžně měněny dle navyšování celkového počtu </w:t>
      </w:r>
      <w:r w:rsidR="001A091E">
        <w:rPr>
          <w:sz w:val="20"/>
          <w:szCs w:val="20"/>
        </w:rPr>
        <w:t>policistů</w:t>
      </w:r>
      <w:r>
        <w:rPr>
          <w:sz w:val="20"/>
          <w:szCs w:val="20"/>
        </w:rPr>
        <w:t>, resp. vojáků.</w:t>
      </w:r>
      <w:r w:rsidR="00A1256D">
        <w:rPr>
          <w:sz w:val="20"/>
          <w:szCs w:val="20"/>
        </w:rPr>
        <w:t xml:space="preserve"> </w:t>
      </w:r>
    </w:p>
    <w:p w14:paraId="474BCBAA" w14:textId="0B17653E" w:rsidR="000B70BE" w:rsidRDefault="00EB0F11" w:rsidP="00DF38DD">
      <w:pPr>
        <w:shd w:val="clear" w:color="auto" w:fill="FFFFFF" w:themeFill="background1"/>
        <w:rPr>
          <w:bCs/>
        </w:rPr>
      </w:pPr>
      <w:r>
        <w:rPr>
          <w:rFonts w:asciiTheme="minorHAnsi" w:hAnsiTheme="minorHAnsi" w:cstheme="minorHAnsi"/>
        </w:rPr>
        <w:t>MV</w:t>
      </w:r>
      <w:r w:rsidR="00F3772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resp. </w:t>
      </w:r>
      <w:r w:rsidR="00EB6790" w:rsidRPr="00215D93">
        <w:rPr>
          <w:rFonts w:asciiTheme="minorHAnsi" w:hAnsiTheme="minorHAnsi" w:cstheme="minorHAnsi"/>
        </w:rPr>
        <w:t xml:space="preserve">PČR měla </w:t>
      </w:r>
      <w:r w:rsidR="00796DD7" w:rsidRPr="00831942">
        <w:rPr>
          <w:rFonts w:asciiTheme="minorHAnsi" w:hAnsiTheme="minorHAnsi" w:cstheme="minorHAnsi"/>
        </w:rPr>
        <w:t xml:space="preserve">k 31. 8. 2019 </w:t>
      </w:r>
      <w:r w:rsidR="00AF2938" w:rsidRPr="00215D93">
        <w:rPr>
          <w:rFonts w:asciiTheme="minorHAnsi" w:hAnsiTheme="minorHAnsi" w:cstheme="minorHAnsi"/>
        </w:rPr>
        <w:t xml:space="preserve">o </w:t>
      </w:r>
      <w:r w:rsidR="008A76CE" w:rsidRPr="00215D93">
        <w:rPr>
          <w:rFonts w:asciiTheme="minorHAnsi" w:hAnsiTheme="minorHAnsi" w:cstheme="minorHAnsi"/>
        </w:rPr>
        <w:t xml:space="preserve">223 % </w:t>
      </w:r>
      <w:r w:rsidR="00EB6790" w:rsidRPr="00215D93">
        <w:rPr>
          <w:rFonts w:asciiTheme="minorHAnsi" w:hAnsiTheme="minorHAnsi" w:cstheme="minorHAnsi"/>
        </w:rPr>
        <w:t xml:space="preserve">více </w:t>
      </w:r>
      <w:r w:rsidR="001A091E">
        <w:rPr>
          <w:rFonts w:asciiTheme="minorHAnsi" w:hAnsiTheme="minorHAnsi" w:cstheme="minorHAnsi"/>
        </w:rPr>
        <w:t>policistů</w:t>
      </w:r>
      <w:r w:rsidR="00EB6790" w:rsidRPr="00215D93">
        <w:rPr>
          <w:rFonts w:asciiTheme="minorHAnsi" w:hAnsiTheme="minorHAnsi" w:cstheme="minorHAnsi"/>
        </w:rPr>
        <w:t xml:space="preserve"> s vysokoškolským vzděláním, než bylo požadováno systemizací</w:t>
      </w:r>
      <w:r w:rsidR="008A76CE" w:rsidRPr="00215D93">
        <w:rPr>
          <w:rFonts w:asciiTheme="minorHAnsi" w:hAnsiTheme="minorHAnsi" w:cstheme="minorHAnsi"/>
        </w:rPr>
        <w:t xml:space="preserve"> PČR</w:t>
      </w:r>
      <w:r w:rsidR="00ED0AF9">
        <w:rPr>
          <w:rFonts w:asciiTheme="minorHAnsi" w:hAnsiTheme="minorHAnsi" w:cstheme="minorHAnsi"/>
        </w:rPr>
        <w:t xml:space="preserve"> </w:t>
      </w:r>
      <w:r w:rsidR="00ED0AF9" w:rsidRPr="00ED0AF9">
        <w:rPr>
          <w:rFonts w:asciiTheme="minorHAnsi" w:hAnsiTheme="minorHAnsi" w:cstheme="minorHAnsi"/>
        </w:rPr>
        <w:t>(4</w:t>
      </w:r>
      <w:r w:rsidR="006919F9">
        <w:rPr>
          <w:rFonts w:asciiTheme="minorHAnsi" w:hAnsiTheme="minorHAnsi" w:cstheme="minorHAnsi"/>
        </w:rPr>
        <w:t>krát</w:t>
      </w:r>
      <w:r w:rsidR="00ED0AF9" w:rsidRPr="00ED0AF9">
        <w:rPr>
          <w:rFonts w:asciiTheme="minorHAnsi" w:hAnsiTheme="minorHAnsi" w:cstheme="minorHAnsi"/>
        </w:rPr>
        <w:t xml:space="preserve"> </w:t>
      </w:r>
      <w:r w:rsidR="00ED0AF9" w:rsidRPr="00215D93">
        <w:t xml:space="preserve">více </w:t>
      </w:r>
      <w:r w:rsidR="001A091E">
        <w:t>policistů</w:t>
      </w:r>
      <w:r w:rsidR="00DF38DD" w:rsidRPr="00215D93">
        <w:t xml:space="preserve"> </w:t>
      </w:r>
      <w:r w:rsidR="00ED0AF9" w:rsidRPr="00215D93">
        <w:t>s minimálním magisterským stupněm vzdělání a 1,5</w:t>
      </w:r>
      <w:r w:rsidR="006919F9">
        <w:t>krát</w:t>
      </w:r>
      <w:r w:rsidR="00ED0AF9" w:rsidRPr="00215D93">
        <w:t xml:space="preserve"> více </w:t>
      </w:r>
      <w:r w:rsidR="001A091E">
        <w:t>policistů</w:t>
      </w:r>
      <w:r w:rsidR="00DF38DD" w:rsidRPr="00215D93">
        <w:t xml:space="preserve"> </w:t>
      </w:r>
      <w:r w:rsidR="00ED0AF9" w:rsidRPr="00215D93">
        <w:t>s minimálním bakalářským stupněm vzdělání)</w:t>
      </w:r>
      <w:r w:rsidR="00EB6790" w:rsidRPr="00215D93">
        <w:rPr>
          <w:rFonts w:asciiTheme="minorHAnsi" w:hAnsiTheme="minorHAnsi" w:cstheme="minorHAnsi"/>
        </w:rPr>
        <w:t xml:space="preserve">. </w:t>
      </w:r>
      <w:r w:rsidR="00784F4C" w:rsidRPr="00FA123F">
        <w:rPr>
          <w:rFonts w:asciiTheme="minorHAnsi" w:hAnsiTheme="minorHAnsi" w:cstheme="minorHAnsi"/>
        </w:rPr>
        <w:t xml:space="preserve">Na </w:t>
      </w:r>
      <w:r w:rsidR="00884B99">
        <w:rPr>
          <w:rFonts w:asciiTheme="minorHAnsi" w:hAnsiTheme="minorHAnsi" w:cstheme="minorHAnsi"/>
        </w:rPr>
        <w:t>t</w:t>
      </w:r>
      <w:r w:rsidR="00ED0AF9">
        <w:rPr>
          <w:rFonts w:asciiTheme="minorHAnsi" w:hAnsiTheme="minorHAnsi" w:cstheme="minorHAnsi"/>
        </w:rPr>
        <w:t xml:space="preserve">uto skutečnost </w:t>
      </w:r>
      <w:r w:rsidR="00FA631D">
        <w:rPr>
          <w:rFonts w:asciiTheme="minorHAnsi" w:hAnsiTheme="minorHAnsi" w:cstheme="minorHAnsi"/>
        </w:rPr>
        <w:t xml:space="preserve">samo </w:t>
      </w:r>
      <w:r w:rsidR="00C3157B">
        <w:t xml:space="preserve">MV upozornilo </w:t>
      </w:r>
      <w:r w:rsidR="00D73D5B">
        <w:t xml:space="preserve">již </w:t>
      </w:r>
      <w:r w:rsidR="00C3157B">
        <w:t xml:space="preserve">v </w:t>
      </w:r>
      <w:r w:rsidR="00FA123F" w:rsidRPr="00215D93">
        <w:rPr>
          <w:bCs/>
          <w:i/>
          <w:iCs/>
          <w:color w:val="auto"/>
        </w:rPr>
        <w:t>Koncepc</w:t>
      </w:r>
      <w:r w:rsidR="00C3157B">
        <w:rPr>
          <w:bCs/>
          <w:i/>
          <w:iCs/>
          <w:color w:val="auto"/>
        </w:rPr>
        <w:t>i</w:t>
      </w:r>
      <w:r w:rsidR="00FA123F" w:rsidRPr="00215D93">
        <w:rPr>
          <w:bCs/>
          <w:i/>
          <w:iCs/>
          <w:color w:val="auto"/>
        </w:rPr>
        <w:t xml:space="preserve"> rozvoje Policie České republiky do roku 2020</w:t>
      </w:r>
      <w:r w:rsidR="00FA123F" w:rsidRPr="005610B6">
        <w:rPr>
          <w:bCs/>
          <w:iCs/>
          <w:color w:val="auto"/>
        </w:rPr>
        <w:t xml:space="preserve"> </w:t>
      </w:r>
      <w:r w:rsidR="00FA123F" w:rsidRPr="00215D93">
        <w:rPr>
          <w:bCs/>
          <w:iCs/>
          <w:color w:val="auto"/>
        </w:rPr>
        <w:t>z roku 2017</w:t>
      </w:r>
      <w:r w:rsidR="00884B99">
        <w:rPr>
          <w:bCs/>
          <w:iCs/>
          <w:color w:val="auto"/>
        </w:rPr>
        <w:t xml:space="preserve"> a </w:t>
      </w:r>
      <w:r w:rsidR="00884B99" w:rsidRPr="00215D93">
        <w:rPr>
          <w:bCs/>
          <w:i/>
          <w:iCs/>
        </w:rPr>
        <w:t>Strategi</w:t>
      </w:r>
      <w:r w:rsidR="00C3157B">
        <w:rPr>
          <w:bCs/>
          <w:i/>
          <w:iCs/>
        </w:rPr>
        <w:t>i</w:t>
      </w:r>
      <w:r w:rsidR="00884B99" w:rsidRPr="00215D93">
        <w:rPr>
          <w:bCs/>
          <w:i/>
          <w:iCs/>
        </w:rPr>
        <w:t xml:space="preserve"> řízení lidských zdrojů</w:t>
      </w:r>
      <w:r w:rsidR="00884B99" w:rsidRPr="00215D93">
        <w:rPr>
          <w:b/>
          <w:bCs/>
          <w:i/>
          <w:iCs/>
        </w:rPr>
        <w:t xml:space="preserve"> </w:t>
      </w:r>
      <w:r w:rsidR="00884B99" w:rsidRPr="00215D93">
        <w:rPr>
          <w:bCs/>
          <w:iCs/>
        </w:rPr>
        <w:t>z roku 2018</w:t>
      </w:r>
      <w:r w:rsidR="00884B99">
        <w:rPr>
          <w:bCs/>
          <w:iCs/>
        </w:rPr>
        <w:t xml:space="preserve">. MV </w:t>
      </w:r>
      <w:r w:rsidR="000B70BE">
        <w:rPr>
          <w:bCs/>
          <w:iCs/>
        </w:rPr>
        <w:t xml:space="preserve">v nich </w:t>
      </w:r>
      <w:r w:rsidR="00884B99">
        <w:rPr>
          <w:bCs/>
          <w:iCs/>
        </w:rPr>
        <w:t>vyhodnotilo</w:t>
      </w:r>
      <w:r w:rsidR="00FA123F">
        <w:rPr>
          <w:bCs/>
          <w:iCs/>
          <w:color w:val="auto"/>
        </w:rPr>
        <w:t>,</w:t>
      </w:r>
      <w:r w:rsidR="00884B99">
        <w:rPr>
          <w:bCs/>
          <w:iCs/>
          <w:color w:val="auto"/>
        </w:rPr>
        <w:t xml:space="preserve"> že j</w:t>
      </w:r>
      <w:r w:rsidR="00FA123F" w:rsidRPr="00215D93">
        <w:rPr>
          <w:bCs/>
          <w:iCs/>
          <w:color w:val="auto"/>
        </w:rPr>
        <w:t xml:space="preserve">e ohrožena </w:t>
      </w:r>
      <w:r w:rsidR="00FA123F" w:rsidRPr="00215D93">
        <w:rPr>
          <w:bCs/>
          <w:iCs/>
        </w:rPr>
        <w:t xml:space="preserve">stabilizace policejního personálu </w:t>
      </w:r>
      <w:r w:rsidR="00FA123F">
        <w:rPr>
          <w:bCs/>
          <w:iCs/>
        </w:rPr>
        <w:t xml:space="preserve">z důvodu nenaplnění </w:t>
      </w:r>
      <w:r w:rsidR="00784F4C" w:rsidRPr="00215D93">
        <w:t>kariérní</w:t>
      </w:r>
      <w:r w:rsidR="00FA123F">
        <w:t>ho</w:t>
      </w:r>
      <w:r w:rsidR="00784F4C" w:rsidRPr="00215D93">
        <w:t xml:space="preserve"> očekávání </w:t>
      </w:r>
      <w:r w:rsidR="00884B99">
        <w:t xml:space="preserve">nových </w:t>
      </w:r>
      <w:r w:rsidR="00DF38DD">
        <w:t xml:space="preserve">vysokoškolsky vzdělaných </w:t>
      </w:r>
      <w:r w:rsidR="00784F4C" w:rsidRPr="00215D93">
        <w:t>policistů</w:t>
      </w:r>
      <w:r w:rsidR="00884B99">
        <w:t xml:space="preserve">. Následkem je </w:t>
      </w:r>
      <w:r w:rsidR="00C81A10">
        <w:t xml:space="preserve">dle MV </w:t>
      </w:r>
      <w:r w:rsidR="00DF38DD">
        <w:t xml:space="preserve">jejich </w:t>
      </w:r>
      <w:r w:rsidR="00884B99">
        <w:t xml:space="preserve">vysoká fluktuace a </w:t>
      </w:r>
      <w:r w:rsidR="00FA123F" w:rsidRPr="00215D93">
        <w:rPr>
          <w:bCs/>
        </w:rPr>
        <w:t>dřívější odchod ze služebního poměru</w:t>
      </w:r>
      <w:r w:rsidR="00FA123F" w:rsidRPr="00215D93">
        <w:t>.</w:t>
      </w:r>
      <w:r w:rsidR="00FA123F">
        <w:rPr>
          <w:i/>
        </w:rPr>
        <w:t xml:space="preserve"> </w:t>
      </w:r>
      <w:r w:rsidR="0011016A">
        <w:t>Při</w:t>
      </w:r>
      <w:r w:rsidR="0011016A" w:rsidRPr="00B91C1E">
        <w:t xml:space="preserve"> </w:t>
      </w:r>
      <w:r w:rsidR="00FA123F" w:rsidRPr="00B91C1E">
        <w:t>realizac</w:t>
      </w:r>
      <w:r w:rsidR="0011016A">
        <w:t>i</w:t>
      </w:r>
      <w:r w:rsidR="00FA123F">
        <w:t xml:space="preserve"> opatření </w:t>
      </w:r>
      <w:r w:rsidR="005F0D85">
        <w:t xml:space="preserve">vedoucích </w:t>
      </w:r>
      <w:r w:rsidR="00FA123F">
        <w:t>k z</w:t>
      </w:r>
      <w:r w:rsidR="00FA123F" w:rsidRPr="00215D93">
        <w:rPr>
          <w:bCs/>
        </w:rPr>
        <w:t>efektivn</w:t>
      </w:r>
      <w:r w:rsidR="00FA123F">
        <w:rPr>
          <w:bCs/>
        </w:rPr>
        <w:t>ění</w:t>
      </w:r>
      <w:r w:rsidR="00FA123F" w:rsidRPr="00215D93">
        <w:rPr>
          <w:bCs/>
        </w:rPr>
        <w:t xml:space="preserve"> organizační struktur</w:t>
      </w:r>
      <w:r w:rsidR="00FA123F">
        <w:rPr>
          <w:bCs/>
        </w:rPr>
        <w:t>y</w:t>
      </w:r>
      <w:r w:rsidR="00FA123F" w:rsidRPr="00215D93">
        <w:rPr>
          <w:bCs/>
        </w:rPr>
        <w:t xml:space="preserve"> PČR </w:t>
      </w:r>
      <w:r w:rsidR="0011016A">
        <w:t xml:space="preserve">bylo </w:t>
      </w:r>
      <w:r w:rsidR="00796DD7">
        <w:t xml:space="preserve">MV </w:t>
      </w:r>
      <w:r w:rsidR="0011016A">
        <w:t>v době kontroly NKÚ</w:t>
      </w:r>
      <w:r w:rsidR="0011016A" w:rsidDel="0011016A">
        <w:t xml:space="preserve"> </w:t>
      </w:r>
      <w:r w:rsidR="0011016A">
        <w:t>ve zpoždění</w:t>
      </w:r>
      <w:r w:rsidR="00D73D5B">
        <w:t xml:space="preserve"> </w:t>
      </w:r>
      <w:r w:rsidR="0011016A">
        <w:t>rok a půl oproti původně stanovenému termínu</w:t>
      </w:r>
      <w:r w:rsidR="00FA123F" w:rsidRPr="00FA123F">
        <w:t>.</w:t>
      </w:r>
      <w:r w:rsidR="004D606A">
        <w:t xml:space="preserve"> </w:t>
      </w:r>
      <w:r w:rsidR="00ED0AF9">
        <w:t>MV</w:t>
      </w:r>
      <w:r w:rsidR="004D606A">
        <w:t xml:space="preserve"> v období </w:t>
      </w:r>
      <w:r w:rsidR="0066182D">
        <w:t xml:space="preserve">2016 až 2019 </w:t>
      </w:r>
      <w:r w:rsidR="004D606A" w:rsidRPr="00215D93">
        <w:rPr>
          <w:bCs/>
        </w:rPr>
        <w:t>ne</w:t>
      </w:r>
      <w:r w:rsidR="004D606A">
        <w:rPr>
          <w:bCs/>
        </w:rPr>
        <w:t>usměrňoval</w:t>
      </w:r>
      <w:r w:rsidR="00ED0AF9">
        <w:rPr>
          <w:bCs/>
        </w:rPr>
        <w:t>o</w:t>
      </w:r>
      <w:r w:rsidR="004D606A">
        <w:rPr>
          <w:bCs/>
        </w:rPr>
        <w:t xml:space="preserve"> </w:t>
      </w:r>
      <w:r w:rsidR="004D606A" w:rsidRPr="00215D93">
        <w:rPr>
          <w:bCs/>
        </w:rPr>
        <w:t>vzdělanostní strukturu policistů</w:t>
      </w:r>
      <w:r w:rsidR="00ED0AF9">
        <w:rPr>
          <w:bCs/>
        </w:rPr>
        <w:t xml:space="preserve"> dle aktuálních potřeb ani stanovené systemizace</w:t>
      </w:r>
      <w:r w:rsidR="004D606A" w:rsidRPr="004D606A">
        <w:rPr>
          <w:bCs/>
        </w:rPr>
        <w:t>.</w:t>
      </w:r>
      <w:r w:rsidR="00C665C6">
        <w:rPr>
          <w:rFonts w:asciiTheme="minorHAnsi" w:hAnsiTheme="minorHAnsi" w:cstheme="minorHAnsi"/>
        </w:rPr>
        <w:t xml:space="preserve"> </w:t>
      </w:r>
    </w:p>
    <w:p w14:paraId="41D11E36" w14:textId="5A082780" w:rsidR="00796DD7" w:rsidRDefault="008A76CE" w:rsidP="00C665C6">
      <w:pPr>
        <w:shd w:val="clear" w:color="auto" w:fill="FFFFFF" w:themeFill="background1"/>
        <w:rPr>
          <w:rFonts w:asciiTheme="minorHAnsi" w:hAnsiTheme="minorHAnsi" w:cstheme="minorHAnsi"/>
        </w:rPr>
      </w:pPr>
      <w:r w:rsidRPr="00215D93">
        <w:rPr>
          <w:rFonts w:asciiTheme="minorHAnsi" w:hAnsiTheme="minorHAnsi" w:cstheme="minorHAnsi"/>
        </w:rPr>
        <w:t xml:space="preserve">Rozdílná situace </w:t>
      </w:r>
      <w:r w:rsidR="00115B58">
        <w:rPr>
          <w:rFonts w:asciiTheme="minorHAnsi" w:hAnsiTheme="minorHAnsi" w:cstheme="minorHAnsi"/>
        </w:rPr>
        <w:t>byla</w:t>
      </w:r>
      <w:r w:rsidR="00FA123F" w:rsidRPr="00215D93">
        <w:rPr>
          <w:rFonts w:asciiTheme="minorHAnsi" w:hAnsiTheme="minorHAnsi" w:cstheme="minorHAnsi"/>
        </w:rPr>
        <w:t xml:space="preserve"> </w:t>
      </w:r>
      <w:r w:rsidRPr="00215D93">
        <w:rPr>
          <w:rFonts w:asciiTheme="minorHAnsi" w:hAnsiTheme="minorHAnsi" w:cstheme="minorHAnsi"/>
        </w:rPr>
        <w:t xml:space="preserve">u MO, </w:t>
      </w:r>
      <w:r w:rsidR="00196DE4">
        <w:rPr>
          <w:rFonts w:asciiTheme="minorHAnsi" w:hAnsiTheme="minorHAnsi" w:cstheme="minorHAnsi"/>
        </w:rPr>
        <w:t>které čelilo</w:t>
      </w:r>
      <w:r w:rsidR="005E39FF">
        <w:rPr>
          <w:rFonts w:asciiTheme="minorHAnsi" w:hAnsiTheme="minorHAnsi" w:cstheme="minorHAnsi"/>
        </w:rPr>
        <w:t xml:space="preserve"> </w:t>
      </w:r>
      <w:r w:rsidR="00AF2938" w:rsidRPr="00215D93">
        <w:rPr>
          <w:rFonts w:asciiTheme="minorHAnsi" w:hAnsiTheme="minorHAnsi" w:cstheme="minorHAnsi"/>
        </w:rPr>
        <w:t>nedostatk</w:t>
      </w:r>
      <w:r w:rsidR="00196DE4">
        <w:rPr>
          <w:rFonts w:asciiTheme="minorHAnsi" w:hAnsiTheme="minorHAnsi" w:cstheme="minorHAnsi"/>
        </w:rPr>
        <w:t xml:space="preserve">u </w:t>
      </w:r>
      <w:r w:rsidR="00EB6790" w:rsidRPr="00215D93">
        <w:rPr>
          <w:rFonts w:asciiTheme="minorHAnsi" w:hAnsiTheme="minorHAnsi" w:cstheme="minorHAnsi"/>
        </w:rPr>
        <w:t>vojá</w:t>
      </w:r>
      <w:r w:rsidR="00AF2938" w:rsidRPr="00215D93">
        <w:rPr>
          <w:rFonts w:asciiTheme="minorHAnsi" w:hAnsiTheme="minorHAnsi" w:cstheme="minorHAnsi"/>
        </w:rPr>
        <w:t>ků</w:t>
      </w:r>
      <w:r w:rsidR="000E5B64">
        <w:rPr>
          <w:rFonts w:asciiTheme="minorHAnsi" w:hAnsiTheme="minorHAnsi" w:cstheme="minorHAnsi"/>
        </w:rPr>
        <w:t xml:space="preserve"> </w:t>
      </w:r>
      <w:r w:rsidR="00AF2938" w:rsidRPr="00215D93">
        <w:rPr>
          <w:rFonts w:asciiTheme="minorHAnsi" w:hAnsiTheme="minorHAnsi" w:cstheme="minorHAnsi"/>
        </w:rPr>
        <w:t>s</w:t>
      </w:r>
      <w:r w:rsidRPr="00215D93">
        <w:rPr>
          <w:rFonts w:asciiTheme="minorHAnsi" w:hAnsiTheme="minorHAnsi" w:cstheme="minorHAnsi"/>
        </w:rPr>
        <w:t> vysokoškolským vzděláním</w:t>
      </w:r>
      <w:r w:rsidR="00D77000">
        <w:rPr>
          <w:rFonts w:asciiTheme="minorHAnsi" w:hAnsiTheme="minorHAnsi" w:cstheme="minorHAnsi"/>
        </w:rPr>
        <w:t>.</w:t>
      </w:r>
      <w:r w:rsidR="00DF38DD">
        <w:rPr>
          <w:rFonts w:asciiTheme="minorHAnsi" w:hAnsiTheme="minorHAnsi" w:cstheme="minorHAnsi"/>
        </w:rPr>
        <w:t xml:space="preserve"> </w:t>
      </w:r>
      <w:r w:rsidR="00D77000">
        <w:rPr>
          <w:rFonts w:asciiTheme="minorHAnsi" w:hAnsiTheme="minorHAnsi" w:cstheme="minorHAnsi"/>
        </w:rPr>
        <w:t>O</w:t>
      </w:r>
      <w:r w:rsidR="00DF38DD" w:rsidRPr="00215D93">
        <w:rPr>
          <w:rFonts w:asciiTheme="minorHAnsi" w:hAnsiTheme="minorHAnsi" w:cstheme="minorHAnsi"/>
        </w:rPr>
        <w:t xml:space="preserve">proti stanovené systemizaci </w:t>
      </w:r>
      <w:r w:rsidR="00DF38DD">
        <w:rPr>
          <w:rFonts w:asciiTheme="minorHAnsi" w:hAnsiTheme="minorHAnsi" w:cstheme="minorHAnsi"/>
        </w:rPr>
        <w:t xml:space="preserve">jich </w:t>
      </w:r>
      <w:r w:rsidR="00796DD7">
        <w:rPr>
          <w:rFonts w:asciiTheme="minorHAnsi" w:hAnsiTheme="minorHAnsi" w:cstheme="minorHAnsi"/>
        </w:rPr>
        <w:t xml:space="preserve">mělo </w:t>
      </w:r>
      <w:r w:rsidR="00796DD7" w:rsidRPr="00A01F44">
        <w:rPr>
          <w:rFonts w:asciiTheme="minorHAnsi" w:hAnsiTheme="minorHAnsi" w:cstheme="minorHAnsi"/>
        </w:rPr>
        <w:t xml:space="preserve">k 31. 8. 2019 </w:t>
      </w:r>
      <w:r w:rsidR="00DF38DD" w:rsidRPr="00215D93">
        <w:rPr>
          <w:rFonts w:asciiTheme="minorHAnsi" w:hAnsiTheme="minorHAnsi" w:cstheme="minorHAnsi"/>
        </w:rPr>
        <w:t>o 14 %</w:t>
      </w:r>
      <w:r w:rsidR="00796DD7" w:rsidRPr="00796DD7">
        <w:rPr>
          <w:rFonts w:asciiTheme="minorHAnsi" w:hAnsiTheme="minorHAnsi" w:cstheme="minorHAnsi"/>
        </w:rPr>
        <w:t xml:space="preserve"> </w:t>
      </w:r>
      <w:r w:rsidR="00796DD7" w:rsidRPr="00215D93">
        <w:rPr>
          <w:rFonts w:asciiTheme="minorHAnsi" w:hAnsiTheme="minorHAnsi" w:cstheme="minorHAnsi"/>
        </w:rPr>
        <w:t>méně</w:t>
      </w:r>
      <w:r w:rsidR="00796DD7">
        <w:rPr>
          <w:rFonts w:asciiTheme="minorHAnsi" w:hAnsiTheme="minorHAnsi" w:cstheme="minorHAnsi"/>
        </w:rPr>
        <w:t xml:space="preserve">. </w:t>
      </w:r>
      <w:r w:rsidR="00FA09AA" w:rsidRPr="006919F9">
        <w:rPr>
          <w:rFonts w:asciiTheme="minorHAnsi" w:hAnsiTheme="minorHAnsi" w:cstheme="minorHAnsi"/>
        </w:rPr>
        <w:t xml:space="preserve">Počty absolventů UNOB </w:t>
      </w:r>
      <w:r w:rsidR="00FA09AA" w:rsidRPr="002640BF">
        <w:rPr>
          <w:rFonts w:asciiTheme="minorHAnsi" w:hAnsiTheme="minorHAnsi" w:cstheme="minorHAnsi"/>
        </w:rPr>
        <w:t>v období 2016 až 2019</w:t>
      </w:r>
      <w:r w:rsidR="00FA09AA" w:rsidRPr="006919F9">
        <w:rPr>
          <w:rFonts w:asciiTheme="minorHAnsi" w:hAnsiTheme="minorHAnsi" w:cstheme="minorHAnsi"/>
        </w:rPr>
        <w:t xml:space="preserve"> však neodpovída</w:t>
      </w:r>
      <w:r w:rsidR="00FA09AA">
        <w:rPr>
          <w:rFonts w:asciiTheme="minorHAnsi" w:hAnsiTheme="minorHAnsi" w:cstheme="minorHAnsi"/>
        </w:rPr>
        <w:t>ly</w:t>
      </w:r>
      <w:r w:rsidR="00FA09AA" w:rsidRPr="006919F9">
        <w:rPr>
          <w:rFonts w:asciiTheme="minorHAnsi" w:hAnsiTheme="minorHAnsi" w:cstheme="minorHAnsi"/>
        </w:rPr>
        <w:t xml:space="preserve"> </w:t>
      </w:r>
      <w:r w:rsidR="005F0D85">
        <w:rPr>
          <w:rFonts w:asciiTheme="minorHAnsi" w:hAnsiTheme="minorHAnsi" w:cstheme="minorHAnsi"/>
        </w:rPr>
        <w:t xml:space="preserve">této </w:t>
      </w:r>
      <w:r w:rsidR="00FA09AA" w:rsidRPr="006919F9">
        <w:rPr>
          <w:rFonts w:asciiTheme="minorHAnsi" w:hAnsiTheme="minorHAnsi" w:cstheme="minorHAnsi"/>
        </w:rPr>
        <w:t xml:space="preserve">potřebě vyplývající ze systemizace a </w:t>
      </w:r>
      <w:r w:rsidR="00FA09AA" w:rsidRPr="004C75FD">
        <w:rPr>
          <w:rFonts w:asciiTheme="minorHAnsi" w:hAnsiTheme="minorHAnsi" w:cstheme="minorHAnsi"/>
        </w:rPr>
        <w:t>vznik</w:t>
      </w:r>
      <w:r w:rsidR="00FA09AA">
        <w:rPr>
          <w:rFonts w:asciiTheme="minorHAnsi" w:hAnsiTheme="minorHAnsi" w:cstheme="minorHAnsi"/>
        </w:rPr>
        <w:t>la</w:t>
      </w:r>
      <w:r w:rsidR="00FA09AA" w:rsidRPr="004C75FD">
        <w:rPr>
          <w:rFonts w:asciiTheme="minorHAnsi" w:hAnsiTheme="minorHAnsi" w:cstheme="minorHAnsi"/>
        </w:rPr>
        <w:t xml:space="preserve"> akutní potřeba doplňování důstojnického sboru i z jiných zdrojů.</w:t>
      </w:r>
      <w:r w:rsidR="00796DD7" w:rsidRPr="00215D93">
        <w:rPr>
          <w:rFonts w:asciiTheme="minorHAnsi" w:hAnsiTheme="minorHAnsi" w:cstheme="minorHAnsi"/>
        </w:rPr>
        <w:t xml:space="preserve"> </w:t>
      </w:r>
    </w:p>
    <w:p w14:paraId="612E5381" w14:textId="5598051E" w:rsidR="00313A76" w:rsidRDefault="00C665C6" w:rsidP="004C5247">
      <w:pPr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 xml:space="preserve">Bezpečnostně právní obor </w:t>
      </w:r>
      <w:r w:rsidRPr="00DC39B6">
        <w:rPr>
          <w:shd w:val="clear" w:color="auto" w:fill="FFFFFF" w:themeFill="background1"/>
        </w:rPr>
        <w:t xml:space="preserve">požadovaný </w:t>
      </w:r>
      <w:r>
        <w:rPr>
          <w:shd w:val="clear" w:color="auto" w:fill="FFFFFF" w:themeFill="background1"/>
        </w:rPr>
        <w:t xml:space="preserve">MV a akreditovaný na PA ČR patří </w:t>
      </w:r>
      <w:r w:rsidR="00977141">
        <w:rPr>
          <w:shd w:val="clear" w:color="auto" w:fill="FFFFFF" w:themeFill="background1"/>
        </w:rPr>
        <w:t xml:space="preserve">dle systemizace </w:t>
      </w:r>
      <w:r w:rsidRPr="00DC39B6">
        <w:rPr>
          <w:shd w:val="clear" w:color="auto" w:fill="FFFFFF" w:themeFill="background1"/>
        </w:rPr>
        <w:t xml:space="preserve">do skupiny oborů právo, právní a veřejnosprávní činnost. </w:t>
      </w:r>
      <w:r>
        <w:rPr>
          <w:shd w:val="clear" w:color="auto" w:fill="FFFFFF" w:themeFill="background1"/>
        </w:rPr>
        <w:t xml:space="preserve">U </w:t>
      </w:r>
      <w:r w:rsidR="001A091E">
        <w:rPr>
          <w:shd w:val="clear" w:color="auto" w:fill="FFFFFF" w:themeFill="background1"/>
        </w:rPr>
        <w:t>policistů</w:t>
      </w:r>
      <w:r>
        <w:rPr>
          <w:shd w:val="clear" w:color="auto" w:fill="FFFFFF" w:themeFill="background1"/>
        </w:rPr>
        <w:t xml:space="preserve"> dosáhla v roce 2019 </w:t>
      </w:r>
      <w:r w:rsidR="00977141">
        <w:rPr>
          <w:shd w:val="clear" w:color="auto" w:fill="FFFFFF" w:themeFill="background1"/>
        </w:rPr>
        <w:t xml:space="preserve">tato </w:t>
      </w:r>
      <w:r w:rsidRPr="00DC39B6">
        <w:rPr>
          <w:shd w:val="clear" w:color="auto" w:fill="FFFFFF" w:themeFill="background1"/>
        </w:rPr>
        <w:t>skupin</w:t>
      </w:r>
      <w:r>
        <w:rPr>
          <w:shd w:val="clear" w:color="auto" w:fill="FFFFFF" w:themeFill="background1"/>
        </w:rPr>
        <w:t>a</w:t>
      </w:r>
      <w:r w:rsidRPr="00DC39B6">
        <w:rPr>
          <w:shd w:val="clear" w:color="auto" w:fill="FFFFFF" w:themeFill="background1"/>
        </w:rPr>
        <w:t xml:space="preserve"> oborů </w:t>
      </w:r>
      <w:r>
        <w:rPr>
          <w:shd w:val="clear" w:color="auto" w:fill="FFFFFF" w:themeFill="background1"/>
        </w:rPr>
        <w:t xml:space="preserve">podílu pouze </w:t>
      </w:r>
      <w:r w:rsidRPr="00DC39B6">
        <w:rPr>
          <w:shd w:val="clear" w:color="auto" w:fill="FFFFFF" w:themeFill="background1"/>
        </w:rPr>
        <w:t>31 %</w:t>
      </w:r>
      <w:r w:rsidR="00313A76">
        <w:rPr>
          <w:shd w:val="clear" w:color="auto" w:fill="FFFFFF" w:themeFill="background1"/>
        </w:rPr>
        <w:t xml:space="preserve"> z celé PČR</w:t>
      </w:r>
      <w:r>
        <w:rPr>
          <w:shd w:val="clear" w:color="auto" w:fill="FFFFFF" w:themeFill="background1"/>
        </w:rPr>
        <w:t xml:space="preserve">. Ze zbývajících 69 % měli </w:t>
      </w:r>
      <w:r w:rsidR="00313A76">
        <w:rPr>
          <w:shd w:val="clear" w:color="auto" w:fill="FFFFFF" w:themeFill="background1"/>
        </w:rPr>
        <w:t xml:space="preserve">policisté </w:t>
      </w:r>
      <w:r>
        <w:rPr>
          <w:shd w:val="clear" w:color="auto" w:fill="FFFFFF" w:themeFill="background1"/>
        </w:rPr>
        <w:t>vystudovaný jiný obor vysoké</w:t>
      </w:r>
      <w:r w:rsidR="000E5B64">
        <w:rPr>
          <w:shd w:val="clear" w:color="auto" w:fill="FFFFFF" w:themeFill="background1"/>
        </w:rPr>
        <w:t xml:space="preserve"> školy</w:t>
      </w:r>
      <w:r w:rsidR="00977141">
        <w:rPr>
          <w:shd w:val="clear" w:color="auto" w:fill="FFFFFF" w:themeFill="background1"/>
        </w:rPr>
        <w:t xml:space="preserve">. </w:t>
      </w:r>
      <w:r>
        <w:rPr>
          <w:shd w:val="clear" w:color="auto" w:fill="FFFFFF" w:themeFill="background1"/>
        </w:rPr>
        <w:t xml:space="preserve">Jednalo se např. o </w:t>
      </w:r>
      <w:r w:rsidRPr="00DC39B6">
        <w:rPr>
          <w:shd w:val="clear" w:color="auto" w:fill="FFFFFF" w:themeFill="background1"/>
        </w:rPr>
        <w:t>pedagogik</w:t>
      </w:r>
      <w:r>
        <w:rPr>
          <w:shd w:val="clear" w:color="auto" w:fill="FFFFFF" w:themeFill="background1"/>
        </w:rPr>
        <w:t xml:space="preserve">u </w:t>
      </w:r>
      <w:r w:rsidRPr="00DC39B6">
        <w:rPr>
          <w:shd w:val="clear" w:color="auto" w:fill="FFFFFF" w:themeFill="background1"/>
        </w:rPr>
        <w:t>a sociální péč</w:t>
      </w:r>
      <w:r>
        <w:rPr>
          <w:shd w:val="clear" w:color="auto" w:fill="FFFFFF" w:themeFill="background1"/>
        </w:rPr>
        <w:t>i</w:t>
      </w:r>
      <w:r w:rsidRPr="00DC39B6">
        <w:rPr>
          <w:shd w:val="clear" w:color="auto" w:fill="FFFFFF" w:themeFill="background1"/>
        </w:rPr>
        <w:t xml:space="preserve"> </w:t>
      </w:r>
      <w:r>
        <w:rPr>
          <w:shd w:val="clear" w:color="auto" w:fill="FFFFFF" w:themeFill="background1"/>
        </w:rPr>
        <w:t>s 27</w:t>
      </w:r>
      <w:r w:rsidRPr="00DC39B6">
        <w:rPr>
          <w:shd w:val="clear" w:color="auto" w:fill="FFFFFF" w:themeFill="background1"/>
        </w:rPr>
        <w:t xml:space="preserve"> %</w:t>
      </w:r>
      <w:r>
        <w:rPr>
          <w:shd w:val="clear" w:color="auto" w:fill="FFFFFF" w:themeFill="background1"/>
        </w:rPr>
        <w:t xml:space="preserve">, ekonomii </w:t>
      </w:r>
      <w:r w:rsidR="00F37725">
        <w:rPr>
          <w:shd w:val="clear" w:color="auto" w:fill="FFFFFF" w:themeFill="background1"/>
        </w:rPr>
        <w:t xml:space="preserve">s </w:t>
      </w:r>
      <w:r>
        <w:rPr>
          <w:shd w:val="clear" w:color="auto" w:fill="FFFFFF" w:themeFill="background1"/>
        </w:rPr>
        <w:t>12 % nebo sociální vědy</w:t>
      </w:r>
      <w:r w:rsidR="00FA631D">
        <w:rPr>
          <w:shd w:val="clear" w:color="auto" w:fill="FFFFFF" w:themeFill="background1"/>
        </w:rPr>
        <w:t xml:space="preserve"> s</w:t>
      </w:r>
      <w:r w:rsidR="00F37725">
        <w:rPr>
          <w:shd w:val="clear" w:color="auto" w:fill="FFFFFF" w:themeFill="background1"/>
        </w:rPr>
        <w:t> </w:t>
      </w:r>
      <w:r>
        <w:rPr>
          <w:shd w:val="clear" w:color="auto" w:fill="FFFFFF" w:themeFill="background1"/>
        </w:rPr>
        <w:t xml:space="preserve">6 %. </w:t>
      </w:r>
    </w:p>
    <w:p w14:paraId="0F63EC97" w14:textId="29E2C164" w:rsidR="00BB7A8E" w:rsidRDefault="00BB7A8E" w:rsidP="004C5247">
      <w:r>
        <w:t xml:space="preserve">V období 2016 </w:t>
      </w:r>
      <w:r w:rsidR="0066182D">
        <w:t xml:space="preserve">až </w:t>
      </w:r>
      <w:r>
        <w:t xml:space="preserve">2019 studovalo 30 % </w:t>
      </w:r>
      <w:r w:rsidR="008750A9">
        <w:t>policistů</w:t>
      </w:r>
      <w:r>
        <w:t xml:space="preserve"> jiný obor vysoké školy, než je skupina oborů právo, právní a veřejnosprávní činnost</w:t>
      </w:r>
      <w:r w:rsidR="00313A76">
        <w:t xml:space="preserve"> (tabulka č. 5)</w:t>
      </w:r>
      <w:r>
        <w:t>.</w:t>
      </w:r>
      <w:r w:rsidR="004277DE">
        <w:t xml:space="preserve"> </w:t>
      </w:r>
      <w:r w:rsidR="00313A76">
        <w:rPr>
          <w:shd w:val="clear" w:color="auto" w:fill="FFFFFF" w:themeFill="background1"/>
        </w:rPr>
        <w:t>MV tak plně nevyužívalo</w:t>
      </w:r>
      <w:r w:rsidR="00313A76" w:rsidRPr="00DC39B6">
        <w:rPr>
          <w:shd w:val="clear" w:color="auto" w:fill="FFFFFF" w:themeFill="background1"/>
        </w:rPr>
        <w:t xml:space="preserve"> ustanovení § 19 odst. 2 zákona č. 361/2003 Sb.</w:t>
      </w:r>
      <w:r w:rsidR="00313A76">
        <w:rPr>
          <w:shd w:val="clear" w:color="auto" w:fill="FFFFFF" w:themeFill="background1"/>
        </w:rPr>
        <w:t>, když nestanovilo požadavky nebo obor vzdělání a</w:t>
      </w:r>
      <w:r w:rsidR="00313A76">
        <w:t xml:space="preserve"> umožnilo policistům zvyšovat si stupeň vzdělání při výkonu služby bez ohledu na požadovaný studijní obor.</w:t>
      </w:r>
    </w:p>
    <w:p w14:paraId="077818F4" w14:textId="7B21D2B8" w:rsidR="00C665C6" w:rsidRPr="00831942" w:rsidRDefault="00AE755A" w:rsidP="007B3C21">
      <w:pPr>
        <w:spacing w:before="120" w:after="40"/>
        <w:rPr>
          <w:b/>
        </w:rPr>
      </w:pPr>
      <w:r w:rsidRPr="00831942">
        <w:rPr>
          <w:b/>
        </w:rPr>
        <w:t xml:space="preserve">Tabulka č. </w:t>
      </w:r>
      <w:r w:rsidR="00313A76">
        <w:rPr>
          <w:b/>
        </w:rPr>
        <w:t>5</w:t>
      </w:r>
      <w:r w:rsidRPr="00831942">
        <w:rPr>
          <w:b/>
        </w:rPr>
        <w:t xml:space="preserve">: </w:t>
      </w:r>
      <w:r w:rsidR="00C665C6" w:rsidRPr="00831942">
        <w:rPr>
          <w:b/>
        </w:rPr>
        <w:t xml:space="preserve">Počet </w:t>
      </w:r>
      <w:r w:rsidR="008750A9">
        <w:rPr>
          <w:b/>
        </w:rPr>
        <w:t>policistů</w:t>
      </w:r>
      <w:r w:rsidR="00C665C6" w:rsidRPr="00831942">
        <w:rPr>
          <w:b/>
        </w:rPr>
        <w:t xml:space="preserve"> podle studovaného oboru vysoké školy</w:t>
      </w: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020"/>
        <w:gridCol w:w="1021"/>
        <w:gridCol w:w="1020"/>
        <w:gridCol w:w="1021"/>
        <w:gridCol w:w="1021"/>
      </w:tblGrid>
      <w:tr w:rsidR="00892DBD" w:rsidRPr="00054491" w14:paraId="035E6D8A" w14:textId="77777777" w:rsidTr="007B3C21">
        <w:trPr>
          <w:trHeight w:val="142"/>
        </w:trPr>
        <w:tc>
          <w:tcPr>
            <w:tcW w:w="3969" w:type="dxa"/>
            <w:shd w:val="clear" w:color="000000" w:fill="E5F1FF"/>
            <w:vAlign w:val="center"/>
            <w:hideMark/>
          </w:tcPr>
          <w:p w14:paraId="2561EFAE" w14:textId="77777777" w:rsidR="00892DBD" w:rsidRPr="00610EE6" w:rsidRDefault="00892DBD" w:rsidP="001A091E">
            <w:pPr>
              <w:spacing w:after="0"/>
              <w:ind w:left="0" w:firstLine="0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610EE6">
              <w:rPr>
                <w:rFonts w:eastAsia="Times New Roman"/>
                <w:b/>
                <w:sz w:val="20"/>
                <w:szCs w:val="20"/>
              </w:rPr>
              <w:t>Obor vzdělání</w:t>
            </w:r>
          </w:p>
        </w:tc>
        <w:tc>
          <w:tcPr>
            <w:tcW w:w="1020" w:type="dxa"/>
            <w:shd w:val="clear" w:color="000000" w:fill="E5F1FF"/>
            <w:vAlign w:val="center"/>
            <w:hideMark/>
          </w:tcPr>
          <w:p w14:paraId="3934B20A" w14:textId="77777777" w:rsidR="00892DBD" w:rsidRPr="00054491" w:rsidRDefault="00892DBD" w:rsidP="007B3C21">
            <w:pPr>
              <w:spacing w:after="0"/>
              <w:ind w:lef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54491">
              <w:rPr>
                <w:rFonts w:eastAsia="Times New Roman"/>
                <w:b/>
                <w:sz w:val="20"/>
                <w:szCs w:val="20"/>
              </w:rPr>
              <w:t>2016</w:t>
            </w:r>
          </w:p>
        </w:tc>
        <w:tc>
          <w:tcPr>
            <w:tcW w:w="1021" w:type="dxa"/>
            <w:shd w:val="clear" w:color="000000" w:fill="E5F1FF"/>
            <w:vAlign w:val="center"/>
            <w:hideMark/>
          </w:tcPr>
          <w:p w14:paraId="359EFC94" w14:textId="77777777" w:rsidR="00892DBD" w:rsidRPr="00054491" w:rsidRDefault="00892DBD" w:rsidP="007B3C21">
            <w:pPr>
              <w:spacing w:after="0"/>
              <w:ind w:lef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54491">
              <w:rPr>
                <w:rFonts w:eastAsia="Times New Roman"/>
                <w:b/>
                <w:sz w:val="20"/>
                <w:szCs w:val="20"/>
              </w:rPr>
              <w:t>2017</w:t>
            </w:r>
          </w:p>
        </w:tc>
        <w:tc>
          <w:tcPr>
            <w:tcW w:w="1020" w:type="dxa"/>
            <w:shd w:val="clear" w:color="000000" w:fill="E5F1FF"/>
            <w:vAlign w:val="center"/>
            <w:hideMark/>
          </w:tcPr>
          <w:p w14:paraId="2F4C9687" w14:textId="77777777" w:rsidR="00892DBD" w:rsidRPr="00054491" w:rsidRDefault="00892DBD" w:rsidP="007B3C21">
            <w:pPr>
              <w:spacing w:after="0"/>
              <w:ind w:lef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54491">
              <w:rPr>
                <w:rFonts w:eastAsia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021" w:type="dxa"/>
            <w:shd w:val="clear" w:color="000000" w:fill="E5F1FF"/>
            <w:vAlign w:val="center"/>
            <w:hideMark/>
          </w:tcPr>
          <w:p w14:paraId="28378DF0" w14:textId="77777777" w:rsidR="00892DBD" w:rsidRPr="00054491" w:rsidRDefault="00892DBD" w:rsidP="007B3C21">
            <w:pPr>
              <w:spacing w:after="0"/>
              <w:ind w:lef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54491">
              <w:rPr>
                <w:rFonts w:eastAsia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021" w:type="dxa"/>
            <w:shd w:val="clear" w:color="000000" w:fill="E5F1FF"/>
            <w:vAlign w:val="center"/>
            <w:hideMark/>
          </w:tcPr>
          <w:p w14:paraId="764D024E" w14:textId="77777777" w:rsidR="00892DBD" w:rsidRPr="00054491" w:rsidRDefault="00892DBD" w:rsidP="007B3C21">
            <w:pPr>
              <w:spacing w:after="0"/>
              <w:ind w:left="0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54491">
              <w:rPr>
                <w:rFonts w:eastAsia="Times New Roman"/>
                <w:b/>
                <w:sz w:val="20"/>
                <w:szCs w:val="20"/>
              </w:rPr>
              <w:t>Celkem</w:t>
            </w:r>
          </w:p>
        </w:tc>
      </w:tr>
      <w:tr w:rsidR="00892DBD" w:rsidRPr="00054491" w14:paraId="581A25AD" w14:textId="77777777" w:rsidTr="00C81A10">
        <w:trPr>
          <w:trHeight w:val="26"/>
        </w:trPr>
        <w:tc>
          <w:tcPr>
            <w:tcW w:w="3969" w:type="dxa"/>
            <w:shd w:val="clear" w:color="auto" w:fill="auto"/>
            <w:vAlign w:val="center"/>
            <w:hideMark/>
          </w:tcPr>
          <w:p w14:paraId="589CFCB5" w14:textId="77777777" w:rsidR="00892DBD" w:rsidRPr="00AC3D28" w:rsidRDefault="00892DBD" w:rsidP="001A091E">
            <w:pPr>
              <w:spacing w:after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AC3D28">
              <w:rPr>
                <w:rFonts w:eastAsia="Times New Roman"/>
                <w:sz w:val="20"/>
                <w:szCs w:val="20"/>
              </w:rPr>
              <w:t>Právo, právní a veřejnosprávní činnost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99780BA" w14:textId="77777777" w:rsidR="00892DBD" w:rsidRPr="00AC3D28" w:rsidRDefault="00892DBD" w:rsidP="00EC2573">
            <w:pPr>
              <w:spacing w:after="0"/>
              <w:ind w:left="0" w:right="198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C3D28">
              <w:rPr>
                <w:rFonts w:eastAsia="Times New Roman"/>
                <w:sz w:val="20"/>
                <w:szCs w:val="20"/>
              </w:rPr>
              <w:t>704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6432124B" w14:textId="77777777" w:rsidR="00892DBD" w:rsidRPr="00AC3D28" w:rsidRDefault="00892DBD" w:rsidP="00EC2573">
            <w:pPr>
              <w:spacing w:after="0"/>
              <w:ind w:left="0" w:right="198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C3D28">
              <w:rPr>
                <w:rFonts w:eastAsia="Times New Roman"/>
                <w:sz w:val="20"/>
                <w:szCs w:val="20"/>
              </w:rPr>
              <w:t>407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FF4C652" w14:textId="77777777" w:rsidR="00892DBD" w:rsidRPr="00AC3D28" w:rsidRDefault="00892DBD" w:rsidP="00EC2573">
            <w:pPr>
              <w:spacing w:after="0"/>
              <w:ind w:left="0" w:right="198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C3D28">
              <w:rPr>
                <w:rFonts w:eastAsia="Times New Roman"/>
                <w:sz w:val="20"/>
                <w:szCs w:val="20"/>
              </w:rPr>
              <w:t>470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1C693A64" w14:textId="77777777" w:rsidR="00892DBD" w:rsidRPr="00AC3D28" w:rsidRDefault="00892DBD" w:rsidP="00EC2573">
            <w:pPr>
              <w:spacing w:after="0"/>
              <w:ind w:left="0" w:right="198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C3D28">
              <w:rPr>
                <w:rFonts w:eastAsia="Times New Roman"/>
                <w:sz w:val="20"/>
                <w:szCs w:val="20"/>
              </w:rPr>
              <w:t>525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BF1D8E3" w14:textId="77777777" w:rsidR="00892DBD" w:rsidRPr="00713CAF" w:rsidRDefault="00892DBD" w:rsidP="00EC2573">
            <w:pPr>
              <w:spacing w:after="0"/>
              <w:ind w:left="0" w:right="198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3CAF">
              <w:rPr>
                <w:rFonts w:eastAsia="Times New Roman"/>
                <w:b/>
                <w:sz w:val="20"/>
                <w:szCs w:val="20"/>
              </w:rPr>
              <w:t>2 106</w:t>
            </w:r>
          </w:p>
        </w:tc>
      </w:tr>
      <w:tr w:rsidR="00892DBD" w:rsidRPr="00054491" w14:paraId="0EFDF0B7" w14:textId="77777777" w:rsidTr="00C81A10">
        <w:trPr>
          <w:trHeight w:val="192"/>
        </w:trPr>
        <w:tc>
          <w:tcPr>
            <w:tcW w:w="3969" w:type="dxa"/>
            <w:shd w:val="clear" w:color="auto" w:fill="auto"/>
            <w:vAlign w:val="center"/>
            <w:hideMark/>
          </w:tcPr>
          <w:p w14:paraId="7E2433F0" w14:textId="77777777" w:rsidR="00892DBD" w:rsidRPr="00AC3D28" w:rsidRDefault="00892DBD" w:rsidP="001A091E">
            <w:pPr>
              <w:spacing w:after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AC3D28">
              <w:rPr>
                <w:rFonts w:eastAsia="Times New Roman"/>
                <w:sz w:val="20"/>
                <w:szCs w:val="20"/>
              </w:rPr>
              <w:t>Ostatní obory VŠ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DE97313" w14:textId="77777777" w:rsidR="00892DBD" w:rsidRPr="00AC3D28" w:rsidRDefault="00892DBD" w:rsidP="00EC2573">
            <w:pPr>
              <w:spacing w:after="0"/>
              <w:ind w:left="0" w:right="198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C3D28">
              <w:rPr>
                <w:rFonts w:eastAsia="Times New Roman"/>
                <w:sz w:val="20"/>
                <w:szCs w:val="20"/>
              </w:rPr>
              <w:t>227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0FF08788" w14:textId="77777777" w:rsidR="00892DBD" w:rsidRPr="00AC3D28" w:rsidRDefault="00892DBD" w:rsidP="00EC2573">
            <w:pPr>
              <w:spacing w:after="0"/>
              <w:ind w:left="0" w:right="198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C3D28">
              <w:rPr>
                <w:rFonts w:eastAsia="Times New Roman"/>
                <w:sz w:val="20"/>
                <w:szCs w:val="20"/>
              </w:rPr>
              <w:t>223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198C27E7" w14:textId="77777777" w:rsidR="00892DBD" w:rsidRPr="00AC3D28" w:rsidRDefault="00892DBD" w:rsidP="00EC2573">
            <w:pPr>
              <w:spacing w:after="0"/>
              <w:ind w:left="0" w:right="198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C3D28">
              <w:rPr>
                <w:rFonts w:eastAsia="Times New Roman"/>
                <w:sz w:val="20"/>
                <w:szCs w:val="20"/>
              </w:rPr>
              <w:t>237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30E384F0" w14:textId="77777777" w:rsidR="00892DBD" w:rsidRPr="00AC3D28" w:rsidRDefault="00892DBD" w:rsidP="00EC2573">
            <w:pPr>
              <w:spacing w:after="0"/>
              <w:ind w:left="0" w:right="198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C3D28">
              <w:rPr>
                <w:rFonts w:eastAsia="Times New Roman"/>
                <w:sz w:val="20"/>
                <w:szCs w:val="20"/>
              </w:rPr>
              <w:t>202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236FB19F" w14:textId="77777777" w:rsidR="00892DBD" w:rsidRPr="00713CAF" w:rsidRDefault="00892DBD" w:rsidP="00EC2573">
            <w:pPr>
              <w:spacing w:after="0"/>
              <w:ind w:left="0" w:right="198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3CAF">
              <w:rPr>
                <w:rFonts w:eastAsia="Times New Roman"/>
                <w:b/>
                <w:sz w:val="20"/>
                <w:szCs w:val="20"/>
              </w:rPr>
              <w:t>889</w:t>
            </w:r>
          </w:p>
        </w:tc>
      </w:tr>
      <w:tr w:rsidR="00E34989" w:rsidRPr="00054491" w14:paraId="3C61F656" w14:textId="77777777" w:rsidTr="00C81A10">
        <w:trPr>
          <w:trHeight w:val="192"/>
        </w:trPr>
        <w:tc>
          <w:tcPr>
            <w:tcW w:w="3969" w:type="dxa"/>
            <w:shd w:val="clear" w:color="auto" w:fill="auto"/>
            <w:vAlign w:val="center"/>
          </w:tcPr>
          <w:p w14:paraId="085CAE94" w14:textId="5E0A6618" w:rsidR="00E34989" w:rsidRPr="00AC3D28" w:rsidRDefault="00E34989" w:rsidP="001A091E">
            <w:pPr>
              <w:spacing w:after="0"/>
              <w:ind w:left="0" w:firstLine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Celkem obory VŠ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6A22806" w14:textId="638FEC96" w:rsidR="00E34989" w:rsidRPr="00AC3D28" w:rsidRDefault="00E34989" w:rsidP="00EC2573">
            <w:pPr>
              <w:spacing w:after="0"/>
              <w:ind w:left="0" w:right="198" w:firstLine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931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5E65A39" w14:textId="7832EF40" w:rsidR="00E34989" w:rsidRPr="00AC3D28" w:rsidRDefault="00E34989" w:rsidP="00EC2573">
            <w:pPr>
              <w:spacing w:after="0"/>
              <w:ind w:left="0" w:right="198" w:firstLine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1203A10" w14:textId="6A15098D" w:rsidR="00E34989" w:rsidRPr="00AC3D28" w:rsidRDefault="00E34989" w:rsidP="00EC2573">
            <w:pPr>
              <w:spacing w:after="0"/>
              <w:ind w:left="0" w:right="198" w:firstLine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707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C604D4E" w14:textId="5E687A86" w:rsidR="00E34989" w:rsidRPr="00AC3D28" w:rsidRDefault="00E34989" w:rsidP="00EC2573">
            <w:pPr>
              <w:spacing w:after="0"/>
              <w:ind w:left="0" w:right="198" w:firstLine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727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5828CD7" w14:textId="2537C392" w:rsidR="00E34989" w:rsidRPr="00713CAF" w:rsidRDefault="00E34989" w:rsidP="00EC2573">
            <w:pPr>
              <w:spacing w:after="0"/>
              <w:ind w:left="0" w:right="198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2 995</w:t>
            </w:r>
          </w:p>
        </w:tc>
      </w:tr>
      <w:tr w:rsidR="00892DBD" w:rsidRPr="00054491" w14:paraId="38061831" w14:textId="77777777" w:rsidTr="00C81A10">
        <w:trPr>
          <w:trHeight w:val="196"/>
        </w:trPr>
        <w:tc>
          <w:tcPr>
            <w:tcW w:w="3969" w:type="dxa"/>
            <w:shd w:val="clear" w:color="000000" w:fill="FFFFFF"/>
            <w:vAlign w:val="center"/>
            <w:hideMark/>
          </w:tcPr>
          <w:p w14:paraId="3F0848B0" w14:textId="77777777" w:rsidR="00892DBD" w:rsidRPr="00AC3D28" w:rsidRDefault="00892DBD" w:rsidP="001A091E">
            <w:pPr>
              <w:spacing w:after="0"/>
              <w:ind w:left="0" w:firstLine="0"/>
              <w:rPr>
                <w:rFonts w:eastAsia="Times New Roman"/>
                <w:sz w:val="20"/>
                <w:szCs w:val="20"/>
              </w:rPr>
            </w:pPr>
            <w:r w:rsidRPr="00AC3D28">
              <w:rPr>
                <w:rFonts w:eastAsia="Times New Roman"/>
                <w:sz w:val="20"/>
                <w:szCs w:val="20"/>
              </w:rPr>
              <w:t>Podíl ostatních oborů VŠ z celkového počtu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BD96839" w14:textId="77777777" w:rsidR="00892DBD" w:rsidRPr="00AC3D28" w:rsidRDefault="00892DBD" w:rsidP="00EC2573">
            <w:pPr>
              <w:spacing w:after="0"/>
              <w:ind w:left="0" w:right="28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C3D28">
              <w:rPr>
                <w:rFonts w:eastAsia="Times New Roman"/>
                <w:sz w:val="20"/>
                <w:szCs w:val="20"/>
              </w:rPr>
              <w:t>24</w:t>
            </w:r>
            <w:r w:rsidR="009B257B">
              <w:rPr>
                <w:rFonts w:eastAsia="Times New Roman"/>
                <w:sz w:val="20"/>
                <w:szCs w:val="20"/>
              </w:rPr>
              <w:t xml:space="preserve"> </w:t>
            </w:r>
            <w:r w:rsidRPr="00AC3D28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14:paraId="1E8015D8" w14:textId="77777777" w:rsidR="00892DBD" w:rsidRPr="00AC3D28" w:rsidRDefault="00892DBD" w:rsidP="00EC2573">
            <w:pPr>
              <w:spacing w:after="0"/>
              <w:ind w:left="0" w:right="28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C3D28">
              <w:rPr>
                <w:rFonts w:eastAsia="Times New Roman"/>
                <w:sz w:val="20"/>
                <w:szCs w:val="20"/>
              </w:rPr>
              <w:t>35</w:t>
            </w:r>
            <w:r w:rsidR="009B257B">
              <w:rPr>
                <w:rFonts w:eastAsia="Times New Roman"/>
                <w:sz w:val="20"/>
                <w:szCs w:val="20"/>
              </w:rPr>
              <w:t xml:space="preserve"> </w:t>
            </w:r>
            <w:r w:rsidRPr="00AC3D28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32D2CFB8" w14:textId="77777777" w:rsidR="00892DBD" w:rsidRPr="00AC3D28" w:rsidRDefault="00892DBD" w:rsidP="00EC2573">
            <w:pPr>
              <w:spacing w:after="0"/>
              <w:ind w:left="0" w:right="28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C3D28">
              <w:rPr>
                <w:rFonts w:eastAsia="Times New Roman"/>
                <w:sz w:val="20"/>
                <w:szCs w:val="20"/>
              </w:rPr>
              <w:t>34</w:t>
            </w:r>
            <w:r w:rsidR="009B257B">
              <w:rPr>
                <w:rFonts w:eastAsia="Times New Roman"/>
                <w:sz w:val="20"/>
                <w:szCs w:val="20"/>
              </w:rPr>
              <w:t xml:space="preserve"> </w:t>
            </w:r>
            <w:r w:rsidRPr="00AC3D28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21" w:type="dxa"/>
            <w:shd w:val="clear" w:color="000000" w:fill="FFFFFF"/>
            <w:vAlign w:val="center"/>
            <w:hideMark/>
          </w:tcPr>
          <w:p w14:paraId="5C778DEC" w14:textId="77777777" w:rsidR="00892DBD" w:rsidRPr="00AC3D28" w:rsidRDefault="00892DBD" w:rsidP="00EC2573">
            <w:pPr>
              <w:spacing w:after="0"/>
              <w:ind w:left="0" w:right="28" w:firstLine="0"/>
              <w:jc w:val="right"/>
              <w:rPr>
                <w:rFonts w:eastAsia="Times New Roman"/>
                <w:sz w:val="20"/>
                <w:szCs w:val="20"/>
              </w:rPr>
            </w:pPr>
            <w:r w:rsidRPr="00AC3D28">
              <w:rPr>
                <w:rFonts w:eastAsia="Times New Roman"/>
                <w:sz w:val="20"/>
                <w:szCs w:val="20"/>
              </w:rPr>
              <w:t>28</w:t>
            </w:r>
            <w:r w:rsidR="009B257B">
              <w:rPr>
                <w:rFonts w:eastAsia="Times New Roman"/>
                <w:sz w:val="20"/>
                <w:szCs w:val="20"/>
              </w:rPr>
              <w:t xml:space="preserve"> </w:t>
            </w:r>
            <w:r w:rsidRPr="00AC3D28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14:paraId="718C8CE5" w14:textId="77777777" w:rsidR="00892DBD" w:rsidRPr="00713CAF" w:rsidRDefault="00892DBD" w:rsidP="00EC2573">
            <w:pPr>
              <w:spacing w:after="0"/>
              <w:ind w:left="0" w:right="28" w:firstLine="0"/>
              <w:jc w:val="right"/>
              <w:rPr>
                <w:rFonts w:eastAsia="Times New Roman"/>
                <w:b/>
                <w:sz w:val="20"/>
                <w:szCs w:val="20"/>
              </w:rPr>
            </w:pPr>
            <w:r w:rsidRPr="00713CAF">
              <w:rPr>
                <w:rFonts w:eastAsia="Times New Roman"/>
                <w:b/>
                <w:sz w:val="20"/>
                <w:szCs w:val="20"/>
              </w:rPr>
              <w:t>30 %</w:t>
            </w:r>
          </w:p>
        </w:tc>
      </w:tr>
    </w:tbl>
    <w:p w14:paraId="5CDAD1F6" w14:textId="05E04853" w:rsidR="00AC3D28" w:rsidRDefault="00AC3D28" w:rsidP="008B7FB7">
      <w:pPr>
        <w:pStyle w:val="Zdroj"/>
        <w:spacing w:before="40"/>
        <w:rPr>
          <w:rStyle w:val="ZrojChar"/>
          <w:rFonts w:eastAsia="Calibri"/>
          <w:szCs w:val="20"/>
        </w:rPr>
      </w:pPr>
      <w:r w:rsidRPr="00A93B36">
        <w:rPr>
          <w:rStyle w:val="ZrojChar"/>
          <w:rFonts w:eastAsia="Calibri"/>
          <w:b/>
          <w:szCs w:val="20"/>
        </w:rPr>
        <w:t>Zdroj:</w:t>
      </w:r>
      <w:r w:rsidRPr="00831942">
        <w:rPr>
          <w:rStyle w:val="ZrojChar"/>
          <w:rFonts w:eastAsia="Calibri"/>
          <w:szCs w:val="20"/>
        </w:rPr>
        <w:t xml:space="preserve"> </w:t>
      </w:r>
      <w:r w:rsidR="005E39FF">
        <w:rPr>
          <w:rStyle w:val="ZrojChar"/>
          <w:rFonts w:eastAsia="Calibri"/>
          <w:szCs w:val="20"/>
        </w:rPr>
        <w:t>i</w:t>
      </w:r>
      <w:r w:rsidRPr="00831942">
        <w:rPr>
          <w:rStyle w:val="ZrojChar"/>
          <w:rFonts w:eastAsia="Calibri"/>
          <w:szCs w:val="20"/>
        </w:rPr>
        <w:t>nformace PČR.</w:t>
      </w:r>
    </w:p>
    <w:p w14:paraId="585E9F4D" w14:textId="3BF0714B" w:rsidR="00313A76" w:rsidRDefault="00313A76" w:rsidP="00313A76">
      <w:r>
        <w:rPr>
          <w:rFonts w:asciiTheme="minorHAnsi" w:hAnsiTheme="minorHAnsi" w:cstheme="minorHAnsi"/>
        </w:rPr>
        <w:t>NKÚ dále zjistil, že MV</w:t>
      </w:r>
      <w:r w:rsidR="0014042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resp. </w:t>
      </w:r>
      <w:r>
        <w:t xml:space="preserve">PČR umožnila řadě policistů zvyšovat si stupeň vzdělání při výkonu služby a vynaložila peněžní prostředky státu na jejich studium. V  období 2016 až 2019 si téměř 43 % policistů zvyšovalo vzdělání na jiných vysokých školách, než byla PA ČR. </w:t>
      </w:r>
    </w:p>
    <w:p w14:paraId="41123533" w14:textId="7A40DAEA" w:rsidR="00313A76" w:rsidRPr="00CB717F" w:rsidRDefault="00CB717F" w:rsidP="00CB717F">
      <w:pPr>
        <w:keepNext/>
        <w:spacing w:after="40"/>
        <w:rPr>
          <w:b/>
        </w:rPr>
      </w:pPr>
      <w:r w:rsidRPr="00CB717F">
        <w:rPr>
          <w:b/>
        </w:rPr>
        <w:lastRenderedPageBreak/>
        <w:t>Tabulka č. 6</w:t>
      </w:r>
      <w:r w:rsidR="00313A76" w:rsidRPr="00CB717F">
        <w:rPr>
          <w:b/>
        </w:rPr>
        <w:t xml:space="preserve">: Počet policistů, kteří si zvyšovali stupeň vzdělání při výkonu služby </w:t>
      </w:r>
    </w:p>
    <w:tbl>
      <w:tblPr>
        <w:tblStyle w:val="Mkatabulky"/>
        <w:tblW w:w="89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72"/>
        <w:gridCol w:w="709"/>
        <w:gridCol w:w="709"/>
        <w:gridCol w:w="709"/>
        <w:gridCol w:w="709"/>
        <w:gridCol w:w="850"/>
      </w:tblGrid>
      <w:tr w:rsidR="00313A76" w:rsidRPr="00EB43B8" w14:paraId="5681E149" w14:textId="77777777" w:rsidTr="007B3C21">
        <w:trPr>
          <w:trHeight w:val="124"/>
        </w:trPr>
        <w:tc>
          <w:tcPr>
            <w:tcW w:w="5272" w:type="dxa"/>
            <w:shd w:val="clear" w:color="auto" w:fill="E5F1FF"/>
            <w:vAlign w:val="center"/>
          </w:tcPr>
          <w:p w14:paraId="728FB267" w14:textId="77777777" w:rsidR="00313A76" w:rsidRPr="00831942" w:rsidRDefault="00313A76" w:rsidP="008B7FB7">
            <w:pPr>
              <w:keepNext/>
              <w:spacing w:after="0"/>
              <w:jc w:val="left"/>
              <w:rPr>
                <w:rFonts w:cstheme="minorHAnsi"/>
                <w:b/>
                <w:bCs/>
                <w:iCs/>
                <w:sz w:val="20"/>
              </w:rPr>
            </w:pPr>
            <w:r w:rsidRPr="00831942">
              <w:rPr>
                <w:rFonts w:cstheme="minorHAnsi"/>
                <w:b/>
                <w:bCs/>
                <w:iCs/>
                <w:sz w:val="20"/>
              </w:rPr>
              <w:t>Název školy</w:t>
            </w:r>
          </w:p>
        </w:tc>
        <w:tc>
          <w:tcPr>
            <w:tcW w:w="709" w:type="dxa"/>
            <w:shd w:val="clear" w:color="auto" w:fill="E5F1FF"/>
            <w:vAlign w:val="center"/>
          </w:tcPr>
          <w:p w14:paraId="0DBC0132" w14:textId="77777777" w:rsidR="00313A76" w:rsidRPr="00831942" w:rsidRDefault="00313A76" w:rsidP="007B3C21">
            <w:pPr>
              <w:keepNext/>
              <w:spacing w:after="0"/>
              <w:jc w:val="center"/>
              <w:rPr>
                <w:rFonts w:cstheme="minorHAnsi"/>
                <w:b/>
                <w:bCs/>
                <w:iCs/>
                <w:sz w:val="20"/>
              </w:rPr>
            </w:pPr>
            <w:r w:rsidRPr="00831942">
              <w:rPr>
                <w:rFonts w:cstheme="minorHAnsi"/>
                <w:b/>
                <w:bCs/>
                <w:iCs/>
                <w:sz w:val="20"/>
              </w:rPr>
              <w:t>2016</w:t>
            </w:r>
          </w:p>
        </w:tc>
        <w:tc>
          <w:tcPr>
            <w:tcW w:w="709" w:type="dxa"/>
            <w:shd w:val="clear" w:color="auto" w:fill="E5F1FF"/>
            <w:vAlign w:val="center"/>
          </w:tcPr>
          <w:p w14:paraId="0086A4AC" w14:textId="77777777" w:rsidR="00313A76" w:rsidRPr="00831942" w:rsidRDefault="00313A76" w:rsidP="007B3C21">
            <w:pPr>
              <w:keepNext/>
              <w:spacing w:after="0"/>
              <w:jc w:val="center"/>
              <w:rPr>
                <w:rFonts w:cstheme="minorHAnsi"/>
                <w:b/>
                <w:bCs/>
                <w:iCs/>
                <w:sz w:val="20"/>
              </w:rPr>
            </w:pPr>
            <w:r w:rsidRPr="00831942">
              <w:rPr>
                <w:rFonts w:cstheme="minorHAnsi"/>
                <w:b/>
                <w:bCs/>
                <w:iCs/>
                <w:sz w:val="20"/>
              </w:rPr>
              <w:t>2017</w:t>
            </w:r>
          </w:p>
        </w:tc>
        <w:tc>
          <w:tcPr>
            <w:tcW w:w="709" w:type="dxa"/>
            <w:shd w:val="clear" w:color="auto" w:fill="E5F1FF"/>
            <w:vAlign w:val="center"/>
          </w:tcPr>
          <w:p w14:paraId="4868153A" w14:textId="77777777" w:rsidR="00313A76" w:rsidRPr="00831942" w:rsidRDefault="00313A76" w:rsidP="007B3C21">
            <w:pPr>
              <w:keepNext/>
              <w:spacing w:after="0"/>
              <w:jc w:val="center"/>
              <w:rPr>
                <w:rFonts w:cstheme="minorHAnsi"/>
                <w:b/>
                <w:bCs/>
                <w:iCs/>
                <w:sz w:val="20"/>
              </w:rPr>
            </w:pPr>
            <w:r w:rsidRPr="00831942">
              <w:rPr>
                <w:rFonts w:cstheme="minorHAnsi"/>
                <w:b/>
                <w:bCs/>
                <w:iCs/>
                <w:sz w:val="20"/>
              </w:rPr>
              <w:t>2018</w:t>
            </w:r>
          </w:p>
        </w:tc>
        <w:tc>
          <w:tcPr>
            <w:tcW w:w="709" w:type="dxa"/>
            <w:shd w:val="clear" w:color="auto" w:fill="E5F1FF"/>
            <w:vAlign w:val="center"/>
          </w:tcPr>
          <w:p w14:paraId="5C033B7F" w14:textId="77777777" w:rsidR="00313A76" w:rsidRPr="00831942" w:rsidRDefault="00313A76" w:rsidP="007B3C21">
            <w:pPr>
              <w:keepNext/>
              <w:spacing w:after="0"/>
              <w:jc w:val="center"/>
              <w:rPr>
                <w:rFonts w:cstheme="minorHAnsi"/>
                <w:b/>
                <w:bCs/>
                <w:iCs/>
                <w:sz w:val="20"/>
              </w:rPr>
            </w:pPr>
            <w:r w:rsidRPr="00831942">
              <w:rPr>
                <w:rFonts w:cstheme="minorHAnsi"/>
                <w:b/>
                <w:bCs/>
                <w:iCs/>
                <w:sz w:val="20"/>
              </w:rPr>
              <w:t>2019</w:t>
            </w:r>
          </w:p>
        </w:tc>
        <w:tc>
          <w:tcPr>
            <w:tcW w:w="850" w:type="dxa"/>
            <w:shd w:val="clear" w:color="auto" w:fill="E5F1FF"/>
            <w:vAlign w:val="center"/>
          </w:tcPr>
          <w:p w14:paraId="030E4BE2" w14:textId="77777777" w:rsidR="00313A76" w:rsidRPr="00831942" w:rsidRDefault="00313A76" w:rsidP="007B3C21">
            <w:pPr>
              <w:keepNext/>
              <w:spacing w:after="0"/>
              <w:jc w:val="center"/>
              <w:rPr>
                <w:rFonts w:cstheme="minorHAnsi"/>
                <w:b/>
                <w:bCs/>
                <w:iCs/>
                <w:sz w:val="20"/>
              </w:rPr>
            </w:pPr>
            <w:r w:rsidRPr="00831942">
              <w:rPr>
                <w:rFonts w:cstheme="minorHAnsi"/>
                <w:b/>
                <w:bCs/>
                <w:iCs/>
                <w:sz w:val="20"/>
              </w:rPr>
              <w:t>Celkem</w:t>
            </w:r>
          </w:p>
        </w:tc>
      </w:tr>
      <w:tr w:rsidR="00313A76" w14:paraId="353DD3AD" w14:textId="77777777" w:rsidTr="008B7FB7">
        <w:trPr>
          <w:trHeight w:val="45"/>
        </w:trPr>
        <w:tc>
          <w:tcPr>
            <w:tcW w:w="5272" w:type="dxa"/>
            <w:vAlign w:val="center"/>
          </w:tcPr>
          <w:p w14:paraId="4FAC9299" w14:textId="77777777" w:rsidR="00313A76" w:rsidRPr="006F52EE" w:rsidRDefault="00313A76" w:rsidP="008B7FB7">
            <w:pPr>
              <w:keepNext/>
              <w:spacing w:after="0"/>
              <w:rPr>
                <w:rFonts w:cstheme="minorHAnsi"/>
                <w:bCs/>
                <w:iCs/>
                <w:sz w:val="20"/>
              </w:rPr>
            </w:pPr>
            <w:r w:rsidRPr="006F52EE">
              <w:rPr>
                <w:rFonts w:cstheme="minorHAnsi"/>
                <w:bCs/>
                <w:iCs/>
                <w:sz w:val="20"/>
              </w:rPr>
              <w:t>PA ČR v Praze</w:t>
            </w:r>
          </w:p>
        </w:tc>
        <w:tc>
          <w:tcPr>
            <w:tcW w:w="709" w:type="dxa"/>
            <w:vAlign w:val="center"/>
          </w:tcPr>
          <w:p w14:paraId="2A80E9B3" w14:textId="77777777" w:rsidR="00313A76" w:rsidRPr="006F52EE" w:rsidRDefault="00313A76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517</w:t>
            </w:r>
          </w:p>
        </w:tc>
        <w:tc>
          <w:tcPr>
            <w:tcW w:w="709" w:type="dxa"/>
            <w:vAlign w:val="center"/>
          </w:tcPr>
          <w:p w14:paraId="2E924402" w14:textId="77777777" w:rsidR="00313A76" w:rsidRPr="006F52EE" w:rsidRDefault="00313A76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225</w:t>
            </w:r>
          </w:p>
        </w:tc>
        <w:tc>
          <w:tcPr>
            <w:tcW w:w="709" w:type="dxa"/>
            <w:vAlign w:val="center"/>
          </w:tcPr>
          <w:p w14:paraId="3C47BB3F" w14:textId="77777777" w:rsidR="00313A76" w:rsidRPr="006F52EE" w:rsidRDefault="00313A76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267</w:t>
            </w:r>
          </w:p>
        </w:tc>
        <w:tc>
          <w:tcPr>
            <w:tcW w:w="709" w:type="dxa"/>
            <w:vAlign w:val="center"/>
          </w:tcPr>
          <w:p w14:paraId="26E73468" w14:textId="77777777" w:rsidR="00313A76" w:rsidRPr="006F52EE" w:rsidRDefault="00313A76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358</w:t>
            </w:r>
          </w:p>
        </w:tc>
        <w:tc>
          <w:tcPr>
            <w:tcW w:w="850" w:type="dxa"/>
            <w:vAlign w:val="center"/>
          </w:tcPr>
          <w:p w14:paraId="0ED24F6D" w14:textId="77777777" w:rsidR="00313A76" w:rsidRPr="002640BF" w:rsidRDefault="00313A76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/>
                <w:bCs/>
                <w:iCs/>
                <w:sz w:val="20"/>
              </w:rPr>
            </w:pPr>
            <w:r w:rsidRPr="002640BF">
              <w:rPr>
                <w:rFonts w:cstheme="minorHAnsi"/>
                <w:b/>
                <w:bCs/>
                <w:iCs/>
                <w:sz w:val="20"/>
              </w:rPr>
              <w:t>1 367</w:t>
            </w:r>
          </w:p>
        </w:tc>
      </w:tr>
      <w:tr w:rsidR="00313A76" w14:paraId="35D43EBE" w14:textId="77777777" w:rsidTr="008B7FB7">
        <w:tc>
          <w:tcPr>
            <w:tcW w:w="5272" w:type="dxa"/>
            <w:vAlign w:val="center"/>
          </w:tcPr>
          <w:p w14:paraId="1FEE6DD7" w14:textId="77777777" w:rsidR="00313A76" w:rsidRPr="006F52EE" w:rsidRDefault="00313A76" w:rsidP="008B7FB7">
            <w:pPr>
              <w:keepNext/>
              <w:spacing w:after="0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Střední policejní škola a Vyšší policejní škola MV</w:t>
            </w:r>
          </w:p>
        </w:tc>
        <w:tc>
          <w:tcPr>
            <w:tcW w:w="709" w:type="dxa"/>
            <w:vAlign w:val="center"/>
          </w:tcPr>
          <w:p w14:paraId="18F88A5A" w14:textId="77777777" w:rsidR="00313A76" w:rsidRPr="006F52EE" w:rsidRDefault="00313A76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87</w:t>
            </w:r>
          </w:p>
        </w:tc>
        <w:tc>
          <w:tcPr>
            <w:tcW w:w="709" w:type="dxa"/>
            <w:vAlign w:val="center"/>
          </w:tcPr>
          <w:p w14:paraId="11E06FD9" w14:textId="77777777" w:rsidR="00313A76" w:rsidRPr="006F52EE" w:rsidRDefault="00313A76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93</w:t>
            </w:r>
          </w:p>
        </w:tc>
        <w:tc>
          <w:tcPr>
            <w:tcW w:w="709" w:type="dxa"/>
            <w:vAlign w:val="center"/>
          </w:tcPr>
          <w:p w14:paraId="6A2F8071" w14:textId="77777777" w:rsidR="00313A76" w:rsidRPr="006F52EE" w:rsidRDefault="00313A76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104</w:t>
            </w:r>
          </w:p>
        </w:tc>
        <w:tc>
          <w:tcPr>
            <w:tcW w:w="709" w:type="dxa"/>
            <w:vAlign w:val="center"/>
          </w:tcPr>
          <w:p w14:paraId="3B5F5A20" w14:textId="77777777" w:rsidR="00313A76" w:rsidRPr="006F52EE" w:rsidRDefault="00313A76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52</w:t>
            </w:r>
          </w:p>
        </w:tc>
        <w:tc>
          <w:tcPr>
            <w:tcW w:w="850" w:type="dxa"/>
            <w:vAlign w:val="center"/>
          </w:tcPr>
          <w:p w14:paraId="541146C1" w14:textId="77777777" w:rsidR="00313A76" w:rsidRPr="002640BF" w:rsidRDefault="00313A76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/>
                <w:bCs/>
                <w:iCs/>
                <w:sz w:val="20"/>
              </w:rPr>
            </w:pPr>
            <w:r w:rsidRPr="002640BF">
              <w:rPr>
                <w:rFonts w:cstheme="minorHAnsi"/>
                <w:b/>
                <w:bCs/>
                <w:iCs/>
                <w:sz w:val="20"/>
              </w:rPr>
              <w:t>336</w:t>
            </w:r>
          </w:p>
        </w:tc>
      </w:tr>
      <w:tr w:rsidR="00313A76" w14:paraId="0732015A" w14:textId="77777777" w:rsidTr="008B7FB7">
        <w:tc>
          <w:tcPr>
            <w:tcW w:w="5272" w:type="dxa"/>
            <w:vAlign w:val="center"/>
          </w:tcPr>
          <w:p w14:paraId="2A77D6B1" w14:textId="77777777" w:rsidR="00313A76" w:rsidRPr="006F52EE" w:rsidRDefault="00313A76" w:rsidP="008B7FB7">
            <w:pPr>
              <w:keepNext/>
              <w:spacing w:after="0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Ostatní VŠ</w:t>
            </w:r>
          </w:p>
        </w:tc>
        <w:tc>
          <w:tcPr>
            <w:tcW w:w="709" w:type="dxa"/>
            <w:vAlign w:val="center"/>
          </w:tcPr>
          <w:p w14:paraId="52740BB5" w14:textId="77777777" w:rsidR="00313A76" w:rsidRPr="006F52EE" w:rsidRDefault="00313A76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327</w:t>
            </w:r>
          </w:p>
        </w:tc>
        <w:tc>
          <w:tcPr>
            <w:tcW w:w="709" w:type="dxa"/>
            <w:vAlign w:val="center"/>
          </w:tcPr>
          <w:p w14:paraId="48F1FC90" w14:textId="77777777" w:rsidR="00313A76" w:rsidRPr="006F52EE" w:rsidRDefault="00313A76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312</w:t>
            </w:r>
          </w:p>
        </w:tc>
        <w:tc>
          <w:tcPr>
            <w:tcW w:w="709" w:type="dxa"/>
            <w:vAlign w:val="center"/>
          </w:tcPr>
          <w:p w14:paraId="06730A0A" w14:textId="77777777" w:rsidR="00313A76" w:rsidRPr="006F52EE" w:rsidRDefault="00313A76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336</w:t>
            </w:r>
          </w:p>
        </w:tc>
        <w:tc>
          <w:tcPr>
            <w:tcW w:w="709" w:type="dxa"/>
            <w:vAlign w:val="center"/>
          </w:tcPr>
          <w:p w14:paraId="0654E06D" w14:textId="77777777" w:rsidR="00313A76" w:rsidRPr="006F52EE" w:rsidRDefault="00313A76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317</w:t>
            </w:r>
          </w:p>
        </w:tc>
        <w:tc>
          <w:tcPr>
            <w:tcW w:w="850" w:type="dxa"/>
            <w:vAlign w:val="center"/>
          </w:tcPr>
          <w:p w14:paraId="01327152" w14:textId="77777777" w:rsidR="00313A76" w:rsidRPr="002640BF" w:rsidRDefault="00313A76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/>
                <w:bCs/>
                <w:iCs/>
                <w:sz w:val="20"/>
              </w:rPr>
            </w:pPr>
            <w:r w:rsidRPr="002640BF">
              <w:rPr>
                <w:rFonts w:cstheme="minorHAnsi"/>
                <w:b/>
                <w:bCs/>
                <w:iCs/>
                <w:sz w:val="20"/>
              </w:rPr>
              <w:t>1 292</w:t>
            </w:r>
          </w:p>
        </w:tc>
      </w:tr>
      <w:tr w:rsidR="00E34989" w14:paraId="65B2BDC7" w14:textId="77777777" w:rsidTr="008B7FB7">
        <w:tc>
          <w:tcPr>
            <w:tcW w:w="5272" w:type="dxa"/>
            <w:vAlign w:val="center"/>
          </w:tcPr>
          <w:p w14:paraId="554849B6" w14:textId="4EE7266A" w:rsidR="00E34989" w:rsidRDefault="00E34989" w:rsidP="008B7FB7">
            <w:pPr>
              <w:keepNext/>
              <w:spacing w:after="0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Celkový počet policistů zvyšujících si vzdělání při výkonu služby</w:t>
            </w:r>
          </w:p>
        </w:tc>
        <w:tc>
          <w:tcPr>
            <w:tcW w:w="709" w:type="dxa"/>
            <w:vAlign w:val="center"/>
          </w:tcPr>
          <w:p w14:paraId="5140A0FC" w14:textId="35DCFAF8" w:rsidR="00E34989" w:rsidRDefault="00E34989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931</w:t>
            </w:r>
          </w:p>
        </w:tc>
        <w:tc>
          <w:tcPr>
            <w:tcW w:w="709" w:type="dxa"/>
            <w:vAlign w:val="center"/>
          </w:tcPr>
          <w:p w14:paraId="376CC388" w14:textId="6F5B2131" w:rsidR="00E34989" w:rsidRDefault="00E34989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630</w:t>
            </w:r>
          </w:p>
        </w:tc>
        <w:tc>
          <w:tcPr>
            <w:tcW w:w="709" w:type="dxa"/>
            <w:vAlign w:val="center"/>
          </w:tcPr>
          <w:p w14:paraId="62960608" w14:textId="62D86C60" w:rsidR="00E34989" w:rsidRDefault="00E34989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707</w:t>
            </w:r>
          </w:p>
        </w:tc>
        <w:tc>
          <w:tcPr>
            <w:tcW w:w="709" w:type="dxa"/>
            <w:vAlign w:val="center"/>
          </w:tcPr>
          <w:p w14:paraId="307241A4" w14:textId="3C7A8311" w:rsidR="00E34989" w:rsidRDefault="00E34989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727</w:t>
            </w:r>
          </w:p>
        </w:tc>
        <w:tc>
          <w:tcPr>
            <w:tcW w:w="850" w:type="dxa"/>
            <w:vAlign w:val="center"/>
          </w:tcPr>
          <w:p w14:paraId="2A4CF72A" w14:textId="406B0FB3" w:rsidR="00E34989" w:rsidRPr="002640BF" w:rsidRDefault="00E34989" w:rsidP="00D67249">
            <w:pPr>
              <w:keepNext/>
              <w:spacing w:after="0"/>
              <w:ind w:left="0" w:right="170" w:firstLine="0"/>
              <w:jc w:val="right"/>
              <w:rPr>
                <w:rFonts w:cstheme="minorHAnsi"/>
                <w:b/>
                <w:bCs/>
                <w:iCs/>
                <w:sz w:val="20"/>
              </w:rPr>
            </w:pPr>
            <w:r>
              <w:rPr>
                <w:rFonts w:cstheme="minorHAnsi"/>
                <w:b/>
                <w:bCs/>
                <w:iCs/>
                <w:sz w:val="20"/>
              </w:rPr>
              <w:t>2 995</w:t>
            </w:r>
          </w:p>
        </w:tc>
      </w:tr>
      <w:tr w:rsidR="00313A76" w14:paraId="6D420D14" w14:textId="77777777" w:rsidTr="008B7FB7">
        <w:tc>
          <w:tcPr>
            <w:tcW w:w="5272" w:type="dxa"/>
            <w:vAlign w:val="center"/>
          </w:tcPr>
          <w:p w14:paraId="246A93C5" w14:textId="77777777" w:rsidR="00313A76" w:rsidRDefault="00313A76" w:rsidP="008B7FB7">
            <w:pPr>
              <w:keepNext/>
              <w:spacing w:after="0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Podíl ostatních VŠ z celkového počtu</w:t>
            </w:r>
          </w:p>
        </w:tc>
        <w:tc>
          <w:tcPr>
            <w:tcW w:w="709" w:type="dxa"/>
            <w:vAlign w:val="center"/>
          </w:tcPr>
          <w:p w14:paraId="27B3A2C7" w14:textId="77777777" w:rsidR="00313A76" w:rsidRDefault="00313A76" w:rsidP="00D67249">
            <w:pPr>
              <w:keepNext/>
              <w:spacing w:after="0"/>
              <w:ind w:left="0" w:right="-28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35 %</w:t>
            </w:r>
          </w:p>
        </w:tc>
        <w:tc>
          <w:tcPr>
            <w:tcW w:w="709" w:type="dxa"/>
            <w:vAlign w:val="center"/>
          </w:tcPr>
          <w:p w14:paraId="317882F3" w14:textId="77777777" w:rsidR="00313A76" w:rsidRDefault="00313A76" w:rsidP="00D67249">
            <w:pPr>
              <w:keepNext/>
              <w:spacing w:after="0"/>
              <w:ind w:left="0" w:right="-28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50 %</w:t>
            </w:r>
          </w:p>
        </w:tc>
        <w:tc>
          <w:tcPr>
            <w:tcW w:w="709" w:type="dxa"/>
            <w:vAlign w:val="center"/>
          </w:tcPr>
          <w:p w14:paraId="77446D84" w14:textId="77777777" w:rsidR="00313A76" w:rsidRDefault="00313A76" w:rsidP="00D67249">
            <w:pPr>
              <w:keepNext/>
              <w:spacing w:after="0"/>
              <w:ind w:left="0" w:right="-28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48 %</w:t>
            </w:r>
          </w:p>
        </w:tc>
        <w:tc>
          <w:tcPr>
            <w:tcW w:w="709" w:type="dxa"/>
            <w:vAlign w:val="center"/>
          </w:tcPr>
          <w:p w14:paraId="172A6338" w14:textId="77777777" w:rsidR="00313A76" w:rsidRDefault="00313A76" w:rsidP="00D67249">
            <w:pPr>
              <w:keepNext/>
              <w:spacing w:after="0"/>
              <w:ind w:left="0" w:right="-28" w:firstLine="0"/>
              <w:jc w:val="right"/>
              <w:rPr>
                <w:rFonts w:cstheme="minorHAnsi"/>
                <w:bCs/>
                <w:iCs/>
                <w:sz w:val="20"/>
              </w:rPr>
            </w:pPr>
            <w:r>
              <w:rPr>
                <w:rFonts w:cstheme="minorHAnsi"/>
                <w:bCs/>
                <w:iCs/>
                <w:sz w:val="20"/>
              </w:rPr>
              <w:t>44 %</w:t>
            </w:r>
          </w:p>
        </w:tc>
        <w:tc>
          <w:tcPr>
            <w:tcW w:w="850" w:type="dxa"/>
            <w:vAlign w:val="center"/>
          </w:tcPr>
          <w:p w14:paraId="502D19C2" w14:textId="77777777" w:rsidR="00313A76" w:rsidRPr="00831942" w:rsidRDefault="00313A76" w:rsidP="00D67249">
            <w:pPr>
              <w:keepNext/>
              <w:spacing w:after="0"/>
              <w:ind w:left="0" w:right="-28" w:firstLine="0"/>
              <w:jc w:val="right"/>
              <w:rPr>
                <w:rFonts w:cstheme="minorHAnsi"/>
                <w:b/>
                <w:bCs/>
                <w:iCs/>
                <w:sz w:val="20"/>
              </w:rPr>
            </w:pPr>
            <w:r w:rsidRPr="00831942">
              <w:rPr>
                <w:rFonts w:cstheme="minorHAnsi"/>
                <w:b/>
                <w:bCs/>
                <w:iCs/>
                <w:sz w:val="20"/>
              </w:rPr>
              <w:t>43 %</w:t>
            </w:r>
          </w:p>
        </w:tc>
      </w:tr>
    </w:tbl>
    <w:p w14:paraId="2F0FE7FC" w14:textId="08433E12" w:rsidR="00313A76" w:rsidRDefault="00313A76" w:rsidP="007B3C21">
      <w:pPr>
        <w:spacing w:before="40"/>
        <w:rPr>
          <w:shd w:val="clear" w:color="auto" w:fill="FFFFFF" w:themeFill="background1"/>
        </w:rPr>
      </w:pPr>
      <w:r w:rsidRPr="00456225">
        <w:rPr>
          <w:rStyle w:val="ZrojChar"/>
          <w:rFonts w:eastAsia="Calibri"/>
          <w:szCs w:val="20"/>
        </w:rPr>
        <w:t>Zdroj:</w:t>
      </w:r>
      <w:r w:rsidRPr="00EB43B8">
        <w:rPr>
          <w:rFonts w:cstheme="minorHAnsi"/>
          <w:b/>
          <w:bCs/>
          <w:iCs/>
          <w:sz w:val="20"/>
          <w:szCs w:val="20"/>
        </w:rPr>
        <w:t xml:space="preserve"> </w:t>
      </w:r>
      <w:r w:rsidR="005E39FF">
        <w:rPr>
          <w:rFonts w:cstheme="minorHAnsi"/>
          <w:bCs/>
          <w:iCs/>
          <w:sz w:val="20"/>
          <w:szCs w:val="20"/>
        </w:rPr>
        <w:t>i</w:t>
      </w:r>
      <w:r w:rsidRPr="00EB43B8">
        <w:rPr>
          <w:rFonts w:cstheme="minorHAnsi"/>
          <w:bCs/>
          <w:iCs/>
          <w:sz w:val="20"/>
          <w:szCs w:val="20"/>
        </w:rPr>
        <w:t>nformace PČR.</w:t>
      </w:r>
    </w:p>
    <w:p w14:paraId="51B5B31E" w14:textId="67D2D15A" w:rsidR="005F0D85" w:rsidRPr="0082037A" w:rsidRDefault="005F0D85" w:rsidP="0082037A">
      <w:pPr>
        <w:rPr>
          <w:lang w:eastAsia="en-US"/>
        </w:rPr>
      </w:pPr>
      <w:r>
        <w:t xml:space="preserve">V případě MO </w:t>
      </w:r>
      <w:r w:rsidR="00234429">
        <w:t xml:space="preserve">si ve stejném období </w:t>
      </w:r>
      <w:r w:rsidR="00350ABF">
        <w:t xml:space="preserve">pouze </w:t>
      </w:r>
      <w:r>
        <w:t>125 vojáků zvyšovalo vzdělání na jiné škole, než byla UNOB.</w:t>
      </w:r>
    </w:p>
    <w:p w14:paraId="42A55D31" w14:textId="77777777" w:rsidR="004133D4" w:rsidRDefault="004133D4" w:rsidP="00831942">
      <w:pPr>
        <w:pStyle w:val="Nadpis2"/>
        <w:spacing w:line="240" w:lineRule="auto"/>
        <w:ind w:left="284" w:hanging="284"/>
      </w:pPr>
      <w:r>
        <w:t>3. Neplnění cílů</w:t>
      </w:r>
      <w:r w:rsidRPr="00F26789">
        <w:t xml:space="preserve"> koncepčních dokumentů vysokoškolského vzdělávání </w:t>
      </w:r>
    </w:p>
    <w:p w14:paraId="5CF4EBBA" w14:textId="16B0E892" w:rsidR="004133D4" w:rsidRDefault="004133D4" w:rsidP="007B3C21">
      <w:pPr>
        <w:ind w:left="0" w:firstLine="0"/>
        <w:rPr>
          <w:bCs/>
        </w:rPr>
      </w:pPr>
      <w:r>
        <w:t xml:space="preserve">MV upravilo vysokoškolské vzdělávání </w:t>
      </w:r>
      <w:r w:rsidR="008750A9">
        <w:t>policistů</w:t>
      </w:r>
      <w:r>
        <w:t xml:space="preserve"> v několika koncepčních dokumentech</w:t>
      </w:r>
      <w:r w:rsidR="00A16AF6">
        <w:t>,</w:t>
      </w:r>
      <w:r>
        <w:t xml:space="preserve"> </w:t>
      </w:r>
      <w:r w:rsidR="007769B5">
        <w:t>n</w:t>
      </w:r>
      <w:r>
        <w:t>apř.</w:t>
      </w:r>
      <w:r w:rsidR="007769B5">
        <w:t xml:space="preserve"> v</w:t>
      </w:r>
      <w:r w:rsidR="00CB3B13">
        <w:t> </w:t>
      </w:r>
      <w:r w:rsidRPr="00A36150">
        <w:rPr>
          <w:i/>
        </w:rPr>
        <w:t>Rozvoj</w:t>
      </w:r>
      <w:r w:rsidR="007769B5">
        <w:rPr>
          <w:i/>
        </w:rPr>
        <w:t>i</w:t>
      </w:r>
      <w:r w:rsidRPr="00A36150">
        <w:rPr>
          <w:i/>
        </w:rPr>
        <w:t xml:space="preserve"> policejního vzdělávání v působnosti Ministerstva vnitra</w:t>
      </w:r>
      <w:r w:rsidR="00BB7A8E">
        <w:t>.</w:t>
      </w:r>
      <w:r w:rsidR="007769B5">
        <w:t xml:space="preserve"> </w:t>
      </w:r>
      <w:r w:rsidR="00234429">
        <w:t>MV v</w:t>
      </w:r>
      <w:r w:rsidR="00FA631D">
        <w:t> </w:t>
      </w:r>
      <w:r w:rsidR="00234429">
        <w:t>d</w:t>
      </w:r>
      <w:r>
        <w:t>okument</w:t>
      </w:r>
      <w:r w:rsidR="00234429">
        <w:t>u</w:t>
      </w:r>
      <w:r w:rsidR="00FA631D">
        <w:t xml:space="preserve"> </w:t>
      </w:r>
      <w:r w:rsidRPr="00BC0EF8">
        <w:t>uv</w:t>
      </w:r>
      <w:r>
        <w:t>edl</w:t>
      </w:r>
      <w:r w:rsidR="00234429">
        <w:t>o</w:t>
      </w:r>
      <w:r w:rsidRPr="00BC0EF8">
        <w:t xml:space="preserve">, že </w:t>
      </w:r>
      <w:r w:rsidRPr="00215D93">
        <w:rPr>
          <w:bCs/>
        </w:rPr>
        <w:t xml:space="preserve">PČR </w:t>
      </w:r>
      <w:r>
        <w:rPr>
          <w:bCs/>
        </w:rPr>
        <w:t>by měla</w:t>
      </w:r>
      <w:r w:rsidRPr="00215D93">
        <w:rPr>
          <w:bCs/>
        </w:rPr>
        <w:t xml:space="preserve"> v maximální možné míře využívat absolventů vybraných studijních programů PA</w:t>
      </w:r>
      <w:r w:rsidR="00D22B38">
        <w:rPr>
          <w:bCs/>
        </w:rPr>
        <w:t> </w:t>
      </w:r>
      <w:r w:rsidRPr="00215D93">
        <w:rPr>
          <w:bCs/>
        </w:rPr>
        <w:t>ČR</w:t>
      </w:r>
      <w:r w:rsidRPr="00B91C1E">
        <w:t>.</w:t>
      </w:r>
      <w:r>
        <w:t xml:space="preserve"> </w:t>
      </w:r>
    </w:p>
    <w:p w14:paraId="3B0430FD" w14:textId="1F51C90C" w:rsidR="004133D4" w:rsidRDefault="006D52BD" w:rsidP="007B3C21">
      <w:pPr>
        <w:ind w:left="0" w:firstLine="0"/>
      </w:pPr>
      <w:r>
        <w:t xml:space="preserve">PČR </w:t>
      </w:r>
      <w:r w:rsidR="004133D4">
        <w:t xml:space="preserve">nastavilo požadavky na vzdělání </w:t>
      </w:r>
      <w:r w:rsidR="008750A9">
        <w:t>policistů</w:t>
      </w:r>
      <w:r w:rsidR="004133D4">
        <w:t xml:space="preserve"> </w:t>
      </w:r>
      <w:r w:rsidR="005C7628">
        <w:t xml:space="preserve">také </w:t>
      </w:r>
      <w:r w:rsidR="004133D4">
        <w:t xml:space="preserve">prostřednictvím </w:t>
      </w:r>
      <w:r w:rsidR="00A10F38">
        <w:t xml:space="preserve">dalších </w:t>
      </w:r>
      <w:r w:rsidR="004133D4">
        <w:t xml:space="preserve">dvou koncepčních dokumentů, a to </w:t>
      </w:r>
      <w:r w:rsidR="004133D4">
        <w:rPr>
          <w:i/>
        </w:rPr>
        <w:t>Koncepcí</w:t>
      </w:r>
      <w:r w:rsidR="004133D4" w:rsidRPr="006E6B54">
        <w:rPr>
          <w:i/>
        </w:rPr>
        <w:t xml:space="preserve"> rozvoje Policie České republiky do roku 2020</w:t>
      </w:r>
      <w:r w:rsidR="004133D4">
        <w:t xml:space="preserve"> (dále také „Koncepce rozvoje policie“) a </w:t>
      </w:r>
      <w:r w:rsidR="004133D4">
        <w:rPr>
          <w:i/>
        </w:rPr>
        <w:t>Strategií řízení lidských zdrojů</w:t>
      </w:r>
      <w:r w:rsidR="004133D4" w:rsidRPr="00291B8C">
        <w:t>.</w:t>
      </w:r>
      <w:r w:rsidR="004133D4">
        <w:t xml:space="preserve"> Tyto dokumenty </w:t>
      </w:r>
      <w:r w:rsidR="004133D4" w:rsidRPr="00F0583E">
        <w:t xml:space="preserve">byly navzájem provázány. </w:t>
      </w:r>
      <w:r w:rsidR="004133D4" w:rsidRPr="00215D93">
        <w:t>Koncepční cíle</w:t>
      </w:r>
      <w:r w:rsidR="004133D4" w:rsidRPr="00F0583E">
        <w:t>, které do</w:t>
      </w:r>
      <w:r w:rsidR="00D22B38">
        <w:t xml:space="preserve"> </w:t>
      </w:r>
      <w:r w:rsidR="004133D4" w:rsidRPr="00F0583E">
        <w:t xml:space="preserve">doby ukončení kontroly NKÚ nebyly naplněny, se týkaly především stanovení oboru vzdělání pro </w:t>
      </w:r>
      <w:r w:rsidR="00D77000">
        <w:t>SSM</w:t>
      </w:r>
      <w:r w:rsidR="004133D4">
        <w:t xml:space="preserve">, </w:t>
      </w:r>
      <w:r w:rsidR="004133D4" w:rsidRPr="00F0583E">
        <w:t xml:space="preserve">preferování absolventů studijních programů v oblasti vzdělávání </w:t>
      </w:r>
      <w:r w:rsidR="00D22B38">
        <w:rPr>
          <w:i/>
        </w:rPr>
        <w:t>b</w:t>
      </w:r>
      <w:r w:rsidR="004133D4" w:rsidRPr="00F0583E">
        <w:rPr>
          <w:i/>
        </w:rPr>
        <w:t xml:space="preserve">ezpečnostní </w:t>
      </w:r>
      <w:r w:rsidR="004133D4">
        <w:rPr>
          <w:i/>
        </w:rPr>
        <w:t>o</w:t>
      </w:r>
      <w:r w:rsidR="004133D4" w:rsidRPr="00F0583E">
        <w:rPr>
          <w:i/>
        </w:rPr>
        <w:t>bory</w:t>
      </w:r>
      <w:r w:rsidR="004133D4">
        <w:rPr>
          <w:rStyle w:val="Znakapoznpodarou"/>
          <w:i/>
        </w:rPr>
        <w:footnoteReference w:id="19"/>
      </w:r>
      <w:r w:rsidR="004133D4">
        <w:rPr>
          <w:i/>
        </w:rPr>
        <w:t xml:space="preserve"> </w:t>
      </w:r>
      <w:r w:rsidR="004133D4" w:rsidRPr="006B09DB">
        <w:t>nebo</w:t>
      </w:r>
      <w:r w:rsidR="004133D4">
        <w:rPr>
          <w:i/>
        </w:rPr>
        <w:t xml:space="preserve"> </w:t>
      </w:r>
      <w:r w:rsidR="004133D4" w:rsidRPr="00F0583E">
        <w:t>tvorb</w:t>
      </w:r>
      <w:r w:rsidR="00314253">
        <w:t>y</w:t>
      </w:r>
      <w:r w:rsidR="004133D4" w:rsidRPr="00F0583E">
        <w:t xml:space="preserve"> </w:t>
      </w:r>
      <w:r w:rsidR="004133D4">
        <w:t xml:space="preserve">tzv. </w:t>
      </w:r>
      <w:r w:rsidR="004133D4" w:rsidRPr="00F0583E">
        <w:t xml:space="preserve">kompetenčního modelu a </w:t>
      </w:r>
      <w:r w:rsidR="004133D4" w:rsidRPr="00291B8C">
        <w:rPr>
          <w:i/>
        </w:rPr>
        <w:t>Koncepce profesního vzdělávání</w:t>
      </w:r>
      <w:r w:rsidR="004133D4">
        <w:rPr>
          <w:i/>
        </w:rPr>
        <w:t xml:space="preserve"> příslušníků a občanských zaměstnanců PČR</w:t>
      </w:r>
      <w:r w:rsidR="004133D4" w:rsidRPr="00F0583E">
        <w:t>. Realizace</w:t>
      </w:r>
      <w:r w:rsidR="0026695B">
        <w:t xml:space="preserve"> cílů </w:t>
      </w:r>
      <w:r w:rsidR="004133D4" w:rsidRPr="00F0583E">
        <w:t xml:space="preserve">se odvíjí od implementace </w:t>
      </w:r>
      <w:r w:rsidR="004133D4" w:rsidRPr="00C46D09">
        <w:rPr>
          <w:i/>
        </w:rPr>
        <w:t>Strategie</w:t>
      </w:r>
      <w:r w:rsidR="004133D4">
        <w:t xml:space="preserve"> </w:t>
      </w:r>
      <w:r w:rsidR="004133D4" w:rsidRPr="00C46D09">
        <w:rPr>
          <w:i/>
        </w:rPr>
        <w:t>řízení lidských zdrojů</w:t>
      </w:r>
      <w:r w:rsidR="004133D4" w:rsidRPr="00F0583E">
        <w:t xml:space="preserve">, jejíž provedení </w:t>
      </w:r>
      <w:r w:rsidR="004133D4">
        <w:t>bylo</w:t>
      </w:r>
      <w:r w:rsidR="004133D4" w:rsidRPr="00F0583E">
        <w:t xml:space="preserve"> v době kontroly NKÚ zpožděné o rok a půl</w:t>
      </w:r>
      <w:r w:rsidR="004133D4">
        <w:t>. Tím, že není</w:t>
      </w:r>
      <w:r w:rsidR="004133D4" w:rsidRPr="00F0583E">
        <w:t xml:space="preserve"> realizována, je ohroženo splnění </w:t>
      </w:r>
      <w:r w:rsidR="004133D4">
        <w:t>cílů Koncepce rozvoje policie</w:t>
      </w:r>
      <w:r w:rsidR="004133D4" w:rsidRPr="00F0583E">
        <w:t xml:space="preserve"> a také </w:t>
      </w:r>
      <w:r w:rsidR="004133D4" w:rsidRPr="00F0583E">
        <w:rPr>
          <w:i/>
        </w:rPr>
        <w:t>Strategického rámce rozvoje veřejné správy České republiky pro období</w:t>
      </w:r>
      <w:r w:rsidR="00B42E34">
        <w:rPr>
          <w:i/>
        </w:rPr>
        <w:br/>
        <w:t>2014–</w:t>
      </w:r>
      <w:r w:rsidR="004133D4" w:rsidRPr="00F0583E">
        <w:rPr>
          <w:i/>
        </w:rPr>
        <w:t>2020</w:t>
      </w:r>
      <w:r w:rsidR="004133D4" w:rsidRPr="00064D36">
        <w:t>.</w:t>
      </w:r>
      <w:r w:rsidR="00415D7F">
        <w:t xml:space="preserve"> </w:t>
      </w:r>
      <w:r w:rsidR="00415D7F" w:rsidRPr="00FD67E4">
        <w:t>Cíle a o</w:t>
      </w:r>
      <w:r w:rsidR="00415D7F" w:rsidRPr="00215D93">
        <w:rPr>
          <w:color w:val="000000" w:themeColor="text1"/>
        </w:rPr>
        <w:t>patření</w:t>
      </w:r>
      <w:r w:rsidR="00415D7F">
        <w:rPr>
          <w:color w:val="000000" w:themeColor="text1"/>
        </w:rPr>
        <w:t xml:space="preserve"> </w:t>
      </w:r>
      <w:r w:rsidR="00415D7F">
        <w:rPr>
          <w:i/>
        </w:rPr>
        <w:t>Strategie řízení lidských zdrojů</w:t>
      </w:r>
      <w:r w:rsidR="00415D7F" w:rsidRPr="00215D93">
        <w:rPr>
          <w:color w:val="000000" w:themeColor="text1"/>
        </w:rPr>
        <w:t xml:space="preserve"> </w:t>
      </w:r>
      <w:r w:rsidR="00D77000">
        <w:rPr>
          <w:color w:val="000000" w:themeColor="text1"/>
        </w:rPr>
        <w:t>zároveň</w:t>
      </w:r>
      <w:r w:rsidR="00415D7F">
        <w:rPr>
          <w:color w:val="000000" w:themeColor="text1"/>
        </w:rPr>
        <w:t xml:space="preserve"> </w:t>
      </w:r>
      <w:r w:rsidR="00415D7F" w:rsidRPr="00215D93">
        <w:rPr>
          <w:color w:val="000000" w:themeColor="text1"/>
        </w:rPr>
        <w:t xml:space="preserve">nebyly </w:t>
      </w:r>
      <w:r w:rsidR="00415D7F" w:rsidRPr="00215D93">
        <w:t xml:space="preserve">stanoveny měřitelně, což vede k nemožnosti MV jednoznačně vyhodnotit </w:t>
      </w:r>
      <w:r w:rsidR="00F544AA">
        <w:t>jejich splnění</w:t>
      </w:r>
      <w:r w:rsidR="00415D7F" w:rsidRPr="00215D93">
        <w:t>.</w:t>
      </w:r>
    </w:p>
    <w:p w14:paraId="3C8B5A65" w14:textId="0753E6FE" w:rsidR="00237B75" w:rsidRDefault="004133D4" w:rsidP="007B3C21">
      <w:pPr>
        <w:ind w:left="0" w:firstLine="0"/>
        <w:rPr>
          <w:bCs/>
        </w:rPr>
      </w:pPr>
      <w:r w:rsidRPr="00F0583E">
        <w:t>MV neřídilo stanovení oboru vzdělání u konkrétních SSM u P</w:t>
      </w:r>
      <w:r>
        <w:t xml:space="preserve">ČR. MV nestanovilo konkrétní požadavky na </w:t>
      </w:r>
      <w:r w:rsidRPr="002D0928">
        <w:rPr>
          <w:shd w:val="clear" w:color="auto" w:fill="FFFFFF" w:themeFill="background1"/>
        </w:rPr>
        <w:t>obor vzdělání a ani zajišťování odborné přípravy</w:t>
      </w:r>
      <w:r>
        <w:rPr>
          <w:shd w:val="clear" w:color="auto" w:fill="FFFFFF" w:themeFill="background1"/>
        </w:rPr>
        <w:t xml:space="preserve"> pro místa vedoucích </w:t>
      </w:r>
      <w:r w:rsidR="005F4452">
        <w:rPr>
          <w:shd w:val="clear" w:color="auto" w:fill="FFFFFF" w:themeFill="background1"/>
        </w:rPr>
        <w:t xml:space="preserve">zaměstnanců </w:t>
      </w:r>
      <w:r>
        <w:rPr>
          <w:shd w:val="clear" w:color="auto" w:fill="FFFFFF" w:themeFill="background1"/>
        </w:rPr>
        <w:t xml:space="preserve">PČR. Jedním z důvodů nesystémového řízení MV byla i skutečnost, že </w:t>
      </w:r>
      <w:r>
        <w:t xml:space="preserve">MV, resp. PČR </w:t>
      </w:r>
      <w:r w:rsidR="0055517D">
        <w:t>v koncepčních dokumentech nepreferoval</w:t>
      </w:r>
      <w:r w:rsidR="00405302">
        <w:t>y</w:t>
      </w:r>
      <w:r>
        <w:t xml:space="preserve"> PA</w:t>
      </w:r>
      <w:r w:rsidRPr="0045575E">
        <w:t xml:space="preserve"> ČR jako </w:t>
      </w:r>
      <w:r w:rsidR="003C5118">
        <w:t>„</w:t>
      </w:r>
      <w:r w:rsidRPr="0045575E">
        <w:t>profesní akademi</w:t>
      </w:r>
      <w:r>
        <w:t>i</w:t>
      </w:r>
      <w:r w:rsidRPr="0045575E">
        <w:t xml:space="preserve"> policistů</w:t>
      </w:r>
      <w:r w:rsidR="003C5118">
        <w:t>“</w:t>
      </w:r>
      <w:r w:rsidRPr="00215D93">
        <w:t xml:space="preserve">, </w:t>
      </w:r>
      <w:r w:rsidRPr="009F3394">
        <w:t xml:space="preserve">ačkoliv </w:t>
      </w:r>
      <w:r w:rsidR="00BB7A8E">
        <w:t xml:space="preserve">ta </w:t>
      </w:r>
      <w:r w:rsidR="0026695B">
        <w:t>má vzdělávat</w:t>
      </w:r>
      <w:r w:rsidRPr="009F3394">
        <w:t xml:space="preserve"> odborníky zejména pro bezpečnostní sbory</w:t>
      </w:r>
      <w:r>
        <w:t xml:space="preserve"> a obecní policii</w:t>
      </w:r>
      <w:r w:rsidRPr="008E1CFA">
        <w:t>.</w:t>
      </w:r>
      <w:r>
        <w:t xml:space="preserve"> </w:t>
      </w:r>
      <w:r w:rsidR="0026695B">
        <w:t xml:space="preserve">MV </w:t>
      </w:r>
      <w:r>
        <w:t xml:space="preserve">v koncepčních dokumentech nestanovilo </w:t>
      </w:r>
      <w:r w:rsidRPr="00F0583E">
        <w:t xml:space="preserve">žádný konkrétní cíl ani povinnost směřovat zvyšování stupně vzdělání </w:t>
      </w:r>
      <w:r w:rsidR="008750A9">
        <w:t>policistů</w:t>
      </w:r>
      <w:r w:rsidRPr="00F0583E">
        <w:t xml:space="preserve"> </w:t>
      </w:r>
      <w:r>
        <w:t xml:space="preserve">právě </w:t>
      </w:r>
      <w:r w:rsidRPr="00F0583E">
        <w:t>prostřednictvím PA ČR.</w:t>
      </w:r>
      <w:r w:rsidR="001B7602">
        <w:t xml:space="preserve"> MV schválilo</w:t>
      </w:r>
      <w:r>
        <w:t xml:space="preserve"> </w:t>
      </w:r>
      <w:r w:rsidRPr="00EC3BF0">
        <w:rPr>
          <w:bCs/>
          <w:i/>
        </w:rPr>
        <w:t>Koncepc</w:t>
      </w:r>
      <w:r w:rsidR="001B7602">
        <w:rPr>
          <w:bCs/>
          <w:i/>
        </w:rPr>
        <w:t>i</w:t>
      </w:r>
      <w:r w:rsidRPr="00EC3BF0">
        <w:rPr>
          <w:bCs/>
          <w:i/>
        </w:rPr>
        <w:t xml:space="preserve"> celoživotního vzdělávání příslušníka Policie ČR</w:t>
      </w:r>
      <w:r w:rsidRPr="00EC3BF0">
        <w:rPr>
          <w:bCs/>
        </w:rPr>
        <w:t xml:space="preserve"> v roce 2008 a </w:t>
      </w:r>
      <w:r>
        <w:rPr>
          <w:bCs/>
        </w:rPr>
        <w:t xml:space="preserve">od té doby </w:t>
      </w:r>
      <w:r w:rsidR="001B7602">
        <w:rPr>
          <w:bCs/>
        </w:rPr>
        <w:t>ji</w:t>
      </w:r>
      <w:r w:rsidR="001B7602" w:rsidRPr="00EC3BF0">
        <w:rPr>
          <w:bCs/>
        </w:rPr>
        <w:t xml:space="preserve"> </w:t>
      </w:r>
      <w:r w:rsidR="001B7602">
        <w:rPr>
          <w:bCs/>
        </w:rPr>
        <w:t>ne</w:t>
      </w:r>
      <w:r w:rsidRPr="00EC3BF0">
        <w:rPr>
          <w:bCs/>
        </w:rPr>
        <w:t>aktualizov</w:t>
      </w:r>
      <w:r w:rsidR="001B7602">
        <w:rPr>
          <w:bCs/>
        </w:rPr>
        <w:t>alo</w:t>
      </w:r>
      <w:r w:rsidRPr="00EC3BF0">
        <w:rPr>
          <w:bCs/>
        </w:rPr>
        <w:t xml:space="preserve">. </w:t>
      </w:r>
      <w:r w:rsidR="001B7602">
        <w:rPr>
          <w:bCs/>
        </w:rPr>
        <w:t xml:space="preserve">MV </w:t>
      </w:r>
      <w:r w:rsidRPr="00EC3BF0">
        <w:rPr>
          <w:bCs/>
          <w:i/>
        </w:rPr>
        <w:t>Koncepc</w:t>
      </w:r>
      <w:r w:rsidR="001B7602">
        <w:rPr>
          <w:bCs/>
          <w:i/>
        </w:rPr>
        <w:t>i</w:t>
      </w:r>
      <w:r w:rsidRPr="00EC3BF0">
        <w:rPr>
          <w:bCs/>
          <w:i/>
        </w:rPr>
        <w:t xml:space="preserve"> profesního vzdělávání příslušníků a občanských zaměstnanců PČR</w:t>
      </w:r>
      <w:r w:rsidRPr="00EC3BF0">
        <w:rPr>
          <w:bCs/>
        </w:rPr>
        <w:t xml:space="preserve">, která </w:t>
      </w:r>
      <w:r>
        <w:rPr>
          <w:bCs/>
        </w:rPr>
        <w:t>měla</w:t>
      </w:r>
      <w:r w:rsidRPr="00EC3BF0">
        <w:rPr>
          <w:bCs/>
        </w:rPr>
        <w:t xml:space="preserve"> </w:t>
      </w:r>
      <w:r w:rsidR="00237B75">
        <w:rPr>
          <w:bCs/>
        </w:rPr>
        <w:t xml:space="preserve">tuto </w:t>
      </w:r>
      <w:r w:rsidRPr="00EC3BF0">
        <w:rPr>
          <w:bCs/>
        </w:rPr>
        <w:t xml:space="preserve">koncepci nahradit, do konce kontroly NKÚ </w:t>
      </w:r>
      <w:r w:rsidR="001B7602">
        <w:rPr>
          <w:bCs/>
        </w:rPr>
        <w:t>ne</w:t>
      </w:r>
      <w:r w:rsidRPr="00EC3BF0">
        <w:rPr>
          <w:bCs/>
        </w:rPr>
        <w:t>zpracov</w:t>
      </w:r>
      <w:r w:rsidR="001B7602">
        <w:rPr>
          <w:bCs/>
        </w:rPr>
        <w:t>alo</w:t>
      </w:r>
      <w:r w:rsidR="00237B75">
        <w:rPr>
          <w:bCs/>
        </w:rPr>
        <w:t>.</w:t>
      </w:r>
    </w:p>
    <w:p w14:paraId="3F9FE874" w14:textId="10D5903B" w:rsidR="004133D4" w:rsidRPr="00C46D09" w:rsidRDefault="004133D4" w:rsidP="007B3C21">
      <w:pPr>
        <w:ind w:left="0" w:firstLine="0"/>
        <w:rPr>
          <w:rFonts w:asciiTheme="minorHAnsi" w:hAnsiTheme="minorHAnsi" w:cstheme="minorHAnsi"/>
        </w:rPr>
      </w:pPr>
      <w:r>
        <w:t>MO nastavilo požadavky na vzdělání vojáků prostřednictví</w:t>
      </w:r>
      <w:r w:rsidR="008A237E">
        <w:t>m dvou koncepčních dokumentů, a </w:t>
      </w:r>
      <w:r>
        <w:t xml:space="preserve">to </w:t>
      </w:r>
      <w:r w:rsidRPr="00C46D09">
        <w:rPr>
          <w:rFonts w:asciiTheme="minorHAnsi" w:hAnsiTheme="minorHAnsi" w:cstheme="minorHAnsi"/>
          <w:i/>
        </w:rPr>
        <w:t>Koncepce výstavby Armády ČR do roku 2025</w:t>
      </w:r>
      <w:r>
        <w:rPr>
          <w:rFonts w:asciiTheme="minorHAnsi" w:hAnsiTheme="minorHAnsi" w:cstheme="minorHAnsi"/>
          <w:i/>
        </w:rPr>
        <w:t xml:space="preserve"> </w:t>
      </w:r>
      <w:r w:rsidRPr="00C46D0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  <w:i/>
        </w:rPr>
        <w:t xml:space="preserve"> </w:t>
      </w:r>
      <w:r w:rsidRPr="00C46D09">
        <w:rPr>
          <w:rFonts w:asciiTheme="minorHAnsi" w:hAnsiTheme="minorHAnsi" w:cstheme="minorHAnsi"/>
          <w:i/>
        </w:rPr>
        <w:t>Koncepce přípravy pers</w:t>
      </w:r>
      <w:r w:rsidR="008A237E">
        <w:rPr>
          <w:rFonts w:asciiTheme="minorHAnsi" w:hAnsiTheme="minorHAnsi" w:cstheme="minorHAnsi"/>
          <w:i/>
        </w:rPr>
        <w:t>onálu rezortu MO na období 2012–</w:t>
      </w:r>
      <w:r w:rsidRPr="00C46D09">
        <w:rPr>
          <w:rFonts w:asciiTheme="minorHAnsi" w:hAnsiTheme="minorHAnsi" w:cstheme="minorHAnsi"/>
          <w:i/>
        </w:rPr>
        <w:t>2018</w:t>
      </w:r>
      <w:r>
        <w:rPr>
          <w:rFonts w:asciiTheme="minorHAnsi" w:hAnsiTheme="minorHAnsi" w:cstheme="minorHAnsi"/>
        </w:rPr>
        <w:t>.</w:t>
      </w:r>
      <w:r w:rsidRPr="00B07768">
        <w:rPr>
          <w:rFonts w:asciiTheme="minorHAnsi" w:hAnsiTheme="minorHAnsi" w:cstheme="minorHAnsi"/>
        </w:rPr>
        <w:t xml:space="preserve"> </w:t>
      </w:r>
      <w:r w:rsidRPr="00215D93">
        <w:rPr>
          <w:rFonts w:asciiTheme="minorHAnsi" w:hAnsiTheme="minorHAnsi" w:cstheme="minorHAnsi"/>
        </w:rPr>
        <w:t>Cíle uvedené v těchto</w:t>
      </w:r>
      <w:r w:rsidRPr="005610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koncepčních dokumentech však nebyly</w:t>
      </w:r>
      <w:r w:rsidRPr="00E9052C">
        <w:rPr>
          <w:rFonts w:asciiTheme="minorHAnsi" w:hAnsiTheme="minorHAnsi" w:cstheme="minorHAnsi"/>
        </w:rPr>
        <w:t xml:space="preserve"> hodnotitelné z hlediska SMART vzhledem k obecnosti </w:t>
      </w:r>
      <w:r>
        <w:rPr>
          <w:rFonts w:asciiTheme="minorHAnsi" w:hAnsiTheme="minorHAnsi" w:cstheme="minorHAnsi"/>
        </w:rPr>
        <w:t>jejich nastavení</w:t>
      </w:r>
      <w:r w:rsidR="001F01F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1F01F9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apř. pro oblast přípravy jednotlivce byl </w:t>
      </w:r>
      <w:r w:rsidR="0026695B">
        <w:rPr>
          <w:rFonts w:asciiTheme="minorHAnsi" w:hAnsiTheme="minorHAnsi" w:cstheme="minorHAnsi"/>
        </w:rPr>
        <w:t>stanoven</w:t>
      </w:r>
      <w:r>
        <w:rPr>
          <w:rFonts w:asciiTheme="minorHAnsi" w:hAnsiTheme="minorHAnsi" w:cstheme="minorHAnsi"/>
        </w:rPr>
        <w:t xml:space="preserve"> cíl „</w:t>
      </w:r>
      <w:r w:rsidRPr="00BA3853">
        <w:rPr>
          <w:rFonts w:asciiTheme="minorHAnsi" w:hAnsiTheme="minorHAnsi" w:cstheme="minorHAnsi"/>
          <w:i/>
          <w:iCs/>
        </w:rPr>
        <w:t>p</w:t>
      </w:r>
      <w:r w:rsidRPr="00BA3853">
        <w:rPr>
          <w:rFonts w:asciiTheme="minorHAnsi" w:hAnsiTheme="minorHAnsi" w:cstheme="minorHAnsi"/>
          <w:i/>
        </w:rPr>
        <w:t>ř</w:t>
      </w:r>
      <w:r w:rsidRPr="00BA3853">
        <w:rPr>
          <w:rFonts w:asciiTheme="minorHAnsi" w:hAnsiTheme="minorHAnsi" w:cstheme="minorHAnsi"/>
          <w:i/>
          <w:iCs/>
        </w:rPr>
        <w:t>ipravit všestrann</w:t>
      </w:r>
      <w:r w:rsidRPr="00BA3853">
        <w:rPr>
          <w:rFonts w:asciiTheme="minorHAnsi" w:hAnsiTheme="minorHAnsi" w:cstheme="minorHAnsi"/>
          <w:i/>
        </w:rPr>
        <w:t xml:space="preserve">ě </w:t>
      </w:r>
      <w:r w:rsidRPr="00BA3853">
        <w:rPr>
          <w:rFonts w:asciiTheme="minorHAnsi" w:hAnsiTheme="minorHAnsi" w:cstheme="minorHAnsi"/>
          <w:i/>
          <w:iCs/>
        </w:rPr>
        <w:t>vojensky p</w:t>
      </w:r>
      <w:r w:rsidRPr="00BA3853">
        <w:rPr>
          <w:rFonts w:asciiTheme="minorHAnsi" w:hAnsiTheme="minorHAnsi" w:cstheme="minorHAnsi"/>
          <w:i/>
        </w:rPr>
        <w:t>ř</w:t>
      </w:r>
      <w:r w:rsidRPr="00BA3853">
        <w:rPr>
          <w:rFonts w:asciiTheme="minorHAnsi" w:hAnsiTheme="minorHAnsi" w:cstheme="minorHAnsi"/>
          <w:i/>
          <w:iCs/>
        </w:rPr>
        <w:t>ipraveného profesionála, který spl</w:t>
      </w:r>
      <w:r w:rsidRPr="00BA3853">
        <w:rPr>
          <w:rFonts w:asciiTheme="minorHAnsi" w:hAnsiTheme="minorHAnsi" w:cstheme="minorHAnsi"/>
          <w:i/>
        </w:rPr>
        <w:t>ň</w:t>
      </w:r>
      <w:r w:rsidRPr="00BA3853">
        <w:rPr>
          <w:rFonts w:asciiTheme="minorHAnsi" w:hAnsiTheme="minorHAnsi" w:cstheme="minorHAnsi"/>
          <w:i/>
          <w:iCs/>
        </w:rPr>
        <w:t>uje kvalifika</w:t>
      </w:r>
      <w:r w:rsidRPr="00BA3853">
        <w:rPr>
          <w:rFonts w:asciiTheme="minorHAnsi" w:hAnsiTheme="minorHAnsi" w:cstheme="minorHAnsi"/>
          <w:i/>
        </w:rPr>
        <w:t>č</w:t>
      </w:r>
      <w:r w:rsidRPr="00BA3853">
        <w:rPr>
          <w:rFonts w:asciiTheme="minorHAnsi" w:hAnsiTheme="minorHAnsi" w:cstheme="minorHAnsi"/>
          <w:i/>
          <w:iCs/>
        </w:rPr>
        <w:t>ní p</w:t>
      </w:r>
      <w:r w:rsidRPr="00BA3853">
        <w:rPr>
          <w:rFonts w:asciiTheme="minorHAnsi" w:hAnsiTheme="minorHAnsi" w:cstheme="minorHAnsi"/>
          <w:i/>
        </w:rPr>
        <w:t>ř</w:t>
      </w:r>
      <w:r w:rsidRPr="00BA3853">
        <w:rPr>
          <w:rFonts w:asciiTheme="minorHAnsi" w:hAnsiTheme="minorHAnsi" w:cstheme="minorHAnsi"/>
          <w:i/>
          <w:iCs/>
        </w:rPr>
        <w:t xml:space="preserve">edpoklady stanovené kariérním </w:t>
      </w:r>
      <w:r w:rsidRPr="00BA3853">
        <w:rPr>
          <w:rFonts w:asciiTheme="minorHAnsi" w:hAnsiTheme="minorHAnsi" w:cstheme="minorHAnsi"/>
          <w:i/>
        </w:rPr>
        <w:t>ř</w:t>
      </w:r>
      <w:r w:rsidRPr="00BA3853">
        <w:rPr>
          <w:rFonts w:asciiTheme="minorHAnsi" w:hAnsiTheme="minorHAnsi" w:cstheme="minorHAnsi"/>
          <w:i/>
          <w:iCs/>
        </w:rPr>
        <w:t>ádem, tj. stanovený stupe</w:t>
      </w:r>
      <w:r w:rsidRPr="00BA3853">
        <w:rPr>
          <w:rFonts w:asciiTheme="minorHAnsi" w:hAnsiTheme="minorHAnsi" w:cstheme="minorHAnsi"/>
          <w:i/>
        </w:rPr>
        <w:t xml:space="preserve">ň </w:t>
      </w:r>
      <w:r w:rsidRPr="00BA3853">
        <w:rPr>
          <w:rFonts w:asciiTheme="minorHAnsi" w:hAnsiTheme="minorHAnsi" w:cstheme="minorHAnsi"/>
          <w:i/>
          <w:iCs/>
        </w:rPr>
        <w:t>vzd</w:t>
      </w:r>
      <w:r w:rsidRPr="00BA3853">
        <w:rPr>
          <w:rFonts w:asciiTheme="minorHAnsi" w:hAnsiTheme="minorHAnsi" w:cstheme="minorHAnsi"/>
          <w:i/>
        </w:rPr>
        <w:t>ě</w:t>
      </w:r>
      <w:r w:rsidRPr="00BA3853">
        <w:rPr>
          <w:rFonts w:asciiTheme="minorHAnsi" w:hAnsiTheme="minorHAnsi" w:cstheme="minorHAnsi"/>
          <w:i/>
          <w:iCs/>
        </w:rPr>
        <w:t>lání</w:t>
      </w:r>
      <w:r>
        <w:rPr>
          <w:rFonts w:asciiTheme="minorHAnsi" w:hAnsiTheme="minorHAnsi" w:cstheme="minorHAnsi"/>
          <w:iCs/>
        </w:rPr>
        <w:t>“</w:t>
      </w:r>
      <w:r w:rsidRPr="006310F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1F01F9" w:rsidRPr="00B150A7">
        <w:rPr>
          <w:rFonts w:asciiTheme="minorHAnsi" w:hAnsiTheme="minorHAnsi" w:cstheme="minorHAnsi"/>
        </w:rPr>
        <w:t>MO nestanovilo</w:t>
      </w:r>
      <w:r w:rsidR="00B150A7" w:rsidRPr="00B150A7">
        <w:rPr>
          <w:rFonts w:asciiTheme="minorHAnsi" w:hAnsiTheme="minorHAnsi" w:cstheme="minorHAnsi"/>
        </w:rPr>
        <w:t xml:space="preserve"> v kariérním řádu</w:t>
      </w:r>
      <w:r w:rsidRPr="00B150A7">
        <w:rPr>
          <w:rFonts w:asciiTheme="minorHAnsi" w:hAnsiTheme="minorHAnsi" w:cstheme="minorHAnsi"/>
        </w:rPr>
        <w:t xml:space="preserve"> přesné kvalifikační předpoklady a</w:t>
      </w:r>
      <w:r w:rsidR="005F4452">
        <w:rPr>
          <w:rFonts w:asciiTheme="minorHAnsi" w:hAnsiTheme="minorHAnsi" w:cstheme="minorHAnsi"/>
        </w:rPr>
        <w:t xml:space="preserve"> ani jejich úroveň</w:t>
      </w:r>
      <w:r w:rsidRPr="00B150A7">
        <w:rPr>
          <w:rFonts w:asciiTheme="minorHAnsi" w:hAnsiTheme="minorHAnsi" w:cstheme="minorHAnsi"/>
        </w:rPr>
        <w:t>.</w:t>
      </w:r>
    </w:p>
    <w:p w14:paraId="74A58028" w14:textId="38D15F03" w:rsidR="00830A5F" w:rsidRDefault="00665624" w:rsidP="007B3C21">
      <w:pPr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MV stanovilo v </w:t>
      </w:r>
      <w:r w:rsidR="004133D4" w:rsidRPr="00C46D09">
        <w:rPr>
          <w:rFonts w:asciiTheme="minorHAnsi" w:hAnsiTheme="minorHAnsi" w:cstheme="minorHAnsi"/>
          <w:i/>
        </w:rPr>
        <w:t>Koncepc</w:t>
      </w:r>
      <w:r>
        <w:rPr>
          <w:rFonts w:asciiTheme="minorHAnsi" w:hAnsiTheme="minorHAnsi" w:cstheme="minorHAnsi"/>
          <w:i/>
        </w:rPr>
        <w:t>i</w:t>
      </w:r>
      <w:r w:rsidR="004133D4" w:rsidRPr="00C46D09">
        <w:rPr>
          <w:rFonts w:asciiTheme="minorHAnsi" w:hAnsiTheme="minorHAnsi" w:cstheme="minorHAnsi"/>
          <w:i/>
        </w:rPr>
        <w:t xml:space="preserve"> výstavby Armády ČR do roku 2025</w:t>
      </w:r>
      <w:r w:rsidR="004133D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jako </w:t>
      </w:r>
      <w:r w:rsidR="004133D4">
        <w:rPr>
          <w:rFonts w:asciiTheme="minorHAnsi" w:hAnsiTheme="minorHAnsi" w:cstheme="minorHAnsi"/>
        </w:rPr>
        <w:t>prioritu</w:t>
      </w:r>
      <w:r>
        <w:rPr>
          <w:rFonts w:asciiTheme="minorHAnsi" w:hAnsiTheme="minorHAnsi" w:cstheme="minorHAnsi"/>
        </w:rPr>
        <w:t xml:space="preserve"> </w:t>
      </w:r>
      <w:r w:rsidR="004133D4" w:rsidRPr="00896376">
        <w:rPr>
          <w:rFonts w:asciiTheme="minorHAnsi" w:hAnsiTheme="minorHAnsi" w:cstheme="minorHAnsi"/>
        </w:rPr>
        <w:t>doplnění a posílení struktury důstojnického sboru</w:t>
      </w:r>
      <w:r w:rsidR="00372B60">
        <w:rPr>
          <w:rFonts w:asciiTheme="minorHAnsi" w:hAnsiTheme="minorHAnsi" w:cstheme="minorHAnsi"/>
        </w:rPr>
        <w:t xml:space="preserve"> AČR</w:t>
      </w:r>
      <w:r w:rsidR="004133D4" w:rsidRPr="00896376">
        <w:rPr>
          <w:rFonts w:asciiTheme="minorHAnsi" w:hAnsiTheme="minorHAnsi" w:cstheme="minorHAnsi"/>
        </w:rPr>
        <w:t xml:space="preserve"> cestou přímého nábo</w:t>
      </w:r>
      <w:r w:rsidR="0026695B">
        <w:rPr>
          <w:rFonts w:asciiTheme="minorHAnsi" w:hAnsiTheme="minorHAnsi" w:cstheme="minorHAnsi"/>
        </w:rPr>
        <w:t xml:space="preserve">ru </w:t>
      </w:r>
      <w:r w:rsidR="004133D4">
        <w:rPr>
          <w:rFonts w:asciiTheme="minorHAnsi" w:hAnsiTheme="minorHAnsi" w:cstheme="minorHAnsi"/>
        </w:rPr>
        <w:t>a celostátní náborové kampaně</w:t>
      </w:r>
      <w:r w:rsidR="004133D4" w:rsidRPr="00896376">
        <w:rPr>
          <w:rFonts w:asciiTheme="minorHAnsi" w:hAnsiTheme="minorHAnsi" w:cstheme="minorHAnsi"/>
        </w:rPr>
        <w:t xml:space="preserve"> podporující vzdělávací aktivity U</w:t>
      </w:r>
      <w:r w:rsidR="004133D4" w:rsidRPr="00612433">
        <w:rPr>
          <w:rFonts w:asciiTheme="minorHAnsi" w:hAnsiTheme="minorHAnsi" w:cstheme="minorHAnsi"/>
        </w:rPr>
        <w:t>NOB</w:t>
      </w:r>
      <w:r w:rsidR="004133D4">
        <w:rPr>
          <w:rFonts w:asciiTheme="minorHAnsi" w:hAnsiTheme="minorHAnsi" w:cstheme="minorHAnsi"/>
        </w:rPr>
        <w:t xml:space="preserve">. </w:t>
      </w:r>
      <w:r w:rsidR="00FA631D">
        <w:rPr>
          <w:rFonts w:asciiTheme="minorHAnsi" w:hAnsiTheme="minorHAnsi" w:cstheme="minorHAnsi"/>
        </w:rPr>
        <w:t xml:space="preserve">MO označilo v </w:t>
      </w:r>
      <w:r w:rsidR="00D22B38">
        <w:rPr>
          <w:rFonts w:asciiTheme="minorHAnsi" w:hAnsiTheme="minorHAnsi" w:cstheme="minorHAnsi"/>
        </w:rPr>
        <w:t>k</w:t>
      </w:r>
      <w:r w:rsidR="004133D4">
        <w:rPr>
          <w:rFonts w:asciiTheme="minorHAnsi" w:hAnsiTheme="minorHAnsi" w:cstheme="minorHAnsi"/>
        </w:rPr>
        <w:t>oncepc</w:t>
      </w:r>
      <w:r w:rsidR="00FA631D">
        <w:rPr>
          <w:rFonts w:asciiTheme="minorHAnsi" w:hAnsiTheme="minorHAnsi" w:cstheme="minorHAnsi"/>
        </w:rPr>
        <w:t>i</w:t>
      </w:r>
      <w:r w:rsidR="004133D4">
        <w:rPr>
          <w:rFonts w:asciiTheme="minorHAnsi" w:hAnsiTheme="minorHAnsi" w:cstheme="minorHAnsi"/>
        </w:rPr>
        <w:t xml:space="preserve"> UNOB za </w:t>
      </w:r>
      <w:r w:rsidR="004133D4">
        <w:t xml:space="preserve">hlavní </w:t>
      </w:r>
      <w:proofErr w:type="spellStart"/>
      <w:r w:rsidR="004133D4">
        <w:t>rekrutační</w:t>
      </w:r>
      <w:proofErr w:type="spellEnd"/>
      <w:r w:rsidR="004133D4">
        <w:t xml:space="preserve"> zdroj</w:t>
      </w:r>
      <w:r w:rsidR="00830A5F">
        <w:t xml:space="preserve">. </w:t>
      </w:r>
      <w:r w:rsidR="004133D4">
        <w:rPr>
          <w:rFonts w:asciiTheme="minorHAnsi" w:hAnsiTheme="minorHAnsi" w:cstheme="minorHAnsi"/>
        </w:rPr>
        <w:t>P</w:t>
      </w:r>
      <w:r w:rsidR="004133D4" w:rsidRPr="00215D93">
        <w:rPr>
          <w:rFonts w:asciiTheme="minorHAnsi" w:hAnsiTheme="minorHAnsi" w:cstheme="minorHAnsi"/>
        </w:rPr>
        <w:t xml:space="preserve">očet studentů </w:t>
      </w:r>
      <w:r w:rsidR="004133D4">
        <w:rPr>
          <w:rFonts w:asciiTheme="minorHAnsi" w:hAnsiTheme="minorHAnsi" w:cstheme="minorHAnsi"/>
        </w:rPr>
        <w:t xml:space="preserve">UNOB </w:t>
      </w:r>
      <w:r w:rsidR="004133D4" w:rsidRPr="00215D93">
        <w:rPr>
          <w:rFonts w:asciiTheme="minorHAnsi" w:hAnsiTheme="minorHAnsi" w:cstheme="minorHAnsi"/>
        </w:rPr>
        <w:t xml:space="preserve">přijatých do služebního poměru </w:t>
      </w:r>
      <w:r w:rsidR="004133D4">
        <w:rPr>
          <w:rFonts w:asciiTheme="minorHAnsi" w:hAnsiTheme="minorHAnsi" w:cstheme="minorHAnsi"/>
        </w:rPr>
        <w:t xml:space="preserve">u MO byl nejnižší </w:t>
      </w:r>
      <w:r w:rsidR="004133D4" w:rsidRPr="00215D93">
        <w:rPr>
          <w:rFonts w:asciiTheme="minorHAnsi" w:hAnsiTheme="minorHAnsi" w:cstheme="minorHAnsi"/>
        </w:rPr>
        <w:t xml:space="preserve">v roce 2016 </w:t>
      </w:r>
      <w:r w:rsidR="004133D4">
        <w:rPr>
          <w:rFonts w:asciiTheme="minorHAnsi" w:hAnsiTheme="minorHAnsi" w:cstheme="minorHAnsi"/>
        </w:rPr>
        <w:t>v</w:t>
      </w:r>
      <w:r w:rsidR="00A90367">
        <w:rPr>
          <w:rFonts w:asciiTheme="minorHAnsi" w:hAnsiTheme="minorHAnsi" w:cstheme="minorHAnsi"/>
        </w:rPr>
        <w:t> </w:t>
      </w:r>
      <w:r w:rsidR="004133D4">
        <w:rPr>
          <w:rFonts w:asciiTheme="minorHAnsi" w:hAnsiTheme="minorHAnsi" w:cstheme="minorHAnsi"/>
        </w:rPr>
        <w:t>počtu</w:t>
      </w:r>
      <w:r w:rsidR="004133D4" w:rsidRPr="00215D93">
        <w:rPr>
          <w:rFonts w:asciiTheme="minorHAnsi" w:hAnsiTheme="minorHAnsi" w:cstheme="minorHAnsi"/>
        </w:rPr>
        <w:t xml:space="preserve"> 363</w:t>
      </w:r>
      <w:r w:rsidR="004133D4">
        <w:rPr>
          <w:rFonts w:asciiTheme="minorHAnsi" w:hAnsiTheme="minorHAnsi" w:cstheme="minorHAnsi"/>
        </w:rPr>
        <w:t xml:space="preserve"> a nejvyšší v roce 2019 v počtu 4</w:t>
      </w:r>
      <w:r w:rsidR="004133D4" w:rsidRPr="00215D93">
        <w:rPr>
          <w:rFonts w:asciiTheme="minorHAnsi" w:hAnsiTheme="minorHAnsi" w:cstheme="minorHAnsi"/>
        </w:rPr>
        <w:t>28</w:t>
      </w:r>
      <w:r w:rsidR="004133D4">
        <w:rPr>
          <w:rFonts w:asciiTheme="minorHAnsi" w:hAnsiTheme="minorHAnsi" w:cstheme="minorHAnsi"/>
        </w:rPr>
        <w:t>. Nicméně i tento růst z</w:t>
      </w:r>
      <w:r w:rsidR="004133D4" w:rsidRPr="00215D93">
        <w:rPr>
          <w:rFonts w:asciiTheme="minorHAnsi" w:hAnsiTheme="minorHAnsi" w:cstheme="minorHAnsi"/>
        </w:rPr>
        <w:t xml:space="preserve"> pohledu </w:t>
      </w:r>
      <w:r w:rsidR="004133D4">
        <w:rPr>
          <w:rFonts w:asciiTheme="minorHAnsi" w:hAnsiTheme="minorHAnsi" w:cstheme="minorHAnsi"/>
        </w:rPr>
        <w:t xml:space="preserve">plnění </w:t>
      </w:r>
      <w:r w:rsidR="00FD2678">
        <w:rPr>
          <w:rFonts w:asciiTheme="minorHAnsi" w:hAnsiTheme="minorHAnsi" w:cstheme="minorHAnsi"/>
        </w:rPr>
        <w:t xml:space="preserve">hodnoty </w:t>
      </w:r>
      <w:proofErr w:type="spellStart"/>
      <w:r w:rsidR="00196DE4">
        <w:rPr>
          <w:rFonts w:asciiTheme="minorHAnsi" w:hAnsiTheme="minorHAnsi" w:cstheme="minorHAnsi"/>
        </w:rPr>
        <w:t>rekrutačního</w:t>
      </w:r>
      <w:proofErr w:type="spellEnd"/>
      <w:r w:rsidR="00196DE4">
        <w:rPr>
          <w:rFonts w:asciiTheme="minorHAnsi" w:hAnsiTheme="minorHAnsi" w:cstheme="minorHAnsi"/>
        </w:rPr>
        <w:t xml:space="preserve"> cíle</w:t>
      </w:r>
      <w:r w:rsidR="004133D4">
        <w:rPr>
          <w:rStyle w:val="Znakapoznpodarou"/>
          <w:rFonts w:asciiTheme="minorHAnsi" w:hAnsiTheme="minorHAnsi" w:cstheme="minorHAnsi"/>
        </w:rPr>
        <w:footnoteReference w:id="20"/>
      </w:r>
      <w:r w:rsidR="004133D4">
        <w:rPr>
          <w:rFonts w:asciiTheme="minorHAnsi" w:hAnsiTheme="minorHAnsi" w:cstheme="minorHAnsi"/>
        </w:rPr>
        <w:t xml:space="preserve"> znamenal </w:t>
      </w:r>
      <w:r w:rsidR="0026695B">
        <w:rPr>
          <w:rFonts w:asciiTheme="minorHAnsi" w:hAnsiTheme="minorHAnsi" w:cstheme="minorHAnsi"/>
        </w:rPr>
        <w:t xml:space="preserve">jeho </w:t>
      </w:r>
      <w:r w:rsidR="004133D4">
        <w:rPr>
          <w:rFonts w:asciiTheme="minorHAnsi" w:hAnsiTheme="minorHAnsi" w:cstheme="minorHAnsi"/>
        </w:rPr>
        <w:t>plnění</w:t>
      </w:r>
      <w:r w:rsidR="004133D4" w:rsidRPr="00215D93">
        <w:rPr>
          <w:rFonts w:asciiTheme="minorHAnsi" w:hAnsiTheme="minorHAnsi" w:cstheme="minorHAnsi"/>
        </w:rPr>
        <w:t xml:space="preserve"> </w:t>
      </w:r>
      <w:r w:rsidR="0026695B">
        <w:rPr>
          <w:rFonts w:asciiTheme="minorHAnsi" w:hAnsiTheme="minorHAnsi" w:cstheme="minorHAnsi"/>
        </w:rPr>
        <w:t xml:space="preserve">např. </w:t>
      </w:r>
      <w:r w:rsidR="009C7ECA">
        <w:rPr>
          <w:rFonts w:asciiTheme="minorHAnsi" w:hAnsiTheme="minorHAnsi" w:cstheme="minorHAnsi"/>
        </w:rPr>
        <w:t xml:space="preserve">v roce </w:t>
      </w:r>
      <w:r w:rsidR="004133D4" w:rsidRPr="00215D93">
        <w:rPr>
          <w:rFonts w:asciiTheme="minorHAnsi" w:hAnsiTheme="minorHAnsi" w:cstheme="minorHAnsi"/>
        </w:rPr>
        <w:t xml:space="preserve">2019 </w:t>
      </w:r>
      <w:r w:rsidR="004133D4">
        <w:rPr>
          <w:rFonts w:asciiTheme="minorHAnsi" w:hAnsiTheme="minorHAnsi" w:cstheme="minorHAnsi"/>
        </w:rPr>
        <w:t>pouze</w:t>
      </w:r>
      <w:r w:rsidR="004133D4" w:rsidRPr="00AF432D">
        <w:rPr>
          <w:rFonts w:asciiTheme="minorHAnsi" w:hAnsiTheme="minorHAnsi" w:cstheme="minorHAnsi"/>
        </w:rPr>
        <w:t xml:space="preserve"> </w:t>
      </w:r>
      <w:r w:rsidR="004133D4" w:rsidRPr="00215D93">
        <w:rPr>
          <w:rFonts w:asciiTheme="minorHAnsi" w:hAnsiTheme="minorHAnsi" w:cstheme="minorHAnsi"/>
        </w:rPr>
        <w:t>ve výši</w:t>
      </w:r>
      <w:r w:rsidR="004133D4">
        <w:rPr>
          <w:rFonts w:asciiTheme="minorHAnsi" w:hAnsiTheme="minorHAnsi" w:cstheme="minorHAnsi"/>
        </w:rPr>
        <w:t xml:space="preserve"> </w:t>
      </w:r>
      <w:r w:rsidR="004133D4" w:rsidRPr="00215D93">
        <w:rPr>
          <w:rFonts w:asciiTheme="minorHAnsi" w:hAnsiTheme="minorHAnsi" w:cstheme="minorHAnsi"/>
        </w:rPr>
        <w:t>57</w:t>
      </w:r>
      <w:r w:rsidR="004133D4">
        <w:rPr>
          <w:rFonts w:asciiTheme="minorHAnsi" w:hAnsiTheme="minorHAnsi" w:cstheme="minorHAnsi"/>
        </w:rPr>
        <w:t xml:space="preserve"> </w:t>
      </w:r>
      <w:r w:rsidR="004133D4" w:rsidRPr="00215D93">
        <w:rPr>
          <w:rFonts w:asciiTheme="minorHAnsi" w:hAnsiTheme="minorHAnsi" w:cstheme="minorHAnsi"/>
        </w:rPr>
        <w:t>%</w:t>
      </w:r>
      <w:r w:rsidR="004133D4">
        <w:rPr>
          <w:rFonts w:asciiTheme="minorHAnsi" w:hAnsiTheme="minorHAnsi" w:cstheme="minorHAnsi"/>
        </w:rPr>
        <w:t xml:space="preserve">. </w:t>
      </w:r>
    </w:p>
    <w:p w14:paraId="0577639A" w14:textId="325EFE6F" w:rsidR="004133D4" w:rsidRDefault="00830A5F" w:rsidP="00B07768">
      <w:pPr>
        <w:pStyle w:val="Nadpis2"/>
        <w:spacing w:line="240" w:lineRule="auto"/>
        <w:ind w:left="284" w:hanging="284"/>
        <w:jc w:val="left"/>
        <w:rPr>
          <w:rFonts w:asciiTheme="minorHAnsi" w:hAnsiTheme="minorHAnsi" w:cstheme="minorHAnsi"/>
        </w:rPr>
      </w:pPr>
      <w:r>
        <w:t xml:space="preserve">4. </w:t>
      </w:r>
      <w:r w:rsidR="00351FB1">
        <w:rPr>
          <w:shd w:val="clear" w:color="auto" w:fill="FFFFFF" w:themeFill="background1"/>
        </w:rPr>
        <w:t>MV ani MO nestanovily</w:t>
      </w:r>
      <w:r w:rsidR="00BE7C36">
        <w:rPr>
          <w:shd w:val="clear" w:color="auto" w:fill="FFFFFF" w:themeFill="background1"/>
        </w:rPr>
        <w:t xml:space="preserve"> ukazatele pro hodnocení efektivnosti činnosti </w:t>
      </w:r>
      <w:r w:rsidR="00B07768">
        <w:rPr>
          <w:shd w:val="clear" w:color="auto" w:fill="FFFFFF" w:themeFill="background1"/>
        </w:rPr>
        <w:br/>
      </w:r>
      <w:r w:rsidR="00BE7C36">
        <w:rPr>
          <w:shd w:val="clear" w:color="auto" w:fill="FFFFFF" w:themeFill="background1"/>
        </w:rPr>
        <w:t>státních vysokých škol</w:t>
      </w:r>
    </w:p>
    <w:p w14:paraId="5034CD08" w14:textId="77777777" w:rsidR="00526E05" w:rsidRDefault="00526E05" w:rsidP="00526E05">
      <w:pPr>
        <w:ind w:left="34" w:hanging="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Celkový počet absolventů PA ČR se v meziročním srovnání</w:t>
      </w:r>
      <w:r w:rsidR="00906DE1">
        <w:rPr>
          <w:rFonts w:asciiTheme="minorHAnsi" w:hAnsiTheme="minorHAnsi" w:cstheme="minorHAnsi"/>
        </w:rPr>
        <w:t xml:space="preserve"> </w:t>
      </w:r>
      <w:r w:rsidR="006B3702">
        <w:rPr>
          <w:rFonts w:asciiTheme="minorHAnsi" w:hAnsiTheme="minorHAnsi" w:cstheme="minorHAnsi"/>
        </w:rPr>
        <w:t>(</w:t>
      </w:r>
      <w:r w:rsidR="00906DE1">
        <w:rPr>
          <w:rFonts w:asciiTheme="minorHAnsi" w:hAnsiTheme="minorHAnsi" w:cstheme="minorHAnsi"/>
        </w:rPr>
        <w:t>2019/2016</w:t>
      </w:r>
      <w:r w:rsidR="006B370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výrazně ne</w:t>
      </w:r>
      <w:r w:rsidR="0045323D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měnil. Výrazný pokles </w:t>
      </w:r>
      <w:r w:rsidR="0045323D">
        <w:rPr>
          <w:rFonts w:asciiTheme="minorHAnsi" w:hAnsiTheme="minorHAnsi" w:cstheme="minorHAnsi"/>
        </w:rPr>
        <w:t xml:space="preserve">celkového počtu </w:t>
      </w:r>
      <w:r>
        <w:rPr>
          <w:rFonts w:asciiTheme="minorHAnsi" w:hAnsiTheme="minorHAnsi" w:cstheme="minorHAnsi"/>
        </w:rPr>
        <w:t>ab</w:t>
      </w:r>
      <w:r w:rsidR="0026695B">
        <w:rPr>
          <w:rFonts w:asciiTheme="minorHAnsi" w:hAnsiTheme="minorHAnsi" w:cstheme="minorHAnsi"/>
        </w:rPr>
        <w:t xml:space="preserve">solventů </w:t>
      </w:r>
      <w:r w:rsidR="0045323D" w:rsidRPr="00EC379C">
        <w:rPr>
          <w:rFonts w:asciiTheme="minorHAnsi" w:hAnsiTheme="minorHAnsi" w:cstheme="minorHAnsi"/>
        </w:rPr>
        <w:t>o 4</w:t>
      </w:r>
      <w:r w:rsidR="0045323D">
        <w:rPr>
          <w:rFonts w:asciiTheme="minorHAnsi" w:hAnsiTheme="minorHAnsi" w:cstheme="minorHAnsi"/>
        </w:rPr>
        <w:t>2</w:t>
      </w:r>
      <w:r w:rsidR="0045323D" w:rsidRPr="00EC379C">
        <w:rPr>
          <w:rFonts w:asciiTheme="minorHAnsi" w:hAnsiTheme="minorHAnsi" w:cstheme="minorHAnsi"/>
        </w:rPr>
        <w:t xml:space="preserve"> %</w:t>
      </w:r>
      <w:r w:rsidR="0045323D">
        <w:rPr>
          <w:rFonts w:asciiTheme="minorHAnsi" w:hAnsiTheme="minorHAnsi" w:cstheme="minorHAnsi"/>
        </w:rPr>
        <w:t xml:space="preserve"> byl zjištěn</w:t>
      </w:r>
      <w:r w:rsidR="0026695B">
        <w:rPr>
          <w:rFonts w:asciiTheme="minorHAnsi" w:hAnsiTheme="minorHAnsi" w:cstheme="minorHAnsi"/>
        </w:rPr>
        <w:t xml:space="preserve"> u UNOB</w:t>
      </w:r>
      <w:r w:rsidR="004532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(tabulka č. 7)</w:t>
      </w:r>
      <w:r w:rsidR="0045323D">
        <w:rPr>
          <w:rFonts w:asciiTheme="minorHAnsi" w:hAnsiTheme="minorHAnsi" w:cstheme="minorHAnsi"/>
        </w:rPr>
        <w:t>.</w:t>
      </w:r>
    </w:p>
    <w:p w14:paraId="14AA8DB1" w14:textId="77777777" w:rsidR="00EB6790" w:rsidRDefault="00526E05" w:rsidP="00831942">
      <w:pPr>
        <w:rPr>
          <w:b/>
        </w:rPr>
      </w:pPr>
      <w:r w:rsidRPr="00BF14B0">
        <w:rPr>
          <w:b/>
        </w:rPr>
        <w:t xml:space="preserve">Tabulka č. 7: </w:t>
      </w:r>
      <w:r w:rsidR="00EB6790" w:rsidRPr="00831942">
        <w:rPr>
          <w:b/>
        </w:rPr>
        <w:t>Celkové počty absolventů PA ČR</w:t>
      </w:r>
      <w:r w:rsidR="00AF2938" w:rsidRPr="00831942">
        <w:rPr>
          <w:b/>
        </w:rPr>
        <w:t xml:space="preserve"> a </w:t>
      </w:r>
      <w:r w:rsidR="00EB6790" w:rsidRPr="00831942">
        <w:rPr>
          <w:b/>
        </w:rPr>
        <w:t>UNOB</w:t>
      </w:r>
      <w:r w:rsidR="00AF2938" w:rsidRPr="00831942">
        <w:rPr>
          <w:b/>
        </w:rPr>
        <w:t xml:space="preserve"> v letech 2016 až 2019</w:t>
      </w:r>
    </w:p>
    <w:tbl>
      <w:tblPr>
        <w:tblW w:w="905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5"/>
        <w:gridCol w:w="2693"/>
        <w:gridCol w:w="850"/>
        <w:gridCol w:w="851"/>
        <w:gridCol w:w="850"/>
        <w:gridCol w:w="851"/>
        <w:gridCol w:w="1399"/>
      </w:tblGrid>
      <w:tr w:rsidR="00864721" w:rsidRPr="00054491" w14:paraId="3CD1884B" w14:textId="77777777" w:rsidTr="00713CAF">
        <w:trPr>
          <w:trHeight w:val="177"/>
        </w:trPr>
        <w:tc>
          <w:tcPr>
            <w:tcW w:w="4258" w:type="dxa"/>
            <w:gridSpan w:val="2"/>
            <w:shd w:val="clear" w:color="000000" w:fill="E5F1FF"/>
            <w:vAlign w:val="center"/>
            <w:hideMark/>
          </w:tcPr>
          <w:p w14:paraId="6E0A7459" w14:textId="77777777" w:rsidR="00864721" w:rsidRPr="00054491" w:rsidRDefault="00864721" w:rsidP="001A091E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E5F1FF"/>
            <w:vAlign w:val="center"/>
            <w:hideMark/>
          </w:tcPr>
          <w:p w14:paraId="221E6B40" w14:textId="77777777" w:rsidR="00864721" w:rsidRPr="00054491" w:rsidRDefault="00864721" w:rsidP="001A091E">
            <w:pPr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2016</w:t>
            </w:r>
          </w:p>
        </w:tc>
        <w:tc>
          <w:tcPr>
            <w:tcW w:w="851" w:type="dxa"/>
            <w:shd w:val="clear" w:color="000000" w:fill="E5F1FF"/>
            <w:vAlign w:val="center"/>
            <w:hideMark/>
          </w:tcPr>
          <w:p w14:paraId="040545E7" w14:textId="77777777" w:rsidR="00864721" w:rsidRPr="00054491" w:rsidRDefault="00864721" w:rsidP="001A091E">
            <w:pPr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000000" w:fill="E5F1FF"/>
            <w:vAlign w:val="center"/>
            <w:hideMark/>
          </w:tcPr>
          <w:p w14:paraId="5957659D" w14:textId="77777777" w:rsidR="00864721" w:rsidRPr="00054491" w:rsidRDefault="00864721" w:rsidP="001A091E">
            <w:pPr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2018</w:t>
            </w:r>
          </w:p>
        </w:tc>
        <w:tc>
          <w:tcPr>
            <w:tcW w:w="851" w:type="dxa"/>
            <w:shd w:val="clear" w:color="000000" w:fill="E5F1FF"/>
            <w:vAlign w:val="center"/>
            <w:hideMark/>
          </w:tcPr>
          <w:p w14:paraId="08E228CE" w14:textId="77777777" w:rsidR="00864721" w:rsidRPr="00054491" w:rsidRDefault="00864721" w:rsidP="001A091E">
            <w:pPr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2019</w:t>
            </w:r>
          </w:p>
        </w:tc>
        <w:tc>
          <w:tcPr>
            <w:tcW w:w="1399" w:type="dxa"/>
            <w:shd w:val="clear" w:color="000000" w:fill="E5F1FF"/>
            <w:vAlign w:val="center"/>
            <w:hideMark/>
          </w:tcPr>
          <w:p w14:paraId="67442879" w14:textId="77777777" w:rsidR="00864721" w:rsidRPr="00054491" w:rsidRDefault="006E6F1F" w:rsidP="001A091E">
            <w:pPr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Změna </w:t>
            </w:r>
            <w:r w:rsidR="00864721" w:rsidRPr="0005449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2019/2016</w:t>
            </w:r>
          </w:p>
        </w:tc>
      </w:tr>
      <w:tr w:rsidR="00864721" w:rsidRPr="00054491" w14:paraId="30B4A398" w14:textId="77777777" w:rsidTr="00D67249">
        <w:trPr>
          <w:trHeight w:val="60"/>
        </w:trPr>
        <w:tc>
          <w:tcPr>
            <w:tcW w:w="1565" w:type="dxa"/>
            <w:vMerge w:val="restart"/>
            <w:shd w:val="clear" w:color="auto" w:fill="auto"/>
            <w:noWrap/>
            <w:vAlign w:val="center"/>
            <w:hideMark/>
          </w:tcPr>
          <w:p w14:paraId="4D667305" w14:textId="0DF488CC" w:rsidR="00864721" w:rsidRPr="00054491" w:rsidRDefault="00864721" w:rsidP="00D67249">
            <w:pPr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Počet absolventů PA ČR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57757C" w14:textId="77777777" w:rsidR="00864721" w:rsidRPr="00054491" w:rsidRDefault="00864721" w:rsidP="001A091E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Policisté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42FAC1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230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09A7663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309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BC7740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263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37B070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27</w:t>
            </w:r>
            <w:r w:rsidR="00F22779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8787887" w14:textId="77777777" w:rsidR="00864721" w:rsidRPr="00713CAF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+ 1</w:t>
            </w:r>
            <w:r w:rsidR="00F22779" w:rsidRPr="00713CAF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9</w:t>
            </w:r>
            <w:r w:rsidRPr="00713CAF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%</w:t>
            </w:r>
          </w:p>
        </w:tc>
      </w:tr>
      <w:tr w:rsidR="00864721" w:rsidRPr="00054491" w14:paraId="306EEF92" w14:textId="77777777" w:rsidTr="00D67249">
        <w:trPr>
          <w:trHeight w:val="276"/>
        </w:trPr>
        <w:tc>
          <w:tcPr>
            <w:tcW w:w="1565" w:type="dxa"/>
            <w:vMerge/>
            <w:vAlign w:val="center"/>
            <w:hideMark/>
          </w:tcPr>
          <w:p w14:paraId="1CF4BBD0" w14:textId="77777777" w:rsidR="00864721" w:rsidRPr="00054491" w:rsidRDefault="00864721" w:rsidP="0026695B">
            <w:pPr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3D5D9E0" w14:textId="77777777" w:rsidR="00864721" w:rsidRPr="00054491" w:rsidRDefault="00864721" w:rsidP="001A091E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Zbývající složky bezpečnostních sborů a obecní policie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1452DE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BC0F74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A991E8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4F570A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4FCAC185" w14:textId="77777777" w:rsidR="00864721" w:rsidRPr="00713CAF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+ 12 %</w:t>
            </w:r>
          </w:p>
        </w:tc>
      </w:tr>
      <w:tr w:rsidR="00864721" w:rsidRPr="00054491" w14:paraId="391408E3" w14:textId="77777777" w:rsidTr="00D67249">
        <w:trPr>
          <w:trHeight w:val="49"/>
        </w:trPr>
        <w:tc>
          <w:tcPr>
            <w:tcW w:w="1565" w:type="dxa"/>
            <w:vMerge/>
            <w:vAlign w:val="center"/>
            <w:hideMark/>
          </w:tcPr>
          <w:p w14:paraId="2AE98F3A" w14:textId="77777777" w:rsidR="00864721" w:rsidRPr="00054491" w:rsidRDefault="00864721" w:rsidP="0026695B">
            <w:pPr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D288015" w14:textId="77777777" w:rsidR="00864721" w:rsidRPr="00054491" w:rsidRDefault="00864721" w:rsidP="001A091E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Civilisté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C68190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305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656CA5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  <w:r w:rsidR="00F22779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05CF2E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278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E9FE5D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26</w:t>
            </w:r>
            <w:r w:rsidR="00F22779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5D009C8" w14:textId="77777777" w:rsidR="00864721" w:rsidRPr="00713CAF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- 1</w:t>
            </w:r>
            <w:r w:rsidR="00F22779" w:rsidRPr="00713CAF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3</w:t>
            </w:r>
            <w:r w:rsidRPr="00713CAF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 xml:space="preserve"> %</w:t>
            </w:r>
          </w:p>
        </w:tc>
      </w:tr>
      <w:tr w:rsidR="00864721" w:rsidRPr="00054491" w14:paraId="4ED1D04A" w14:textId="77777777" w:rsidTr="00D67249">
        <w:trPr>
          <w:trHeight w:val="52"/>
        </w:trPr>
        <w:tc>
          <w:tcPr>
            <w:tcW w:w="1565" w:type="dxa"/>
            <w:vMerge/>
            <w:vAlign w:val="center"/>
            <w:hideMark/>
          </w:tcPr>
          <w:p w14:paraId="50A5AE07" w14:textId="77777777" w:rsidR="00864721" w:rsidRPr="00054491" w:rsidRDefault="00864721" w:rsidP="0026695B">
            <w:pPr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F1219E8" w14:textId="77777777" w:rsidR="00864721" w:rsidRPr="00713CAF" w:rsidRDefault="00864721" w:rsidP="001A091E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Celkem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78D18A" w14:textId="77777777" w:rsidR="00864721" w:rsidRPr="00713CAF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586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0B8980" w14:textId="77777777" w:rsidR="00864721" w:rsidRPr="00713CAF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6</w:t>
            </w:r>
            <w:r w:rsidR="00F22779" w:rsidRPr="00713CA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69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A6E2C6" w14:textId="77777777" w:rsidR="00864721" w:rsidRPr="00713CAF" w:rsidRDefault="00F22779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598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566F4B" w14:textId="77777777" w:rsidR="00864721" w:rsidRPr="00713CAF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59</w:t>
            </w:r>
            <w:r w:rsidR="00F22779" w:rsidRPr="00713CA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6F84DEA" w14:textId="77777777" w:rsidR="00864721" w:rsidRPr="00713CAF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+ 2 %</w:t>
            </w:r>
          </w:p>
        </w:tc>
      </w:tr>
      <w:tr w:rsidR="00864721" w:rsidRPr="00054491" w14:paraId="48F2063C" w14:textId="77777777" w:rsidTr="00D67249">
        <w:trPr>
          <w:trHeight w:val="181"/>
        </w:trPr>
        <w:tc>
          <w:tcPr>
            <w:tcW w:w="1565" w:type="dxa"/>
            <w:vMerge w:val="restart"/>
            <w:shd w:val="clear" w:color="auto" w:fill="auto"/>
            <w:noWrap/>
            <w:vAlign w:val="center"/>
            <w:hideMark/>
          </w:tcPr>
          <w:p w14:paraId="62308F42" w14:textId="77777777" w:rsidR="00864721" w:rsidRPr="00054491" w:rsidRDefault="00864721" w:rsidP="0026695B">
            <w:pPr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Počet absolventů UNOB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BF4B1C9" w14:textId="77777777" w:rsidR="00864721" w:rsidRPr="00054491" w:rsidRDefault="00864721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Vojáci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5571EA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327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000E9F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189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3DEA44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177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50F9E3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173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E8F425F" w14:textId="77777777" w:rsidR="00864721" w:rsidRPr="00713CAF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- 47 %</w:t>
            </w:r>
          </w:p>
        </w:tc>
      </w:tr>
      <w:tr w:rsidR="00864721" w:rsidRPr="00054491" w14:paraId="48658E0F" w14:textId="77777777" w:rsidTr="00D67249">
        <w:trPr>
          <w:trHeight w:val="171"/>
        </w:trPr>
        <w:tc>
          <w:tcPr>
            <w:tcW w:w="1565" w:type="dxa"/>
            <w:vMerge/>
            <w:vAlign w:val="center"/>
            <w:hideMark/>
          </w:tcPr>
          <w:p w14:paraId="07E60FD4" w14:textId="77777777" w:rsidR="00864721" w:rsidRPr="00054491" w:rsidRDefault="00864721" w:rsidP="001A091E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FF9FE4D" w14:textId="77777777" w:rsidR="00864721" w:rsidRPr="00054491" w:rsidRDefault="00864721" w:rsidP="001A091E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Civilisté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9D91FC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182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F64B5C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B5E7F4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906C2F" w14:textId="77777777" w:rsidR="00864721" w:rsidRPr="00054491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54491">
              <w:rPr>
                <w:rFonts w:asciiTheme="minorHAnsi" w:eastAsia="Times New Roman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A931A53" w14:textId="77777777" w:rsidR="00864721" w:rsidRPr="00713CAF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- 33 %</w:t>
            </w:r>
          </w:p>
        </w:tc>
      </w:tr>
      <w:tr w:rsidR="00864721" w:rsidRPr="00054491" w14:paraId="1A20EFF8" w14:textId="77777777" w:rsidTr="00D67249">
        <w:trPr>
          <w:trHeight w:val="70"/>
        </w:trPr>
        <w:tc>
          <w:tcPr>
            <w:tcW w:w="1565" w:type="dxa"/>
            <w:vMerge/>
            <w:vAlign w:val="center"/>
            <w:hideMark/>
          </w:tcPr>
          <w:p w14:paraId="7B07C038" w14:textId="77777777" w:rsidR="00864721" w:rsidRPr="00054491" w:rsidRDefault="00864721" w:rsidP="001A091E">
            <w:pPr>
              <w:spacing w:after="0"/>
              <w:ind w:left="0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3661E53" w14:textId="77777777" w:rsidR="00864721" w:rsidRPr="00713CAF" w:rsidRDefault="00864721" w:rsidP="001A091E">
            <w:pPr>
              <w:spacing w:after="0"/>
              <w:ind w:left="0" w:firstLine="0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Celkem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A64B44" w14:textId="77777777" w:rsidR="00864721" w:rsidRPr="00713CAF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509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A245F3" w14:textId="77777777" w:rsidR="00864721" w:rsidRPr="00713CAF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349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623161" w14:textId="77777777" w:rsidR="00864721" w:rsidRPr="00713CAF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313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0D0F43" w14:textId="77777777" w:rsidR="00864721" w:rsidRPr="00713CAF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295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30F3996" w14:textId="77777777" w:rsidR="00864721" w:rsidRPr="00713CAF" w:rsidRDefault="00864721" w:rsidP="00D67249">
            <w:pPr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</w:rPr>
              <w:t>- 42 %</w:t>
            </w:r>
          </w:p>
        </w:tc>
      </w:tr>
    </w:tbl>
    <w:p w14:paraId="7CA2CF53" w14:textId="5336CD88" w:rsidR="00CA641D" w:rsidRPr="00BE438C" w:rsidRDefault="00CA641D" w:rsidP="00B07768">
      <w:pPr>
        <w:pStyle w:val="Zdroj"/>
        <w:spacing w:before="40" w:after="0"/>
        <w:rPr>
          <w:b w:val="0"/>
          <w:szCs w:val="20"/>
          <w:lang w:eastAsia="cs-CZ"/>
        </w:rPr>
      </w:pPr>
      <w:r w:rsidRPr="008A237E">
        <w:rPr>
          <w:szCs w:val="20"/>
          <w:lang w:eastAsia="cs-CZ"/>
        </w:rPr>
        <w:t>Zdroj:</w:t>
      </w:r>
      <w:r w:rsidRPr="00BE438C">
        <w:rPr>
          <w:b w:val="0"/>
          <w:szCs w:val="20"/>
          <w:lang w:eastAsia="cs-CZ"/>
        </w:rPr>
        <w:t xml:space="preserve"> </w:t>
      </w:r>
      <w:r w:rsidR="00405302">
        <w:rPr>
          <w:b w:val="0"/>
          <w:szCs w:val="20"/>
        </w:rPr>
        <w:t>i</w:t>
      </w:r>
      <w:r w:rsidRPr="002640BF">
        <w:rPr>
          <w:b w:val="0"/>
          <w:szCs w:val="20"/>
        </w:rPr>
        <w:t xml:space="preserve">nformace </w:t>
      </w:r>
      <w:r w:rsidRPr="00A6349A">
        <w:rPr>
          <w:b w:val="0"/>
          <w:szCs w:val="20"/>
        </w:rPr>
        <w:t>PA ČR, MO.</w:t>
      </w:r>
    </w:p>
    <w:p w14:paraId="2FFCD7F4" w14:textId="2325483E" w:rsidR="00823292" w:rsidRDefault="001E75FA">
      <w:pPr>
        <w:spacing w:before="120"/>
        <w:rPr>
          <w:rFonts w:asciiTheme="minorHAnsi" w:eastAsiaTheme="minorHAnsi" w:hAnsiTheme="minorHAnsi" w:cstheme="minorHAnsi"/>
        </w:rPr>
      </w:pPr>
      <w:r w:rsidRPr="007312FF">
        <w:rPr>
          <w:rFonts w:asciiTheme="minorHAnsi" w:hAnsiTheme="minorHAnsi" w:cstheme="minorHAnsi"/>
        </w:rPr>
        <w:t>PA ČR</w:t>
      </w:r>
      <w:r>
        <w:rPr>
          <w:rFonts w:asciiTheme="minorHAnsi" w:hAnsiTheme="minorHAnsi" w:cstheme="minorHAnsi"/>
        </w:rPr>
        <w:t xml:space="preserve"> ani MO nesledovaly a nevyhodnocovaly v kontrolovaném období např. ukazatel „náklady na studenta“, </w:t>
      </w:r>
      <w:r w:rsidR="00A90367">
        <w:rPr>
          <w:rFonts w:asciiTheme="minorHAnsi" w:hAnsiTheme="minorHAnsi" w:cstheme="minorHAnsi"/>
        </w:rPr>
        <w:t xml:space="preserve">jehož </w:t>
      </w:r>
      <w:r>
        <w:rPr>
          <w:rFonts w:asciiTheme="minorHAnsi" w:hAnsiTheme="minorHAnsi" w:cstheme="minorHAnsi"/>
        </w:rPr>
        <w:t xml:space="preserve">prostřednictvím by vyhodnotily efektivnost vynaložených peněžních prostředků státu. </w:t>
      </w:r>
      <w:r w:rsidR="008230AD">
        <w:rPr>
          <w:rFonts w:asciiTheme="minorHAnsi" w:eastAsiaTheme="minorHAnsi" w:hAnsiTheme="minorHAnsi" w:cstheme="minorHAnsi"/>
        </w:rPr>
        <w:t>Přitom např. pr</w:t>
      </w:r>
      <w:r w:rsidR="00CE0D5A">
        <w:rPr>
          <w:rFonts w:asciiTheme="minorHAnsi" w:eastAsiaTheme="minorHAnsi" w:hAnsiTheme="minorHAnsi" w:cstheme="minorHAnsi"/>
        </w:rPr>
        <w:t>oblematika způsobu stanovení jednotkových nákladů PA ČR a odlišných vykazovaných hodnot MV a PA ČR byla projednávána již v </w:t>
      </w:r>
      <w:r w:rsidR="001F7C46">
        <w:rPr>
          <w:rFonts w:asciiTheme="minorHAnsi" w:eastAsiaTheme="minorHAnsi" w:hAnsiTheme="minorHAnsi" w:cstheme="minorHAnsi"/>
        </w:rPr>
        <w:t>roce</w:t>
      </w:r>
      <w:r w:rsidR="00CE0D5A">
        <w:rPr>
          <w:rFonts w:asciiTheme="minorHAnsi" w:eastAsiaTheme="minorHAnsi" w:hAnsiTheme="minorHAnsi" w:cstheme="minorHAnsi"/>
        </w:rPr>
        <w:t xml:space="preserve"> 2015 na </w:t>
      </w:r>
      <w:r w:rsidR="00A90367">
        <w:rPr>
          <w:rFonts w:asciiTheme="minorHAnsi" w:eastAsiaTheme="minorHAnsi" w:hAnsiTheme="minorHAnsi" w:cstheme="minorHAnsi"/>
        </w:rPr>
        <w:t>v</w:t>
      </w:r>
      <w:r w:rsidR="00CE0D5A">
        <w:rPr>
          <w:rFonts w:asciiTheme="minorHAnsi" w:eastAsiaTheme="minorHAnsi" w:hAnsiTheme="minorHAnsi" w:cstheme="minorHAnsi"/>
        </w:rPr>
        <w:t>ýboru pro bezpečnost</w:t>
      </w:r>
      <w:r w:rsidR="008230AD">
        <w:rPr>
          <w:rFonts w:asciiTheme="minorHAnsi" w:eastAsiaTheme="minorHAnsi" w:hAnsiTheme="minorHAnsi" w:cstheme="minorHAnsi"/>
        </w:rPr>
        <w:t xml:space="preserve"> Poslanecké sněmovny Parlamentu České republiky</w:t>
      </w:r>
      <w:r w:rsidR="006B3702">
        <w:rPr>
          <w:rStyle w:val="Znakapoznpodarou"/>
          <w:rFonts w:asciiTheme="minorHAnsi" w:eastAsiaTheme="minorHAnsi" w:hAnsiTheme="minorHAnsi" w:cstheme="minorHAnsi"/>
        </w:rPr>
        <w:footnoteReference w:id="21"/>
      </w:r>
      <w:r w:rsidR="00CE0D5A">
        <w:rPr>
          <w:rFonts w:asciiTheme="minorHAnsi" w:eastAsiaTheme="minorHAnsi" w:hAnsiTheme="minorHAnsi" w:cstheme="minorHAnsi"/>
        </w:rPr>
        <w:t>.</w:t>
      </w:r>
      <w:r w:rsidR="006B3702">
        <w:rPr>
          <w:rFonts w:asciiTheme="minorHAnsi" w:eastAsiaTheme="minorHAnsi" w:hAnsiTheme="minorHAnsi" w:cstheme="minorHAnsi"/>
        </w:rPr>
        <w:t xml:space="preserve"> </w:t>
      </w:r>
      <w:r w:rsidR="00DE7A6E">
        <w:rPr>
          <w:rFonts w:asciiTheme="minorHAnsi" w:eastAsiaTheme="minorHAnsi" w:hAnsiTheme="minorHAnsi" w:cstheme="minorHAnsi"/>
        </w:rPr>
        <w:t xml:space="preserve">Na nutnost sledovat tento ukazatel poukázala </w:t>
      </w:r>
      <w:r w:rsidR="00526E05">
        <w:rPr>
          <w:rFonts w:asciiTheme="minorHAnsi" w:eastAsiaTheme="minorHAnsi" w:hAnsiTheme="minorHAnsi" w:cstheme="minorHAnsi"/>
        </w:rPr>
        <w:t xml:space="preserve">také </w:t>
      </w:r>
      <w:r w:rsidR="00B31D4C">
        <w:rPr>
          <w:rFonts w:asciiTheme="minorHAnsi" w:eastAsiaTheme="minorHAnsi" w:hAnsiTheme="minorHAnsi" w:cstheme="minorHAnsi"/>
        </w:rPr>
        <w:t>kontrol</w:t>
      </w:r>
      <w:r w:rsidR="00DE7A6E">
        <w:rPr>
          <w:rFonts w:asciiTheme="minorHAnsi" w:eastAsiaTheme="minorHAnsi" w:hAnsiTheme="minorHAnsi" w:cstheme="minorHAnsi"/>
        </w:rPr>
        <w:t>a</w:t>
      </w:r>
      <w:r w:rsidR="00B31D4C">
        <w:rPr>
          <w:rFonts w:asciiTheme="minorHAnsi" w:eastAsiaTheme="minorHAnsi" w:hAnsiTheme="minorHAnsi" w:cstheme="minorHAnsi"/>
        </w:rPr>
        <w:t xml:space="preserve"> hospodaření</w:t>
      </w:r>
      <w:r w:rsidR="00DE7A6E">
        <w:rPr>
          <w:rFonts w:asciiTheme="minorHAnsi" w:eastAsiaTheme="minorHAnsi" w:hAnsiTheme="minorHAnsi" w:cstheme="minorHAnsi"/>
        </w:rPr>
        <w:t xml:space="preserve"> provedená MV na PA ČR</w:t>
      </w:r>
      <w:r w:rsidR="001F01F9">
        <w:rPr>
          <w:rFonts w:asciiTheme="minorHAnsi" w:eastAsiaTheme="minorHAnsi" w:hAnsiTheme="minorHAnsi" w:cstheme="minorHAnsi"/>
        </w:rPr>
        <w:t xml:space="preserve"> ve stejném roce</w:t>
      </w:r>
      <w:r w:rsidR="00E26818">
        <w:rPr>
          <w:rFonts w:asciiTheme="minorHAnsi" w:eastAsiaTheme="minorHAnsi" w:hAnsiTheme="minorHAnsi" w:cstheme="minorHAnsi"/>
        </w:rPr>
        <w:t xml:space="preserve">. </w:t>
      </w:r>
    </w:p>
    <w:p w14:paraId="391C67C4" w14:textId="24C28155" w:rsidR="000E33EA" w:rsidRDefault="001E75FA" w:rsidP="004C5247">
      <w:pPr>
        <w:ind w:left="0" w:firstLine="0"/>
        <w:rPr>
          <w:rFonts w:cstheme="minorHAnsi"/>
          <w:bCs/>
        </w:rPr>
      </w:pPr>
      <w:r>
        <w:t>N</w:t>
      </w:r>
      <w:r w:rsidR="004452ED">
        <w:t>áklady na studenta NKÚ získal na základě kalkulací a odborného odhadu PA ČR a MO</w:t>
      </w:r>
      <w:r w:rsidR="00526E05">
        <w:rPr>
          <w:rFonts w:asciiTheme="minorHAnsi" w:eastAsiaTheme="minorHAnsi" w:hAnsiTheme="minorHAnsi" w:cstheme="minorHAnsi"/>
        </w:rPr>
        <w:t>.</w:t>
      </w:r>
      <w:r w:rsidR="00823292">
        <w:rPr>
          <w:rFonts w:asciiTheme="minorHAnsi" w:eastAsiaTheme="minorHAnsi" w:hAnsiTheme="minorHAnsi" w:cstheme="minorHAnsi"/>
        </w:rPr>
        <w:t xml:space="preserve"> Např. v roce 2018 dosáhly náklady na studenta u PA ČR cca 62 tis. Kč a u UNOB cca 735 tis. Kč. </w:t>
      </w:r>
      <w:r w:rsidR="00823292">
        <w:rPr>
          <w:rFonts w:asciiTheme="minorHAnsi" w:hAnsiTheme="minorHAnsi" w:cstheme="minorHAnsi"/>
        </w:rPr>
        <w:t>Dl</w:t>
      </w:r>
      <w:r w:rsidR="003013E3">
        <w:rPr>
          <w:rFonts w:asciiTheme="minorHAnsi" w:hAnsiTheme="minorHAnsi" w:cstheme="minorHAnsi"/>
        </w:rPr>
        <w:t>e předložených podkladů byly n</w:t>
      </w:r>
      <w:r w:rsidR="00646AAB">
        <w:rPr>
          <w:rFonts w:asciiTheme="minorHAnsi" w:hAnsiTheme="minorHAnsi" w:cstheme="minorHAnsi"/>
        </w:rPr>
        <w:t>áklady na studenta U</w:t>
      </w:r>
      <w:r w:rsidR="00B61A55">
        <w:rPr>
          <w:rFonts w:asciiTheme="minorHAnsi" w:hAnsiTheme="minorHAnsi" w:cstheme="minorHAnsi"/>
        </w:rPr>
        <w:t>NOB</w:t>
      </w:r>
      <w:r w:rsidR="003D28BE">
        <w:rPr>
          <w:rFonts w:asciiTheme="minorHAnsi" w:hAnsiTheme="minorHAnsi" w:cstheme="minorHAnsi"/>
        </w:rPr>
        <w:t xml:space="preserve"> (MO)</w:t>
      </w:r>
      <w:r w:rsidR="00B61A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 kontrolovaném období průměrně </w:t>
      </w:r>
      <w:r w:rsidR="00FF69D1">
        <w:rPr>
          <w:rFonts w:asciiTheme="minorHAnsi" w:hAnsiTheme="minorHAnsi" w:cstheme="minorHAnsi"/>
        </w:rPr>
        <w:t>asi desetkrát</w:t>
      </w:r>
      <w:r w:rsidR="00B61A55">
        <w:rPr>
          <w:rFonts w:asciiTheme="minorHAnsi" w:hAnsiTheme="minorHAnsi" w:cstheme="minorHAnsi"/>
        </w:rPr>
        <w:t xml:space="preserve"> vyšší než na PA ČR</w:t>
      </w:r>
      <w:r w:rsidR="00C24B40">
        <w:rPr>
          <w:rFonts w:asciiTheme="minorHAnsi" w:hAnsiTheme="minorHAnsi" w:cstheme="minorHAnsi"/>
        </w:rPr>
        <w:t>, což je způsobeno např. tím, že</w:t>
      </w:r>
      <w:r w:rsidR="00646AAB">
        <w:rPr>
          <w:rFonts w:asciiTheme="minorHAnsi" w:hAnsiTheme="minorHAnsi" w:cstheme="minorHAnsi"/>
        </w:rPr>
        <w:t xml:space="preserve"> </w:t>
      </w:r>
      <w:r w:rsidR="00C24B40">
        <w:rPr>
          <w:rFonts w:asciiTheme="minorHAnsi" w:hAnsiTheme="minorHAnsi" w:cstheme="minorHAnsi"/>
        </w:rPr>
        <w:t>v</w:t>
      </w:r>
      <w:r w:rsidR="00FF69D1">
        <w:rPr>
          <w:rFonts w:asciiTheme="minorHAnsi" w:hAnsiTheme="minorHAnsi" w:cstheme="minorHAnsi"/>
        </w:rPr>
        <w:t>ojenské vysoké školství má oproti policejnímu řadu specifik</w:t>
      </w:r>
      <w:r w:rsidR="003D28BE">
        <w:rPr>
          <w:rFonts w:asciiTheme="minorHAnsi" w:hAnsiTheme="minorHAnsi" w:cstheme="minorHAnsi"/>
        </w:rPr>
        <w:t>,</w:t>
      </w:r>
      <w:r w:rsidR="00CB3F3B">
        <w:rPr>
          <w:rFonts w:asciiTheme="minorHAnsi" w:hAnsiTheme="minorHAnsi" w:cstheme="minorHAnsi"/>
        </w:rPr>
        <w:t xml:space="preserve"> </w:t>
      </w:r>
      <w:r w:rsidR="003D28BE" w:rsidRPr="006F19C2">
        <w:rPr>
          <w:rFonts w:asciiTheme="minorHAnsi" w:hAnsiTheme="minorHAnsi" w:cstheme="minorHAnsi"/>
        </w:rPr>
        <w:t>k</w:t>
      </w:r>
      <w:r w:rsidR="00BC3A27" w:rsidRPr="006F19C2">
        <w:rPr>
          <w:rFonts w:asciiTheme="minorHAnsi" w:hAnsiTheme="minorHAnsi" w:cstheme="minorHAnsi"/>
        </w:rPr>
        <w:t xml:space="preserve"> nim</w:t>
      </w:r>
      <w:r w:rsidR="00547D91" w:rsidRPr="006F19C2">
        <w:rPr>
          <w:rFonts w:asciiTheme="minorHAnsi" w:hAnsiTheme="minorHAnsi" w:cstheme="minorHAnsi"/>
        </w:rPr>
        <w:t>ž</w:t>
      </w:r>
      <w:r w:rsidR="00BC3A27" w:rsidRPr="006F19C2">
        <w:rPr>
          <w:rFonts w:asciiTheme="minorHAnsi" w:hAnsiTheme="minorHAnsi" w:cstheme="minorHAnsi"/>
        </w:rPr>
        <w:t xml:space="preserve"> patří </w:t>
      </w:r>
      <w:r w:rsidR="003D28BE">
        <w:rPr>
          <w:rFonts w:asciiTheme="minorHAnsi" w:hAnsiTheme="minorHAnsi" w:cstheme="minorHAnsi"/>
        </w:rPr>
        <w:t>mimo jiné</w:t>
      </w:r>
      <w:r w:rsidR="00F75B0A">
        <w:rPr>
          <w:rFonts w:asciiTheme="minorHAnsi" w:hAnsiTheme="minorHAnsi" w:cstheme="minorHAnsi"/>
        </w:rPr>
        <w:t xml:space="preserve"> </w:t>
      </w:r>
      <w:r w:rsidR="00614F48" w:rsidRPr="00F75B0A">
        <w:rPr>
          <w:rFonts w:asciiTheme="minorHAnsi" w:hAnsiTheme="minorHAnsi" w:cstheme="minorHAnsi"/>
        </w:rPr>
        <w:t>poskytování bezplatného ubytování na internátech</w:t>
      </w:r>
      <w:r w:rsidR="00FA6E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nebo existence</w:t>
      </w:r>
      <w:r w:rsidRPr="006F19C2">
        <w:rPr>
          <w:rFonts w:asciiTheme="minorHAnsi" w:hAnsiTheme="minorHAnsi" w:cstheme="minorHAnsi"/>
        </w:rPr>
        <w:t xml:space="preserve"> </w:t>
      </w:r>
      <w:r w:rsidR="00FA6E3D" w:rsidRPr="006F19C2">
        <w:rPr>
          <w:rFonts w:asciiTheme="minorHAnsi" w:hAnsiTheme="minorHAnsi" w:cstheme="minorHAnsi"/>
        </w:rPr>
        <w:t>mzdy v rámci přípravy vojáka na budoucí povolání</w:t>
      </w:r>
      <w:r w:rsidR="00614F48" w:rsidRPr="00F75B0A">
        <w:rPr>
          <w:rFonts w:asciiTheme="minorHAnsi" w:hAnsiTheme="minorHAnsi" w:cstheme="minorHAnsi"/>
        </w:rPr>
        <w:t>.</w:t>
      </w:r>
      <w:r w:rsidR="00614F48">
        <w:rPr>
          <w:rFonts w:asciiTheme="minorHAnsi" w:hAnsiTheme="minorHAnsi" w:cstheme="minorHAnsi"/>
        </w:rPr>
        <w:t xml:space="preserve"> D</w:t>
      </w:r>
      <w:r w:rsidR="00FF69D1">
        <w:rPr>
          <w:rFonts w:asciiTheme="minorHAnsi" w:hAnsiTheme="minorHAnsi" w:cstheme="minorHAnsi"/>
        </w:rPr>
        <w:t>alším z</w:t>
      </w:r>
      <w:r w:rsidR="00CB3F3B">
        <w:rPr>
          <w:rFonts w:asciiTheme="minorHAnsi" w:hAnsiTheme="minorHAnsi" w:cstheme="minorHAnsi"/>
        </w:rPr>
        <w:t> </w:t>
      </w:r>
      <w:r w:rsidR="00FF69D1">
        <w:rPr>
          <w:rFonts w:asciiTheme="minorHAnsi" w:hAnsiTheme="minorHAnsi" w:cstheme="minorHAnsi"/>
        </w:rPr>
        <w:t>faktorů</w:t>
      </w:r>
      <w:r w:rsidR="00CB3F3B">
        <w:rPr>
          <w:rFonts w:asciiTheme="minorHAnsi" w:hAnsiTheme="minorHAnsi" w:cstheme="minorHAnsi"/>
        </w:rPr>
        <w:t xml:space="preserve"> v rozdílu výše nákladů na studenta</w:t>
      </w:r>
      <w:r w:rsidR="00FF69D1">
        <w:rPr>
          <w:rFonts w:asciiTheme="minorHAnsi" w:hAnsiTheme="minorHAnsi" w:cstheme="minorHAnsi"/>
        </w:rPr>
        <w:t xml:space="preserve"> je míra využití kombinovaného studia, která </w:t>
      </w:r>
      <w:r w:rsidR="00B6358A">
        <w:rPr>
          <w:rFonts w:asciiTheme="minorHAnsi" w:hAnsiTheme="minorHAnsi" w:cstheme="minorHAnsi"/>
        </w:rPr>
        <w:t>byla</w:t>
      </w:r>
      <w:r w:rsidR="00FF69D1">
        <w:rPr>
          <w:rFonts w:asciiTheme="minorHAnsi" w:hAnsiTheme="minorHAnsi" w:cstheme="minorHAnsi"/>
        </w:rPr>
        <w:t xml:space="preserve"> na PA ČR průměrně 70 %, kdežto na UNOB </w:t>
      </w:r>
      <w:r w:rsidR="00B6358A">
        <w:rPr>
          <w:rFonts w:asciiTheme="minorHAnsi" w:hAnsiTheme="minorHAnsi" w:cstheme="minorHAnsi"/>
        </w:rPr>
        <w:t>byla</w:t>
      </w:r>
      <w:r w:rsidR="00614F48">
        <w:rPr>
          <w:rFonts w:asciiTheme="minorHAnsi" w:hAnsiTheme="minorHAnsi" w:cstheme="minorHAnsi"/>
        </w:rPr>
        <w:t xml:space="preserve"> </w:t>
      </w:r>
      <w:r w:rsidR="00630F91">
        <w:rPr>
          <w:rFonts w:asciiTheme="minorHAnsi" w:hAnsiTheme="minorHAnsi" w:cstheme="minorHAnsi"/>
        </w:rPr>
        <w:t xml:space="preserve">méně než </w:t>
      </w:r>
      <w:r w:rsidR="00FF69D1">
        <w:rPr>
          <w:rFonts w:asciiTheme="minorHAnsi" w:hAnsiTheme="minorHAnsi" w:cstheme="minorHAnsi"/>
        </w:rPr>
        <w:t>30 %.</w:t>
      </w:r>
      <w:r w:rsidR="000E33EA">
        <w:rPr>
          <w:rFonts w:asciiTheme="minorHAnsi" w:hAnsiTheme="minorHAnsi" w:cstheme="minorHAnsi"/>
        </w:rPr>
        <w:t xml:space="preserve"> </w:t>
      </w:r>
      <w:r w:rsidR="001B5838">
        <w:rPr>
          <w:rFonts w:cstheme="minorHAnsi"/>
          <w:bCs/>
        </w:rPr>
        <w:t xml:space="preserve">UNOB </w:t>
      </w:r>
      <w:r w:rsidR="00614F48">
        <w:rPr>
          <w:rFonts w:cstheme="minorHAnsi"/>
          <w:bCs/>
        </w:rPr>
        <w:t xml:space="preserve">také oproti PA ČR </w:t>
      </w:r>
      <w:r w:rsidR="001B5838">
        <w:rPr>
          <w:rFonts w:cstheme="minorHAnsi"/>
          <w:bCs/>
        </w:rPr>
        <w:t xml:space="preserve">zaměstnávala </w:t>
      </w:r>
      <w:r w:rsidR="001B5838" w:rsidRPr="00F12F71">
        <w:rPr>
          <w:rFonts w:cstheme="minorHAnsi"/>
          <w:bCs/>
        </w:rPr>
        <w:t>v</w:t>
      </w:r>
      <w:r w:rsidR="001B5838">
        <w:rPr>
          <w:rFonts w:cstheme="minorHAnsi"/>
          <w:bCs/>
        </w:rPr>
        <w:t>yšší podíl</w:t>
      </w:r>
      <w:r w:rsidR="001B5838" w:rsidRPr="00F12F71">
        <w:rPr>
          <w:rFonts w:cstheme="minorHAnsi"/>
          <w:bCs/>
        </w:rPr>
        <w:t xml:space="preserve"> pedagogických zaměstnanců</w:t>
      </w:r>
      <w:r w:rsidR="001B5838">
        <w:rPr>
          <w:rFonts w:cstheme="minorHAnsi"/>
          <w:bCs/>
        </w:rPr>
        <w:t xml:space="preserve"> </w:t>
      </w:r>
      <w:r w:rsidR="00D77000">
        <w:rPr>
          <w:rFonts w:cstheme="minorHAnsi"/>
          <w:bCs/>
        </w:rPr>
        <w:t>k</w:t>
      </w:r>
      <w:r w:rsidR="006B2598">
        <w:rPr>
          <w:rFonts w:cstheme="minorHAnsi"/>
          <w:bCs/>
        </w:rPr>
        <w:t> </w:t>
      </w:r>
      <w:r w:rsidR="001B5838">
        <w:rPr>
          <w:rFonts w:cstheme="minorHAnsi"/>
          <w:bCs/>
        </w:rPr>
        <w:t>celkovém</w:t>
      </w:r>
      <w:r w:rsidR="00D77000">
        <w:rPr>
          <w:rFonts w:cstheme="minorHAnsi"/>
          <w:bCs/>
        </w:rPr>
        <w:t>u</w:t>
      </w:r>
      <w:r w:rsidR="001B5838">
        <w:rPr>
          <w:rFonts w:cstheme="minorHAnsi"/>
          <w:bCs/>
        </w:rPr>
        <w:t xml:space="preserve"> počtu zaměstnanců</w:t>
      </w:r>
      <w:r w:rsidR="000E33EA">
        <w:rPr>
          <w:rFonts w:cstheme="minorHAnsi"/>
          <w:bCs/>
        </w:rPr>
        <w:t xml:space="preserve">, </w:t>
      </w:r>
      <w:r w:rsidR="00CB3F3B">
        <w:rPr>
          <w:rFonts w:cstheme="minorHAnsi"/>
          <w:bCs/>
        </w:rPr>
        <w:t>ze kterého vyplynul nižší</w:t>
      </w:r>
      <w:r w:rsidR="000E33EA">
        <w:rPr>
          <w:rFonts w:cstheme="minorHAnsi"/>
          <w:bCs/>
        </w:rPr>
        <w:t xml:space="preserve"> p</w:t>
      </w:r>
      <w:r w:rsidR="001B5838">
        <w:rPr>
          <w:rFonts w:cstheme="minorHAnsi"/>
          <w:bCs/>
        </w:rPr>
        <w:t xml:space="preserve">odíl počtu </w:t>
      </w:r>
      <w:r w:rsidR="00E37D28">
        <w:rPr>
          <w:rFonts w:cstheme="minorHAnsi"/>
          <w:bCs/>
        </w:rPr>
        <w:t xml:space="preserve">studentů na </w:t>
      </w:r>
      <w:r w:rsidR="001B5838">
        <w:rPr>
          <w:rFonts w:cstheme="minorHAnsi"/>
          <w:bCs/>
        </w:rPr>
        <w:t>pedagogického zaměstnance (viz tabulka č</w:t>
      </w:r>
      <w:r w:rsidR="004057FB" w:rsidRPr="0082037A">
        <w:rPr>
          <w:rFonts w:cstheme="minorHAnsi"/>
          <w:bCs/>
        </w:rPr>
        <w:t>.</w:t>
      </w:r>
      <w:r w:rsidR="00385191">
        <w:rPr>
          <w:rFonts w:cstheme="minorHAnsi"/>
          <w:bCs/>
        </w:rPr>
        <w:t> </w:t>
      </w:r>
      <w:r w:rsidR="004057FB">
        <w:rPr>
          <w:rFonts w:cstheme="minorHAnsi"/>
          <w:bCs/>
        </w:rPr>
        <w:t>9)</w:t>
      </w:r>
      <w:r w:rsidR="00D77000">
        <w:rPr>
          <w:rFonts w:cstheme="minorHAnsi"/>
          <w:bCs/>
        </w:rPr>
        <w:t>.</w:t>
      </w:r>
      <w:r w:rsidR="004057FB">
        <w:rPr>
          <w:rFonts w:cstheme="minorHAnsi"/>
          <w:bCs/>
        </w:rPr>
        <w:t xml:space="preserve"> </w:t>
      </w:r>
    </w:p>
    <w:p w14:paraId="11C58F5D" w14:textId="2A44309D" w:rsidR="000E33EA" w:rsidRDefault="000E33EA" w:rsidP="00BF14B0">
      <w:pPr>
        <w:rPr>
          <w:rFonts w:cstheme="minorHAnsi"/>
          <w:bCs/>
        </w:rPr>
      </w:pPr>
      <w:r>
        <w:rPr>
          <w:rFonts w:asciiTheme="minorHAnsi" w:hAnsiTheme="minorHAnsi" w:cstheme="minorHAnsi"/>
        </w:rPr>
        <w:t>Rozpočet státních vysokých škol byl tvořen pouze na základě</w:t>
      </w:r>
      <w:r w:rsidR="00AA510D">
        <w:rPr>
          <w:rFonts w:asciiTheme="minorHAnsi" w:hAnsiTheme="minorHAnsi" w:cstheme="minorHAnsi"/>
        </w:rPr>
        <w:t xml:space="preserve"> skutečnosti čerpání rozpočtu z </w:t>
      </w:r>
      <w:r>
        <w:rPr>
          <w:rFonts w:asciiTheme="minorHAnsi" w:hAnsiTheme="minorHAnsi" w:cstheme="minorHAnsi"/>
        </w:rPr>
        <w:t xml:space="preserve">předchozích let bez přímé souvislosti </w:t>
      </w:r>
      <w:r w:rsidR="0000788F">
        <w:rPr>
          <w:rFonts w:asciiTheme="minorHAnsi" w:hAnsiTheme="minorHAnsi" w:cstheme="minorHAnsi"/>
        </w:rPr>
        <w:t xml:space="preserve">např. s </w:t>
      </w:r>
      <w:r>
        <w:rPr>
          <w:rFonts w:asciiTheme="minorHAnsi" w:hAnsiTheme="minorHAnsi" w:cstheme="minorHAnsi"/>
        </w:rPr>
        <w:t>poč</w:t>
      </w:r>
      <w:r w:rsidR="0000788F">
        <w:rPr>
          <w:rFonts w:asciiTheme="minorHAnsi" w:hAnsiTheme="minorHAnsi" w:cstheme="minorHAnsi"/>
        </w:rPr>
        <w:t>tem</w:t>
      </w:r>
      <w:r>
        <w:rPr>
          <w:rFonts w:asciiTheme="minorHAnsi" w:hAnsiTheme="minorHAnsi" w:cstheme="minorHAnsi"/>
        </w:rPr>
        <w:t xml:space="preserve"> </w:t>
      </w:r>
      <w:r w:rsidR="0000788F">
        <w:rPr>
          <w:rFonts w:asciiTheme="minorHAnsi" w:hAnsiTheme="minorHAnsi" w:cstheme="minorHAnsi"/>
        </w:rPr>
        <w:t>studentů</w:t>
      </w:r>
      <w:r>
        <w:rPr>
          <w:rFonts w:asciiTheme="minorHAnsi" w:hAnsiTheme="minorHAnsi" w:cstheme="minorHAnsi"/>
        </w:rPr>
        <w:t xml:space="preserve">. </w:t>
      </w:r>
      <w:r w:rsidRPr="00831942">
        <w:rPr>
          <w:rFonts w:cstheme="minorHAnsi"/>
          <w:bCs/>
        </w:rPr>
        <w:t>Srovnání vývoje celkových nákladů a počtu studentů PA ČR a UNOB v kontrolovaném období</w:t>
      </w:r>
      <w:r>
        <w:rPr>
          <w:rFonts w:cstheme="minorHAnsi"/>
          <w:bCs/>
        </w:rPr>
        <w:t xml:space="preserve"> je uvedeno v grafu č. 1.</w:t>
      </w:r>
    </w:p>
    <w:p w14:paraId="6319AF5C" w14:textId="1AA165D2" w:rsidR="001664EA" w:rsidRDefault="001664EA" w:rsidP="00B07768">
      <w:pPr>
        <w:spacing w:after="40"/>
        <w:ind w:left="992" w:hanging="992"/>
        <w:rPr>
          <w:rFonts w:asciiTheme="minorHAnsi" w:hAnsiTheme="minorHAnsi" w:cstheme="minorHAnsi"/>
          <w:b/>
          <w:szCs w:val="24"/>
        </w:rPr>
      </w:pPr>
      <w:r w:rsidRPr="00857556">
        <w:rPr>
          <w:rFonts w:asciiTheme="minorHAnsi" w:hAnsiTheme="minorHAnsi" w:cstheme="minorHAnsi"/>
          <w:b/>
          <w:szCs w:val="24"/>
        </w:rPr>
        <w:t>Graf č. 1</w:t>
      </w:r>
      <w:r w:rsidR="00405302">
        <w:rPr>
          <w:rFonts w:asciiTheme="minorHAnsi" w:hAnsiTheme="minorHAnsi" w:cstheme="minorHAnsi"/>
          <w:b/>
          <w:szCs w:val="24"/>
        </w:rPr>
        <w:t>:</w:t>
      </w:r>
      <w:r w:rsidRPr="00857556">
        <w:rPr>
          <w:rFonts w:asciiTheme="minorHAnsi" w:hAnsiTheme="minorHAnsi" w:cstheme="minorHAnsi"/>
          <w:b/>
          <w:szCs w:val="24"/>
        </w:rPr>
        <w:tab/>
      </w:r>
      <w:r w:rsidR="003B110F">
        <w:rPr>
          <w:rFonts w:asciiTheme="minorHAnsi" w:hAnsiTheme="minorHAnsi" w:cstheme="minorHAnsi"/>
          <w:b/>
          <w:szCs w:val="24"/>
        </w:rPr>
        <w:t>Meziroční s</w:t>
      </w:r>
      <w:r w:rsidRPr="00857556">
        <w:rPr>
          <w:rFonts w:asciiTheme="minorHAnsi" w:hAnsiTheme="minorHAnsi" w:cstheme="minorHAnsi"/>
          <w:b/>
          <w:szCs w:val="24"/>
        </w:rPr>
        <w:t>rovnání</w:t>
      </w:r>
      <w:r w:rsidR="001A7CA2">
        <w:rPr>
          <w:rFonts w:asciiTheme="minorHAnsi" w:hAnsiTheme="minorHAnsi" w:cstheme="minorHAnsi"/>
          <w:b/>
          <w:szCs w:val="24"/>
        </w:rPr>
        <w:t xml:space="preserve"> </w:t>
      </w:r>
      <w:r w:rsidRPr="00857556">
        <w:rPr>
          <w:rFonts w:asciiTheme="minorHAnsi" w:hAnsiTheme="minorHAnsi" w:cstheme="minorHAnsi"/>
          <w:b/>
          <w:szCs w:val="24"/>
        </w:rPr>
        <w:t xml:space="preserve">vývoje nákladů </w:t>
      </w:r>
      <w:r w:rsidR="00B339A6">
        <w:rPr>
          <w:rFonts w:asciiTheme="minorHAnsi" w:hAnsiTheme="minorHAnsi" w:cstheme="minorHAnsi"/>
          <w:b/>
          <w:szCs w:val="24"/>
        </w:rPr>
        <w:t xml:space="preserve">na </w:t>
      </w:r>
      <w:r w:rsidR="00981785">
        <w:rPr>
          <w:rFonts w:asciiTheme="minorHAnsi" w:hAnsiTheme="minorHAnsi" w:cstheme="minorHAnsi"/>
          <w:b/>
          <w:szCs w:val="24"/>
        </w:rPr>
        <w:t>činnost státních vysokých škol</w:t>
      </w:r>
      <w:r w:rsidR="00B339A6">
        <w:rPr>
          <w:rFonts w:asciiTheme="minorHAnsi" w:hAnsiTheme="minorHAnsi" w:cstheme="minorHAnsi"/>
          <w:b/>
          <w:szCs w:val="24"/>
        </w:rPr>
        <w:t xml:space="preserve"> </w:t>
      </w:r>
      <w:r w:rsidRPr="00857556">
        <w:rPr>
          <w:rFonts w:asciiTheme="minorHAnsi" w:hAnsiTheme="minorHAnsi" w:cstheme="minorHAnsi"/>
          <w:b/>
          <w:szCs w:val="24"/>
        </w:rPr>
        <w:t xml:space="preserve">a počtu </w:t>
      </w:r>
      <w:r w:rsidR="000A756D" w:rsidRPr="00857556">
        <w:rPr>
          <w:rFonts w:asciiTheme="minorHAnsi" w:hAnsiTheme="minorHAnsi" w:cstheme="minorHAnsi"/>
          <w:b/>
          <w:szCs w:val="24"/>
        </w:rPr>
        <w:t xml:space="preserve">studentů </w:t>
      </w:r>
      <w:r w:rsidRPr="00857556">
        <w:rPr>
          <w:rFonts w:asciiTheme="minorHAnsi" w:hAnsiTheme="minorHAnsi" w:cstheme="minorHAnsi"/>
          <w:b/>
          <w:szCs w:val="24"/>
        </w:rPr>
        <w:t>PA ČR</w:t>
      </w:r>
      <w:r w:rsidR="00B73CEC" w:rsidRPr="00857556">
        <w:rPr>
          <w:rFonts w:asciiTheme="minorHAnsi" w:hAnsiTheme="minorHAnsi" w:cstheme="minorHAnsi"/>
          <w:b/>
          <w:szCs w:val="24"/>
        </w:rPr>
        <w:t xml:space="preserve"> a </w:t>
      </w:r>
      <w:r w:rsidRPr="00857556">
        <w:rPr>
          <w:rFonts w:asciiTheme="minorHAnsi" w:hAnsiTheme="minorHAnsi" w:cstheme="minorHAnsi"/>
          <w:b/>
          <w:szCs w:val="24"/>
        </w:rPr>
        <w:t xml:space="preserve">UNOB </w:t>
      </w:r>
    </w:p>
    <w:p w14:paraId="6B694EAF" w14:textId="0D91DBA4" w:rsidR="00F22779" w:rsidRDefault="002105DF" w:rsidP="00CA641D">
      <w:pPr>
        <w:rPr>
          <w:rFonts w:asciiTheme="minorHAnsi" w:hAnsiTheme="minorHAnsi" w:cstheme="minorHAnsi"/>
          <w:b/>
          <w:szCs w:val="24"/>
        </w:rPr>
      </w:pPr>
      <w:r>
        <w:rPr>
          <w:noProof/>
        </w:rPr>
        <w:drawing>
          <wp:inline distT="0" distB="0" distL="0" distR="0" wp14:anchorId="2FA3E08C" wp14:editId="0994EB41">
            <wp:extent cx="5760720" cy="3196424"/>
            <wp:effectExtent l="0" t="0" r="11430" b="444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1FC8FDA" w14:textId="247901C0" w:rsidR="00CA641D" w:rsidRDefault="00CA641D" w:rsidP="00B07768">
      <w:pPr>
        <w:spacing w:before="40"/>
        <w:ind w:left="567" w:hanging="567"/>
        <w:rPr>
          <w:rFonts w:asciiTheme="minorHAnsi" w:hAnsiTheme="minorHAnsi" w:cstheme="minorHAnsi"/>
          <w:sz w:val="20"/>
          <w:szCs w:val="20"/>
        </w:rPr>
      </w:pPr>
      <w:r w:rsidRPr="00AA510D">
        <w:rPr>
          <w:rFonts w:asciiTheme="minorHAnsi" w:hAnsiTheme="minorHAnsi" w:cstheme="minorHAnsi"/>
          <w:b/>
          <w:sz w:val="20"/>
          <w:szCs w:val="20"/>
        </w:rPr>
        <w:t>Zdroj:</w:t>
      </w:r>
      <w:r w:rsidRPr="00CE0D5A">
        <w:rPr>
          <w:rFonts w:asciiTheme="minorHAnsi" w:hAnsiTheme="minorHAnsi" w:cstheme="minorHAnsi"/>
          <w:sz w:val="20"/>
          <w:szCs w:val="20"/>
        </w:rPr>
        <w:t xml:space="preserve"> </w:t>
      </w:r>
      <w:r w:rsidR="00D00850" w:rsidRPr="00D00850">
        <w:rPr>
          <w:sz w:val="20"/>
          <w:szCs w:val="20"/>
        </w:rPr>
        <w:t>Monitor státní pokladny (</w:t>
      </w:r>
      <w:r w:rsidR="00A90367">
        <w:rPr>
          <w:sz w:val="20"/>
          <w:szCs w:val="20"/>
        </w:rPr>
        <w:t>v</w:t>
      </w:r>
      <w:r w:rsidR="00D00850" w:rsidRPr="00D00850">
        <w:rPr>
          <w:sz w:val="20"/>
          <w:szCs w:val="20"/>
        </w:rPr>
        <w:t>ýkaz zisků a ztráty PA ČR)</w:t>
      </w:r>
      <w:r w:rsidR="00D00850">
        <w:rPr>
          <w:sz w:val="20"/>
          <w:szCs w:val="20"/>
        </w:rPr>
        <w:t>, informace PA ČR</w:t>
      </w:r>
      <w:r w:rsidR="00D00850" w:rsidRPr="00D00850">
        <w:rPr>
          <w:sz w:val="20"/>
          <w:szCs w:val="20"/>
        </w:rPr>
        <w:t xml:space="preserve"> a informace MO (náklady re</w:t>
      </w:r>
      <w:r w:rsidR="00A90367">
        <w:rPr>
          <w:sz w:val="20"/>
          <w:szCs w:val="20"/>
        </w:rPr>
        <w:t>s</w:t>
      </w:r>
      <w:r w:rsidR="00D00850" w:rsidRPr="00D00850">
        <w:rPr>
          <w:sz w:val="20"/>
          <w:szCs w:val="20"/>
        </w:rPr>
        <w:t>ortu zahrnují náklady MO, Armádní Servisní, p. o.</w:t>
      </w:r>
      <w:r w:rsidR="00A90367">
        <w:rPr>
          <w:sz w:val="20"/>
          <w:szCs w:val="20"/>
        </w:rPr>
        <w:t>,</w:t>
      </w:r>
      <w:r w:rsidR="00D00850" w:rsidRPr="00D00850">
        <w:rPr>
          <w:sz w:val="20"/>
          <w:szCs w:val="20"/>
        </w:rPr>
        <w:t xml:space="preserve"> a</w:t>
      </w:r>
      <w:r w:rsidR="003900AB">
        <w:rPr>
          <w:sz w:val="20"/>
          <w:szCs w:val="20"/>
        </w:rPr>
        <w:t> organizace</w:t>
      </w:r>
      <w:r w:rsidR="00D00850" w:rsidRPr="00D00850">
        <w:rPr>
          <w:sz w:val="20"/>
          <w:szCs w:val="20"/>
        </w:rPr>
        <w:t xml:space="preserve"> Vojenská lázeňská a rekreační zařízení, p. o., které se vztahují k vysokoškolskému vzdělávání).</w:t>
      </w:r>
    </w:p>
    <w:p w14:paraId="112776D7" w14:textId="05536F3F" w:rsidR="00C4374B" w:rsidRDefault="00BE6789" w:rsidP="00BF14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0E33EA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grafu</w:t>
      </w:r>
      <w:r w:rsidR="000E33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vyplývá,</w:t>
      </w:r>
      <w:r w:rsidR="000E33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že </w:t>
      </w:r>
      <w:r w:rsidR="00B73CEC">
        <w:rPr>
          <w:rFonts w:asciiTheme="minorHAnsi" w:hAnsiTheme="minorHAnsi" w:cstheme="minorHAnsi"/>
        </w:rPr>
        <w:t>počet studentů UNOB v kontrolovaném období klesl o 1</w:t>
      </w:r>
      <w:r w:rsidR="00C4374B">
        <w:rPr>
          <w:rFonts w:asciiTheme="minorHAnsi" w:hAnsiTheme="minorHAnsi" w:cstheme="minorHAnsi"/>
        </w:rPr>
        <w:t>5</w:t>
      </w:r>
      <w:r w:rsidR="00B73CEC">
        <w:rPr>
          <w:rFonts w:asciiTheme="minorHAnsi" w:hAnsiTheme="minorHAnsi" w:cstheme="minorHAnsi"/>
        </w:rPr>
        <w:t xml:space="preserve"> %</w:t>
      </w:r>
      <w:r>
        <w:rPr>
          <w:rFonts w:asciiTheme="minorHAnsi" w:hAnsiTheme="minorHAnsi" w:cstheme="minorHAnsi"/>
        </w:rPr>
        <w:t xml:space="preserve"> při navýšení </w:t>
      </w:r>
      <w:r w:rsidR="008750A9">
        <w:rPr>
          <w:rFonts w:asciiTheme="minorHAnsi" w:hAnsiTheme="minorHAnsi" w:cstheme="minorHAnsi"/>
        </w:rPr>
        <w:t xml:space="preserve">nákladů </w:t>
      </w:r>
      <w:r w:rsidR="00314C83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e stejném období o 1</w:t>
      </w:r>
      <w:r w:rsidR="00C4374B">
        <w:rPr>
          <w:rFonts w:asciiTheme="minorHAnsi" w:hAnsiTheme="minorHAnsi" w:cstheme="minorHAnsi"/>
        </w:rPr>
        <w:t>88</w:t>
      </w:r>
      <w:r>
        <w:rPr>
          <w:rFonts w:asciiTheme="minorHAnsi" w:hAnsiTheme="minorHAnsi" w:cstheme="minorHAnsi"/>
        </w:rPr>
        <w:t xml:space="preserve"> mil. Kč</w:t>
      </w:r>
      <w:r w:rsidR="0066182D">
        <w:rPr>
          <w:rFonts w:asciiTheme="minorHAnsi" w:hAnsiTheme="minorHAnsi" w:cstheme="minorHAnsi"/>
        </w:rPr>
        <w:t>, tj. nárůst o 15 %</w:t>
      </w:r>
      <w:r>
        <w:rPr>
          <w:rFonts w:asciiTheme="minorHAnsi" w:hAnsiTheme="minorHAnsi" w:cstheme="minorHAnsi"/>
        </w:rPr>
        <w:t>.</w:t>
      </w:r>
      <w:r w:rsidR="00C4374B">
        <w:rPr>
          <w:rFonts w:asciiTheme="minorHAnsi" w:hAnsiTheme="minorHAnsi" w:cstheme="minorHAnsi"/>
        </w:rPr>
        <w:t xml:space="preserve"> </w:t>
      </w:r>
      <w:r w:rsidR="00440311">
        <w:rPr>
          <w:rFonts w:asciiTheme="minorHAnsi" w:hAnsiTheme="minorHAnsi" w:cstheme="minorHAnsi"/>
        </w:rPr>
        <w:t xml:space="preserve">Tento pokles studentů byl na UNOB </w:t>
      </w:r>
      <w:r w:rsidR="00C24B40">
        <w:rPr>
          <w:rFonts w:asciiTheme="minorHAnsi" w:hAnsiTheme="minorHAnsi" w:cstheme="minorHAnsi"/>
        </w:rPr>
        <w:t xml:space="preserve">také </w:t>
      </w:r>
      <w:r w:rsidR="00440311">
        <w:rPr>
          <w:rFonts w:asciiTheme="minorHAnsi" w:hAnsiTheme="minorHAnsi" w:cstheme="minorHAnsi"/>
        </w:rPr>
        <w:t>doprovázen růstem nákladů</w:t>
      </w:r>
      <w:r w:rsidR="00440311" w:rsidRPr="004A3FD7">
        <w:rPr>
          <w:rFonts w:asciiTheme="minorHAnsi" w:hAnsiTheme="minorHAnsi" w:cstheme="minorHAnsi"/>
        </w:rPr>
        <w:t xml:space="preserve"> na studenta o </w:t>
      </w:r>
      <w:r w:rsidR="00440311">
        <w:rPr>
          <w:rFonts w:asciiTheme="minorHAnsi" w:hAnsiTheme="minorHAnsi" w:cstheme="minorHAnsi"/>
        </w:rPr>
        <w:t xml:space="preserve">cca </w:t>
      </w:r>
      <w:r w:rsidR="00440311" w:rsidRPr="004A3FD7">
        <w:rPr>
          <w:rFonts w:asciiTheme="minorHAnsi" w:hAnsiTheme="minorHAnsi" w:cstheme="minorHAnsi"/>
        </w:rPr>
        <w:t>31</w:t>
      </w:r>
      <w:r w:rsidR="00440311">
        <w:rPr>
          <w:rFonts w:asciiTheme="minorHAnsi" w:hAnsiTheme="minorHAnsi" w:cstheme="minorHAnsi"/>
        </w:rPr>
        <w:t xml:space="preserve"> %, což snižuje efektivnost vynaložených peněžních prostředků státu</w:t>
      </w:r>
      <w:r w:rsidR="00ED6212">
        <w:rPr>
          <w:rFonts w:asciiTheme="minorHAnsi" w:hAnsiTheme="minorHAnsi" w:cstheme="minorHAnsi"/>
        </w:rPr>
        <w:t xml:space="preserve"> (</w:t>
      </w:r>
      <w:r w:rsidR="002A1D18">
        <w:rPr>
          <w:rFonts w:asciiTheme="minorHAnsi" w:hAnsiTheme="minorHAnsi" w:cstheme="minorHAnsi"/>
        </w:rPr>
        <w:t xml:space="preserve">viz </w:t>
      </w:r>
      <w:r w:rsidR="00ED6212">
        <w:rPr>
          <w:rFonts w:asciiTheme="minorHAnsi" w:hAnsiTheme="minorHAnsi" w:cstheme="minorHAnsi"/>
        </w:rPr>
        <w:t>tabulka č. 8)</w:t>
      </w:r>
      <w:r w:rsidR="00440311">
        <w:rPr>
          <w:rFonts w:asciiTheme="minorHAnsi" w:hAnsiTheme="minorHAnsi" w:cstheme="minorHAnsi"/>
        </w:rPr>
        <w:t xml:space="preserve">. </w:t>
      </w:r>
      <w:r w:rsidR="00314C83" w:rsidRPr="00E13F92">
        <w:rPr>
          <w:rFonts w:asciiTheme="minorHAnsi" w:hAnsiTheme="minorHAnsi" w:cstheme="minorHAnsi"/>
        </w:rPr>
        <w:t xml:space="preserve">MO se </w:t>
      </w:r>
      <w:r w:rsidR="00671E34" w:rsidRPr="00E13F92">
        <w:rPr>
          <w:rFonts w:asciiTheme="minorHAnsi" w:hAnsiTheme="minorHAnsi" w:cstheme="minorHAnsi"/>
        </w:rPr>
        <w:t xml:space="preserve">negativním </w:t>
      </w:r>
      <w:r w:rsidR="001F2FD9" w:rsidRPr="00E13F92">
        <w:rPr>
          <w:rFonts w:asciiTheme="minorHAnsi" w:hAnsiTheme="minorHAnsi" w:cstheme="minorHAnsi"/>
        </w:rPr>
        <w:t>vývojem počtu studentů</w:t>
      </w:r>
      <w:r w:rsidR="00853358">
        <w:rPr>
          <w:rFonts w:asciiTheme="minorHAnsi" w:hAnsiTheme="minorHAnsi" w:cstheme="minorHAnsi"/>
        </w:rPr>
        <w:t xml:space="preserve"> a </w:t>
      </w:r>
      <w:r w:rsidR="00671E34" w:rsidRPr="00E13F92">
        <w:rPr>
          <w:rFonts w:asciiTheme="minorHAnsi" w:hAnsiTheme="minorHAnsi" w:cstheme="minorHAnsi"/>
        </w:rPr>
        <w:t xml:space="preserve">současným </w:t>
      </w:r>
      <w:r w:rsidR="001F2FD9" w:rsidRPr="00E13F92">
        <w:rPr>
          <w:rFonts w:asciiTheme="minorHAnsi" w:hAnsiTheme="minorHAnsi" w:cstheme="minorHAnsi"/>
        </w:rPr>
        <w:t>zvyšování</w:t>
      </w:r>
      <w:r w:rsidR="00671E34" w:rsidRPr="00E13F92">
        <w:rPr>
          <w:rFonts w:asciiTheme="minorHAnsi" w:hAnsiTheme="minorHAnsi" w:cstheme="minorHAnsi"/>
        </w:rPr>
        <w:t>m</w:t>
      </w:r>
      <w:r w:rsidR="001F2FD9" w:rsidRPr="00E13F92">
        <w:rPr>
          <w:rFonts w:asciiTheme="minorHAnsi" w:hAnsiTheme="minorHAnsi" w:cstheme="minorHAnsi"/>
        </w:rPr>
        <w:t xml:space="preserve"> </w:t>
      </w:r>
      <w:r w:rsidR="008750A9">
        <w:rPr>
          <w:rFonts w:asciiTheme="minorHAnsi" w:hAnsiTheme="minorHAnsi" w:cstheme="minorHAnsi"/>
        </w:rPr>
        <w:t>nákladů</w:t>
      </w:r>
      <w:r w:rsidR="008750A9" w:rsidRPr="00E13F92">
        <w:rPr>
          <w:rFonts w:asciiTheme="minorHAnsi" w:hAnsiTheme="minorHAnsi" w:cstheme="minorHAnsi"/>
        </w:rPr>
        <w:t xml:space="preserve"> </w:t>
      </w:r>
      <w:r w:rsidR="00671E34" w:rsidRPr="00E13F92">
        <w:rPr>
          <w:rFonts w:asciiTheme="minorHAnsi" w:hAnsiTheme="minorHAnsi" w:cstheme="minorHAnsi"/>
        </w:rPr>
        <w:t>spojený</w:t>
      </w:r>
      <w:r w:rsidR="00DE7A6E">
        <w:rPr>
          <w:rFonts w:asciiTheme="minorHAnsi" w:hAnsiTheme="minorHAnsi" w:cstheme="minorHAnsi"/>
        </w:rPr>
        <w:t>m</w:t>
      </w:r>
      <w:r w:rsidR="00671E34" w:rsidRPr="00E13F92">
        <w:rPr>
          <w:rFonts w:asciiTheme="minorHAnsi" w:hAnsiTheme="minorHAnsi" w:cstheme="minorHAnsi"/>
        </w:rPr>
        <w:t xml:space="preserve"> mimo jiné </w:t>
      </w:r>
      <w:r w:rsidR="0040668A">
        <w:rPr>
          <w:rFonts w:asciiTheme="minorHAnsi" w:hAnsiTheme="minorHAnsi" w:cstheme="minorHAnsi"/>
        </w:rPr>
        <w:t xml:space="preserve">i </w:t>
      </w:r>
      <w:r w:rsidR="00671E34" w:rsidRPr="00E13F92">
        <w:rPr>
          <w:rFonts w:asciiTheme="minorHAnsi" w:hAnsiTheme="minorHAnsi" w:cstheme="minorHAnsi"/>
        </w:rPr>
        <w:t xml:space="preserve">s růstem počtu zaměstnanců </w:t>
      </w:r>
      <w:r w:rsidR="00BE2A4F">
        <w:rPr>
          <w:rFonts w:cstheme="minorHAnsi"/>
          <w:bCs/>
        </w:rPr>
        <w:t>(viz tabulka č</w:t>
      </w:r>
      <w:r w:rsidR="00BE2A4F" w:rsidRPr="0082037A">
        <w:rPr>
          <w:rFonts w:cstheme="minorHAnsi"/>
          <w:bCs/>
        </w:rPr>
        <w:t>.</w:t>
      </w:r>
      <w:r w:rsidR="00BE2A4F">
        <w:rPr>
          <w:rFonts w:cstheme="minorHAnsi"/>
          <w:bCs/>
        </w:rPr>
        <w:t xml:space="preserve"> 9) </w:t>
      </w:r>
      <w:r w:rsidR="00314C83" w:rsidRPr="00E13F92">
        <w:rPr>
          <w:rFonts w:asciiTheme="minorHAnsi" w:hAnsiTheme="minorHAnsi" w:cstheme="minorHAnsi"/>
        </w:rPr>
        <w:t>nezabývalo.</w:t>
      </w:r>
      <w:r w:rsidR="007C396E">
        <w:rPr>
          <w:rFonts w:asciiTheme="minorHAnsi" w:hAnsiTheme="minorHAnsi" w:cstheme="minorHAnsi"/>
        </w:rPr>
        <w:t xml:space="preserve"> </w:t>
      </w:r>
    </w:p>
    <w:p w14:paraId="13C682D6" w14:textId="48BA8CED" w:rsidR="00262577" w:rsidRDefault="00262577" w:rsidP="00BF14B0">
      <w:r>
        <w:t xml:space="preserve">Podíl počtu pedagogických </w:t>
      </w:r>
      <w:r w:rsidR="001154BB">
        <w:t>zaměstnanců</w:t>
      </w:r>
      <w:r>
        <w:t xml:space="preserve"> </w:t>
      </w:r>
      <w:r w:rsidR="006C4160">
        <w:t>k</w:t>
      </w:r>
      <w:r>
        <w:t xml:space="preserve"> jejich celkovém</w:t>
      </w:r>
      <w:r w:rsidR="0000166E">
        <w:t>u</w:t>
      </w:r>
      <w:r>
        <w:t xml:space="preserve"> počtu </w:t>
      </w:r>
      <w:r w:rsidR="00AC06E3">
        <w:t xml:space="preserve">činil </w:t>
      </w:r>
      <w:r w:rsidR="002E4211">
        <w:t>v </w:t>
      </w:r>
      <w:r w:rsidR="002E4211" w:rsidRPr="00C00CF5">
        <w:t xml:space="preserve">období </w:t>
      </w:r>
      <w:r w:rsidR="00CA71D1" w:rsidRPr="00C00CF5">
        <w:t xml:space="preserve">2016 až 2019 </w:t>
      </w:r>
      <w:r w:rsidR="00AC06E3" w:rsidRPr="00C00CF5">
        <w:t>průměrně na PA ČR 3</w:t>
      </w:r>
      <w:r w:rsidR="00745426" w:rsidRPr="00C00CF5">
        <w:t>1</w:t>
      </w:r>
      <w:r w:rsidR="00AC06E3" w:rsidRPr="00C00CF5">
        <w:t xml:space="preserve"> %, na UNOB to bylo </w:t>
      </w:r>
      <w:r w:rsidR="00DD04CA" w:rsidRPr="00C00CF5">
        <w:t>5</w:t>
      </w:r>
      <w:r w:rsidR="00CA71D1" w:rsidRPr="00C00CF5">
        <w:t>6</w:t>
      </w:r>
      <w:r w:rsidR="00AC06E3" w:rsidRPr="00C00CF5">
        <w:t xml:space="preserve"> %.</w:t>
      </w:r>
      <w:r w:rsidR="00AC06E3">
        <w:t xml:space="preserve"> </w:t>
      </w:r>
      <w:r w:rsidR="00E37D28">
        <w:t xml:space="preserve">Počet studentů na </w:t>
      </w:r>
      <w:r w:rsidR="008E4CDF" w:rsidRPr="00831942">
        <w:t xml:space="preserve">pedagoga činil na PA ČR průměrně </w:t>
      </w:r>
      <w:r w:rsidR="008E4CDF" w:rsidRPr="00C00CF5">
        <w:t>2</w:t>
      </w:r>
      <w:r w:rsidR="00B4790E" w:rsidRPr="00C00CF5">
        <w:t>5</w:t>
      </w:r>
      <w:r w:rsidR="008E4CDF" w:rsidRPr="00831942">
        <w:t xml:space="preserve"> studentů, u UNOB to byli </w:t>
      </w:r>
      <w:r w:rsidR="00234DBE">
        <w:t>čtyři</w:t>
      </w:r>
      <w:r w:rsidR="00234DBE" w:rsidRPr="00831942">
        <w:t xml:space="preserve"> </w:t>
      </w:r>
      <w:r w:rsidR="008E4CDF" w:rsidRPr="00831942">
        <w:t>studenti.</w:t>
      </w:r>
      <w:r w:rsidR="008E4CDF">
        <w:t xml:space="preserve"> </w:t>
      </w:r>
      <w:r w:rsidR="00440311">
        <w:t>Oba tyto podíly ovlivnily</w:t>
      </w:r>
      <w:r w:rsidR="00393DD0">
        <w:t xml:space="preserve"> </w:t>
      </w:r>
      <w:r w:rsidR="00440311">
        <w:t>vyš</w:t>
      </w:r>
      <w:r w:rsidR="0034720A">
        <w:t>š</w:t>
      </w:r>
      <w:r w:rsidR="00440311">
        <w:t>í</w:t>
      </w:r>
      <w:r w:rsidR="00393DD0">
        <w:t xml:space="preserve"> </w:t>
      </w:r>
      <w:r w:rsidR="00AB2E59">
        <w:t>náklad</w:t>
      </w:r>
      <w:r w:rsidR="00440311">
        <w:t>y</w:t>
      </w:r>
      <w:r w:rsidR="00AB2E59">
        <w:t xml:space="preserve"> na studenta</w:t>
      </w:r>
      <w:r w:rsidR="00682864">
        <w:t xml:space="preserve"> UNOB</w:t>
      </w:r>
      <w:r w:rsidR="00AB2E59">
        <w:t>.</w:t>
      </w:r>
    </w:p>
    <w:p w14:paraId="41960ECE" w14:textId="278E3A1B" w:rsidR="00053109" w:rsidRDefault="00CB5D0B" w:rsidP="00180376">
      <w:pPr>
        <w:pStyle w:val="Nzevtabulka"/>
        <w:keepNext/>
        <w:numPr>
          <w:ilvl w:val="0"/>
          <w:numId w:val="0"/>
        </w:numPr>
        <w:spacing w:after="40"/>
      </w:pPr>
      <w:r>
        <w:t>T</w:t>
      </w:r>
      <w:r w:rsidR="00AC06E3" w:rsidRPr="00054491">
        <w:t xml:space="preserve">abulka č. </w:t>
      </w:r>
      <w:r w:rsidR="00F75B0A">
        <w:t>9</w:t>
      </w:r>
      <w:r w:rsidR="00AC06E3" w:rsidRPr="00054491">
        <w:t>:</w:t>
      </w:r>
      <w:r w:rsidR="00AC06E3">
        <w:t xml:space="preserve"> </w:t>
      </w:r>
      <w:r w:rsidR="00053109" w:rsidRPr="0034720A">
        <w:t>P</w:t>
      </w:r>
      <w:r w:rsidR="005047FD" w:rsidRPr="0034720A">
        <w:t>odíl</w:t>
      </w:r>
      <w:r w:rsidR="00053109" w:rsidRPr="0034720A">
        <w:t xml:space="preserve"> počtu </w:t>
      </w:r>
      <w:r w:rsidR="008E7025" w:rsidRPr="0034720A">
        <w:t xml:space="preserve">pedagogických </w:t>
      </w:r>
      <w:r w:rsidR="00053109" w:rsidRPr="0034720A">
        <w:t xml:space="preserve">zaměstnanců </w:t>
      </w:r>
      <w:r w:rsidR="005047FD" w:rsidRPr="0034720A">
        <w:t>na počet studentů PA ČR</w:t>
      </w:r>
      <w:r w:rsidR="007D2CE7" w:rsidRPr="0034720A">
        <w:t xml:space="preserve"> a </w:t>
      </w:r>
      <w:r w:rsidR="00053109" w:rsidRPr="0034720A">
        <w:t>UNOB</w:t>
      </w: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801"/>
        <w:gridCol w:w="714"/>
        <w:gridCol w:w="892"/>
        <w:gridCol w:w="852"/>
        <w:gridCol w:w="892"/>
        <w:gridCol w:w="852"/>
        <w:gridCol w:w="638"/>
        <w:gridCol w:w="892"/>
        <w:gridCol w:w="847"/>
        <w:gridCol w:w="925"/>
      </w:tblGrid>
      <w:tr w:rsidR="00200506" w:rsidRPr="00831942" w14:paraId="2B28302B" w14:textId="77777777" w:rsidTr="00CB717F">
        <w:trPr>
          <w:trHeight w:val="76"/>
        </w:trPr>
        <w:tc>
          <w:tcPr>
            <w:tcW w:w="419" w:type="pct"/>
            <w:vMerge w:val="restart"/>
            <w:shd w:val="clear" w:color="000000" w:fill="E5F1FF"/>
            <w:noWrap/>
            <w:vAlign w:val="center"/>
            <w:hideMark/>
          </w:tcPr>
          <w:p w14:paraId="34C2BE1E" w14:textId="77777777" w:rsidR="00DD04CA" w:rsidRPr="00831942" w:rsidRDefault="00DD04CA" w:rsidP="005F2A9F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Rok</w:t>
            </w:r>
          </w:p>
        </w:tc>
        <w:tc>
          <w:tcPr>
            <w:tcW w:w="2290" w:type="pct"/>
            <w:gridSpan w:val="5"/>
            <w:shd w:val="clear" w:color="000000" w:fill="E5F1FF"/>
            <w:vAlign w:val="center"/>
            <w:hideMark/>
          </w:tcPr>
          <w:p w14:paraId="2E04511A" w14:textId="77777777" w:rsidR="00DD04CA" w:rsidRPr="00831942" w:rsidRDefault="00DD04CA" w:rsidP="00180376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PA ČR</w:t>
            </w:r>
          </w:p>
        </w:tc>
        <w:tc>
          <w:tcPr>
            <w:tcW w:w="2291" w:type="pct"/>
            <w:gridSpan w:val="5"/>
            <w:shd w:val="clear" w:color="000000" w:fill="E5F1FF"/>
            <w:noWrap/>
            <w:vAlign w:val="center"/>
            <w:hideMark/>
          </w:tcPr>
          <w:p w14:paraId="76A821DE" w14:textId="77777777" w:rsidR="00DD04CA" w:rsidRPr="00831942" w:rsidRDefault="00DD04CA" w:rsidP="00180376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UNOB</w:t>
            </w:r>
          </w:p>
        </w:tc>
      </w:tr>
      <w:tr w:rsidR="0048640B" w:rsidRPr="00831942" w14:paraId="77B75874" w14:textId="77777777" w:rsidTr="00CB717F">
        <w:trPr>
          <w:trHeight w:val="1370"/>
        </w:trPr>
        <w:tc>
          <w:tcPr>
            <w:tcW w:w="419" w:type="pct"/>
            <w:vMerge/>
            <w:vAlign w:val="center"/>
            <w:hideMark/>
          </w:tcPr>
          <w:p w14:paraId="3FCCB877" w14:textId="77777777" w:rsidR="00DD04CA" w:rsidRPr="00831942" w:rsidRDefault="00DD04CA" w:rsidP="005F2A9F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" w:type="pct"/>
            <w:shd w:val="clear" w:color="000000" w:fill="E5F1FF"/>
            <w:textDirection w:val="btLr"/>
            <w:vAlign w:val="center"/>
            <w:hideMark/>
          </w:tcPr>
          <w:p w14:paraId="2BCD74B7" w14:textId="77777777" w:rsidR="00DD04CA" w:rsidRPr="00831942" w:rsidRDefault="00DD04CA" w:rsidP="00180376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Počet zaměstnanců celkem</w:t>
            </w:r>
          </w:p>
        </w:tc>
        <w:tc>
          <w:tcPr>
            <w:tcW w:w="394" w:type="pct"/>
            <w:shd w:val="clear" w:color="000000" w:fill="E5F1FF"/>
            <w:textDirection w:val="btLr"/>
            <w:vAlign w:val="center"/>
            <w:hideMark/>
          </w:tcPr>
          <w:p w14:paraId="04034EE6" w14:textId="56EFD633" w:rsidR="00DD04CA" w:rsidRPr="00831942" w:rsidRDefault="002A1D18" w:rsidP="00180376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sym w:font="Symbol" w:char="F02D"/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DD04CA" w:rsidRPr="0083194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z toho pedagogických</w:t>
            </w:r>
          </w:p>
        </w:tc>
        <w:tc>
          <w:tcPr>
            <w:tcW w:w="491" w:type="pct"/>
            <w:shd w:val="clear" w:color="000000" w:fill="E5F1FF"/>
            <w:textDirection w:val="btLr"/>
            <w:vAlign w:val="center"/>
            <w:hideMark/>
          </w:tcPr>
          <w:p w14:paraId="6D6077F8" w14:textId="03821E7E" w:rsidR="00ED6212" w:rsidRDefault="00ED6212" w:rsidP="00180376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0DF68CCC" w14:textId="5DBB16BA" w:rsidR="00DD04CA" w:rsidRPr="00831942" w:rsidRDefault="002A1D18" w:rsidP="00180376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sym w:font="Symbol" w:char="F02D"/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ED621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jejich podíl</w:t>
            </w:r>
            <w:r w:rsidR="00DD04CA" w:rsidRPr="0083194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0" w:type="pct"/>
            <w:shd w:val="clear" w:color="000000" w:fill="E5F1FF"/>
            <w:textDirection w:val="btLr"/>
            <w:vAlign w:val="center"/>
            <w:hideMark/>
          </w:tcPr>
          <w:p w14:paraId="46842D46" w14:textId="77777777" w:rsidR="00DD04CA" w:rsidRPr="00831942" w:rsidRDefault="00DD04CA" w:rsidP="00180376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Počet studentů celkem</w:t>
            </w:r>
          </w:p>
        </w:tc>
        <w:tc>
          <w:tcPr>
            <w:tcW w:w="492" w:type="pct"/>
            <w:shd w:val="clear" w:color="000000" w:fill="E5F1FF"/>
            <w:textDirection w:val="btLr"/>
            <w:vAlign w:val="center"/>
            <w:hideMark/>
          </w:tcPr>
          <w:p w14:paraId="57C9B4FD" w14:textId="77777777" w:rsidR="00DD04CA" w:rsidRPr="00831942" w:rsidRDefault="00DD04CA" w:rsidP="00180376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Počet studentů na pedagoga </w:t>
            </w:r>
          </w:p>
        </w:tc>
        <w:tc>
          <w:tcPr>
            <w:tcW w:w="470" w:type="pct"/>
            <w:shd w:val="clear" w:color="000000" w:fill="E5F1FF"/>
            <w:textDirection w:val="btLr"/>
            <w:vAlign w:val="center"/>
            <w:hideMark/>
          </w:tcPr>
          <w:p w14:paraId="70313097" w14:textId="77777777" w:rsidR="00DD04CA" w:rsidRPr="00831942" w:rsidRDefault="00DD04CA" w:rsidP="00180376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Počet zaměstnanců celkem</w:t>
            </w:r>
          </w:p>
        </w:tc>
        <w:tc>
          <w:tcPr>
            <w:tcW w:w="352" w:type="pct"/>
            <w:shd w:val="clear" w:color="000000" w:fill="E5F1FF"/>
            <w:textDirection w:val="btLr"/>
            <w:vAlign w:val="center"/>
            <w:hideMark/>
          </w:tcPr>
          <w:p w14:paraId="2A21F32A" w14:textId="086B8D34" w:rsidR="00DD04CA" w:rsidRPr="00831942" w:rsidRDefault="00806D52" w:rsidP="00180376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sym w:font="Symbol" w:char="F02D"/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DD04CA" w:rsidRPr="0083194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z toho pedagogických</w:t>
            </w:r>
          </w:p>
        </w:tc>
        <w:tc>
          <w:tcPr>
            <w:tcW w:w="491" w:type="pct"/>
            <w:shd w:val="clear" w:color="000000" w:fill="E5F1FF"/>
            <w:textDirection w:val="btLr"/>
            <w:vAlign w:val="center"/>
            <w:hideMark/>
          </w:tcPr>
          <w:p w14:paraId="7B174586" w14:textId="31D86825" w:rsidR="00DD04CA" w:rsidRDefault="00DD04CA" w:rsidP="00180376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737A51B8" w14:textId="7B38CF04" w:rsidR="00ED6212" w:rsidRPr="00831942" w:rsidRDefault="00806D52" w:rsidP="00180376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sym w:font="Symbol" w:char="F02D"/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ED621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jejich podíl</w:t>
            </w:r>
          </w:p>
        </w:tc>
        <w:tc>
          <w:tcPr>
            <w:tcW w:w="467" w:type="pct"/>
            <w:shd w:val="clear" w:color="000000" w:fill="E5F1FF"/>
            <w:textDirection w:val="btLr"/>
            <w:vAlign w:val="center"/>
            <w:hideMark/>
          </w:tcPr>
          <w:p w14:paraId="369DFA47" w14:textId="77777777" w:rsidR="00DD04CA" w:rsidRPr="00831942" w:rsidRDefault="00DD04CA" w:rsidP="00180376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Počet studentů celkem</w:t>
            </w:r>
          </w:p>
        </w:tc>
        <w:tc>
          <w:tcPr>
            <w:tcW w:w="510" w:type="pct"/>
            <w:shd w:val="clear" w:color="000000" w:fill="E5F1FF"/>
            <w:textDirection w:val="btLr"/>
            <w:vAlign w:val="center"/>
            <w:hideMark/>
          </w:tcPr>
          <w:p w14:paraId="65974823" w14:textId="77777777" w:rsidR="00DD04CA" w:rsidRPr="00831942" w:rsidRDefault="00DD04CA" w:rsidP="00180376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Počet studentů na pedagoga</w:t>
            </w:r>
          </w:p>
        </w:tc>
      </w:tr>
      <w:tr w:rsidR="00200506" w:rsidRPr="00831942" w14:paraId="1B26B083" w14:textId="77777777" w:rsidTr="00CB717F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14:paraId="4FC95001" w14:textId="77777777" w:rsidR="00DD04CA" w:rsidRPr="00831942" w:rsidRDefault="00DD04CA" w:rsidP="005F2A9F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2016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14:paraId="790F058F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073A34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50553EED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715BED3A" w14:textId="77777777" w:rsidR="00DD04CA" w:rsidRPr="00831942" w:rsidRDefault="00073A34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31</w:t>
            </w:r>
            <w:r w:rsidR="005F21B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D04CA"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EA8AFD2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2 3</w:t>
            </w:r>
            <w:r w:rsidR="00B4790E">
              <w:rPr>
                <w:rFonts w:asciiTheme="minorHAnsi" w:eastAsia="Times New Roman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586DFEE7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ED8C840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807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2D86FB0B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465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2E59ACE3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58</w:t>
            </w:r>
            <w:r w:rsidR="005F21B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14A5CC7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1 837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5CD60FBD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</w:tr>
      <w:tr w:rsidR="00200506" w:rsidRPr="00831942" w14:paraId="244CC784" w14:textId="77777777" w:rsidTr="00CB717F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14:paraId="364E45D1" w14:textId="77777777" w:rsidR="00DD04CA" w:rsidRPr="00831942" w:rsidRDefault="00DD04CA" w:rsidP="005F2A9F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2017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14:paraId="73D92D8D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31</w:t>
            </w:r>
            <w:r w:rsidR="00073A34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DB57720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65A7FF08" w14:textId="77777777" w:rsidR="00DD04CA" w:rsidRPr="00831942" w:rsidRDefault="00073A34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31</w:t>
            </w:r>
            <w:r w:rsidR="005F21B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D04CA"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78EFD236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 </w:t>
            </w:r>
            <w:r w:rsidR="00B4790E">
              <w:rPr>
                <w:rFonts w:asciiTheme="minorHAnsi" w:eastAsia="Times New Roman" w:hAnsiTheme="minorHAnsi" w:cstheme="minorHAnsi"/>
                <w:sz w:val="20"/>
                <w:szCs w:val="20"/>
              </w:rPr>
              <w:t>487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3604892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  <w:r w:rsidR="00B4790E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3FCCD2B2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804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2FBBBF59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459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50A87426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57</w:t>
            </w:r>
            <w:r w:rsidR="005F21B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97CC632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1 728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72CC57AF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</w:tr>
      <w:tr w:rsidR="00200506" w:rsidRPr="00831942" w14:paraId="112BE144" w14:textId="77777777" w:rsidTr="00CB717F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  <w:hideMark/>
          </w:tcPr>
          <w:p w14:paraId="308EDF02" w14:textId="77777777" w:rsidR="00DD04CA" w:rsidRPr="00831942" w:rsidRDefault="00DD04CA" w:rsidP="005F2A9F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2018</w:t>
            </w:r>
          </w:p>
        </w:tc>
        <w:tc>
          <w:tcPr>
            <w:tcW w:w="442" w:type="pct"/>
            <w:shd w:val="clear" w:color="auto" w:fill="auto"/>
            <w:vAlign w:val="center"/>
            <w:hideMark/>
          </w:tcPr>
          <w:p w14:paraId="740E1136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31</w:t>
            </w:r>
            <w:r w:rsidR="00073A34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5AB73B61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  <w:r w:rsidR="00073A34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1" w:type="pct"/>
            <w:shd w:val="clear" w:color="auto" w:fill="auto"/>
            <w:vAlign w:val="center"/>
            <w:hideMark/>
          </w:tcPr>
          <w:p w14:paraId="426DCE55" w14:textId="77777777" w:rsidR="00DD04CA" w:rsidRPr="00831942" w:rsidRDefault="00073A34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31</w:t>
            </w:r>
            <w:r w:rsidR="005F21B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D04CA"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09916168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 </w:t>
            </w:r>
            <w:r w:rsidR="00B4790E">
              <w:rPr>
                <w:rFonts w:asciiTheme="minorHAnsi" w:eastAsia="Times New Roman" w:hAnsiTheme="minorHAnsi" w:cstheme="minorHAnsi"/>
                <w:sz w:val="20"/>
                <w:szCs w:val="20"/>
              </w:rPr>
              <w:t>349</w:t>
            </w:r>
          </w:p>
        </w:tc>
        <w:tc>
          <w:tcPr>
            <w:tcW w:w="492" w:type="pct"/>
            <w:shd w:val="clear" w:color="auto" w:fill="auto"/>
            <w:noWrap/>
            <w:vAlign w:val="center"/>
            <w:hideMark/>
          </w:tcPr>
          <w:p w14:paraId="2952940C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  <w:r w:rsidR="00B4790E"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70" w:type="pct"/>
            <w:shd w:val="clear" w:color="auto" w:fill="auto"/>
            <w:noWrap/>
            <w:vAlign w:val="center"/>
            <w:hideMark/>
          </w:tcPr>
          <w:p w14:paraId="60064BDA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830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14:paraId="6C98CC93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467</w:t>
            </w:r>
          </w:p>
        </w:tc>
        <w:tc>
          <w:tcPr>
            <w:tcW w:w="491" w:type="pct"/>
            <w:shd w:val="clear" w:color="auto" w:fill="auto"/>
            <w:noWrap/>
            <w:vAlign w:val="center"/>
            <w:hideMark/>
          </w:tcPr>
          <w:p w14:paraId="3CED1033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56</w:t>
            </w:r>
            <w:r w:rsidR="005F21B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D934479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1 558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14:paraId="45B6CEE4" w14:textId="77777777" w:rsidR="00DD04CA" w:rsidRPr="00831942" w:rsidRDefault="00DD04CA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31942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</w:tr>
      <w:tr w:rsidR="00CA71D1" w:rsidRPr="00831942" w14:paraId="73EF3EE0" w14:textId="77777777" w:rsidTr="00CB717F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14:paraId="5B6D9869" w14:textId="77777777" w:rsidR="00CA71D1" w:rsidRPr="00C00CF5" w:rsidRDefault="00CA71D1" w:rsidP="005F2A9F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0CF5">
              <w:rPr>
                <w:rFonts w:asciiTheme="minorHAnsi" w:eastAsia="Times New Roman" w:hAnsiTheme="minorHAnsi" w:cstheme="minorHAnsi"/>
                <w:sz w:val="20"/>
                <w:szCs w:val="20"/>
              </w:rPr>
              <w:t>2019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167CE284" w14:textId="77777777" w:rsidR="00CA71D1" w:rsidRPr="00C00CF5" w:rsidRDefault="00073A34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0CF5">
              <w:rPr>
                <w:rFonts w:asciiTheme="minorHAnsi" w:eastAsia="Times New Roman" w:hAnsiTheme="minorHAnsi" w:cstheme="minorHAnsi"/>
                <w:sz w:val="20"/>
                <w:szCs w:val="20"/>
              </w:rPr>
              <w:t>305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00AAAC8" w14:textId="77777777" w:rsidR="00CA71D1" w:rsidRPr="00C00CF5" w:rsidRDefault="00073A34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0CF5">
              <w:rPr>
                <w:rFonts w:asciiTheme="minorHAnsi" w:eastAsia="Times New Roman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46A9C6" w14:textId="77777777" w:rsidR="00CA71D1" w:rsidRPr="00C00CF5" w:rsidRDefault="00073A34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0CF5">
              <w:rPr>
                <w:rFonts w:asciiTheme="minorHAnsi" w:eastAsia="Times New Roman" w:hAnsiTheme="minorHAnsi" w:cstheme="minorHAnsi"/>
                <w:sz w:val="20"/>
                <w:szCs w:val="20"/>
              </w:rPr>
              <w:t>30 %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65EBF914" w14:textId="77777777" w:rsidR="00CA71D1" w:rsidRPr="00C00CF5" w:rsidRDefault="00B4790E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0CF5">
              <w:rPr>
                <w:rFonts w:asciiTheme="minorHAnsi" w:eastAsia="Times New Roman" w:hAnsiTheme="minorHAnsi" w:cstheme="minorHAnsi"/>
                <w:sz w:val="20"/>
                <w:szCs w:val="20"/>
              </w:rPr>
              <w:t>2 381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 w14:paraId="28BF608A" w14:textId="77777777" w:rsidR="00CA71D1" w:rsidRPr="00C00CF5" w:rsidRDefault="00B4790E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0CF5">
              <w:rPr>
                <w:rFonts w:asciiTheme="minorHAnsi" w:eastAsia="Times New Roman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14:paraId="50E753AA" w14:textId="77777777" w:rsidR="00CA71D1" w:rsidRPr="00C00CF5" w:rsidRDefault="00CA71D1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0CF5">
              <w:rPr>
                <w:rFonts w:asciiTheme="minorHAnsi" w:eastAsia="Times New Roman" w:hAnsiTheme="minorHAnsi" w:cstheme="minorHAnsi"/>
                <w:sz w:val="20"/>
                <w:szCs w:val="20"/>
              </w:rPr>
              <w:t>856</w:t>
            </w:r>
          </w:p>
        </w:tc>
        <w:tc>
          <w:tcPr>
            <w:tcW w:w="352" w:type="pct"/>
            <w:shd w:val="clear" w:color="auto" w:fill="auto"/>
            <w:noWrap/>
            <w:vAlign w:val="center"/>
          </w:tcPr>
          <w:p w14:paraId="5581902D" w14:textId="77777777" w:rsidR="00CA71D1" w:rsidRPr="00C00CF5" w:rsidRDefault="00CA71D1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0CF5">
              <w:rPr>
                <w:rFonts w:asciiTheme="minorHAnsi" w:eastAsia="Times New Roman" w:hAnsiTheme="minorHAnsi" w:cstheme="minorHAnsi"/>
                <w:sz w:val="20"/>
                <w:szCs w:val="20"/>
              </w:rPr>
              <w:t>448</w:t>
            </w:r>
          </w:p>
        </w:tc>
        <w:tc>
          <w:tcPr>
            <w:tcW w:w="491" w:type="pct"/>
            <w:shd w:val="clear" w:color="auto" w:fill="auto"/>
            <w:noWrap/>
            <w:vAlign w:val="center"/>
          </w:tcPr>
          <w:p w14:paraId="6684EC02" w14:textId="77777777" w:rsidR="00CA71D1" w:rsidRPr="00C00CF5" w:rsidRDefault="00CA71D1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0CF5">
              <w:rPr>
                <w:rFonts w:asciiTheme="minorHAnsi" w:eastAsia="Times New Roman" w:hAnsiTheme="minorHAnsi" w:cstheme="minorHAnsi"/>
                <w:sz w:val="20"/>
                <w:szCs w:val="20"/>
              </w:rPr>
              <w:t>52 %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45EE484" w14:textId="77777777" w:rsidR="00CA71D1" w:rsidRPr="00C00CF5" w:rsidRDefault="00CA71D1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0CF5">
              <w:rPr>
                <w:rFonts w:asciiTheme="minorHAnsi" w:eastAsia="Times New Roman" w:hAnsiTheme="minorHAnsi" w:cstheme="minorHAnsi"/>
                <w:sz w:val="20"/>
                <w:szCs w:val="20"/>
              </w:rPr>
              <w:t>1 533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77162FD" w14:textId="77777777" w:rsidR="00CA71D1" w:rsidRPr="00C00CF5" w:rsidRDefault="00CA71D1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00CF5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</w:tr>
      <w:tr w:rsidR="0048640B" w:rsidRPr="00831942" w14:paraId="26FB9F19" w14:textId="77777777" w:rsidTr="00CB717F">
        <w:trPr>
          <w:trHeight w:val="227"/>
        </w:trPr>
        <w:tc>
          <w:tcPr>
            <w:tcW w:w="419" w:type="pct"/>
            <w:shd w:val="clear" w:color="auto" w:fill="auto"/>
            <w:noWrap/>
            <w:vAlign w:val="center"/>
          </w:tcPr>
          <w:p w14:paraId="3C4C15B4" w14:textId="77777777" w:rsidR="0048640B" w:rsidRPr="00713CAF" w:rsidRDefault="0048640B" w:rsidP="005F2A9F">
            <w:pPr>
              <w:keepNext/>
              <w:spacing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Průměr</w:t>
            </w:r>
          </w:p>
        </w:tc>
        <w:tc>
          <w:tcPr>
            <w:tcW w:w="1328" w:type="pct"/>
            <w:gridSpan w:val="3"/>
            <w:shd w:val="clear" w:color="auto" w:fill="auto"/>
            <w:vAlign w:val="center"/>
          </w:tcPr>
          <w:p w14:paraId="4DE97DD2" w14:textId="77777777" w:rsidR="0048640B" w:rsidRPr="00713CAF" w:rsidRDefault="0048640B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31 %</w:t>
            </w:r>
          </w:p>
        </w:tc>
        <w:tc>
          <w:tcPr>
            <w:tcW w:w="962" w:type="pct"/>
            <w:gridSpan w:val="2"/>
            <w:shd w:val="clear" w:color="auto" w:fill="auto"/>
            <w:noWrap/>
            <w:vAlign w:val="center"/>
          </w:tcPr>
          <w:p w14:paraId="118CBC8E" w14:textId="77777777" w:rsidR="0048640B" w:rsidRPr="00713CAF" w:rsidRDefault="0048640B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1314" w:type="pct"/>
            <w:gridSpan w:val="3"/>
            <w:shd w:val="clear" w:color="auto" w:fill="auto"/>
            <w:noWrap/>
            <w:vAlign w:val="center"/>
          </w:tcPr>
          <w:p w14:paraId="5F2A5034" w14:textId="77777777" w:rsidR="0048640B" w:rsidRPr="00713CAF" w:rsidRDefault="0048640B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56 %</w:t>
            </w:r>
          </w:p>
        </w:tc>
        <w:tc>
          <w:tcPr>
            <w:tcW w:w="977" w:type="pct"/>
            <w:gridSpan w:val="2"/>
            <w:shd w:val="clear" w:color="auto" w:fill="auto"/>
            <w:noWrap/>
            <w:vAlign w:val="center"/>
          </w:tcPr>
          <w:p w14:paraId="7553B2B4" w14:textId="77777777" w:rsidR="0048640B" w:rsidRPr="00713CAF" w:rsidRDefault="0048640B" w:rsidP="005F2A9F">
            <w:pPr>
              <w:keepNext/>
              <w:spacing w:after="0"/>
              <w:ind w:left="0" w:right="57" w:firstLine="0"/>
              <w:jc w:val="righ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713CA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4</w:t>
            </w:r>
          </w:p>
        </w:tc>
      </w:tr>
    </w:tbl>
    <w:p w14:paraId="1E1357BA" w14:textId="5144E7C2" w:rsidR="00633F4A" w:rsidRDefault="00633F4A" w:rsidP="005F2A9F">
      <w:pPr>
        <w:spacing w:before="40"/>
        <w:rPr>
          <w:rFonts w:asciiTheme="minorHAnsi" w:hAnsiTheme="minorHAnsi" w:cstheme="minorHAnsi"/>
          <w:sz w:val="20"/>
          <w:szCs w:val="20"/>
        </w:rPr>
      </w:pPr>
      <w:r w:rsidRPr="002E0BAF">
        <w:rPr>
          <w:rFonts w:asciiTheme="minorHAnsi" w:hAnsiTheme="minorHAnsi" w:cstheme="minorHAnsi"/>
          <w:b/>
          <w:sz w:val="20"/>
          <w:szCs w:val="20"/>
        </w:rPr>
        <w:t>Zdroj:</w:t>
      </w:r>
      <w:r w:rsidRPr="00CE0D5A">
        <w:rPr>
          <w:rFonts w:asciiTheme="minorHAnsi" w:hAnsiTheme="minorHAnsi" w:cstheme="minorHAnsi"/>
          <w:sz w:val="20"/>
          <w:szCs w:val="20"/>
        </w:rPr>
        <w:t xml:space="preserve"> </w:t>
      </w:r>
      <w:r w:rsidR="00405302">
        <w:rPr>
          <w:rFonts w:asciiTheme="minorHAnsi" w:hAnsiTheme="minorHAnsi" w:cstheme="minorHAnsi"/>
          <w:sz w:val="20"/>
          <w:szCs w:val="20"/>
        </w:rPr>
        <w:t>i</w:t>
      </w:r>
      <w:r w:rsidRPr="00CE0D5A">
        <w:rPr>
          <w:rFonts w:asciiTheme="minorHAnsi" w:hAnsiTheme="minorHAnsi" w:cstheme="minorHAnsi"/>
          <w:sz w:val="20"/>
          <w:szCs w:val="20"/>
        </w:rPr>
        <w:t>nformace</w:t>
      </w:r>
      <w:r>
        <w:rPr>
          <w:rFonts w:asciiTheme="minorHAnsi" w:hAnsiTheme="minorHAnsi" w:cstheme="minorHAnsi"/>
          <w:sz w:val="20"/>
          <w:szCs w:val="20"/>
        </w:rPr>
        <w:t xml:space="preserve"> PA ČR a </w:t>
      </w:r>
      <w:r w:rsidR="009D736A">
        <w:rPr>
          <w:rFonts w:asciiTheme="minorHAnsi" w:hAnsiTheme="minorHAnsi" w:cstheme="minorHAnsi"/>
          <w:sz w:val="20"/>
          <w:szCs w:val="20"/>
        </w:rPr>
        <w:t>UNOB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945A5" w14:textId="469B6FA2" w:rsidR="00446A53" w:rsidRPr="005F2A9F" w:rsidRDefault="002577E9" w:rsidP="005F2A9F">
      <w:p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5F2A9F">
        <w:rPr>
          <w:rFonts w:cstheme="minorHAnsi"/>
          <w:bCs/>
          <w:iCs/>
          <w:color w:val="000000" w:themeColor="text1"/>
        </w:rPr>
        <w:t xml:space="preserve">MO neprovedlo od roku 2016 redukci počtu zaměstnanců UNOB ve vazbě na pokles počtu studentů </w:t>
      </w:r>
      <w:r w:rsidR="00467835" w:rsidRPr="005F2A9F">
        <w:rPr>
          <w:rFonts w:cstheme="minorHAnsi"/>
          <w:bCs/>
          <w:iCs/>
          <w:color w:val="000000" w:themeColor="text1"/>
        </w:rPr>
        <w:t xml:space="preserve">v období od roku 2016 </w:t>
      </w:r>
      <w:r w:rsidR="00CB5D0B" w:rsidRPr="005F2A9F">
        <w:rPr>
          <w:rFonts w:cstheme="minorHAnsi"/>
          <w:bCs/>
          <w:iCs/>
          <w:color w:val="000000" w:themeColor="text1"/>
        </w:rPr>
        <w:t>do roku 2019</w:t>
      </w:r>
      <w:r w:rsidRPr="005F2A9F">
        <w:rPr>
          <w:rFonts w:cstheme="minorHAnsi"/>
          <w:bCs/>
          <w:iCs/>
          <w:color w:val="000000" w:themeColor="text1"/>
        </w:rPr>
        <w:t>. P</w:t>
      </w:r>
      <w:r w:rsidR="0059490C" w:rsidRPr="005F2A9F">
        <w:rPr>
          <w:rFonts w:asciiTheme="minorHAnsi" w:hAnsiTheme="minorHAnsi" w:cstheme="minorHAnsi"/>
          <w:bCs/>
          <w:color w:val="000000" w:themeColor="text1"/>
        </w:rPr>
        <w:t xml:space="preserve">očet </w:t>
      </w:r>
      <w:r w:rsidR="008E4CDF" w:rsidRPr="005F2A9F">
        <w:rPr>
          <w:rFonts w:asciiTheme="minorHAnsi" w:hAnsiTheme="minorHAnsi" w:cstheme="minorHAnsi"/>
          <w:bCs/>
          <w:color w:val="000000" w:themeColor="text1"/>
        </w:rPr>
        <w:t>zaměstnanců</w:t>
      </w:r>
      <w:r w:rsidR="008E4CDF" w:rsidRPr="005F2A9F" w:rsidDel="008E4CD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9490C" w:rsidRPr="005F2A9F">
        <w:rPr>
          <w:rFonts w:asciiTheme="minorHAnsi" w:hAnsiTheme="minorHAnsi" w:cstheme="minorHAnsi"/>
          <w:bCs/>
          <w:color w:val="000000" w:themeColor="text1"/>
        </w:rPr>
        <w:t>UNOB</w:t>
      </w:r>
      <w:r w:rsidR="00DF1945" w:rsidRPr="005F2A9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8E4CDF" w:rsidRPr="005F2A9F">
        <w:rPr>
          <w:rFonts w:asciiTheme="minorHAnsi" w:hAnsiTheme="minorHAnsi" w:cstheme="minorHAnsi"/>
          <w:bCs/>
          <w:color w:val="000000" w:themeColor="text1"/>
        </w:rPr>
        <w:t xml:space="preserve">se </w:t>
      </w:r>
      <w:r w:rsidR="00AE2CDE" w:rsidRPr="005F2A9F">
        <w:rPr>
          <w:rFonts w:asciiTheme="minorHAnsi" w:hAnsiTheme="minorHAnsi" w:cstheme="minorHAnsi"/>
          <w:bCs/>
          <w:color w:val="000000" w:themeColor="text1"/>
        </w:rPr>
        <w:t>v</w:t>
      </w:r>
      <w:r w:rsidR="00467835" w:rsidRPr="005F2A9F">
        <w:rPr>
          <w:rFonts w:asciiTheme="minorHAnsi" w:hAnsiTheme="minorHAnsi" w:cstheme="minorHAnsi"/>
          <w:bCs/>
          <w:color w:val="000000" w:themeColor="text1"/>
        </w:rPr>
        <w:t xml:space="preserve">e stejném období </w:t>
      </w:r>
      <w:r w:rsidR="008E4CDF" w:rsidRPr="005F2A9F">
        <w:rPr>
          <w:rFonts w:asciiTheme="minorHAnsi" w:hAnsiTheme="minorHAnsi" w:cstheme="minorHAnsi"/>
          <w:bCs/>
          <w:color w:val="000000" w:themeColor="text1"/>
        </w:rPr>
        <w:t xml:space="preserve">zvýšil z 807 na </w:t>
      </w:r>
      <w:r w:rsidR="00FA60B3" w:rsidRPr="005F2A9F">
        <w:rPr>
          <w:rFonts w:asciiTheme="minorHAnsi" w:hAnsiTheme="minorHAnsi" w:cstheme="minorHAnsi"/>
          <w:bCs/>
          <w:color w:val="000000" w:themeColor="text1"/>
        </w:rPr>
        <w:t>856</w:t>
      </w:r>
      <w:r w:rsidR="009D53E1" w:rsidRPr="005F2A9F">
        <w:rPr>
          <w:rFonts w:asciiTheme="minorHAnsi" w:hAnsiTheme="minorHAnsi" w:cstheme="minorHAnsi"/>
          <w:bCs/>
          <w:color w:val="000000" w:themeColor="text1"/>
        </w:rPr>
        <w:t>, čímž vzrostly náklady na platy o 134 mil. Kč</w:t>
      </w:r>
      <w:r w:rsidR="0059490C" w:rsidRPr="005F2A9F">
        <w:rPr>
          <w:rFonts w:asciiTheme="minorHAnsi" w:hAnsiTheme="minorHAnsi" w:cstheme="minorHAnsi"/>
          <w:bCs/>
          <w:color w:val="000000" w:themeColor="text1"/>
        </w:rPr>
        <w:t>.</w:t>
      </w:r>
    </w:p>
    <w:p w14:paraId="4715A4D2" w14:textId="2B515789" w:rsidR="00D77000" w:rsidRPr="0093556B" w:rsidRDefault="00D77000" w:rsidP="00B07768">
      <w:pPr>
        <w:spacing w:after="40"/>
        <w:ind w:left="992" w:hanging="992"/>
        <w:rPr>
          <w:b/>
        </w:rPr>
      </w:pPr>
      <w:r w:rsidRPr="00B71F7A">
        <w:rPr>
          <w:rFonts w:asciiTheme="minorHAnsi" w:hAnsiTheme="minorHAnsi" w:cstheme="minorHAnsi"/>
          <w:b/>
          <w:szCs w:val="24"/>
        </w:rPr>
        <w:t>Graf</w:t>
      </w:r>
      <w:r>
        <w:rPr>
          <w:rFonts w:asciiTheme="minorHAnsi" w:hAnsiTheme="minorHAnsi" w:cstheme="minorHAnsi"/>
          <w:b/>
          <w:szCs w:val="24"/>
        </w:rPr>
        <w:t xml:space="preserve"> č. 2</w:t>
      </w:r>
      <w:r w:rsidR="00405302">
        <w:rPr>
          <w:rFonts w:asciiTheme="minorHAnsi" w:hAnsiTheme="minorHAnsi" w:cstheme="minorHAnsi"/>
          <w:b/>
          <w:szCs w:val="24"/>
        </w:rPr>
        <w:t>:</w:t>
      </w:r>
      <w:r w:rsidRPr="00B71F7A">
        <w:rPr>
          <w:rFonts w:asciiTheme="minorHAnsi" w:hAnsiTheme="minorHAnsi" w:cstheme="minorHAnsi"/>
          <w:b/>
          <w:szCs w:val="24"/>
        </w:rPr>
        <w:t xml:space="preserve"> </w:t>
      </w:r>
      <w:r w:rsidRPr="00B71F7A">
        <w:rPr>
          <w:rFonts w:asciiTheme="minorHAnsi" w:hAnsiTheme="minorHAnsi" w:cstheme="minorHAnsi"/>
          <w:b/>
          <w:szCs w:val="24"/>
        </w:rPr>
        <w:tab/>
        <w:t xml:space="preserve">Porovnání </w:t>
      </w:r>
      <w:r w:rsidRPr="004A0B1D">
        <w:rPr>
          <w:rFonts w:asciiTheme="minorHAnsi" w:hAnsiTheme="minorHAnsi" w:cstheme="minorHAnsi"/>
          <w:b/>
          <w:szCs w:val="24"/>
        </w:rPr>
        <w:t>průměrných platů pedagogů policistů, resp. vojáků s průměrnými platy pedagogů na veřejných vysokých školách</w:t>
      </w:r>
    </w:p>
    <w:p w14:paraId="2460F5B7" w14:textId="77777777" w:rsidR="00D77000" w:rsidRDefault="00D77000" w:rsidP="00D77000">
      <w:pPr>
        <w:spacing w:after="0"/>
      </w:pPr>
      <w:r>
        <w:rPr>
          <w:noProof/>
        </w:rPr>
        <w:drawing>
          <wp:inline distT="0" distB="0" distL="0" distR="0" wp14:anchorId="270FAC6C" wp14:editId="088DA686">
            <wp:extent cx="5760720" cy="2668270"/>
            <wp:effectExtent l="0" t="0" r="11430" b="1778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6BF36C3" w14:textId="5B7BE27B" w:rsidR="00D77000" w:rsidRDefault="00D77000" w:rsidP="005F2A9F">
      <w:pPr>
        <w:spacing w:before="40"/>
        <w:rPr>
          <w:rFonts w:asciiTheme="minorHAnsi" w:hAnsiTheme="minorHAnsi" w:cstheme="minorHAnsi"/>
          <w:sz w:val="20"/>
          <w:szCs w:val="20"/>
        </w:rPr>
      </w:pPr>
      <w:r w:rsidRPr="00F3052E">
        <w:rPr>
          <w:rFonts w:asciiTheme="minorHAnsi" w:hAnsiTheme="minorHAnsi" w:cstheme="minorHAnsi"/>
          <w:b/>
          <w:sz w:val="20"/>
          <w:szCs w:val="20"/>
        </w:rPr>
        <w:t>Zdroj:</w:t>
      </w:r>
      <w:r w:rsidRPr="00CE0D5A">
        <w:rPr>
          <w:rFonts w:asciiTheme="minorHAnsi" w:hAnsiTheme="minorHAnsi" w:cstheme="minorHAnsi"/>
          <w:sz w:val="20"/>
          <w:szCs w:val="20"/>
        </w:rPr>
        <w:t xml:space="preserve"> </w:t>
      </w:r>
      <w:r w:rsidR="00405302">
        <w:rPr>
          <w:rFonts w:asciiTheme="minorHAnsi" w:hAnsiTheme="minorHAnsi" w:cstheme="minorHAnsi"/>
          <w:sz w:val="20"/>
          <w:szCs w:val="20"/>
        </w:rPr>
        <w:t>i</w:t>
      </w:r>
      <w:r w:rsidRPr="00CE0D5A">
        <w:rPr>
          <w:rFonts w:asciiTheme="minorHAnsi" w:hAnsiTheme="minorHAnsi" w:cstheme="minorHAnsi"/>
          <w:sz w:val="20"/>
          <w:szCs w:val="20"/>
        </w:rPr>
        <w:t>nformace</w:t>
      </w:r>
      <w:r>
        <w:rPr>
          <w:rFonts w:asciiTheme="minorHAnsi" w:hAnsiTheme="minorHAnsi" w:cstheme="minorHAnsi"/>
          <w:sz w:val="20"/>
          <w:szCs w:val="20"/>
        </w:rPr>
        <w:t xml:space="preserve"> PA ČR a MO, statistické ročenky Ministerstva školství, mládeže a tělovýchovy.</w:t>
      </w:r>
    </w:p>
    <w:p w14:paraId="3C726917" w14:textId="621E412D" w:rsidR="00D77000" w:rsidRPr="009B1636" w:rsidRDefault="00D77000" w:rsidP="00D77000">
      <w:pPr>
        <w:rPr>
          <w:rFonts w:cstheme="minorHAnsi"/>
          <w:bCs/>
          <w:iCs/>
        </w:rPr>
      </w:pPr>
      <w:r w:rsidRPr="00C00CF5">
        <w:rPr>
          <w:szCs w:val="24"/>
        </w:rPr>
        <w:t>Průměrné platy pedagogů</w:t>
      </w:r>
      <w:r w:rsidRPr="00F854E1">
        <w:rPr>
          <w:szCs w:val="24"/>
        </w:rPr>
        <w:t xml:space="preserve"> – </w:t>
      </w:r>
      <w:r>
        <w:rPr>
          <w:szCs w:val="24"/>
        </w:rPr>
        <w:t>policistů</w:t>
      </w:r>
      <w:r w:rsidRPr="00F854E1">
        <w:rPr>
          <w:szCs w:val="24"/>
        </w:rPr>
        <w:t xml:space="preserve">, resp. </w:t>
      </w:r>
      <w:r>
        <w:rPr>
          <w:szCs w:val="24"/>
        </w:rPr>
        <w:t>vojáků</w:t>
      </w:r>
      <w:r w:rsidRPr="00F854E1">
        <w:rPr>
          <w:szCs w:val="24"/>
        </w:rPr>
        <w:t xml:space="preserve"> byly v kontrolovaném období vyšší zhruba o 18 % než průměrné platy pedagogů na veřejných vysokých školách. Důvodem bylo mzdové hodnocení vycházející z tabulek pro příslušníky bezpečnostních sborů a ozbrojených sil.</w:t>
      </w:r>
    </w:p>
    <w:p w14:paraId="4F91CB4B" w14:textId="3AAC5CD4" w:rsidR="00053109" w:rsidRDefault="003C28E5" w:rsidP="00FB39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Výuku odborných předmětů zajišťoval</w:t>
      </w:r>
      <w:r w:rsidR="00405302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PA ČR, resp. UNOB nejen s využitím vlastních pedagogických </w:t>
      </w:r>
      <w:r w:rsidR="001154BB">
        <w:rPr>
          <w:rFonts w:asciiTheme="minorHAnsi" w:hAnsiTheme="minorHAnsi" w:cstheme="minorHAnsi"/>
        </w:rPr>
        <w:t>zaměstnanců</w:t>
      </w:r>
      <w:r>
        <w:rPr>
          <w:rFonts w:asciiTheme="minorHAnsi" w:hAnsiTheme="minorHAnsi" w:cstheme="minorHAnsi"/>
        </w:rPr>
        <w:t xml:space="preserve">, ale </w:t>
      </w:r>
      <w:r w:rsidR="00BE2A4F">
        <w:rPr>
          <w:rFonts w:asciiTheme="minorHAnsi" w:hAnsiTheme="minorHAnsi" w:cstheme="minorHAnsi"/>
        </w:rPr>
        <w:t xml:space="preserve">zejména u UNOB </w:t>
      </w:r>
      <w:r>
        <w:rPr>
          <w:rFonts w:asciiTheme="minorHAnsi" w:hAnsiTheme="minorHAnsi" w:cstheme="minorHAnsi"/>
        </w:rPr>
        <w:t>ve významném rozsahu prostřednictvím d</w:t>
      </w:r>
      <w:r w:rsidR="00053109">
        <w:rPr>
          <w:rFonts w:asciiTheme="minorHAnsi" w:hAnsiTheme="minorHAnsi" w:cstheme="minorHAnsi"/>
        </w:rPr>
        <w:t xml:space="preserve">ohod o provedení práce </w:t>
      </w:r>
      <w:r>
        <w:rPr>
          <w:rFonts w:asciiTheme="minorHAnsi" w:hAnsiTheme="minorHAnsi" w:cstheme="minorHAnsi"/>
        </w:rPr>
        <w:t>nebo</w:t>
      </w:r>
      <w:r w:rsidR="00053109">
        <w:rPr>
          <w:rFonts w:asciiTheme="minorHAnsi" w:hAnsiTheme="minorHAnsi" w:cstheme="minorHAnsi"/>
        </w:rPr>
        <w:t xml:space="preserve"> dohod o pracovní činnosti</w:t>
      </w:r>
      <w:r w:rsidR="00955FEA">
        <w:rPr>
          <w:rFonts w:asciiTheme="minorHAnsi" w:hAnsiTheme="minorHAnsi" w:cstheme="minorHAnsi"/>
        </w:rPr>
        <w:t xml:space="preserve"> (</w:t>
      </w:r>
      <w:r w:rsidR="00053109">
        <w:rPr>
          <w:rFonts w:asciiTheme="minorHAnsi" w:hAnsiTheme="minorHAnsi" w:cstheme="minorHAnsi"/>
        </w:rPr>
        <w:t>dále také „</w:t>
      </w:r>
      <w:r w:rsidR="00955FEA">
        <w:rPr>
          <w:rFonts w:asciiTheme="minorHAnsi" w:hAnsiTheme="minorHAnsi" w:cstheme="minorHAnsi"/>
        </w:rPr>
        <w:t>dohody</w:t>
      </w:r>
      <w:r w:rsidR="00053109">
        <w:rPr>
          <w:rFonts w:asciiTheme="minorHAnsi" w:hAnsiTheme="minorHAnsi" w:cstheme="minorHAnsi"/>
        </w:rPr>
        <w:t>“</w:t>
      </w:r>
      <w:r w:rsidR="00053109" w:rsidRPr="006515BD">
        <w:rPr>
          <w:rFonts w:asciiTheme="minorHAnsi" w:hAnsiTheme="minorHAnsi" w:cstheme="minorHAnsi"/>
        </w:rPr>
        <w:t>)</w:t>
      </w:r>
      <w:r w:rsidR="00FB3989">
        <w:rPr>
          <w:rFonts w:asciiTheme="minorHAnsi" w:hAnsiTheme="minorHAnsi" w:cstheme="minorHAnsi"/>
        </w:rPr>
        <w:t>.</w:t>
      </w:r>
      <w:r w:rsidR="00955FEA">
        <w:rPr>
          <w:rFonts w:asciiTheme="minorHAnsi" w:hAnsiTheme="minorHAnsi" w:cstheme="minorHAnsi"/>
        </w:rPr>
        <w:t xml:space="preserve"> </w:t>
      </w:r>
    </w:p>
    <w:p w14:paraId="2730DBDB" w14:textId="01720A2F" w:rsidR="00FB3989" w:rsidRPr="0034720A" w:rsidRDefault="00DD04CA" w:rsidP="00CB717F">
      <w:pPr>
        <w:pStyle w:val="Nzevtabulka"/>
        <w:keepNext/>
        <w:numPr>
          <w:ilvl w:val="0"/>
          <w:numId w:val="0"/>
        </w:numPr>
        <w:spacing w:after="40"/>
        <w:ind w:left="1474" w:hanging="1474"/>
      </w:pPr>
      <w:r w:rsidRPr="00054491">
        <w:t xml:space="preserve">Tabulka č. </w:t>
      </w:r>
      <w:r w:rsidR="00F75B0A">
        <w:t>10</w:t>
      </w:r>
      <w:r w:rsidRPr="00054491">
        <w:t>:</w:t>
      </w:r>
      <w:r>
        <w:t xml:space="preserve"> </w:t>
      </w:r>
      <w:r w:rsidR="005F2A9F">
        <w:tab/>
      </w:r>
      <w:r w:rsidR="00FB3989" w:rsidRPr="0034720A">
        <w:t xml:space="preserve">Přehled </w:t>
      </w:r>
      <w:r w:rsidR="00955FEA" w:rsidRPr="0034720A">
        <w:t>uzavřených dohod</w:t>
      </w:r>
      <w:r w:rsidR="00FB3989" w:rsidRPr="0034720A">
        <w:t xml:space="preserve"> a celkové výše odměn na služby externích pedagogů PA ČR</w:t>
      </w:r>
      <w:r w:rsidR="007D2CE7" w:rsidRPr="0034720A">
        <w:t xml:space="preserve"> a </w:t>
      </w:r>
      <w:r w:rsidR="00FB3989" w:rsidRPr="0034720A">
        <w:t>UNOB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842"/>
        <w:gridCol w:w="1844"/>
        <w:gridCol w:w="1843"/>
        <w:gridCol w:w="1843"/>
      </w:tblGrid>
      <w:tr w:rsidR="00FB3989" w:rsidRPr="00831942" w14:paraId="2176B826" w14:textId="77777777" w:rsidTr="0059407B">
        <w:trPr>
          <w:trHeight w:val="227"/>
        </w:trPr>
        <w:tc>
          <w:tcPr>
            <w:tcW w:w="1701" w:type="dxa"/>
            <w:vMerge w:val="restart"/>
            <w:shd w:val="clear" w:color="auto" w:fill="E5F1FF"/>
            <w:vAlign w:val="center"/>
          </w:tcPr>
          <w:p w14:paraId="186F31B5" w14:textId="77777777" w:rsidR="00FB3989" w:rsidRPr="00831942" w:rsidRDefault="00FB3989" w:rsidP="0059407B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E5F1FF"/>
            <w:vAlign w:val="center"/>
          </w:tcPr>
          <w:p w14:paraId="7CD2BBBA" w14:textId="6BED6F42" w:rsidR="00FB3989" w:rsidRPr="00831942" w:rsidRDefault="00FB3989" w:rsidP="0059407B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831942">
              <w:rPr>
                <w:b/>
                <w:sz w:val="20"/>
                <w:szCs w:val="20"/>
              </w:rPr>
              <w:t>PA ČR</w:t>
            </w:r>
          </w:p>
        </w:tc>
        <w:tc>
          <w:tcPr>
            <w:tcW w:w="3685" w:type="dxa"/>
            <w:gridSpan w:val="2"/>
            <w:shd w:val="clear" w:color="auto" w:fill="E5F1FF"/>
            <w:vAlign w:val="center"/>
          </w:tcPr>
          <w:p w14:paraId="3B78B9A5" w14:textId="77777777" w:rsidR="00FB3989" w:rsidRPr="00831942" w:rsidRDefault="00FB3989" w:rsidP="0059407B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831942">
              <w:rPr>
                <w:b/>
                <w:sz w:val="20"/>
                <w:szCs w:val="20"/>
              </w:rPr>
              <w:t>UNOB</w:t>
            </w:r>
          </w:p>
        </w:tc>
      </w:tr>
      <w:tr w:rsidR="00FB3989" w:rsidRPr="00831942" w14:paraId="6778817C" w14:textId="77777777" w:rsidTr="0059407B">
        <w:trPr>
          <w:trHeight w:val="227"/>
        </w:trPr>
        <w:tc>
          <w:tcPr>
            <w:tcW w:w="1701" w:type="dxa"/>
            <w:vMerge/>
            <w:shd w:val="clear" w:color="auto" w:fill="E5F1FF"/>
            <w:vAlign w:val="center"/>
          </w:tcPr>
          <w:p w14:paraId="62834F09" w14:textId="77777777" w:rsidR="00FB3989" w:rsidRPr="00831942" w:rsidRDefault="00FB3989" w:rsidP="0059407B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E5F1FF"/>
            <w:vAlign w:val="center"/>
          </w:tcPr>
          <w:p w14:paraId="627C062D" w14:textId="77777777" w:rsidR="00FB3989" w:rsidRPr="00831942" w:rsidRDefault="00FB3989" w:rsidP="0059407B">
            <w:pPr>
              <w:keepNext/>
              <w:spacing w:after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31942">
              <w:rPr>
                <w:b/>
                <w:sz w:val="20"/>
                <w:szCs w:val="20"/>
              </w:rPr>
              <w:t xml:space="preserve">Počet </w:t>
            </w:r>
            <w:r w:rsidR="00955FEA" w:rsidRPr="00831942">
              <w:rPr>
                <w:b/>
                <w:sz w:val="20"/>
                <w:szCs w:val="20"/>
              </w:rPr>
              <w:t>dohod</w:t>
            </w:r>
          </w:p>
        </w:tc>
        <w:tc>
          <w:tcPr>
            <w:tcW w:w="1843" w:type="dxa"/>
            <w:shd w:val="clear" w:color="auto" w:fill="E5F1FF"/>
            <w:vAlign w:val="center"/>
          </w:tcPr>
          <w:p w14:paraId="4B05DA7E" w14:textId="332F7DB9" w:rsidR="00FB3989" w:rsidRPr="00831942" w:rsidRDefault="00FB3989" w:rsidP="0059407B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831942">
              <w:rPr>
                <w:b/>
                <w:sz w:val="20"/>
                <w:szCs w:val="20"/>
              </w:rPr>
              <w:t>Celková výše odměn</w:t>
            </w:r>
          </w:p>
        </w:tc>
        <w:tc>
          <w:tcPr>
            <w:tcW w:w="1843" w:type="dxa"/>
            <w:shd w:val="clear" w:color="auto" w:fill="E5F1FF"/>
            <w:vAlign w:val="center"/>
          </w:tcPr>
          <w:p w14:paraId="3A9BEE10" w14:textId="77777777" w:rsidR="00FB3989" w:rsidRPr="00831942" w:rsidRDefault="00FB3989" w:rsidP="0059407B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831942">
              <w:rPr>
                <w:b/>
                <w:sz w:val="20"/>
                <w:szCs w:val="20"/>
              </w:rPr>
              <w:t xml:space="preserve">Počet </w:t>
            </w:r>
            <w:r w:rsidR="00955FEA" w:rsidRPr="00831942">
              <w:rPr>
                <w:b/>
                <w:sz w:val="20"/>
                <w:szCs w:val="20"/>
              </w:rPr>
              <w:t>dohod</w:t>
            </w:r>
          </w:p>
        </w:tc>
        <w:tc>
          <w:tcPr>
            <w:tcW w:w="1843" w:type="dxa"/>
            <w:shd w:val="clear" w:color="auto" w:fill="E5F1FF"/>
            <w:vAlign w:val="center"/>
          </w:tcPr>
          <w:p w14:paraId="0B08B0EF" w14:textId="4D418B11" w:rsidR="00FB3989" w:rsidRPr="00831942" w:rsidRDefault="00FB3989" w:rsidP="0059407B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831942">
              <w:rPr>
                <w:b/>
                <w:sz w:val="20"/>
                <w:szCs w:val="20"/>
              </w:rPr>
              <w:t>Celková výše odměn</w:t>
            </w:r>
          </w:p>
        </w:tc>
      </w:tr>
      <w:tr w:rsidR="00FB3989" w:rsidRPr="00831942" w14:paraId="0B5A0EF4" w14:textId="77777777" w:rsidTr="0059407B">
        <w:trPr>
          <w:trHeight w:val="227"/>
        </w:trPr>
        <w:tc>
          <w:tcPr>
            <w:tcW w:w="1701" w:type="dxa"/>
            <w:shd w:val="clear" w:color="auto" w:fill="auto"/>
            <w:vAlign w:val="center"/>
            <w:hideMark/>
          </w:tcPr>
          <w:p w14:paraId="150C68E3" w14:textId="77777777" w:rsidR="00FB3989" w:rsidRPr="00F75B0A" w:rsidRDefault="00FB3989" w:rsidP="0059407B">
            <w:pPr>
              <w:keepNext/>
              <w:spacing w:after="0"/>
              <w:jc w:val="center"/>
              <w:rPr>
                <w:sz w:val="20"/>
                <w:szCs w:val="20"/>
              </w:rPr>
            </w:pPr>
            <w:r w:rsidRPr="00F75B0A">
              <w:rPr>
                <w:sz w:val="20"/>
                <w:szCs w:val="20"/>
              </w:rPr>
              <w:t>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8208317" w14:textId="77777777" w:rsidR="00FB3989" w:rsidRPr="00F75B0A" w:rsidRDefault="0058410B" w:rsidP="0059407B">
            <w:pPr>
              <w:keepNext/>
              <w:spacing w:after="0"/>
              <w:ind w:left="0" w:right="227" w:firstLine="0"/>
              <w:jc w:val="right"/>
              <w:rPr>
                <w:sz w:val="20"/>
                <w:szCs w:val="20"/>
              </w:rPr>
            </w:pPr>
            <w:r w:rsidRPr="00F75B0A">
              <w:rPr>
                <w:sz w:val="20"/>
                <w:szCs w:val="20"/>
              </w:rPr>
              <w:t>65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51CCCB" w14:textId="77777777" w:rsidR="00FB3989" w:rsidRPr="00F75B0A" w:rsidRDefault="0058410B" w:rsidP="0059407B">
            <w:pPr>
              <w:keepNext/>
              <w:spacing w:after="0"/>
              <w:ind w:left="0" w:right="57" w:firstLine="0"/>
              <w:jc w:val="right"/>
              <w:rPr>
                <w:sz w:val="20"/>
                <w:szCs w:val="20"/>
              </w:rPr>
            </w:pPr>
            <w:r w:rsidRPr="00F75B0A">
              <w:rPr>
                <w:sz w:val="20"/>
                <w:szCs w:val="20"/>
              </w:rPr>
              <w:t>245 900 Kč</w:t>
            </w:r>
          </w:p>
        </w:tc>
        <w:tc>
          <w:tcPr>
            <w:tcW w:w="1843" w:type="dxa"/>
            <w:vAlign w:val="center"/>
          </w:tcPr>
          <w:p w14:paraId="072A4D82" w14:textId="77777777" w:rsidR="00FB3989" w:rsidRPr="00F75B0A" w:rsidRDefault="00FB3989" w:rsidP="0059407B">
            <w:pPr>
              <w:keepNext/>
              <w:spacing w:after="0"/>
              <w:ind w:left="0" w:right="227" w:firstLine="0"/>
              <w:jc w:val="right"/>
              <w:rPr>
                <w:sz w:val="20"/>
                <w:szCs w:val="20"/>
              </w:rPr>
            </w:pPr>
            <w:r w:rsidRPr="00F75B0A">
              <w:rPr>
                <w:sz w:val="20"/>
                <w:szCs w:val="20"/>
              </w:rPr>
              <w:t>264</w:t>
            </w:r>
          </w:p>
        </w:tc>
        <w:tc>
          <w:tcPr>
            <w:tcW w:w="1843" w:type="dxa"/>
            <w:vAlign w:val="center"/>
          </w:tcPr>
          <w:p w14:paraId="7CEC2BD2" w14:textId="77777777" w:rsidR="00FB3989" w:rsidRPr="00F75B0A" w:rsidRDefault="00FB3989" w:rsidP="0059407B">
            <w:pPr>
              <w:keepNext/>
              <w:spacing w:after="0"/>
              <w:ind w:left="0" w:right="57" w:firstLine="0"/>
              <w:jc w:val="right"/>
              <w:rPr>
                <w:sz w:val="20"/>
                <w:szCs w:val="20"/>
              </w:rPr>
            </w:pPr>
            <w:r w:rsidRPr="00F75B0A">
              <w:rPr>
                <w:sz w:val="20"/>
                <w:szCs w:val="20"/>
              </w:rPr>
              <w:t>6 390 180 Kč</w:t>
            </w:r>
          </w:p>
        </w:tc>
      </w:tr>
      <w:tr w:rsidR="00FB3989" w:rsidRPr="00831942" w14:paraId="105464DA" w14:textId="77777777" w:rsidTr="0059407B">
        <w:trPr>
          <w:trHeight w:val="227"/>
        </w:trPr>
        <w:tc>
          <w:tcPr>
            <w:tcW w:w="1701" w:type="dxa"/>
            <w:shd w:val="clear" w:color="auto" w:fill="auto"/>
            <w:vAlign w:val="center"/>
            <w:hideMark/>
          </w:tcPr>
          <w:p w14:paraId="18FC5D44" w14:textId="77777777" w:rsidR="00FB3989" w:rsidRPr="00F75B0A" w:rsidRDefault="00FB3989" w:rsidP="0059407B">
            <w:pPr>
              <w:keepNext/>
              <w:spacing w:after="0"/>
              <w:jc w:val="center"/>
              <w:rPr>
                <w:sz w:val="20"/>
                <w:szCs w:val="20"/>
              </w:rPr>
            </w:pPr>
            <w:r w:rsidRPr="00F75B0A">
              <w:rPr>
                <w:sz w:val="20"/>
                <w:szCs w:val="20"/>
              </w:rPr>
              <w:t>2017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492BD24" w14:textId="77777777" w:rsidR="00FB3989" w:rsidRPr="00F75B0A" w:rsidRDefault="0058410B" w:rsidP="0059407B">
            <w:pPr>
              <w:keepNext/>
              <w:spacing w:after="0"/>
              <w:ind w:left="0" w:right="227" w:firstLine="0"/>
              <w:jc w:val="right"/>
              <w:rPr>
                <w:sz w:val="20"/>
                <w:szCs w:val="20"/>
              </w:rPr>
            </w:pPr>
            <w:r w:rsidRPr="00F75B0A">
              <w:rPr>
                <w:sz w:val="20"/>
                <w:szCs w:val="20"/>
              </w:rPr>
              <w:t>90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C6ED3D6" w14:textId="77777777" w:rsidR="00FB3989" w:rsidRPr="00F75B0A" w:rsidRDefault="0058410B" w:rsidP="0059407B">
            <w:pPr>
              <w:keepNext/>
              <w:spacing w:after="0"/>
              <w:ind w:left="0" w:right="57" w:firstLine="0"/>
              <w:jc w:val="right"/>
              <w:rPr>
                <w:sz w:val="20"/>
                <w:szCs w:val="20"/>
              </w:rPr>
            </w:pPr>
            <w:r w:rsidRPr="00F75B0A">
              <w:rPr>
                <w:sz w:val="20"/>
                <w:szCs w:val="20"/>
              </w:rPr>
              <w:t>308 200 Kč</w:t>
            </w:r>
          </w:p>
        </w:tc>
        <w:tc>
          <w:tcPr>
            <w:tcW w:w="1843" w:type="dxa"/>
            <w:vAlign w:val="center"/>
          </w:tcPr>
          <w:p w14:paraId="32C196B4" w14:textId="77777777" w:rsidR="00FB3989" w:rsidRPr="00F75B0A" w:rsidRDefault="00FB3989" w:rsidP="0059407B">
            <w:pPr>
              <w:keepNext/>
              <w:spacing w:after="0"/>
              <w:ind w:left="0" w:right="227" w:firstLine="0"/>
              <w:jc w:val="right"/>
              <w:rPr>
                <w:sz w:val="20"/>
                <w:szCs w:val="20"/>
              </w:rPr>
            </w:pPr>
            <w:r w:rsidRPr="00F75B0A">
              <w:rPr>
                <w:sz w:val="20"/>
                <w:szCs w:val="20"/>
              </w:rPr>
              <w:t>313</w:t>
            </w:r>
          </w:p>
        </w:tc>
        <w:tc>
          <w:tcPr>
            <w:tcW w:w="1843" w:type="dxa"/>
            <w:vAlign w:val="center"/>
          </w:tcPr>
          <w:p w14:paraId="47BF48B0" w14:textId="77777777" w:rsidR="00FB3989" w:rsidRPr="00F75B0A" w:rsidRDefault="00FB3989" w:rsidP="0059407B">
            <w:pPr>
              <w:keepNext/>
              <w:spacing w:after="0"/>
              <w:ind w:left="0" w:right="57" w:firstLine="0"/>
              <w:jc w:val="right"/>
              <w:rPr>
                <w:sz w:val="20"/>
                <w:szCs w:val="20"/>
              </w:rPr>
            </w:pPr>
            <w:r w:rsidRPr="00F75B0A">
              <w:rPr>
                <w:sz w:val="20"/>
                <w:szCs w:val="20"/>
              </w:rPr>
              <w:t>7 368 740 Kč</w:t>
            </w:r>
          </w:p>
        </w:tc>
      </w:tr>
      <w:tr w:rsidR="00FB3989" w:rsidRPr="00831942" w14:paraId="587E74E7" w14:textId="77777777" w:rsidTr="0059407B">
        <w:trPr>
          <w:trHeight w:val="227"/>
        </w:trPr>
        <w:tc>
          <w:tcPr>
            <w:tcW w:w="1701" w:type="dxa"/>
            <w:shd w:val="clear" w:color="auto" w:fill="auto"/>
            <w:vAlign w:val="center"/>
            <w:hideMark/>
          </w:tcPr>
          <w:p w14:paraId="10ADBBAA" w14:textId="77777777" w:rsidR="00FB3989" w:rsidRPr="00F75B0A" w:rsidRDefault="00FB3989" w:rsidP="0059407B">
            <w:pPr>
              <w:keepNext/>
              <w:spacing w:after="0"/>
              <w:jc w:val="center"/>
              <w:rPr>
                <w:sz w:val="20"/>
                <w:szCs w:val="20"/>
              </w:rPr>
            </w:pPr>
            <w:r w:rsidRPr="00F75B0A">
              <w:rPr>
                <w:sz w:val="20"/>
                <w:szCs w:val="20"/>
              </w:rPr>
              <w:t>2018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40532A2" w14:textId="77777777" w:rsidR="00FB3989" w:rsidRPr="00F75B0A" w:rsidRDefault="0058410B" w:rsidP="0059407B">
            <w:pPr>
              <w:keepNext/>
              <w:spacing w:after="0"/>
              <w:ind w:left="0" w:right="227" w:firstLine="0"/>
              <w:jc w:val="right"/>
              <w:rPr>
                <w:sz w:val="20"/>
                <w:szCs w:val="20"/>
              </w:rPr>
            </w:pPr>
            <w:r w:rsidRPr="00F75B0A">
              <w:rPr>
                <w:sz w:val="20"/>
                <w:szCs w:val="20"/>
              </w:rPr>
              <w:t>106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67474CE" w14:textId="77777777" w:rsidR="00FB3989" w:rsidRPr="00F75B0A" w:rsidRDefault="0058410B" w:rsidP="0059407B">
            <w:pPr>
              <w:keepNext/>
              <w:spacing w:after="0"/>
              <w:ind w:left="0" w:right="57" w:firstLine="0"/>
              <w:jc w:val="right"/>
              <w:rPr>
                <w:sz w:val="20"/>
                <w:szCs w:val="20"/>
              </w:rPr>
            </w:pPr>
            <w:r w:rsidRPr="00F75B0A">
              <w:rPr>
                <w:sz w:val="20"/>
                <w:szCs w:val="20"/>
              </w:rPr>
              <w:t>340 700 Kč</w:t>
            </w:r>
          </w:p>
        </w:tc>
        <w:tc>
          <w:tcPr>
            <w:tcW w:w="1843" w:type="dxa"/>
            <w:vAlign w:val="center"/>
          </w:tcPr>
          <w:p w14:paraId="3CB1B15E" w14:textId="77777777" w:rsidR="00FB3989" w:rsidRPr="00F75B0A" w:rsidRDefault="00FB3989" w:rsidP="0059407B">
            <w:pPr>
              <w:keepNext/>
              <w:spacing w:after="0"/>
              <w:ind w:left="0" w:right="227" w:firstLine="0"/>
              <w:jc w:val="right"/>
              <w:rPr>
                <w:sz w:val="20"/>
                <w:szCs w:val="20"/>
              </w:rPr>
            </w:pPr>
            <w:r w:rsidRPr="00F75B0A">
              <w:rPr>
                <w:sz w:val="20"/>
                <w:szCs w:val="20"/>
              </w:rPr>
              <w:t>277</w:t>
            </w:r>
          </w:p>
        </w:tc>
        <w:tc>
          <w:tcPr>
            <w:tcW w:w="1843" w:type="dxa"/>
            <w:vAlign w:val="center"/>
          </w:tcPr>
          <w:p w14:paraId="07EE3546" w14:textId="77777777" w:rsidR="00FB3989" w:rsidRPr="00F75B0A" w:rsidRDefault="00FB3989" w:rsidP="0059407B">
            <w:pPr>
              <w:keepNext/>
              <w:spacing w:after="0"/>
              <w:ind w:left="0" w:right="57" w:firstLine="0"/>
              <w:jc w:val="right"/>
              <w:rPr>
                <w:sz w:val="20"/>
                <w:szCs w:val="20"/>
              </w:rPr>
            </w:pPr>
            <w:r w:rsidRPr="00F75B0A">
              <w:rPr>
                <w:sz w:val="20"/>
                <w:szCs w:val="20"/>
              </w:rPr>
              <w:t>7 242 380 Kč</w:t>
            </w:r>
          </w:p>
        </w:tc>
      </w:tr>
      <w:tr w:rsidR="00404BDF" w:rsidRPr="00831942" w14:paraId="557EAE14" w14:textId="77777777" w:rsidTr="0059407B">
        <w:trPr>
          <w:trHeight w:val="227"/>
        </w:trPr>
        <w:tc>
          <w:tcPr>
            <w:tcW w:w="1701" w:type="dxa"/>
            <w:shd w:val="clear" w:color="auto" w:fill="auto"/>
            <w:vAlign w:val="center"/>
          </w:tcPr>
          <w:p w14:paraId="06579DC9" w14:textId="77777777" w:rsidR="00404BDF" w:rsidRPr="00713CAF" w:rsidRDefault="004D2638" w:rsidP="0059407B">
            <w:pPr>
              <w:keepNext/>
              <w:spacing w:after="0"/>
              <w:jc w:val="center"/>
              <w:rPr>
                <w:b/>
                <w:sz w:val="20"/>
                <w:szCs w:val="20"/>
              </w:rPr>
            </w:pPr>
            <w:r w:rsidRPr="00713CAF">
              <w:rPr>
                <w:b/>
                <w:sz w:val="20"/>
                <w:szCs w:val="20"/>
              </w:rPr>
              <w:t>Změna 2018/2016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A4CCFA8" w14:textId="77777777" w:rsidR="00404BDF" w:rsidRPr="00713CAF" w:rsidRDefault="004D2638" w:rsidP="0059407B">
            <w:pPr>
              <w:keepNext/>
              <w:spacing w:after="0"/>
              <w:ind w:left="0" w:right="57" w:firstLine="0"/>
              <w:jc w:val="right"/>
              <w:rPr>
                <w:b/>
                <w:sz w:val="20"/>
                <w:szCs w:val="20"/>
              </w:rPr>
            </w:pPr>
            <w:r w:rsidRPr="00713CAF">
              <w:rPr>
                <w:b/>
                <w:sz w:val="20"/>
                <w:szCs w:val="20"/>
              </w:rPr>
              <w:t>+ 63 %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FC73D3F" w14:textId="77777777" w:rsidR="00404BDF" w:rsidRPr="00713CAF" w:rsidRDefault="004D2638" w:rsidP="0059407B">
            <w:pPr>
              <w:keepNext/>
              <w:spacing w:after="0"/>
              <w:ind w:left="0" w:right="113" w:firstLine="0"/>
              <w:jc w:val="right"/>
              <w:rPr>
                <w:b/>
                <w:sz w:val="20"/>
                <w:szCs w:val="20"/>
              </w:rPr>
            </w:pPr>
            <w:r w:rsidRPr="00713CAF">
              <w:rPr>
                <w:b/>
                <w:sz w:val="20"/>
                <w:szCs w:val="20"/>
              </w:rPr>
              <w:t>+ 39 %</w:t>
            </w:r>
          </w:p>
        </w:tc>
        <w:tc>
          <w:tcPr>
            <w:tcW w:w="1843" w:type="dxa"/>
            <w:vAlign w:val="center"/>
          </w:tcPr>
          <w:p w14:paraId="39854BDD" w14:textId="77777777" w:rsidR="00404BDF" w:rsidRPr="00713CAF" w:rsidRDefault="004D2638" w:rsidP="0059407B">
            <w:pPr>
              <w:keepNext/>
              <w:spacing w:after="0"/>
              <w:ind w:left="0" w:right="57" w:firstLine="0"/>
              <w:jc w:val="right"/>
              <w:rPr>
                <w:b/>
                <w:sz w:val="20"/>
                <w:szCs w:val="20"/>
              </w:rPr>
            </w:pPr>
            <w:r w:rsidRPr="00713CAF">
              <w:rPr>
                <w:b/>
                <w:sz w:val="20"/>
                <w:szCs w:val="20"/>
              </w:rPr>
              <w:t>+ 5 %</w:t>
            </w:r>
          </w:p>
        </w:tc>
        <w:tc>
          <w:tcPr>
            <w:tcW w:w="1843" w:type="dxa"/>
            <w:vAlign w:val="center"/>
          </w:tcPr>
          <w:p w14:paraId="49BC3D0B" w14:textId="77777777" w:rsidR="00404BDF" w:rsidRPr="00713CAF" w:rsidRDefault="004D2638" w:rsidP="0059407B">
            <w:pPr>
              <w:keepNext/>
              <w:spacing w:after="0"/>
              <w:ind w:left="0" w:right="113" w:firstLine="0"/>
              <w:jc w:val="right"/>
              <w:rPr>
                <w:b/>
                <w:sz w:val="20"/>
                <w:szCs w:val="20"/>
              </w:rPr>
            </w:pPr>
            <w:r w:rsidRPr="00713CAF">
              <w:rPr>
                <w:b/>
                <w:sz w:val="20"/>
                <w:szCs w:val="20"/>
              </w:rPr>
              <w:t>+ 13 %</w:t>
            </w:r>
          </w:p>
        </w:tc>
      </w:tr>
    </w:tbl>
    <w:p w14:paraId="77E9225C" w14:textId="0EFD6666" w:rsidR="009D6C79" w:rsidRDefault="009D6C79" w:rsidP="0059407B">
      <w:pPr>
        <w:spacing w:before="40"/>
        <w:rPr>
          <w:rFonts w:asciiTheme="minorHAnsi" w:hAnsiTheme="minorHAnsi" w:cstheme="minorHAnsi"/>
          <w:sz w:val="20"/>
          <w:szCs w:val="20"/>
        </w:rPr>
      </w:pPr>
      <w:r w:rsidRPr="005425C3">
        <w:rPr>
          <w:rFonts w:asciiTheme="minorHAnsi" w:hAnsiTheme="minorHAnsi" w:cstheme="minorHAnsi"/>
          <w:b/>
          <w:sz w:val="20"/>
          <w:szCs w:val="20"/>
        </w:rPr>
        <w:t>Zdroj:</w:t>
      </w:r>
      <w:r w:rsidRPr="00CE0D5A">
        <w:rPr>
          <w:rFonts w:asciiTheme="minorHAnsi" w:hAnsiTheme="minorHAnsi" w:cstheme="minorHAnsi"/>
          <w:sz w:val="20"/>
          <w:szCs w:val="20"/>
        </w:rPr>
        <w:t xml:space="preserve"> </w:t>
      </w:r>
      <w:r w:rsidR="00806D52">
        <w:rPr>
          <w:rFonts w:asciiTheme="minorHAnsi" w:hAnsiTheme="minorHAnsi" w:cstheme="minorHAnsi"/>
          <w:sz w:val="20"/>
          <w:szCs w:val="20"/>
        </w:rPr>
        <w:t>i</w:t>
      </w:r>
      <w:r w:rsidRPr="00CE0D5A">
        <w:rPr>
          <w:rFonts w:asciiTheme="minorHAnsi" w:hAnsiTheme="minorHAnsi" w:cstheme="minorHAnsi"/>
          <w:sz w:val="20"/>
          <w:szCs w:val="20"/>
        </w:rPr>
        <w:t>nformace</w:t>
      </w:r>
      <w:r>
        <w:rPr>
          <w:rFonts w:asciiTheme="minorHAnsi" w:hAnsiTheme="minorHAnsi" w:cstheme="minorHAnsi"/>
          <w:sz w:val="20"/>
          <w:szCs w:val="20"/>
        </w:rPr>
        <w:t xml:space="preserve"> MV a MO.</w:t>
      </w:r>
    </w:p>
    <w:p w14:paraId="45D80F3E" w14:textId="61478E32" w:rsidR="0058410B" w:rsidRDefault="001154BB" w:rsidP="00524E1B">
      <w:pPr>
        <w:pStyle w:val="Zkladntext"/>
        <w:autoSpaceDE w:val="0"/>
        <w:autoSpaceDN w:val="0"/>
        <w:rPr>
          <w:rFonts w:asciiTheme="minorHAnsi" w:hAnsiTheme="minorHAnsi" w:cstheme="minorHAnsi"/>
          <w:i w:val="0"/>
          <w:sz w:val="24"/>
        </w:rPr>
      </w:pPr>
      <w:r>
        <w:rPr>
          <w:rFonts w:asciiTheme="minorHAnsi" w:hAnsiTheme="minorHAnsi" w:cstheme="minorHAnsi"/>
          <w:i w:val="0"/>
          <w:sz w:val="24"/>
        </w:rPr>
        <w:t>P</w:t>
      </w:r>
      <w:r w:rsidR="0058410B" w:rsidRPr="0058410B">
        <w:rPr>
          <w:rFonts w:asciiTheme="minorHAnsi" w:hAnsiTheme="minorHAnsi" w:cstheme="minorHAnsi"/>
          <w:i w:val="0"/>
          <w:sz w:val="24"/>
        </w:rPr>
        <w:t xml:space="preserve">očet </w:t>
      </w:r>
      <w:r>
        <w:rPr>
          <w:rFonts w:asciiTheme="minorHAnsi" w:hAnsiTheme="minorHAnsi" w:cstheme="minorHAnsi"/>
          <w:i w:val="0"/>
          <w:sz w:val="24"/>
        </w:rPr>
        <w:t xml:space="preserve">dohod uzavřených PA ČR </w:t>
      </w:r>
      <w:r w:rsidR="00200506">
        <w:rPr>
          <w:rFonts w:asciiTheme="minorHAnsi" w:hAnsiTheme="minorHAnsi" w:cstheme="minorHAnsi"/>
          <w:i w:val="0"/>
          <w:sz w:val="24"/>
        </w:rPr>
        <w:t>se v kontrolovaném období razantně zvýšil (+ 63 %),</w:t>
      </w:r>
      <w:r w:rsidR="00C5491E">
        <w:rPr>
          <w:rFonts w:asciiTheme="minorHAnsi" w:hAnsiTheme="minorHAnsi" w:cstheme="minorHAnsi"/>
          <w:i w:val="0"/>
          <w:sz w:val="24"/>
        </w:rPr>
        <w:t xml:space="preserve"> ačkoliv počet studentů </w:t>
      </w:r>
      <w:r w:rsidR="0034720A">
        <w:rPr>
          <w:rFonts w:asciiTheme="minorHAnsi" w:hAnsiTheme="minorHAnsi" w:cstheme="minorHAnsi"/>
          <w:i w:val="0"/>
          <w:sz w:val="24"/>
        </w:rPr>
        <w:t xml:space="preserve">a celkový počet pedagogických zaměstnanců </w:t>
      </w:r>
      <w:r w:rsidR="00C5491E">
        <w:rPr>
          <w:rFonts w:asciiTheme="minorHAnsi" w:hAnsiTheme="minorHAnsi" w:cstheme="minorHAnsi"/>
          <w:i w:val="0"/>
          <w:sz w:val="24"/>
        </w:rPr>
        <w:t xml:space="preserve">byl </w:t>
      </w:r>
      <w:r w:rsidR="007D2CE7">
        <w:rPr>
          <w:rFonts w:asciiTheme="minorHAnsi" w:hAnsiTheme="minorHAnsi" w:cstheme="minorHAnsi"/>
          <w:i w:val="0"/>
          <w:sz w:val="24"/>
        </w:rPr>
        <w:t xml:space="preserve">ve stejném období </w:t>
      </w:r>
      <w:r w:rsidR="00234DBE">
        <w:rPr>
          <w:rFonts w:asciiTheme="minorHAnsi" w:hAnsiTheme="minorHAnsi" w:cstheme="minorHAnsi"/>
          <w:i w:val="0"/>
          <w:sz w:val="24"/>
        </w:rPr>
        <w:t>srovnatelný</w:t>
      </w:r>
      <w:r w:rsidR="00AD35C0">
        <w:rPr>
          <w:rFonts w:asciiTheme="minorHAnsi" w:hAnsiTheme="minorHAnsi" w:cstheme="minorHAnsi"/>
          <w:i w:val="0"/>
          <w:sz w:val="24"/>
        </w:rPr>
        <w:t xml:space="preserve"> </w:t>
      </w:r>
      <w:r w:rsidR="00AD35C0" w:rsidRPr="00BE2A4F">
        <w:rPr>
          <w:rFonts w:asciiTheme="minorHAnsi" w:hAnsiTheme="minorHAnsi" w:cstheme="minorHAnsi"/>
          <w:bCs/>
          <w:i w:val="0"/>
          <w:sz w:val="24"/>
        </w:rPr>
        <w:t>(viz tabulka č. 9)</w:t>
      </w:r>
      <w:r w:rsidR="0058410B" w:rsidRPr="0058410B">
        <w:rPr>
          <w:rFonts w:asciiTheme="minorHAnsi" w:hAnsiTheme="minorHAnsi" w:cstheme="minorHAnsi"/>
          <w:i w:val="0"/>
          <w:sz w:val="24"/>
        </w:rPr>
        <w:t>.</w:t>
      </w:r>
      <w:r w:rsidR="0058410B">
        <w:rPr>
          <w:rFonts w:asciiTheme="minorHAnsi" w:hAnsiTheme="minorHAnsi" w:cstheme="minorHAnsi"/>
          <w:i w:val="0"/>
          <w:sz w:val="24"/>
        </w:rPr>
        <w:t xml:space="preserve"> </w:t>
      </w:r>
      <w:r>
        <w:rPr>
          <w:rFonts w:asciiTheme="minorHAnsi" w:hAnsiTheme="minorHAnsi" w:cstheme="minorHAnsi"/>
          <w:i w:val="0"/>
          <w:sz w:val="24"/>
        </w:rPr>
        <w:t>Počet dohod uzavřených UNOB</w:t>
      </w:r>
      <w:r w:rsidR="008858C7">
        <w:rPr>
          <w:rFonts w:asciiTheme="minorHAnsi" w:hAnsiTheme="minorHAnsi" w:cstheme="minorHAnsi"/>
          <w:i w:val="0"/>
          <w:sz w:val="24"/>
        </w:rPr>
        <w:t xml:space="preserve"> </w:t>
      </w:r>
      <w:r w:rsidR="002105DF">
        <w:rPr>
          <w:rFonts w:asciiTheme="minorHAnsi" w:hAnsiTheme="minorHAnsi" w:cstheme="minorHAnsi"/>
          <w:i w:val="0"/>
          <w:sz w:val="24"/>
        </w:rPr>
        <w:t>neklesal</w:t>
      </w:r>
      <w:r w:rsidR="00200506">
        <w:rPr>
          <w:rFonts w:asciiTheme="minorHAnsi" w:hAnsiTheme="minorHAnsi" w:cstheme="minorHAnsi"/>
          <w:i w:val="0"/>
          <w:sz w:val="24"/>
        </w:rPr>
        <w:t xml:space="preserve"> </w:t>
      </w:r>
      <w:r>
        <w:rPr>
          <w:rFonts w:asciiTheme="minorHAnsi" w:hAnsiTheme="minorHAnsi" w:cstheme="minorHAnsi"/>
          <w:i w:val="0"/>
          <w:sz w:val="24"/>
        </w:rPr>
        <w:t>i přesto, že UNOB</w:t>
      </w:r>
      <w:r w:rsidR="00C5491E">
        <w:rPr>
          <w:rFonts w:asciiTheme="minorHAnsi" w:hAnsiTheme="minorHAnsi" w:cstheme="minorHAnsi"/>
          <w:i w:val="0"/>
          <w:sz w:val="24"/>
        </w:rPr>
        <w:t xml:space="preserve"> </w:t>
      </w:r>
      <w:r w:rsidR="008858C7">
        <w:rPr>
          <w:rFonts w:asciiTheme="minorHAnsi" w:hAnsiTheme="minorHAnsi" w:cstheme="minorHAnsi"/>
          <w:i w:val="0"/>
          <w:sz w:val="24"/>
        </w:rPr>
        <w:t>dispon</w:t>
      </w:r>
      <w:r w:rsidR="00BE2A4F">
        <w:rPr>
          <w:rFonts w:asciiTheme="minorHAnsi" w:hAnsiTheme="minorHAnsi" w:cstheme="minorHAnsi"/>
          <w:i w:val="0"/>
          <w:sz w:val="24"/>
        </w:rPr>
        <w:t>ovala</w:t>
      </w:r>
      <w:r w:rsidR="008858C7">
        <w:rPr>
          <w:rFonts w:asciiTheme="minorHAnsi" w:hAnsiTheme="minorHAnsi" w:cstheme="minorHAnsi"/>
          <w:i w:val="0"/>
          <w:sz w:val="24"/>
        </w:rPr>
        <w:t xml:space="preserve"> </w:t>
      </w:r>
      <w:r w:rsidR="00AD35C0">
        <w:rPr>
          <w:rFonts w:asciiTheme="minorHAnsi" w:hAnsiTheme="minorHAnsi" w:cstheme="minorHAnsi"/>
          <w:i w:val="0"/>
          <w:sz w:val="24"/>
        </w:rPr>
        <w:t xml:space="preserve">průměrně </w:t>
      </w:r>
      <w:r w:rsidR="008858C7">
        <w:rPr>
          <w:rFonts w:asciiTheme="minorHAnsi" w:hAnsiTheme="minorHAnsi" w:cstheme="minorHAnsi"/>
          <w:i w:val="0"/>
          <w:sz w:val="24"/>
        </w:rPr>
        <w:t xml:space="preserve">jedním pedagogem </w:t>
      </w:r>
      <w:r w:rsidR="008858C7" w:rsidRPr="00BE2A4F">
        <w:rPr>
          <w:rFonts w:asciiTheme="minorHAnsi" w:hAnsiTheme="minorHAnsi" w:cstheme="minorHAnsi"/>
          <w:i w:val="0"/>
          <w:sz w:val="24"/>
        </w:rPr>
        <w:t>na čtyři studenty</w:t>
      </w:r>
      <w:r w:rsidR="00BE2A4F" w:rsidRPr="00BE2A4F">
        <w:rPr>
          <w:rFonts w:asciiTheme="minorHAnsi" w:hAnsiTheme="minorHAnsi" w:cstheme="minorHAnsi"/>
          <w:i w:val="0"/>
          <w:sz w:val="24"/>
        </w:rPr>
        <w:t xml:space="preserve"> </w:t>
      </w:r>
      <w:r w:rsidR="00BE2A4F" w:rsidRPr="00BE2A4F">
        <w:rPr>
          <w:rFonts w:asciiTheme="minorHAnsi" w:hAnsiTheme="minorHAnsi" w:cstheme="minorHAnsi"/>
          <w:bCs/>
          <w:i w:val="0"/>
          <w:sz w:val="24"/>
        </w:rPr>
        <w:t>(viz tabulka č. 9)</w:t>
      </w:r>
      <w:r w:rsidRPr="00BE2A4F">
        <w:rPr>
          <w:rFonts w:asciiTheme="minorHAnsi" w:hAnsiTheme="minorHAnsi" w:cstheme="minorHAnsi"/>
          <w:i w:val="0"/>
          <w:sz w:val="24"/>
        </w:rPr>
        <w:t>.</w:t>
      </w:r>
      <w:r w:rsidR="00AD35C0">
        <w:rPr>
          <w:rFonts w:asciiTheme="minorHAnsi" w:hAnsiTheme="minorHAnsi" w:cstheme="minorHAnsi"/>
          <w:i w:val="0"/>
          <w:sz w:val="24"/>
        </w:rPr>
        <w:t xml:space="preserve"> </w:t>
      </w:r>
    </w:p>
    <w:p w14:paraId="0CCDA60D" w14:textId="5372AFDA" w:rsidR="0095762F" w:rsidRDefault="00196DE4" w:rsidP="00B07768">
      <w:pPr>
        <w:pStyle w:val="Nadpis2"/>
        <w:spacing w:line="240" w:lineRule="auto"/>
        <w:jc w:val="left"/>
        <w:rPr>
          <w:shd w:val="clear" w:color="auto" w:fill="FFFFFF" w:themeFill="background1"/>
        </w:rPr>
      </w:pPr>
      <w:r>
        <w:t>5</w:t>
      </w:r>
      <w:r w:rsidR="0095762F">
        <w:t xml:space="preserve">. </w:t>
      </w:r>
      <w:r w:rsidR="000840E5">
        <w:rPr>
          <w:shd w:val="clear" w:color="auto" w:fill="FFFFFF" w:themeFill="background1"/>
        </w:rPr>
        <w:t>V</w:t>
      </w:r>
      <w:r w:rsidR="0034720A">
        <w:rPr>
          <w:shd w:val="clear" w:color="auto" w:fill="FFFFFF" w:themeFill="background1"/>
        </w:rPr>
        <w:t>yužívání majetku státu pro vzdělávací proces</w:t>
      </w:r>
      <w:r w:rsidR="00B13C41">
        <w:rPr>
          <w:shd w:val="clear" w:color="auto" w:fill="FFFFFF" w:themeFill="background1"/>
        </w:rPr>
        <w:t xml:space="preserve"> na státních vysokých školách</w:t>
      </w:r>
    </w:p>
    <w:p w14:paraId="4868031C" w14:textId="2D9CA104" w:rsidR="00F4041E" w:rsidRDefault="00381679" w:rsidP="00F404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UNOB ne</w:t>
      </w:r>
      <w:r w:rsidR="00DF4B0D">
        <w:rPr>
          <w:rFonts w:asciiTheme="minorHAnsi" w:hAnsiTheme="minorHAnsi" w:cstheme="minorHAnsi"/>
        </w:rPr>
        <w:t>ní</w:t>
      </w:r>
      <w:r w:rsidR="00BC763F">
        <w:rPr>
          <w:rFonts w:asciiTheme="minorHAnsi" w:hAnsiTheme="minorHAnsi" w:cstheme="minorHAnsi"/>
        </w:rPr>
        <w:t xml:space="preserve"> </w:t>
      </w:r>
      <w:r w:rsidR="00DF4B0D">
        <w:rPr>
          <w:rFonts w:asciiTheme="minorHAnsi" w:hAnsiTheme="minorHAnsi" w:cstheme="minorHAnsi"/>
        </w:rPr>
        <w:t>organizační složkou státu</w:t>
      </w:r>
      <w:r w:rsidR="00BC763F">
        <w:rPr>
          <w:rFonts w:asciiTheme="minorHAnsi" w:hAnsiTheme="minorHAnsi" w:cstheme="minorHAnsi"/>
        </w:rPr>
        <w:t xml:space="preserve"> a </w:t>
      </w:r>
      <w:r w:rsidR="00DF4B0D">
        <w:rPr>
          <w:rFonts w:asciiTheme="minorHAnsi" w:hAnsiTheme="minorHAnsi" w:cstheme="minorHAnsi"/>
        </w:rPr>
        <w:t>není účetní jednotkou</w:t>
      </w:r>
      <w:r>
        <w:rPr>
          <w:rFonts w:asciiTheme="minorHAnsi" w:hAnsiTheme="minorHAnsi" w:cstheme="minorHAnsi"/>
        </w:rPr>
        <w:t>. UNOB</w:t>
      </w:r>
      <w:r w:rsidR="00DA1551" w:rsidRPr="00381679">
        <w:rPr>
          <w:rFonts w:asciiTheme="minorHAnsi" w:hAnsiTheme="minorHAnsi" w:cstheme="minorHAnsi"/>
        </w:rPr>
        <w:t xml:space="preserve"> </w:t>
      </w:r>
      <w:r w:rsidR="00DF4B0D">
        <w:rPr>
          <w:rFonts w:asciiTheme="minorHAnsi" w:hAnsiTheme="minorHAnsi" w:cstheme="minorHAnsi"/>
        </w:rPr>
        <w:t xml:space="preserve">jako vnitřní organizační jednotka MO </w:t>
      </w:r>
      <w:r w:rsidR="00DA1551" w:rsidRPr="00381679">
        <w:rPr>
          <w:rFonts w:asciiTheme="minorHAnsi" w:hAnsiTheme="minorHAnsi" w:cstheme="minorHAnsi"/>
        </w:rPr>
        <w:t>je</w:t>
      </w:r>
      <w:r w:rsidR="00E9052C">
        <w:rPr>
          <w:rFonts w:asciiTheme="minorHAnsi" w:hAnsiTheme="minorHAnsi" w:cstheme="minorHAnsi"/>
        </w:rPr>
        <w:t xml:space="preserve"> výhradním</w:t>
      </w:r>
      <w:r w:rsidR="00DA1551" w:rsidRPr="00381679">
        <w:rPr>
          <w:rFonts w:asciiTheme="minorHAnsi" w:hAnsiTheme="minorHAnsi" w:cstheme="minorHAnsi"/>
        </w:rPr>
        <w:t xml:space="preserve"> uživatelem nemovitých věc</w:t>
      </w:r>
      <w:r w:rsidR="00551D5A">
        <w:rPr>
          <w:rFonts w:asciiTheme="minorHAnsi" w:hAnsiTheme="minorHAnsi" w:cstheme="minorHAnsi"/>
        </w:rPr>
        <w:t>í</w:t>
      </w:r>
      <w:r w:rsidR="00DA1551" w:rsidRPr="00381679">
        <w:rPr>
          <w:rFonts w:asciiTheme="minorHAnsi" w:hAnsiTheme="minorHAnsi" w:cstheme="minorHAnsi"/>
        </w:rPr>
        <w:t xml:space="preserve"> (budov, areálů a pozemků), </w:t>
      </w:r>
      <w:r>
        <w:rPr>
          <w:rFonts w:asciiTheme="minorHAnsi" w:hAnsiTheme="minorHAnsi" w:cstheme="minorHAnsi"/>
        </w:rPr>
        <w:t>se kterými má příslušnost</w:t>
      </w:r>
      <w:r w:rsidR="00DA1551" w:rsidRPr="00381679">
        <w:rPr>
          <w:rFonts w:asciiTheme="minorHAnsi" w:hAnsiTheme="minorHAnsi" w:cstheme="minorHAnsi"/>
        </w:rPr>
        <w:t xml:space="preserve"> hospodařit </w:t>
      </w:r>
      <w:r>
        <w:rPr>
          <w:rFonts w:asciiTheme="minorHAnsi" w:hAnsiTheme="minorHAnsi" w:cstheme="minorHAnsi"/>
        </w:rPr>
        <w:t>MO</w:t>
      </w:r>
      <w:r w:rsidR="00E9052C">
        <w:rPr>
          <w:rFonts w:asciiTheme="minorHAnsi" w:hAnsiTheme="minorHAnsi" w:cstheme="minorHAnsi"/>
        </w:rPr>
        <w:t xml:space="preserve">. </w:t>
      </w:r>
    </w:p>
    <w:p w14:paraId="594C2076" w14:textId="6CD9EABF" w:rsidR="00F4041E" w:rsidRDefault="00E9052C" w:rsidP="0059407B">
      <w:pPr>
        <w:ind w:left="0" w:firstLine="0"/>
      </w:pPr>
      <w:r>
        <w:t>MO ustanovilo</w:t>
      </w:r>
      <w:r w:rsidR="00032147">
        <w:t xml:space="preserve"> ke sledování</w:t>
      </w:r>
      <w:r w:rsidR="00032147" w:rsidRPr="00381679">
        <w:t xml:space="preserve"> </w:t>
      </w:r>
      <w:r w:rsidR="008750A9">
        <w:t>nákladů</w:t>
      </w:r>
      <w:r w:rsidR="008750A9" w:rsidRPr="00381679">
        <w:t xml:space="preserve"> </w:t>
      </w:r>
      <w:r w:rsidR="00032147" w:rsidRPr="00381679">
        <w:t>související</w:t>
      </w:r>
      <w:r w:rsidR="00032147">
        <w:t>ch</w:t>
      </w:r>
      <w:r w:rsidR="00032147" w:rsidRPr="00381679">
        <w:t xml:space="preserve"> s provozem nemovité</w:t>
      </w:r>
      <w:r w:rsidR="00032147">
        <w:t>ho</w:t>
      </w:r>
      <w:r w:rsidR="00032147" w:rsidRPr="00381679">
        <w:t xml:space="preserve"> </w:t>
      </w:r>
      <w:r w:rsidR="00032147">
        <w:t>majetku</w:t>
      </w:r>
      <w:r>
        <w:t xml:space="preserve"> </w:t>
      </w:r>
      <w:r w:rsidR="00524E1B">
        <w:t xml:space="preserve">užívaného UNOB </w:t>
      </w:r>
      <w:r w:rsidR="00032147">
        <w:t>Agenturu</w:t>
      </w:r>
      <w:r w:rsidR="00032147" w:rsidRPr="00381679">
        <w:t xml:space="preserve"> h</w:t>
      </w:r>
      <w:r w:rsidR="00032147">
        <w:t>ospodaření s nemovitým majetkem, která je organizační složkou MO,</w:t>
      </w:r>
      <w:r w:rsidR="00032147" w:rsidRPr="00381679">
        <w:t xml:space="preserve"> a Armádní </w:t>
      </w:r>
      <w:r w:rsidR="004B0303">
        <w:t>S</w:t>
      </w:r>
      <w:r w:rsidR="00032147" w:rsidRPr="00381679">
        <w:t>ervisní</w:t>
      </w:r>
      <w:r w:rsidR="00090807">
        <w:t>,</w:t>
      </w:r>
      <w:r w:rsidR="00032147">
        <w:t xml:space="preserve"> příspěvkov</w:t>
      </w:r>
      <w:r w:rsidR="00371C1E">
        <w:t>ou</w:t>
      </w:r>
      <w:r w:rsidR="00032147">
        <w:t xml:space="preserve"> organizac</w:t>
      </w:r>
      <w:r w:rsidR="00371C1E">
        <w:t>i</w:t>
      </w:r>
      <w:r w:rsidR="00032147">
        <w:t xml:space="preserve"> (dále také „ASPO“), která </w:t>
      </w:r>
      <w:r w:rsidR="008858C7">
        <w:t xml:space="preserve">byla zřízena </w:t>
      </w:r>
      <w:r w:rsidR="00032147">
        <w:t>MO.</w:t>
      </w:r>
      <w:r w:rsidR="00F4041E">
        <w:t xml:space="preserve"> </w:t>
      </w:r>
      <w:r w:rsidR="008858C7">
        <w:t>Dle nastaveného</w:t>
      </w:r>
      <w:r w:rsidR="00B45097">
        <w:t xml:space="preserve"> systému</w:t>
      </w:r>
      <w:r w:rsidR="008858C7">
        <w:t xml:space="preserve"> </w:t>
      </w:r>
      <w:r w:rsidR="00D77000">
        <w:t>MO</w:t>
      </w:r>
      <w:r w:rsidR="001B295D">
        <w:t xml:space="preserve"> </w:t>
      </w:r>
      <w:r w:rsidR="008858C7">
        <w:t>nem</w:t>
      </w:r>
      <w:r w:rsidR="00551D5A">
        <w:t>ěla</w:t>
      </w:r>
      <w:r w:rsidR="008858C7">
        <w:t xml:space="preserve"> </w:t>
      </w:r>
      <w:r w:rsidR="007233CA">
        <w:t xml:space="preserve">UNOB </w:t>
      </w:r>
      <w:r w:rsidR="00371C1E">
        <w:t xml:space="preserve">okamžitý </w:t>
      </w:r>
      <w:r w:rsidR="00C51BF0">
        <w:t xml:space="preserve">přístup </w:t>
      </w:r>
      <w:r w:rsidR="00F97E13">
        <w:t>k informacím</w:t>
      </w:r>
      <w:r w:rsidR="00C51BF0">
        <w:t xml:space="preserve"> </w:t>
      </w:r>
      <w:r w:rsidR="00F97E13">
        <w:t xml:space="preserve">o nákladech na provoz a </w:t>
      </w:r>
      <w:r w:rsidR="008858C7">
        <w:t>nem</w:t>
      </w:r>
      <w:r w:rsidR="00551D5A">
        <w:t>ohla</w:t>
      </w:r>
      <w:r w:rsidR="008858C7" w:rsidRPr="00D71CC8">
        <w:t xml:space="preserve"> </w:t>
      </w:r>
      <w:r w:rsidR="00EB0955">
        <w:t xml:space="preserve">tyto náklady </w:t>
      </w:r>
      <w:r w:rsidR="00DA57CC" w:rsidRPr="00D71CC8">
        <w:t xml:space="preserve">efektivně </w:t>
      </w:r>
      <w:r w:rsidR="008858C7">
        <w:t>analyzovat a optimalizovat.</w:t>
      </w:r>
      <w:r w:rsidR="00EB0955">
        <w:t xml:space="preserve"> Např. n</w:t>
      </w:r>
      <w:r w:rsidR="002D013A">
        <w:t xml:space="preserve">áklady spojené s provozem budov UNOB </w:t>
      </w:r>
      <w:r w:rsidR="00944989">
        <w:t xml:space="preserve">byly </w:t>
      </w:r>
      <w:r w:rsidR="002D013A">
        <w:t>po účetní stránce náklad</w:t>
      </w:r>
      <w:r w:rsidR="00D17BC5">
        <w:t>em</w:t>
      </w:r>
      <w:r w:rsidR="002D013A">
        <w:t xml:space="preserve"> ASPO. </w:t>
      </w:r>
    </w:p>
    <w:p w14:paraId="58864028" w14:textId="48C5E5C0" w:rsidR="00F4041E" w:rsidRPr="00B07768" w:rsidRDefault="00F97E13" w:rsidP="0059407B">
      <w:pPr>
        <w:ind w:left="0" w:firstLine="0"/>
      </w:pPr>
      <w:r w:rsidRPr="00F97E13">
        <w:t xml:space="preserve">NKÚ provedl vyhodnocení </w:t>
      </w:r>
      <w:r w:rsidR="00524E1B" w:rsidRPr="00F97E13">
        <w:t>naplněnost</w:t>
      </w:r>
      <w:r w:rsidR="00524E1B">
        <w:t>i</w:t>
      </w:r>
      <w:r w:rsidR="00524E1B" w:rsidRPr="00F97E13">
        <w:t xml:space="preserve"> učeben </w:t>
      </w:r>
      <w:r w:rsidR="00F01589">
        <w:t xml:space="preserve">UNOB </w:t>
      </w:r>
      <w:r w:rsidR="00F4041E">
        <w:t xml:space="preserve">na základě dat </w:t>
      </w:r>
      <w:r w:rsidR="00EB0955">
        <w:t xml:space="preserve">z roku 2019 </w:t>
      </w:r>
      <w:r w:rsidR="00F4041E">
        <w:t>o celkovém počtu učeben (522) a celkové</w:t>
      </w:r>
      <w:r w:rsidR="00EB0955">
        <w:t>m</w:t>
      </w:r>
      <w:r w:rsidR="00F4041E">
        <w:t xml:space="preserve"> počtu studentů (1 533). N</w:t>
      </w:r>
      <w:r w:rsidRPr="00F97E13">
        <w:t>a jednu</w:t>
      </w:r>
      <w:r w:rsidR="000C3098">
        <w:t xml:space="preserve"> učebnu </w:t>
      </w:r>
      <w:r w:rsidR="00F4041E">
        <w:t xml:space="preserve">tak </w:t>
      </w:r>
      <w:r w:rsidR="000C3098">
        <w:t>připad</w:t>
      </w:r>
      <w:r w:rsidRPr="00F97E13">
        <w:t xml:space="preserve">li </w:t>
      </w:r>
      <w:r w:rsidR="008E5CC0">
        <w:t>přibližně</w:t>
      </w:r>
      <w:r w:rsidRPr="00F97E13">
        <w:t xml:space="preserve"> tři studenti.</w:t>
      </w:r>
      <w:r w:rsidR="00894C3A">
        <w:t xml:space="preserve"> </w:t>
      </w:r>
    </w:p>
    <w:p w14:paraId="315830F3" w14:textId="0EB4C38F" w:rsidR="00245CC3" w:rsidRPr="00EB0955" w:rsidRDefault="004E54FC" w:rsidP="0059407B">
      <w:pPr>
        <w:ind w:left="0" w:firstLine="0"/>
      </w:pPr>
      <w:r>
        <w:rPr>
          <w:szCs w:val="24"/>
        </w:rPr>
        <w:t>U</w:t>
      </w:r>
      <w:r w:rsidR="00EB0955">
        <w:rPr>
          <w:szCs w:val="24"/>
        </w:rPr>
        <w:t>čebny</w:t>
      </w:r>
      <w:r w:rsidR="008D2489" w:rsidRPr="009F3394">
        <w:t xml:space="preserve"> PA ČR byly určeny pro 1 200 studentů. V období </w:t>
      </w:r>
      <w:r w:rsidR="0066182D">
        <w:t xml:space="preserve">2016 až 2019 </w:t>
      </w:r>
      <w:r w:rsidR="008D2489" w:rsidRPr="009F3394">
        <w:t xml:space="preserve">studovalo na škole ročně více </w:t>
      </w:r>
      <w:r w:rsidR="00503F15">
        <w:t>než</w:t>
      </w:r>
      <w:r w:rsidR="008D2489" w:rsidRPr="009F3394">
        <w:t xml:space="preserve"> 2 300 studentů, tak</w:t>
      </w:r>
      <w:r w:rsidR="00503F15">
        <w:t>že</w:t>
      </w:r>
      <w:r w:rsidR="008D2489" w:rsidRPr="009F3394">
        <w:t xml:space="preserve"> na každé jedno místo teoreticky připadali </w:t>
      </w:r>
      <w:r w:rsidR="004B1DEF">
        <w:t>témě</w:t>
      </w:r>
      <w:r w:rsidR="0016542D">
        <w:t>ř</w:t>
      </w:r>
      <w:r w:rsidR="00AA07AA">
        <w:t xml:space="preserve"> </w:t>
      </w:r>
      <w:r w:rsidR="008D2489" w:rsidRPr="009F3394">
        <w:t>dva studenti.</w:t>
      </w:r>
      <w:r w:rsidR="00F4041E">
        <w:t xml:space="preserve"> </w:t>
      </w:r>
      <w:r w:rsidR="00157386">
        <w:t xml:space="preserve">PA ČR využívala </w:t>
      </w:r>
      <w:r w:rsidR="00DE7A6E">
        <w:t xml:space="preserve">výhradně </w:t>
      </w:r>
      <w:r w:rsidR="00157386">
        <w:t xml:space="preserve">ke své vlastní činnosti </w:t>
      </w:r>
      <w:r w:rsidR="00F4041E">
        <w:t xml:space="preserve">přibližně </w:t>
      </w:r>
      <w:r w:rsidR="00E9052C">
        <w:t>66</w:t>
      </w:r>
      <w:r w:rsidR="00157386" w:rsidRPr="00187FFD">
        <w:t xml:space="preserve"> %</w:t>
      </w:r>
      <w:r w:rsidR="005E47EB">
        <w:t xml:space="preserve"> </w:t>
      </w:r>
      <w:r w:rsidR="00157386">
        <w:t>areálu</w:t>
      </w:r>
      <w:r w:rsidR="00F4041E">
        <w:t xml:space="preserve"> vysoké školy</w:t>
      </w:r>
      <w:r w:rsidR="00EB0955">
        <w:t>, z</w:t>
      </w:r>
      <w:r w:rsidR="0038306F">
        <w:t xml:space="preserve"> </w:t>
      </w:r>
      <w:r w:rsidR="00D34A59">
        <w:t>34</w:t>
      </w:r>
      <w:r w:rsidR="00157386">
        <w:t xml:space="preserve"> % </w:t>
      </w:r>
      <w:r w:rsidR="00F4041E">
        <w:t>jej v</w:t>
      </w:r>
      <w:r w:rsidR="00157386">
        <w:t xml:space="preserve">yužívaly </w:t>
      </w:r>
      <w:r w:rsidR="00F4041E">
        <w:t xml:space="preserve">další </w:t>
      </w:r>
      <w:r w:rsidR="00157386">
        <w:t>subjekty</w:t>
      </w:r>
      <w:r w:rsidR="00F4041E">
        <w:t xml:space="preserve"> (např. jiné útvary MV).</w:t>
      </w:r>
      <w:r w:rsidR="00EB0955">
        <w:t xml:space="preserve"> </w:t>
      </w:r>
    </w:p>
    <w:p w14:paraId="1F5A9BC4" w14:textId="77777777" w:rsidR="00D95BCF" w:rsidRDefault="00D95BCF" w:rsidP="0059407B">
      <w:pPr>
        <w:ind w:left="0" w:firstLine="0"/>
      </w:pPr>
      <w:r>
        <w:t xml:space="preserve">Využití areálu PA ČR dlouhodobě řeší i MV především </w:t>
      </w:r>
      <w:r w:rsidR="00D90267">
        <w:t>proto</w:t>
      </w:r>
      <w:r>
        <w:t xml:space="preserve">, že je využíván i jinými </w:t>
      </w:r>
      <w:r w:rsidR="00B31D4C">
        <w:t>složkami MV</w:t>
      </w:r>
      <w:r w:rsidR="005D3952">
        <w:rPr>
          <w:rStyle w:val="Znakapoznpodarou"/>
        </w:rPr>
        <w:footnoteReference w:id="22"/>
      </w:r>
      <w:r>
        <w:t>.</w:t>
      </w:r>
      <w:r w:rsidR="00B31D4C">
        <w:t xml:space="preserve"> </w:t>
      </w:r>
      <w:r w:rsidR="00D90267">
        <w:t xml:space="preserve">MV např. </w:t>
      </w:r>
      <w:r w:rsidR="00C24153">
        <w:t>v</w:t>
      </w:r>
      <w:r w:rsidR="005D3952">
        <w:t> roce 2016</w:t>
      </w:r>
      <w:r>
        <w:t xml:space="preserve"> </w:t>
      </w:r>
      <w:r w:rsidR="00245CC3">
        <w:t xml:space="preserve">prostřednictvím </w:t>
      </w:r>
      <w:r w:rsidR="007E369A">
        <w:t xml:space="preserve">návrhu </w:t>
      </w:r>
      <w:r w:rsidR="00C24153">
        <w:t>„</w:t>
      </w:r>
      <w:r w:rsidR="00245CC3">
        <w:t>zákona o vzdělávání na PA ČR</w:t>
      </w:r>
      <w:r w:rsidR="00C24153">
        <w:t>“</w:t>
      </w:r>
      <w:r w:rsidR="00245CC3">
        <w:t xml:space="preserve"> </w:t>
      </w:r>
      <w:r w:rsidR="005D3952">
        <w:t>usilovalo o převod majetku</w:t>
      </w:r>
      <w:r w:rsidR="00B31D4C">
        <w:t xml:space="preserve"> </w:t>
      </w:r>
      <w:r w:rsidR="005D3952">
        <w:t xml:space="preserve">pod </w:t>
      </w:r>
      <w:r>
        <w:t xml:space="preserve">Zařízení služeb </w:t>
      </w:r>
      <w:r w:rsidR="00EB0955">
        <w:t xml:space="preserve">pro </w:t>
      </w:r>
      <w:r>
        <w:t>Ministerstv</w:t>
      </w:r>
      <w:r w:rsidR="007E369A">
        <w:t>a</w:t>
      </w:r>
      <w:r>
        <w:t xml:space="preserve"> vnitra, které majetek</w:t>
      </w:r>
      <w:r w:rsidR="00EB0955">
        <w:t xml:space="preserve"> MV</w:t>
      </w:r>
      <w:r w:rsidR="005D3952" w:rsidRPr="005D3952">
        <w:t xml:space="preserve"> </w:t>
      </w:r>
      <w:r w:rsidR="005D3952">
        <w:t>spravuje</w:t>
      </w:r>
      <w:r w:rsidR="00245CC3">
        <w:t>. C</w:t>
      </w:r>
      <w:r w:rsidR="00835909">
        <w:t>ílem</w:t>
      </w:r>
      <w:r w:rsidR="00245CC3">
        <w:t xml:space="preserve"> </w:t>
      </w:r>
      <w:r w:rsidR="007E369A">
        <w:t xml:space="preserve">návrhu </w:t>
      </w:r>
      <w:r w:rsidR="005D3952">
        <w:t>mělo být</w:t>
      </w:r>
      <w:r w:rsidR="00245CC3">
        <w:t xml:space="preserve"> </w:t>
      </w:r>
      <w:r w:rsidR="00835909">
        <w:t>sjedno</w:t>
      </w:r>
      <w:r w:rsidR="001F2F99">
        <w:t>cení</w:t>
      </w:r>
      <w:r w:rsidR="00835909">
        <w:t xml:space="preserve"> právní</w:t>
      </w:r>
      <w:r w:rsidR="001F2F99">
        <w:t>ho</w:t>
      </w:r>
      <w:r w:rsidR="00835909">
        <w:t xml:space="preserve"> postavení státních vysokých škol.</w:t>
      </w:r>
      <w:r w:rsidR="00CD39B5">
        <w:t xml:space="preserve"> Návrh z</w:t>
      </w:r>
      <w:r w:rsidR="00835909">
        <w:t>ákona n</w:t>
      </w:r>
      <w:r w:rsidR="00CD39B5">
        <w:t>ebyl přijat a p</w:t>
      </w:r>
      <w:r w:rsidR="00B31D4C">
        <w:t xml:space="preserve">řevod </w:t>
      </w:r>
      <w:r>
        <w:t>nebyl</w:t>
      </w:r>
      <w:r w:rsidR="00245CC3">
        <w:t xml:space="preserve"> realizován.</w:t>
      </w:r>
    </w:p>
    <w:p w14:paraId="72167E99" w14:textId="13596254" w:rsidR="00196DE4" w:rsidRDefault="00196DE4" w:rsidP="0059407B">
      <w:pPr>
        <w:pStyle w:val="Nadpis2"/>
        <w:spacing w:before="0" w:line="240" w:lineRule="auto"/>
        <w:ind w:left="284" w:hanging="284"/>
        <w:jc w:val="left"/>
      </w:pPr>
      <w:r>
        <w:t xml:space="preserve">6. </w:t>
      </w:r>
      <w:r w:rsidR="0059407B">
        <w:tab/>
      </w:r>
      <w:r w:rsidR="0042378C">
        <w:t>Prodlužování realizace</w:t>
      </w:r>
      <w:r w:rsidR="0042378C" w:rsidRPr="00CB6276">
        <w:t xml:space="preserve"> program</w:t>
      </w:r>
      <w:r w:rsidR="00CD2C59">
        <w:t>u</w:t>
      </w:r>
      <w:r w:rsidR="0042378C" w:rsidRPr="00CB6276">
        <w:t xml:space="preserve"> materiálně technické základny</w:t>
      </w:r>
      <w:r w:rsidR="005425DE">
        <w:t xml:space="preserve"> na MV a chybějící parametr u investiční akce na MO</w:t>
      </w:r>
      <w:r w:rsidR="0042378C">
        <w:t xml:space="preserve"> </w:t>
      </w:r>
    </w:p>
    <w:p w14:paraId="6403AFF6" w14:textId="47BEF251" w:rsidR="00184DC9" w:rsidRDefault="003961C6" w:rsidP="005F21B5">
      <w:r>
        <w:rPr>
          <w:rFonts w:cstheme="minorHAnsi"/>
          <w:bCs/>
        </w:rPr>
        <w:t>MV stanovilo jako h</w:t>
      </w:r>
      <w:r w:rsidR="009028C9" w:rsidRPr="00A977FA">
        <w:rPr>
          <w:rFonts w:cstheme="minorHAnsi"/>
          <w:bCs/>
        </w:rPr>
        <w:t xml:space="preserve">lavní cíl </w:t>
      </w:r>
      <w:r w:rsidR="00D90267">
        <w:rPr>
          <w:rFonts w:cstheme="minorHAnsi"/>
          <w:bCs/>
        </w:rPr>
        <w:t>p</w:t>
      </w:r>
      <w:r w:rsidR="009028C9">
        <w:rPr>
          <w:rFonts w:cstheme="minorHAnsi"/>
          <w:bCs/>
        </w:rPr>
        <w:t xml:space="preserve">rogramu </w:t>
      </w:r>
      <w:r w:rsidR="00D90267">
        <w:rPr>
          <w:rFonts w:cstheme="minorHAnsi"/>
          <w:bCs/>
        </w:rPr>
        <w:t xml:space="preserve">č. </w:t>
      </w:r>
      <w:r w:rsidR="009028C9" w:rsidRPr="00CC546B">
        <w:rPr>
          <w:rFonts w:cstheme="minorHAnsi"/>
          <w:bCs/>
        </w:rPr>
        <w:t>114V02</w:t>
      </w:r>
      <w:r w:rsidR="00503F15">
        <w:rPr>
          <w:rFonts w:cstheme="minorHAnsi"/>
          <w:bCs/>
        </w:rPr>
        <w:t> </w:t>
      </w:r>
      <w:r w:rsidR="00503F15" w:rsidRPr="008619FF">
        <w:rPr>
          <w:rFonts w:cstheme="minorHAnsi"/>
          <w:bCs/>
          <w:i/>
        </w:rPr>
        <w:t>–</w:t>
      </w:r>
      <w:r w:rsidR="009028C9" w:rsidRPr="00CC546B">
        <w:rPr>
          <w:rFonts w:cstheme="minorHAnsi"/>
          <w:bCs/>
          <w:i/>
        </w:rPr>
        <w:t xml:space="preserve"> </w:t>
      </w:r>
      <w:r w:rsidR="00FA0CD0" w:rsidRPr="008619FF">
        <w:rPr>
          <w:rFonts w:cstheme="minorHAnsi"/>
          <w:bCs/>
          <w:i/>
        </w:rPr>
        <w:t>Rozvoj a obnova materiálně</w:t>
      </w:r>
      <w:r w:rsidR="00503F15">
        <w:rPr>
          <w:rFonts w:cstheme="minorHAnsi"/>
          <w:bCs/>
          <w:i/>
        </w:rPr>
        <w:t>-</w:t>
      </w:r>
      <w:r w:rsidR="00FA0CD0" w:rsidRPr="008619FF">
        <w:rPr>
          <w:rFonts w:cstheme="minorHAnsi"/>
          <w:bCs/>
          <w:i/>
        </w:rPr>
        <w:t>technické základny školství, vzdělávání a tělovýchovy</w:t>
      </w:r>
      <w:r w:rsidR="00FA0CD0" w:rsidRPr="00A977FA">
        <w:rPr>
          <w:rFonts w:cstheme="minorHAnsi"/>
          <w:bCs/>
        </w:rPr>
        <w:t xml:space="preserve"> </w:t>
      </w:r>
      <w:r w:rsidR="009028C9" w:rsidRPr="00A977FA">
        <w:rPr>
          <w:rFonts w:cstheme="minorHAnsi"/>
          <w:bCs/>
        </w:rPr>
        <w:t>realizac</w:t>
      </w:r>
      <w:r>
        <w:rPr>
          <w:rFonts w:cstheme="minorHAnsi"/>
          <w:bCs/>
        </w:rPr>
        <w:t>i</w:t>
      </w:r>
      <w:r w:rsidR="001318C1">
        <w:rPr>
          <w:rFonts w:cstheme="minorHAnsi"/>
          <w:bCs/>
        </w:rPr>
        <w:t xml:space="preserve"> </w:t>
      </w:r>
      <w:r w:rsidR="009028C9" w:rsidRPr="00A977FA">
        <w:rPr>
          <w:rFonts w:cstheme="minorHAnsi"/>
          <w:bCs/>
        </w:rPr>
        <w:t xml:space="preserve">schválené </w:t>
      </w:r>
      <w:r w:rsidR="009028C9" w:rsidRPr="00122E11">
        <w:rPr>
          <w:i/>
        </w:rPr>
        <w:t>Koncepc</w:t>
      </w:r>
      <w:r w:rsidR="001318C1">
        <w:rPr>
          <w:i/>
        </w:rPr>
        <w:t>e</w:t>
      </w:r>
      <w:r w:rsidR="009028C9" w:rsidRPr="00122E11">
        <w:rPr>
          <w:i/>
        </w:rPr>
        <w:t xml:space="preserve"> celoživotního vzdělávání příslušníků Policie České republiky</w:t>
      </w:r>
      <w:r w:rsidR="009028C9" w:rsidRPr="00A977FA">
        <w:rPr>
          <w:rFonts w:cstheme="minorHAnsi"/>
          <w:bCs/>
        </w:rPr>
        <w:t>.</w:t>
      </w:r>
      <w:r w:rsidR="009028C9">
        <w:t xml:space="preserve"> </w:t>
      </w:r>
      <w:r w:rsidR="000C62BC">
        <w:rPr>
          <w:rFonts w:cstheme="minorHAnsi"/>
          <w:bCs/>
        </w:rPr>
        <w:t>D</w:t>
      </w:r>
      <w:r w:rsidR="000C62BC" w:rsidRPr="00FE7C0F">
        <w:rPr>
          <w:rFonts w:cstheme="minorHAnsi"/>
          <w:bCs/>
        </w:rPr>
        <w:t xml:space="preserve">okumentace programu neobsahovala soubor </w:t>
      </w:r>
      <w:r w:rsidR="000C62BC" w:rsidRPr="00831942">
        <w:t>konkrétních akcí na pořízení nebo technické zhodnocení hmotného a nehmotného dlouhodobého majetku</w:t>
      </w:r>
      <w:r w:rsidR="000C62BC">
        <w:t xml:space="preserve"> určených k realizaci. </w:t>
      </w:r>
      <w:r w:rsidR="00227E9D" w:rsidRPr="00122E11">
        <w:t xml:space="preserve">MV prodloužilo období realizace </w:t>
      </w:r>
      <w:r w:rsidR="00D90267">
        <w:t>p</w:t>
      </w:r>
      <w:r w:rsidR="00227E9D" w:rsidRPr="00122E11">
        <w:t xml:space="preserve">rogramu </w:t>
      </w:r>
      <w:r w:rsidR="000C62BC">
        <w:t xml:space="preserve">v letech 2011 </w:t>
      </w:r>
      <w:r w:rsidR="00E245A3">
        <w:t>až</w:t>
      </w:r>
      <w:r w:rsidR="000C62BC">
        <w:t xml:space="preserve"> 2015 </w:t>
      </w:r>
      <w:r w:rsidR="00227E9D" w:rsidRPr="00122E11">
        <w:t xml:space="preserve">prostřednictvím pěti doplňků o </w:t>
      </w:r>
      <w:r>
        <w:t xml:space="preserve">další </w:t>
      </w:r>
      <w:r w:rsidR="00227E9D" w:rsidRPr="00122E11">
        <w:t>čtyři roky, tj. o 80 %</w:t>
      </w:r>
      <w:r w:rsidR="00D90267">
        <w:t>.</w:t>
      </w:r>
      <w:r w:rsidR="00227E9D" w:rsidRPr="00122E11">
        <w:t xml:space="preserve"> </w:t>
      </w:r>
      <w:r w:rsidR="005F21B5">
        <w:rPr>
          <w:rFonts w:asciiTheme="minorHAnsi" w:hAnsiTheme="minorHAnsi" w:cstheme="minorHAnsi"/>
        </w:rPr>
        <w:t>V kontrolovaném období bylo na investiční akce</w:t>
      </w:r>
      <w:r w:rsidR="005F21B5" w:rsidRPr="000C62BC">
        <w:rPr>
          <w:rFonts w:asciiTheme="minorHAnsi" w:hAnsiTheme="minorHAnsi" w:cstheme="minorHAnsi"/>
        </w:rPr>
        <w:t xml:space="preserve"> </w:t>
      </w:r>
      <w:r w:rsidR="005F21B5">
        <w:rPr>
          <w:rFonts w:asciiTheme="minorHAnsi" w:hAnsiTheme="minorHAnsi" w:cstheme="minorHAnsi"/>
        </w:rPr>
        <w:t>PA ČR vynaloženo 12 656 tis. Kč.</w:t>
      </w:r>
    </w:p>
    <w:p w14:paraId="7C825E49" w14:textId="255033B9" w:rsidR="000C62BC" w:rsidRDefault="003961C6" w:rsidP="005D395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 stanovilo </w:t>
      </w:r>
      <w:r w:rsidR="0097569F">
        <w:rPr>
          <w:rFonts w:asciiTheme="minorHAnsi" w:hAnsiTheme="minorHAnsi" w:cstheme="minorHAnsi"/>
        </w:rPr>
        <w:t xml:space="preserve">jako </w:t>
      </w:r>
      <w:r w:rsidRPr="005D3952">
        <w:rPr>
          <w:rFonts w:asciiTheme="minorHAnsi" w:hAnsiTheme="minorHAnsi" w:cstheme="minorHAnsi"/>
        </w:rPr>
        <w:t>h</w:t>
      </w:r>
      <w:r w:rsidR="00970A76" w:rsidRPr="005D3952">
        <w:rPr>
          <w:rFonts w:asciiTheme="minorHAnsi" w:hAnsiTheme="minorHAnsi" w:cstheme="minorHAnsi"/>
        </w:rPr>
        <w:t>lavní cíl</w:t>
      </w:r>
      <w:r w:rsidR="005D3952">
        <w:rPr>
          <w:rFonts w:asciiTheme="minorHAnsi" w:hAnsiTheme="minorHAnsi" w:cstheme="minorHAnsi"/>
        </w:rPr>
        <w:t xml:space="preserve"> </w:t>
      </w:r>
      <w:r w:rsidR="00970A76" w:rsidRPr="005D3952">
        <w:rPr>
          <w:rFonts w:asciiTheme="minorHAnsi" w:hAnsiTheme="minorHAnsi" w:cstheme="minorHAnsi"/>
        </w:rPr>
        <w:t xml:space="preserve">podprogramu </w:t>
      </w:r>
      <w:r w:rsidR="00FA0CD0">
        <w:rPr>
          <w:rFonts w:asciiTheme="minorHAnsi" w:hAnsiTheme="minorHAnsi" w:cstheme="minorHAnsi"/>
        </w:rPr>
        <w:t xml:space="preserve">č. </w:t>
      </w:r>
      <w:r w:rsidR="00970A76" w:rsidRPr="005D3952">
        <w:rPr>
          <w:rFonts w:asciiTheme="minorHAnsi" w:hAnsiTheme="minorHAnsi" w:cstheme="minorHAnsi"/>
        </w:rPr>
        <w:t>107 702</w:t>
      </w:r>
      <w:r w:rsidR="00DD6313">
        <w:rPr>
          <w:rFonts w:asciiTheme="minorHAnsi" w:hAnsiTheme="minorHAnsi" w:cstheme="minorHAnsi"/>
        </w:rPr>
        <w:t> </w:t>
      </w:r>
      <w:r w:rsidR="00DD6313" w:rsidRPr="008619FF">
        <w:rPr>
          <w:rFonts w:cstheme="minorHAnsi"/>
          <w:bCs/>
          <w:i/>
        </w:rPr>
        <w:t>–</w:t>
      </w:r>
      <w:r w:rsidR="00970A76" w:rsidRPr="005D3952">
        <w:rPr>
          <w:rFonts w:asciiTheme="minorHAnsi" w:hAnsiTheme="minorHAnsi" w:cstheme="minorHAnsi"/>
        </w:rPr>
        <w:t xml:space="preserve"> </w:t>
      </w:r>
      <w:r w:rsidR="00970A76" w:rsidRPr="005D3952">
        <w:rPr>
          <w:rFonts w:asciiTheme="minorHAnsi" w:hAnsiTheme="minorHAnsi" w:cstheme="minorHAnsi"/>
          <w:i/>
        </w:rPr>
        <w:t>Personál – řízení lidských zdrojů</w:t>
      </w:r>
      <w:r w:rsidR="00970A76">
        <w:rPr>
          <w:rFonts w:asciiTheme="minorHAnsi" w:hAnsiTheme="minorHAnsi" w:cstheme="minorHAnsi"/>
        </w:rPr>
        <w:t xml:space="preserve"> </w:t>
      </w:r>
      <w:r w:rsidR="00FA0CD0">
        <w:rPr>
          <w:rFonts w:asciiTheme="minorHAnsi" w:hAnsiTheme="minorHAnsi" w:cstheme="minorHAnsi"/>
        </w:rPr>
        <w:t>p</w:t>
      </w:r>
      <w:r w:rsidR="005D3952">
        <w:rPr>
          <w:rFonts w:asciiTheme="minorHAnsi" w:hAnsiTheme="minorHAnsi" w:cstheme="minorHAnsi"/>
        </w:rPr>
        <w:t>rogramu</w:t>
      </w:r>
      <w:r w:rsidR="00FA0CD0">
        <w:rPr>
          <w:rFonts w:asciiTheme="minorHAnsi" w:hAnsiTheme="minorHAnsi" w:cstheme="minorHAnsi"/>
        </w:rPr>
        <w:t xml:space="preserve"> č. </w:t>
      </w:r>
      <w:r w:rsidR="005D3952">
        <w:rPr>
          <w:rFonts w:asciiTheme="minorHAnsi" w:hAnsiTheme="minorHAnsi" w:cstheme="minorHAnsi"/>
        </w:rPr>
        <w:t xml:space="preserve">107 700 – </w:t>
      </w:r>
      <w:r w:rsidR="005D3952" w:rsidRPr="005D3952">
        <w:rPr>
          <w:rFonts w:asciiTheme="minorHAnsi" w:hAnsiTheme="minorHAnsi" w:cstheme="minorHAnsi"/>
          <w:i/>
        </w:rPr>
        <w:t>Strategické řízení obrany státu</w:t>
      </w:r>
      <w:r w:rsidR="005D39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zajištění</w:t>
      </w:r>
      <w:r w:rsidR="00970A76">
        <w:rPr>
          <w:rFonts w:asciiTheme="minorHAnsi" w:hAnsiTheme="minorHAnsi" w:cstheme="minorHAnsi"/>
        </w:rPr>
        <w:t xml:space="preserve"> podmín</w:t>
      </w:r>
      <w:r>
        <w:rPr>
          <w:rFonts w:asciiTheme="minorHAnsi" w:hAnsiTheme="minorHAnsi" w:cstheme="minorHAnsi"/>
        </w:rPr>
        <w:t>e</w:t>
      </w:r>
      <w:r w:rsidR="00970A76">
        <w:rPr>
          <w:rFonts w:asciiTheme="minorHAnsi" w:hAnsiTheme="minorHAnsi" w:cstheme="minorHAnsi"/>
        </w:rPr>
        <w:t>k pro zavedení flexibilního systému strategického plánování a řízení stavu a vývoje lidských zdrojů k zabránění stárnutí ozbrojených sil</w:t>
      </w:r>
      <w:r>
        <w:rPr>
          <w:rFonts w:asciiTheme="minorHAnsi" w:hAnsiTheme="minorHAnsi" w:cstheme="minorHAnsi"/>
        </w:rPr>
        <w:t xml:space="preserve"> a r</w:t>
      </w:r>
      <w:r w:rsidR="00970A76">
        <w:rPr>
          <w:rFonts w:asciiTheme="minorHAnsi" w:hAnsiTheme="minorHAnsi" w:cstheme="minorHAnsi"/>
        </w:rPr>
        <w:t xml:space="preserve">ozvíjení získaného a udržení zkušeného a připraveného personálu. </w:t>
      </w:r>
      <w:r w:rsidR="00E91FBB">
        <w:rPr>
          <w:rFonts w:asciiTheme="minorHAnsi" w:hAnsiTheme="minorHAnsi" w:cstheme="minorHAnsi"/>
        </w:rPr>
        <w:t xml:space="preserve">Podprogram </w:t>
      </w:r>
      <w:r w:rsidR="00E91FBB" w:rsidRPr="0004238E">
        <w:rPr>
          <w:rFonts w:asciiTheme="minorHAnsi" w:hAnsiTheme="minorHAnsi" w:cstheme="minorHAnsi"/>
        </w:rPr>
        <w:t xml:space="preserve">byl schválen na období 2013 </w:t>
      </w:r>
      <w:r w:rsidR="00673CD3">
        <w:rPr>
          <w:rFonts w:asciiTheme="minorHAnsi" w:hAnsiTheme="minorHAnsi" w:cstheme="minorHAnsi"/>
        </w:rPr>
        <w:t>až</w:t>
      </w:r>
      <w:r w:rsidR="00673CD3" w:rsidRPr="0004238E">
        <w:rPr>
          <w:rFonts w:asciiTheme="minorHAnsi" w:hAnsiTheme="minorHAnsi" w:cstheme="minorHAnsi"/>
        </w:rPr>
        <w:t xml:space="preserve"> </w:t>
      </w:r>
      <w:r w:rsidR="00E91FBB" w:rsidRPr="0004238E">
        <w:rPr>
          <w:rFonts w:asciiTheme="minorHAnsi" w:hAnsiTheme="minorHAnsi" w:cstheme="minorHAnsi"/>
        </w:rPr>
        <w:t>2018, přičemž v závěru roku 2018 byl</w:t>
      </w:r>
      <w:r w:rsidR="004B7A5E">
        <w:rPr>
          <w:rFonts w:asciiTheme="minorHAnsi" w:hAnsiTheme="minorHAnsi" w:cstheme="minorHAnsi"/>
        </w:rPr>
        <w:t xml:space="preserve"> </w:t>
      </w:r>
      <w:r w:rsidR="00E91FBB" w:rsidRPr="0004238E">
        <w:rPr>
          <w:rFonts w:asciiTheme="minorHAnsi" w:hAnsiTheme="minorHAnsi" w:cstheme="minorHAnsi"/>
        </w:rPr>
        <w:t>prodloužen do prosince 2019.</w:t>
      </w:r>
      <w:r w:rsidR="000C62BC">
        <w:rPr>
          <w:rFonts w:asciiTheme="minorHAnsi" w:hAnsiTheme="minorHAnsi" w:cstheme="minorHAnsi"/>
        </w:rPr>
        <w:t xml:space="preserve"> V kontrolovaném období bylo na investiční akce</w:t>
      </w:r>
      <w:r w:rsidR="000C62BC" w:rsidRPr="000C62BC">
        <w:rPr>
          <w:rFonts w:asciiTheme="minorHAnsi" w:hAnsiTheme="minorHAnsi" w:cstheme="minorHAnsi"/>
        </w:rPr>
        <w:t xml:space="preserve"> </w:t>
      </w:r>
      <w:r w:rsidR="000C62BC">
        <w:rPr>
          <w:rFonts w:asciiTheme="minorHAnsi" w:hAnsiTheme="minorHAnsi" w:cstheme="minorHAnsi"/>
        </w:rPr>
        <w:t xml:space="preserve">UNOB vynaloženo </w:t>
      </w:r>
      <w:r w:rsidR="004B1DEF">
        <w:rPr>
          <w:rFonts w:cstheme="minorHAnsi"/>
          <w:szCs w:val="24"/>
        </w:rPr>
        <w:t>202 900 </w:t>
      </w:r>
      <w:r w:rsidR="000C62BC" w:rsidRPr="00052EBD">
        <w:rPr>
          <w:rFonts w:cstheme="minorHAnsi"/>
          <w:szCs w:val="24"/>
        </w:rPr>
        <w:t>tis. Kč.</w:t>
      </w:r>
    </w:p>
    <w:p w14:paraId="30680245" w14:textId="00DE7754" w:rsidR="00CD0F59" w:rsidRDefault="000C62BC" w:rsidP="00B07768">
      <w:pPr>
        <w:spacing w:after="0"/>
        <w:ind w:left="0" w:firstLine="0"/>
        <w:rPr>
          <w:rStyle w:val="CharStyle7"/>
          <w:rFonts w:cstheme="minorHAnsi"/>
          <w:bCs/>
          <w:iCs/>
          <w:szCs w:val="24"/>
        </w:rPr>
      </w:pPr>
      <w:r>
        <w:rPr>
          <w:rFonts w:asciiTheme="minorHAnsi" w:hAnsiTheme="minorHAnsi"/>
        </w:rPr>
        <w:t xml:space="preserve">NKÚ při kontrole </w:t>
      </w:r>
      <w:r w:rsidR="006D0627" w:rsidRPr="00052EBD">
        <w:t xml:space="preserve">investiční akce č. 107702001401 </w:t>
      </w:r>
      <w:r w:rsidR="006D0627" w:rsidRPr="00052EBD">
        <w:rPr>
          <w:i/>
        </w:rPr>
        <w:t xml:space="preserve">Brno – rekonstrukce velitelství UO – Kounicova 65 </w:t>
      </w:r>
      <w:r>
        <w:t xml:space="preserve">zjistil, že </w:t>
      </w:r>
      <w:r w:rsidR="00052EBD" w:rsidRPr="00052EBD">
        <w:t>MO</w:t>
      </w:r>
      <w:r w:rsidR="00052EBD" w:rsidRPr="00052EBD">
        <w:rPr>
          <w:rStyle w:val="CharStyle7"/>
          <w:rFonts w:cstheme="minorHAnsi"/>
          <w:iCs/>
          <w:szCs w:val="24"/>
        </w:rPr>
        <w:t xml:space="preserve"> </w:t>
      </w:r>
      <w:r w:rsidRPr="00052EBD">
        <w:rPr>
          <w:rStyle w:val="CharStyle7"/>
          <w:rFonts w:cstheme="minorHAnsi"/>
          <w:iCs/>
          <w:szCs w:val="24"/>
        </w:rPr>
        <w:t xml:space="preserve">stanovilo </w:t>
      </w:r>
      <w:r w:rsidR="004B7A5E">
        <w:rPr>
          <w:rStyle w:val="CharStyle7"/>
          <w:rFonts w:cstheme="minorHAnsi"/>
          <w:iCs/>
          <w:szCs w:val="24"/>
        </w:rPr>
        <w:t xml:space="preserve">pouze </w:t>
      </w:r>
      <w:r w:rsidR="006D0627" w:rsidRPr="00052EBD">
        <w:rPr>
          <w:rStyle w:val="CharStyle7"/>
          <w:rFonts w:cstheme="minorHAnsi"/>
          <w:iCs/>
          <w:szCs w:val="24"/>
        </w:rPr>
        <w:t>cíle akce, ale již nedefinovalo parametry nebo indikátory jako měřitelné věcné ukazatele</w:t>
      </w:r>
      <w:r w:rsidR="004B7A5E">
        <w:rPr>
          <w:rStyle w:val="CharStyle7"/>
          <w:rFonts w:cstheme="minorHAnsi"/>
          <w:iCs/>
          <w:szCs w:val="24"/>
        </w:rPr>
        <w:t xml:space="preserve">. Postup nebyl </w:t>
      </w:r>
      <w:r w:rsidR="006D0627" w:rsidRPr="00052EBD">
        <w:rPr>
          <w:rStyle w:val="CharStyle7"/>
          <w:rFonts w:cstheme="minorHAnsi"/>
          <w:bCs/>
          <w:iCs/>
          <w:szCs w:val="24"/>
        </w:rPr>
        <w:t xml:space="preserve">v rozporu </w:t>
      </w:r>
      <w:r w:rsidR="005F21B5">
        <w:rPr>
          <w:rStyle w:val="CharStyle7"/>
          <w:rFonts w:cstheme="minorHAnsi"/>
          <w:bCs/>
          <w:iCs/>
          <w:szCs w:val="24"/>
        </w:rPr>
        <w:t xml:space="preserve">s </w:t>
      </w:r>
      <w:r w:rsidR="00052EBD">
        <w:rPr>
          <w:rStyle w:val="CharStyle7"/>
          <w:rFonts w:cstheme="minorHAnsi"/>
          <w:bCs/>
          <w:iCs/>
          <w:szCs w:val="24"/>
        </w:rPr>
        <w:t>ustanoveními zákona č. 218/2000 Sb.</w:t>
      </w:r>
      <w:r w:rsidR="006D0627" w:rsidRPr="00052EBD">
        <w:rPr>
          <w:rStyle w:val="CharStyle7"/>
          <w:rFonts w:cstheme="minorHAnsi"/>
          <w:bCs/>
          <w:iCs/>
          <w:szCs w:val="24"/>
        </w:rPr>
        <w:t xml:space="preserve"> a vyhlášky</w:t>
      </w:r>
      <w:r w:rsidR="00052EBD">
        <w:rPr>
          <w:rStyle w:val="CharStyle7"/>
          <w:rFonts w:cstheme="minorHAnsi"/>
          <w:bCs/>
          <w:iCs/>
          <w:szCs w:val="24"/>
        </w:rPr>
        <w:t xml:space="preserve"> č. </w:t>
      </w:r>
      <w:r w:rsidR="006D0627" w:rsidRPr="00052EBD">
        <w:rPr>
          <w:rStyle w:val="CharStyle7"/>
          <w:rFonts w:cstheme="minorHAnsi"/>
          <w:bCs/>
          <w:iCs/>
          <w:szCs w:val="24"/>
        </w:rPr>
        <w:t>560/2006 Sb.</w:t>
      </w:r>
      <w:r w:rsidR="00AD24A8">
        <w:rPr>
          <w:rStyle w:val="Znakapoznpodarou"/>
          <w:rFonts w:cstheme="minorHAnsi"/>
          <w:bCs/>
          <w:iCs/>
          <w:szCs w:val="24"/>
          <w:shd w:val="clear" w:color="auto" w:fill="FFFFFF"/>
        </w:rPr>
        <w:footnoteReference w:id="23"/>
      </w:r>
      <w:r w:rsidR="004B7A5E">
        <w:rPr>
          <w:rStyle w:val="CharStyle7"/>
          <w:rFonts w:cstheme="minorHAnsi"/>
          <w:iCs/>
          <w:szCs w:val="24"/>
        </w:rPr>
        <w:t xml:space="preserve">, ale NKÚ </w:t>
      </w:r>
      <w:r w:rsidR="00875BCB">
        <w:rPr>
          <w:rStyle w:val="CharStyle7"/>
          <w:rFonts w:cstheme="minorHAnsi"/>
          <w:iCs/>
          <w:szCs w:val="24"/>
        </w:rPr>
        <w:t>konstatoval</w:t>
      </w:r>
      <w:r w:rsidR="004B7A5E">
        <w:rPr>
          <w:rStyle w:val="CharStyle7"/>
          <w:rFonts w:cstheme="minorHAnsi"/>
          <w:iCs/>
          <w:szCs w:val="24"/>
        </w:rPr>
        <w:t xml:space="preserve">, že </w:t>
      </w:r>
      <w:r w:rsidR="006D0627" w:rsidRPr="00052EBD">
        <w:rPr>
          <w:rStyle w:val="CharStyle7"/>
          <w:rFonts w:cstheme="minorHAnsi"/>
          <w:iCs/>
          <w:szCs w:val="24"/>
        </w:rPr>
        <w:t xml:space="preserve">bude obtížné vyhodnotit </w:t>
      </w:r>
      <w:r w:rsidR="00052EBD" w:rsidRPr="00052EBD">
        <w:rPr>
          <w:rStyle w:val="CharStyle7"/>
          <w:rFonts w:cstheme="minorHAnsi"/>
          <w:iCs/>
          <w:szCs w:val="24"/>
        </w:rPr>
        <w:t xml:space="preserve">cíl </w:t>
      </w:r>
      <w:r w:rsidR="006D0627" w:rsidRPr="00052EBD">
        <w:rPr>
          <w:rStyle w:val="CharStyle7"/>
          <w:rFonts w:cstheme="minorHAnsi"/>
          <w:iCs/>
          <w:szCs w:val="24"/>
        </w:rPr>
        <w:t>ve vztahu k efektivnosti vynaložených peněžních prostředků</w:t>
      </w:r>
      <w:r w:rsidR="00C36775">
        <w:rPr>
          <w:rStyle w:val="CharStyle7"/>
          <w:rFonts w:cstheme="minorHAnsi"/>
          <w:iCs/>
          <w:szCs w:val="24"/>
        </w:rPr>
        <w:t xml:space="preserve"> státu</w:t>
      </w:r>
      <w:r w:rsidR="006D0627" w:rsidRPr="00052EBD">
        <w:rPr>
          <w:rStyle w:val="CharStyle7"/>
          <w:rFonts w:cstheme="minorHAnsi"/>
          <w:iCs/>
          <w:szCs w:val="24"/>
        </w:rPr>
        <w:t>.</w:t>
      </w:r>
      <w:r w:rsidR="006D0627" w:rsidRPr="00CB717F">
        <w:rPr>
          <w:rStyle w:val="CharStyle7"/>
          <w:rFonts w:cstheme="minorHAnsi"/>
          <w:iCs/>
          <w:szCs w:val="24"/>
        </w:rPr>
        <w:t xml:space="preserve"> </w:t>
      </w:r>
      <w:r w:rsidR="006D0627" w:rsidRPr="00052EBD">
        <w:rPr>
          <w:rStyle w:val="CharStyle7"/>
          <w:rFonts w:cstheme="minorHAnsi"/>
          <w:iCs/>
          <w:szCs w:val="24"/>
        </w:rPr>
        <w:t xml:space="preserve">MO </w:t>
      </w:r>
      <w:r>
        <w:rPr>
          <w:rStyle w:val="CharStyle7"/>
          <w:rFonts w:cstheme="minorHAnsi"/>
          <w:iCs/>
          <w:szCs w:val="24"/>
        </w:rPr>
        <w:t xml:space="preserve">se zavázalo </w:t>
      </w:r>
      <w:r w:rsidR="008053AD">
        <w:t xml:space="preserve">po ukončení kontroly NKÚ </w:t>
      </w:r>
      <w:r>
        <w:rPr>
          <w:rStyle w:val="CharStyle7"/>
          <w:rFonts w:cstheme="minorHAnsi"/>
          <w:iCs/>
          <w:szCs w:val="24"/>
        </w:rPr>
        <w:t xml:space="preserve">přijmout </w:t>
      </w:r>
      <w:r w:rsidR="006D0627" w:rsidRPr="00052EBD">
        <w:rPr>
          <w:rStyle w:val="CharStyle7"/>
          <w:rFonts w:cstheme="minorHAnsi"/>
          <w:bCs/>
          <w:iCs/>
          <w:szCs w:val="24"/>
        </w:rPr>
        <w:t xml:space="preserve">opatření ve formě metodického usměrnění postupů při definování závazných ukazatelů akcí, kdy </w:t>
      </w:r>
      <w:r w:rsidR="004B7A5E">
        <w:rPr>
          <w:rStyle w:val="CharStyle7"/>
          <w:rFonts w:cstheme="minorHAnsi"/>
          <w:bCs/>
          <w:iCs/>
          <w:szCs w:val="24"/>
        </w:rPr>
        <w:t xml:space="preserve">technický </w:t>
      </w:r>
      <w:r w:rsidR="006D0627" w:rsidRPr="00052EBD">
        <w:rPr>
          <w:rStyle w:val="CharStyle7"/>
          <w:rFonts w:cstheme="minorHAnsi"/>
          <w:bCs/>
          <w:iCs/>
          <w:szCs w:val="24"/>
        </w:rPr>
        <w:t xml:space="preserve">parametr akce bude </w:t>
      </w:r>
      <w:r w:rsidR="00762882">
        <w:rPr>
          <w:rStyle w:val="CharStyle7"/>
          <w:rFonts w:cstheme="minorHAnsi"/>
          <w:bCs/>
          <w:iCs/>
          <w:szCs w:val="24"/>
        </w:rPr>
        <w:t>při evidenci a </w:t>
      </w:r>
      <w:r w:rsidR="00CD0F59">
        <w:rPr>
          <w:rStyle w:val="CharStyle7"/>
          <w:rFonts w:cstheme="minorHAnsi"/>
          <w:bCs/>
          <w:iCs/>
          <w:szCs w:val="24"/>
        </w:rPr>
        <w:t>registraci akce doplněn o věcný parametr akce ve smyslu účelu (kapacita jídelny, počet ubytovaných apod.).</w:t>
      </w:r>
    </w:p>
    <w:p w14:paraId="57BCCE9D" w14:textId="77777777" w:rsidR="00684936" w:rsidRDefault="00684936" w:rsidP="00B07768">
      <w:pPr>
        <w:spacing w:after="0"/>
        <w:ind w:left="0" w:firstLine="0"/>
        <w:rPr>
          <w:b/>
        </w:rPr>
      </w:pPr>
    </w:p>
    <w:p w14:paraId="2B6263A4" w14:textId="77777777" w:rsidR="00684936" w:rsidRDefault="00684936" w:rsidP="00B07768">
      <w:pPr>
        <w:spacing w:after="0"/>
        <w:ind w:left="0" w:firstLine="0"/>
        <w:rPr>
          <w:b/>
        </w:rPr>
      </w:pPr>
    </w:p>
    <w:p w14:paraId="212BCC56" w14:textId="5BB952C2" w:rsidR="00095556" w:rsidRDefault="004B7A5E" w:rsidP="004729D9">
      <w:pPr>
        <w:keepNext/>
        <w:ind w:left="0" w:firstLine="0"/>
        <w:rPr>
          <w:b/>
        </w:rPr>
      </w:pPr>
      <w:r>
        <w:rPr>
          <w:b/>
        </w:rPr>
        <w:t>S</w:t>
      </w:r>
      <w:r w:rsidR="00E64D50">
        <w:rPr>
          <w:b/>
        </w:rPr>
        <w:t>eznam zkratek</w:t>
      </w:r>
    </w:p>
    <w:p w14:paraId="284ACCB8" w14:textId="26725873" w:rsidR="00CC29E7" w:rsidRDefault="00CC29E7" w:rsidP="004729D9">
      <w:pPr>
        <w:keepNext/>
        <w:ind w:left="2835" w:hanging="2835"/>
      </w:pPr>
      <w:r>
        <w:t>AČR</w:t>
      </w:r>
      <w:r>
        <w:tab/>
      </w:r>
      <w:r>
        <w:tab/>
        <w:t>Armáda České republiky</w:t>
      </w:r>
    </w:p>
    <w:p w14:paraId="589C81A3" w14:textId="1F0DD12A" w:rsidR="00CC29E7" w:rsidRDefault="00CC29E7" w:rsidP="004729D9">
      <w:pPr>
        <w:keepNext/>
        <w:ind w:left="2835" w:hanging="2835"/>
      </w:pPr>
      <w:r>
        <w:rPr>
          <w:rFonts w:asciiTheme="minorHAnsi" w:hAnsiTheme="minorHAnsi" w:cstheme="minorHAnsi"/>
        </w:rPr>
        <w:t>ASPO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B0303">
        <w:rPr>
          <w:rFonts w:asciiTheme="minorHAnsi" w:hAnsiTheme="minorHAnsi" w:cstheme="minorHAnsi"/>
        </w:rPr>
        <w:t>Armádní S</w:t>
      </w:r>
      <w:r w:rsidRPr="00381679">
        <w:rPr>
          <w:rFonts w:asciiTheme="minorHAnsi" w:hAnsiTheme="minorHAnsi" w:cstheme="minorHAnsi"/>
        </w:rPr>
        <w:t>ervisní</w:t>
      </w:r>
      <w:r w:rsidR="0009080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příspěvková organizace</w:t>
      </w:r>
    </w:p>
    <w:p w14:paraId="07263F68" w14:textId="0362F9D0" w:rsidR="00CC29E7" w:rsidRDefault="00DD6313" w:rsidP="004729D9">
      <w:pPr>
        <w:keepNext/>
        <w:ind w:left="2835" w:hanging="2835"/>
      </w:pPr>
      <w:r>
        <w:t>d</w:t>
      </w:r>
      <w:r w:rsidR="00CC29E7">
        <w:t>ohody</w:t>
      </w:r>
      <w:r w:rsidR="00CC29E7">
        <w:tab/>
      </w:r>
      <w:r w:rsidR="00CC29E7">
        <w:tab/>
      </w:r>
      <w:proofErr w:type="spellStart"/>
      <w:r w:rsidR="00CC29E7">
        <w:t>dohody</w:t>
      </w:r>
      <w:proofErr w:type="spellEnd"/>
      <w:r w:rsidR="00CC29E7">
        <w:t xml:space="preserve"> o provedení práce nebo dohody o pracovní činnosti</w:t>
      </w:r>
    </w:p>
    <w:p w14:paraId="615B2F8D" w14:textId="77777777" w:rsidR="003E7F6F" w:rsidRPr="003E7F6F" w:rsidRDefault="003E7F6F" w:rsidP="004729D9">
      <w:pPr>
        <w:keepNext/>
        <w:ind w:left="2835" w:hanging="2835"/>
      </w:pPr>
      <w:r>
        <w:t>Koncepce rozvoje policie</w:t>
      </w:r>
      <w:r>
        <w:tab/>
        <w:t>Koncepce</w:t>
      </w:r>
      <w:r w:rsidRPr="003E7F6F">
        <w:t xml:space="preserve"> rozvoje Policie České republiky do roku 2020</w:t>
      </w:r>
    </w:p>
    <w:p w14:paraId="023C2BF6" w14:textId="39A03960" w:rsidR="00CC29E7" w:rsidRDefault="00CC29E7" w:rsidP="004729D9">
      <w:pPr>
        <w:keepNext/>
        <w:ind w:left="2835" w:hanging="2835"/>
      </w:pPr>
      <w:r>
        <w:t>MO</w:t>
      </w:r>
      <w:r>
        <w:tab/>
      </w:r>
      <w:r>
        <w:tab/>
        <w:t>Ministerstvo obrany</w:t>
      </w:r>
    </w:p>
    <w:p w14:paraId="596F39E2" w14:textId="7CD19017" w:rsidR="00CC29E7" w:rsidRDefault="00CC29E7" w:rsidP="004729D9">
      <w:pPr>
        <w:keepNext/>
        <w:ind w:left="2835" w:hanging="2835"/>
      </w:pPr>
      <w:r>
        <w:t>MV</w:t>
      </w:r>
      <w:r>
        <w:tab/>
      </w:r>
      <w:r>
        <w:tab/>
        <w:t>Ministerstvo vnitra</w:t>
      </w:r>
    </w:p>
    <w:p w14:paraId="1B0C71D1" w14:textId="66BD48C5" w:rsidR="00E64D50" w:rsidRDefault="00CC29E7" w:rsidP="004729D9">
      <w:pPr>
        <w:keepNext/>
        <w:ind w:left="2835" w:hanging="2835"/>
      </w:pPr>
      <w:r>
        <w:t>PA ČR</w:t>
      </w:r>
      <w:r>
        <w:tab/>
      </w:r>
      <w:r>
        <w:tab/>
        <w:t>Policejní akademie České republiky v Praze</w:t>
      </w:r>
    </w:p>
    <w:p w14:paraId="477719D2" w14:textId="6F019D65" w:rsidR="00CC29E7" w:rsidRDefault="00CC29E7" w:rsidP="004729D9">
      <w:pPr>
        <w:keepNext/>
        <w:ind w:left="2835" w:hanging="2835"/>
      </w:pPr>
      <w:r>
        <w:t>PČR</w:t>
      </w:r>
      <w:r>
        <w:tab/>
      </w:r>
      <w:r>
        <w:tab/>
        <w:t>Policie České republiky</w:t>
      </w:r>
    </w:p>
    <w:p w14:paraId="3DFBFDEC" w14:textId="5784EE07" w:rsidR="001A091E" w:rsidRPr="001A091E" w:rsidRDefault="00DD6313" w:rsidP="004729D9">
      <w:pPr>
        <w:keepNext/>
        <w:ind w:left="2835" w:hanging="2835"/>
      </w:pPr>
      <w:r>
        <w:rPr>
          <w:rFonts w:asciiTheme="minorHAnsi" w:hAnsiTheme="minorHAnsi" w:cstheme="minorHAnsi"/>
        </w:rPr>
        <w:t>p</w:t>
      </w:r>
      <w:r w:rsidR="001A091E">
        <w:rPr>
          <w:rFonts w:asciiTheme="minorHAnsi" w:hAnsiTheme="minorHAnsi" w:cstheme="minorHAnsi"/>
        </w:rPr>
        <w:t>olicista</w:t>
      </w:r>
      <w:r w:rsidR="001A091E">
        <w:rPr>
          <w:rFonts w:asciiTheme="minorHAnsi" w:hAnsiTheme="minorHAnsi" w:cstheme="minorHAnsi"/>
        </w:rPr>
        <w:tab/>
      </w:r>
      <w:r w:rsidR="001A091E">
        <w:rPr>
          <w:rFonts w:asciiTheme="minorHAnsi" w:hAnsiTheme="minorHAnsi" w:cstheme="minorHAnsi"/>
        </w:rPr>
        <w:tab/>
        <w:t>příslušník PČR</w:t>
      </w:r>
    </w:p>
    <w:p w14:paraId="19850F52" w14:textId="4EB14011" w:rsidR="005F0D85" w:rsidRDefault="00CC29E7" w:rsidP="004729D9">
      <w:pPr>
        <w:keepNext/>
        <w:ind w:left="2835" w:hanging="2835"/>
      </w:pPr>
      <w:r>
        <w:t>SSM</w:t>
      </w:r>
      <w:r w:rsidR="004044A8">
        <w:t xml:space="preserve"> </w:t>
      </w:r>
      <w:r w:rsidR="005F0D85">
        <w:tab/>
        <w:t>systemizované služební místo</w:t>
      </w:r>
    </w:p>
    <w:p w14:paraId="20A9821A" w14:textId="00F3A246" w:rsidR="00CC29E7" w:rsidRDefault="00DD6313" w:rsidP="004729D9">
      <w:pPr>
        <w:keepNext/>
        <w:ind w:left="2835" w:hanging="2835"/>
      </w:pPr>
      <w:r>
        <w:t>s</w:t>
      </w:r>
      <w:r w:rsidR="004044A8">
        <w:t>ystemizace</w:t>
      </w:r>
      <w:r w:rsidR="00CC29E7">
        <w:tab/>
      </w:r>
      <w:r w:rsidR="00CC29E7">
        <w:tab/>
      </w:r>
      <w:proofErr w:type="spellStart"/>
      <w:r w:rsidR="003E7F6F">
        <w:t>systemizace</w:t>
      </w:r>
      <w:proofErr w:type="spellEnd"/>
      <w:r w:rsidR="003E7F6F">
        <w:t xml:space="preserve"> služebních míst</w:t>
      </w:r>
    </w:p>
    <w:p w14:paraId="21F0D399" w14:textId="324B3AF0" w:rsidR="00CC29E7" w:rsidRDefault="00CC29E7" w:rsidP="004729D9">
      <w:pPr>
        <w:keepNext/>
        <w:ind w:left="2835" w:hanging="2835"/>
      </w:pPr>
      <w:r>
        <w:t>UNOB</w:t>
      </w:r>
      <w:r>
        <w:tab/>
      </w:r>
      <w:r>
        <w:tab/>
        <w:t xml:space="preserve">Univerzita obrany </w:t>
      </w:r>
      <w:r w:rsidRPr="00D77000">
        <w:t>v</w:t>
      </w:r>
      <w:r w:rsidR="001A091E" w:rsidRPr="00D77000">
        <w:t> </w:t>
      </w:r>
      <w:r w:rsidRPr="00D77000">
        <w:t>Brně</w:t>
      </w:r>
    </w:p>
    <w:p w14:paraId="22301D30" w14:textId="1DA4FF98" w:rsidR="00CC29E7" w:rsidRPr="00CC29E7" w:rsidRDefault="00630096" w:rsidP="004729D9">
      <w:pPr>
        <w:keepNext/>
        <w:ind w:left="2835" w:hanging="2835"/>
      </w:pPr>
      <w:r>
        <w:t>v</w:t>
      </w:r>
      <w:r w:rsidR="001A091E">
        <w:t xml:space="preserve">oják </w:t>
      </w:r>
      <w:r w:rsidR="001A091E">
        <w:tab/>
      </w:r>
      <w:r w:rsidR="001A091E">
        <w:tab/>
      </w:r>
      <w:proofErr w:type="spellStart"/>
      <w:r w:rsidR="001A091E">
        <w:t>voják</w:t>
      </w:r>
      <w:proofErr w:type="spellEnd"/>
      <w:r w:rsidR="001A091E">
        <w:t xml:space="preserve"> z povolání</w:t>
      </w:r>
    </w:p>
    <w:sectPr w:rsidR="00CC29E7" w:rsidRPr="00CC29E7" w:rsidSect="00161A3D">
      <w:type w:val="continuous"/>
      <w:pgSz w:w="11906" w:h="16838"/>
      <w:pgMar w:top="1417" w:right="1417" w:bottom="1417" w:left="1417" w:header="708" w:footer="484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BB1319" w16cid:durableId="20A7A1DB"/>
  <w16cid:commentId w16cid:paraId="105AD24F" w16cid:durableId="20A7AA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05D70" w14:textId="77777777" w:rsidR="006A7E37" w:rsidRDefault="006A7E37">
      <w:r>
        <w:separator/>
      </w:r>
    </w:p>
  </w:endnote>
  <w:endnote w:type="continuationSeparator" w:id="0">
    <w:p w14:paraId="7D0273A9" w14:textId="77777777" w:rsidR="006A7E37" w:rsidRDefault="006A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4EC12" w14:textId="77777777" w:rsidR="00294056" w:rsidRDefault="00294056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D3F8C" w14:textId="792D5652" w:rsidR="00294056" w:rsidRDefault="00294056" w:rsidP="00BB2E90">
    <w:pPr>
      <w:spacing w:after="16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5F98">
      <w:rPr>
        <w:noProof/>
      </w:rPr>
      <w:t>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292D7" w14:textId="77777777" w:rsidR="00294056" w:rsidRPr="0058538C" w:rsidRDefault="00294056" w:rsidP="0058538C">
    <w:pPr>
      <w:spacing w:after="160" w:line="259" w:lineRule="auto"/>
      <w:ind w:left="0" w:firstLine="0"/>
      <w:jc w:val="cen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921D5" w14:textId="77777777" w:rsidR="006A7E37" w:rsidRDefault="006A7E37">
      <w:pPr>
        <w:spacing w:after="2" w:line="247" w:lineRule="auto"/>
        <w:ind w:left="283" w:right="8" w:hanging="283"/>
      </w:pPr>
      <w:r>
        <w:separator/>
      </w:r>
    </w:p>
  </w:footnote>
  <w:footnote w:type="continuationSeparator" w:id="0">
    <w:p w14:paraId="3FE6CD19" w14:textId="77777777" w:rsidR="006A7E37" w:rsidRDefault="006A7E37">
      <w:pPr>
        <w:spacing w:after="2" w:line="247" w:lineRule="auto"/>
        <w:ind w:left="283" w:right="8" w:hanging="283"/>
      </w:pPr>
      <w:r>
        <w:continuationSeparator/>
      </w:r>
    </w:p>
  </w:footnote>
  <w:footnote w:id="1">
    <w:p w14:paraId="18EE3DD8" w14:textId="4E3102A4" w:rsidR="00294056" w:rsidRDefault="00294056" w:rsidP="004249AE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Kontrolovaným obdobím byly roky 2016 až 2018.</w:t>
      </w:r>
    </w:p>
  </w:footnote>
  <w:footnote w:id="2">
    <w:p w14:paraId="38C47DAE" w14:textId="77777777" w:rsidR="00294056" w:rsidRDefault="00294056" w:rsidP="00AA0BC0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Univerzita obrany </w:t>
      </w:r>
      <w:r w:rsidRPr="00AA329A">
        <w:t>v Brně</w:t>
      </w:r>
      <w:r>
        <w:t xml:space="preserve"> (dále také „UNOB“).</w:t>
      </w:r>
    </w:p>
  </w:footnote>
  <w:footnote w:id="3">
    <w:p w14:paraId="65164783" w14:textId="69E5C81E" w:rsidR="00294056" w:rsidRDefault="00294056" w:rsidP="0026106D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NKÚ získal údaje i za rok 2019, kontrolované období bylo o tento rok rozšířeno v rámci sledování vybraných ukazatelů.</w:t>
      </w:r>
    </w:p>
  </w:footnote>
  <w:footnote w:id="4">
    <w:p w14:paraId="5F3EE415" w14:textId="77777777" w:rsidR="00294056" w:rsidRDefault="00294056" w:rsidP="00E34989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Cílem kontrolní akce bylo posoudit, zda činnost PA ČR zabezpečuje vzdělávací potřeby PČR. Z tohoto důvodu byla ke kontrole vybrána pouze část bezpečnostních sborů, a to PČR.</w:t>
      </w:r>
    </w:p>
  </w:footnote>
  <w:footnote w:id="5">
    <w:p w14:paraId="50D72531" w14:textId="77777777" w:rsidR="00294056" w:rsidRDefault="00294056" w:rsidP="006921C7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111/1998 Sb., o vysokých školách a o změně a doplnění dalších zákonů (zákon o vysokých školách).</w:t>
      </w:r>
    </w:p>
  </w:footnote>
  <w:footnote w:id="6">
    <w:p w14:paraId="2AACD3AF" w14:textId="77777777" w:rsidR="00294056" w:rsidRDefault="00294056" w:rsidP="006921C7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BB78D2">
        <w:rPr>
          <w:rFonts w:asciiTheme="minorHAnsi" w:hAnsiTheme="minorHAnsi" w:cstheme="minorHAnsi"/>
        </w:rPr>
        <w:t xml:space="preserve">Ozbrojené síly se dle ustanovení § 3 zákona č. 219/1999 Sb., o ozbrojených silách České republiky, </w:t>
      </w:r>
      <w:r>
        <w:rPr>
          <w:rFonts w:asciiTheme="minorHAnsi" w:hAnsiTheme="minorHAnsi" w:cstheme="minorHAnsi"/>
        </w:rPr>
        <w:t xml:space="preserve">s přihlédnutím k ustanovení § 2 odst. 1 téhož zákona, </w:t>
      </w:r>
      <w:r w:rsidRPr="00BB78D2">
        <w:rPr>
          <w:rFonts w:asciiTheme="minorHAnsi" w:hAnsiTheme="minorHAnsi" w:cstheme="minorHAnsi"/>
        </w:rPr>
        <w:t xml:space="preserve">člení na </w:t>
      </w:r>
      <w:r>
        <w:rPr>
          <w:rFonts w:asciiTheme="minorHAnsi" w:hAnsiTheme="minorHAnsi" w:cstheme="minorHAnsi"/>
        </w:rPr>
        <w:t>A</w:t>
      </w:r>
      <w:r w:rsidRPr="00BB78D2">
        <w:rPr>
          <w:rFonts w:asciiTheme="minorHAnsi" w:hAnsiTheme="minorHAnsi" w:cstheme="minorHAnsi"/>
        </w:rPr>
        <w:t>rmádu</w:t>
      </w:r>
      <w:r>
        <w:rPr>
          <w:rFonts w:asciiTheme="minorHAnsi" w:hAnsiTheme="minorHAnsi" w:cstheme="minorHAnsi"/>
        </w:rPr>
        <w:t xml:space="preserve"> České republiky</w:t>
      </w:r>
      <w:r w:rsidRPr="00BB78D2">
        <w:rPr>
          <w:rFonts w:asciiTheme="minorHAnsi" w:hAnsiTheme="minorHAnsi" w:cstheme="minorHAnsi"/>
        </w:rPr>
        <w:t>, Vojenskou kancelář prezidenta republiky a Hradní stráž.</w:t>
      </w:r>
    </w:p>
  </w:footnote>
  <w:footnote w:id="7">
    <w:p w14:paraId="59B08D86" w14:textId="77777777" w:rsidR="00294056" w:rsidRDefault="00294056" w:rsidP="006921C7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Bezpečnostním sborem se dle ustanovení § 1 odst. 1 zákona č. 361/2003 Sb., </w:t>
      </w:r>
      <w:r w:rsidRPr="004C08F8">
        <w:t>o služebním poměru příslušníků bezpečnostních sborů</w:t>
      </w:r>
      <w:r>
        <w:t>, rozumí Policie České republiky, Hasičský záchranný sbor České republiky, Celní správa České republiky, Vězeňská služba České republiky, Generální inspekce bezpečnostních sborů, Bezpečnostní informační služba a Úřad pro zahraniční styky a informace.</w:t>
      </w:r>
    </w:p>
  </w:footnote>
  <w:footnote w:id="8">
    <w:p w14:paraId="33CE93CA" w14:textId="5DEE2B7B" w:rsidR="00294056" w:rsidRPr="00FA5560" w:rsidRDefault="00294056" w:rsidP="004C08F8">
      <w:pPr>
        <w:pStyle w:val="Textpoznpodarou"/>
        <w:spacing w:after="0"/>
        <w:ind w:left="284" w:hanging="284"/>
        <w:rPr>
          <w:i/>
        </w:rPr>
      </w:pPr>
      <w:r w:rsidRPr="004C08F8">
        <w:rPr>
          <w:rStyle w:val="Znakapoznpodarou"/>
        </w:rPr>
        <w:footnoteRef/>
      </w:r>
      <w:r w:rsidRPr="004C08F8">
        <w:t xml:space="preserve"> </w:t>
      </w:r>
      <w:r w:rsidRPr="004C08F8">
        <w:tab/>
        <w:t>Ustanovení § 19 odst. 2 zákona č. 361/2003 Sb. stanoví</w:t>
      </w:r>
      <w:r>
        <w:t>:</w:t>
      </w:r>
      <w:r w:rsidRPr="004C08F8">
        <w:t xml:space="preserve"> „</w:t>
      </w:r>
      <w:r w:rsidRPr="004C08F8">
        <w:rPr>
          <w:i/>
        </w:rPr>
        <w:t>Nestanoví-li tento zákon jinak, musí příslušník pro služební místo, na které je ustanoven, splňovat vedle stupně vzdělání též požadavek oboru nebo zaměření vzdělání</w:t>
      </w:r>
      <w:r>
        <w:rPr>
          <w:i/>
        </w:rPr>
        <w:t>.</w:t>
      </w:r>
      <w:r w:rsidRPr="005610B6">
        <w:t>“</w:t>
      </w:r>
    </w:p>
  </w:footnote>
  <w:footnote w:id="9">
    <w:p w14:paraId="170883C1" w14:textId="1506FB0B" w:rsidR="00294056" w:rsidRDefault="00294056" w:rsidP="004C08F8">
      <w:pPr>
        <w:pStyle w:val="Textpoznpodarou"/>
        <w:spacing w:after="0"/>
        <w:ind w:left="284" w:hanging="284"/>
      </w:pPr>
      <w:r w:rsidRPr="004C08F8">
        <w:rPr>
          <w:rStyle w:val="Znakapoznpodarou"/>
        </w:rPr>
        <w:footnoteRef/>
      </w:r>
      <w:r w:rsidRPr="004C08F8">
        <w:t xml:space="preserve"> </w:t>
      </w:r>
      <w:r w:rsidRPr="004C08F8">
        <w:tab/>
      </w:r>
      <w:r w:rsidRPr="004C08F8">
        <w:rPr>
          <w:i/>
        </w:rPr>
        <w:t>Strategický rámec rozvoje veřejné správy Če</w:t>
      </w:r>
      <w:r>
        <w:rPr>
          <w:i/>
        </w:rPr>
        <w:t>ské republiky pro období 2014–</w:t>
      </w:r>
      <w:r w:rsidRPr="004C08F8">
        <w:rPr>
          <w:i/>
        </w:rPr>
        <w:t>2020</w:t>
      </w:r>
      <w:r w:rsidRPr="004C08F8">
        <w:t xml:space="preserve"> byl schválen usnesením vlády ČR dne 27. 8. 2014 č. 680. Jedná se o specifický cíl 4.4 </w:t>
      </w:r>
      <w:r w:rsidRPr="004C08F8">
        <w:rPr>
          <w:i/>
        </w:rPr>
        <w:t>Rozvoj řízení lidských zdrojů Policie České republiky</w:t>
      </w:r>
      <w:r w:rsidRPr="004C08F8">
        <w:t>, jehož cílem je vytvořit efektivní řízení lidských zdrojů PČR pro poskytování profesionální služby občanům v rámci zajišťování vnitřní bezpečnosti, veřejného pořádku a potírání kriminality. Opatření</w:t>
      </w:r>
      <w:r>
        <w:t xml:space="preserve"> vycházející z uvedeného specifického cíle byla převzata do </w:t>
      </w:r>
      <w:r w:rsidRPr="00896E71">
        <w:rPr>
          <w:i/>
        </w:rPr>
        <w:t>Koncepce rozvoje Policie České republiky do roku 2020</w:t>
      </w:r>
      <w:r>
        <w:t xml:space="preserve"> do oblasti 3.1.1 </w:t>
      </w:r>
      <w:r w:rsidRPr="00896E71">
        <w:rPr>
          <w:i/>
        </w:rPr>
        <w:t>Řízení lidských zdrojů</w:t>
      </w:r>
      <w:r>
        <w:t>.</w:t>
      </w:r>
    </w:p>
  </w:footnote>
  <w:footnote w:id="10">
    <w:p w14:paraId="3CB32EA6" w14:textId="0BDB5D91" w:rsidR="00294056" w:rsidRDefault="00294056" w:rsidP="004C08F8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C75ED8">
        <w:t xml:space="preserve">SMART = </w:t>
      </w:r>
      <w:r>
        <w:t xml:space="preserve">akronym </w:t>
      </w:r>
      <w:r w:rsidRPr="00C75ED8">
        <w:t>z anglick</w:t>
      </w:r>
      <w:r>
        <w:t>ých slov</w:t>
      </w:r>
      <w:r w:rsidRPr="00C75ED8">
        <w:t xml:space="preserve">: </w:t>
      </w:r>
      <w:proofErr w:type="spellStart"/>
      <w:r w:rsidRPr="009915ED">
        <w:t>specific</w:t>
      </w:r>
      <w:proofErr w:type="spellEnd"/>
      <w:r w:rsidRPr="00C75ED8">
        <w:t xml:space="preserve"> (konkrétní), </w:t>
      </w:r>
      <w:proofErr w:type="spellStart"/>
      <w:r w:rsidRPr="009915ED">
        <w:t>measurable</w:t>
      </w:r>
      <w:proofErr w:type="spellEnd"/>
      <w:r w:rsidRPr="00C75ED8">
        <w:t xml:space="preserve"> (měřitelný), </w:t>
      </w:r>
      <w:proofErr w:type="spellStart"/>
      <w:r w:rsidRPr="009915ED">
        <w:t>achievable</w:t>
      </w:r>
      <w:proofErr w:type="spellEnd"/>
      <w:r w:rsidRPr="00C75ED8">
        <w:t xml:space="preserve"> (dosažitelný), </w:t>
      </w:r>
      <w:proofErr w:type="spellStart"/>
      <w:r w:rsidRPr="009915ED">
        <w:t>relevant</w:t>
      </w:r>
      <w:proofErr w:type="spellEnd"/>
      <w:r w:rsidRPr="009915ED">
        <w:t xml:space="preserve"> </w:t>
      </w:r>
      <w:r w:rsidRPr="00C75ED8">
        <w:t xml:space="preserve">(relevantní), </w:t>
      </w:r>
      <w:proofErr w:type="spellStart"/>
      <w:r w:rsidRPr="009915ED">
        <w:t>time-bound</w:t>
      </w:r>
      <w:proofErr w:type="spellEnd"/>
      <w:r w:rsidRPr="00C75ED8">
        <w:t xml:space="preserve"> (časově vymezený)</w:t>
      </w:r>
      <w:r>
        <w:t>.</w:t>
      </w:r>
    </w:p>
  </w:footnote>
  <w:footnote w:id="11">
    <w:p w14:paraId="5D8E0EA6" w14:textId="759B9221" w:rsidR="00294056" w:rsidRDefault="00294056" w:rsidP="005E4E56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Počet pedagogických zaměstnanců = evidenční počet zaměstnanců přepočtený na plný pracovní úvazek.</w:t>
      </w:r>
    </w:p>
  </w:footnote>
  <w:footnote w:id="12">
    <w:p w14:paraId="41115E3C" w14:textId="77777777" w:rsidR="00294056" w:rsidRDefault="00294056" w:rsidP="004C08F8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5 zákona č. 273/2008 Sb., o Policii České republiky.</w:t>
      </w:r>
    </w:p>
  </w:footnote>
  <w:footnote w:id="13">
    <w:p w14:paraId="52590C05" w14:textId="77777777" w:rsidR="00294056" w:rsidRDefault="00294056" w:rsidP="004C08F8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218/2000 Sb., o rozpočtových pravidlech a o změně některých souvisejících zákonů (rozpočtová pravidla).</w:t>
      </w:r>
    </w:p>
  </w:footnote>
  <w:footnote w:id="14">
    <w:p w14:paraId="3D2F0F0E" w14:textId="73D2E5FB" w:rsidR="00294056" w:rsidRDefault="00294056" w:rsidP="00E6430F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č. 219/2000 Sb., </w:t>
      </w:r>
      <w:r w:rsidRPr="000B6126">
        <w:t>o majetku České republiky a jejím vystupování v právních vztazích</w:t>
      </w:r>
      <w:r>
        <w:t>.</w:t>
      </w:r>
    </w:p>
  </w:footnote>
  <w:footnote w:id="15">
    <w:p w14:paraId="22A6AEB8" w14:textId="77777777" w:rsidR="00294056" w:rsidRDefault="00294056" w:rsidP="00C5259F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</w:t>
      </w:r>
      <w:r w:rsidRPr="00FB0B51">
        <w:rPr>
          <w:rFonts w:cstheme="minorHAnsi"/>
        </w:rPr>
        <w:t>rezenční</w:t>
      </w:r>
      <w:r>
        <w:rPr>
          <w:rFonts w:cstheme="minorHAnsi"/>
        </w:rPr>
        <w:t xml:space="preserve"> forma studia, při které</w:t>
      </w:r>
      <w:r w:rsidRPr="00FB0B51">
        <w:rPr>
          <w:rFonts w:cstheme="minorHAnsi"/>
        </w:rPr>
        <w:t xml:space="preserve"> je studijní program uskutečňován především prostřednictvím učitele, který je</w:t>
      </w:r>
      <w:r>
        <w:rPr>
          <w:rFonts w:cstheme="minorHAnsi"/>
        </w:rPr>
        <w:t xml:space="preserve"> v přímém kontaktu se studentem.</w:t>
      </w:r>
    </w:p>
  </w:footnote>
  <w:footnote w:id="16">
    <w:p w14:paraId="6F897C9E" w14:textId="77777777" w:rsidR="00294056" w:rsidRDefault="00294056" w:rsidP="00C5259F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K</w:t>
      </w:r>
      <w:r w:rsidRPr="00BA250F">
        <w:rPr>
          <w:rFonts w:cstheme="minorHAnsi"/>
        </w:rPr>
        <w:t>ombinovaná</w:t>
      </w:r>
      <w:r>
        <w:rPr>
          <w:rFonts w:cstheme="minorHAnsi"/>
        </w:rPr>
        <w:t xml:space="preserve"> forma studia, při které</w:t>
      </w:r>
      <w:r w:rsidRPr="00BA250F">
        <w:rPr>
          <w:rFonts w:cstheme="minorHAnsi"/>
        </w:rPr>
        <w:t xml:space="preserve"> je studijní program uskutečňován na základě samostatné přípravy studenta s využitím informačních technologií a speciálních učebních pomůcek ve spojení s výukou, při níž je učitel v přímém kontaktu se studentem.</w:t>
      </w:r>
    </w:p>
  </w:footnote>
  <w:footnote w:id="17">
    <w:p w14:paraId="087EA6F3" w14:textId="77777777" w:rsidR="00294056" w:rsidRDefault="00294056" w:rsidP="00BA3853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Do 31. 8. 2016 se PA ČR řídila požadavky MV pouze při přijímání policistů ve služebním poměru ke studiu.</w:t>
      </w:r>
    </w:p>
  </w:footnote>
  <w:footnote w:id="18">
    <w:p w14:paraId="7DD75AF7" w14:textId="77777777" w:rsidR="00294056" w:rsidRDefault="00294056" w:rsidP="00CD718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Do 31. 8. 2016 počet studentů, kteří nebyli vojáky, činil</w:t>
      </w:r>
      <w:r w:rsidRPr="00CD7180">
        <w:t xml:space="preserve"> zpravidla jednu třetinu kapacity </w:t>
      </w:r>
      <w:r>
        <w:t>UNOB</w:t>
      </w:r>
      <w:r w:rsidRPr="00CD7180">
        <w:t xml:space="preserve"> a </w:t>
      </w:r>
      <w:r>
        <w:t>byl</w:t>
      </w:r>
      <w:r w:rsidRPr="00CD7180">
        <w:t xml:space="preserve"> každoročně upřesňován v návaznosti na výši požadavku </w:t>
      </w:r>
      <w:r>
        <w:t>MO</w:t>
      </w:r>
      <w:r w:rsidRPr="00CD7180">
        <w:t xml:space="preserve"> na přípravu studentů-vojáků.</w:t>
      </w:r>
    </w:p>
  </w:footnote>
  <w:footnote w:id="19">
    <w:p w14:paraId="5AE7FD0D" w14:textId="1BBA6FD8" w:rsidR="00294056" w:rsidRDefault="00294056" w:rsidP="004133D4">
      <w:pPr>
        <w:pStyle w:val="Textpoznpodarou"/>
        <w:spacing w:after="0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Bezpečnostní obory podle nařízení vlády č. 275/2016 Sb., o oblastech vzdělávání ve vysokém školství, a se schváleným zaměřením studijního programu na přípravu odborníků v oblasti bezpečnosti ČR.</w:t>
      </w:r>
    </w:p>
  </w:footnote>
  <w:footnote w:id="20">
    <w:p w14:paraId="10E3B0B2" w14:textId="77777777" w:rsidR="00294056" w:rsidRPr="002640BF" w:rsidRDefault="00294056" w:rsidP="002C0D7D">
      <w:pPr>
        <w:pStyle w:val="Textpoznpodarou"/>
        <w:spacing w:after="0"/>
        <w:ind w:left="284" w:hanging="284"/>
      </w:pPr>
      <w:r w:rsidRPr="002640BF">
        <w:rPr>
          <w:rStyle w:val="Znakapoznpodarou"/>
        </w:rPr>
        <w:footnoteRef/>
      </w:r>
      <w:r w:rsidRPr="002640BF">
        <w:t xml:space="preserve"> </w:t>
      </w:r>
      <w:r w:rsidRPr="002640BF">
        <w:tab/>
      </w:r>
      <w:proofErr w:type="spellStart"/>
      <w:r w:rsidRPr="002640BF">
        <w:t>Rekrutační</w:t>
      </w:r>
      <w:proofErr w:type="spellEnd"/>
      <w:r w:rsidRPr="002640BF">
        <w:t xml:space="preserve"> cíl vyjadřuje potřebu doplnění ozbrojených sil profesionálním vojenským personálem v daném kalendářním roce.</w:t>
      </w:r>
    </w:p>
  </w:footnote>
  <w:footnote w:id="21">
    <w:p w14:paraId="1FC7EA3C" w14:textId="118340E7" w:rsidR="00294056" w:rsidRDefault="00294056" w:rsidP="00AD0F3A">
      <w:pPr>
        <w:spacing w:after="0"/>
        <w:ind w:left="284" w:hanging="284"/>
      </w:pPr>
      <w:r w:rsidRPr="002640BF">
        <w:rPr>
          <w:rStyle w:val="Znakapoznpodarou"/>
          <w:sz w:val="20"/>
          <w:szCs w:val="20"/>
        </w:rPr>
        <w:footnoteRef/>
      </w:r>
      <w:r w:rsidRPr="002640B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Viz z</w:t>
      </w:r>
      <w:r w:rsidRPr="002640BF">
        <w:rPr>
          <w:sz w:val="20"/>
          <w:szCs w:val="20"/>
        </w:rPr>
        <w:t>ápis z 15. schůze ze dne 4. března 2015 a zápis ze 17. schůze ze dne 10. června 2015</w:t>
      </w:r>
      <w:r>
        <w:rPr>
          <w:sz w:val="20"/>
          <w:szCs w:val="20"/>
        </w:rPr>
        <w:t xml:space="preserve">. </w:t>
      </w:r>
      <w:r w:rsidRPr="00E95EF7">
        <w:rPr>
          <w:sz w:val="20"/>
          <w:szCs w:val="20"/>
        </w:rPr>
        <w:t>Nákladovost vzdělávací činnosti v sektoru veřejného vysokého školství měří a vyhodnocuje M</w:t>
      </w:r>
      <w:r>
        <w:rPr>
          <w:sz w:val="20"/>
          <w:szCs w:val="20"/>
        </w:rPr>
        <w:t xml:space="preserve">inisterstvo školství, </w:t>
      </w:r>
      <w:r>
        <w:rPr>
          <w:sz w:val="20"/>
          <w:szCs w:val="20"/>
        </w:rPr>
        <w:br/>
        <w:t>mládeže a tělovýchovy</w:t>
      </w:r>
      <w:r w:rsidRPr="00E95EF7">
        <w:rPr>
          <w:sz w:val="20"/>
          <w:szCs w:val="20"/>
        </w:rPr>
        <w:t xml:space="preserve"> již řadu let (např. </w:t>
      </w:r>
      <w:r>
        <w:rPr>
          <w:sz w:val="20"/>
          <w:szCs w:val="20"/>
        </w:rPr>
        <w:t xml:space="preserve">dokument </w:t>
      </w:r>
      <w:r w:rsidRPr="005610B6">
        <w:rPr>
          <w:i/>
          <w:sz w:val="20"/>
          <w:szCs w:val="20"/>
        </w:rPr>
        <w:t xml:space="preserve">Vysoké školy v ČR a náklady na jejich vzdělávací </w:t>
      </w:r>
      <w:r>
        <w:rPr>
          <w:i/>
          <w:sz w:val="20"/>
          <w:szCs w:val="20"/>
        </w:rPr>
        <w:br/>
      </w:r>
      <w:r w:rsidRPr="005610B6">
        <w:rPr>
          <w:i/>
          <w:sz w:val="20"/>
          <w:szCs w:val="20"/>
        </w:rPr>
        <w:t>činnost</w:t>
      </w:r>
      <w:r w:rsidRPr="00E95EF7">
        <w:rPr>
          <w:sz w:val="20"/>
          <w:szCs w:val="20"/>
        </w:rPr>
        <w:t xml:space="preserve"> – čj. MSMT-31791/2012-35).</w:t>
      </w:r>
    </w:p>
  </w:footnote>
  <w:footnote w:id="22">
    <w:p w14:paraId="5371CA5A" w14:textId="11665A3B" w:rsidR="00294056" w:rsidRPr="00E95EF7" w:rsidRDefault="00294056" w:rsidP="00E95EF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C24153">
        <w:rPr>
          <w:rFonts w:eastAsia="Times New Roman" w:cstheme="minorHAnsi"/>
          <w:color w:val="333333"/>
          <w:kern w:val="36"/>
        </w:rPr>
        <w:t>Např.</w:t>
      </w:r>
      <w:r>
        <w:rPr>
          <w:rFonts w:eastAsia="Times New Roman" w:cstheme="minorHAnsi"/>
          <w:color w:val="333333"/>
          <w:kern w:val="36"/>
        </w:rPr>
        <w:t xml:space="preserve"> článek</w:t>
      </w:r>
      <w:r w:rsidRPr="00C24153">
        <w:rPr>
          <w:rFonts w:eastAsia="Times New Roman" w:cstheme="minorHAnsi"/>
          <w:color w:val="333333"/>
          <w:kern w:val="36"/>
        </w:rPr>
        <w:t xml:space="preserve"> </w:t>
      </w:r>
      <w:hyperlink r:id="rId1" w:history="1">
        <w:r w:rsidRPr="00C24153">
          <w:rPr>
            <w:rStyle w:val="Hypertextovodkaz"/>
            <w:rFonts w:eastAsia="Times New Roman" w:cstheme="minorHAnsi"/>
            <w:kern w:val="36"/>
          </w:rPr>
          <w:t>Reakce Ministerstva vnitra na vyjádření zástupců Policejní akademie v médiích ze dne 3. února 2015</w:t>
        </w:r>
      </w:hyperlink>
      <w:r>
        <w:rPr>
          <w:rFonts w:eastAsia="Times New Roman" w:cstheme="minorHAnsi"/>
          <w:color w:val="333333"/>
          <w:kern w:val="36"/>
        </w:rPr>
        <w:t xml:space="preserve">, </w:t>
      </w:r>
      <w:r>
        <w:rPr>
          <w:rFonts w:cstheme="minorHAnsi"/>
        </w:rPr>
        <w:t>p</w:t>
      </w:r>
      <w:r w:rsidRPr="00E95EF7">
        <w:rPr>
          <w:rFonts w:cstheme="minorHAnsi"/>
        </w:rPr>
        <w:t>ozměňovací návrh k sněmovnímu tisku 464/0, vládní návrh zákona, kterým se mění zákon č.</w:t>
      </w:r>
      <w:r>
        <w:rPr>
          <w:rFonts w:cstheme="minorHAnsi"/>
        </w:rPr>
        <w:t> </w:t>
      </w:r>
      <w:r w:rsidRPr="00E95EF7">
        <w:rPr>
          <w:rFonts w:cstheme="minorHAnsi"/>
        </w:rPr>
        <w:t>111/1998</w:t>
      </w:r>
      <w:r>
        <w:rPr>
          <w:rFonts w:cstheme="minorHAnsi"/>
        </w:rPr>
        <w:t> </w:t>
      </w:r>
      <w:r w:rsidRPr="00E95EF7">
        <w:rPr>
          <w:rFonts w:cstheme="minorHAnsi"/>
        </w:rPr>
        <w:t>Sb., o vysokých školách a o změně a doplnění dalších zákonů (zákon o vysokých školách), ve znění pozdějších předpisů, a některé další zákony (</w:t>
      </w:r>
      <w:r>
        <w:rPr>
          <w:rFonts w:cstheme="minorHAnsi"/>
        </w:rPr>
        <w:t xml:space="preserve">viz </w:t>
      </w:r>
      <w:hyperlink r:id="rId2" w:history="1">
        <w:r w:rsidRPr="00E95EF7">
          <w:rPr>
            <w:rStyle w:val="Hypertextovodkaz"/>
            <w:rFonts w:cstheme="minorHAnsi"/>
          </w:rPr>
          <w:t>https://www.psp.cz/sqw/historie.sqw?o=7&amp;t=464</w:t>
        </w:r>
      </w:hyperlink>
      <w:r w:rsidRPr="00E95EF7">
        <w:rPr>
          <w:rFonts w:cstheme="minorHAnsi"/>
        </w:rPr>
        <w:t>)</w:t>
      </w:r>
      <w:r>
        <w:rPr>
          <w:rFonts w:cstheme="minorHAnsi"/>
        </w:rPr>
        <w:t>.</w:t>
      </w:r>
    </w:p>
  </w:footnote>
  <w:footnote w:id="23">
    <w:p w14:paraId="4F6CAE45" w14:textId="77777777" w:rsidR="00294056" w:rsidRDefault="00294056" w:rsidP="00AD24A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Vyhláška č. 560/2006 Sb., o účasti státního rozpočtu na financování programů reprodukce majetku.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61B3B" w14:textId="77777777" w:rsidR="00294056" w:rsidRDefault="00294056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8A4F3" w14:textId="77777777" w:rsidR="00E95F98" w:rsidRDefault="00E95F9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85DAA" w14:textId="77777777" w:rsidR="00E95F98" w:rsidRDefault="00E95F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B41"/>
    <w:multiLevelType w:val="hybridMultilevel"/>
    <w:tmpl w:val="568A78DA"/>
    <w:lvl w:ilvl="0" w:tplc="A89873B2">
      <w:start w:val="1"/>
      <w:numFmt w:val="decimal"/>
      <w:pStyle w:val="Nzevtabulka"/>
      <w:lvlText w:val="Tabulka č. %1 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>
      <w:start w:val="1"/>
      <w:numFmt w:val="lowerRoman"/>
      <w:lvlText w:val="%3."/>
      <w:lvlJc w:val="right"/>
      <w:pPr>
        <w:ind w:left="600" w:hanging="180"/>
      </w:pPr>
    </w:lvl>
    <w:lvl w:ilvl="3" w:tplc="0405000F">
      <w:start w:val="1"/>
      <w:numFmt w:val="decimal"/>
      <w:lvlText w:val="%4."/>
      <w:lvlJc w:val="left"/>
      <w:pPr>
        <w:ind w:left="1320" w:hanging="360"/>
      </w:pPr>
    </w:lvl>
    <w:lvl w:ilvl="4" w:tplc="04050019">
      <w:start w:val="1"/>
      <w:numFmt w:val="lowerLetter"/>
      <w:lvlText w:val="%5."/>
      <w:lvlJc w:val="left"/>
      <w:pPr>
        <w:ind w:left="2040" w:hanging="360"/>
      </w:pPr>
    </w:lvl>
    <w:lvl w:ilvl="5" w:tplc="0405001B">
      <w:start w:val="1"/>
      <w:numFmt w:val="lowerRoman"/>
      <w:lvlText w:val="%6."/>
      <w:lvlJc w:val="right"/>
      <w:pPr>
        <w:ind w:left="2760" w:hanging="180"/>
      </w:pPr>
    </w:lvl>
    <w:lvl w:ilvl="6" w:tplc="0405000F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" w15:restartNumberingAfterBreak="0">
    <w:nsid w:val="1FE96E26"/>
    <w:multiLevelType w:val="hybridMultilevel"/>
    <w:tmpl w:val="3B7C78EE"/>
    <w:lvl w:ilvl="0" w:tplc="5EFEC8A6">
      <w:start w:val="4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509E0"/>
    <w:multiLevelType w:val="hybridMultilevel"/>
    <w:tmpl w:val="F858EFA0"/>
    <w:lvl w:ilvl="0" w:tplc="A192F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4C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4E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00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0EA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F6A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A1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43A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946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E685A"/>
    <w:multiLevelType w:val="hybridMultilevel"/>
    <w:tmpl w:val="663EBF0C"/>
    <w:lvl w:ilvl="0" w:tplc="CBC26E94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48594643"/>
    <w:multiLevelType w:val="hybridMultilevel"/>
    <w:tmpl w:val="663EBF0C"/>
    <w:lvl w:ilvl="0" w:tplc="CBC26E94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4E055758"/>
    <w:multiLevelType w:val="hybridMultilevel"/>
    <w:tmpl w:val="3DA67930"/>
    <w:lvl w:ilvl="0" w:tplc="0405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2EB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029F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668F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6D81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C7D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F8CE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A7B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50BB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B068B2"/>
    <w:multiLevelType w:val="hybridMultilevel"/>
    <w:tmpl w:val="99E0BA3A"/>
    <w:lvl w:ilvl="0" w:tplc="A5E033CC">
      <w:start w:val="4"/>
      <w:numFmt w:val="decimal"/>
      <w:lvlText w:val="%1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74203"/>
    <w:multiLevelType w:val="hybridMultilevel"/>
    <w:tmpl w:val="7E0CF9C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65075"/>
    <w:multiLevelType w:val="multilevel"/>
    <w:tmpl w:val="04D49E9A"/>
    <w:lvl w:ilvl="0">
      <w:start w:val="1"/>
      <w:numFmt w:val="upperRoman"/>
      <w:pStyle w:val="psmeno"/>
      <w:suff w:val="nothing"/>
      <w:lvlText w:val="Část  %1."/>
      <w:lvlJc w:val="center"/>
      <w:pPr>
        <w:ind w:left="266" w:firstLine="454"/>
      </w:pPr>
      <w:rPr>
        <w:rFonts w:ascii="Times New Roman" w:hAnsi="Times New Roman" w:cs="Times New Roman" w:hint="default"/>
        <w:b/>
        <w:bCs/>
        <w:sz w:val="28"/>
      </w:rPr>
    </w:lvl>
    <w:lvl w:ilvl="1">
      <w:start w:val="1"/>
      <w:numFmt w:val="decimal"/>
      <w:lvlRestart w:val="0"/>
      <w:pStyle w:val="lnek"/>
      <w:lvlText w:val="Čl. %2"/>
      <w:lvlJc w:val="center"/>
      <w:pPr>
        <w:tabs>
          <w:tab w:val="num" w:pos="4557"/>
        </w:tabs>
        <w:ind w:left="4500" w:firstLine="0"/>
      </w:pPr>
    </w:lvl>
    <w:lvl w:ilvl="2">
      <w:start w:val="1"/>
      <w:numFmt w:val="decimal"/>
      <w:pStyle w:val="odstavec"/>
      <w:lvlText w:val="(%3)"/>
      <w:lvlJc w:val="left"/>
      <w:pPr>
        <w:tabs>
          <w:tab w:val="num" w:pos="454"/>
        </w:tabs>
        <w:ind w:left="454" w:hanging="454"/>
      </w:pPr>
    </w:lvl>
    <w:lvl w:ilvl="3">
      <w:start w:val="1"/>
      <w:numFmt w:val="lowerLetter"/>
      <w:pStyle w:val="psmeno"/>
      <w:lvlText w:val="%4)"/>
      <w:lvlJc w:val="left"/>
      <w:pPr>
        <w:tabs>
          <w:tab w:val="num" w:pos="907"/>
        </w:tabs>
        <w:ind w:left="907" w:hanging="453"/>
      </w:pPr>
      <w:rPr>
        <w:sz w:val="24"/>
        <w:szCs w:val="24"/>
      </w:rPr>
    </w:lvl>
    <w:lvl w:ilvl="4">
      <w:numFmt w:val="lowerLetter"/>
      <w:lvlText w:val="%5."/>
      <w:lvlJc w:val="left"/>
      <w:pPr>
        <w:tabs>
          <w:tab w:val="num" w:pos="3866"/>
        </w:tabs>
        <w:ind w:left="3866" w:hanging="360"/>
      </w:pPr>
    </w:lvl>
    <w:lvl w:ilvl="5">
      <w:numFmt w:val="lowerRoman"/>
      <w:lvlText w:val="%6."/>
      <w:lvlJc w:val="right"/>
      <w:pPr>
        <w:tabs>
          <w:tab w:val="num" w:pos="4586"/>
        </w:tabs>
        <w:ind w:left="4586" w:hanging="180"/>
      </w:pPr>
    </w:lvl>
    <w:lvl w:ilvl="6">
      <w:numFmt w:val="decimal"/>
      <w:lvlText w:val="%7."/>
      <w:lvlJc w:val="left"/>
      <w:pPr>
        <w:tabs>
          <w:tab w:val="num" w:pos="5306"/>
        </w:tabs>
        <w:ind w:left="5306" w:hanging="360"/>
      </w:pPr>
    </w:lvl>
    <w:lvl w:ilvl="7">
      <w:numFmt w:val="lowerLetter"/>
      <w:lvlText w:val="%8."/>
      <w:lvlJc w:val="left"/>
      <w:pPr>
        <w:tabs>
          <w:tab w:val="num" w:pos="6026"/>
        </w:tabs>
        <w:ind w:left="6026" w:hanging="360"/>
      </w:pPr>
    </w:lvl>
    <w:lvl w:ilvl="8">
      <w:numFmt w:val="lowerRoman"/>
      <w:lvlText w:val="%9."/>
      <w:lvlJc w:val="right"/>
      <w:pPr>
        <w:tabs>
          <w:tab w:val="num" w:pos="6746"/>
        </w:tabs>
        <w:ind w:left="6746" w:hanging="180"/>
      </w:pPr>
    </w:lvl>
  </w:abstractNum>
  <w:abstractNum w:abstractNumId="9" w15:restartNumberingAfterBreak="0">
    <w:nsid w:val="63F9121E"/>
    <w:multiLevelType w:val="hybridMultilevel"/>
    <w:tmpl w:val="7AEE9720"/>
    <w:lvl w:ilvl="0" w:tplc="2A6CC7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D05ABF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D4A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6C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4C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02F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E9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8E3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24E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1C2"/>
    <w:multiLevelType w:val="hybridMultilevel"/>
    <w:tmpl w:val="8B581C14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FCA7239"/>
    <w:multiLevelType w:val="hybridMultilevel"/>
    <w:tmpl w:val="0A98AD74"/>
    <w:lvl w:ilvl="0" w:tplc="5B9A8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84F73"/>
    <w:multiLevelType w:val="hybridMultilevel"/>
    <w:tmpl w:val="D848E5F2"/>
    <w:lvl w:ilvl="0" w:tplc="9BF22F9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D377C"/>
    <w:multiLevelType w:val="hybridMultilevel"/>
    <w:tmpl w:val="663EBF0C"/>
    <w:lvl w:ilvl="0" w:tplc="CBC26E94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3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2"/>
  </w:num>
  <w:num w:numId="6">
    <w:abstractNumId w:val="0"/>
  </w:num>
  <w:num w:numId="7">
    <w:abstractNumId w:val="11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  <w:num w:numId="12">
    <w:abstractNumId w:val="7"/>
  </w:num>
  <w:num w:numId="13">
    <w:abstractNumId w:val="1"/>
  </w:num>
  <w:num w:numId="1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56"/>
    <w:rsid w:val="0000010F"/>
    <w:rsid w:val="0000058E"/>
    <w:rsid w:val="00000882"/>
    <w:rsid w:val="00000A75"/>
    <w:rsid w:val="00001040"/>
    <w:rsid w:val="0000166E"/>
    <w:rsid w:val="00001B23"/>
    <w:rsid w:val="00003B91"/>
    <w:rsid w:val="00004F1E"/>
    <w:rsid w:val="00006291"/>
    <w:rsid w:val="00006557"/>
    <w:rsid w:val="0000788F"/>
    <w:rsid w:val="00007CC6"/>
    <w:rsid w:val="0001008F"/>
    <w:rsid w:val="000106DA"/>
    <w:rsid w:val="00012FF9"/>
    <w:rsid w:val="0001333B"/>
    <w:rsid w:val="000136B6"/>
    <w:rsid w:val="0001395B"/>
    <w:rsid w:val="0001465F"/>
    <w:rsid w:val="00014AF4"/>
    <w:rsid w:val="000200EC"/>
    <w:rsid w:val="00020CD2"/>
    <w:rsid w:val="000231C9"/>
    <w:rsid w:val="00023C7A"/>
    <w:rsid w:val="00024889"/>
    <w:rsid w:val="000255AF"/>
    <w:rsid w:val="00025E4D"/>
    <w:rsid w:val="00032147"/>
    <w:rsid w:val="0003329E"/>
    <w:rsid w:val="00033590"/>
    <w:rsid w:val="000400B2"/>
    <w:rsid w:val="000420DE"/>
    <w:rsid w:val="00042928"/>
    <w:rsid w:val="00042F52"/>
    <w:rsid w:val="00044D7C"/>
    <w:rsid w:val="00045107"/>
    <w:rsid w:val="0004540A"/>
    <w:rsid w:val="00050B9B"/>
    <w:rsid w:val="00051C63"/>
    <w:rsid w:val="00052EBD"/>
    <w:rsid w:val="00053085"/>
    <w:rsid w:val="00053109"/>
    <w:rsid w:val="00053C45"/>
    <w:rsid w:val="00054716"/>
    <w:rsid w:val="00054774"/>
    <w:rsid w:val="00054BBF"/>
    <w:rsid w:val="000555C9"/>
    <w:rsid w:val="00056E9B"/>
    <w:rsid w:val="00057FAD"/>
    <w:rsid w:val="00060966"/>
    <w:rsid w:val="0006164E"/>
    <w:rsid w:val="00063597"/>
    <w:rsid w:val="000635F5"/>
    <w:rsid w:val="000638D1"/>
    <w:rsid w:val="00063A0A"/>
    <w:rsid w:val="00064BDD"/>
    <w:rsid w:val="00064D36"/>
    <w:rsid w:val="00064F9C"/>
    <w:rsid w:val="00065B80"/>
    <w:rsid w:val="00066D61"/>
    <w:rsid w:val="00070AA5"/>
    <w:rsid w:val="00070B94"/>
    <w:rsid w:val="00071022"/>
    <w:rsid w:val="00071103"/>
    <w:rsid w:val="00073A34"/>
    <w:rsid w:val="00077854"/>
    <w:rsid w:val="0008088A"/>
    <w:rsid w:val="00080D4A"/>
    <w:rsid w:val="00083C0C"/>
    <w:rsid w:val="000840E5"/>
    <w:rsid w:val="000843B8"/>
    <w:rsid w:val="0008488F"/>
    <w:rsid w:val="00086132"/>
    <w:rsid w:val="0008619B"/>
    <w:rsid w:val="000867F5"/>
    <w:rsid w:val="00087FFC"/>
    <w:rsid w:val="00090807"/>
    <w:rsid w:val="00091A98"/>
    <w:rsid w:val="00093696"/>
    <w:rsid w:val="00094549"/>
    <w:rsid w:val="00095556"/>
    <w:rsid w:val="00095681"/>
    <w:rsid w:val="0009589B"/>
    <w:rsid w:val="000958EA"/>
    <w:rsid w:val="000966C3"/>
    <w:rsid w:val="00096838"/>
    <w:rsid w:val="000A169E"/>
    <w:rsid w:val="000A2987"/>
    <w:rsid w:val="000A2C71"/>
    <w:rsid w:val="000A594B"/>
    <w:rsid w:val="000A5B8A"/>
    <w:rsid w:val="000A5C1B"/>
    <w:rsid w:val="000A5FEA"/>
    <w:rsid w:val="000A6427"/>
    <w:rsid w:val="000A756D"/>
    <w:rsid w:val="000A7692"/>
    <w:rsid w:val="000A7ACC"/>
    <w:rsid w:val="000A7F3F"/>
    <w:rsid w:val="000B05AC"/>
    <w:rsid w:val="000B2B57"/>
    <w:rsid w:val="000B3459"/>
    <w:rsid w:val="000B4F04"/>
    <w:rsid w:val="000B70BE"/>
    <w:rsid w:val="000B7661"/>
    <w:rsid w:val="000B7AC4"/>
    <w:rsid w:val="000C07DC"/>
    <w:rsid w:val="000C180A"/>
    <w:rsid w:val="000C2BFB"/>
    <w:rsid w:val="000C3098"/>
    <w:rsid w:val="000C4FB9"/>
    <w:rsid w:val="000C62BC"/>
    <w:rsid w:val="000C7867"/>
    <w:rsid w:val="000C7A22"/>
    <w:rsid w:val="000D22EF"/>
    <w:rsid w:val="000D4387"/>
    <w:rsid w:val="000D4808"/>
    <w:rsid w:val="000D4BC1"/>
    <w:rsid w:val="000D64D8"/>
    <w:rsid w:val="000D6A69"/>
    <w:rsid w:val="000E0833"/>
    <w:rsid w:val="000E0ACA"/>
    <w:rsid w:val="000E2312"/>
    <w:rsid w:val="000E2ED6"/>
    <w:rsid w:val="000E33EA"/>
    <w:rsid w:val="000E3931"/>
    <w:rsid w:val="000E39FE"/>
    <w:rsid w:val="000E3D77"/>
    <w:rsid w:val="000E5B64"/>
    <w:rsid w:val="000E6500"/>
    <w:rsid w:val="000E6D6C"/>
    <w:rsid w:val="000E6E73"/>
    <w:rsid w:val="000F2886"/>
    <w:rsid w:val="000F3317"/>
    <w:rsid w:val="000F3810"/>
    <w:rsid w:val="000F490A"/>
    <w:rsid w:val="000F65D5"/>
    <w:rsid w:val="000F70CF"/>
    <w:rsid w:val="000F722C"/>
    <w:rsid w:val="00100945"/>
    <w:rsid w:val="00102439"/>
    <w:rsid w:val="001027A5"/>
    <w:rsid w:val="00102CA8"/>
    <w:rsid w:val="00103539"/>
    <w:rsid w:val="00103757"/>
    <w:rsid w:val="001048A8"/>
    <w:rsid w:val="00104CA9"/>
    <w:rsid w:val="00105018"/>
    <w:rsid w:val="001055FC"/>
    <w:rsid w:val="00106EA5"/>
    <w:rsid w:val="0011016A"/>
    <w:rsid w:val="00110949"/>
    <w:rsid w:val="00110A61"/>
    <w:rsid w:val="00111351"/>
    <w:rsid w:val="00111C21"/>
    <w:rsid w:val="001124E8"/>
    <w:rsid w:val="0011361E"/>
    <w:rsid w:val="001148AD"/>
    <w:rsid w:val="00114DFA"/>
    <w:rsid w:val="001154BB"/>
    <w:rsid w:val="00115B58"/>
    <w:rsid w:val="0012068D"/>
    <w:rsid w:val="00120B62"/>
    <w:rsid w:val="00120D70"/>
    <w:rsid w:val="001210C2"/>
    <w:rsid w:val="0012136C"/>
    <w:rsid w:val="00122BF9"/>
    <w:rsid w:val="00122E11"/>
    <w:rsid w:val="001233ED"/>
    <w:rsid w:val="001238AC"/>
    <w:rsid w:val="00123E36"/>
    <w:rsid w:val="00124041"/>
    <w:rsid w:val="0012506F"/>
    <w:rsid w:val="00125AC1"/>
    <w:rsid w:val="00126B6C"/>
    <w:rsid w:val="001305C3"/>
    <w:rsid w:val="001318C1"/>
    <w:rsid w:val="0013272B"/>
    <w:rsid w:val="001329D8"/>
    <w:rsid w:val="001329F3"/>
    <w:rsid w:val="001339E1"/>
    <w:rsid w:val="00135B52"/>
    <w:rsid w:val="0013654B"/>
    <w:rsid w:val="0014042F"/>
    <w:rsid w:val="001409A3"/>
    <w:rsid w:val="001423D6"/>
    <w:rsid w:val="00144024"/>
    <w:rsid w:val="00144595"/>
    <w:rsid w:val="00145803"/>
    <w:rsid w:val="00146355"/>
    <w:rsid w:val="00146400"/>
    <w:rsid w:val="001478A9"/>
    <w:rsid w:val="00151250"/>
    <w:rsid w:val="00153401"/>
    <w:rsid w:val="001542C0"/>
    <w:rsid w:val="00157386"/>
    <w:rsid w:val="00161A3D"/>
    <w:rsid w:val="00162A7E"/>
    <w:rsid w:val="00162A92"/>
    <w:rsid w:val="001637C8"/>
    <w:rsid w:val="00163E0B"/>
    <w:rsid w:val="001649C7"/>
    <w:rsid w:val="0016542D"/>
    <w:rsid w:val="001664EA"/>
    <w:rsid w:val="00170D52"/>
    <w:rsid w:val="00171185"/>
    <w:rsid w:val="00171CEB"/>
    <w:rsid w:val="00171D23"/>
    <w:rsid w:val="00172F06"/>
    <w:rsid w:val="00174121"/>
    <w:rsid w:val="00174946"/>
    <w:rsid w:val="00174E28"/>
    <w:rsid w:val="00175022"/>
    <w:rsid w:val="001762E2"/>
    <w:rsid w:val="00177BE9"/>
    <w:rsid w:val="00180376"/>
    <w:rsid w:val="00180875"/>
    <w:rsid w:val="001818F9"/>
    <w:rsid w:val="00182C06"/>
    <w:rsid w:val="00183108"/>
    <w:rsid w:val="00183157"/>
    <w:rsid w:val="00184DC9"/>
    <w:rsid w:val="001856A1"/>
    <w:rsid w:val="0018604C"/>
    <w:rsid w:val="00186420"/>
    <w:rsid w:val="00187279"/>
    <w:rsid w:val="00187734"/>
    <w:rsid w:val="00187FFD"/>
    <w:rsid w:val="001903D9"/>
    <w:rsid w:val="001904E2"/>
    <w:rsid w:val="00191DCB"/>
    <w:rsid w:val="0019215E"/>
    <w:rsid w:val="001924BD"/>
    <w:rsid w:val="00192F1F"/>
    <w:rsid w:val="00195FCC"/>
    <w:rsid w:val="00196055"/>
    <w:rsid w:val="001961F7"/>
    <w:rsid w:val="00196A3C"/>
    <w:rsid w:val="00196B71"/>
    <w:rsid w:val="00196DE4"/>
    <w:rsid w:val="00196FD2"/>
    <w:rsid w:val="001A0154"/>
    <w:rsid w:val="001A091E"/>
    <w:rsid w:val="001A0E10"/>
    <w:rsid w:val="001A0EFC"/>
    <w:rsid w:val="001A4922"/>
    <w:rsid w:val="001A4C85"/>
    <w:rsid w:val="001A4CD4"/>
    <w:rsid w:val="001A5776"/>
    <w:rsid w:val="001A61AF"/>
    <w:rsid w:val="001A6C64"/>
    <w:rsid w:val="001A7CA2"/>
    <w:rsid w:val="001A7F5F"/>
    <w:rsid w:val="001B295D"/>
    <w:rsid w:val="001B4775"/>
    <w:rsid w:val="001B4DBB"/>
    <w:rsid w:val="001B560F"/>
    <w:rsid w:val="001B5838"/>
    <w:rsid w:val="001B5921"/>
    <w:rsid w:val="001B66D3"/>
    <w:rsid w:val="001B7602"/>
    <w:rsid w:val="001B78C7"/>
    <w:rsid w:val="001C1FFB"/>
    <w:rsid w:val="001C24B8"/>
    <w:rsid w:val="001C4ABC"/>
    <w:rsid w:val="001C5F96"/>
    <w:rsid w:val="001C63CB"/>
    <w:rsid w:val="001C71C1"/>
    <w:rsid w:val="001D06A0"/>
    <w:rsid w:val="001D0884"/>
    <w:rsid w:val="001D1732"/>
    <w:rsid w:val="001D1A19"/>
    <w:rsid w:val="001D23A8"/>
    <w:rsid w:val="001D2624"/>
    <w:rsid w:val="001D40CF"/>
    <w:rsid w:val="001D6087"/>
    <w:rsid w:val="001D6122"/>
    <w:rsid w:val="001D6539"/>
    <w:rsid w:val="001D66FE"/>
    <w:rsid w:val="001D68E9"/>
    <w:rsid w:val="001E0C1E"/>
    <w:rsid w:val="001E0F87"/>
    <w:rsid w:val="001E1B93"/>
    <w:rsid w:val="001E25CF"/>
    <w:rsid w:val="001E344A"/>
    <w:rsid w:val="001E349C"/>
    <w:rsid w:val="001E5F16"/>
    <w:rsid w:val="001E6537"/>
    <w:rsid w:val="001E6F2B"/>
    <w:rsid w:val="001E74EA"/>
    <w:rsid w:val="001E75FA"/>
    <w:rsid w:val="001F0196"/>
    <w:rsid w:val="001F01F9"/>
    <w:rsid w:val="001F0694"/>
    <w:rsid w:val="001F0E3E"/>
    <w:rsid w:val="001F0ED1"/>
    <w:rsid w:val="001F12B3"/>
    <w:rsid w:val="001F2F99"/>
    <w:rsid w:val="001F2FD9"/>
    <w:rsid w:val="001F3073"/>
    <w:rsid w:val="001F3379"/>
    <w:rsid w:val="001F3F9B"/>
    <w:rsid w:val="001F4A59"/>
    <w:rsid w:val="001F4FB9"/>
    <w:rsid w:val="001F51AB"/>
    <w:rsid w:val="001F6961"/>
    <w:rsid w:val="001F7C46"/>
    <w:rsid w:val="00200258"/>
    <w:rsid w:val="00200506"/>
    <w:rsid w:val="00201B4E"/>
    <w:rsid w:val="0020243B"/>
    <w:rsid w:val="0020411A"/>
    <w:rsid w:val="002044E7"/>
    <w:rsid w:val="0020479D"/>
    <w:rsid w:val="002049EE"/>
    <w:rsid w:val="00205105"/>
    <w:rsid w:val="002053F8"/>
    <w:rsid w:val="002058BD"/>
    <w:rsid w:val="00207161"/>
    <w:rsid w:val="00210302"/>
    <w:rsid w:val="002105C8"/>
    <w:rsid w:val="002105DF"/>
    <w:rsid w:val="00210F81"/>
    <w:rsid w:val="00211BE7"/>
    <w:rsid w:val="002131BF"/>
    <w:rsid w:val="00213D20"/>
    <w:rsid w:val="0021403F"/>
    <w:rsid w:val="00215562"/>
    <w:rsid w:val="00215D93"/>
    <w:rsid w:val="00215F7E"/>
    <w:rsid w:val="002166C1"/>
    <w:rsid w:val="00216810"/>
    <w:rsid w:val="00216DE5"/>
    <w:rsid w:val="00217AB7"/>
    <w:rsid w:val="00221C96"/>
    <w:rsid w:val="00221EBD"/>
    <w:rsid w:val="00222345"/>
    <w:rsid w:val="002229ED"/>
    <w:rsid w:val="00222D0F"/>
    <w:rsid w:val="00225735"/>
    <w:rsid w:val="0022611A"/>
    <w:rsid w:val="00226970"/>
    <w:rsid w:val="002272DD"/>
    <w:rsid w:val="00227E9D"/>
    <w:rsid w:val="0023013C"/>
    <w:rsid w:val="00231CB1"/>
    <w:rsid w:val="00231ED2"/>
    <w:rsid w:val="002321EC"/>
    <w:rsid w:val="002326B1"/>
    <w:rsid w:val="00233796"/>
    <w:rsid w:val="00234429"/>
    <w:rsid w:val="00234DBE"/>
    <w:rsid w:val="00235607"/>
    <w:rsid w:val="0023642A"/>
    <w:rsid w:val="002366A6"/>
    <w:rsid w:val="00236BFB"/>
    <w:rsid w:val="0023770A"/>
    <w:rsid w:val="00237B75"/>
    <w:rsid w:val="00242B7C"/>
    <w:rsid w:val="00242BFB"/>
    <w:rsid w:val="00243915"/>
    <w:rsid w:val="00243E8C"/>
    <w:rsid w:val="00244A5E"/>
    <w:rsid w:val="00244B66"/>
    <w:rsid w:val="00245CC3"/>
    <w:rsid w:val="00246A4E"/>
    <w:rsid w:val="0024795F"/>
    <w:rsid w:val="002479D9"/>
    <w:rsid w:val="0025173F"/>
    <w:rsid w:val="00252973"/>
    <w:rsid w:val="00253A10"/>
    <w:rsid w:val="00254130"/>
    <w:rsid w:val="00254637"/>
    <w:rsid w:val="00255AAD"/>
    <w:rsid w:val="00255C6F"/>
    <w:rsid w:val="002577E9"/>
    <w:rsid w:val="002602AD"/>
    <w:rsid w:val="00260D6F"/>
    <w:rsid w:val="0026106D"/>
    <w:rsid w:val="0026171C"/>
    <w:rsid w:val="00262577"/>
    <w:rsid w:val="002640BF"/>
    <w:rsid w:val="00265D50"/>
    <w:rsid w:val="0026695B"/>
    <w:rsid w:val="002714EA"/>
    <w:rsid w:val="0027177E"/>
    <w:rsid w:val="0027216A"/>
    <w:rsid w:val="00272204"/>
    <w:rsid w:val="002724B3"/>
    <w:rsid w:val="00274A96"/>
    <w:rsid w:val="002753B1"/>
    <w:rsid w:val="002756CA"/>
    <w:rsid w:val="00276EF5"/>
    <w:rsid w:val="002776C0"/>
    <w:rsid w:val="00280705"/>
    <w:rsid w:val="0028323F"/>
    <w:rsid w:val="00284935"/>
    <w:rsid w:val="00284BE8"/>
    <w:rsid w:val="002863A8"/>
    <w:rsid w:val="00286DC8"/>
    <w:rsid w:val="002876F5"/>
    <w:rsid w:val="00287DEA"/>
    <w:rsid w:val="00291B8C"/>
    <w:rsid w:val="0029230B"/>
    <w:rsid w:val="00292701"/>
    <w:rsid w:val="00293506"/>
    <w:rsid w:val="002937FC"/>
    <w:rsid w:val="00294056"/>
    <w:rsid w:val="00294458"/>
    <w:rsid w:val="00294F5E"/>
    <w:rsid w:val="00295EBF"/>
    <w:rsid w:val="002961AF"/>
    <w:rsid w:val="002961D5"/>
    <w:rsid w:val="00296926"/>
    <w:rsid w:val="00296EEC"/>
    <w:rsid w:val="00296F8E"/>
    <w:rsid w:val="00297898"/>
    <w:rsid w:val="00297F2A"/>
    <w:rsid w:val="002A0D90"/>
    <w:rsid w:val="002A1D18"/>
    <w:rsid w:val="002A29D9"/>
    <w:rsid w:val="002A366F"/>
    <w:rsid w:val="002A4B4D"/>
    <w:rsid w:val="002A4BE7"/>
    <w:rsid w:val="002A5942"/>
    <w:rsid w:val="002A6DE9"/>
    <w:rsid w:val="002B0F9F"/>
    <w:rsid w:val="002B1622"/>
    <w:rsid w:val="002B1E84"/>
    <w:rsid w:val="002B3797"/>
    <w:rsid w:val="002B3D83"/>
    <w:rsid w:val="002B450E"/>
    <w:rsid w:val="002B55C3"/>
    <w:rsid w:val="002B666C"/>
    <w:rsid w:val="002B7E39"/>
    <w:rsid w:val="002C0D7D"/>
    <w:rsid w:val="002C0E03"/>
    <w:rsid w:val="002C1563"/>
    <w:rsid w:val="002C2EE4"/>
    <w:rsid w:val="002C33B5"/>
    <w:rsid w:val="002C35BE"/>
    <w:rsid w:val="002C4997"/>
    <w:rsid w:val="002C50E5"/>
    <w:rsid w:val="002C586A"/>
    <w:rsid w:val="002C6F41"/>
    <w:rsid w:val="002D013A"/>
    <w:rsid w:val="002D024C"/>
    <w:rsid w:val="002D1C03"/>
    <w:rsid w:val="002D1E66"/>
    <w:rsid w:val="002D22D3"/>
    <w:rsid w:val="002D3E63"/>
    <w:rsid w:val="002D4D8E"/>
    <w:rsid w:val="002D66E1"/>
    <w:rsid w:val="002D6A99"/>
    <w:rsid w:val="002E0BAF"/>
    <w:rsid w:val="002E203E"/>
    <w:rsid w:val="002E2B34"/>
    <w:rsid w:val="002E2B94"/>
    <w:rsid w:val="002E3F1F"/>
    <w:rsid w:val="002E4211"/>
    <w:rsid w:val="002E50A2"/>
    <w:rsid w:val="002E5D30"/>
    <w:rsid w:val="002E7030"/>
    <w:rsid w:val="002E7059"/>
    <w:rsid w:val="002E7338"/>
    <w:rsid w:val="002E75D1"/>
    <w:rsid w:val="002F03C3"/>
    <w:rsid w:val="002F0818"/>
    <w:rsid w:val="002F1252"/>
    <w:rsid w:val="002F520C"/>
    <w:rsid w:val="002F65E7"/>
    <w:rsid w:val="002F6AD0"/>
    <w:rsid w:val="003013E3"/>
    <w:rsid w:val="003034F0"/>
    <w:rsid w:val="00305AED"/>
    <w:rsid w:val="00305B6A"/>
    <w:rsid w:val="00306ADC"/>
    <w:rsid w:val="00307059"/>
    <w:rsid w:val="0031143F"/>
    <w:rsid w:val="00311C71"/>
    <w:rsid w:val="00312B1D"/>
    <w:rsid w:val="00313586"/>
    <w:rsid w:val="0031365F"/>
    <w:rsid w:val="00313A76"/>
    <w:rsid w:val="00314253"/>
    <w:rsid w:val="0031494C"/>
    <w:rsid w:val="00314BCB"/>
    <w:rsid w:val="00314C83"/>
    <w:rsid w:val="003152CA"/>
    <w:rsid w:val="003165B9"/>
    <w:rsid w:val="0031725A"/>
    <w:rsid w:val="00317276"/>
    <w:rsid w:val="003172D1"/>
    <w:rsid w:val="0031752C"/>
    <w:rsid w:val="00317A88"/>
    <w:rsid w:val="00320D30"/>
    <w:rsid w:val="00321331"/>
    <w:rsid w:val="00321E1A"/>
    <w:rsid w:val="00323E7E"/>
    <w:rsid w:val="00324258"/>
    <w:rsid w:val="00325767"/>
    <w:rsid w:val="00326289"/>
    <w:rsid w:val="00326643"/>
    <w:rsid w:val="00327BCD"/>
    <w:rsid w:val="003319B4"/>
    <w:rsid w:val="00331C9A"/>
    <w:rsid w:val="00331ED1"/>
    <w:rsid w:val="003365C0"/>
    <w:rsid w:val="00336970"/>
    <w:rsid w:val="00340186"/>
    <w:rsid w:val="00341AB3"/>
    <w:rsid w:val="00342B9B"/>
    <w:rsid w:val="00343FDB"/>
    <w:rsid w:val="003449FC"/>
    <w:rsid w:val="00344CDA"/>
    <w:rsid w:val="00344F4B"/>
    <w:rsid w:val="003464D7"/>
    <w:rsid w:val="0034720A"/>
    <w:rsid w:val="0034750A"/>
    <w:rsid w:val="0035036E"/>
    <w:rsid w:val="00350ABF"/>
    <w:rsid w:val="00351EB1"/>
    <w:rsid w:val="00351FB1"/>
    <w:rsid w:val="00352812"/>
    <w:rsid w:val="00353036"/>
    <w:rsid w:val="003533A2"/>
    <w:rsid w:val="0035393A"/>
    <w:rsid w:val="00355CAA"/>
    <w:rsid w:val="00360303"/>
    <w:rsid w:val="003612DC"/>
    <w:rsid w:val="00361843"/>
    <w:rsid w:val="00362BB9"/>
    <w:rsid w:val="003637EA"/>
    <w:rsid w:val="00363DDE"/>
    <w:rsid w:val="003664BE"/>
    <w:rsid w:val="00367B24"/>
    <w:rsid w:val="00370D73"/>
    <w:rsid w:val="00371C1E"/>
    <w:rsid w:val="00372B60"/>
    <w:rsid w:val="00373056"/>
    <w:rsid w:val="00373C04"/>
    <w:rsid w:val="00374AF9"/>
    <w:rsid w:val="003759CA"/>
    <w:rsid w:val="00376120"/>
    <w:rsid w:val="0037757A"/>
    <w:rsid w:val="0038090B"/>
    <w:rsid w:val="00381679"/>
    <w:rsid w:val="00382836"/>
    <w:rsid w:val="0038306F"/>
    <w:rsid w:val="00384076"/>
    <w:rsid w:val="00385191"/>
    <w:rsid w:val="00386A60"/>
    <w:rsid w:val="0038787A"/>
    <w:rsid w:val="00387CF7"/>
    <w:rsid w:val="003900AB"/>
    <w:rsid w:val="003904EB"/>
    <w:rsid w:val="0039081E"/>
    <w:rsid w:val="00390C57"/>
    <w:rsid w:val="00390E72"/>
    <w:rsid w:val="00391A74"/>
    <w:rsid w:val="003923BE"/>
    <w:rsid w:val="003925C9"/>
    <w:rsid w:val="003928FF"/>
    <w:rsid w:val="00393847"/>
    <w:rsid w:val="00393DD0"/>
    <w:rsid w:val="00393DDE"/>
    <w:rsid w:val="003942DE"/>
    <w:rsid w:val="00394A52"/>
    <w:rsid w:val="003961C6"/>
    <w:rsid w:val="0039699E"/>
    <w:rsid w:val="00396D68"/>
    <w:rsid w:val="003A0F4A"/>
    <w:rsid w:val="003A229D"/>
    <w:rsid w:val="003A27D0"/>
    <w:rsid w:val="003A2CB1"/>
    <w:rsid w:val="003A497F"/>
    <w:rsid w:val="003A5D65"/>
    <w:rsid w:val="003A66CF"/>
    <w:rsid w:val="003A67F8"/>
    <w:rsid w:val="003A7918"/>
    <w:rsid w:val="003B110F"/>
    <w:rsid w:val="003B179E"/>
    <w:rsid w:val="003B18D1"/>
    <w:rsid w:val="003B2877"/>
    <w:rsid w:val="003B32D6"/>
    <w:rsid w:val="003B3513"/>
    <w:rsid w:val="003B5061"/>
    <w:rsid w:val="003B5FF6"/>
    <w:rsid w:val="003B636F"/>
    <w:rsid w:val="003B6669"/>
    <w:rsid w:val="003B676C"/>
    <w:rsid w:val="003B6C1D"/>
    <w:rsid w:val="003B6E08"/>
    <w:rsid w:val="003B7B01"/>
    <w:rsid w:val="003C0304"/>
    <w:rsid w:val="003C20C4"/>
    <w:rsid w:val="003C28E5"/>
    <w:rsid w:val="003C3028"/>
    <w:rsid w:val="003C347F"/>
    <w:rsid w:val="003C5118"/>
    <w:rsid w:val="003C59FE"/>
    <w:rsid w:val="003C5FD0"/>
    <w:rsid w:val="003C718D"/>
    <w:rsid w:val="003D06FA"/>
    <w:rsid w:val="003D17A2"/>
    <w:rsid w:val="003D28BE"/>
    <w:rsid w:val="003D3119"/>
    <w:rsid w:val="003D3172"/>
    <w:rsid w:val="003D3805"/>
    <w:rsid w:val="003D3ED7"/>
    <w:rsid w:val="003D4554"/>
    <w:rsid w:val="003D46F0"/>
    <w:rsid w:val="003D5EBF"/>
    <w:rsid w:val="003E1860"/>
    <w:rsid w:val="003E2107"/>
    <w:rsid w:val="003E326C"/>
    <w:rsid w:val="003E36E0"/>
    <w:rsid w:val="003E37BD"/>
    <w:rsid w:val="003E529A"/>
    <w:rsid w:val="003E5D45"/>
    <w:rsid w:val="003E656D"/>
    <w:rsid w:val="003E7F6F"/>
    <w:rsid w:val="003F1A6B"/>
    <w:rsid w:val="003F1C1A"/>
    <w:rsid w:val="003F225F"/>
    <w:rsid w:val="003F2EF2"/>
    <w:rsid w:val="003F35DA"/>
    <w:rsid w:val="003F5AD5"/>
    <w:rsid w:val="003F6648"/>
    <w:rsid w:val="003F7860"/>
    <w:rsid w:val="00400A7B"/>
    <w:rsid w:val="004027AA"/>
    <w:rsid w:val="00402AB7"/>
    <w:rsid w:val="00403B57"/>
    <w:rsid w:val="004044A8"/>
    <w:rsid w:val="00404BDF"/>
    <w:rsid w:val="00405302"/>
    <w:rsid w:val="004057FB"/>
    <w:rsid w:val="00406366"/>
    <w:rsid w:val="0040668A"/>
    <w:rsid w:val="00406F85"/>
    <w:rsid w:val="00410002"/>
    <w:rsid w:val="004108FA"/>
    <w:rsid w:val="004128E7"/>
    <w:rsid w:val="00412C9B"/>
    <w:rsid w:val="00413260"/>
    <w:rsid w:val="004133D4"/>
    <w:rsid w:val="00415D7F"/>
    <w:rsid w:val="0041702E"/>
    <w:rsid w:val="00417AD2"/>
    <w:rsid w:val="00417D72"/>
    <w:rsid w:val="004207D8"/>
    <w:rsid w:val="00420F6A"/>
    <w:rsid w:val="00420F97"/>
    <w:rsid w:val="0042378C"/>
    <w:rsid w:val="004249AE"/>
    <w:rsid w:val="004263E7"/>
    <w:rsid w:val="0042691E"/>
    <w:rsid w:val="00427211"/>
    <w:rsid w:val="004277DE"/>
    <w:rsid w:val="00430808"/>
    <w:rsid w:val="0043101F"/>
    <w:rsid w:val="0043243E"/>
    <w:rsid w:val="0043247F"/>
    <w:rsid w:val="004326FC"/>
    <w:rsid w:val="00432AF1"/>
    <w:rsid w:val="00434B30"/>
    <w:rsid w:val="0043657B"/>
    <w:rsid w:val="00436767"/>
    <w:rsid w:val="00436951"/>
    <w:rsid w:val="00437236"/>
    <w:rsid w:val="00437E3C"/>
    <w:rsid w:val="00440311"/>
    <w:rsid w:val="004403B1"/>
    <w:rsid w:val="004413AB"/>
    <w:rsid w:val="004425EF"/>
    <w:rsid w:val="004435FB"/>
    <w:rsid w:val="00443F4D"/>
    <w:rsid w:val="00444177"/>
    <w:rsid w:val="004443B3"/>
    <w:rsid w:val="00444AC9"/>
    <w:rsid w:val="004452ED"/>
    <w:rsid w:val="00445A2B"/>
    <w:rsid w:val="00446756"/>
    <w:rsid w:val="00446A53"/>
    <w:rsid w:val="00450F5B"/>
    <w:rsid w:val="00452FA4"/>
    <w:rsid w:val="0045323D"/>
    <w:rsid w:val="00453EF7"/>
    <w:rsid w:val="00454683"/>
    <w:rsid w:val="004548B3"/>
    <w:rsid w:val="004556D7"/>
    <w:rsid w:val="0045575E"/>
    <w:rsid w:val="004560E2"/>
    <w:rsid w:val="00456225"/>
    <w:rsid w:val="00456513"/>
    <w:rsid w:val="00456E0D"/>
    <w:rsid w:val="00457E8E"/>
    <w:rsid w:val="0046043F"/>
    <w:rsid w:val="004611AB"/>
    <w:rsid w:val="00461A87"/>
    <w:rsid w:val="00461B5D"/>
    <w:rsid w:val="00462027"/>
    <w:rsid w:val="00463448"/>
    <w:rsid w:val="00463F38"/>
    <w:rsid w:val="00463F9F"/>
    <w:rsid w:val="004645FB"/>
    <w:rsid w:val="00464EC9"/>
    <w:rsid w:val="004655EE"/>
    <w:rsid w:val="00467835"/>
    <w:rsid w:val="00467A21"/>
    <w:rsid w:val="004705B9"/>
    <w:rsid w:val="0047087B"/>
    <w:rsid w:val="004719FD"/>
    <w:rsid w:val="00472419"/>
    <w:rsid w:val="00472535"/>
    <w:rsid w:val="004729D9"/>
    <w:rsid w:val="00472C9B"/>
    <w:rsid w:val="0047494A"/>
    <w:rsid w:val="004775C6"/>
    <w:rsid w:val="00477FEF"/>
    <w:rsid w:val="00480233"/>
    <w:rsid w:val="00480F45"/>
    <w:rsid w:val="004849F7"/>
    <w:rsid w:val="0048640B"/>
    <w:rsid w:val="00486EFE"/>
    <w:rsid w:val="0048731C"/>
    <w:rsid w:val="00487C93"/>
    <w:rsid w:val="004904B0"/>
    <w:rsid w:val="004916C3"/>
    <w:rsid w:val="00491889"/>
    <w:rsid w:val="00491D52"/>
    <w:rsid w:val="00493065"/>
    <w:rsid w:val="0049308A"/>
    <w:rsid w:val="00493290"/>
    <w:rsid w:val="004934E9"/>
    <w:rsid w:val="004938B7"/>
    <w:rsid w:val="00493AA0"/>
    <w:rsid w:val="00493CCF"/>
    <w:rsid w:val="00495583"/>
    <w:rsid w:val="004964BD"/>
    <w:rsid w:val="00496B52"/>
    <w:rsid w:val="00497ABA"/>
    <w:rsid w:val="00497F86"/>
    <w:rsid w:val="004A0B1D"/>
    <w:rsid w:val="004A0D15"/>
    <w:rsid w:val="004A3101"/>
    <w:rsid w:val="004A3558"/>
    <w:rsid w:val="004A3FD7"/>
    <w:rsid w:val="004A4E78"/>
    <w:rsid w:val="004A6C94"/>
    <w:rsid w:val="004A789C"/>
    <w:rsid w:val="004A795E"/>
    <w:rsid w:val="004A7A15"/>
    <w:rsid w:val="004A7BE3"/>
    <w:rsid w:val="004B0303"/>
    <w:rsid w:val="004B0593"/>
    <w:rsid w:val="004B0B64"/>
    <w:rsid w:val="004B147B"/>
    <w:rsid w:val="004B174C"/>
    <w:rsid w:val="004B1DEF"/>
    <w:rsid w:val="004B38A0"/>
    <w:rsid w:val="004B49E4"/>
    <w:rsid w:val="004B5100"/>
    <w:rsid w:val="004B52FD"/>
    <w:rsid w:val="004B7A5E"/>
    <w:rsid w:val="004C00DB"/>
    <w:rsid w:val="004C08F8"/>
    <w:rsid w:val="004C11AC"/>
    <w:rsid w:val="004C3289"/>
    <w:rsid w:val="004C35B0"/>
    <w:rsid w:val="004C5178"/>
    <w:rsid w:val="004C5247"/>
    <w:rsid w:val="004C59CF"/>
    <w:rsid w:val="004C75FD"/>
    <w:rsid w:val="004D0A24"/>
    <w:rsid w:val="004D1A3D"/>
    <w:rsid w:val="004D1B96"/>
    <w:rsid w:val="004D2638"/>
    <w:rsid w:val="004D2FCF"/>
    <w:rsid w:val="004D3F72"/>
    <w:rsid w:val="004D424D"/>
    <w:rsid w:val="004D43A0"/>
    <w:rsid w:val="004D4580"/>
    <w:rsid w:val="004D4C8E"/>
    <w:rsid w:val="004D598C"/>
    <w:rsid w:val="004D5C18"/>
    <w:rsid w:val="004D606A"/>
    <w:rsid w:val="004D7F64"/>
    <w:rsid w:val="004E0CFB"/>
    <w:rsid w:val="004E290E"/>
    <w:rsid w:val="004E2C19"/>
    <w:rsid w:val="004E387C"/>
    <w:rsid w:val="004E38EC"/>
    <w:rsid w:val="004E541D"/>
    <w:rsid w:val="004E54FC"/>
    <w:rsid w:val="004E6416"/>
    <w:rsid w:val="004F0373"/>
    <w:rsid w:val="004F115D"/>
    <w:rsid w:val="004F2D45"/>
    <w:rsid w:val="004F2D92"/>
    <w:rsid w:val="004F3B4B"/>
    <w:rsid w:val="004F3B58"/>
    <w:rsid w:val="004F3CB3"/>
    <w:rsid w:val="004F4068"/>
    <w:rsid w:val="004F4244"/>
    <w:rsid w:val="004F6AAD"/>
    <w:rsid w:val="004F6FFB"/>
    <w:rsid w:val="004F7A61"/>
    <w:rsid w:val="00503F15"/>
    <w:rsid w:val="005045C9"/>
    <w:rsid w:val="005047FD"/>
    <w:rsid w:val="00506B3E"/>
    <w:rsid w:val="00507335"/>
    <w:rsid w:val="00512A5F"/>
    <w:rsid w:val="00513143"/>
    <w:rsid w:val="0051386E"/>
    <w:rsid w:val="00514A99"/>
    <w:rsid w:val="00515855"/>
    <w:rsid w:val="00515B00"/>
    <w:rsid w:val="00516B85"/>
    <w:rsid w:val="00521848"/>
    <w:rsid w:val="00522CDE"/>
    <w:rsid w:val="00524862"/>
    <w:rsid w:val="00524E1B"/>
    <w:rsid w:val="00526E05"/>
    <w:rsid w:val="00527DC4"/>
    <w:rsid w:val="00527F14"/>
    <w:rsid w:val="005307B6"/>
    <w:rsid w:val="00531C81"/>
    <w:rsid w:val="00533370"/>
    <w:rsid w:val="00534701"/>
    <w:rsid w:val="00535C84"/>
    <w:rsid w:val="00535C87"/>
    <w:rsid w:val="00536ADF"/>
    <w:rsid w:val="00536BE3"/>
    <w:rsid w:val="00536CE2"/>
    <w:rsid w:val="0053702B"/>
    <w:rsid w:val="005371FD"/>
    <w:rsid w:val="00540F10"/>
    <w:rsid w:val="00541D3F"/>
    <w:rsid w:val="00541D78"/>
    <w:rsid w:val="005425C3"/>
    <w:rsid w:val="005425DE"/>
    <w:rsid w:val="00542D62"/>
    <w:rsid w:val="00543BC8"/>
    <w:rsid w:val="005448F2"/>
    <w:rsid w:val="00546314"/>
    <w:rsid w:val="00547D91"/>
    <w:rsid w:val="00547E06"/>
    <w:rsid w:val="00550D98"/>
    <w:rsid w:val="005512F7"/>
    <w:rsid w:val="005513C2"/>
    <w:rsid w:val="00551688"/>
    <w:rsid w:val="005518DD"/>
    <w:rsid w:val="00551D5A"/>
    <w:rsid w:val="00552A68"/>
    <w:rsid w:val="0055380B"/>
    <w:rsid w:val="00554989"/>
    <w:rsid w:val="0055517D"/>
    <w:rsid w:val="00556CC0"/>
    <w:rsid w:val="0055703D"/>
    <w:rsid w:val="00557CFB"/>
    <w:rsid w:val="005610B6"/>
    <w:rsid w:val="00562395"/>
    <w:rsid w:val="00562418"/>
    <w:rsid w:val="00563745"/>
    <w:rsid w:val="0056503E"/>
    <w:rsid w:val="00565722"/>
    <w:rsid w:val="00566AE3"/>
    <w:rsid w:val="0056729F"/>
    <w:rsid w:val="00570132"/>
    <w:rsid w:val="005738DD"/>
    <w:rsid w:val="00573B09"/>
    <w:rsid w:val="00573E31"/>
    <w:rsid w:val="00574832"/>
    <w:rsid w:val="00574C85"/>
    <w:rsid w:val="00574F18"/>
    <w:rsid w:val="00575A0F"/>
    <w:rsid w:val="00577AAB"/>
    <w:rsid w:val="00580FF4"/>
    <w:rsid w:val="00581AA8"/>
    <w:rsid w:val="00581ABB"/>
    <w:rsid w:val="00583B6A"/>
    <w:rsid w:val="0058410B"/>
    <w:rsid w:val="00584903"/>
    <w:rsid w:val="0058519A"/>
    <w:rsid w:val="0058538C"/>
    <w:rsid w:val="00585981"/>
    <w:rsid w:val="00585BAC"/>
    <w:rsid w:val="00585DE1"/>
    <w:rsid w:val="005914CA"/>
    <w:rsid w:val="00593FDF"/>
    <w:rsid w:val="0059407B"/>
    <w:rsid w:val="0059490C"/>
    <w:rsid w:val="00594B04"/>
    <w:rsid w:val="005963EE"/>
    <w:rsid w:val="00596431"/>
    <w:rsid w:val="005972A8"/>
    <w:rsid w:val="00597620"/>
    <w:rsid w:val="00597E51"/>
    <w:rsid w:val="005A059C"/>
    <w:rsid w:val="005A337A"/>
    <w:rsid w:val="005A574F"/>
    <w:rsid w:val="005A5F90"/>
    <w:rsid w:val="005A6066"/>
    <w:rsid w:val="005A623D"/>
    <w:rsid w:val="005A6528"/>
    <w:rsid w:val="005B11C6"/>
    <w:rsid w:val="005B1DBB"/>
    <w:rsid w:val="005B2807"/>
    <w:rsid w:val="005B2F63"/>
    <w:rsid w:val="005B4129"/>
    <w:rsid w:val="005B501E"/>
    <w:rsid w:val="005B57C9"/>
    <w:rsid w:val="005B72DA"/>
    <w:rsid w:val="005B7C0C"/>
    <w:rsid w:val="005C0EA0"/>
    <w:rsid w:val="005C0EAC"/>
    <w:rsid w:val="005C1298"/>
    <w:rsid w:val="005C1859"/>
    <w:rsid w:val="005C21BA"/>
    <w:rsid w:val="005C48B9"/>
    <w:rsid w:val="005C7628"/>
    <w:rsid w:val="005C7634"/>
    <w:rsid w:val="005D0AB2"/>
    <w:rsid w:val="005D1817"/>
    <w:rsid w:val="005D3952"/>
    <w:rsid w:val="005D427E"/>
    <w:rsid w:val="005D4781"/>
    <w:rsid w:val="005D4D97"/>
    <w:rsid w:val="005D576C"/>
    <w:rsid w:val="005D578F"/>
    <w:rsid w:val="005D6CCF"/>
    <w:rsid w:val="005E00D9"/>
    <w:rsid w:val="005E09AB"/>
    <w:rsid w:val="005E14C0"/>
    <w:rsid w:val="005E2D24"/>
    <w:rsid w:val="005E39FF"/>
    <w:rsid w:val="005E47EB"/>
    <w:rsid w:val="005E4E56"/>
    <w:rsid w:val="005E4F18"/>
    <w:rsid w:val="005E55C4"/>
    <w:rsid w:val="005E7937"/>
    <w:rsid w:val="005E7A9E"/>
    <w:rsid w:val="005F0D85"/>
    <w:rsid w:val="005F0E6D"/>
    <w:rsid w:val="005F21B5"/>
    <w:rsid w:val="005F2A9F"/>
    <w:rsid w:val="005F2CEF"/>
    <w:rsid w:val="005F338C"/>
    <w:rsid w:val="005F4452"/>
    <w:rsid w:val="005F554D"/>
    <w:rsid w:val="005F5A02"/>
    <w:rsid w:val="005F5C99"/>
    <w:rsid w:val="005F6348"/>
    <w:rsid w:val="005F640C"/>
    <w:rsid w:val="005F6653"/>
    <w:rsid w:val="005F6C09"/>
    <w:rsid w:val="005F72C1"/>
    <w:rsid w:val="0060043A"/>
    <w:rsid w:val="00600AFF"/>
    <w:rsid w:val="00600E1F"/>
    <w:rsid w:val="00602D70"/>
    <w:rsid w:val="006036D5"/>
    <w:rsid w:val="00604033"/>
    <w:rsid w:val="00604D91"/>
    <w:rsid w:val="006066DD"/>
    <w:rsid w:val="0060694D"/>
    <w:rsid w:val="00606EEE"/>
    <w:rsid w:val="00610EE6"/>
    <w:rsid w:val="0061157A"/>
    <w:rsid w:val="00612BE2"/>
    <w:rsid w:val="00612D80"/>
    <w:rsid w:val="00614F48"/>
    <w:rsid w:val="00617CB2"/>
    <w:rsid w:val="0062085B"/>
    <w:rsid w:val="006208E5"/>
    <w:rsid w:val="006226EE"/>
    <w:rsid w:val="006242D2"/>
    <w:rsid w:val="00625BBA"/>
    <w:rsid w:val="0062654E"/>
    <w:rsid w:val="00626A31"/>
    <w:rsid w:val="00627AF7"/>
    <w:rsid w:val="00630096"/>
    <w:rsid w:val="00630755"/>
    <w:rsid w:val="00630F91"/>
    <w:rsid w:val="006310F7"/>
    <w:rsid w:val="006317D4"/>
    <w:rsid w:val="00633F4A"/>
    <w:rsid w:val="0063482A"/>
    <w:rsid w:val="0063536A"/>
    <w:rsid w:val="006358A2"/>
    <w:rsid w:val="00635ABC"/>
    <w:rsid w:val="00636D65"/>
    <w:rsid w:val="00636FB1"/>
    <w:rsid w:val="00637B4A"/>
    <w:rsid w:val="00637C9C"/>
    <w:rsid w:val="00643A81"/>
    <w:rsid w:val="00643EE9"/>
    <w:rsid w:val="006444E6"/>
    <w:rsid w:val="00644B68"/>
    <w:rsid w:val="0064633A"/>
    <w:rsid w:val="00646425"/>
    <w:rsid w:val="00646480"/>
    <w:rsid w:val="00646A84"/>
    <w:rsid w:val="00646AAB"/>
    <w:rsid w:val="006471F2"/>
    <w:rsid w:val="00647DFB"/>
    <w:rsid w:val="006515C5"/>
    <w:rsid w:val="006516A4"/>
    <w:rsid w:val="00652EA5"/>
    <w:rsid w:val="00655DEB"/>
    <w:rsid w:val="00656F04"/>
    <w:rsid w:val="0066110B"/>
    <w:rsid w:val="0066182D"/>
    <w:rsid w:val="006626D6"/>
    <w:rsid w:val="006629AF"/>
    <w:rsid w:val="00664F6F"/>
    <w:rsid w:val="0066553D"/>
    <w:rsid w:val="00665624"/>
    <w:rsid w:val="00666800"/>
    <w:rsid w:val="006677A4"/>
    <w:rsid w:val="00667808"/>
    <w:rsid w:val="00667D64"/>
    <w:rsid w:val="006702DC"/>
    <w:rsid w:val="00671E34"/>
    <w:rsid w:val="00672764"/>
    <w:rsid w:val="006730FB"/>
    <w:rsid w:val="006739C8"/>
    <w:rsid w:val="00673A54"/>
    <w:rsid w:val="00673CD3"/>
    <w:rsid w:val="00674E9C"/>
    <w:rsid w:val="0067530F"/>
    <w:rsid w:val="006770F3"/>
    <w:rsid w:val="00682864"/>
    <w:rsid w:val="00682930"/>
    <w:rsid w:val="006829D7"/>
    <w:rsid w:val="00683287"/>
    <w:rsid w:val="00683D0C"/>
    <w:rsid w:val="00683D78"/>
    <w:rsid w:val="00684936"/>
    <w:rsid w:val="00685038"/>
    <w:rsid w:val="00685834"/>
    <w:rsid w:val="006860F5"/>
    <w:rsid w:val="006861FE"/>
    <w:rsid w:val="006865C1"/>
    <w:rsid w:val="00691383"/>
    <w:rsid w:val="00691430"/>
    <w:rsid w:val="006919F9"/>
    <w:rsid w:val="006921C7"/>
    <w:rsid w:val="006947E1"/>
    <w:rsid w:val="00695A59"/>
    <w:rsid w:val="00696E65"/>
    <w:rsid w:val="00697C16"/>
    <w:rsid w:val="006A065B"/>
    <w:rsid w:val="006A0CB7"/>
    <w:rsid w:val="006A107D"/>
    <w:rsid w:val="006A1D91"/>
    <w:rsid w:val="006A2028"/>
    <w:rsid w:val="006A2331"/>
    <w:rsid w:val="006A268D"/>
    <w:rsid w:val="006A4344"/>
    <w:rsid w:val="006A4362"/>
    <w:rsid w:val="006A5FDA"/>
    <w:rsid w:val="006A685B"/>
    <w:rsid w:val="006A70F5"/>
    <w:rsid w:val="006A7D6B"/>
    <w:rsid w:val="006A7E37"/>
    <w:rsid w:val="006B0509"/>
    <w:rsid w:val="006B0754"/>
    <w:rsid w:val="006B09DB"/>
    <w:rsid w:val="006B1A67"/>
    <w:rsid w:val="006B1CDB"/>
    <w:rsid w:val="006B2598"/>
    <w:rsid w:val="006B3702"/>
    <w:rsid w:val="006B3B5B"/>
    <w:rsid w:val="006B68CD"/>
    <w:rsid w:val="006B694E"/>
    <w:rsid w:val="006B73C8"/>
    <w:rsid w:val="006B7545"/>
    <w:rsid w:val="006B79A7"/>
    <w:rsid w:val="006B7F7A"/>
    <w:rsid w:val="006C0223"/>
    <w:rsid w:val="006C09EB"/>
    <w:rsid w:val="006C0A6F"/>
    <w:rsid w:val="006C0ECA"/>
    <w:rsid w:val="006C1526"/>
    <w:rsid w:val="006C2AB5"/>
    <w:rsid w:val="006C33AA"/>
    <w:rsid w:val="006C4160"/>
    <w:rsid w:val="006C45B2"/>
    <w:rsid w:val="006C598C"/>
    <w:rsid w:val="006C5BEE"/>
    <w:rsid w:val="006C5C6D"/>
    <w:rsid w:val="006C628B"/>
    <w:rsid w:val="006C6DD2"/>
    <w:rsid w:val="006C7CEA"/>
    <w:rsid w:val="006D0627"/>
    <w:rsid w:val="006D0D24"/>
    <w:rsid w:val="006D1B42"/>
    <w:rsid w:val="006D1FB7"/>
    <w:rsid w:val="006D305A"/>
    <w:rsid w:val="006D32E9"/>
    <w:rsid w:val="006D4354"/>
    <w:rsid w:val="006D4A30"/>
    <w:rsid w:val="006D510C"/>
    <w:rsid w:val="006D52BD"/>
    <w:rsid w:val="006D5D86"/>
    <w:rsid w:val="006D7087"/>
    <w:rsid w:val="006E4F5C"/>
    <w:rsid w:val="006E5DEE"/>
    <w:rsid w:val="006E6F1F"/>
    <w:rsid w:val="006E7619"/>
    <w:rsid w:val="006F141D"/>
    <w:rsid w:val="006F19C2"/>
    <w:rsid w:val="006F28AC"/>
    <w:rsid w:val="006F3671"/>
    <w:rsid w:val="006F6F3F"/>
    <w:rsid w:val="006F784C"/>
    <w:rsid w:val="006F7B9F"/>
    <w:rsid w:val="00701904"/>
    <w:rsid w:val="00702557"/>
    <w:rsid w:val="0070496D"/>
    <w:rsid w:val="007049EF"/>
    <w:rsid w:val="00704B16"/>
    <w:rsid w:val="00706562"/>
    <w:rsid w:val="00707B73"/>
    <w:rsid w:val="00707CC5"/>
    <w:rsid w:val="00711269"/>
    <w:rsid w:val="007119FD"/>
    <w:rsid w:val="007134C8"/>
    <w:rsid w:val="00713A1F"/>
    <w:rsid w:val="00713CAF"/>
    <w:rsid w:val="007142D3"/>
    <w:rsid w:val="007153CE"/>
    <w:rsid w:val="00715DE8"/>
    <w:rsid w:val="00716B74"/>
    <w:rsid w:val="00720A55"/>
    <w:rsid w:val="0072254C"/>
    <w:rsid w:val="007230E9"/>
    <w:rsid w:val="007233CA"/>
    <w:rsid w:val="00723BCE"/>
    <w:rsid w:val="007257D7"/>
    <w:rsid w:val="007312FF"/>
    <w:rsid w:val="007318C9"/>
    <w:rsid w:val="00731C09"/>
    <w:rsid w:val="00733225"/>
    <w:rsid w:val="0073394A"/>
    <w:rsid w:val="00734747"/>
    <w:rsid w:val="00734BB7"/>
    <w:rsid w:val="0073516F"/>
    <w:rsid w:val="00736387"/>
    <w:rsid w:val="007364EE"/>
    <w:rsid w:val="00736502"/>
    <w:rsid w:val="0073668B"/>
    <w:rsid w:val="00736D1C"/>
    <w:rsid w:val="00740B73"/>
    <w:rsid w:val="0074239C"/>
    <w:rsid w:val="00743C98"/>
    <w:rsid w:val="00743D94"/>
    <w:rsid w:val="00744D16"/>
    <w:rsid w:val="00745426"/>
    <w:rsid w:val="00746E18"/>
    <w:rsid w:val="00750C77"/>
    <w:rsid w:val="00750D1C"/>
    <w:rsid w:val="0075118E"/>
    <w:rsid w:val="00752485"/>
    <w:rsid w:val="007529A8"/>
    <w:rsid w:val="00752EC8"/>
    <w:rsid w:val="00752FF4"/>
    <w:rsid w:val="0075386C"/>
    <w:rsid w:val="00755876"/>
    <w:rsid w:val="00760FB1"/>
    <w:rsid w:val="00762882"/>
    <w:rsid w:val="00763D86"/>
    <w:rsid w:val="00763E74"/>
    <w:rsid w:val="0076752C"/>
    <w:rsid w:val="0077091C"/>
    <w:rsid w:val="00771FAF"/>
    <w:rsid w:val="00772C59"/>
    <w:rsid w:val="00773395"/>
    <w:rsid w:val="007743DE"/>
    <w:rsid w:val="00774A32"/>
    <w:rsid w:val="007755B6"/>
    <w:rsid w:val="007769B5"/>
    <w:rsid w:val="00776FB3"/>
    <w:rsid w:val="00780A49"/>
    <w:rsid w:val="00781927"/>
    <w:rsid w:val="00781DDC"/>
    <w:rsid w:val="007828A9"/>
    <w:rsid w:val="007836E3"/>
    <w:rsid w:val="00784F4C"/>
    <w:rsid w:val="007855E6"/>
    <w:rsid w:val="00785C38"/>
    <w:rsid w:val="00786D49"/>
    <w:rsid w:val="00786F39"/>
    <w:rsid w:val="00790EE7"/>
    <w:rsid w:val="007923CC"/>
    <w:rsid w:val="00792EE6"/>
    <w:rsid w:val="00794889"/>
    <w:rsid w:val="00794BED"/>
    <w:rsid w:val="00796DD7"/>
    <w:rsid w:val="00797551"/>
    <w:rsid w:val="00797F78"/>
    <w:rsid w:val="007A04A5"/>
    <w:rsid w:val="007A082E"/>
    <w:rsid w:val="007A1307"/>
    <w:rsid w:val="007A15F5"/>
    <w:rsid w:val="007A1727"/>
    <w:rsid w:val="007A2EBC"/>
    <w:rsid w:val="007A430C"/>
    <w:rsid w:val="007A690C"/>
    <w:rsid w:val="007A6F52"/>
    <w:rsid w:val="007A762D"/>
    <w:rsid w:val="007A7CF8"/>
    <w:rsid w:val="007B0273"/>
    <w:rsid w:val="007B04FA"/>
    <w:rsid w:val="007B2016"/>
    <w:rsid w:val="007B30BE"/>
    <w:rsid w:val="007B3C21"/>
    <w:rsid w:val="007B3D4B"/>
    <w:rsid w:val="007B3DF8"/>
    <w:rsid w:val="007B4763"/>
    <w:rsid w:val="007B47A2"/>
    <w:rsid w:val="007B5A14"/>
    <w:rsid w:val="007B617B"/>
    <w:rsid w:val="007B6947"/>
    <w:rsid w:val="007B78A1"/>
    <w:rsid w:val="007C0F01"/>
    <w:rsid w:val="007C2E69"/>
    <w:rsid w:val="007C396E"/>
    <w:rsid w:val="007C3F42"/>
    <w:rsid w:val="007C449D"/>
    <w:rsid w:val="007C79D0"/>
    <w:rsid w:val="007C7ED3"/>
    <w:rsid w:val="007D2CE7"/>
    <w:rsid w:val="007D37DA"/>
    <w:rsid w:val="007D389A"/>
    <w:rsid w:val="007D4075"/>
    <w:rsid w:val="007D6730"/>
    <w:rsid w:val="007D7102"/>
    <w:rsid w:val="007E10DE"/>
    <w:rsid w:val="007E135A"/>
    <w:rsid w:val="007E18CE"/>
    <w:rsid w:val="007E2132"/>
    <w:rsid w:val="007E2B2F"/>
    <w:rsid w:val="007E335F"/>
    <w:rsid w:val="007E369A"/>
    <w:rsid w:val="007E5F8D"/>
    <w:rsid w:val="007E690A"/>
    <w:rsid w:val="007E73BA"/>
    <w:rsid w:val="007E7896"/>
    <w:rsid w:val="007F0026"/>
    <w:rsid w:val="007F047E"/>
    <w:rsid w:val="007F0CA7"/>
    <w:rsid w:val="007F12E2"/>
    <w:rsid w:val="007F315B"/>
    <w:rsid w:val="007F65CC"/>
    <w:rsid w:val="007F7936"/>
    <w:rsid w:val="007F79A5"/>
    <w:rsid w:val="007F7AD0"/>
    <w:rsid w:val="007F7D25"/>
    <w:rsid w:val="00800C52"/>
    <w:rsid w:val="008026C2"/>
    <w:rsid w:val="00802780"/>
    <w:rsid w:val="00802A29"/>
    <w:rsid w:val="00802CBF"/>
    <w:rsid w:val="00803215"/>
    <w:rsid w:val="00803E88"/>
    <w:rsid w:val="008053AD"/>
    <w:rsid w:val="00805735"/>
    <w:rsid w:val="0080586E"/>
    <w:rsid w:val="00806120"/>
    <w:rsid w:val="00806D52"/>
    <w:rsid w:val="00807B09"/>
    <w:rsid w:val="00807B6E"/>
    <w:rsid w:val="00810098"/>
    <w:rsid w:val="008103BB"/>
    <w:rsid w:val="008109FC"/>
    <w:rsid w:val="00811C5D"/>
    <w:rsid w:val="00811DD8"/>
    <w:rsid w:val="00811DFC"/>
    <w:rsid w:val="00812C3E"/>
    <w:rsid w:val="00813689"/>
    <w:rsid w:val="008165A2"/>
    <w:rsid w:val="0081660D"/>
    <w:rsid w:val="00817A51"/>
    <w:rsid w:val="0082037A"/>
    <w:rsid w:val="0082103E"/>
    <w:rsid w:val="00821634"/>
    <w:rsid w:val="00823032"/>
    <w:rsid w:val="008230AD"/>
    <w:rsid w:val="00823292"/>
    <w:rsid w:val="0082450C"/>
    <w:rsid w:val="008246F2"/>
    <w:rsid w:val="00824E54"/>
    <w:rsid w:val="0082502A"/>
    <w:rsid w:val="008250E5"/>
    <w:rsid w:val="00825231"/>
    <w:rsid w:val="00825BCB"/>
    <w:rsid w:val="00827090"/>
    <w:rsid w:val="00827A0D"/>
    <w:rsid w:val="008300B8"/>
    <w:rsid w:val="00830A5F"/>
    <w:rsid w:val="00830F8C"/>
    <w:rsid w:val="00831472"/>
    <w:rsid w:val="00831942"/>
    <w:rsid w:val="008320A2"/>
    <w:rsid w:val="00832449"/>
    <w:rsid w:val="00832BB9"/>
    <w:rsid w:val="00832BE5"/>
    <w:rsid w:val="00833701"/>
    <w:rsid w:val="00833B56"/>
    <w:rsid w:val="00833DDE"/>
    <w:rsid w:val="0083440D"/>
    <w:rsid w:val="00834BE3"/>
    <w:rsid w:val="00835457"/>
    <w:rsid w:val="00835909"/>
    <w:rsid w:val="00835A8D"/>
    <w:rsid w:val="008378A4"/>
    <w:rsid w:val="00840BD0"/>
    <w:rsid w:val="00841C67"/>
    <w:rsid w:val="0084226D"/>
    <w:rsid w:val="008424E5"/>
    <w:rsid w:val="00843293"/>
    <w:rsid w:val="00843B47"/>
    <w:rsid w:val="0084476E"/>
    <w:rsid w:val="00844A5C"/>
    <w:rsid w:val="00846AAF"/>
    <w:rsid w:val="0085038E"/>
    <w:rsid w:val="0085045A"/>
    <w:rsid w:val="00851521"/>
    <w:rsid w:val="00851D41"/>
    <w:rsid w:val="00851DC4"/>
    <w:rsid w:val="00852E30"/>
    <w:rsid w:val="00852E44"/>
    <w:rsid w:val="00853358"/>
    <w:rsid w:val="00853ECC"/>
    <w:rsid w:val="00855A5E"/>
    <w:rsid w:val="00856851"/>
    <w:rsid w:val="00857083"/>
    <w:rsid w:val="00857397"/>
    <w:rsid w:val="00857556"/>
    <w:rsid w:val="0085770B"/>
    <w:rsid w:val="00857867"/>
    <w:rsid w:val="0086068B"/>
    <w:rsid w:val="008619FF"/>
    <w:rsid w:val="00861B49"/>
    <w:rsid w:val="00861B8F"/>
    <w:rsid w:val="00861D2F"/>
    <w:rsid w:val="008633D6"/>
    <w:rsid w:val="00863DCB"/>
    <w:rsid w:val="00864489"/>
    <w:rsid w:val="00864721"/>
    <w:rsid w:val="00870876"/>
    <w:rsid w:val="00871AF2"/>
    <w:rsid w:val="00873E19"/>
    <w:rsid w:val="008750A9"/>
    <w:rsid w:val="00875BCB"/>
    <w:rsid w:val="00875FA5"/>
    <w:rsid w:val="008766C3"/>
    <w:rsid w:val="00877855"/>
    <w:rsid w:val="008800EC"/>
    <w:rsid w:val="00881777"/>
    <w:rsid w:val="008833C5"/>
    <w:rsid w:val="00883960"/>
    <w:rsid w:val="00883FDE"/>
    <w:rsid w:val="00884B99"/>
    <w:rsid w:val="00885030"/>
    <w:rsid w:val="008858C7"/>
    <w:rsid w:val="00890540"/>
    <w:rsid w:val="00891A9B"/>
    <w:rsid w:val="00892DBD"/>
    <w:rsid w:val="00892FC0"/>
    <w:rsid w:val="00893404"/>
    <w:rsid w:val="0089360C"/>
    <w:rsid w:val="00894C3A"/>
    <w:rsid w:val="00895ECF"/>
    <w:rsid w:val="00897426"/>
    <w:rsid w:val="008975EB"/>
    <w:rsid w:val="00897EFB"/>
    <w:rsid w:val="008A00D9"/>
    <w:rsid w:val="008A0C13"/>
    <w:rsid w:val="008A11D7"/>
    <w:rsid w:val="008A123E"/>
    <w:rsid w:val="008A237E"/>
    <w:rsid w:val="008A27B5"/>
    <w:rsid w:val="008A3014"/>
    <w:rsid w:val="008A3D60"/>
    <w:rsid w:val="008A40DD"/>
    <w:rsid w:val="008A55BA"/>
    <w:rsid w:val="008A6912"/>
    <w:rsid w:val="008A7585"/>
    <w:rsid w:val="008A76CE"/>
    <w:rsid w:val="008B0970"/>
    <w:rsid w:val="008B1A26"/>
    <w:rsid w:val="008B20ED"/>
    <w:rsid w:val="008B2C60"/>
    <w:rsid w:val="008B3041"/>
    <w:rsid w:val="008B42F0"/>
    <w:rsid w:val="008B455E"/>
    <w:rsid w:val="008B5579"/>
    <w:rsid w:val="008B65B1"/>
    <w:rsid w:val="008B686F"/>
    <w:rsid w:val="008B7958"/>
    <w:rsid w:val="008B7A4E"/>
    <w:rsid w:val="008B7FB7"/>
    <w:rsid w:val="008C1ADD"/>
    <w:rsid w:val="008C1E44"/>
    <w:rsid w:val="008C24C7"/>
    <w:rsid w:val="008C2BEA"/>
    <w:rsid w:val="008C3A22"/>
    <w:rsid w:val="008C49BF"/>
    <w:rsid w:val="008C4E01"/>
    <w:rsid w:val="008C4F17"/>
    <w:rsid w:val="008D0034"/>
    <w:rsid w:val="008D1527"/>
    <w:rsid w:val="008D2489"/>
    <w:rsid w:val="008D29A0"/>
    <w:rsid w:val="008D37B4"/>
    <w:rsid w:val="008D4175"/>
    <w:rsid w:val="008D41E2"/>
    <w:rsid w:val="008D42B5"/>
    <w:rsid w:val="008D4621"/>
    <w:rsid w:val="008D54A6"/>
    <w:rsid w:val="008D6B89"/>
    <w:rsid w:val="008E16A7"/>
    <w:rsid w:val="008E1A06"/>
    <w:rsid w:val="008E1CFA"/>
    <w:rsid w:val="008E1DFF"/>
    <w:rsid w:val="008E21B1"/>
    <w:rsid w:val="008E2A06"/>
    <w:rsid w:val="008E46B2"/>
    <w:rsid w:val="008E4CDF"/>
    <w:rsid w:val="008E5CC0"/>
    <w:rsid w:val="008E7025"/>
    <w:rsid w:val="008E74D8"/>
    <w:rsid w:val="008F0CEF"/>
    <w:rsid w:val="008F2030"/>
    <w:rsid w:val="008F380B"/>
    <w:rsid w:val="008F4DD6"/>
    <w:rsid w:val="008F4E9F"/>
    <w:rsid w:val="008F5024"/>
    <w:rsid w:val="008F5C38"/>
    <w:rsid w:val="008F5EE9"/>
    <w:rsid w:val="008F6465"/>
    <w:rsid w:val="008F6669"/>
    <w:rsid w:val="008F69E1"/>
    <w:rsid w:val="008F7614"/>
    <w:rsid w:val="00900634"/>
    <w:rsid w:val="00900897"/>
    <w:rsid w:val="00900B7C"/>
    <w:rsid w:val="00901284"/>
    <w:rsid w:val="00901EEA"/>
    <w:rsid w:val="00902109"/>
    <w:rsid w:val="009028C9"/>
    <w:rsid w:val="00902F21"/>
    <w:rsid w:val="0090436A"/>
    <w:rsid w:val="009062F1"/>
    <w:rsid w:val="009069ED"/>
    <w:rsid w:val="00906DE1"/>
    <w:rsid w:val="00906E86"/>
    <w:rsid w:val="009070D0"/>
    <w:rsid w:val="00911367"/>
    <w:rsid w:val="00911461"/>
    <w:rsid w:val="00912128"/>
    <w:rsid w:val="00912151"/>
    <w:rsid w:val="0091293B"/>
    <w:rsid w:val="00913471"/>
    <w:rsid w:val="00913C1E"/>
    <w:rsid w:val="00914CFF"/>
    <w:rsid w:val="0091620C"/>
    <w:rsid w:val="00916701"/>
    <w:rsid w:val="009168FA"/>
    <w:rsid w:val="009169C5"/>
    <w:rsid w:val="0091794F"/>
    <w:rsid w:val="009179E4"/>
    <w:rsid w:val="009233B8"/>
    <w:rsid w:val="0092435E"/>
    <w:rsid w:val="00925444"/>
    <w:rsid w:val="00925FAE"/>
    <w:rsid w:val="009260F1"/>
    <w:rsid w:val="00926E12"/>
    <w:rsid w:val="00930F86"/>
    <w:rsid w:val="009311F0"/>
    <w:rsid w:val="00935E13"/>
    <w:rsid w:val="00935E3B"/>
    <w:rsid w:val="00936BE1"/>
    <w:rsid w:val="009377DE"/>
    <w:rsid w:val="00940689"/>
    <w:rsid w:val="00940A67"/>
    <w:rsid w:val="00941FB7"/>
    <w:rsid w:val="00942036"/>
    <w:rsid w:val="009447CD"/>
    <w:rsid w:val="00944989"/>
    <w:rsid w:val="009458DD"/>
    <w:rsid w:val="00947A4F"/>
    <w:rsid w:val="0095000A"/>
    <w:rsid w:val="00950D22"/>
    <w:rsid w:val="00953324"/>
    <w:rsid w:val="0095426B"/>
    <w:rsid w:val="0095505F"/>
    <w:rsid w:val="00955E6C"/>
    <w:rsid w:val="00955FEA"/>
    <w:rsid w:val="00956B18"/>
    <w:rsid w:val="00956E6B"/>
    <w:rsid w:val="00956ED1"/>
    <w:rsid w:val="0095762F"/>
    <w:rsid w:val="009601CA"/>
    <w:rsid w:val="00960D71"/>
    <w:rsid w:val="009610CC"/>
    <w:rsid w:val="00962F60"/>
    <w:rsid w:val="009633B9"/>
    <w:rsid w:val="00963775"/>
    <w:rsid w:val="00963E67"/>
    <w:rsid w:val="00964BA4"/>
    <w:rsid w:val="00965689"/>
    <w:rsid w:val="0096656C"/>
    <w:rsid w:val="00966695"/>
    <w:rsid w:val="009666BF"/>
    <w:rsid w:val="009669BE"/>
    <w:rsid w:val="00970A76"/>
    <w:rsid w:val="00971CD8"/>
    <w:rsid w:val="00973414"/>
    <w:rsid w:val="009740D1"/>
    <w:rsid w:val="00974704"/>
    <w:rsid w:val="0097569F"/>
    <w:rsid w:val="00977141"/>
    <w:rsid w:val="009801FA"/>
    <w:rsid w:val="00980D16"/>
    <w:rsid w:val="00981785"/>
    <w:rsid w:val="00981F7E"/>
    <w:rsid w:val="009825AE"/>
    <w:rsid w:val="00983200"/>
    <w:rsid w:val="00984F0A"/>
    <w:rsid w:val="00985E0B"/>
    <w:rsid w:val="00985F60"/>
    <w:rsid w:val="00986BCF"/>
    <w:rsid w:val="00990072"/>
    <w:rsid w:val="0099037A"/>
    <w:rsid w:val="00990BCB"/>
    <w:rsid w:val="00990DA2"/>
    <w:rsid w:val="009911D3"/>
    <w:rsid w:val="009915ED"/>
    <w:rsid w:val="00993CE1"/>
    <w:rsid w:val="009940BD"/>
    <w:rsid w:val="00994951"/>
    <w:rsid w:val="00994ACA"/>
    <w:rsid w:val="009956BA"/>
    <w:rsid w:val="00995D34"/>
    <w:rsid w:val="009963D3"/>
    <w:rsid w:val="0099685F"/>
    <w:rsid w:val="00996D8F"/>
    <w:rsid w:val="009A07D3"/>
    <w:rsid w:val="009A08D6"/>
    <w:rsid w:val="009A0C44"/>
    <w:rsid w:val="009A180A"/>
    <w:rsid w:val="009A18EF"/>
    <w:rsid w:val="009A3150"/>
    <w:rsid w:val="009A32F5"/>
    <w:rsid w:val="009A35D2"/>
    <w:rsid w:val="009A3631"/>
    <w:rsid w:val="009A54E3"/>
    <w:rsid w:val="009A5BA9"/>
    <w:rsid w:val="009A6316"/>
    <w:rsid w:val="009A6470"/>
    <w:rsid w:val="009A7158"/>
    <w:rsid w:val="009A776D"/>
    <w:rsid w:val="009B054B"/>
    <w:rsid w:val="009B10C3"/>
    <w:rsid w:val="009B1636"/>
    <w:rsid w:val="009B1831"/>
    <w:rsid w:val="009B257B"/>
    <w:rsid w:val="009B37D8"/>
    <w:rsid w:val="009B3E24"/>
    <w:rsid w:val="009B4469"/>
    <w:rsid w:val="009B4650"/>
    <w:rsid w:val="009B485A"/>
    <w:rsid w:val="009B73C8"/>
    <w:rsid w:val="009C006A"/>
    <w:rsid w:val="009C2E68"/>
    <w:rsid w:val="009C359A"/>
    <w:rsid w:val="009C6B33"/>
    <w:rsid w:val="009C7ECA"/>
    <w:rsid w:val="009D1329"/>
    <w:rsid w:val="009D280C"/>
    <w:rsid w:val="009D3A5C"/>
    <w:rsid w:val="009D4424"/>
    <w:rsid w:val="009D4694"/>
    <w:rsid w:val="009D53E1"/>
    <w:rsid w:val="009D5B8B"/>
    <w:rsid w:val="009D5FAE"/>
    <w:rsid w:val="009D6376"/>
    <w:rsid w:val="009D6C79"/>
    <w:rsid w:val="009D736A"/>
    <w:rsid w:val="009E0208"/>
    <w:rsid w:val="009E2A6E"/>
    <w:rsid w:val="009E40A4"/>
    <w:rsid w:val="009E42B0"/>
    <w:rsid w:val="009E4F33"/>
    <w:rsid w:val="009E4F6C"/>
    <w:rsid w:val="009E733D"/>
    <w:rsid w:val="009E7F33"/>
    <w:rsid w:val="009F09E4"/>
    <w:rsid w:val="009F119D"/>
    <w:rsid w:val="009F28A3"/>
    <w:rsid w:val="009F2E26"/>
    <w:rsid w:val="009F305E"/>
    <w:rsid w:val="009F3394"/>
    <w:rsid w:val="009F3A78"/>
    <w:rsid w:val="009F3FBD"/>
    <w:rsid w:val="009F46E5"/>
    <w:rsid w:val="009F5CD4"/>
    <w:rsid w:val="009F5DD5"/>
    <w:rsid w:val="009F5F67"/>
    <w:rsid w:val="009F5FDC"/>
    <w:rsid w:val="009F66B7"/>
    <w:rsid w:val="009F7351"/>
    <w:rsid w:val="00A00670"/>
    <w:rsid w:val="00A01123"/>
    <w:rsid w:val="00A02DAE"/>
    <w:rsid w:val="00A0323C"/>
    <w:rsid w:val="00A04A8F"/>
    <w:rsid w:val="00A04F7F"/>
    <w:rsid w:val="00A05F04"/>
    <w:rsid w:val="00A06687"/>
    <w:rsid w:val="00A07C1E"/>
    <w:rsid w:val="00A10A18"/>
    <w:rsid w:val="00A10D48"/>
    <w:rsid w:val="00A10F38"/>
    <w:rsid w:val="00A1130B"/>
    <w:rsid w:val="00A12029"/>
    <w:rsid w:val="00A12256"/>
    <w:rsid w:val="00A1256D"/>
    <w:rsid w:val="00A1361E"/>
    <w:rsid w:val="00A15EC4"/>
    <w:rsid w:val="00A16585"/>
    <w:rsid w:val="00A16AF6"/>
    <w:rsid w:val="00A17456"/>
    <w:rsid w:val="00A17648"/>
    <w:rsid w:val="00A17A22"/>
    <w:rsid w:val="00A20222"/>
    <w:rsid w:val="00A214A0"/>
    <w:rsid w:val="00A21E33"/>
    <w:rsid w:val="00A230DA"/>
    <w:rsid w:val="00A23674"/>
    <w:rsid w:val="00A2391D"/>
    <w:rsid w:val="00A258EC"/>
    <w:rsid w:val="00A26766"/>
    <w:rsid w:val="00A2778C"/>
    <w:rsid w:val="00A32578"/>
    <w:rsid w:val="00A337A8"/>
    <w:rsid w:val="00A33937"/>
    <w:rsid w:val="00A37124"/>
    <w:rsid w:val="00A43025"/>
    <w:rsid w:val="00A46065"/>
    <w:rsid w:val="00A46574"/>
    <w:rsid w:val="00A51325"/>
    <w:rsid w:val="00A51DB0"/>
    <w:rsid w:val="00A52FB8"/>
    <w:rsid w:val="00A53068"/>
    <w:rsid w:val="00A54579"/>
    <w:rsid w:val="00A56413"/>
    <w:rsid w:val="00A5785B"/>
    <w:rsid w:val="00A60A01"/>
    <w:rsid w:val="00A6275C"/>
    <w:rsid w:val="00A62AAC"/>
    <w:rsid w:val="00A62FA1"/>
    <w:rsid w:val="00A6349A"/>
    <w:rsid w:val="00A65511"/>
    <w:rsid w:val="00A661D2"/>
    <w:rsid w:val="00A71F5C"/>
    <w:rsid w:val="00A7253B"/>
    <w:rsid w:val="00A73392"/>
    <w:rsid w:val="00A73F84"/>
    <w:rsid w:val="00A73FDD"/>
    <w:rsid w:val="00A75486"/>
    <w:rsid w:val="00A75A03"/>
    <w:rsid w:val="00A77788"/>
    <w:rsid w:val="00A80C92"/>
    <w:rsid w:val="00A811D1"/>
    <w:rsid w:val="00A8227F"/>
    <w:rsid w:val="00A83A7D"/>
    <w:rsid w:val="00A84424"/>
    <w:rsid w:val="00A84FF5"/>
    <w:rsid w:val="00A85636"/>
    <w:rsid w:val="00A85AC6"/>
    <w:rsid w:val="00A85D0F"/>
    <w:rsid w:val="00A87938"/>
    <w:rsid w:val="00A90284"/>
    <w:rsid w:val="00A90367"/>
    <w:rsid w:val="00A90593"/>
    <w:rsid w:val="00A909DE"/>
    <w:rsid w:val="00A91028"/>
    <w:rsid w:val="00A9186B"/>
    <w:rsid w:val="00A91D08"/>
    <w:rsid w:val="00A92DD0"/>
    <w:rsid w:val="00A93B36"/>
    <w:rsid w:val="00A94B79"/>
    <w:rsid w:val="00A94D32"/>
    <w:rsid w:val="00A94F8A"/>
    <w:rsid w:val="00A955F6"/>
    <w:rsid w:val="00A976B5"/>
    <w:rsid w:val="00AA02DF"/>
    <w:rsid w:val="00AA07AA"/>
    <w:rsid w:val="00AA0BC0"/>
    <w:rsid w:val="00AA0FB1"/>
    <w:rsid w:val="00AA1B7F"/>
    <w:rsid w:val="00AA1C38"/>
    <w:rsid w:val="00AA1C52"/>
    <w:rsid w:val="00AA329A"/>
    <w:rsid w:val="00AA39F3"/>
    <w:rsid w:val="00AA3E1F"/>
    <w:rsid w:val="00AA43D8"/>
    <w:rsid w:val="00AA510D"/>
    <w:rsid w:val="00AA5171"/>
    <w:rsid w:val="00AA5BFA"/>
    <w:rsid w:val="00AA713B"/>
    <w:rsid w:val="00AA7206"/>
    <w:rsid w:val="00AA76C2"/>
    <w:rsid w:val="00AA7C2E"/>
    <w:rsid w:val="00AB11E2"/>
    <w:rsid w:val="00AB194C"/>
    <w:rsid w:val="00AB1AC8"/>
    <w:rsid w:val="00AB2286"/>
    <w:rsid w:val="00AB2831"/>
    <w:rsid w:val="00AB2BBE"/>
    <w:rsid w:val="00AB2E4E"/>
    <w:rsid w:val="00AB2E59"/>
    <w:rsid w:val="00AB2FB8"/>
    <w:rsid w:val="00AB3498"/>
    <w:rsid w:val="00AB5491"/>
    <w:rsid w:val="00AB5574"/>
    <w:rsid w:val="00AB6F4D"/>
    <w:rsid w:val="00AB715B"/>
    <w:rsid w:val="00AC06E3"/>
    <w:rsid w:val="00AC0848"/>
    <w:rsid w:val="00AC10F2"/>
    <w:rsid w:val="00AC37D5"/>
    <w:rsid w:val="00AC3D28"/>
    <w:rsid w:val="00AC5C78"/>
    <w:rsid w:val="00AD045C"/>
    <w:rsid w:val="00AD062B"/>
    <w:rsid w:val="00AD0F3A"/>
    <w:rsid w:val="00AD181E"/>
    <w:rsid w:val="00AD1915"/>
    <w:rsid w:val="00AD1CCD"/>
    <w:rsid w:val="00AD223B"/>
    <w:rsid w:val="00AD24A8"/>
    <w:rsid w:val="00AD3528"/>
    <w:rsid w:val="00AD35C0"/>
    <w:rsid w:val="00AD75E8"/>
    <w:rsid w:val="00AE187B"/>
    <w:rsid w:val="00AE2CDE"/>
    <w:rsid w:val="00AE3420"/>
    <w:rsid w:val="00AE34CE"/>
    <w:rsid w:val="00AE357F"/>
    <w:rsid w:val="00AE35C5"/>
    <w:rsid w:val="00AE3D60"/>
    <w:rsid w:val="00AE74CF"/>
    <w:rsid w:val="00AE755A"/>
    <w:rsid w:val="00AE7EF5"/>
    <w:rsid w:val="00AF0BEF"/>
    <w:rsid w:val="00AF2938"/>
    <w:rsid w:val="00AF4096"/>
    <w:rsid w:val="00AF432D"/>
    <w:rsid w:val="00AF5411"/>
    <w:rsid w:val="00AF7424"/>
    <w:rsid w:val="00AF7C7F"/>
    <w:rsid w:val="00B00377"/>
    <w:rsid w:val="00B01CC5"/>
    <w:rsid w:val="00B02174"/>
    <w:rsid w:val="00B024ED"/>
    <w:rsid w:val="00B030C7"/>
    <w:rsid w:val="00B032F2"/>
    <w:rsid w:val="00B0501B"/>
    <w:rsid w:val="00B0573D"/>
    <w:rsid w:val="00B05D27"/>
    <w:rsid w:val="00B063BE"/>
    <w:rsid w:val="00B06961"/>
    <w:rsid w:val="00B07768"/>
    <w:rsid w:val="00B07E7D"/>
    <w:rsid w:val="00B113CF"/>
    <w:rsid w:val="00B115AF"/>
    <w:rsid w:val="00B11847"/>
    <w:rsid w:val="00B13487"/>
    <w:rsid w:val="00B13BC7"/>
    <w:rsid w:val="00B13C41"/>
    <w:rsid w:val="00B150A7"/>
    <w:rsid w:val="00B15420"/>
    <w:rsid w:val="00B1740F"/>
    <w:rsid w:val="00B17EA8"/>
    <w:rsid w:val="00B2209D"/>
    <w:rsid w:val="00B232D0"/>
    <w:rsid w:val="00B2372C"/>
    <w:rsid w:val="00B2442D"/>
    <w:rsid w:val="00B24641"/>
    <w:rsid w:val="00B2688E"/>
    <w:rsid w:val="00B26945"/>
    <w:rsid w:val="00B30447"/>
    <w:rsid w:val="00B31D4C"/>
    <w:rsid w:val="00B32BA5"/>
    <w:rsid w:val="00B32EB2"/>
    <w:rsid w:val="00B33058"/>
    <w:rsid w:val="00B339A6"/>
    <w:rsid w:val="00B34363"/>
    <w:rsid w:val="00B34AAC"/>
    <w:rsid w:val="00B34BB5"/>
    <w:rsid w:val="00B36ED4"/>
    <w:rsid w:val="00B3706E"/>
    <w:rsid w:val="00B41F1F"/>
    <w:rsid w:val="00B4230F"/>
    <w:rsid w:val="00B42E34"/>
    <w:rsid w:val="00B434AF"/>
    <w:rsid w:val="00B43CA5"/>
    <w:rsid w:val="00B444B0"/>
    <w:rsid w:val="00B44E12"/>
    <w:rsid w:val="00B45097"/>
    <w:rsid w:val="00B4533E"/>
    <w:rsid w:val="00B455F7"/>
    <w:rsid w:val="00B45CF4"/>
    <w:rsid w:val="00B45DA4"/>
    <w:rsid w:val="00B45EB3"/>
    <w:rsid w:val="00B46F67"/>
    <w:rsid w:val="00B47070"/>
    <w:rsid w:val="00B4790E"/>
    <w:rsid w:val="00B5119B"/>
    <w:rsid w:val="00B52629"/>
    <w:rsid w:val="00B526C9"/>
    <w:rsid w:val="00B5328D"/>
    <w:rsid w:val="00B60D27"/>
    <w:rsid w:val="00B612C9"/>
    <w:rsid w:val="00B61A55"/>
    <w:rsid w:val="00B62CD8"/>
    <w:rsid w:val="00B6358A"/>
    <w:rsid w:val="00B64108"/>
    <w:rsid w:val="00B65623"/>
    <w:rsid w:val="00B65E92"/>
    <w:rsid w:val="00B663DF"/>
    <w:rsid w:val="00B6709F"/>
    <w:rsid w:val="00B70FC7"/>
    <w:rsid w:val="00B711FB"/>
    <w:rsid w:val="00B71F7A"/>
    <w:rsid w:val="00B7298D"/>
    <w:rsid w:val="00B73CEC"/>
    <w:rsid w:val="00B73F68"/>
    <w:rsid w:val="00B73FBA"/>
    <w:rsid w:val="00B74809"/>
    <w:rsid w:val="00B74C9C"/>
    <w:rsid w:val="00B75423"/>
    <w:rsid w:val="00B765E9"/>
    <w:rsid w:val="00B7794F"/>
    <w:rsid w:val="00B77BA6"/>
    <w:rsid w:val="00B80050"/>
    <w:rsid w:val="00B8362D"/>
    <w:rsid w:val="00B84DD3"/>
    <w:rsid w:val="00B86752"/>
    <w:rsid w:val="00B878E1"/>
    <w:rsid w:val="00B87F03"/>
    <w:rsid w:val="00B92631"/>
    <w:rsid w:val="00B92729"/>
    <w:rsid w:val="00B929B3"/>
    <w:rsid w:val="00B941FF"/>
    <w:rsid w:val="00B9441F"/>
    <w:rsid w:val="00B94727"/>
    <w:rsid w:val="00B9500E"/>
    <w:rsid w:val="00B95315"/>
    <w:rsid w:val="00B95945"/>
    <w:rsid w:val="00B96A89"/>
    <w:rsid w:val="00B97629"/>
    <w:rsid w:val="00B97F9B"/>
    <w:rsid w:val="00B97FF5"/>
    <w:rsid w:val="00BA250F"/>
    <w:rsid w:val="00BA2BC5"/>
    <w:rsid w:val="00BA339B"/>
    <w:rsid w:val="00BA3853"/>
    <w:rsid w:val="00BA42C4"/>
    <w:rsid w:val="00BA47A9"/>
    <w:rsid w:val="00BA5BA3"/>
    <w:rsid w:val="00BA752E"/>
    <w:rsid w:val="00BB2E90"/>
    <w:rsid w:val="00BB3235"/>
    <w:rsid w:val="00BB4FF2"/>
    <w:rsid w:val="00BB5134"/>
    <w:rsid w:val="00BB5781"/>
    <w:rsid w:val="00BB6C6F"/>
    <w:rsid w:val="00BB7703"/>
    <w:rsid w:val="00BB77A5"/>
    <w:rsid w:val="00BB78D2"/>
    <w:rsid w:val="00BB7A8E"/>
    <w:rsid w:val="00BB7D18"/>
    <w:rsid w:val="00BC084B"/>
    <w:rsid w:val="00BC086E"/>
    <w:rsid w:val="00BC0EF8"/>
    <w:rsid w:val="00BC2514"/>
    <w:rsid w:val="00BC29CC"/>
    <w:rsid w:val="00BC3A27"/>
    <w:rsid w:val="00BC5292"/>
    <w:rsid w:val="00BC5939"/>
    <w:rsid w:val="00BC69E1"/>
    <w:rsid w:val="00BC763F"/>
    <w:rsid w:val="00BD0421"/>
    <w:rsid w:val="00BD1364"/>
    <w:rsid w:val="00BD1502"/>
    <w:rsid w:val="00BD1E70"/>
    <w:rsid w:val="00BD2432"/>
    <w:rsid w:val="00BD378E"/>
    <w:rsid w:val="00BD3AEE"/>
    <w:rsid w:val="00BD42FD"/>
    <w:rsid w:val="00BD4708"/>
    <w:rsid w:val="00BD4DD8"/>
    <w:rsid w:val="00BD5361"/>
    <w:rsid w:val="00BD574A"/>
    <w:rsid w:val="00BE0CD3"/>
    <w:rsid w:val="00BE16C5"/>
    <w:rsid w:val="00BE16D8"/>
    <w:rsid w:val="00BE2A4F"/>
    <w:rsid w:val="00BE33C4"/>
    <w:rsid w:val="00BE3EF3"/>
    <w:rsid w:val="00BE438C"/>
    <w:rsid w:val="00BE493C"/>
    <w:rsid w:val="00BE49A6"/>
    <w:rsid w:val="00BE52AF"/>
    <w:rsid w:val="00BE6146"/>
    <w:rsid w:val="00BE6789"/>
    <w:rsid w:val="00BE6802"/>
    <w:rsid w:val="00BE69A7"/>
    <w:rsid w:val="00BE75C1"/>
    <w:rsid w:val="00BE7C36"/>
    <w:rsid w:val="00BF025A"/>
    <w:rsid w:val="00BF0E3B"/>
    <w:rsid w:val="00BF0FDE"/>
    <w:rsid w:val="00BF14B0"/>
    <w:rsid w:val="00BF55DE"/>
    <w:rsid w:val="00BF681B"/>
    <w:rsid w:val="00BF709A"/>
    <w:rsid w:val="00BF72DD"/>
    <w:rsid w:val="00BF79D8"/>
    <w:rsid w:val="00BF7C21"/>
    <w:rsid w:val="00C00CF5"/>
    <w:rsid w:val="00C0313F"/>
    <w:rsid w:val="00C04445"/>
    <w:rsid w:val="00C04C33"/>
    <w:rsid w:val="00C07A1F"/>
    <w:rsid w:val="00C07E81"/>
    <w:rsid w:val="00C113F6"/>
    <w:rsid w:val="00C14259"/>
    <w:rsid w:val="00C14687"/>
    <w:rsid w:val="00C14F84"/>
    <w:rsid w:val="00C14FD5"/>
    <w:rsid w:val="00C15CFF"/>
    <w:rsid w:val="00C20479"/>
    <w:rsid w:val="00C21797"/>
    <w:rsid w:val="00C220CA"/>
    <w:rsid w:val="00C24153"/>
    <w:rsid w:val="00C24B40"/>
    <w:rsid w:val="00C257C0"/>
    <w:rsid w:val="00C30A98"/>
    <w:rsid w:val="00C3126B"/>
    <w:rsid w:val="00C3157B"/>
    <w:rsid w:val="00C32318"/>
    <w:rsid w:val="00C329B0"/>
    <w:rsid w:val="00C3423E"/>
    <w:rsid w:val="00C34310"/>
    <w:rsid w:val="00C34379"/>
    <w:rsid w:val="00C34A0A"/>
    <w:rsid w:val="00C36775"/>
    <w:rsid w:val="00C37E37"/>
    <w:rsid w:val="00C40547"/>
    <w:rsid w:val="00C4240B"/>
    <w:rsid w:val="00C4374B"/>
    <w:rsid w:val="00C44651"/>
    <w:rsid w:val="00C469AB"/>
    <w:rsid w:val="00C469D3"/>
    <w:rsid w:val="00C46D09"/>
    <w:rsid w:val="00C503C2"/>
    <w:rsid w:val="00C51BF0"/>
    <w:rsid w:val="00C5259F"/>
    <w:rsid w:val="00C52B88"/>
    <w:rsid w:val="00C54049"/>
    <w:rsid w:val="00C5491E"/>
    <w:rsid w:val="00C55A04"/>
    <w:rsid w:val="00C56BF3"/>
    <w:rsid w:val="00C56E40"/>
    <w:rsid w:val="00C5702B"/>
    <w:rsid w:val="00C573B0"/>
    <w:rsid w:val="00C618CE"/>
    <w:rsid w:val="00C61B13"/>
    <w:rsid w:val="00C6292B"/>
    <w:rsid w:val="00C65737"/>
    <w:rsid w:val="00C660F1"/>
    <w:rsid w:val="00C665C6"/>
    <w:rsid w:val="00C72936"/>
    <w:rsid w:val="00C72A0B"/>
    <w:rsid w:val="00C7374A"/>
    <w:rsid w:val="00C73B6F"/>
    <w:rsid w:val="00C7455A"/>
    <w:rsid w:val="00C7593F"/>
    <w:rsid w:val="00C76E01"/>
    <w:rsid w:val="00C77848"/>
    <w:rsid w:val="00C77ECA"/>
    <w:rsid w:val="00C8178C"/>
    <w:rsid w:val="00C81A10"/>
    <w:rsid w:val="00C82604"/>
    <w:rsid w:val="00C83241"/>
    <w:rsid w:val="00C85487"/>
    <w:rsid w:val="00C86AAC"/>
    <w:rsid w:val="00C87F36"/>
    <w:rsid w:val="00C90769"/>
    <w:rsid w:val="00C90F5E"/>
    <w:rsid w:val="00C91137"/>
    <w:rsid w:val="00C9164C"/>
    <w:rsid w:val="00C91961"/>
    <w:rsid w:val="00C91B50"/>
    <w:rsid w:val="00C92284"/>
    <w:rsid w:val="00C92CFC"/>
    <w:rsid w:val="00C9487E"/>
    <w:rsid w:val="00C94E5A"/>
    <w:rsid w:val="00C96648"/>
    <w:rsid w:val="00C9702E"/>
    <w:rsid w:val="00C9710A"/>
    <w:rsid w:val="00C976FB"/>
    <w:rsid w:val="00CA252E"/>
    <w:rsid w:val="00CA36B0"/>
    <w:rsid w:val="00CA50FA"/>
    <w:rsid w:val="00CA641D"/>
    <w:rsid w:val="00CA6CAB"/>
    <w:rsid w:val="00CA71D1"/>
    <w:rsid w:val="00CA7553"/>
    <w:rsid w:val="00CB00C2"/>
    <w:rsid w:val="00CB018A"/>
    <w:rsid w:val="00CB1B27"/>
    <w:rsid w:val="00CB1EC1"/>
    <w:rsid w:val="00CB26FF"/>
    <w:rsid w:val="00CB2E91"/>
    <w:rsid w:val="00CB3B13"/>
    <w:rsid w:val="00CB3F3B"/>
    <w:rsid w:val="00CB5D0B"/>
    <w:rsid w:val="00CB6276"/>
    <w:rsid w:val="00CB639C"/>
    <w:rsid w:val="00CB717F"/>
    <w:rsid w:val="00CC0FE3"/>
    <w:rsid w:val="00CC16EA"/>
    <w:rsid w:val="00CC29E7"/>
    <w:rsid w:val="00CC34E1"/>
    <w:rsid w:val="00CC357A"/>
    <w:rsid w:val="00CC36B9"/>
    <w:rsid w:val="00CC454D"/>
    <w:rsid w:val="00CC490E"/>
    <w:rsid w:val="00CC54FC"/>
    <w:rsid w:val="00CC5801"/>
    <w:rsid w:val="00CC5EDD"/>
    <w:rsid w:val="00CC7673"/>
    <w:rsid w:val="00CC7FA1"/>
    <w:rsid w:val="00CD0F59"/>
    <w:rsid w:val="00CD2C59"/>
    <w:rsid w:val="00CD39B5"/>
    <w:rsid w:val="00CD47DB"/>
    <w:rsid w:val="00CD5BD3"/>
    <w:rsid w:val="00CD5DEF"/>
    <w:rsid w:val="00CD61F5"/>
    <w:rsid w:val="00CD6EE5"/>
    <w:rsid w:val="00CD701C"/>
    <w:rsid w:val="00CD7180"/>
    <w:rsid w:val="00CD75C8"/>
    <w:rsid w:val="00CD7AD3"/>
    <w:rsid w:val="00CE0CFB"/>
    <w:rsid w:val="00CE0D5A"/>
    <w:rsid w:val="00CE1F2D"/>
    <w:rsid w:val="00CE3599"/>
    <w:rsid w:val="00CE3C98"/>
    <w:rsid w:val="00CE5370"/>
    <w:rsid w:val="00CE5F9E"/>
    <w:rsid w:val="00CE697E"/>
    <w:rsid w:val="00CE6F87"/>
    <w:rsid w:val="00CE75D0"/>
    <w:rsid w:val="00CF0E93"/>
    <w:rsid w:val="00CF1C20"/>
    <w:rsid w:val="00CF254A"/>
    <w:rsid w:val="00CF312D"/>
    <w:rsid w:val="00CF61A0"/>
    <w:rsid w:val="00CF61A3"/>
    <w:rsid w:val="00CF6DE0"/>
    <w:rsid w:val="00CF7395"/>
    <w:rsid w:val="00CF7760"/>
    <w:rsid w:val="00CF7A54"/>
    <w:rsid w:val="00D00850"/>
    <w:rsid w:val="00D0113C"/>
    <w:rsid w:val="00D01464"/>
    <w:rsid w:val="00D01D46"/>
    <w:rsid w:val="00D024F4"/>
    <w:rsid w:val="00D02500"/>
    <w:rsid w:val="00D02C02"/>
    <w:rsid w:val="00D032B4"/>
    <w:rsid w:val="00D03342"/>
    <w:rsid w:val="00D03940"/>
    <w:rsid w:val="00D056E7"/>
    <w:rsid w:val="00D05EFC"/>
    <w:rsid w:val="00D0630A"/>
    <w:rsid w:val="00D06C11"/>
    <w:rsid w:val="00D0731B"/>
    <w:rsid w:val="00D07EF9"/>
    <w:rsid w:val="00D12107"/>
    <w:rsid w:val="00D1236E"/>
    <w:rsid w:val="00D12DFE"/>
    <w:rsid w:val="00D13207"/>
    <w:rsid w:val="00D143CC"/>
    <w:rsid w:val="00D146DE"/>
    <w:rsid w:val="00D15240"/>
    <w:rsid w:val="00D15B1A"/>
    <w:rsid w:val="00D176F9"/>
    <w:rsid w:val="00D17BC5"/>
    <w:rsid w:val="00D17E64"/>
    <w:rsid w:val="00D215A2"/>
    <w:rsid w:val="00D22AA3"/>
    <w:rsid w:val="00D22B38"/>
    <w:rsid w:val="00D236F9"/>
    <w:rsid w:val="00D24AB2"/>
    <w:rsid w:val="00D250E2"/>
    <w:rsid w:val="00D25E61"/>
    <w:rsid w:val="00D31559"/>
    <w:rsid w:val="00D3337B"/>
    <w:rsid w:val="00D34A46"/>
    <w:rsid w:val="00D34A59"/>
    <w:rsid w:val="00D34CB4"/>
    <w:rsid w:val="00D365F7"/>
    <w:rsid w:val="00D36D0F"/>
    <w:rsid w:val="00D40A74"/>
    <w:rsid w:val="00D41308"/>
    <w:rsid w:val="00D413D6"/>
    <w:rsid w:val="00D4145F"/>
    <w:rsid w:val="00D42826"/>
    <w:rsid w:val="00D4430A"/>
    <w:rsid w:val="00D45518"/>
    <w:rsid w:val="00D47AB6"/>
    <w:rsid w:val="00D513D1"/>
    <w:rsid w:val="00D5589E"/>
    <w:rsid w:val="00D57AC3"/>
    <w:rsid w:val="00D6042B"/>
    <w:rsid w:val="00D604F2"/>
    <w:rsid w:val="00D61B0E"/>
    <w:rsid w:val="00D61F78"/>
    <w:rsid w:val="00D6216F"/>
    <w:rsid w:val="00D62CB8"/>
    <w:rsid w:val="00D636B5"/>
    <w:rsid w:val="00D65DCA"/>
    <w:rsid w:val="00D67249"/>
    <w:rsid w:val="00D70085"/>
    <w:rsid w:val="00D7040B"/>
    <w:rsid w:val="00D705EE"/>
    <w:rsid w:val="00D71CC8"/>
    <w:rsid w:val="00D71CF0"/>
    <w:rsid w:val="00D71F60"/>
    <w:rsid w:val="00D73D5B"/>
    <w:rsid w:val="00D74A3E"/>
    <w:rsid w:val="00D75542"/>
    <w:rsid w:val="00D77000"/>
    <w:rsid w:val="00D80442"/>
    <w:rsid w:val="00D826B1"/>
    <w:rsid w:val="00D82AA6"/>
    <w:rsid w:val="00D83ED1"/>
    <w:rsid w:val="00D84CC9"/>
    <w:rsid w:val="00D85582"/>
    <w:rsid w:val="00D85B07"/>
    <w:rsid w:val="00D87033"/>
    <w:rsid w:val="00D90267"/>
    <w:rsid w:val="00D908E9"/>
    <w:rsid w:val="00D928F2"/>
    <w:rsid w:val="00D92C2B"/>
    <w:rsid w:val="00D9360F"/>
    <w:rsid w:val="00D9476F"/>
    <w:rsid w:val="00D95BCF"/>
    <w:rsid w:val="00D95EC7"/>
    <w:rsid w:val="00D96046"/>
    <w:rsid w:val="00D96678"/>
    <w:rsid w:val="00D9693B"/>
    <w:rsid w:val="00DA0A2A"/>
    <w:rsid w:val="00DA1506"/>
    <w:rsid w:val="00DA1551"/>
    <w:rsid w:val="00DA17FB"/>
    <w:rsid w:val="00DA1CEB"/>
    <w:rsid w:val="00DA1F6F"/>
    <w:rsid w:val="00DA2D3D"/>
    <w:rsid w:val="00DA4BA5"/>
    <w:rsid w:val="00DA4F45"/>
    <w:rsid w:val="00DA4F84"/>
    <w:rsid w:val="00DA57CC"/>
    <w:rsid w:val="00DA7614"/>
    <w:rsid w:val="00DB0488"/>
    <w:rsid w:val="00DB0523"/>
    <w:rsid w:val="00DB08E8"/>
    <w:rsid w:val="00DB0AD4"/>
    <w:rsid w:val="00DB1B15"/>
    <w:rsid w:val="00DB2260"/>
    <w:rsid w:val="00DB28F8"/>
    <w:rsid w:val="00DB30FE"/>
    <w:rsid w:val="00DB3B7E"/>
    <w:rsid w:val="00DB3D92"/>
    <w:rsid w:val="00DB478C"/>
    <w:rsid w:val="00DB49B6"/>
    <w:rsid w:val="00DB4FB9"/>
    <w:rsid w:val="00DB5BAF"/>
    <w:rsid w:val="00DB6D69"/>
    <w:rsid w:val="00DB6E56"/>
    <w:rsid w:val="00DC07A8"/>
    <w:rsid w:val="00DC0897"/>
    <w:rsid w:val="00DC0F7B"/>
    <w:rsid w:val="00DC39B6"/>
    <w:rsid w:val="00DC3E49"/>
    <w:rsid w:val="00DC46C9"/>
    <w:rsid w:val="00DC5E6A"/>
    <w:rsid w:val="00DC6968"/>
    <w:rsid w:val="00DC7512"/>
    <w:rsid w:val="00DC75A4"/>
    <w:rsid w:val="00DC7E74"/>
    <w:rsid w:val="00DD04CA"/>
    <w:rsid w:val="00DD0F7F"/>
    <w:rsid w:val="00DD1561"/>
    <w:rsid w:val="00DD247A"/>
    <w:rsid w:val="00DD2D6F"/>
    <w:rsid w:val="00DD36A0"/>
    <w:rsid w:val="00DD3E7A"/>
    <w:rsid w:val="00DD4E21"/>
    <w:rsid w:val="00DD5E98"/>
    <w:rsid w:val="00DD6313"/>
    <w:rsid w:val="00DD715A"/>
    <w:rsid w:val="00DE21F1"/>
    <w:rsid w:val="00DE29D9"/>
    <w:rsid w:val="00DE30A1"/>
    <w:rsid w:val="00DE471E"/>
    <w:rsid w:val="00DE4C81"/>
    <w:rsid w:val="00DE66FE"/>
    <w:rsid w:val="00DE67FD"/>
    <w:rsid w:val="00DE6806"/>
    <w:rsid w:val="00DE6955"/>
    <w:rsid w:val="00DE6A79"/>
    <w:rsid w:val="00DE7A64"/>
    <w:rsid w:val="00DE7A6E"/>
    <w:rsid w:val="00DF06A5"/>
    <w:rsid w:val="00DF1945"/>
    <w:rsid w:val="00DF33EB"/>
    <w:rsid w:val="00DF38DD"/>
    <w:rsid w:val="00DF499C"/>
    <w:rsid w:val="00DF4B0D"/>
    <w:rsid w:val="00DF61A7"/>
    <w:rsid w:val="00DF65D4"/>
    <w:rsid w:val="00DF68D9"/>
    <w:rsid w:val="00DF7102"/>
    <w:rsid w:val="00DF7B64"/>
    <w:rsid w:val="00DF7DB9"/>
    <w:rsid w:val="00E00545"/>
    <w:rsid w:val="00E00744"/>
    <w:rsid w:val="00E01C07"/>
    <w:rsid w:val="00E02716"/>
    <w:rsid w:val="00E04625"/>
    <w:rsid w:val="00E050D9"/>
    <w:rsid w:val="00E05381"/>
    <w:rsid w:val="00E05C6E"/>
    <w:rsid w:val="00E05DFC"/>
    <w:rsid w:val="00E07FDA"/>
    <w:rsid w:val="00E1152D"/>
    <w:rsid w:val="00E11751"/>
    <w:rsid w:val="00E12789"/>
    <w:rsid w:val="00E13D28"/>
    <w:rsid w:val="00E13F92"/>
    <w:rsid w:val="00E14FDF"/>
    <w:rsid w:val="00E15C15"/>
    <w:rsid w:val="00E15F9C"/>
    <w:rsid w:val="00E160F2"/>
    <w:rsid w:val="00E20221"/>
    <w:rsid w:val="00E204F9"/>
    <w:rsid w:val="00E20D2D"/>
    <w:rsid w:val="00E20F28"/>
    <w:rsid w:val="00E21F75"/>
    <w:rsid w:val="00E2264D"/>
    <w:rsid w:val="00E227A5"/>
    <w:rsid w:val="00E22A38"/>
    <w:rsid w:val="00E245A3"/>
    <w:rsid w:val="00E265D8"/>
    <w:rsid w:val="00E26818"/>
    <w:rsid w:val="00E2744C"/>
    <w:rsid w:val="00E27B72"/>
    <w:rsid w:val="00E30318"/>
    <w:rsid w:val="00E30C81"/>
    <w:rsid w:val="00E31FCE"/>
    <w:rsid w:val="00E32E4E"/>
    <w:rsid w:val="00E331A8"/>
    <w:rsid w:val="00E33995"/>
    <w:rsid w:val="00E34989"/>
    <w:rsid w:val="00E34A98"/>
    <w:rsid w:val="00E35293"/>
    <w:rsid w:val="00E35B28"/>
    <w:rsid w:val="00E35E49"/>
    <w:rsid w:val="00E36B78"/>
    <w:rsid w:val="00E37560"/>
    <w:rsid w:val="00E37CD9"/>
    <w:rsid w:val="00E37D28"/>
    <w:rsid w:val="00E400EF"/>
    <w:rsid w:val="00E40C1A"/>
    <w:rsid w:val="00E41B09"/>
    <w:rsid w:val="00E4332B"/>
    <w:rsid w:val="00E43700"/>
    <w:rsid w:val="00E4388E"/>
    <w:rsid w:val="00E44F1A"/>
    <w:rsid w:val="00E457CB"/>
    <w:rsid w:val="00E45DC8"/>
    <w:rsid w:val="00E465A2"/>
    <w:rsid w:val="00E47BDD"/>
    <w:rsid w:val="00E50CFD"/>
    <w:rsid w:val="00E5352D"/>
    <w:rsid w:val="00E5454A"/>
    <w:rsid w:val="00E55534"/>
    <w:rsid w:val="00E567A6"/>
    <w:rsid w:val="00E56AA6"/>
    <w:rsid w:val="00E56B31"/>
    <w:rsid w:val="00E570AA"/>
    <w:rsid w:val="00E57CAE"/>
    <w:rsid w:val="00E61809"/>
    <w:rsid w:val="00E61943"/>
    <w:rsid w:val="00E62437"/>
    <w:rsid w:val="00E641CF"/>
    <w:rsid w:val="00E6430F"/>
    <w:rsid w:val="00E644BC"/>
    <w:rsid w:val="00E64D50"/>
    <w:rsid w:val="00E6513F"/>
    <w:rsid w:val="00E6542A"/>
    <w:rsid w:val="00E6579E"/>
    <w:rsid w:val="00E6586E"/>
    <w:rsid w:val="00E66DE1"/>
    <w:rsid w:val="00E66FE4"/>
    <w:rsid w:val="00E7088B"/>
    <w:rsid w:val="00E70D65"/>
    <w:rsid w:val="00E714FC"/>
    <w:rsid w:val="00E71DA2"/>
    <w:rsid w:val="00E71DD2"/>
    <w:rsid w:val="00E72823"/>
    <w:rsid w:val="00E72DED"/>
    <w:rsid w:val="00E741FB"/>
    <w:rsid w:val="00E747AE"/>
    <w:rsid w:val="00E74A0B"/>
    <w:rsid w:val="00E74C6D"/>
    <w:rsid w:val="00E74F29"/>
    <w:rsid w:val="00E7556C"/>
    <w:rsid w:val="00E75973"/>
    <w:rsid w:val="00E7644B"/>
    <w:rsid w:val="00E76966"/>
    <w:rsid w:val="00E80061"/>
    <w:rsid w:val="00E812DD"/>
    <w:rsid w:val="00E816D8"/>
    <w:rsid w:val="00E8210E"/>
    <w:rsid w:val="00E8240B"/>
    <w:rsid w:val="00E8258D"/>
    <w:rsid w:val="00E82A5A"/>
    <w:rsid w:val="00E86930"/>
    <w:rsid w:val="00E90324"/>
    <w:rsid w:val="00E9052C"/>
    <w:rsid w:val="00E90CF4"/>
    <w:rsid w:val="00E915C7"/>
    <w:rsid w:val="00E916A0"/>
    <w:rsid w:val="00E91FBB"/>
    <w:rsid w:val="00E93965"/>
    <w:rsid w:val="00E93D6B"/>
    <w:rsid w:val="00E94D71"/>
    <w:rsid w:val="00E95EF7"/>
    <w:rsid w:val="00E95F98"/>
    <w:rsid w:val="00EA0543"/>
    <w:rsid w:val="00EA088B"/>
    <w:rsid w:val="00EA10BB"/>
    <w:rsid w:val="00EA11FC"/>
    <w:rsid w:val="00EA1DE3"/>
    <w:rsid w:val="00EA2218"/>
    <w:rsid w:val="00EA2674"/>
    <w:rsid w:val="00EA27F9"/>
    <w:rsid w:val="00EA3F8E"/>
    <w:rsid w:val="00EA60CB"/>
    <w:rsid w:val="00EA6907"/>
    <w:rsid w:val="00EA6E7E"/>
    <w:rsid w:val="00EA7249"/>
    <w:rsid w:val="00EA747D"/>
    <w:rsid w:val="00EB0955"/>
    <w:rsid w:val="00EB0F11"/>
    <w:rsid w:val="00EB2FA1"/>
    <w:rsid w:val="00EB39E1"/>
    <w:rsid w:val="00EB43B8"/>
    <w:rsid w:val="00EB4430"/>
    <w:rsid w:val="00EB46D7"/>
    <w:rsid w:val="00EB6021"/>
    <w:rsid w:val="00EB621A"/>
    <w:rsid w:val="00EB6790"/>
    <w:rsid w:val="00EB7D06"/>
    <w:rsid w:val="00EC004C"/>
    <w:rsid w:val="00EC01BD"/>
    <w:rsid w:val="00EC0523"/>
    <w:rsid w:val="00EC09DB"/>
    <w:rsid w:val="00EC2492"/>
    <w:rsid w:val="00EC2573"/>
    <w:rsid w:val="00EC2F26"/>
    <w:rsid w:val="00EC3A78"/>
    <w:rsid w:val="00EC455B"/>
    <w:rsid w:val="00EC5920"/>
    <w:rsid w:val="00EC5C41"/>
    <w:rsid w:val="00EC6163"/>
    <w:rsid w:val="00EC6330"/>
    <w:rsid w:val="00EC6FAC"/>
    <w:rsid w:val="00EC708E"/>
    <w:rsid w:val="00ED0908"/>
    <w:rsid w:val="00ED0AF9"/>
    <w:rsid w:val="00ED0E68"/>
    <w:rsid w:val="00ED29F3"/>
    <w:rsid w:val="00ED3160"/>
    <w:rsid w:val="00ED394A"/>
    <w:rsid w:val="00ED5772"/>
    <w:rsid w:val="00ED6060"/>
    <w:rsid w:val="00ED6212"/>
    <w:rsid w:val="00EE0CC1"/>
    <w:rsid w:val="00EE25A7"/>
    <w:rsid w:val="00EE35EF"/>
    <w:rsid w:val="00EE4A0F"/>
    <w:rsid w:val="00EE4FF4"/>
    <w:rsid w:val="00EE5370"/>
    <w:rsid w:val="00EE6555"/>
    <w:rsid w:val="00EE7F3F"/>
    <w:rsid w:val="00EE7FD4"/>
    <w:rsid w:val="00EF037D"/>
    <w:rsid w:val="00EF0FCF"/>
    <w:rsid w:val="00EF2866"/>
    <w:rsid w:val="00EF2B31"/>
    <w:rsid w:val="00EF2E0A"/>
    <w:rsid w:val="00EF49B7"/>
    <w:rsid w:val="00EF4FD9"/>
    <w:rsid w:val="00EF54C8"/>
    <w:rsid w:val="00EF6F4A"/>
    <w:rsid w:val="00F00086"/>
    <w:rsid w:val="00F0114D"/>
    <w:rsid w:val="00F01589"/>
    <w:rsid w:val="00F017DE"/>
    <w:rsid w:val="00F02A98"/>
    <w:rsid w:val="00F04818"/>
    <w:rsid w:val="00F0583E"/>
    <w:rsid w:val="00F0600C"/>
    <w:rsid w:val="00F0610B"/>
    <w:rsid w:val="00F06F4B"/>
    <w:rsid w:val="00F0742B"/>
    <w:rsid w:val="00F107C0"/>
    <w:rsid w:val="00F118DC"/>
    <w:rsid w:val="00F12186"/>
    <w:rsid w:val="00F1247F"/>
    <w:rsid w:val="00F12661"/>
    <w:rsid w:val="00F12F71"/>
    <w:rsid w:val="00F13CA8"/>
    <w:rsid w:val="00F20A2A"/>
    <w:rsid w:val="00F20A59"/>
    <w:rsid w:val="00F20DD6"/>
    <w:rsid w:val="00F213FB"/>
    <w:rsid w:val="00F217ED"/>
    <w:rsid w:val="00F22779"/>
    <w:rsid w:val="00F23944"/>
    <w:rsid w:val="00F243D5"/>
    <w:rsid w:val="00F244B2"/>
    <w:rsid w:val="00F24B83"/>
    <w:rsid w:val="00F251F1"/>
    <w:rsid w:val="00F25E5F"/>
    <w:rsid w:val="00F26789"/>
    <w:rsid w:val="00F269F7"/>
    <w:rsid w:val="00F304CD"/>
    <w:rsid w:val="00F304E5"/>
    <w:rsid w:val="00F3052E"/>
    <w:rsid w:val="00F309C3"/>
    <w:rsid w:val="00F30AEC"/>
    <w:rsid w:val="00F31BF1"/>
    <w:rsid w:val="00F323F5"/>
    <w:rsid w:val="00F326A2"/>
    <w:rsid w:val="00F34674"/>
    <w:rsid w:val="00F36C8A"/>
    <w:rsid w:val="00F36DEB"/>
    <w:rsid w:val="00F370D1"/>
    <w:rsid w:val="00F37725"/>
    <w:rsid w:val="00F4041E"/>
    <w:rsid w:val="00F42704"/>
    <w:rsid w:val="00F42F96"/>
    <w:rsid w:val="00F4392E"/>
    <w:rsid w:val="00F44207"/>
    <w:rsid w:val="00F4423F"/>
    <w:rsid w:val="00F448CB"/>
    <w:rsid w:val="00F448E3"/>
    <w:rsid w:val="00F44E15"/>
    <w:rsid w:val="00F457F8"/>
    <w:rsid w:val="00F461FF"/>
    <w:rsid w:val="00F471B2"/>
    <w:rsid w:val="00F47B0F"/>
    <w:rsid w:val="00F47BC6"/>
    <w:rsid w:val="00F47C3E"/>
    <w:rsid w:val="00F50536"/>
    <w:rsid w:val="00F50610"/>
    <w:rsid w:val="00F508D9"/>
    <w:rsid w:val="00F50C55"/>
    <w:rsid w:val="00F53421"/>
    <w:rsid w:val="00F5396A"/>
    <w:rsid w:val="00F53C40"/>
    <w:rsid w:val="00F544AA"/>
    <w:rsid w:val="00F557DD"/>
    <w:rsid w:val="00F561EF"/>
    <w:rsid w:val="00F562E1"/>
    <w:rsid w:val="00F56570"/>
    <w:rsid w:val="00F56CA7"/>
    <w:rsid w:val="00F56F44"/>
    <w:rsid w:val="00F60D9E"/>
    <w:rsid w:val="00F615A5"/>
    <w:rsid w:val="00F61C46"/>
    <w:rsid w:val="00F61FAA"/>
    <w:rsid w:val="00F62C58"/>
    <w:rsid w:val="00F63578"/>
    <w:rsid w:val="00F64D28"/>
    <w:rsid w:val="00F65361"/>
    <w:rsid w:val="00F7020A"/>
    <w:rsid w:val="00F72424"/>
    <w:rsid w:val="00F7294F"/>
    <w:rsid w:val="00F72C00"/>
    <w:rsid w:val="00F73CD8"/>
    <w:rsid w:val="00F757B9"/>
    <w:rsid w:val="00F75B0A"/>
    <w:rsid w:val="00F75D27"/>
    <w:rsid w:val="00F7638F"/>
    <w:rsid w:val="00F76C7B"/>
    <w:rsid w:val="00F76E70"/>
    <w:rsid w:val="00F802D9"/>
    <w:rsid w:val="00F80803"/>
    <w:rsid w:val="00F82C57"/>
    <w:rsid w:val="00F830D6"/>
    <w:rsid w:val="00F831F4"/>
    <w:rsid w:val="00F83345"/>
    <w:rsid w:val="00F83B47"/>
    <w:rsid w:val="00F83D36"/>
    <w:rsid w:val="00F85C82"/>
    <w:rsid w:val="00F90196"/>
    <w:rsid w:val="00F90A1E"/>
    <w:rsid w:val="00F917CD"/>
    <w:rsid w:val="00F924DF"/>
    <w:rsid w:val="00F92707"/>
    <w:rsid w:val="00F933F9"/>
    <w:rsid w:val="00F93CAB"/>
    <w:rsid w:val="00F94A96"/>
    <w:rsid w:val="00F95BD4"/>
    <w:rsid w:val="00F97552"/>
    <w:rsid w:val="00F97E13"/>
    <w:rsid w:val="00FA071F"/>
    <w:rsid w:val="00FA09AA"/>
    <w:rsid w:val="00FA0CD0"/>
    <w:rsid w:val="00FA123F"/>
    <w:rsid w:val="00FA302B"/>
    <w:rsid w:val="00FA3747"/>
    <w:rsid w:val="00FA453D"/>
    <w:rsid w:val="00FA468B"/>
    <w:rsid w:val="00FA4A06"/>
    <w:rsid w:val="00FA5560"/>
    <w:rsid w:val="00FA5C65"/>
    <w:rsid w:val="00FA60B3"/>
    <w:rsid w:val="00FA631D"/>
    <w:rsid w:val="00FA64F4"/>
    <w:rsid w:val="00FA6613"/>
    <w:rsid w:val="00FA6E3D"/>
    <w:rsid w:val="00FA7990"/>
    <w:rsid w:val="00FA79CB"/>
    <w:rsid w:val="00FA7FC4"/>
    <w:rsid w:val="00FB02BD"/>
    <w:rsid w:val="00FB3857"/>
    <w:rsid w:val="00FB3989"/>
    <w:rsid w:val="00FB44D9"/>
    <w:rsid w:val="00FB4706"/>
    <w:rsid w:val="00FB5EC9"/>
    <w:rsid w:val="00FB64EC"/>
    <w:rsid w:val="00FB77FC"/>
    <w:rsid w:val="00FB7B1E"/>
    <w:rsid w:val="00FC191A"/>
    <w:rsid w:val="00FC2282"/>
    <w:rsid w:val="00FC28A5"/>
    <w:rsid w:val="00FC2B03"/>
    <w:rsid w:val="00FC3B23"/>
    <w:rsid w:val="00FC4292"/>
    <w:rsid w:val="00FC43B2"/>
    <w:rsid w:val="00FC4A8F"/>
    <w:rsid w:val="00FC4C0A"/>
    <w:rsid w:val="00FC7791"/>
    <w:rsid w:val="00FC7806"/>
    <w:rsid w:val="00FC7AA0"/>
    <w:rsid w:val="00FC7D43"/>
    <w:rsid w:val="00FD13C4"/>
    <w:rsid w:val="00FD2007"/>
    <w:rsid w:val="00FD200B"/>
    <w:rsid w:val="00FD2678"/>
    <w:rsid w:val="00FD371E"/>
    <w:rsid w:val="00FD4275"/>
    <w:rsid w:val="00FD4D21"/>
    <w:rsid w:val="00FD5A4F"/>
    <w:rsid w:val="00FD674A"/>
    <w:rsid w:val="00FD67E4"/>
    <w:rsid w:val="00FD7272"/>
    <w:rsid w:val="00FD7336"/>
    <w:rsid w:val="00FD73CC"/>
    <w:rsid w:val="00FD78F9"/>
    <w:rsid w:val="00FD7FB7"/>
    <w:rsid w:val="00FE0580"/>
    <w:rsid w:val="00FE0A34"/>
    <w:rsid w:val="00FE16A1"/>
    <w:rsid w:val="00FE1848"/>
    <w:rsid w:val="00FE1947"/>
    <w:rsid w:val="00FE326C"/>
    <w:rsid w:val="00FE40E3"/>
    <w:rsid w:val="00FE41A5"/>
    <w:rsid w:val="00FE49ED"/>
    <w:rsid w:val="00FE55E4"/>
    <w:rsid w:val="00FE566C"/>
    <w:rsid w:val="00FE6A87"/>
    <w:rsid w:val="00FE7470"/>
    <w:rsid w:val="00FE7773"/>
    <w:rsid w:val="00FE77EB"/>
    <w:rsid w:val="00FE7C0F"/>
    <w:rsid w:val="00FE7DF8"/>
    <w:rsid w:val="00FF0FDA"/>
    <w:rsid w:val="00FF1588"/>
    <w:rsid w:val="00FF1784"/>
    <w:rsid w:val="00FF1872"/>
    <w:rsid w:val="00FF4959"/>
    <w:rsid w:val="00FF5971"/>
    <w:rsid w:val="00FF6668"/>
    <w:rsid w:val="00FF69D1"/>
    <w:rsid w:val="00FF7B13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B7895D"/>
  <w15:docId w15:val="{722F3B34-5BC9-4202-8AB6-FB9602F1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ind w:left="11" w:hanging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7DA"/>
    <w:pPr>
      <w:spacing w:after="120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13207"/>
    <w:pPr>
      <w:spacing w:after="95" w:line="250" w:lineRule="auto"/>
      <w:ind w:left="361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55C3"/>
    <w:pPr>
      <w:keepNext/>
      <w:spacing w:before="120" w:line="276" w:lineRule="auto"/>
      <w:ind w:left="0" w:firstLine="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line="253" w:lineRule="auto"/>
      <w:ind w:left="283" w:hanging="28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aliases w:val="Char Char Char Char,Char Char"/>
    <w:basedOn w:val="Normln"/>
    <w:link w:val="TextpoznpodarouChar"/>
    <w:uiPriority w:val="99"/>
    <w:unhideWhenUsed/>
    <w:rsid w:val="009E42B0"/>
    <w:rPr>
      <w:sz w:val="20"/>
      <w:szCs w:val="20"/>
    </w:rPr>
  </w:style>
  <w:style w:type="character" w:customStyle="1" w:styleId="TextpoznpodarouChar">
    <w:name w:val="Text pozn. pod čarou Char"/>
    <w:aliases w:val="Char Char Char Char Char,Char Char Char"/>
    <w:basedOn w:val="Standardnpsmoodstavce"/>
    <w:link w:val="Textpoznpodarou"/>
    <w:uiPriority w:val="99"/>
    <w:rsid w:val="009E42B0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9E42B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F7D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7D25"/>
    <w:rPr>
      <w:rFonts w:ascii="Calibri" w:eastAsia="Calibri" w:hAnsi="Calibri" w:cs="Calibri"/>
      <w:color w:val="000000"/>
      <w:sz w:val="24"/>
    </w:rPr>
  </w:style>
  <w:style w:type="paragraph" w:styleId="Odstavecseseznamem">
    <w:name w:val="List Paragraph"/>
    <w:aliases w:val="odrážky,List Paragraph,Nadpis pro KZ,List Paragraph_0,List Paragraph_0_0"/>
    <w:basedOn w:val="Normln"/>
    <w:link w:val="OdstavecseseznamemChar"/>
    <w:uiPriority w:val="34"/>
    <w:qFormat/>
    <w:rsid w:val="00E160F2"/>
    <w:pPr>
      <w:ind w:left="351"/>
      <w:contextualSpacing/>
    </w:pPr>
  </w:style>
  <w:style w:type="paragraph" w:customStyle="1" w:styleId="Nzevtabulka">
    <w:name w:val="Název tabulka"/>
    <w:basedOn w:val="Normln"/>
    <w:next w:val="Normln"/>
    <w:link w:val="NzevtabulkaChar"/>
    <w:qFormat/>
    <w:rsid w:val="00B97629"/>
    <w:pPr>
      <w:numPr>
        <w:numId w:val="6"/>
      </w:numPr>
      <w:ind w:left="1418" w:hanging="1418"/>
    </w:pPr>
    <w:rPr>
      <w:b/>
      <w:color w:val="auto"/>
    </w:rPr>
  </w:style>
  <w:style w:type="character" w:customStyle="1" w:styleId="OdstavecseseznamemChar">
    <w:name w:val="Odstavec se seznamem Char"/>
    <w:aliases w:val="odrážky Char,List Paragraph Char,Nadpis pro KZ Char,List Paragraph_0 Char,List Paragraph_0_0 Char"/>
    <w:link w:val="Odstavecseseznamem"/>
    <w:uiPriority w:val="34"/>
    <w:locked/>
    <w:rsid w:val="00E160F2"/>
    <w:rPr>
      <w:rFonts w:ascii="Calibri" w:eastAsia="Calibri" w:hAnsi="Calibri" w:cs="Calibri"/>
      <w:color w:val="000000"/>
      <w:sz w:val="24"/>
    </w:rPr>
  </w:style>
  <w:style w:type="table" w:styleId="Mkatabulky">
    <w:name w:val="Table Grid"/>
    <w:basedOn w:val="Normlntabulka"/>
    <w:uiPriority w:val="39"/>
    <w:rsid w:val="00892FC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tabulkaChar">
    <w:name w:val="Název tabulka Char"/>
    <w:basedOn w:val="Standardnpsmoodstavce"/>
    <w:link w:val="Nzevtabulka"/>
    <w:rsid w:val="00B97629"/>
    <w:rPr>
      <w:rFonts w:ascii="Calibri" w:eastAsia="Calibri" w:hAnsi="Calibri" w:cs="Calibri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8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867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13207"/>
    <w:rPr>
      <w:rFonts w:ascii="Calibri" w:eastAsia="Calibri" w:hAnsi="Calibri" w:cs="Calibri"/>
      <w:b/>
      <w:color w:val="000000"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4310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101F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5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56D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24862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Styl1-NzevmateriluChar">
    <w:name w:val="Styl1 - Název materiálu Char"/>
    <w:link w:val="Styl1-Nzevmaterilu"/>
    <w:locked/>
    <w:rsid w:val="00CC7673"/>
    <w:rPr>
      <w:rFonts w:ascii="Arial" w:hAnsi="Arial" w:cs="Arial"/>
      <w:b/>
      <w:noProof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CC7673"/>
    <w:pPr>
      <w:overflowPunct w:val="0"/>
      <w:autoSpaceDE w:val="0"/>
      <w:autoSpaceDN w:val="0"/>
      <w:adjustRightInd w:val="0"/>
      <w:ind w:left="0" w:firstLine="0"/>
      <w:jc w:val="center"/>
    </w:pPr>
    <w:rPr>
      <w:rFonts w:ascii="Arial" w:eastAsiaTheme="minorEastAsia" w:hAnsi="Arial" w:cs="Arial"/>
      <w:b/>
      <w:noProof/>
      <w:color w:val="auto"/>
      <w:sz w:val="22"/>
      <w:szCs w:val="24"/>
    </w:rPr>
  </w:style>
  <w:style w:type="paragraph" w:styleId="Revize">
    <w:name w:val="Revision"/>
    <w:hidden/>
    <w:uiPriority w:val="99"/>
    <w:semiHidden/>
    <w:rsid w:val="001409A3"/>
    <w:rPr>
      <w:rFonts w:ascii="Calibri" w:eastAsia="Calibri" w:hAnsi="Calibri" w:cs="Calibri"/>
      <w:color w:val="000000"/>
      <w:sz w:val="24"/>
    </w:rPr>
  </w:style>
  <w:style w:type="paragraph" w:customStyle="1" w:styleId="Zdroj">
    <w:name w:val="Zdroj"/>
    <w:basedOn w:val="Normln"/>
    <w:next w:val="Normln"/>
    <w:link w:val="ZdrojChar"/>
    <w:rsid w:val="00D45518"/>
    <w:pPr>
      <w:ind w:left="0" w:firstLine="0"/>
    </w:pPr>
    <w:rPr>
      <w:rFonts w:eastAsia="Times New Roman" w:cstheme="minorHAnsi"/>
      <w:b/>
      <w:sz w:val="20"/>
      <w:szCs w:val="24"/>
      <w:lang w:eastAsia="en-US"/>
    </w:rPr>
  </w:style>
  <w:style w:type="character" w:customStyle="1" w:styleId="ZdrojChar">
    <w:name w:val="Zdroj Char"/>
    <w:basedOn w:val="NzevtabulkaChar"/>
    <w:link w:val="Zdroj"/>
    <w:rsid w:val="00D45518"/>
    <w:rPr>
      <w:rFonts w:ascii="Calibri" w:eastAsia="Times New Roman" w:hAnsi="Calibri" w:cstheme="minorHAnsi"/>
      <w:b/>
      <w:color w:val="000000"/>
      <w:sz w:val="20"/>
      <w:szCs w:val="24"/>
      <w:lang w:eastAsia="en-US"/>
    </w:rPr>
  </w:style>
  <w:style w:type="paragraph" w:customStyle="1" w:styleId="Zroj">
    <w:name w:val="Zroj"/>
    <w:basedOn w:val="Normln"/>
    <w:link w:val="ZrojChar"/>
    <w:qFormat/>
    <w:rsid w:val="00707B73"/>
    <w:pPr>
      <w:keepNext/>
      <w:ind w:left="0" w:firstLine="0"/>
    </w:pPr>
    <w:rPr>
      <w:rFonts w:asciiTheme="minorHAnsi" w:eastAsia="Times New Roman" w:hAnsiTheme="minorHAnsi" w:cstheme="minorHAnsi"/>
      <w:b/>
      <w:color w:val="auto"/>
      <w:sz w:val="20"/>
      <w:szCs w:val="24"/>
      <w:lang w:eastAsia="en-US"/>
    </w:rPr>
  </w:style>
  <w:style w:type="character" w:customStyle="1" w:styleId="ZrojChar">
    <w:name w:val="Zroj Char"/>
    <w:basedOn w:val="Standardnpsmoodstavce"/>
    <w:link w:val="Zroj"/>
    <w:rsid w:val="00707B73"/>
    <w:rPr>
      <w:rFonts w:eastAsia="Times New Roman" w:cstheme="minorHAnsi"/>
      <w:b/>
      <w:sz w:val="20"/>
      <w:szCs w:val="24"/>
      <w:lang w:eastAsia="en-US"/>
    </w:rPr>
  </w:style>
  <w:style w:type="paragraph" w:customStyle="1" w:styleId="Pa2">
    <w:name w:val="Pa2"/>
    <w:basedOn w:val="Normln"/>
    <w:next w:val="Normln"/>
    <w:uiPriority w:val="99"/>
    <w:rsid w:val="00D03940"/>
    <w:pPr>
      <w:autoSpaceDE w:val="0"/>
      <w:autoSpaceDN w:val="0"/>
      <w:adjustRightInd w:val="0"/>
      <w:spacing w:line="241" w:lineRule="atLeast"/>
      <w:ind w:left="0" w:firstLine="0"/>
      <w:jc w:val="left"/>
    </w:pPr>
    <w:rPr>
      <w:rFonts w:ascii="Minion Pro" w:eastAsia="Times New Roman" w:hAnsi="Minion Pro" w:cs="Times New Roman"/>
      <w:color w:val="auto"/>
      <w:szCs w:val="24"/>
    </w:rPr>
  </w:style>
  <w:style w:type="paragraph" w:customStyle="1" w:styleId="Pa7">
    <w:name w:val="Pa7"/>
    <w:basedOn w:val="Normln"/>
    <w:next w:val="Normln"/>
    <w:uiPriority w:val="99"/>
    <w:rsid w:val="00D03940"/>
    <w:pPr>
      <w:autoSpaceDE w:val="0"/>
      <w:autoSpaceDN w:val="0"/>
      <w:adjustRightInd w:val="0"/>
      <w:spacing w:line="241" w:lineRule="atLeast"/>
      <w:ind w:left="0" w:firstLine="0"/>
      <w:jc w:val="left"/>
    </w:pPr>
    <w:rPr>
      <w:rFonts w:ascii="Minion Pro" w:eastAsia="Times New Roman" w:hAnsi="Minion Pro" w:cs="Times New Roman"/>
      <w:color w:val="auto"/>
      <w:szCs w:val="24"/>
    </w:rPr>
  </w:style>
  <w:style w:type="paragraph" w:customStyle="1" w:styleId="odstavec">
    <w:name w:val="()odstavec"/>
    <w:basedOn w:val="Normln"/>
    <w:rsid w:val="0084226D"/>
    <w:pPr>
      <w:numPr>
        <w:ilvl w:val="2"/>
        <w:numId w:val="3"/>
      </w:numPr>
      <w:spacing w:before="12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lnek">
    <w:name w:val="Článek"/>
    <w:basedOn w:val="Normln"/>
    <w:next w:val="odstavec"/>
    <w:rsid w:val="0084226D"/>
    <w:pPr>
      <w:numPr>
        <w:ilvl w:val="1"/>
        <w:numId w:val="3"/>
      </w:numPr>
      <w:tabs>
        <w:tab w:val="left" w:pos="6"/>
      </w:tabs>
      <w:spacing w:before="600" w:after="240"/>
      <w:jc w:val="center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psmenoChar">
    <w:name w:val=")písmeno Char"/>
    <w:link w:val="psmeno"/>
    <w:locked/>
    <w:rsid w:val="0084226D"/>
    <w:rPr>
      <w:sz w:val="24"/>
      <w:szCs w:val="24"/>
    </w:rPr>
  </w:style>
  <w:style w:type="paragraph" w:customStyle="1" w:styleId="psmeno">
    <w:name w:val=")písmeno"/>
    <w:basedOn w:val="Normln"/>
    <w:link w:val="psmenoChar"/>
    <w:rsid w:val="0084226D"/>
    <w:pPr>
      <w:numPr>
        <w:ilvl w:val="3"/>
        <w:numId w:val="3"/>
      </w:numPr>
    </w:pPr>
    <w:rPr>
      <w:rFonts w:asciiTheme="minorHAnsi" w:eastAsiaTheme="minorEastAsia" w:hAnsiTheme="minorHAnsi" w:cstheme="minorBidi"/>
      <w:color w:val="auto"/>
      <w:szCs w:val="24"/>
    </w:rPr>
  </w:style>
  <w:style w:type="character" w:customStyle="1" w:styleId="CharStyle9">
    <w:name w:val="Char Style 9"/>
    <w:basedOn w:val="Standardnpsmoodstavce"/>
    <w:link w:val="Style8"/>
    <w:locked/>
    <w:rsid w:val="00E5454A"/>
    <w:rPr>
      <w:shd w:val="clear" w:color="auto" w:fill="FFFFFF"/>
    </w:rPr>
  </w:style>
  <w:style w:type="paragraph" w:customStyle="1" w:styleId="Style8">
    <w:name w:val="Style 8"/>
    <w:basedOn w:val="Normln"/>
    <w:link w:val="CharStyle9"/>
    <w:rsid w:val="00E5454A"/>
    <w:pPr>
      <w:widowControl w:val="0"/>
      <w:shd w:val="clear" w:color="auto" w:fill="FFFFFF"/>
      <w:spacing w:line="266" w:lineRule="exact"/>
      <w:ind w:left="0" w:firstLine="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pple-style-span">
    <w:name w:val="apple-style-span"/>
    <w:basedOn w:val="Standardnpsmoodstavce"/>
    <w:rsid w:val="00E5454A"/>
  </w:style>
  <w:style w:type="character" w:customStyle="1" w:styleId="CharStyle11">
    <w:name w:val="Char Style 11"/>
    <w:basedOn w:val="Standardnpsmoodstavce"/>
    <w:link w:val="Style10"/>
    <w:locked/>
    <w:rsid w:val="0089360C"/>
    <w:rPr>
      <w:shd w:val="clear" w:color="auto" w:fill="FFFFFF"/>
    </w:rPr>
  </w:style>
  <w:style w:type="paragraph" w:customStyle="1" w:styleId="Style10">
    <w:name w:val="Style 10"/>
    <w:basedOn w:val="Normln"/>
    <w:link w:val="CharStyle11"/>
    <w:rsid w:val="0089360C"/>
    <w:pPr>
      <w:widowControl w:val="0"/>
      <w:shd w:val="clear" w:color="auto" w:fill="FFFFFF"/>
      <w:spacing w:line="271" w:lineRule="exact"/>
      <w:ind w:left="0" w:firstLine="0"/>
    </w:pPr>
    <w:rPr>
      <w:rFonts w:asciiTheme="minorHAnsi" w:eastAsiaTheme="minorEastAsia" w:hAnsiTheme="minorHAnsi" w:cstheme="minorBidi"/>
      <w:color w:val="auto"/>
      <w:sz w:val="22"/>
    </w:rPr>
  </w:style>
  <w:style w:type="character" w:styleId="Hypertextovodkaz">
    <w:name w:val="Hyperlink"/>
    <w:basedOn w:val="Standardnpsmoodstavce"/>
    <w:uiPriority w:val="99"/>
    <w:rsid w:val="007E10DE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B55C3"/>
    <w:rPr>
      <w:rFonts w:ascii="Calibri" w:eastAsia="Calibri" w:hAnsi="Calibri" w:cs="Calibri"/>
      <w:b/>
      <w:color w:val="000000"/>
      <w:sz w:val="24"/>
    </w:rPr>
  </w:style>
  <w:style w:type="paragraph" w:styleId="Zkladntext">
    <w:name w:val="Body Text"/>
    <w:basedOn w:val="Normln"/>
    <w:link w:val="ZkladntextChar"/>
    <w:semiHidden/>
    <w:rsid w:val="00EB4430"/>
    <w:pPr>
      <w:ind w:left="0" w:firstLine="0"/>
    </w:pPr>
    <w:rPr>
      <w:rFonts w:ascii="Arial" w:eastAsia="Times New Roman" w:hAnsi="Arial" w:cs="Arial"/>
      <w:i/>
      <w:color w:val="auto"/>
      <w:sz w:val="22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EB4430"/>
    <w:rPr>
      <w:rFonts w:ascii="Arial" w:eastAsia="Times New Roman" w:hAnsi="Arial" w:cs="Arial"/>
      <w:i/>
      <w:szCs w:val="24"/>
      <w:lang w:eastAsia="en-US"/>
    </w:rPr>
  </w:style>
  <w:style w:type="paragraph" w:customStyle="1" w:styleId="Default">
    <w:name w:val="Default"/>
    <w:rsid w:val="00E91FB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locked/>
    <w:rsid w:val="00E91FBB"/>
    <w:rPr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E91FBB"/>
    <w:pPr>
      <w:widowControl w:val="0"/>
      <w:shd w:val="clear" w:color="auto" w:fill="FFFFFF"/>
      <w:spacing w:before="280" w:line="269" w:lineRule="exact"/>
      <w:ind w:left="0" w:firstLine="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1">
    <w:name w:val="A1"/>
    <w:uiPriority w:val="99"/>
    <w:rsid w:val="00835A8D"/>
    <w:rPr>
      <w:color w:val="000000"/>
      <w:sz w:val="28"/>
      <w:szCs w:val="28"/>
    </w:rPr>
  </w:style>
  <w:style w:type="character" w:customStyle="1" w:styleId="A4">
    <w:name w:val="A4"/>
    <w:uiPriority w:val="99"/>
    <w:rsid w:val="00835A8D"/>
    <w:rPr>
      <w:color w:val="000000"/>
      <w:sz w:val="60"/>
      <w:szCs w:val="60"/>
    </w:rPr>
  </w:style>
  <w:style w:type="character" w:customStyle="1" w:styleId="A5">
    <w:name w:val="A5"/>
    <w:uiPriority w:val="99"/>
    <w:rsid w:val="00835A8D"/>
    <w:rPr>
      <w:b/>
      <w:bCs/>
      <w:color w:val="000000"/>
      <w:sz w:val="40"/>
      <w:szCs w:val="40"/>
    </w:rPr>
  </w:style>
  <w:style w:type="paragraph" w:customStyle="1" w:styleId="Text">
    <w:name w:val="Text"/>
    <w:basedOn w:val="Normln"/>
    <w:link w:val="TextChar"/>
    <w:qFormat/>
    <w:rsid w:val="00835A8D"/>
    <w:pPr>
      <w:spacing w:before="120" w:after="0"/>
      <w:ind w:left="0" w:firstLine="0"/>
    </w:pPr>
    <w:rPr>
      <w:rFonts w:asciiTheme="minorHAnsi" w:eastAsiaTheme="minorHAnsi" w:hAnsiTheme="minorHAnsi" w:cstheme="minorHAnsi"/>
      <w:color w:val="auto"/>
      <w:szCs w:val="24"/>
      <w:lang w:eastAsia="en-US"/>
    </w:rPr>
  </w:style>
  <w:style w:type="character" w:customStyle="1" w:styleId="TextChar">
    <w:name w:val="Text Char"/>
    <w:basedOn w:val="Standardnpsmoodstavce"/>
    <w:link w:val="Text"/>
    <w:rsid w:val="00835A8D"/>
    <w:rPr>
      <w:rFonts w:eastAsiaTheme="minorHAnsi" w:cstheme="minorHAnsi"/>
      <w:sz w:val="24"/>
      <w:szCs w:val="24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902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sp.cz/sqw/historie.sqw?o=7&amp;t=464" TargetMode="External"/><Relationship Id="rId1" Type="http://schemas.openxmlformats.org/officeDocument/2006/relationships/hyperlink" Target="https://www.mvcr.cz/clanek/reakce-ministerstva-vnitra-na-vyjadreni-zastupcu-policejni-akademie-v-mediich.asp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locha\Star&#233;%20kontroly\KA%201920\Z&#225;v&#283;r\Podklad_KZ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locha\Podklad_KZ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462622522543486"/>
          <c:y val="6.5000069191702523E-2"/>
          <c:w val="0.7459740812263389"/>
          <c:h val="0.762451877170889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Náklady!$A$3</c:f>
              <c:strCache>
                <c:ptCount val="1"/>
                <c:pt idx="0">
                  <c:v>Celkové náklady PA ČR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8779342723004694E-3"/>
                  <c:y val="1.687763713080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4E2-4FD8-9895-D1746EC05FC3}"/>
                </c:ext>
              </c:extLst>
            </c:dLbl>
            <c:dLbl>
              <c:idx val="1"/>
              <c:layout>
                <c:manualLayout>
                  <c:x val="-1.8779342723005384E-3"/>
                  <c:y val="1.2658227848101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4E2-4FD8-9895-D1746EC05FC3}"/>
                </c:ext>
              </c:extLst>
            </c:dLbl>
            <c:dLbl>
              <c:idx val="2"/>
              <c:layout>
                <c:manualLayout>
                  <c:x val="-1.8779342723005384E-3"/>
                  <c:y val="1.2658227848101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4E2-4FD8-9895-D1746EC05F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Náklady!$B$2:$D$2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Náklady!$B$3:$D$3</c:f>
              <c:numCache>
                <c:formatCode>#,##0</c:formatCode>
                <c:ptCount val="3"/>
                <c:pt idx="0">
                  <c:v>246899</c:v>
                </c:pt>
                <c:pt idx="1">
                  <c:v>263609</c:v>
                </c:pt>
                <c:pt idx="2">
                  <c:v>294059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4E2-4FD8-9895-D1746EC05FC3}"/>
            </c:ext>
          </c:extLst>
        </c:ser>
        <c:ser>
          <c:idx val="1"/>
          <c:order val="1"/>
          <c:tx>
            <c:strRef>
              <c:f>Náklady!$A$4</c:f>
              <c:strCache>
                <c:ptCount val="1"/>
                <c:pt idx="0">
                  <c:v>Celkové náklady MO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0373425544029222E-3"/>
                  <c:y val="1.461161367331523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536148259245372"/>
                      <c:h val="4.791966934978995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84E2-4FD8-9895-D1746EC05FC3}"/>
                </c:ext>
              </c:extLst>
            </c:dLbl>
            <c:dLbl>
              <c:idx val="1"/>
              <c:layout>
                <c:manualLayout>
                  <c:x val="5.3250288158424638E-3"/>
                  <c:y val="1.11732883360277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279128303406519"/>
                      <c:h val="5.541405878670322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4E2-4FD8-9895-D1746EC05FC3}"/>
                </c:ext>
              </c:extLst>
            </c:dLbl>
            <c:dLbl>
              <c:idx val="2"/>
              <c:layout>
                <c:manualLayout>
                  <c:x val="6.3780221916704856E-3"/>
                  <c:y val="7.813872357574759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639364523878959"/>
                      <c:h val="5.18266824382837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84E2-4FD8-9895-D1746EC05F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Náklady!$B$2:$D$2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Náklady!$B$4:$D$4</c:f>
              <c:numCache>
                <c:formatCode>#,##0</c:formatCode>
                <c:ptCount val="3"/>
                <c:pt idx="0">
                  <c:v>1267830</c:v>
                </c:pt>
                <c:pt idx="1">
                  <c:v>1295603</c:v>
                </c:pt>
                <c:pt idx="2">
                  <c:v>1455925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4E2-4FD8-9895-D1746EC05F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5914368"/>
        <c:axId val="135915200"/>
      </c:barChart>
      <c:lineChart>
        <c:grouping val="standard"/>
        <c:varyColors val="0"/>
        <c:ser>
          <c:idx val="2"/>
          <c:order val="2"/>
          <c:tx>
            <c:strRef>
              <c:f>Náklady!$A$5</c:f>
              <c:strCache>
                <c:ptCount val="1"/>
                <c:pt idx="0">
                  <c:v>Studenti PA ČR k 31. 12.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625862234070517E-2"/>
                  <c:y val="-4.5142179279991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84E2-4FD8-9895-D1746EC05FC3}"/>
                </c:ext>
              </c:extLst>
            </c:dLbl>
            <c:dLbl>
              <c:idx val="1"/>
              <c:layout>
                <c:manualLayout>
                  <c:x val="-6.5815533621677566E-2"/>
                  <c:y val="-2.9535864978902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84E2-4FD8-9895-D1746EC05FC3}"/>
                </c:ext>
              </c:extLst>
            </c:dLbl>
            <c:dLbl>
              <c:idx val="2"/>
              <c:layout>
                <c:manualLayout>
                  <c:x val="-7.342996646314115E-2"/>
                  <c:y val="-5.06328329729830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84E2-4FD8-9895-D1746EC05FC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Náklady!$B$2:$D$2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Náklady!$B$5:$D$5</c:f>
              <c:numCache>
                <c:formatCode>#,##0</c:formatCode>
                <c:ptCount val="3"/>
                <c:pt idx="0">
                  <c:v>2347</c:v>
                </c:pt>
                <c:pt idx="1">
                  <c:v>2487</c:v>
                </c:pt>
                <c:pt idx="2">
                  <c:v>2349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4E2-4FD8-9895-D1746EC05FC3}"/>
            </c:ext>
          </c:extLst>
        </c:ser>
        <c:ser>
          <c:idx val="3"/>
          <c:order val="3"/>
          <c:tx>
            <c:strRef>
              <c:f>Náklady!$A$6</c:f>
              <c:strCache>
                <c:ptCount val="1"/>
                <c:pt idx="0">
                  <c:v>Studenti UNOB k 31. 12.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507042253521127E-2"/>
                  <c:y val="-1.6877637130801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84E2-4FD8-9895-D1746EC05FC3}"/>
                </c:ext>
              </c:extLst>
            </c:dLbl>
            <c:dLbl>
              <c:idx val="1"/>
              <c:layout>
                <c:manualLayout>
                  <c:x val="-4.1314553990610396E-2"/>
                  <c:y val="-5.06329113924051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84E2-4FD8-9895-D1746EC05FC3}"/>
                </c:ext>
              </c:extLst>
            </c:dLbl>
            <c:dLbl>
              <c:idx val="2"/>
              <c:layout>
                <c:manualLayout>
                  <c:x val="-4.507042253521127E-2"/>
                  <c:y val="-4.6413502109704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84E2-4FD8-9895-D1746EC05FC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Náklady!$B$2:$D$2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Náklady!$B$6:$D$6</c:f>
              <c:numCache>
                <c:formatCode>#,##0</c:formatCode>
                <c:ptCount val="3"/>
                <c:pt idx="0">
                  <c:v>1837</c:v>
                </c:pt>
                <c:pt idx="1">
                  <c:v>1728</c:v>
                </c:pt>
                <c:pt idx="2">
                  <c:v>1558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84E2-4FD8-9895-D1746EC05F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13780128"/>
        <c:axId val="115980096"/>
      </c:lineChart>
      <c:catAx>
        <c:axId val="13591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5915200"/>
        <c:crosses val="autoZero"/>
        <c:auto val="1"/>
        <c:lblAlgn val="ctr"/>
        <c:lblOffset val="100"/>
        <c:noMultiLvlLbl val="0"/>
      </c:catAx>
      <c:valAx>
        <c:axId val="135915200"/>
        <c:scaling>
          <c:orientation val="minMax"/>
          <c:max val="150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v tis. Kč</a:t>
                </a:r>
              </a:p>
            </c:rich>
          </c:tx>
          <c:layout>
            <c:manualLayout>
              <c:xMode val="edge"/>
              <c:yMode val="edge"/>
              <c:x val="1.6151565561347083E-2"/>
              <c:y val="0.5446868666733113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5914368"/>
        <c:crosses val="autoZero"/>
        <c:crossBetween val="between"/>
      </c:valAx>
      <c:valAx>
        <c:axId val="115980096"/>
        <c:scaling>
          <c:orientation val="minMax"/>
          <c:max val="26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Počet studentů</a:t>
                </a:r>
              </a:p>
            </c:rich>
          </c:tx>
          <c:layout>
            <c:manualLayout>
              <c:xMode val="edge"/>
              <c:yMode val="edge"/>
              <c:x val="0.95465989503528192"/>
              <c:y val="0.4404250439568840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113780128"/>
        <c:crosses val="max"/>
        <c:crossBetween val="between"/>
      </c:valAx>
      <c:catAx>
        <c:axId val="21137801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1598009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619607595483659E-2"/>
          <c:y val="0.87742680223224523"/>
          <c:w val="0.88760784809032678"/>
          <c:h val="0.10315572203959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79555081556915"/>
          <c:y val="7.0978309315109192E-2"/>
          <c:w val="0.81066995789917307"/>
          <c:h val="0.59277150497697217"/>
        </c:manualLayout>
      </c:layout>
      <c:lineChart>
        <c:grouping val="standard"/>
        <c:varyColors val="0"/>
        <c:ser>
          <c:idx val="0"/>
          <c:order val="0"/>
          <c:tx>
            <c:strRef>
              <c:f>'Srovnání platů s VVŠ'!$B$1</c:f>
              <c:strCache>
                <c:ptCount val="1"/>
                <c:pt idx="0">
                  <c:v>Průměrný plat pedagogů – policistů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2414088659817398E-2"/>
                  <c:y val="-7.5942368906014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06E-4FE4-B183-07C44F9FAB24}"/>
                </c:ext>
              </c:extLst>
            </c:dLbl>
            <c:dLbl>
              <c:idx val="2"/>
              <c:layout>
                <c:manualLayout>
                  <c:x val="7.9003767489875826E-3"/>
                  <c:y val="-3.33891774166527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06E-4FE4-B183-07C44F9FAB24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cat>
            <c:numRef>
              <c:f>'Srovnání platů s VVŠ'!$A$2:$A$5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'Srovnání platů s VVŠ'!$B$2:$B$5</c:f>
              <c:numCache>
                <c:formatCode>#,##0</c:formatCode>
                <c:ptCount val="3"/>
                <c:pt idx="0">
                  <c:v>52792</c:v>
                </c:pt>
                <c:pt idx="1">
                  <c:v>62412</c:v>
                </c:pt>
                <c:pt idx="2">
                  <c:v>60975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06E-4FE4-B183-07C44F9FAB24}"/>
            </c:ext>
          </c:extLst>
        </c:ser>
        <c:ser>
          <c:idx val="1"/>
          <c:order val="1"/>
          <c:tx>
            <c:strRef>
              <c:f>'Srovnání platů s VVŠ'!$C$1</c:f>
              <c:strCache>
                <c:ptCount val="1"/>
                <c:pt idx="0">
                  <c:v>Průměrný plat pedagogů – vojáků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9.0853670598657413E-2"/>
                  <c:y val="-6.348982320606150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06E-4FE4-B183-07C44F9FAB24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cat>
            <c:numRef>
              <c:f>'Srovnání platů s VVŠ'!$A$2:$A$5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'Srovnání platů s VVŠ'!$C$2:$C$5</c:f>
              <c:numCache>
                <c:formatCode>#,##0</c:formatCode>
                <c:ptCount val="3"/>
                <c:pt idx="0">
                  <c:v>50911</c:v>
                </c:pt>
                <c:pt idx="1">
                  <c:v>55559</c:v>
                </c:pt>
                <c:pt idx="2">
                  <c:v>65121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06E-4FE4-B183-07C44F9FAB24}"/>
            </c:ext>
          </c:extLst>
        </c:ser>
        <c:ser>
          <c:idx val="2"/>
          <c:order val="2"/>
          <c:tx>
            <c:strRef>
              <c:f>'Srovnání platů s VVŠ'!$D$1</c:f>
              <c:strCache>
                <c:ptCount val="1"/>
                <c:pt idx="0">
                  <c:v>Průměrný plat pedagogů na veřejných vysokých školách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8.6983318783677432E-2"/>
                  <c:y val="-3.12958698558906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06E-4FE4-B183-07C44F9FAB24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cat>
            <c:numRef>
              <c:f>'Srovnání platů s VVŠ'!$A$2:$A$5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'Srovnání platů s VVŠ'!$D$2:$D$5</c:f>
              <c:numCache>
                <c:formatCode>#,##0</c:formatCode>
                <c:ptCount val="3"/>
                <c:pt idx="0">
                  <c:v>45482</c:v>
                </c:pt>
                <c:pt idx="1">
                  <c:v>48482</c:v>
                </c:pt>
                <c:pt idx="2">
                  <c:v>53750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06E-4FE4-B183-07C44F9FAB24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27617391"/>
        <c:axId val="427616559"/>
      </c:lineChart>
      <c:catAx>
        <c:axId val="427617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27616559"/>
        <c:crosses val="autoZero"/>
        <c:auto val="1"/>
        <c:lblAlgn val="ctr"/>
        <c:lblOffset val="100"/>
        <c:noMultiLvlLbl val="0"/>
      </c:catAx>
      <c:valAx>
        <c:axId val="427616559"/>
        <c:scaling>
          <c:orientation val="minMax"/>
          <c:min val="4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v</a:t>
                </a:r>
                <a:r>
                  <a:rPr lang="cs-CZ" baseline="0"/>
                  <a:t> Kč</a:t>
                </a:r>
                <a:endParaRPr lang="cs-CZ"/>
              </a:p>
            </c:rich>
          </c:tx>
          <c:layout>
            <c:manualLayout>
              <c:xMode val="edge"/>
              <c:yMode val="edge"/>
              <c:x val="4.5864753016983985E-2"/>
              <c:y val="0.5505915818114358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27617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4259666203657912E-2"/>
          <c:y val="0.75978532164611512"/>
          <c:w val="0.68360014026024529"/>
          <c:h val="0.20697370375872828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5251F-7D42-49C7-9A0E-C40A5D3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E7076329.dotm</Template>
  <TotalTime>3</TotalTime>
  <Pages>15</Pages>
  <Words>5244</Words>
  <Characters>30942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19/20 - Vysokoškolské vzdělávání příslušníků bezpečnostních sborů a vojáků ozbrojených sil</vt:lpstr>
    </vt:vector>
  </TitlesOfParts>
  <Company>NKU</Company>
  <LinksUpToDate>false</LinksUpToDate>
  <CharactersWithSpaces>36114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19/20 - Vysokoškolské vzdělávání příslušníků bezpečnostních sborů a vojáků ozbrojených sil</dc:title>
  <dc:subject/>
  <dc:creator>Nejvyšší kontrolní úřad</dc:creator>
  <cp:keywords>kontrolní závěr; vzdělávání; armáda; policie</cp:keywords>
  <cp:lastModifiedBy>KOKRDA Daniel</cp:lastModifiedBy>
  <cp:revision>4</cp:revision>
  <cp:lastPrinted>2020-12-02T10:48:00Z</cp:lastPrinted>
  <dcterms:created xsi:type="dcterms:W3CDTF">2020-12-02T10:47:00Z</dcterms:created>
  <dcterms:modified xsi:type="dcterms:W3CDTF">2020-12-02T10:49:00Z</dcterms:modified>
</cp:coreProperties>
</file>