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0CAA4" w14:textId="77777777" w:rsidR="001018A6" w:rsidRDefault="001018A6" w:rsidP="00EF0245">
      <w:pPr>
        <w:jc w:val="center"/>
      </w:pPr>
      <w:r>
        <w:rPr>
          <w:noProof/>
          <w:lang w:eastAsia="cs-CZ"/>
        </w:rPr>
        <w:drawing>
          <wp:anchor distT="0" distB="0" distL="114300" distR="114300" simplePos="0" relativeHeight="251666432" behindDoc="0" locked="0" layoutInCell="1" allowOverlap="1" wp14:anchorId="08A5BF99" wp14:editId="59B3FBE4">
            <wp:simplePos x="3387256" y="818984"/>
            <wp:positionH relativeFrom="margin">
              <wp:align>center</wp:align>
            </wp:positionH>
            <wp:positionV relativeFrom="paragraph">
              <wp:align>top</wp:align>
            </wp:positionV>
            <wp:extent cx="786765" cy="560705"/>
            <wp:effectExtent l="0" t="0" r="0" b="0"/>
            <wp:wrapTopAndBottom/>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8">
                      <a:extLst>
                        <a:ext uri="{28A0092B-C50C-407E-A947-70E740481C1C}">
                          <a14:useLocalDpi xmlns:a14="http://schemas.microsoft.com/office/drawing/2010/main" val="0"/>
                        </a:ext>
                      </a:extLst>
                    </a:blip>
                    <a:stretch>
                      <a:fillRect/>
                    </a:stretch>
                  </pic:blipFill>
                  <pic:spPr bwMode="auto">
                    <a:xfrm>
                      <a:off x="0" y="0"/>
                      <a:ext cx="786765" cy="560705"/>
                    </a:xfrm>
                    <a:prstGeom prst="rect">
                      <a:avLst/>
                    </a:prstGeom>
                    <a:noFill/>
                  </pic:spPr>
                </pic:pic>
              </a:graphicData>
            </a:graphic>
          </wp:anchor>
        </w:drawing>
      </w:r>
    </w:p>
    <w:p w14:paraId="1EEAC022" w14:textId="77777777" w:rsidR="001018A6" w:rsidRDefault="001018A6" w:rsidP="00EF0245">
      <w:pPr>
        <w:jc w:val="center"/>
      </w:pPr>
    </w:p>
    <w:p w14:paraId="2ED9A7ED" w14:textId="77777777" w:rsidR="001018A6" w:rsidRDefault="001018A6" w:rsidP="00EF0245">
      <w:pPr>
        <w:jc w:val="center"/>
      </w:pPr>
    </w:p>
    <w:p w14:paraId="6F0C0530" w14:textId="77777777" w:rsidR="001018A6" w:rsidRDefault="001018A6" w:rsidP="00EF0245">
      <w:pPr>
        <w:jc w:val="center"/>
        <w:rPr>
          <w:b/>
          <w:sz w:val="28"/>
          <w:szCs w:val="28"/>
        </w:rPr>
      </w:pPr>
      <w:r>
        <w:rPr>
          <w:b/>
          <w:sz w:val="28"/>
          <w:szCs w:val="28"/>
        </w:rPr>
        <w:t>Kontrolní závěr z kontrolní akce</w:t>
      </w:r>
    </w:p>
    <w:p w14:paraId="3B2FF754" w14:textId="77777777" w:rsidR="001018A6" w:rsidRDefault="001018A6" w:rsidP="00EF0245">
      <w:pPr>
        <w:jc w:val="center"/>
        <w:rPr>
          <w:sz w:val="28"/>
          <w:szCs w:val="28"/>
        </w:rPr>
      </w:pPr>
    </w:p>
    <w:p w14:paraId="3A3012C7" w14:textId="77777777" w:rsidR="001018A6" w:rsidRDefault="001018A6" w:rsidP="00EF0245">
      <w:pPr>
        <w:jc w:val="center"/>
        <w:rPr>
          <w:b/>
          <w:sz w:val="28"/>
          <w:szCs w:val="28"/>
        </w:rPr>
      </w:pPr>
      <w:r>
        <w:rPr>
          <w:b/>
          <w:sz w:val="28"/>
          <w:szCs w:val="28"/>
        </w:rPr>
        <w:t>19/16</w:t>
      </w:r>
    </w:p>
    <w:p w14:paraId="614D3E26" w14:textId="77777777" w:rsidR="001018A6" w:rsidRDefault="001018A6" w:rsidP="00EF0245">
      <w:pPr>
        <w:jc w:val="center"/>
        <w:rPr>
          <w:sz w:val="28"/>
          <w:szCs w:val="28"/>
        </w:rPr>
      </w:pPr>
    </w:p>
    <w:p w14:paraId="6B561A2F" w14:textId="77777777" w:rsidR="001018A6" w:rsidRDefault="001018A6" w:rsidP="00EF0245">
      <w:pPr>
        <w:jc w:val="center"/>
        <w:rPr>
          <w:b/>
          <w:sz w:val="28"/>
          <w:szCs w:val="28"/>
        </w:rPr>
      </w:pPr>
      <w:r>
        <w:rPr>
          <w:b/>
          <w:sz w:val="28"/>
          <w:szCs w:val="28"/>
        </w:rPr>
        <w:t>Rekonstrukce a revitalizace osobních nádraží</w:t>
      </w:r>
    </w:p>
    <w:p w14:paraId="613769DE" w14:textId="77777777" w:rsidR="001018A6" w:rsidRDefault="001018A6" w:rsidP="001018A6"/>
    <w:p w14:paraId="25E55FF6" w14:textId="77777777" w:rsidR="001018A6" w:rsidRDefault="001018A6" w:rsidP="001018A6"/>
    <w:p w14:paraId="6B9F32F0" w14:textId="77777777" w:rsidR="001018A6" w:rsidRDefault="001018A6" w:rsidP="001018A6">
      <w:r>
        <w:t>Kontrolní akce byla zařazena do plánu kontrolní činnosti Nejvyššího kontrolního úřadu (dále také „NKÚ“) na rok 2019 pod číslem 19/16. Kontrolní akci řídil a kontrolní závěr vypracoval člen NKÚ Ing. Jan Málek.</w:t>
      </w:r>
    </w:p>
    <w:p w14:paraId="55720178" w14:textId="77777777" w:rsidR="001018A6" w:rsidRDefault="001018A6" w:rsidP="001018A6"/>
    <w:p w14:paraId="11AF422C" w14:textId="77777777" w:rsidR="001018A6" w:rsidRDefault="001018A6" w:rsidP="001018A6">
      <w:r>
        <w:t>Cílem kontroly bylo prověřit, zda systém poskytování peněžních prostředků určených na rekonstrukci a revitalizaci osobních nádraží zajišťuje jejich účelné a hospodárné využití a</w:t>
      </w:r>
      <w:r w:rsidR="00EF0245">
        <w:t> </w:t>
      </w:r>
      <w:r>
        <w:t>naplňování stanovených cílů.</w:t>
      </w:r>
    </w:p>
    <w:p w14:paraId="0B8A42D7" w14:textId="77777777" w:rsidR="001018A6" w:rsidRDefault="001018A6" w:rsidP="001018A6"/>
    <w:p w14:paraId="5232F611" w14:textId="77777777" w:rsidR="001018A6" w:rsidRDefault="001018A6" w:rsidP="001018A6">
      <w:r>
        <w:t xml:space="preserve">Kontrola byla prováděna u kontrolovaných osob v období od </w:t>
      </w:r>
      <w:r w:rsidR="00C51CFF">
        <w:t xml:space="preserve">srpna </w:t>
      </w:r>
      <w:r>
        <w:t>201</w:t>
      </w:r>
      <w:r w:rsidR="00C51CFF">
        <w:t>9</w:t>
      </w:r>
      <w:r>
        <w:t xml:space="preserve"> do </w:t>
      </w:r>
      <w:r w:rsidR="00C51CFF">
        <w:t xml:space="preserve">února </w:t>
      </w:r>
      <w:r>
        <w:t>20</w:t>
      </w:r>
      <w:r w:rsidR="00C51CFF">
        <w:t>20</w:t>
      </w:r>
      <w:r>
        <w:t>. Kontrolováno bylo období od roku 201</w:t>
      </w:r>
      <w:r w:rsidR="00C51CFF">
        <w:t>7</w:t>
      </w:r>
      <w:r>
        <w:t xml:space="preserve"> do roku 201</w:t>
      </w:r>
      <w:r w:rsidR="00C51CFF">
        <w:t>9</w:t>
      </w:r>
      <w:r>
        <w:t xml:space="preserve">, v případě věcných souvislostí i období předcházející a následující. </w:t>
      </w:r>
    </w:p>
    <w:p w14:paraId="0816BA5A" w14:textId="77777777" w:rsidR="001018A6" w:rsidRDefault="001018A6" w:rsidP="001018A6"/>
    <w:p w14:paraId="6AF7CFCE" w14:textId="77777777" w:rsidR="001018A6" w:rsidRDefault="001018A6" w:rsidP="001018A6"/>
    <w:p w14:paraId="3FEC0C1F" w14:textId="77777777" w:rsidR="001018A6" w:rsidRDefault="001018A6" w:rsidP="001018A6">
      <w:pPr>
        <w:rPr>
          <w:b/>
        </w:rPr>
      </w:pPr>
      <w:r>
        <w:rPr>
          <w:b/>
        </w:rPr>
        <w:t>Kontrolované osoby:</w:t>
      </w:r>
    </w:p>
    <w:p w14:paraId="5D99C585" w14:textId="77777777" w:rsidR="001018A6" w:rsidRDefault="001018A6" w:rsidP="001018A6">
      <w:r>
        <w:t>Ministerstvo dopravy (dále také „MD“),</w:t>
      </w:r>
    </w:p>
    <w:p w14:paraId="5592A5C7" w14:textId="0F3ED836" w:rsidR="00694E5E" w:rsidRDefault="00C51CFF" w:rsidP="00694E5E">
      <w:pPr>
        <w:rPr>
          <w:rFonts w:asciiTheme="minorHAnsi" w:hAnsiTheme="minorHAnsi" w:cstheme="minorHAnsi"/>
        </w:rPr>
      </w:pPr>
      <w:r>
        <w:t>S</w:t>
      </w:r>
      <w:r w:rsidR="00F30011">
        <w:t xml:space="preserve">práva železniční dopravní cesty, státní organizace, Praha </w:t>
      </w:r>
      <w:r>
        <w:t>(dále také „SŽDC“</w:t>
      </w:r>
      <w:r w:rsidR="001539FF">
        <w:rPr>
          <w:rStyle w:val="Znakapoznpodarou"/>
        </w:rPr>
        <w:footnoteReference w:id="2"/>
      </w:r>
      <w:r w:rsidR="00FA2111">
        <w:t>)</w:t>
      </w:r>
      <w:r w:rsidR="001E5002">
        <w:t xml:space="preserve">. </w:t>
      </w:r>
      <w:r w:rsidR="00694E5E">
        <w:rPr>
          <w:rFonts w:asciiTheme="minorHAnsi" w:hAnsiTheme="minorHAnsi" w:cstheme="minorHAnsi"/>
        </w:rPr>
        <w:t>Na základě zákona č. 367/2019 Sb.</w:t>
      </w:r>
      <w:r w:rsidR="00694E5E">
        <w:rPr>
          <w:rStyle w:val="Znakapoznpodarou"/>
          <w:rFonts w:asciiTheme="minorHAnsi" w:hAnsiTheme="minorHAnsi" w:cstheme="minorHAnsi"/>
        </w:rPr>
        <w:footnoteReference w:id="3"/>
      </w:r>
      <w:r w:rsidR="00694E5E">
        <w:rPr>
          <w:rFonts w:asciiTheme="minorHAnsi" w:hAnsiTheme="minorHAnsi" w:cstheme="minorHAnsi"/>
        </w:rPr>
        <w:t xml:space="preserve"> došlo s účinností od 1. ledna 2020 ke změně názvu kontrolované osoby </w:t>
      </w:r>
      <w:proofErr w:type="gramStart"/>
      <w:r w:rsidR="00694E5E">
        <w:rPr>
          <w:rFonts w:asciiTheme="minorHAnsi" w:hAnsiTheme="minorHAnsi" w:cstheme="minorHAnsi"/>
        </w:rPr>
        <w:t>na</w:t>
      </w:r>
      <w:proofErr w:type="gramEnd"/>
      <w:r w:rsidR="00694E5E" w:rsidRPr="00103839">
        <w:rPr>
          <w:rFonts w:asciiTheme="minorHAnsi" w:hAnsiTheme="minorHAnsi" w:cstheme="minorHAnsi"/>
        </w:rPr>
        <w:t xml:space="preserve">: </w:t>
      </w:r>
      <w:r w:rsidR="00694E5E" w:rsidRPr="00103839">
        <w:rPr>
          <w:rFonts w:asciiTheme="minorHAnsi" w:hAnsiTheme="minorHAnsi" w:cstheme="minorHAnsi"/>
          <w:bCs/>
        </w:rPr>
        <w:t>Správa železnic, státní organizace</w:t>
      </w:r>
      <w:r w:rsidR="00694E5E">
        <w:rPr>
          <w:rFonts w:asciiTheme="minorHAnsi" w:hAnsiTheme="minorHAnsi" w:cstheme="minorHAnsi"/>
        </w:rPr>
        <w:t>.</w:t>
      </w:r>
    </w:p>
    <w:p w14:paraId="75EE98C8" w14:textId="77777777" w:rsidR="00103839" w:rsidRDefault="00103839" w:rsidP="001018A6"/>
    <w:p w14:paraId="5D683A86" w14:textId="77777777" w:rsidR="001018A6" w:rsidRDefault="001018A6" w:rsidP="001018A6"/>
    <w:p w14:paraId="029A08EA" w14:textId="77777777" w:rsidR="001018A6" w:rsidRDefault="001018A6" w:rsidP="001018A6">
      <w:pPr>
        <w:spacing w:after="120"/>
      </w:pPr>
      <w:r>
        <w:rPr>
          <w:b/>
          <w:i/>
          <w:spacing w:val="60"/>
        </w:rPr>
        <w:t>Kolegium NKÚ</w:t>
      </w:r>
      <w:r>
        <w:rPr>
          <w:spacing w:val="60"/>
        </w:rPr>
        <w:t xml:space="preserve"> </w:t>
      </w:r>
      <w:r>
        <w:t xml:space="preserve">na svém </w:t>
      </w:r>
      <w:r w:rsidR="002D51DE">
        <w:t>IX.</w:t>
      </w:r>
      <w:r w:rsidR="008A064C">
        <w:t xml:space="preserve"> </w:t>
      </w:r>
      <w:r>
        <w:t>jednání, které se konalo dne</w:t>
      </w:r>
      <w:r w:rsidR="008A064C">
        <w:t xml:space="preserve"> </w:t>
      </w:r>
      <w:r w:rsidR="002D51DE">
        <w:t>15. června 2020</w:t>
      </w:r>
      <w:r>
        <w:t xml:space="preserve">, </w:t>
      </w:r>
    </w:p>
    <w:p w14:paraId="6A54B180" w14:textId="77777777" w:rsidR="001018A6" w:rsidRDefault="001018A6" w:rsidP="001018A6">
      <w:pPr>
        <w:spacing w:after="120"/>
      </w:pPr>
      <w:r>
        <w:rPr>
          <w:b/>
          <w:i/>
          <w:spacing w:val="60"/>
        </w:rPr>
        <w:t xml:space="preserve">schválilo </w:t>
      </w:r>
      <w:r w:rsidR="00035960">
        <w:t>usnesením č. 10/</w:t>
      </w:r>
      <w:r w:rsidR="002D51DE">
        <w:t>IX</w:t>
      </w:r>
      <w:r w:rsidR="00EB6482">
        <w:t>/2020</w:t>
      </w:r>
    </w:p>
    <w:p w14:paraId="4E2A7A0E" w14:textId="77777777" w:rsidR="001018A6" w:rsidRDefault="001018A6" w:rsidP="001018A6">
      <w:r>
        <w:rPr>
          <w:b/>
          <w:i/>
          <w:spacing w:val="60"/>
        </w:rPr>
        <w:t xml:space="preserve">kontrolní závěr </w:t>
      </w:r>
      <w:r>
        <w:t>v tomto znění:</w:t>
      </w:r>
    </w:p>
    <w:p w14:paraId="4E9953E9" w14:textId="77777777" w:rsidR="001018A6" w:rsidRDefault="001018A6" w:rsidP="001018A6"/>
    <w:p w14:paraId="6B34EFE7" w14:textId="77777777" w:rsidR="001018A6" w:rsidRDefault="001018A6" w:rsidP="001018A6"/>
    <w:p w14:paraId="68E45E16" w14:textId="77777777" w:rsidR="001018A6" w:rsidRDefault="001018A6" w:rsidP="001018A6">
      <w:pPr>
        <w:ind w:left="567" w:hanging="567"/>
        <w:rPr>
          <w:sz w:val="20"/>
        </w:rPr>
      </w:pPr>
      <w:r>
        <w:rPr>
          <w:b/>
          <w:sz w:val="20"/>
        </w:rPr>
        <w:t>Pozn.:</w:t>
      </w:r>
      <w:r>
        <w:rPr>
          <w:sz w:val="20"/>
        </w:rPr>
        <w:tab/>
        <w:t>Právní předpisy uvedené v tomto kontrolním závěru jsou aplikovány ve znění účinném pro kontrolované období.</w:t>
      </w:r>
    </w:p>
    <w:p w14:paraId="1BFA64DC" w14:textId="77777777" w:rsidR="00EF0245" w:rsidRDefault="00EF0245">
      <w:pPr>
        <w:spacing w:after="160" w:line="259" w:lineRule="auto"/>
        <w:jc w:val="left"/>
      </w:pPr>
      <w:r>
        <w:br w:type="page"/>
      </w:r>
    </w:p>
    <w:p w14:paraId="6FFC10DA" w14:textId="77777777" w:rsidR="00920BF5" w:rsidRDefault="00920BF5" w:rsidP="00920BF5">
      <w:pPr>
        <w:jc w:val="center"/>
        <w:rPr>
          <w:b/>
          <w:sz w:val="28"/>
          <w:szCs w:val="28"/>
        </w:rPr>
      </w:pPr>
      <w:r>
        <w:rPr>
          <w:b/>
          <w:sz w:val="28"/>
          <w:szCs w:val="28"/>
        </w:rPr>
        <w:lastRenderedPageBreak/>
        <w:t>Rekonstrukce a revitalizace osobních nádraží</w:t>
      </w:r>
    </w:p>
    <w:p w14:paraId="341F7F98" w14:textId="77777777" w:rsidR="00EF0245" w:rsidRDefault="00EF0245" w:rsidP="002C4B36">
      <w:pPr>
        <w:jc w:val="center"/>
        <w:rPr>
          <w:b/>
        </w:rPr>
      </w:pPr>
    </w:p>
    <w:p w14:paraId="376EC28F" w14:textId="77777777" w:rsidR="00EF0245" w:rsidRDefault="00A172D2" w:rsidP="002C4B36">
      <w:pPr>
        <w:jc w:val="center"/>
        <w:rPr>
          <w:b/>
        </w:rPr>
      </w:pPr>
      <w:r w:rsidRPr="00E50C15">
        <w:rPr>
          <w:rFonts w:ascii="Times New Roman" w:hAnsi="Times New Roman"/>
          <w:noProof/>
          <w:lang w:eastAsia="cs-CZ"/>
        </w:rPr>
        <mc:AlternateContent>
          <mc:Choice Requires="wps">
            <w:drawing>
              <wp:anchor distT="0" distB="0" distL="114300" distR="114300" simplePos="0" relativeHeight="251661312" behindDoc="0" locked="0" layoutInCell="1" allowOverlap="1" wp14:anchorId="13574D0B" wp14:editId="17335B6E">
                <wp:simplePos x="0" y="0"/>
                <wp:positionH relativeFrom="margin">
                  <wp:posOffset>3148330</wp:posOffset>
                </wp:positionH>
                <wp:positionV relativeFrom="paragraph">
                  <wp:posOffset>119049</wp:posOffset>
                </wp:positionV>
                <wp:extent cx="2827020" cy="1485265"/>
                <wp:effectExtent l="0" t="0" r="11430" b="19685"/>
                <wp:wrapNone/>
                <wp:docPr id="2" name="Zaoblený obdélník 14"/>
                <wp:cNvGraphicFramePr/>
                <a:graphic xmlns:a="http://schemas.openxmlformats.org/drawingml/2006/main">
                  <a:graphicData uri="http://schemas.microsoft.com/office/word/2010/wordprocessingShape">
                    <wps:wsp>
                      <wps:cNvSpPr/>
                      <wps:spPr>
                        <a:xfrm>
                          <a:off x="0" y="0"/>
                          <a:ext cx="2827020" cy="1485265"/>
                        </a:xfrm>
                        <a:prstGeom prst="roundRect">
                          <a:avLst>
                            <a:gd name="adj" fmla="val 23577"/>
                          </a:avLst>
                        </a:prstGeom>
                        <a:solidFill>
                          <a:srgbClr val="004595"/>
                        </a:solidFill>
                        <a:ln w="12700" cap="flat" cmpd="sng" algn="ctr">
                          <a:solidFill>
                            <a:srgbClr val="004595"/>
                          </a:solidFill>
                          <a:prstDash val="solid"/>
                          <a:miter lim="800000"/>
                        </a:ln>
                        <a:effectLst/>
                      </wps:spPr>
                      <wps:txbx>
                        <w:txbxContent>
                          <w:p w14:paraId="27B0E5C1" w14:textId="77777777" w:rsidR="00735A9D" w:rsidRPr="00CA47D3" w:rsidRDefault="00735A9D" w:rsidP="00E50C15">
                            <w:pPr>
                              <w:jc w:val="center"/>
                              <w:rPr>
                                <w:b/>
                                <w:sz w:val="40"/>
                                <w:szCs w:val="40"/>
                              </w:rPr>
                            </w:pPr>
                            <w:r w:rsidRPr="00CA47D3">
                              <w:rPr>
                                <w:b/>
                                <w:sz w:val="40"/>
                                <w:szCs w:val="40"/>
                              </w:rPr>
                              <w:t>1</w:t>
                            </w:r>
                            <w:r>
                              <w:rPr>
                                <w:b/>
                                <w:sz w:val="40"/>
                                <w:szCs w:val="40"/>
                              </w:rPr>
                              <w:t xml:space="preserve"> </w:t>
                            </w:r>
                            <w:r w:rsidRPr="00CA47D3">
                              <w:rPr>
                                <w:b/>
                                <w:sz w:val="40"/>
                                <w:szCs w:val="40"/>
                              </w:rPr>
                              <w:t>569 nádražních</w:t>
                            </w:r>
                          </w:p>
                          <w:p w14:paraId="486ADC21" w14:textId="77777777" w:rsidR="00735A9D" w:rsidRPr="00CA47D3" w:rsidRDefault="00735A9D" w:rsidP="00E50C15">
                            <w:pPr>
                              <w:jc w:val="center"/>
                              <w:rPr>
                                <w:b/>
                                <w:sz w:val="40"/>
                                <w:szCs w:val="40"/>
                              </w:rPr>
                            </w:pPr>
                            <w:r w:rsidRPr="00CA47D3">
                              <w:rPr>
                                <w:b/>
                                <w:sz w:val="40"/>
                                <w:szCs w:val="40"/>
                              </w:rPr>
                              <w:t>budov</w:t>
                            </w:r>
                          </w:p>
                          <w:p w14:paraId="468BAE9C" w14:textId="5F61AE14" w:rsidR="00735A9D" w:rsidRDefault="00735A9D" w:rsidP="00E50C15">
                            <w:pPr>
                              <w:jc w:val="center"/>
                              <w:rPr>
                                <w:b/>
                              </w:rPr>
                            </w:pPr>
                            <w:r>
                              <w:rPr>
                                <w:b/>
                              </w:rPr>
                              <w:t>převedeno z ČD na SŽDC</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74D0B" id="Zaoblený obdélník 14" o:spid="_x0000_s1026" style="position:absolute;left:0;text-align:left;margin-left:247.9pt;margin-top:9.35pt;width:222.6pt;height:11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" fillcolor="#004595" strokecolor="#004595" strokeweight="1pt">
                <v:stroke joinstyle="miter"/>
                <v:textbox inset="1mm,0,1mm,0">
                  <w:txbxContent>
                    <w:p w14:paraId="27B0E5C1" w14:textId="77777777" w:rsidR="00735A9D" w:rsidRPr="00CA47D3" w:rsidRDefault="00735A9D" w:rsidP="00E50C15">
                      <w:pPr>
                        <w:jc w:val="center"/>
                        <w:rPr>
                          <w:b/>
                          <w:sz w:val="40"/>
                          <w:szCs w:val="40"/>
                        </w:rPr>
                      </w:pPr>
                      <w:r w:rsidRPr="00CA47D3">
                        <w:rPr>
                          <w:b/>
                          <w:sz w:val="40"/>
                          <w:szCs w:val="40"/>
                        </w:rPr>
                        <w:t>1</w:t>
                      </w:r>
                      <w:r>
                        <w:rPr>
                          <w:b/>
                          <w:sz w:val="40"/>
                          <w:szCs w:val="40"/>
                        </w:rPr>
                        <w:t xml:space="preserve"> </w:t>
                      </w:r>
                      <w:r w:rsidRPr="00CA47D3">
                        <w:rPr>
                          <w:b/>
                          <w:sz w:val="40"/>
                          <w:szCs w:val="40"/>
                        </w:rPr>
                        <w:t>569 nádražních</w:t>
                      </w:r>
                    </w:p>
                    <w:p w14:paraId="486ADC21" w14:textId="77777777" w:rsidR="00735A9D" w:rsidRPr="00CA47D3" w:rsidRDefault="00735A9D" w:rsidP="00E50C15">
                      <w:pPr>
                        <w:jc w:val="center"/>
                        <w:rPr>
                          <w:b/>
                          <w:sz w:val="40"/>
                          <w:szCs w:val="40"/>
                        </w:rPr>
                      </w:pPr>
                      <w:r w:rsidRPr="00CA47D3">
                        <w:rPr>
                          <w:b/>
                          <w:sz w:val="40"/>
                          <w:szCs w:val="40"/>
                        </w:rPr>
                        <w:t>budov</w:t>
                      </w:r>
                    </w:p>
                    <w:p w14:paraId="468BAE9C" w14:textId="5F61AE14" w:rsidR="00735A9D" w:rsidRDefault="00735A9D" w:rsidP="00E50C15">
                      <w:pPr>
                        <w:jc w:val="center"/>
                        <w:rPr>
                          <w:b/>
                        </w:rPr>
                      </w:pPr>
                      <w:r>
                        <w:rPr>
                          <w:b/>
                        </w:rPr>
                        <w:t>převedeno z ČD na SŽDC</w:t>
                      </w:r>
                    </w:p>
                  </w:txbxContent>
                </v:textbox>
                <w10:wrap anchorx="margin"/>
              </v:roundrect>
            </w:pict>
          </mc:Fallback>
        </mc:AlternateContent>
      </w:r>
      <w:r w:rsidRPr="00E50C15">
        <w:rPr>
          <w:rFonts w:ascii="Times New Roman" w:hAnsi="Times New Roman"/>
          <w:noProof/>
          <w:lang w:eastAsia="cs-CZ"/>
        </w:rPr>
        <mc:AlternateContent>
          <mc:Choice Requires="wps">
            <w:drawing>
              <wp:anchor distT="0" distB="0" distL="114300" distR="114300" simplePos="0" relativeHeight="251659264" behindDoc="0" locked="0" layoutInCell="1" allowOverlap="1" wp14:anchorId="1750C3D7" wp14:editId="1075D41E">
                <wp:simplePos x="0" y="0"/>
                <wp:positionH relativeFrom="margin">
                  <wp:posOffset>-4445</wp:posOffset>
                </wp:positionH>
                <wp:positionV relativeFrom="page">
                  <wp:posOffset>1244296</wp:posOffset>
                </wp:positionV>
                <wp:extent cx="2843530" cy="1485265"/>
                <wp:effectExtent l="0" t="0" r="13970" b="19685"/>
                <wp:wrapNone/>
                <wp:docPr id="1" name="Zaoblený obdélník 14"/>
                <wp:cNvGraphicFramePr/>
                <a:graphic xmlns:a="http://schemas.openxmlformats.org/drawingml/2006/main">
                  <a:graphicData uri="http://schemas.microsoft.com/office/word/2010/wordprocessingShape">
                    <wps:wsp>
                      <wps:cNvSpPr/>
                      <wps:spPr>
                        <a:xfrm>
                          <a:off x="0" y="0"/>
                          <a:ext cx="2843530" cy="1485265"/>
                        </a:xfrm>
                        <a:prstGeom prst="roundRect">
                          <a:avLst/>
                        </a:prstGeom>
                        <a:solidFill>
                          <a:srgbClr val="004595"/>
                        </a:solidFill>
                        <a:ln w="12700" cap="flat" cmpd="sng" algn="ctr">
                          <a:solidFill>
                            <a:srgbClr val="004595"/>
                          </a:solidFill>
                          <a:prstDash val="solid"/>
                          <a:miter lim="800000"/>
                        </a:ln>
                        <a:effectLst/>
                      </wps:spPr>
                      <wps:txbx>
                        <w:txbxContent>
                          <w:p w14:paraId="2F9685C7" w14:textId="77777777" w:rsidR="00735A9D" w:rsidRPr="00CA47D3" w:rsidRDefault="00735A9D" w:rsidP="00E50C15">
                            <w:pPr>
                              <w:jc w:val="center"/>
                              <w:rPr>
                                <w:b/>
                                <w:sz w:val="40"/>
                                <w:szCs w:val="40"/>
                              </w:rPr>
                            </w:pPr>
                            <w:r w:rsidRPr="00CA47D3">
                              <w:rPr>
                                <w:b/>
                                <w:sz w:val="40"/>
                                <w:szCs w:val="40"/>
                              </w:rPr>
                              <w:t>3,</w:t>
                            </w:r>
                            <w:r>
                              <w:rPr>
                                <w:b/>
                                <w:sz w:val="40"/>
                                <w:szCs w:val="40"/>
                              </w:rPr>
                              <w:t>3</w:t>
                            </w:r>
                            <w:r w:rsidRPr="00CA47D3">
                              <w:rPr>
                                <w:b/>
                                <w:sz w:val="40"/>
                                <w:szCs w:val="40"/>
                              </w:rPr>
                              <w:t>1 mld. Kč</w:t>
                            </w:r>
                          </w:p>
                          <w:p w14:paraId="3C96E9F3" w14:textId="77777777" w:rsidR="00735A9D" w:rsidRDefault="00735A9D" w:rsidP="00E50C15">
                            <w:pPr>
                              <w:jc w:val="center"/>
                              <w:rPr>
                                <w:b/>
                              </w:rPr>
                            </w:pPr>
                          </w:p>
                          <w:p w14:paraId="0499F423" w14:textId="03B632DB" w:rsidR="00735A9D" w:rsidRDefault="00735A9D" w:rsidP="00E50C15">
                            <w:pPr>
                              <w:jc w:val="center"/>
                              <w:rPr>
                                <w:b/>
                              </w:rPr>
                            </w:pPr>
                            <w:r>
                              <w:rPr>
                                <w:b/>
                              </w:rPr>
                              <w:t xml:space="preserve">cena převodu osobních nádraží </w:t>
                            </w:r>
                          </w:p>
                          <w:p w14:paraId="21378290" w14:textId="77777777" w:rsidR="00735A9D" w:rsidRDefault="00735A9D" w:rsidP="00E50C15">
                            <w:pPr>
                              <w:jc w:val="center"/>
                              <w:rPr>
                                <w:b/>
                              </w:rPr>
                            </w:pPr>
                            <w:r>
                              <w:rPr>
                                <w:b/>
                              </w:rPr>
                              <w:t>z ČD na SŽDC</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0C3D7" id="_x0000_s1027" style="position:absolute;left:0;text-align:left;margin-left:-.35pt;margin-top:98pt;width:223.9pt;height:11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" fillcolor="#004595" strokecolor="#004595" strokeweight="1pt">
                <v:stroke joinstyle="miter"/>
                <v:textbox inset="1mm,0,1mm,0">
                  <w:txbxContent>
                    <w:p w14:paraId="2F9685C7" w14:textId="77777777" w:rsidR="00735A9D" w:rsidRPr="00CA47D3" w:rsidRDefault="00735A9D" w:rsidP="00E50C15">
                      <w:pPr>
                        <w:jc w:val="center"/>
                        <w:rPr>
                          <w:b/>
                          <w:sz w:val="40"/>
                          <w:szCs w:val="40"/>
                        </w:rPr>
                      </w:pPr>
                      <w:r w:rsidRPr="00CA47D3">
                        <w:rPr>
                          <w:b/>
                          <w:sz w:val="40"/>
                          <w:szCs w:val="40"/>
                        </w:rPr>
                        <w:t>3,</w:t>
                      </w:r>
                      <w:r>
                        <w:rPr>
                          <w:b/>
                          <w:sz w:val="40"/>
                          <w:szCs w:val="40"/>
                        </w:rPr>
                        <w:t>3</w:t>
                      </w:r>
                      <w:r w:rsidRPr="00CA47D3">
                        <w:rPr>
                          <w:b/>
                          <w:sz w:val="40"/>
                          <w:szCs w:val="40"/>
                        </w:rPr>
                        <w:t>1 mld. Kč</w:t>
                      </w:r>
                    </w:p>
                    <w:p w14:paraId="3C96E9F3" w14:textId="77777777" w:rsidR="00735A9D" w:rsidRDefault="00735A9D" w:rsidP="00E50C15">
                      <w:pPr>
                        <w:jc w:val="center"/>
                        <w:rPr>
                          <w:b/>
                        </w:rPr>
                      </w:pPr>
                    </w:p>
                    <w:p w14:paraId="0499F423" w14:textId="03B632DB" w:rsidR="00735A9D" w:rsidRDefault="00735A9D" w:rsidP="00E50C15">
                      <w:pPr>
                        <w:jc w:val="center"/>
                        <w:rPr>
                          <w:b/>
                        </w:rPr>
                      </w:pPr>
                      <w:r>
                        <w:rPr>
                          <w:b/>
                        </w:rPr>
                        <w:t xml:space="preserve">cena převodu osobních nádraží </w:t>
                      </w:r>
                    </w:p>
                    <w:p w14:paraId="21378290" w14:textId="77777777" w:rsidR="00735A9D" w:rsidRDefault="00735A9D" w:rsidP="00E50C15">
                      <w:pPr>
                        <w:jc w:val="center"/>
                        <w:rPr>
                          <w:b/>
                        </w:rPr>
                      </w:pPr>
                      <w:r>
                        <w:rPr>
                          <w:b/>
                        </w:rPr>
                        <w:t>z ČD na SŽDC</w:t>
                      </w:r>
                    </w:p>
                  </w:txbxContent>
                </v:textbox>
                <w10:wrap anchorx="margin" anchory="page"/>
              </v:roundrect>
            </w:pict>
          </mc:Fallback>
        </mc:AlternateContent>
      </w:r>
    </w:p>
    <w:p w14:paraId="2F2AC7B5" w14:textId="77777777" w:rsidR="002C4B36" w:rsidRDefault="002C4B36" w:rsidP="002C4B36">
      <w:pPr>
        <w:jc w:val="center"/>
        <w:rPr>
          <w:b/>
        </w:rPr>
      </w:pPr>
    </w:p>
    <w:p w14:paraId="173C49D7" w14:textId="77777777" w:rsidR="002C4B36" w:rsidRDefault="002C4B36" w:rsidP="002C4B36">
      <w:pPr>
        <w:jc w:val="center"/>
        <w:rPr>
          <w:b/>
        </w:rPr>
      </w:pPr>
    </w:p>
    <w:p w14:paraId="7EE983D6" w14:textId="77777777" w:rsidR="002C4B36" w:rsidRDefault="002C4B36" w:rsidP="00E50C15">
      <w:pPr>
        <w:rPr>
          <w:b/>
        </w:rPr>
      </w:pPr>
    </w:p>
    <w:p w14:paraId="5F739490" w14:textId="77777777" w:rsidR="002C4B36" w:rsidRDefault="002C4B36" w:rsidP="002C4B36">
      <w:pPr>
        <w:jc w:val="center"/>
        <w:rPr>
          <w:b/>
        </w:rPr>
      </w:pPr>
    </w:p>
    <w:p w14:paraId="701740D6" w14:textId="77777777" w:rsidR="002C4B36" w:rsidRDefault="002C4B36" w:rsidP="002C4B36">
      <w:pPr>
        <w:jc w:val="center"/>
        <w:rPr>
          <w:b/>
        </w:rPr>
      </w:pPr>
    </w:p>
    <w:p w14:paraId="471F3A7E" w14:textId="77777777" w:rsidR="002C4B36" w:rsidRDefault="002C4B36" w:rsidP="002C4B36">
      <w:pPr>
        <w:jc w:val="center"/>
        <w:rPr>
          <w:b/>
        </w:rPr>
      </w:pPr>
    </w:p>
    <w:p w14:paraId="1413CB38" w14:textId="77777777" w:rsidR="002C4B36" w:rsidRDefault="002C4B36" w:rsidP="002C4B36">
      <w:pPr>
        <w:jc w:val="center"/>
        <w:rPr>
          <w:b/>
        </w:rPr>
      </w:pPr>
    </w:p>
    <w:p w14:paraId="5667D5D8" w14:textId="77777777" w:rsidR="002C4B36" w:rsidRDefault="002C4B36" w:rsidP="002C4B36">
      <w:pPr>
        <w:jc w:val="center"/>
        <w:rPr>
          <w:b/>
        </w:rPr>
      </w:pPr>
    </w:p>
    <w:p w14:paraId="6883A9A4" w14:textId="77777777" w:rsidR="002C4B36" w:rsidRDefault="00A172D2" w:rsidP="002C4B36">
      <w:pPr>
        <w:jc w:val="center"/>
        <w:rPr>
          <w:b/>
        </w:rPr>
      </w:pPr>
      <w:r w:rsidRPr="001A48D2">
        <w:rPr>
          <w:rFonts w:ascii="Times New Roman" w:hAnsi="Times New Roman"/>
          <w:noProof/>
          <w:lang w:eastAsia="cs-CZ"/>
        </w:rPr>
        <mc:AlternateContent>
          <mc:Choice Requires="wps">
            <w:drawing>
              <wp:anchor distT="0" distB="0" distL="114300" distR="114300" simplePos="0" relativeHeight="251665408" behindDoc="0" locked="0" layoutInCell="1" allowOverlap="1" wp14:anchorId="245E70E4" wp14:editId="561DA921">
                <wp:simplePos x="0" y="0"/>
                <wp:positionH relativeFrom="margin">
                  <wp:posOffset>3148330</wp:posOffset>
                </wp:positionH>
                <wp:positionV relativeFrom="page">
                  <wp:posOffset>2935467</wp:posOffset>
                </wp:positionV>
                <wp:extent cx="2827020" cy="1550670"/>
                <wp:effectExtent l="0" t="0" r="11430" b="11430"/>
                <wp:wrapNone/>
                <wp:docPr id="5" name="Zaoblený obdélník 14"/>
                <wp:cNvGraphicFramePr/>
                <a:graphic xmlns:a="http://schemas.openxmlformats.org/drawingml/2006/main">
                  <a:graphicData uri="http://schemas.microsoft.com/office/word/2010/wordprocessingShape">
                    <wps:wsp>
                      <wps:cNvSpPr/>
                      <wps:spPr>
                        <a:xfrm>
                          <a:off x="0" y="0"/>
                          <a:ext cx="2827020" cy="1550670"/>
                        </a:xfrm>
                        <a:prstGeom prst="roundRect">
                          <a:avLst/>
                        </a:prstGeom>
                        <a:solidFill>
                          <a:srgbClr val="004595"/>
                        </a:solidFill>
                        <a:ln w="12700" cap="flat" cmpd="sng" algn="ctr">
                          <a:solidFill>
                            <a:srgbClr val="004595"/>
                          </a:solidFill>
                          <a:prstDash val="solid"/>
                          <a:miter lim="800000"/>
                        </a:ln>
                        <a:effectLst/>
                      </wps:spPr>
                      <wps:txbx>
                        <w:txbxContent>
                          <w:p w14:paraId="1BDA46FF" w14:textId="77777777" w:rsidR="00735A9D" w:rsidRPr="00CA47D3" w:rsidRDefault="00735A9D" w:rsidP="001A48D2">
                            <w:pPr>
                              <w:jc w:val="center"/>
                              <w:rPr>
                                <w:b/>
                                <w:sz w:val="40"/>
                                <w:szCs w:val="40"/>
                              </w:rPr>
                            </w:pPr>
                            <w:r>
                              <w:rPr>
                                <w:b/>
                                <w:sz w:val="40"/>
                                <w:szCs w:val="40"/>
                              </w:rPr>
                              <w:t>2,650</w:t>
                            </w:r>
                            <w:r w:rsidRPr="00CA47D3">
                              <w:rPr>
                                <w:b/>
                                <w:sz w:val="40"/>
                                <w:szCs w:val="40"/>
                              </w:rPr>
                              <w:t xml:space="preserve"> mld. Kč</w:t>
                            </w:r>
                          </w:p>
                          <w:p w14:paraId="1FE25D6F" w14:textId="77777777" w:rsidR="00735A9D" w:rsidRDefault="00735A9D" w:rsidP="001A48D2">
                            <w:pPr>
                              <w:jc w:val="center"/>
                              <w:rPr>
                                <w:b/>
                              </w:rPr>
                            </w:pPr>
                          </w:p>
                          <w:p w14:paraId="4A273906" w14:textId="225FB7AB" w:rsidR="00735A9D" w:rsidRDefault="00735A9D" w:rsidP="001A48D2">
                            <w:pPr>
                              <w:jc w:val="center"/>
                              <w:rPr>
                                <w:b/>
                              </w:rPr>
                            </w:pPr>
                            <w:r>
                              <w:rPr>
                                <w:b/>
                              </w:rPr>
                              <w:t>skutečné čerpání finančních prostředků v letech 2017–2019 na opravy a rekonstrukce osobních nádraží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E70E4" id="_x0000_s1028" style="position:absolute;left:0;text-align:left;margin-left:247.9pt;margin-top:231.15pt;width:222.6pt;height:12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" fillcolor="#004595" strokecolor="#004595" strokeweight="1pt">
                <v:stroke joinstyle="miter"/>
                <v:textbox inset="1mm,0,1mm,0">
                  <w:txbxContent>
                    <w:p w14:paraId="1BDA46FF" w14:textId="77777777" w:rsidR="00735A9D" w:rsidRPr="00CA47D3" w:rsidRDefault="00735A9D" w:rsidP="001A48D2">
                      <w:pPr>
                        <w:jc w:val="center"/>
                        <w:rPr>
                          <w:b/>
                          <w:sz w:val="40"/>
                          <w:szCs w:val="40"/>
                        </w:rPr>
                      </w:pPr>
                      <w:r>
                        <w:rPr>
                          <w:b/>
                          <w:sz w:val="40"/>
                          <w:szCs w:val="40"/>
                        </w:rPr>
                        <w:t>2,650</w:t>
                      </w:r>
                      <w:r w:rsidRPr="00CA47D3">
                        <w:rPr>
                          <w:b/>
                          <w:sz w:val="40"/>
                          <w:szCs w:val="40"/>
                        </w:rPr>
                        <w:t xml:space="preserve"> mld. Kč</w:t>
                      </w:r>
                    </w:p>
                    <w:p w14:paraId="1FE25D6F" w14:textId="77777777" w:rsidR="00735A9D" w:rsidRDefault="00735A9D" w:rsidP="001A48D2">
                      <w:pPr>
                        <w:jc w:val="center"/>
                        <w:rPr>
                          <w:b/>
                        </w:rPr>
                      </w:pPr>
                    </w:p>
                    <w:p w14:paraId="4A273906" w14:textId="225FB7AB" w:rsidR="00735A9D" w:rsidRDefault="00735A9D" w:rsidP="001A48D2">
                      <w:pPr>
                        <w:jc w:val="center"/>
                        <w:rPr>
                          <w:b/>
                        </w:rPr>
                      </w:pPr>
                      <w:r>
                        <w:rPr>
                          <w:b/>
                        </w:rPr>
                        <w:t>skutečné čerpání finančních prostředků v letech 2017–2019 na opravy a rekonstrukce osobních nádraží</w:t>
                      </w:r>
                    </w:p>
                  </w:txbxContent>
                </v:textbox>
                <w10:wrap anchorx="margin" anchory="page"/>
              </v:roundrect>
            </w:pict>
          </mc:Fallback>
        </mc:AlternateContent>
      </w:r>
      <w:r w:rsidRPr="001A48D2">
        <w:rPr>
          <w:rFonts w:ascii="Times New Roman" w:hAnsi="Times New Roman"/>
          <w:noProof/>
          <w:lang w:eastAsia="cs-CZ"/>
        </w:rPr>
        <mc:AlternateContent>
          <mc:Choice Requires="wps">
            <w:drawing>
              <wp:anchor distT="0" distB="0" distL="114300" distR="114300" simplePos="0" relativeHeight="251663360" behindDoc="0" locked="0" layoutInCell="1" allowOverlap="1" wp14:anchorId="1A2C035B" wp14:editId="25896E6F">
                <wp:simplePos x="0" y="0"/>
                <wp:positionH relativeFrom="margin">
                  <wp:posOffset>-23495</wp:posOffset>
                </wp:positionH>
                <wp:positionV relativeFrom="page">
                  <wp:posOffset>2947918</wp:posOffset>
                </wp:positionV>
                <wp:extent cx="2827020" cy="1542415"/>
                <wp:effectExtent l="0" t="0" r="11430" b="19685"/>
                <wp:wrapNone/>
                <wp:docPr id="4" name="Zaoblený obdélník 14"/>
                <wp:cNvGraphicFramePr/>
                <a:graphic xmlns:a="http://schemas.openxmlformats.org/drawingml/2006/main">
                  <a:graphicData uri="http://schemas.microsoft.com/office/word/2010/wordprocessingShape">
                    <wps:wsp>
                      <wps:cNvSpPr/>
                      <wps:spPr>
                        <a:xfrm>
                          <a:off x="0" y="0"/>
                          <a:ext cx="2827020" cy="1542415"/>
                        </a:xfrm>
                        <a:prstGeom prst="roundRect">
                          <a:avLst/>
                        </a:prstGeom>
                        <a:solidFill>
                          <a:srgbClr val="004595"/>
                        </a:solidFill>
                        <a:ln w="12700" cap="flat" cmpd="sng" algn="ctr">
                          <a:solidFill>
                            <a:srgbClr val="004595"/>
                          </a:solidFill>
                          <a:prstDash val="solid"/>
                          <a:miter lim="800000"/>
                        </a:ln>
                        <a:effectLst/>
                      </wps:spPr>
                      <wps:txbx>
                        <w:txbxContent>
                          <w:p w14:paraId="3080DA90" w14:textId="77777777" w:rsidR="00735A9D" w:rsidRPr="00CA47D3" w:rsidRDefault="00735A9D" w:rsidP="001A48D2">
                            <w:pPr>
                              <w:jc w:val="center"/>
                              <w:rPr>
                                <w:b/>
                                <w:sz w:val="40"/>
                                <w:szCs w:val="40"/>
                              </w:rPr>
                            </w:pPr>
                            <w:r w:rsidRPr="00CA47D3">
                              <w:rPr>
                                <w:b/>
                                <w:sz w:val="40"/>
                                <w:szCs w:val="40"/>
                              </w:rPr>
                              <w:t>8,841 mld. Kč</w:t>
                            </w:r>
                          </w:p>
                          <w:p w14:paraId="5A4DA492" w14:textId="77777777" w:rsidR="00735A9D" w:rsidRDefault="00735A9D" w:rsidP="001A48D2">
                            <w:pPr>
                              <w:jc w:val="center"/>
                              <w:rPr>
                                <w:b/>
                              </w:rPr>
                            </w:pPr>
                          </w:p>
                          <w:p w14:paraId="6FAF6235" w14:textId="3DB4A0B9" w:rsidR="00735A9D" w:rsidRDefault="00735A9D" w:rsidP="001A48D2">
                            <w:pPr>
                              <w:jc w:val="center"/>
                              <w:rPr>
                                <w:b/>
                              </w:rPr>
                            </w:pPr>
                            <w:r>
                              <w:rPr>
                                <w:b/>
                              </w:rPr>
                              <w:t xml:space="preserve">předpoklad finančních prostředků dle </w:t>
                            </w:r>
                            <w:r w:rsidRPr="00FA67EB">
                              <w:rPr>
                                <w:b/>
                                <w:i/>
                              </w:rPr>
                              <w:t>Programu rekonstrukce a revitalizace osobních nádraží pro roky 2018–2022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C035B" id="_x0000_s1029" style="position:absolute;left:0;text-align:left;margin-left:-1.85pt;margin-top:232.1pt;width:222.6pt;height:121.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" fillcolor="#004595" strokecolor="#004595" strokeweight="1pt">
                <v:stroke joinstyle="miter"/>
                <v:textbox inset="1mm,0,1mm,0">
                  <w:txbxContent>
                    <w:p w14:paraId="3080DA90" w14:textId="77777777" w:rsidR="00735A9D" w:rsidRPr="00CA47D3" w:rsidRDefault="00735A9D" w:rsidP="001A48D2">
                      <w:pPr>
                        <w:jc w:val="center"/>
                        <w:rPr>
                          <w:b/>
                          <w:sz w:val="40"/>
                          <w:szCs w:val="40"/>
                        </w:rPr>
                      </w:pPr>
                      <w:r w:rsidRPr="00CA47D3">
                        <w:rPr>
                          <w:b/>
                          <w:sz w:val="40"/>
                          <w:szCs w:val="40"/>
                        </w:rPr>
                        <w:t>8,841 mld. Kč</w:t>
                      </w:r>
                    </w:p>
                    <w:p w14:paraId="5A4DA492" w14:textId="77777777" w:rsidR="00735A9D" w:rsidRDefault="00735A9D" w:rsidP="001A48D2">
                      <w:pPr>
                        <w:jc w:val="center"/>
                        <w:rPr>
                          <w:b/>
                        </w:rPr>
                      </w:pPr>
                    </w:p>
                    <w:p w14:paraId="6FAF6235" w14:textId="3DB4A0B9" w:rsidR="00735A9D" w:rsidRDefault="00735A9D" w:rsidP="001A48D2">
                      <w:pPr>
                        <w:jc w:val="center"/>
                        <w:rPr>
                          <w:b/>
                        </w:rPr>
                      </w:pPr>
                      <w:r>
                        <w:rPr>
                          <w:b/>
                        </w:rPr>
                        <w:t xml:space="preserve">předpoklad finančních prostředků dle </w:t>
                      </w:r>
                      <w:r w:rsidRPr="00FA67EB">
                        <w:rPr>
                          <w:b/>
                          <w:i/>
                        </w:rPr>
                        <w:t>Programu rekonstrukce a revitalizace osobních nádraží pro roky 2018–2022</w:t>
                      </w:r>
                    </w:p>
                  </w:txbxContent>
                </v:textbox>
                <w10:wrap anchorx="margin" anchory="page"/>
              </v:roundrect>
            </w:pict>
          </mc:Fallback>
        </mc:AlternateContent>
      </w:r>
    </w:p>
    <w:p w14:paraId="1E0FE12E" w14:textId="77777777" w:rsidR="002C4B36" w:rsidRDefault="002C4B36" w:rsidP="002C4B36">
      <w:pPr>
        <w:jc w:val="center"/>
        <w:rPr>
          <w:b/>
        </w:rPr>
      </w:pPr>
    </w:p>
    <w:p w14:paraId="623E6B10" w14:textId="77777777" w:rsidR="002C4B36" w:rsidRDefault="002C4B36" w:rsidP="002C4B36">
      <w:pPr>
        <w:jc w:val="center"/>
        <w:rPr>
          <w:b/>
        </w:rPr>
      </w:pPr>
    </w:p>
    <w:p w14:paraId="0F9E3E59" w14:textId="77777777" w:rsidR="002C4B36" w:rsidRDefault="002C4B36" w:rsidP="002C4B36">
      <w:pPr>
        <w:jc w:val="center"/>
        <w:rPr>
          <w:b/>
        </w:rPr>
      </w:pPr>
    </w:p>
    <w:p w14:paraId="44CAA7A3" w14:textId="77777777" w:rsidR="002C4B36" w:rsidRDefault="002C4B36" w:rsidP="002C4B36">
      <w:pPr>
        <w:jc w:val="center"/>
        <w:rPr>
          <w:b/>
        </w:rPr>
      </w:pPr>
    </w:p>
    <w:p w14:paraId="2D8DE0BF" w14:textId="77777777" w:rsidR="002C4B36" w:rsidRDefault="002C4B36" w:rsidP="001A48D2">
      <w:pPr>
        <w:jc w:val="left"/>
        <w:rPr>
          <w:b/>
        </w:rPr>
      </w:pPr>
    </w:p>
    <w:p w14:paraId="36F3D2A2" w14:textId="77777777" w:rsidR="002C4B36" w:rsidRDefault="002C4B36" w:rsidP="002C4B36">
      <w:pPr>
        <w:jc w:val="center"/>
        <w:rPr>
          <w:b/>
        </w:rPr>
      </w:pPr>
    </w:p>
    <w:p w14:paraId="42E4631F" w14:textId="77777777" w:rsidR="002C4B36" w:rsidRDefault="002C4B36" w:rsidP="002C4B36">
      <w:pPr>
        <w:jc w:val="center"/>
        <w:rPr>
          <w:b/>
        </w:rPr>
      </w:pPr>
    </w:p>
    <w:p w14:paraId="4EBB8709" w14:textId="77777777" w:rsidR="003B41B5" w:rsidRDefault="003B41B5" w:rsidP="002C4B36">
      <w:pPr>
        <w:jc w:val="center"/>
        <w:rPr>
          <w:b/>
        </w:rPr>
      </w:pPr>
    </w:p>
    <w:p w14:paraId="0B3837E5" w14:textId="77777777" w:rsidR="005B1447" w:rsidRPr="00A172D2" w:rsidRDefault="005B1447" w:rsidP="00CC3112">
      <w:pPr>
        <w:rPr>
          <w:rFonts w:asciiTheme="minorHAnsi" w:hAnsiTheme="minorHAnsi" w:cstheme="minorHAnsi"/>
          <w:sz w:val="20"/>
          <w:szCs w:val="16"/>
        </w:rPr>
      </w:pPr>
    </w:p>
    <w:p w14:paraId="06C4F495" w14:textId="35E670A5" w:rsidR="00F50E46" w:rsidRPr="001E5002" w:rsidRDefault="00F50E46" w:rsidP="001E5002">
      <w:pPr>
        <w:ind w:left="567" w:hanging="567"/>
        <w:rPr>
          <w:rFonts w:asciiTheme="minorHAnsi" w:hAnsiTheme="minorHAnsi" w:cstheme="minorHAnsi"/>
          <w:sz w:val="20"/>
          <w:szCs w:val="16"/>
        </w:rPr>
      </w:pPr>
      <w:r w:rsidRPr="001E5002">
        <w:rPr>
          <w:rFonts w:asciiTheme="minorHAnsi" w:hAnsiTheme="minorHAnsi" w:cstheme="minorHAnsi"/>
          <w:b/>
          <w:sz w:val="20"/>
          <w:szCs w:val="16"/>
        </w:rPr>
        <w:t>Pozn.</w:t>
      </w:r>
      <w:r w:rsidR="001E5002">
        <w:rPr>
          <w:rFonts w:asciiTheme="minorHAnsi" w:hAnsiTheme="minorHAnsi" w:cstheme="minorHAnsi"/>
          <w:b/>
          <w:sz w:val="20"/>
          <w:szCs w:val="16"/>
        </w:rPr>
        <w:t>:</w:t>
      </w:r>
      <w:r w:rsidRPr="001E5002">
        <w:rPr>
          <w:rFonts w:asciiTheme="minorHAnsi" w:hAnsiTheme="minorHAnsi" w:cstheme="minorHAnsi"/>
          <w:sz w:val="20"/>
          <w:szCs w:val="16"/>
        </w:rPr>
        <w:t xml:space="preserve"> </w:t>
      </w:r>
      <w:r w:rsidR="00735A9D">
        <w:rPr>
          <w:rFonts w:asciiTheme="minorHAnsi" w:hAnsiTheme="minorHAnsi" w:cstheme="minorHAnsi"/>
          <w:sz w:val="20"/>
          <w:szCs w:val="16"/>
        </w:rPr>
        <w:tab/>
      </w:r>
      <w:r w:rsidRPr="001E5002">
        <w:rPr>
          <w:rFonts w:asciiTheme="minorHAnsi" w:hAnsiTheme="minorHAnsi" w:cstheme="minorHAnsi"/>
          <w:sz w:val="20"/>
          <w:szCs w:val="16"/>
        </w:rPr>
        <w:t>V </w:t>
      </w:r>
      <w:r w:rsidR="00FA2111" w:rsidRPr="00FA67EB">
        <w:rPr>
          <w:rFonts w:asciiTheme="minorHAnsi" w:hAnsiTheme="minorHAnsi" w:cstheme="minorHAnsi"/>
          <w:i/>
          <w:sz w:val="20"/>
          <w:szCs w:val="16"/>
        </w:rPr>
        <w:t>P</w:t>
      </w:r>
      <w:r w:rsidRPr="00FA67EB">
        <w:rPr>
          <w:rFonts w:asciiTheme="minorHAnsi" w:hAnsiTheme="minorHAnsi" w:cstheme="minorHAnsi"/>
          <w:i/>
          <w:sz w:val="20"/>
          <w:szCs w:val="16"/>
        </w:rPr>
        <w:t xml:space="preserve">rogramu rekonstrukce a revitalizace osobních nádraží pro </w:t>
      </w:r>
      <w:r w:rsidR="00FA2111" w:rsidRPr="00FA67EB">
        <w:rPr>
          <w:rFonts w:asciiTheme="minorHAnsi" w:hAnsiTheme="minorHAnsi" w:cstheme="minorHAnsi"/>
          <w:i/>
          <w:sz w:val="20"/>
          <w:szCs w:val="16"/>
        </w:rPr>
        <w:t>r</w:t>
      </w:r>
      <w:r w:rsidR="00CC304B" w:rsidRPr="00FA67EB">
        <w:rPr>
          <w:rFonts w:asciiTheme="minorHAnsi" w:hAnsiTheme="minorHAnsi" w:cstheme="minorHAnsi"/>
          <w:i/>
          <w:sz w:val="20"/>
          <w:szCs w:val="16"/>
        </w:rPr>
        <w:t>oky 2018–</w:t>
      </w:r>
      <w:r w:rsidRPr="00FA67EB">
        <w:rPr>
          <w:rFonts w:asciiTheme="minorHAnsi" w:hAnsiTheme="minorHAnsi" w:cstheme="minorHAnsi"/>
          <w:i/>
          <w:sz w:val="20"/>
          <w:szCs w:val="16"/>
        </w:rPr>
        <w:t>2022</w:t>
      </w:r>
      <w:r w:rsidRPr="001E5002">
        <w:rPr>
          <w:rFonts w:asciiTheme="minorHAnsi" w:hAnsiTheme="minorHAnsi" w:cstheme="minorHAnsi"/>
          <w:sz w:val="20"/>
          <w:szCs w:val="16"/>
        </w:rPr>
        <w:t xml:space="preserve"> byly stanoveny předpokládané finanční prostředky i pro rok 2017</w:t>
      </w:r>
      <w:r w:rsidR="001E5002">
        <w:rPr>
          <w:rFonts w:asciiTheme="minorHAnsi" w:hAnsiTheme="minorHAnsi" w:cstheme="minorHAnsi"/>
          <w:sz w:val="20"/>
          <w:szCs w:val="16"/>
        </w:rPr>
        <w:t>.</w:t>
      </w:r>
    </w:p>
    <w:p w14:paraId="4CE7A7EF" w14:textId="77777777" w:rsidR="005B1447" w:rsidRPr="00EF0245" w:rsidRDefault="005B1447" w:rsidP="00EF0245">
      <w:pPr>
        <w:jc w:val="center"/>
        <w:rPr>
          <w:rFonts w:asciiTheme="minorHAnsi" w:hAnsiTheme="minorHAnsi" w:cstheme="minorHAnsi"/>
        </w:rPr>
      </w:pPr>
    </w:p>
    <w:p w14:paraId="6E225151" w14:textId="77777777" w:rsidR="002B4214" w:rsidRPr="00EF0245" w:rsidRDefault="002B4214" w:rsidP="00EF0245">
      <w:pPr>
        <w:jc w:val="center"/>
        <w:rPr>
          <w:rFonts w:asciiTheme="minorHAnsi" w:hAnsiTheme="minorHAnsi" w:cstheme="minorHAnsi"/>
        </w:rPr>
      </w:pPr>
    </w:p>
    <w:p w14:paraId="359673EE" w14:textId="77777777" w:rsidR="001B4359" w:rsidRDefault="00CC3112" w:rsidP="00C04D2B">
      <w:pPr>
        <w:jc w:val="left"/>
        <w:rPr>
          <w:b/>
        </w:rPr>
      </w:pPr>
      <w:r>
        <w:rPr>
          <w:noProof/>
          <w:lang w:eastAsia="cs-CZ"/>
        </w:rPr>
        <w:drawing>
          <wp:inline distT="0" distB="0" distL="0" distR="0" wp14:anchorId="4AEE29B5" wp14:editId="43781194">
            <wp:extent cx="5486400" cy="3200400"/>
            <wp:effectExtent l="0" t="0" r="0" b="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EA53B1" w14:textId="77777777" w:rsidR="00A172D2" w:rsidRDefault="00A172D2">
      <w:pPr>
        <w:spacing w:after="160" w:line="259" w:lineRule="auto"/>
        <w:jc w:val="left"/>
        <w:rPr>
          <w:b/>
          <w:sz w:val="28"/>
          <w:szCs w:val="28"/>
        </w:rPr>
      </w:pPr>
      <w:r>
        <w:rPr>
          <w:b/>
          <w:sz w:val="28"/>
          <w:szCs w:val="28"/>
        </w:rPr>
        <w:br w:type="page"/>
      </w:r>
    </w:p>
    <w:p w14:paraId="23998C29" w14:textId="77777777" w:rsidR="002C4B36" w:rsidRPr="009E7513" w:rsidRDefault="002C4B36" w:rsidP="007C00F0">
      <w:pPr>
        <w:jc w:val="center"/>
        <w:rPr>
          <w:b/>
          <w:sz w:val="28"/>
          <w:szCs w:val="28"/>
        </w:rPr>
      </w:pPr>
      <w:r w:rsidRPr="009E7513">
        <w:rPr>
          <w:b/>
          <w:sz w:val="28"/>
          <w:szCs w:val="28"/>
        </w:rPr>
        <w:lastRenderedPageBreak/>
        <w:t>I. Shrnutí a vyhodnocení</w:t>
      </w:r>
    </w:p>
    <w:p w14:paraId="54A2D916" w14:textId="77777777" w:rsidR="00EE6742" w:rsidRPr="00FA67EB" w:rsidRDefault="00EE6742" w:rsidP="007C00F0">
      <w:pPr>
        <w:jc w:val="left"/>
      </w:pPr>
    </w:p>
    <w:p w14:paraId="066EF2D1" w14:textId="133B45F1" w:rsidR="004167EF" w:rsidRDefault="004167EF" w:rsidP="007C00F0">
      <w:r>
        <w:t>NK</w:t>
      </w:r>
      <w:r w:rsidR="007E09A8">
        <w:t>Ú</w:t>
      </w:r>
      <w:r w:rsidR="0090475E">
        <w:t xml:space="preserve"> </w:t>
      </w:r>
      <w:r w:rsidR="007E09A8">
        <w:t>prověřil, zda systém poskytování peněžních prostředků určených na rekonstrukci a</w:t>
      </w:r>
      <w:r w:rsidR="00FA2111">
        <w:t> </w:t>
      </w:r>
      <w:r w:rsidR="007E09A8">
        <w:t xml:space="preserve">revitalizaci osobních nádraží zajišťuje jejich účelné a hospodárné využití. Současně zjišťoval, zda jsou </w:t>
      </w:r>
      <w:r w:rsidR="00267B81">
        <w:t xml:space="preserve">realizací jednotlivých stavebních akcí naplňovány </w:t>
      </w:r>
      <w:r w:rsidR="007E09A8">
        <w:t>cíle stanovené v koncepčních dokumentech</w:t>
      </w:r>
      <w:r w:rsidR="00267B81">
        <w:t>.</w:t>
      </w:r>
    </w:p>
    <w:p w14:paraId="6965FCE3" w14:textId="77777777" w:rsidR="00267B81" w:rsidRDefault="00267B81" w:rsidP="007C00F0"/>
    <w:p w14:paraId="08A37CD1" w14:textId="77777777" w:rsidR="00267B81" w:rsidRPr="00267B81" w:rsidRDefault="00267B81" w:rsidP="007C00F0">
      <w:pPr>
        <w:rPr>
          <w:b/>
        </w:rPr>
      </w:pPr>
      <w:r w:rsidRPr="00267B81">
        <w:rPr>
          <w:b/>
        </w:rPr>
        <w:t>Celkové vyhodnocení</w:t>
      </w:r>
    </w:p>
    <w:p w14:paraId="02F80411" w14:textId="77777777" w:rsidR="00F8557B" w:rsidRPr="00F8557B" w:rsidRDefault="00F8557B" w:rsidP="007C00F0"/>
    <w:p w14:paraId="7FC0C51B" w14:textId="05A7DD93" w:rsidR="00DB1D4B" w:rsidRDefault="001255D9" w:rsidP="007C00F0">
      <w:pPr>
        <w:rPr>
          <w:b/>
        </w:rPr>
      </w:pPr>
      <w:r>
        <w:rPr>
          <w:b/>
        </w:rPr>
        <w:t>MD schválilo</w:t>
      </w:r>
      <w:r w:rsidR="00BF3593">
        <w:rPr>
          <w:b/>
        </w:rPr>
        <w:t xml:space="preserve"> v roce 2019</w:t>
      </w:r>
      <w:r>
        <w:rPr>
          <w:b/>
        </w:rPr>
        <w:t xml:space="preserve"> </w:t>
      </w:r>
      <w:r w:rsidRPr="00FA67EB">
        <w:rPr>
          <w:b/>
          <w:i/>
        </w:rPr>
        <w:t>Koncepci při nakládání s nemovitostmi osobních nádraží</w:t>
      </w:r>
      <w:r w:rsidR="008462EA">
        <w:rPr>
          <w:b/>
        </w:rPr>
        <w:t xml:space="preserve"> (dále také Koncepce 2019“)</w:t>
      </w:r>
      <w:r>
        <w:rPr>
          <w:b/>
        </w:rPr>
        <w:t xml:space="preserve"> jako dokument stanovující závazné postupy, cíle a opatření pro zvýšení úrovně železniční dopravy. </w:t>
      </w:r>
      <w:r w:rsidR="00DB1D4B">
        <w:rPr>
          <w:b/>
        </w:rPr>
        <w:t>Do této doby se SŽDC řídila postupy uvedenými v</w:t>
      </w:r>
      <w:r>
        <w:rPr>
          <w:b/>
        </w:rPr>
        <w:t xml:space="preserve"> koncepčních </w:t>
      </w:r>
      <w:r w:rsidR="00DB1D4B">
        <w:rPr>
          <w:b/>
        </w:rPr>
        <w:t xml:space="preserve">dokumentech </w:t>
      </w:r>
      <w:r w:rsidR="009635DA" w:rsidRPr="000C67B4">
        <w:rPr>
          <w:b/>
          <w:i/>
        </w:rPr>
        <w:t>Příprava a realizace staveb železničních nádraží v podmínkách SŽDC</w:t>
      </w:r>
      <w:r w:rsidR="009635DA" w:rsidRPr="009635DA">
        <w:rPr>
          <w:b/>
        </w:rPr>
        <w:t xml:space="preserve"> ze dne 16. 9. 2016 (dále také „Strategie 2016“)</w:t>
      </w:r>
      <w:r w:rsidR="009635DA">
        <w:rPr>
          <w:b/>
        </w:rPr>
        <w:t xml:space="preserve"> a</w:t>
      </w:r>
      <w:r w:rsidR="009635DA" w:rsidRPr="009635DA">
        <w:rPr>
          <w:b/>
        </w:rPr>
        <w:t xml:space="preserve"> </w:t>
      </w:r>
      <w:r w:rsidR="009635DA" w:rsidRPr="000C67B4">
        <w:rPr>
          <w:b/>
          <w:i/>
        </w:rPr>
        <w:t>Program rekonstrukce a revitalizace osobních nádraží pro roky 2018–2022</w:t>
      </w:r>
      <w:r w:rsidR="009635DA" w:rsidRPr="009635DA">
        <w:rPr>
          <w:b/>
        </w:rPr>
        <w:t xml:space="preserve"> ze dne 31. 7. 2017 (dále také „Program 2018–2022“)</w:t>
      </w:r>
      <w:r w:rsidR="008B544D">
        <w:rPr>
          <w:rStyle w:val="Znakapoznpodarou"/>
          <w:b/>
        </w:rPr>
        <w:footnoteReference w:id="4"/>
      </w:r>
      <w:r w:rsidR="00A17BA7">
        <w:rPr>
          <w:b/>
        </w:rPr>
        <w:t xml:space="preserve">, </w:t>
      </w:r>
      <w:r w:rsidR="00DB1D4B">
        <w:rPr>
          <w:b/>
        </w:rPr>
        <w:t>které sama zpracovala</w:t>
      </w:r>
      <w:r>
        <w:rPr>
          <w:b/>
        </w:rPr>
        <w:t xml:space="preserve"> a které </w:t>
      </w:r>
      <w:r w:rsidR="00DB1D4B">
        <w:rPr>
          <w:b/>
        </w:rPr>
        <w:t xml:space="preserve">nebyly schváleny </w:t>
      </w:r>
      <w:r>
        <w:rPr>
          <w:b/>
        </w:rPr>
        <w:t xml:space="preserve">MD. </w:t>
      </w:r>
    </w:p>
    <w:p w14:paraId="2156A136" w14:textId="77777777" w:rsidR="007A3BF1" w:rsidRDefault="007A3BF1" w:rsidP="007C00F0">
      <w:pPr>
        <w:rPr>
          <w:b/>
        </w:rPr>
      </w:pPr>
    </w:p>
    <w:p w14:paraId="13735D87" w14:textId="74418CA0" w:rsidR="00267B81" w:rsidRPr="00F72E5B" w:rsidRDefault="00F72E5B" w:rsidP="007C00F0">
      <w:r>
        <w:rPr>
          <w:b/>
        </w:rPr>
        <w:t>Výchozím záměrem</w:t>
      </w:r>
      <w:r w:rsidR="00F011DC">
        <w:rPr>
          <w:b/>
        </w:rPr>
        <w:t xml:space="preserve"> </w:t>
      </w:r>
      <w:r w:rsidR="007E50C2">
        <w:rPr>
          <w:b/>
        </w:rPr>
        <w:t xml:space="preserve">poskytování peněžních prostředků </w:t>
      </w:r>
      <w:r w:rsidR="00F011DC">
        <w:rPr>
          <w:b/>
        </w:rPr>
        <w:t xml:space="preserve">bylo </w:t>
      </w:r>
      <w:r w:rsidR="00E85E7A">
        <w:rPr>
          <w:b/>
        </w:rPr>
        <w:t xml:space="preserve">přizpůsobit osobní nádraží </w:t>
      </w:r>
      <w:r w:rsidR="00E85E7A" w:rsidRPr="005E5356">
        <w:t>(železniční stanice a zastávky)</w:t>
      </w:r>
      <w:r w:rsidR="00E85E7A">
        <w:rPr>
          <w:b/>
        </w:rPr>
        <w:t xml:space="preserve"> nárokům současné doby. Revitalizací měly projít staré </w:t>
      </w:r>
      <w:r w:rsidR="00F011DC">
        <w:rPr>
          <w:b/>
        </w:rPr>
        <w:t>a</w:t>
      </w:r>
      <w:r w:rsidR="00FA2111">
        <w:rPr>
          <w:b/>
        </w:rPr>
        <w:t> </w:t>
      </w:r>
      <w:r w:rsidR="00F011DC">
        <w:rPr>
          <w:b/>
        </w:rPr>
        <w:t>současným potřebám železnice nevyhovující budovy osobních nádraž</w:t>
      </w:r>
      <w:r w:rsidR="00E85E7A">
        <w:rPr>
          <w:b/>
        </w:rPr>
        <w:t>í, které byly</w:t>
      </w:r>
      <w:r w:rsidR="00713679">
        <w:rPr>
          <w:b/>
        </w:rPr>
        <w:t xml:space="preserve"> </w:t>
      </w:r>
      <w:r w:rsidR="00966803">
        <w:rPr>
          <w:b/>
        </w:rPr>
        <w:t xml:space="preserve">často </w:t>
      </w:r>
      <w:r w:rsidR="00713679">
        <w:rPr>
          <w:b/>
        </w:rPr>
        <w:t>ve špatném stavebně-technickém</w:t>
      </w:r>
      <w:r w:rsidR="00E85E7A">
        <w:rPr>
          <w:b/>
        </w:rPr>
        <w:t xml:space="preserve"> a provozním stavu. </w:t>
      </w:r>
      <w:r w:rsidR="007D69FA">
        <w:rPr>
          <w:b/>
        </w:rPr>
        <w:t xml:space="preserve">Tento základní záměr a další cíle </w:t>
      </w:r>
      <w:r w:rsidR="00E85E7A" w:rsidRPr="004D38EA">
        <w:rPr>
          <w:b/>
        </w:rPr>
        <w:t xml:space="preserve">uvedené </w:t>
      </w:r>
      <w:r w:rsidR="00943008">
        <w:rPr>
          <w:b/>
        </w:rPr>
        <w:t xml:space="preserve">v </w:t>
      </w:r>
      <w:r w:rsidR="00E85E7A">
        <w:rPr>
          <w:b/>
        </w:rPr>
        <w:t xml:space="preserve">koncepčních </w:t>
      </w:r>
      <w:r>
        <w:rPr>
          <w:b/>
        </w:rPr>
        <w:t>dokumentech</w:t>
      </w:r>
      <w:r w:rsidR="00E85E7A">
        <w:rPr>
          <w:b/>
        </w:rPr>
        <w:t xml:space="preserve"> </w:t>
      </w:r>
      <w:r w:rsidR="007D69FA">
        <w:rPr>
          <w:b/>
        </w:rPr>
        <w:t xml:space="preserve">zpracovaných SŽDC a MD </w:t>
      </w:r>
      <w:r w:rsidR="00E85E7A" w:rsidRPr="004D38EA">
        <w:rPr>
          <w:b/>
        </w:rPr>
        <w:t xml:space="preserve">byly u </w:t>
      </w:r>
      <w:r w:rsidR="00E85E7A">
        <w:rPr>
          <w:b/>
        </w:rPr>
        <w:t xml:space="preserve">24 </w:t>
      </w:r>
      <w:r w:rsidR="00943008">
        <w:rPr>
          <w:b/>
        </w:rPr>
        <w:t xml:space="preserve">kontrolovaných </w:t>
      </w:r>
      <w:r w:rsidR="00E85E7A">
        <w:rPr>
          <w:b/>
        </w:rPr>
        <w:t xml:space="preserve">akcí </w:t>
      </w:r>
      <w:r w:rsidR="00E85E7A" w:rsidRPr="004D38EA">
        <w:rPr>
          <w:b/>
        </w:rPr>
        <w:t>naplněny</w:t>
      </w:r>
      <w:r w:rsidR="00E85E7A">
        <w:rPr>
          <w:b/>
        </w:rPr>
        <w:t xml:space="preserve">. </w:t>
      </w:r>
      <w:r w:rsidRPr="00F72E5B">
        <w:t xml:space="preserve">Jednalo se především </w:t>
      </w:r>
      <w:r>
        <w:t>o</w:t>
      </w:r>
      <w:r w:rsidRPr="00F72E5B">
        <w:t xml:space="preserve"> </w:t>
      </w:r>
      <w:r>
        <w:t>optimalizaci</w:t>
      </w:r>
      <w:r w:rsidRPr="00F72E5B">
        <w:t xml:space="preserve"> a zlepšení prostor pro cestující, zajištění bezbariérovosti budov, zajištění </w:t>
      </w:r>
      <w:r>
        <w:t xml:space="preserve">jejich </w:t>
      </w:r>
      <w:r w:rsidRPr="00F72E5B">
        <w:t>hospodárného provozu</w:t>
      </w:r>
      <w:r>
        <w:t>, vazbu</w:t>
      </w:r>
      <w:r w:rsidRPr="00F72E5B">
        <w:t xml:space="preserve"> na liniové </w:t>
      </w:r>
      <w:r w:rsidR="007D69FA">
        <w:t xml:space="preserve">dopravní </w:t>
      </w:r>
      <w:r w:rsidRPr="00F72E5B">
        <w:t xml:space="preserve">stavby </w:t>
      </w:r>
      <w:r>
        <w:t>a revitalizaci</w:t>
      </w:r>
      <w:r w:rsidRPr="00F72E5B">
        <w:t xml:space="preserve"> areálů osobních nádraží včetně alternativního vy</w:t>
      </w:r>
      <w:r w:rsidR="00943008">
        <w:t>u</w:t>
      </w:r>
      <w:r w:rsidRPr="00F72E5B">
        <w:t>žití volných prost</w:t>
      </w:r>
      <w:r w:rsidR="007D69FA">
        <w:t xml:space="preserve">or. </w:t>
      </w:r>
    </w:p>
    <w:p w14:paraId="4BD7AD67" w14:textId="77777777" w:rsidR="004076C4" w:rsidRDefault="004076C4" w:rsidP="007C00F0"/>
    <w:p w14:paraId="2C242C73" w14:textId="7D11B74E" w:rsidR="00A46EDF" w:rsidRDefault="00A46EDF" w:rsidP="007C00F0">
      <w:pPr>
        <w:rPr>
          <w:b/>
        </w:rPr>
      </w:pPr>
      <w:r>
        <w:rPr>
          <w:b/>
        </w:rPr>
        <w:t xml:space="preserve">V letech 2017 až </w:t>
      </w:r>
      <w:r w:rsidR="00C20341">
        <w:rPr>
          <w:b/>
        </w:rPr>
        <w:t>2019</w:t>
      </w:r>
      <w:r w:rsidRPr="00A46EDF">
        <w:rPr>
          <w:b/>
        </w:rPr>
        <w:t xml:space="preserve"> SŽDC</w:t>
      </w:r>
      <w:r>
        <w:rPr>
          <w:b/>
        </w:rPr>
        <w:t xml:space="preserve"> </w:t>
      </w:r>
      <w:r w:rsidR="00C20341" w:rsidRPr="00A46EDF">
        <w:rPr>
          <w:b/>
        </w:rPr>
        <w:t>čerpala</w:t>
      </w:r>
      <w:r w:rsidR="00C20341">
        <w:rPr>
          <w:b/>
        </w:rPr>
        <w:t xml:space="preserve"> </w:t>
      </w:r>
      <w:r w:rsidR="00265EBA">
        <w:rPr>
          <w:b/>
        </w:rPr>
        <w:t>v</w:t>
      </w:r>
      <w:r w:rsidR="00E94F7B">
        <w:rPr>
          <w:b/>
        </w:rPr>
        <w:t xml:space="preserve"> průměru o 36 % </w:t>
      </w:r>
      <w:r w:rsidR="00265EBA">
        <w:rPr>
          <w:b/>
        </w:rPr>
        <w:t xml:space="preserve">méně </w:t>
      </w:r>
      <w:r w:rsidR="00B211CD">
        <w:rPr>
          <w:b/>
        </w:rPr>
        <w:t xml:space="preserve">peněžních prostředků </w:t>
      </w:r>
      <w:r w:rsidR="00265EBA">
        <w:rPr>
          <w:b/>
        </w:rPr>
        <w:t>oproti předpokladům. Důvodem byl</w:t>
      </w:r>
      <w:r w:rsidR="00BF3593">
        <w:rPr>
          <w:b/>
        </w:rPr>
        <w:t>o</w:t>
      </w:r>
      <w:r w:rsidR="00265EBA">
        <w:rPr>
          <w:b/>
        </w:rPr>
        <w:t xml:space="preserve"> zejména nezajištění stavební připravenosti ze strany </w:t>
      </w:r>
      <w:r w:rsidR="00902013">
        <w:rPr>
          <w:b/>
        </w:rPr>
        <w:t>předchozího</w:t>
      </w:r>
      <w:r w:rsidR="003F26F5">
        <w:rPr>
          <w:b/>
        </w:rPr>
        <w:t xml:space="preserve"> vlastníka a průtahy ve stavebních </w:t>
      </w:r>
      <w:r w:rsidR="00C04D2B">
        <w:rPr>
          <w:b/>
        </w:rPr>
        <w:t>nebo</w:t>
      </w:r>
      <w:r w:rsidR="003F26F5">
        <w:rPr>
          <w:b/>
        </w:rPr>
        <w:t xml:space="preserve"> zadávacích řízeních. </w:t>
      </w:r>
      <w:r w:rsidR="00A07D10" w:rsidRPr="00966803">
        <w:t xml:space="preserve">Cena na </w:t>
      </w:r>
      <w:r w:rsidR="008462EA">
        <w:t>1 </w:t>
      </w:r>
      <w:r w:rsidR="00A07D10" w:rsidRPr="00966803">
        <w:t>m</w:t>
      </w:r>
      <w:r w:rsidR="00A07D10" w:rsidRPr="00966803">
        <w:rPr>
          <w:vertAlign w:val="superscript"/>
        </w:rPr>
        <w:t>2</w:t>
      </w:r>
      <w:r w:rsidR="00A07D10" w:rsidRPr="00966803">
        <w:t xml:space="preserve"> zastavěné plochy u ukončených </w:t>
      </w:r>
      <w:r w:rsidR="00A07D10">
        <w:t xml:space="preserve">oprav a </w:t>
      </w:r>
      <w:r w:rsidR="00A07D10" w:rsidRPr="00966803">
        <w:t xml:space="preserve">rekonstrukcí výpravních budov </w:t>
      </w:r>
      <w:r w:rsidR="0071569B">
        <w:t xml:space="preserve">osobních nádrží </w:t>
      </w:r>
      <w:r w:rsidR="00A07D10" w:rsidRPr="00966803">
        <w:t>se pohybovala</w:t>
      </w:r>
      <w:r w:rsidR="00FC5A01">
        <w:t xml:space="preserve"> v rozsahu</w:t>
      </w:r>
      <w:r w:rsidR="00A07D10" w:rsidRPr="00966803">
        <w:t xml:space="preserve"> od 3,6 tis. Kč bez DPH do 52,3 tis. Kč bez DPH</w:t>
      </w:r>
      <w:r w:rsidR="00A07D10">
        <w:t>.</w:t>
      </w:r>
    </w:p>
    <w:p w14:paraId="02C9FE10" w14:textId="77777777" w:rsidR="007A3BF1" w:rsidRDefault="007A3BF1" w:rsidP="007C00F0">
      <w:pPr>
        <w:rPr>
          <w:b/>
        </w:rPr>
      </w:pPr>
    </w:p>
    <w:p w14:paraId="1A246DD4" w14:textId="77777777" w:rsidR="0002474F" w:rsidRDefault="0002474F" w:rsidP="007C00F0">
      <w:pPr>
        <w:rPr>
          <w:rFonts w:asciiTheme="minorHAnsi" w:eastAsiaTheme="minorHAnsi" w:hAnsiTheme="minorHAnsi" w:cstheme="minorBidi"/>
          <w:b/>
        </w:rPr>
      </w:pPr>
      <w:r w:rsidRPr="00517B14">
        <w:rPr>
          <w:rFonts w:asciiTheme="minorHAnsi" w:eastAsiaTheme="minorHAnsi" w:hAnsiTheme="minorHAnsi" w:cstheme="minorBidi"/>
          <w:b/>
        </w:rPr>
        <w:t xml:space="preserve">Kontrolou vybraných 24 akcí rekonstrukcí a oprav osobních nádraží bylo zjištěno, že </w:t>
      </w:r>
      <w:r>
        <w:rPr>
          <w:rFonts w:asciiTheme="minorHAnsi" w:eastAsiaTheme="minorHAnsi" w:hAnsiTheme="minorHAnsi" w:cstheme="minorBidi"/>
          <w:b/>
        </w:rPr>
        <w:t>SŽDC u</w:t>
      </w:r>
      <w:r w:rsidR="00F8557B">
        <w:rPr>
          <w:rFonts w:asciiTheme="minorHAnsi" w:eastAsiaTheme="minorHAnsi" w:hAnsiTheme="minorHAnsi" w:cstheme="minorBidi"/>
          <w:b/>
        </w:rPr>
        <w:t> </w:t>
      </w:r>
      <w:r w:rsidR="00B211CD">
        <w:rPr>
          <w:rFonts w:asciiTheme="minorHAnsi" w:eastAsiaTheme="minorHAnsi" w:hAnsiTheme="minorHAnsi" w:cstheme="minorBidi"/>
          <w:b/>
        </w:rPr>
        <w:t>sedmi</w:t>
      </w:r>
      <w:r>
        <w:rPr>
          <w:rFonts w:asciiTheme="minorHAnsi" w:eastAsiaTheme="minorHAnsi" w:hAnsiTheme="minorHAnsi" w:cstheme="minorBidi"/>
          <w:b/>
        </w:rPr>
        <w:t xml:space="preserve"> stavebních akcí posunula termíny realizace</w:t>
      </w:r>
      <w:r w:rsidRPr="00517B14">
        <w:rPr>
          <w:rFonts w:asciiTheme="minorHAnsi" w:eastAsiaTheme="minorHAnsi" w:hAnsiTheme="minorHAnsi" w:cstheme="minorBidi"/>
          <w:b/>
        </w:rPr>
        <w:t xml:space="preserve"> oproti </w:t>
      </w:r>
      <w:r>
        <w:rPr>
          <w:rFonts w:asciiTheme="minorHAnsi" w:eastAsiaTheme="minorHAnsi" w:hAnsiTheme="minorHAnsi" w:cstheme="minorBidi"/>
          <w:b/>
        </w:rPr>
        <w:t xml:space="preserve">stanovenému </w:t>
      </w:r>
      <w:r w:rsidRPr="00517B14">
        <w:rPr>
          <w:rFonts w:asciiTheme="minorHAnsi" w:eastAsiaTheme="minorHAnsi" w:hAnsiTheme="minorHAnsi" w:cstheme="minorBidi"/>
          <w:b/>
        </w:rPr>
        <w:t>harmonogramu</w:t>
      </w:r>
      <w:r>
        <w:rPr>
          <w:rFonts w:asciiTheme="minorHAnsi" w:eastAsiaTheme="minorHAnsi" w:hAnsiTheme="minorHAnsi" w:cstheme="minorBidi"/>
          <w:b/>
        </w:rPr>
        <w:t>.</w:t>
      </w:r>
      <w:r w:rsidRPr="00517B14">
        <w:rPr>
          <w:rFonts w:asciiTheme="minorHAnsi" w:eastAsiaTheme="minorHAnsi" w:hAnsiTheme="minorHAnsi" w:cstheme="minorBidi"/>
          <w:b/>
        </w:rPr>
        <w:t xml:space="preserve"> </w:t>
      </w:r>
    </w:p>
    <w:p w14:paraId="02961279" w14:textId="77777777" w:rsidR="007A3BF1" w:rsidRDefault="007A3BF1" w:rsidP="007C00F0">
      <w:pPr>
        <w:rPr>
          <w:rFonts w:asciiTheme="minorHAnsi" w:eastAsiaTheme="minorHAnsi" w:hAnsiTheme="minorHAnsi" w:cstheme="minorBidi"/>
          <w:b/>
        </w:rPr>
      </w:pPr>
    </w:p>
    <w:p w14:paraId="524F55C4" w14:textId="74F09284" w:rsidR="00902013" w:rsidRDefault="00902013" w:rsidP="007C00F0">
      <w:pPr>
        <w:rPr>
          <w:rFonts w:asciiTheme="minorHAnsi" w:eastAsiaTheme="minorHAnsi" w:hAnsiTheme="minorHAnsi" w:cstheme="minorBidi"/>
          <w:b/>
        </w:rPr>
      </w:pPr>
      <w:r w:rsidRPr="00902013">
        <w:rPr>
          <w:rFonts w:asciiTheme="minorHAnsi" w:eastAsiaTheme="minorHAnsi" w:hAnsiTheme="minorHAnsi" w:cstheme="minorBidi"/>
          <w:b/>
        </w:rPr>
        <w:t xml:space="preserve">SŽDC jednoznačně nestanovila parametry </w:t>
      </w:r>
      <w:r w:rsidRPr="00902013">
        <w:rPr>
          <w:rFonts w:asciiTheme="minorHAnsi" w:eastAsiaTheme="minorHAnsi" w:hAnsiTheme="minorHAnsi" w:cstheme="minorBidi"/>
        </w:rPr>
        <w:t>(indikátory),</w:t>
      </w:r>
      <w:r w:rsidRPr="00902013">
        <w:rPr>
          <w:rFonts w:asciiTheme="minorHAnsi" w:eastAsiaTheme="minorHAnsi" w:hAnsiTheme="minorHAnsi" w:cstheme="minorBidi"/>
          <w:b/>
        </w:rPr>
        <w:t xml:space="preserve"> na </w:t>
      </w:r>
      <w:r w:rsidR="008462EA">
        <w:rPr>
          <w:rFonts w:asciiTheme="minorHAnsi" w:eastAsiaTheme="minorHAnsi" w:hAnsiTheme="minorHAnsi" w:cstheme="minorBidi"/>
          <w:b/>
        </w:rPr>
        <w:t xml:space="preserve">jejichž </w:t>
      </w:r>
      <w:r w:rsidRPr="00902013">
        <w:rPr>
          <w:rFonts w:asciiTheme="minorHAnsi" w:eastAsiaTheme="minorHAnsi" w:hAnsiTheme="minorHAnsi" w:cstheme="minorBidi"/>
          <w:b/>
        </w:rPr>
        <w:t xml:space="preserve">základě bude hodnotit ukončené rekonstrukce </w:t>
      </w:r>
      <w:r w:rsidR="003F26F5">
        <w:rPr>
          <w:rFonts w:asciiTheme="minorHAnsi" w:eastAsiaTheme="minorHAnsi" w:hAnsiTheme="minorHAnsi" w:cstheme="minorBidi"/>
          <w:b/>
        </w:rPr>
        <w:t xml:space="preserve">a revitalizace budov </w:t>
      </w:r>
      <w:r w:rsidRPr="00902013">
        <w:rPr>
          <w:rFonts w:asciiTheme="minorHAnsi" w:eastAsiaTheme="minorHAnsi" w:hAnsiTheme="minorHAnsi" w:cstheme="minorBidi"/>
          <w:b/>
        </w:rPr>
        <w:t>osobních nádraží. SŽDC do doby ukončení kontroly žádnou akci z hlediska dosažení přínos</w:t>
      </w:r>
      <w:r>
        <w:rPr>
          <w:rFonts w:asciiTheme="minorHAnsi" w:eastAsiaTheme="minorHAnsi" w:hAnsiTheme="minorHAnsi" w:cstheme="minorBidi"/>
          <w:b/>
        </w:rPr>
        <w:t>ů</w:t>
      </w:r>
      <w:r w:rsidRPr="00902013">
        <w:rPr>
          <w:rFonts w:asciiTheme="minorHAnsi" w:eastAsiaTheme="minorHAnsi" w:hAnsiTheme="minorHAnsi" w:cstheme="minorBidi"/>
          <w:b/>
        </w:rPr>
        <w:t xml:space="preserve"> nevyhodnotila. </w:t>
      </w:r>
    </w:p>
    <w:p w14:paraId="489A27AE" w14:textId="77777777" w:rsidR="007A3BF1" w:rsidRDefault="007A3BF1" w:rsidP="007C00F0">
      <w:pPr>
        <w:rPr>
          <w:rFonts w:asciiTheme="minorHAnsi" w:eastAsiaTheme="minorHAnsi" w:hAnsiTheme="minorHAnsi" w:cstheme="minorBidi"/>
          <w:b/>
        </w:rPr>
      </w:pPr>
    </w:p>
    <w:p w14:paraId="5CF12922" w14:textId="1913B5BB" w:rsidR="00FA2111" w:rsidRDefault="00FA2111" w:rsidP="007C00F0">
      <w:pPr>
        <w:rPr>
          <w:b/>
        </w:rPr>
      </w:pPr>
      <w:r w:rsidRPr="00B211CD">
        <w:rPr>
          <w:b/>
        </w:rPr>
        <w:t xml:space="preserve">U dvou kontrolovaných akcí MD informovalo SŽDC o </w:t>
      </w:r>
      <w:r>
        <w:rPr>
          <w:b/>
        </w:rPr>
        <w:t xml:space="preserve">splnění připomínek schvalování </w:t>
      </w:r>
      <w:r w:rsidRPr="00B211CD">
        <w:rPr>
          <w:b/>
        </w:rPr>
        <w:t xml:space="preserve">staveb až po </w:t>
      </w:r>
      <w:r>
        <w:rPr>
          <w:b/>
        </w:rPr>
        <w:t>cca 15 měsících od jej</w:t>
      </w:r>
      <w:r w:rsidR="008462EA">
        <w:rPr>
          <w:b/>
        </w:rPr>
        <w:t>i</w:t>
      </w:r>
      <w:r>
        <w:rPr>
          <w:b/>
        </w:rPr>
        <w:t>ch doložení na MD</w:t>
      </w:r>
      <w:r w:rsidRPr="00B211CD">
        <w:rPr>
          <w:b/>
        </w:rPr>
        <w:t>.</w:t>
      </w:r>
    </w:p>
    <w:p w14:paraId="2AC3DEE9" w14:textId="77777777" w:rsidR="007A3BF1" w:rsidRPr="00B211CD" w:rsidRDefault="007A3BF1" w:rsidP="007C00F0">
      <w:pPr>
        <w:rPr>
          <w:b/>
        </w:rPr>
      </w:pPr>
    </w:p>
    <w:p w14:paraId="374B5727" w14:textId="23782A1D" w:rsidR="00A07D10" w:rsidRDefault="00596673" w:rsidP="00041672">
      <w:pPr>
        <w:keepNext/>
        <w:keepLines/>
      </w:pPr>
      <w:r w:rsidRPr="00966803">
        <w:t xml:space="preserve">NKÚ </w:t>
      </w:r>
      <w:r w:rsidR="00C04D2B">
        <w:t>upozorňuje na skutečnost</w:t>
      </w:r>
      <w:r w:rsidR="00666172" w:rsidRPr="00966803">
        <w:t xml:space="preserve">, že </w:t>
      </w:r>
      <w:r w:rsidR="00666172" w:rsidRPr="00C04D2B">
        <w:rPr>
          <w:b/>
        </w:rPr>
        <w:t>stát</w:t>
      </w:r>
      <w:r w:rsidR="00BF3593">
        <w:t xml:space="preserve"> </w:t>
      </w:r>
      <w:r w:rsidRPr="00966803">
        <w:t>za účelem co nejefektivnějšího rozmístění státních institucí včetně minimalizace nákladů na jejich provoz</w:t>
      </w:r>
      <w:r w:rsidR="000D4B3C">
        <w:t>:</w:t>
      </w:r>
    </w:p>
    <w:p w14:paraId="605B4A15" w14:textId="70B971EE" w:rsidR="00596673" w:rsidRPr="00A07D10" w:rsidRDefault="00666172" w:rsidP="00041672">
      <w:pPr>
        <w:pStyle w:val="Odstavecseseznamem"/>
        <w:keepNext/>
        <w:keepLines/>
        <w:numPr>
          <w:ilvl w:val="0"/>
          <w:numId w:val="42"/>
        </w:numPr>
        <w:ind w:left="284" w:hanging="284"/>
        <w:contextualSpacing w:val="0"/>
        <w:rPr>
          <w:b/>
        </w:rPr>
      </w:pPr>
      <w:r w:rsidRPr="00A07D10">
        <w:rPr>
          <w:b/>
        </w:rPr>
        <w:t>zatím ne</w:t>
      </w:r>
      <w:r w:rsidR="00596673" w:rsidRPr="00A07D10">
        <w:rPr>
          <w:b/>
        </w:rPr>
        <w:t>zohlednil při výkonu své dislokační činnosti nevyužité nově zrekonstruované prostory v budovách osobních nádraží,</w:t>
      </w:r>
    </w:p>
    <w:p w14:paraId="2935FC72" w14:textId="77777777" w:rsidR="00A07D10" w:rsidRDefault="00666172" w:rsidP="00041672">
      <w:pPr>
        <w:pStyle w:val="Odstavecseseznamem"/>
        <w:keepNext/>
        <w:keepLines/>
        <w:numPr>
          <w:ilvl w:val="0"/>
          <w:numId w:val="42"/>
        </w:numPr>
        <w:ind w:left="284" w:hanging="284"/>
        <w:contextualSpacing w:val="0"/>
      </w:pPr>
      <w:r w:rsidRPr="00A07D10">
        <w:rPr>
          <w:b/>
        </w:rPr>
        <w:t>ne</w:t>
      </w:r>
      <w:r w:rsidR="00596673" w:rsidRPr="00A07D10">
        <w:rPr>
          <w:b/>
        </w:rPr>
        <w:t>vytvořil podmínky pro přemístění vybraných státních insti</w:t>
      </w:r>
      <w:r w:rsidR="00C04D2B" w:rsidRPr="00A07D10">
        <w:rPr>
          <w:b/>
        </w:rPr>
        <w:t xml:space="preserve">tuci </w:t>
      </w:r>
      <w:r w:rsidR="00596673" w:rsidRPr="00A07D10">
        <w:rPr>
          <w:b/>
        </w:rPr>
        <w:t>do těchto objektů</w:t>
      </w:r>
      <w:r w:rsidR="00596673" w:rsidRPr="00FA67EB">
        <w:rPr>
          <w:b/>
        </w:rPr>
        <w:t>.</w:t>
      </w:r>
      <w:r w:rsidR="00596673" w:rsidRPr="00966803">
        <w:t xml:space="preserve"> </w:t>
      </w:r>
    </w:p>
    <w:p w14:paraId="17225BB6" w14:textId="77777777" w:rsidR="00A07D10" w:rsidRDefault="00A07D10" w:rsidP="007C00F0">
      <w:pPr>
        <w:jc w:val="left"/>
        <w:rPr>
          <w:b/>
        </w:rPr>
      </w:pPr>
    </w:p>
    <w:p w14:paraId="1C2514BC" w14:textId="77777777" w:rsidR="00755D71" w:rsidRPr="00A07D10" w:rsidRDefault="00755D71" w:rsidP="007C00F0">
      <w:pPr>
        <w:jc w:val="left"/>
        <w:rPr>
          <w:b/>
        </w:rPr>
      </w:pPr>
    </w:p>
    <w:p w14:paraId="55992BF0" w14:textId="77777777" w:rsidR="00EE6742" w:rsidRDefault="00EE6742" w:rsidP="00EE6742">
      <w:pPr>
        <w:jc w:val="center"/>
        <w:rPr>
          <w:b/>
          <w:sz w:val="28"/>
          <w:szCs w:val="28"/>
        </w:rPr>
      </w:pPr>
      <w:r w:rsidRPr="009E7513">
        <w:rPr>
          <w:b/>
          <w:sz w:val="28"/>
          <w:szCs w:val="28"/>
        </w:rPr>
        <w:t>II. Informace o kontrolované oblasti</w:t>
      </w:r>
    </w:p>
    <w:p w14:paraId="70378681" w14:textId="77777777" w:rsidR="00014C7B" w:rsidRPr="00A172D2" w:rsidRDefault="00014C7B" w:rsidP="00A172D2">
      <w:pPr>
        <w:rPr>
          <w:szCs w:val="28"/>
        </w:rPr>
      </w:pPr>
    </w:p>
    <w:p w14:paraId="1D2FE76B" w14:textId="77777777" w:rsidR="00E66A22" w:rsidRPr="00E66A22" w:rsidRDefault="00E66A22" w:rsidP="001D3D3A">
      <w:pPr>
        <w:rPr>
          <w:b/>
        </w:rPr>
      </w:pPr>
      <w:r w:rsidRPr="00E66A22">
        <w:rPr>
          <w:b/>
        </w:rPr>
        <w:t>Převod budov osobních nádraží</w:t>
      </w:r>
    </w:p>
    <w:p w14:paraId="51CDC4B8" w14:textId="77777777" w:rsidR="007C00F0" w:rsidRDefault="007C00F0" w:rsidP="001D3D3A"/>
    <w:p w14:paraId="5E00A04E" w14:textId="7679CA45" w:rsidR="00F940E5" w:rsidRDefault="003F26F5" w:rsidP="001D3D3A">
      <w:pPr>
        <w:rPr>
          <w:rFonts w:asciiTheme="minorHAnsi" w:hAnsiTheme="minorHAnsi"/>
        </w:rPr>
      </w:pPr>
      <w:r>
        <w:t>Příprava převodu nádražních budov a souvisejícího majetku z akciové společnosti České dráhy</w:t>
      </w:r>
      <w:r w:rsidR="000D4B3C">
        <w:t>, a.s.,</w:t>
      </w:r>
      <w:r>
        <w:t xml:space="preserve"> </w:t>
      </w:r>
      <w:r w:rsidR="00A526E7">
        <w:t xml:space="preserve">(dále také „ČD“) </w:t>
      </w:r>
      <w:r>
        <w:t xml:space="preserve">na státní organizaci SŽDC započala v roce 2013. </w:t>
      </w:r>
      <w:r w:rsidR="00F940E5">
        <w:t>V červnu 2016 tyto společnosti uzavřely smlouvu, její</w:t>
      </w:r>
      <w:r w:rsidR="00CA6142">
        <w:t>m</w:t>
      </w:r>
      <w:r w:rsidR="00F940E5">
        <w:t>ž p</w:t>
      </w:r>
      <w:r w:rsidR="00F940E5" w:rsidRPr="00B76459">
        <w:rPr>
          <w:rFonts w:asciiTheme="minorHAnsi" w:hAnsiTheme="minorHAnsi"/>
        </w:rPr>
        <w:t>ředmětem byl prodej části závodu ozn</w:t>
      </w:r>
      <w:r w:rsidR="00CA6142">
        <w:rPr>
          <w:rFonts w:asciiTheme="minorHAnsi" w:hAnsiTheme="minorHAnsi"/>
        </w:rPr>
        <w:t>ačené jako „</w:t>
      </w:r>
      <w:r w:rsidR="000D4B3C">
        <w:rPr>
          <w:rFonts w:asciiTheme="minorHAnsi" w:hAnsiTheme="minorHAnsi"/>
        </w:rPr>
        <w:t>ž</w:t>
      </w:r>
      <w:r w:rsidR="00CA6142">
        <w:rPr>
          <w:rFonts w:asciiTheme="minorHAnsi" w:hAnsiTheme="minorHAnsi"/>
        </w:rPr>
        <w:t xml:space="preserve">elezniční stanice“. Ta tvořila </w:t>
      </w:r>
      <w:r w:rsidR="00F940E5" w:rsidRPr="00B76459">
        <w:rPr>
          <w:rFonts w:asciiTheme="minorHAnsi" w:hAnsiTheme="minorHAnsi"/>
        </w:rPr>
        <w:t>v rámci závodu funkčně a účelně oddělenou část jeho jmění zahrnující hmotné, nehmotné i osobní složky, včetně věcí, práv a jiných majetkových hodnot sloužících k zajištění poskytování přepravních služeb pro přepravu osob a věcí v jednotlivých stanicích.</w:t>
      </w:r>
      <w:r w:rsidR="005C5562">
        <w:rPr>
          <w:rFonts w:asciiTheme="minorHAnsi" w:hAnsiTheme="minorHAnsi"/>
        </w:rPr>
        <w:t xml:space="preserve"> </w:t>
      </w:r>
      <w:r w:rsidR="00F940E5" w:rsidRPr="00B76459">
        <w:rPr>
          <w:rFonts w:asciiTheme="minorHAnsi" w:hAnsiTheme="minorHAnsi"/>
        </w:rPr>
        <w:t xml:space="preserve">Část závodu zahrnovala movitý a nemovitý majetek, pohledávky, dluhy a jiná práva a povinnosti náležející k převáděné </w:t>
      </w:r>
      <w:r w:rsidR="00F940E5">
        <w:rPr>
          <w:rFonts w:asciiTheme="minorHAnsi" w:hAnsiTheme="minorHAnsi"/>
        </w:rPr>
        <w:t>č</w:t>
      </w:r>
      <w:r w:rsidR="00F940E5" w:rsidRPr="00B76459">
        <w:rPr>
          <w:rFonts w:asciiTheme="minorHAnsi" w:hAnsiTheme="minorHAnsi"/>
        </w:rPr>
        <w:t>ásti závodu</w:t>
      </w:r>
      <w:r w:rsidR="00F940E5">
        <w:rPr>
          <w:rFonts w:asciiTheme="minorHAnsi" w:hAnsiTheme="minorHAnsi"/>
        </w:rPr>
        <w:t>.</w:t>
      </w:r>
    </w:p>
    <w:p w14:paraId="5912CBE4" w14:textId="77777777" w:rsidR="00961AF0" w:rsidRPr="00B76459" w:rsidRDefault="00961AF0" w:rsidP="001D3D3A">
      <w:pPr>
        <w:rPr>
          <w:rFonts w:asciiTheme="minorHAnsi" w:hAnsiTheme="minorHAnsi"/>
        </w:rPr>
      </w:pPr>
    </w:p>
    <w:p w14:paraId="4124D7D3" w14:textId="77777777" w:rsidR="00F940E5" w:rsidRDefault="00F940E5" w:rsidP="007F6CB5">
      <w:pPr>
        <w:rPr>
          <w:rFonts w:asciiTheme="minorHAnsi" w:hAnsiTheme="minorHAnsi"/>
        </w:rPr>
      </w:pPr>
      <w:r w:rsidRPr="00B76459">
        <w:rPr>
          <w:rFonts w:asciiTheme="minorHAnsi" w:hAnsiTheme="minorHAnsi"/>
        </w:rPr>
        <w:t xml:space="preserve">Kupní cena byla stanovena na základě znaleckého </w:t>
      </w:r>
      <w:r w:rsidR="00A526E7">
        <w:rPr>
          <w:rFonts w:asciiTheme="minorHAnsi" w:hAnsiTheme="minorHAnsi"/>
        </w:rPr>
        <w:t xml:space="preserve">posudku </w:t>
      </w:r>
      <w:r w:rsidRPr="00B76459">
        <w:rPr>
          <w:rFonts w:asciiTheme="minorHAnsi" w:hAnsiTheme="minorHAnsi"/>
        </w:rPr>
        <w:t>ve výši 3 310 </w:t>
      </w:r>
      <w:r>
        <w:rPr>
          <w:rFonts w:asciiTheme="minorHAnsi" w:hAnsiTheme="minorHAnsi"/>
        </w:rPr>
        <w:t>mil.</w:t>
      </w:r>
      <w:r w:rsidR="005C5562">
        <w:rPr>
          <w:rFonts w:asciiTheme="minorHAnsi" w:hAnsiTheme="minorHAnsi"/>
        </w:rPr>
        <w:t> </w:t>
      </w:r>
      <w:r w:rsidRPr="00B76459">
        <w:rPr>
          <w:rFonts w:asciiTheme="minorHAnsi" w:hAnsiTheme="minorHAnsi"/>
        </w:rPr>
        <w:t>Kč. Celkem bylo převedeno 1</w:t>
      </w:r>
      <w:r>
        <w:rPr>
          <w:rFonts w:asciiTheme="minorHAnsi" w:hAnsiTheme="minorHAnsi"/>
        </w:rPr>
        <w:t> </w:t>
      </w:r>
      <w:r w:rsidR="005C5562">
        <w:rPr>
          <w:rFonts w:asciiTheme="minorHAnsi" w:hAnsiTheme="minorHAnsi"/>
        </w:rPr>
        <w:t>569 nádražních budov a 1,385 </w:t>
      </w:r>
      <w:r w:rsidRPr="00B76459">
        <w:rPr>
          <w:rFonts w:asciiTheme="minorHAnsi" w:hAnsiTheme="minorHAnsi"/>
        </w:rPr>
        <w:t>milión</w:t>
      </w:r>
      <w:r w:rsidR="007F6CB5">
        <w:rPr>
          <w:rFonts w:asciiTheme="minorHAnsi" w:hAnsiTheme="minorHAnsi"/>
        </w:rPr>
        <w:t>ů</w:t>
      </w:r>
      <w:r w:rsidRPr="00B76459">
        <w:rPr>
          <w:rFonts w:asciiTheme="minorHAnsi" w:hAnsiTheme="minorHAnsi"/>
        </w:rPr>
        <w:t xml:space="preserve"> m</w:t>
      </w:r>
      <w:r w:rsidRPr="00B76459">
        <w:rPr>
          <w:rFonts w:asciiTheme="minorHAnsi" w:hAnsiTheme="minorHAnsi"/>
          <w:vertAlign w:val="superscript"/>
        </w:rPr>
        <w:t xml:space="preserve">2 </w:t>
      </w:r>
      <w:r w:rsidRPr="00B76459">
        <w:rPr>
          <w:rFonts w:asciiTheme="minorHAnsi" w:hAnsiTheme="minorHAnsi"/>
        </w:rPr>
        <w:t>pozemků v</w:t>
      </w:r>
      <w:r>
        <w:rPr>
          <w:rFonts w:asciiTheme="minorHAnsi" w:hAnsiTheme="minorHAnsi"/>
        </w:rPr>
        <w:t> </w:t>
      </w:r>
      <w:r w:rsidRPr="00BD7E7F">
        <w:rPr>
          <w:rFonts w:asciiTheme="minorHAnsi" w:hAnsiTheme="minorHAnsi"/>
        </w:rPr>
        <w:t>cca 9</w:t>
      </w:r>
      <w:r w:rsidRPr="00B76459">
        <w:rPr>
          <w:rFonts w:asciiTheme="minorHAnsi" w:hAnsiTheme="minorHAnsi"/>
        </w:rPr>
        <w:t>50 lokalitách osobních nádraží.</w:t>
      </w:r>
      <w:r w:rsidR="005C5562">
        <w:rPr>
          <w:rFonts w:asciiTheme="minorHAnsi" w:hAnsiTheme="minorHAnsi"/>
        </w:rPr>
        <w:t xml:space="preserve"> </w:t>
      </w:r>
      <w:r w:rsidRPr="00B76459">
        <w:rPr>
          <w:rFonts w:asciiTheme="minorHAnsi" w:hAnsiTheme="minorHAnsi"/>
        </w:rPr>
        <w:t xml:space="preserve">Přílohou znaleckého posudku </w:t>
      </w:r>
      <w:r>
        <w:rPr>
          <w:rFonts w:asciiTheme="minorHAnsi" w:hAnsiTheme="minorHAnsi"/>
        </w:rPr>
        <w:t>byl</w:t>
      </w:r>
      <w:r w:rsidRPr="00B76459">
        <w:rPr>
          <w:rFonts w:asciiTheme="minorHAnsi" w:hAnsiTheme="minorHAnsi"/>
        </w:rPr>
        <w:t xml:space="preserve"> i položkový seznam majetku, jednotlivé položky však </w:t>
      </w:r>
      <w:r>
        <w:rPr>
          <w:rFonts w:asciiTheme="minorHAnsi" w:hAnsiTheme="minorHAnsi"/>
        </w:rPr>
        <w:t>nebyly</w:t>
      </w:r>
      <w:r w:rsidRPr="00B76459">
        <w:rPr>
          <w:rFonts w:asciiTheme="minorHAnsi" w:hAnsiTheme="minorHAnsi"/>
        </w:rPr>
        <w:t xml:space="preserve"> samostatně oceněny. </w:t>
      </w:r>
    </w:p>
    <w:p w14:paraId="3D788601" w14:textId="77777777" w:rsidR="00961AF0" w:rsidRDefault="00961AF0" w:rsidP="007F6CB5">
      <w:pPr>
        <w:rPr>
          <w:rFonts w:asciiTheme="minorHAnsi" w:hAnsiTheme="minorHAnsi"/>
        </w:rPr>
      </w:pPr>
    </w:p>
    <w:p w14:paraId="53B9B1B9" w14:textId="77777777" w:rsidR="003F26F5" w:rsidRPr="00F940E5" w:rsidRDefault="003F26F5" w:rsidP="007F6CB5">
      <w:pPr>
        <w:rPr>
          <w:rFonts w:asciiTheme="minorHAnsi" w:hAnsiTheme="minorHAnsi"/>
        </w:rPr>
      </w:pPr>
      <w:r>
        <w:t>Převáděné budovy osobních nádraží povětšinou nebyly ve vyhovujícím stavebně-technickém a provozním stavu.</w:t>
      </w:r>
      <w:r w:rsidR="005C5562">
        <w:t xml:space="preserve"> </w:t>
      </w:r>
      <w:r w:rsidR="00961AF0">
        <w:t>Z </w:t>
      </w:r>
      <w:r>
        <w:t xml:space="preserve">hlediska potřeb současné železnice se projevovala i jejich </w:t>
      </w:r>
      <w:proofErr w:type="spellStart"/>
      <w:r>
        <w:t>naddimenzovanost</w:t>
      </w:r>
      <w:proofErr w:type="spellEnd"/>
      <w:r>
        <w:t xml:space="preserve">. </w:t>
      </w:r>
    </w:p>
    <w:p w14:paraId="15E3EC7D" w14:textId="77777777" w:rsidR="003F26F5" w:rsidRDefault="003F26F5" w:rsidP="000E0530"/>
    <w:p w14:paraId="63F42890" w14:textId="77777777" w:rsidR="00E66A22" w:rsidRPr="00D74A1E" w:rsidRDefault="00E66A22" w:rsidP="000E0530">
      <w:pPr>
        <w:rPr>
          <w:b/>
        </w:rPr>
      </w:pPr>
      <w:r w:rsidRPr="00D74A1E">
        <w:rPr>
          <w:b/>
        </w:rPr>
        <w:t>Zpracování koncepčních dokumentů</w:t>
      </w:r>
    </w:p>
    <w:p w14:paraId="28C4FC26" w14:textId="77777777" w:rsidR="007C00F0" w:rsidRDefault="007C00F0" w:rsidP="007A3BF1"/>
    <w:p w14:paraId="2809FD7F" w14:textId="3951B765" w:rsidR="003F26F5" w:rsidRDefault="003F26F5" w:rsidP="007A3BF1">
      <w:r>
        <w:t xml:space="preserve">SŽDC a MD zpracovaly koncepční a strategické dokumenty, jejichž záměrem bylo připravit plán oprav, rekonstrukcí nebo komplexních revitalizací budov osobních nádraží a na jeho základě sestavit potřebu finančních prostředků ve střednědobém horizontu.  </w:t>
      </w:r>
    </w:p>
    <w:p w14:paraId="224EB3C0" w14:textId="77777777" w:rsidR="007A3BF1" w:rsidRDefault="007A3BF1" w:rsidP="007A3BF1"/>
    <w:p w14:paraId="40529295" w14:textId="77777777" w:rsidR="00310ED7" w:rsidRPr="005C5562" w:rsidRDefault="00310ED7" w:rsidP="007A3BF1">
      <w:pPr>
        <w:rPr>
          <w:rFonts w:asciiTheme="minorHAnsi" w:hAnsiTheme="minorHAnsi" w:cstheme="minorHAnsi"/>
          <w:b/>
        </w:rPr>
      </w:pPr>
      <w:r w:rsidRPr="005C5562">
        <w:rPr>
          <w:rFonts w:asciiTheme="minorHAnsi" w:hAnsiTheme="minorHAnsi" w:cstheme="minorHAnsi"/>
          <w:b/>
        </w:rPr>
        <w:t>Strategie 2016</w:t>
      </w:r>
    </w:p>
    <w:p w14:paraId="3ACE430F" w14:textId="77777777" w:rsidR="007C00F0" w:rsidRDefault="007C00F0" w:rsidP="007A3BF1">
      <w:pPr>
        <w:rPr>
          <w:rFonts w:asciiTheme="minorHAnsi" w:hAnsiTheme="minorHAnsi" w:cstheme="minorHAnsi"/>
        </w:rPr>
      </w:pPr>
    </w:p>
    <w:p w14:paraId="15EF63A1" w14:textId="719AEB48" w:rsidR="00F940E5" w:rsidRDefault="00310ED7" w:rsidP="007A3BF1">
      <w:pPr>
        <w:rPr>
          <w:rFonts w:asciiTheme="minorHAnsi" w:hAnsiTheme="minorHAnsi" w:cstheme="minorHAnsi"/>
        </w:rPr>
      </w:pPr>
      <w:r>
        <w:rPr>
          <w:rFonts w:asciiTheme="minorHAnsi" w:hAnsiTheme="minorHAnsi" w:cstheme="minorHAnsi"/>
        </w:rPr>
        <w:t xml:space="preserve">V roce 2016 zpracovala SŽDC materiál </w:t>
      </w:r>
      <w:r w:rsidRPr="00FA67EB">
        <w:rPr>
          <w:rFonts w:asciiTheme="minorHAnsi" w:hAnsiTheme="minorHAnsi" w:cstheme="minorHAnsi"/>
          <w:i/>
        </w:rPr>
        <w:t>Příprava a realizace staveb železničních osobních nádraží v podmínkách SŽDC</w:t>
      </w:r>
      <w:r>
        <w:rPr>
          <w:rFonts w:asciiTheme="minorHAnsi" w:hAnsiTheme="minorHAnsi" w:cstheme="minorHAnsi"/>
        </w:rPr>
        <w:t xml:space="preserve">, který řešil přípravu a realizaci jednotlivých akcí po převodu z ČD na SŽDC. Obsahoval přehled jednotlivých vybraných konkrétních staveb osobních nádraží k realizaci. Strategie 2016 byla </w:t>
      </w:r>
      <w:r w:rsidR="00A526E7">
        <w:rPr>
          <w:rFonts w:asciiTheme="minorHAnsi" w:hAnsiTheme="minorHAnsi" w:cstheme="minorHAnsi"/>
        </w:rPr>
        <w:t xml:space="preserve">následně </w:t>
      </w:r>
      <w:r w:rsidR="00755D71">
        <w:rPr>
          <w:rFonts w:asciiTheme="minorHAnsi" w:hAnsiTheme="minorHAnsi" w:cstheme="minorHAnsi"/>
        </w:rPr>
        <w:t>implementována do Programu 2018–</w:t>
      </w:r>
      <w:r>
        <w:rPr>
          <w:rFonts w:asciiTheme="minorHAnsi" w:hAnsiTheme="minorHAnsi" w:cstheme="minorHAnsi"/>
        </w:rPr>
        <w:t xml:space="preserve">2022. </w:t>
      </w:r>
    </w:p>
    <w:p w14:paraId="1BCDCE6A" w14:textId="77777777" w:rsidR="007A3BF1" w:rsidRDefault="007A3BF1" w:rsidP="007A3BF1">
      <w:pPr>
        <w:rPr>
          <w:rFonts w:asciiTheme="minorHAnsi" w:hAnsiTheme="minorHAnsi" w:cstheme="minorHAnsi"/>
        </w:rPr>
      </w:pPr>
    </w:p>
    <w:p w14:paraId="41747174" w14:textId="77777777" w:rsidR="00310ED7" w:rsidRPr="005C5562" w:rsidRDefault="00310ED7" w:rsidP="007A3BF1">
      <w:pPr>
        <w:rPr>
          <w:rFonts w:asciiTheme="minorHAnsi" w:hAnsiTheme="minorHAnsi" w:cstheme="minorHAnsi"/>
          <w:b/>
        </w:rPr>
      </w:pPr>
      <w:r w:rsidRPr="005C5562">
        <w:rPr>
          <w:b/>
        </w:rPr>
        <w:t>Program 2018–2022</w:t>
      </w:r>
    </w:p>
    <w:p w14:paraId="2B314AC8" w14:textId="77777777" w:rsidR="007C00F0" w:rsidRDefault="007C00F0" w:rsidP="00A54CB9">
      <w:pPr>
        <w:rPr>
          <w:rFonts w:asciiTheme="minorHAnsi" w:hAnsiTheme="minorHAnsi"/>
        </w:rPr>
      </w:pPr>
    </w:p>
    <w:p w14:paraId="1D0E93C1" w14:textId="623B5BD3" w:rsidR="00310ED7" w:rsidRDefault="00310ED7" w:rsidP="00A54CB9">
      <w:pPr>
        <w:rPr>
          <w:rFonts w:asciiTheme="minorHAnsi" w:hAnsiTheme="minorHAnsi"/>
          <w:color w:val="000000"/>
        </w:rPr>
      </w:pPr>
      <w:r w:rsidRPr="006F123B">
        <w:rPr>
          <w:rFonts w:asciiTheme="minorHAnsi" w:hAnsiTheme="minorHAnsi"/>
        </w:rPr>
        <w:t xml:space="preserve">SŽDC vypracovala </w:t>
      </w:r>
      <w:r>
        <w:rPr>
          <w:rFonts w:asciiTheme="minorHAnsi" w:hAnsiTheme="minorHAnsi"/>
        </w:rPr>
        <w:t xml:space="preserve">tento dokument v roce 2017. </w:t>
      </w:r>
      <w:r>
        <w:rPr>
          <w:rFonts w:asciiTheme="minorHAnsi" w:hAnsiTheme="minorHAnsi"/>
          <w:color w:val="000000"/>
        </w:rPr>
        <w:t>Program 2018–</w:t>
      </w:r>
      <w:r w:rsidRPr="00681AA5">
        <w:rPr>
          <w:rFonts w:asciiTheme="minorHAnsi" w:hAnsiTheme="minorHAnsi"/>
          <w:color w:val="000000"/>
        </w:rPr>
        <w:t>2022 byl sestaven s cílem nastartovat</w:t>
      </w:r>
      <w:r w:rsidR="005C5562">
        <w:rPr>
          <w:rFonts w:asciiTheme="minorHAnsi" w:hAnsiTheme="minorHAnsi"/>
          <w:color w:val="000000"/>
        </w:rPr>
        <w:t xml:space="preserve"> </w:t>
      </w:r>
      <w:r w:rsidRPr="00681AA5">
        <w:rPr>
          <w:rFonts w:asciiTheme="minorHAnsi" w:hAnsiTheme="minorHAnsi"/>
          <w:color w:val="000000"/>
        </w:rPr>
        <w:t>proces</w:t>
      </w:r>
      <w:r w:rsidR="005C5562">
        <w:rPr>
          <w:rFonts w:asciiTheme="minorHAnsi" w:hAnsiTheme="minorHAnsi"/>
          <w:color w:val="000000"/>
        </w:rPr>
        <w:t xml:space="preserve"> </w:t>
      </w:r>
      <w:r w:rsidRPr="00681AA5">
        <w:rPr>
          <w:rFonts w:asciiTheme="minorHAnsi" w:hAnsiTheme="minorHAnsi"/>
          <w:color w:val="000000"/>
        </w:rPr>
        <w:t>plánování a realizace stavebních akcí osobních nádraží ve střednědobém časovém ho</w:t>
      </w:r>
      <w:r>
        <w:rPr>
          <w:rFonts w:asciiTheme="minorHAnsi" w:hAnsiTheme="minorHAnsi"/>
          <w:color w:val="000000"/>
        </w:rPr>
        <w:t>rizontu. Hlavním záměrem Programu 2018–</w:t>
      </w:r>
      <w:r w:rsidRPr="00681AA5">
        <w:rPr>
          <w:rFonts w:asciiTheme="minorHAnsi" w:hAnsiTheme="minorHAnsi"/>
          <w:color w:val="000000"/>
        </w:rPr>
        <w:t>2022 nebylo jen plánování drobných aktuálních</w:t>
      </w:r>
      <w:r w:rsidR="005C5562">
        <w:rPr>
          <w:rFonts w:asciiTheme="minorHAnsi" w:hAnsiTheme="minorHAnsi"/>
          <w:color w:val="000000"/>
        </w:rPr>
        <w:t xml:space="preserve"> </w:t>
      </w:r>
      <w:r w:rsidRPr="00681AA5">
        <w:rPr>
          <w:rFonts w:asciiTheme="minorHAnsi" w:hAnsiTheme="minorHAnsi"/>
          <w:color w:val="000000"/>
        </w:rPr>
        <w:t>oprav,</w:t>
      </w:r>
      <w:r w:rsidR="005C5562">
        <w:rPr>
          <w:rFonts w:asciiTheme="minorHAnsi" w:hAnsiTheme="minorHAnsi"/>
          <w:color w:val="000000"/>
        </w:rPr>
        <w:t xml:space="preserve"> </w:t>
      </w:r>
      <w:r w:rsidRPr="00681AA5">
        <w:rPr>
          <w:rFonts w:asciiTheme="minorHAnsi" w:hAnsiTheme="minorHAnsi"/>
          <w:color w:val="000000"/>
        </w:rPr>
        <w:t>ale</w:t>
      </w:r>
      <w:r w:rsidR="005C5562">
        <w:rPr>
          <w:rFonts w:asciiTheme="minorHAnsi" w:hAnsiTheme="minorHAnsi"/>
          <w:color w:val="000000"/>
        </w:rPr>
        <w:t xml:space="preserve"> </w:t>
      </w:r>
      <w:r w:rsidRPr="00681AA5">
        <w:rPr>
          <w:rFonts w:asciiTheme="minorHAnsi" w:hAnsiTheme="minorHAnsi"/>
          <w:color w:val="000000"/>
        </w:rPr>
        <w:t>i</w:t>
      </w:r>
      <w:r w:rsidR="005C5562">
        <w:rPr>
          <w:rFonts w:asciiTheme="minorHAnsi" w:hAnsiTheme="minorHAnsi"/>
          <w:color w:val="000000"/>
        </w:rPr>
        <w:t> </w:t>
      </w:r>
      <w:r w:rsidRPr="00681AA5">
        <w:rPr>
          <w:rFonts w:asciiTheme="minorHAnsi" w:hAnsiTheme="minorHAnsi"/>
          <w:color w:val="000000"/>
        </w:rPr>
        <w:t>plánování provádění komplexních rekonstrukcí, modernizací a</w:t>
      </w:r>
      <w:r w:rsidR="007F6CB5">
        <w:rPr>
          <w:rFonts w:asciiTheme="minorHAnsi" w:hAnsiTheme="minorHAnsi"/>
          <w:color w:val="000000"/>
        </w:rPr>
        <w:t> </w:t>
      </w:r>
      <w:r w:rsidRPr="00681AA5">
        <w:rPr>
          <w:rFonts w:asciiTheme="minorHAnsi" w:hAnsiTheme="minorHAnsi"/>
          <w:color w:val="000000"/>
        </w:rPr>
        <w:t xml:space="preserve">revitalizací osobních nádraží. </w:t>
      </w:r>
    </w:p>
    <w:p w14:paraId="53471653" w14:textId="77777777" w:rsidR="00961AF0" w:rsidRDefault="00961AF0" w:rsidP="00A54CB9">
      <w:pPr>
        <w:rPr>
          <w:rFonts w:asciiTheme="minorHAnsi" w:hAnsiTheme="minorHAnsi"/>
          <w:color w:val="000000"/>
        </w:rPr>
      </w:pPr>
    </w:p>
    <w:p w14:paraId="6930455E" w14:textId="1E3B3A0F" w:rsidR="00C71CEB" w:rsidRDefault="00310ED7" w:rsidP="00C71CEB">
      <w:pPr>
        <w:shd w:val="clear" w:color="auto" w:fill="FFFFFF"/>
        <w:rPr>
          <w:rFonts w:asciiTheme="minorHAnsi" w:hAnsiTheme="minorHAnsi"/>
        </w:rPr>
      </w:pPr>
      <w:r>
        <w:rPr>
          <w:rFonts w:asciiTheme="minorHAnsi" w:hAnsiTheme="minorHAnsi"/>
          <w:bCs/>
        </w:rPr>
        <w:t>C</w:t>
      </w:r>
      <w:r w:rsidRPr="00681AA5">
        <w:rPr>
          <w:rFonts w:asciiTheme="minorHAnsi" w:hAnsiTheme="minorHAnsi"/>
          <w:bCs/>
        </w:rPr>
        <w:t>íle</w:t>
      </w:r>
      <w:r w:rsidRPr="003B1FDF">
        <w:rPr>
          <w:rFonts w:asciiTheme="minorHAnsi" w:hAnsiTheme="minorHAnsi"/>
          <w:bCs/>
        </w:rPr>
        <w:t>m</w:t>
      </w:r>
      <w:r>
        <w:rPr>
          <w:rFonts w:asciiTheme="minorHAnsi" w:hAnsiTheme="minorHAnsi"/>
          <w:bCs/>
        </w:rPr>
        <w:t xml:space="preserve"> Programu 2018–</w:t>
      </w:r>
      <w:r w:rsidRPr="00681AA5">
        <w:rPr>
          <w:rFonts w:asciiTheme="minorHAnsi" w:hAnsiTheme="minorHAnsi"/>
          <w:bCs/>
        </w:rPr>
        <w:t xml:space="preserve">2022 </w:t>
      </w:r>
      <w:r w:rsidRPr="003B1FDF">
        <w:rPr>
          <w:rFonts w:asciiTheme="minorHAnsi" w:hAnsiTheme="minorHAnsi"/>
          <w:bCs/>
        </w:rPr>
        <w:t xml:space="preserve">bylo </w:t>
      </w:r>
      <w:r w:rsidRPr="00681AA5">
        <w:rPr>
          <w:rFonts w:asciiTheme="minorHAnsi" w:hAnsiTheme="minorHAnsi"/>
        </w:rPr>
        <w:t>zlepšení stavebně technického stavu budov a modernizace jejich vybavení, optimalizace a zlepšení prostor pro cestující (zvýšení kultury cestování),</w:t>
      </w:r>
      <w:r w:rsidR="005C5562">
        <w:rPr>
          <w:rFonts w:asciiTheme="minorHAnsi" w:hAnsiTheme="minorHAnsi"/>
        </w:rPr>
        <w:t xml:space="preserve"> </w:t>
      </w:r>
      <w:r w:rsidRPr="00681AA5">
        <w:rPr>
          <w:rFonts w:asciiTheme="minorHAnsi" w:hAnsiTheme="minorHAnsi"/>
        </w:rPr>
        <w:t>zajištění bezbariérovosti budov,</w:t>
      </w:r>
      <w:r w:rsidR="005C5562">
        <w:rPr>
          <w:rFonts w:asciiTheme="minorHAnsi" w:hAnsiTheme="minorHAnsi"/>
        </w:rPr>
        <w:t xml:space="preserve"> </w:t>
      </w:r>
      <w:r w:rsidRPr="00681AA5">
        <w:rPr>
          <w:rFonts w:asciiTheme="minorHAnsi" w:hAnsiTheme="minorHAnsi"/>
        </w:rPr>
        <w:t>zajištění hospodárného provozu budov,</w:t>
      </w:r>
      <w:r w:rsidR="005C5562">
        <w:rPr>
          <w:rFonts w:asciiTheme="minorHAnsi" w:hAnsiTheme="minorHAnsi"/>
        </w:rPr>
        <w:t xml:space="preserve"> </w:t>
      </w:r>
      <w:r w:rsidRPr="00681AA5">
        <w:rPr>
          <w:rFonts w:asciiTheme="minorHAnsi" w:hAnsiTheme="minorHAnsi"/>
        </w:rPr>
        <w:t xml:space="preserve">vazba na </w:t>
      </w:r>
      <w:r w:rsidR="00F940E5">
        <w:rPr>
          <w:rFonts w:asciiTheme="minorHAnsi" w:hAnsiTheme="minorHAnsi"/>
        </w:rPr>
        <w:t xml:space="preserve">dopravní liniové stavby, zajištění využití volných prostor. </w:t>
      </w:r>
    </w:p>
    <w:p w14:paraId="7BE21178" w14:textId="77777777" w:rsidR="00961AF0" w:rsidRDefault="00961AF0" w:rsidP="00C71CEB">
      <w:pPr>
        <w:shd w:val="clear" w:color="auto" w:fill="FFFFFF"/>
        <w:rPr>
          <w:rFonts w:asciiTheme="minorHAnsi" w:hAnsiTheme="minorHAnsi"/>
        </w:rPr>
      </w:pPr>
    </w:p>
    <w:p w14:paraId="2AC51F22" w14:textId="612F1B1A" w:rsidR="00A172D2" w:rsidRDefault="00C71CEB" w:rsidP="00A172D2">
      <w:pPr>
        <w:shd w:val="clear" w:color="auto" w:fill="FFFFFF"/>
        <w:rPr>
          <w:rFonts w:asciiTheme="minorHAnsi" w:hAnsiTheme="minorHAnsi" w:cstheme="minorHAnsi"/>
        </w:rPr>
      </w:pPr>
      <w:r w:rsidRPr="000F2D5F">
        <w:rPr>
          <w:rFonts w:asciiTheme="minorHAnsi" w:hAnsiTheme="minorHAnsi" w:cstheme="minorHAnsi"/>
        </w:rPr>
        <w:t>Program</w:t>
      </w:r>
      <w:r>
        <w:rPr>
          <w:rFonts w:asciiTheme="minorHAnsi" w:hAnsiTheme="minorHAnsi" w:cstheme="minorHAnsi"/>
        </w:rPr>
        <w:t xml:space="preserve"> 2018–</w:t>
      </w:r>
      <w:r w:rsidRPr="000F2D5F">
        <w:rPr>
          <w:rFonts w:asciiTheme="minorHAnsi" w:hAnsiTheme="minorHAnsi" w:cstheme="minorHAnsi"/>
        </w:rPr>
        <w:t>2022</w:t>
      </w:r>
      <w:r>
        <w:rPr>
          <w:rFonts w:asciiTheme="minorHAnsi" w:hAnsiTheme="minorHAnsi" w:cstheme="minorHAnsi"/>
        </w:rPr>
        <w:t xml:space="preserve"> stanovil priority výběru akcí </w:t>
      </w:r>
      <w:r w:rsidR="00B32FD3">
        <w:rPr>
          <w:rFonts w:asciiTheme="minorHAnsi" w:hAnsiTheme="minorHAnsi" w:cstheme="minorHAnsi"/>
        </w:rPr>
        <w:t>–</w:t>
      </w:r>
      <w:r>
        <w:rPr>
          <w:rFonts w:asciiTheme="minorHAnsi" w:hAnsiTheme="minorHAnsi" w:cstheme="minorHAnsi"/>
        </w:rPr>
        <w:t xml:space="preserve"> n</w:t>
      </w:r>
      <w:r w:rsidR="00310ED7" w:rsidRPr="000F2D5F">
        <w:rPr>
          <w:rFonts w:asciiTheme="minorHAnsi" w:hAnsiTheme="minorHAnsi" w:cstheme="minorHAnsi"/>
        </w:rPr>
        <w:t>ádraží s velkým počtem nastupujících</w:t>
      </w:r>
      <w:r w:rsidR="00B32FD3">
        <w:rPr>
          <w:rFonts w:asciiTheme="minorHAnsi" w:hAnsiTheme="minorHAnsi" w:cstheme="minorHAnsi"/>
        </w:rPr>
        <w:t xml:space="preserve"> a vystupujících</w:t>
      </w:r>
      <w:r w:rsidR="00310ED7" w:rsidRPr="000F2D5F">
        <w:rPr>
          <w:rFonts w:asciiTheme="minorHAnsi" w:hAnsiTheme="minorHAnsi" w:cstheme="minorHAnsi"/>
        </w:rPr>
        <w:t xml:space="preserve"> cestujících (obvykle stanice v krajských</w:t>
      </w:r>
      <w:r w:rsidR="00310ED7" w:rsidRPr="00681AA5">
        <w:rPr>
          <w:rFonts w:asciiTheme="minorHAnsi" w:hAnsiTheme="minorHAnsi" w:cstheme="minorHAnsi"/>
        </w:rPr>
        <w:t xml:space="preserve"> městech, uzly regionálních integrovaných dopravních systémů nebo </w:t>
      </w:r>
      <w:r>
        <w:rPr>
          <w:rFonts w:asciiTheme="minorHAnsi" w:hAnsiTheme="minorHAnsi" w:cstheme="minorHAnsi"/>
        </w:rPr>
        <w:t xml:space="preserve">stanice na hlavních koridorech), </w:t>
      </w:r>
      <w:r w:rsidR="00310ED7" w:rsidRPr="00681AA5">
        <w:rPr>
          <w:rFonts w:asciiTheme="minorHAnsi" w:hAnsiTheme="minorHAnsi" w:cstheme="minorHAnsi"/>
        </w:rPr>
        <w:t>nádraží jako součásti realizovaných liniových staveb železniční dopravní cesty (koridory)</w:t>
      </w:r>
      <w:r>
        <w:rPr>
          <w:rFonts w:asciiTheme="minorHAnsi" w:hAnsiTheme="minorHAnsi" w:cstheme="minorHAnsi"/>
        </w:rPr>
        <w:t>, s</w:t>
      </w:r>
      <w:r w:rsidR="00310ED7" w:rsidRPr="00681AA5">
        <w:rPr>
          <w:rFonts w:asciiTheme="minorHAnsi" w:hAnsiTheme="minorHAnsi" w:cstheme="minorHAnsi"/>
        </w:rPr>
        <w:t>polupráce s</w:t>
      </w:r>
      <w:r w:rsidR="00B32FD3">
        <w:rPr>
          <w:rFonts w:asciiTheme="minorHAnsi" w:hAnsiTheme="minorHAnsi" w:cstheme="minorHAnsi"/>
        </w:rPr>
        <w:t> </w:t>
      </w:r>
      <w:r w:rsidR="00310ED7" w:rsidRPr="00681AA5">
        <w:rPr>
          <w:rFonts w:asciiTheme="minorHAnsi" w:hAnsiTheme="minorHAnsi" w:cstheme="minorHAnsi"/>
        </w:rPr>
        <w:t>municipalitami (P+R, integ</w:t>
      </w:r>
      <w:r w:rsidR="00310ED7">
        <w:rPr>
          <w:rFonts w:asciiTheme="minorHAnsi" w:hAnsiTheme="minorHAnsi" w:cstheme="minorHAnsi"/>
        </w:rPr>
        <w:t>rované dopravní terminály</w:t>
      </w:r>
      <w:r>
        <w:rPr>
          <w:rFonts w:asciiTheme="minorHAnsi" w:hAnsiTheme="minorHAnsi" w:cstheme="minorHAnsi"/>
        </w:rPr>
        <w:t>)</w:t>
      </w:r>
      <w:r w:rsidR="00310ED7">
        <w:rPr>
          <w:rFonts w:asciiTheme="minorHAnsi" w:hAnsiTheme="minorHAnsi" w:cstheme="minorHAnsi"/>
        </w:rPr>
        <w:t>.</w:t>
      </w:r>
    </w:p>
    <w:p w14:paraId="67481C9D" w14:textId="77777777" w:rsidR="00A172D2" w:rsidRDefault="00A172D2" w:rsidP="00A172D2">
      <w:pPr>
        <w:shd w:val="clear" w:color="auto" w:fill="FFFFFF"/>
        <w:rPr>
          <w:rFonts w:asciiTheme="minorHAnsi" w:hAnsiTheme="minorHAnsi" w:cstheme="minorHAnsi"/>
        </w:rPr>
      </w:pPr>
    </w:p>
    <w:p w14:paraId="547E94E4" w14:textId="77777777" w:rsidR="00310ED7" w:rsidRDefault="00DF524A" w:rsidP="00A172D2">
      <w:pPr>
        <w:shd w:val="clear" w:color="auto" w:fill="FFFFFF"/>
        <w:rPr>
          <w:rFonts w:asciiTheme="minorHAnsi" w:hAnsiTheme="minorHAnsi" w:cstheme="minorHAnsi"/>
        </w:rPr>
      </w:pPr>
      <w:r>
        <w:rPr>
          <w:rFonts w:asciiTheme="minorHAnsi" w:hAnsiTheme="minorHAnsi" w:cstheme="minorHAnsi"/>
        </w:rPr>
        <w:t>V Programu 2018–</w:t>
      </w:r>
      <w:r w:rsidR="00D74A1E">
        <w:rPr>
          <w:rFonts w:asciiTheme="minorHAnsi" w:hAnsiTheme="minorHAnsi" w:cstheme="minorHAnsi"/>
        </w:rPr>
        <w:t>2022 byly stanoveny předpokládané finanční prostředky i pro rok 2017.</w:t>
      </w:r>
    </w:p>
    <w:p w14:paraId="1722D136" w14:textId="77777777" w:rsidR="00D74A1E" w:rsidRDefault="00D74A1E" w:rsidP="00310ED7">
      <w:pPr>
        <w:rPr>
          <w:rFonts w:asciiTheme="minorHAnsi" w:hAnsiTheme="minorHAnsi" w:cstheme="minorHAnsi"/>
        </w:rPr>
      </w:pPr>
    </w:p>
    <w:p w14:paraId="2DC0CB0D" w14:textId="77777777" w:rsidR="00310ED7" w:rsidRPr="005C5562" w:rsidRDefault="00310ED7" w:rsidP="00C71CEB">
      <w:pPr>
        <w:rPr>
          <w:rFonts w:asciiTheme="minorHAnsi" w:hAnsiTheme="minorHAnsi" w:cstheme="minorHAnsi"/>
          <w:b/>
        </w:rPr>
      </w:pPr>
      <w:r w:rsidRPr="005C5562">
        <w:rPr>
          <w:rFonts w:asciiTheme="minorHAnsi" w:hAnsiTheme="minorHAnsi" w:cstheme="minorHAnsi"/>
          <w:b/>
        </w:rPr>
        <w:t>Koncepce 2019</w:t>
      </w:r>
      <w:r w:rsidR="00D74A1E" w:rsidRPr="005C5562">
        <w:rPr>
          <w:rFonts w:asciiTheme="minorHAnsi" w:hAnsiTheme="minorHAnsi" w:cstheme="minorHAnsi"/>
          <w:b/>
        </w:rPr>
        <w:t xml:space="preserve"> </w:t>
      </w:r>
    </w:p>
    <w:p w14:paraId="583A81AC" w14:textId="77777777" w:rsidR="007C00F0" w:rsidRDefault="007C00F0" w:rsidP="00310ED7">
      <w:pPr>
        <w:rPr>
          <w:rFonts w:asciiTheme="minorHAnsi" w:hAnsiTheme="minorHAnsi"/>
        </w:rPr>
      </w:pPr>
    </w:p>
    <w:p w14:paraId="578D760E" w14:textId="672FA37D" w:rsidR="00310ED7" w:rsidRDefault="00310ED7" w:rsidP="00310ED7">
      <w:pPr>
        <w:rPr>
          <w:rFonts w:asciiTheme="minorHAnsi" w:hAnsiTheme="minorHAnsi"/>
        </w:rPr>
      </w:pPr>
      <w:r w:rsidRPr="006F123B">
        <w:rPr>
          <w:rFonts w:asciiTheme="minorHAnsi" w:hAnsiTheme="minorHAnsi"/>
        </w:rPr>
        <w:t>Předmětný dokument byl zpracován na základě podnětu MD, a to v součinnosti se SŽDC a</w:t>
      </w:r>
      <w:r w:rsidR="007F6CB5">
        <w:rPr>
          <w:rFonts w:asciiTheme="minorHAnsi" w:hAnsiTheme="minorHAnsi"/>
        </w:rPr>
        <w:t> </w:t>
      </w:r>
      <w:r w:rsidR="00C51DC8">
        <w:rPr>
          <w:rFonts w:asciiTheme="minorHAnsi" w:hAnsiTheme="minorHAnsi"/>
        </w:rPr>
        <w:t>Státním fondem dopravní infrastruktury (dále také „</w:t>
      </w:r>
      <w:r w:rsidRPr="006F123B">
        <w:rPr>
          <w:rFonts w:asciiTheme="minorHAnsi" w:hAnsiTheme="minorHAnsi"/>
        </w:rPr>
        <w:t>SFDI</w:t>
      </w:r>
      <w:r w:rsidR="00C51DC8">
        <w:rPr>
          <w:rFonts w:asciiTheme="minorHAnsi" w:hAnsiTheme="minorHAnsi"/>
        </w:rPr>
        <w:t>“)</w:t>
      </w:r>
      <w:r w:rsidR="007F6CB5">
        <w:rPr>
          <w:rFonts w:asciiTheme="minorHAnsi" w:hAnsiTheme="minorHAnsi"/>
        </w:rPr>
        <w:t>,</w:t>
      </w:r>
      <w:r w:rsidR="00C51DC8">
        <w:rPr>
          <w:rFonts w:asciiTheme="minorHAnsi" w:hAnsiTheme="minorHAnsi"/>
        </w:rPr>
        <w:t xml:space="preserve"> n</w:t>
      </w:r>
      <w:r>
        <w:rPr>
          <w:rFonts w:asciiTheme="minorHAnsi" w:hAnsiTheme="minorHAnsi"/>
        </w:rPr>
        <w:t>ahra</w:t>
      </w:r>
      <w:r w:rsidR="001B7A79">
        <w:rPr>
          <w:rFonts w:asciiTheme="minorHAnsi" w:hAnsiTheme="minorHAnsi"/>
        </w:rPr>
        <w:t>dil Program 2018–</w:t>
      </w:r>
      <w:r>
        <w:rPr>
          <w:rFonts w:asciiTheme="minorHAnsi" w:hAnsiTheme="minorHAnsi"/>
        </w:rPr>
        <w:t>2022</w:t>
      </w:r>
      <w:r w:rsidRPr="006F123B">
        <w:rPr>
          <w:rFonts w:asciiTheme="minorHAnsi" w:hAnsiTheme="minorHAnsi"/>
        </w:rPr>
        <w:t xml:space="preserve">. </w:t>
      </w:r>
      <w:r w:rsidR="00C51DC8" w:rsidRPr="006F123B">
        <w:rPr>
          <w:rFonts w:asciiTheme="minorHAnsi" w:hAnsiTheme="minorHAnsi"/>
        </w:rPr>
        <w:t xml:space="preserve">MD </w:t>
      </w:r>
      <w:r w:rsidR="00C51DC8">
        <w:rPr>
          <w:rFonts w:asciiTheme="minorHAnsi" w:hAnsiTheme="minorHAnsi"/>
        </w:rPr>
        <w:t>st</w:t>
      </w:r>
      <w:r w:rsidRPr="006F123B">
        <w:rPr>
          <w:rFonts w:asciiTheme="minorHAnsi" w:hAnsiTheme="minorHAnsi"/>
        </w:rPr>
        <w:t xml:space="preserve">rategický materiál Koncepce </w:t>
      </w:r>
      <w:r>
        <w:rPr>
          <w:rFonts w:asciiTheme="minorHAnsi" w:hAnsiTheme="minorHAnsi"/>
        </w:rPr>
        <w:t>2019</w:t>
      </w:r>
      <w:r w:rsidRPr="006F123B">
        <w:rPr>
          <w:rFonts w:asciiTheme="minorHAnsi" w:hAnsiTheme="minorHAnsi"/>
        </w:rPr>
        <w:t xml:space="preserve"> </w:t>
      </w:r>
      <w:r w:rsidR="00C71CEB">
        <w:rPr>
          <w:rFonts w:asciiTheme="minorHAnsi" w:hAnsiTheme="minorHAnsi"/>
        </w:rPr>
        <w:t xml:space="preserve">schválilo </w:t>
      </w:r>
      <w:r w:rsidRPr="006F123B">
        <w:rPr>
          <w:rFonts w:asciiTheme="minorHAnsi" w:hAnsiTheme="minorHAnsi"/>
        </w:rPr>
        <w:t>dne 29. </w:t>
      </w:r>
      <w:r>
        <w:rPr>
          <w:rFonts w:asciiTheme="minorHAnsi" w:hAnsiTheme="minorHAnsi"/>
        </w:rPr>
        <w:t>1. </w:t>
      </w:r>
      <w:r w:rsidRPr="006F123B">
        <w:rPr>
          <w:rFonts w:asciiTheme="minorHAnsi" w:hAnsiTheme="minorHAnsi"/>
        </w:rPr>
        <w:t>2019</w:t>
      </w:r>
      <w:r>
        <w:rPr>
          <w:rFonts w:asciiTheme="minorHAnsi" w:hAnsiTheme="minorHAnsi"/>
        </w:rPr>
        <w:t xml:space="preserve"> a od tohoto termínu byl pro SŽDC závazný.</w:t>
      </w:r>
    </w:p>
    <w:p w14:paraId="68F6D75E" w14:textId="77777777" w:rsidR="00961AF0" w:rsidRDefault="00961AF0" w:rsidP="00310ED7">
      <w:pPr>
        <w:rPr>
          <w:rFonts w:asciiTheme="minorHAnsi" w:hAnsiTheme="minorHAnsi"/>
        </w:rPr>
      </w:pPr>
    </w:p>
    <w:p w14:paraId="60B11AA5" w14:textId="77777777" w:rsidR="00310ED7" w:rsidRPr="00CE0D28" w:rsidRDefault="00310ED7" w:rsidP="00310ED7">
      <w:pPr>
        <w:rPr>
          <w:rFonts w:asciiTheme="minorHAnsi" w:hAnsiTheme="minorHAnsi" w:cstheme="minorHAnsi"/>
        </w:rPr>
      </w:pPr>
      <w:r>
        <w:rPr>
          <w:rFonts w:asciiTheme="minorHAnsi" w:hAnsiTheme="minorHAnsi" w:cstheme="minorHAnsi"/>
        </w:rPr>
        <w:t>V</w:t>
      </w:r>
      <w:r w:rsidRPr="00CE0D28">
        <w:rPr>
          <w:rFonts w:asciiTheme="minorHAnsi" w:hAnsiTheme="minorHAnsi" w:cstheme="minorHAnsi"/>
        </w:rPr>
        <w:t xml:space="preserve"> Koncepci 2019 jsou nastaveny základní strategické postupy (rozsah, priority a principy) stavebních akcí osobních nádraží. </w:t>
      </w:r>
      <w:r w:rsidR="005254CA">
        <w:rPr>
          <w:rFonts w:asciiTheme="minorHAnsi" w:hAnsiTheme="minorHAnsi" w:cstheme="minorHAnsi"/>
        </w:rPr>
        <w:t>Priority a cíle stanovené v tomto dokumentu byly obsahově totožné s priorit</w:t>
      </w:r>
      <w:r w:rsidR="006C0C9B">
        <w:rPr>
          <w:rFonts w:asciiTheme="minorHAnsi" w:hAnsiTheme="minorHAnsi" w:cstheme="minorHAnsi"/>
        </w:rPr>
        <w:t>ami uvedenými v Programu 2018–</w:t>
      </w:r>
      <w:r w:rsidR="005254CA">
        <w:rPr>
          <w:rFonts w:asciiTheme="minorHAnsi" w:hAnsiTheme="minorHAnsi" w:cstheme="minorHAnsi"/>
        </w:rPr>
        <w:t>2022.</w:t>
      </w:r>
    </w:p>
    <w:p w14:paraId="0558228F" w14:textId="77777777" w:rsidR="00310ED7" w:rsidRDefault="00310ED7" w:rsidP="000E0530"/>
    <w:p w14:paraId="213269AB" w14:textId="77777777" w:rsidR="008B07D0" w:rsidRPr="008B07D0" w:rsidRDefault="008B07D0" w:rsidP="000E0530">
      <w:pPr>
        <w:rPr>
          <w:b/>
        </w:rPr>
      </w:pPr>
      <w:r w:rsidRPr="008B07D0">
        <w:rPr>
          <w:b/>
        </w:rPr>
        <w:t>Poskytování finančních prostředků na rekonstrukci a revitalizaci osobních nádraží</w:t>
      </w:r>
    </w:p>
    <w:p w14:paraId="260C94EC" w14:textId="77777777" w:rsidR="007C00F0" w:rsidRDefault="007C00F0" w:rsidP="008B07D0"/>
    <w:p w14:paraId="4BB9E65E" w14:textId="43394F16" w:rsidR="008B07D0" w:rsidRDefault="008B07D0" w:rsidP="008B07D0">
      <w:r w:rsidRPr="00BE21EA">
        <w:t xml:space="preserve">Jednotlivé stavební akce byly k realizaci schvalovány MD v rámci rozpisu </w:t>
      </w:r>
      <w:proofErr w:type="spellStart"/>
      <w:r w:rsidRPr="00BE21EA">
        <w:t>podakcí</w:t>
      </w:r>
      <w:proofErr w:type="spellEnd"/>
      <w:r w:rsidR="009B02E2">
        <w:rPr>
          <w:rStyle w:val="Znakapoznpodarou"/>
        </w:rPr>
        <w:footnoteReference w:id="5"/>
      </w:r>
      <w:r w:rsidRPr="00BE21EA">
        <w:t xml:space="preserve"> příslušných investičních a neinvestičních položek v rámci globálních</w:t>
      </w:r>
      <w:r w:rsidRPr="005C5562">
        <w:t xml:space="preserve"> </w:t>
      </w:r>
      <w:r w:rsidRPr="00BE21EA">
        <w:t>položek</w:t>
      </w:r>
      <w:r w:rsidR="009B02E2">
        <w:rPr>
          <w:rStyle w:val="Znakapoznpodarou"/>
        </w:rPr>
        <w:footnoteReference w:id="6"/>
      </w:r>
      <w:r w:rsidRPr="00BE21EA">
        <w:t xml:space="preserve">. </w:t>
      </w:r>
      <w:r>
        <w:t>F</w:t>
      </w:r>
      <w:r w:rsidRPr="00BE21EA">
        <w:t xml:space="preserve">inanční prostředky byly poskytnuty SŽDC v souladu s uzavřenou smlouvou o poskytnutí finančních prostředků z rozpočtu </w:t>
      </w:r>
      <w:r w:rsidR="00C51DC8">
        <w:t xml:space="preserve">SFDI </w:t>
      </w:r>
      <w:r w:rsidRPr="00BE21EA">
        <w:t>na příslušný kalendářní rok.</w:t>
      </w:r>
      <w:r>
        <w:t xml:space="preserve"> </w:t>
      </w:r>
      <w:r>
        <w:rPr>
          <w:rFonts w:asciiTheme="minorHAnsi" w:hAnsiTheme="minorHAnsi" w:cstheme="minorHAnsi"/>
        </w:rPr>
        <w:t>U</w:t>
      </w:r>
      <w:r w:rsidRPr="00BE21EA">
        <w:rPr>
          <w:rFonts w:asciiTheme="minorHAnsi" w:hAnsiTheme="minorHAnsi" w:cstheme="minorHAnsi"/>
        </w:rPr>
        <w:t xml:space="preserve"> akce </w:t>
      </w:r>
      <w:r w:rsidR="00B32FD3" w:rsidRPr="00FA67EB">
        <w:rPr>
          <w:rFonts w:asciiTheme="minorHAnsi" w:hAnsiTheme="minorHAnsi" w:cstheme="minorHAnsi"/>
          <w:i/>
        </w:rPr>
        <w:t>M</w:t>
      </w:r>
      <w:r w:rsidRPr="00FA67EB">
        <w:rPr>
          <w:rFonts w:asciiTheme="minorHAnsi" w:hAnsiTheme="minorHAnsi" w:cstheme="minorHAnsi"/>
          <w:i/>
        </w:rPr>
        <w:t xml:space="preserve">odernizace </w:t>
      </w:r>
      <w:proofErr w:type="spellStart"/>
      <w:r w:rsidRPr="00FA67EB">
        <w:rPr>
          <w:rFonts w:asciiTheme="minorHAnsi" w:hAnsiTheme="minorHAnsi" w:cstheme="minorHAnsi"/>
          <w:i/>
        </w:rPr>
        <w:t>žst</w:t>
      </w:r>
      <w:proofErr w:type="spellEnd"/>
      <w:r w:rsidRPr="00FA67EB">
        <w:rPr>
          <w:rFonts w:asciiTheme="minorHAnsi" w:hAnsiTheme="minorHAnsi" w:cstheme="minorHAnsi"/>
          <w:i/>
        </w:rPr>
        <w:t xml:space="preserve">. Karlovy Vary </w:t>
      </w:r>
      <w:r w:rsidR="00B32FD3" w:rsidRPr="00FA67EB">
        <w:rPr>
          <w:rFonts w:asciiTheme="minorHAnsi" w:hAnsiTheme="minorHAnsi" w:cstheme="minorHAnsi"/>
          <w:i/>
        </w:rPr>
        <w:t>–</w:t>
      </w:r>
      <w:r w:rsidRPr="00FA67EB">
        <w:rPr>
          <w:rFonts w:asciiTheme="minorHAnsi" w:hAnsiTheme="minorHAnsi" w:cstheme="minorHAnsi"/>
          <w:i/>
        </w:rPr>
        <w:t xml:space="preserve"> výpravní budova</w:t>
      </w:r>
      <w:r>
        <w:rPr>
          <w:rFonts w:asciiTheme="minorHAnsi" w:hAnsiTheme="minorHAnsi" w:cstheme="minorHAnsi"/>
        </w:rPr>
        <w:t xml:space="preserve"> probíhalo </w:t>
      </w:r>
      <w:r w:rsidR="00C51DC8">
        <w:rPr>
          <w:rFonts w:asciiTheme="minorHAnsi" w:hAnsiTheme="minorHAnsi" w:cstheme="minorHAnsi"/>
        </w:rPr>
        <w:t>spolufinancování také</w:t>
      </w:r>
      <w:r>
        <w:rPr>
          <w:rFonts w:asciiTheme="minorHAnsi" w:hAnsiTheme="minorHAnsi" w:cstheme="minorHAnsi"/>
        </w:rPr>
        <w:t xml:space="preserve"> z prostředků </w:t>
      </w:r>
      <w:r w:rsidR="00B32FD3">
        <w:rPr>
          <w:rFonts w:asciiTheme="minorHAnsi" w:hAnsiTheme="minorHAnsi" w:cstheme="minorHAnsi"/>
        </w:rPr>
        <w:t>o</w:t>
      </w:r>
      <w:r w:rsidR="00C51DC8">
        <w:rPr>
          <w:rFonts w:asciiTheme="minorHAnsi" w:hAnsiTheme="minorHAnsi" w:cstheme="minorHAnsi"/>
        </w:rPr>
        <w:t xml:space="preserve">peračního programu </w:t>
      </w:r>
      <w:r w:rsidR="00B32FD3" w:rsidRPr="00FA67EB">
        <w:rPr>
          <w:rFonts w:asciiTheme="minorHAnsi" w:hAnsiTheme="minorHAnsi" w:cstheme="minorHAnsi"/>
          <w:i/>
        </w:rPr>
        <w:t>D</w:t>
      </w:r>
      <w:r w:rsidR="00C51DC8" w:rsidRPr="00FA67EB">
        <w:rPr>
          <w:rFonts w:asciiTheme="minorHAnsi" w:hAnsiTheme="minorHAnsi" w:cstheme="minorHAnsi"/>
          <w:i/>
        </w:rPr>
        <w:t>oprava</w:t>
      </w:r>
      <w:r w:rsidR="00DB1805">
        <w:rPr>
          <w:rFonts w:asciiTheme="minorHAnsi" w:hAnsiTheme="minorHAnsi" w:cstheme="minorHAnsi"/>
          <w:i/>
        </w:rPr>
        <w:t xml:space="preserve"> </w:t>
      </w:r>
      <w:r w:rsidR="004360C7">
        <w:rPr>
          <w:rFonts w:asciiTheme="minorHAnsi" w:hAnsiTheme="minorHAnsi" w:cstheme="minorHAnsi"/>
          <w:i/>
        </w:rPr>
        <w:br/>
      </w:r>
      <w:r w:rsidR="00DB1805">
        <w:rPr>
          <w:rFonts w:asciiTheme="minorHAnsi" w:hAnsiTheme="minorHAnsi" w:cstheme="minorHAnsi"/>
          <w:i/>
        </w:rPr>
        <w:t>2014–2020</w:t>
      </w:r>
      <w:r>
        <w:rPr>
          <w:rFonts w:asciiTheme="minorHAnsi" w:hAnsiTheme="minorHAnsi" w:cstheme="minorHAnsi"/>
        </w:rPr>
        <w:t xml:space="preserve"> </w:t>
      </w:r>
      <w:r w:rsidRPr="00BE21EA">
        <w:rPr>
          <w:rFonts w:asciiTheme="minorHAnsi" w:hAnsiTheme="minorHAnsi" w:cstheme="minorHAnsi"/>
        </w:rPr>
        <w:t>ve výši</w:t>
      </w:r>
      <w:r w:rsidRPr="00BE21EA">
        <w:t xml:space="preserve"> 60 894 285</w:t>
      </w:r>
      <w:r>
        <w:t> </w:t>
      </w:r>
      <w:r w:rsidRPr="00BE21EA">
        <w:t>Kč</w:t>
      </w:r>
      <w:r>
        <w:t>.</w:t>
      </w:r>
    </w:p>
    <w:p w14:paraId="35C78CAD" w14:textId="77777777" w:rsidR="00E66A22" w:rsidRDefault="00E66A22" w:rsidP="000E0530">
      <w:pPr>
        <w:rPr>
          <w:rFonts w:asciiTheme="minorHAnsi" w:hAnsiTheme="minorHAnsi" w:cstheme="minorHAnsi"/>
        </w:rPr>
      </w:pPr>
    </w:p>
    <w:p w14:paraId="436C8B3C" w14:textId="77777777" w:rsidR="00E66A22" w:rsidRPr="00E66A22" w:rsidRDefault="00E66A22" w:rsidP="000E0530">
      <w:pPr>
        <w:rPr>
          <w:rFonts w:asciiTheme="minorHAnsi" w:hAnsiTheme="minorHAnsi" w:cstheme="minorHAnsi"/>
          <w:b/>
        </w:rPr>
      </w:pPr>
      <w:r w:rsidRPr="00E66A22">
        <w:rPr>
          <w:rFonts w:asciiTheme="minorHAnsi" w:hAnsiTheme="minorHAnsi" w:cstheme="minorHAnsi"/>
          <w:b/>
        </w:rPr>
        <w:t>Rozsah rekonstrukcí a revitalizací</w:t>
      </w:r>
    </w:p>
    <w:p w14:paraId="36265417" w14:textId="77777777" w:rsidR="007C00F0" w:rsidRDefault="007C00F0" w:rsidP="007A3BF1">
      <w:pPr>
        <w:rPr>
          <w:rFonts w:asciiTheme="minorHAnsi" w:hAnsiTheme="minorHAnsi" w:cstheme="minorHAnsi"/>
        </w:rPr>
      </w:pPr>
    </w:p>
    <w:p w14:paraId="7774C148" w14:textId="50DFD9D6" w:rsidR="006B2AE6" w:rsidRDefault="0035138B" w:rsidP="007A3BF1">
      <w:pPr>
        <w:rPr>
          <w:rFonts w:asciiTheme="minorHAnsi" w:hAnsiTheme="minorHAnsi" w:cstheme="minorHAnsi"/>
        </w:rPr>
      </w:pPr>
      <w:r>
        <w:rPr>
          <w:rFonts w:asciiTheme="minorHAnsi" w:hAnsiTheme="minorHAnsi" w:cstheme="minorHAnsi"/>
        </w:rPr>
        <w:t>SŽDC</w:t>
      </w:r>
      <w:r w:rsidR="005254CA">
        <w:rPr>
          <w:rFonts w:asciiTheme="minorHAnsi" w:hAnsiTheme="minorHAnsi" w:cstheme="minorHAnsi"/>
        </w:rPr>
        <w:t xml:space="preserve"> po převodu budov</w:t>
      </w:r>
      <w:r>
        <w:rPr>
          <w:rFonts w:asciiTheme="minorHAnsi" w:hAnsiTheme="minorHAnsi" w:cstheme="minorHAnsi"/>
        </w:rPr>
        <w:t xml:space="preserve"> </w:t>
      </w:r>
      <w:r w:rsidR="005254CA">
        <w:rPr>
          <w:rFonts w:asciiTheme="minorHAnsi" w:hAnsiTheme="minorHAnsi" w:cstheme="minorHAnsi"/>
        </w:rPr>
        <w:t>osobních nádraží r</w:t>
      </w:r>
      <w:r w:rsidR="006E7B34">
        <w:rPr>
          <w:rFonts w:asciiTheme="minorHAnsi" w:hAnsiTheme="minorHAnsi" w:cstheme="minorHAnsi"/>
        </w:rPr>
        <w:t>ealizovala nejprve drobné stavební akce</w:t>
      </w:r>
      <w:r w:rsidR="00C71CEB">
        <w:rPr>
          <w:rFonts w:asciiTheme="minorHAnsi" w:hAnsiTheme="minorHAnsi" w:cstheme="minorHAnsi"/>
        </w:rPr>
        <w:t xml:space="preserve">, u kterých byl </w:t>
      </w:r>
      <w:r w:rsidR="00C71CEB" w:rsidRPr="008B07D0">
        <w:rPr>
          <w:rFonts w:asciiTheme="minorHAnsi" w:hAnsiTheme="minorHAnsi" w:cstheme="minorHAnsi"/>
        </w:rPr>
        <w:t>potřebný neodkladný</w:t>
      </w:r>
      <w:r w:rsidR="00CC15EF">
        <w:rPr>
          <w:rFonts w:asciiTheme="minorHAnsi" w:hAnsiTheme="minorHAnsi" w:cstheme="minorHAnsi"/>
        </w:rPr>
        <w:t xml:space="preserve"> stavební zásah</w:t>
      </w:r>
      <w:r w:rsidR="00C71CEB">
        <w:rPr>
          <w:rFonts w:asciiTheme="minorHAnsi" w:hAnsiTheme="minorHAnsi" w:cstheme="minorHAnsi"/>
        </w:rPr>
        <w:t xml:space="preserve">, </w:t>
      </w:r>
      <w:r w:rsidR="006E7B34">
        <w:rPr>
          <w:rFonts w:asciiTheme="minorHAnsi" w:hAnsiTheme="minorHAnsi" w:cstheme="minorHAnsi"/>
        </w:rPr>
        <w:t xml:space="preserve">řešila </w:t>
      </w:r>
      <w:r w:rsidR="00C71CEB">
        <w:rPr>
          <w:rFonts w:asciiTheme="minorHAnsi" w:hAnsiTheme="minorHAnsi" w:cstheme="minorHAnsi"/>
        </w:rPr>
        <w:t xml:space="preserve">rovněž </w:t>
      </w:r>
      <w:r w:rsidR="008D35B4">
        <w:rPr>
          <w:rFonts w:asciiTheme="minorHAnsi" w:hAnsiTheme="minorHAnsi" w:cstheme="minorHAnsi"/>
        </w:rPr>
        <w:t xml:space="preserve">odstranění </w:t>
      </w:r>
      <w:r w:rsidR="006E7B34">
        <w:rPr>
          <w:rFonts w:asciiTheme="minorHAnsi" w:hAnsiTheme="minorHAnsi" w:cstheme="minorHAnsi"/>
        </w:rPr>
        <w:t>vznikl</w:t>
      </w:r>
      <w:r w:rsidR="008D35B4">
        <w:rPr>
          <w:rFonts w:asciiTheme="minorHAnsi" w:hAnsiTheme="minorHAnsi" w:cstheme="minorHAnsi"/>
        </w:rPr>
        <w:t xml:space="preserve">ých </w:t>
      </w:r>
      <w:r w:rsidR="006E7B34">
        <w:rPr>
          <w:rFonts w:asciiTheme="minorHAnsi" w:hAnsiTheme="minorHAnsi" w:cstheme="minorHAnsi"/>
        </w:rPr>
        <w:t>havári</w:t>
      </w:r>
      <w:r w:rsidR="008D35B4">
        <w:rPr>
          <w:rFonts w:asciiTheme="minorHAnsi" w:hAnsiTheme="minorHAnsi" w:cstheme="minorHAnsi"/>
        </w:rPr>
        <w:t>í</w:t>
      </w:r>
      <w:r w:rsidR="006B2AE6">
        <w:rPr>
          <w:rFonts w:asciiTheme="minorHAnsi" w:hAnsiTheme="minorHAnsi" w:cstheme="minorHAnsi"/>
        </w:rPr>
        <w:t>, např. opravy střešního pláště, WC, střech a komínů, kan</w:t>
      </w:r>
      <w:r w:rsidR="00AA7FFB">
        <w:rPr>
          <w:rFonts w:asciiTheme="minorHAnsi" w:hAnsiTheme="minorHAnsi" w:cstheme="minorHAnsi"/>
        </w:rPr>
        <w:t>alizace, dlažeb a omítek.</w:t>
      </w:r>
    </w:p>
    <w:p w14:paraId="5527D992" w14:textId="77777777" w:rsidR="00A172D2" w:rsidRDefault="00A172D2" w:rsidP="007A3BF1">
      <w:pPr>
        <w:rPr>
          <w:rFonts w:asciiTheme="minorHAnsi" w:hAnsiTheme="minorHAnsi" w:cstheme="minorHAnsi"/>
        </w:rPr>
      </w:pPr>
    </w:p>
    <w:p w14:paraId="74D29DF6" w14:textId="4E1673C4" w:rsidR="006E7B34" w:rsidRDefault="00A36DA9" w:rsidP="007A3BF1">
      <w:pPr>
        <w:rPr>
          <w:rFonts w:asciiTheme="minorHAnsi" w:hAnsiTheme="minorHAnsi" w:cstheme="minorHAnsi"/>
        </w:rPr>
      </w:pPr>
      <w:r>
        <w:rPr>
          <w:rFonts w:asciiTheme="minorHAnsi" w:hAnsiTheme="minorHAnsi" w:cstheme="minorHAnsi"/>
        </w:rPr>
        <w:t>Současně</w:t>
      </w:r>
      <w:r w:rsidR="006E7B34">
        <w:rPr>
          <w:rFonts w:asciiTheme="minorHAnsi" w:hAnsiTheme="minorHAnsi" w:cstheme="minorHAnsi"/>
        </w:rPr>
        <w:t xml:space="preserve"> SŽDC začala realizovat </w:t>
      </w:r>
      <w:r w:rsidR="006E7B34" w:rsidRPr="008B07D0">
        <w:rPr>
          <w:rFonts w:asciiTheme="minorHAnsi" w:hAnsiTheme="minorHAnsi" w:cstheme="minorHAnsi"/>
        </w:rPr>
        <w:t xml:space="preserve">osm </w:t>
      </w:r>
      <w:r w:rsidR="00F53901" w:rsidRPr="008B07D0">
        <w:rPr>
          <w:rFonts w:asciiTheme="minorHAnsi" w:hAnsiTheme="minorHAnsi" w:cstheme="minorHAnsi"/>
        </w:rPr>
        <w:t>rozsáhlejších</w:t>
      </w:r>
      <w:r w:rsidR="006E7B34">
        <w:rPr>
          <w:rFonts w:asciiTheme="minorHAnsi" w:hAnsiTheme="minorHAnsi" w:cstheme="minorHAnsi"/>
        </w:rPr>
        <w:t xml:space="preserve"> komplexních oprav, které byly </w:t>
      </w:r>
      <w:r w:rsidR="00C71CEB">
        <w:rPr>
          <w:rFonts w:asciiTheme="minorHAnsi" w:hAnsiTheme="minorHAnsi" w:cstheme="minorHAnsi"/>
        </w:rPr>
        <w:t xml:space="preserve">stavebně </w:t>
      </w:r>
      <w:r w:rsidR="006E7B34">
        <w:rPr>
          <w:rFonts w:asciiTheme="minorHAnsi" w:hAnsiTheme="minorHAnsi" w:cstheme="minorHAnsi"/>
        </w:rPr>
        <w:t xml:space="preserve">připraveny </w:t>
      </w:r>
      <w:r w:rsidR="00C71CEB">
        <w:rPr>
          <w:rFonts w:asciiTheme="minorHAnsi" w:hAnsiTheme="minorHAnsi" w:cstheme="minorHAnsi"/>
        </w:rPr>
        <w:t xml:space="preserve">ČD a </w:t>
      </w:r>
      <w:r w:rsidR="006E7B34">
        <w:rPr>
          <w:rFonts w:asciiTheme="minorHAnsi" w:hAnsiTheme="minorHAnsi" w:cstheme="minorHAnsi"/>
        </w:rPr>
        <w:t xml:space="preserve">měly platné stavební </w:t>
      </w:r>
      <w:r w:rsidR="006E7B34" w:rsidRPr="00426447">
        <w:rPr>
          <w:rFonts w:asciiTheme="minorHAnsi" w:hAnsiTheme="minorHAnsi" w:cstheme="minorHAnsi"/>
        </w:rPr>
        <w:t>povolení</w:t>
      </w:r>
      <w:r w:rsidR="006E7B34">
        <w:rPr>
          <w:rFonts w:asciiTheme="minorHAnsi" w:hAnsiTheme="minorHAnsi" w:cstheme="minorHAnsi"/>
        </w:rPr>
        <w:t>.</w:t>
      </w:r>
    </w:p>
    <w:p w14:paraId="4F02E419" w14:textId="77777777" w:rsidR="00A172D2" w:rsidRDefault="00A172D2" w:rsidP="007A3BF1">
      <w:pPr>
        <w:rPr>
          <w:rFonts w:asciiTheme="minorHAnsi" w:hAnsiTheme="minorHAnsi" w:cstheme="minorHAnsi"/>
        </w:rPr>
      </w:pPr>
    </w:p>
    <w:p w14:paraId="3CF56521" w14:textId="77777777" w:rsidR="00F53901" w:rsidRDefault="00F53901" w:rsidP="007A3BF1">
      <w:pPr>
        <w:rPr>
          <w:rFonts w:asciiTheme="minorHAnsi" w:hAnsiTheme="minorHAnsi" w:cstheme="minorHAnsi"/>
        </w:rPr>
      </w:pPr>
      <w:r>
        <w:rPr>
          <w:rFonts w:asciiTheme="minorHAnsi" w:hAnsiTheme="minorHAnsi" w:cstheme="minorHAnsi"/>
        </w:rPr>
        <w:t xml:space="preserve">V letech 2016 až 2019 SŽDC zrealizovala celkem 546 komplexních rekonstrukcí a drobných oprav jednotlivých budov </w:t>
      </w:r>
      <w:r w:rsidR="00C51DC8">
        <w:rPr>
          <w:rFonts w:asciiTheme="minorHAnsi" w:hAnsiTheme="minorHAnsi" w:cstheme="minorHAnsi"/>
        </w:rPr>
        <w:t xml:space="preserve">osobních nádraží </w:t>
      </w:r>
      <w:r>
        <w:rPr>
          <w:rFonts w:asciiTheme="minorHAnsi" w:hAnsiTheme="minorHAnsi" w:cstheme="minorHAnsi"/>
        </w:rPr>
        <w:t>o celkovém</w:t>
      </w:r>
      <w:r w:rsidR="005C5562">
        <w:rPr>
          <w:rFonts w:asciiTheme="minorHAnsi" w:hAnsiTheme="minorHAnsi" w:cstheme="minorHAnsi"/>
        </w:rPr>
        <w:t xml:space="preserve"> finančním objemu 2 056 918 323 </w:t>
      </w:r>
      <w:r>
        <w:rPr>
          <w:rFonts w:asciiTheme="minorHAnsi" w:hAnsiTheme="minorHAnsi" w:cstheme="minorHAnsi"/>
        </w:rPr>
        <w:t>Kč (z toho 50 komplexních rekonstrukcí v </w:t>
      </w:r>
      <w:r w:rsidR="000E0530">
        <w:rPr>
          <w:rFonts w:asciiTheme="minorHAnsi" w:hAnsiTheme="minorHAnsi" w:cstheme="minorHAnsi"/>
        </w:rPr>
        <w:t>hodnotě</w:t>
      </w:r>
      <w:r w:rsidR="005C5562">
        <w:rPr>
          <w:rFonts w:asciiTheme="minorHAnsi" w:hAnsiTheme="minorHAnsi" w:cstheme="minorHAnsi"/>
        </w:rPr>
        <w:t xml:space="preserve"> 807 563 355 </w:t>
      </w:r>
      <w:r>
        <w:rPr>
          <w:rFonts w:asciiTheme="minorHAnsi" w:hAnsiTheme="minorHAnsi" w:cstheme="minorHAnsi"/>
        </w:rPr>
        <w:t>Kč</w:t>
      </w:r>
      <w:r w:rsidR="000E0530">
        <w:rPr>
          <w:rFonts w:asciiTheme="minorHAnsi" w:hAnsiTheme="minorHAnsi" w:cstheme="minorHAnsi"/>
        </w:rPr>
        <w:t xml:space="preserve"> a 496 drobnýc</w:t>
      </w:r>
      <w:r w:rsidR="005C5562">
        <w:rPr>
          <w:rFonts w:asciiTheme="minorHAnsi" w:hAnsiTheme="minorHAnsi" w:cstheme="minorHAnsi"/>
        </w:rPr>
        <w:t>h oprav v hodnotě 1 249 354 968 </w:t>
      </w:r>
      <w:r w:rsidR="000E0530">
        <w:rPr>
          <w:rFonts w:asciiTheme="minorHAnsi" w:hAnsiTheme="minorHAnsi" w:cstheme="minorHAnsi"/>
        </w:rPr>
        <w:t xml:space="preserve">Kč). </w:t>
      </w:r>
    </w:p>
    <w:p w14:paraId="2D3578DC" w14:textId="77777777" w:rsidR="007A3BF1" w:rsidRDefault="007A3BF1" w:rsidP="007A3BF1">
      <w:pPr>
        <w:rPr>
          <w:rFonts w:asciiTheme="minorHAnsi" w:hAnsiTheme="minorHAnsi" w:cstheme="minorHAnsi"/>
        </w:rPr>
      </w:pPr>
    </w:p>
    <w:p w14:paraId="776A498A" w14:textId="47C91E84" w:rsidR="006E7B34" w:rsidRDefault="006E7B34" w:rsidP="007A3BF1">
      <w:pPr>
        <w:rPr>
          <w:rFonts w:asciiTheme="minorHAnsi" w:hAnsiTheme="minorHAnsi" w:cstheme="minorHAnsi"/>
        </w:rPr>
      </w:pPr>
      <w:r w:rsidRPr="006E7B34">
        <w:rPr>
          <w:rFonts w:asciiTheme="minorHAnsi" w:hAnsiTheme="minorHAnsi" w:cstheme="minorHAnsi"/>
        </w:rPr>
        <w:t xml:space="preserve">Rovněž </w:t>
      </w:r>
      <w:r w:rsidR="00285C8D">
        <w:rPr>
          <w:rFonts w:asciiTheme="minorHAnsi" w:hAnsiTheme="minorHAnsi" w:cstheme="minorHAnsi"/>
        </w:rPr>
        <w:t xml:space="preserve">nebylo </w:t>
      </w:r>
      <w:r w:rsidRPr="006E7B34">
        <w:rPr>
          <w:rFonts w:asciiTheme="minorHAnsi" w:hAnsiTheme="minorHAnsi" w:cstheme="minorHAnsi"/>
        </w:rPr>
        <w:t xml:space="preserve">k 31. 12. 2019 </w:t>
      </w:r>
      <w:r w:rsidR="00285C8D">
        <w:rPr>
          <w:rFonts w:asciiTheme="minorHAnsi" w:hAnsiTheme="minorHAnsi" w:cstheme="minorHAnsi"/>
        </w:rPr>
        <w:t xml:space="preserve">ukončeno </w:t>
      </w:r>
      <w:r w:rsidR="00C51DC8">
        <w:rPr>
          <w:rFonts w:asciiTheme="minorHAnsi" w:hAnsiTheme="minorHAnsi" w:cstheme="minorHAnsi"/>
        </w:rPr>
        <w:t xml:space="preserve">dalších </w:t>
      </w:r>
      <w:r w:rsidRPr="006E7B34">
        <w:rPr>
          <w:rFonts w:asciiTheme="minorHAnsi" w:hAnsiTheme="minorHAnsi" w:cstheme="minorHAnsi"/>
        </w:rPr>
        <w:t xml:space="preserve">52 akcí </w:t>
      </w:r>
      <w:r w:rsidR="00C71CEB">
        <w:rPr>
          <w:rFonts w:asciiTheme="minorHAnsi" w:hAnsiTheme="minorHAnsi" w:cstheme="minorHAnsi"/>
        </w:rPr>
        <w:t>o</w:t>
      </w:r>
      <w:r w:rsidRPr="006E7B34">
        <w:rPr>
          <w:rFonts w:asciiTheme="minorHAnsi" w:hAnsiTheme="minorHAnsi" w:cstheme="minorHAnsi"/>
        </w:rPr>
        <w:t xml:space="preserve"> celkových rozpočtových nákladech </w:t>
      </w:r>
      <w:r w:rsidRPr="006E7B34">
        <w:rPr>
          <w:rFonts w:asciiTheme="minorHAnsi" w:hAnsiTheme="minorHAnsi" w:cstheme="minorHAnsi"/>
          <w:bCs/>
        </w:rPr>
        <w:t>873 </w:t>
      </w:r>
      <w:r w:rsidR="00E42E1A">
        <w:rPr>
          <w:rFonts w:asciiTheme="minorHAnsi" w:hAnsiTheme="minorHAnsi" w:cstheme="minorHAnsi"/>
          <w:bCs/>
        </w:rPr>
        <w:t>mil.</w:t>
      </w:r>
      <w:r w:rsidR="005C5562">
        <w:rPr>
          <w:rFonts w:asciiTheme="minorHAnsi" w:hAnsiTheme="minorHAnsi" w:cstheme="minorHAnsi"/>
          <w:bCs/>
        </w:rPr>
        <w:t> </w:t>
      </w:r>
      <w:r w:rsidRPr="006E7B34">
        <w:rPr>
          <w:rFonts w:asciiTheme="minorHAnsi" w:hAnsiTheme="minorHAnsi" w:cstheme="minorHAnsi"/>
          <w:bCs/>
        </w:rPr>
        <w:t>Kč.</w:t>
      </w:r>
      <w:r w:rsidRPr="006E7B34">
        <w:rPr>
          <w:rFonts w:asciiTheme="minorHAnsi" w:hAnsiTheme="minorHAnsi" w:cstheme="minorHAnsi"/>
        </w:rPr>
        <w:t xml:space="preserve"> U těchto akcí byla k 31. 12. 2019 skutečně uhrazena částka ve výši 246 </w:t>
      </w:r>
      <w:r w:rsidR="00E42E1A">
        <w:rPr>
          <w:rFonts w:asciiTheme="minorHAnsi" w:hAnsiTheme="minorHAnsi" w:cstheme="minorHAnsi"/>
        </w:rPr>
        <w:t>mil.</w:t>
      </w:r>
      <w:r w:rsidR="005C5562">
        <w:rPr>
          <w:rFonts w:asciiTheme="minorHAnsi" w:hAnsiTheme="minorHAnsi" w:cstheme="minorHAnsi"/>
        </w:rPr>
        <w:t> </w:t>
      </w:r>
      <w:r w:rsidR="00BC26F6">
        <w:rPr>
          <w:rFonts w:asciiTheme="minorHAnsi" w:hAnsiTheme="minorHAnsi" w:cstheme="minorHAnsi"/>
        </w:rPr>
        <w:t xml:space="preserve">Kč. </w:t>
      </w:r>
      <w:r w:rsidR="000E0530">
        <w:rPr>
          <w:rFonts w:asciiTheme="minorHAnsi" w:hAnsiTheme="minorHAnsi" w:cstheme="minorHAnsi"/>
        </w:rPr>
        <w:t xml:space="preserve">Přehled </w:t>
      </w:r>
      <w:r w:rsidR="00BC26F6">
        <w:rPr>
          <w:rFonts w:asciiTheme="minorHAnsi" w:hAnsiTheme="minorHAnsi" w:cstheme="minorHAnsi"/>
        </w:rPr>
        <w:t>akcí</w:t>
      </w:r>
      <w:r w:rsidR="000E0530">
        <w:rPr>
          <w:rFonts w:asciiTheme="minorHAnsi" w:hAnsiTheme="minorHAnsi" w:cstheme="minorHAnsi"/>
        </w:rPr>
        <w:t xml:space="preserve"> v členění na komplexní rekonstrukce a opravy</w:t>
      </w:r>
      <w:r w:rsidR="00BC26F6">
        <w:rPr>
          <w:rFonts w:asciiTheme="minorHAnsi" w:hAnsiTheme="minorHAnsi" w:cstheme="minorHAnsi"/>
        </w:rPr>
        <w:t xml:space="preserve"> je </w:t>
      </w:r>
      <w:r w:rsidR="000E0530">
        <w:rPr>
          <w:rFonts w:asciiTheme="minorHAnsi" w:hAnsiTheme="minorHAnsi" w:cstheme="minorHAnsi"/>
        </w:rPr>
        <w:t xml:space="preserve">přílohou </w:t>
      </w:r>
      <w:r w:rsidR="00BC26F6">
        <w:rPr>
          <w:rFonts w:asciiTheme="minorHAnsi" w:hAnsiTheme="minorHAnsi" w:cstheme="minorHAnsi"/>
        </w:rPr>
        <w:t>č. 1 tohoto kontrolního závěru.</w:t>
      </w:r>
    </w:p>
    <w:p w14:paraId="4394271F" w14:textId="77777777" w:rsidR="007A3BF1" w:rsidRDefault="007A3BF1" w:rsidP="007A3BF1">
      <w:pPr>
        <w:rPr>
          <w:rFonts w:asciiTheme="minorHAnsi" w:hAnsiTheme="minorHAnsi" w:cstheme="minorHAnsi"/>
        </w:rPr>
      </w:pPr>
    </w:p>
    <w:p w14:paraId="25ADB0FF" w14:textId="09A491FC" w:rsidR="0087276B" w:rsidRDefault="0087276B" w:rsidP="007A3BF1">
      <w:pPr>
        <w:jc w:val="left"/>
        <w:rPr>
          <w:b/>
        </w:rPr>
      </w:pPr>
      <w:r>
        <w:rPr>
          <w:b/>
        </w:rPr>
        <w:t>Vymezení kontrolovaných osob</w:t>
      </w:r>
    </w:p>
    <w:p w14:paraId="136BED39" w14:textId="77777777" w:rsidR="007C00F0" w:rsidRPr="007C00F0" w:rsidRDefault="007C00F0" w:rsidP="00E66A22">
      <w:pPr>
        <w:contextualSpacing/>
      </w:pPr>
    </w:p>
    <w:p w14:paraId="2E785B3B" w14:textId="1E9C429D" w:rsidR="00E66A22" w:rsidRDefault="0087276B" w:rsidP="00E66A22">
      <w:pPr>
        <w:contextualSpacing/>
      </w:pPr>
      <w:r w:rsidRPr="00BB2D6D">
        <w:rPr>
          <w:b/>
        </w:rPr>
        <w:t xml:space="preserve">MD </w:t>
      </w:r>
      <w:r w:rsidRPr="00BB2D6D">
        <w:t>je ústřední orgán státní správy</w:t>
      </w:r>
      <w:r>
        <w:t xml:space="preserve"> </w:t>
      </w:r>
      <w:r w:rsidRPr="00BB2D6D">
        <w:t>a vykonává funkci zakladatele SŽDC.</w:t>
      </w:r>
      <w:r w:rsidR="005C5562">
        <w:t xml:space="preserve"> </w:t>
      </w:r>
      <w:r w:rsidRPr="00BB2D6D">
        <w:t>MD</w:t>
      </w:r>
      <w:r>
        <w:t> o</w:t>
      </w:r>
      <w:r w:rsidRPr="00BB2D6D">
        <w:t xml:space="preserve">dpovídá za tvorbu dopravní politiky v oblasti dopravy, zpracovává její koncepce a strategie. </w:t>
      </w:r>
      <w:r w:rsidRPr="00BB2D6D">
        <w:rPr>
          <w:rStyle w:val="Nadpis1Char"/>
          <w:rFonts w:asciiTheme="minorHAnsi" w:hAnsiTheme="minorHAnsi"/>
          <w:b w:val="0"/>
          <w:sz w:val="24"/>
        </w:rPr>
        <w:t xml:space="preserve">Schvaluje investiční záměry akcí (záměry projektů, přípravné dokumentace staveb) týkajících se výstavby, rekonstrukce a modernizace železniční dopravní cesty a doporučuje jejich zařazení do rozpočtu SFDI. </w:t>
      </w:r>
      <w:r w:rsidRPr="00BB2D6D">
        <w:t>MD je říd</w:t>
      </w:r>
      <w:r w:rsidR="00DB1805">
        <w:t>i</w:t>
      </w:r>
      <w:r w:rsidRPr="00BB2D6D">
        <w:t xml:space="preserve">cím orgánem </w:t>
      </w:r>
      <w:r w:rsidR="00DB1805">
        <w:t>o</w:t>
      </w:r>
      <w:r w:rsidR="00766624">
        <w:t xml:space="preserve">peračního programu </w:t>
      </w:r>
      <w:r w:rsidR="00766624" w:rsidRPr="00FA67EB">
        <w:rPr>
          <w:i/>
        </w:rPr>
        <w:t>Doprava 2014–</w:t>
      </w:r>
      <w:r w:rsidRPr="00FA67EB">
        <w:rPr>
          <w:i/>
        </w:rPr>
        <w:t>2020</w:t>
      </w:r>
      <w:r w:rsidRPr="00BB2D6D">
        <w:t>. Vykonává funkci stavebního úřadu a speciálního stavebního úřadu.</w:t>
      </w:r>
    </w:p>
    <w:p w14:paraId="5A50B0C3" w14:textId="77777777" w:rsidR="00E66A22" w:rsidRDefault="00E66A22" w:rsidP="00E66A22">
      <w:pPr>
        <w:contextualSpacing/>
      </w:pPr>
    </w:p>
    <w:p w14:paraId="649A09DF" w14:textId="7332ADF5" w:rsidR="00E66A22" w:rsidRDefault="00E66A22" w:rsidP="00E66A22">
      <w:pPr>
        <w:contextualSpacing/>
      </w:pPr>
      <w:r w:rsidRPr="008B07D0">
        <w:rPr>
          <w:b/>
        </w:rPr>
        <w:t>S</w:t>
      </w:r>
      <w:r w:rsidR="0087276B" w:rsidRPr="008B07D0">
        <w:rPr>
          <w:b/>
        </w:rPr>
        <w:t>ŽDC</w:t>
      </w:r>
      <w:r w:rsidR="0087276B" w:rsidRPr="008B07D0">
        <w:t xml:space="preserve"> je právnickou osobou </w:t>
      </w:r>
      <w:r w:rsidR="001D3D3A" w:rsidRPr="008B07D0">
        <w:t>– státní organizací</w:t>
      </w:r>
      <w:r w:rsidR="00DB1805">
        <w:t> –</w:t>
      </w:r>
      <w:r w:rsidR="001D3D3A" w:rsidRPr="008B07D0">
        <w:t xml:space="preserve"> </w:t>
      </w:r>
      <w:r w:rsidR="0087276B" w:rsidRPr="008B07D0">
        <w:t>zřízenou zákonem č. 77/2002 Sb.</w:t>
      </w:r>
      <w:r w:rsidR="0087276B" w:rsidRPr="008B07D0">
        <w:rPr>
          <w:rStyle w:val="Znakapoznpodarou"/>
          <w:rFonts w:eastAsiaTheme="majorEastAsia"/>
        </w:rPr>
        <w:footnoteReference w:id="7"/>
      </w:r>
      <w:r w:rsidR="0087276B" w:rsidRPr="008B07D0">
        <w:t xml:space="preserve"> </w:t>
      </w:r>
      <w:r w:rsidR="001D3D3A" w:rsidRPr="008B07D0">
        <w:t xml:space="preserve">Zajišťuje ve smyslu zákona o dráhách provozování dráhy celostátní a drah regionálních ve vlastnictví státu, má na starosti jejich provozuschopnost a modernizaci a rozvoj v rozsahu nezbytném pro zajištění dopravních potřeb státu a dopravní obslužnosti. </w:t>
      </w:r>
      <w:r w:rsidR="0087276B" w:rsidRPr="008B07D0">
        <w:t>Je</w:t>
      </w:r>
      <w:r w:rsidR="0087276B" w:rsidRPr="001D3D3A">
        <w:t xml:space="preserve"> účetní jednotkou</w:t>
      </w:r>
      <w:r w:rsidR="00285C8D">
        <w:t xml:space="preserve"> a</w:t>
      </w:r>
      <w:r w:rsidR="0087276B" w:rsidRPr="001D3D3A">
        <w:t xml:space="preserve"> plátcem DPH</w:t>
      </w:r>
      <w:r w:rsidR="00285C8D">
        <w:t>.</w:t>
      </w:r>
      <w:r w:rsidR="0087276B" w:rsidRPr="001D3D3A">
        <w:t xml:space="preserve"> </w:t>
      </w:r>
      <w:r w:rsidR="00285C8D">
        <w:t>H</w:t>
      </w:r>
      <w:r w:rsidR="0087276B" w:rsidRPr="001D3D3A">
        <w:t xml:space="preserve">ospodaří s majetkem státu, mj. s železniční dopravní cestou, kde plní funkci vlastníka dráhy. SŽDC je konečným příjemcem finančních prostředků z rozpočtu SFDI a </w:t>
      </w:r>
      <w:r w:rsidR="00961AF0">
        <w:t>Evropské unie</w:t>
      </w:r>
      <w:r w:rsidR="0087276B" w:rsidRPr="001D3D3A">
        <w:t xml:space="preserve"> v</w:t>
      </w:r>
      <w:r w:rsidR="005C5562">
        <w:t> </w:t>
      </w:r>
      <w:r w:rsidR="0087276B" w:rsidRPr="001D3D3A">
        <w:t xml:space="preserve">rámci operačních programů. </w:t>
      </w:r>
    </w:p>
    <w:p w14:paraId="04799279" w14:textId="77777777" w:rsidR="00961AF0" w:rsidRDefault="00961AF0" w:rsidP="00E66A22">
      <w:pPr>
        <w:contextualSpacing/>
      </w:pPr>
    </w:p>
    <w:p w14:paraId="46F4D2FF" w14:textId="6BB44B36" w:rsidR="0087276B" w:rsidRPr="001D3D3A" w:rsidRDefault="0087276B" w:rsidP="00E66A22">
      <w:pPr>
        <w:contextualSpacing/>
      </w:pPr>
      <w:r w:rsidRPr="001D3D3A">
        <w:t xml:space="preserve">V rámci SŽDC byly kontrolovány </w:t>
      </w:r>
      <w:r w:rsidR="00DB1805">
        <w:t>g</w:t>
      </w:r>
      <w:r w:rsidRPr="001D3D3A">
        <w:t>enerální ředitelství, Stavební správa západ, Stavební správa východ, Oblastní ředitelství Olomouc a Oblastní ředitelství Hradec Králové.</w:t>
      </w:r>
      <w:r w:rsidR="00F51A63">
        <w:t xml:space="preserve"> </w:t>
      </w:r>
    </w:p>
    <w:p w14:paraId="394F4C77" w14:textId="77777777" w:rsidR="00B405BE" w:rsidRDefault="00B405BE" w:rsidP="00EE6742">
      <w:pPr>
        <w:jc w:val="left"/>
        <w:rPr>
          <w:b/>
        </w:rPr>
      </w:pPr>
    </w:p>
    <w:p w14:paraId="3235442D" w14:textId="77777777" w:rsidR="009B1BDC" w:rsidRDefault="009B1BDC" w:rsidP="00EE6742">
      <w:pPr>
        <w:jc w:val="left"/>
        <w:rPr>
          <w:b/>
        </w:rPr>
      </w:pPr>
    </w:p>
    <w:p w14:paraId="40854F1C" w14:textId="77777777" w:rsidR="00EE6742" w:rsidRPr="0092622D" w:rsidRDefault="00EE6742" w:rsidP="00EE6742">
      <w:pPr>
        <w:jc w:val="center"/>
        <w:rPr>
          <w:rFonts w:asciiTheme="minorHAnsi" w:hAnsiTheme="minorHAnsi" w:cstheme="minorHAnsi"/>
          <w:b/>
          <w:sz w:val="28"/>
          <w:szCs w:val="28"/>
        </w:rPr>
      </w:pPr>
      <w:r w:rsidRPr="0092622D">
        <w:rPr>
          <w:b/>
          <w:sz w:val="28"/>
          <w:szCs w:val="28"/>
        </w:rPr>
        <w:t>III. Rozsah kontroly</w:t>
      </w:r>
    </w:p>
    <w:p w14:paraId="5538BA11" w14:textId="77777777" w:rsidR="00EE6742" w:rsidRPr="00BA63E1" w:rsidRDefault="00EE6742" w:rsidP="00EE6742">
      <w:pPr>
        <w:jc w:val="left"/>
        <w:rPr>
          <w:rFonts w:asciiTheme="minorHAnsi" w:hAnsiTheme="minorHAnsi" w:cstheme="minorHAnsi"/>
          <w:b/>
        </w:rPr>
      </w:pPr>
    </w:p>
    <w:p w14:paraId="7C46F04B" w14:textId="7EB65013" w:rsidR="00E35801" w:rsidRDefault="00FC3B15" w:rsidP="007A3BF1">
      <w:pPr>
        <w:rPr>
          <w:rFonts w:cs="Calibri"/>
        </w:rPr>
      </w:pPr>
      <w:r w:rsidRPr="00BA63E1">
        <w:rPr>
          <w:rFonts w:asciiTheme="minorHAnsi" w:hAnsiTheme="minorHAnsi" w:cstheme="minorHAnsi"/>
        </w:rPr>
        <w:t>Cílem kontroly bylo prověřit, zda systém poskytování peněžních prostředků určených na rekonstrukci a revitalizaci osobních nádraží zajišťuje jejich účelné a hospodárné využití a</w:t>
      </w:r>
      <w:r w:rsidR="00A172D2">
        <w:rPr>
          <w:rFonts w:asciiTheme="minorHAnsi" w:hAnsiTheme="minorHAnsi" w:cstheme="minorHAnsi"/>
        </w:rPr>
        <w:t> </w:t>
      </w:r>
      <w:r w:rsidRPr="00BA63E1">
        <w:rPr>
          <w:rFonts w:asciiTheme="minorHAnsi" w:hAnsiTheme="minorHAnsi" w:cstheme="minorHAnsi"/>
        </w:rPr>
        <w:t>naplňování stanovených cílů.</w:t>
      </w:r>
      <w:r w:rsidR="00BA63E1" w:rsidRPr="00BA63E1">
        <w:rPr>
          <w:rFonts w:asciiTheme="minorHAnsi" w:hAnsiTheme="minorHAnsi" w:cstheme="minorHAnsi"/>
        </w:rPr>
        <w:t xml:space="preserve"> </w:t>
      </w:r>
      <w:r w:rsidR="00E35801">
        <w:rPr>
          <w:rFonts w:cs="Calibri"/>
        </w:rPr>
        <w:t xml:space="preserve">Kontrolované období představovaly roky 2017 až 2019, v případě věcných souvislostí i období předcházející a období do ukončení kontroly. </w:t>
      </w:r>
    </w:p>
    <w:p w14:paraId="487D7072" w14:textId="77777777" w:rsidR="007A3BF1" w:rsidRDefault="007A3BF1" w:rsidP="007A3BF1">
      <w:pPr>
        <w:rPr>
          <w:rFonts w:cs="Calibri"/>
        </w:rPr>
      </w:pPr>
    </w:p>
    <w:p w14:paraId="0F4FA15B" w14:textId="332AD3AD" w:rsidR="001D3D3A" w:rsidRDefault="001D3D3A" w:rsidP="007A3BF1">
      <w:pPr>
        <w:rPr>
          <w:rFonts w:asciiTheme="minorHAnsi" w:hAnsiTheme="minorHAnsi" w:cstheme="minorHAnsi"/>
        </w:rPr>
      </w:pPr>
      <w:r>
        <w:rPr>
          <w:rFonts w:asciiTheme="minorHAnsi" w:hAnsiTheme="minorHAnsi" w:cstheme="minorHAnsi"/>
        </w:rPr>
        <w:t xml:space="preserve">Kontrole byl podroben systém poskytování peněžních prostředků, </w:t>
      </w:r>
      <w:r w:rsidR="00F51A63">
        <w:rPr>
          <w:rFonts w:asciiTheme="minorHAnsi" w:hAnsiTheme="minorHAnsi" w:cstheme="minorHAnsi"/>
        </w:rPr>
        <w:t>posouzení úrovně koncepční činnosti ve vztahu k rekonstrukcím a revitalizacím budov osobních nádraží a</w:t>
      </w:r>
      <w:r w:rsidR="00285C8D">
        <w:rPr>
          <w:rFonts w:asciiTheme="minorHAnsi" w:hAnsiTheme="minorHAnsi" w:cstheme="minorHAnsi"/>
        </w:rPr>
        <w:t> </w:t>
      </w:r>
      <w:r w:rsidR="00F51A63">
        <w:rPr>
          <w:rFonts w:asciiTheme="minorHAnsi" w:hAnsiTheme="minorHAnsi" w:cstheme="minorHAnsi"/>
        </w:rPr>
        <w:t xml:space="preserve">dosažení cílů v nich uvedených. </w:t>
      </w:r>
    </w:p>
    <w:p w14:paraId="7CEDCEA9" w14:textId="77777777" w:rsidR="007A3BF1" w:rsidRDefault="007A3BF1" w:rsidP="007A3BF1">
      <w:pPr>
        <w:rPr>
          <w:rFonts w:asciiTheme="minorHAnsi" w:hAnsiTheme="minorHAnsi" w:cstheme="minorHAnsi"/>
        </w:rPr>
      </w:pPr>
    </w:p>
    <w:p w14:paraId="4A1E28D9" w14:textId="2F048F00" w:rsidR="00F51A63" w:rsidRDefault="00E66A22" w:rsidP="007A3BF1">
      <w:pPr>
        <w:rPr>
          <w:rFonts w:cs="Calibri"/>
        </w:rPr>
      </w:pPr>
      <w:r w:rsidRPr="00E66A22">
        <w:rPr>
          <w:rFonts w:cs="Calibri"/>
        </w:rPr>
        <w:t xml:space="preserve">Kontrola se zaměřila na zařazování </w:t>
      </w:r>
      <w:r w:rsidR="00074129">
        <w:rPr>
          <w:rFonts w:cs="Calibri"/>
        </w:rPr>
        <w:t xml:space="preserve">stavebních </w:t>
      </w:r>
      <w:r w:rsidRPr="00E66A22">
        <w:rPr>
          <w:rFonts w:cs="Calibri"/>
        </w:rPr>
        <w:t>akcí k real</w:t>
      </w:r>
      <w:r w:rsidR="000B5B39">
        <w:rPr>
          <w:rFonts w:cs="Calibri"/>
        </w:rPr>
        <w:t>i</w:t>
      </w:r>
      <w:r w:rsidR="00ED2287">
        <w:rPr>
          <w:rFonts w:cs="Calibri"/>
        </w:rPr>
        <w:t xml:space="preserve">zaci podle stanovených priorit a na </w:t>
      </w:r>
      <w:r w:rsidR="000B5B39">
        <w:rPr>
          <w:rFonts w:cs="Calibri"/>
        </w:rPr>
        <w:t>zpracování</w:t>
      </w:r>
      <w:r w:rsidRPr="00E66A22">
        <w:rPr>
          <w:rFonts w:cs="Calibri"/>
        </w:rPr>
        <w:t xml:space="preserve"> harmonogramů </w:t>
      </w:r>
      <w:r w:rsidR="00ED2287">
        <w:rPr>
          <w:rFonts w:cs="Calibri"/>
        </w:rPr>
        <w:t>jejich realizace.</w:t>
      </w:r>
      <w:r>
        <w:rPr>
          <w:rFonts w:cs="Calibri"/>
        </w:rPr>
        <w:t xml:space="preserve"> </w:t>
      </w:r>
      <w:r w:rsidR="00F51A63">
        <w:rPr>
          <w:rFonts w:cs="Calibri"/>
        </w:rPr>
        <w:t xml:space="preserve">Kontrolováno bylo </w:t>
      </w:r>
      <w:r w:rsidR="001B2923" w:rsidRPr="00BA63E1">
        <w:rPr>
          <w:rFonts w:cs="Calibri"/>
        </w:rPr>
        <w:t>zpracov</w:t>
      </w:r>
      <w:r w:rsidR="001B2923">
        <w:rPr>
          <w:rFonts w:cs="Calibri"/>
        </w:rPr>
        <w:t>á</w:t>
      </w:r>
      <w:r w:rsidR="001B2923" w:rsidRPr="00BA63E1">
        <w:rPr>
          <w:rFonts w:cs="Calibri"/>
        </w:rPr>
        <w:t>n</w:t>
      </w:r>
      <w:r w:rsidR="001B2923">
        <w:rPr>
          <w:rFonts w:cs="Calibri"/>
        </w:rPr>
        <w:t>í</w:t>
      </w:r>
      <w:r w:rsidR="001B2923" w:rsidRPr="00BA63E1">
        <w:rPr>
          <w:rFonts w:cs="Calibri"/>
        </w:rPr>
        <w:t xml:space="preserve"> </w:t>
      </w:r>
      <w:r w:rsidR="00074129">
        <w:rPr>
          <w:rFonts w:cs="Calibri"/>
        </w:rPr>
        <w:t xml:space="preserve">a schvalování </w:t>
      </w:r>
      <w:r w:rsidR="001B2923" w:rsidRPr="00BA63E1">
        <w:rPr>
          <w:rFonts w:cs="Calibri"/>
        </w:rPr>
        <w:t>záměr</w:t>
      </w:r>
      <w:r w:rsidR="001B2923">
        <w:rPr>
          <w:rFonts w:cs="Calibri"/>
        </w:rPr>
        <w:t>ů</w:t>
      </w:r>
      <w:r w:rsidR="001B2923" w:rsidRPr="00BA63E1">
        <w:rPr>
          <w:rFonts w:cs="Calibri"/>
        </w:rPr>
        <w:t xml:space="preserve"> projektů, </w:t>
      </w:r>
      <w:r w:rsidR="00F51A63">
        <w:rPr>
          <w:rFonts w:cs="Calibri"/>
        </w:rPr>
        <w:t>předprojektová a projektová příprava akcí, výběr dodavatelů projektových a</w:t>
      </w:r>
      <w:r w:rsidR="00285C8D">
        <w:rPr>
          <w:rFonts w:cs="Calibri"/>
        </w:rPr>
        <w:t> </w:t>
      </w:r>
      <w:r w:rsidR="00F51A63">
        <w:rPr>
          <w:rFonts w:cs="Calibri"/>
        </w:rPr>
        <w:t>stavebních prací a průběh realizace kontrolovaných</w:t>
      </w:r>
      <w:r>
        <w:rPr>
          <w:rFonts w:cs="Calibri"/>
        </w:rPr>
        <w:t xml:space="preserve"> akcí, a to z hlediska </w:t>
      </w:r>
      <w:r w:rsidRPr="00BA63E1">
        <w:rPr>
          <w:rFonts w:cs="Calibri"/>
        </w:rPr>
        <w:t>účelnosti a</w:t>
      </w:r>
      <w:r w:rsidR="00285C8D">
        <w:rPr>
          <w:rFonts w:cs="Calibri"/>
        </w:rPr>
        <w:t> </w:t>
      </w:r>
      <w:r w:rsidRPr="00BA63E1">
        <w:rPr>
          <w:rFonts w:cs="Calibri"/>
        </w:rPr>
        <w:t>hospodárnos</w:t>
      </w:r>
      <w:r>
        <w:rPr>
          <w:rFonts w:cs="Calibri"/>
        </w:rPr>
        <w:t>ti využití peněžních prostředků a naplňování stanovených cílů.</w:t>
      </w:r>
    </w:p>
    <w:p w14:paraId="0211E5A0" w14:textId="77777777" w:rsidR="007A3BF1" w:rsidRDefault="007A3BF1" w:rsidP="007A3BF1">
      <w:pPr>
        <w:rPr>
          <w:rFonts w:cs="Calibri"/>
        </w:rPr>
      </w:pPr>
    </w:p>
    <w:p w14:paraId="03A2E7F9" w14:textId="77777777" w:rsidR="00E66A22" w:rsidRDefault="001B2923" w:rsidP="007A3BF1">
      <w:pPr>
        <w:rPr>
          <w:rFonts w:asciiTheme="minorHAnsi" w:hAnsiTheme="minorHAnsi" w:cstheme="minorHAnsi"/>
        </w:rPr>
      </w:pPr>
      <w:r>
        <w:rPr>
          <w:rFonts w:cs="Calibri"/>
        </w:rPr>
        <w:t xml:space="preserve">Kontrolní vzorek obsahoval 24 stavebních akcí. </w:t>
      </w:r>
      <w:r>
        <w:rPr>
          <w:rFonts w:asciiTheme="minorHAnsi" w:hAnsiTheme="minorHAnsi" w:cstheme="minorHAnsi"/>
        </w:rPr>
        <w:t>Kontrole byly podrobeny st</w:t>
      </w:r>
      <w:r w:rsidR="00766624">
        <w:rPr>
          <w:rFonts w:asciiTheme="minorHAnsi" w:hAnsiTheme="minorHAnsi" w:cstheme="minorHAnsi"/>
        </w:rPr>
        <w:t>avební akce dle Programu 2018–</w:t>
      </w:r>
      <w:r>
        <w:rPr>
          <w:rFonts w:asciiTheme="minorHAnsi" w:hAnsiTheme="minorHAnsi" w:cstheme="minorHAnsi"/>
        </w:rPr>
        <w:t xml:space="preserve">2022. Akce zařazené dle Koncepce 2019 kontrole podrobeny nebyly, protože se jednalo o stavební akce s předpokládanou realizací v letech 2020 až 2024. </w:t>
      </w:r>
    </w:p>
    <w:p w14:paraId="1BA9DB75" w14:textId="77777777" w:rsidR="007A3BF1" w:rsidRDefault="007A3BF1" w:rsidP="007A3BF1">
      <w:pPr>
        <w:rPr>
          <w:rFonts w:asciiTheme="minorHAnsi" w:hAnsiTheme="minorHAnsi" w:cstheme="minorHAnsi"/>
        </w:rPr>
      </w:pPr>
    </w:p>
    <w:p w14:paraId="5E54D11D" w14:textId="77777777" w:rsidR="00E66A22" w:rsidRDefault="001B2923" w:rsidP="007A3BF1">
      <w:pPr>
        <w:rPr>
          <w:rFonts w:cs="Calibri"/>
        </w:rPr>
      </w:pPr>
      <w:r>
        <w:rPr>
          <w:rFonts w:cs="Calibri"/>
        </w:rPr>
        <w:t xml:space="preserve">Kontrolou byly prověřeny finanční prostředky stavebních akcí v celkovém </w:t>
      </w:r>
      <w:r w:rsidR="00ED2287">
        <w:rPr>
          <w:rFonts w:cs="Calibri"/>
        </w:rPr>
        <w:t xml:space="preserve">smluvním </w:t>
      </w:r>
      <w:r>
        <w:rPr>
          <w:rFonts w:cs="Calibri"/>
        </w:rPr>
        <w:t xml:space="preserve">objemu 1 007,5 mil. Kč. K 31. 12. 2019 bylo u těchto 24 kontrolovaných akcí profinancováno celkem 412 mil. Kč. </w:t>
      </w:r>
    </w:p>
    <w:p w14:paraId="76E72A46" w14:textId="77777777" w:rsidR="007A3BF1" w:rsidRDefault="007A3BF1" w:rsidP="007A3BF1">
      <w:pPr>
        <w:rPr>
          <w:rFonts w:cs="Calibri"/>
        </w:rPr>
      </w:pPr>
    </w:p>
    <w:p w14:paraId="1D4DB4C5" w14:textId="77777777" w:rsidR="001B2923" w:rsidRDefault="00E66A22" w:rsidP="005F0B37">
      <w:pPr>
        <w:rPr>
          <w:rFonts w:cs="Calibri"/>
        </w:rPr>
      </w:pPr>
      <w:r>
        <w:rPr>
          <w:rFonts w:cs="Calibri"/>
        </w:rPr>
        <w:t xml:space="preserve">Přehled kontrolovaných stavebních akcí je uveden v </w:t>
      </w:r>
      <w:r w:rsidRPr="00CD48A3">
        <w:rPr>
          <w:rFonts w:cs="Calibri"/>
        </w:rPr>
        <w:t xml:space="preserve">příloze č. </w:t>
      </w:r>
      <w:r>
        <w:rPr>
          <w:rFonts w:cs="Calibri"/>
        </w:rPr>
        <w:t>2</w:t>
      </w:r>
      <w:r w:rsidRPr="00CD48A3">
        <w:rPr>
          <w:rFonts w:cs="Calibri"/>
        </w:rPr>
        <w:t xml:space="preserve"> tohoto</w:t>
      </w:r>
      <w:r>
        <w:rPr>
          <w:rFonts w:cs="Calibri"/>
        </w:rPr>
        <w:t xml:space="preserve"> kontrolního závěru.</w:t>
      </w:r>
      <w:r w:rsidR="00085341">
        <w:rPr>
          <w:rFonts w:cs="Calibri"/>
        </w:rPr>
        <w:t xml:space="preserve"> </w:t>
      </w:r>
      <w:r w:rsidR="001B2923">
        <w:rPr>
          <w:rFonts w:cs="Calibri"/>
        </w:rPr>
        <w:t xml:space="preserve">Kontrola prověřila zadání veřejných zakázek v celkové hodnotě 720 mil. Kč. Přehled kontrolovaných veřejných zakázek je uveden </w:t>
      </w:r>
      <w:r w:rsidR="001B2923" w:rsidRPr="00CD48A3">
        <w:rPr>
          <w:rFonts w:cs="Calibri"/>
        </w:rPr>
        <w:t xml:space="preserve">v příloze č. </w:t>
      </w:r>
      <w:r w:rsidR="00F843B0">
        <w:rPr>
          <w:rFonts w:cs="Calibri"/>
        </w:rPr>
        <w:t>3</w:t>
      </w:r>
      <w:r w:rsidR="001B2923" w:rsidRPr="00CD48A3">
        <w:rPr>
          <w:rFonts w:cs="Calibri"/>
        </w:rPr>
        <w:t xml:space="preserve"> tohoto</w:t>
      </w:r>
      <w:r w:rsidR="001B2923">
        <w:rPr>
          <w:rFonts w:cs="Calibri"/>
        </w:rPr>
        <w:t xml:space="preserve"> kontrolního závěru.</w:t>
      </w:r>
      <w:r w:rsidR="007C00F0">
        <w:rPr>
          <w:rFonts w:cs="Calibri"/>
        </w:rPr>
        <w:t xml:space="preserve"> </w:t>
      </w:r>
    </w:p>
    <w:p w14:paraId="491CAE6D" w14:textId="77777777" w:rsidR="00DB3A81" w:rsidRDefault="00DB3A81" w:rsidP="00EE6742">
      <w:pPr>
        <w:jc w:val="left"/>
        <w:rPr>
          <w:b/>
        </w:rPr>
      </w:pPr>
    </w:p>
    <w:p w14:paraId="6C5C62A9" w14:textId="77777777" w:rsidR="00DB3A81" w:rsidRDefault="00DB3A81" w:rsidP="00EE6742">
      <w:pPr>
        <w:jc w:val="left"/>
        <w:rPr>
          <w:b/>
        </w:rPr>
      </w:pPr>
    </w:p>
    <w:p w14:paraId="2F41F025" w14:textId="77777777" w:rsidR="00EE6742" w:rsidRPr="00367008" w:rsidRDefault="00EE6742" w:rsidP="00EE6742">
      <w:pPr>
        <w:jc w:val="center"/>
        <w:rPr>
          <w:b/>
          <w:sz w:val="28"/>
          <w:szCs w:val="28"/>
        </w:rPr>
      </w:pPr>
      <w:r w:rsidRPr="00367008">
        <w:rPr>
          <w:b/>
          <w:sz w:val="28"/>
          <w:szCs w:val="28"/>
        </w:rPr>
        <w:t>IV. Podrobné skutečnosti zjištěné kontrolou</w:t>
      </w:r>
    </w:p>
    <w:p w14:paraId="0FA693EF" w14:textId="77777777" w:rsidR="00946E97" w:rsidRPr="00A172D2" w:rsidRDefault="00946E97" w:rsidP="00946E97"/>
    <w:p w14:paraId="0485FF29" w14:textId="77777777" w:rsidR="00451B61" w:rsidRPr="005C5562" w:rsidRDefault="005C5562" w:rsidP="005C5562">
      <w:pPr>
        <w:rPr>
          <w:b/>
        </w:rPr>
      </w:pPr>
      <w:r w:rsidRPr="005C5562">
        <w:rPr>
          <w:b/>
        </w:rPr>
        <w:t xml:space="preserve">1. </w:t>
      </w:r>
      <w:r w:rsidR="00451B61" w:rsidRPr="005C5562">
        <w:rPr>
          <w:b/>
        </w:rPr>
        <w:t>Naplnění stanovených cílů uvedených v koncepčních materiálech</w:t>
      </w:r>
    </w:p>
    <w:p w14:paraId="239A7860" w14:textId="77777777" w:rsidR="00A172D2" w:rsidRDefault="00A172D2" w:rsidP="00451B61"/>
    <w:p w14:paraId="7808C25A" w14:textId="128BF8F2" w:rsidR="00451B61" w:rsidRDefault="00451B61" w:rsidP="00451B61">
      <w:r w:rsidRPr="00451B61">
        <w:t xml:space="preserve">U všech ukončených rekonstrukcí osobních nádraží </w:t>
      </w:r>
      <w:r w:rsidR="00126A64">
        <w:t xml:space="preserve">uvedených v příloze č. 2 </w:t>
      </w:r>
      <w:r w:rsidR="00DA222D">
        <w:t xml:space="preserve">tohoto kontrolního závěru </w:t>
      </w:r>
      <w:r w:rsidRPr="00451B61">
        <w:t xml:space="preserve">bylo kontrolou zjištěno, že došlo k naplnění stanovených cílů uvedených v koncepčních materiálech. </w:t>
      </w:r>
    </w:p>
    <w:p w14:paraId="031501D7" w14:textId="77777777" w:rsidR="0060549E" w:rsidRPr="00451B61" w:rsidRDefault="0060549E" w:rsidP="00451B61"/>
    <w:p w14:paraId="57F4546B" w14:textId="06321D53" w:rsidR="00451B61" w:rsidRPr="00451B61" w:rsidRDefault="00590C09" w:rsidP="00590C09">
      <w:r>
        <w:t>Např. d</w:t>
      </w:r>
      <w:r w:rsidR="00451B61" w:rsidRPr="00451B61">
        <w:t xml:space="preserve">okončením II. etapy rekonstrukce </w:t>
      </w:r>
      <w:proofErr w:type="spellStart"/>
      <w:r w:rsidR="00451B61" w:rsidRPr="00451B61">
        <w:t>žst</w:t>
      </w:r>
      <w:proofErr w:type="spellEnd"/>
      <w:r w:rsidR="00451B61" w:rsidRPr="00451B61">
        <w:t>. Turnov SŽDC přiblížila výpravní budovu požadavkům na současnou železniční dopravu, čímž navázala na již vybudovaný přednádražní prostor</w:t>
      </w:r>
      <w:r w:rsidR="007661E5">
        <w:t xml:space="preserve"> </w:t>
      </w:r>
      <w:r w:rsidR="00285C8D">
        <w:t>včetně</w:t>
      </w:r>
      <w:r w:rsidR="007661E5">
        <w:t xml:space="preserve"> </w:t>
      </w:r>
      <w:r w:rsidR="003A1A4F">
        <w:t xml:space="preserve">napojení na </w:t>
      </w:r>
      <w:r w:rsidR="00451B61" w:rsidRPr="00451B61">
        <w:t>autobusov</w:t>
      </w:r>
      <w:r w:rsidR="003A1A4F">
        <w:t>ý</w:t>
      </w:r>
      <w:r w:rsidR="007661E5">
        <w:t xml:space="preserve"> </w:t>
      </w:r>
      <w:r w:rsidR="00451B61" w:rsidRPr="00451B61">
        <w:t>terminál</w:t>
      </w:r>
      <w:r w:rsidR="00F21624">
        <w:t>.</w:t>
      </w:r>
      <w:r w:rsidR="007661E5">
        <w:t xml:space="preserve"> </w:t>
      </w:r>
      <w:r w:rsidR="00126A64">
        <w:t>Dále</w:t>
      </w:r>
      <w:r w:rsidR="007661E5">
        <w:t xml:space="preserve"> </w:t>
      </w:r>
      <w:r w:rsidR="00126A64">
        <w:t>došlo</w:t>
      </w:r>
      <w:r w:rsidR="007661E5">
        <w:t xml:space="preserve"> </w:t>
      </w:r>
      <w:r>
        <w:t>k</w:t>
      </w:r>
      <w:r w:rsidR="00DC719D">
        <w:t xml:space="preserve"> optimalizaci a zlepšení prostor pro cestující, zajištění hospodárného provozu budovy, vazbě na investiční akce municipalit a</w:t>
      </w:r>
      <w:r w:rsidR="0060549E">
        <w:t> </w:t>
      </w:r>
      <w:r w:rsidR="00DC719D">
        <w:t>revitali</w:t>
      </w:r>
      <w:r w:rsidR="00285C8D">
        <w:t>zace areálů osobních nádraží</w:t>
      </w:r>
      <w:r w:rsidR="00A849E8">
        <w:t xml:space="preserve"> </w:t>
      </w:r>
      <w:r w:rsidR="00285C8D">
        <w:t>včetně</w:t>
      </w:r>
      <w:r w:rsidR="00DC719D">
        <w:t xml:space="preserve"> alternativního využití volných prostor.</w:t>
      </w:r>
      <w:r w:rsidR="007C00F0">
        <w:t xml:space="preserve"> </w:t>
      </w:r>
      <w:r w:rsidR="00451B61" w:rsidRPr="00451B61">
        <w:t>U</w:t>
      </w:r>
      <w:r w:rsidR="00A849E8">
        <w:t> </w:t>
      </w:r>
      <w:r w:rsidR="00451B61" w:rsidRPr="00451B61">
        <w:t xml:space="preserve">akce </w:t>
      </w:r>
      <w:r w:rsidR="007661E5" w:rsidRPr="00FA67EB">
        <w:rPr>
          <w:i/>
        </w:rPr>
        <w:t>R</w:t>
      </w:r>
      <w:r w:rsidR="00451B61" w:rsidRPr="00FA67EB">
        <w:rPr>
          <w:i/>
        </w:rPr>
        <w:t>ekonstrukce výpravní budovy v </w:t>
      </w:r>
      <w:proofErr w:type="spellStart"/>
      <w:r w:rsidR="00451B61" w:rsidRPr="00FA67EB">
        <w:rPr>
          <w:i/>
        </w:rPr>
        <w:t>žst</w:t>
      </w:r>
      <w:proofErr w:type="spellEnd"/>
      <w:r w:rsidR="00451B61" w:rsidRPr="00FA67EB">
        <w:rPr>
          <w:i/>
        </w:rPr>
        <w:t>. Přerov</w:t>
      </w:r>
      <w:r w:rsidR="00451B61" w:rsidRPr="00451B61">
        <w:t xml:space="preserve"> </w:t>
      </w:r>
      <w:r w:rsidR="009F11AF">
        <w:t xml:space="preserve">došlo </w:t>
      </w:r>
      <w:r w:rsidR="00451B61" w:rsidRPr="00451B61">
        <w:t xml:space="preserve">k obnově památkové </w:t>
      </w:r>
      <w:r w:rsidR="00451B61" w:rsidRPr="00CB6FE3">
        <w:t>hodnoty</w:t>
      </w:r>
      <w:r w:rsidR="00451B61" w:rsidRPr="00451B61">
        <w:t xml:space="preserve"> a</w:t>
      </w:r>
      <w:r w:rsidR="0060549E">
        <w:t> </w:t>
      </w:r>
      <w:r w:rsidR="00451B61" w:rsidRPr="00451B61">
        <w:t>zhodnocení stavu výpravní budovy v Přer</w:t>
      </w:r>
      <w:r w:rsidR="009F11AF">
        <w:t xml:space="preserve">ově a jejího </w:t>
      </w:r>
      <w:r w:rsidR="009F11AF" w:rsidRPr="00CB6FE3">
        <w:t>kulturního</w:t>
      </w:r>
      <w:r w:rsidR="009F11AF">
        <w:t xml:space="preserve"> významu</w:t>
      </w:r>
      <w:r w:rsidR="0060549E">
        <w:t xml:space="preserve">, </w:t>
      </w:r>
      <w:r w:rsidR="009F11AF" w:rsidRPr="00105AE6">
        <w:rPr>
          <w:rFonts w:cs="Calibri"/>
          <w:lang w:eastAsia="cs-CZ"/>
        </w:rPr>
        <w:t xml:space="preserve">uvedení </w:t>
      </w:r>
      <w:r w:rsidR="009F11AF">
        <w:rPr>
          <w:rFonts w:cs="Calibri"/>
          <w:lang w:eastAsia="cs-CZ"/>
        </w:rPr>
        <w:t>výpravní</w:t>
      </w:r>
      <w:r w:rsidR="009F11AF" w:rsidRPr="00105AE6">
        <w:rPr>
          <w:rFonts w:cs="Calibri"/>
          <w:lang w:eastAsia="cs-CZ"/>
        </w:rPr>
        <w:t xml:space="preserve"> budov</w:t>
      </w:r>
      <w:r w:rsidR="009F11AF">
        <w:rPr>
          <w:rFonts w:cs="Calibri"/>
          <w:lang w:eastAsia="cs-CZ"/>
        </w:rPr>
        <w:t>y osobního</w:t>
      </w:r>
      <w:r w:rsidR="009F11AF" w:rsidRPr="00105AE6">
        <w:rPr>
          <w:rFonts w:cs="Calibri"/>
          <w:lang w:eastAsia="cs-CZ"/>
        </w:rPr>
        <w:t xml:space="preserve"> nádraží do stavu vhodného k užívání cestující veřejností a</w:t>
      </w:r>
      <w:r w:rsidR="009F11AF">
        <w:rPr>
          <w:rFonts w:cs="Calibri"/>
          <w:lang w:eastAsia="cs-CZ"/>
        </w:rPr>
        <w:t> optimalizaci</w:t>
      </w:r>
      <w:r w:rsidR="000D15E7">
        <w:rPr>
          <w:rFonts w:cs="Calibri"/>
          <w:lang w:eastAsia="cs-CZ"/>
        </w:rPr>
        <w:t xml:space="preserve"> </w:t>
      </w:r>
      <w:r w:rsidR="009F11AF" w:rsidRPr="00105AE6">
        <w:rPr>
          <w:rFonts w:cs="Calibri"/>
          <w:lang w:eastAsia="cs-CZ"/>
        </w:rPr>
        <w:t>veřejně</w:t>
      </w:r>
      <w:r w:rsidR="000D15E7">
        <w:rPr>
          <w:rFonts w:cs="Calibri"/>
          <w:lang w:eastAsia="cs-CZ"/>
        </w:rPr>
        <w:t xml:space="preserve"> </w:t>
      </w:r>
      <w:r w:rsidR="009F11AF" w:rsidRPr="00105AE6">
        <w:rPr>
          <w:rFonts w:cs="Calibri"/>
          <w:lang w:eastAsia="cs-CZ"/>
        </w:rPr>
        <w:t>přístupných</w:t>
      </w:r>
      <w:r w:rsidR="000D15E7">
        <w:rPr>
          <w:rFonts w:cs="Calibri"/>
          <w:lang w:eastAsia="cs-CZ"/>
        </w:rPr>
        <w:t xml:space="preserve"> </w:t>
      </w:r>
      <w:r w:rsidR="009F11AF" w:rsidRPr="00105AE6">
        <w:rPr>
          <w:rFonts w:cs="Calibri"/>
          <w:lang w:eastAsia="cs-CZ"/>
        </w:rPr>
        <w:t>ploch a prostor těchto budov na požadavky dnešní doby</w:t>
      </w:r>
      <w:r w:rsidR="009F11AF">
        <w:rPr>
          <w:rFonts w:cs="Calibri"/>
          <w:lang w:eastAsia="cs-CZ"/>
        </w:rPr>
        <w:t>.</w:t>
      </w:r>
    </w:p>
    <w:p w14:paraId="5357795E" w14:textId="77777777" w:rsidR="00451B61" w:rsidRPr="00451B61" w:rsidRDefault="00451B61" w:rsidP="00451B61"/>
    <w:p w14:paraId="5DD7FC97" w14:textId="77777777" w:rsidR="00EE6742" w:rsidRPr="005C5562" w:rsidRDefault="005C5562" w:rsidP="00A849E8">
      <w:pPr>
        <w:keepNext/>
        <w:rPr>
          <w:b/>
        </w:rPr>
      </w:pPr>
      <w:r w:rsidRPr="005C5562">
        <w:rPr>
          <w:b/>
        </w:rPr>
        <w:t xml:space="preserve">2. </w:t>
      </w:r>
      <w:r w:rsidR="006B2AE6" w:rsidRPr="005C5562">
        <w:rPr>
          <w:b/>
        </w:rPr>
        <w:t>SŽDC nečerpá finanční prostředky ve výši p</w:t>
      </w:r>
      <w:r w:rsidR="008B0AA5" w:rsidRPr="005C5562">
        <w:rPr>
          <w:b/>
        </w:rPr>
        <w:t xml:space="preserve">ředpokládané v Programu </w:t>
      </w:r>
      <w:r w:rsidR="00766624" w:rsidRPr="005C5562">
        <w:rPr>
          <w:b/>
        </w:rPr>
        <w:t>2018–</w:t>
      </w:r>
      <w:r w:rsidR="008B0AA5" w:rsidRPr="005C5562">
        <w:rPr>
          <w:b/>
        </w:rPr>
        <w:t>2022</w:t>
      </w:r>
    </w:p>
    <w:p w14:paraId="420206D8" w14:textId="77777777" w:rsidR="00A172D2" w:rsidRDefault="00A172D2" w:rsidP="00A849E8">
      <w:pPr>
        <w:keepNext/>
        <w:rPr>
          <w:rFonts w:asciiTheme="minorHAnsi" w:hAnsiTheme="minorHAnsi" w:cstheme="minorHAnsi"/>
        </w:rPr>
      </w:pPr>
    </w:p>
    <w:p w14:paraId="62CD6C13" w14:textId="77777777" w:rsidR="00857846" w:rsidRDefault="00857846" w:rsidP="00302F69">
      <w:pPr>
        <w:rPr>
          <w:rFonts w:asciiTheme="minorHAnsi" w:hAnsiTheme="minorHAnsi" w:cstheme="minorHAnsi"/>
        </w:rPr>
      </w:pPr>
      <w:r w:rsidRPr="00857846">
        <w:rPr>
          <w:rFonts w:asciiTheme="minorHAnsi" w:hAnsiTheme="minorHAnsi" w:cstheme="minorHAnsi"/>
        </w:rPr>
        <w:t xml:space="preserve">SŽDC </w:t>
      </w:r>
      <w:r w:rsidR="00775D14">
        <w:rPr>
          <w:rFonts w:asciiTheme="minorHAnsi" w:hAnsiTheme="minorHAnsi" w:cstheme="minorHAnsi"/>
        </w:rPr>
        <w:t>nezačala</w:t>
      </w:r>
      <w:r w:rsidRPr="00857846">
        <w:rPr>
          <w:rFonts w:asciiTheme="minorHAnsi" w:hAnsiTheme="minorHAnsi" w:cstheme="minorHAnsi"/>
        </w:rPr>
        <w:t xml:space="preserve"> s vlastní realizací</w:t>
      </w:r>
      <w:r w:rsidR="00775D14">
        <w:rPr>
          <w:rFonts w:asciiTheme="minorHAnsi" w:hAnsiTheme="minorHAnsi" w:cstheme="minorHAnsi"/>
        </w:rPr>
        <w:t xml:space="preserve"> </w:t>
      </w:r>
      <w:r w:rsidR="00F21624">
        <w:rPr>
          <w:rFonts w:asciiTheme="minorHAnsi" w:hAnsiTheme="minorHAnsi" w:cstheme="minorHAnsi"/>
        </w:rPr>
        <w:t xml:space="preserve">rekonstrukcí nebo revitalizací </w:t>
      </w:r>
      <w:r w:rsidR="00775D14">
        <w:rPr>
          <w:rFonts w:asciiTheme="minorHAnsi" w:hAnsiTheme="minorHAnsi" w:cstheme="minorHAnsi"/>
        </w:rPr>
        <w:t>bezprostředně</w:t>
      </w:r>
      <w:r w:rsidRPr="00857846">
        <w:rPr>
          <w:rFonts w:asciiTheme="minorHAnsi" w:hAnsiTheme="minorHAnsi" w:cstheme="minorHAnsi"/>
        </w:rPr>
        <w:t xml:space="preserve"> po převzetí osobních nádraží, neboť připravenost stavebních akcí byla ze strany ČD z důvodu rozhodnutí o budoucím prodeji minimální</w:t>
      </w:r>
      <w:r w:rsidR="006B2AE6">
        <w:rPr>
          <w:rFonts w:asciiTheme="minorHAnsi" w:hAnsiTheme="minorHAnsi" w:cstheme="minorHAnsi"/>
        </w:rPr>
        <w:t xml:space="preserve">. SŽDC začala po převodu osobních nádraží z ČD realizovat osm větších komplexních oprav, které byly při převodu již připraveny a měly platné stavební </w:t>
      </w:r>
      <w:r w:rsidR="006B2AE6" w:rsidRPr="00426447">
        <w:rPr>
          <w:rFonts w:asciiTheme="minorHAnsi" w:hAnsiTheme="minorHAnsi" w:cstheme="minorHAnsi"/>
        </w:rPr>
        <w:t>povolení</w:t>
      </w:r>
      <w:r w:rsidR="006B2AE6">
        <w:rPr>
          <w:rFonts w:asciiTheme="minorHAnsi" w:hAnsiTheme="minorHAnsi" w:cstheme="minorHAnsi"/>
        </w:rPr>
        <w:t>.</w:t>
      </w:r>
      <w:r w:rsidR="00AA7FFB">
        <w:rPr>
          <w:rFonts w:asciiTheme="minorHAnsi" w:hAnsiTheme="minorHAnsi" w:cstheme="minorHAnsi"/>
        </w:rPr>
        <w:t xml:space="preserve"> </w:t>
      </w:r>
      <w:r w:rsidR="00F21624">
        <w:rPr>
          <w:rFonts w:asciiTheme="minorHAnsi" w:hAnsiTheme="minorHAnsi" w:cstheme="minorHAnsi"/>
        </w:rPr>
        <w:t>SŽDC ř</w:t>
      </w:r>
      <w:r w:rsidR="00AA7FFB">
        <w:rPr>
          <w:rFonts w:asciiTheme="minorHAnsi" w:hAnsiTheme="minorHAnsi" w:cstheme="minorHAnsi"/>
        </w:rPr>
        <w:t xml:space="preserve">ešila nejprve neodkladné stavební zásahy a drobné opravy, které měly nižší finanční náročnost.  </w:t>
      </w:r>
    </w:p>
    <w:p w14:paraId="7DB80C69" w14:textId="77777777" w:rsidR="0060549E" w:rsidRDefault="0060549E" w:rsidP="00302F69">
      <w:pPr>
        <w:rPr>
          <w:rFonts w:asciiTheme="minorHAnsi" w:hAnsiTheme="minorHAnsi" w:cstheme="minorHAnsi"/>
        </w:rPr>
      </w:pPr>
    </w:p>
    <w:p w14:paraId="18C10D7C" w14:textId="2DC1B398" w:rsidR="00AA7FFB" w:rsidRDefault="00AA7FFB" w:rsidP="00302F69">
      <w:pPr>
        <w:rPr>
          <w:rFonts w:asciiTheme="minorHAnsi" w:hAnsiTheme="minorHAnsi" w:cstheme="minorHAnsi"/>
        </w:rPr>
      </w:pPr>
      <w:r>
        <w:rPr>
          <w:rFonts w:asciiTheme="minorHAnsi" w:hAnsiTheme="minorHAnsi" w:cstheme="minorHAnsi"/>
        </w:rPr>
        <w:t>Dalšími důvody nižšího</w:t>
      </w:r>
      <w:r w:rsidR="00860D8F">
        <w:rPr>
          <w:rFonts w:asciiTheme="minorHAnsi" w:hAnsiTheme="minorHAnsi" w:cstheme="minorHAnsi"/>
        </w:rPr>
        <w:t xml:space="preserve"> č</w:t>
      </w:r>
      <w:r>
        <w:rPr>
          <w:rFonts w:asciiTheme="minorHAnsi" w:hAnsiTheme="minorHAnsi" w:cstheme="minorHAnsi"/>
        </w:rPr>
        <w:t xml:space="preserve">erpání </w:t>
      </w:r>
      <w:r w:rsidR="00860D8F">
        <w:rPr>
          <w:rFonts w:asciiTheme="minorHAnsi" w:hAnsiTheme="minorHAnsi" w:cstheme="minorHAnsi"/>
        </w:rPr>
        <w:t xml:space="preserve">finančních prostředků </w:t>
      </w:r>
      <w:r w:rsidR="00302F69">
        <w:rPr>
          <w:rFonts w:asciiTheme="minorHAnsi" w:hAnsiTheme="minorHAnsi" w:cstheme="minorHAnsi"/>
        </w:rPr>
        <w:t>byly</w:t>
      </w:r>
      <w:r>
        <w:rPr>
          <w:rFonts w:asciiTheme="minorHAnsi" w:hAnsiTheme="minorHAnsi" w:cstheme="minorHAnsi"/>
        </w:rPr>
        <w:t xml:space="preserve"> průtahy ve stavebních a zadávacích ř</w:t>
      </w:r>
      <w:r w:rsidR="00BC2772">
        <w:rPr>
          <w:rFonts w:asciiTheme="minorHAnsi" w:hAnsiTheme="minorHAnsi" w:cstheme="minorHAnsi"/>
        </w:rPr>
        <w:t>ízeních. V důsledku toho došlo k</w:t>
      </w:r>
      <w:r>
        <w:rPr>
          <w:rFonts w:asciiTheme="minorHAnsi" w:hAnsiTheme="minorHAnsi" w:cstheme="minorHAnsi"/>
        </w:rPr>
        <w:t xml:space="preserve"> posunutí termínů realizace stavebních akcí. </w:t>
      </w:r>
    </w:p>
    <w:p w14:paraId="412F12E8" w14:textId="77777777" w:rsidR="00DA7851" w:rsidRPr="00DA7851" w:rsidRDefault="00DA7851" w:rsidP="00302F69">
      <w:pPr>
        <w:rPr>
          <w:rFonts w:asciiTheme="minorHAnsi" w:hAnsiTheme="minorHAnsi" w:cstheme="minorHAnsi"/>
        </w:rPr>
      </w:pPr>
      <w:r w:rsidRPr="00DA7851">
        <w:rPr>
          <w:rFonts w:asciiTheme="minorHAnsi" w:hAnsiTheme="minorHAnsi" w:cstheme="minorHAnsi"/>
        </w:rPr>
        <w:t xml:space="preserve">Přehled </w:t>
      </w:r>
      <w:r>
        <w:rPr>
          <w:rFonts w:asciiTheme="minorHAnsi" w:hAnsiTheme="minorHAnsi" w:cstheme="minorHAnsi"/>
        </w:rPr>
        <w:t xml:space="preserve">jednotlivých stavebních akcí osobních nádraží po jednotlivých </w:t>
      </w:r>
      <w:r w:rsidR="00CA5A39">
        <w:rPr>
          <w:rFonts w:asciiTheme="minorHAnsi" w:hAnsiTheme="minorHAnsi" w:cstheme="minorHAnsi"/>
        </w:rPr>
        <w:t>letech je uveden v příloze č. 1 tohoto kontrolního závěru.</w:t>
      </w:r>
    </w:p>
    <w:p w14:paraId="45F52559" w14:textId="77777777" w:rsidR="00DA7851" w:rsidRDefault="00DA7851" w:rsidP="00A172D2">
      <w:pPr>
        <w:rPr>
          <w:rFonts w:asciiTheme="minorHAnsi" w:hAnsiTheme="minorHAnsi" w:cstheme="minorHAnsi"/>
          <w:highlight w:val="yellow"/>
        </w:rPr>
      </w:pPr>
    </w:p>
    <w:p w14:paraId="68A6A3B7" w14:textId="7B1394DF" w:rsidR="008B0AA5" w:rsidRDefault="00766624" w:rsidP="0001419F">
      <w:r>
        <w:t>V Programu 2018–</w:t>
      </w:r>
      <w:r w:rsidR="008B0AA5">
        <w:t>2022 bylo uvedeno, že SŽDC bude v </w:t>
      </w:r>
      <w:r w:rsidR="00D27CCF">
        <w:t>letech 2017–</w:t>
      </w:r>
      <w:r w:rsidR="002C25A7">
        <w:t>2022</w:t>
      </w:r>
      <w:r w:rsidR="008B0AA5">
        <w:t xml:space="preserve"> čerpat předpokládané finanční objemy uvedené v tabulce č. </w:t>
      </w:r>
      <w:r w:rsidR="006F44A7">
        <w:t>1</w:t>
      </w:r>
      <w:r w:rsidR="000501B7">
        <w:t>.</w:t>
      </w:r>
    </w:p>
    <w:p w14:paraId="5BE3A242" w14:textId="77777777" w:rsidR="007A3BF1" w:rsidRDefault="007A3BF1" w:rsidP="00A172D2"/>
    <w:p w14:paraId="46D4A4B4" w14:textId="550EF6D1" w:rsidR="008B0AA5" w:rsidRPr="00A172D2" w:rsidRDefault="00A172D2" w:rsidP="005C5562">
      <w:pPr>
        <w:keepNext/>
        <w:widowControl w:val="0"/>
        <w:spacing w:after="40"/>
        <w:ind w:left="1418" w:hanging="1418"/>
        <w:rPr>
          <w:rFonts w:asciiTheme="minorHAnsi" w:eastAsia="Tahoma" w:hAnsiTheme="minorHAnsi" w:cstheme="minorHAnsi"/>
          <w:b/>
          <w:color w:val="000000" w:themeColor="text1"/>
        </w:rPr>
      </w:pPr>
      <w:r>
        <w:rPr>
          <w:rFonts w:asciiTheme="minorHAnsi" w:eastAsia="Tahoma" w:hAnsiTheme="minorHAnsi" w:cstheme="minorHAnsi"/>
          <w:b/>
          <w:iCs/>
          <w:color w:val="000000"/>
        </w:rPr>
        <w:t>Tabulka č. </w:t>
      </w:r>
      <w:r w:rsidR="006F44A7" w:rsidRPr="00A172D2">
        <w:rPr>
          <w:rFonts w:asciiTheme="minorHAnsi" w:eastAsia="Tahoma" w:hAnsiTheme="minorHAnsi" w:cstheme="minorHAnsi"/>
          <w:b/>
          <w:iCs/>
          <w:color w:val="000000"/>
        </w:rPr>
        <w:t>1</w:t>
      </w:r>
      <w:r>
        <w:rPr>
          <w:rFonts w:asciiTheme="minorHAnsi" w:eastAsia="Tahoma" w:hAnsiTheme="minorHAnsi" w:cstheme="minorHAnsi"/>
          <w:b/>
          <w:iCs/>
          <w:color w:val="000000"/>
        </w:rPr>
        <w:t xml:space="preserve">: </w:t>
      </w:r>
      <w:r w:rsidR="00EF1487">
        <w:rPr>
          <w:rFonts w:asciiTheme="minorHAnsi" w:eastAsia="Tahoma" w:hAnsiTheme="minorHAnsi" w:cstheme="minorHAnsi"/>
          <w:b/>
          <w:iCs/>
          <w:color w:val="000000"/>
        </w:rPr>
        <w:tab/>
      </w:r>
      <w:r w:rsidR="008B0AA5" w:rsidRPr="00A172D2">
        <w:rPr>
          <w:rFonts w:asciiTheme="minorHAnsi" w:eastAsia="Tahoma" w:hAnsiTheme="minorHAnsi" w:cstheme="minorHAnsi"/>
          <w:b/>
          <w:iCs/>
          <w:color w:val="000000"/>
        </w:rPr>
        <w:t>Přehled předpokládaných finančních objemů (správa, op</w:t>
      </w:r>
      <w:r w:rsidR="00C74086" w:rsidRPr="00A172D2">
        <w:rPr>
          <w:rFonts w:asciiTheme="minorHAnsi" w:eastAsia="Tahoma" w:hAnsiTheme="minorHAnsi" w:cstheme="minorHAnsi"/>
          <w:b/>
          <w:iCs/>
          <w:color w:val="000000"/>
        </w:rPr>
        <w:t xml:space="preserve">ravy a investice) </w:t>
      </w:r>
      <w:r w:rsidR="007661E5" w:rsidRPr="00A172D2">
        <w:rPr>
          <w:rFonts w:asciiTheme="minorHAnsi" w:eastAsia="Tahoma" w:hAnsiTheme="minorHAnsi" w:cstheme="minorHAnsi"/>
          <w:b/>
          <w:iCs/>
          <w:color w:val="000000"/>
        </w:rPr>
        <w:t>dle Programu 2018</w:t>
      </w:r>
      <w:r w:rsidR="007661E5" w:rsidRPr="00A172D2">
        <w:rPr>
          <w:b/>
        </w:rPr>
        <w:t>–</w:t>
      </w:r>
      <w:r w:rsidR="007661E5" w:rsidRPr="00A172D2">
        <w:rPr>
          <w:rFonts w:asciiTheme="minorHAnsi" w:eastAsia="Tahoma" w:hAnsiTheme="minorHAnsi" w:cstheme="minorHAnsi"/>
          <w:b/>
          <w:iCs/>
          <w:color w:val="000000"/>
        </w:rPr>
        <w:t>2022</w:t>
      </w:r>
      <w:r w:rsidR="007661E5">
        <w:rPr>
          <w:rFonts w:asciiTheme="minorHAnsi" w:eastAsia="Tahoma" w:hAnsiTheme="minorHAnsi" w:cstheme="minorHAnsi"/>
          <w:b/>
          <w:iCs/>
          <w:color w:val="000000"/>
        </w:rPr>
        <w:t xml:space="preserve"> </w:t>
      </w:r>
      <w:r w:rsidR="00C74086" w:rsidRPr="00A172D2">
        <w:rPr>
          <w:rFonts w:asciiTheme="minorHAnsi" w:eastAsia="Tahoma" w:hAnsiTheme="minorHAnsi" w:cstheme="minorHAnsi"/>
          <w:b/>
          <w:iCs/>
          <w:color w:val="000000"/>
        </w:rPr>
        <w:t>v </w:t>
      </w:r>
      <w:r w:rsidR="00766624" w:rsidRPr="00A172D2">
        <w:rPr>
          <w:rFonts w:asciiTheme="minorHAnsi" w:eastAsia="Tahoma" w:hAnsiTheme="minorHAnsi" w:cstheme="minorHAnsi"/>
          <w:b/>
          <w:iCs/>
          <w:color w:val="000000"/>
        </w:rPr>
        <w:t>letech 2017</w:t>
      </w:r>
      <w:r w:rsidR="00766624" w:rsidRPr="00A172D2">
        <w:rPr>
          <w:b/>
        </w:rPr>
        <w:t>–</w:t>
      </w:r>
      <w:r w:rsidR="008B0AA5" w:rsidRPr="00A172D2">
        <w:rPr>
          <w:rFonts w:asciiTheme="minorHAnsi" w:eastAsia="Tahoma" w:hAnsiTheme="minorHAnsi" w:cstheme="minorHAnsi"/>
          <w:b/>
          <w:iCs/>
          <w:color w:val="000000"/>
        </w:rPr>
        <w:t>2022</w:t>
      </w:r>
      <w:r w:rsidR="00766624" w:rsidRPr="00A172D2">
        <w:rPr>
          <w:rFonts w:asciiTheme="minorHAnsi" w:eastAsia="Tahoma" w:hAnsiTheme="minorHAnsi" w:cstheme="minorHAnsi"/>
          <w:b/>
          <w:iCs/>
          <w:color w:val="000000"/>
        </w:rPr>
        <w:t xml:space="preserve"> (v mil. Kč)</w:t>
      </w:r>
    </w:p>
    <w:tbl>
      <w:tblPr>
        <w:tblOverlap w:val="never"/>
        <w:tblW w:w="9129" w:type="dxa"/>
        <w:jc w:val="center"/>
        <w:tblLayout w:type="fixed"/>
        <w:tblCellMar>
          <w:left w:w="10" w:type="dxa"/>
          <w:right w:w="10" w:type="dxa"/>
        </w:tblCellMar>
        <w:tblLook w:val="04A0" w:firstRow="1" w:lastRow="0" w:firstColumn="1" w:lastColumn="0" w:noHBand="0" w:noVBand="1"/>
      </w:tblPr>
      <w:tblGrid>
        <w:gridCol w:w="1320"/>
        <w:gridCol w:w="1315"/>
        <w:gridCol w:w="1435"/>
        <w:gridCol w:w="1219"/>
        <w:gridCol w:w="1253"/>
        <w:gridCol w:w="1253"/>
        <w:gridCol w:w="1334"/>
      </w:tblGrid>
      <w:tr w:rsidR="008B0AA5" w:rsidRPr="00EF1487" w14:paraId="067780D5" w14:textId="77777777" w:rsidTr="00EF1487">
        <w:trPr>
          <w:trHeight w:val="283"/>
          <w:jc w:val="center"/>
        </w:trPr>
        <w:tc>
          <w:tcPr>
            <w:tcW w:w="1320" w:type="dxa"/>
            <w:tcBorders>
              <w:top w:val="single" w:sz="4" w:space="0" w:color="auto"/>
              <w:left w:val="single" w:sz="4" w:space="0" w:color="auto"/>
              <w:bottom w:val="nil"/>
              <w:right w:val="nil"/>
            </w:tcBorders>
            <w:shd w:val="clear" w:color="auto" w:fill="E5F1FF"/>
            <w:vAlign w:val="center"/>
            <w:hideMark/>
          </w:tcPr>
          <w:p w14:paraId="66BF685A" w14:textId="77777777" w:rsidR="008B0AA5" w:rsidRPr="00EF1487" w:rsidRDefault="008B0AA5" w:rsidP="00EF1487">
            <w:pPr>
              <w:widowControl w:val="0"/>
              <w:jc w:val="center"/>
              <w:rPr>
                <w:rFonts w:eastAsia="Arial" w:cs="Calibri"/>
                <w:b/>
                <w:sz w:val="20"/>
                <w:szCs w:val="20"/>
              </w:rPr>
            </w:pPr>
            <w:r w:rsidRPr="00EF1487">
              <w:rPr>
                <w:rFonts w:eastAsia="Tahoma" w:cs="Calibri"/>
                <w:b/>
                <w:iCs/>
                <w:color w:val="000000"/>
                <w:sz w:val="20"/>
                <w:szCs w:val="20"/>
              </w:rPr>
              <w:t>2017</w:t>
            </w:r>
          </w:p>
          <w:p w14:paraId="5813322A"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předpoklad čerpání SFDI</w:t>
            </w:r>
          </w:p>
        </w:tc>
        <w:tc>
          <w:tcPr>
            <w:tcW w:w="1315" w:type="dxa"/>
            <w:tcBorders>
              <w:top w:val="single" w:sz="4" w:space="0" w:color="auto"/>
              <w:left w:val="single" w:sz="4" w:space="0" w:color="auto"/>
              <w:bottom w:val="nil"/>
              <w:right w:val="nil"/>
            </w:tcBorders>
            <w:shd w:val="clear" w:color="auto" w:fill="E5F1FF"/>
            <w:vAlign w:val="center"/>
            <w:hideMark/>
          </w:tcPr>
          <w:p w14:paraId="73785D8E"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2018</w:t>
            </w:r>
          </w:p>
          <w:p w14:paraId="6BAA0ACB"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požadavky na SFDI</w:t>
            </w:r>
          </w:p>
        </w:tc>
        <w:tc>
          <w:tcPr>
            <w:tcW w:w="1435" w:type="dxa"/>
            <w:tcBorders>
              <w:top w:val="single" w:sz="4" w:space="0" w:color="auto"/>
              <w:left w:val="single" w:sz="4" w:space="0" w:color="auto"/>
              <w:bottom w:val="nil"/>
              <w:right w:val="nil"/>
            </w:tcBorders>
            <w:shd w:val="clear" w:color="auto" w:fill="E5F1FF"/>
            <w:vAlign w:val="center"/>
            <w:hideMark/>
          </w:tcPr>
          <w:p w14:paraId="756CF179"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2019</w:t>
            </w:r>
          </w:p>
          <w:p w14:paraId="6F78A62A"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požadavky na SFDI</w:t>
            </w:r>
          </w:p>
        </w:tc>
        <w:tc>
          <w:tcPr>
            <w:tcW w:w="1219" w:type="dxa"/>
            <w:tcBorders>
              <w:top w:val="single" w:sz="4" w:space="0" w:color="auto"/>
              <w:left w:val="single" w:sz="4" w:space="0" w:color="auto"/>
              <w:bottom w:val="nil"/>
              <w:right w:val="nil"/>
            </w:tcBorders>
            <w:shd w:val="clear" w:color="auto" w:fill="E5F1FF"/>
            <w:vAlign w:val="center"/>
            <w:hideMark/>
          </w:tcPr>
          <w:p w14:paraId="028B992A"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2020</w:t>
            </w:r>
          </w:p>
          <w:p w14:paraId="407F9622"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požadavky na SFDI</w:t>
            </w:r>
          </w:p>
        </w:tc>
        <w:tc>
          <w:tcPr>
            <w:tcW w:w="1253" w:type="dxa"/>
            <w:tcBorders>
              <w:top w:val="single" w:sz="4" w:space="0" w:color="auto"/>
              <w:left w:val="single" w:sz="4" w:space="0" w:color="auto"/>
              <w:bottom w:val="nil"/>
              <w:right w:val="nil"/>
            </w:tcBorders>
            <w:shd w:val="clear" w:color="auto" w:fill="E5F1FF"/>
            <w:vAlign w:val="center"/>
            <w:hideMark/>
          </w:tcPr>
          <w:p w14:paraId="79AF60D4"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2021</w:t>
            </w:r>
          </w:p>
          <w:p w14:paraId="5822AAFC"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požadavky na SFDI</w:t>
            </w:r>
          </w:p>
        </w:tc>
        <w:tc>
          <w:tcPr>
            <w:tcW w:w="1253" w:type="dxa"/>
            <w:tcBorders>
              <w:top w:val="single" w:sz="4" w:space="0" w:color="auto"/>
              <w:left w:val="single" w:sz="4" w:space="0" w:color="auto"/>
              <w:bottom w:val="nil"/>
              <w:right w:val="nil"/>
            </w:tcBorders>
            <w:shd w:val="clear" w:color="auto" w:fill="E5F1FF"/>
            <w:vAlign w:val="center"/>
            <w:hideMark/>
          </w:tcPr>
          <w:p w14:paraId="45067D0F"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2022</w:t>
            </w:r>
          </w:p>
          <w:p w14:paraId="24F8776D"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požadavky na SFDI</w:t>
            </w:r>
          </w:p>
        </w:tc>
        <w:tc>
          <w:tcPr>
            <w:tcW w:w="1334" w:type="dxa"/>
            <w:tcBorders>
              <w:top w:val="single" w:sz="4" w:space="0" w:color="auto"/>
              <w:left w:val="single" w:sz="4" w:space="0" w:color="auto"/>
              <w:bottom w:val="nil"/>
              <w:right w:val="single" w:sz="4" w:space="0" w:color="auto"/>
            </w:tcBorders>
            <w:shd w:val="clear" w:color="auto" w:fill="E5F1FF"/>
            <w:vAlign w:val="center"/>
            <w:hideMark/>
          </w:tcPr>
          <w:p w14:paraId="6B0A554E" w14:textId="77777777" w:rsidR="008B0AA5" w:rsidRPr="00EF1487" w:rsidRDefault="008B0AA5" w:rsidP="00EF1487">
            <w:pPr>
              <w:widowControl w:val="0"/>
              <w:jc w:val="center"/>
              <w:rPr>
                <w:rFonts w:eastAsia="Arial" w:cs="Calibri"/>
                <w:b/>
                <w:sz w:val="20"/>
                <w:szCs w:val="20"/>
              </w:rPr>
            </w:pPr>
            <w:r w:rsidRPr="00EF1487">
              <w:rPr>
                <w:rFonts w:eastAsia="Tahoma" w:cs="Calibri"/>
                <w:b/>
                <w:color w:val="000000"/>
                <w:sz w:val="20"/>
                <w:szCs w:val="20"/>
              </w:rPr>
              <w:t>CELKEM</w:t>
            </w:r>
          </w:p>
        </w:tc>
      </w:tr>
      <w:tr w:rsidR="008B0AA5" w:rsidRPr="00EF1487" w14:paraId="78178F4B" w14:textId="77777777" w:rsidTr="00EF1487">
        <w:trPr>
          <w:trHeight w:val="283"/>
          <w:jc w:val="center"/>
        </w:trPr>
        <w:tc>
          <w:tcPr>
            <w:tcW w:w="1320" w:type="dxa"/>
            <w:tcBorders>
              <w:top w:val="single" w:sz="4" w:space="0" w:color="auto"/>
              <w:left w:val="single" w:sz="4" w:space="0" w:color="auto"/>
              <w:bottom w:val="single" w:sz="4" w:space="0" w:color="auto"/>
              <w:right w:val="nil"/>
            </w:tcBorders>
            <w:shd w:val="clear" w:color="auto" w:fill="FFFFFF"/>
            <w:vAlign w:val="center"/>
            <w:hideMark/>
          </w:tcPr>
          <w:p w14:paraId="319629A5" w14:textId="77777777" w:rsidR="008B0AA5" w:rsidRPr="00EF1487" w:rsidRDefault="008B0AA5" w:rsidP="00EF1487">
            <w:pPr>
              <w:widowControl w:val="0"/>
              <w:jc w:val="center"/>
              <w:rPr>
                <w:rFonts w:eastAsia="Arial" w:cs="Calibri"/>
                <w:sz w:val="20"/>
                <w:szCs w:val="20"/>
              </w:rPr>
            </w:pPr>
            <w:r w:rsidRPr="00EF1487">
              <w:rPr>
                <w:rFonts w:eastAsia="Calibri" w:cs="Calibri"/>
                <w:color w:val="000000"/>
                <w:sz w:val="20"/>
                <w:szCs w:val="20"/>
              </w:rPr>
              <w:t>1 085</w:t>
            </w:r>
          </w:p>
        </w:tc>
        <w:tc>
          <w:tcPr>
            <w:tcW w:w="1315" w:type="dxa"/>
            <w:tcBorders>
              <w:top w:val="single" w:sz="4" w:space="0" w:color="auto"/>
              <w:left w:val="single" w:sz="4" w:space="0" w:color="auto"/>
              <w:bottom w:val="single" w:sz="4" w:space="0" w:color="auto"/>
              <w:right w:val="nil"/>
            </w:tcBorders>
            <w:shd w:val="clear" w:color="auto" w:fill="FFFFFF"/>
            <w:vAlign w:val="center"/>
            <w:hideMark/>
          </w:tcPr>
          <w:p w14:paraId="68C8769B" w14:textId="77777777" w:rsidR="008B0AA5" w:rsidRPr="00EF1487" w:rsidRDefault="008B0AA5" w:rsidP="00EF1487">
            <w:pPr>
              <w:widowControl w:val="0"/>
              <w:jc w:val="center"/>
              <w:rPr>
                <w:rFonts w:eastAsia="Arial" w:cs="Calibri"/>
                <w:sz w:val="20"/>
                <w:szCs w:val="20"/>
              </w:rPr>
            </w:pPr>
            <w:r w:rsidRPr="00EF1487">
              <w:rPr>
                <w:rFonts w:eastAsia="Calibri" w:cs="Calibri"/>
                <w:color w:val="000000"/>
                <w:sz w:val="20"/>
                <w:szCs w:val="20"/>
              </w:rPr>
              <w:t>1 362</w:t>
            </w:r>
          </w:p>
        </w:tc>
        <w:tc>
          <w:tcPr>
            <w:tcW w:w="1435" w:type="dxa"/>
            <w:tcBorders>
              <w:top w:val="single" w:sz="4" w:space="0" w:color="auto"/>
              <w:left w:val="single" w:sz="4" w:space="0" w:color="auto"/>
              <w:bottom w:val="single" w:sz="4" w:space="0" w:color="auto"/>
              <w:right w:val="nil"/>
            </w:tcBorders>
            <w:shd w:val="clear" w:color="auto" w:fill="FFFFFF"/>
            <w:vAlign w:val="center"/>
            <w:hideMark/>
          </w:tcPr>
          <w:p w14:paraId="6D7B0613" w14:textId="77777777" w:rsidR="008B0AA5" w:rsidRPr="00EF1487" w:rsidRDefault="008B0AA5" w:rsidP="00EF1487">
            <w:pPr>
              <w:widowControl w:val="0"/>
              <w:jc w:val="center"/>
              <w:rPr>
                <w:rFonts w:eastAsia="Arial" w:cs="Calibri"/>
                <w:sz w:val="20"/>
                <w:szCs w:val="20"/>
              </w:rPr>
            </w:pPr>
            <w:r w:rsidRPr="00EF1487">
              <w:rPr>
                <w:rFonts w:eastAsia="Calibri" w:cs="Calibri"/>
                <w:color w:val="000000"/>
                <w:sz w:val="20"/>
                <w:szCs w:val="20"/>
              </w:rPr>
              <w:t>1 661</w:t>
            </w:r>
          </w:p>
        </w:tc>
        <w:tc>
          <w:tcPr>
            <w:tcW w:w="1219" w:type="dxa"/>
            <w:tcBorders>
              <w:top w:val="single" w:sz="4" w:space="0" w:color="auto"/>
              <w:left w:val="single" w:sz="4" w:space="0" w:color="auto"/>
              <w:bottom w:val="single" w:sz="4" w:space="0" w:color="auto"/>
              <w:right w:val="nil"/>
            </w:tcBorders>
            <w:shd w:val="clear" w:color="auto" w:fill="FFFFFF"/>
            <w:vAlign w:val="center"/>
            <w:hideMark/>
          </w:tcPr>
          <w:p w14:paraId="23A50B14" w14:textId="77777777" w:rsidR="008B0AA5" w:rsidRPr="00EF1487" w:rsidRDefault="008B0AA5" w:rsidP="00EF1487">
            <w:pPr>
              <w:widowControl w:val="0"/>
              <w:jc w:val="center"/>
              <w:rPr>
                <w:rFonts w:eastAsia="Arial" w:cs="Calibri"/>
                <w:sz w:val="20"/>
                <w:szCs w:val="20"/>
              </w:rPr>
            </w:pPr>
            <w:r w:rsidRPr="00EF1487">
              <w:rPr>
                <w:rFonts w:eastAsia="Calibri" w:cs="Calibri"/>
                <w:color w:val="000000"/>
                <w:sz w:val="20"/>
                <w:szCs w:val="20"/>
              </w:rPr>
              <w:t>1 683</w:t>
            </w:r>
          </w:p>
        </w:tc>
        <w:tc>
          <w:tcPr>
            <w:tcW w:w="1253" w:type="dxa"/>
            <w:tcBorders>
              <w:top w:val="single" w:sz="4" w:space="0" w:color="auto"/>
              <w:left w:val="single" w:sz="4" w:space="0" w:color="auto"/>
              <w:bottom w:val="single" w:sz="4" w:space="0" w:color="auto"/>
              <w:right w:val="nil"/>
            </w:tcBorders>
            <w:shd w:val="clear" w:color="auto" w:fill="FFFFFF"/>
            <w:vAlign w:val="center"/>
            <w:hideMark/>
          </w:tcPr>
          <w:p w14:paraId="0DA6C1A1" w14:textId="77777777" w:rsidR="008B0AA5" w:rsidRPr="00EF1487" w:rsidRDefault="008B0AA5" w:rsidP="00EF1487">
            <w:pPr>
              <w:widowControl w:val="0"/>
              <w:jc w:val="center"/>
              <w:rPr>
                <w:rFonts w:eastAsia="Arial" w:cs="Calibri"/>
                <w:sz w:val="20"/>
                <w:szCs w:val="20"/>
              </w:rPr>
            </w:pPr>
            <w:r w:rsidRPr="00EF1487">
              <w:rPr>
                <w:rFonts w:eastAsia="Calibri" w:cs="Calibri"/>
                <w:color w:val="000000"/>
                <w:sz w:val="20"/>
                <w:szCs w:val="20"/>
              </w:rPr>
              <w:t>1 550</w:t>
            </w:r>
          </w:p>
        </w:tc>
        <w:tc>
          <w:tcPr>
            <w:tcW w:w="1253" w:type="dxa"/>
            <w:tcBorders>
              <w:top w:val="single" w:sz="4" w:space="0" w:color="auto"/>
              <w:left w:val="single" w:sz="4" w:space="0" w:color="auto"/>
              <w:bottom w:val="single" w:sz="4" w:space="0" w:color="auto"/>
              <w:right w:val="nil"/>
            </w:tcBorders>
            <w:shd w:val="clear" w:color="auto" w:fill="FFFFFF"/>
            <w:vAlign w:val="center"/>
            <w:hideMark/>
          </w:tcPr>
          <w:p w14:paraId="515EFC47" w14:textId="77777777" w:rsidR="008B0AA5" w:rsidRPr="00EF1487" w:rsidRDefault="008B0AA5" w:rsidP="00EF1487">
            <w:pPr>
              <w:widowControl w:val="0"/>
              <w:jc w:val="center"/>
              <w:rPr>
                <w:rFonts w:eastAsia="Arial" w:cs="Calibri"/>
                <w:sz w:val="20"/>
                <w:szCs w:val="20"/>
              </w:rPr>
            </w:pPr>
            <w:r w:rsidRPr="00EF1487">
              <w:rPr>
                <w:rFonts w:eastAsia="Calibri" w:cs="Calibri"/>
                <w:color w:val="000000"/>
                <w:sz w:val="20"/>
                <w:szCs w:val="20"/>
              </w:rPr>
              <w:t>1 500</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111E0" w14:textId="77777777" w:rsidR="008B0AA5" w:rsidRPr="00EF1487" w:rsidRDefault="008B0AA5" w:rsidP="00EF1487">
            <w:pPr>
              <w:widowControl w:val="0"/>
              <w:jc w:val="center"/>
              <w:rPr>
                <w:rFonts w:eastAsia="Arial" w:cs="Calibri"/>
                <w:sz w:val="20"/>
                <w:szCs w:val="20"/>
              </w:rPr>
            </w:pPr>
            <w:r w:rsidRPr="00EF1487">
              <w:rPr>
                <w:rFonts w:eastAsia="Calibri" w:cs="Calibri"/>
                <w:color w:val="000000"/>
                <w:sz w:val="20"/>
                <w:szCs w:val="20"/>
              </w:rPr>
              <w:t>8 841</w:t>
            </w:r>
          </w:p>
        </w:tc>
      </w:tr>
    </w:tbl>
    <w:p w14:paraId="3AE1370B" w14:textId="65C44395" w:rsidR="0086268D" w:rsidRPr="00EF1487" w:rsidRDefault="0086268D" w:rsidP="00EF1487">
      <w:pPr>
        <w:pStyle w:val="Titulektabulky0"/>
        <w:shd w:val="clear" w:color="auto" w:fill="auto"/>
        <w:spacing w:before="40"/>
        <w:jc w:val="both"/>
        <w:rPr>
          <w:rFonts w:asciiTheme="minorHAnsi" w:hAnsiTheme="minorHAnsi" w:cstheme="minorHAnsi"/>
          <w:color w:val="auto"/>
          <w:szCs w:val="16"/>
          <w:u w:val="none"/>
          <w:lang w:bidi="cs-CZ"/>
        </w:rPr>
      </w:pPr>
      <w:r w:rsidRPr="00EF1487">
        <w:rPr>
          <w:rFonts w:asciiTheme="minorHAnsi" w:hAnsiTheme="minorHAnsi" w:cstheme="minorHAnsi"/>
          <w:b/>
          <w:color w:val="auto"/>
          <w:szCs w:val="16"/>
          <w:u w:val="none"/>
          <w:lang w:bidi="cs-CZ"/>
        </w:rPr>
        <w:t xml:space="preserve">Zdroj: </w:t>
      </w:r>
      <w:r w:rsidRPr="00EF1487">
        <w:rPr>
          <w:rFonts w:asciiTheme="minorHAnsi" w:hAnsiTheme="minorHAnsi" w:cstheme="minorHAnsi"/>
          <w:color w:val="auto"/>
          <w:szCs w:val="16"/>
          <w:u w:val="none"/>
          <w:lang w:bidi="cs-CZ"/>
        </w:rPr>
        <w:t>Pro</w:t>
      </w:r>
      <w:r w:rsidR="007F31F0" w:rsidRPr="00EF1487">
        <w:rPr>
          <w:rFonts w:asciiTheme="minorHAnsi" w:hAnsiTheme="minorHAnsi" w:cstheme="minorHAnsi"/>
          <w:color w:val="auto"/>
          <w:szCs w:val="16"/>
          <w:u w:val="none"/>
          <w:lang w:bidi="cs-CZ"/>
        </w:rPr>
        <w:t>gram</w:t>
      </w:r>
      <w:r w:rsidRPr="00EF1487">
        <w:rPr>
          <w:rFonts w:asciiTheme="minorHAnsi" w:hAnsiTheme="minorHAnsi" w:cstheme="minorHAnsi"/>
          <w:color w:val="auto"/>
          <w:szCs w:val="16"/>
          <w:u w:val="none"/>
          <w:lang w:bidi="cs-CZ"/>
        </w:rPr>
        <w:t xml:space="preserve"> 20</w:t>
      </w:r>
      <w:r w:rsidR="00C74086" w:rsidRPr="00EF1487">
        <w:rPr>
          <w:rFonts w:asciiTheme="minorHAnsi" w:hAnsiTheme="minorHAnsi" w:cstheme="minorHAnsi"/>
          <w:color w:val="auto"/>
          <w:szCs w:val="16"/>
          <w:u w:val="none"/>
          <w:lang w:bidi="cs-CZ"/>
        </w:rPr>
        <w:t>18</w:t>
      </w:r>
      <w:r w:rsidR="00E1315E" w:rsidRPr="00EF1487">
        <w:rPr>
          <w:rFonts w:asciiTheme="minorHAnsi" w:hAnsiTheme="minorHAnsi" w:cstheme="minorHAnsi"/>
          <w:color w:val="auto"/>
          <w:szCs w:val="16"/>
          <w:u w:val="none"/>
          <w:lang w:bidi="cs-CZ"/>
        </w:rPr>
        <w:t>–</w:t>
      </w:r>
      <w:r w:rsidRPr="00EF1487">
        <w:rPr>
          <w:rFonts w:asciiTheme="minorHAnsi" w:hAnsiTheme="minorHAnsi" w:cstheme="minorHAnsi"/>
          <w:color w:val="auto"/>
          <w:szCs w:val="16"/>
          <w:u w:val="none"/>
          <w:lang w:bidi="cs-CZ"/>
        </w:rPr>
        <w:t>2022</w:t>
      </w:r>
      <w:r w:rsidR="00C74086" w:rsidRPr="00EF1487">
        <w:rPr>
          <w:rFonts w:asciiTheme="minorHAnsi" w:hAnsiTheme="minorHAnsi" w:cstheme="minorHAnsi"/>
          <w:color w:val="auto"/>
          <w:szCs w:val="16"/>
          <w:u w:val="none"/>
          <w:lang w:bidi="cs-CZ"/>
        </w:rPr>
        <w:t>.</w:t>
      </w:r>
    </w:p>
    <w:p w14:paraId="6D097224" w14:textId="77777777" w:rsidR="008B0AA5" w:rsidRDefault="008B0AA5" w:rsidP="00EF1487"/>
    <w:p w14:paraId="1E6CC46B" w14:textId="3561935B" w:rsidR="00367008" w:rsidRDefault="008B0AA5" w:rsidP="00EF1487">
      <w:pPr>
        <w:rPr>
          <w:rFonts w:asciiTheme="minorHAnsi" w:hAnsiTheme="minorHAnsi" w:cstheme="minorHAnsi"/>
        </w:rPr>
      </w:pPr>
      <w:r w:rsidRPr="008B0AA5">
        <w:rPr>
          <w:rFonts w:asciiTheme="minorHAnsi" w:hAnsiTheme="minorHAnsi" w:cstheme="minorHAnsi"/>
        </w:rPr>
        <w:t>SŽDC doložila celkové</w:t>
      </w:r>
      <w:r w:rsidR="0035138B">
        <w:rPr>
          <w:rFonts w:asciiTheme="minorHAnsi" w:hAnsiTheme="minorHAnsi" w:cstheme="minorHAnsi"/>
        </w:rPr>
        <w:t xml:space="preserve"> skutečné čerpání v letech 2017–</w:t>
      </w:r>
      <w:r w:rsidRPr="008B0AA5">
        <w:rPr>
          <w:rFonts w:asciiTheme="minorHAnsi" w:hAnsiTheme="minorHAnsi" w:cstheme="minorHAnsi"/>
        </w:rPr>
        <w:t xml:space="preserve">2019 na stavby osobních nádraží </w:t>
      </w:r>
      <w:r w:rsidR="003D2081">
        <w:rPr>
          <w:rFonts w:asciiTheme="minorHAnsi" w:hAnsiTheme="minorHAnsi" w:cstheme="minorHAnsi"/>
        </w:rPr>
        <w:t xml:space="preserve">ve výši 2 650,27 mil. Kč </w:t>
      </w:r>
      <w:r w:rsidR="007661E5">
        <w:rPr>
          <w:rFonts w:asciiTheme="minorHAnsi" w:hAnsiTheme="minorHAnsi" w:cstheme="minorHAnsi"/>
        </w:rPr>
        <w:t xml:space="preserve">– </w:t>
      </w:r>
      <w:r w:rsidRPr="008B0AA5">
        <w:rPr>
          <w:rFonts w:asciiTheme="minorHAnsi" w:hAnsiTheme="minorHAnsi" w:cstheme="minorHAnsi"/>
        </w:rPr>
        <w:t xml:space="preserve">viz následující tabulka č. </w:t>
      </w:r>
      <w:r w:rsidR="006F44A7">
        <w:rPr>
          <w:rFonts w:asciiTheme="minorHAnsi" w:hAnsiTheme="minorHAnsi" w:cstheme="minorHAnsi"/>
        </w:rPr>
        <w:t>2</w:t>
      </w:r>
      <w:r w:rsidR="00FD25E1">
        <w:rPr>
          <w:rFonts w:asciiTheme="minorHAnsi" w:hAnsiTheme="minorHAnsi" w:cstheme="minorHAnsi"/>
        </w:rPr>
        <w:t>.</w:t>
      </w:r>
    </w:p>
    <w:p w14:paraId="4DB801BB" w14:textId="77777777" w:rsidR="000D792F" w:rsidRDefault="000D792F" w:rsidP="00EF1487">
      <w:pPr>
        <w:rPr>
          <w:rFonts w:asciiTheme="minorHAnsi" w:hAnsiTheme="minorHAnsi" w:cstheme="minorHAnsi"/>
        </w:rPr>
      </w:pPr>
    </w:p>
    <w:p w14:paraId="27273A01" w14:textId="77777777" w:rsidR="00367008" w:rsidRPr="009947B8" w:rsidRDefault="00367008" w:rsidP="009947B8">
      <w:pPr>
        <w:spacing w:after="40"/>
        <w:ind w:left="1418" w:hanging="1418"/>
        <w:rPr>
          <w:rFonts w:asciiTheme="minorHAnsi" w:eastAsiaTheme="minorHAnsi" w:hAnsiTheme="minorHAnsi" w:cstheme="minorHAnsi"/>
          <w:b/>
        </w:rPr>
      </w:pPr>
      <w:r w:rsidRPr="009947B8">
        <w:rPr>
          <w:rFonts w:asciiTheme="minorHAnsi" w:eastAsiaTheme="minorHAnsi" w:hAnsiTheme="minorHAnsi" w:cstheme="minorBidi"/>
          <w:b/>
        </w:rPr>
        <w:t xml:space="preserve">Tabulka č. </w:t>
      </w:r>
      <w:r w:rsidR="006F44A7" w:rsidRPr="009947B8">
        <w:rPr>
          <w:rFonts w:asciiTheme="minorHAnsi" w:eastAsiaTheme="minorHAnsi" w:hAnsiTheme="minorHAnsi" w:cstheme="minorBidi"/>
          <w:b/>
        </w:rPr>
        <w:t>2</w:t>
      </w:r>
      <w:r w:rsidR="009947B8">
        <w:rPr>
          <w:rFonts w:asciiTheme="minorHAnsi" w:eastAsiaTheme="minorHAnsi" w:hAnsiTheme="minorHAnsi" w:cstheme="minorBidi"/>
          <w:b/>
        </w:rPr>
        <w:t>:</w:t>
      </w:r>
      <w:r w:rsidR="006F44A7" w:rsidRPr="009947B8">
        <w:rPr>
          <w:rFonts w:asciiTheme="minorHAnsi" w:eastAsiaTheme="minorHAnsi" w:hAnsiTheme="minorHAnsi" w:cstheme="minorBidi"/>
          <w:b/>
        </w:rPr>
        <w:t xml:space="preserve"> </w:t>
      </w:r>
      <w:r w:rsidRPr="009947B8">
        <w:rPr>
          <w:rFonts w:asciiTheme="minorHAnsi" w:eastAsiaTheme="minorHAnsi" w:hAnsiTheme="minorHAnsi" w:cstheme="minorBidi"/>
          <w:b/>
        </w:rPr>
        <w:t xml:space="preserve">Porovnání skutečného čerpání oproti předpokládaným finančním objemům </w:t>
      </w:r>
      <w:r w:rsidRPr="009947B8">
        <w:rPr>
          <w:rFonts w:asciiTheme="minorHAnsi" w:eastAsiaTheme="minorHAnsi" w:hAnsiTheme="minorHAnsi" w:cstheme="minorHAnsi"/>
          <w:b/>
        </w:rPr>
        <w:t>uvedeným v Prog</w:t>
      </w:r>
      <w:r w:rsidR="00766624" w:rsidRPr="009947B8">
        <w:rPr>
          <w:rFonts w:asciiTheme="minorHAnsi" w:eastAsiaTheme="minorHAnsi" w:hAnsiTheme="minorHAnsi" w:cstheme="minorHAnsi"/>
          <w:b/>
        </w:rPr>
        <w:t>ramu 2018–</w:t>
      </w:r>
      <w:r w:rsidRPr="009947B8">
        <w:rPr>
          <w:rFonts w:asciiTheme="minorHAnsi" w:eastAsiaTheme="minorHAnsi" w:hAnsiTheme="minorHAnsi" w:cstheme="minorHAnsi"/>
          <w:b/>
        </w:rPr>
        <w:t xml:space="preserve">2022 </w:t>
      </w:r>
    </w:p>
    <w:tbl>
      <w:tblPr>
        <w:tblStyle w:val="Mkatabulky1"/>
        <w:tblW w:w="9069" w:type="dxa"/>
        <w:jc w:val="center"/>
        <w:tblInd w:w="0" w:type="dxa"/>
        <w:tblLook w:val="04A0" w:firstRow="1" w:lastRow="0" w:firstColumn="1" w:lastColumn="0" w:noHBand="0" w:noVBand="1"/>
      </w:tblPr>
      <w:tblGrid>
        <w:gridCol w:w="907"/>
        <w:gridCol w:w="1984"/>
        <w:gridCol w:w="1417"/>
        <w:gridCol w:w="1020"/>
        <w:gridCol w:w="1417"/>
        <w:gridCol w:w="1247"/>
        <w:gridCol w:w="1077"/>
      </w:tblGrid>
      <w:tr w:rsidR="009947B8" w:rsidRPr="00EF1487" w14:paraId="2B726F64" w14:textId="77777777" w:rsidTr="009947B8">
        <w:trPr>
          <w:trHeight w:val="283"/>
          <w:jc w:val="center"/>
        </w:trPr>
        <w:tc>
          <w:tcPr>
            <w:tcW w:w="907" w:type="dxa"/>
            <w:shd w:val="clear" w:color="auto" w:fill="E5F1FF"/>
            <w:vAlign w:val="center"/>
          </w:tcPr>
          <w:p w14:paraId="26E8EE63" w14:textId="77777777" w:rsidR="001026CA" w:rsidRPr="00EF1487" w:rsidRDefault="001026CA" w:rsidP="009947B8">
            <w:pPr>
              <w:ind w:left="-57" w:right="-57"/>
              <w:jc w:val="center"/>
              <w:rPr>
                <w:rFonts w:cs="Calibri"/>
                <w:b/>
                <w:sz w:val="20"/>
                <w:szCs w:val="20"/>
              </w:rPr>
            </w:pPr>
            <w:r w:rsidRPr="00EF1487">
              <w:rPr>
                <w:rFonts w:cs="Calibri"/>
                <w:b/>
                <w:sz w:val="20"/>
                <w:szCs w:val="20"/>
              </w:rPr>
              <w:t>Rok</w:t>
            </w:r>
          </w:p>
        </w:tc>
        <w:tc>
          <w:tcPr>
            <w:tcW w:w="1984" w:type="dxa"/>
            <w:shd w:val="clear" w:color="auto" w:fill="E5F1FF"/>
            <w:vAlign w:val="center"/>
          </w:tcPr>
          <w:p w14:paraId="510E2461" w14:textId="05949684" w:rsidR="001026CA" w:rsidRPr="00EF1487" w:rsidRDefault="001026CA" w:rsidP="009947B8">
            <w:pPr>
              <w:ind w:left="-57" w:right="-57"/>
              <w:jc w:val="center"/>
              <w:rPr>
                <w:rFonts w:cs="Calibri"/>
                <w:b/>
                <w:sz w:val="20"/>
                <w:szCs w:val="20"/>
              </w:rPr>
            </w:pPr>
            <w:r w:rsidRPr="00EF1487">
              <w:rPr>
                <w:rFonts w:cs="Calibri"/>
                <w:b/>
                <w:sz w:val="20"/>
                <w:szCs w:val="20"/>
              </w:rPr>
              <w:t>Předpokládané čerpání dle Programu 2018</w:t>
            </w:r>
            <w:r w:rsidR="007661E5">
              <w:rPr>
                <w:rFonts w:cs="Calibri"/>
                <w:b/>
                <w:sz w:val="20"/>
                <w:szCs w:val="20"/>
              </w:rPr>
              <w:t>ؘ–</w:t>
            </w:r>
            <w:r w:rsidRPr="00EF1487">
              <w:rPr>
                <w:rFonts w:cs="Calibri"/>
                <w:b/>
                <w:sz w:val="20"/>
                <w:szCs w:val="20"/>
              </w:rPr>
              <w:t>2022</w:t>
            </w:r>
          </w:p>
          <w:p w14:paraId="269683F8" w14:textId="77777777" w:rsidR="001026CA" w:rsidRPr="00EF1487" w:rsidRDefault="001026CA" w:rsidP="009947B8">
            <w:pPr>
              <w:ind w:left="-57" w:right="-57"/>
              <w:jc w:val="center"/>
              <w:rPr>
                <w:rFonts w:cs="Calibri"/>
                <w:b/>
                <w:sz w:val="20"/>
                <w:szCs w:val="20"/>
              </w:rPr>
            </w:pPr>
            <w:r w:rsidRPr="00EF1487">
              <w:rPr>
                <w:rFonts w:cs="Calibri"/>
                <w:b/>
                <w:sz w:val="20"/>
                <w:szCs w:val="20"/>
              </w:rPr>
              <w:t>(v mil. Kč)</w:t>
            </w:r>
          </w:p>
        </w:tc>
        <w:tc>
          <w:tcPr>
            <w:tcW w:w="1417" w:type="dxa"/>
            <w:shd w:val="clear" w:color="auto" w:fill="E5F1FF"/>
            <w:vAlign w:val="center"/>
          </w:tcPr>
          <w:p w14:paraId="775175B1" w14:textId="77777777" w:rsidR="001026CA" w:rsidRPr="00EF1487" w:rsidRDefault="00CA5A39" w:rsidP="009947B8">
            <w:pPr>
              <w:ind w:left="-57" w:right="-57"/>
              <w:jc w:val="center"/>
              <w:rPr>
                <w:rFonts w:cs="Calibri"/>
                <w:b/>
                <w:sz w:val="20"/>
                <w:szCs w:val="20"/>
              </w:rPr>
            </w:pPr>
            <w:r w:rsidRPr="00EF1487">
              <w:rPr>
                <w:rFonts w:cs="Calibri"/>
                <w:b/>
                <w:sz w:val="20"/>
                <w:szCs w:val="20"/>
              </w:rPr>
              <w:t>Správa/o</w:t>
            </w:r>
            <w:r w:rsidR="001026CA" w:rsidRPr="00EF1487">
              <w:rPr>
                <w:rFonts w:cs="Calibri"/>
                <w:b/>
                <w:sz w:val="20"/>
                <w:szCs w:val="20"/>
              </w:rPr>
              <w:t>pravy</w:t>
            </w:r>
          </w:p>
          <w:p w14:paraId="0B1CF4C6" w14:textId="77777777" w:rsidR="001026CA" w:rsidRPr="00EF1487" w:rsidRDefault="001026CA" w:rsidP="009947B8">
            <w:pPr>
              <w:ind w:left="-57" w:right="-57"/>
              <w:jc w:val="center"/>
              <w:rPr>
                <w:rFonts w:cs="Calibri"/>
                <w:b/>
                <w:sz w:val="20"/>
                <w:szCs w:val="20"/>
              </w:rPr>
            </w:pPr>
            <w:r w:rsidRPr="00EF1487">
              <w:rPr>
                <w:rFonts w:cs="Calibri"/>
                <w:b/>
                <w:sz w:val="20"/>
                <w:szCs w:val="20"/>
              </w:rPr>
              <w:t>(v mil. Kč)</w:t>
            </w:r>
          </w:p>
        </w:tc>
        <w:tc>
          <w:tcPr>
            <w:tcW w:w="1020" w:type="dxa"/>
            <w:shd w:val="clear" w:color="auto" w:fill="E5F1FF"/>
            <w:vAlign w:val="center"/>
          </w:tcPr>
          <w:p w14:paraId="70E711F0" w14:textId="77777777" w:rsidR="001026CA" w:rsidRPr="00EF1487" w:rsidRDefault="001026CA" w:rsidP="009947B8">
            <w:pPr>
              <w:ind w:left="-57" w:right="-57"/>
              <w:jc w:val="center"/>
              <w:rPr>
                <w:rFonts w:cs="Calibri"/>
                <w:b/>
                <w:sz w:val="20"/>
                <w:szCs w:val="20"/>
              </w:rPr>
            </w:pPr>
            <w:r w:rsidRPr="00EF1487">
              <w:rPr>
                <w:rFonts w:cs="Calibri"/>
                <w:b/>
                <w:sz w:val="20"/>
                <w:szCs w:val="20"/>
              </w:rPr>
              <w:t>Investice</w:t>
            </w:r>
          </w:p>
          <w:p w14:paraId="6BA8255D" w14:textId="77777777" w:rsidR="001026CA" w:rsidRPr="00EF1487" w:rsidRDefault="009947B8" w:rsidP="009947B8">
            <w:pPr>
              <w:ind w:left="-57" w:right="-57"/>
              <w:jc w:val="center"/>
              <w:rPr>
                <w:rFonts w:cs="Calibri"/>
                <w:b/>
                <w:sz w:val="20"/>
                <w:szCs w:val="20"/>
              </w:rPr>
            </w:pPr>
            <w:r>
              <w:rPr>
                <w:rFonts w:cs="Calibri"/>
                <w:b/>
                <w:sz w:val="20"/>
                <w:szCs w:val="20"/>
              </w:rPr>
              <w:t>(v mil. </w:t>
            </w:r>
            <w:r w:rsidR="001026CA" w:rsidRPr="00EF1487">
              <w:rPr>
                <w:rFonts w:cs="Calibri"/>
                <w:b/>
                <w:sz w:val="20"/>
                <w:szCs w:val="20"/>
              </w:rPr>
              <w:t>Kč)</w:t>
            </w:r>
          </w:p>
        </w:tc>
        <w:tc>
          <w:tcPr>
            <w:tcW w:w="1417" w:type="dxa"/>
            <w:shd w:val="clear" w:color="auto" w:fill="E5F1FF"/>
            <w:vAlign w:val="center"/>
          </w:tcPr>
          <w:p w14:paraId="2CAE4052" w14:textId="77777777" w:rsidR="001026CA" w:rsidRPr="00EF1487" w:rsidRDefault="001026CA" w:rsidP="009947B8">
            <w:pPr>
              <w:ind w:left="-57" w:right="-57"/>
              <w:jc w:val="center"/>
              <w:rPr>
                <w:rFonts w:cs="Calibri"/>
                <w:b/>
                <w:sz w:val="20"/>
                <w:szCs w:val="20"/>
              </w:rPr>
            </w:pPr>
            <w:r w:rsidRPr="00EF1487">
              <w:rPr>
                <w:rFonts w:cs="Calibri"/>
                <w:b/>
                <w:sz w:val="20"/>
                <w:szCs w:val="20"/>
              </w:rPr>
              <w:t xml:space="preserve">Skutečně vynaložené prostředky </w:t>
            </w:r>
            <w:r w:rsidR="00EF1487">
              <w:rPr>
                <w:rFonts w:cs="Calibri"/>
                <w:b/>
                <w:sz w:val="20"/>
                <w:szCs w:val="20"/>
              </w:rPr>
              <w:br/>
            </w:r>
            <w:r w:rsidRPr="00EF1487">
              <w:rPr>
                <w:rFonts w:cs="Calibri"/>
                <w:b/>
                <w:sz w:val="20"/>
                <w:szCs w:val="20"/>
              </w:rPr>
              <w:t>(v mil. Kč)</w:t>
            </w:r>
          </w:p>
        </w:tc>
        <w:tc>
          <w:tcPr>
            <w:tcW w:w="1247" w:type="dxa"/>
            <w:shd w:val="clear" w:color="auto" w:fill="E5F1FF"/>
            <w:vAlign w:val="center"/>
          </w:tcPr>
          <w:p w14:paraId="33E6540B" w14:textId="77777777" w:rsidR="001026CA" w:rsidRPr="00EF1487" w:rsidRDefault="001026CA" w:rsidP="009947B8">
            <w:pPr>
              <w:ind w:left="-57" w:right="-57"/>
              <w:jc w:val="center"/>
              <w:rPr>
                <w:rFonts w:cs="Calibri"/>
                <w:b/>
                <w:sz w:val="20"/>
                <w:szCs w:val="20"/>
              </w:rPr>
            </w:pPr>
            <w:r w:rsidRPr="00EF1487">
              <w:rPr>
                <w:rFonts w:cs="Calibri"/>
                <w:b/>
                <w:sz w:val="20"/>
                <w:szCs w:val="20"/>
              </w:rPr>
              <w:t>Rozdíl v čerpání</w:t>
            </w:r>
          </w:p>
          <w:p w14:paraId="26330410" w14:textId="77777777" w:rsidR="001026CA" w:rsidRPr="00EF1487" w:rsidRDefault="001026CA" w:rsidP="009947B8">
            <w:pPr>
              <w:ind w:left="-57" w:right="-57"/>
              <w:jc w:val="center"/>
              <w:rPr>
                <w:rFonts w:cs="Calibri"/>
                <w:b/>
                <w:sz w:val="20"/>
                <w:szCs w:val="20"/>
              </w:rPr>
            </w:pPr>
            <w:r w:rsidRPr="00EF1487">
              <w:rPr>
                <w:rFonts w:cs="Calibri"/>
                <w:b/>
                <w:sz w:val="20"/>
                <w:szCs w:val="20"/>
              </w:rPr>
              <w:t>(v mil. Kč)</w:t>
            </w:r>
          </w:p>
        </w:tc>
        <w:tc>
          <w:tcPr>
            <w:tcW w:w="1077" w:type="dxa"/>
            <w:shd w:val="clear" w:color="auto" w:fill="E5F1FF"/>
            <w:vAlign w:val="center"/>
          </w:tcPr>
          <w:p w14:paraId="0E2F9A08" w14:textId="77777777" w:rsidR="001026CA" w:rsidRPr="00EF1487" w:rsidRDefault="001026CA" w:rsidP="009947B8">
            <w:pPr>
              <w:ind w:left="-57" w:right="-57"/>
              <w:jc w:val="center"/>
              <w:rPr>
                <w:rFonts w:cs="Calibri"/>
                <w:b/>
                <w:sz w:val="20"/>
                <w:szCs w:val="20"/>
              </w:rPr>
            </w:pPr>
            <w:r w:rsidRPr="00EF1487">
              <w:rPr>
                <w:rFonts w:cs="Calibri"/>
                <w:b/>
                <w:sz w:val="20"/>
                <w:szCs w:val="20"/>
              </w:rPr>
              <w:t>Rozdíl v čerpání</w:t>
            </w:r>
          </w:p>
          <w:p w14:paraId="5334CB92" w14:textId="77777777" w:rsidR="001026CA" w:rsidRPr="00EF1487" w:rsidRDefault="001026CA" w:rsidP="009947B8">
            <w:pPr>
              <w:ind w:left="-57" w:right="-57"/>
              <w:jc w:val="center"/>
              <w:rPr>
                <w:rFonts w:cs="Calibri"/>
                <w:b/>
                <w:sz w:val="20"/>
                <w:szCs w:val="20"/>
              </w:rPr>
            </w:pPr>
            <w:r w:rsidRPr="00EF1487">
              <w:rPr>
                <w:rFonts w:cs="Calibri"/>
                <w:b/>
                <w:sz w:val="20"/>
                <w:szCs w:val="20"/>
              </w:rPr>
              <w:t>(v %)</w:t>
            </w:r>
          </w:p>
        </w:tc>
      </w:tr>
      <w:tr w:rsidR="009947B8" w:rsidRPr="00EF1487" w14:paraId="234A973C" w14:textId="77777777" w:rsidTr="009947B8">
        <w:trPr>
          <w:trHeight w:val="283"/>
          <w:jc w:val="center"/>
        </w:trPr>
        <w:tc>
          <w:tcPr>
            <w:tcW w:w="907" w:type="dxa"/>
            <w:vAlign w:val="center"/>
          </w:tcPr>
          <w:p w14:paraId="60281084" w14:textId="77777777" w:rsidR="001026CA" w:rsidRPr="00EF1487" w:rsidRDefault="001026CA" w:rsidP="00EF1487">
            <w:pPr>
              <w:jc w:val="center"/>
              <w:rPr>
                <w:rFonts w:cs="Calibri"/>
                <w:sz w:val="20"/>
                <w:szCs w:val="20"/>
              </w:rPr>
            </w:pPr>
          </w:p>
        </w:tc>
        <w:tc>
          <w:tcPr>
            <w:tcW w:w="1984" w:type="dxa"/>
            <w:vAlign w:val="center"/>
          </w:tcPr>
          <w:p w14:paraId="7C0E72D6" w14:textId="77777777" w:rsidR="001026CA" w:rsidRPr="00EF1487" w:rsidRDefault="001026CA" w:rsidP="00EF1487">
            <w:pPr>
              <w:jc w:val="center"/>
              <w:rPr>
                <w:rFonts w:cs="Calibri"/>
                <w:sz w:val="20"/>
                <w:szCs w:val="20"/>
              </w:rPr>
            </w:pPr>
            <w:r w:rsidRPr="00EF1487">
              <w:rPr>
                <w:rFonts w:cs="Calibri"/>
                <w:sz w:val="20"/>
                <w:szCs w:val="20"/>
              </w:rPr>
              <w:t>1</w:t>
            </w:r>
          </w:p>
        </w:tc>
        <w:tc>
          <w:tcPr>
            <w:tcW w:w="1417" w:type="dxa"/>
            <w:vAlign w:val="center"/>
          </w:tcPr>
          <w:p w14:paraId="5158889B" w14:textId="77777777" w:rsidR="001026CA" w:rsidRPr="00EF1487" w:rsidRDefault="001026CA" w:rsidP="00EF1487">
            <w:pPr>
              <w:jc w:val="center"/>
              <w:rPr>
                <w:rFonts w:cs="Calibri"/>
                <w:sz w:val="20"/>
                <w:szCs w:val="20"/>
              </w:rPr>
            </w:pPr>
            <w:r w:rsidRPr="00EF1487">
              <w:rPr>
                <w:rFonts w:cs="Calibri"/>
                <w:sz w:val="20"/>
                <w:szCs w:val="20"/>
              </w:rPr>
              <w:t>2</w:t>
            </w:r>
          </w:p>
        </w:tc>
        <w:tc>
          <w:tcPr>
            <w:tcW w:w="1020" w:type="dxa"/>
            <w:vAlign w:val="center"/>
          </w:tcPr>
          <w:p w14:paraId="4C7D8EBB" w14:textId="77777777" w:rsidR="001026CA" w:rsidRPr="00EF1487" w:rsidRDefault="001026CA" w:rsidP="00EF1487">
            <w:pPr>
              <w:jc w:val="center"/>
              <w:rPr>
                <w:rFonts w:cs="Calibri"/>
                <w:sz w:val="20"/>
                <w:szCs w:val="20"/>
              </w:rPr>
            </w:pPr>
            <w:r w:rsidRPr="00EF1487">
              <w:rPr>
                <w:rFonts w:cs="Calibri"/>
                <w:sz w:val="20"/>
                <w:szCs w:val="20"/>
              </w:rPr>
              <w:t>3</w:t>
            </w:r>
          </w:p>
        </w:tc>
        <w:tc>
          <w:tcPr>
            <w:tcW w:w="1417" w:type="dxa"/>
            <w:vAlign w:val="center"/>
          </w:tcPr>
          <w:p w14:paraId="07D96F68" w14:textId="0A41F32B" w:rsidR="001026CA" w:rsidRPr="00EF1487" w:rsidRDefault="001026CA" w:rsidP="007661E5">
            <w:pPr>
              <w:jc w:val="center"/>
              <w:rPr>
                <w:rFonts w:cs="Calibri"/>
                <w:sz w:val="20"/>
                <w:szCs w:val="20"/>
              </w:rPr>
            </w:pPr>
            <w:r w:rsidRPr="00EF1487">
              <w:rPr>
                <w:rFonts w:cs="Calibri"/>
                <w:sz w:val="20"/>
                <w:szCs w:val="20"/>
              </w:rPr>
              <w:t>4 (2+3)</w:t>
            </w:r>
          </w:p>
        </w:tc>
        <w:tc>
          <w:tcPr>
            <w:tcW w:w="1247" w:type="dxa"/>
            <w:vAlign w:val="center"/>
          </w:tcPr>
          <w:p w14:paraId="3B93A998" w14:textId="77777777" w:rsidR="001026CA" w:rsidRPr="00EF1487" w:rsidRDefault="001026CA" w:rsidP="00EF1487">
            <w:pPr>
              <w:jc w:val="center"/>
              <w:rPr>
                <w:rFonts w:cs="Calibri"/>
                <w:sz w:val="20"/>
                <w:szCs w:val="20"/>
              </w:rPr>
            </w:pPr>
            <w:r w:rsidRPr="00EF1487">
              <w:rPr>
                <w:rFonts w:cs="Calibri"/>
                <w:sz w:val="20"/>
                <w:szCs w:val="20"/>
              </w:rPr>
              <w:t>5 (4-1)</w:t>
            </w:r>
          </w:p>
        </w:tc>
        <w:tc>
          <w:tcPr>
            <w:tcW w:w="1077" w:type="dxa"/>
            <w:vAlign w:val="center"/>
          </w:tcPr>
          <w:p w14:paraId="2ADE0AA1" w14:textId="77777777" w:rsidR="001026CA" w:rsidRPr="00EF1487" w:rsidRDefault="001026CA" w:rsidP="00EF1487">
            <w:pPr>
              <w:jc w:val="center"/>
              <w:rPr>
                <w:rFonts w:cs="Calibri"/>
                <w:sz w:val="20"/>
                <w:szCs w:val="20"/>
              </w:rPr>
            </w:pPr>
            <w:r w:rsidRPr="00EF1487">
              <w:rPr>
                <w:rFonts w:cs="Calibri"/>
                <w:sz w:val="20"/>
                <w:szCs w:val="20"/>
              </w:rPr>
              <w:t>6</w:t>
            </w:r>
          </w:p>
        </w:tc>
      </w:tr>
      <w:tr w:rsidR="009947B8" w:rsidRPr="00EF1487" w14:paraId="68CB2DE8" w14:textId="77777777" w:rsidTr="009947B8">
        <w:trPr>
          <w:trHeight w:val="283"/>
          <w:jc w:val="center"/>
        </w:trPr>
        <w:tc>
          <w:tcPr>
            <w:tcW w:w="907" w:type="dxa"/>
            <w:vAlign w:val="center"/>
          </w:tcPr>
          <w:p w14:paraId="7F989CFA" w14:textId="77777777" w:rsidR="001026CA" w:rsidRPr="00EF1487" w:rsidRDefault="001026CA" w:rsidP="00EF1487">
            <w:pPr>
              <w:jc w:val="center"/>
              <w:rPr>
                <w:rFonts w:cs="Calibri"/>
                <w:sz w:val="20"/>
                <w:szCs w:val="20"/>
              </w:rPr>
            </w:pPr>
            <w:r w:rsidRPr="00EF1487">
              <w:rPr>
                <w:rFonts w:cs="Calibri"/>
                <w:sz w:val="20"/>
                <w:szCs w:val="20"/>
              </w:rPr>
              <w:t>2017</w:t>
            </w:r>
          </w:p>
        </w:tc>
        <w:tc>
          <w:tcPr>
            <w:tcW w:w="1984" w:type="dxa"/>
            <w:vAlign w:val="center"/>
          </w:tcPr>
          <w:p w14:paraId="1CCB2E44" w14:textId="77777777" w:rsidR="001026CA" w:rsidRPr="00EF1487" w:rsidRDefault="001026CA" w:rsidP="009947B8">
            <w:pPr>
              <w:ind w:right="595"/>
              <w:jc w:val="right"/>
              <w:rPr>
                <w:rFonts w:cs="Calibri"/>
                <w:sz w:val="20"/>
                <w:szCs w:val="20"/>
              </w:rPr>
            </w:pPr>
            <w:r w:rsidRPr="00EF1487">
              <w:rPr>
                <w:rFonts w:cs="Calibri"/>
                <w:sz w:val="20"/>
                <w:szCs w:val="20"/>
              </w:rPr>
              <w:t>1 085,00</w:t>
            </w:r>
          </w:p>
        </w:tc>
        <w:tc>
          <w:tcPr>
            <w:tcW w:w="1417" w:type="dxa"/>
            <w:vAlign w:val="center"/>
          </w:tcPr>
          <w:p w14:paraId="39BA9B87" w14:textId="77777777" w:rsidR="001026CA" w:rsidRPr="00EF1487" w:rsidRDefault="001026CA" w:rsidP="00EF1487">
            <w:pPr>
              <w:ind w:right="124"/>
              <w:jc w:val="right"/>
              <w:rPr>
                <w:rFonts w:cs="Calibri"/>
                <w:sz w:val="20"/>
                <w:szCs w:val="20"/>
              </w:rPr>
            </w:pPr>
            <w:r w:rsidRPr="00EF1487">
              <w:rPr>
                <w:rFonts w:cs="Calibri"/>
                <w:sz w:val="20"/>
                <w:szCs w:val="20"/>
              </w:rPr>
              <w:t>594,32</w:t>
            </w:r>
          </w:p>
        </w:tc>
        <w:tc>
          <w:tcPr>
            <w:tcW w:w="1020" w:type="dxa"/>
            <w:vAlign w:val="center"/>
          </w:tcPr>
          <w:p w14:paraId="46ED660E" w14:textId="77777777" w:rsidR="001026CA" w:rsidRPr="00EF1487" w:rsidRDefault="001026CA" w:rsidP="00EF1487">
            <w:pPr>
              <w:ind w:right="124"/>
              <w:jc w:val="right"/>
              <w:rPr>
                <w:rFonts w:cs="Calibri"/>
                <w:sz w:val="20"/>
                <w:szCs w:val="20"/>
              </w:rPr>
            </w:pPr>
            <w:r w:rsidRPr="00EF1487">
              <w:rPr>
                <w:rFonts w:cs="Calibri"/>
                <w:sz w:val="20"/>
                <w:szCs w:val="20"/>
              </w:rPr>
              <w:t>88,06</w:t>
            </w:r>
          </w:p>
        </w:tc>
        <w:tc>
          <w:tcPr>
            <w:tcW w:w="1417" w:type="dxa"/>
            <w:vAlign w:val="center"/>
          </w:tcPr>
          <w:p w14:paraId="1C710307" w14:textId="77777777" w:rsidR="001026CA" w:rsidRPr="00EF1487" w:rsidRDefault="001026CA" w:rsidP="009947B8">
            <w:pPr>
              <w:ind w:right="82"/>
              <w:jc w:val="right"/>
              <w:rPr>
                <w:rFonts w:cs="Calibri"/>
                <w:sz w:val="20"/>
                <w:szCs w:val="20"/>
              </w:rPr>
            </w:pPr>
            <w:r w:rsidRPr="00EF1487">
              <w:rPr>
                <w:rFonts w:cs="Calibri"/>
                <w:sz w:val="20"/>
                <w:szCs w:val="20"/>
              </w:rPr>
              <w:t>682,38</w:t>
            </w:r>
          </w:p>
        </w:tc>
        <w:tc>
          <w:tcPr>
            <w:tcW w:w="1247" w:type="dxa"/>
            <w:vAlign w:val="center"/>
          </w:tcPr>
          <w:p w14:paraId="368DD226" w14:textId="3855F703" w:rsidR="001026CA" w:rsidRPr="00EF1487" w:rsidRDefault="001026CA" w:rsidP="007661E5">
            <w:pPr>
              <w:ind w:right="124"/>
              <w:jc w:val="right"/>
              <w:rPr>
                <w:rFonts w:cs="Calibri"/>
                <w:sz w:val="20"/>
                <w:szCs w:val="20"/>
              </w:rPr>
            </w:pPr>
            <w:r w:rsidRPr="00EF1487">
              <w:rPr>
                <w:rFonts w:cs="Calibri"/>
                <w:sz w:val="20"/>
                <w:szCs w:val="20"/>
              </w:rPr>
              <w:t>-402,62</w:t>
            </w:r>
          </w:p>
        </w:tc>
        <w:tc>
          <w:tcPr>
            <w:tcW w:w="1077" w:type="dxa"/>
            <w:vAlign w:val="center"/>
          </w:tcPr>
          <w:p w14:paraId="79C3D4E4" w14:textId="4D490BAD" w:rsidR="001026CA" w:rsidRPr="00EF1487" w:rsidRDefault="001026CA" w:rsidP="007661E5">
            <w:pPr>
              <w:ind w:right="124"/>
              <w:jc w:val="right"/>
              <w:rPr>
                <w:rFonts w:cs="Calibri"/>
                <w:sz w:val="20"/>
                <w:szCs w:val="20"/>
              </w:rPr>
            </w:pPr>
            <w:r w:rsidRPr="00EF1487">
              <w:rPr>
                <w:rFonts w:cs="Calibri"/>
                <w:sz w:val="20"/>
                <w:szCs w:val="20"/>
              </w:rPr>
              <w:t>-37,11</w:t>
            </w:r>
          </w:p>
        </w:tc>
      </w:tr>
      <w:tr w:rsidR="009947B8" w:rsidRPr="00EF1487" w14:paraId="29D8A17D" w14:textId="77777777" w:rsidTr="009947B8">
        <w:trPr>
          <w:trHeight w:val="283"/>
          <w:jc w:val="center"/>
        </w:trPr>
        <w:tc>
          <w:tcPr>
            <w:tcW w:w="907" w:type="dxa"/>
            <w:vAlign w:val="center"/>
          </w:tcPr>
          <w:p w14:paraId="55ACF984" w14:textId="77777777" w:rsidR="001026CA" w:rsidRPr="00EF1487" w:rsidRDefault="001026CA" w:rsidP="00EF1487">
            <w:pPr>
              <w:jc w:val="center"/>
              <w:rPr>
                <w:rFonts w:cs="Calibri"/>
                <w:sz w:val="20"/>
                <w:szCs w:val="20"/>
              </w:rPr>
            </w:pPr>
            <w:r w:rsidRPr="00EF1487">
              <w:rPr>
                <w:rFonts w:cs="Calibri"/>
                <w:sz w:val="20"/>
                <w:szCs w:val="20"/>
              </w:rPr>
              <w:t>2018</w:t>
            </w:r>
          </w:p>
        </w:tc>
        <w:tc>
          <w:tcPr>
            <w:tcW w:w="1984" w:type="dxa"/>
            <w:vAlign w:val="center"/>
          </w:tcPr>
          <w:p w14:paraId="67ED2DCB" w14:textId="77777777" w:rsidR="001026CA" w:rsidRPr="00EF1487" w:rsidRDefault="001026CA" w:rsidP="009947B8">
            <w:pPr>
              <w:ind w:right="595"/>
              <w:jc w:val="right"/>
              <w:rPr>
                <w:rFonts w:cs="Calibri"/>
                <w:sz w:val="20"/>
                <w:szCs w:val="20"/>
              </w:rPr>
            </w:pPr>
            <w:r w:rsidRPr="00EF1487">
              <w:rPr>
                <w:rFonts w:cs="Calibri"/>
                <w:sz w:val="20"/>
                <w:szCs w:val="20"/>
              </w:rPr>
              <w:t>1 362,00</w:t>
            </w:r>
          </w:p>
        </w:tc>
        <w:tc>
          <w:tcPr>
            <w:tcW w:w="1417" w:type="dxa"/>
            <w:vAlign w:val="center"/>
          </w:tcPr>
          <w:p w14:paraId="1102B3B8" w14:textId="77777777" w:rsidR="001026CA" w:rsidRPr="00EF1487" w:rsidRDefault="001026CA" w:rsidP="00EF1487">
            <w:pPr>
              <w:ind w:right="124"/>
              <w:jc w:val="right"/>
              <w:rPr>
                <w:rFonts w:cs="Calibri"/>
                <w:sz w:val="20"/>
                <w:szCs w:val="20"/>
              </w:rPr>
            </w:pPr>
            <w:r w:rsidRPr="00EF1487">
              <w:rPr>
                <w:rFonts w:cs="Calibri"/>
                <w:sz w:val="20"/>
                <w:szCs w:val="20"/>
              </w:rPr>
              <w:t>592,91</w:t>
            </w:r>
          </w:p>
        </w:tc>
        <w:tc>
          <w:tcPr>
            <w:tcW w:w="1020" w:type="dxa"/>
            <w:vAlign w:val="center"/>
          </w:tcPr>
          <w:p w14:paraId="2FB54DB2" w14:textId="77777777" w:rsidR="001026CA" w:rsidRPr="00EF1487" w:rsidRDefault="001026CA" w:rsidP="00EF1487">
            <w:pPr>
              <w:ind w:right="124"/>
              <w:jc w:val="right"/>
              <w:rPr>
                <w:rFonts w:cs="Calibri"/>
                <w:sz w:val="20"/>
                <w:szCs w:val="20"/>
              </w:rPr>
            </w:pPr>
            <w:r w:rsidRPr="00EF1487">
              <w:rPr>
                <w:rFonts w:cs="Calibri"/>
                <w:sz w:val="20"/>
                <w:szCs w:val="20"/>
              </w:rPr>
              <w:t>205,68</w:t>
            </w:r>
          </w:p>
        </w:tc>
        <w:tc>
          <w:tcPr>
            <w:tcW w:w="1417" w:type="dxa"/>
            <w:vAlign w:val="center"/>
          </w:tcPr>
          <w:p w14:paraId="597273D0" w14:textId="77777777" w:rsidR="001026CA" w:rsidRPr="00EF1487" w:rsidRDefault="001026CA" w:rsidP="009947B8">
            <w:pPr>
              <w:ind w:right="82"/>
              <w:jc w:val="right"/>
              <w:rPr>
                <w:rFonts w:cs="Calibri"/>
                <w:sz w:val="20"/>
                <w:szCs w:val="20"/>
              </w:rPr>
            </w:pPr>
            <w:r w:rsidRPr="00EF1487">
              <w:rPr>
                <w:rFonts w:cs="Calibri"/>
                <w:sz w:val="20"/>
                <w:szCs w:val="20"/>
              </w:rPr>
              <w:t>798,59</w:t>
            </w:r>
          </w:p>
        </w:tc>
        <w:tc>
          <w:tcPr>
            <w:tcW w:w="1247" w:type="dxa"/>
            <w:vAlign w:val="center"/>
          </w:tcPr>
          <w:p w14:paraId="16D1DDB6" w14:textId="2F9317ED" w:rsidR="001026CA" w:rsidRPr="00EF1487" w:rsidRDefault="001026CA" w:rsidP="007661E5">
            <w:pPr>
              <w:ind w:right="124"/>
              <w:jc w:val="right"/>
              <w:rPr>
                <w:rFonts w:cs="Calibri"/>
                <w:sz w:val="20"/>
                <w:szCs w:val="20"/>
              </w:rPr>
            </w:pPr>
            <w:r w:rsidRPr="00EF1487">
              <w:rPr>
                <w:rFonts w:cs="Calibri"/>
                <w:sz w:val="20"/>
                <w:szCs w:val="20"/>
              </w:rPr>
              <w:t>-563,41</w:t>
            </w:r>
          </w:p>
        </w:tc>
        <w:tc>
          <w:tcPr>
            <w:tcW w:w="1077" w:type="dxa"/>
            <w:vAlign w:val="center"/>
          </w:tcPr>
          <w:p w14:paraId="0C335F38" w14:textId="280A76E2" w:rsidR="001026CA" w:rsidRPr="00EF1487" w:rsidRDefault="001026CA" w:rsidP="007661E5">
            <w:pPr>
              <w:ind w:right="124"/>
              <w:jc w:val="right"/>
              <w:rPr>
                <w:rFonts w:cs="Calibri"/>
                <w:sz w:val="20"/>
                <w:szCs w:val="20"/>
              </w:rPr>
            </w:pPr>
            <w:r w:rsidRPr="00EF1487">
              <w:rPr>
                <w:rFonts w:cs="Calibri"/>
                <w:sz w:val="20"/>
                <w:szCs w:val="20"/>
              </w:rPr>
              <w:t>-41,37</w:t>
            </w:r>
          </w:p>
        </w:tc>
      </w:tr>
      <w:tr w:rsidR="009947B8" w:rsidRPr="00EF1487" w14:paraId="52985CB8" w14:textId="77777777" w:rsidTr="009947B8">
        <w:trPr>
          <w:trHeight w:val="283"/>
          <w:jc w:val="center"/>
        </w:trPr>
        <w:tc>
          <w:tcPr>
            <w:tcW w:w="907" w:type="dxa"/>
            <w:vAlign w:val="center"/>
          </w:tcPr>
          <w:p w14:paraId="76B81073" w14:textId="77777777" w:rsidR="001026CA" w:rsidRPr="00EF1487" w:rsidRDefault="001026CA" w:rsidP="00EF1487">
            <w:pPr>
              <w:jc w:val="center"/>
              <w:rPr>
                <w:rFonts w:cs="Calibri"/>
                <w:sz w:val="20"/>
                <w:szCs w:val="20"/>
              </w:rPr>
            </w:pPr>
            <w:r w:rsidRPr="00EF1487">
              <w:rPr>
                <w:rFonts w:cs="Calibri"/>
                <w:sz w:val="20"/>
                <w:szCs w:val="20"/>
              </w:rPr>
              <w:t>2019</w:t>
            </w:r>
          </w:p>
        </w:tc>
        <w:tc>
          <w:tcPr>
            <w:tcW w:w="1984" w:type="dxa"/>
            <w:vAlign w:val="center"/>
          </w:tcPr>
          <w:p w14:paraId="0E5BF607" w14:textId="77777777" w:rsidR="001026CA" w:rsidRPr="00EF1487" w:rsidRDefault="001026CA" w:rsidP="009947B8">
            <w:pPr>
              <w:ind w:right="595"/>
              <w:jc w:val="right"/>
              <w:rPr>
                <w:rFonts w:cs="Calibri"/>
                <w:sz w:val="20"/>
                <w:szCs w:val="20"/>
              </w:rPr>
            </w:pPr>
            <w:r w:rsidRPr="00EF1487">
              <w:rPr>
                <w:rFonts w:cs="Calibri"/>
                <w:sz w:val="20"/>
                <w:szCs w:val="20"/>
              </w:rPr>
              <w:t>1 661,00</w:t>
            </w:r>
          </w:p>
        </w:tc>
        <w:tc>
          <w:tcPr>
            <w:tcW w:w="1417" w:type="dxa"/>
            <w:vAlign w:val="center"/>
          </w:tcPr>
          <w:p w14:paraId="78FA33E5" w14:textId="77777777" w:rsidR="001026CA" w:rsidRPr="00EF1487" w:rsidRDefault="001026CA" w:rsidP="00EF1487">
            <w:pPr>
              <w:ind w:right="124"/>
              <w:jc w:val="right"/>
              <w:rPr>
                <w:rFonts w:cs="Calibri"/>
                <w:sz w:val="20"/>
                <w:szCs w:val="20"/>
              </w:rPr>
            </w:pPr>
            <w:r w:rsidRPr="00EF1487">
              <w:rPr>
                <w:rFonts w:cs="Calibri"/>
                <w:sz w:val="20"/>
                <w:szCs w:val="20"/>
              </w:rPr>
              <w:t>683,46</w:t>
            </w:r>
          </w:p>
        </w:tc>
        <w:tc>
          <w:tcPr>
            <w:tcW w:w="1020" w:type="dxa"/>
            <w:vAlign w:val="center"/>
          </w:tcPr>
          <w:p w14:paraId="31A5D1BA" w14:textId="77777777" w:rsidR="001026CA" w:rsidRPr="00EF1487" w:rsidRDefault="001026CA" w:rsidP="00EF1487">
            <w:pPr>
              <w:ind w:right="124"/>
              <w:jc w:val="right"/>
              <w:rPr>
                <w:rFonts w:cs="Calibri"/>
                <w:sz w:val="20"/>
                <w:szCs w:val="20"/>
              </w:rPr>
            </w:pPr>
            <w:r w:rsidRPr="00EF1487">
              <w:rPr>
                <w:rFonts w:cs="Calibri"/>
                <w:sz w:val="20"/>
                <w:szCs w:val="20"/>
              </w:rPr>
              <w:t>485,84</w:t>
            </w:r>
          </w:p>
        </w:tc>
        <w:tc>
          <w:tcPr>
            <w:tcW w:w="1417" w:type="dxa"/>
            <w:vAlign w:val="center"/>
          </w:tcPr>
          <w:p w14:paraId="416B9806" w14:textId="77777777" w:rsidR="001026CA" w:rsidRPr="00EF1487" w:rsidRDefault="001026CA" w:rsidP="009947B8">
            <w:pPr>
              <w:ind w:right="82"/>
              <w:jc w:val="right"/>
              <w:rPr>
                <w:rFonts w:cs="Calibri"/>
                <w:sz w:val="20"/>
                <w:szCs w:val="20"/>
              </w:rPr>
            </w:pPr>
            <w:r w:rsidRPr="00EF1487">
              <w:rPr>
                <w:rFonts w:cs="Calibri"/>
                <w:sz w:val="20"/>
                <w:szCs w:val="20"/>
              </w:rPr>
              <w:t>1 169,30</w:t>
            </w:r>
          </w:p>
        </w:tc>
        <w:tc>
          <w:tcPr>
            <w:tcW w:w="1247" w:type="dxa"/>
            <w:vAlign w:val="center"/>
          </w:tcPr>
          <w:p w14:paraId="57B3F4A5" w14:textId="412DA42D" w:rsidR="001026CA" w:rsidRPr="00EF1487" w:rsidRDefault="001026CA" w:rsidP="00EF1487">
            <w:pPr>
              <w:ind w:right="124"/>
              <w:jc w:val="right"/>
              <w:rPr>
                <w:rFonts w:cs="Calibri"/>
                <w:sz w:val="20"/>
                <w:szCs w:val="20"/>
              </w:rPr>
            </w:pPr>
            <w:r w:rsidRPr="00EF1487">
              <w:rPr>
                <w:rFonts w:cs="Calibri"/>
                <w:sz w:val="20"/>
                <w:szCs w:val="20"/>
              </w:rPr>
              <w:t>-491,70</w:t>
            </w:r>
          </w:p>
        </w:tc>
        <w:tc>
          <w:tcPr>
            <w:tcW w:w="1077" w:type="dxa"/>
            <w:vAlign w:val="center"/>
          </w:tcPr>
          <w:p w14:paraId="2DBD4F4F" w14:textId="18092422" w:rsidR="001026CA" w:rsidRPr="00EF1487" w:rsidRDefault="001026CA" w:rsidP="007661E5">
            <w:pPr>
              <w:ind w:right="124"/>
              <w:jc w:val="right"/>
              <w:rPr>
                <w:rFonts w:cs="Calibri"/>
                <w:sz w:val="20"/>
                <w:szCs w:val="20"/>
              </w:rPr>
            </w:pPr>
            <w:r w:rsidRPr="00EF1487">
              <w:rPr>
                <w:rFonts w:cs="Calibri"/>
                <w:sz w:val="20"/>
                <w:szCs w:val="20"/>
              </w:rPr>
              <w:t>-29,60</w:t>
            </w:r>
          </w:p>
        </w:tc>
      </w:tr>
      <w:tr w:rsidR="009947B8" w:rsidRPr="00EF1487" w14:paraId="2272F5FB" w14:textId="77777777" w:rsidTr="009947B8">
        <w:trPr>
          <w:trHeight w:val="283"/>
          <w:jc w:val="center"/>
        </w:trPr>
        <w:tc>
          <w:tcPr>
            <w:tcW w:w="907" w:type="dxa"/>
            <w:vAlign w:val="center"/>
          </w:tcPr>
          <w:p w14:paraId="3A29E293" w14:textId="77777777" w:rsidR="001026CA" w:rsidRPr="00EF1487" w:rsidRDefault="001026CA" w:rsidP="00EF1487">
            <w:pPr>
              <w:jc w:val="center"/>
              <w:rPr>
                <w:rFonts w:cs="Calibri"/>
                <w:b/>
                <w:sz w:val="20"/>
                <w:szCs w:val="20"/>
              </w:rPr>
            </w:pPr>
            <w:r w:rsidRPr="00EF1487">
              <w:rPr>
                <w:rFonts w:cs="Calibri"/>
                <w:b/>
                <w:sz w:val="20"/>
                <w:szCs w:val="20"/>
              </w:rPr>
              <w:t>Celkem</w:t>
            </w:r>
          </w:p>
        </w:tc>
        <w:tc>
          <w:tcPr>
            <w:tcW w:w="1984" w:type="dxa"/>
            <w:vAlign w:val="center"/>
          </w:tcPr>
          <w:p w14:paraId="73E5F22C" w14:textId="77777777" w:rsidR="001026CA" w:rsidRPr="00EF1487" w:rsidRDefault="001026CA" w:rsidP="009947B8">
            <w:pPr>
              <w:ind w:right="595"/>
              <w:jc w:val="right"/>
              <w:rPr>
                <w:rFonts w:cs="Calibri"/>
                <w:b/>
                <w:sz w:val="20"/>
                <w:szCs w:val="20"/>
              </w:rPr>
            </w:pPr>
            <w:r w:rsidRPr="00EF1487">
              <w:rPr>
                <w:rFonts w:cs="Calibri"/>
                <w:b/>
                <w:sz w:val="20"/>
                <w:szCs w:val="20"/>
              </w:rPr>
              <w:t>4 108,00</w:t>
            </w:r>
          </w:p>
        </w:tc>
        <w:tc>
          <w:tcPr>
            <w:tcW w:w="1417" w:type="dxa"/>
            <w:vAlign w:val="center"/>
          </w:tcPr>
          <w:p w14:paraId="57887AD8" w14:textId="77777777" w:rsidR="001026CA" w:rsidRPr="00EF1487" w:rsidRDefault="001026CA" w:rsidP="00EF1487">
            <w:pPr>
              <w:ind w:right="124"/>
              <w:jc w:val="right"/>
              <w:rPr>
                <w:rFonts w:cs="Calibri"/>
                <w:b/>
                <w:sz w:val="20"/>
                <w:szCs w:val="20"/>
              </w:rPr>
            </w:pPr>
            <w:r w:rsidRPr="00EF1487">
              <w:rPr>
                <w:rFonts w:cs="Calibri"/>
                <w:b/>
                <w:sz w:val="20"/>
                <w:szCs w:val="20"/>
              </w:rPr>
              <w:t>1 870,69</w:t>
            </w:r>
          </w:p>
        </w:tc>
        <w:tc>
          <w:tcPr>
            <w:tcW w:w="1020" w:type="dxa"/>
            <w:vAlign w:val="center"/>
          </w:tcPr>
          <w:p w14:paraId="29DD89DC" w14:textId="77777777" w:rsidR="001026CA" w:rsidRPr="00EF1487" w:rsidRDefault="001026CA" w:rsidP="00EF1487">
            <w:pPr>
              <w:ind w:right="124"/>
              <w:jc w:val="right"/>
              <w:rPr>
                <w:rFonts w:cs="Calibri"/>
                <w:b/>
                <w:sz w:val="20"/>
                <w:szCs w:val="20"/>
              </w:rPr>
            </w:pPr>
            <w:r w:rsidRPr="00EF1487">
              <w:rPr>
                <w:rFonts w:cs="Calibri"/>
                <w:b/>
                <w:sz w:val="20"/>
                <w:szCs w:val="20"/>
              </w:rPr>
              <w:t>779,58</w:t>
            </w:r>
          </w:p>
        </w:tc>
        <w:tc>
          <w:tcPr>
            <w:tcW w:w="1417" w:type="dxa"/>
            <w:vAlign w:val="center"/>
          </w:tcPr>
          <w:p w14:paraId="32FE8B26" w14:textId="77777777" w:rsidR="001026CA" w:rsidRPr="00EF1487" w:rsidRDefault="001026CA" w:rsidP="009947B8">
            <w:pPr>
              <w:ind w:right="82"/>
              <w:jc w:val="right"/>
              <w:rPr>
                <w:rFonts w:cs="Calibri"/>
                <w:b/>
                <w:sz w:val="20"/>
                <w:szCs w:val="20"/>
              </w:rPr>
            </w:pPr>
            <w:r w:rsidRPr="00EF1487">
              <w:rPr>
                <w:rFonts w:cs="Calibri"/>
                <w:b/>
                <w:sz w:val="20"/>
                <w:szCs w:val="20"/>
              </w:rPr>
              <w:t>2 650,27</w:t>
            </w:r>
          </w:p>
        </w:tc>
        <w:tc>
          <w:tcPr>
            <w:tcW w:w="1247" w:type="dxa"/>
            <w:vAlign w:val="center"/>
          </w:tcPr>
          <w:p w14:paraId="6A2CFC8E" w14:textId="77777777" w:rsidR="001026CA" w:rsidRPr="00EF1487" w:rsidRDefault="001026CA" w:rsidP="00EF1487">
            <w:pPr>
              <w:ind w:right="124"/>
              <w:jc w:val="right"/>
              <w:rPr>
                <w:rFonts w:cs="Calibri"/>
                <w:b/>
                <w:sz w:val="20"/>
                <w:szCs w:val="20"/>
              </w:rPr>
            </w:pPr>
            <w:r w:rsidRPr="00EF1487">
              <w:rPr>
                <w:rFonts w:cs="Calibri"/>
                <w:b/>
                <w:sz w:val="20"/>
                <w:szCs w:val="20"/>
              </w:rPr>
              <w:t>-1 457,73</w:t>
            </w:r>
          </w:p>
        </w:tc>
        <w:tc>
          <w:tcPr>
            <w:tcW w:w="1077" w:type="dxa"/>
            <w:vAlign w:val="center"/>
          </w:tcPr>
          <w:p w14:paraId="5AE1C5ED" w14:textId="0423A67A" w:rsidR="001026CA" w:rsidRPr="00EF1487" w:rsidRDefault="001026CA" w:rsidP="007661E5">
            <w:pPr>
              <w:ind w:right="124"/>
              <w:jc w:val="right"/>
              <w:rPr>
                <w:rFonts w:cs="Calibri"/>
                <w:b/>
                <w:sz w:val="20"/>
                <w:szCs w:val="20"/>
              </w:rPr>
            </w:pPr>
            <w:r w:rsidRPr="00EF1487">
              <w:rPr>
                <w:rFonts w:cs="Calibri"/>
                <w:b/>
                <w:sz w:val="20"/>
                <w:szCs w:val="20"/>
              </w:rPr>
              <w:t>-36,03</w:t>
            </w:r>
          </w:p>
        </w:tc>
      </w:tr>
    </w:tbl>
    <w:p w14:paraId="2F643909" w14:textId="19F71D37" w:rsidR="0085506A" w:rsidRPr="0017696B" w:rsidRDefault="0085506A" w:rsidP="0017696B">
      <w:pPr>
        <w:ind w:left="567" w:hanging="567"/>
        <w:rPr>
          <w:rFonts w:asciiTheme="minorHAnsi" w:hAnsiTheme="minorHAnsi" w:cstheme="minorHAnsi"/>
          <w:sz w:val="20"/>
          <w:szCs w:val="16"/>
        </w:rPr>
      </w:pPr>
      <w:r w:rsidRPr="0017696B">
        <w:rPr>
          <w:rFonts w:asciiTheme="minorHAnsi" w:hAnsiTheme="minorHAnsi" w:cstheme="minorHAnsi"/>
          <w:b/>
          <w:sz w:val="20"/>
          <w:szCs w:val="16"/>
        </w:rPr>
        <w:t>Zdroj:</w:t>
      </w:r>
      <w:r w:rsidRPr="0017696B">
        <w:rPr>
          <w:rFonts w:asciiTheme="minorHAnsi" w:hAnsiTheme="minorHAnsi" w:cstheme="minorHAnsi"/>
          <w:sz w:val="20"/>
          <w:szCs w:val="16"/>
        </w:rPr>
        <w:t xml:space="preserve"> </w:t>
      </w:r>
      <w:r w:rsidR="007F31F0" w:rsidRPr="0017696B">
        <w:rPr>
          <w:rFonts w:asciiTheme="minorHAnsi" w:hAnsiTheme="minorHAnsi" w:cstheme="minorHAnsi"/>
          <w:sz w:val="20"/>
          <w:szCs w:val="16"/>
        </w:rPr>
        <w:t xml:space="preserve">Informace </w:t>
      </w:r>
      <w:r w:rsidRPr="0017696B">
        <w:rPr>
          <w:rFonts w:asciiTheme="minorHAnsi" w:hAnsiTheme="minorHAnsi" w:cstheme="minorHAnsi"/>
          <w:sz w:val="20"/>
          <w:szCs w:val="16"/>
        </w:rPr>
        <w:t>SŽDC, vlastní zpracování NKÚ.</w:t>
      </w:r>
    </w:p>
    <w:p w14:paraId="32ECD959" w14:textId="77777777" w:rsidR="00B74356" w:rsidRDefault="00B74356" w:rsidP="00EF1487">
      <w:pPr>
        <w:jc w:val="left"/>
        <w:rPr>
          <w:rFonts w:asciiTheme="minorHAnsi" w:eastAsiaTheme="minorHAnsi" w:hAnsiTheme="minorHAnsi" w:cstheme="minorHAnsi"/>
          <w:sz w:val="20"/>
          <w:szCs w:val="20"/>
        </w:rPr>
      </w:pPr>
    </w:p>
    <w:p w14:paraId="435B0552" w14:textId="1E4C27A9" w:rsidR="00B1327E" w:rsidRDefault="00F433E9" w:rsidP="00EF1487">
      <w:pPr>
        <w:rPr>
          <w:rFonts w:asciiTheme="minorHAnsi" w:hAnsiTheme="minorHAnsi" w:cstheme="minorHAnsi"/>
        </w:rPr>
      </w:pPr>
      <w:r>
        <w:rPr>
          <w:rFonts w:asciiTheme="minorHAnsi" w:hAnsiTheme="minorHAnsi" w:cstheme="minorHAnsi"/>
        </w:rPr>
        <w:t>Dle Programu 2018–</w:t>
      </w:r>
      <w:r w:rsidR="00B1327E">
        <w:rPr>
          <w:rFonts w:asciiTheme="minorHAnsi" w:hAnsiTheme="minorHAnsi" w:cstheme="minorHAnsi"/>
        </w:rPr>
        <w:t>2022 byl předpokládaný finanční objem pro rok 2017 ve výši 1</w:t>
      </w:r>
      <w:r w:rsidR="00CA5A39">
        <w:rPr>
          <w:rFonts w:asciiTheme="minorHAnsi" w:hAnsiTheme="minorHAnsi" w:cstheme="minorHAnsi"/>
        </w:rPr>
        <w:t> </w:t>
      </w:r>
      <w:r w:rsidR="00B1327E">
        <w:rPr>
          <w:rFonts w:asciiTheme="minorHAnsi" w:hAnsiTheme="minorHAnsi" w:cstheme="minorHAnsi"/>
        </w:rPr>
        <w:t>085</w:t>
      </w:r>
      <w:r w:rsidR="00CA5A39">
        <w:rPr>
          <w:rFonts w:asciiTheme="minorHAnsi" w:hAnsiTheme="minorHAnsi" w:cstheme="minorHAnsi"/>
        </w:rPr>
        <w:t> </w:t>
      </w:r>
      <w:r w:rsidR="00B1327E">
        <w:rPr>
          <w:rFonts w:asciiTheme="minorHAnsi" w:hAnsiTheme="minorHAnsi" w:cstheme="minorHAnsi"/>
        </w:rPr>
        <w:t>mil.</w:t>
      </w:r>
      <w:r w:rsidR="00CA5A39">
        <w:rPr>
          <w:rFonts w:asciiTheme="minorHAnsi" w:hAnsiTheme="minorHAnsi" w:cstheme="minorHAnsi"/>
        </w:rPr>
        <w:t> </w:t>
      </w:r>
      <w:r w:rsidR="00B1327E">
        <w:rPr>
          <w:rFonts w:asciiTheme="minorHAnsi" w:hAnsiTheme="minorHAnsi" w:cstheme="minorHAnsi"/>
        </w:rPr>
        <w:t xml:space="preserve">Kč. Z výše uvedené tabulky č. </w:t>
      </w:r>
      <w:r w:rsidR="00C252DE">
        <w:rPr>
          <w:rFonts w:asciiTheme="minorHAnsi" w:hAnsiTheme="minorHAnsi" w:cstheme="minorHAnsi"/>
        </w:rPr>
        <w:t>2</w:t>
      </w:r>
      <w:r w:rsidR="00B1327E">
        <w:rPr>
          <w:rFonts w:asciiTheme="minorHAnsi" w:hAnsiTheme="minorHAnsi" w:cstheme="minorHAnsi"/>
        </w:rPr>
        <w:t xml:space="preserve"> vyplývá, že SŽDC skutečně čerpala o</w:t>
      </w:r>
      <w:r w:rsidR="004A6BA6">
        <w:rPr>
          <w:rFonts w:asciiTheme="minorHAnsi" w:hAnsiTheme="minorHAnsi" w:cstheme="minorHAnsi"/>
        </w:rPr>
        <w:t> </w:t>
      </w:r>
      <w:r w:rsidR="00B1327E">
        <w:rPr>
          <w:rFonts w:asciiTheme="minorHAnsi" w:hAnsiTheme="minorHAnsi" w:cstheme="minorHAnsi"/>
        </w:rPr>
        <w:t>cca</w:t>
      </w:r>
      <w:r w:rsidR="004A6BA6">
        <w:rPr>
          <w:rFonts w:asciiTheme="minorHAnsi" w:hAnsiTheme="minorHAnsi" w:cstheme="minorHAnsi"/>
        </w:rPr>
        <w:t> </w:t>
      </w:r>
      <w:r w:rsidR="00B1327E">
        <w:rPr>
          <w:rFonts w:asciiTheme="minorHAnsi" w:hAnsiTheme="minorHAnsi" w:cstheme="minorHAnsi"/>
        </w:rPr>
        <w:t>402,62 mil. Kč méně, než b</w:t>
      </w:r>
      <w:r>
        <w:rPr>
          <w:rFonts w:asciiTheme="minorHAnsi" w:hAnsiTheme="minorHAnsi" w:cstheme="minorHAnsi"/>
        </w:rPr>
        <w:t>ylo uvažováno v Programu 2018–</w:t>
      </w:r>
      <w:r w:rsidR="00B1327E">
        <w:rPr>
          <w:rFonts w:asciiTheme="minorHAnsi" w:hAnsiTheme="minorHAnsi" w:cstheme="minorHAnsi"/>
        </w:rPr>
        <w:t>2022, což je méně o</w:t>
      </w:r>
      <w:r w:rsidR="004A6BA6">
        <w:rPr>
          <w:rFonts w:asciiTheme="minorHAnsi" w:hAnsiTheme="minorHAnsi" w:cstheme="minorHAnsi"/>
        </w:rPr>
        <w:t> </w:t>
      </w:r>
      <w:r w:rsidR="00B1327E">
        <w:rPr>
          <w:rFonts w:asciiTheme="minorHAnsi" w:hAnsiTheme="minorHAnsi" w:cstheme="minorHAnsi"/>
        </w:rPr>
        <w:t>37,11 %.</w:t>
      </w:r>
    </w:p>
    <w:p w14:paraId="15E7FA67" w14:textId="77777777" w:rsidR="007A3BF1" w:rsidRDefault="007A3BF1" w:rsidP="007A3BF1">
      <w:pPr>
        <w:rPr>
          <w:rFonts w:asciiTheme="minorHAnsi" w:hAnsiTheme="minorHAnsi" w:cstheme="minorHAnsi"/>
        </w:rPr>
      </w:pPr>
    </w:p>
    <w:p w14:paraId="7F7DEC33" w14:textId="0145C54F" w:rsidR="00B1327E" w:rsidRDefault="00EC6A04" w:rsidP="007A3BF1">
      <w:pPr>
        <w:rPr>
          <w:rFonts w:asciiTheme="minorHAnsi" w:hAnsiTheme="minorHAnsi" w:cstheme="minorHAnsi"/>
        </w:rPr>
      </w:pPr>
      <w:r>
        <w:rPr>
          <w:rFonts w:asciiTheme="minorHAnsi" w:hAnsiTheme="minorHAnsi" w:cstheme="minorHAnsi"/>
        </w:rPr>
        <w:t>Dle Programu 2018–</w:t>
      </w:r>
      <w:r w:rsidR="00B1327E">
        <w:rPr>
          <w:rFonts w:asciiTheme="minorHAnsi" w:hAnsiTheme="minorHAnsi" w:cstheme="minorHAnsi"/>
        </w:rPr>
        <w:t>2022 byl předpokládaný finanční objem pro rok 2018 ve výši 1 362</w:t>
      </w:r>
      <w:r w:rsidR="00CA5A39">
        <w:rPr>
          <w:rFonts w:asciiTheme="minorHAnsi" w:hAnsiTheme="minorHAnsi" w:cstheme="minorHAnsi"/>
        </w:rPr>
        <w:t> </w:t>
      </w:r>
      <w:r w:rsidR="00B1327E">
        <w:rPr>
          <w:rFonts w:asciiTheme="minorHAnsi" w:hAnsiTheme="minorHAnsi" w:cstheme="minorHAnsi"/>
        </w:rPr>
        <w:t>mil.</w:t>
      </w:r>
      <w:r w:rsidR="00CA5A39">
        <w:rPr>
          <w:rFonts w:asciiTheme="minorHAnsi" w:hAnsiTheme="minorHAnsi" w:cstheme="minorHAnsi"/>
        </w:rPr>
        <w:t> </w:t>
      </w:r>
      <w:r w:rsidR="00B1327E">
        <w:rPr>
          <w:rFonts w:asciiTheme="minorHAnsi" w:hAnsiTheme="minorHAnsi" w:cstheme="minorHAnsi"/>
        </w:rPr>
        <w:t xml:space="preserve">Kč. Z výše uvedené tabulky č. </w:t>
      </w:r>
      <w:r w:rsidR="00C252DE">
        <w:rPr>
          <w:rFonts w:asciiTheme="minorHAnsi" w:hAnsiTheme="minorHAnsi" w:cstheme="minorHAnsi"/>
        </w:rPr>
        <w:t>2</w:t>
      </w:r>
      <w:r w:rsidR="00B1327E">
        <w:rPr>
          <w:rFonts w:asciiTheme="minorHAnsi" w:hAnsiTheme="minorHAnsi" w:cstheme="minorHAnsi"/>
        </w:rPr>
        <w:t xml:space="preserve"> vyplývá, že SŽDC čerpala o</w:t>
      </w:r>
      <w:r w:rsidR="004A6BA6">
        <w:rPr>
          <w:rFonts w:asciiTheme="minorHAnsi" w:hAnsiTheme="minorHAnsi" w:cstheme="minorHAnsi"/>
        </w:rPr>
        <w:t> </w:t>
      </w:r>
      <w:r w:rsidR="00B1327E">
        <w:rPr>
          <w:rFonts w:asciiTheme="minorHAnsi" w:hAnsiTheme="minorHAnsi" w:cstheme="minorHAnsi"/>
        </w:rPr>
        <w:t>cca 563,41</w:t>
      </w:r>
      <w:r w:rsidR="004A6BA6">
        <w:rPr>
          <w:rFonts w:asciiTheme="minorHAnsi" w:hAnsiTheme="minorHAnsi" w:cstheme="minorHAnsi"/>
        </w:rPr>
        <w:t> </w:t>
      </w:r>
      <w:r w:rsidR="00B1327E">
        <w:rPr>
          <w:rFonts w:asciiTheme="minorHAnsi" w:hAnsiTheme="minorHAnsi" w:cstheme="minorHAnsi"/>
        </w:rPr>
        <w:t>mil.</w:t>
      </w:r>
      <w:r w:rsidR="0060549E">
        <w:rPr>
          <w:rFonts w:asciiTheme="minorHAnsi" w:hAnsiTheme="minorHAnsi" w:cstheme="minorHAnsi"/>
        </w:rPr>
        <w:t> </w:t>
      </w:r>
      <w:r w:rsidR="00B1327E">
        <w:rPr>
          <w:rFonts w:asciiTheme="minorHAnsi" w:hAnsiTheme="minorHAnsi" w:cstheme="minorHAnsi"/>
        </w:rPr>
        <w:t>Kč méně, než b</w:t>
      </w:r>
      <w:r>
        <w:rPr>
          <w:rFonts w:asciiTheme="minorHAnsi" w:hAnsiTheme="minorHAnsi" w:cstheme="minorHAnsi"/>
        </w:rPr>
        <w:t>ylo uvažováno v Programu 2018–</w:t>
      </w:r>
      <w:r w:rsidR="00B1327E">
        <w:rPr>
          <w:rFonts w:asciiTheme="minorHAnsi" w:hAnsiTheme="minorHAnsi" w:cstheme="minorHAnsi"/>
        </w:rPr>
        <w:t>2022, což je méně o 41,37 %.</w:t>
      </w:r>
    </w:p>
    <w:p w14:paraId="1CDB55DE" w14:textId="77777777" w:rsidR="007A3BF1" w:rsidRDefault="007A3BF1" w:rsidP="007A3BF1">
      <w:pPr>
        <w:rPr>
          <w:rFonts w:asciiTheme="minorHAnsi" w:hAnsiTheme="minorHAnsi" w:cstheme="minorHAnsi"/>
        </w:rPr>
      </w:pPr>
    </w:p>
    <w:p w14:paraId="2579EA82" w14:textId="2F670D5A" w:rsidR="00B1327E" w:rsidRDefault="000E5941" w:rsidP="007A3BF1">
      <w:pPr>
        <w:rPr>
          <w:rFonts w:asciiTheme="minorHAnsi" w:hAnsiTheme="minorHAnsi" w:cstheme="minorHAnsi"/>
        </w:rPr>
      </w:pPr>
      <w:r>
        <w:rPr>
          <w:rFonts w:asciiTheme="minorHAnsi" w:hAnsiTheme="minorHAnsi" w:cstheme="minorHAnsi"/>
        </w:rPr>
        <w:t>Dle Programu 2018–</w:t>
      </w:r>
      <w:r w:rsidR="00B1327E">
        <w:rPr>
          <w:rFonts w:asciiTheme="minorHAnsi" w:hAnsiTheme="minorHAnsi" w:cstheme="minorHAnsi"/>
        </w:rPr>
        <w:t>2022 byl předpokládaný finanční objem pro rok 2019 ve výši 1 661</w:t>
      </w:r>
      <w:r w:rsidR="00CA5A39">
        <w:rPr>
          <w:rFonts w:asciiTheme="minorHAnsi" w:hAnsiTheme="minorHAnsi" w:cstheme="minorHAnsi"/>
        </w:rPr>
        <w:t> </w:t>
      </w:r>
      <w:r w:rsidR="00B1327E">
        <w:rPr>
          <w:rFonts w:asciiTheme="minorHAnsi" w:hAnsiTheme="minorHAnsi" w:cstheme="minorHAnsi"/>
        </w:rPr>
        <w:t>mil.</w:t>
      </w:r>
      <w:r w:rsidR="00CA5A39">
        <w:rPr>
          <w:rFonts w:asciiTheme="minorHAnsi" w:hAnsiTheme="minorHAnsi" w:cstheme="minorHAnsi"/>
        </w:rPr>
        <w:t> </w:t>
      </w:r>
      <w:r w:rsidR="00B1327E">
        <w:rPr>
          <w:rFonts w:asciiTheme="minorHAnsi" w:hAnsiTheme="minorHAnsi" w:cstheme="minorHAnsi"/>
        </w:rPr>
        <w:t xml:space="preserve">Kč. Z výše uvedené tabulky č. 5 </w:t>
      </w:r>
      <w:r w:rsidR="00CA5A39">
        <w:rPr>
          <w:rFonts w:asciiTheme="minorHAnsi" w:hAnsiTheme="minorHAnsi" w:cstheme="minorHAnsi"/>
        </w:rPr>
        <w:t>v</w:t>
      </w:r>
      <w:r w:rsidR="00B1327E">
        <w:rPr>
          <w:rFonts w:asciiTheme="minorHAnsi" w:hAnsiTheme="minorHAnsi" w:cstheme="minorHAnsi"/>
        </w:rPr>
        <w:t>yplývá, že SŽDC čerpala o</w:t>
      </w:r>
      <w:r w:rsidR="004A6BA6">
        <w:rPr>
          <w:rFonts w:asciiTheme="minorHAnsi" w:hAnsiTheme="minorHAnsi" w:cstheme="minorHAnsi"/>
        </w:rPr>
        <w:t> </w:t>
      </w:r>
      <w:r w:rsidR="00B1327E">
        <w:rPr>
          <w:rFonts w:asciiTheme="minorHAnsi" w:hAnsiTheme="minorHAnsi" w:cstheme="minorHAnsi"/>
        </w:rPr>
        <w:t>cca 491,71</w:t>
      </w:r>
      <w:r w:rsidR="004A6BA6">
        <w:rPr>
          <w:rFonts w:asciiTheme="minorHAnsi" w:hAnsiTheme="minorHAnsi" w:cstheme="minorHAnsi"/>
        </w:rPr>
        <w:t> </w:t>
      </w:r>
      <w:r w:rsidR="00B1327E">
        <w:rPr>
          <w:rFonts w:asciiTheme="minorHAnsi" w:hAnsiTheme="minorHAnsi" w:cstheme="minorHAnsi"/>
        </w:rPr>
        <w:t>mil.</w:t>
      </w:r>
      <w:r w:rsidR="0060549E">
        <w:rPr>
          <w:rFonts w:asciiTheme="minorHAnsi" w:hAnsiTheme="minorHAnsi" w:cstheme="minorHAnsi"/>
        </w:rPr>
        <w:t> </w:t>
      </w:r>
      <w:r w:rsidR="00B1327E">
        <w:rPr>
          <w:rFonts w:asciiTheme="minorHAnsi" w:hAnsiTheme="minorHAnsi" w:cstheme="minorHAnsi"/>
        </w:rPr>
        <w:t>Kč méně, než b</w:t>
      </w:r>
      <w:r>
        <w:rPr>
          <w:rFonts w:asciiTheme="minorHAnsi" w:hAnsiTheme="minorHAnsi" w:cstheme="minorHAnsi"/>
        </w:rPr>
        <w:t>ylo uvažováno v Programu 2018–</w:t>
      </w:r>
      <w:r w:rsidR="00B1327E">
        <w:rPr>
          <w:rFonts w:asciiTheme="minorHAnsi" w:hAnsiTheme="minorHAnsi" w:cstheme="minorHAnsi"/>
        </w:rPr>
        <w:t>2022, což je méně o 29,60 %.</w:t>
      </w:r>
    </w:p>
    <w:p w14:paraId="5126544B" w14:textId="77777777" w:rsidR="007A3BF1" w:rsidRDefault="007A3BF1" w:rsidP="007A3BF1">
      <w:pPr>
        <w:rPr>
          <w:rFonts w:asciiTheme="minorHAnsi" w:hAnsiTheme="minorHAnsi" w:cstheme="minorHAnsi"/>
        </w:rPr>
      </w:pPr>
    </w:p>
    <w:p w14:paraId="467C9DA2" w14:textId="74ED02B7" w:rsidR="00FB3F73" w:rsidRDefault="00FB3F73" w:rsidP="007A3BF1">
      <w:pPr>
        <w:rPr>
          <w:rFonts w:asciiTheme="minorHAnsi" w:hAnsiTheme="minorHAnsi" w:cstheme="minorHAnsi"/>
        </w:rPr>
      </w:pPr>
      <w:r w:rsidRPr="00FB3F73">
        <w:rPr>
          <w:rFonts w:asciiTheme="minorHAnsi" w:hAnsiTheme="minorHAnsi" w:cstheme="minorHAnsi"/>
        </w:rPr>
        <w:t>Skutečné čerpání všech prostředků SŽDC na</w:t>
      </w:r>
      <w:r w:rsidR="00766624">
        <w:rPr>
          <w:rFonts w:asciiTheme="minorHAnsi" w:hAnsiTheme="minorHAnsi" w:cstheme="minorHAnsi"/>
        </w:rPr>
        <w:t xml:space="preserve"> osobní nádraží v letech 2017–</w:t>
      </w:r>
      <w:r w:rsidRPr="00FB3F73">
        <w:rPr>
          <w:rFonts w:asciiTheme="minorHAnsi" w:hAnsiTheme="minorHAnsi" w:cstheme="minorHAnsi"/>
        </w:rPr>
        <w:t>2019 oproti předpokládaným finančním objemům (správa, opravy a investi</w:t>
      </w:r>
      <w:r w:rsidR="00766624">
        <w:rPr>
          <w:rFonts w:asciiTheme="minorHAnsi" w:hAnsiTheme="minorHAnsi" w:cstheme="minorHAnsi"/>
        </w:rPr>
        <w:t xml:space="preserve">ce) </w:t>
      </w:r>
      <w:r w:rsidR="007F31F0">
        <w:rPr>
          <w:rFonts w:asciiTheme="minorHAnsi" w:hAnsiTheme="minorHAnsi" w:cstheme="minorHAnsi"/>
        </w:rPr>
        <w:t xml:space="preserve">stanoveným </w:t>
      </w:r>
      <w:r w:rsidR="00766624">
        <w:rPr>
          <w:rFonts w:asciiTheme="minorHAnsi" w:hAnsiTheme="minorHAnsi" w:cstheme="minorHAnsi"/>
        </w:rPr>
        <w:t>v Programu 2018–</w:t>
      </w:r>
      <w:r w:rsidRPr="00FB3F73">
        <w:rPr>
          <w:rFonts w:asciiTheme="minorHAnsi" w:hAnsiTheme="minorHAnsi" w:cstheme="minorHAnsi"/>
        </w:rPr>
        <w:t>2022 je uvedeno v grafu</w:t>
      </w:r>
      <w:r w:rsidR="00B74356">
        <w:rPr>
          <w:rFonts w:asciiTheme="minorHAnsi" w:hAnsiTheme="minorHAnsi" w:cstheme="minorHAnsi"/>
        </w:rPr>
        <w:t xml:space="preserve"> na str. 2</w:t>
      </w:r>
      <w:r w:rsidR="00CA5A39">
        <w:rPr>
          <w:rFonts w:asciiTheme="minorHAnsi" w:hAnsiTheme="minorHAnsi" w:cstheme="minorHAnsi"/>
        </w:rPr>
        <w:t xml:space="preserve"> tohoto kontrolního závěru.</w:t>
      </w:r>
    </w:p>
    <w:p w14:paraId="35B82845" w14:textId="77777777" w:rsidR="00A73D35" w:rsidRDefault="00A73D35" w:rsidP="0017696B">
      <w:pPr>
        <w:rPr>
          <w:rFonts w:asciiTheme="minorHAnsi" w:hAnsiTheme="minorHAnsi" w:cstheme="minorHAnsi"/>
        </w:rPr>
      </w:pPr>
    </w:p>
    <w:p w14:paraId="74ED9F6D" w14:textId="77777777" w:rsidR="00A73D35" w:rsidRPr="00673343" w:rsidRDefault="00673343" w:rsidP="00673343">
      <w:pPr>
        <w:keepNext/>
        <w:rPr>
          <w:rFonts w:asciiTheme="minorHAnsi" w:hAnsiTheme="minorHAnsi" w:cstheme="minorHAnsi"/>
          <w:b/>
        </w:rPr>
      </w:pPr>
      <w:r w:rsidRPr="00673343">
        <w:rPr>
          <w:rFonts w:asciiTheme="minorHAnsi" w:hAnsiTheme="minorHAnsi" w:cstheme="minorHAnsi"/>
          <w:b/>
        </w:rPr>
        <w:t xml:space="preserve">3. </w:t>
      </w:r>
      <w:r w:rsidR="00A73D35" w:rsidRPr="00673343">
        <w:rPr>
          <w:rFonts w:asciiTheme="minorHAnsi" w:hAnsiTheme="minorHAnsi" w:cstheme="minorHAnsi"/>
          <w:b/>
        </w:rPr>
        <w:t>Posunutí termínu realizace oproti termínu stano</w:t>
      </w:r>
      <w:r w:rsidR="00A10540" w:rsidRPr="00673343">
        <w:rPr>
          <w:rFonts w:asciiTheme="minorHAnsi" w:hAnsiTheme="minorHAnsi" w:cstheme="minorHAnsi"/>
          <w:b/>
        </w:rPr>
        <w:t>venému v harmonogramu realizace</w:t>
      </w:r>
    </w:p>
    <w:p w14:paraId="5B0A19EC" w14:textId="77777777" w:rsidR="007C00F0" w:rsidRDefault="007C00F0" w:rsidP="00673343">
      <w:pPr>
        <w:keepNext/>
        <w:rPr>
          <w:rFonts w:asciiTheme="minorHAnsi" w:hAnsiTheme="minorHAnsi" w:cstheme="minorHAnsi"/>
        </w:rPr>
      </w:pPr>
    </w:p>
    <w:p w14:paraId="2D91605B" w14:textId="77777777" w:rsidR="00DA7851" w:rsidRDefault="00DA7851" w:rsidP="007A3BF1">
      <w:pPr>
        <w:rPr>
          <w:rFonts w:asciiTheme="minorHAnsi" w:hAnsiTheme="minorHAnsi" w:cstheme="minorHAnsi"/>
        </w:rPr>
      </w:pPr>
      <w:r w:rsidRPr="00C36B31">
        <w:rPr>
          <w:rFonts w:asciiTheme="minorHAnsi" w:hAnsiTheme="minorHAnsi" w:cstheme="minorHAnsi"/>
        </w:rPr>
        <w:t xml:space="preserve">Kontrolou bylo zjištěno, že SŽDC u </w:t>
      </w:r>
      <w:r w:rsidR="006A4A32">
        <w:rPr>
          <w:rFonts w:asciiTheme="minorHAnsi" w:hAnsiTheme="minorHAnsi" w:cstheme="minorHAnsi"/>
        </w:rPr>
        <w:t>sedmi</w:t>
      </w:r>
      <w:r w:rsidRPr="00C36B31">
        <w:rPr>
          <w:rFonts w:asciiTheme="minorHAnsi" w:hAnsiTheme="minorHAnsi" w:cstheme="minorHAnsi"/>
        </w:rPr>
        <w:t xml:space="preserve"> stavebních akcí posunula termíny realizace oproti harmonogramům uvedených v Programu 2018–2022, záměru projektu, plánu oprav a</w:t>
      </w:r>
      <w:r w:rsidR="007C00F0">
        <w:rPr>
          <w:rFonts w:asciiTheme="minorHAnsi" w:hAnsiTheme="minorHAnsi" w:cstheme="minorHAnsi"/>
        </w:rPr>
        <w:t> </w:t>
      </w:r>
      <w:r w:rsidRPr="00C36B31">
        <w:rPr>
          <w:rFonts w:asciiTheme="minorHAnsi" w:hAnsiTheme="minorHAnsi" w:cstheme="minorHAnsi"/>
        </w:rPr>
        <w:t>seznamu globálních položek.</w:t>
      </w:r>
    </w:p>
    <w:p w14:paraId="3D2A52EF" w14:textId="77777777" w:rsidR="007A3BF1" w:rsidRPr="00C36B31" w:rsidRDefault="007A3BF1" w:rsidP="007A3BF1">
      <w:pPr>
        <w:rPr>
          <w:rFonts w:asciiTheme="minorHAnsi" w:hAnsiTheme="minorHAnsi" w:cstheme="minorHAnsi"/>
        </w:rPr>
      </w:pPr>
    </w:p>
    <w:p w14:paraId="1BBC666E" w14:textId="27D6BE21" w:rsidR="001D6919" w:rsidRDefault="00DA7851" w:rsidP="007A3BF1">
      <w:pPr>
        <w:rPr>
          <w:rFonts w:cstheme="minorHAnsi"/>
          <w:bCs/>
          <w:szCs w:val="22"/>
        </w:rPr>
      </w:pPr>
      <w:r w:rsidRPr="00DF5588">
        <w:rPr>
          <w:rFonts w:asciiTheme="minorHAnsi" w:hAnsiTheme="minorHAnsi" w:cstheme="minorHAnsi"/>
        </w:rPr>
        <w:t>Např. u rekonstrukce výpravní budovy Beroun byl dle Programu 2018–2022 termín realizace 2019–2020, termín realizace uvedený v</w:t>
      </w:r>
      <w:r>
        <w:rPr>
          <w:rFonts w:asciiTheme="minorHAnsi" w:hAnsiTheme="minorHAnsi" w:cstheme="minorHAnsi"/>
        </w:rPr>
        <w:t> záměru projektu</w:t>
      </w:r>
      <w:r w:rsidRPr="00DF5588">
        <w:rPr>
          <w:rFonts w:asciiTheme="minorHAnsi" w:hAnsiTheme="minorHAnsi" w:cstheme="minorHAnsi"/>
        </w:rPr>
        <w:t xml:space="preserve"> </w:t>
      </w:r>
      <w:r w:rsidR="006A4A32">
        <w:rPr>
          <w:rFonts w:asciiTheme="minorHAnsi" w:hAnsiTheme="minorHAnsi" w:cstheme="minorHAnsi"/>
        </w:rPr>
        <w:t xml:space="preserve">(dále také „ZP“) </w:t>
      </w:r>
      <w:r w:rsidRPr="00DF5588">
        <w:rPr>
          <w:rFonts w:asciiTheme="minorHAnsi" w:hAnsiTheme="minorHAnsi" w:cstheme="minorHAnsi"/>
        </w:rPr>
        <w:t>byl</w:t>
      </w:r>
      <w:r w:rsidR="006055E8">
        <w:rPr>
          <w:rFonts w:asciiTheme="minorHAnsi" w:hAnsiTheme="minorHAnsi" w:cstheme="minorHAnsi"/>
        </w:rPr>
        <w:t xml:space="preserve"> </w:t>
      </w:r>
      <w:r w:rsidR="006055E8">
        <w:rPr>
          <w:rFonts w:asciiTheme="minorHAnsi" w:hAnsiTheme="minorHAnsi" w:cstheme="minorHAnsi"/>
        </w:rPr>
        <w:br/>
      </w:r>
      <w:r w:rsidRPr="00DF5588">
        <w:rPr>
          <w:rFonts w:asciiTheme="minorHAnsi" w:hAnsiTheme="minorHAnsi" w:cstheme="minorHAnsi"/>
        </w:rPr>
        <w:t>01/2019–12/2020, termín realizace dle plánu oprav a investic byl 06/2019–12/2020 a termín dle seznamu globálních položek byl 07/2019–07/2021. Akce nebyla do 31. 12. 2019 zahájena</w:t>
      </w:r>
      <w:r w:rsidR="00673343">
        <w:rPr>
          <w:rFonts w:asciiTheme="minorHAnsi" w:hAnsiTheme="minorHAnsi" w:cstheme="minorHAnsi"/>
        </w:rPr>
        <w:t xml:space="preserve"> </w:t>
      </w:r>
      <w:r w:rsidR="006055E8">
        <w:rPr>
          <w:rFonts w:asciiTheme="minorHAnsi" w:hAnsiTheme="minorHAnsi" w:cstheme="minorHAnsi"/>
        </w:rPr>
        <w:t>s odůvodněním</w:t>
      </w:r>
      <w:r w:rsidRPr="00DF5588">
        <w:rPr>
          <w:rFonts w:asciiTheme="minorHAnsi" w:hAnsiTheme="minorHAnsi" w:cstheme="minorHAnsi"/>
        </w:rPr>
        <w:t xml:space="preserve">, </w:t>
      </w:r>
      <w:r w:rsidR="00CA5A39">
        <w:rPr>
          <w:rFonts w:asciiTheme="minorHAnsi" w:hAnsiTheme="minorHAnsi" w:cstheme="minorHAnsi"/>
        </w:rPr>
        <w:t>že</w:t>
      </w:r>
      <w:r w:rsidRPr="00DF5588">
        <w:rPr>
          <w:rFonts w:asciiTheme="minorHAnsi" w:hAnsiTheme="minorHAnsi" w:cstheme="minorHAnsi"/>
        </w:rPr>
        <w:t xml:space="preserve"> soutěž na dodavatele stavebních prací </w:t>
      </w:r>
      <w:r>
        <w:rPr>
          <w:rFonts w:asciiTheme="minorHAnsi" w:hAnsiTheme="minorHAnsi" w:cstheme="minorHAnsi"/>
        </w:rPr>
        <w:t xml:space="preserve">byla </w:t>
      </w:r>
      <w:r w:rsidR="001D6919">
        <w:rPr>
          <w:rFonts w:asciiTheme="minorHAnsi" w:hAnsiTheme="minorHAnsi" w:cstheme="minorHAnsi"/>
        </w:rPr>
        <w:t>zrušena. D</w:t>
      </w:r>
      <w:r w:rsidR="001D6919">
        <w:rPr>
          <w:rFonts w:cstheme="minorHAnsi"/>
          <w:bCs/>
          <w:szCs w:val="22"/>
        </w:rPr>
        <w:t>ůvodem zrušení byla skutečnost, že SŽDC v průběhu zadávacího řízení</w:t>
      </w:r>
      <w:r w:rsidR="006055E8">
        <w:rPr>
          <w:rFonts w:cstheme="minorHAnsi"/>
          <w:bCs/>
          <w:szCs w:val="22"/>
        </w:rPr>
        <w:t>,</w:t>
      </w:r>
      <w:r w:rsidR="001D6919">
        <w:rPr>
          <w:rFonts w:cstheme="minorHAnsi"/>
          <w:bCs/>
          <w:szCs w:val="22"/>
        </w:rPr>
        <w:t xml:space="preserve"> a to i s ohledem na nepředvídatelné časové prodloužení současné probíhající realizace stavby </w:t>
      </w:r>
      <w:r w:rsidR="001D6919" w:rsidRPr="00CE24B2">
        <w:rPr>
          <w:rFonts w:cstheme="minorHAnsi"/>
          <w:bCs/>
          <w:i/>
          <w:szCs w:val="22"/>
        </w:rPr>
        <w:t>Optimalizace trati Beroun – Králův Dvůr</w:t>
      </w:r>
      <w:r w:rsidR="001D6919">
        <w:rPr>
          <w:rFonts w:cstheme="minorHAnsi"/>
          <w:bCs/>
          <w:szCs w:val="22"/>
        </w:rPr>
        <w:t xml:space="preserve">, která se rekonstrukce výpravní budovy bezprostředně dotýká, detekovala </w:t>
      </w:r>
      <w:r w:rsidR="001D6919" w:rsidRPr="001D6919">
        <w:rPr>
          <w:rFonts w:cstheme="minorHAnsi"/>
          <w:bCs/>
          <w:szCs w:val="22"/>
        </w:rPr>
        <w:t>potřebu upravit projektovou dokumentaci, která je součástí zadávací dokumentace. Mimo úpravy časového harmonogramu se jednalo i o úpravu vnitřní dispozice stavby tak, aby navržené projektové řešení lépe odpovídalo současným trendům v dispo</w:t>
      </w:r>
      <w:r w:rsidR="006B058F">
        <w:rPr>
          <w:rFonts w:cstheme="minorHAnsi"/>
          <w:bCs/>
          <w:szCs w:val="22"/>
        </w:rPr>
        <w:t>zicích železničních stanic a </w:t>
      </w:r>
      <w:r w:rsidR="001D6919" w:rsidRPr="001D6919">
        <w:rPr>
          <w:rFonts w:cstheme="minorHAnsi"/>
          <w:bCs/>
          <w:szCs w:val="22"/>
        </w:rPr>
        <w:t>aktuálně sledovaným koncepcím v návaznosti na budoucí využití, provoz a údržbu stavby.</w:t>
      </w:r>
      <w:r w:rsidR="001D6919">
        <w:rPr>
          <w:rFonts w:cstheme="minorHAnsi"/>
          <w:bCs/>
          <w:szCs w:val="22"/>
        </w:rPr>
        <w:t xml:space="preserve"> Dalším </w:t>
      </w:r>
      <w:r w:rsidR="001D6919" w:rsidRPr="001D6919">
        <w:rPr>
          <w:rFonts w:cstheme="minorHAnsi"/>
          <w:bCs/>
          <w:szCs w:val="22"/>
        </w:rPr>
        <w:t xml:space="preserve">důvodem byla skutečnost, že v zadávacím řízení po vyloučení </w:t>
      </w:r>
      <w:r w:rsidR="001D6919">
        <w:rPr>
          <w:rFonts w:cstheme="minorHAnsi"/>
          <w:bCs/>
          <w:szCs w:val="22"/>
        </w:rPr>
        <w:t xml:space="preserve">vítězného </w:t>
      </w:r>
      <w:r w:rsidR="001D6919" w:rsidRPr="001D6919">
        <w:rPr>
          <w:rFonts w:cstheme="minorHAnsi"/>
          <w:bCs/>
          <w:szCs w:val="22"/>
        </w:rPr>
        <w:t>účastníka z důvodu nesplnění kvalifikace zůstaly k hodnocení již pouze nabídky s nab</w:t>
      </w:r>
      <w:r w:rsidR="001D6919">
        <w:rPr>
          <w:rFonts w:cstheme="minorHAnsi"/>
          <w:bCs/>
          <w:szCs w:val="22"/>
        </w:rPr>
        <w:t>ídkovými cenami, které převyšovaly</w:t>
      </w:r>
      <w:r w:rsidR="001D6919" w:rsidRPr="001D6919">
        <w:rPr>
          <w:rFonts w:cstheme="minorHAnsi"/>
          <w:bCs/>
          <w:szCs w:val="22"/>
        </w:rPr>
        <w:t xml:space="preserve"> o cca 13 až 26 % předpokládanou hodnotu plnění. </w:t>
      </w:r>
    </w:p>
    <w:p w14:paraId="25B24801" w14:textId="77777777" w:rsidR="007C00F0" w:rsidRPr="001D6919" w:rsidRDefault="007C00F0" w:rsidP="007A3BF1">
      <w:pPr>
        <w:rPr>
          <w:rFonts w:cstheme="minorHAnsi"/>
          <w:bCs/>
          <w:szCs w:val="22"/>
        </w:rPr>
      </w:pPr>
    </w:p>
    <w:p w14:paraId="43811120" w14:textId="78151F51" w:rsidR="00C36B31" w:rsidRDefault="00C36B31" w:rsidP="007A3BF1">
      <w:pPr>
        <w:spacing w:line="254" w:lineRule="auto"/>
        <w:rPr>
          <w:rFonts w:asciiTheme="minorHAnsi" w:hAnsiTheme="minorHAnsi"/>
        </w:rPr>
      </w:pPr>
      <w:r>
        <w:rPr>
          <w:rFonts w:cs="Calibri"/>
        </w:rPr>
        <w:t>U r</w:t>
      </w:r>
      <w:r w:rsidRPr="00C36B31">
        <w:rPr>
          <w:rFonts w:cs="Calibri"/>
        </w:rPr>
        <w:t xml:space="preserve">ekonstrukce výpravní budovy v </w:t>
      </w:r>
      <w:proofErr w:type="spellStart"/>
      <w:r w:rsidRPr="00C36B31">
        <w:rPr>
          <w:rFonts w:cs="Calibri"/>
        </w:rPr>
        <w:t>žst</w:t>
      </w:r>
      <w:proofErr w:type="spellEnd"/>
      <w:r w:rsidRPr="00C36B31">
        <w:rPr>
          <w:rFonts w:cs="Calibri"/>
        </w:rPr>
        <w:t>. Třebíč</w:t>
      </w:r>
      <w:r>
        <w:rPr>
          <w:rFonts w:cs="Calibri"/>
        </w:rPr>
        <w:t xml:space="preserve"> byl </w:t>
      </w:r>
      <w:r w:rsidR="006B058F">
        <w:rPr>
          <w:rFonts w:asciiTheme="minorHAnsi" w:hAnsiTheme="minorHAnsi" w:cstheme="minorHAnsi"/>
        </w:rPr>
        <w:t>dle Programu 2018–</w:t>
      </w:r>
      <w:r w:rsidR="00852E0B">
        <w:rPr>
          <w:rFonts w:asciiTheme="minorHAnsi" w:hAnsiTheme="minorHAnsi" w:cstheme="minorHAnsi"/>
        </w:rPr>
        <w:t xml:space="preserve">2022 </w:t>
      </w:r>
      <w:r>
        <w:rPr>
          <w:rFonts w:cs="Calibri"/>
        </w:rPr>
        <w:t>t</w:t>
      </w:r>
      <w:r>
        <w:rPr>
          <w:rFonts w:asciiTheme="minorHAnsi" w:hAnsiTheme="minorHAnsi" w:cstheme="minorHAnsi"/>
        </w:rPr>
        <w:t>ermín realizace 2018–2020, termín reali</w:t>
      </w:r>
      <w:r w:rsidR="006B058F">
        <w:rPr>
          <w:rFonts w:asciiTheme="minorHAnsi" w:hAnsiTheme="minorHAnsi" w:cstheme="minorHAnsi"/>
        </w:rPr>
        <w:t>zace uvedený v ZP byl 04/2019–</w:t>
      </w:r>
      <w:r>
        <w:rPr>
          <w:rFonts w:asciiTheme="minorHAnsi" w:hAnsiTheme="minorHAnsi" w:cstheme="minorHAnsi"/>
        </w:rPr>
        <w:t>04/2020, termín realizace dle plá</w:t>
      </w:r>
      <w:r w:rsidR="006B058F">
        <w:rPr>
          <w:rFonts w:asciiTheme="minorHAnsi" w:hAnsiTheme="minorHAnsi" w:cstheme="minorHAnsi"/>
        </w:rPr>
        <w:t>nu oprav a investic byl 07/2019–</w:t>
      </w:r>
      <w:r>
        <w:rPr>
          <w:rFonts w:asciiTheme="minorHAnsi" w:hAnsiTheme="minorHAnsi" w:cstheme="minorHAnsi"/>
        </w:rPr>
        <w:t>07/2020 a termín dle seznamu globálních položek byl</w:t>
      </w:r>
      <w:r w:rsidR="006B058F">
        <w:rPr>
          <w:rFonts w:asciiTheme="minorHAnsi" w:hAnsiTheme="minorHAnsi" w:cstheme="minorHAnsi"/>
        </w:rPr>
        <w:br/>
      </w:r>
      <w:r>
        <w:rPr>
          <w:rFonts w:asciiTheme="minorHAnsi" w:hAnsiTheme="minorHAnsi" w:cstheme="minorHAnsi"/>
        </w:rPr>
        <w:t xml:space="preserve">09/2019–09/2020. Akce nebyla do 31. 12. 2019 zahájena. SŽDC podalo žádost o vydání stavebního </w:t>
      </w:r>
      <w:r w:rsidR="00A10540">
        <w:rPr>
          <w:rFonts w:asciiTheme="minorHAnsi" w:hAnsiTheme="minorHAnsi" w:cstheme="minorHAnsi"/>
        </w:rPr>
        <w:t xml:space="preserve">povolení </w:t>
      </w:r>
      <w:r>
        <w:rPr>
          <w:rFonts w:asciiTheme="minorHAnsi" w:hAnsiTheme="minorHAnsi" w:cstheme="minorHAnsi"/>
        </w:rPr>
        <w:t xml:space="preserve">dne </w:t>
      </w:r>
      <w:r>
        <w:rPr>
          <w:rFonts w:asciiTheme="minorHAnsi" w:hAnsiTheme="minorHAnsi" w:cstheme="minorHAnsi"/>
          <w:bCs/>
          <w:color w:val="000000" w:themeColor="text1"/>
          <w:szCs w:val="22"/>
        </w:rPr>
        <w:t>6. 12. 2018</w:t>
      </w:r>
      <w:r>
        <w:rPr>
          <w:rFonts w:asciiTheme="minorHAnsi" w:hAnsiTheme="minorHAnsi"/>
        </w:rPr>
        <w:t>. Z důvodu nedoložení všech požadovaných dokladů Drážní úřad dne 10. 1. 2019 řízení přerušil a vyzval SŽDC k odstranění nedostatků. Dne 29. 3. 2019 Drážní úřad prodloužil lhůtu k odstranění nedostatků. Nedostatky byly odstraněny k 23. 5. 2019. Stavební povolení vydal Drážní úřad dne 25. 6. 2019. Smlouva o dílo nebyla k 31.</w:t>
      </w:r>
      <w:r>
        <w:t> </w:t>
      </w:r>
      <w:r>
        <w:rPr>
          <w:rFonts w:asciiTheme="minorHAnsi" w:hAnsiTheme="minorHAnsi"/>
        </w:rPr>
        <w:t>12. 2019 uzavřena</w:t>
      </w:r>
      <w:r w:rsidR="007F31F0">
        <w:rPr>
          <w:rFonts w:asciiTheme="minorHAnsi" w:hAnsiTheme="minorHAnsi"/>
        </w:rPr>
        <w:t>.</w:t>
      </w:r>
    </w:p>
    <w:p w14:paraId="497ACC65" w14:textId="77777777" w:rsidR="007A3BF1" w:rsidRDefault="007A3BF1" w:rsidP="007A3BF1">
      <w:pPr>
        <w:spacing w:line="254" w:lineRule="auto"/>
        <w:rPr>
          <w:rFonts w:asciiTheme="minorHAnsi" w:hAnsiTheme="minorHAnsi" w:cstheme="minorHAnsi"/>
        </w:rPr>
      </w:pPr>
    </w:p>
    <w:p w14:paraId="07001B62" w14:textId="15041A7D" w:rsidR="00DA7851" w:rsidRDefault="007F31F0" w:rsidP="007A3BF1">
      <w:pPr>
        <w:spacing w:line="256" w:lineRule="auto"/>
        <w:rPr>
          <w:rFonts w:asciiTheme="minorHAnsi" w:hAnsiTheme="minorHAnsi" w:cstheme="minorHAnsi"/>
        </w:rPr>
      </w:pPr>
      <w:r>
        <w:rPr>
          <w:rFonts w:asciiTheme="minorHAnsi" w:hAnsiTheme="minorHAnsi" w:cstheme="minorHAnsi"/>
        </w:rPr>
        <w:t>K</w:t>
      </w:r>
      <w:r w:rsidR="00DA7851">
        <w:rPr>
          <w:rFonts w:asciiTheme="minorHAnsi" w:hAnsiTheme="minorHAnsi" w:cstheme="minorHAnsi"/>
        </w:rPr>
        <w:t xml:space="preserve"> posunutí termínu realizace </w:t>
      </w:r>
      <w:r>
        <w:rPr>
          <w:rFonts w:asciiTheme="minorHAnsi" w:hAnsiTheme="minorHAnsi" w:cstheme="minorHAnsi"/>
        </w:rPr>
        <w:t xml:space="preserve">došlo rovněž </w:t>
      </w:r>
      <w:r w:rsidR="00DA7851">
        <w:rPr>
          <w:rFonts w:asciiTheme="minorHAnsi" w:hAnsiTheme="minorHAnsi" w:cstheme="minorHAnsi"/>
        </w:rPr>
        <w:t>u rekonstrukcí výpravních budov v </w:t>
      </w:r>
      <w:proofErr w:type="spellStart"/>
      <w:r w:rsidR="00DA7851">
        <w:rPr>
          <w:rFonts w:asciiTheme="minorHAnsi" w:hAnsiTheme="minorHAnsi" w:cstheme="minorHAnsi"/>
        </w:rPr>
        <w:t>žst</w:t>
      </w:r>
      <w:proofErr w:type="spellEnd"/>
      <w:r w:rsidR="00DA7851">
        <w:rPr>
          <w:rFonts w:asciiTheme="minorHAnsi" w:hAnsiTheme="minorHAnsi" w:cstheme="minorHAnsi"/>
        </w:rPr>
        <w:t xml:space="preserve">. Šternberk, Hanušovice, </w:t>
      </w:r>
      <w:r w:rsidR="00AE6026" w:rsidRPr="000D11F5">
        <w:rPr>
          <w:rFonts w:cstheme="minorHAnsi"/>
        </w:rPr>
        <w:t>Frenštát pod Radhoštěm</w:t>
      </w:r>
      <w:r w:rsidR="00AE6026">
        <w:rPr>
          <w:rFonts w:cstheme="minorHAnsi"/>
        </w:rPr>
        <w:t xml:space="preserve">, </w:t>
      </w:r>
      <w:r w:rsidR="00DA7851" w:rsidRPr="000D11F5">
        <w:rPr>
          <w:rFonts w:cstheme="minorHAnsi"/>
        </w:rPr>
        <w:t>Hrušovany nad Jevišovkou</w:t>
      </w:r>
      <w:r w:rsidR="00844B64">
        <w:rPr>
          <w:rFonts w:cstheme="minorHAnsi"/>
        </w:rPr>
        <w:t xml:space="preserve"> a </w:t>
      </w:r>
      <w:r w:rsidR="00DA7851" w:rsidRPr="000D11F5">
        <w:rPr>
          <w:rFonts w:cstheme="minorHAnsi"/>
        </w:rPr>
        <w:t>Křižanov</w:t>
      </w:r>
      <w:r>
        <w:rPr>
          <w:rFonts w:cstheme="minorHAnsi"/>
        </w:rPr>
        <w:t>,</w:t>
      </w:r>
      <w:r w:rsidR="00844B64">
        <w:rPr>
          <w:rFonts w:cstheme="minorHAnsi"/>
        </w:rPr>
        <w:t xml:space="preserve"> a to v rozmezí </w:t>
      </w:r>
      <w:r w:rsidR="004360C7">
        <w:rPr>
          <w:rFonts w:cstheme="minorHAnsi"/>
        </w:rPr>
        <w:br/>
      </w:r>
      <w:r w:rsidR="00844B64">
        <w:rPr>
          <w:rFonts w:cstheme="minorHAnsi"/>
        </w:rPr>
        <w:t>1–</w:t>
      </w:r>
      <w:r w:rsidR="00153446">
        <w:rPr>
          <w:rFonts w:cstheme="minorHAnsi"/>
        </w:rPr>
        <w:t>5</w:t>
      </w:r>
      <w:r w:rsidR="006055E8">
        <w:rPr>
          <w:rFonts w:cstheme="minorHAnsi"/>
        </w:rPr>
        <w:t> </w:t>
      </w:r>
      <w:r w:rsidR="00153446">
        <w:rPr>
          <w:rFonts w:cstheme="minorHAnsi"/>
        </w:rPr>
        <w:t>měsíců oproti schváleným ZP.</w:t>
      </w:r>
    </w:p>
    <w:p w14:paraId="2A27262A" w14:textId="77777777" w:rsidR="00646794" w:rsidRDefault="00646794" w:rsidP="008B0AA5"/>
    <w:p w14:paraId="3AEFEF80" w14:textId="47A8A060" w:rsidR="003F7518" w:rsidRPr="00673343" w:rsidRDefault="00673343" w:rsidP="00673343">
      <w:pPr>
        <w:keepNext/>
        <w:ind w:left="284" w:hanging="284"/>
        <w:jc w:val="left"/>
        <w:rPr>
          <w:rFonts w:asciiTheme="minorHAnsi" w:hAnsiTheme="minorHAnsi" w:cstheme="minorHAnsi"/>
          <w:b/>
        </w:rPr>
      </w:pPr>
      <w:r w:rsidRPr="00673343">
        <w:rPr>
          <w:rFonts w:asciiTheme="minorHAnsi" w:hAnsiTheme="minorHAnsi" w:cstheme="minorHAnsi"/>
          <w:b/>
        </w:rPr>
        <w:t xml:space="preserve">4. </w:t>
      </w:r>
      <w:r>
        <w:rPr>
          <w:rFonts w:asciiTheme="minorHAnsi" w:hAnsiTheme="minorHAnsi" w:cstheme="minorHAnsi"/>
          <w:b/>
        </w:rPr>
        <w:tab/>
      </w:r>
      <w:r w:rsidR="003F7518" w:rsidRPr="00673343">
        <w:rPr>
          <w:rFonts w:asciiTheme="minorHAnsi" w:hAnsiTheme="minorHAnsi" w:cstheme="minorHAnsi"/>
          <w:b/>
        </w:rPr>
        <w:t>SŽDC nemá jednoznačně stanoveny parametry</w:t>
      </w:r>
      <w:r w:rsidR="003F7518" w:rsidRPr="006055E8">
        <w:rPr>
          <w:rFonts w:asciiTheme="minorHAnsi" w:hAnsiTheme="minorHAnsi" w:cstheme="minorHAnsi"/>
          <w:b/>
        </w:rPr>
        <w:t xml:space="preserve"> </w:t>
      </w:r>
      <w:r w:rsidR="003F7518" w:rsidRPr="00CE24B2">
        <w:rPr>
          <w:rFonts w:asciiTheme="minorHAnsi" w:hAnsiTheme="minorHAnsi" w:cstheme="minorHAnsi"/>
          <w:b/>
        </w:rPr>
        <w:t>(indikátory),</w:t>
      </w:r>
      <w:r w:rsidR="003F7518" w:rsidRPr="00673343">
        <w:rPr>
          <w:rFonts w:asciiTheme="minorHAnsi" w:hAnsiTheme="minorHAnsi" w:cstheme="minorHAnsi"/>
          <w:b/>
        </w:rPr>
        <w:t xml:space="preserve"> na</w:t>
      </w:r>
      <w:r w:rsidR="006055E8">
        <w:rPr>
          <w:rFonts w:asciiTheme="minorHAnsi" w:hAnsiTheme="minorHAnsi" w:cstheme="minorHAnsi"/>
          <w:b/>
        </w:rPr>
        <w:t xml:space="preserve"> jejichž</w:t>
      </w:r>
      <w:r w:rsidR="003F7518" w:rsidRPr="00673343">
        <w:rPr>
          <w:rFonts w:asciiTheme="minorHAnsi" w:hAnsiTheme="minorHAnsi" w:cstheme="minorHAnsi"/>
          <w:b/>
        </w:rPr>
        <w:t xml:space="preserve"> základě bude hodnotit ukončené stavby</w:t>
      </w:r>
    </w:p>
    <w:p w14:paraId="21C3DDF7" w14:textId="77777777" w:rsidR="007C00F0" w:rsidRDefault="007C00F0" w:rsidP="00673343">
      <w:pPr>
        <w:pStyle w:val="MDSR"/>
        <w:keepNext/>
        <w:spacing w:before="0"/>
        <w:ind w:firstLine="0"/>
        <w:rPr>
          <w:rFonts w:asciiTheme="minorHAnsi" w:hAnsiTheme="minorHAnsi" w:cstheme="minorHAnsi"/>
        </w:rPr>
      </w:pPr>
    </w:p>
    <w:p w14:paraId="722705C0" w14:textId="16E06204" w:rsidR="008D5486" w:rsidRDefault="008D5486" w:rsidP="008D5486">
      <w:pPr>
        <w:pStyle w:val="MDSR"/>
        <w:spacing w:before="0"/>
        <w:ind w:firstLine="0"/>
        <w:rPr>
          <w:rFonts w:asciiTheme="minorHAnsi" w:hAnsiTheme="minorHAnsi" w:cstheme="minorHAnsi"/>
        </w:rPr>
      </w:pPr>
      <w:r w:rsidRPr="00ED688B">
        <w:rPr>
          <w:rFonts w:asciiTheme="minorHAnsi" w:hAnsiTheme="minorHAnsi" w:cstheme="minorHAnsi"/>
        </w:rPr>
        <w:t xml:space="preserve">SŽDC </w:t>
      </w:r>
      <w:r>
        <w:rPr>
          <w:rFonts w:asciiTheme="minorHAnsi" w:hAnsiTheme="minorHAnsi" w:cstheme="minorHAnsi"/>
        </w:rPr>
        <w:t>ne</w:t>
      </w:r>
      <w:r w:rsidRPr="00ED688B">
        <w:rPr>
          <w:rFonts w:asciiTheme="minorHAnsi" w:hAnsiTheme="minorHAnsi" w:cstheme="minorHAnsi"/>
        </w:rPr>
        <w:t>stanov</w:t>
      </w:r>
      <w:r>
        <w:rPr>
          <w:rFonts w:asciiTheme="minorHAnsi" w:hAnsiTheme="minorHAnsi" w:cstheme="minorHAnsi"/>
        </w:rPr>
        <w:t>ila</w:t>
      </w:r>
      <w:r w:rsidRPr="00ED688B">
        <w:rPr>
          <w:rFonts w:asciiTheme="minorHAnsi" w:hAnsiTheme="minorHAnsi" w:cstheme="minorHAnsi"/>
        </w:rPr>
        <w:t xml:space="preserve"> jednoznačn</w:t>
      </w:r>
      <w:r w:rsidR="00E6026F">
        <w:rPr>
          <w:rFonts w:asciiTheme="minorHAnsi" w:hAnsiTheme="minorHAnsi" w:cstheme="minorHAnsi"/>
        </w:rPr>
        <w:t>ě</w:t>
      </w:r>
      <w:r>
        <w:rPr>
          <w:rFonts w:asciiTheme="minorHAnsi" w:hAnsiTheme="minorHAnsi" w:cstheme="minorHAnsi"/>
        </w:rPr>
        <w:t xml:space="preserve"> měřitelné </w:t>
      </w:r>
      <w:r w:rsidRPr="00ED688B">
        <w:rPr>
          <w:rFonts w:asciiTheme="minorHAnsi" w:hAnsiTheme="minorHAnsi" w:cstheme="minorHAnsi"/>
        </w:rPr>
        <w:t>parametry, na</w:t>
      </w:r>
      <w:r w:rsidR="00E6026F">
        <w:rPr>
          <w:rFonts w:asciiTheme="minorHAnsi" w:hAnsiTheme="minorHAnsi" w:cstheme="minorHAnsi"/>
        </w:rPr>
        <w:t xml:space="preserve"> jejichž</w:t>
      </w:r>
      <w:r w:rsidRPr="00ED688B">
        <w:rPr>
          <w:rFonts w:asciiTheme="minorHAnsi" w:hAnsiTheme="minorHAnsi" w:cstheme="minorHAnsi"/>
        </w:rPr>
        <w:t xml:space="preserve"> základě bude schopna </w:t>
      </w:r>
      <w:r>
        <w:rPr>
          <w:rFonts w:asciiTheme="minorHAnsi" w:hAnsiTheme="minorHAnsi" w:cstheme="minorHAnsi"/>
        </w:rPr>
        <w:t>vy</w:t>
      </w:r>
      <w:r w:rsidRPr="00ED688B">
        <w:rPr>
          <w:rFonts w:asciiTheme="minorHAnsi" w:hAnsiTheme="minorHAnsi" w:cstheme="minorHAnsi"/>
        </w:rPr>
        <w:t xml:space="preserve">hodnotit </w:t>
      </w:r>
      <w:r>
        <w:rPr>
          <w:rFonts w:asciiTheme="minorHAnsi" w:hAnsiTheme="minorHAnsi" w:cstheme="minorHAnsi"/>
        </w:rPr>
        <w:t>plnění cílů a přínosy realizovaných rekonstrukcí nebo r</w:t>
      </w:r>
      <w:r w:rsidR="00566811">
        <w:rPr>
          <w:rFonts w:asciiTheme="minorHAnsi" w:hAnsiTheme="minorHAnsi" w:cstheme="minorHAnsi"/>
        </w:rPr>
        <w:t>evitalizací. Stanovené parametr</w:t>
      </w:r>
      <w:r w:rsidR="007F31F0">
        <w:rPr>
          <w:rFonts w:asciiTheme="minorHAnsi" w:hAnsiTheme="minorHAnsi" w:cstheme="minorHAnsi"/>
        </w:rPr>
        <w:t>y</w:t>
      </w:r>
      <w:r>
        <w:rPr>
          <w:rFonts w:asciiTheme="minorHAnsi" w:hAnsiTheme="minorHAnsi" w:cstheme="minorHAnsi"/>
        </w:rPr>
        <w:t xml:space="preserve"> </w:t>
      </w:r>
      <w:r w:rsidR="00566811">
        <w:rPr>
          <w:rFonts w:asciiTheme="minorHAnsi" w:hAnsiTheme="minorHAnsi" w:cstheme="minorHAnsi"/>
        </w:rPr>
        <w:t>(</w:t>
      </w:r>
      <w:r>
        <w:rPr>
          <w:rFonts w:asciiTheme="minorHAnsi" w:hAnsiTheme="minorHAnsi" w:cstheme="minorHAnsi"/>
        </w:rPr>
        <w:t>např. zvýšení kultury cestování, pocitové hledisko cestujících, vybavenost budov</w:t>
      </w:r>
      <w:r w:rsidR="00566811">
        <w:rPr>
          <w:rFonts w:asciiTheme="minorHAnsi" w:hAnsiTheme="minorHAnsi" w:cstheme="minorHAnsi"/>
          <w:sz w:val="22"/>
        </w:rPr>
        <w:t>)</w:t>
      </w:r>
      <w:r>
        <w:rPr>
          <w:rFonts w:asciiTheme="minorHAnsi" w:hAnsiTheme="minorHAnsi" w:cstheme="minorHAnsi"/>
        </w:rPr>
        <w:t xml:space="preserve"> neumožňují objektivně a měřitelně posoudit, zda byly prostředky poskytnuty účelně a</w:t>
      </w:r>
      <w:r w:rsidR="00C271DC">
        <w:rPr>
          <w:rFonts w:asciiTheme="minorHAnsi" w:hAnsiTheme="minorHAnsi" w:cstheme="minorHAnsi"/>
        </w:rPr>
        <w:t> </w:t>
      </w:r>
      <w:r>
        <w:rPr>
          <w:rFonts w:asciiTheme="minorHAnsi" w:hAnsiTheme="minorHAnsi" w:cstheme="minorHAnsi"/>
        </w:rPr>
        <w:t xml:space="preserve">hospodárně. </w:t>
      </w:r>
    </w:p>
    <w:p w14:paraId="5E14795B" w14:textId="77777777" w:rsidR="00C271DC" w:rsidRDefault="00C271DC" w:rsidP="008D5486">
      <w:pPr>
        <w:pStyle w:val="MDSR"/>
        <w:spacing w:before="0"/>
        <w:ind w:firstLine="0"/>
        <w:rPr>
          <w:rFonts w:asciiTheme="minorHAnsi" w:hAnsiTheme="minorHAnsi" w:cstheme="minorHAnsi"/>
        </w:rPr>
      </w:pPr>
    </w:p>
    <w:p w14:paraId="52807365" w14:textId="77777777" w:rsidR="003F7518" w:rsidRDefault="00451B61" w:rsidP="001D6919">
      <w:pPr>
        <w:rPr>
          <w:rFonts w:asciiTheme="minorHAnsi" w:hAnsiTheme="minorHAnsi" w:cstheme="minorHAnsi"/>
        </w:rPr>
      </w:pPr>
      <w:r w:rsidRPr="00F1156A">
        <w:rPr>
          <w:rFonts w:asciiTheme="minorHAnsi" w:hAnsiTheme="minorHAnsi" w:cstheme="minorHAnsi"/>
        </w:rPr>
        <w:t>Do doby ukončení kontroly nebyla ze strany SŽDC vyhodnocena</w:t>
      </w:r>
      <w:r w:rsidR="008D5486" w:rsidRPr="00F1156A">
        <w:rPr>
          <w:rFonts w:asciiTheme="minorHAnsi" w:hAnsiTheme="minorHAnsi" w:cstheme="minorHAnsi"/>
        </w:rPr>
        <w:t xml:space="preserve"> žádná </w:t>
      </w:r>
      <w:r w:rsidR="00350CFD">
        <w:rPr>
          <w:rFonts w:asciiTheme="minorHAnsi" w:hAnsiTheme="minorHAnsi" w:cstheme="minorHAnsi"/>
        </w:rPr>
        <w:t xml:space="preserve">ukončená </w:t>
      </w:r>
      <w:r w:rsidR="008D5486" w:rsidRPr="00F1156A">
        <w:rPr>
          <w:rFonts w:asciiTheme="minorHAnsi" w:hAnsiTheme="minorHAnsi" w:cstheme="minorHAnsi"/>
        </w:rPr>
        <w:t>kontrolovaná a</w:t>
      </w:r>
      <w:r w:rsidR="00F1156A" w:rsidRPr="00F1156A">
        <w:rPr>
          <w:rFonts w:asciiTheme="minorHAnsi" w:hAnsiTheme="minorHAnsi" w:cstheme="minorHAnsi"/>
        </w:rPr>
        <w:t>kce.</w:t>
      </w:r>
    </w:p>
    <w:p w14:paraId="06DF0E47" w14:textId="391CF757" w:rsidR="003F7518" w:rsidRDefault="00451B61" w:rsidP="001D6919">
      <w:pPr>
        <w:rPr>
          <w:rFonts w:asciiTheme="minorHAnsi" w:hAnsiTheme="minorHAnsi" w:cstheme="minorHAnsi"/>
        </w:rPr>
      </w:pPr>
      <w:r>
        <w:rPr>
          <w:rFonts w:asciiTheme="minorHAnsi" w:hAnsiTheme="minorHAnsi" w:cstheme="minorHAnsi"/>
        </w:rPr>
        <w:t xml:space="preserve">NKÚ provedl kontrolu na místě </w:t>
      </w:r>
      <w:r w:rsidR="00566811">
        <w:rPr>
          <w:rFonts w:asciiTheme="minorHAnsi" w:hAnsiTheme="minorHAnsi" w:cstheme="minorHAnsi"/>
        </w:rPr>
        <w:t>v</w:t>
      </w:r>
      <w:r w:rsidR="00415518">
        <w:rPr>
          <w:rFonts w:asciiTheme="minorHAnsi" w:hAnsiTheme="minorHAnsi" w:cstheme="minorHAnsi"/>
        </w:rPr>
        <w:t xml:space="preserve"> </w:t>
      </w:r>
      <w:proofErr w:type="spellStart"/>
      <w:r w:rsidR="00415518">
        <w:rPr>
          <w:rFonts w:asciiTheme="minorHAnsi" w:hAnsiTheme="minorHAnsi" w:cstheme="minorHAnsi"/>
        </w:rPr>
        <w:t>žst</w:t>
      </w:r>
      <w:proofErr w:type="spellEnd"/>
      <w:r w:rsidR="00415518">
        <w:rPr>
          <w:rFonts w:asciiTheme="minorHAnsi" w:hAnsiTheme="minorHAnsi" w:cstheme="minorHAnsi"/>
        </w:rPr>
        <w:t xml:space="preserve">. Přerov, Lipník nad Bečvou, Karlštejn, Zdice, Příbram, Turnov, Karlovy Vary a Sokolov </w:t>
      </w:r>
      <w:r>
        <w:rPr>
          <w:rFonts w:asciiTheme="minorHAnsi" w:hAnsiTheme="minorHAnsi" w:cstheme="minorHAnsi"/>
        </w:rPr>
        <w:t>a konstatoval</w:t>
      </w:r>
      <w:r w:rsidR="003F7518">
        <w:rPr>
          <w:rFonts w:asciiTheme="minorHAnsi" w:hAnsiTheme="minorHAnsi" w:cstheme="minorHAnsi"/>
        </w:rPr>
        <w:t xml:space="preserve">, že stavebně-technický </w:t>
      </w:r>
      <w:r w:rsidR="008D5486">
        <w:rPr>
          <w:rFonts w:asciiTheme="minorHAnsi" w:hAnsiTheme="minorHAnsi" w:cstheme="minorHAnsi"/>
        </w:rPr>
        <w:t xml:space="preserve">nebo provozní stav budov se </w:t>
      </w:r>
      <w:r w:rsidR="00415518">
        <w:rPr>
          <w:rFonts w:asciiTheme="minorHAnsi" w:hAnsiTheme="minorHAnsi" w:cstheme="minorHAnsi"/>
        </w:rPr>
        <w:t>po rekonstrukci</w:t>
      </w:r>
      <w:r w:rsidR="00566811">
        <w:rPr>
          <w:rFonts w:asciiTheme="minorHAnsi" w:hAnsiTheme="minorHAnsi" w:cstheme="minorHAnsi"/>
        </w:rPr>
        <w:t>,</w:t>
      </w:r>
      <w:r w:rsidR="00415518">
        <w:rPr>
          <w:rFonts w:asciiTheme="minorHAnsi" w:hAnsiTheme="minorHAnsi" w:cstheme="minorHAnsi"/>
        </w:rPr>
        <w:t xml:space="preserve"> popř. opravě</w:t>
      </w:r>
      <w:r w:rsidR="00566811">
        <w:rPr>
          <w:rFonts w:asciiTheme="minorHAnsi" w:hAnsiTheme="minorHAnsi" w:cstheme="minorHAnsi"/>
        </w:rPr>
        <w:t>,</w:t>
      </w:r>
      <w:r w:rsidR="00415518">
        <w:rPr>
          <w:rFonts w:asciiTheme="minorHAnsi" w:hAnsiTheme="minorHAnsi" w:cstheme="minorHAnsi"/>
        </w:rPr>
        <w:t xml:space="preserve"> </w:t>
      </w:r>
      <w:r w:rsidR="008D5486">
        <w:rPr>
          <w:rFonts w:asciiTheme="minorHAnsi" w:hAnsiTheme="minorHAnsi" w:cstheme="minorHAnsi"/>
        </w:rPr>
        <w:t>výrazně zlepšil.</w:t>
      </w:r>
    </w:p>
    <w:p w14:paraId="36336926" w14:textId="77777777" w:rsidR="003F7518" w:rsidRPr="007C00F0" w:rsidRDefault="003F7518" w:rsidP="007C00F0">
      <w:pPr>
        <w:rPr>
          <w:rFonts w:asciiTheme="minorHAnsi" w:hAnsiTheme="minorHAnsi" w:cstheme="minorHAnsi"/>
          <w:color w:val="000000" w:themeColor="text1"/>
        </w:rPr>
      </w:pPr>
    </w:p>
    <w:p w14:paraId="6D55A8D9" w14:textId="77777777" w:rsidR="000D792F" w:rsidRPr="00673343" w:rsidRDefault="00673343" w:rsidP="00673343">
      <w:pPr>
        <w:keepNext/>
        <w:rPr>
          <w:b/>
          <w:color w:val="000000" w:themeColor="text1"/>
        </w:rPr>
      </w:pPr>
      <w:r w:rsidRPr="00673343">
        <w:rPr>
          <w:b/>
          <w:color w:val="000000" w:themeColor="text1"/>
        </w:rPr>
        <w:t xml:space="preserve">5. </w:t>
      </w:r>
      <w:r w:rsidR="00396B48" w:rsidRPr="00673343">
        <w:rPr>
          <w:b/>
          <w:color w:val="000000" w:themeColor="text1"/>
        </w:rPr>
        <w:t xml:space="preserve">Pozdní informování o splnění připomínek </w:t>
      </w:r>
    </w:p>
    <w:p w14:paraId="0A3B8911" w14:textId="77777777" w:rsidR="007C00F0" w:rsidRDefault="007C00F0" w:rsidP="00673343">
      <w:pPr>
        <w:keepNext/>
        <w:rPr>
          <w:color w:val="000000" w:themeColor="text1"/>
        </w:rPr>
      </w:pPr>
    </w:p>
    <w:p w14:paraId="29060AF2" w14:textId="17FE6F0C" w:rsidR="000D792F" w:rsidRPr="007C00F0" w:rsidRDefault="000D792F" w:rsidP="007C00F0">
      <w:pPr>
        <w:rPr>
          <w:bCs/>
          <w:color w:val="000000" w:themeColor="text1"/>
        </w:rPr>
      </w:pPr>
      <w:r w:rsidRPr="007C00F0">
        <w:rPr>
          <w:color w:val="000000" w:themeColor="text1"/>
        </w:rPr>
        <w:t xml:space="preserve">Kontrolou NKÚ bylo zjištěno, že u akce </w:t>
      </w:r>
      <w:r w:rsidRPr="00CE24B2">
        <w:rPr>
          <w:i/>
          <w:color w:val="000000" w:themeColor="text1"/>
        </w:rPr>
        <w:t>Rekonstrukce výpravní budovy v </w:t>
      </w:r>
      <w:proofErr w:type="spellStart"/>
      <w:r w:rsidRPr="00CE24B2">
        <w:rPr>
          <w:i/>
          <w:color w:val="000000" w:themeColor="text1"/>
        </w:rPr>
        <w:t>žst</w:t>
      </w:r>
      <w:proofErr w:type="spellEnd"/>
      <w:r w:rsidRPr="00CE24B2">
        <w:rPr>
          <w:i/>
          <w:color w:val="000000" w:themeColor="text1"/>
        </w:rPr>
        <w:t>. Lipník nad Bečvou</w:t>
      </w:r>
      <w:r w:rsidRPr="007C00F0">
        <w:rPr>
          <w:color w:val="000000" w:themeColor="text1"/>
        </w:rPr>
        <w:t xml:space="preserve"> </w:t>
      </w:r>
      <w:r w:rsidRPr="007C00F0">
        <w:rPr>
          <w:bCs/>
          <w:color w:val="000000" w:themeColor="text1"/>
        </w:rPr>
        <w:t>schválilo MD záměr projektu dne 20. 6. 2017 s požadavkem na jeho dopracování. Dopracovaný ZP předložila SŽDC na MD dne 20.</w:t>
      </w:r>
      <w:r w:rsidR="00C271DC" w:rsidRPr="007C00F0">
        <w:rPr>
          <w:bCs/>
          <w:color w:val="000000" w:themeColor="text1"/>
        </w:rPr>
        <w:t> </w:t>
      </w:r>
      <w:r w:rsidRPr="007C00F0">
        <w:rPr>
          <w:bCs/>
          <w:color w:val="000000" w:themeColor="text1"/>
        </w:rPr>
        <w:t>9.</w:t>
      </w:r>
      <w:r w:rsidR="00E6026F">
        <w:rPr>
          <w:bCs/>
          <w:color w:val="000000" w:themeColor="text1"/>
        </w:rPr>
        <w:t> </w:t>
      </w:r>
      <w:r w:rsidRPr="007C00F0">
        <w:rPr>
          <w:bCs/>
          <w:color w:val="000000" w:themeColor="text1"/>
        </w:rPr>
        <w:t xml:space="preserve">2017. </w:t>
      </w:r>
      <w:r w:rsidRPr="007C00F0">
        <w:rPr>
          <w:color w:val="000000" w:themeColor="text1"/>
        </w:rPr>
        <w:t xml:space="preserve">Ve sdělení adresovaném SŽDC ze dne 7. 1. 2019 MD uvedlo, že považuje připomínky za splněné, tj. cca po 15 měsících ode dne doložení vypořádání připomínek SŽDC na MD, </w:t>
      </w:r>
      <w:r w:rsidRPr="007C00F0">
        <w:rPr>
          <w:bCs/>
          <w:color w:val="000000" w:themeColor="text1"/>
        </w:rPr>
        <w:t>a současně 40 </w:t>
      </w:r>
      <w:r w:rsidR="00A957DF" w:rsidRPr="007C00F0">
        <w:rPr>
          <w:bCs/>
          <w:color w:val="000000" w:themeColor="text1"/>
        </w:rPr>
        <w:t>dní po termínu odevzdání a </w:t>
      </w:r>
      <w:r w:rsidRPr="007C00F0">
        <w:rPr>
          <w:bCs/>
          <w:color w:val="000000" w:themeColor="text1"/>
        </w:rPr>
        <w:t>převzetí hotové stavby z 28. 11. 2018.</w:t>
      </w:r>
    </w:p>
    <w:p w14:paraId="67DEC179" w14:textId="77777777" w:rsidR="007C00F0" w:rsidRDefault="007C00F0" w:rsidP="007C00F0">
      <w:pPr>
        <w:rPr>
          <w:color w:val="000000" w:themeColor="text1"/>
        </w:rPr>
      </w:pPr>
    </w:p>
    <w:p w14:paraId="67B13DCF" w14:textId="15B2B10A" w:rsidR="000D792F" w:rsidRPr="007C00F0" w:rsidRDefault="000D792F" w:rsidP="007C00F0">
      <w:pPr>
        <w:rPr>
          <w:color w:val="000000" w:themeColor="text1"/>
        </w:rPr>
      </w:pPr>
      <w:r w:rsidRPr="007C00F0">
        <w:rPr>
          <w:color w:val="000000" w:themeColor="text1"/>
        </w:rPr>
        <w:t xml:space="preserve">U akce </w:t>
      </w:r>
      <w:r w:rsidRPr="00CE24B2">
        <w:rPr>
          <w:i/>
          <w:color w:val="000000" w:themeColor="text1"/>
        </w:rPr>
        <w:t xml:space="preserve">Rekonstrukce výpravní budovy </w:t>
      </w:r>
      <w:proofErr w:type="spellStart"/>
      <w:r w:rsidRPr="00CE24B2">
        <w:rPr>
          <w:i/>
          <w:color w:val="000000" w:themeColor="text1"/>
        </w:rPr>
        <w:t>žst</w:t>
      </w:r>
      <w:proofErr w:type="spellEnd"/>
      <w:r w:rsidRPr="00CE24B2">
        <w:rPr>
          <w:i/>
          <w:color w:val="000000" w:themeColor="text1"/>
        </w:rPr>
        <w:t>. Přerov</w:t>
      </w:r>
      <w:r w:rsidRPr="007C00F0">
        <w:rPr>
          <w:color w:val="000000" w:themeColor="text1"/>
        </w:rPr>
        <w:t xml:space="preserve"> MD schválilo zpracovaný ZP dne 20. 6. 2017 s připomínkami týkajícími se jeho dopracování. Dopracovaný ZP předložila SŽDC na MD dne 20. 9. 2017. Ve sdělení adresovaném SŽDC ze dne 7. 1. 2019 MD uvedlo, že považuje připomínky za splněné, tj. cca po 15 měsících ode dne doložení vypořádání připomínek SŽDC na MD. </w:t>
      </w:r>
    </w:p>
    <w:p w14:paraId="159D1BE6" w14:textId="77777777" w:rsidR="007A3BF1" w:rsidRPr="007C00F0" w:rsidRDefault="007A3BF1" w:rsidP="007C00F0">
      <w:pPr>
        <w:rPr>
          <w:color w:val="000000" w:themeColor="text1"/>
        </w:rPr>
      </w:pPr>
    </w:p>
    <w:p w14:paraId="4743F708" w14:textId="033E7FF6" w:rsidR="000D792F" w:rsidRPr="007C00F0" w:rsidRDefault="000D792F" w:rsidP="007C00F0">
      <w:pPr>
        <w:rPr>
          <w:color w:val="000000" w:themeColor="text1"/>
        </w:rPr>
      </w:pPr>
      <w:r w:rsidRPr="007C00F0">
        <w:rPr>
          <w:color w:val="000000" w:themeColor="text1"/>
        </w:rPr>
        <w:t>Kontrolou NKÚ bylo zjištěno, že MD ve dvou výše uvedených případech informovalo SŽDC o</w:t>
      </w:r>
      <w:r w:rsidR="00C271DC" w:rsidRPr="007C00F0">
        <w:rPr>
          <w:color w:val="000000" w:themeColor="text1"/>
        </w:rPr>
        <w:t> </w:t>
      </w:r>
      <w:r w:rsidRPr="007C00F0">
        <w:rPr>
          <w:color w:val="000000" w:themeColor="text1"/>
        </w:rPr>
        <w:t>splnění připomínek stanovených MD až po téměř 15 měsících od jejich doložení.</w:t>
      </w:r>
    </w:p>
    <w:p w14:paraId="1568DBC1" w14:textId="77777777" w:rsidR="001D6919" w:rsidRPr="007C00F0" w:rsidRDefault="001D6919" w:rsidP="007C00F0">
      <w:pPr>
        <w:rPr>
          <w:rFonts w:asciiTheme="minorHAnsi" w:hAnsiTheme="minorHAnsi" w:cstheme="minorHAnsi"/>
          <w:color w:val="000000" w:themeColor="text1"/>
        </w:rPr>
      </w:pPr>
    </w:p>
    <w:p w14:paraId="72C33987" w14:textId="0FBFC41B" w:rsidR="00401DD9" w:rsidRPr="00673343" w:rsidRDefault="00350CFD" w:rsidP="00A849E8">
      <w:pPr>
        <w:keepNext/>
        <w:rPr>
          <w:rFonts w:cs="Calibri"/>
          <w:b/>
          <w:bCs/>
          <w:color w:val="000000" w:themeColor="text1"/>
          <w:lang w:eastAsia="cs-CZ"/>
        </w:rPr>
      </w:pPr>
      <w:r w:rsidRPr="00673343">
        <w:rPr>
          <w:rFonts w:cs="Calibri"/>
          <w:b/>
          <w:bCs/>
          <w:color w:val="000000" w:themeColor="text1"/>
          <w:lang w:eastAsia="cs-CZ"/>
        </w:rPr>
        <w:t>6</w:t>
      </w:r>
      <w:r w:rsidR="00D62D8C" w:rsidRPr="00673343">
        <w:rPr>
          <w:rFonts w:cs="Calibri"/>
          <w:b/>
          <w:bCs/>
          <w:color w:val="000000" w:themeColor="text1"/>
          <w:lang w:eastAsia="cs-CZ"/>
        </w:rPr>
        <w:t>.</w:t>
      </w:r>
      <w:r w:rsidR="00810651" w:rsidRPr="00673343">
        <w:rPr>
          <w:rFonts w:cs="Calibri"/>
          <w:b/>
          <w:bCs/>
          <w:color w:val="000000" w:themeColor="text1"/>
          <w:lang w:eastAsia="cs-CZ"/>
        </w:rPr>
        <w:t xml:space="preserve"> </w:t>
      </w:r>
      <w:r w:rsidR="00401DD9" w:rsidRPr="00673343">
        <w:rPr>
          <w:rFonts w:cs="Calibri"/>
          <w:b/>
          <w:bCs/>
          <w:color w:val="000000" w:themeColor="text1"/>
          <w:lang w:eastAsia="cs-CZ"/>
        </w:rPr>
        <w:t xml:space="preserve">Nedostatky při realizaci stavebních akcí </w:t>
      </w:r>
    </w:p>
    <w:p w14:paraId="4682D5A5" w14:textId="77777777" w:rsidR="00673343" w:rsidRDefault="00673343" w:rsidP="00A849E8">
      <w:pPr>
        <w:keepNext/>
        <w:rPr>
          <w:rFonts w:cs="Calibri"/>
          <w:bCs/>
          <w:color w:val="000000" w:themeColor="text1"/>
          <w:lang w:eastAsia="cs-CZ"/>
        </w:rPr>
      </w:pPr>
    </w:p>
    <w:p w14:paraId="244B0079" w14:textId="77777777" w:rsidR="00350CFD" w:rsidRPr="007C00F0" w:rsidRDefault="00350CFD" w:rsidP="007C00F0">
      <w:pPr>
        <w:rPr>
          <w:rFonts w:cs="Calibri"/>
          <w:bCs/>
          <w:color w:val="000000" w:themeColor="text1"/>
          <w:lang w:eastAsia="cs-CZ"/>
        </w:rPr>
      </w:pPr>
      <w:r w:rsidRPr="007C00F0">
        <w:rPr>
          <w:rFonts w:cs="Calibri"/>
          <w:bCs/>
          <w:color w:val="000000" w:themeColor="text1"/>
          <w:lang w:eastAsia="cs-CZ"/>
        </w:rPr>
        <w:t>Kontrolou vybraných stavebních akcí byly zjištěny dílčí nedostatky.</w:t>
      </w:r>
    </w:p>
    <w:p w14:paraId="6C5DDA27" w14:textId="77777777" w:rsidR="00350CFD" w:rsidRPr="00A849E8" w:rsidRDefault="00350CFD" w:rsidP="007C00F0">
      <w:pPr>
        <w:rPr>
          <w:rFonts w:cs="Calibri"/>
          <w:bCs/>
          <w:color w:val="000000" w:themeColor="text1"/>
          <w:highlight w:val="yellow"/>
          <w:lang w:eastAsia="cs-CZ"/>
        </w:rPr>
      </w:pPr>
    </w:p>
    <w:p w14:paraId="6786ECD9" w14:textId="77777777" w:rsidR="00401DD9" w:rsidRPr="00673343" w:rsidRDefault="00350CFD" w:rsidP="00A849E8">
      <w:pPr>
        <w:keepNext/>
        <w:rPr>
          <w:b/>
          <w:color w:val="000000" w:themeColor="text1"/>
        </w:rPr>
      </w:pPr>
      <w:r w:rsidRPr="00673343">
        <w:rPr>
          <w:b/>
          <w:color w:val="000000" w:themeColor="text1"/>
        </w:rPr>
        <w:t>6</w:t>
      </w:r>
      <w:r w:rsidR="00401DD9" w:rsidRPr="00673343">
        <w:rPr>
          <w:b/>
          <w:color w:val="000000" w:themeColor="text1"/>
        </w:rPr>
        <w:t xml:space="preserve">.1 Nedodržení smluvních podmínek u akce </w:t>
      </w:r>
      <w:r w:rsidR="00401DD9" w:rsidRPr="00CE24B2">
        <w:rPr>
          <w:b/>
          <w:i/>
          <w:color w:val="000000" w:themeColor="text1"/>
        </w:rPr>
        <w:t>Nový Bydžov ON – SA oprava a rekonstrukce</w:t>
      </w:r>
    </w:p>
    <w:p w14:paraId="3E392337" w14:textId="77777777" w:rsidR="007C00F0" w:rsidRDefault="007C00F0" w:rsidP="00A849E8">
      <w:pPr>
        <w:keepNext/>
        <w:rPr>
          <w:rFonts w:cs="Calibri"/>
          <w:color w:val="000000" w:themeColor="text1"/>
        </w:rPr>
      </w:pPr>
    </w:p>
    <w:p w14:paraId="3108BB6A" w14:textId="1396F31F" w:rsidR="00401DD9" w:rsidRPr="007C00F0" w:rsidRDefault="00401DD9" w:rsidP="007C00F0">
      <w:pPr>
        <w:rPr>
          <w:rFonts w:cs="Calibri"/>
          <w:color w:val="000000" w:themeColor="text1"/>
        </w:rPr>
      </w:pPr>
      <w:r w:rsidRPr="007C00F0">
        <w:rPr>
          <w:rFonts w:cs="Calibri"/>
          <w:color w:val="000000" w:themeColor="text1"/>
        </w:rPr>
        <w:t>Dne 13. 9. 2018 SŽDC uzavřela smlouvu o dílo s dodavatelem v celkové výši 27 250 000 Kč bez DPH s termínem dokončení stavby v březnu 2020. V souladu s podmínkami uzavřené smlouv</w:t>
      </w:r>
      <w:r w:rsidR="00810651" w:rsidRPr="007C00F0">
        <w:rPr>
          <w:rFonts w:cs="Calibri"/>
          <w:color w:val="000000" w:themeColor="text1"/>
        </w:rPr>
        <w:t>y</w:t>
      </w:r>
      <w:r w:rsidRPr="007C00F0">
        <w:rPr>
          <w:rFonts w:cs="Calibri"/>
          <w:color w:val="000000" w:themeColor="text1"/>
        </w:rPr>
        <w:t xml:space="preserve"> o dílo se na zakázce neměli podílet poddodavatelé. Kontrolou NKÚ bylo zjištěno, že v rozporu se smluvními podmínkami SŽDC </w:t>
      </w:r>
      <w:r w:rsidRPr="007C00F0">
        <w:rPr>
          <w:rFonts w:cs="Calibri"/>
          <w:bCs/>
          <w:color w:val="000000" w:themeColor="text1"/>
        </w:rPr>
        <w:t>nechala provádět stavební práce pracovníky z jiných firem.</w:t>
      </w:r>
      <w:r w:rsidRPr="007C00F0">
        <w:rPr>
          <w:rFonts w:cs="Calibri"/>
          <w:color w:val="000000" w:themeColor="text1"/>
        </w:rPr>
        <w:t xml:space="preserve"> SŽDC tuto skute</w:t>
      </w:r>
      <w:r w:rsidR="00350CFD" w:rsidRPr="007C00F0">
        <w:rPr>
          <w:rFonts w:cs="Calibri"/>
          <w:color w:val="000000" w:themeColor="text1"/>
        </w:rPr>
        <w:t xml:space="preserve">čnost uznala a v době do ukončení kontroly </w:t>
      </w:r>
      <w:r w:rsidR="00810651" w:rsidRPr="007C00F0">
        <w:rPr>
          <w:rFonts w:cs="Calibri"/>
          <w:color w:val="000000" w:themeColor="text1"/>
        </w:rPr>
        <w:t xml:space="preserve">NKÚ </w:t>
      </w:r>
      <w:r w:rsidR="00350CFD" w:rsidRPr="007C00F0">
        <w:rPr>
          <w:rFonts w:cs="Calibri"/>
          <w:color w:val="000000" w:themeColor="text1"/>
        </w:rPr>
        <w:t xml:space="preserve">zahájila </w:t>
      </w:r>
      <w:r w:rsidRPr="007C00F0">
        <w:rPr>
          <w:rFonts w:cs="Calibri"/>
          <w:color w:val="000000" w:themeColor="text1"/>
        </w:rPr>
        <w:t>kroky k nápravě a</w:t>
      </w:r>
      <w:r w:rsidR="007F31F0" w:rsidRPr="007C00F0">
        <w:rPr>
          <w:rFonts w:cs="Calibri"/>
          <w:color w:val="000000" w:themeColor="text1"/>
        </w:rPr>
        <w:t> </w:t>
      </w:r>
      <w:r w:rsidRPr="007C00F0">
        <w:rPr>
          <w:rFonts w:cs="Calibri"/>
          <w:color w:val="000000" w:themeColor="text1"/>
        </w:rPr>
        <w:t xml:space="preserve">uplatnění smluvní </w:t>
      </w:r>
      <w:r w:rsidR="00350CFD" w:rsidRPr="007C00F0">
        <w:rPr>
          <w:rFonts w:cs="Calibri"/>
          <w:color w:val="000000" w:themeColor="text1"/>
        </w:rPr>
        <w:t>san</w:t>
      </w:r>
      <w:r w:rsidR="00810651" w:rsidRPr="007C00F0">
        <w:rPr>
          <w:rFonts w:cs="Calibri"/>
          <w:color w:val="000000" w:themeColor="text1"/>
        </w:rPr>
        <w:t>kce dle obchodních podmínek smlouvy o dílo.</w:t>
      </w:r>
    </w:p>
    <w:p w14:paraId="370AA175" w14:textId="77777777" w:rsidR="00401DD9" w:rsidRPr="00A849E8" w:rsidRDefault="00401DD9" w:rsidP="007C00F0">
      <w:pPr>
        <w:rPr>
          <w:color w:val="000000" w:themeColor="text1"/>
        </w:rPr>
      </w:pPr>
    </w:p>
    <w:p w14:paraId="2DE0D814" w14:textId="0E47E5A2" w:rsidR="00401DD9" w:rsidRPr="00A849E8" w:rsidRDefault="00514CF1" w:rsidP="00A849E8">
      <w:pPr>
        <w:keepNext/>
        <w:rPr>
          <w:b/>
          <w:color w:val="000000" w:themeColor="text1"/>
        </w:rPr>
      </w:pPr>
      <w:r w:rsidRPr="00A849E8">
        <w:rPr>
          <w:b/>
          <w:color w:val="000000" w:themeColor="text1"/>
        </w:rPr>
        <w:t xml:space="preserve">6.2 </w:t>
      </w:r>
      <w:r w:rsidR="00401DD9" w:rsidRPr="00A849E8">
        <w:rPr>
          <w:b/>
          <w:color w:val="000000" w:themeColor="text1"/>
        </w:rPr>
        <w:t xml:space="preserve">Úhrada činností u akce </w:t>
      </w:r>
      <w:r w:rsidR="00401DD9" w:rsidRPr="00CE24B2">
        <w:rPr>
          <w:b/>
          <w:i/>
          <w:color w:val="000000" w:themeColor="text1"/>
        </w:rPr>
        <w:t xml:space="preserve">Doudleby nad Orlicí </w:t>
      </w:r>
      <w:r w:rsidR="0067151E">
        <w:rPr>
          <w:b/>
          <w:i/>
          <w:color w:val="000000" w:themeColor="text1"/>
        </w:rPr>
        <w:t>ON</w:t>
      </w:r>
      <w:r w:rsidR="00E6026F">
        <w:rPr>
          <w:b/>
          <w:i/>
          <w:color w:val="000000" w:themeColor="text1"/>
        </w:rPr>
        <w:t xml:space="preserve"> </w:t>
      </w:r>
      <w:r w:rsidR="00401DD9" w:rsidRPr="00CE24B2">
        <w:rPr>
          <w:b/>
          <w:i/>
          <w:color w:val="000000" w:themeColor="text1"/>
        </w:rPr>
        <w:t xml:space="preserve">– </w:t>
      </w:r>
      <w:r w:rsidR="0067151E">
        <w:rPr>
          <w:b/>
          <w:i/>
          <w:color w:val="000000" w:themeColor="text1"/>
        </w:rPr>
        <w:t xml:space="preserve">SA </w:t>
      </w:r>
      <w:r w:rsidR="00401DD9" w:rsidRPr="00CE24B2">
        <w:rPr>
          <w:b/>
          <w:i/>
          <w:color w:val="000000" w:themeColor="text1"/>
        </w:rPr>
        <w:t>oprava a rekonstrukce</w:t>
      </w:r>
    </w:p>
    <w:p w14:paraId="25CE3130" w14:textId="77777777" w:rsidR="007C00F0" w:rsidRDefault="007C00F0" w:rsidP="00A849E8">
      <w:pPr>
        <w:keepNext/>
        <w:rPr>
          <w:rFonts w:cs="Calibri"/>
          <w:color w:val="000000" w:themeColor="text1"/>
        </w:rPr>
      </w:pPr>
    </w:p>
    <w:p w14:paraId="7241C192" w14:textId="4E5C4023" w:rsidR="001D6919" w:rsidRPr="007C00F0" w:rsidRDefault="001D6919" w:rsidP="007C00F0">
      <w:pPr>
        <w:rPr>
          <w:rFonts w:cs="Calibri"/>
          <w:color w:val="000000" w:themeColor="text1"/>
          <w:lang w:eastAsia="cs-CZ"/>
        </w:rPr>
      </w:pPr>
      <w:r w:rsidRPr="007C00F0">
        <w:rPr>
          <w:rFonts w:cs="Calibri"/>
          <w:color w:val="000000" w:themeColor="text1"/>
        </w:rPr>
        <w:t xml:space="preserve">SŽDC </w:t>
      </w:r>
      <w:r w:rsidR="00810651" w:rsidRPr="007C00F0">
        <w:rPr>
          <w:rFonts w:cs="Calibri"/>
          <w:color w:val="000000" w:themeColor="text1"/>
        </w:rPr>
        <w:t xml:space="preserve">uzavřela </w:t>
      </w:r>
      <w:r w:rsidRPr="007C00F0">
        <w:rPr>
          <w:rFonts w:cs="Calibri"/>
          <w:color w:val="000000" w:themeColor="text1"/>
        </w:rPr>
        <w:t xml:space="preserve">smlouvu o dílo na zpracování projektové dokumentace stavby pro stavební povolení včetně zajištění souvisejících inženýrských činností </w:t>
      </w:r>
      <w:r w:rsidRPr="007C00F0">
        <w:rPr>
          <w:rFonts w:cs="Calibri"/>
          <w:color w:val="000000" w:themeColor="text1"/>
          <w:lang w:eastAsia="cs-CZ"/>
        </w:rPr>
        <w:t xml:space="preserve">za cenu </w:t>
      </w:r>
      <w:r w:rsidR="00A849E8">
        <w:rPr>
          <w:rFonts w:cs="Calibri"/>
          <w:color w:val="000000" w:themeColor="text1"/>
          <w:lang w:eastAsia="cs-CZ"/>
        </w:rPr>
        <w:t>610 000 </w:t>
      </w:r>
      <w:r w:rsidRPr="007C00F0">
        <w:rPr>
          <w:rFonts w:cs="Calibri"/>
          <w:color w:val="000000" w:themeColor="text1"/>
          <w:lang w:eastAsia="cs-CZ"/>
        </w:rPr>
        <w:t xml:space="preserve">Kč bez DPH, tj. </w:t>
      </w:r>
      <w:r w:rsidRPr="007C00F0">
        <w:rPr>
          <w:rFonts w:cs="Calibri"/>
          <w:color w:val="000000" w:themeColor="text1"/>
        </w:rPr>
        <w:t xml:space="preserve">zastupování ve stavebním řízení (oceněno </w:t>
      </w:r>
      <w:r w:rsidR="007F31F0" w:rsidRPr="007C00F0">
        <w:rPr>
          <w:rFonts w:cs="Calibri"/>
          <w:color w:val="000000" w:themeColor="text1"/>
        </w:rPr>
        <w:t xml:space="preserve">částkou </w:t>
      </w:r>
      <w:r w:rsidRPr="007C00F0">
        <w:rPr>
          <w:rFonts w:cs="Calibri"/>
          <w:color w:val="000000" w:themeColor="text1"/>
        </w:rPr>
        <w:t>35</w:t>
      </w:r>
      <w:r w:rsidR="00A849E8">
        <w:rPr>
          <w:rFonts w:cs="Calibri"/>
          <w:color w:val="000000" w:themeColor="text1"/>
        </w:rPr>
        <w:t> </w:t>
      </w:r>
      <w:r w:rsidR="00C271DC" w:rsidRPr="007C00F0">
        <w:rPr>
          <w:rFonts w:cs="Calibri"/>
          <w:color w:val="000000" w:themeColor="text1"/>
        </w:rPr>
        <w:t>000</w:t>
      </w:r>
      <w:r w:rsidR="00A849E8">
        <w:rPr>
          <w:rFonts w:cs="Calibri"/>
          <w:color w:val="000000" w:themeColor="text1"/>
        </w:rPr>
        <w:t> </w:t>
      </w:r>
      <w:r w:rsidRPr="007C00F0">
        <w:rPr>
          <w:rFonts w:cs="Calibri"/>
          <w:color w:val="000000" w:themeColor="text1"/>
        </w:rPr>
        <w:t>Kč) a zajištění</w:t>
      </w:r>
      <w:r w:rsidRPr="007C00F0">
        <w:rPr>
          <w:rFonts w:cs="Calibri"/>
          <w:color w:val="000000" w:themeColor="text1"/>
          <w:lang w:eastAsia="cs-CZ"/>
        </w:rPr>
        <w:t xml:space="preserve"> pravomocného s</w:t>
      </w:r>
      <w:r w:rsidRPr="007C00F0">
        <w:rPr>
          <w:rFonts w:cs="Calibri"/>
          <w:color w:val="000000" w:themeColor="text1"/>
        </w:rPr>
        <w:t>tavebního povolení (oceněno částkou 20</w:t>
      </w:r>
      <w:r w:rsidR="00A849E8">
        <w:rPr>
          <w:rFonts w:cs="Calibri"/>
          <w:color w:val="000000" w:themeColor="text1"/>
        </w:rPr>
        <w:t> </w:t>
      </w:r>
      <w:r w:rsidR="00C271DC" w:rsidRPr="007C00F0">
        <w:rPr>
          <w:rFonts w:cs="Calibri"/>
          <w:color w:val="000000" w:themeColor="text1"/>
        </w:rPr>
        <w:t>000</w:t>
      </w:r>
      <w:r w:rsidR="00A849E8">
        <w:rPr>
          <w:rFonts w:cs="Calibri"/>
          <w:color w:val="000000" w:themeColor="text1"/>
        </w:rPr>
        <w:t> </w:t>
      </w:r>
      <w:r w:rsidRPr="007C00F0">
        <w:rPr>
          <w:rFonts w:cs="Calibri"/>
          <w:color w:val="000000" w:themeColor="text1"/>
        </w:rPr>
        <w:t xml:space="preserve">Kč). Dodavatel </w:t>
      </w:r>
      <w:r w:rsidRPr="007C00F0">
        <w:rPr>
          <w:rFonts w:cs="Calibri"/>
          <w:bCs/>
          <w:color w:val="000000" w:themeColor="text1"/>
          <w:lang w:eastAsia="cs-CZ"/>
        </w:rPr>
        <w:t>neprovedl inženýrskou činnost v celém rozsahu, neboť nepředal SŽDC pravomocné stavební povolení</w:t>
      </w:r>
      <w:r w:rsidRPr="007C00F0">
        <w:rPr>
          <w:rFonts w:cs="Calibri"/>
          <w:color w:val="000000" w:themeColor="text1"/>
          <w:lang w:eastAsia="cs-CZ"/>
        </w:rPr>
        <w:t>. Přesto SŽDC uhradila na základě dvou vydaných faktur celkovou smluvně sjednanou částku, tj. včetně 55</w:t>
      </w:r>
      <w:r w:rsidR="00A849E8">
        <w:rPr>
          <w:rFonts w:cs="Calibri"/>
          <w:color w:val="000000" w:themeColor="text1"/>
          <w:lang w:eastAsia="cs-CZ"/>
        </w:rPr>
        <w:t> </w:t>
      </w:r>
      <w:r w:rsidR="00C271DC" w:rsidRPr="007C00F0">
        <w:rPr>
          <w:rFonts w:cs="Calibri"/>
          <w:color w:val="000000" w:themeColor="text1"/>
          <w:lang w:eastAsia="cs-CZ"/>
        </w:rPr>
        <w:t>000</w:t>
      </w:r>
      <w:r w:rsidR="00A849E8">
        <w:rPr>
          <w:rFonts w:cs="Calibri"/>
          <w:color w:val="000000" w:themeColor="text1"/>
          <w:lang w:eastAsia="cs-CZ"/>
        </w:rPr>
        <w:t> </w:t>
      </w:r>
      <w:r w:rsidRPr="007C00F0">
        <w:rPr>
          <w:rFonts w:cs="Calibri"/>
          <w:color w:val="000000" w:themeColor="text1"/>
          <w:lang w:eastAsia="cs-CZ"/>
        </w:rPr>
        <w:t>Kč za inženýrskou činnost, kterou dodavatel vykonal jen v částečném rozsahu a kterou nedokonči</w:t>
      </w:r>
      <w:r w:rsidR="00A849E8">
        <w:rPr>
          <w:rFonts w:cs="Calibri"/>
          <w:color w:val="000000" w:themeColor="text1"/>
          <w:lang w:eastAsia="cs-CZ"/>
        </w:rPr>
        <w:t>l (společnost zanikla fúzí k 1. </w:t>
      </w:r>
      <w:r w:rsidRPr="007C00F0">
        <w:rPr>
          <w:rFonts w:cs="Calibri"/>
          <w:color w:val="000000" w:themeColor="text1"/>
          <w:lang w:eastAsia="cs-CZ"/>
        </w:rPr>
        <w:t>1.</w:t>
      </w:r>
      <w:r w:rsidR="00A849E8">
        <w:rPr>
          <w:rFonts w:cs="Calibri"/>
          <w:color w:val="000000" w:themeColor="text1"/>
          <w:lang w:eastAsia="cs-CZ"/>
        </w:rPr>
        <w:t> </w:t>
      </w:r>
      <w:r w:rsidRPr="007C00F0">
        <w:rPr>
          <w:rFonts w:cs="Calibri"/>
          <w:color w:val="000000" w:themeColor="text1"/>
          <w:lang w:eastAsia="cs-CZ"/>
        </w:rPr>
        <w:t xml:space="preserve">2018 bez likvidace). Vzhledem k tomu, že ze strany SŽDC nebyl ukončen proces souhrnného vyjádření k projektové dokumentaci jako zásadní předpoklad podání žádosti o stavební povolení a dodavatel některé kroky spojené se </w:t>
      </w:r>
      <w:r w:rsidR="007F31F0" w:rsidRPr="007C00F0">
        <w:rPr>
          <w:rFonts w:cs="Calibri"/>
          <w:color w:val="000000" w:themeColor="text1"/>
          <w:lang w:eastAsia="cs-CZ"/>
        </w:rPr>
        <w:t>získáním s</w:t>
      </w:r>
      <w:r w:rsidRPr="007C00F0">
        <w:rPr>
          <w:rFonts w:cs="Calibri"/>
          <w:color w:val="000000" w:themeColor="text1"/>
          <w:lang w:eastAsia="cs-CZ"/>
        </w:rPr>
        <w:t>tavební</w:t>
      </w:r>
      <w:r w:rsidR="007F31F0" w:rsidRPr="007C00F0">
        <w:rPr>
          <w:rFonts w:cs="Calibri"/>
          <w:color w:val="000000" w:themeColor="text1"/>
          <w:lang w:eastAsia="cs-CZ"/>
        </w:rPr>
        <w:t>ho</w:t>
      </w:r>
      <w:r w:rsidRPr="007C00F0">
        <w:rPr>
          <w:rFonts w:cs="Calibri"/>
          <w:color w:val="000000" w:themeColor="text1"/>
          <w:lang w:eastAsia="cs-CZ"/>
        </w:rPr>
        <w:t xml:space="preserve"> </w:t>
      </w:r>
      <w:r w:rsidR="007F31F0" w:rsidRPr="007C00F0">
        <w:rPr>
          <w:rFonts w:cs="Calibri"/>
          <w:color w:val="000000" w:themeColor="text1"/>
          <w:lang w:eastAsia="cs-CZ"/>
        </w:rPr>
        <w:t>povolení</w:t>
      </w:r>
      <w:r w:rsidRPr="007C00F0">
        <w:rPr>
          <w:rFonts w:cs="Calibri"/>
          <w:color w:val="000000" w:themeColor="text1"/>
          <w:lang w:eastAsia="cs-CZ"/>
        </w:rPr>
        <w:t xml:space="preserve"> učinil, NKÚ </w:t>
      </w:r>
      <w:r w:rsidR="00810651" w:rsidRPr="007C00F0">
        <w:rPr>
          <w:rFonts w:cs="Calibri"/>
          <w:color w:val="000000" w:themeColor="text1"/>
          <w:lang w:eastAsia="cs-CZ"/>
        </w:rPr>
        <w:t>nemohl vyčíslit</w:t>
      </w:r>
      <w:r w:rsidRPr="007C00F0">
        <w:rPr>
          <w:rFonts w:cs="Calibri"/>
          <w:color w:val="000000" w:themeColor="text1"/>
          <w:lang w:eastAsia="cs-CZ"/>
        </w:rPr>
        <w:t xml:space="preserve"> </w:t>
      </w:r>
      <w:r w:rsidRPr="007C00F0">
        <w:rPr>
          <w:rFonts w:cs="Calibri"/>
          <w:bCs/>
          <w:color w:val="000000" w:themeColor="text1"/>
          <w:lang w:eastAsia="cs-CZ"/>
        </w:rPr>
        <w:t>podíl připadající na zajištění stavebního povolení, které dodavatel nezajistil.</w:t>
      </w:r>
    </w:p>
    <w:p w14:paraId="5FABF4A6" w14:textId="77777777" w:rsidR="00401DD9" w:rsidRPr="00A849E8" w:rsidRDefault="00401DD9" w:rsidP="007C00F0">
      <w:pPr>
        <w:rPr>
          <w:rFonts w:cs="Calibri"/>
          <w:bCs/>
          <w:color w:val="000000" w:themeColor="text1"/>
          <w:lang w:eastAsia="cs-CZ"/>
        </w:rPr>
      </w:pPr>
    </w:p>
    <w:p w14:paraId="62D572D2" w14:textId="77777777" w:rsidR="00401DD9" w:rsidRPr="00A849E8" w:rsidRDefault="00A849E8" w:rsidP="00A849E8">
      <w:pPr>
        <w:keepNext/>
        <w:ind w:left="397" w:hanging="397"/>
        <w:jc w:val="left"/>
        <w:rPr>
          <w:rFonts w:cs="Calibri"/>
          <w:b/>
          <w:bCs/>
          <w:color w:val="000000" w:themeColor="text1"/>
          <w:lang w:eastAsia="cs-CZ"/>
        </w:rPr>
      </w:pPr>
      <w:r>
        <w:rPr>
          <w:rFonts w:cs="Calibri"/>
          <w:b/>
          <w:bCs/>
          <w:color w:val="000000" w:themeColor="text1"/>
          <w:lang w:eastAsia="cs-CZ"/>
        </w:rPr>
        <w:t xml:space="preserve">6.3 </w:t>
      </w:r>
      <w:r>
        <w:rPr>
          <w:rFonts w:cs="Calibri"/>
          <w:b/>
          <w:bCs/>
          <w:color w:val="000000" w:themeColor="text1"/>
          <w:lang w:eastAsia="cs-CZ"/>
        </w:rPr>
        <w:tab/>
      </w:r>
      <w:r w:rsidR="00401DD9" w:rsidRPr="00A849E8">
        <w:rPr>
          <w:rFonts w:cs="Calibri"/>
          <w:b/>
          <w:bCs/>
          <w:color w:val="000000" w:themeColor="text1"/>
          <w:lang w:eastAsia="cs-CZ"/>
        </w:rPr>
        <w:t xml:space="preserve">Úhrada faktur SŽDC v rozporu s uzavřenou </w:t>
      </w:r>
      <w:r w:rsidR="006F7D44" w:rsidRPr="00A849E8">
        <w:rPr>
          <w:rFonts w:cs="Calibri"/>
          <w:b/>
          <w:bCs/>
          <w:color w:val="000000" w:themeColor="text1"/>
          <w:lang w:eastAsia="cs-CZ"/>
        </w:rPr>
        <w:t>smlouvou o dílo</w:t>
      </w:r>
      <w:r w:rsidR="00401DD9" w:rsidRPr="00A849E8">
        <w:rPr>
          <w:rFonts w:cs="Calibri"/>
          <w:b/>
          <w:bCs/>
          <w:color w:val="000000" w:themeColor="text1"/>
          <w:lang w:eastAsia="cs-CZ"/>
        </w:rPr>
        <w:t xml:space="preserve"> u rekonstrukce VB Sokolov (INVESTICE)</w:t>
      </w:r>
    </w:p>
    <w:p w14:paraId="31A2DF6C" w14:textId="77777777" w:rsidR="007C00F0" w:rsidRDefault="007C00F0" w:rsidP="00A849E8">
      <w:pPr>
        <w:keepNext/>
        <w:rPr>
          <w:rFonts w:cs="Calibri"/>
          <w:color w:val="000000" w:themeColor="text1"/>
        </w:rPr>
      </w:pPr>
    </w:p>
    <w:p w14:paraId="5061F2BF" w14:textId="77777777" w:rsidR="00401DD9" w:rsidRPr="007C00F0" w:rsidRDefault="00401DD9" w:rsidP="007C00F0">
      <w:pPr>
        <w:rPr>
          <w:rFonts w:cs="Calibri"/>
          <w:color w:val="000000" w:themeColor="text1"/>
        </w:rPr>
      </w:pPr>
      <w:r w:rsidRPr="007C00F0">
        <w:rPr>
          <w:rFonts w:cs="Calibri"/>
          <w:color w:val="000000" w:themeColor="text1"/>
        </w:rPr>
        <w:t xml:space="preserve">Kontrolou NKÚ bylo zjištěno, že SŽDC uhradila </w:t>
      </w:r>
      <w:r w:rsidR="00F65A34" w:rsidRPr="007C00F0">
        <w:rPr>
          <w:rFonts w:cs="Calibri"/>
          <w:color w:val="000000" w:themeColor="text1"/>
        </w:rPr>
        <w:t>dvě</w:t>
      </w:r>
      <w:r w:rsidRPr="007C00F0">
        <w:rPr>
          <w:rFonts w:cs="Calibri"/>
          <w:color w:val="000000" w:themeColor="text1"/>
        </w:rPr>
        <w:t xml:space="preserve"> fa</w:t>
      </w:r>
      <w:r w:rsidR="00F65A34" w:rsidRPr="007C00F0">
        <w:rPr>
          <w:rFonts w:cs="Calibri"/>
          <w:color w:val="000000" w:themeColor="text1"/>
        </w:rPr>
        <w:t xml:space="preserve">ktury v rozporu s uzavřenou </w:t>
      </w:r>
      <w:r w:rsidR="002C43A6" w:rsidRPr="007C00F0">
        <w:rPr>
          <w:rFonts w:cs="Calibri"/>
          <w:color w:val="000000" w:themeColor="text1"/>
        </w:rPr>
        <w:t>smlouvou o </w:t>
      </w:r>
      <w:r w:rsidR="00DE2F27" w:rsidRPr="007C00F0">
        <w:rPr>
          <w:rFonts w:cs="Calibri"/>
          <w:color w:val="000000" w:themeColor="text1"/>
        </w:rPr>
        <w:t>dílo</w:t>
      </w:r>
      <w:r w:rsidR="00F65A34" w:rsidRPr="007C00F0">
        <w:rPr>
          <w:rFonts w:cs="Calibri"/>
          <w:color w:val="000000" w:themeColor="text1"/>
        </w:rPr>
        <w:t>, ve které se smluvní strany dohodly na měsíční fakturaci za provedené práce na základě řádného a včasného splnění závazku. U obou faktur byly fakturovány stav</w:t>
      </w:r>
      <w:r w:rsidR="00CB1AF8" w:rsidRPr="007C00F0">
        <w:rPr>
          <w:rFonts w:cs="Calibri"/>
          <w:color w:val="000000" w:themeColor="text1"/>
        </w:rPr>
        <w:t>ební práce za jiné období, než kdy s</w:t>
      </w:r>
      <w:r w:rsidR="00F65A34" w:rsidRPr="007C00F0">
        <w:rPr>
          <w:rFonts w:cs="Calibri"/>
          <w:color w:val="000000" w:themeColor="text1"/>
        </w:rPr>
        <w:t>kutečně na stavbě probíhaly.</w:t>
      </w:r>
    </w:p>
    <w:p w14:paraId="58AA7249" w14:textId="77777777" w:rsidR="00401DD9" w:rsidRPr="007C00F0" w:rsidRDefault="00401DD9" w:rsidP="007C00F0">
      <w:pPr>
        <w:rPr>
          <w:rFonts w:cs="Calibri"/>
          <w:color w:val="000000" w:themeColor="text1"/>
        </w:rPr>
      </w:pPr>
    </w:p>
    <w:p w14:paraId="1DEF3FC0" w14:textId="77777777" w:rsidR="00401DD9" w:rsidRPr="00A849E8" w:rsidRDefault="00A849E8" w:rsidP="00A849E8">
      <w:pPr>
        <w:keepNext/>
        <w:rPr>
          <w:rFonts w:cs="Calibri"/>
          <w:b/>
          <w:color w:val="000000" w:themeColor="text1"/>
        </w:rPr>
      </w:pPr>
      <w:r>
        <w:rPr>
          <w:rFonts w:cs="Calibri"/>
          <w:b/>
          <w:color w:val="000000" w:themeColor="text1"/>
        </w:rPr>
        <w:t xml:space="preserve">6.4 </w:t>
      </w:r>
      <w:r w:rsidR="00401DD9" w:rsidRPr="00A849E8">
        <w:rPr>
          <w:rFonts w:cs="Calibri"/>
          <w:b/>
          <w:color w:val="000000" w:themeColor="text1"/>
        </w:rPr>
        <w:t>Rekonstrukce výpravní budovy v </w:t>
      </w:r>
      <w:proofErr w:type="spellStart"/>
      <w:r w:rsidR="00401DD9" w:rsidRPr="00A849E8">
        <w:rPr>
          <w:rFonts w:cs="Calibri"/>
          <w:b/>
          <w:color w:val="000000" w:themeColor="text1"/>
        </w:rPr>
        <w:t>žst</w:t>
      </w:r>
      <w:proofErr w:type="spellEnd"/>
      <w:r w:rsidR="00401DD9" w:rsidRPr="00A849E8">
        <w:rPr>
          <w:rFonts w:cs="Calibri"/>
          <w:b/>
          <w:color w:val="000000" w:themeColor="text1"/>
        </w:rPr>
        <w:t>. Lipník nad Bečvou</w:t>
      </w:r>
      <w:r w:rsidR="005570C4" w:rsidRPr="00A849E8">
        <w:rPr>
          <w:rFonts w:cs="Calibri"/>
          <w:b/>
          <w:color w:val="000000" w:themeColor="text1"/>
        </w:rPr>
        <w:t xml:space="preserve"> </w:t>
      </w:r>
    </w:p>
    <w:p w14:paraId="7E6D6B6F" w14:textId="77777777" w:rsidR="007C00F0" w:rsidRDefault="007C00F0" w:rsidP="00A849E8">
      <w:pPr>
        <w:keepNext/>
        <w:rPr>
          <w:color w:val="000000" w:themeColor="text1"/>
        </w:rPr>
      </w:pPr>
    </w:p>
    <w:p w14:paraId="46BF747D" w14:textId="47D7E1AC" w:rsidR="001D22B2" w:rsidRDefault="001D22B2" w:rsidP="007C00F0">
      <w:pPr>
        <w:rPr>
          <w:color w:val="000000" w:themeColor="text1"/>
        </w:rPr>
      </w:pPr>
      <w:r w:rsidRPr="007C00F0">
        <w:rPr>
          <w:color w:val="000000" w:themeColor="text1"/>
        </w:rPr>
        <w:t>V roce 2017 MD schválilo ZP rekonstrukce výpravní budovy v </w:t>
      </w:r>
      <w:proofErr w:type="spellStart"/>
      <w:r w:rsidRPr="007C00F0">
        <w:rPr>
          <w:color w:val="000000" w:themeColor="text1"/>
        </w:rPr>
        <w:t>žst</w:t>
      </w:r>
      <w:proofErr w:type="spellEnd"/>
      <w:r w:rsidRPr="007C00F0">
        <w:rPr>
          <w:color w:val="000000" w:themeColor="text1"/>
        </w:rPr>
        <w:t>. Lipník nad Bečvou. SŽDC uzavřela dne 3. 10. 2017 s vybraným dodavatelem stavebních prací smlouvu o dílo. SŽDC v</w:t>
      </w:r>
      <w:r w:rsidR="007F31F0" w:rsidRPr="007C00F0">
        <w:rPr>
          <w:color w:val="000000" w:themeColor="text1"/>
        </w:rPr>
        <w:t> </w:t>
      </w:r>
      <w:r w:rsidRPr="007C00F0">
        <w:rPr>
          <w:color w:val="000000" w:themeColor="text1"/>
        </w:rPr>
        <w:t>rozporu s uzavřenou smlouvou neuplatňovala 10% pozastávky na úhrady faktur za práce investičního charakteru a hradila fakturované práce a dodávky v plné výši. Teprve v poslední faktuře pozastávku uplatnila, avšak pouze ve výši 5 % namísto smluvně ujednaných 10 %.</w:t>
      </w:r>
    </w:p>
    <w:p w14:paraId="39E4C04B" w14:textId="77777777" w:rsidR="007C00F0" w:rsidRPr="007C00F0" w:rsidRDefault="007C00F0" w:rsidP="007C00F0">
      <w:pPr>
        <w:rPr>
          <w:color w:val="000000" w:themeColor="text1"/>
        </w:rPr>
      </w:pPr>
    </w:p>
    <w:p w14:paraId="17B1D1C5" w14:textId="17E3A3D4" w:rsidR="001D22B2" w:rsidRDefault="001D22B2" w:rsidP="007C00F0">
      <w:pPr>
        <w:rPr>
          <w:color w:val="000000" w:themeColor="text1"/>
        </w:rPr>
      </w:pPr>
      <w:r w:rsidRPr="007C00F0">
        <w:rPr>
          <w:color w:val="000000" w:themeColor="text1"/>
        </w:rPr>
        <w:t xml:space="preserve">V roce 2018 schválilo MD druhý ZP, týkající se </w:t>
      </w:r>
      <w:proofErr w:type="spellStart"/>
      <w:r w:rsidRPr="007C00F0">
        <w:rPr>
          <w:color w:val="000000" w:themeColor="text1"/>
        </w:rPr>
        <w:t>žst</w:t>
      </w:r>
      <w:proofErr w:type="spellEnd"/>
      <w:r w:rsidRPr="007C00F0">
        <w:rPr>
          <w:color w:val="000000" w:themeColor="text1"/>
        </w:rPr>
        <w:t xml:space="preserve">. Lipník nad Bečvou, a to investiční akce </w:t>
      </w:r>
      <w:r w:rsidRPr="00CE24B2">
        <w:rPr>
          <w:i/>
          <w:color w:val="000000" w:themeColor="text1"/>
        </w:rPr>
        <w:t xml:space="preserve">Lipník nad Bečvou – </w:t>
      </w:r>
      <w:proofErr w:type="spellStart"/>
      <w:r w:rsidRPr="00CE24B2">
        <w:rPr>
          <w:i/>
          <w:color w:val="000000" w:themeColor="text1"/>
        </w:rPr>
        <w:t>Drahotuše</w:t>
      </w:r>
      <w:proofErr w:type="spellEnd"/>
      <w:r w:rsidRPr="00CE24B2">
        <w:rPr>
          <w:i/>
          <w:color w:val="000000" w:themeColor="text1"/>
        </w:rPr>
        <w:t>, BC</w:t>
      </w:r>
      <w:r w:rsidRPr="007C00F0">
        <w:rPr>
          <w:color w:val="000000" w:themeColor="text1"/>
        </w:rPr>
        <w:t xml:space="preserve">, jehož cílem </w:t>
      </w:r>
      <w:r w:rsidR="007F31F0" w:rsidRPr="007C00F0">
        <w:rPr>
          <w:color w:val="000000" w:themeColor="text1"/>
        </w:rPr>
        <w:t xml:space="preserve">byla </w:t>
      </w:r>
      <w:r w:rsidRPr="007C00F0">
        <w:rPr>
          <w:color w:val="000000" w:themeColor="text1"/>
        </w:rPr>
        <w:t xml:space="preserve">optimalizace tratě a plná </w:t>
      </w:r>
      <w:proofErr w:type="spellStart"/>
      <w:r w:rsidRPr="007C00F0">
        <w:rPr>
          <w:color w:val="000000" w:themeColor="text1"/>
        </w:rPr>
        <w:t>peronizace</w:t>
      </w:r>
      <w:proofErr w:type="spellEnd"/>
      <w:r w:rsidR="00DE2F27" w:rsidRPr="007C00F0">
        <w:rPr>
          <w:rStyle w:val="Znakapoznpodarou"/>
          <w:color w:val="000000" w:themeColor="text1"/>
        </w:rPr>
        <w:footnoteReference w:id="8"/>
      </w:r>
      <w:r w:rsidR="007C00F0">
        <w:rPr>
          <w:color w:val="000000" w:themeColor="text1"/>
        </w:rPr>
        <w:t>.</w:t>
      </w:r>
    </w:p>
    <w:p w14:paraId="1BC921D9" w14:textId="77777777" w:rsidR="007C00F0" w:rsidRPr="007C00F0" w:rsidRDefault="007C00F0" w:rsidP="007C00F0">
      <w:pPr>
        <w:rPr>
          <w:color w:val="000000" w:themeColor="text1"/>
        </w:rPr>
      </w:pPr>
    </w:p>
    <w:p w14:paraId="0E244CEA" w14:textId="77777777" w:rsidR="001D22B2" w:rsidRPr="007C00F0" w:rsidRDefault="001D22B2" w:rsidP="007C00F0">
      <w:pPr>
        <w:rPr>
          <w:color w:val="000000" w:themeColor="text1"/>
        </w:rPr>
      </w:pPr>
      <w:r w:rsidRPr="007C00F0">
        <w:rPr>
          <w:color w:val="000000" w:themeColor="text1"/>
        </w:rPr>
        <w:t xml:space="preserve">Kontrolou NKÚ bylo zjištěno, že schválením a následnou realizací tohoto druhého ZP hrozí riziko, že se bude muset zasahovat do již ukončené komplexní rekonstrukce výpravní budovy s celkovými investičními náklady ve výši 30 407 366 Kč bez DPH. Reálnost tohoto rizika potvrdila i skutečnost, že SŽDC po schválení </w:t>
      </w:r>
      <w:proofErr w:type="spellStart"/>
      <w:r w:rsidRPr="007C00F0">
        <w:rPr>
          <w:color w:val="000000" w:themeColor="text1"/>
        </w:rPr>
        <w:t>peronizace</w:t>
      </w:r>
      <w:proofErr w:type="spellEnd"/>
      <w:r w:rsidRPr="007C00F0">
        <w:rPr>
          <w:color w:val="000000" w:themeColor="text1"/>
        </w:rPr>
        <w:t xml:space="preserve"> vyjmula z probíhající rekonstrukce výpravní budovy rekonstrukci bytů ve druhém nadzemním podlaží a zajistila jejich zakonzervování. </w:t>
      </w:r>
    </w:p>
    <w:p w14:paraId="21A760A3" w14:textId="77777777" w:rsidR="00514CF1" w:rsidRPr="007C00F0" w:rsidRDefault="00514CF1" w:rsidP="007C00F0">
      <w:pPr>
        <w:rPr>
          <w:rFonts w:cs="Calibri"/>
          <w:b/>
          <w:bCs/>
          <w:color w:val="000000" w:themeColor="text1"/>
        </w:rPr>
      </w:pPr>
    </w:p>
    <w:p w14:paraId="2D330676" w14:textId="77777777" w:rsidR="00401DD9" w:rsidRPr="00A849E8" w:rsidRDefault="00A849E8" w:rsidP="00A849E8">
      <w:pPr>
        <w:keepNext/>
        <w:rPr>
          <w:rFonts w:cs="Calibri"/>
          <w:b/>
          <w:bCs/>
          <w:color w:val="000000" w:themeColor="text1"/>
        </w:rPr>
      </w:pPr>
      <w:r>
        <w:rPr>
          <w:rFonts w:cs="Calibri"/>
          <w:b/>
          <w:bCs/>
          <w:color w:val="000000" w:themeColor="text1"/>
        </w:rPr>
        <w:t xml:space="preserve">6.5 </w:t>
      </w:r>
      <w:r w:rsidR="00401DD9" w:rsidRPr="00A849E8">
        <w:rPr>
          <w:rFonts w:cs="Calibri"/>
          <w:b/>
          <w:bCs/>
          <w:color w:val="000000" w:themeColor="text1"/>
        </w:rPr>
        <w:t>Uzavírání dodatků až po termínu ukončení díla</w:t>
      </w:r>
    </w:p>
    <w:p w14:paraId="198BAE04" w14:textId="77777777" w:rsidR="007C00F0" w:rsidRDefault="007C00F0" w:rsidP="00A849E8">
      <w:pPr>
        <w:pStyle w:val="Odstavecseseznamem"/>
        <w:keepNext/>
        <w:ind w:left="0"/>
        <w:contextualSpacing w:val="0"/>
        <w:rPr>
          <w:rFonts w:cs="Calibri"/>
          <w:bCs/>
          <w:color w:val="000000" w:themeColor="text1"/>
        </w:rPr>
      </w:pPr>
    </w:p>
    <w:p w14:paraId="1E9F9E6E" w14:textId="16B029AC" w:rsidR="00D03E29" w:rsidRDefault="00D03E29" w:rsidP="007C00F0">
      <w:pPr>
        <w:pStyle w:val="Odstavecseseznamem"/>
        <w:ind w:left="0"/>
        <w:contextualSpacing w:val="0"/>
        <w:rPr>
          <w:rFonts w:cs="Calibri"/>
          <w:bCs/>
          <w:color w:val="000000" w:themeColor="text1"/>
        </w:rPr>
      </w:pPr>
      <w:r w:rsidRPr="007C00F0">
        <w:rPr>
          <w:rFonts w:cs="Calibri"/>
          <w:bCs/>
          <w:color w:val="000000" w:themeColor="text1"/>
        </w:rPr>
        <w:t xml:space="preserve">U akcí </w:t>
      </w:r>
      <w:proofErr w:type="spellStart"/>
      <w:r w:rsidRPr="00CE24B2">
        <w:rPr>
          <w:rFonts w:cs="Calibri"/>
          <w:bCs/>
          <w:i/>
          <w:color w:val="000000" w:themeColor="text1"/>
        </w:rPr>
        <w:t>Žst</w:t>
      </w:r>
      <w:proofErr w:type="spellEnd"/>
      <w:r w:rsidRPr="00CE24B2">
        <w:rPr>
          <w:rFonts w:cs="Calibri"/>
          <w:bCs/>
          <w:i/>
          <w:color w:val="000000" w:themeColor="text1"/>
        </w:rPr>
        <w:t xml:space="preserve">. Příbram </w:t>
      </w:r>
      <w:r w:rsidR="002F69CB" w:rsidRPr="00CE24B2">
        <w:rPr>
          <w:rFonts w:cs="Calibri"/>
          <w:bCs/>
          <w:i/>
          <w:color w:val="000000" w:themeColor="text1"/>
        </w:rPr>
        <w:t>–</w:t>
      </w:r>
      <w:r w:rsidRPr="00CE24B2">
        <w:rPr>
          <w:rFonts w:cs="Calibri"/>
          <w:bCs/>
          <w:i/>
          <w:color w:val="000000" w:themeColor="text1"/>
        </w:rPr>
        <w:t xml:space="preserve"> </w:t>
      </w:r>
      <w:r w:rsidR="002F69CB" w:rsidRPr="00CE24B2">
        <w:rPr>
          <w:rFonts w:cs="Calibri"/>
          <w:bCs/>
          <w:i/>
          <w:color w:val="000000" w:themeColor="text1"/>
        </w:rPr>
        <w:t>O</w:t>
      </w:r>
      <w:r w:rsidRPr="00CE24B2">
        <w:rPr>
          <w:rFonts w:cs="Calibri"/>
          <w:bCs/>
          <w:i/>
          <w:color w:val="000000" w:themeColor="text1"/>
        </w:rPr>
        <w:t>prava objektu</w:t>
      </w:r>
      <w:r w:rsidRPr="007C00F0">
        <w:rPr>
          <w:rFonts w:cs="Calibri"/>
          <w:bCs/>
          <w:color w:val="000000" w:themeColor="text1"/>
        </w:rPr>
        <w:t xml:space="preserve">, </w:t>
      </w:r>
      <w:proofErr w:type="spellStart"/>
      <w:r w:rsidR="002F69CB" w:rsidRPr="00CE24B2">
        <w:rPr>
          <w:rFonts w:cs="Calibri"/>
          <w:bCs/>
          <w:i/>
          <w:color w:val="000000" w:themeColor="text1"/>
        </w:rPr>
        <w:t>Ž</w:t>
      </w:r>
      <w:r w:rsidRPr="00CE24B2">
        <w:rPr>
          <w:rFonts w:cs="Calibri"/>
          <w:bCs/>
          <w:i/>
          <w:color w:val="000000" w:themeColor="text1"/>
        </w:rPr>
        <w:t>st</w:t>
      </w:r>
      <w:proofErr w:type="spellEnd"/>
      <w:r w:rsidRPr="00CE24B2">
        <w:rPr>
          <w:rFonts w:cs="Calibri"/>
          <w:bCs/>
          <w:i/>
          <w:color w:val="000000" w:themeColor="text1"/>
        </w:rPr>
        <w:t xml:space="preserve">. Kutná Hora město </w:t>
      </w:r>
      <w:r w:rsidR="002F69CB" w:rsidRPr="00CE24B2">
        <w:rPr>
          <w:rFonts w:cs="Calibri"/>
          <w:bCs/>
          <w:i/>
          <w:color w:val="000000" w:themeColor="text1"/>
        </w:rPr>
        <w:t>–</w:t>
      </w:r>
      <w:r w:rsidRPr="00CE24B2">
        <w:rPr>
          <w:rFonts w:cs="Calibri"/>
          <w:bCs/>
          <w:i/>
          <w:color w:val="000000" w:themeColor="text1"/>
        </w:rPr>
        <w:t xml:space="preserve"> komplexní oprava objektu</w:t>
      </w:r>
      <w:r w:rsidRPr="007C00F0">
        <w:rPr>
          <w:rFonts w:cs="Calibri"/>
          <w:bCs/>
          <w:color w:val="000000" w:themeColor="text1"/>
        </w:rPr>
        <w:t xml:space="preserve"> a</w:t>
      </w:r>
      <w:r w:rsidR="002F69CB">
        <w:rPr>
          <w:rFonts w:cs="Calibri"/>
          <w:bCs/>
          <w:color w:val="000000" w:themeColor="text1"/>
        </w:rPr>
        <w:t> </w:t>
      </w:r>
      <w:proofErr w:type="spellStart"/>
      <w:r w:rsidR="002F69CB" w:rsidRPr="00CE24B2">
        <w:rPr>
          <w:rFonts w:cs="Calibri"/>
          <w:bCs/>
          <w:i/>
          <w:color w:val="000000" w:themeColor="text1"/>
        </w:rPr>
        <w:t>Ž</w:t>
      </w:r>
      <w:r w:rsidRPr="00CE24B2">
        <w:rPr>
          <w:rFonts w:cs="Calibri"/>
          <w:bCs/>
          <w:i/>
          <w:color w:val="000000" w:themeColor="text1"/>
        </w:rPr>
        <w:t>st</w:t>
      </w:r>
      <w:proofErr w:type="spellEnd"/>
      <w:r w:rsidRPr="00CE24B2">
        <w:rPr>
          <w:rFonts w:cs="Calibri"/>
          <w:bCs/>
          <w:i/>
          <w:color w:val="000000" w:themeColor="text1"/>
        </w:rPr>
        <w:t xml:space="preserve">. Neratovice </w:t>
      </w:r>
      <w:r w:rsidR="002F69CB" w:rsidRPr="00CE24B2">
        <w:rPr>
          <w:rFonts w:cs="Calibri"/>
          <w:bCs/>
          <w:i/>
          <w:color w:val="000000" w:themeColor="text1"/>
        </w:rPr>
        <w:t>–</w:t>
      </w:r>
      <w:r w:rsidRPr="00CE24B2">
        <w:rPr>
          <w:rFonts w:cs="Calibri"/>
          <w:bCs/>
          <w:i/>
          <w:color w:val="000000" w:themeColor="text1"/>
        </w:rPr>
        <w:t xml:space="preserve"> </w:t>
      </w:r>
      <w:r w:rsidR="002F69CB">
        <w:rPr>
          <w:rFonts w:cs="Calibri"/>
          <w:bCs/>
          <w:i/>
          <w:color w:val="000000" w:themeColor="text1"/>
        </w:rPr>
        <w:t>O</w:t>
      </w:r>
      <w:r w:rsidRPr="00CE24B2">
        <w:rPr>
          <w:rFonts w:cs="Calibri"/>
          <w:bCs/>
          <w:i/>
          <w:color w:val="000000" w:themeColor="text1"/>
        </w:rPr>
        <w:t>prava výpravní budovy</w:t>
      </w:r>
      <w:r w:rsidRPr="007C00F0">
        <w:rPr>
          <w:rFonts w:cs="Calibri"/>
          <w:bCs/>
          <w:color w:val="000000" w:themeColor="text1"/>
        </w:rPr>
        <w:t xml:space="preserve"> SŽDC uzavřela dodatky ke smlouvám, kterými se navyšovala cena nebo prodlužoval termín dokončení prací, i několik desítek dnů po uplynutí termínů </w:t>
      </w:r>
      <w:r w:rsidR="005570C4" w:rsidRPr="007C00F0">
        <w:rPr>
          <w:rFonts w:cs="Calibri"/>
          <w:bCs/>
          <w:color w:val="000000" w:themeColor="text1"/>
        </w:rPr>
        <w:t xml:space="preserve">ukončení díla </w:t>
      </w:r>
      <w:r w:rsidRPr="007C00F0">
        <w:rPr>
          <w:rFonts w:cs="Calibri"/>
          <w:bCs/>
          <w:color w:val="000000" w:themeColor="text1"/>
        </w:rPr>
        <w:t>uvedených ve smlouvách. K úhradám faktur však SŽDC přistupovala až po uzavření (podpisu) těchto dodatků oběma smluvními stranami, nikoliv před jejich uzavřením.</w:t>
      </w:r>
    </w:p>
    <w:p w14:paraId="6C8DA6AB" w14:textId="77777777" w:rsidR="007C00F0" w:rsidRPr="007C00F0" w:rsidRDefault="007C00F0" w:rsidP="007C00F0">
      <w:pPr>
        <w:pStyle w:val="Odstavecseseznamem"/>
        <w:ind w:left="0"/>
        <w:contextualSpacing w:val="0"/>
        <w:rPr>
          <w:rFonts w:cs="Calibri"/>
          <w:bCs/>
          <w:color w:val="000000" w:themeColor="text1"/>
        </w:rPr>
      </w:pPr>
    </w:p>
    <w:p w14:paraId="113FDD9E" w14:textId="5543F1A1" w:rsidR="00D03E29" w:rsidRPr="007C00F0" w:rsidRDefault="00D03E29" w:rsidP="007C00F0">
      <w:pPr>
        <w:pStyle w:val="Odstavecseseznamem"/>
        <w:ind w:left="0"/>
        <w:contextualSpacing w:val="0"/>
        <w:rPr>
          <w:rFonts w:cs="Calibri"/>
          <w:bCs/>
          <w:color w:val="000000" w:themeColor="text1"/>
        </w:rPr>
      </w:pPr>
      <w:r w:rsidRPr="007C00F0">
        <w:rPr>
          <w:rFonts w:cs="Calibri"/>
          <w:bCs/>
          <w:color w:val="000000" w:themeColor="text1"/>
        </w:rPr>
        <w:t xml:space="preserve">Např. u akce </w:t>
      </w:r>
      <w:proofErr w:type="spellStart"/>
      <w:r w:rsidR="002F69CB" w:rsidRPr="00CE24B2">
        <w:rPr>
          <w:rFonts w:cs="Calibri"/>
          <w:bCs/>
          <w:i/>
          <w:color w:val="000000" w:themeColor="text1"/>
        </w:rPr>
        <w:t>Ž</w:t>
      </w:r>
      <w:r w:rsidRPr="00CE24B2">
        <w:rPr>
          <w:rFonts w:cs="Calibri"/>
          <w:bCs/>
          <w:i/>
          <w:color w:val="000000" w:themeColor="text1"/>
        </w:rPr>
        <w:t>st</w:t>
      </w:r>
      <w:proofErr w:type="spellEnd"/>
      <w:r w:rsidRPr="00CE24B2">
        <w:rPr>
          <w:rFonts w:cs="Calibri"/>
          <w:bCs/>
          <w:i/>
          <w:color w:val="000000" w:themeColor="text1"/>
        </w:rPr>
        <w:t>. Neratovice</w:t>
      </w:r>
      <w:r w:rsidR="00C271DC" w:rsidRPr="00CE24B2">
        <w:rPr>
          <w:rFonts w:cs="Calibri"/>
          <w:bCs/>
          <w:i/>
          <w:color w:val="000000" w:themeColor="text1"/>
        </w:rPr>
        <w:t> </w:t>
      </w:r>
      <w:r w:rsidRPr="00CE24B2">
        <w:rPr>
          <w:rFonts w:cs="Calibri"/>
          <w:bCs/>
          <w:i/>
          <w:color w:val="000000" w:themeColor="text1"/>
        </w:rPr>
        <w:t xml:space="preserve">– </w:t>
      </w:r>
      <w:r w:rsidR="002F69CB">
        <w:rPr>
          <w:rFonts w:cs="Calibri"/>
          <w:bCs/>
          <w:i/>
          <w:color w:val="000000" w:themeColor="text1"/>
        </w:rPr>
        <w:t>O</w:t>
      </w:r>
      <w:r w:rsidRPr="00CE24B2">
        <w:rPr>
          <w:rFonts w:cs="Calibri"/>
          <w:bCs/>
          <w:i/>
          <w:color w:val="000000" w:themeColor="text1"/>
        </w:rPr>
        <w:t xml:space="preserve">prava výpravní budovy </w:t>
      </w:r>
      <w:r w:rsidR="005570C4" w:rsidRPr="00CE24B2">
        <w:rPr>
          <w:rFonts w:cs="Calibri"/>
          <w:bCs/>
          <w:i/>
          <w:color w:val="000000" w:themeColor="text1"/>
        </w:rPr>
        <w:t>SŽDC</w:t>
      </w:r>
      <w:r w:rsidR="005570C4" w:rsidRPr="007C00F0">
        <w:rPr>
          <w:rFonts w:cs="Calibri"/>
          <w:bCs/>
          <w:color w:val="000000" w:themeColor="text1"/>
        </w:rPr>
        <w:t xml:space="preserve"> </w:t>
      </w:r>
      <w:r w:rsidRPr="007C00F0">
        <w:rPr>
          <w:rFonts w:cs="Calibri"/>
          <w:bCs/>
          <w:color w:val="000000" w:themeColor="text1"/>
        </w:rPr>
        <w:t xml:space="preserve">uzavřela </w:t>
      </w:r>
      <w:r w:rsidR="005570C4" w:rsidRPr="007C00F0">
        <w:rPr>
          <w:rFonts w:cs="Calibri"/>
          <w:bCs/>
          <w:color w:val="000000" w:themeColor="text1"/>
        </w:rPr>
        <w:t xml:space="preserve">s dodavatelem </w:t>
      </w:r>
      <w:r w:rsidR="00F31C40" w:rsidRPr="007C00F0">
        <w:rPr>
          <w:rFonts w:cs="Calibri"/>
          <w:bCs/>
          <w:color w:val="000000" w:themeColor="text1"/>
        </w:rPr>
        <w:t>d</w:t>
      </w:r>
      <w:r w:rsidRPr="007C00F0">
        <w:rPr>
          <w:rFonts w:cs="Calibri"/>
          <w:color w:val="000000" w:themeColor="text1"/>
        </w:rPr>
        <w:t>ne 4.</w:t>
      </w:r>
      <w:r w:rsidR="005570C4" w:rsidRPr="007C00F0">
        <w:rPr>
          <w:rFonts w:cs="Calibri"/>
          <w:color w:val="000000" w:themeColor="text1"/>
        </w:rPr>
        <w:t> </w:t>
      </w:r>
      <w:r w:rsidRPr="007C00F0">
        <w:rPr>
          <w:rFonts w:cs="Calibri"/>
          <w:color w:val="000000" w:themeColor="text1"/>
        </w:rPr>
        <w:t>5.</w:t>
      </w:r>
      <w:r w:rsidR="005570C4" w:rsidRPr="007C00F0">
        <w:rPr>
          <w:rFonts w:cs="Calibri"/>
          <w:color w:val="000000" w:themeColor="text1"/>
        </w:rPr>
        <w:t> </w:t>
      </w:r>
      <w:r w:rsidRPr="007C00F0">
        <w:rPr>
          <w:rFonts w:cs="Calibri"/>
          <w:color w:val="000000" w:themeColor="text1"/>
        </w:rPr>
        <w:t>2017</w:t>
      </w:r>
      <w:r w:rsidR="005570C4" w:rsidRPr="007C00F0">
        <w:rPr>
          <w:rFonts w:cs="Calibri"/>
          <w:color w:val="000000" w:themeColor="text1"/>
        </w:rPr>
        <w:t xml:space="preserve"> smlouvu o dílo</w:t>
      </w:r>
      <w:r w:rsidRPr="007C00F0">
        <w:rPr>
          <w:rFonts w:cs="Calibri"/>
          <w:color w:val="000000" w:themeColor="text1"/>
        </w:rPr>
        <w:t xml:space="preserve"> s termínem plnění do </w:t>
      </w:r>
      <w:r w:rsidR="005750CF">
        <w:rPr>
          <w:rFonts w:cs="Calibri"/>
          <w:color w:val="000000" w:themeColor="text1"/>
        </w:rPr>
        <w:t>tří</w:t>
      </w:r>
      <w:r w:rsidRPr="007C00F0">
        <w:rPr>
          <w:rFonts w:cs="Calibri"/>
          <w:color w:val="000000" w:themeColor="text1"/>
        </w:rPr>
        <w:t xml:space="preserve"> měsíců od podpisu smlouvy, tj. do 4.</w:t>
      </w:r>
      <w:r w:rsidR="00A849E8">
        <w:rPr>
          <w:rFonts w:cs="Calibri"/>
          <w:color w:val="000000" w:themeColor="text1"/>
        </w:rPr>
        <w:t> </w:t>
      </w:r>
      <w:r w:rsidRPr="007C00F0">
        <w:rPr>
          <w:rFonts w:cs="Calibri"/>
          <w:color w:val="000000" w:themeColor="text1"/>
        </w:rPr>
        <w:t>8.</w:t>
      </w:r>
      <w:r w:rsidR="00A849E8">
        <w:rPr>
          <w:rFonts w:cs="Calibri"/>
          <w:color w:val="000000" w:themeColor="text1"/>
        </w:rPr>
        <w:t> </w:t>
      </w:r>
      <w:r w:rsidRPr="007C00F0">
        <w:rPr>
          <w:rFonts w:cs="Calibri"/>
          <w:color w:val="000000" w:themeColor="text1"/>
        </w:rPr>
        <w:t xml:space="preserve">2017. </w:t>
      </w:r>
      <w:r w:rsidRPr="007C00F0">
        <w:rPr>
          <w:rFonts w:cs="Calibri"/>
          <w:bCs/>
          <w:color w:val="000000" w:themeColor="text1"/>
        </w:rPr>
        <w:t xml:space="preserve">Dne 29. 9. 2017 SŽDC uzavřela s dodavatelem </w:t>
      </w:r>
      <w:r w:rsidR="002F69CB">
        <w:rPr>
          <w:rFonts w:cs="Calibri"/>
          <w:bCs/>
          <w:color w:val="000000" w:themeColor="text1"/>
        </w:rPr>
        <w:t>d</w:t>
      </w:r>
      <w:r w:rsidRPr="007C00F0">
        <w:rPr>
          <w:rFonts w:cs="Calibri"/>
          <w:bCs/>
          <w:color w:val="000000" w:themeColor="text1"/>
        </w:rPr>
        <w:t>odatek č. 1 k</w:t>
      </w:r>
      <w:r w:rsidR="005570C4" w:rsidRPr="007C00F0">
        <w:rPr>
          <w:rFonts w:cs="Calibri"/>
          <w:bCs/>
          <w:color w:val="000000" w:themeColor="text1"/>
        </w:rPr>
        <w:t> smlouvě o dílo</w:t>
      </w:r>
      <w:r w:rsidRPr="007C00F0">
        <w:rPr>
          <w:rFonts w:cs="Calibri"/>
          <w:bCs/>
          <w:color w:val="000000" w:themeColor="text1"/>
        </w:rPr>
        <w:t>, tj. 56</w:t>
      </w:r>
      <w:r w:rsidR="007F31F0" w:rsidRPr="007C00F0">
        <w:rPr>
          <w:rFonts w:cs="Calibri"/>
          <w:bCs/>
          <w:color w:val="000000" w:themeColor="text1"/>
        </w:rPr>
        <w:t> </w:t>
      </w:r>
      <w:r w:rsidRPr="007C00F0">
        <w:rPr>
          <w:rFonts w:cs="Calibri"/>
          <w:bCs/>
          <w:color w:val="000000" w:themeColor="text1"/>
        </w:rPr>
        <w:t>dnů po původně stanoveném te</w:t>
      </w:r>
      <w:r w:rsidR="005570C4" w:rsidRPr="007C00F0">
        <w:rPr>
          <w:rFonts w:cs="Calibri"/>
          <w:bCs/>
          <w:color w:val="000000" w:themeColor="text1"/>
        </w:rPr>
        <w:t>rmínu dokončení dle uzavřené smlouvy o dílo</w:t>
      </w:r>
      <w:r w:rsidR="00F31C40" w:rsidRPr="007C00F0">
        <w:rPr>
          <w:rFonts w:cs="Calibri"/>
          <w:bCs/>
          <w:color w:val="000000" w:themeColor="text1"/>
        </w:rPr>
        <w:t>.</w:t>
      </w:r>
    </w:p>
    <w:p w14:paraId="5A25B4AA" w14:textId="77777777" w:rsidR="00D03E29" w:rsidRPr="007C00F0" w:rsidRDefault="00D03E29" w:rsidP="007C00F0">
      <w:pPr>
        <w:rPr>
          <w:rFonts w:cs="Calibri"/>
          <w:b/>
          <w:bCs/>
          <w:color w:val="000000" w:themeColor="text1"/>
          <w:u w:val="single"/>
        </w:rPr>
      </w:pPr>
    </w:p>
    <w:p w14:paraId="7390B56C" w14:textId="77777777" w:rsidR="00401DD9" w:rsidRPr="00A849E8" w:rsidRDefault="00A849E8" w:rsidP="00A849E8">
      <w:pPr>
        <w:keepNext/>
        <w:ind w:left="397" w:hanging="397"/>
        <w:jc w:val="left"/>
        <w:rPr>
          <w:rFonts w:asciiTheme="minorHAnsi" w:hAnsiTheme="minorHAnsi" w:cstheme="minorHAnsi"/>
          <w:b/>
          <w:color w:val="000000" w:themeColor="text1"/>
        </w:rPr>
      </w:pPr>
      <w:r>
        <w:rPr>
          <w:rFonts w:asciiTheme="minorHAnsi" w:hAnsiTheme="minorHAnsi" w:cstheme="minorHAnsi"/>
          <w:b/>
          <w:color w:val="000000" w:themeColor="text1"/>
        </w:rPr>
        <w:t xml:space="preserve">6.6 </w:t>
      </w:r>
      <w:r>
        <w:rPr>
          <w:rFonts w:asciiTheme="minorHAnsi" w:hAnsiTheme="minorHAnsi" w:cstheme="minorHAnsi"/>
          <w:b/>
          <w:color w:val="000000" w:themeColor="text1"/>
        </w:rPr>
        <w:tab/>
      </w:r>
      <w:r w:rsidR="00401DD9" w:rsidRPr="00A849E8">
        <w:rPr>
          <w:rFonts w:asciiTheme="minorHAnsi" w:hAnsiTheme="minorHAnsi" w:cstheme="minorHAnsi"/>
          <w:b/>
          <w:color w:val="000000" w:themeColor="text1"/>
        </w:rPr>
        <w:t>Navýšení ceny díla z důvodu stanovení nevhodného postupu v projektové dokumentaci u akce rekonstrukce výpravní budovy v </w:t>
      </w:r>
      <w:proofErr w:type="spellStart"/>
      <w:r w:rsidR="00401DD9" w:rsidRPr="00A849E8">
        <w:rPr>
          <w:rFonts w:asciiTheme="minorHAnsi" w:hAnsiTheme="minorHAnsi" w:cstheme="minorHAnsi"/>
          <w:b/>
          <w:color w:val="000000" w:themeColor="text1"/>
        </w:rPr>
        <w:t>žst</w:t>
      </w:r>
      <w:proofErr w:type="spellEnd"/>
      <w:r w:rsidR="00401DD9" w:rsidRPr="00A849E8">
        <w:rPr>
          <w:rFonts w:asciiTheme="minorHAnsi" w:hAnsiTheme="minorHAnsi" w:cstheme="minorHAnsi"/>
          <w:b/>
          <w:color w:val="000000" w:themeColor="text1"/>
        </w:rPr>
        <w:t>. Šternberk</w:t>
      </w:r>
    </w:p>
    <w:p w14:paraId="118CDE02" w14:textId="77777777" w:rsidR="007C00F0" w:rsidRDefault="007C00F0" w:rsidP="00A849E8">
      <w:pPr>
        <w:keepNext/>
        <w:rPr>
          <w:rFonts w:cs="Calibri"/>
          <w:color w:val="000000" w:themeColor="text1"/>
        </w:rPr>
      </w:pPr>
    </w:p>
    <w:p w14:paraId="642DAA3F" w14:textId="3D218306" w:rsidR="00E16004" w:rsidRPr="007C00F0" w:rsidRDefault="00E16004" w:rsidP="007C00F0">
      <w:pPr>
        <w:rPr>
          <w:rFonts w:cs="Calibri"/>
          <w:color w:val="000000" w:themeColor="text1"/>
        </w:rPr>
      </w:pPr>
      <w:r w:rsidRPr="007C00F0">
        <w:rPr>
          <w:rFonts w:cs="Calibri"/>
          <w:color w:val="000000" w:themeColor="text1"/>
        </w:rPr>
        <w:t>Vícepráce v celkové výši</w:t>
      </w:r>
      <w:r w:rsidRPr="00CE24B2">
        <w:rPr>
          <w:rFonts w:cs="Calibri"/>
          <w:color w:val="000000" w:themeColor="text1"/>
        </w:rPr>
        <w:t xml:space="preserve"> </w:t>
      </w:r>
      <w:r w:rsidRPr="007C00F0">
        <w:rPr>
          <w:rFonts w:cs="Calibri"/>
          <w:color w:val="000000" w:themeColor="text1"/>
        </w:rPr>
        <w:t>3 486 889,33 Kč bez DPH byly zapříčiněny nevhodným postupem stanoveným v projektové dokumentaci, kdy projektant předpokládal použít při zásypu sklepů výpravní budovy vybouranou cihlovou suť, která se k tomuto účelu však nehodila</w:t>
      </w:r>
      <w:r w:rsidR="005750CF">
        <w:rPr>
          <w:rFonts w:cs="Calibri"/>
          <w:color w:val="000000" w:themeColor="text1"/>
        </w:rPr>
        <w:t>,</w:t>
      </w:r>
      <w:r w:rsidRPr="007C00F0">
        <w:rPr>
          <w:rFonts w:cs="Calibri"/>
          <w:color w:val="000000" w:themeColor="text1"/>
        </w:rPr>
        <w:t xml:space="preserve"> </w:t>
      </w:r>
      <w:r w:rsidR="005750CF">
        <w:rPr>
          <w:rFonts w:cs="Calibri"/>
          <w:color w:val="000000" w:themeColor="text1"/>
        </w:rPr>
        <w:t>takže</w:t>
      </w:r>
      <w:r w:rsidRPr="007C00F0">
        <w:rPr>
          <w:rFonts w:cs="Calibri"/>
          <w:color w:val="000000" w:themeColor="text1"/>
        </w:rPr>
        <w:t xml:space="preserve"> musela být odvezena na skládku </w:t>
      </w:r>
      <w:r w:rsidR="002F69CB">
        <w:rPr>
          <w:rFonts w:cs="Calibri"/>
          <w:color w:val="000000" w:themeColor="text1"/>
        </w:rPr>
        <w:t>a musel být uhrazen</w:t>
      </w:r>
      <w:r w:rsidRPr="007C00F0">
        <w:rPr>
          <w:rFonts w:cs="Calibri"/>
          <w:color w:val="000000" w:themeColor="text1"/>
        </w:rPr>
        <w:t xml:space="preserve"> poplat</w:t>
      </w:r>
      <w:r w:rsidR="002F69CB">
        <w:rPr>
          <w:rFonts w:cs="Calibri"/>
          <w:color w:val="000000" w:themeColor="text1"/>
        </w:rPr>
        <w:t>e</w:t>
      </w:r>
      <w:r w:rsidRPr="007C00F0">
        <w:rPr>
          <w:rFonts w:cs="Calibri"/>
          <w:color w:val="000000" w:themeColor="text1"/>
        </w:rPr>
        <w:t>k za skládku. Další vzniklé položky víceprací byly zapříčiněny neoceněním položek projektanta u těchto prací v rozpočtu (např. demontáž nástupištního přístřešku), popřípadě špatným stanovením prací v položkovém rozpočtu. Kontrolou NKÚ bylo zjištěno, že SŽDC neodhalila nedostatky v činnosti projektanta</w:t>
      </w:r>
      <w:r w:rsidR="007F31F0" w:rsidRPr="007C00F0">
        <w:rPr>
          <w:rFonts w:cs="Calibri"/>
          <w:color w:val="000000" w:themeColor="text1"/>
        </w:rPr>
        <w:t>.</w:t>
      </w:r>
      <w:r w:rsidRPr="007C00F0">
        <w:rPr>
          <w:rFonts w:cs="Calibri"/>
          <w:color w:val="000000" w:themeColor="text1"/>
        </w:rPr>
        <w:t xml:space="preserve"> </w:t>
      </w:r>
      <w:r w:rsidR="007F31F0" w:rsidRPr="007C00F0">
        <w:rPr>
          <w:rFonts w:cs="Calibri"/>
          <w:color w:val="000000" w:themeColor="text1"/>
        </w:rPr>
        <w:t>P</w:t>
      </w:r>
      <w:r w:rsidRPr="007C00F0">
        <w:rPr>
          <w:rFonts w:cs="Calibri"/>
          <w:color w:val="000000" w:themeColor="text1"/>
        </w:rPr>
        <w:t>řestože byly v projektové dokumentaci chyby</w:t>
      </w:r>
      <w:r w:rsidR="00610F80" w:rsidRPr="007C00F0">
        <w:rPr>
          <w:rFonts w:cs="Calibri"/>
          <w:color w:val="000000" w:themeColor="text1"/>
        </w:rPr>
        <w:t>,</w:t>
      </w:r>
      <w:r w:rsidRPr="007C00F0">
        <w:rPr>
          <w:rFonts w:cs="Calibri"/>
          <w:color w:val="000000" w:themeColor="text1"/>
        </w:rPr>
        <w:t xml:space="preserve"> sankce za vadné plnění v tomto případě </w:t>
      </w:r>
      <w:r w:rsidR="00610F80" w:rsidRPr="007C00F0">
        <w:rPr>
          <w:rFonts w:cs="Calibri"/>
          <w:color w:val="000000" w:themeColor="text1"/>
        </w:rPr>
        <w:t xml:space="preserve">SŽDC </w:t>
      </w:r>
      <w:r w:rsidRPr="007C00F0">
        <w:rPr>
          <w:rFonts w:cs="Calibri"/>
          <w:color w:val="000000" w:themeColor="text1"/>
        </w:rPr>
        <w:t xml:space="preserve">neuplatnila. </w:t>
      </w:r>
    </w:p>
    <w:p w14:paraId="46E92394" w14:textId="77777777" w:rsidR="00401DD9" w:rsidRPr="007C00F0" w:rsidRDefault="00401DD9" w:rsidP="007C00F0">
      <w:pPr>
        <w:rPr>
          <w:rFonts w:cs="Calibri"/>
          <w:color w:val="000000" w:themeColor="text1"/>
        </w:rPr>
      </w:pPr>
    </w:p>
    <w:p w14:paraId="7906C5CB" w14:textId="49AC44F6" w:rsidR="008A6FDF" w:rsidRPr="000D15E7" w:rsidRDefault="001D6919" w:rsidP="000D15E7">
      <w:pPr>
        <w:ind w:left="284" w:hanging="284"/>
        <w:jc w:val="left"/>
        <w:rPr>
          <w:rFonts w:eastAsia="Calibri" w:cs="Calibri"/>
          <w:b/>
          <w:color w:val="000000" w:themeColor="text1"/>
        </w:rPr>
      </w:pPr>
      <w:r w:rsidRPr="000D15E7">
        <w:rPr>
          <w:rFonts w:eastAsia="Calibri" w:cs="Calibri"/>
          <w:b/>
          <w:color w:val="000000" w:themeColor="text1"/>
        </w:rPr>
        <w:t xml:space="preserve">7. </w:t>
      </w:r>
      <w:r w:rsidR="000D15E7">
        <w:rPr>
          <w:rFonts w:eastAsia="Calibri" w:cs="Calibri"/>
          <w:b/>
          <w:color w:val="000000" w:themeColor="text1"/>
        </w:rPr>
        <w:tab/>
      </w:r>
      <w:r w:rsidR="00B84EEB" w:rsidRPr="000D15E7">
        <w:rPr>
          <w:rFonts w:eastAsia="Calibri" w:cs="Calibri"/>
          <w:b/>
          <w:color w:val="000000" w:themeColor="text1"/>
        </w:rPr>
        <w:t xml:space="preserve">Průměrné náklady na </w:t>
      </w:r>
      <w:r w:rsidR="000C67B4">
        <w:rPr>
          <w:rFonts w:eastAsia="Calibri" w:cs="Calibri"/>
          <w:b/>
          <w:color w:val="000000" w:themeColor="text1"/>
        </w:rPr>
        <w:t>1 </w:t>
      </w:r>
      <w:r w:rsidR="00B84EEB" w:rsidRPr="000D15E7">
        <w:rPr>
          <w:rFonts w:eastAsia="Calibri" w:cs="Calibri"/>
          <w:b/>
          <w:color w:val="000000" w:themeColor="text1"/>
        </w:rPr>
        <w:t>m</w:t>
      </w:r>
      <w:r w:rsidR="00B84EEB" w:rsidRPr="000D15E7">
        <w:rPr>
          <w:rFonts w:eastAsia="Calibri" w:cs="Calibri"/>
          <w:b/>
          <w:color w:val="000000" w:themeColor="text1"/>
          <w:vertAlign w:val="superscript"/>
        </w:rPr>
        <w:t>2</w:t>
      </w:r>
      <w:r w:rsidR="00B84EEB" w:rsidRPr="000D15E7">
        <w:rPr>
          <w:rFonts w:eastAsia="Calibri" w:cs="Calibri"/>
          <w:b/>
          <w:color w:val="000000" w:themeColor="text1"/>
        </w:rPr>
        <w:t xml:space="preserve"> </w:t>
      </w:r>
      <w:r w:rsidR="001B2CB2" w:rsidRPr="000D15E7">
        <w:rPr>
          <w:rFonts w:eastAsia="Calibri" w:cs="Calibri"/>
          <w:b/>
          <w:color w:val="000000" w:themeColor="text1"/>
        </w:rPr>
        <w:t xml:space="preserve">kontrolovaných a ukončených stavebních akcí </w:t>
      </w:r>
      <w:r w:rsidR="00B84EEB" w:rsidRPr="000D15E7">
        <w:rPr>
          <w:rFonts w:eastAsia="Calibri" w:cs="Calibri"/>
          <w:b/>
          <w:color w:val="000000" w:themeColor="text1"/>
        </w:rPr>
        <w:t>osobních nádraží.</w:t>
      </w:r>
    </w:p>
    <w:p w14:paraId="13DF0591" w14:textId="77777777" w:rsidR="007C00F0" w:rsidRDefault="007C00F0" w:rsidP="007C00F0">
      <w:pPr>
        <w:rPr>
          <w:color w:val="000000" w:themeColor="text1"/>
        </w:rPr>
      </w:pPr>
    </w:p>
    <w:p w14:paraId="6DE55939" w14:textId="13A7B40D" w:rsidR="00B84EEB" w:rsidRDefault="00B84EEB" w:rsidP="007C00F0">
      <w:pPr>
        <w:rPr>
          <w:color w:val="000000" w:themeColor="text1"/>
        </w:rPr>
      </w:pPr>
      <w:r w:rsidRPr="007C00F0">
        <w:rPr>
          <w:color w:val="000000" w:themeColor="text1"/>
        </w:rPr>
        <w:t xml:space="preserve">Cena na </w:t>
      </w:r>
      <w:r w:rsidR="002F69CB">
        <w:rPr>
          <w:color w:val="000000" w:themeColor="text1"/>
        </w:rPr>
        <w:t>1 </w:t>
      </w:r>
      <w:r w:rsidRPr="007C00F0">
        <w:rPr>
          <w:color w:val="000000" w:themeColor="text1"/>
        </w:rPr>
        <w:t>m</w:t>
      </w:r>
      <w:r w:rsidRPr="007C00F0">
        <w:rPr>
          <w:color w:val="000000" w:themeColor="text1"/>
          <w:vertAlign w:val="superscript"/>
        </w:rPr>
        <w:t>2</w:t>
      </w:r>
      <w:r w:rsidRPr="007C00F0">
        <w:rPr>
          <w:color w:val="000000" w:themeColor="text1"/>
        </w:rPr>
        <w:t xml:space="preserve"> zastavěné plochy u šesti větších ukončených rekonstrukcí výpravních budov se pohybovala od 3,6 tis. Kč bez DPH (</w:t>
      </w:r>
      <w:r w:rsidR="002F69CB">
        <w:rPr>
          <w:color w:val="000000" w:themeColor="text1"/>
        </w:rPr>
        <w:t xml:space="preserve">akce </w:t>
      </w:r>
      <w:r w:rsidRPr="00CE24B2">
        <w:rPr>
          <w:i/>
          <w:color w:val="000000" w:themeColor="text1"/>
        </w:rPr>
        <w:t xml:space="preserve">Rekonstrukce výpravní budovy </w:t>
      </w:r>
      <w:proofErr w:type="spellStart"/>
      <w:r w:rsidRPr="00CE24B2">
        <w:rPr>
          <w:i/>
          <w:color w:val="000000" w:themeColor="text1"/>
        </w:rPr>
        <w:t>žst</w:t>
      </w:r>
      <w:proofErr w:type="spellEnd"/>
      <w:r w:rsidRPr="00CE24B2">
        <w:rPr>
          <w:i/>
          <w:color w:val="000000" w:themeColor="text1"/>
        </w:rPr>
        <w:t>. Přerov</w:t>
      </w:r>
      <w:r w:rsidRPr="007C00F0">
        <w:rPr>
          <w:color w:val="000000" w:themeColor="text1"/>
        </w:rPr>
        <w:t>) do 52,3</w:t>
      </w:r>
      <w:r w:rsidR="002F69CB">
        <w:rPr>
          <w:color w:val="000000" w:themeColor="text1"/>
        </w:rPr>
        <w:t> </w:t>
      </w:r>
      <w:r w:rsidRPr="007C00F0">
        <w:rPr>
          <w:color w:val="000000" w:themeColor="text1"/>
        </w:rPr>
        <w:t>tis.</w:t>
      </w:r>
      <w:r w:rsidR="002F69CB">
        <w:rPr>
          <w:color w:val="000000" w:themeColor="text1"/>
        </w:rPr>
        <w:t> </w:t>
      </w:r>
      <w:r w:rsidRPr="007C00F0">
        <w:rPr>
          <w:color w:val="000000" w:themeColor="text1"/>
        </w:rPr>
        <w:t>Kč bez DPH (</w:t>
      </w:r>
      <w:r w:rsidR="002F69CB">
        <w:rPr>
          <w:color w:val="000000" w:themeColor="text1"/>
        </w:rPr>
        <w:t xml:space="preserve">akce </w:t>
      </w:r>
      <w:r w:rsidRPr="00CE24B2">
        <w:rPr>
          <w:i/>
          <w:color w:val="000000" w:themeColor="text1"/>
        </w:rPr>
        <w:t>Rekonstrukce výpravní budovy v </w:t>
      </w:r>
      <w:proofErr w:type="spellStart"/>
      <w:r w:rsidRPr="00CE24B2">
        <w:rPr>
          <w:i/>
          <w:color w:val="000000" w:themeColor="text1"/>
        </w:rPr>
        <w:t>žst</w:t>
      </w:r>
      <w:proofErr w:type="spellEnd"/>
      <w:r w:rsidRPr="00CE24B2">
        <w:rPr>
          <w:i/>
          <w:color w:val="000000" w:themeColor="text1"/>
        </w:rPr>
        <w:t>. Lipník nad Bečvou</w:t>
      </w:r>
      <w:r w:rsidRPr="007C00F0">
        <w:rPr>
          <w:color w:val="000000" w:themeColor="text1"/>
        </w:rPr>
        <w:t>).</w:t>
      </w:r>
    </w:p>
    <w:p w14:paraId="129CDFD6" w14:textId="77777777" w:rsidR="007C00F0" w:rsidRPr="007C00F0" w:rsidRDefault="007C00F0" w:rsidP="007C00F0">
      <w:pPr>
        <w:rPr>
          <w:color w:val="000000" w:themeColor="text1"/>
        </w:rPr>
      </w:pPr>
    </w:p>
    <w:p w14:paraId="2743DF99" w14:textId="29A0C3D4" w:rsidR="00B84EEB" w:rsidRDefault="00B84EEB" w:rsidP="007C00F0">
      <w:pPr>
        <w:rPr>
          <w:color w:val="000000" w:themeColor="text1"/>
        </w:rPr>
      </w:pPr>
      <w:r w:rsidRPr="007C00F0">
        <w:rPr>
          <w:color w:val="000000" w:themeColor="text1"/>
        </w:rPr>
        <w:t xml:space="preserve">Cena na </w:t>
      </w:r>
      <w:r w:rsidR="0089339F">
        <w:rPr>
          <w:color w:val="000000" w:themeColor="text1"/>
        </w:rPr>
        <w:t>1 </w:t>
      </w:r>
      <w:r w:rsidRPr="007C00F0">
        <w:rPr>
          <w:color w:val="000000" w:themeColor="text1"/>
        </w:rPr>
        <w:t>m</w:t>
      </w:r>
      <w:r w:rsidRPr="007C00F0">
        <w:rPr>
          <w:color w:val="000000" w:themeColor="text1"/>
          <w:vertAlign w:val="superscript"/>
        </w:rPr>
        <w:t>2</w:t>
      </w:r>
      <w:r w:rsidRPr="007C00F0">
        <w:rPr>
          <w:color w:val="000000" w:themeColor="text1"/>
        </w:rPr>
        <w:t xml:space="preserve"> zastavěné plochy u pěti větších ukončených oprav výpravních budov se pohybovala od 8,9 tis. Kč bez DPH (</w:t>
      </w:r>
      <w:r w:rsidR="0089339F">
        <w:rPr>
          <w:color w:val="000000" w:themeColor="text1"/>
        </w:rPr>
        <w:t xml:space="preserve">akce </w:t>
      </w:r>
      <w:proofErr w:type="spellStart"/>
      <w:r w:rsidRPr="00CE24B2">
        <w:rPr>
          <w:i/>
          <w:color w:val="000000" w:themeColor="text1"/>
        </w:rPr>
        <w:t>Žst</w:t>
      </w:r>
      <w:proofErr w:type="spellEnd"/>
      <w:r w:rsidRPr="00CE24B2">
        <w:rPr>
          <w:i/>
          <w:color w:val="000000" w:themeColor="text1"/>
        </w:rPr>
        <w:t>. Neratovice – Oprava výpravní budovy</w:t>
      </w:r>
      <w:r w:rsidR="0089339F">
        <w:rPr>
          <w:color w:val="000000" w:themeColor="text1"/>
        </w:rPr>
        <w:t>) do 18,7 </w:t>
      </w:r>
      <w:r w:rsidRPr="007C00F0">
        <w:rPr>
          <w:color w:val="000000" w:themeColor="text1"/>
        </w:rPr>
        <w:t>tis.</w:t>
      </w:r>
      <w:r w:rsidR="0089339F">
        <w:rPr>
          <w:color w:val="000000" w:themeColor="text1"/>
        </w:rPr>
        <w:t> </w:t>
      </w:r>
      <w:r w:rsidRPr="007C00F0">
        <w:rPr>
          <w:color w:val="000000" w:themeColor="text1"/>
        </w:rPr>
        <w:t>Kč bez DPH (</w:t>
      </w:r>
      <w:r w:rsidR="0089339F">
        <w:rPr>
          <w:color w:val="000000" w:themeColor="text1"/>
        </w:rPr>
        <w:t xml:space="preserve">akce </w:t>
      </w:r>
      <w:r w:rsidRPr="00CE24B2">
        <w:rPr>
          <w:i/>
          <w:color w:val="000000" w:themeColor="text1"/>
        </w:rPr>
        <w:t>Karlštejn ON – SA opravná část</w:t>
      </w:r>
      <w:r w:rsidRPr="007C00F0">
        <w:rPr>
          <w:color w:val="000000" w:themeColor="text1"/>
        </w:rPr>
        <w:t>).</w:t>
      </w:r>
    </w:p>
    <w:p w14:paraId="71E5B5AA" w14:textId="77777777" w:rsidR="007C00F0" w:rsidRPr="007C00F0" w:rsidRDefault="007C00F0" w:rsidP="007C00F0">
      <w:pPr>
        <w:rPr>
          <w:color w:val="000000" w:themeColor="text1"/>
        </w:rPr>
      </w:pPr>
    </w:p>
    <w:p w14:paraId="147726BC" w14:textId="7C33AD96" w:rsidR="00B84EEB" w:rsidRPr="007C00F0" w:rsidRDefault="00B84EEB" w:rsidP="007C00F0">
      <w:pPr>
        <w:rPr>
          <w:color w:val="000000" w:themeColor="text1"/>
        </w:rPr>
      </w:pPr>
      <w:r w:rsidRPr="007C00F0">
        <w:rPr>
          <w:color w:val="000000" w:themeColor="text1"/>
        </w:rPr>
        <w:t xml:space="preserve">Dále byla kontrolována jedna ukončená novostavba výpravní budovy v Karlových Varech za cenu na </w:t>
      </w:r>
      <w:r w:rsidR="0089339F">
        <w:rPr>
          <w:color w:val="000000" w:themeColor="text1"/>
        </w:rPr>
        <w:t>1 </w:t>
      </w:r>
      <w:r w:rsidRPr="007C00F0">
        <w:rPr>
          <w:color w:val="000000" w:themeColor="text1"/>
        </w:rPr>
        <w:t>m</w:t>
      </w:r>
      <w:r w:rsidRPr="007C00F0">
        <w:rPr>
          <w:color w:val="000000" w:themeColor="text1"/>
          <w:vertAlign w:val="superscript"/>
        </w:rPr>
        <w:t>2</w:t>
      </w:r>
      <w:r w:rsidRPr="007C00F0">
        <w:rPr>
          <w:color w:val="000000" w:themeColor="text1"/>
        </w:rPr>
        <w:t xml:space="preserve"> zastavěné plochy ve výši 31,5 tis. Kč bez DPH (</w:t>
      </w:r>
      <w:r w:rsidR="0089339F">
        <w:rPr>
          <w:color w:val="000000" w:themeColor="text1"/>
        </w:rPr>
        <w:t xml:space="preserve">akce </w:t>
      </w:r>
      <w:r w:rsidRPr="00CE24B2">
        <w:rPr>
          <w:i/>
          <w:color w:val="000000" w:themeColor="text1"/>
        </w:rPr>
        <w:t>Modernizace ŽST Karlovy Vary</w:t>
      </w:r>
      <w:r w:rsidR="001A6FC2">
        <w:rPr>
          <w:i/>
          <w:color w:val="000000" w:themeColor="text1"/>
        </w:rPr>
        <w:t> </w:t>
      </w:r>
      <w:r w:rsidRPr="00CE24B2">
        <w:rPr>
          <w:i/>
          <w:color w:val="000000" w:themeColor="text1"/>
        </w:rPr>
        <w:t>– výpravní budova</w:t>
      </w:r>
      <w:r w:rsidRPr="007C00F0">
        <w:rPr>
          <w:color w:val="000000" w:themeColor="text1"/>
        </w:rPr>
        <w:t>).</w:t>
      </w:r>
    </w:p>
    <w:p w14:paraId="3A15A408" w14:textId="77777777" w:rsidR="00B84EEB" w:rsidRPr="007C00F0" w:rsidRDefault="00B84EEB" w:rsidP="007C00F0">
      <w:pPr>
        <w:jc w:val="left"/>
        <w:rPr>
          <w:rFonts w:eastAsia="Calibri" w:cs="Calibri"/>
          <w:b/>
          <w:color w:val="000000" w:themeColor="text1"/>
        </w:rPr>
      </w:pPr>
    </w:p>
    <w:p w14:paraId="6B42A769" w14:textId="77777777" w:rsidR="00B84EEB" w:rsidRPr="007C00F0" w:rsidRDefault="00B84EEB" w:rsidP="007C00F0">
      <w:pPr>
        <w:jc w:val="left"/>
        <w:rPr>
          <w:rFonts w:eastAsia="Calibri" w:cs="Calibri"/>
          <w:color w:val="000000" w:themeColor="text1"/>
        </w:rPr>
      </w:pPr>
    </w:p>
    <w:p w14:paraId="771D658C" w14:textId="77777777" w:rsidR="00E4629A" w:rsidRPr="007C00F0" w:rsidRDefault="00E4629A" w:rsidP="007C00F0">
      <w:pPr>
        <w:jc w:val="left"/>
        <w:rPr>
          <w:rFonts w:eastAsia="Calibri" w:cs="Calibri"/>
          <w:color w:val="000000" w:themeColor="text1"/>
        </w:rPr>
      </w:pPr>
    </w:p>
    <w:p w14:paraId="3DCD962F" w14:textId="62150FC9" w:rsidR="004475AD" w:rsidRPr="007C00F0" w:rsidRDefault="004475AD" w:rsidP="005750CF">
      <w:pPr>
        <w:keepNext/>
        <w:jc w:val="left"/>
        <w:rPr>
          <w:rFonts w:eastAsia="Calibri" w:cs="Calibri"/>
          <w:b/>
          <w:bCs/>
          <w:color w:val="000000" w:themeColor="text1"/>
        </w:rPr>
      </w:pPr>
      <w:r w:rsidRPr="007C00F0">
        <w:rPr>
          <w:rFonts w:eastAsia="Calibri" w:cs="Calibri"/>
          <w:b/>
          <w:bCs/>
          <w:color w:val="000000" w:themeColor="text1"/>
        </w:rPr>
        <w:t>Seznam zkratek</w:t>
      </w:r>
    </w:p>
    <w:p w14:paraId="13075953" w14:textId="77777777" w:rsidR="004475AD" w:rsidRPr="004475AD" w:rsidRDefault="004475AD" w:rsidP="005750CF">
      <w:pPr>
        <w:keepNext/>
        <w:spacing w:after="60" w:line="280" w:lineRule="atLeast"/>
        <w:jc w:val="left"/>
        <w:rPr>
          <w:rFonts w:eastAsia="Calibri" w:cs="Calibri"/>
          <w:color w:val="000000"/>
          <w:shd w:val="clear" w:color="auto" w:fill="FFFFFF"/>
        </w:rPr>
      </w:pPr>
    </w:p>
    <w:p w14:paraId="1BFA8D3C" w14:textId="5D0B7274"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BOZP</w:t>
      </w:r>
      <w:r w:rsidRPr="004475AD">
        <w:rPr>
          <w:rFonts w:eastAsia="Calibri" w:cs="Calibri"/>
          <w:color w:val="000000"/>
          <w:shd w:val="clear" w:color="auto" w:fill="FFFFFF"/>
        </w:rPr>
        <w:tab/>
      </w:r>
      <w:r w:rsidR="000C67B4">
        <w:rPr>
          <w:rFonts w:eastAsia="Calibri" w:cs="Calibri"/>
          <w:color w:val="000000"/>
          <w:shd w:val="clear" w:color="auto" w:fill="FFFFFF"/>
        </w:rPr>
        <w:t>b</w:t>
      </w:r>
      <w:r w:rsidRPr="004475AD">
        <w:rPr>
          <w:rFonts w:eastAsia="Calibri" w:cs="Calibri"/>
          <w:color w:val="000000"/>
          <w:shd w:val="clear" w:color="auto" w:fill="FFFFFF"/>
        </w:rPr>
        <w:t>ezpečnost a ochrana zdraví při práci</w:t>
      </w:r>
    </w:p>
    <w:p w14:paraId="76090698" w14:textId="77777777"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ČD</w:t>
      </w:r>
      <w:r w:rsidRPr="004475AD">
        <w:rPr>
          <w:rFonts w:eastAsia="Calibri" w:cs="Calibri"/>
          <w:color w:val="000000"/>
          <w:shd w:val="clear" w:color="auto" w:fill="FFFFFF"/>
        </w:rPr>
        <w:tab/>
        <w:t>České dráhy, a.s.</w:t>
      </w:r>
    </w:p>
    <w:p w14:paraId="534EE037" w14:textId="1B32AB9A"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DPH</w:t>
      </w:r>
      <w:r w:rsidRPr="004475AD">
        <w:rPr>
          <w:rFonts w:eastAsia="Calibri" w:cs="Calibri"/>
          <w:color w:val="000000"/>
          <w:shd w:val="clear" w:color="auto" w:fill="FFFFFF"/>
        </w:rPr>
        <w:tab/>
      </w:r>
      <w:r w:rsidR="000C67B4">
        <w:rPr>
          <w:rFonts w:eastAsia="Calibri" w:cs="Calibri"/>
          <w:color w:val="000000"/>
          <w:shd w:val="clear" w:color="auto" w:fill="FFFFFF"/>
        </w:rPr>
        <w:t>d</w:t>
      </w:r>
      <w:r w:rsidRPr="004475AD">
        <w:rPr>
          <w:rFonts w:eastAsia="Calibri" w:cs="Calibri"/>
          <w:color w:val="000000"/>
          <w:shd w:val="clear" w:color="auto" w:fill="FFFFFF"/>
        </w:rPr>
        <w:t>aň z přidané hodnoty</w:t>
      </w:r>
    </w:p>
    <w:p w14:paraId="13FC8682" w14:textId="01EDF629"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ISPROFOND</w:t>
      </w:r>
      <w:r w:rsidRPr="004475AD">
        <w:rPr>
          <w:rFonts w:eastAsia="Calibri" w:cs="Calibri"/>
          <w:color w:val="000000"/>
          <w:shd w:val="clear" w:color="auto" w:fill="FFFFFF"/>
        </w:rPr>
        <w:tab/>
      </w:r>
      <w:r w:rsidR="001A6FC2">
        <w:rPr>
          <w:rFonts w:eastAsia="Calibri" w:cs="Calibri"/>
          <w:color w:val="000000"/>
          <w:shd w:val="clear" w:color="auto" w:fill="FFFFFF"/>
        </w:rPr>
        <w:t>e</w:t>
      </w:r>
      <w:r w:rsidRPr="004475AD">
        <w:rPr>
          <w:rFonts w:eastAsia="Calibri" w:cs="Calibri"/>
          <w:color w:val="000000"/>
          <w:shd w:val="clear" w:color="auto" w:fill="FFFFFF"/>
        </w:rPr>
        <w:t xml:space="preserve">videnční systém akcí financovaných z rozpočtu SFDI </w:t>
      </w:r>
    </w:p>
    <w:p w14:paraId="27A7D989" w14:textId="3BA00D5A" w:rsidR="00681B12" w:rsidRDefault="00681B12" w:rsidP="005750CF">
      <w:pPr>
        <w:keepNext/>
        <w:spacing w:after="60" w:line="280" w:lineRule="atLeast"/>
        <w:ind w:left="2694" w:hanging="2694"/>
        <w:jc w:val="left"/>
        <w:rPr>
          <w:rFonts w:eastAsia="Calibri" w:cs="Calibri"/>
          <w:color w:val="000000"/>
          <w:shd w:val="clear" w:color="auto" w:fill="FFFFFF"/>
        </w:rPr>
      </w:pPr>
      <w:r>
        <w:rPr>
          <w:rFonts w:eastAsia="Calibri" w:cs="Calibri"/>
          <w:color w:val="000000"/>
          <w:shd w:val="clear" w:color="auto" w:fill="FFFFFF"/>
        </w:rPr>
        <w:t>Koncepce 2019</w:t>
      </w:r>
      <w:r>
        <w:rPr>
          <w:rFonts w:eastAsia="Calibri" w:cs="Calibri"/>
          <w:color w:val="000000"/>
          <w:shd w:val="clear" w:color="auto" w:fill="FFFFFF"/>
        </w:rPr>
        <w:tab/>
        <w:t xml:space="preserve">dokument </w:t>
      </w:r>
      <w:r w:rsidRPr="00681B12">
        <w:rPr>
          <w:rFonts w:eastAsia="Calibri" w:cs="Calibri"/>
          <w:i/>
          <w:color w:val="000000"/>
          <w:shd w:val="clear" w:color="auto" w:fill="FFFFFF"/>
        </w:rPr>
        <w:t>Koncepce při nakládání s nemovitostmi osobních nádraží</w:t>
      </w:r>
    </w:p>
    <w:p w14:paraId="59C0EB9D" w14:textId="033BC958"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MD</w:t>
      </w:r>
      <w:r w:rsidRPr="004475AD">
        <w:rPr>
          <w:rFonts w:eastAsia="Calibri" w:cs="Calibri"/>
          <w:color w:val="000000"/>
          <w:shd w:val="clear" w:color="auto" w:fill="FFFFFF"/>
        </w:rPr>
        <w:tab/>
        <w:t>Ministerstvo dopravy</w:t>
      </w:r>
    </w:p>
    <w:p w14:paraId="591BBD53" w14:textId="77777777"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NKÚ</w:t>
      </w:r>
      <w:r w:rsidRPr="004475AD">
        <w:rPr>
          <w:rFonts w:eastAsia="Calibri" w:cs="Calibri"/>
          <w:color w:val="000000"/>
          <w:shd w:val="clear" w:color="auto" w:fill="FFFFFF"/>
        </w:rPr>
        <w:tab/>
        <w:t>Nejvyšší kontrolní úřad</w:t>
      </w:r>
    </w:p>
    <w:p w14:paraId="183B0A72" w14:textId="210933C0"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ON</w:t>
      </w:r>
      <w:r w:rsidRPr="004475AD">
        <w:rPr>
          <w:rFonts w:eastAsia="Calibri" w:cs="Calibri"/>
          <w:color w:val="000000"/>
          <w:shd w:val="clear" w:color="auto" w:fill="FFFFFF"/>
        </w:rPr>
        <w:tab/>
      </w:r>
      <w:r w:rsidR="000C67B4">
        <w:rPr>
          <w:rFonts w:eastAsia="Calibri" w:cs="Calibri"/>
          <w:color w:val="000000"/>
          <w:shd w:val="clear" w:color="auto" w:fill="FFFFFF"/>
        </w:rPr>
        <w:t>o</w:t>
      </w:r>
      <w:r w:rsidRPr="004475AD">
        <w:rPr>
          <w:rFonts w:eastAsia="Calibri" w:cs="Calibri"/>
          <w:color w:val="000000"/>
          <w:shd w:val="clear" w:color="auto" w:fill="FFFFFF"/>
        </w:rPr>
        <w:t>sobní nádraží</w:t>
      </w:r>
    </w:p>
    <w:p w14:paraId="2C0C8378" w14:textId="791310B6"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PD</w:t>
      </w:r>
      <w:r w:rsidRPr="004475AD">
        <w:rPr>
          <w:rFonts w:eastAsia="Calibri" w:cs="Calibri"/>
          <w:color w:val="000000"/>
          <w:shd w:val="clear" w:color="auto" w:fill="FFFFFF"/>
        </w:rPr>
        <w:tab/>
      </w:r>
      <w:r w:rsidR="000C67B4">
        <w:rPr>
          <w:rFonts w:eastAsia="Calibri" w:cs="Calibri"/>
          <w:color w:val="000000"/>
          <w:shd w:val="clear" w:color="auto" w:fill="FFFFFF"/>
        </w:rPr>
        <w:t>p</w:t>
      </w:r>
      <w:r w:rsidRPr="004475AD">
        <w:rPr>
          <w:rFonts w:eastAsia="Calibri" w:cs="Calibri"/>
          <w:color w:val="000000"/>
          <w:shd w:val="clear" w:color="auto" w:fill="FFFFFF"/>
        </w:rPr>
        <w:t>rojektová dokumentace</w:t>
      </w:r>
    </w:p>
    <w:p w14:paraId="771C5414" w14:textId="6B74FD4B"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P+R</w:t>
      </w:r>
      <w:r w:rsidRPr="004475AD">
        <w:rPr>
          <w:rFonts w:eastAsia="Calibri" w:cs="Calibri"/>
          <w:color w:val="000000"/>
          <w:shd w:val="clear" w:color="auto" w:fill="FFFFFF"/>
        </w:rPr>
        <w:tab/>
      </w:r>
      <w:r w:rsidR="000C67B4">
        <w:rPr>
          <w:rFonts w:eastAsia="Calibri" w:cs="Calibri"/>
          <w:color w:val="000000"/>
          <w:shd w:val="clear" w:color="auto" w:fill="FFFFFF"/>
        </w:rPr>
        <w:t>p</w:t>
      </w:r>
      <w:r w:rsidRPr="004475AD">
        <w:rPr>
          <w:rFonts w:eastAsia="Calibri" w:cs="Calibri"/>
          <w:color w:val="000000"/>
          <w:shd w:val="clear" w:color="auto" w:fill="FFFFFF"/>
        </w:rPr>
        <w:t xml:space="preserve">arkoviště typu „Park and </w:t>
      </w:r>
      <w:proofErr w:type="spellStart"/>
      <w:r w:rsidRPr="004475AD">
        <w:rPr>
          <w:rFonts w:eastAsia="Calibri" w:cs="Calibri"/>
          <w:color w:val="000000"/>
          <w:shd w:val="clear" w:color="auto" w:fill="FFFFFF"/>
        </w:rPr>
        <w:t>Ride</w:t>
      </w:r>
      <w:proofErr w:type="spellEnd"/>
      <w:r w:rsidRPr="004475AD">
        <w:rPr>
          <w:rFonts w:eastAsia="Calibri" w:cs="Calibri"/>
          <w:color w:val="000000"/>
          <w:shd w:val="clear" w:color="auto" w:fill="FFFFFF"/>
        </w:rPr>
        <w:t>“ (v blízkosti terminálů veřejné dopravy)</w:t>
      </w:r>
    </w:p>
    <w:p w14:paraId="14D27A08" w14:textId="77777777" w:rsidR="000C67B4" w:rsidRPr="00681B12" w:rsidRDefault="000C67B4" w:rsidP="005750CF">
      <w:pPr>
        <w:keepNext/>
        <w:spacing w:after="60" w:line="280" w:lineRule="atLeast"/>
        <w:ind w:left="2694" w:hanging="2694"/>
        <w:jc w:val="left"/>
        <w:rPr>
          <w:rFonts w:eastAsia="Calibri" w:cs="Calibri"/>
          <w:color w:val="000000"/>
          <w:shd w:val="clear" w:color="auto" w:fill="FFFFFF"/>
        </w:rPr>
      </w:pPr>
      <w:r w:rsidRPr="00681B12">
        <w:t>Program 2018–2022</w:t>
      </w:r>
      <w:r w:rsidRPr="00681B12">
        <w:tab/>
        <w:t xml:space="preserve">dokument </w:t>
      </w:r>
      <w:r w:rsidRPr="00681B12">
        <w:rPr>
          <w:i/>
        </w:rPr>
        <w:t>Program rekonstrukce a revitalizace osobních nádraží pro roky 2018–2022</w:t>
      </w:r>
    </w:p>
    <w:p w14:paraId="69A034A2" w14:textId="022604BC"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SA</w:t>
      </w:r>
      <w:r w:rsidRPr="004475AD">
        <w:rPr>
          <w:rFonts w:eastAsia="Calibri" w:cs="Calibri"/>
          <w:color w:val="000000"/>
          <w:shd w:val="clear" w:color="auto" w:fill="FFFFFF"/>
        </w:rPr>
        <w:tab/>
      </w:r>
      <w:r w:rsidR="000C67B4">
        <w:rPr>
          <w:rFonts w:eastAsia="Calibri" w:cs="Calibri"/>
          <w:color w:val="000000"/>
          <w:shd w:val="clear" w:color="auto" w:fill="FFFFFF"/>
        </w:rPr>
        <w:t>s</w:t>
      </w:r>
      <w:r w:rsidRPr="004475AD">
        <w:rPr>
          <w:rFonts w:eastAsia="Calibri" w:cs="Calibri"/>
          <w:color w:val="000000"/>
          <w:shd w:val="clear" w:color="auto" w:fill="FFFFFF"/>
        </w:rPr>
        <w:t>tavební akce</w:t>
      </w:r>
    </w:p>
    <w:p w14:paraId="42101FBD" w14:textId="77777777"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SFDI</w:t>
      </w:r>
      <w:r w:rsidRPr="004475AD">
        <w:rPr>
          <w:rFonts w:eastAsia="Calibri" w:cs="Calibri"/>
          <w:color w:val="000000"/>
          <w:shd w:val="clear" w:color="auto" w:fill="FFFFFF"/>
        </w:rPr>
        <w:tab/>
        <w:t>Státní fond dopravní infrastruktury</w:t>
      </w:r>
    </w:p>
    <w:p w14:paraId="7F9E7D48" w14:textId="77777777" w:rsidR="000C67B4" w:rsidRPr="00681B12" w:rsidRDefault="000C67B4" w:rsidP="005750CF">
      <w:pPr>
        <w:keepNext/>
        <w:spacing w:after="60" w:line="280" w:lineRule="atLeast"/>
        <w:ind w:left="2694" w:hanging="2694"/>
        <w:jc w:val="left"/>
        <w:rPr>
          <w:rFonts w:eastAsia="Calibri" w:cs="Calibri"/>
          <w:color w:val="000000"/>
          <w:shd w:val="clear" w:color="auto" w:fill="FFFFFF"/>
        </w:rPr>
      </w:pPr>
      <w:r w:rsidRPr="00681B12">
        <w:t>Strategie 2016</w:t>
      </w:r>
      <w:r w:rsidRPr="00681B12">
        <w:tab/>
        <w:t xml:space="preserve">dokument </w:t>
      </w:r>
      <w:r w:rsidRPr="00681B12">
        <w:rPr>
          <w:i/>
        </w:rPr>
        <w:t>Příprava a realizace staveb železničních nádraží v podmínkách SŽDC</w:t>
      </w:r>
    </w:p>
    <w:p w14:paraId="7E393B5F" w14:textId="77777777"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SŽDC</w:t>
      </w:r>
      <w:r w:rsidRPr="004475AD">
        <w:rPr>
          <w:rFonts w:eastAsia="Calibri" w:cs="Calibri"/>
          <w:color w:val="000000"/>
          <w:shd w:val="clear" w:color="auto" w:fill="FFFFFF"/>
        </w:rPr>
        <w:tab/>
        <w:t>Správa železniční dopravní cesty, státní organizace</w:t>
      </w:r>
    </w:p>
    <w:p w14:paraId="74A7B467" w14:textId="079055B9"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TDI</w:t>
      </w:r>
      <w:r w:rsidRPr="004475AD">
        <w:rPr>
          <w:rFonts w:eastAsia="Calibri" w:cs="Calibri"/>
          <w:color w:val="000000"/>
          <w:shd w:val="clear" w:color="auto" w:fill="FFFFFF"/>
        </w:rPr>
        <w:tab/>
      </w:r>
      <w:r w:rsidR="000C67B4">
        <w:rPr>
          <w:rFonts w:eastAsia="Calibri" w:cs="Calibri"/>
          <w:color w:val="000000"/>
          <w:shd w:val="clear" w:color="auto" w:fill="FFFFFF"/>
        </w:rPr>
        <w:t>t</w:t>
      </w:r>
      <w:r w:rsidRPr="004475AD">
        <w:rPr>
          <w:rFonts w:eastAsia="Calibri" w:cs="Calibri"/>
          <w:color w:val="000000"/>
          <w:shd w:val="clear" w:color="auto" w:fill="FFFFFF"/>
        </w:rPr>
        <w:t>echnický dozor investora</w:t>
      </w:r>
    </w:p>
    <w:p w14:paraId="60C0CE39" w14:textId="77777777"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TEN-T</w:t>
      </w:r>
      <w:r w:rsidRPr="004475AD">
        <w:rPr>
          <w:rFonts w:eastAsia="Calibri" w:cs="Calibri"/>
          <w:color w:val="000000"/>
          <w:shd w:val="clear" w:color="auto" w:fill="FFFFFF"/>
        </w:rPr>
        <w:tab/>
        <w:t>Transevropská dopravní síť</w:t>
      </w:r>
    </w:p>
    <w:p w14:paraId="5FB455D1" w14:textId="4735613E"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VB</w:t>
      </w:r>
      <w:r w:rsidRPr="004475AD">
        <w:rPr>
          <w:rFonts w:eastAsia="Calibri" w:cs="Calibri"/>
          <w:color w:val="000000"/>
          <w:shd w:val="clear" w:color="auto" w:fill="FFFFFF"/>
        </w:rPr>
        <w:tab/>
      </w:r>
      <w:r w:rsidR="000C67B4">
        <w:rPr>
          <w:rFonts w:eastAsia="Calibri" w:cs="Calibri"/>
          <w:color w:val="000000"/>
          <w:shd w:val="clear" w:color="auto" w:fill="FFFFFF"/>
        </w:rPr>
        <w:t>v</w:t>
      </w:r>
      <w:r w:rsidRPr="004475AD">
        <w:rPr>
          <w:rFonts w:eastAsia="Calibri" w:cs="Calibri"/>
          <w:color w:val="000000"/>
          <w:shd w:val="clear" w:color="auto" w:fill="FFFFFF"/>
        </w:rPr>
        <w:t>ýpravní budova</w:t>
      </w:r>
    </w:p>
    <w:p w14:paraId="244D2F75" w14:textId="65E0597C" w:rsidR="004475AD" w:rsidRPr="004475AD" w:rsidRDefault="004475AD" w:rsidP="005750CF">
      <w:pPr>
        <w:keepNext/>
        <w:spacing w:after="60" w:line="280" w:lineRule="atLeast"/>
        <w:ind w:left="2694" w:hanging="2694"/>
        <w:jc w:val="left"/>
        <w:rPr>
          <w:rFonts w:eastAsia="Calibri" w:cs="Calibri"/>
          <w:color w:val="000000"/>
          <w:shd w:val="clear" w:color="auto" w:fill="FFFFFF"/>
        </w:rPr>
      </w:pPr>
      <w:r w:rsidRPr="004475AD">
        <w:rPr>
          <w:rFonts w:eastAsia="Calibri" w:cs="Calibri"/>
          <w:color w:val="000000"/>
          <w:shd w:val="clear" w:color="auto" w:fill="FFFFFF"/>
        </w:rPr>
        <w:t>ZP</w:t>
      </w:r>
      <w:r w:rsidRPr="004475AD">
        <w:rPr>
          <w:rFonts w:eastAsia="Calibri" w:cs="Calibri"/>
          <w:color w:val="000000"/>
          <w:shd w:val="clear" w:color="auto" w:fill="FFFFFF"/>
        </w:rPr>
        <w:tab/>
      </w:r>
      <w:r w:rsidR="000C67B4">
        <w:rPr>
          <w:rFonts w:eastAsia="Calibri" w:cs="Calibri"/>
          <w:color w:val="000000"/>
          <w:shd w:val="clear" w:color="auto" w:fill="FFFFFF"/>
        </w:rPr>
        <w:t>z</w:t>
      </w:r>
      <w:r w:rsidRPr="004475AD">
        <w:rPr>
          <w:rFonts w:eastAsia="Calibri" w:cs="Calibri"/>
          <w:color w:val="000000"/>
          <w:shd w:val="clear" w:color="auto" w:fill="FFFFFF"/>
        </w:rPr>
        <w:t>áměr projektu</w:t>
      </w:r>
    </w:p>
    <w:p w14:paraId="402270FF" w14:textId="6AD5D006" w:rsidR="004475AD" w:rsidRPr="004475AD" w:rsidRDefault="005750CF" w:rsidP="005750CF">
      <w:pPr>
        <w:keepNext/>
        <w:spacing w:after="60" w:line="280" w:lineRule="atLeast"/>
        <w:ind w:left="2694" w:hanging="2694"/>
        <w:jc w:val="left"/>
        <w:rPr>
          <w:rFonts w:eastAsia="Calibri" w:cs="Calibri"/>
          <w:color w:val="000000"/>
          <w:shd w:val="clear" w:color="auto" w:fill="FFFFFF"/>
        </w:rPr>
      </w:pPr>
      <w:proofErr w:type="spellStart"/>
      <w:r w:rsidRPr="004475AD">
        <w:rPr>
          <w:rFonts w:eastAsia="Calibri" w:cs="Calibri"/>
          <w:color w:val="000000"/>
          <w:shd w:val="clear" w:color="auto" w:fill="FFFFFF"/>
        </w:rPr>
        <w:t>žst</w:t>
      </w:r>
      <w:proofErr w:type="spellEnd"/>
      <w:r>
        <w:rPr>
          <w:rFonts w:eastAsia="Calibri" w:cs="Calibri"/>
          <w:color w:val="000000"/>
          <w:shd w:val="clear" w:color="auto" w:fill="FFFFFF"/>
        </w:rPr>
        <w:t>.</w:t>
      </w:r>
      <w:r w:rsidR="004475AD" w:rsidRPr="004475AD">
        <w:rPr>
          <w:rFonts w:eastAsia="Calibri" w:cs="Calibri"/>
          <w:color w:val="000000"/>
          <w:shd w:val="clear" w:color="auto" w:fill="FFFFFF"/>
        </w:rPr>
        <w:tab/>
      </w:r>
      <w:r w:rsidR="000C67B4">
        <w:rPr>
          <w:rFonts w:eastAsia="Calibri" w:cs="Calibri"/>
          <w:color w:val="000000"/>
          <w:shd w:val="clear" w:color="auto" w:fill="FFFFFF"/>
        </w:rPr>
        <w:t>ž</w:t>
      </w:r>
      <w:r w:rsidR="004475AD" w:rsidRPr="004475AD">
        <w:rPr>
          <w:rFonts w:eastAsia="Calibri" w:cs="Calibri"/>
          <w:color w:val="000000"/>
          <w:shd w:val="clear" w:color="auto" w:fill="FFFFFF"/>
        </w:rPr>
        <w:t>elezniční stanice</w:t>
      </w:r>
    </w:p>
    <w:p w14:paraId="0455CA25" w14:textId="77777777" w:rsidR="009022D8" w:rsidRDefault="009022D8" w:rsidP="004475AD"/>
    <w:p w14:paraId="6A38A94F" w14:textId="77777777" w:rsidR="000D15E7" w:rsidRDefault="000D15E7">
      <w:pPr>
        <w:spacing w:after="160" w:line="259" w:lineRule="auto"/>
        <w:jc w:val="left"/>
      </w:pPr>
      <w:r>
        <w:br w:type="page"/>
      </w:r>
    </w:p>
    <w:p w14:paraId="1AC41A90" w14:textId="77777777" w:rsidR="00920BF5" w:rsidRPr="000D15E7" w:rsidRDefault="00EF2B36" w:rsidP="00EF2B36">
      <w:pPr>
        <w:ind w:firstLine="708"/>
        <w:jc w:val="right"/>
        <w:rPr>
          <w:b/>
        </w:rPr>
      </w:pPr>
      <w:r w:rsidRPr="000D15E7">
        <w:rPr>
          <w:b/>
        </w:rPr>
        <w:t>Příloha č. 1</w:t>
      </w:r>
    </w:p>
    <w:p w14:paraId="703BB823" w14:textId="77777777" w:rsidR="000D15E7" w:rsidRDefault="000D15E7" w:rsidP="00EF2B36">
      <w:pPr>
        <w:rPr>
          <w:rFonts w:asciiTheme="minorHAnsi" w:hAnsiTheme="minorHAnsi" w:cstheme="minorHAnsi"/>
        </w:rPr>
      </w:pPr>
    </w:p>
    <w:p w14:paraId="3E140EE6" w14:textId="5C90D13F" w:rsidR="00EF2B36" w:rsidRPr="000D15E7" w:rsidRDefault="00EF2B36" w:rsidP="000D15E7">
      <w:pPr>
        <w:jc w:val="center"/>
        <w:rPr>
          <w:rFonts w:asciiTheme="minorHAnsi" w:hAnsiTheme="minorHAnsi" w:cstheme="minorHAnsi"/>
          <w:b/>
        </w:rPr>
      </w:pPr>
      <w:r w:rsidRPr="000D15E7">
        <w:rPr>
          <w:rFonts w:asciiTheme="minorHAnsi" w:hAnsiTheme="minorHAnsi" w:cstheme="minorHAnsi"/>
          <w:b/>
        </w:rPr>
        <w:t>Přehled jednotlivých stavebních akcí podle toho, zda se jedná o komplexní rekonstrukci</w:t>
      </w:r>
      <w:r w:rsidR="00681B12">
        <w:rPr>
          <w:rFonts w:asciiTheme="minorHAnsi" w:hAnsiTheme="minorHAnsi" w:cstheme="minorHAnsi"/>
          <w:b/>
        </w:rPr>
        <w:t>,</w:t>
      </w:r>
      <w:r w:rsidRPr="000D15E7">
        <w:rPr>
          <w:rFonts w:asciiTheme="minorHAnsi" w:hAnsiTheme="minorHAnsi" w:cstheme="minorHAnsi"/>
          <w:b/>
        </w:rPr>
        <w:t xml:space="preserve"> nebo drobnou opravu jednotlivých částí osobních nádraží</w:t>
      </w:r>
      <w:r w:rsidR="00681B12">
        <w:rPr>
          <w:rFonts w:asciiTheme="minorHAnsi" w:hAnsiTheme="minorHAnsi" w:cstheme="minorHAnsi"/>
          <w:b/>
        </w:rPr>
        <w:t>,</w:t>
      </w:r>
      <w:r w:rsidRPr="000D15E7">
        <w:rPr>
          <w:rFonts w:asciiTheme="minorHAnsi" w:hAnsiTheme="minorHAnsi" w:cstheme="minorHAnsi"/>
          <w:b/>
        </w:rPr>
        <w:t xml:space="preserve"> po jednotlivých letech</w:t>
      </w:r>
    </w:p>
    <w:p w14:paraId="228C74E2" w14:textId="77777777" w:rsidR="00EF2B36" w:rsidRPr="006A56E0" w:rsidRDefault="00EF2B36" w:rsidP="00EF2B36">
      <w:pPr>
        <w:rPr>
          <w:rFonts w:asciiTheme="minorHAnsi" w:hAnsiTheme="minorHAnsi" w:cstheme="minorHAnsi"/>
        </w:rPr>
      </w:pPr>
    </w:p>
    <w:tbl>
      <w:tblPr>
        <w:tblStyle w:val="Mkatabulky"/>
        <w:tblW w:w="0" w:type="auto"/>
        <w:tblInd w:w="0" w:type="dxa"/>
        <w:tblLook w:val="04A0" w:firstRow="1" w:lastRow="0" w:firstColumn="1" w:lastColumn="0" w:noHBand="0" w:noVBand="1"/>
      </w:tblPr>
      <w:tblGrid>
        <w:gridCol w:w="1074"/>
        <w:gridCol w:w="1090"/>
        <w:gridCol w:w="1473"/>
        <w:gridCol w:w="1091"/>
        <w:gridCol w:w="1619"/>
        <w:gridCol w:w="1091"/>
        <w:gridCol w:w="1624"/>
      </w:tblGrid>
      <w:tr w:rsidR="00EF2B36" w:rsidRPr="000D15E7" w14:paraId="4544C07E" w14:textId="77777777" w:rsidTr="0082383E">
        <w:trPr>
          <w:trHeight w:val="397"/>
        </w:trPr>
        <w:tc>
          <w:tcPr>
            <w:tcW w:w="9062" w:type="dxa"/>
            <w:gridSpan w:val="7"/>
            <w:shd w:val="clear" w:color="auto" w:fill="E5F1FF"/>
            <w:vAlign w:val="center"/>
          </w:tcPr>
          <w:p w14:paraId="016CC817" w14:textId="77777777" w:rsidR="00EF2B36" w:rsidRPr="000D15E7" w:rsidRDefault="00EF2B36" w:rsidP="0082383E">
            <w:pPr>
              <w:jc w:val="center"/>
              <w:rPr>
                <w:rFonts w:cstheme="minorHAnsi"/>
                <w:b/>
                <w:sz w:val="20"/>
                <w:szCs w:val="20"/>
              </w:rPr>
            </w:pPr>
            <w:r w:rsidRPr="000D15E7">
              <w:rPr>
                <w:rFonts w:cstheme="minorHAnsi"/>
                <w:b/>
                <w:sz w:val="20"/>
                <w:szCs w:val="20"/>
              </w:rPr>
              <w:t>Ukončené stavební akce k 31. 12. 2019</w:t>
            </w:r>
          </w:p>
        </w:tc>
      </w:tr>
      <w:tr w:rsidR="00EF2B36" w:rsidRPr="000D15E7" w14:paraId="64244E02" w14:textId="77777777" w:rsidTr="000D15E7">
        <w:trPr>
          <w:trHeight w:val="283"/>
        </w:trPr>
        <w:tc>
          <w:tcPr>
            <w:tcW w:w="1074" w:type="dxa"/>
            <w:vMerge w:val="restart"/>
            <w:shd w:val="clear" w:color="auto" w:fill="E5F1FF"/>
            <w:vAlign w:val="center"/>
          </w:tcPr>
          <w:p w14:paraId="79998D12" w14:textId="77777777" w:rsidR="00EF2B36" w:rsidRPr="000D15E7" w:rsidRDefault="00EF2B36" w:rsidP="002F41ED">
            <w:pPr>
              <w:jc w:val="center"/>
              <w:rPr>
                <w:rFonts w:cstheme="minorHAnsi"/>
                <w:sz w:val="20"/>
                <w:szCs w:val="20"/>
              </w:rPr>
            </w:pPr>
            <w:r w:rsidRPr="000D15E7">
              <w:rPr>
                <w:rFonts w:cstheme="minorHAnsi"/>
                <w:sz w:val="20"/>
                <w:szCs w:val="20"/>
              </w:rPr>
              <w:t>Rok</w:t>
            </w:r>
          </w:p>
        </w:tc>
        <w:tc>
          <w:tcPr>
            <w:tcW w:w="2563" w:type="dxa"/>
            <w:gridSpan w:val="2"/>
            <w:shd w:val="clear" w:color="auto" w:fill="E5F1FF"/>
            <w:vAlign w:val="center"/>
          </w:tcPr>
          <w:p w14:paraId="12C5D50B" w14:textId="77777777" w:rsidR="00EF2B36" w:rsidRPr="000D15E7" w:rsidRDefault="00EF2B36" w:rsidP="002F41ED">
            <w:pPr>
              <w:jc w:val="center"/>
              <w:rPr>
                <w:rFonts w:cstheme="minorHAnsi"/>
                <w:sz w:val="20"/>
                <w:szCs w:val="20"/>
              </w:rPr>
            </w:pPr>
            <w:r w:rsidRPr="000D15E7">
              <w:rPr>
                <w:rFonts w:cstheme="minorHAnsi"/>
                <w:sz w:val="20"/>
                <w:szCs w:val="20"/>
              </w:rPr>
              <w:t>Komplexní rekonstrukce</w:t>
            </w:r>
          </w:p>
          <w:p w14:paraId="4A8AB0E1" w14:textId="77777777" w:rsidR="00EF2B36" w:rsidRPr="000D15E7" w:rsidRDefault="00EF2B36" w:rsidP="002F41ED">
            <w:pPr>
              <w:jc w:val="center"/>
              <w:rPr>
                <w:rFonts w:cstheme="minorHAnsi"/>
                <w:sz w:val="20"/>
                <w:szCs w:val="20"/>
              </w:rPr>
            </w:pPr>
            <w:r w:rsidRPr="000D15E7">
              <w:rPr>
                <w:rFonts w:cstheme="minorHAnsi"/>
                <w:sz w:val="20"/>
                <w:szCs w:val="20"/>
              </w:rPr>
              <w:t>osobních nádraží</w:t>
            </w:r>
          </w:p>
        </w:tc>
        <w:tc>
          <w:tcPr>
            <w:tcW w:w="2710" w:type="dxa"/>
            <w:gridSpan w:val="2"/>
            <w:shd w:val="clear" w:color="auto" w:fill="E5F1FF"/>
            <w:vAlign w:val="center"/>
          </w:tcPr>
          <w:p w14:paraId="45B0962F" w14:textId="77777777" w:rsidR="00EF2B36" w:rsidRPr="000D15E7" w:rsidRDefault="00EF2B36" w:rsidP="002F41ED">
            <w:pPr>
              <w:jc w:val="center"/>
              <w:rPr>
                <w:rFonts w:cstheme="minorHAnsi"/>
                <w:sz w:val="20"/>
                <w:szCs w:val="20"/>
              </w:rPr>
            </w:pPr>
            <w:r w:rsidRPr="000D15E7">
              <w:rPr>
                <w:rFonts w:cstheme="minorHAnsi"/>
                <w:sz w:val="20"/>
                <w:szCs w:val="20"/>
              </w:rPr>
              <w:t>Drobné opravy jednotlivých části osobních nádraží</w:t>
            </w:r>
          </w:p>
        </w:tc>
        <w:tc>
          <w:tcPr>
            <w:tcW w:w="2715" w:type="dxa"/>
            <w:gridSpan w:val="2"/>
            <w:shd w:val="clear" w:color="auto" w:fill="E5F1FF"/>
            <w:vAlign w:val="center"/>
          </w:tcPr>
          <w:p w14:paraId="227E58E0" w14:textId="77777777" w:rsidR="00EF2B36" w:rsidRPr="000D15E7" w:rsidRDefault="00EF2B36" w:rsidP="002F41ED">
            <w:pPr>
              <w:jc w:val="center"/>
              <w:rPr>
                <w:rFonts w:cstheme="minorHAnsi"/>
                <w:sz w:val="20"/>
                <w:szCs w:val="20"/>
              </w:rPr>
            </w:pPr>
            <w:r w:rsidRPr="000D15E7">
              <w:rPr>
                <w:rFonts w:cstheme="minorHAnsi"/>
                <w:sz w:val="20"/>
                <w:szCs w:val="20"/>
              </w:rPr>
              <w:t>Celkem</w:t>
            </w:r>
          </w:p>
        </w:tc>
      </w:tr>
      <w:tr w:rsidR="00EF2B36" w:rsidRPr="000D15E7" w14:paraId="1242B70C" w14:textId="77777777" w:rsidTr="000D15E7">
        <w:trPr>
          <w:trHeight w:val="283"/>
        </w:trPr>
        <w:tc>
          <w:tcPr>
            <w:tcW w:w="1074" w:type="dxa"/>
            <w:vMerge/>
            <w:shd w:val="clear" w:color="auto" w:fill="E5F1FF"/>
          </w:tcPr>
          <w:p w14:paraId="5FD18B40" w14:textId="77777777" w:rsidR="00EF2B36" w:rsidRPr="000D15E7" w:rsidRDefault="00EF2B36" w:rsidP="002F41ED">
            <w:pPr>
              <w:rPr>
                <w:rFonts w:cstheme="minorHAnsi"/>
                <w:sz w:val="20"/>
                <w:szCs w:val="20"/>
              </w:rPr>
            </w:pPr>
          </w:p>
        </w:tc>
        <w:tc>
          <w:tcPr>
            <w:tcW w:w="1090" w:type="dxa"/>
            <w:shd w:val="clear" w:color="auto" w:fill="E5F1FF"/>
            <w:vAlign w:val="center"/>
          </w:tcPr>
          <w:p w14:paraId="04D7FF01" w14:textId="77777777" w:rsidR="00EF2B36" w:rsidRPr="000D15E7" w:rsidRDefault="00EF2B36" w:rsidP="002F41ED">
            <w:pPr>
              <w:jc w:val="center"/>
              <w:rPr>
                <w:rFonts w:cstheme="minorHAnsi"/>
                <w:sz w:val="20"/>
                <w:szCs w:val="20"/>
              </w:rPr>
            </w:pPr>
            <w:r w:rsidRPr="000D15E7">
              <w:rPr>
                <w:rFonts w:cstheme="minorHAnsi"/>
                <w:sz w:val="20"/>
                <w:szCs w:val="20"/>
              </w:rPr>
              <w:t>Celkový</w:t>
            </w:r>
          </w:p>
          <w:p w14:paraId="6D5E7A4A" w14:textId="77777777" w:rsidR="00EF2B36" w:rsidRPr="000D15E7" w:rsidRDefault="00EF2B36" w:rsidP="002F41ED">
            <w:pPr>
              <w:jc w:val="center"/>
              <w:rPr>
                <w:rFonts w:cstheme="minorHAnsi"/>
                <w:sz w:val="20"/>
                <w:szCs w:val="20"/>
              </w:rPr>
            </w:pPr>
            <w:r w:rsidRPr="000D15E7">
              <w:rPr>
                <w:rFonts w:cstheme="minorHAnsi"/>
                <w:sz w:val="20"/>
                <w:szCs w:val="20"/>
              </w:rPr>
              <w:t>počet</w:t>
            </w:r>
          </w:p>
        </w:tc>
        <w:tc>
          <w:tcPr>
            <w:tcW w:w="1473" w:type="dxa"/>
            <w:shd w:val="clear" w:color="auto" w:fill="E5F1FF"/>
            <w:vAlign w:val="center"/>
          </w:tcPr>
          <w:p w14:paraId="5C865A2C" w14:textId="77777777" w:rsidR="00EF2B36" w:rsidRPr="000D15E7" w:rsidRDefault="00EF2B36" w:rsidP="002F41ED">
            <w:pPr>
              <w:jc w:val="center"/>
              <w:rPr>
                <w:rFonts w:cstheme="minorHAnsi"/>
                <w:sz w:val="20"/>
                <w:szCs w:val="20"/>
              </w:rPr>
            </w:pPr>
            <w:r w:rsidRPr="000D15E7">
              <w:rPr>
                <w:rFonts w:cstheme="minorHAnsi"/>
                <w:sz w:val="20"/>
                <w:szCs w:val="20"/>
              </w:rPr>
              <w:t>Celkem</w:t>
            </w:r>
          </w:p>
          <w:p w14:paraId="293E3C67" w14:textId="77777777" w:rsidR="00EF2B36" w:rsidRPr="000D15E7" w:rsidRDefault="00EF2B36" w:rsidP="002F41ED">
            <w:pPr>
              <w:jc w:val="center"/>
              <w:rPr>
                <w:rFonts w:cstheme="minorHAnsi"/>
                <w:sz w:val="20"/>
                <w:szCs w:val="20"/>
              </w:rPr>
            </w:pPr>
            <w:r w:rsidRPr="000D15E7">
              <w:rPr>
                <w:rFonts w:cstheme="minorHAnsi"/>
                <w:sz w:val="20"/>
                <w:szCs w:val="20"/>
              </w:rPr>
              <w:t>v (Kč)</w:t>
            </w:r>
          </w:p>
        </w:tc>
        <w:tc>
          <w:tcPr>
            <w:tcW w:w="1091" w:type="dxa"/>
            <w:shd w:val="clear" w:color="auto" w:fill="E5F1FF"/>
            <w:vAlign w:val="center"/>
          </w:tcPr>
          <w:p w14:paraId="539FFCE8" w14:textId="77777777" w:rsidR="00EF2B36" w:rsidRPr="000D15E7" w:rsidRDefault="00EF2B36" w:rsidP="002F41ED">
            <w:pPr>
              <w:jc w:val="center"/>
              <w:rPr>
                <w:rFonts w:cstheme="minorHAnsi"/>
                <w:sz w:val="20"/>
                <w:szCs w:val="20"/>
              </w:rPr>
            </w:pPr>
            <w:r w:rsidRPr="000D15E7">
              <w:rPr>
                <w:rFonts w:cstheme="minorHAnsi"/>
                <w:sz w:val="20"/>
                <w:szCs w:val="20"/>
              </w:rPr>
              <w:t>Celkový</w:t>
            </w:r>
          </w:p>
          <w:p w14:paraId="3BB620AE" w14:textId="77777777" w:rsidR="00EF2B36" w:rsidRPr="000D15E7" w:rsidRDefault="00EF2B36" w:rsidP="002F41ED">
            <w:pPr>
              <w:jc w:val="center"/>
              <w:rPr>
                <w:rFonts w:cstheme="minorHAnsi"/>
                <w:sz w:val="20"/>
                <w:szCs w:val="20"/>
              </w:rPr>
            </w:pPr>
            <w:r w:rsidRPr="000D15E7">
              <w:rPr>
                <w:rFonts w:cstheme="minorHAnsi"/>
                <w:sz w:val="20"/>
                <w:szCs w:val="20"/>
              </w:rPr>
              <w:t>počet</w:t>
            </w:r>
          </w:p>
        </w:tc>
        <w:tc>
          <w:tcPr>
            <w:tcW w:w="1619" w:type="dxa"/>
            <w:shd w:val="clear" w:color="auto" w:fill="E5F1FF"/>
            <w:vAlign w:val="center"/>
          </w:tcPr>
          <w:p w14:paraId="5510893A" w14:textId="77777777" w:rsidR="00EF2B36" w:rsidRPr="000D15E7" w:rsidRDefault="00EF2B36" w:rsidP="002F41ED">
            <w:pPr>
              <w:jc w:val="center"/>
              <w:rPr>
                <w:rFonts w:cstheme="minorHAnsi"/>
                <w:sz w:val="20"/>
                <w:szCs w:val="20"/>
              </w:rPr>
            </w:pPr>
            <w:r w:rsidRPr="000D15E7">
              <w:rPr>
                <w:rFonts w:cstheme="minorHAnsi"/>
                <w:sz w:val="20"/>
                <w:szCs w:val="20"/>
              </w:rPr>
              <w:t>Celkem</w:t>
            </w:r>
          </w:p>
          <w:p w14:paraId="766D63FD" w14:textId="77777777" w:rsidR="00EF2B36" w:rsidRPr="000D15E7" w:rsidRDefault="00EF2B36" w:rsidP="002F41ED">
            <w:pPr>
              <w:jc w:val="center"/>
              <w:rPr>
                <w:rFonts w:cstheme="minorHAnsi"/>
                <w:sz w:val="20"/>
                <w:szCs w:val="20"/>
              </w:rPr>
            </w:pPr>
            <w:r w:rsidRPr="000D15E7">
              <w:rPr>
                <w:rFonts w:cstheme="minorHAnsi"/>
                <w:sz w:val="20"/>
                <w:szCs w:val="20"/>
              </w:rPr>
              <w:t>v (Kč)</w:t>
            </w:r>
          </w:p>
        </w:tc>
        <w:tc>
          <w:tcPr>
            <w:tcW w:w="1091" w:type="dxa"/>
            <w:shd w:val="clear" w:color="auto" w:fill="E5F1FF"/>
            <w:vAlign w:val="center"/>
          </w:tcPr>
          <w:p w14:paraId="5DA1CCA8" w14:textId="77777777" w:rsidR="00EF2B36" w:rsidRPr="000D15E7" w:rsidRDefault="00EF2B36" w:rsidP="002F41ED">
            <w:pPr>
              <w:jc w:val="center"/>
              <w:rPr>
                <w:rFonts w:cstheme="minorHAnsi"/>
                <w:sz w:val="20"/>
                <w:szCs w:val="20"/>
              </w:rPr>
            </w:pPr>
            <w:r w:rsidRPr="000D15E7">
              <w:rPr>
                <w:rFonts w:cstheme="minorHAnsi"/>
                <w:sz w:val="20"/>
                <w:szCs w:val="20"/>
              </w:rPr>
              <w:t>Celkový</w:t>
            </w:r>
          </w:p>
          <w:p w14:paraId="23352AAA" w14:textId="77777777" w:rsidR="00EF2B36" w:rsidRPr="000D15E7" w:rsidRDefault="00EF2B36" w:rsidP="002F41ED">
            <w:pPr>
              <w:jc w:val="center"/>
              <w:rPr>
                <w:rFonts w:cstheme="minorHAnsi"/>
                <w:sz w:val="20"/>
                <w:szCs w:val="20"/>
              </w:rPr>
            </w:pPr>
            <w:r w:rsidRPr="000D15E7">
              <w:rPr>
                <w:rFonts w:cstheme="minorHAnsi"/>
                <w:sz w:val="20"/>
                <w:szCs w:val="20"/>
              </w:rPr>
              <w:t>počet</w:t>
            </w:r>
          </w:p>
        </w:tc>
        <w:tc>
          <w:tcPr>
            <w:tcW w:w="1624" w:type="dxa"/>
            <w:shd w:val="clear" w:color="auto" w:fill="E5F1FF"/>
            <w:vAlign w:val="center"/>
          </w:tcPr>
          <w:p w14:paraId="49B2893C" w14:textId="77777777" w:rsidR="00EF2B36" w:rsidRPr="000D15E7" w:rsidRDefault="00EF2B36" w:rsidP="002F41ED">
            <w:pPr>
              <w:jc w:val="center"/>
              <w:rPr>
                <w:rFonts w:cstheme="minorHAnsi"/>
                <w:sz w:val="20"/>
                <w:szCs w:val="20"/>
              </w:rPr>
            </w:pPr>
            <w:r w:rsidRPr="000D15E7">
              <w:rPr>
                <w:rFonts w:cstheme="minorHAnsi"/>
                <w:sz w:val="20"/>
                <w:szCs w:val="20"/>
              </w:rPr>
              <w:t>Celkem</w:t>
            </w:r>
          </w:p>
          <w:p w14:paraId="61479597" w14:textId="77777777" w:rsidR="00EF2B36" w:rsidRPr="000D15E7" w:rsidRDefault="00EF2B36" w:rsidP="002F41ED">
            <w:pPr>
              <w:jc w:val="center"/>
              <w:rPr>
                <w:rFonts w:cstheme="minorHAnsi"/>
                <w:sz w:val="20"/>
                <w:szCs w:val="20"/>
              </w:rPr>
            </w:pPr>
            <w:r w:rsidRPr="000D15E7">
              <w:rPr>
                <w:rFonts w:cstheme="minorHAnsi"/>
                <w:sz w:val="20"/>
                <w:szCs w:val="20"/>
              </w:rPr>
              <w:t>v (Kč)</w:t>
            </w:r>
          </w:p>
        </w:tc>
      </w:tr>
      <w:tr w:rsidR="00EF2B36" w:rsidRPr="000D15E7" w14:paraId="08A84352" w14:textId="77777777" w:rsidTr="000D15E7">
        <w:trPr>
          <w:trHeight w:val="283"/>
        </w:trPr>
        <w:tc>
          <w:tcPr>
            <w:tcW w:w="1074" w:type="dxa"/>
            <w:vAlign w:val="center"/>
          </w:tcPr>
          <w:p w14:paraId="2474FE22" w14:textId="77777777" w:rsidR="00EF2B36" w:rsidRPr="000D15E7" w:rsidRDefault="00EF2B36" w:rsidP="002F41ED">
            <w:pPr>
              <w:jc w:val="center"/>
              <w:rPr>
                <w:rFonts w:cstheme="minorHAnsi"/>
                <w:sz w:val="20"/>
                <w:szCs w:val="20"/>
              </w:rPr>
            </w:pPr>
            <w:r w:rsidRPr="000D15E7">
              <w:rPr>
                <w:rFonts w:cstheme="minorHAnsi"/>
                <w:sz w:val="20"/>
                <w:szCs w:val="20"/>
              </w:rPr>
              <w:t>2016</w:t>
            </w:r>
          </w:p>
        </w:tc>
        <w:tc>
          <w:tcPr>
            <w:tcW w:w="1090" w:type="dxa"/>
            <w:vAlign w:val="center"/>
          </w:tcPr>
          <w:p w14:paraId="37462FB9" w14:textId="77777777" w:rsidR="00EF2B36" w:rsidRPr="000D15E7" w:rsidRDefault="00EF2B36" w:rsidP="002F41ED">
            <w:pPr>
              <w:jc w:val="center"/>
              <w:rPr>
                <w:rFonts w:cstheme="minorHAnsi"/>
                <w:sz w:val="20"/>
                <w:szCs w:val="20"/>
              </w:rPr>
            </w:pPr>
            <w:r w:rsidRPr="000D15E7">
              <w:rPr>
                <w:rFonts w:cstheme="minorHAnsi"/>
                <w:sz w:val="20"/>
                <w:szCs w:val="20"/>
              </w:rPr>
              <w:t>2</w:t>
            </w:r>
          </w:p>
        </w:tc>
        <w:tc>
          <w:tcPr>
            <w:tcW w:w="1473" w:type="dxa"/>
            <w:vAlign w:val="center"/>
          </w:tcPr>
          <w:p w14:paraId="1AA1B017" w14:textId="77777777" w:rsidR="00EF2B36" w:rsidRPr="000D15E7" w:rsidRDefault="00EF2B36" w:rsidP="00681B12">
            <w:pPr>
              <w:ind w:right="129"/>
              <w:jc w:val="right"/>
              <w:rPr>
                <w:rFonts w:cstheme="minorHAnsi"/>
                <w:sz w:val="20"/>
                <w:szCs w:val="20"/>
              </w:rPr>
            </w:pPr>
            <w:r w:rsidRPr="000D15E7">
              <w:rPr>
                <w:rFonts w:cstheme="minorHAnsi"/>
                <w:sz w:val="20"/>
                <w:szCs w:val="20"/>
              </w:rPr>
              <w:t>7 818 095</w:t>
            </w:r>
          </w:p>
        </w:tc>
        <w:tc>
          <w:tcPr>
            <w:tcW w:w="1091" w:type="dxa"/>
            <w:vAlign w:val="center"/>
          </w:tcPr>
          <w:p w14:paraId="47ED1AB4" w14:textId="77777777" w:rsidR="00EF2B36" w:rsidRPr="000D15E7" w:rsidRDefault="00EF2B36" w:rsidP="002F41ED">
            <w:pPr>
              <w:jc w:val="center"/>
              <w:rPr>
                <w:rFonts w:cstheme="minorHAnsi"/>
                <w:sz w:val="20"/>
                <w:szCs w:val="20"/>
              </w:rPr>
            </w:pPr>
            <w:r w:rsidRPr="000D15E7">
              <w:rPr>
                <w:rFonts w:cstheme="minorHAnsi"/>
                <w:sz w:val="20"/>
                <w:szCs w:val="20"/>
              </w:rPr>
              <w:t>81</w:t>
            </w:r>
          </w:p>
        </w:tc>
        <w:tc>
          <w:tcPr>
            <w:tcW w:w="1619" w:type="dxa"/>
            <w:vAlign w:val="center"/>
          </w:tcPr>
          <w:p w14:paraId="6E2635A4" w14:textId="77777777" w:rsidR="00EF2B36" w:rsidRPr="000D15E7" w:rsidRDefault="00EF2B36" w:rsidP="00681B12">
            <w:pPr>
              <w:ind w:right="152"/>
              <w:jc w:val="right"/>
              <w:rPr>
                <w:rFonts w:cstheme="minorHAnsi"/>
                <w:sz w:val="20"/>
                <w:szCs w:val="20"/>
              </w:rPr>
            </w:pPr>
            <w:r w:rsidRPr="000D15E7">
              <w:rPr>
                <w:rFonts w:cstheme="minorHAnsi"/>
                <w:sz w:val="20"/>
                <w:szCs w:val="20"/>
              </w:rPr>
              <w:t>72 185 004</w:t>
            </w:r>
          </w:p>
        </w:tc>
        <w:tc>
          <w:tcPr>
            <w:tcW w:w="1091" w:type="dxa"/>
            <w:vAlign w:val="center"/>
          </w:tcPr>
          <w:p w14:paraId="4AE4D501" w14:textId="77777777" w:rsidR="00EF2B36" w:rsidRPr="000D15E7" w:rsidRDefault="00EF2B36" w:rsidP="002F41ED">
            <w:pPr>
              <w:jc w:val="center"/>
              <w:rPr>
                <w:rFonts w:cstheme="minorHAnsi"/>
                <w:sz w:val="20"/>
                <w:szCs w:val="20"/>
              </w:rPr>
            </w:pPr>
            <w:r w:rsidRPr="000D15E7">
              <w:rPr>
                <w:rFonts w:cstheme="minorHAnsi"/>
                <w:sz w:val="20"/>
                <w:szCs w:val="20"/>
              </w:rPr>
              <w:t>83</w:t>
            </w:r>
          </w:p>
        </w:tc>
        <w:tc>
          <w:tcPr>
            <w:tcW w:w="1624" w:type="dxa"/>
            <w:vAlign w:val="center"/>
          </w:tcPr>
          <w:p w14:paraId="47CC6E17" w14:textId="77777777" w:rsidR="00EF2B36" w:rsidRPr="000D15E7" w:rsidRDefault="00EF2B36" w:rsidP="00681B12">
            <w:pPr>
              <w:ind w:right="165"/>
              <w:jc w:val="right"/>
              <w:rPr>
                <w:rFonts w:cstheme="minorHAnsi"/>
                <w:sz w:val="20"/>
                <w:szCs w:val="20"/>
              </w:rPr>
            </w:pPr>
            <w:r w:rsidRPr="000D15E7">
              <w:rPr>
                <w:rFonts w:cstheme="minorHAnsi"/>
                <w:sz w:val="20"/>
                <w:szCs w:val="20"/>
              </w:rPr>
              <w:t>80 003 099</w:t>
            </w:r>
          </w:p>
        </w:tc>
      </w:tr>
      <w:tr w:rsidR="00EF2B36" w:rsidRPr="000D15E7" w14:paraId="568A0CD6" w14:textId="77777777" w:rsidTr="000D15E7">
        <w:trPr>
          <w:trHeight w:val="283"/>
        </w:trPr>
        <w:tc>
          <w:tcPr>
            <w:tcW w:w="1074" w:type="dxa"/>
            <w:vAlign w:val="center"/>
          </w:tcPr>
          <w:p w14:paraId="3A2B67E6" w14:textId="77777777" w:rsidR="00EF2B36" w:rsidRPr="000D15E7" w:rsidRDefault="00EF2B36" w:rsidP="002F41ED">
            <w:pPr>
              <w:jc w:val="center"/>
              <w:rPr>
                <w:rFonts w:cstheme="minorHAnsi"/>
                <w:sz w:val="20"/>
                <w:szCs w:val="20"/>
              </w:rPr>
            </w:pPr>
            <w:r w:rsidRPr="000D15E7">
              <w:rPr>
                <w:rFonts w:cstheme="minorHAnsi"/>
                <w:sz w:val="20"/>
                <w:szCs w:val="20"/>
              </w:rPr>
              <w:t>2017</w:t>
            </w:r>
          </w:p>
        </w:tc>
        <w:tc>
          <w:tcPr>
            <w:tcW w:w="1090" w:type="dxa"/>
            <w:vAlign w:val="center"/>
          </w:tcPr>
          <w:p w14:paraId="2E3DA47E" w14:textId="77777777" w:rsidR="00EF2B36" w:rsidRPr="000D15E7" w:rsidRDefault="00EF2B36" w:rsidP="002F41ED">
            <w:pPr>
              <w:jc w:val="center"/>
              <w:rPr>
                <w:rFonts w:cstheme="minorHAnsi"/>
                <w:sz w:val="20"/>
                <w:szCs w:val="20"/>
              </w:rPr>
            </w:pPr>
            <w:r w:rsidRPr="000D15E7">
              <w:rPr>
                <w:rFonts w:cstheme="minorHAnsi"/>
                <w:sz w:val="20"/>
                <w:szCs w:val="20"/>
              </w:rPr>
              <w:t>17</w:t>
            </w:r>
          </w:p>
        </w:tc>
        <w:tc>
          <w:tcPr>
            <w:tcW w:w="1473" w:type="dxa"/>
            <w:vAlign w:val="center"/>
          </w:tcPr>
          <w:p w14:paraId="0DDC499F" w14:textId="77777777" w:rsidR="00EF2B36" w:rsidRPr="000D15E7" w:rsidRDefault="00EF2B36" w:rsidP="00681B12">
            <w:pPr>
              <w:ind w:right="129"/>
              <w:jc w:val="right"/>
              <w:rPr>
                <w:rFonts w:cstheme="minorHAnsi"/>
                <w:sz w:val="20"/>
                <w:szCs w:val="20"/>
              </w:rPr>
            </w:pPr>
            <w:r w:rsidRPr="000D15E7">
              <w:rPr>
                <w:rFonts w:cstheme="minorHAnsi"/>
                <w:sz w:val="20"/>
                <w:szCs w:val="20"/>
              </w:rPr>
              <w:t>166 211 266</w:t>
            </w:r>
          </w:p>
        </w:tc>
        <w:tc>
          <w:tcPr>
            <w:tcW w:w="1091" w:type="dxa"/>
            <w:vAlign w:val="center"/>
          </w:tcPr>
          <w:p w14:paraId="5701160D" w14:textId="77777777" w:rsidR="00EF2B36" w:rsidRPr="000D15E7" w:rsidRDefault="00EF2B36" w:rsidP="002F41ED">
            <w:pPr>
              <w:jc w:val="center"/>
              <w:rPr>
                <w:rFonts w:cstheme="minorHAnsi"/>
                <w:sz w:val="20"/>
                <w:szCs w:val="20"/>
              </w:rPr>
            </w:pPr>
            <w:r w:rsidRPr="000D15E7">
              <w:rPr>
                <w:rFonts w:cstheme="minorHAnsi"/>
                <w:sz w:val="20"/>
                <w:szCs w:val="20"/>
              </w:rPr>
              <w:t>218</w:t>
            </w:r>
          </w:p>
        </w:tc>
        <w:tc>
          <w:tcPr>
            <w:tcW w:w="1619" w:type="dxa"/>
            <w:vAlign w:val="center"/>
          </w:tcPr>
          <w:p w14:paraId="5FB7E0E4" w14:textId="77777777" w:rsidR="00EF2B36" w:rsidRPr="000D15E7" w:rsidRDefault="00EF2B36" w:rsidP="00681B12">
            <w:pPr>
              <w:ind w:right="152"/>
              <w:jc w:val="right"/>
              <w:rPr>
                <w:rFonts w:cstheme="minorHAnsi"/>
                <w:sz w:val="20"/>
                <w:szCs w:val="20"/>
              </w:rPr>
            </w:pPr>
            <w:r w:rsidRPr="000D15E7">
              <w:rPr>
                <w:rFonts w:cstheme="minorHAnsi"/>
                <w:sz w:val="20"/>
                <w:szCs w:val="20"/>
              </w:rPr>
              <w:t>472 724 448</w:t>
            </w:r>
          </w:p>
        </w:tc>
        <w:tc>
          <w:tcPr>
            <w:tcW w:w="1091" w:type="dxa"/>
            <w:vAlign w:val="center"/>
          </w:tcPr>
          <w:p w14:paraId="2C3B6172" w14:textId="77777777" w:rsidR="00EF2B36" w:rsidRPr="000D15E7" w:rsidRDefault="00EF2B36" w:rsidP="002F41ED">
            <w:pPr>
              <w:jc w:val="center"/>
              <w:rPr>
                <w:rFonts w:cstheme="minorHAnsi"/>
                <w:sz w:val="20"/>
                <w:szCs w:val="20"/>
              </w:rPr>
            </w:pPr>
            <w:r w:rsidRPr="000D15E7">
              <w:rPr>
                <w:rFonts w:cstheme="minorHAnsi"/>
                <w:sz w:val="20"/>
                <w:szCs w:val="20"/>
              </w:rPr>
              <w:t>235</w:t>
            </w:r>
          </w:p>
        </w:tc>
        <w:tc>
          <w:tcPr>
            <w:tcW w:w="1624" w:type="dxa"/>
            <w:vAlign w:val="center"/>
          </w:tcPr>
          <w:p w14:paraId="7D162B5A" w14:textId="77777777" w:rsidR="00EF2B36" w:rsidRPr="000D15E7" w:rsidRDefault="00EF2B36" w:rsidP="00681B12">
            <w:pPr>
              <w:ind w:right="165"/>
              <w:jc w:val="right"/>
              <w:rPr>
                <w:rFonts w:cstheme="minorHAnsi"/>
                <w:sz w:val="20"/>
                <w:szCs w:val="20"/>
              </w:rPr>
            </w:pPr>
            <w:r w:rsidRPr="000D15E7">
              <w:rPr>
                <w:rFonts w:cstheme="minorHAnsi"/>
                <w:sz w:val="20"/>
                <w:szCs w:val="20"/>
              </w:rPr>
              <w:t>638 935 714</w:t>
            </w:r>
          </w:p>
        </w:tc>
      </w:tr>
      <w:tr w:rsidR="00EF2B36" w:rsidRPr="000D15E7" w14:paraId="6E827433" w14:textId="77777777" w:rsidTr="000D15E7">
        <w:trPr>
          <w:trHeight w:val="283"/>
        </w:trPr>
        <w:tc>
          <w:tcPr>
            <w:tcW w:w="1074" w:type="dxa"/>
            <w:vAlign w:val="center"/>
          </w:tcPr>
          <w:p w14:paraId="091B5260" w14:textId="77777777" w:rsidR="00EF2B36" w:rsidRPr="000D15E7" w:rsidRDefault="00EF2B36" w:rsidP="002F41ED">
            <w:pPr>
              <w:jc w:val="center"/>
              <w:rPr>
                <w:rFonts w:cstheme="minorHAnsi"/>
                <w:sz w:val="20"/>
                <w:szCs w:val="20"/>
              </w:rPr>
            </w:pPr>
            <w:r w:rsidRPr="000D15E7">
              <w:rPr>
                <w:rFonts w:cstheme="minorHAnsi"/>
                <w:sz w:val="20"/>
                <w:szCs w:val="20"/>
              </w:rPr>
              <w:t>2018</w:t>
            </w:r>
          </w:p>
        </w:tc>
        <w:tc>
          <w:tcPr>
            <w:tcW w:w="1090" w:type="dxa"/>
            <w:vAlign w:val="center"/>
          </w:tcPr>
          <w:p w14:paraId="7833DE2D" w14:textId="77777777" w:rsidR="00EF2B36" w:rsidRPr="000D15E7" w:rsidRDefault="00EF2B36" w:rsidP="002F41ED">
            <w:pPr>
              <w:jc w:val="center"/>
              <w:rPr>
                <w:rFonts w:cstheme="minorHAnsi"/>
                <w:sz w:val="20"/>
                <w:szCs w:val="20"/>
              </w:rPr>
            </w:pPr>
            <w:r w:rsidRPr="000D15E7">
              <w:rPr>
                <w:rFonts w:cstheme="minorHAnsi"/>
                <w:sz w:val="20"/>
                <w:szCs w:val="20"/>
              </w:rPr>
              <w:t>16</w:t>
            </w:r>
          </w:p>
        </w:tc>
        <w:tc>
          <w:tcPr>
            <w:tcW w:w="1473" w:type="dxa"/>
            <w:vAlign w:val="center"/>
          </w:tcPr>
          <w:p w14:paraId="78DF521D" w14:textId="77777777" w:rsidR="00EF2B36" w:rsidRPr="000D15E7" w:rsidRDefault="00EF2B36" w:rsidP="00681B12">
            <w:pPr>
              <w:ind w:right="129"/>
              <w:jc w:val="right"/>
              <w:rPr>
                <w:rFonts w:cstheme="minorHAnsi"/>
                <w:sz w:val="20"/>
                <w:szCs w:val="20"/>
              </w:rPr>
            </w:pPr>
            <w:r w:rsidRPr="000D15E7">
              <w:rPr>
                <w:rFonts w:cstheme="minorHAnsi"/>
                <w:sz w:val="20"/>
                <w:szCs w:val="20"/>
              </w:rPr>
              <w:t>361 241 025</w:t>
            </w:r>
          </w:p>
        </w:tc>
        <w:tc>
          <w:tcPr>
            <w:tcW w:w="1091" w:type="dxa"/>
            <w:vAlign w:val="center"/>
          </w:tcPr>
          <w:p w14:paraId="2A5E26C9" w14:textId="77777777" w:rsidR="00EF2B36" w:rsidRPr="000D15E7" w:rsidRDefault="00EF2B36" w:rsidP="002F41ED">
            <w:pPr>
              <w:jc w:val="center"/>
              <w:rPr>
                <w:rFonts w:cstheme="minorHAnsi"/>
                <w:sz w:val="20"/>
                <w:szCs w:val="20"/>
              </w:rPr>
            </w:pPr>
            <w:r w:rsidRPr="000D15E7">
              <w:rPr>
                <w:rFonts w:cstheme="minorHAnsi"/>
                <w:sz w:val="20"/>
                <w:szCs w:val="20"/>
              </w:rPr>
              <w:t>84</w:t>
            </w:r>
          </w:p>
        </w:tc>
        <w:tc>
          <w:tcPr>
            <w:tcW w:w="1619" w:type="dxa"/>
            <w:vAlign w:val="center"/>
          </w:tcPr>
          <w:p w14:paraId="7902B76C" w14:textId="77777777" w:rsidR="00EF2B36" w:rsidRPr="000D15E7" w:rsidRDefault="00EF2B36" w:rsidP="00681B12">
            <w:pPr>
              <w:ind w:right="152"/>
              <w:jc w:val="right"/>
              <w:rPr>
                <w:rFonts w:cstheme="minorHAnsi"/>
                <w:sz w:val="20"/>
                <w:szCs w:val="20"/>
              </w:rPr>
            </w:pPr>
            <w:r w:rsidRPr="000D15E7">
              <w:rPr>
                <w:rFonts w:cstheme="minorHAnsi"/>
                <w:sz w:val="20"/>
                <w:szCs w:val="20"/>
              </w:rPr>
              <w:t>283 950 826</w:t>
            </w:r>
          </w:p>
        </w:tc>
        <w:tc>
          <w:tcPr>
            <w:tcW w:w="1091" w:type="dxa"/>
            <w:vAlign w:val="center"/>
          </w:tcPr>
          <w:p w14:paraId="7843923B" w14:textId="77777777" w:rsidR="00EF2B36" w:rsidRPr="000D15E7" w:rsidRDefault="00EF2B36" w:rsidP="002F41ED">
            <w:pPr>
              <w:jc w:val="center"/>
              <w:rPr>
                <w:rFonts w:cstheme="minorHAnsi"/>
                <w:sz w:val="20"/>
                <w:szCs w:val="20"/>
              </w:rPr>
            </w:pPr>
            <w:r w:rsidRPr="000D15E7">
              <w:rPr>
                <w:rFonts w:cstheme="minorHAnsi"/>
                <w:sz w:val="20"/>
                <w:szCs w:val="20"/>
              </w:rPr>
              <w:t>100</w:t>
            </w:r>
          </w:p>
        </w:tc>
        <w:tc>
          <w:tcPr>
            <w:tcW w:w="1624" w:type="dxa"/>
            <w:vAlign w:val="center"/>
          </w:tcPr>
          <w:p w14:paraId="534DE621" w14:textId="77777777" w:rsidR="00EF2B36" w:rsidRPr="000D15E7" w:rsidRDefault="00EF2B36" w:rsidP="00681B12">
            <w:pPr>
              <w:ind w:right="165"/>
              <w:jc w:val="right"/>
              <w:rPr>
                <w:rFonts w:cstheme="minorHAnsi"/>
                <w:sz w:val="20"/>
                <w:szCs w:val="20"/>
              </w:rPr>
            </w:pPr>
            <w:r w:rsidRPr="000D15E7">
              <w:rPr>
                <w:rFonts w:cstheme="minorHAnsi"/>
                <w:sz w:val="20"/>
                <w:szCs w:val="20"/>
              </w:rPr>
              <w:t>645 191 851</w:t>
            </w:r>
          </w:p>
        </w:tc>
      </w:tr>
      <w:tr w:rsidR="00EF2B36" w:rsidRPr="000D15E7" w14:paraId="46699BE6" w14:textId="77777777" w:rsidTr="000D15E7">
        <w:trPr>
          <w:trHeight w:val="283"/>
        </w:trPr>
        <w:tc>
          <w:tcPr>
            <w:tcW w:w="1074" w:type="dxa"/>
            <w:vAlign w:val="center"/>
          </w:tcPr>
          <w:p w14:paraId="1DB0BE2B" w14:textId="77777777" w:rsidR="00EF2B36" w:rsidRPr="000D15E7" w:rsidRDefault="00EF2B36" w:rsidP="002F41ED">
            <w:pPr>
              <w:jc w:val="center"/>
              <w:rPr>
                <w:rFonts w:cstheme="minorHAnsi"/>
                <w:sz w:val="20"/>
                <w:szCs w:val="20"/>
              </w:rPr>
            </w:pPr>
            <w:r w:rsidRPr="000D15E7">
              <w:rPr>
                <w:rFonts w:cstheme="minorHAnsi"/>
                <w:sz w:val="20"/>
                <w:szCs w:val="20"/>
              </w:rPr>
              <w:t>2019</w:t>
            </w:r>
          </w:p>
        </w:tc>
        <w:tc>
          <w:tcPr>
            <w:tcW w:w="1090" w:type="dxa"/>
            <w:vAlign w:val="center"/>
          </w:tcPr>
          <w:p w14:paraId="207C31FE" w14:textId="77777777" w:rsidR="00EF2B36" w:rsidRPr="000D15E7" w:rsidRDefault="00EF2B36" w:rsidP="002F41ED">
            <w:pPr>
              <w:jc w:val="center"/>
              <w:rPr>
                <w:rFonts w:cstheme="minorHAnsi"/>
                <w:sz w:val="20"/>
                <w:szCs w:val="20"/>
              </w:rPr>
            </w:pPr>
            <w:r w:rsidRPr="000D15E7">
              <w:rPr>
                <w:rFonts w:cstheme="minorHAnsi"/>
                <w:sz w:val="20"/>
                <w:szCs w:val="20"/>
              </w:rPr>
              <w:t>15</w:t>
            </w:r>
          </w:p>
        </w:tc>
        <w:tc>
          <w:tcPr>
            <w:tcW w:w="1473" w:type="dxa"/>
            <w:vAlign w:val="center"/>
          </w:tcPr>
          <w:p w14:paraId="5796A3DB" w14:textId="77777777" w:rsidR="00EF2B36" w:rsidRPr="000D15E7" w:rsidRDefault="00EF2B36" w:rsidP="00681B12">
            <w:pPr>
              <w:ind w:right="129"/>
              <w:jc w:val="right"/>
              <w:rPr>
                <w:rFonts w:cstheme="minorHAnsi"/>
                <w:sz w:val="20"/>
                <w:szCs w:val="20"/>
              </w:rPr>
            </w:pPr>
            <w:r w:rsidRPr="000D15E7">
              <w:rPr>
                <w:rFonts w:cstheme="minorHAnsi"/>
                <w:sz w:val="20"/>
                <w:szCs w:val="20"/>
              </w:rPr>
              <w:t>272 292 969</w:t>
            </w:r>
          </w:p>
        </w:tc>
        <w:tc>
          <w:tcPr>
            <w:tcW w:w="1091" w:type="dxa"/>
            <w:vAlign w:val="center"/>
          </w:tcPr>
          <w:p w14:paraId="4918E672" w14:textId="77777777" w:rsidR="00EF2B36" w:rsidRPr="000D15E7" w:rsidRDefault="00EF2B36" w:rsidP="002F41ED">
            <w:pPr>
              <w:jc w:val="center"/>
              <w:rPr>
                <w:rFonts w:cstheme="minorHAnsi"/>
                <w:sz w:val="20"/>
                <w:szCs w:val="20"/>
              </w:rPr>
            </w:pPr>
            <w:r w:rsidRPr="000D15E7">
              <w:rPr>
                <w:rFonts w:cstheme="minorHAnsi"/>
                <w:sz w:val="20"/>
                <w:szCs w:val="20"/>
              </w:rPr>
              <w:t>113</w:t>
            </w:r>
          </w:p>
        </w:tc>
        <w:tc>
          <w:tcPr>
            <w:tcW w:w="1619" w:type="dxa"/>
            <w:vAlign w:val="center"/>
          </w:tcPr>
          <w:p w14:paraId="5B4D6DBE" w14:textId="77777777" w:rsidR="00EF2B36" w:rsidRPr="000D15E7" w:rsidRDefault="00EF2B36" w:rsidP="00681B12">
            <w:pPr>
              <w:ind w:right="152"/>
              <w:jc w:val="right"/>
              <w:rPr>
                <w:rFonts w:cstheme="minorHAnsi"/>
                <w:sz w:val="20"/>
                <w:szCs w:val="20"/>
              </w:rPr>
            </w:pPr>
            <w:r w:rsidRPr="000D15E7">
              <w:rPr>
                <w:rFonts w:cstheme="minorHAnsi"/>
                <w:sz w:val="20"/>
                <w:szCs w:val="20"/>
              </w:rPr>
              <w:t>420 494 690</w:t>
            </w:r>
          </w:p>
        </w:tc>
        <w:tc>
          <w:tcPr>
            <w:tcW w:w="1091" w:type="dxa"/>
            <w:vAlign w:val="center"/>
          </w:tcPr>
          <w:p w14:paraId="4477F30E" w14:textId="77777777" w:rsidR="00EF2B36" w:rsidRPr="000D15E7" w:rsidRDefault="00EF2B36" w:rsidP="002F41ED">
            <w:pPr>
              <w:jc w:val="center"/>
              <w:rPr>
                <w:rFonts w:cstheme="minorHAnsi"/>
                <w:sz w:val="20"/>
                <w:szCs w:val="20"/>
              </w:rPr>
            </w:pPr>
            <w:r w:rsidRPr="000D15E7">
              <w:rPr>
                <w:rFonts w:cstheme="minorHAnsi"/>
                <w:sz w:val="20"/>
                <w:szCs w:val="20"/>
              </w:rPr>
              <w:t>128</w:t>
            </w:r>
          </w:p>
        </w:tc>
        <w:tc>
          <w:tcPr>
            <w:tcW w:w="1624" w:type="dxa"/>
            <w:vAlign w:val="center"/>
          </w:tcPr>
          <w:p w14:paraId="48B4428B" w14:textId="77777777" w:rsidR="00EF2B36" w:rsidRPr="000D15E7" w:rsidRDefault="00EF2B36" w:rsidP="00681B12">
            <w:pPr>
              <w:ind w:right="165"/>
              <w:jc w:val="right"/>
              <w:rPr>
                <w:rFonts w:cstheme="minorHAnsi"/>
                <w:sz w:val="20"/>
                <w:szCs w:val="20"/>
              </w:rPr>
            </w:pPr>
            <w:r w:rsidRPr="000D15E7">
              <w:rPr>
                <w:rFonts w:cstheme="minorHAnsi"/>
                <w:sz w:val="20"/>
                <w:szCs w:val="20"/>
              </w:rPr>
              <w:t>692 787 659</w:t>
            </w:r>
          </w:p>
        </w:tc>
      </w:tr>
      <w:tr w:rsidR="00EF2B36" w:rsidRPr="0082383E" w14:paraId="00320FF2" w14:textId="77777777" w:rsidTr="0082383E">
        <w:trPr>
          <w:trHeight w:val="397"/>
        </w:trPr>
        <w:tc>
          <w:tcPr>
            <w:tcW w:w="1074" w:type="dxa"/>
            <w:vAlign w:val="center"/>
          </w:tcPr>
          <w:p w14:paraId="5C8E9261" w14:textId="77777777" w:rsidR="00EF2B36" w:rsidRPr="0082383E" w:rsidRDefault="00EF2B36" w:rsidP="00B860C3">
            <w:pPr>
              <w:jc w:val="center"/>
              <w:rPr>
                <w:rFonts w:cstheme="minorHAnsi"/>
                <w:b/>
                <w:sz w:val="20"/>
                <w:szCs w:val="20"/>
              </w:rPr>
            </w:pPr>
            <w:r w:rsidRPr="0082383E">
              <w:rPr>
                <w:rFonts w:cstheme="minorHAnsi"/>
                <w:b/>
                <w:sz w:val="20"/>
                <w:szCs w:val="20"/>
              </w:rPr>
              <w:t>Celkem</w:t>
            </w:r>
          </w:p>
        </w:tc>
        <w:tc>
          <w:tcPr>
            <w:tcW w:w="1090" w:type="dxa"/>
            <w:vAlign w:val="center"/>
          </w:tcPr>
          <w:p w14:paraId="64928C8C" w14:textId="77777777" w:rsidR="00EF2B36" w:rsidRPr="0082383E" w:rsidRDefault="00EF2B36" w:rsidP="00B860C3">
            <w:pPr>
              <w:jc w:val="center"/>
              <w:rPr>
                <w:rFonts w:cstheme="minorHAnsi"/>
                <w:b/>
                <w:sz w:val="20"/>
                <w:szCs w:val="20"/>
              </w:rPr>
            </w:pPr>
            <w:r w:rsidRPr="0082383E">
              <w:rPr>
                <w:rFonts w:cstheme="minorHAnsi"/>
                <w:b/>
                <w:sz w:val="20"/>
                <w:szCs w:val="20"/>
              </w:rPr>
              <w:t>50</w:t>
            </w:r>
          </w:p>
        </w:tc>
        <w:tc>
          <w:tcPr>
            <w:tcW w:w="1473" w:type="dxa"/>
            <w:vAlign w:val="center"/>
          </w:tcPr>
          <w:p w14:paraId="6526B39E" w14:textId="77777777" w:rsidR="00EF2B36" w:rsidRPr="0082383E" w:rsidRDefault="00EF2B36" w:rsidP="00B860C3">
            <w:pPr>
              <w:jc w:val="center"/>
              <w:rPr>
                <w:rFonts w:cstheme="minorHAnsi"/>
                <w:b/>
                <w:sz w:val="20"/>
                <w:szCs w:val="20"/>
              </w:rPr>
            </w:pPr>
            <w:r w:rsidRPr="0082383E">
              <w:rPr>
                <w:rFonts w:cstheme="minorHAnsi"/>
                <w:b/>
                <w:sz w:val="20"/>
                <w:szCs w:val="20"/>
              </w:rPr>
              <w:t>807 563 355</w:t>
            </w:r>
          </w:p>
        </w:tc>
        <w:tc>
          <w:tcPr>
            <w:tcW w:w="1091" w:type="dxa"/>
            <w:vAlign w:val="center"/>
          </w:tcPr>
          <w:p w14:paraId="18C5AFA8" w14:textId="77777777" w:rsidR="00EF2B36" w:rsidRPr="0082383E" w:rsidRDefault="00EF2B36" w:rsidP="00B860C3">
            <w:pPr>
              <w:jc w:val="center"/>
              <w:rPr>
                <w:rFonts w:cstheme="minorHAnsi"/>
                <w:b/>
                <w:sz w:val="20"/>
                <w:szCs w:val="20"/>
              </w:rPr>
            </w:pPr>
            <w:r w:rsidRPr="0082383E">
              <w:rPr>
                <w:rFonts w:cstheme="minorHAnsi"/>
                <w:b/>
                <w:sz w:val="20"/>
                <w:szCs w:val="20"/>
              </w:rPr>
              <w:t>496</w:t>
            </w:r>
          </w:p>
        </w:tc>
        <w:tc>
          <w:tcPr>
            <w:tcW w:w="1619" w:type="dxa"/>
            <w:vAlign w:val="center"/>
          </w:tcPr>
          <w:p w14:paraId="72F09226" w14:textId="77777777" w:rsidR="00EF2B36" w:rsidRPr="0082383E" w:rsidRDefault="00EF2B36" w:rsidP="00B860C3">
            <w:pPr>
              <w:jc w:val="center"/>
              <w:rPr>
                <w:rFonts w:cstheme="minorHAnsi"/>
                <w:b/>
                <w:sz w:val="20"/>
                <w:szCs w:val="20"/>
              </w:rPr>
            </w:pPr>
            <w:r w:rsidRPr="0082383E">
              <w:rPr>
                <w:rFonts w:cstheme="minorHAnsi"/>
                <w:b/>
                <w:sz w:val="20"/>
                <w:szCs w:val="20"/>
              </w:rPr>
              <w:t>1 249 354 968</w:t>
            </w:r>
          </w:p>
        </w:tc>
        <w:tc>
          <w:tcPr>
            <w:tcW w:w="1091" w:type="dxa"/>
            <w:vAlign w:val="center"/>
          </w:tcPr>
          <w:p w14:paraId="1223BF02" w14:textId="77777777" w:rsidR="00EF2B36" w:rsidRPr="0082383E" w:rsidRDefault="00EF2B36" w:rsidP="00B860C3">
            <w:pPr>
              <w:jc w:val="center"/>
              <w:rPr>
                <w:rFonts w:cstheme="minorHAnsi"/>
                <w:b/>
                <w:sz w:val="20"/>
                <w:szCs w:val="20"/>
              </w:rPr>
            </w:pPr>
            <w:r w:rsidRPr="0082383E">
              <w:rPr>
                <w:rFonts w:cstheme="minorHAnsi"/>
                <w:b/>
                <w:sz w:val="20"/>
                <w:szCs w:val="20"/>
              </w:rPr>
              <w:t>546</w:t>
            </w:r>
          </w:p>
        </w:tc>
        <w:tc>
          <w:tcPr>
            <w:tcW w:w="1624" w:type="dxa"/>
            <w:vAlign w:val="center"/>
          </w:tcPr>
          <w:p w14:paraId="0063654E" w14:textId="77777777" w:rsidR="00EF2B36" w:rsidRPr="0082383E" w:rsidRDefault="00EF2B36" w:rsidP="00681B12">
            <w:pPr>
              <w:ind w:right="165"/>
              <w:jc w:val="right"/>
              <w:rPr>
                <w:rFonts w:cstheme="minorHAnsi"/>
                <w:b/>
                <w:sz w:val="20"/>
                <w:szCs w:val="20"/>
              </w:rPr>
            </w:pPr>
            <w:r w:rsidRPr="0082383E">
              <w:rPr>
                <w:rFonts w:cstheme="minorHAnsi"/>
                <w:b/>
                <w:sz w:val="20"/>
                <w:szCs w:val="20"/>
              </w:rPr>
              <w:t>2 056 918 323</w:t>
            </w:r>
          </w:p>
        </w:tc>
      </w:tr>
    </w:tbl>
    <w:p w14:paraId="1B9A69A5" w14:textId="77777777" w:rsidR="009B2A29" w:rsidRPr="000D15E7" w:rsidRDefault="009B2A29" w:rsidP="00EF2B36">
      <w:pPr>
        <w:rPr>
          <w:rFonts w:asciiTheme="minorHAnsi" w:hAnsiTheme="minorHAnsi" w:cstheme="minorHAnsi"/>
          <w:szCs w:val="16"/>
        </w:rPr>
      </w:pPr>
    </w:p>
    <w:tbl>
      <w:tblPr>
        <w:tblStyle w:val="Mkatabulky"/>
        <w:tblW w:w="0" w:type="auto"/>
        <w:tblInd w:w="0" w:type="dxa"/>
        <w:tblLook w:val="04A0" w:firstRow="1" w:lastRow="0" w:firstColumn="1" w:lastColumn="0" w:noHBand="0" w:noVBand="1"/>
      </w:tblPr>
      <w:tblGrid>
        <w:gridCol w:w="1282"/>
        <w:gridCol w:w="1796"/>
        <w:gridCol w:w="1167"/>
        <w:gridCol w:w="1872"/>
        <w:gridCol w:w="962"/>
        <w:gridCol w:w="1983"/>
      </w:tblGrid>
      <w:tr w:rsidR="009B2A29" w:rsidRPr="000D15E7" w14:paraId="0AA134E9" w14:textId="77777777" w:rsidTr="0082383E">
        <w:trPr>
          <w:trHeight w:val="397"/>
        </w:trPr>
        <w:tc>
          <w:tcPr>
            <w:tcW w:w="9067" w:type="dxa"/>
            <w:gridSpan w:val="6"/>
            <w:shd w:val="clear" w:color="auto" w:fill="E5F1FF"/>
            <w:vAlign w:val="center"/>
          </w:tcPr>
          <w:p w14:paraId="0DD39FAC" w14:textId="77777777" w:rsidR="009B2A29" w:rsidRPr="000D15E7" w:rsidRDefault="009B2A29" w:rsidP="0082383E">
            <w:pPr>
              <w:jc w:val="center"/>
              <w:rPr>
                <w:rFonts w:cstheme="minorHAnsi"/>
                <w:b/>
                <w:sz w:val="20"/>
                <w:szCs w:val="20"/>
              </w:rPr>
            </w:pPr>
            <w:r w:rsidRPr="000D15E7">
              <w:rPr>
                <w:rFonts w:cstheme="minorHAnsi"/>
                <w:b/>
                <w:sz w:val="20"/>
                <w:szCs w:val="20"/>
              </w:rPr>
              <w:t>Neukončené stavební akce do 31. 12. 2019</w:t>
            </w:r>
          </w:p>
        </w:tc>
      </w:tr>
      <w:tr w:rsidR="009B2A29" w:rsidRPr="000D15E7" w14:paraId="6485BF5B" w14:textId="77777777" w:rsidTr="000D15E7">
        <w:trPr>
          <w:trHeight w:val="283"/>
        </w:trPr>
        <w:tc>
          <w:tcPr>
            <w:tcW w:w="3080" w:type="dxa"/>
            <w:gridSpan w:val="2"/>
            <w:shd w:val="clear" w:color="auto" w:fill="E5F1FF"/>
            <w:vAlign w:val="center"/>
          </w:tcPr>
          <w:p w14:paraId="657778F1" w14:textId="77777777" w:rsidR="009B2A29" w:rsidRPr="000D15E7" w:rsidRDefault="009B2A29" w:rsidP="001B1789">
            <w:pPr>
              <w:jc w:val="center"/>
              <w:rPr>
                <w:rFonts w:cstheme="minorHAnsi"/>
                <w:sz w:val="20"/>
                <w:szCs w:val="20"/>
              </w:rPr>
            </w:pPr>
            <w:r w:rsidRPr="000D15E7">
              <w:rPr>
                <w:rFonts w:cstheme="minorHAnsi"/>
                <w:sz w:val="20"/>
                <w:szCs w:val="20"/>
              </w:rPr>
              <w:t>Komplexní rekonstrukce</w:t>
            </w:r>
          </w:p>
          <w:p w14:paraId="336790C7" w14:textId="77777777" w:rsidR="009B2A29" w:rsidRPr="000D15E7" w:rsidRDefault="009B2A29" w:rsidP="001B1789">
            <w:pPr>
              <w:jc w:val="center"/>
              <w:rPr>
                <w:rFonts w:cstheme="minorHAnsi"/>
                <w:sz w:val="20"/>
                <w:szCs w:val="20"/>
              </w:rPr>
            </w:pPr>
            <w:r w:rsidRPr="000D15E7">
              <w:rPr>
                <w:rFonts w:cstheme="minorHAnsi"/>
                <w:sz w:val="20"/>
                <w:szCs w:val="20"/>
              </w:rPr>
              <w:t>osobních nádraží</w:t>
            </w:r>
          </w:p>
        </w:tc>
        <w:tc>
          <w:tcPr>
            <w:tcW w:w="3041" w:type="dxa"/>
            <w:gridSpan w:val="2"/>
            <w:shd w:val="clear" w:color="auto" w:fill="E5F1FF"/>
            <w:vAlign w:val="center"/>
          </w:tcPr>
          <w:p w14:paraId="2729EE92" w14:textId="77777777" w:rsidR="009B2A29" w:rsidRPr="000D15E7" w:rsidRDefault="009B2A29" w:rsidP="001B1789">
            <w:pPr>
              <w:jc w:val="center"/>
              <w:rPr>
                <w:rFonts w:cstheme="minorHAnsi"/>
                <w:sz w:val="20"/>
                <w:szCs w:val="20"/>
              </w:rPr>
            </w:pPr>
            <w:r w:rsidRPr="000D15E7">
              <w:rPr>
                <w:rFonts w:cstheme="minorHAnsi"/>
                <w:sz w:val="20"/>
                <w:szCs w:val="20"/>
              </w:rPr>
              <w:t>Drobné opravy jednotlivých části osobních nádraží</w:t>
            </w:r>
          </w:p>
        </w:tc>
        <w:tc>
          <w:tcPr>
            <w:tcW w:w="2946" w:type="dxa"/>
            <w:gridSpan w:val="2"/>
            <w:shd w:val="clear" w:color="auto" w:fill="E5F1FF"/>
            <w:vAlign w:val="center"/>
          </w:tcPr>
          <w:p w14:paraId="0EB22D6F" w14:textId="77777777" w:rsidR="009B2A29" w:rsidRPr="000D15E7" w:rsidRDefault="009B2A29" w:rsidP="001B1789">
            <w:pPr>
              <w:jc w:val="center"/>
              <w:rPr>
                <w:rFonts w:cstheme="minorHAnsi"/>
                <w:sz w:val="20"/>
                <w:szCs w:val="20"/>
              </w:rPr>
            </w:pPr>
            <w:r w:rsidRPr="000D15E7">
              <w:rPr>
                <w:rFonts w:cstheme="minorHAnsi"/>
                <w:sz w:val="20"/>
                <w:szCs w:val="20"/>
              </w:rPr>
              <w:t>Celkem</w:t>
            </w:r>
          </w:p>
        </w:tc>
      </w:tr>
      <w:tr w:rsidR="009B2A29" w:rsidRPr="000D15E7" w14:paraId="1E32FF08" w14:textId="77777777" w:rsidTr="000D15E7">
        <w:trPr>
          <w:trHeight w:val="283"/>
        </w:trPr>
        <w:tc>
          <w:tcPr>
            <w:tcW w:w="1283" w:type="dxa"/>
            <w:shd w:val="clear" w:color="auto" w:fill="E5F1FF"/>
            <w:vAlign w:val="center"/>
          </w:tcPr>
          <w:p w14:paraId="7A0B038F" w14:textId="77777777" w:rsidR="009B2A29" w:rsidRPr="000D15E7" w:rsidRDefault="009B2A29" w:rsidP="001B1789">
            <w:pPr>
              <w:jc w:val="center"/>
              <w:rPr>
                <w:rFonts w:cstheme="minorHAnsi"/>
                <w:sz w:val="20"/>
                <w:szCs w:val="20"/>
              </w:rPr>
            </w:pPr>
            <w:r w:rsidRPr="000D15E7">
              <w:rPr>
                <w:rFonts w:cstheme="minorHAnsi"/>
                <w:sz w:val="20"/>
                <w:szCs w:val="20"/>
              </w:rPr>
              <w:t>Celkový</w:t>
            </w:r>
          </w:p>
          <w:p w14:paraId="13948EAC" w14:textId="77777777" w:rsidR="009B2A29" w:rsidRPr="000D15E7" w:rsidRDefault="009B2A29" w:rsidP="001B1789">
            <w:pPr>
              <w:jc w:val="center"/>
              <w:rPr>
                <w:rFonts w:cstheme="minorHAnsi"/>
                <w:sz w:val="20"/>
                <w:szCs w:val="20"/>
              </w:rPr>
            </w:pPr>
            <w:r w:rsidRPr="000D15E7">
              <w:rPr>
                <w:rFonts w:cstheme="minorHAnsi"/>
                <w:sz w:val="20"/>
                <w:szCs w:val="20"/>
              </w:rPr>
              <w:t>počet</w:t>
            </w:r>
          </w:p>
        </w:tc>
        <w:tc>
          <w:tcPr>
            <w:tcW w:w="1797" w:type="dxa"/>
            <w:shd w:val="clear" w:color="auto" w:fill="E5F1FF"/>
            <w:vAlign w:val="center"/>
          </w:tcPr>
          <w:p w14:paraId="45320A91" w14:textId="77777777" w:rsidR="009B2A29" w:rsidRPr="000D15E7" w:rsidRDefault="009B2A29" w:rsidP="001B1789">
            <w:pPr>
              <w:jc w:val="center"/>
              <w:rPr>
                <w:rFonts w:cstheme="minorHAnsi"/>
                <w:sz w:val="20"/>
                <w:szCs w:val="20"/>
              </w:rPr>
            </w:pPr>
            <w:r w:rsidRPr="000D15E7">
              <w:rPr>
                <w:rFonts w:cstheme="minorHAnsi"/>
                <w:sz w:val="20"/>
                <w:szCs w:val="20"/>
              </w:rPr>
              <w:t>Celkem</w:t>
            </w:r>
          </w:p>
          <w:p w14:paraId="2BCC2B5A" w14:textId="77777777" w:rsidR="009B2A29" w:rsidRPr="000D15E7" w:rsidRDefault="009B2A29" w:rsidP="001B1789">
            <w:pPr>
              <w:jc w:val="center"/>
              <w:rPr>
                <w:rFonts w:cstheme="minorHAnsi"/>
                <w:sz w:val="20"/>
                <w:szCs w:val="20"/>
              </w:rPr>
            </w:pPr>
            <w:r w:rsidRPr="000D15E7">
              <w:rPr>
                <w:rFonts w:cstheme="minorHAnsi"/>
                <w:sz w:val="20"/>
                <w:szCs w:val="20"/>
              </w:rPr>
              <w:t>v (Kč)</w:t>
            </w:r>
          </w:p>
        </w:tc>
        <w:tc>
          <w:tcPr>
            <w:tcW w:w="1168" w:type="dxa"/>
            <w:shd w:val="clear" w:color="auto" w:fill="E5F1FF"/>
            <w:vAlign w:val="center"/>
          </w:tcPr>
          <w:p w14:paraId="52A7EAE5" w14:textId="77777777" w:rsidR="009B2A29" w:rsidRPr="000D15E7" w:rsidRDefault="009B2A29" w:rsidP="001B1789">
            <w:pPr>
              <w:jc w:val="center"/>
              <w:rPr>
                <w:rFonts w:cstheme="minorHAnsi"/>
                <w:sz w:val="20"/>
                <w:szCs w:val="20"/>
              </w:rPr>
            </w:pPr>
            <w:r w:rsidRPr="000D15E7">
              <w:rPr>
                <w:rFonts w:cstheme="minorHAnsi"/>
                <w:sz w:val="20"/>
                <w:szCs w:val="20"/>
              </w:rPr>
              <w:t>Celkový</w:t>
            </w:r>
          </w:p>
          <w:p w14:paraId="0EEB2CCF" w14:textId="77777777" w:rsidR="009B2A29" w:rsidRPr="000D15E7" w:rsidRDefault="009B2A29" w:rsidP="001B1789">
            <w:pPr>
              <w:jc w:val="center"/>
              <w:rPr>
                <w:rFonts w:cstheme="minorHAnsi"/>
                <w:sz w:val="20"/>
                <w:szCs w:val="20"/>
              </w:rPr>
            </w:pPr>
            <w:r w:rsidRPr="000D15E7">
              <w:rPr>
                <w:rFonts w:cstheme="minorHAnsi"/>
                <w:sz w:val="20"/>
                <w:szCs w:val="20"/>
              </w:rPr>
              <w:t>počet</w:t>
            </w:r>
          </w:p>
        </w:tc>
        <w:tc>
          <w:tcPr>
            <w:tcW w:w="1873" w:type="dxa"/>
            <w:shd w:val="clear" w:color="auto" w:fill="E5F1FF"/>
            <w:vAlign w:val="center"/>
          </w:tcPr>
          <w:p w14:paraId="6F22BDF7" w14:textId="77777777" w:rsidR="009B2A29" w:rsidRPr="000D15E7" w:rsidRDefault="009B2A29" w:rsidP="001B1789">
            <w:pPr>
              <w:jc w:val="center"/>
              <w:rPr>
                <w:rFonts w:cstheme="minorHAnsi"/>
                <w:sz w:val="20"/>
                <w:szCs w:val="20"/>
              </w:rPr>
            </w:pPr>
            <w:r w:rsidRPr="000D15E7">
              <w:rPr>
                <w:rFonts w:cstheme="minorHAnsi"/>
                <w:sz w:val="20"/>
                <w:szCs w:val="20"/>
              </w:rPr>
              <w:t>Celkem</w:t>
            </w:r>
          </w:p>
          <w:p w14:paraId="22DE927C" w14:textId="77777777" w:rsidR="009B2A29" w:rsidRPr="000D15E7" w:rsidRDefault="009B2A29" w:rsidP="001B1789">
            <w:pPr>
              <w:jc w:val="center"/>
              <w:rPr>
                <w:rFonts w:cstheme="minorHAnsi"/>
                <w:sz w:val="20"/>
                <w:szCs w:val="20"/>
              </w:rPr>
            </w:pPr>
            <w:r w:rsidRPr="000D15E7">
              <w:rPr>
                <w:rFonts w:cstheme="minorHAnsi"/>
                <w:sz w:val="20"/>
                <w:szCs w:val="20"/>
              </w:rPr>
              <w:t>v (Kč)</w:t>
            </w:r>
          </w:p>
        </w:tc>
        <w:tc>
          <w:tcPr>
            <w:tcW w:w="962" w:type="dxa"/>
            <w:shd w:val="clear" w:color="auto" w:fill="E5F1FF"/>
            <w:vAlign w:val="center"/>
          </w:tcPr>
          <w:p w14:paraId="4FA66C4C" w14:textId="77777777" w:rsidR="009B2A29" w:rsidRPr="000D15E7" w:rsidRDefault="009B2A29" w:rsidP="001B1789">
            <w:pPr>
              <w:jc w:val="center"/>
              <w:rPr>
                <w:rFonts w:cstheme="minorHAnsi"/>
                <w:sz w:val="20"/>
                <w:szCs w:val="20"/>
              </w:rPr>
            </w:pPr>
            <w:r w:rsidRPr="000D15E7">
              <w:rPr>
                <w:rFonts w:cstheme="minorHAnsi"/>
                <w:sz w:val="20"/>
                <w:szCs w:val="20"/>
              </w:rPr>
              <w:t>Celkový</w:t>
            </w:r>
          </w:p>
          <w:p w14:paraId="3E9583DD" w14:textId="77777777" w:rsidR="009B2A29" w:rsidRPr="000D15E7" w:rsidRDefault="009B2A29" w:rsidP="001B1789">
            <w:pPr>
              <w:jc w:val="center"/>
              <w:rPr>
                <w:rFonts w:cstheme="minorHAnsi"/>
                <w:sz w:val="20"/>
                <w:szCs w:val="20"/>
              </w:rPr>
            </w:pPr>
            <w:r w:rsidRPr="000D15E7">
              <w:rPr>
                <w:rFonts w:cstheme="minorHAnsi"/>
                <w:sz w:val="20"/>
                <w:szCs w:val="20"/>
              </w:rPr>
              <w:t>počet</w:t>
            </w:r>
          </w:p>
        </w:tc>
        <w:tc>
          <w:tcPr>
            <w:tcW w:w="1984" w:type="dxa"/>
            <w:shd w:val="clear" w:color="auto" w:fill="E5F1FF"/>
            <w:vAlign w:val="center"/>
          </w:tcPr>
          <w:p w14:paraId="08F0907A" w14:textId="77777777" w:rsidR="009B2A29" w:rsidRPr="000D15E7" w:rsidRDefault="009B2A29" w:rsidP="001B1789">
            <w:pPr>
              <w:jc w:val="center"/>
              <w:rPr>
                <w:rFonts w:cstheme="minorHAnsi"/>
                <w:sz w:val="20"/>
                <w:szCs w:val="20"/>
              </w:rPr>
            </w:pPr>
            <w:r w:rsidRPr="000D15E7">
              <w:rPr>
                <w:rFonts w:cstheme="minorHAnsi"/>
                <w:sz w:val="20"/>
                <w:szCs w:val="20"/>
              </w:rPr>
              <w:t>Celkem</w:t>
            </w:r>
          </w:p>
          <w:p w14:paraId="0FE34DF9" w14:textId="77777777" w:rsidR="009B2A29" w:rsidRPr="000D15E7" w:rsidRDefault="009B2A29" w:rsidP="001B1789">
            <w:pPr>
              <w:jc w:val="center"/>
              <w:rPr>
                <w:rFonts w:cstheme="minorHAnsi"/>
                <w:sz w:val="20"/>
                <w:szCs w:val="20"/>
              </w:rPr>
            </w:pPr>
            <w:r w:rsidRPr="000D15E7">
              <w:rPr>
                <w:rFonts w:cstheme="minorHAnsi"/>
                <w:sz w:val="20"/>
                <w:szCs w:val="20"/>
              </w:rPr>
              <w:t>v (Kč)</w:t>
            </w:r>
          </w:p>
        </w:tc>
      </w:tr>
      <w:tr w:rsidR="009B2A29" w:rsidRPr="000D15E7" w14:paraId="0463AEDD" w14:textId="77777777" w:rsidTr="000D15E7">
        <w:trPr>
          <w:trHeight w:val="283"/>
        </w:trPr>
        <w:tc>
          <w:tcPr>
            <w:tcW w:w="1283" w:type="dxa"/>
            <w:vAlign w:val="center"/>
          </w:tcPr>
          <w:p w14:paraId="256EAAE0" w14:textId="77777777" w:rsidR="009B2A29" w:rsidRPr="000D15E7" w:rsidRDefault="009B2A29" w:rsidP="001B1789">
            <w:pPr>
              <w:jc w:val="center"/>
              <w:rPr>
                <w:rFonts w:cstheme="minorHAnsi"/>
                <w:sz w:val="20"/>
                <w:szCs w:val="20"/>
              </w:rPr>
            </w:pPr>
            <w:r w:rsidRPr="000D15E7">
              <w:rPr>
                <w:rFonts w:cstheme="minorHAnsi"/>
                <w:sz w:val="20"/>
                <w:szCs w:val="20"/>
              </w:rPr>
              <w:t>27</w:t>
            </w:r>
          </w:p>
        </w:tc>
        <w:tc>
          <w:tcPr>
            <w:tcW w:w="1797" w:type="dxa"/>
            <w:vAlign w:val="center"/>
          </w:tcPr>
          <w:p w14:paraId="219E2C78" w14:textId="77777777" w:rsidR="009B2A29" w:rsidRPr="000D15E7" w:rsidRDefault="009B2A29" w:rsidP="001B1789">
            <w:pPr>
              <w:jc w:val="right"/>
              <w:rPr>
                <w:rFonts w:cstheme="minorHAnsi"/>
                <w:sz w:val="20"/>
                <w:szCs w:val="20"/>
              </w:rPr>
            </w:pPr>
            <w:r w:rsidRPr="000D15E7">
              <w:rPr>
                <w:rFonts w:cstheme="minorHAnsi"/>
                <w:sz w:val="20"/>
                <w:szCs w:val="20"/>
              </w:rPr>
              <w:t>728 840 007</w:t>
            </w:r>
          </w:p>
        </w:tc>
        <w:tc>
          <w:tcPr>
            <w:tcW w:w="1168" w:type="dxa"/>
            <w:vAlign w:val="center"/>
          </w:tcPr>
          <w:p w14:paraId="4C1CA9F2" w14:textId="77777777" w:rsidR="009B2A29" w:rsidRPr="000D15E7" w:rsidRDefault="009B2A29" w:rsidP="001B1789">
            <w:pPr>
              <w:jc w:val="center"/>
              <w:rPr>
                <w:rFonts w:cstheme="minorHAnsi"/>
                <w:sz w:val="20"/>
                <w:szCs w:val="20"/>
              </w:rPr>
            </w:pPr>
            <w:r w:rsidRPr="000D15E7">
              <w:rPr>
                <w:rFonts w:cstheme="minorHAnsi"/>
                <w:sz w:val="20"/>
                <w:szCs w:val="20"/>
              </w:rPr>
              <w:t>25</w:t>
            </w:r>
          </w:p>
        </w:tc>
        <w:tc>
          <w:tcPr>
            <w:tcW w:w="1873" w:type="dxa"/>
            <w:vAlign w:val="center"/>
          </w:tcPr>
          <w:p w14:paraId="02B08528" w14:textId="77777777" w:rsidR="009B2A29" w:rsidRPr="000D15E7" w:rsidRDefault="009B2A29" w:rsidP="001B1789">
            <w:pPr>
              <w:jc w:val="right"/>
              <w:rPr>
                <w:rFonts w:cstheme="minorHAnsi"/>
                <w:sz w:val="20"/>
                <w:szCs w:val="20"/>
              </w:rPr>
            </w:pPr>
            <w:r w:rsidRPr="000D15E7">
              <w:rPr>
                <w:rFonts w:cstheme="minorHAnsi"/>
                <w:sz w:val="20"/>
                <w:szCs w:val="20"/>
              </w:rPr>
              <w:t>144 192 382</w:t>
            </w:r>
          </w:p>
        </w:tc>
        <w:tc>
          <w:tcPr>
            <w:tcW w:w="962" w:type="dxa"/>
            <w:vAlign w:val="center"/>
          </w:tcPr>
          <w:p w14:paraId="48F0F3A5" w14:textId="77777777" w:rsidR="009B2A29" w:rsidRPr="000D15E7" w:rsidRDefault="009B2A29" w:rsidP="001B1789">
            <w:pPr>
              <w:jc w:val="center"/>
              <w:rPr>
                <w:rFonts w:cstheme="minorHAnsi"/>
                <w:sz w:val="20"/>
                <w:szCs w:val="20"/>
              </w:rPr>
            </w:pPr>
            <w:r w:rsidRPr="000D15E7">
              <w:rPr>
                <w:rFonts w:cstheme="minorHAnsi"/>
                <w:sz w:val="20"/>
                <w:szCs w:val="20"/>
              </w:rPr>
              <w:t>52</w:t>
            </w:r>
          </w:p>
        </w:tc>
        <w:tc>
          <w:tcPr>
            <w:tcW w:w="1984" w:type="dxa"/>
            <w:vAlign w:val="center"/>
          </w:tcPr>
          <w:p w14:paraId="5EBFEFE9" w14:textId="77777777" w:rsidR="009B2A29" w:rsidRPr="000D15E7" w:rsidRDefault="009B2A29" w:rsidP="001B1789">
            <w:pPr>
              <w:jc w:val="right"/>
              <w:rPr>
                <w:rFonts w:cstheme="minorHAnsi"/>
                <w:sz w:val="20"/>
                <w:szCs w:val="20"/>
              </w:rPr>
            </w:pPr>
            <w:r w:rsidRPr="000D15E7">
              <w:rPr>
                <w:rFonts w:cstheme="minorHAnsi"/>
                <w:sz w:val="20"/>
                <w:szCs w:val="20"/>
              </w:rPr>
              <w:t>873 032 389</w:t>
            </w:r>
          </w:p>
        </w:tc>
      </w:tr>
      <w:tr w:rsidR="009B2A29" w:rsidRPr="000D15E7" w14:paraId="291F39EE" w14:textId="77777777" w:rsidTr="0082383E">
        <w:trPr>
          <w:trHeight w:val="397"/>
        </w:trPr>
        <w:tc>
          <w:tcPr>
            <w:tcW w:w="6121" w:type="dxa"/>
            <w:gridSpan w:val="4"/>
            <w:vAlign w:val="center"/>
          </w:tcPr>
          <w:p w14:paraId="7F38195E" w14:textId="77777777" w:rsidR="009B2A29" w:rsidRPr="0082383E" w:rsidRDefault="009B2A29" w:rsidP="001B1789">
            <w:pPr>
              <w:jc w:val="left"/>
              <w:rPr>
                <w:rFonts w:cstheme="minorHAnsi"/>
                <w:b/>
                <w:sz w:val="20"/>
                <w:szCs w:val="20"/>
              </w:rPr>
            </w:pPr>
            <w:r w:rsidRPr="0082383E">
              <w:rPr>
                <w:rFonts w:cstheme="minorHAnsi"/>
                <w:b/>
                <w:sz w:val="20"/>
                <w:szCs w:val="20"/>
              </w:rPr>
              <w:t>Do 31. 12. 2019 bylo skutečně uhrazeno (čerpáno)</w:t>
            </w:r>
          </w:p>
        </w:tc>
        <w:tc>
          <w:tcPr>
            <w:tcW w:w="962" w:type="dxa"/>
            <w:vAlign w:val="center"/>
          </w:tcPr>
          <w:p w14:paraId="2632171F" w14:textId="77777777" w:rsidR="009B2A29" w:rsidRPr="0082383E" w:rsidRDefault="009B2A29" w:rsidP="001B1789">
            <w:pPr>
              <w:jc w:val="center"/>
              <w:rPr>
                <w:rFonts w:cstheme="minorHAnsi"/>
                <w:b/>
                <w:sz w:val="20"/>
                <w:szCs w:val="20"/>
              </w:rPr>
            </w:pPr>
            <w:r w:rsidRPr="0082383E">
              <w:rPr>
                <w:rFonts w:cstheme="minorHAnsi"/>
                <w:b/>
                <w:sz w:val="20"/>
                <w:szCs w:val="20"/>
              </w:rPr>
              <w:t>52</w:t>
            </w:r>
          </w:p>
        </w:tc>
        <w:tc>
          <w:tcPr>
            <w:tcW w:w="1984" w:type="dxa"/>
            <w:vAlign w:val="center"/>
          </w:tcPr>
          <w:p w14:paraId="6AADD05C" w14:textId="77777777" w:rsidR="009B2A29" w:rsidRPr="0082383E" w:rsidRDefault="009B2A29" w:rsidP="001B1789">
            <w:pPr>
              <w:jc w:val="right"/>
              <w:rPr>
                <w:rFonts w:cstheme="minorHAnsi"/>
                <w:b/>
                <w:sz w:val="20"/>
                <w:szCs w:val="20"/>
              </w:rPr>
            </w:pPr>
            <w:r w:rsidRPr="0082383E">
              <w:rPr>
                <w:rFonts w:cstheme="minorHAnsi"/>
                <w:b/>
                <w:sz w:val="20"/>
                <w:szCs w:val="20"/>
              </w:rPr>
              <w:t>246 229 748</w:t>
            </w:r>
          </w:p>
        </w:tc>
      </w:tr>
    </w:tbl>
    <w:p w14:paraId="2DFE3781" w14:textId="2261A6D7" w:rsidR="00EF2B36" w:rsidRPr="000D15E7" w:rsidRDefault="00EF2B36" w:rsidP="000D15E7">
      <w:pPr>
        <w:spacing w:before="40"/>
        <w:ind w:left="567" w:hanging="567"/>
        <w:rPr>
          <w:rFonts w:asciiTheme="minorHAnsi" w:hAnsiTheme="minorHAnsi" w:cstheme="minorHAnsi"/>
          <w:sz w:val="20"/>
          <w:szCs w:val="16"/>
        </w:rPr>
      </w:pPr>
      <w:r w:rsidRPr="000D15E7">
        <w:rPr>
          <w:rFonts w:asciiTheme="minorHAnsi" w:hAnsiTheme="minorHAnsi" w:cstheme="minorHAnsi"/>
          <w:b/>
          <w:sz w:val="20"/>
          <w:szCs w:val="16"/>
        </w:rPr>
        <w:t>Zdroj:</w:t>
      </w:r>
      <w:r w:rsidRPr="000D15E7">
        <w:rPr>
          <w:rFonts w:asciiTheme="minorHAnsi" w:hAnsiTheme="minorHAnsi" w:cstheme="minorHAnsi"/>
          <w:sz w:val="20"/>
          <w:szCs w:val="16"/>
        </w:rPr>
        <w:t xml:space="preserve"> předložené doklady SŽDC, </w:t>
      </w:r>
      <w:r w:rsidR="00681B12">
        <w:rPr>
          <w:rFonts w:asciiTheme="minorHAnsi" w:hAnsiTheme="minorHAnsi" w:cstheme="minorHAnsi"/>
          <w:sz w:val="20"/>
          <w:szCs w:val="16"/>
        </w:rPr>
        <w:t>vypracoval</w:t>
      </w:r>
      <w:r w:rsidRPr="000D15E7">
        <w:rPr>
          <w:rFonts w:asciiTheme="minorHAnsi" w:hAnsiTheme="minorHAnsi" w:cstheme="minorHAnsi"/>
          <w:sz w:val="20"/>
          <w:szCs w:val="16"/>
        </w:rPr>
        <w:t xml:space="preserve"> NKÚ.</w:t>
      </w:r>
    </w:p>
    <w:p w14:paraId="0CA413C0" w14:textId="77777777" w:rsidR="00EF2B36" w:rsidRPr="000D15E7" w:rsidRDefault="00EF2B36" w:rsidP="000D15E7">
      <w:pPr>
        <w:ind w:left="567" w:hanging="567"/>
        <w:rPr>
          <w:rFonts w:asciiTheme="minorHAnsi" w:hAnsiTheme="minorHAnsi" w:cstheme="minorHAnsi"/>
          <w:sz w:val="18"/>
          <w:szCs w:val="16"/>
        </w:rPr>
      </w:pPr>
      <w:r w:rsidRPr="000D15E7">
        <w:rPr>
          <w:rFonts w:asciiTheme="minorHAnsi" w:hAnsiTheme="minorHAnsi" w:cstheme="minorHAnsi"/>
          <w:b/>
          <w:sz w:val="20"/>
          <w:szCs w:val="16"/>
        </w:rPr>
        <w:t xml:space="preserve">Pozn. </w:t>
      </w:r>
      <w:r w:rsidR="000D15E7">
        <w:rPr>
          <w:rFonts w:asciiTheme="minorHAnsi" w:hAnsiTheme="minorHAnsi" w:cstheme="minorHAnsi"/>
          <w:b/>
          <w:sz w:val="20"/>
          <w:szCs w:val="16"/>
        </w:rPr>
        <w:tab/>
      </w:r>
      <w:r w:rsidRPr="000D15E7">
        <w:rPr>
          <w:rFonts w:asciiTheme="minorHAnsi" w:hAnsiTheme="minorHAnsi" w:cstheme="minorHAnsi"/>
          <w:sz w:val="20"/>
          <w:szCs w:val="16"/>
        </w:rPr>
        <w:t>V přehledech jsou uvedeny pouze stavební akce nad 200 000 Kč</w:t>
      </w:r>
      <w:r w:rsidR="001472B7" w:rsidRPr="000D15E7">
        <w:rPr>
          <w:rFonts w:asciiTheme="minorHAnsi" w:hAnsiTheme="minorHAnsi" w:cstheme="minorHAnsi"/>
          <w:sz w:val="20"/>
          <w:szCs w:val="16"/>
        </w:rPr>
        <w:t>, nejsou uvedeny běžné revize a malé drobné opravy</w:t>
      </w:r>
      <w:r w:rsidR="000B3C06" w:rsidRPr="000D15E7">
        <w:rPr>
          <w:rFonts w:asciiTheme="minorHAnsi" w:hAnsiTheme="minorHAnsi" w:cstheme="minorHAnsi"/>
          <w:sz w:val="20"/>
          <w:szCs w:val="16"/>
        </w:rPr>
        <w:t>.</w:t>
      </w:r>
    </w:p>
    <w:p w14:paraId="0D9675F5" w14:textId="77777777" w:rsidR="00EF2B36" w:rsidRDefault="00EF2B36" w:rsidP="000D15E7"/>
    <w:p w14:paraId="6037FD3C" w14:textId="77777777" w:rsidR="000D15E7" w:rsidRDefault="000D15E7">
      <w:pPr>
        <w:spacing w:after="160" w:line="259" w:lineRule="auto"/>
        <w:jc w:val="left"/>
        <w:rPr>
          <w:rFonts w:cs="Calibri"/>
          <w:color w:val="000000"/>
        </w:rPr>
      </w:pPr>
      <w:r>
        <w:rPr>
          <w:rFonts w:cs="Calibri"/>
          <w:color w:val="000000"/>
        </w:rPr>
        <w:br w:type="page"/>
      </w:r>
    </w:p>
    <w:p w14:paraId="5EFAE0B4" w14:textId="77777777" w:rsidR="00892962" w:rsidRPr="000D15E7" w:rsidRDefault="00892962" w:rsidP="000D15E7">
      <w:pPr>
        <w:autoSpaceDE w:val="0"/>
        <w:autoSpaceDN w:val="0"/>
        <w:adjustRightInd w:val="0"/>
        <w:ind w:firstLine="720"/>
        <w:jc w:val="right"/>
        <w:rPr>
          <w:rFonts w:cs="Calibri"/>
          <w:b/>
          <w:color w:val="000000"/>
        </w:rPr>
      </w:pPr>
      <w:r w:rsidRPr="000D15E7">
        <w:rPr>
          <w:rFonts w:cs="Calibri"/>
          <w:b/>
          <w:color w:val="000000"/>
        </w:rPr>
        <w:t xml:space="preserve">Příloha č. </w:t>
      </w:r>
      <w:r w:rsidR="00EF2B36" w:rsidRPr="000D15E7">
        <w:rPr>
          <w:rFonts w:cs="Calibri"/>
          <w:b/>
          <w:color w:val="000000"/>
        </w:rPr>
        <w:t>2</w:t>
      </w:r>
    </w:p>
    <w:p w14:paraId="598B4789" w14:textId="77777777" w:rsidR="00FA7603" w:rsidRDefault="00FA7603" w:rsidP="000D15E7">
      <w:pPr>
        <w:autoSpaceDE w:val="0"/>
        <w:autoSpaceDN w:val="0"/>
        <w:adjustRightInd w:val="0"/>
        <w:ind w:firstLine="720"/>
        <w:jc w:val="right"/>
        <w:rPr>
          <w:rFonts w:cs="Calibri"/>
          <w:color w:val="000000"/>
        </w:rPr>
      </w:pPr>
    </w:p>
    <w:p w14:paraId="4F442D0F" w14:textId="77777777" w:rsidR="00163089" w:rsidRDefault="0096238D" w:rsidP="000D15E7">
      <w:pPr>
        <w:jc w:val="center"/>
        <w:rPr>
          <w:rFonts w:asciiTheme="minorHAnsi" w:hAnsiTheme="minorHAnsi" w:cstheme="minorHAnsi"/>
          <w:b/>
        </w:rPr>
      </w:pPr>
      <w:r w:rsidRPr="000D15E7">
        <w:rPr>
          <w:rFonts w:asciiTheme="minorHAnsi" w:hAnsiTheme="minorHAnsi" w:cstheme="minorHAnsi"/>
          <w:b/>
        </w:rPr>
        <w:t>S</w:t>
      </w:r>
      <w:r w:rsidR="00163089" w:rsidRPr="000D15E7">
        <w:rPr>
          <w:rFonts w:asciiTheme="minorHAnsi" w:hAnsiTheme="minorHAnsi" w:cstheme="minorHAnsi"/>
          <w:b/>
        </w:rPr>
        <w:t>tavební akce</w:t>
      </w:r>
      <w:r w:rsidRPr="000D15E7">
        <w:rPr>
          <w:rFonts w:asciiTheme="minorHAnsi" w:hAnsiTheme="minorHAnsi" w:cstheme="minorHAnsi"/>
          <w:b/>
        </w:rPr>
        <w:t xml:space="preserve"> vybrané</w:t>
      </w:r>
      <w:r w:rsidR="00163089" w:rsidRPr="000D15E7">
        <w:rPr>
          <w:rFonts w:asciiTheme="minorHAnsi" w:hAnsiTheme="minorHAnsi" w:cstheme="minorHAnsi"/>
          <w:b/>
        </w:rPr>
        <w:t xml:space="preserve"> ke kontrole</w:t>
      </w:r>
    </w:p>
    <w:p w14:paraId="05816D92" w14:textId="77777777" w:rsidR="000D15E7" w:rsidRPr="000D15E7" w:rsidRDefault="000D15E7" w:rsidP="000D15E7">
      <w:pPr>
        <w:jc w:val="center"/>
        <w:rPr>
          <w:rFonts w:asciiTheme="minorHAnsi" w:hAnsiTheme="minorHAnsi" w:cstheme="minorHAnsi"/>
          <w:b/>
        </w:rPr>
      </w:pPr>
    </w:p>
    <w:tbl>
      <w:tblPr>
        <w:tblStyle w:val="Mkatabulky"/>
        <w:tblW w:w="0" w:type="dxa"/>
        <w:tblInd w:w="0" w:type="dxa"/>
        <w:tblLayout w:type="fixed"/>
        <w:tblLook w:val="04A0" w:firstRow="1" w:lastRow="0" w:firstColumn="1" w:lastColumn="0" w:noHBand="0" w:noVBand="1"/>
      </w:tblPr>
      <w:tblGrid>
        <w:gridCol w:w="484"/>
        <w:gridCol w:w="929"/>
        <w:gridCol w:w="976"/>
        <w:gridCol w:w="1150"/>
        <w:gridCol w:w="1560"/>
        <w:gridCol w:w="2284"/>
        <w:gridCol w:w="1976"/>
        <w:gridCol w:w="8"/>
      </w:tblGrid>
      <w:tr w:rsidR="00163089" w:rsidRPr="005E5ACF" w14:paraId="3773565F" w14:textId="77777777" w:rsidTr="0082383E">
        <w:trPr>
          <w:tblHeader/>
        </w:trPr>
        <w:tc>
          <w:tcPr>
            <w:tcW w:w="48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1553AB4" w14:textId="77777777" w:rsidR="00163089" w:rsidRPr="0082383E" w:rsidRDefault="00163089" w:rsidP="0082383E">
            <w:pPr>
              <w:jc w:val="center"/>
              <w:rPr>
                <w:rFonts w:eastAsiaTheme="minorHAnsi" w:cstheme="minorHAnsi"/>
                <w:b/>
                <w:sz w:val="14"/>
                <w:szCs w:val="14"/>
              </w:rPr>
            </w:pPr>
            <w:proofErr w:type="spellStart"/>
            <w:r w:rsidRPr="0082383E">
              <w:rPr>
                <w:rFonts w:eastAsiaTheme="minorHAnsi" w:cstheme="minorHAnsi"/>
                <w:b/>
                <w:sz w:val="14"/>
                <w:szCs w:val="14"/>
              </w:rPr>
              <w:t>Poř</w:t>
            </w:r>
            <w:proofErr w:type="spellEnd"/>
            <w:r w:rsidRPr="0082383E">
              <w:rPr>
                <w:rFonts w:eastAsiaTheme="minorHAnsi" w:cstheme="minorHAnsi"/>
                <w:b/>
                <w:sz w:val="14"/>
                <w:szCs w:val="14"/>
              </w:rPr>
              <w:t>.</w:t>
            </w:r>
          </w:p>
          <w:p w14:paraId="4DB9DBDD"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č.</w:t>
            </w:r>
          </w:p>
        </w:tc>
        <w:tc>
          <w:tcPr>
            <w:tcW w:w="929"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6E348A45"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Termín skutečné realizace</w:t>
            </w:r>
          </w:p>
        </w:tc>
        <w:tc>
          <w:tcPr>
            <w:tcW w:w="976"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0A962DD"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Lokalita</w:t>
            </w:r>
          </w:p>
        </w:tc>
        <w:tc>
          <w:tcPr>
            <w:tcW w:w="1150"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D42A468"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Název akce</w:t>
            </w:r>
          </w:p>
        </w:tc>
        <w:tc>
          <w:tcPr>
            <w:tcW w:w="1560"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0AA07D0"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Celková cena v tis. Kč</w:t>
            </w:r>
          </w:p>
          <w:p w14:paraId="45FAB531"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(bez DPH)</w:t>
            </w:r>
          </w:p>
        </w:tc>
        <w:tc>
          <w:tcPr>
            <w:tcW w:w="228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3E05F1BE"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Financování akce</w:t>
            </w:r>
          </w:p>
          <w:p w14:paraId="0517D0CE"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(jmenovitá akce/globální položka)</w:t>
            </w:r>
          </w:p>
        </w:tc>
        <w:tc>
          <w:tcPr>
            <w:tcW w:w="1984" w:type="dxa"/>
            <w:gridSpan w:val="2"/>
            <w:tcBorders>
              <w:top w:val="single" w:sz="4" w:space="0" w:color="auto"/>
              <w:left w:val="single" w:sz="4" w:space="0" w:color="auto"/>
              <w:bottom w:val="single" w:sz="4" w:space="0" w:color="auto"/>
              <w:right w:val="single" w:sz="4" w:space="0" w:color="auto"/>
            </w:tcBorders>
            <w:shd w:val="clear" w:color="auto" w:fill="E5F1FF"/>
            <w:vAlign w:val="center"/>
            <w:hideMark/>
          </w:tcPr>
          <w:p w14:paraId="7DB22CF3" w14:textId="77777777" w:rsidR="00163089" w:rsidRPr="0082383E" w:rsidRDefault="00163089" w:rsidP="0082383E">
            <w:pPr>
              <w:jc w:val="center"/>
              <w:rPr>
                <w:rFonts w:eastAsiaTheme="minorHAnsi" w:cstheme="minorHAnsi"/>
                <w:b/>
                <w:sz w:val="14"/>
                <w:szCs w:val="14"/>
              </w:rPr>
            </w:pPr>
            <w:r w:rsidRPr="0082383E">
              <w:rPr>
                <w:rFonts w:eastAsiaTheme="minorHAnsi" w:cstheme="minorHAnsi"/>
                <w:b/>
                <w:sz w:val="14"/>
                <w:szCs w:val="14"/>
              </w:rPr>
              <w:t>Poznámka</w:t>
            </w:r>
          </w:p>
        </w:tc>
      </w:tr>
      <w:tr w:rsidR="00163089" w:rsidRPr="005E5ACF" w14:paraId="4F40AC85" w14:textId="77777777" w:rsidTr="005E5ACF">
        <w:tc>
          <w:tcPr>
            <w:tcW w:w="484" w:type="dxa"/>
            <w:tcBorders>
              <w:top w:val="nil"/>
              <w:left w:val="single" w:sz="4" w:space="0" w:color="auto"/>
              <w:bottom w:val="single" w:sz="4" w:space="0" w:color="auto"/>
              <w:right w:val="single" w:sz="4" w:space="0" w:color="auto"/>
            </w:tcBorders>
            <w:shd w:val="clear" w:color="auto" w:fill="FFFFFF"/>
            <w:vAlign w:val="center"/>
            <w:hideMark/>
          </w:tcPr>
          <w:p w14:paraId="5EC54A29" w14:textId="77777777" w:rsidR="00163089" w:rsidRPr="005E5ACF" w:rsidRDefault="00163089" w:rsidP="00163089">
            <w:pPr>
              <w:jc w:val="center"/>
              <w:rPr>
                <w:rFonts w:cstheme="minorHAnsi"/>
                <w:sz w:val="14"/>
                <w:szCs w:val="14"/>
              </w:rPr>
            </w:pPr>
            <w:r w:rsidRPr="005E5ACF">
              <w:rPr>
                <w:rFonts w:cstheme="minorHAnsi"/>
                <w:sz w:val="14"/>
                <w:szCs w:val="14"/>
              </w:rPr>
              <w:t>1</w:t>
            </w:r>
          </w:p>
        </w:tc>
        <w:tc>
          <w:tcPr>
            <w:tcW w:w="929" w:type="dxa"/>
            <w:tcBorders>
              <w:top w:val="nil"/>
              <w:left w:val="single" w:sz="4" w:space="0" w:color="auto"/>
              <w:bottom w:val="single" w:sz="4" w:space="0" w:color="auto"/>
              <w:right w:val="single" w:sz="4" w:space="0" w:color="auto"/>
            </w:tcBorders>
            <w:shd w:val="clear" w:color="auto" w:fill="FFFFFF"/>
            <w:vAlign w:val="center"/>
            <w:hideMark/>
          </w:tcPr>
          <w:p w14:paraId="51BAE3F4" w14:textId="2D9CFE3D" w:rsidR="00163089" w:rsidRPr="005E5ACF" w:rsidRDefault="00163089" w:rsidP="00163089">
            <w:pPr>
              <w:jc w:val="center"/>
              <w:rPr>
                <w:rFonts w:cstheme="minorHAnsi"/>
                <w:sz w:val="14"/>
                <w:szCs w:val="14"/>
              </w:rPr>
            </w:pPr>
            <w:r w:rsidRPr="005E5ACF">
              <w:rPr>
                <w:rFonts w:cstheme="minorHAnsi"/>
                <w:sz w:val="14"/>
                <w:szCs w:val="14"/>
              </w:rPr>
              <w:t>08/2017</w:t>
            </w:r>
            <w:r w:rsidR="00C65E95">
              <w:rPr>
                <w:rFonts w:cstheme="minorHAnsi"/>
                <w:sz w:val="14"/>
                <w:szCs w:val="14"/>
              </w:rPr>
              <w:t xml:space="preserve"> –</w:t>
            </w:r>
          </w:p>
          <w:p w14:paraId="09C7F869" w14:textId="77777777" w:rsidR="00163089" w:rsidRPr="005E5ACF" w:rsidRDefault="00163089" w:rsidP="00163089">
            <w:pPr>
              <w:jc w:val="center"/>
              <w:rPr>
                <w:rFonts w:cstheme="minorHAnsi"/>
                <w:sz w:val="14"/>
                <w:szCs w:val="14"/>
              </w:rPr>
            </w:pPr>
            <w:r w:rsidRPr="005E5ACF">
              <w:rPr>
                <w:rFonts w:cstheme="minorHAnsi"/>
                <w:sz w:val="14"/>
                <w:szCs w:val="14"/>
              </w:rPr>
              <w:t>08/2018</w:t>
            </w:r>
          </w:p>
        </w:tc>
        <w:tc>
          <w:tcPr>
            <w:tcW w:w="976" w:type="dxa"/>
            <w:tcBorders>
              <w:top w:val="nil"/>
              <w:left w:val="single" w:sz="4" w:space="0" w:color="auto"/>
              <w:bottom w:val="single" w:sz="4" w:space="0" w:color="auto"/>
              <w:right w:val="single" w:sz="4" w:space="0" w:color="auto"/>
            </w:tcBorders>
            <w:shd w:val="clear" w:color="auto" w:fill="FFFFFF"/>
            <w:vAlign w:val="center"/>
            <w:hideMark/>
          </w:tcPr>
          <w:p w14:paraId="579195C8" w14:textId="77777777" w:rsidR="00163089" w:rsidRPr="005E5ACF" w:rsidRDefault="00163089" w:rsidP="005E5ACF">
            <w:pPr>
              <w:jc w:val="left"/>
              <w:rPr>
                <w:rFonts w:cstheme="minorHAnsi"/>
                <w:sz w:val="14"/>
                <w:szCs w:val="14"/>
              </w:rPr>
            </w:pPr>
            <w:r w:rsidRPr="005E5ACF">
              <w:rPr>
                <w:rFonts w:cstheme="minorHAnsi"/>
                <w:sz w:val="14"/>
                <w:szCs w:val="14"/>
              </w:rPr>
              <w:t>Turnov</w:t>
            </w:r>
          </w:p>
        </w:tc>
        <w:tc>
          <w:tcPr>
            <w:tcW w:w="1150" w:type="dxa"/>
            <w:tcBorders>
              <w:top w:val="nil"/>
              <w:left w:val="single" w:sz="4" w:space="0" w:color="auto"/>
              <w:bottom w:val="single" w:sz="4" w:space="0" w:color="auto"/>
              <w:right w:val="single" w:sz="4" w:space="0" w:color="auto"/>
            </w:tcBorders>
            <w:shd w:val="clear" w:color="auto" w:fill="FFFFFF"/>
            <w:vAlign w:val="center"/>
            <w:hideMark/>
          </w:tcPr>
          <w:p w14:paraId="072BF7FF" w14:textId="57E50021" w:rsidR="00163089" w:rsidRPr="005E5ACF" w:rsidRDefault="00163089" w:rsidP="00681B12">
            <w:pPr>
              <w:jc w:val="left"/>
              <w:rPr>
                <w:rFonts w:cstheme="minorHAnsi"/>
                <w:sz w:val="14"/>
                <w:szCs w:val="14"/>
              </w:rPr>
            </w:pPr>
            <w:r w:rsidRPr="005E5ACF">
              <w:rPr>
                <w:rFonts w:cstheme="minorHAnsi"/>
                <w:sz w:val="14"/>
                <w:szCs w:val="14"/>
              </w:rPr>
              <w:t xml:space="preserve">Rekonstrukce výpravní budovy </w:t>
            </w:r>
            <w:proofErr w:type="spellStart"/>
            <w:r w:rsidRPr="005E5ACF">
              <w:rPr>
                <w:rFonts w:cstheme="minorHAnsi"/>
                <w:sz w:val="14"/>
                <w:szCs w:val="14"/>
              </w:rPr>
              <w:t>žst</w:t>
            </w:r>
            <w:proofErr w:type="spellEnd"/>
            <w:r w:rsidRPr="005E5ACF">
              <w:rPr>
                <w:rFonts w:cstheme="minorHAnsi"/>
                <w:sz w:val="14"/>
                <w:szCs w:val="14"/>
              </w:rPr>
              <w:t xml:space="preserve">. Turnov </w:t>
            </w:r>
            <w:r w:rsidR="00681B12">
              <w:rPr>
                <w:rFonts w:cstheme="minorHAnsi"/>
                <w:sz w:val="14"/>
                <w:szCs w:val="14"/>
              </w:rPr>
              <w:t>–</w:t>
            </w:r>
            <w:r w:rsidR="0082383E">
              <w:rPr>
                <w:rFonts w:cstheme="minorHAnsi"/>
                <w:sz w:val="14"/>
                <w:szCs w:val="14"/>
              </w:rPr>
              <w:t xml:space="preserve"> 2. </w:t>
            </w:r>
            <w:r w:rsidRPr="005E5ACF">
              <w:rPr>
                <w:rFonts w:cstheme="minorHAnsi"/>
                <w:sz w:val="14"/>
                <w:szCs w:val="14"/>
              </w:rPr>
              <w:t>etapa</w:t>
            </w:r>
          </w:p>
        </w:tc>
        <w:tc>
          <w:tcPr>
            <w:tcW w:w="1560" w:type="dxa"/>
            <w:tcBorders>
              <w:top w:val="nil"/>
              <w:left w:val="single" w:sz="4" w:space="0" w:color="auto"/>
              <w:bottom w:val="single" w:sz="4" w:space="0" w:color="auto"/>
              <w:right w:val="single" w:sz="4" w:space="0" w:color="auto"/>
            </w:tcBorders>
            <w:shd w:val="clear" w:color="auto" w:fill="FFFFFF"/>
            <w:vAlign w:val="center"/>
            <w:hideMark/>
          </w:tcPr>
          <w:p w14:paraId="3CD5990D" w14:textId="77777777" w:rsidR="00163089" w:rsidRPr="005E5ACF" w:rsidRDefault="00163089" w:rsidP="00163089">
            <w:pPr>
              <w:jc w:val="center"/>
              <w:rPr>
                <w:rFonts w:cstheme="minorHAnsi"/>
                <w:sz w:val="14"/>
                <w:szCs w:val="14"/>
              </w:rPr>
            </w:pPr>
            <w:r w:rsidRPr="005E5ACF">
              <w:rPr>
                <w:rFonts w:cstheme="minorHAnsi"/>
                <w:sz w:val="14"/>
                <w:szCs w:val="14"/>
              </w:rPr>
              <w:t xml:space="preserve">30 407,366 </w:t>
            </w:r>
            <w:r w:rsidRPr="005E5ACF">
              <w:rPr>
                <w:rFonts w:cstheme="minorHAnsi"/>
                <w:sz w:val="14"/>
                <w:szCs w:val="14"/>
              </w:rPr>
              <w:br/>
              <w:t>(st. práce 29 987,366; PD 258,000</w:t>
            </w:r>
            <w:r w:rsidR="004B5491" w:rsidRPr="005E5ACF">
              <w:rPr>
                <w:rFonts w:cstheme="minorHAnsi"/>
                <w:sz w:val="14"/>
                <w:szCs w:val="14"/>
              </w:rPr>
              <w:t>;BOZP 162, 000</w:t>
            </w:r>
            <w:r w:rsidRPr="005E5ACF">
              <w:rPr>
                <w:rFonts w:cstheme="minorHAnsi"/>
                <w:sz w:val="14"/>
                <w:szCs w:val="14"/>
              </w:rPr>
              <w:t>)</w:t>
            </w:r>
          </w:p>
        </w:tc>
        <w:tc>
          <w:tcPr>
            <w:tcW w:w="2284" w:type="dxa"/>
            <w:tcBorders>
              <w:top w:val="nil"/>
              <w:left w:val="single" w:sz="4" w:space="0" w:color="auto"/>
              <w:bottom w:val="single" w:sz="4" w:space="0" w:color="auto"/>
              <w:right w:val="single" w:sz="4" w:space="0" w:color="auto"/>
            </w:tcBorders>
            <w:shd w:val="clear" w:color="auto" w:fill="FFFFFF"/>
            <w:vAlign w:val="center"/>
            <w:hideMark/>
          </w:tcPr>
          <w:p w14:paraId="695D5007" w14:textId="0742CD54" w:rsidR="00163089" w:rsidRPr="005E5ACF" w:rsidRDefault="00163089" w:rsidP="00681B12">
            <w:pPr>
              <w:jc w:val="left"/>
              <w:rPr>
                <w:rFonts w:cstheme="minorHAnsi"/>
                <w:sz w:val="14"/>
                <w:szCs w:val="14"/>
              </w:rPr>
            </w:pPr>
            <w:r w:rsidRPr="005E5ACF">
              <w:rPr>
                <w:rFonts w:cstheme="minorHAnsi"/>
                <w:sz w:val="14"/>
                <w:szCs w:val="14"/>
              </w:rPr>
              <w:t>Globální položka v roce 2017 (5003520036), mimo síť TEN-T</w:t>
            </w:r>
          </w:p>
        </w:tc>
        <w:tc>
          <w:tcPr>
            <w:tcW w:w="1984" w:type="dxa"/>
            <w:gridSpan w:val="2"/>
            <w:tcBorders>
              <w:top w:val="nil"/>
              <w:left w:val="single" w:sz="4" w:space="0" w:color="auto"/>
              <w:bottom w:val="single" w:sz="4" w:space="0" w:color="auto"/>
              <w:right w:val="single" w:sz="4" w:space="0" w:color="auto"/>
            </w:tcBorders>
            <w:shd w:val="clear" w:color="auto" w:fill="FFFFFF"/>
            <w:vAlign w:val="center"/>
            <w:hideMark/>
          </w:tcPr>
          <w:p w14:paraId="3BD4013F" w14:textId="2E6E6024" w:rsidR="00163089" w:rsidRPr="005E5ACF" w:rsidRDefault="00480013" w:rsidP="00681B12">
            <w:pPr>
              <w:jc w:val="left"/>
              <w:rPr>
                <w:rFonts w:cstheme="minorHAnsi"/>
                <w:sz w:val="14"/>
                <w:szCs w:val="14"/>
              </w:rPr>
            </w:pPr>
            <w:r w:rsidRPr="005E5ACF">
              <w:rPr>
                <w:rFonts w:cs="Calibri"/>
                <w:color w:val="000000"/>
                <w:sz w:val="14"/>
                <w:szCs w:val="14"/>
              </w:rPr>
              <w:t xml:space="preserve">Akce </w:t>
            </w:r>
            <w:r w:rsidR="00723400" w:rsidRPr="005E5ACF">
              <w:rPr>
                <w:rFonts w:cs="Calibri"/>
                <w:color w:val="000000"/>
                <w:sz w:val="14"/>
                <w:szCs w:val="14"/>
              </w:rPr>
              <w:t>dokončena</w:t>
            </w:r>
            <w:r w:rsidR="00681B12">
              <w:rPr>
                <w:rFonts w:cs="Calibri"/>
                <w:color w:val="000000"/>
                <w:sz w:val="14"/>
                <w:szCs w:val="14"/>
              </w:rPr>
              <w:t>;</w:t>
            </w:r>
            <w:r w:rsidR="00163089" w:rsidRPr="005E5ACF">
              <w:rPr>
                <w:rFonts w:cstheme="minorHAnsi"/>
                <w:sz w:val="14"/>
                <w:szCs w:val="14"/>
              </w:rPr>
              <w:t xml:space="preserve"> Oblastní ředitelství Hradec Králové</w:t>
            </w:r>
          </w:p>
        </w:tc>
      </w:tr>
      <w:tr w:rsidR="00163089" w:rsidRPr="005E5ACF" w14:paraId="7D595CDB" w14:textId="77777777" w:rsidTr="005E5ACF">
        <w:tc>
          <w:tcPr>
            <w:tcW w:w="484" w:type="dxa"/>
            <w:tcBorders>
              <w:top w:val="nil"/>
              <w:left w:val="single" w:sz="4" w:space="0" w:color="auto"/>
              <w:bottom w:val="single" w:sz="4" w:space="0" w:color="auto"/>
              <w:right w:val="single" w:sz="4" w:space="0" w:color="auto"/>
            </w:tcBorders>
            <w:shd w:val="clear" w:color="auto" w:fill="FFFFFF"/>
            <w:vAlign w:val="center"/>
            <w:hideMark/>
          </w:tcPr>
          <w:p w14:paraId="7F2753F6" w14:textId="77777777" w:rsidR="00163089" w:rsidRPr="005E5ACF" w:rsidRDefault="00163089" w:rsidP="00163089">
            <w:pPr>
              <w:jc w:val="center"/>
              <w:rPr>
                <w:rFonts w:cstheme="minorHAnsi"/>
                <w:sz w:val="14"/>
                <w:szCs w:val="14"/>
              </w:rPr>
            </w:pPr>
            <w:r w:rsidRPr="005E5ACF">
              <w:rPr>
                <w:rFonts w:cstheme="minorHAnsi"/>
                <w:sz w:val="14"/>
                <w:szCs w:val="14"/>
              </w:rPr>
              <w:t>2</w:t>
            </w:r>
          </w:p>
        </w:tc>
        <w:tc>
          <w:tcPr>
            <w:tcW w:w="929" w:type="dxa"/>
            <w:tcBorders>
              <w:top w:val="nil"/>
              <w:left w:val="single" w:sz="4" w:space="0" w:color="auto"/>
              <w:bottom w:val="single" w:sz="4" w:space="0" w:color="auto"/>
              <w:right w:val="single" w:sz="4" w:space="0" w:color="auto"/>
            </w:tcBorders>
            <w:shd w:val="clear" w:color="auto" w:fill="FFFFFF"/>
            <w:vAlign w:val="center"/>
            <w:hideMark/>
          </w:tcPr>
          <w:p w14:paraId="22CD08EB" w14:textId="1781BF32" w:rsidR="00163089" w:rsidRPr="005E5ACF" w:rsidRDefault="00163089" w:rsidP="00163089">
            <w:pPr>
              <w:jc w:val="center"/>
              <w:rPr>
                <w:rFonts w:cstheme="minorHAnsi"/>
                <w:sz w:val="14"/>
                <w:szCs w:val="14"/>
              </w:rPr>
            </w:pPr>
            <w:r w:rsidRPr="005E5ACF">
              <w:rPr>
                <w:rFonts w:cstheme="minorHAnsi"/>
                <w:sz w:val="14"/>
                <w:szCs w:val="14"/>
              </w:rPr>
              <w:t>09/2018</w:t>
            </w:r>
            <w:r w:rsidR="00C65E95">
              <w:rPr>
                <w:rFonts w:cstheme="minorHAnsi"/>
                <w:sz w:val="14"/>
                <w:szCs w:val="14"/>
              </w:rPr>
              <w:t xml:space="preserve"> –</w:t>
            </w:r>
          </w:p>
          <w:p w14:paraId="2EDBDF49" w14:textId="77777777" w:rsidR="00163089" w:rsidRPr="005E5ACF" w:rsidRDefault="00163089" w:rsidP="00163089">
            <w:pPr>
              <w:jc w:val="center"/>
              <w:rPr>
                <w:rFonts w:cstheme="minorHAnsi"/>
                <w:sz w:val="14"/>
                <w:szCs w:val="14"/>
              </w:rPr>
            </w:pPr>
            <w:r w:rsidRPr="005E5ACF">
              <w:rPr>
                <w:rFonts w:cstheme="minorHAnsi"/>
                <w:sz w:val="14"/>
                <w:szCs w:val="14"/>
              </w:rPr>
              <w:t>03/2020</w:t>
            </w:r>
          </w:p>
        </w:tc>
        <w:tc>
          <w:tcPr>
            <w:tcW w:w="976" w:type="dxa"/>
            <w:tcBorders>
              <w:top w:val="nil"/>
              <w:left w:val="single" w:sz="4" w:space="0" w:color="auto"/>
              <w:bottom w:val="single" w:sz="4" w:space="0" w:color="auto"/>
              <w:right w:val="single" w:sz="4" w:space="0" w:color="auto"/>
            </w:tcBorders>
            <w:shd w:val="clear" w:color="auto" w:fill="FFFFFF"/>
            <w:vAlign w:val="center"/>
            <w:hideMark/>
          </w:tcPr>
          <w:p w14:paraId="4411CB09" w14:textId="77777777" w:rsidR="00163089" w:rsidRPr="005E5ACF" w:rsidRDefault="00163089" w:rsidP="005E5ACF">
            <w:pPr>
              <w:jc w:val="left"/>
              <w:rPr>
                <w:rFonts w:cstheme="minorHAnsi"/>
                <w:sz w:val="14"/>
                <w:szCs w:val="14"/>
              </w:rPr>
            </w:pPr>
            <w:r w:rsidRPr="005E5ACF">
              <w:rPr>
                <w:rFonts w:cstheme="minorHAnsi"/>
                <w:sz w:val="14"/>
                <w:szCs w:val="14"/>
              </w:rPr>
              <w:t>Nový Bydžov</w:t>
            </w:r>
          </w:p>
        </w:tc>
        <w:tc>
          <w:tcPr>
            <w:tcW w:w="1150" w:type="dxa"/>
            <w:tcBorders>
              <w:top w:val="nil"/>
              <w:left w:val="single" w:sz="4" w:space="0" w:color="auto"/>
              <w:bottom w:val="single" w:sz="4" w:space="0" w:color="auto"/>
              <w:right w:val="single" w:sz="4" w:space="0" w:color="auto"/>
            </w:tcBorders>
            <w:shd w:val="clear" w:color="auto" w:fill="FFFFFF"/>
            <w:vAlign w:val="center"/>
            <w:hideMark/>
          </w:tcPr>
          <w:p w14:paraId="79A6F81A" w14:textId="5B6B1ACB" w:rsidR="00163089" w:rsidRPr="005E5ACF" w:rsidRDefault="00163089" w:rsidP="00681B12">
            <w:pPr>
              <w:jc w:val="left"/>
              <w:rPr>
                <w:rFonts w:cstheme="minorHAnsi"/>
                <w:sz w:val="14"/>
                <w:szCs w:val="14"/>
              </w:rPr>
            </w:pPr>
            <w:r w:rsidRPr="005E5ACF">
              <w:rPr>
                <w:rFonts w:cstheme="minorHAnsi"/>
                <w:sz w:val="14"/>
                <w:szCs w:val="14"/>
              </w:rPr>
              <w:t xml:space="preserve">Nový Bydžov ON </w:t>
            </w:r>
            <w:r w:rsidR="00681B12">
              <w:rPr>
                <w:rFonts w:cstheme="minorHAnsi"/>
                <w:sz w:val="14"/>
                <w:szCs w:val="14"/>
              </w:rPr>
              <w:t>–</w:t>
            </w:r>
            <w:r w:rsidRPr="005E5ACF">
              <w:rPr>
                <w:rFonts w:cstheme="minorHAnsi"/>
                <w:sz w:val="14"/>
                <w:szCs w:val="14"/>
              </w:rPr>
              <w:t xml:space="preserve"> SA oprava a rekonstrukce</w:t>
            </w:r>
          </w:p>
        </w:tc>
        <w:tc>
          <w:tcPr>
            <w:tcW w:w="1560" w:type="dxa"/>
            <w:tcBorders>
              <w:top w:val="nil"/>
              <w:left w:val="single" w:sz="4" w:space="0" w:color="auto"/>
              <w:bottom w:val="single" w:sz="4" w:space="0" w:color="auto"/>
              <w:right w:val="single" w:sz="4" w:space="0" w:color="auto"/>
            </w:tcBorders>
            <w:shd w:val="clear" w:color="auto" w:fill="FFFFFF"/>
            <w:vAlign w:val="center"/>
            <w:hideMark/>
          </w:tcPr>
          <w:p w14:paraId="1588E380" w14:textId="77777777" w:rsidR="00163089" w:rsidRPr="005E5ACF" w:rsidRDefault="00163089" w:rsidP="00163089">
            <w:pPr>
              <w:jc w:val="center"/>
              <w:rPr>
                <w:rFonts w:cstheme="minorHAnsi"/>
                <w:sz w:val="14"/>
                <w:szCs w:val="14"/>
              </w:rPr>
            </w:pPr>
            <w:r w:rsidRPr="005E5ACF">
              <w:rPr>
                <w:rFonts w:cstheme="minorHAnsi"/>
                <w:sz w:val="14"/>
                <w:szCs w:val="14"/>
              </w:rPr>
              <w:t>29 177,886</w:t>
            </w:r>
            <w:r w:rsidRPr="005E5ACF">
              <w:rPr>
                <w:rFonts w:cstheme="minorHAnsi"/>
                <w:sz w:val="14"/>
                <w:szCs w:val="14"/>
              </w:rPr>
              <w:br/>
              <w:t>(st. prác</w:t>
            </w:r>
            <w:r w:rsidR="007F31F0" w:rsidRPr="005E5ACF">
              <w:rPr>
                <w:rFonts w:cstheme="minorHAnsi"/>
                <w:sz w:val="14"/>
                <w:szCs w:val="14"/>
              </w:rPr>
              <w:t>e 27 997,158; PD 1 087,000; autorský</w:t>
            </w:r>
            <w:r w:rsidRPr="005E5ACF">
              <w:rPr>
                <w:rFonts w:cstheme="minorHAnsi"/>
                <w:sz w:val="14"/>
                <w:szCs w:val="14"/>
              </w:rPr>
              <w:t xml:space="preserve"> dozor 93,728)</w:t>
            </w:r>
          </w:p>
        </w:tc>
        <w:tc>
          <w:tcPr>
            <w:tcW w:w="2284" w:type="dxa"/>
            <w:tcBorders>
              <w:top w:val="nil"/>
              <w:left w:val="single" w:sz="4" w:space="0" w:color="auto"/>
              <w:bottom w:val="single" w:sz="4" w:space="0" w:color="auto"/>
              <w:right w:val="single" w:sz="4" w:space="0" w:color="auto"/>
            </w:tcBorders>
            <w:shd w:val="clear" w:color="auto" w:fill="FFFFFF"/>
            <w:vAlign w:val="center"/>
            <w:hideMark/>
          </w:tcPr>
          <w:p w14:paraId="3F8C6843" w14:textId="77777777" w:rsidR="00163089" w:rsidRPr="005E5ACF" w:rsidRDefault="00163089" w:rsidP="005E5ACF">
            <w:pPr>
              <w:jc w:val="left"/>
              <w:rPr>
                <w:rFonts w:cstheme="minorHAnsi"/>
                <w:sz w:val="14"/>
                <w:szCs w:val="14"/>
              </w:rPr>
            </w:pPr>
            <w:r w:rsidRPr="005E5ACF">
              <w:rPr>
                <w:rFonts w:cstheme="minorHAnsi"/>
                <w:sz w:val="14"/>
                <w:szCs w:val="14"/>
              </w:rPr>
              <w:t>Globální položka v roce 2018 (5003520036), mimo síť TEN-T</w:t>
            </w:r>
          </w:p>
        </w:tc>
        <w:tc>
          <w:tcPr>
            <w:tcW w:w="1984" w:type="dxa"/>
            <w:gridSpan w:val="2"/>
            <w:tcBorders>
              <w:top w:val="nil"/>
              <w:left w:val="single" w:sz="4" w:space="0" w:color="auto"/>
              <w:bottom w:val="single" w:sz="4" w:space="0" w:color="auto"/>
              <w:right w:val="single" w:sz="4" w:space="0" w:color="auto"/>
            </w:tcBorders>
            <w:shd w:val="clear" w:color="auto" w:fill="FFFFFF"/>
            <w:vAlign w:val="center"/>
            <w:hideMark/>
          </w:tcPr>
          <w:p w14:paraId="0888A61D" w14:textId="36EFD628" w:rsidR="00163089" w:rsidRPr="005E5ACF" w:rsidRDefault="00480013" w:rsidP="00681B12">
            <w:pPr>
              <w:jc w:val="left"/>
              <w:rPr>
                <w:rFonts w:cstheme="minorHAnsi"/>
                <w:sz w:val="14"/>
                <w:szCs w:val="14"/>
              </w:rPr>
            </w:pPr>
            <w:r w:rsidRPr="005E5ACF">
              <w:rPr>
                <w:rFonts w:cs="Calibri"/>
                <w:color w:val="000000"/>
                <w:sz w:val="14"/>
                <w:szCs w:val="14"/>
              </w:rPr>
              <w:t>Akce nebyla v době kontroly dokončena</w:t>
            </w:r>
            <w:r w:rsidR="00681B12">
              <w:rPr>
                <w:rFonts w:cstheme="minorHAnsi"/>
                <w:sz w:val="14"/>
                <w:szCs w:val="14"/>
              </w:rPr>
              <w:t>;</w:t>
            </w:r>
            <w:r w:rsidR="00163089" w:rsidRPr="005E5ACF">
              <w:rPr>
                <w:rFonts w:cstheme="minorHAnsi"/>
                <w:sz w:val="14"/>
                <w:szCs w:val="14"/>
              </w:rPr>
              <w:t xml:space="preserve"> Oblastní ředitelství Hradec Králové</w:t>
            </w:r>
          </w:p>
        </w:tc>
      </w:tr>
      <w:tr w:rsidR="00163089" w:rsidRPr="005E5ACF" w14:paraId="4E3829F2"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684C31D8" w14:textId="77777777" w:rsidR="00163089" w:rsidRPr="005E5ACF" w:rsidRDefault="00163089" w:rsidP="00163089">
            <w:pPr>
              <w:jc w:val="center"/>
              <w:rPr>
                <w:rFonts w:cstheme="minorHAnsi"/>
                <w:sz w:val="14"/>
                <w:szCs w:val="14"/>
              </w:rPr>
            </w:pPr>
            <w:r w:rsidRPr="005E5ACF">
              <w:rPr>
                <w:rFonts w:cstheme="minorHAnsi"/>
                <w:sz w:val="14"/>
                <w:szCs w:val="14"/>
              </w:rPr>
              <w:t>3</w:t>
            </w:r>
          </w:p>
        </w:tc>
        <w:tc>
          <w:tcPr>
            <w:tcW w:w="929" w:type="dxa"/>
            <w:tcBorders>
              <w:top w:val="single" w:sz="4" w:space="0" w:color="auto"/>
              <w:left w:val="single" w:sz="4" w:space="0" w:color="auto"/>
              <w:bottom w:val="single" w:sz="4" w:space="0" w:color="auto"/>
              <w:right w:val="single" w:sz="4" w:space="0" w:color="auto"/>
            </w:tcBorders>
            <w:vAlign w:val="center"/>
            <w:hideMark/>
          </w:tcPr>
          <w:p w14:paraId="4E212813" w14:textId="0E74CA26" w:rsidR="00163089" w:rsidRPr="005E5ACF" w:rsidRDefault="00163089" w:rsidP="00163089">
            <w:pPr>
              <w:jc w:val="center"/>
              <w:rPr>
                <w:rFonts w:cstheme="minorHAnsi"/>
                <w:sz w:val="14"/>
                <w:szCs w:val="14"/>
              </w:rPr>
            </w:pPr>
            <w:r w:rsidRPr="005E5ACF">
              <w:rPr>
                <w:rFonts w:cstheme="minorHAnsi"/>
                <w:sz w:val="14"/>
                <w:szCs w:val="14"/>
              </w:rPr>
              <w:t>01/2019</w:t>
            </w:r>
            <w:r w:rsidR="00C65E95">
              <w:rPr>
                <w:rFonts w:cstheme="minorHAnsi"/>
                <w:sz w:val="14"/>
                <w:szCs w:val="14"/>
              </w:rPr>
              <w:t xml:space="preserve"> –</w:t>
            </w:r>
          </w:p>
          <w:p w14:paraId="690B3D5D" w14:textId="77777777" w:rsidR="00163089" w:rsidRPr="005E5ACF" w:rsidRDefault="00163089" w:rsidP="00163089">
            <w:pPr>
              <w:jc w:val="center"/>
              <w:rPr>
                <w:rFonts w:cstheme="minorHAnsi"/>
                <w:sz w:val="14"/>
                <w:szCs w:val="14"/>
              </w:rPr>
            </w:pPr>
            <w:r w:rsidRPr="005E5ACF">
              <w:rPr>
                <w:rFonts w:cstheme="minorHAnsi"/>
                <w:sz w:val="14"/>
                <w:szCs w:val="14"/>
              </w:rPr>
              <w:t>08/2020</w:t>
            </w:r>
          </w:p>
        </w:tc>
        <w:tc>
          <w:tcPr>
            <w:tcW w:w="976" w:type="dxa"/>
            <w:tcBorders>
              <w:top w:val="single" w:sz="4" w:space="0" w:color="auto"/>
              <w:left w:val="single" w:sz="4" w:space="0" w:color="auto"/>
              <w:bottom w:val="single" w:sz="4" w:space="0" w:color="auto"/>
              <w:right w:val="single" w:sz="4" w:space="0" w:color="auto"/>
            </w:tcBorders>
            <w:vAlign w:val="center"/>
            <w:hideMark/>
          </w:tcPr>
          <w:p w14:paraId="6F3DF82B" w14:textId="77777777" w:rsidR="00163089" w:rsidRPr="005E5ACF" w:rsidRDefault="00163089" w:rsidP="005E5ACF">
            <w:pPr>
              <w:jc w:val="left"/>
              <w:rPr>
                <w:rFonts w:cstheme="minorHAnsi"/>
                <w:sz w:val="14"/>
                <w:szCs w:val="14"/>
              </w:rPr>
            </w:pPr>
            <w:r w:rsidRPr="005E5ACF">
              <w:rPr>
                <w:rFonts w:cstheme="minorHAnsi"/>
                <w:sz w:val="14"/>
                <w:szCs w:val="14"/>
              </w:rPr>
              <w:t>Doudleby nad Orlicí</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7666C3A" w14:textId="29F79267" w:rsidR="00163089" w:rsidRPr="005E5ACF" w:rsidRDefault="00163089" w:rsidP="00681B12">
            <w:pPr>
              <w:jc w:val="left"/>
              <w:rPr>
                <w:rFonts w:cstheme="minorHAnsi"/>
                <w:sz w:val="14"/>
                <w:szCs w:val="14"/>
              </w:rPr>
            </w:pPr>
            <w:r w:rsidRPr="005E5ACF">
              <w:rPr>
                <w:rFonts w:cstheme="minorHAnsi"/>
                <w:sz w:val="14"/>
                <w:szCs w:val="14"/>
              </w:rPr>
              <w:t>Doudleby nad</w:t>
            </w:r>
            <w:r w:rsidR="0082383E">
              <w:rPr>
                <w:rFonts w:cstheme="minorHAnsi"/>
                <w:sz w:val="14"/>
                <w:szCs w:val="14"/>
              </w:rPr>
              <w:t xml:space="preserve"> Orlicí ON </w:t>
            </w:r>
            <w:r w:rsidR="00681B12">
              <w:rPr>
                <w:rFonts w:cstheme="minorHAnsi"/>
                <w:sz w:val="14"/>
                <w:szCs w:val="14"/>
              </w:rPr>
              <w:t>–</w:t>
            </w:r>
            <w:r w:rsidR="0082383E">
              <w:rPr>
                <w:rFonts w:cstheme="minorHAnsi"/>
                <w:sz w:val="14"/>
                <w:szCs w:val="14"/>
              </w:rPr>
              <w:t xml:space="preserve"> SA oprava a </w:t>
            </w:r>
            <w:r w:rsidRPr="005E5ACF">
              <w:rPr>
                <w:rFonts w:cstheme="minorHAnsi"/>
                <w:sz w:val="14"/>
                <w:szCs w:val="14"/>
              </w:rPr>
              <w:t>rekonstrukce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52C868" w14:textId="77777777" w:rsidR="00163089" w:rsidRPr="005E5ACF" w:rsidRDefault="00163089" w:rsidP="00163089">
            <w:pPr>
              <w:jc w:val="center"/>
              <w:rPr>
                <w:rFonts w:cstheme="minorHAnsi"/>
                <w:sz w:val="14"/>
                <w:szCs w:val="14"/>
              </w:rPr>
            </w:pPr>
            <w:r w:rsidRPr="005E5ACF">
              <w:rPr>
                <w:rFonts w:cstheme="minorHAnsi"/>
                <w:sz w:val="14"/>
                <w:szCs w:val="14"/>
              </w:rPr>
              <w:t xml:space="preserve">16 559,021 </w:t>
            </w:r>
            <w:r w:rsidRPr="005E5ACF">
              <w:rPr>
                <w:rFonts w:cstheme="minorHAnsi"/>
                <w:sz w:val="14"/>
                <w:szCs w:val="14"/>
              </w:rPr>
              <w:br/>
              <w:t>(st. práce 15 949,021; PD 610,000)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55DF27BB" w14:textId="77777777" w:rsidR="00163089" w:rsidRPr="005E5ACF" w:rsidRDefault="00163089" w:rsidP="005E5ACF">
            <w:pPr>
              <w:jc w:val="left"/>
              <w:rPr>
                <w:rFonts w:cstheme="minorHAnsi"/>
                <w:sz w:val="14"/>
                <w:szCs w:val="14"/>
              </w:rPr>
            </w:pPr>
            <w:r w:rsidRPr="005E5ACF">
              <w:rPr>
                <w:rFonts w:cstheme="minorHAnsi"/>
                <w:sz w:val="14"/>
                <w:szCs w:val="14"/>
              </w:rPr>
              <w:t>Globální položka v roce 2018 (5003520036), mimo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D0404C7" w14:textId="19B8330A" w:rsidR="00163089" w:rsidRPr="005E5ACF" w:rsidRDefault="00480013" w:rsidP="00681B12">
            <w:pPr>
              <w:jc w:val="left"/>
              <w:rPr>
                <w:rFonts w:cstheme="minorHAnsi"/>
                <w:sz w:val="14"/>
                <w:szCs w:val="14"/>
              </w:rPr>
            </w:pPr>
            <w:r w:rsidRPr="005E5ACF">
              <w:rPr>
                <w:rFonts w:cs="Calibri"/>
                <w:color w:val="000000"/>
                <w:sz w:val="14"/>
                <w:szCs w:val="14"/>
              </w:rPr>
              <w:t>Akce nebyla v době kontroly dokončena</w:t>
            </w:r>
            <w:r w:rsidR="00681B12">
              <w:rPr>
                <w:rFonts w:cstheme="minorHAnsi"/>
                <w:sz w:val="14"/>
                <w:szCs w:val="14"/>
              </w:rPr>
              <w:t>;</w:t>
            </w:r>
            <w:r w:rsidR="00163089" w:rsidRPr="005E5ACF">
              <w:rPr>
                <w:rFonts w:cstheme="minorHAnsi"/>
                <w:sz w:val="14"/>
                <w:szCs w:val="14"/>
              </w:rPr>
              <w:t xml:space="preserve"> Oblastní ředitelství Hradec Králové</w:t>
            </w:r>
          </w:p>
        </w:tc>
      </w:tr>
      <w:tr w:rsidR="00163089" w:rsidRPr="005E5ACF" w14:paraId="49C3A327"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5BAE193B" w14:textId="77777777" w:rsidR="00163089" w:rsidRPr="005E5ACF" w:rsidRDefault="00163089" w:rsidP="00163089">
            <w:pPr>
              <w:jc w:val="center"/>
              <w:rPr>
                <w:rFonts w:cstheme="minorHAnsi"/>
                <w:sz w:val="14"/>
                <w:szCs w:val="14"/>
              </w:rPr>
            </w:pPr>
            <w:r w:rsidRPr="005E5ACF">
              <w:rPr>
                <w:rFonts w:cstheme="minorHAnsi"/>
                <w:sz w:val="14"/>
                <w:szCs w:val="14"/>
              </w:rPr>
              <w:t>4</w:t>
            </w:r>
          </w:p>
        </w:tc>
        <w:tc>
          <w:tcPr>
            <w:tcW w:w="929" w:type="dxa"/>
            <w:tcBorders>
              <w:top w:val="single" w:sz="4" w:space="0" w:color="auto"/>
              <w:left w:val="single" w:sz="4" w:space="0" w:color="auto"/>
              <w:bottom w:val="single" w:sz="4" w:space="0" w:color="auto"/>
              <w:right w:val="single" w:sz="4" w:space="0" w:color="auto"/>
            </w:tcBorders>
            <w:vAlign w:val="center"/>
            <w:hideMark/>
          </w:tcPr>
          <w:p w14:paraId="410AD0FD" w14:textId="165C09D2" w:rsidR="00163089" w:rsidRPr="005E5ACF" w:rsidRDefault="00163089" w:rsidP="00163089">
            <w:pPr>
              <w:jc w:val="center"/>
              <w:rPr>
                <w:rFonts w:cstheme="minorHAnsi"/>
                <w:sz w:val="14"/>
                <w:szCs w:val="14"/>
              </w:rPr>
            </w:pPr>
            <w:r w:rsidRPr="005E5ACF">
              <w:rPr>
                <w:rFonts w:cstheme="minorHAnsi"/>
                <w:sz w:val="14"/>
                <w:szCs w:val="14"/>
              </w:rPr>
              <w:t>09/2018</w:t>
            </w:r>
            <w:r w:rsidR="00C65E95">
              <w:rPr>
                <w:rFonts w:cstheme="minorHAnsi"/>
                <w:sz w:val="14"/>
                <w:szCs w:val="14"/>
              </w:rPr>
              <w:t xml:space="preserve"> –</w:t>
            </w:r>
          </w:p>
          <w:p w14:paraId="57004A9B" w14:textId="77777777" w:rsidR="00163089" w:rsidRPr="005E5ACF" w:rsidRDefault="00163089" w:rsidP="00163089">
            <w:pPr>
              <w:jc w:val="center"/>
              <w:rPr>
                <w:rFonts w:cstheme="minorHAnsi"/>
                <w:sz w:val="14"/>
                <w:szCs w:val="14"/>
              </w:rPr>
            </w:pPr>
            <w:r w:rsidRPr="005E5ACF">
              <w:rPr>
                <w:rFonts w:cstheme="minorHAnsi"/>
                <w:sz w:val="14"/>
                <w:szCs w:val="14"/>
              </w:rPr>
              <w:t>01/2020</w:t>
            </w:r>
          </w:p>
        </w:tc>
        <w:tc>
          <w:tcPr>
            <w:tcW w:w="976" w:type="dxa"/>
            <w:tcBorders>
              <w:top w:val="single" w:sz="4" w:space="0" w:color="auto"/>
              <w:left w:val="single" w:sz="4" w:space="0" w:color="auto"/>
              <w:bottom w:val="single" w:sz="4" w:space="0" w:color="auto"/>
              <w:right w:val="single" w:sz="4" w:space="0" w:color="auto"/>
            </w:tcBorders>
            <w:vAlign w:val="center"/>
            <w:hideMark/>
          </w:tcPr>
          <w:p w14:paraId="413B0E33" w14:textId="77777777" w:rsidR="00163089" w:rsidRPr="005E5ACF" w:rsidRDefault="00163089" w:rsidP="005E5ACF">
            <w:pPr>
              <w:jc w:val="left"/>
              <w:rPr>
                <w:rFonts w:cstheme="minorHAnsi"/>
                <w:sz w:val="14"/>
                <w:szCs w:val="14"/>
              </w:rPr>
            </w:pPr>
            <w:r w:rsidRPr="005E5ACF">
              <w:rPr>
                <w:rFonts w:cstheme="minorHAnsi"/>
                <w:sz w:val="14"/>
                <w:szCs w:val="14"/>
              </w:rPr>
              <w:t>Semily</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19C97F7" w14:textId="4A8AD442" w:rsidR="00163089" w:rsidRPr="005E5ACF" w:rsidRDefault="00163089" w:rsidP="00681B12">
            <w:pPr>
              <w:jc w:val="left"/>
              <w:rPr>
                <w:rFonts w:cstheme="minorHAnsi"/>
                <w:sz w:val="14"/>
                <w:szCs w:val="14"/>
              </w:rPr>
            </w:pPr>
            <w:r w:rsidRPr="005E5ACF">
              <w:rPr>
                <w:rFonts w:cstheme="minorHAnsi"/>
                <w:sz w:val="14"/>
                <w:szCs w:val="14"/>
              </w:rPr>
              <w:t xml:space="preserve">Semily ON </w:t>
            </w:r>
            <w:r w:rsidR="00681B12">
              <w:rPr>
                <w:rFonts w:cstheme="minorHAnsi"/>
                <w:sz w:val="14"/>
                <w:szCs w:val="14"/>
              </w:rPr>
              <w:t>–</w:t>
            </w:r>
            <w:r w:rsidRPr="005E5ACF">
              <w:rPr>
                <w:rFonts w:cstheme="minorHAnsi"/>
                <w:sz w:val="14"/>
                <w:szCs w:val="14"/>
              </w:rPr>
              <w:t xml:space="preserve"> rekonstrukce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7EA59D" w14:textId="77777777" w:rsidR="00163089" w:rsidRPr="005E5ACF" w:rsidRDefault="00163089" w:rsidP="00163089">
            <w:pPr>
              <w:jc w:val="center"/>
              <w:rPr>
                <w:rFonts w:cstheme="minorHAnsi"/>
                <w:sz w:val="14"/>
                <w:szCs w:val="14"/>
              </w:rPr>
            </w:pPr>
            <w:r w:rsidRPr="005E5ACF">
              <w:rPr>
                <w:rFonts w:cstheme="minorHAnsi"/>
                <w:sz w:val="14"/>
                <w:szCs w:val="14"/>
              </w:rPr>
              <w:t xml:space="preserve">30 287,825 </w:t>
            </w:r>
            <w:r w:rsidRPr="005E5ACF">
              <w:rPr>
                <w:rFonts w:cstheme="minorHAnsi"/>
                <w:sz w:val="14"/>
                <w:szCs w:val="14"/>
              </w:rPr>
              <w:br/>
              <w:t>(st. práce 29 312,825; PD 975,000)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78A44B6D" w14:textId="77777777" w:rsidR="00163089" w:rsidRPr="005E5ACF" w:rsidRDefault="00163089" w:rsidP="005E5ACF">
            <w:pPr>
              <w:jc w:val="left"/>
              <w:rPr>
                <w:rFonts w:cstheme="minorHAnsi"/>
                <w:sz w:val="14"/>
                <w:szCs w:val="14"/>
              </w:rPr>
            </w:pPr>
            <w:r w:rsidRPr="005E5ACF">
              <w:rPr>
                <w:rFonts w:cstheme="minorHAnsi"/>
                <w:sz w:val="14"/>
                <w:szCs w:val="14"/>
              </w:rPr>
              <w:t>Globální položka v roce 2018 (5003520036), mimo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1EE9B2B" w14:textId="4AFDC8B5" w:rsidR="00163089" w:rsidRPr="005E5ACF" w:rsidRDefault="00480013" w:rsidP="00681B12">
            <w:pPr>
              <w:jc w:val="left"/>
              <w:rPr>
                <w:rFonts w:cstheme="minorHAnsi"/>
                <w:sz w:val="14"/>
                <w:szCs w:val="14"/>
              </w:rPr>
            </w:pPr>
            <w:r w:rsidRPr="005E5ACF">
              <w:rPr>
                <w:rFonts w:cs="Calibri"/>
                <w:color w:val="000000"/>
                <w:sz w:val="14"/>
                <w:szCs w:val="14"/>
              </w:rPr>
              <w:t>Akce nebyla v době kontroly dokončena</w:t>
            </w:r>
            <w:r w:rsidR="00681B12">
              <w:rPr>
                <w:rFonts w:cstheme="minorHAnsi"/>
                <w:sz w:val="14"/>
                <w:szCs w:val="14"/>
              </w:rPr>
              <w:t>;</w:t>
            </w:r>
            <w:r w:rsidR="00163089" w:rsidRPr="005E5ACF">
              <w:rPr>
                <w:rFonts w:cstheme="minorHAnsi"/>
                <w:sz w:val="14"/>
                <w:szCs w:val="14"/>
              </w:rPr>
              <w:t xml:space="preserve"> Oblastní ředitelství Hradec Králové</w:t>
            </w:r>
          </w:p>
        </w:tc>
      </w:tr>
      <w:tr w:rsidR="00163089" w:rsidRPr="005E5ACF" w14:paraId="6E7E0904"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7156E389" w14:textId="77777777" w:rsidR="00163089" w:rsidRPr="005E5ACF" w:rsidRDefault="00163089" w:rsidP="00163089">
            <w:pPr>
              <w:jc w:val="center"/>
              <w:rPr>
                <w:rFonts w:cstheme="minorHAnsi"/>
                <w:sz w:val="14"/>
                <w:szCs w:val="14"/>
              </w:rPr>
            </w:pPr>
            <w:r w:rsidRPr="005E5ACF">
              <w:rPr>
                <w:rFonts w:cstheme="minorHAnsi"/>
                <w:sz w:val="14"/>
                <w:szCs w:val="14"/>
              </w:rPr>
              <w:t>5</w:t>
            </w:r>
          </w:p>
        </w:tc>
        <w:tc>
          <w:tcPr>
            <w:tcW w:w="929" w:type="dxa"/>
            <w:tcBorders>
              <w:top w:val="single" w:sz="4" w:space="0" w:color="auto"/>
              <w:left w:val="single" w:sz="4" w:space="0" w:color="auto"/>
              <w:bottom w:val="single" w:sz="4" w:space="0" w:color="auto"/>
              <w:right w:val="single" w:sz="4" w:space="0" w:color="auto"/>
            </w:tcBorders>
            <w:vAlign w:val="center"/>
            <w:hideMark/>
          </w:tcPr>
          <w:p w14:paraId="2D63ECD7" w14:textId="4E4CFEE5" w:rsidR="00163089" w:rsidRPr="005E5ACF" w:rsidRDefault="00163089" w:rsidP="00163089">
            <w:pPr>
              <w:jc w:val="center"/>
              <w:rPr>
                <w:rFonts w:cstheme="minorHAnsi"/>
                <w:sz w:val="14"/>
                <w:szCs w:val="14"/>
              </w:rPr>
            </w:pPr>
            <w:r w:rsidRPr="005E5ACF">
              <w:rPr>
                <w:rFonts w:cstheme="minorHAnsi"/>
                <w:sz w:val="14"/>
                <w:szCs w:val="14"/>
              </w:rPr>
              <w:t>Do 31.</w:t>
            </w:r>
            <w:r w:rsidR="00681B12">
              <w:rPr>
                <w:rFonts w:cstheme="minorHAnsi"/>
                <w:sz w:val="14"/>
                <w:szCs w:val="14"/>
              </w:rPr>
              <w:t> </w:t>
            </w:r>
            <w:r w:rsidRPr="005E5ACF">
              <w:rPr>
                <w:rFonts w:cstheme="minorHAnsi"/>
                <w:sz w:val="14"/>
                <w:szCs w:val="14"/>
              </w:rPr>
              <w:t>12.</w:t>
            </w:r>
            <w:r w:rsidR="00681B12">
              <w:rPr>
                <w:rFonts w:cstheme="minorHAnsi"/>
                <w:sz w:val="14"/>
                <w:szCs w:val="14"/>
              </w:rPr>
              <w:t> </w:t>
            </w:r>
            <w:r w:rsidRPr="005E5ACF">
              <w:rPr>
                <w:rFonts w:cstheme="minorHAnsi"/>
                <w:sz w:val="14"/>
                <w:szCs w:val="14"/>
              </w:rPr>
              <w:t>2019 nebyla zahájena</w:t>
            </w:r>
          </w:p>
        </w:tc>
        <w:tc>
          <w:tcPr>
            <w:tcW w:w="976" w:type="dxa"/>
            <w:tcBorders>
              <w:top w:val="single" w:sz="4" w:space="0" w:color="auto"/>
              <w:left w:val="single" w:sz="4" w:space="0" w:color="auto"/>
              <w:bottom w:val="single" w:sz="4" w:space="0" w:color="auto"/>
              <w:right w:val="single" w:sz="4" w:space="0" w:color="auto"/>
            </w:tcBorders>
            <w:vAlign w:val="center"/>
            <w:hideMark/>
          </w:tcPr>
          <w:p w14:paraId="6D81C780" w14:textId="77777777" w:rsidR="00163089" w:rsidRPr="005E5ACF" w:rsidRDefault="00163089" w:rsidP="005E5ACF">
            <w:pPr>
              <w:jc w:val="left"/>
              <w:rPr>
                <w:rFonts w:cstheme="minorHAnsi"/>
                <w:sz w:val="14"/>
                <w:szCs w:val="14"/>
              </w:rPr>
            </w:pPr>
            <w:r w:rsidRPr="005E5ACF">
              <w:rPr>
                <w:rFonts w:cstheme="minorHAnsi"/>
                <w:sz w:val="14"/>
                <w:szCs w:val="14"/>
              </w:rPr>
              <w:t>Beroun</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6CF59B6" w14:textId="77777777" w:rsidR="00163089" w:rsidRPr="005E5ACF" w:rsidRDefault="00163089" w:rsidP="005E5ACF">
            <w:pPr>
              <w:jc w:val="left"/>
              <w:rPr>
                <w:rFonts w:cstheme="minorHAnsi"/>
                <w:sz w:val="14"/>
                <w:szCs w:val="14"/>
              </w:rPr>
            </w:pPr>
            <w:r w:rsidRPr="005E5ACF">
              <w:rPr>
                <w:rFonts w:cstheme="minorHAnsi"/>
                <w:sz w:val="14"/>
                <w:szCs w:val="14"/>
              </w:rPr>
              <w:t>Rekonstrukce výpravní budovy v </w:t>
            </w:r>
            <w:proofErr w:type="spellStart"/>
            <w:r w:rsidRPr="005E5ACF">
              <w:rPr>
                <w:rFonts w:cstheme="minorHAnsi"/>
                <w:sz w:val="14"/>
                <w:szCs w:val="14"/>
              </w:rPr>
              <w:t>žst</w:t>
            </w:r>
            <w:proofErr w:type="spellEnd"/>
            <w:r w:rsidRPr="005E5ACF">
              <w:rPr>
                <w:rFonts w:cstheme="minorHAnsi"/>
                <w:sz w:val="14"/>
                <w:szCs w:val="14"/>
              </w:rPr>
              <w:t>. Beroun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B15748" w14:textId="77777777" w:rsidR="00163089" w:rsidRPr="005E5ACF" w:rsidRDefault="00163089" w:rsidP="00163089">
            <w:pPr>
              <w:jc w:val="center"/>
              <w:rPr>
                <w:rFonts w:cstheme="minorHAnsi"/>
                <w:sz w:val="14"/>
                <w:szCs w:val="14"/>
              </w:rPr>
            </w:pPr>
            <w:r w:rsidRPr="005E5ACF">
              <w:rPr>
                <w:rFonts w:cstheme="minorHAnsi"/>
                <w:sz w:val="14"/>
                <w:szCs w:val="14"/>
              </w:rPr>
              <w:t xml:space="preserve">237 252,200 </w:t>
            </w:r>
            <w:r w:rsidRPr="005E5ACF">
              <w:rPr>
                <w:rFonts w:cstheme="minorHAnsi"/>
                <w:sz w:val="14"/>
                <w:szCs w:val="14"/>
              </w:rPr>
              <w:br/>
              <w:t>(st. práce 228 000,000</w:t>
            </w:r>
          </w:p>
          <w:p w14:paraId="5D6E5FE3" w14:textId="77777777" w:rsidR="00163089" w:rsidRPr="005E5ACF" w:rsidRDefault="00163089" w:rsidP="00163089">
            <w:pPr>
              <w:jc w:val="center"/>
              <w:rPr>
                <w:rFonts w:cstheme="minorHAnsi"/>
                <w:sz w:val="14"/>
                <w:szCs w:val="14"/>
              </w:rPr>
            </w:pPr>
            <w:r w:rsidRPr="005E5ACF">
              <w:rPr>
                <w:rFonts w:cstheme="minorHAnsi"/>
                <w:sz w:val="14"/>
                <w:szCs w:val="14"/>
              </w:rPr>
              <w:t>(předpokládaná cena); 9 252,200)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6E6175AF" w14:textId="77777777" w:rsidR="00163089" w:rsidRPr="005E5ACF" w:rsidRDefault="00163089" w:rsidP="005E5ACF">
            <w:pPr>
              <w:jc w:val="left"/>
              <w:rPr>
                <w:rFonts w:cstheme="minorHAnsi"/>
                <w:sz w:val="14"/>
                <w:szCs w:val="14"/>
              </w:rPr>
            </w:pPr>
            <w:r w:rsidRPr="005E5ACF">
              <w:rPr>
                <w:rFonts w:cstheme="minorHAnsi"/>
                <w:sz w:val="14"/>
                <w:szCs w:val="14"/>
              </w:rPr>
              <w:t>Globální položka v roce 2019 (5003520139),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BEC9BD5" w14:textId="0509B4B4" w:rsidR="00163089" w:rsidRPr="005E5ACF" w:rsidRDefault="00480013" w:rsidP="005E5ACF">
            <w:pPr>
              <w:jc w:val="left"/>
              <w:rPr>
                <w:rFonts w:cstheme="minorHAnsi"/>
                <w:sz w:val="14"/>
                <w:szCs w:val="14"/>
              </w:rPr>
            </w:pPr>
            <w:r w:rsidRPr="005E5ACF">
              <w:rPr>
                <w:rFonts w:cstheme="minorHAnsi"/>
                <w:sz w:val="14"/>
                <w:szCs w:val="14"/>
              </w:rPr>
              <w:t>V době kontroly nebylo</w:t>
            </w:r>
            <w:r w:rsidR="00163089" w:rsidRPr="005E5ACF">
              <w:rPr>
                <w:rFonts w:cstheme="minorHAnsi"/>
                <w:sz w:val="14"/>
                <w:szCs w:val="14"/>
              </w:rPr>
              <w:t xml:space="preserve"> dokončeno výběrové řízení</w:t>
            </w:r>
            <w:r w:rsidR="00681B12">
              <w:rPr>
                <w:rFonts w:cstheme="minorHAnsi"/>
                <w:sz w:val="14"/>
                <w:szCs w:val="14"/>
              </w:rPr>
              <w:t>;</w:t>
            </w:r>
          </w:p>
          <w:p w14:paraId="2F230B87" w14:textId="420FD306" w:rsidR="00163089" w:rsidRPr="005E5ACF" w:rsidRDefault="00163089" w:rsidP="005E5ACF">
            <w:pPr>
              <w:jc w:val="left"/>
              <w:rPr>
                <w:rFonts w:cstheme="minorHAnsi"/>
                <w:sz w:val="14"/>
                <w:szCs w:val="14"/>
              </w:rPr>
            </w:pPr>
            <w:r w:rsidRPr="005E5ACF">
              <w:rPr>
                <w:rFonts w:cstheme="minorHAnsi"/>
                <w:sz w:val="14"/>
                <w:szCs w:val="14"/>
              </w:rPr>
              <w:t>Oblastní ředitelství Praha</w:t>
            </w:r>
          </w:p>
        </w:tc>
      </w:tr>
      <w:tr w:rsidR="00163089" w:rsidRPr="005E5ACF" w14:paraId="52BE1913"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742CC986" w14:textId="77777777" w:rsidR="00163089" w:rsidRPr="005E5ACF" w:rsidRDefault="00163089" w:rsidP="00163089">
            <w:pPr>
              <w:jc w:val="center"/>
              <w:rPr>
                <w:rFonts w:cstheme="minorHAnsi"/>
                <w:sz w:val="14"/>
                <w:szCs w:val="14"/>
              </w:rPr>
            </w:pPr>
            <w:r w:rsidRPr="005E5ACF">
              <w:rPr>
                <w:rFonts w:cstheme="minorHAnsi"/>
                <w:sz w:val="14"/>
                <w:szCs w:val="14"/>
              </w:rPr>
              <w:t>6</w:t>
            </w:r>
          </w:p>
        </w:tc>
        <w:tc>
          <w:tcPr>
            <w:tcW w:w="929" w:type="dxa"/>
            <w:tcBorders>
              <w:top w:val="single" w:sz="4" w:space="0" w:color="auto"/>
              <w:left w:val="single" w:sz="4" w:space="0" w:color="auto"/>
              <w:bottom w:val="single" w:sz="4" w:space="0" w:color="auto"/>
              <w:right w:val="single" w:sz="4" w:space="0" w:color="auto"/>
            </w:tcBorders>
            <w:vAlign w:val="center"/>
            <w:hideMark/>
          </w:tcPr>
          <w:p w14:paraId="753C093F" w14:textId="2AC8B9CA" w:rsidR="00163089" w:rsidRPr="005E5ACF" w:rsidRDefault="00163089" w:rsidP="00163089">
            <w:pPr>
              <w:jc w:val="center"/>
              <w:rPr>
                <w:rFonts w:cstheme="minorHAnsi"/>
                <w:sz w:val="14"/>
                <w:szCs w:val="14"/>
              </w:rPr>
            </w:pPr>
            <w:r w:rsidRPr="005E5ACF">
              <w:rPr>
                <w:rFonts w:cstheme="minorHAnsi"/>
                <w:sz w:val="14"/>
                <w:szCs w:val="14"/>
              </w:rPr>
              <w:t>07/2019</w:t>
            </w:r>
            <w:r w:rsidR="00C65E95">
              <w:rPr>
                <w:rFonts w:cstheme="minorHAnsi"/>
                <w:sz w:val="14"/>
                <w:szCs w:val="14"/>
              </w:rPr>
              <w:t xml:space="preserve"> –</w:t>
            </w:r>
          </w:p>
          <w:p w14:paraId="1B3BA190" w14:textId="77777777" w:rsidR="00163089" w:rsidRPr="005E5ACF" w:rsidRDefault="00163089" w:rsidP="00163089">
            <w:pPr>
              <w:jc w:val="center"/>
              <w:rPr>
                <w:rFonts w:cstheme="minorHAnsi"/>
                <w:sz w:val="14"/>
                <w:szCs w:val="14"/>
              </w:rPr>
            </w:pPr>
            <w:r w:rsidRPr="005E5ACF">
              <w:rPr>
                <w:rFonts w:cstheme="minorHAnsi"/>
                <w:sz w:val="14"/>
                <w:szCs w:val="14"/>
              </w:rPr>
              <w:t>07/2020</w:t>
            </w:r>
          </w:p>
        </w:tc>
        <w:tc>
          <w:tcPr>
            <w:tcW w:w="976" w:type="dxa"/>
            <w:tcBorders>
              <w:top w:val="single" w:sz="4" w:space="0" w:color="auto"/>
              <w:left w:val="single" w:sz="4" w:space="0" w:color="auto"/>
              <w:bottom w:val="single" w:sz="4" w:space="0" w:color="auto"/>
              <w:right w:val="single" w:sz="4" w:space="0" w:color="auto"/>
            </w:tcBorders>
            <w:vAlign w:val="center"/>
            <w:hideMark/>
          </w:tcPr>
          <w:p w14:paraId="59B1C589" w14:textId="77777777" w:rsidR="00163089" w:rsidRPr="005E5ACF" w:rsidRDefault="00163089" w:rsidP="005E5ACF">
            <w:pPr>
              <w:jc w:val="left"/>
              <w:rPr>
                <w:rFonts w:cstheme="minorHAnsi"/>
                <w:sz w:val="14"/>
                <w:szCs w:val="14"/>
              </w:rPr>
            </w:pPr>
            <w:r w:rsidRPr="005E5ACF">
              <w:rPr>
                <w:rFonts w:cstheme="minorHAnsi"/>
                <w:sz w:val="14"/>
                <w:szCs w:val="14"/>
              </w:rPr>
              <w:t>Strakonice</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3F409C4" w14:textId="77777777" w:rsidR="00163089" w:rsidRPr="005E5ACF" w:rsidRDefault="00163089" w:rsidP="005E5ACF">
            <w:pPr>
              <w:jc w:val="left"/>
              <w:rPr>
                <w:rFonts w:cstheme="minorHAnsi"/>
                <w:sz w:val="14"/>
                <w:szCs w:val="14"/>
              </w:rPr>
            </w:pPr>
            <w:r w:rsidRPr="005E5ACF">
              <w:rPr>
                <w:rFonts w:cstheme="minorHAnsi"/>
                <w:sz w:val="14"/>
                <w:szCs w:val="14"/>
              </w:rPr>
              <w:t>Přestupní terminál Strakonice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275463" w14:textId="77777777" w:rsidR="00163089" w:rsidRPr="005E5ACF" w:rsidRDefault="00163089" w:rsidP="00163089">
            <w:pPr>
              <w:jc w:val="center"/>
              <w:rPr>
                <w:rFonts w:cstheme="minorHAnsi"/>
                <w:sz w:val="14"/>
                <w:szCs w:val="14"/>
              </w:rPr>
            </w:pPr>
            <w:r w:rsidRPr="005E5ACF">
              <w:rPr>
                <w:rFonts w:cstheme="minorHAnsi"/>
                <w:sz w:val="14"/>
                <w:szCs w:val="14"/>
              </w:rPr>
              <w:t xml:space="preserve">43 924,730 </w:t>
            </w:r>
            <w:r w:rsidRPr="005E5ACF">
              <w:rPr>
                <w:rFonts w:cstheme="minorHAnsi"/>
                <w:sz w:val="14"/>
                <w:szCs w:val="14"/>
              </w:rPr>
              <w:br/>
              <w:t>(st. práce 40 002,230; PD 2 417,800; TDI 373,200; BOZP 1 131, 500)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43DD0593" w14:textId="77777777" w:rsidR="00163089" w:rsidRPr="005E5ACF" w:rsidRDefault="00163089" w:rsidP="005E5ACF">
            <w:pPr>
              <w:jc w:val="left"/>
              <w:rPr>
                <w:rFonts w:cstheme="minorHAnsi"/>
                <w:sz w:val="14"/>
                <w:szCs w:val="14"/>
              </w:rPr>
            </w:pPr>
            <w:r w:rsidRPr="005E5ACF">
              <w:rPr>
                <w:rFonts w:cstheme="minorHAnsi"/>
                <w:sz w:val="14"/>
                <w:szCs w:val="14"/>
              </w:rPr>
              <w:t>Schválena jako jmenovitá akce ISPROFOND 5313520015 v roce 2019</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12BA74E" w14:textId="606614E9" w:rsidR="00163089" w:rsidRPr="005E5ACF" w:rsidRDefault="00480013" w:rsidP="00FA179F">
            <w:pPr>
              <w:jc w:val="left"/>
              <w:rPr>
                <w:rFonts w:cstheme="minorHAnsi"/>
                <w:sz w:val="14"/>
                <w:szCs w:val="14"/>
              </w:rPr>
            </w:pPr>
            <w:r w:rsidRPr="005E5ACF">
              <w:rPr>
                <w:rFonts w:cstheme="minorHAnsi"/>
                <w:sz w:val="14"/>
                <w:szCs w:val="14"/>
              </w:rPr>
              <w:t>V době kontroly byla a</w:t>
            </w:r>
            <w:r w:rsidR="00163089" w:rsidRPr="005E5ACF">
              <w:rPr>
                <w:rFonts w:cstheme="minorHAnsi"/>
                <w:sz w:val="14"/>
                <w:szCs w:val="14"/>
              </w:rPr>
              <w:t>kce po výběrovém řízení, uzavřená smlouva o dílo</w:t>
            </w:r>
            <w:r w:rsidR="00FA179F">
              <w:rPr>
                <w:rFonts w:cstheme="minorHAnsi"/>
                <w:sz w:val="14"/>
                <w:szCs w:val="14"/>
              </w:rPr>
              <w:t>;</w:t>
            </w:r>
            <w:r w:rsidR="00163089" w:rsidRPr="005E5ACF">
              <w:rPr>
                <w:rFonts w:cstheme="minorHAnsi"/>
                <w:sz w:val="14"/>
                <w:szCs w:val="14"/>
              </w:rPr>
              <w:t xml:space="preserve"> Oblastní ředitelství Plzeň</w:t>
            </w:r>
          </w:p>
        </w:tc>
      </w:tr>
      <w:tr w:rsidR="00163089" w:rsidRPr="005E5ACF" w14:paraId="5D510F31" w14:textId="77777777" w:rsidTr="005E5ACF">
        <w:trPr>
          <w:trHeight w:val="806"/>
        </w:trPr>
        <w:tc>
          <w:tcPr>
            <w:tcW w:w="484" w:type="dxa"/>
            <w:tcBorders>
              <w:top w:val="single" w:sz="4" w:space="0" w:color="auto"/>
              <w:left w:val="single" w:sz="4" w:space="0" w:color="auto"/>
              <w:bottom w:val="single" w:sz="4" w:space="0" w:color="auto"/>
              <w:right w:val="single" w:sz="4" w:space="0" w:color="auto"/>
            </w:tcBorders>
            <w:vAlign w:val="center"/>
            <w:hideMark/>
          </w:tcPr>
          <w:p w14:paraId="61D4E184" w14:textId="77777777" w:rsidR="00163089" w:rsidRPr="005E5ACF" w:rsidRDefault="00163089" w:rsidP="00163089">
            <w:pPr>
              <w:jc w:val="center"/>
              <w:rPr>
                <w:rFonts w:cstheme="minorHAnsi"/>
                <w:sz w:val="14"/>
                <w:szCs w:val="14"/>
              </w:rPr>
            </w:pPr>
            <w:r w:rsidRPr="005E5ACF">
              <w:rPr>
                <w:rFonts w:cstheme="minorHAnsi"/>
                <w:sz w:val="14"/>
                <w:szCs w:val="14"/>
              </w:rPr>
              <w:t>7</w:t>
            </w:r>
          </w:p>
        </w:tc>
        <w:tc>
          <w:tcPr>
            <w:tcW w:w="929" w:type="dxa"/>
            <w:tcBorders>
              <w:top w:val="single" w:sz="4" w:space="0" w:color="auto"/>
              <w:left w:val="single" w:sz="4" w:space="0" w:color="auto"/>
              <w:bottom w:val="single" w:sz="4" w:space="0" w:color="auto"/>
              <w:right w:val="single" w:sz="4" w:space="0" w:color="auto"/>
            </w:tcBorders>
            <w:vAlign w:val="center"/>
            <w:hideMark/>
          </w:tcPr>
          <w:p w14:paraId="3EDC6935" w14:textId="0BE7BF5C" w:rsidR="00163089" w:rsidRPr="005E5ACF" w:rsidRDefault="00163089" w:rsidP="00163089">
            <w:pPr>
              <w:jc w:val="center"/>
              <w:rPr>
                <w:rFonts w:cstheme="minorHAnsi"/>
                <w:sz w:val="14"/>
                <w:szCs w:val="14"/>
              </w:rPr>
            </w:pPr>
            <w:r w:rsidRPr="005E5ACF">
              <w:rPr>
                <w:rFonts w:cstheme="minorHAnsi"/>
                <w:sz w:val="14"/>
                <w:szCs w:val="14"/>
              </w:rPr>
              <w:t>07/2017</w:t>
            </w:r>
            <w:r w:rsidR="00C65E95">
              <w:rPr>
                <w:rFonts w:cstheme="minorHAnsi"/>
                <w:sz w:val="14"/>
                <w:szCs w:val="14"/>
              </w:rPr>
              <w:t xml:space="preserve"> –</w:t>
            </w:r>
          </w:p>
          <w:p w14:paraId="28BCF172" w14:textId="77777777" w:rsidR="00163089" w:rsidRPr="005E5ACF" w:rsidRDefault="00163089" w:rsidP="00163089">
            <w:pPr>
              <w:jc w:val="center"/>
              <w:rPr>
                <w:rFonts w:cstheme="minorHAnsi"/>
                <w:sz w:val="14"/>
                <w:szCs w:val="14"/>
              </w:rPr>
            </w:pPr>
            <w:r w:rsidRPr="005E5ACF">
              <w:rPr>
                <w:rFonts w:cstheme="minorHAnsi"/>
                <w:sz w:val="14"/>
                <w:szCs w:val="14"/>
              </w:rPr>
              <w:t>06/2018</w:t>
            </w:r>
          </w:p>
        </w:tc>
        <w:tc>
          <w:tcPr>
            <w:tcW w:w="976" w:type="dxa"/>
            <w:tcBorders>
              <w:top w:val="single" w:sz="4" w:space="0" w:color="auto"/>
              <w:left w:val="single" w:sz="4" w:space="0" w:color="auto"/>
              <w:bottom w:val="single" w:sz="4" w:space="0" w:color="auto"/>
              <w:right w:val="single" w:sz="4" w:space="0" w:color="auto"/>
            </w:tcBorders>
            <w:vAlign w:val="center"/>
            <w:hideMark/>
          </w:tcPr>
          <w:p w14:paraId="7387580F" w14:textId="7DF79BD0" w:rsidR="00163089" w:rsidRPr="005E5ACF" w:rsidRDefault="00163089" w:rsidP="00FA179F">
            <w:pPr>
              <w:jc w:val="left"/>
              <w:rPr>
                <w:rFonts w:cstheme="minorHAnsi"/>
                <w:sz w:val="14"/>
                <w:szCs w:val="14"/>
              </w:rPr>
            </w:pPr>
            <w:r w:rsidRPr="005E5ACF">
              <w:rPr>
                <w:rFonts w:cstheme="minorHAnsi"/>
                <w:sz w:val="14"/>
                <w:szCs w:val="14"/>
              </w:rPr>
              <w:t>Litoměřice h.</w:t>
            </w:r>
            <w:r w:rsidR="00FA179F">
              <w:rPr>
                <w:rFonts w:cstheme="minorHAnsi"/>
                <w:sz w:val="14"/>
                <w:szCs w:val="14"/>
              </w:rPr>
              <w:t> </w:t>
            </w:r>
            <w:r w:rsidRPr="005E5ACF">
              <w:rPr>
                <w:rFonts w:cstheme="minorHAnsi"/>
                <w:sz w:val="14"/>
                <w:szCs w:val="14"/>
              </w:rPr>
              <w:t>n.</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A4A39C0" w14:textId="473D1F56" w:rsidR="00163089" w:rsidRPr="005E5ACF" w:rsidRDefault="00163089" w:rsidP="00FA179F">
            <w:pPr>
              <w:jc w:val="left"/>
              <w:rPr>
                <w:rFonts w:cstheme="minorHAnsi"/>
                <w:sz w:val="14"/>
                <w:szCs w:val="14"/>
              </w:rPr>
            </w:pPr>
            <w:r w:rsidRPr="005E5ACF">
              <w:rPr>
                <w:rFonts w:cstheme="minorHAnsi"/>
                <w:sz w:val="14"/>
                <w:szCs w:val="14"/>
              </w:rPr>
              <w:t xml:space="preserve">Litoměřice </w:t>
            </w:r>
            <w:r w:rsidR="00FA179F">
              <w:rPr>
                <w:rFonts w:cstheme="minorHAnsi"/>
                <w:sz w:val="14"/>
                <w:szCs w:val="14"/>
              </w:rPr>
              <w:t>–</w:t>
            </w:r>
            <w:r w:rsidRPr="005E5ACF">
              <w:rPr>
                <w:rFonts w:cstheme="minorHAnsi"/>
                <w:sz w:val="14"/>
                <w:szCs w:val="14"/>
              </w:rPr>
              <w:t xml:space="preserve"> horní nádraží, opravy výpravní budovy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964FCA" w14:textId="77777777" w:rsidR="00163089" w:rsidRPr="005E5ACF" w:rsidRDefault="00163089" w:rsidP="00163089">
            <w:pPr>
              <w:jc w:val="center"/>
              <w:rPr>
                <w:rFonts w:cstheme="minorHAnsi"/>
                <w:sz w:val="14"/>
                <w:szCs w:val="14"/>
              </w:rPr>
            </w:pPr>
            <w:r w:rsidRPr="005E5ACF">
              <w:rPr>
                <w:rFonts w:cstheme="minorHAnsi"/>
                <w:sz w:val="14"/>
                <w:szCs w:val="14"/>
              </w:rPr>
              <w:t>11 482,764</w:t>
            </w:r>
          </w:p>
          <w:p w14:paraId="2D7FFECE" w14:textId="77777777" w:rsidR="00163089" w:rsidRPr="005E5ACF" w:rsidRDefault="00163089" w:rsidP="00163089">
            <w:pPr>
              <w:jc w:val="center"/>
              <w:rPr>
                <w:rFonts w:cstheme="minorHAnsi"/>
                <w:sz w:val="14"/>
                <w:szCs w:val="14"/>
              </w:rPr>
            </w:pPr>
            <w:r w:rsidRPr="005E5ACF">
              <w:rPr>
                <w:rFonts w:cstheme="minorHAnsi"/>
                <w:sz w:val="14"/>
                <w:szCs w:val="14"/>
              </w:rPr>
              <w:t>(st. práce 11 482,764)</w:t>
            </w:r>
          </w:p>
        </w:tc>
        <w:tc>
          <w:tcPr>
            <w:tcW w:w="2284" w:type="dxa"/>
            <w:tcBorders>
              <w:top w:val="single" w:sz="4" w:space="0" w:color="auto"/>
              <w:left w:val="single" w:sz="4" w:space="0" w:color="auto"/>
              <w:bottom w:val="single" w:sz="4" w:space="0" w:color="auto"/>
              <w:right w:val="single" w:sz="4" w:space="0" w:color="auto"/>
            </w:tcBorders>
            <w:vAlign w:val="center"/>
            <w:hideMark/>
          </w:tcPr>
          <w:p w14:paraId="30998D51" w14:textId="0A8587B9" w:rsidR="00163089" w:rsidRPr="005E5ACF" w:rsidRDefault="00163089" w:rsidP="005E5ACF">
            <w:pPr>
              <w:jc w:val="left"/>
              <w:rPr>
                <w:rFonts w:cstheme="minorHAnsi"/>
                <w:sz w:val="14"/>
                <w:szCs w:val="14"/>
              </w:rPr>
            </w:pPr>
            <w:r w:rsidRPr="005E5ACF">
              <w:rPr>
                <w:rFonts w:cstheme="minorHAnsi"/>
                <w:sz w:val="14"/>
                <w:szCs w:val="14"/>
              </w:rPr>
              <w:t>Globální položka na opravy a údržby nemovitostí osobních nádraží v roce 2017 (5003120015), mimo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DCF1B25" w14:textId="766BEAE2" w:rsidR="00163089" w:rsidRPr="005E5ACF" w:rsidRDefault="00163089" w:rsidP="00FA179F">
            <w:pPr>
              <w:jc w:val="left"/>
              <w:rPr>
                <w:rFonts w:cstheme="minorHAnsi"/>
                <w:sz w:val="14"/>
                <w:szCs w:val="14"/>
              </w:rPr>
            </w:pPr>
            <w:r w:rsidRPr="005E5ACF">
              <w:rPr>
                <w:rFonts w:cstheme="minorHAnsi"/>
                <w:sz w:val="14"/>
                <w:szCs w:val="14"/>
              </w:rPr>
              <w:t>Akce dokončena</w:t>
            </w:r>
            <w:r w:rsidR="00FA179F">
              <w:rPr>
                <w:rFonts w:cstheme="minorHAnsi"/>
                <w:sz w:val="14"/>
                <w:szCs w:val="14"/>
              </w:rPr>
              <w:t>;</w:t>
            </w:r>
            <w:r w:rsidRPr="005E5ACF">
              <w:rPr>
                <w:rFonts w:cstheme="minorHAnsi"/>
                <w:sz w:val="14"/>
                <w:szCs w:val="14"/>
              </w:rPr>
              <w:t xml:space="preserve"> Oblastní ředitelství Ústí nad Labem</w:t>
            </w:r>
          </w:p>
        </w:tc>
      </w:tr>
      <w:tr w:rsidR="00163089" w:rsidRPr="005E5ACF" w14:paraId="1CE73C82"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09C09FD9" w14:textId="77777777" w:rsidR="00163089" w:rsidRPr="005E5ACF" w:rsidRDefault="00163089" w:rsidP="00163089">
            <w:pPr>
              <w:jc w:val="center"/>
              <w:rPr>
                <w:rFonts w:cstheme="minorHAnsi"/>
                <w:sz w:val="14"/>
                <w:szCs w:val="14"/>
              </w:rPr>
            </w:pPr>
            <w:r w:rsidRPr="005E5ACF">
              <w:rPr>
                <w:rFonts w:cstheme="minorHAnsi"/>
                <w:sz w:val="14"/>
                <w:szCs w:val="14"/>
              </w:rPr>
              <w:t>8</w:t>
            </w:r>
          </w:p>
        </w:tc>
        <w:tc>
          <w:tcPr>
            <w:tcW w:w="929" w:type="dxa"/>
            <w:tcBorders>
              <w:top w:val="single" w:sz="4" w:space="0" w:color="auto"/>
              <w:left w:val="single" w:sz="4" w:space="0" w:color="auto"/>
              <w:bottom w:val="single" w:sz="4" w:space="0" w:color="auto"/>
              <w:right w:val="single" w:sz="4" w:space="0" w:color="auto"/>
            </w:tcBorders>
            <w:vAlign w:val="center"/>
            <w:hideMark/>
          </w:tcPr>
          <w:p w14:paraId="3DC10187" w14:textId="399D6E81" w:rsidR="00163089" w:rsidRPr="005E5ACF" w:rsidRDefault="00163089" w:rsidP="00163089">
            <w:pPr>
              <w:jc w:val="center"/>
              <w:rPr>
                <w:rFonts w:cstheme="minorHAnsi"/>
                <w:sz w:val="14"/>
                <w:szCs w:val="14"/>
              </w:rPr>
            </w:pPr>
            <w:r w:rsidRPr="005E5ACF">
              <w:rPr>
                <w:rFonts w:cstheme="minorHAnsi"/>
                <w:sz w:val="14"/>
                <w:szCs w:val="14"/>
              </w:rPr>
              <w:t>10/2017</w:t>
            </w:r>
            <w:r w:rsidR="00C65E95">
              <w:rPr>
                <w:rFonts w:cstheme="minorHAnsi"/>
                <w:sz w:val="14"/>
                <w:szCs w:val="14"/>
              </w:rPr>
              <w:t xml:space="preserve"> –</w:t>
            </w:r>
          </w:p>
          <w:p w14:paraId="30646CA3" w14:textId="77777777" w:rsidR="00163089" w:rsidRPr="005E5ACF" w:rsidRDefault="00163089" w:rsidP="00163089">
            <w:pPr>
              <w:jc w:val="center"/>
              <w:rPr>
                <w:rFonts w:cstheme="minorHAnsi"/>
                <w:sz w:val="14"/>
                <w:szCs w:val="14"/>
              </w:rPr>
            </w:pPr>
            <w:r w:rsidRPr="005E5ACF">
              <w:rPr>
                <w:rFonts w:cstheme="minorHAnsi"/>
                <w:sz w:val="14"/>
                <w:szCs w:val="14"/>
              </w:rPr>
              <w:t>09/2018</w:t>
            </w:r>
          </w:p>
        </w:tc>
        <w:tc>
          <w:tcPr>
            <w:tcW w:w="976" w:type="dxa"/>
            <w:tcBorders>
              <w:top w:val="single" w:sz="4" w:space="0" w:color="auto"/>
              <w:left w:val="single" w:sz="4" w:space="0" w:color="auto"/>
              <w:bottom w:val="single" w:sz="4" w:space="0" w:color="auto"/>
              <w:right w:val="single" w:sz="4" w:space="0" w:color="auto"/>
            </w:tcBorders>
            <w:vAlign w:val="center"/>
            <w:hideMark/>
          </w:tcPr>
          <w:p w14:paraId="17A885D4" w14:textId="77777777" w:rsidR="00163089" w:rsidRPr="005E5ACF" w:rsidRDefault="00163089" w:rsidP="005E5ACF">
            <w:pPr>
              <w:jc w:val="left"/>
              <w:rPr>
                <w:rFonts w:cstheme="minorHAnsi"/>
                <w:sz w:val="14"/>
                <w:szCs w:val="14"/>
              </w:rPr>
            </w:pPr>
            <w:r w:rsidRPr="005E5ACF">
              <w:rPr>
                <w:rFonts w:cstheme="minorHAnsi"/>
                <w:sz w:val="14"/>
                <w:szCs w:val="14"/>
              </w:rPr>
              <w:t>Sokolov</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722DCF9" w14:textId="77777777" w:rsidR="00163089" w:rsidRPr="005E5ACF" w:rsidRDefault="00163089" w:rsidP="005E5ACF">
            <w:pPr>
              <w:jc w:val="left"/>
              <w:rPr>
                <w:rFonts w:cstheme="minorHAnsi"/>
                <w:sz w:val="14"/>
                <w:szCs w:val="14"/>
              </w:rPr>
            </w:pPr>
            <w:r w:rsidRPr="005E5ACF">
              <w:rPr>
                <w:rFonts w:cstheme="minorHAnsi"/>
                <w:sz w:val="14"/>
                <w:szCs w:val="14"/>
              </w:rPr>
              <w:t>Rekonstrukce VB Sokolov (INVESTICE)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8416D2" w14:textId="77777777" w:rsidR="00163089" w:rsidRPr="005E5ACF" w:rsidRDefault="00163089" w:rsidP="007F31F0">
            <w:pPr>
              <w:jc w:val="center"/>
              <w:rPr>
                <w:rFonts w:cstheme="minorHAnsi"/>
                <w:sz w:val="14"/>
                <w:szCs w:val="14"/>
              </w:rPr>
            </w:pPr>
            <w:r w:rsidRPr="005E5ACF">
              <w:rPr>
                <w:rFonts w:cstheme="minorHAnsi"/>
                <w:sz w:val="14"/>
                <w:szCs w:val="14"/>
              </w:rPr>
              <w:t xml:space="preserve">26 433,158 </w:t>
            </w:r>
            <w:r w:rsidRPr="005E5ACF">
              <w:rPr>
                <w:rFonts w:cstheme="minorHAnsi"/>
                <w:sz w:val="14"/>
                <w:szCs w:val="14"/>
              </w:rPr>
              <w:br/>
              <w:t>(st. práce 25 533,598; PD 177,000; TDI 676,000; aut</w:t>
            </w:r>
            <w:r w:rsidR="007F31F0" w:rsidRPr="005E5ACF">
              <w:rPr>
                <w:rFonts w:cstheme="minorHAnsi"/>
                <w:sz w:val="14"/>
                <w:szCs w:val="14"/>
              </w:rPr>
              <w:t>orský</w:t>
            </w:r>
            <w:r w:rsidRPr="005E5ACF">
              <w:rPr>
                <w:rFonts w:cstheme="minorHAnsi"/>
                <w:sz w:val="14"/>
                <w:szCs w:val="14"/>
              </w:rPr>
              <w:t xml:space="preserve"> dozor 46,560)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196C5261" w14:textId="77777777" w:rsidR="00163089" w:rsidRPr="005E5ACF" w:rsidRDefault="00163089" w:rsidP="005E5ACF">
            <w:pPr>
              <w:jc w:val="left"/>
              <w:rPr>
                <w:rFonts w:cstheme="minorHAnsi"/>
                <w:sz w:val="14"/>
                <w:szCs w:val="14"/>
              </w:rPr>
            </w:pPr>
            <w:r w:rsidRPr="005E5ACF">
              <w:rPr>
                <w:rFonts w:cstheme="minorHAnsi"/>
                <w:sz w:val="14"/>
                <w:szCs w:val="14"/>
              </w:rPr>
              <w:t xml:space="preserve">Globální položka v roce 2017 (5003520046), síť TEN-T </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BA10FC7" w14:textId="251ED3DE" w:rsidR="00163089" w:rsidRPr="005E5ACF" w:rsidRDefault="00163089" w:rsidP="00FA179F">
            <w:pPr>
              <w:jc w:val="left"/>
              <w:rPr>
                <w:rFonts w:cstheme="minorHAnsi"/>
                <w:sz w:val="14"/>
                <w:szCs w:val="14"/>
              </w:rPr>
            </w:pPr>
            <w:r w:rsidRPr="005E5ACF">
              <w:rPr>
                <w:rFonts w:cstheme="minorHAnsi"/>
                <w:sz w:val="14"/>
                <w:szCs w:val="14"/>
              </w:rPr>
              <w:t>Akce dokončena</w:t>
            </w:r>
            <w:r w:rsidR="00FA179F">
              <w:rPr>
                <w:rFonts w:cstheme="minorHAnsi"/>
                <w:sz w:val="14"/>
                <w:szCs w:val="14"/>
              </w:rPr>
              <w:t>;</w:t>
            </w:r>
            <w:r w:rsidRPr="005E5ACF">
              <w:rPr>
                <w:rFonts w:cstheme="minorHAnsi"/>
                <w:sz w:val="14"/>
                <w:szCs w:val="14"/>
              </w:rPr>
              <w:t xml:space="preserve"> Oblastní ředitelství Ústí nad Labem</w:t>
            </w:r>
          </w:p>
        </w:tc>
      </w:tr>
      <w:tr w:rsidR="00163089" w:rsidRPr="005E5ACF" w14:paraId="3E8238BF"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6E08FA66" w14:textId="77777777" w:rsidR="00163089" w:rsidRPr="005E5ACF" w:rsidRDefault="00163089" w:rsidP="00163089">
            <w:pPr>
              <w:jc w:val="center"/>
              <w:rPr>
                <w:rFonts w:cstheme="minorHAnsi"/>
                <w:sz w:val="14"/>
                <w:szCs w:val="14"/>
              </w:rPr>
            </w:pPr>
            <w:r w:rsidRPr="005E5ACF">
              <w:rPr>
                <w:rFonts w:cstheme="minorHAnsi"/>
                <w:sz w:val="14"/>
                <w:szCs w:val="14"/>
              </w:rPr>
              <w:t>9</w:t>
            </w:r>
          </w:p>
        </w:tc>
        <w:tc>
          <w:tcPr>
            <w:tcW w:w="929" w:type="dxa"/>
            <w:tcBorders>
              <w:top w:val="single" w:sz="4" w:space="0" w:color="auto"/>
              <w:left w:val="single" w:sz="4" w:space="0" w:color="auto"/>
              <w:bottom w:val="single" w:sz="4" w:space="0" w:color="auto"/>
              <w:right w:val="single" w:sz="4" w:space="0" w:color="auto"/>
            </w:tcBorders>
            <w:vAlign w:val="center"/>
            <w:hideMark/>
          </w:tcPr>
          <w:p w14:paraId="697B1D94" w14:textId="5BD58F01" w:rsidR="00163089" w:rsidRPr="005E5ACF" w:rsidRDefault="00163089" w:rsidP="00163089">
            <w:pPr>
              <w:jc w:val="center"/>
              <w:rPr>
                <w:rFonts w:cstheme="minorHAnsi"/>
                <w:sz w:val="14"/>
                <w:szCs w:val="14"/>
              </w:rPr>
            </w:pPr>
            <w:r w:rsidRPr="005E5ACF">
              <w:rPr>
                <w:rFonts w:cstheme="minorHAnsi"/>
                <w:sz w:val="14"/>
                <w:szCs w:val="14"/>
              </w:rPr>
              <w:t>10/2017</w:t>
            </w:r>
            <w:r w:rsidR="00C65E95">
              <w:rPr>
                <w:rFonts w:cstheme="minorHAnsi"/>
                <w:sz w:val="14"/>
                <w:szCs w:val="14"/>
              </w:rPr>
              <w:t xml:space="preserve"> –</w:t>
            </w:r>
          </w:p>
          <w:p w14:paraId="332AA0CA" w14:textId="77777777" w:rsidR="00163089" w:rsidRPr="005E5ACF" w:rsidRDefault="00163089" w:rsidP="00163089">
            <w:pPr>
              <w:jc w:val="center"/>
              <w:rPr>
                <w:rFonts w:cstheme="minorHAnsi"/>
                <w:sz w:val="14"/>
                <w:szCs w:val="14"/>
              </w:rPr>
            </w:pPr>
            <w:r w:rsidRPr="005E5ACF">
              <w:rPr>
                <w:rFonts w:cstheme="minorHAnsi"/>
                <w:sz w:val="14"/>
                <w:szCs w:val="14"/>
              </w:rPr>
              <w:t>11/2018</w:t>
            </w:r>
          </w:p>
        </w:tc>
        <w:tc>
          <w:tcPr>
            <w:tcW w:w="976" w:type="dxa"/>
            <w:tcBorders>
              <w:top w:val="single" w:sz="4" w:space="0" w:color="auto"/>
              <w:left w:val="single" w:sz="4" w:space="0" w:color="auto"/>
              <w:bottom w:val="single" w:sz="4" w:space="0" w:color="auto"/>
              <w:right w:val="single" w:sz="4" w:space="0" w:color="auto"/>
            </w:tcBorders>
            <w:vAlign w:val="center"/>
            <w:hideMark/>
          </w:tcPr>
          <w:p w14:paraId="0567400D" w14:textId="77777777" w:rsidR="00163089" w:rsidRPr="005E5ACF" w:rsidRDefault="00163089" w:rsidP="005E5ACF">
            <w:pPr>
              <w:jc w:val="left"/>
              <w:rPr>
                <w:rFonts w:cstheme="minorHAnsi"/>
                <w:sz w:val="14"/>
                <w:szCs w:val="14"/>
              </w:rPr>
            </w:pPr>
            <w:r w:rsidRPr="005E5ACF">
              <w:rPr>
                <w:rFonts w:cstheme="minorHAnsi"/>
                <w:sz w:val="14"/>
                <w:szCs w:val="14"/>
              </w:rPr>
              <w:t>Lipník nad Bečvou</w:t>
            </w:r>
          </w:p>
        </w:tc>
        <w:tc>
          <w:tcPr>
            <w:tcW w:w="1150" w:type="dxa"/>
            <w:tcBorders>
              <w:top w:val="single" w:sz="4" w:space="0" w:color="auto"/>
              <w:left w:val="single" w:sz="4" w:space="0" w:color="auto"/>
              <w:bottom w:val="single" w:sz="4" w:space="0" w:color="auto"/>
              <w:right w:val="single" w:sz="4" w:space="0" w:color="auto"/>
            </w:tcBorders>
            <w:vAlign w:val="center"/>
            <w:hideMark/>
          </w:tcPr>
          <w:p w14:paraId="6510DDF4" w14:textId="77777777" w:rsidR="00163089" w:rsidRPr="005E5ACF" w:rsidRDefault="00163089" w:rsidP="005E5ACF">
            <w:pPr>
              <w:jc w:val="left"/>
              <w:rPr>
                <w:rFonts w:cstheme="minorHAnsi"/>
                <w:sz w:val="14"/>
                <w:szCs w:val="14"/>
              </w:rPr>
            </w:pPr>
            <w:r w:rsidRPr="005E5ACF">
              <w:rPr>
                <w:rFonts w:cstheme="minorHAnsi"/>
                <w:sz w:val="14"/>
                <w:szCs w:val="14"/>
              </w:rPr>
              <w:t xml:space="preserve">Rekonstrukce výpravní budovy v </w:t>
            </w:r>
            <w:proofErr w:type="spellStart"/>
            <w:r w:rsidRPr="005E5ACF">
              <w:rPr>
                <w:rFonts w:cstheme="minorHAnsi"/>
                <w:sz w:val="14"/>
                <w:szCs w:val="14"/>
              </w:rPr>
              <w:t>žst</w:t>
            </w:r>
            <w:proofErr w:type="spellEnd"/>
            <w:r w:rsidRPr="005E5ACF">
              <w:rPr>
                <w:rFonts w:cstheme="minorHAnsi"/>
                <w:sz w:val="14"/>
                <w:szCs w:val="14"/>
              </w:rPr>
              <w:t>. Lipník nad Bečvou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1FD26D" w14:textId="77777777" w:rsidR="00163089" w:rsidRPr="005E5ACF" w:rsidRDefault="00163089" w:rsidP="00163089">
            <w:pPr>
              <w:jc w:val="center"/>
              <w:rPr>
                <w:rFonts w:cstheme="minorHAnsi"/>
                <w:sz w:val="14"/>
                <w:szCs w:val="14"/>
              </w:rPr>
            </w:pPr>
            <w:r w:rsidRPr="005E5ACF">
              <w:rPr>
                <w:rFonts w:cstheme="minorHAnsi"/>
                <w:sz w:val="14"/>
                <w:szCs w:val="14"/>
              </w:rPr>
              <w:t xml:space="preserve">18 459,533 </w:t>
            </w:r>
            <w:r w:rsidRPr="005E5ACF">
              <w:rPr>
                <w:rFonts w:cstheme="minorHAnsi"/>
                <w:sz w:val="14"/>
                <w:szCs w:val="14"/>
              </w:rPr>
              <w:br/>
              <w:t>(st. práce 18 094,533; TDI 365,000)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06D871F3" w14:textId="2AB2B78D" w:rsidR="00163089" w:rsidRPr="005E5ACF" w:rsidRDefault="00163089" w:rsidP="00FA179F">
            <w:pPr>
              <w:jc w:val="left"/>
              <w:rPr>
                <w:rFonts w:cstheme="minorHAnsi"/>
                <w:sz w:val="14"/>
                <w:szCs w:val="14"/>
              </w:rPr>
            </w:pPr>
            <w:r w:rsidRPr="005E5ACF">
              <w:rPr>
                <w:rFonts w:cstheme="minorHAnsi"/>
                <w:sz w:val="14"/>
                <w:szCs w:val="14"/>
              </w:rPr>
              <w:t>Globální položka v roce 2017 (5003520046),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8981C4B" w14:textId="25387623" w:rsidR="00163089" w:rsidRPr="005E5ACF" w:rsidRDefault="00163089" w:rsidP="00FA179F">
            <w:pPr>
              <w:jc w:val="left"/>
              <w:rPr>
                <w:rFonts w:cstheme="minorHAnsi"/>
                <w:sz w:val="14"/>
                <w:szCs w:val="14"/>
              </w:rPr>
            </w:pPr>
            <w:r w:rsidRPr="005E5ACF">
              <w:rPr>
                <w:rFonts w:cstheme="minorHAnsi"/>
                <w:sz w:val="14"/>
                <w:szCs w:val="14"/>
              </w:rPr>
              <w:t>Akce dokončena</w:t>
            </w:r>
            <w:r w:rsidR="00FA179F">
              <w:rPr>
                <w:rFonts w:cstheme="minorHAnsi"/>
                <w:sz w:val="14"/>
                <w:szCs w:val="14"/>
              </w:rPr>
              <w:t>;</w:t>
            </w:r>
            <w:r w:rsidRPr="005E5ACF">
              <w:rPr>
                <w:rFonts w:cstheme="minorHAnsi"/>
                <w:sz w:val="14"/>
                <w:szCs w:val="14"/>
              </w:rPr>
              <w:t xml:space="preserve"> Oblastní ředitelství Olomouc</w:t>
            </w:r>
          </w:p>
        </w:tc>
      </w:tr>
      <w:tr w:rsidR="00163089" w:rsidRPr="005E5ACF" w14:paraId="4F83ECD0" w14:textId="77777777" w:rsidTr="005E5ACF">
        <w:tc>
          <w:tcPr>
            <w:tcW w:w="48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C7C683" w14:textId="77777777" w:rsidR="00163089" w:rsidRPr="005E5ACF" w:rsidRDefault="00163089" w:rsidP="00163089">
            <w:pPr>
              <w:jc w:val="center"/>
              <w:rPr>
                <w:rFonts w:cstheme="minorHAnsi"/>
                <w:sz w:val="14"/>
                <w:szCs w:val="14"/>
              </w:rPr>
            </w:pPr>
            <w:r w:rsidRPr="005E5ACF">
              <w:rPr>
                <w:rFonts w:cstheme="minorHAnsi"/>
                <w:sz w:val="14"/>
                <w:szCs w:val="14"/>
              </w:rPr>
              <w:t>10</w:t>
            </w:r>
          </w:p>
        </w:tc>
        <w:tc>
          <w:tcPr>
            <w:tcW w:w="929" w:type="dxa"/>
            <w:tcBorders>
              <w:top w:val="nil"/>
              <w:left w:val="single" w:sz="4" w:space="0" w:color="auto"/>
              <w:bottom w:val="single" w:sz="4" w:space="0" w:color="auto"/>
              <w:right w:val="single" w:sz="4" w:space="0" w:color="auto"/>
            </w:tcBorders>
            <w:shd w:val="clear" w:color="auto" w:fill="FFFFFF"/>
            <w:vAlign w:val="center"/>
            <w:hideMark/>
          </w:tcPr>
          <w:p w14:paraId="1F17623D" w14:textId="25CCF8B5" w:rsidR="00163089" w:rsidRPr="005E5ACF" w:rsidRDefault="00163089" w:rsidP="00163089">
            <w:pPr>
              <w:jc w:val="center"/>
              <w:rPr>
                <w:rFonts w:cstheme="minorHAnsi"/>
                <w:sz w:val="14"/>
                <w:szCs w:val="14"/>
              </w:rPr>
            </w:pPr>
            <w:r w:rsidRPr="005E5ACF">
              <w:rPr>
                <w:rFonts w:cstheme="minorHAnsi"/>
                <w:sz w:val="14"/>
                <w:szCs w:val="14"/>
              </w:rPr>
              <w:t>09/2018</w:t>
            </w:r>
            <w:r w:rsidR="00C65E95">
              <w:rPr>
                <w:rFonts w:cstheme="minorHAnsi"/>
                <w:sz w:val="14"/>
                <w:szCs w:val="14"/>
              </w:rPr>
              <w:t xml:space="preserve"> –</w:t>
            </w:r>
          </w:p>
          <w:p w14:paraId="5F207F0C" w14:textId="77777777" w:rsidR="00163089" w:rsidRPr="005E5ACF" w:rsidRDefault="00163089" w:rsidP="00163089">
            <w:pPr>
              <w:jc w:val="center"/>
              <w:rPr>
                <w:rFonts w:cstheme="minorHAnsi"/>
                <w:sz w:val="14"/>
                <w:szCs w:val="14"/>
              </w:rPr>
            </w:pPr>
            <w:r w:rsidRPr="005E5ACF">
              <w:rPr>
                <w:rFonts w:cstheme="minorHAnsi"/>
                <w:sz w:val="14"/>
                <w:szCs w:val="14"/>
              </w:rPr>
              <w:t>10/2019</w:t>
            </w:r>
          </w:p>
        </w:tc>
        <w:tc>
          <w:tcPr>
            <w:tcW w:w="976" w:type="dxa"/>
            <w:tcBorders>
              <w:top w:val="nil"/>
              <w:left w:val="single" w:sz="4" w:space="0" w:color="auto"/>
              <w:bottom w:val="single" w:sz="4" w:space="0" w:color="auto"/>
              <w:right w:val="single" w:sz="4" w:space="0" w:color="auto"/>
            </w:tcBorders>
            <w:shd w:val="clear" w:color="auto" w:fill="FFFFFF"/>
            <w:vAlign w:val="center"/>
            <w:hideMark/>
          </w:tcPr>
          <w:p w14:paraId="7CB6D4BC" w14:textId="77777777" w:rsidR="00163089" w:rsidRPr="005E5ACF" w:rsidRDefault="00163089" w:rsidP="005E5ACF">
            <w:pPr>
              <w:jc w:val="left"/>
              <w:rPr>
                <w:rFonts w:cstheme="minorHAnsi"/>
                <w:sz w:val="14"/>
                <w:szCs w:val="14"/>
              </w:rPr>
            </w:pPr>
            <w:r w:rsidRPr="005E5ACF">
              <w:rPr>
                <w:rFonts w:cstheme="minorHAnsi"/>
                <w:sz w:val="14"/>
                <w:szCs w:val="14"/>
              </w:rPr>
              <w:t>Přerov</w:t>
            </w:r>
          </w:p>
        </w:tc>
        <w:tc>
          <w:tcPr>
            <w:tcW w:w="1150" w:type="dxa"/>
            <w:tcBorders>
              <w:top w:val="nil"/>
              <w:left w:val="single" w:sz="4" w:space="0" w:color="auto"/>
              <w:bottom w:val="single" w:sz="4" w:space="0" w:color="auto"/>
              <w:right w:val="single" w:sz="4" w:space="0" w:color="auto"/>
            </w:tcBorders>
            <w:shd w:val="clear" w:color="auto" w:fill="FFFFFF"/>
            <w:vAlign w:val="center"/>
            <w:hideMark/>
          </w:tcPr>
          <w:p w14:paraId="0D0C2749" w14:textId="77777777" w:rsidR="00163089" w:rsidRPr="005E5ACF" w:rsidRDefault="00163089" w:rsidP="005E5ACF">
            <w:pPr>
              <w:jc w:val="left"/>
              <w:rPr>
                <w:rFonts w:cstheme="minorHAnsi"/>
                <w:sz w:val="14"/>
                <w:szCs w:val="14"/>
              </w:rPr>
            </w:pPr>
            <w:r w:rsidRPr="005E5ACF">
              <w:rPr>
                <w:rFonts w:cstheme="minorHAnsi"/>
                <w:sz w:val="14"/>
                <w:szCs w:val="14"/>
              </w:rPr>
              <w:t xml:space="preserve">Rekonstrukce výpravní budovy </w:t>
            </w:r>
            <w:proofErr w:type="spellStart"/>
            <w:r w:rsidRPr="005E5ACF">
              <w:rPr>
                <w:rFonts w:cstheme="minorHAnsi"/>
                <w:sz w:val="14"/>
                <w:szCs w:val="14"/>
              </w:rPr>
              <w:t>žst</w:t>
            </w:r>
            <w:proofErr w:type="spellEnd"/>
            <w:r w:rsidRPr="005E5ACF">
              <w:rPr>
                <w:rFonts w:cstheme="minorHAnsi"/>
                <w:sz w:val="14"/>
                <w:szCs w:val="14"/>
              </w:rPr>
              <w:t>. Přerov</w:t>
            </w:r>
          </w:p>
        </w:tc>
        <w:tc>
          <w:tcPr>
            <w:tcW w:w="1560" w:type="dxa"/>
            <w:tcBorders>
              <w:top w:val="nil"/>
              <w:left w:val="single" w:sz="4" w:space="0" w:color="auto"/>
              <w:bottom w:val="single" w:sz="4" w:space="0" w:color="auto"/>
              <w:right w:val="single" w:sz="4" w:space="0" w:color="auto"/>
            </w:tcBorders>
            <w:shd w:val="clear" w:color="auto" w:fill="FFFFFF"/>
            <w:vAlign w:val="center"/>
            <w:hideMark/>
          </w:tcPr>
          <w:p w14:paraId="264BE015" w14:textId="77777777" w:rsidR="00163089" w:rsidRPr="005E5ACF" w:rsidRDefault="00163089" w:rsidP="00163089">
            <w:pPr>
              <w:jc w:val="center"/>
              <w:rPr>
                <w:rFonts w:cstheme="minorHAnsi"/>
                <w:sz w:val="14"/>
                <w:szCs w:val="14"/>
              </w:rPr>
            </w:pPr>
            <w:r w:rsidRPr="005E5ACF">
              <w:rPr>
                <w:rFonts w:cstheme="minorHAnsi"/>
                <w:sz w:val="14"/>
                <w:szCs w:val="14"/>
              </w:rPr>
              <w:t>14 627,509</w:t>
            </w:r>
            <w:r w:rsidRPr="005E5ACF">
              <w:rPr>
                <w:rFonts w:cstheme="minorHAnsi"/>
                <w:sz w:val="14"/>
                <w:szCs w:val="14"/>
                <w:vertAlign w:val="superscript"/>
              </w:rPr>
              <w:footnoteReference w:id="9"/>
            </w:r>
            <w:r w:rsidRPr="005E5ACF">
              <w:rPr>
                <w:rFonts w:cstheme="minorHAnsi"/>
                <w:sz w:val="14"/>
                <w:szCs w:val="14"/>
              </w:rPr>
              <w:br/>
              <w:t>(st. práce 14 430,709; TDI 196,800)</w:t>
            </w:r>
          </w:p>
        </w:tc>
        <w:tc>
          <w:tcPr>
            <w:tcW w:w="2284" w:type="dxa"/>
            <w:tcBorders>
              <w:top w:val="nil"/>
              <w:left w:val="single" w:sz="4" w:space="0" w:color="auto"/>
              <w:bottom w:val="single" w:sz="4" w:space="0" w:color="auto"/>
              <w:right w:val="single" w:sz="4" w:space="0" w:color="auto"/>
            </w:tcBorders>
            <w:shd w:val="clear" w:color="auto" w:fill="FFFFFF"/>
            <w:vAlign w:val="center"/>
            <w:hideMark/>
          </w:tcPr>
          <w:p w14:paraId="47E040D2" w14:textId="0218F55C" w:rsidR="00163089" w:rsidRPr="005E5ACF" w:rsidRDefault="00163089" w:rsidP="00FA179F">
            <w:pPr>
              <w:jc w:val="left"/>
              <w:rPr>
                <w:rFonts w:cstheme="minorHAnsi"/>
                <w:sz w:val="14"/>
                <w:szCs w:val="14"/>
              </w:rPr>
            </w:pPr>
            <w:r w:rsidRPr="005E5ACF">
              <w:rPr>
                <w:rFonts w:cstheme="minorHAnsi"/>
                <w:sz w:val="14"/>
                <w:szCs w:val="14"/>
              </w:rPr>
              <w:t>Globální položka v roce 2017 (5003520046), síť TEN-T</w:t>
            </w:r>
          </w:p>
        </w:tc>
        <w:tc>
          <w:tcPr>
            <w:tcW w:w="1984" w:type="dxa"/>
            <w:gridSpan w:val="2"/>
            <w:tcBorders>
              <w:top w:val="nil"/>
              <w:left w:val="single" w:sz="4" w:space="0" w:color="auto"/>
              <w:bottom w:val="single" w:sz="4" w:space="0" w:color="auto"/>
              <w:right w:val="single" w:sz="4" w:space="0" w:color="auto"/>
            </w:tcBorders>
            <w:shd w:val="clear" w:color="auto" w:fill="FFFFFF"/>
            <w:vAlign w:val="center"/>
            <w:hideMark/>
          </w:tcPr>
          <w:p w14:paraId="0123A52A" w14:textId="12897955" w:rsidR="00163089" w:rsidRPr="005E5ACF" w:rsidRDefault="00163089" w:rsidP="00FA179F">
            <w:pPr>
              <w:jc w:val="left"/>
              <w:rPr>
                <w:rFonts w:cstheme="minorHAnsi"/>
                <w:sz w:val="14"/>
                <w:szCs w:val="14"/>
              </w:rPr>
            </w:pPr>
            <w:r w:rsidRPr="005E5ACF">
              <w:rPr>
                <w:rFonts w:cstheme="minorHAnsi"/>
                <w:sz w:val="14"/>
                <w:szCs w:val="14"/>
              </w:rPr>
              <w:t>Akce dokončena</w:t>
            </w:r>
            <w:r w:rsidR="00FA179F">
              <w:rPr>
                <w:rFonts w:cstheme="minorHAnsi"/>
                <w:sz w:val="14"/>
                <w:szCs w:val="14"/>
              </w:rPr>
              <w:t>;</w:t>
            </w:r>
            <w:r w:rsidRPr="005E5ACF">
              <w:rPr>
                <w:rFonts w:cstheme="minorHAnsi"/>
                <w:sz w:val="14"/>
                <w:szCs w:val="14"/>
              </w:rPr>
              <w:t xml:space="preserve"> Oblastní ředitelství Olomouc</w:t>
            </w:r>
          </w:p>
        </w:tc>
      </w:tr>
      <w:tr w:rsidR="00163089" w:rsidRPr="005E5ACF" w14:paraId="0BEF2AFB"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1320B604" w14:textId="77777777" w:rsidR="00163089" w:rsidRPr="005E5ACF" w:rsidRDefault="00163089" w:rsidP="00163089">
            <w:pPr>
              <w:jc w:val="center"/>
              <w:rPr>
                <w:rFonts w:cstheme="minorHAnsi"/>
                <w:sz w:val="14"/>
                <w:szCs w:val="14"/>
              </w:rPr>
            </w:pPr>
            <w:r w:rsidRPr="005E5ACF">
              <w:rPr>
                <w:rFonts w:cstheme="minorHAnsi"/>
                <w:sz w:val="14"/>
                <w:szCs w:val="14"/>
              </w:rPr>
              <w:t>11</w:t>
            </w:r>
          </w:p>
        </w:tc>
        <w:tc>
          <w:tcPr>
            <w:tcW w:w="929" w:type="dxa"/>
            <w:tcBorders>
              <w:top w:val="single" w:sz="4" w:space="0" w:color="auto"/>
              <w:left w:val="single" w:sz="4" w:space="0" w:color="auto"/>
              <w:bottom w:val="single" w:sz="4" w:space="0" w:color="auto"/>
              <w:right w:val="single" w:sz="4" w:space="0" w:color="auto"/>
            </w:tcBorders>
            <w:vAlign w:val="center"/>
            <w:hideMark/>
          </w:tcPr>
          <w:p w14:paraId="68F37D36" w14:textId="0B5BCFB2" w:rsidR="00163089" w:rsidRPr="005E5ACF" w:rsidRDefault="00163089" w:rsidP="00163089">
            <w:pPr>
              <w:jc w:val="center"/>
              <w:rPr>
                <w:rFonts w:cstheme="minorHAnsi"/>
                <w:sz w:val="14"/>
                <w:szCs w:val="14"/>
              </w:rPr>
            </w:pPr>
            <w:r w:rsidRPr="005E5ACF">
              <w:rPr>
                <w:rFonts w:cstheme="minorHAnsi"/>
                <w:sz w:val="14"/>
                <w:szCs w:val="14"/>
              </w:rPr>
              <w:t>02/2018</w:t>
            </w:r>
            <w:r w:rsidR="00C65E95">
              <w:rPr>
                <w:rFonts w:cstheme="minorHAnsi"/>
                <w:sz w:val="14"/>
                <w:szCs w:val="14"/>
              </w:rPr>
              <w:t xml:space="preserve"> –</w:t>
            </w:r>
          </w:p>
          <w:p w14:paraId="60175E93" w14:textId="77777777" w:rsidR="00163089" w:rsidRPr="005E5ACF" w:rsidRDefault="00163089" w:rsidP="00163089">
            <w:pPr>
              <w:jc w:val="center"/>
              <w:rPr>
                <w:rFonts w:cstheme="minorHAnsi"/>
                <w:sz w:val="14"/>
                <w:szCs w:val="14"/>
              </w:rPr>
            </w:pPr>
            <w:r w:rsidRPr="005E5ACF">
              <w:rPr>
                <w:rFonts w:cstheme="minorHAnsi"/>
                <w:sz w:val="14"/>
                <w:szCs w:val="14"/>
              </w:rPr>
              <w:t>12/2019</w:t>
            </w:r>
          </w:p>
        </w:tc>
        <w:tc>
          <w:tcPr>
            <w:tcW w:w="976" w:type="dxa"/>
            <w:tcBorders>
              <w:top w:val="single" w:sz="4" w:space="0" w:color="auto"/>
              <w:left w:val="single" w:sz="4" w:space="0" w:color="auto"/>
              <w:bottom w:val="single" w:sz="4" w:space="0" w:color="auto"/>
              <w:right w:val="single" w:sz="4" w:space="0" w:color="auto"/>
            </w:tcBorders>
            <w:vAlign w:val="center"/>
            <w:hideMark/>
          </w:tcPr>
          <w:p w14:paraId="7B94250F" w14:textId="77777777" w:rsidR="00163089" w:rsidRPr="005E5ACF" w:rsidRDefault="00163089" w:rsidP="005E5ACF">
            <w:pPr>
              <w:jc w:val="left"/>
              <w:rPr>
                <w:rFonts w:cstheme="minorHAnsi"/>
                <w:sz w:val="14"/>
                <w:szCs w:val="14"/>
              </w:rPr>
            </w:pPr>
            <w:r w:rsidRPr="005E5ACF">
              <w:rPr>
                <w:rFonts w:cstheme="minorHAnsi"/>
                <w:sz w:val="14"/>
                <w:szCs w:val="14"/>
              </w:rPr>
              <w:t>Břeclav</w:t>
            </w:r>
          </w:p>
        </w:tc>
        <w:tc>
          <w:tcPr>
            <w:tcW w:w="1150" w:type="dxa"/>
            <w:tcBorders>
              <w:top w:val="single" w:sz="4" w:space="0" w:color="auto"/>
              <w:left w:val="single" w:sz="4" w:space="0" w:color="auto"/>
              <w:bottom w:val="single" w:sz="4" w:space="0" w:color="auto"/>
              <w:right w:val="single" w:sz="4" w:space="0" w:color="auto"/>
            </w:tcBorders>
            <w:vAlign w:val="center"/>
            <w:hideMark/>
          </w:tcPr>
          <w:p w14:paraId="7D5EB3B8" w14:textId="77777777" w:rsidR="00163089" w:rsidRPr="005E5ACF" w:rsidRDefault="00163089" w:rsidP="005E5ACF">
            <w:pPr>
              <w:jc w:val="left"/>
              <w:rPr>
                <w:rFonts w:cstheme="minorHAnsi"/>
                <w:sz w:val="14"/>
                <w:szCs w:val="14"/>
              </w:rPr>
            </w:pPr>
            <w:r w:rsidRPr="005E5ACF">
              <w:rPr>
                <w:rFonts w:cstheme="minorHAnsi"/>
                <w:sz w:val="14"/>
                <w:szCs w:val="14"/>
              </w:rPr>
              <w:t>Rek</w:t>
            </w:r>
            <w:r w:rsidR="00685F35">
              <w:rPr>
                <w:rFonts w:cstheme="minorHAnsi"/>
                <w:sz w:val="14"/>
                <w:szCs w:val="14"/>
              </w:rPr>
              <w:t>onstrukce výpravní budovy – 2. </w:t>
            </w:r>
            <w:r w:rsidRPr="005E5ACF">
              <w:rPr>
                <w:rFonts w:cstheme="minorHAnsi"/>
                <w:sz w:val="14"/>
                <w:szCs w:val="14"/>
              </w:rPr>
              <w:t>etapa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21A30A" w14:textId="77777777" w:rsidR="00163089" w:rsidRPr="005E5ACF" w:rsidRDefault="00163089" w:rsidP="00163089">
            <w:pPr>
              <w:jc w:val="center"/>
              <w:rPr>
                <w:rFonts w:cstheme="minorHAnsi"/>
                <w:sz w:val="14"/>
                <w:szCs w:val="14"/>
              </w:rPr>
            </w:pPr>
            <w:r w:rsidRPr="005E5ACF">
              <w:rPr>
                <w:rFonts w:cstheme="minorHAnsi"/>
                <w:sz w:val="14"/>
                <w:szCs w:val="14"/>
              </w:rPr>
              <w:t xml:space="preserve">66 788,632 </w:t>
            </w:r>
          </w:p>
          <w:p w14:paraId="66788096" w14:textId="77777777" w:rsidR="00163089" w:rsidRPr="005E5ACF" w:rsidRDefault="00163089" w:rsidP="00163089">
            <w:pPr>
              <w:jc w:val="center"/>
              <w:rPr>
                <w:rFonts w:cstheme="minorHAnsi"/>
                <w:sz w:val="14"/>
                <w:szCs w:val="14"/>
              </w:rPr>
            </w:pPr>
            <w:r w:rsidRPr="005E5ACF">
              <w:rPr>
                <w:rFonts w:cstheme="minorHAnsi"/>
                <w:sz w:val="14"/>
                <w:szCs w:val="14"/>
              </w:rPr>
              <w:t>(st. práce 64 441,132; PD 2 347,500)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37E9DF0C" w14:textId="3F005A1E" w:rsidR="00163089" w:rsidRPr="005E5ACF" w:rsidRDefault="00163089" w:rsidP="00FA179F">
            <w:pPr>
              <w:jc w:val="left"/>
              <w:rPr>
                <w:rFonts w:cstheme="minorHAnsi"/>
                <w:sz w:val="14"/>
                <w:szCs w:val="14"/>
              </w:rPr>
            </w:pPr>
            <w:r w:rsidRPr="005E5ACF">
              <w:rPr>
                <w:rFonts w:cstheme="minorHAnsi"/>
                <w:sz w:val="14"/>
                <w:szCs w:val="14"/>
              </w:rPr>
              <w:t>Globální položka v roce 2017 (5003520046),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21EA00F" w14:textId="0B8E1023" w:rsidR="00163089" w:rsidRPr="005E5ACF" w:rsidRDefault="00163089" w:rsidP="00FA179F">
            <w:pPr>
              <w:jc w:val="left"/>
              <w:rPr>
                <w:rFonts w:cstheme="minorHAnsi"/>
                <w:sz w:val="14"/>
                <w:szCs w:val="14"/>
              </w:rPr>
            </w:pPr>
            <w:r w:rsidRPr="005E5ACF">
              <w:rPr>
                <w:rFonts w:cstheme="minorHAnsi"/>
                <w:sz w:val="14"/>
                <w:szCs w:val="14"/>
              </w:rPr>
              <w:t>Akce dokončena</w:t>
            </w:r>
            <w:r w:rsidR="00FA179F">
              <w:rPr>
                <w:rFonts w:cstheme="minorHAnsi"/>
                <w:sz w:val="14"/>
                <w:szCs w:val="14"/>
              </w:rPr>
              <w:t>;</w:t>
            </w:r>
            <w:r w:rsidRPr="005E5ACF">
              <w:rPr>
                <w:rFonts w:cstheme="minorHAnsi"/>
                <w:sz w:val="14"/>
                <w:szCs w:val="14"/>
              </w:rPr>
              <w:t xml:space="preserve"> Oblastní ředitelství Brno</w:t>
            </w:r>
          </w:p>
        </w:tc>
      </w:tr>
      <w:tr w:rsidR="00163089" w:rsidRPr="005E5ACF" w14:paraId="2C177F85"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71509641" w14:textId="77777777" w:rsidR="00163089" w:rsidRPr="005E5ACF" w:rsidRDefault="00163089" w:rsidP="00163089">
            <w:pPr>
              <w:jc w:val="center"/>
              <w:rPr>
                <w:rFonts w:cstheme="minorHAnsi"/>
                <w:sz w:val="14"/>
                <w:szCs w:val="14"/>
              </w:rPr>
            </w:pPr>
            <w:r w:rsidRPr="005E5ACF">
              <w:rPr>
                <w:rFonts w:cstheme="minorHAnsi"/>
                <w:sz w:val="14"/>
                <w:szCs w:val="14"/>
              </w:rPr>
              <w:t>12</w:t>
            </w:r>
          </w:p>
        </w:tc>
        <w:tc>
          <w:tcPr>
            <w:tcW w:w="929" w:type="dxa"/>
            <w:tcBorders>
              <w:top w:val="single" w:sz="4" w:space="0" w:color="auto"/>
              <w:left w:val="single" w:sz="4" w:space="0" w:color="auto"/>
              <w:bottom w:val="single" w:sz="4" w:space="0" w:color="auto"/>
              <w:right w:val="single" w:sz="4" w:space="0" w:color="auto"/>
            </w:tcBorders>
            <w:vAlign w:val="center"/>
            <w:hideMark/>
          </w:tcPr>
          <w:p w14:paraId="3BA128DC" w14:textId="28AB036C" w:rsidR="00163089" w:rsidRPr="005E5ACF" w:rsidRDefault="00163089" w:rsidP="00163089">
            <w:pPr>
              <w:jc w:val="center"/>
              <w:rPr>
                <w:rFonts w:cstheme="minorHAnsi"/>
                <w:sz w:val="14"/>
                <w:szCs w:val="14"/>
              </w:rPr>
            </w:pPr>
            <w:r w:rsidRPr="005E5ACF">
              <w:rPr>
                <w:rFonts w:cstheme="minorHAnsi"/>
                <w:sz w:val="14"/>
                <w:szCs w:val="14"/>
              </w:rPr>
              <w:t>08/2019</w:t>
            </w:r>
            <w:r w:rsidR="00C65E95">
              <w:rPr>
                <w:rFonts w:cstheme="minorHAnsi"/>
                <w:sz w:val="14"/>
                <w:szCs w:val="14"/>
              </w:rPr>
              <w:t xml:space="preserve"> –</w:t>
            </w:r>
          </w:p>
          <w:p w14:paraId="30A95378" w14:textId="77777777" w:rsidR="00163089" w:rsidRPr="005E5ACF" w:rsidRDefault="00163089" w:rsidP="00163089">
            <w:pPr>
              <w:jc w:val="center"/>
              <w:rPr>
                <w:rFonts w:cstheme="minorHAnsi"/>
                <w:sz w:val="14"/>
                <w:szCs w:val="14"/>
              </w:rPr>
            </w:pPr>
            <w:r w:rsidRPr="005E5ACF">
              <w:rPr>
                <w:rFonts w:cstheme="minorHAnsi"/>
                <w:sz w:val="14"/>
                <w:szCs w:val="14"/>
              </w:rPr>
              <w:t>06/2020</w:t>
            </w:r>
          </w:p>
        </w:tc>
        <w:tc>
          <w:tcPr>
            <w:tcW w:w="976" w:type="dxa"/>
            <w:tcBorders>
              <w:top w:val="single" w:sz="4" w:space="0" w:color="auto"/>
              <w:left w:val="single" w:sz="4" w:space="0" w:color="auto"/>
              <w:bottom w:val="single" w:sz="4" w:space="0" w:color="auto"/>
              <w:right w:val="single" w:sz="4" w:space="0" w:color="auto"/>
            </w:tcBorders>
            <w:vAlign w:val="center"/>
            <w:hideMark/>
          </w:tcPr>
          <w:p w14:paraId="6AF3EA5F" w14:textId="77777777" w:rsidR="00163089" w:rsidRPr="005E5ACF" w:rsidRDefault="00163089" w:rsidP="005E5ACF">
            <w:pPr>
              <w:jc w:val="left"/>
              <w:rPr>
                <w:rFonts w:cstheme="minorHAnsi"/>
                <w:sz w:val="14"/>
                <w:szCs w:val="14"/>
              </w:rPr>
            </w:pPr>
            <w:r w:rsidRPr="005E5ACF">
              <w:rPr>
                <w:rFonts w:cstheme="minorHAnsi"/>
                <w:sz w:val="14"/>
                <w:szCs w:val="14"/>
              </w:rPr>
              <w:t>Frenštát pod Radhoštěm</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A733F2A" w14:textId="77777777" w:rsidR="00163089" w:rsidRPr="005E5ACF" w:rsidRDefault="00163089" w:rsidP="005E5ACF">
            <w:pPr>
              <w:jc w:val="left"/>
              <w:rPr>
                <w:rFonts w:cstheme="minorHAnsi"/>
                <w:sz w:val="14"/>
                <w:szCs w:val="14"/>
              </w:rPr>
            </w:pPr>
            <w:r w:rsidRPr="005E5ACF">
              <w:rPr>
                <w:rFonts w:cstheme="minorHAnsi"/>
                <w:sz w:val="14"/>
                <w:szCs w:val="14"/>
              </w:rPr>
              <w:t>Rekonstrukce výpravní budovy v </w:t>
            </w:r>
            <w:proofErr w:type="spellStart"/>
            <w:r w:rsidRPr="005E5ACF">
              <w:rPr>
                <w:rFonts w:cstheme="minorHAnsi"/>
                <w:sz w:val="14"/>
                <w:szCs w:val="14"/>
              </w:rPr>
              <w:t>žst</w:t>
            </w:r>
            <w:proofErr w:type="spellEnd"/>
            <w:r w:rsidRPr="005E5ACF">
              <w:rPr>
                <w:rFonts w:cstheme="minorHAnsi"/>
                <w:sz w:val="14"/>
                <w:szCs w:val="14"/>
              </w:rPr>
              <w:t>. Frenštát pod Radhoštěm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4B0374" w14:textId="77777777" w:rsidR="00163089" w:rsidRPr="005E5ACF" w:rsidRDefault="00163089" w:rsidP="00163089">
            <w:pPr>
              <w:jc w:val="center"/>
              <w:rPr>
                <w:rFonts w:cstheme="minorHAnsi"/>
                <w:sz w:val="14"/>
                <w:szCs w:val="14"/>
              </w:rPr>
            </w:pPr>
            <w:r w:rsidRPr="005E5ACF">
              <w:rPr>
                <w:rFonts w:cstheme="minorHAnsi"/>
                <w:sz w:val="14"/>
                <w:szCs w:val="14"/>
              </w:rPr>
              <w:t>27 348, 016</w:t>
            </w:r>
            <w:r w:rsidRPr="005E5ACF">
              <w:rPr>
                <w:rFonts w:cstheme="minorHAnsi"/>
                <w:sz w:val="14"/>
                <w:szCs w:val="14"/>
              </w:rPr>
              <w:br/>
              <w:t>(st. práce 27 348,016)</w:t>
            </w:r>
          </w:p>
        </w:tc>
        <w:tc>
          <w:tcPr>
            <w:tcW w:w="2284" w:type="dxa"/>
            <w:tcBorders>
              <w:top w:val="single" w:sz="4" w:space="0" w:color="auto"/>
              <w:left w:val="single" w:sz="4" w:space="0" w:color="auto"/>
              <w:bottom w:val="single" w:sz="4" w:space="0" w:color="auto"/>
              <w:right w:val="single" w:sz="4" w:space="0" w:color="auto"/>
            </w:tcBorders>
            <w:vAlign w:val="center"/>
            <w:hideMark/>
          </w:tcPr>
          <w:p w14:paraId="32D040C6" w14:textId="640DBD05" w:rsidR="00163089" w:rsidRPr="005E5ACF" w:rsidRDefault="00163089" w:rsidP="00FA179F">
            <w:pPr>
              <w:jc w:val="left"/>
              <w:rPr>
                <w:rFonts w:cstheme="minorHAnsi"/>
                <w:sz w:val="14"/>
                <w:szCs w:val="14"/>
              </w:rPr>
            </w:pPr>
            <w:r w:rsidRPr="005E5ACF">
              <w:rPr>
                <w:rFonts w:cstheme="minorHAnsi"/>
                <w:sz w:val="14"/>
                <w:szCs w:val="14"/>
              </w:rPr>
              <w:t>Globální položka v roce 2019 (5003520140), mimo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A51B847" w14:textId="2B94A7E4" w:rsidR="00163089" w:rsidRPr="005E5ACF" w:rsidRDefault="00480013" w:rsidP="00FA179F">
            <w:pPr>
              <w:jc w:val="left"/>
              <w:rPr>
                <w:rFonts w:cstheme="minorHAnsi"/>
                <w:sz w:val="14"/>
                <w:szCs w:val="14"/>
              </w:rPr>
            </w:pPr>
            <w:r w:rsidRPr="005E5ACF">
              <w:rPr>
                <w:rFonts w:cs="Calibri"/>
                <w:color w:val="000000"/>
                <w:sz w:val="14"/>
                <w:szCs w:val="14"/>
              </w:rPr>
              <w:t>Akce nebyla v době kontroly dokončena</w:t>
            </w:r>
            <w:r w:rsidR="00163089" w:rsidRPr="005E5ACF">
              <w:rPr>
                <w:rFonts w:cstheme="minorHAnsi"/>
                <w:sz w:val="14"/>
                <w:szCs w:val="14"/>
              </w:rPr>
              <w:t>, po výběrovém řízení, uzavřená smlouva o</w:t>
            </w:r>
            <w:r w:rsidR="00FA179F">
              <w:rPr>
                <w:rFonts w:cstheme="minorHAnsi"/>
                <w:sz w:val="14"/>
                <w:szCs w:val="14"/>
              </w:rPr>
              <w:t> </w:t>
            </w:r>
            <w:r w:rsidR="00163089" w:rsidRPr="005E5ACF">
              <w:rPr>
                <w:rFonts w:cstheme="minorHAnsi"/>
                <w:sz w:val="14"/>
                <w:szCs w:val="14"/>
              </w:rPr>
              <w:t>dílo</w:t>
            </w:r>
            <w:r w:rsidR="00FA179F">
              <w:rPr>
                <w:rFonts w:cstheme="minorHAnsi"/>
                <w:sz w:val="14"/>
                <w:szCs w:val="14"/>
              </w:rPr>
              <w:t>;</w:t>
            </w:r>
            <w:r w:rsidR="00163089" w:rsidRPr="005E5ACF">
              <w:rPr>
                <w:rFonts w:cstheme="minorHAnsi"/>
                <w:sz w:val="14"/>
                <w:szCs w:val="14"/>
              </w:rPr>
              <w:t xml:space="preserve"> Oblastní ředitelství Ostrava</w:t>
            </w:r>
          </w:p>
        </w:tc>
      </w:tr>
      <w:tr w:rsidR="00163089" w:rsidRPr="005E5ACF" w14:paraId="077E9E22"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1C83D162" w14:textId="77777777" w:rsidR="00163089" w:rsidRPr="005E5ACF" w:rsidRDefault="00163089" w:rsidP="00163089">
            <w:pPr>
              <w:jc w:val="center"/>
              <w:rPr>
                <w:rFonts w:cstheme="minorHAnsi"/>
                <w:sz w:val="14"/>
                <w:szCs w:val="14"/>
              </w:rPr>
            </w:pPr>
            <w:r w:rsidRPr="005E5ACF">
              <w:rPr>
                <w:rFonts w:cstheme="minorHAnsi"/>
                <w:sz w:val="14"/>
                <w:szCs w:val="14"/>
              </w:rPr>
              <w:t>13</w:t>
            </w:r>
          </w:p>
        </w:tc>
        <w:tc>
          <w:tcPr>
            <w:tcW w:w="929" w:type="dxa"/>
            <w:tcBorders>
              <w:top w:val="single" w:sz="4" w:space="0" w:color="auto"/>
              <w:left w:val="single" w:sz="4" w:space="0" w:color="auto"/>
              <w:bottom w:val="single" w:sz="4" w:space="0" w:color="auto"/>
              <w:right w:val="single" w:sz="4" w:space="0" w:color="auto"/>
            </w:tcBorders>
            <w:vAlign w:val="center"/>
            <w:hideMark/>
          </w:tcPr>
          <w:p w14:paraId="08045BB2" w14:textId="56F2B665" w:rsidR="00163089" w:rsidRPr="005E5ACF" w:rsidRDefault="00163089" w:rsidP="00163089">
            <w:pPr>
              <w:jc w:val="center"/>
              <w:rPr>
                <w:rFonts w:cstheme="minorHAnsi"/>
                <w:sz w:val="14"/>
                <w:szCs w:val="14"/>
              </w:rPr>
            </w:pPr>
            <w:r w:rsidRPr="005E5ACF">
              <w:rPr>
                <w:rFonts w:cstheme="minorHAnsi"/>
                <w:sz w:val="14"/>
                <w:szCs w:val="14"/>
              </w:rPr>
              <w:t>Do 31.</w:t>
            </w:r>
            <w:r w:rsidR="004360C7">
              <w:rPr>
                <w:rFonts w:cstheme="minorHAnsi"/>
                <w:sz w:val="14"/>
                <w:szCs w:val="14"/>
              </w:rPr>
              <w:t> </w:t>
            </w:r>
            <w:r w:rsidRPr="005E5ACF">
              <w:rPr>
                <w:rFonts w:cstheme="minorHAnsi"/>
                <w:sz w:val="14"/>
                <w:szCs w:val="14"/>
              </w:rPr>
              <w:t>12.</w:t>
            </w:r>
            <w:r w:rsidR="004360C7">
              <w:rPr>
                <w:rFonts w:cstheme="minorHAnsi"/>
                <w:sz w:val="14"/>
                <w:szCs w:val="14"/>
              </w:rPr>
              <w:t> </w:t>
            </w:r>
            <w:r w:rsidRPr="005E5ACF">
              <w:rPr>
                <w:rFonts w:cstheme="minorHAnsi"/>
                <w:sz w:val="14"/>
                <w:szCs w:val="14"/>
              </w:rPr>
              <w:t>2019 nebyla zahájena</w:t>
            </w:r>
          </w:p>
        </w:tc>
        <w:tc>
          <w:tcPr>
            <w:tcW w:w="976" w:type="dxa"/>
            <w:tcBorders>
              <w:top w:val="single" w:sz="4" w:space="0" w:color="auto"/>
              <w:left w:val="single" w:sz="4" w:space="0" w:color="auto"/>
              <w:bottom w:val="single" w:sz="4" w:space="0" w:color="auto"/>
              <w:right w:val="single" w:sz="4" w:space="0" w:color="auto"/>
            </w:tcBorders>
            <w:vAlign w:val="center"/>
            <w:hideMark/>
          </w:tcPr>
          <w:p w14:paraId="2A3E6CE5" w14:textId="77777777" w:rsidR="00163089" w:rsidRPr="005E5ACF" w:rsidRDefault="00163089" w:rsidP="005E5ACF">
            <w:pPr>
              <w:jc w:val="left"/>
              <w:rPr>
                <w:rFonts w:cstheme="minorHAnsi"/>
                <w:sz w:val="14"/>
                <w:szCs w:val="14"/>
              </w:rPr>
            </w:pPr>
            <w:r w:rsidRPr="005E5ACF">
              <w:rPr>
                <w:rFonts w:cstheme="minorHAnsi"/>
                <w:sz w:val="14"/>
                <w:szCs w:val="14"/>
              </w:rPr>
              <w:t>Hrušovany nad Jevišovkou</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7E44DA1" w14:textId="77777777" w:rsidR="00163089" w:rsidRPr="005E5ACF" w:rsidRDefault="00163089" w:rsidP="005E5ACF">
            <w:pPr>
              <w:jc w:val="left"/>
              <w:rPr>
                <w:rFonts w:cstheme="minorHAnsi"/>
                <w:sz w:val="14"/>
                <w:szCs w:val="14"/>
              </w:rPr>
            </w:pPr>
            <w:r w:rsidRPr="005E5ACF">
              <w:rPr>
                <w:rFonts w:cstheme="minorHAnsi"/>
                <w:sz w:val="14"/>
                <w:szCs w:val="14"/>
              </w:rPr>
              <w:t>Rekonstrukce výpravní budovy v </w:t>
            </w:r>
            <w:proofErr w:type="spellStart"/>
            <w:r w:rsidRPr="005E5ACF">
              <w:rPr>
                <w:rFonts w:cstheme="minorHAnsi"/>
                <w:sz w:val="14"/>
                <w:szCs w:val="14"/>
              </w:rPr>
              <w:t>žst</w:t>
            </w:r>
            <w:proofErr w:type="spellEnd"/>
            <w:r w:rsidRPr="005E5ACF">
              <w:rPr>
                <w:rFonts w:cstheme="minorHAnsi"/>
                <w:sz w:val="14"/>
                <w:szCs w:val="14"/>
              </w:rPr>
              <w:t>. Hrušovany nad Jevišovkou</w:t>
            </w:r>
          </w:p>
        </w:tc>
        <w:tc>
          <w:tcPr>
            <w:tcW w:w="1560" w:type="dxa"/>
            <w:tcBorders>
              <w:top w:val="single" w:sz="4" w:space="0" w:color="auto"/>
              <w:left w:val="single" w:sz="4" w:space="0" w:color="auto"/>
              <w:bottom w:val="single" w:sz="4" w:space="0" w:color="auto"/>
              <w:right w:val="single" w:sz="4" w:space="0" w:color="auto"/>
            </w:tcBorders>
            <w:vAlign w:val="center"/>
          </w:tcPr>
          <w:p w14:paraId="4C82FB6B" w14:textId="77777777" w:rsidR="00163089" w:rsidRPr="005E5ACF" w:rsidRDefault="00163089" w:rsidP="00163089">
            <w:pPr>
              <w:jc w:val="center"/>
              <w:rPr>
                <w:rFonts w:cstheme="minorHAnsi"/>
                <w:sz w:val="14"/>
                <w:szCs w:val="14"/>
              </w:rPr>
            </w:pPr>
            <w:r w:rsidRPr="005E5ACF">
              <w:rPr>
                <w:rFonts w:cstheme="minorHAnsi"/>
                <w:sz w:val="14"/>
                <w:szCs w:val="14"/>
              </w:rPr>
              <w:t>35 253,370</w:t>
            </w:r>
            <w:r w:rsidRPr="005E5ACF">
              <w:rPr>
                <w:rFonts w:cstheme="minorHAnsi"/>
                <w:sz w:val="14"/>
                <w:szCs w:val="14"/>
                <w:vertAlign w:val="superscript"/>
              </w:rPr>
              <w:footnoteReference w:id="10"/>
            </w:r>
            <w:r w:rsidRPr="005E5ACF">
              <w:rPr>
                <w:rFonts w:cstheme="minorHAnsi"/>
                <w:sz w:val="14"/>
                <w:szCs w:val="14"/>
              </w:rPr>
              <w:br/>
              <w:t>(st. práce 33 563,370; PD 1 690,000)</w:t>
            </w:r>
          </w:p>
          <w:p w14:paraId="57F42138" w14:textId="77777777" w:rsidR="00163089" w:rsidRPr="005E5ACF" w:rsidRDefault="00163089" w:rsidP="00163089">
            <w:pPr>
              <w:jc w:val="center"/>
              <w:rPr>
                <w:rFonts w:cstheme="minorHAnsi"/>
                <w:sz w:val="14"/>
                <w:szCs w:val="14"/>
              </w:rPr>
            </w:pPr>
          </w:p>
        </w:tc>
        <w:tc>
          <w:tcPr>
            <w:tcW w:w="2284" w:type="dxa"/>
            <w:tcBorders>
              <w:top w:val="single" w:sz="4" w:space="0" w:color="auto"/>
              <w:left w:val="single" w:sz="4" w:space="0" w:color="auto"/>
              <w:bottom w:val="single" w:sz="4" w:space="0" w:color="auto"/>
              <w:right w:val="single" w:sz="4" w:space="0" w:color="auto"/>
            </w:tcBorders>
            <w:vAlign w:val="center"/>
            <w:hideMark/>
          </w:tcPr>
          <w:p w14:paraId="4BAB4A05" w14:textId="024AB329" w:rsidR="00163089" w:rsidRPr="005E5ACF" w:rsidRDefault="00163089" w:rsidP="004360C7">
            <w:pPr>
              <w:jc w:val="left"/>
              <w:rPr>
                <w:rFonts w:cstheme="minorHAnsi"/>
                <w:sz w:val="14"/>
                <w:szCs w:val="14"/>
              </w:rPr>
            </w:pPr>
            <w:r w:rsidRPr="005E5ACF">
              <w:rPr>
                <w:rFonts w:cstheme="minorHAnsi"/>
                <w:sz w:val="14"/>
                <w:szCs w:val="14"/>
              </w:rPr>
              <w:t>Globální položka v roce 2019 (5003520140), mimo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5437225" w14:textId="77777777" w:rsidR="00163089" w:rsidRPr="005E5ACF" w:rsidRDefault="00480013" w:rsidP="005E5ACF">
            <w:pPr>
              <w:jc w:val="left"/>
              <w:rPr>
                <w:rFonts w:cstheme="minorHAnsi"/>
                <w:sz w:val="14"/>
                <w:szCs w:val="14"/>
              </w:rPr>
            </w:pPr>
            <w:r w:rsidRPr="005E5ACF">
              <w:rPr>
                <w:rFonts w:cs="Calibri"/>
                <w:color w:val="000000"/>
                <w:sz w:val="14"/>
                <w:szCs w:val="14"/>
              </w:rPr>
              <w:t>Akce nebyla v době kontroly dokončena</w:t>
            </w:r>
            <w:r w:rsidR="00163089" w:rsidRPr="005E5ACF">
              <w:rPr>
                <w:rFonts w:cstheme="minorHAnsi"/>
                <w:sz w:val="14"/>
                <w:szCs w:val="14"/>
              </w:rPr>
              <w:t>, Oblastní ředitelství Brno</w:t>
            </w:r>
          </w:p>
        </w:tc>
      </w:tr>
      <w:tr w:rsidR="00163089" w:rsidRPr="005E5ACF" w14:paraId="24F8530A"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1F8523AB" w14:textId="77777777" w:rsidR="00163089" w:rsidRPr="005E5ACF" w:rsidRDefault="00163089" w:rsidP="00163089">
            <w:pPr>
              <w:jc w:val="center"/>
              <w:rPr>
                <w:rFonts w:cstheme="minorHAnsi"/>
                <w:sz w:val="14"/>
                <w:szCs w:val="14"/>
              </w:rPr>
            </w:pPr>
            <w:r w:rsidRPr="005E5ACF">
              <w:rPr>
                <w:rFonts w:cstheme="minorHAnsi"/>
                <w:sz w:val="14"/>
                <w:szCs w:val="14"/>
              </w:rPr>
              <w:t>14</w:t>
            </w:r>
          </w:p>
        </w:tc>
        <w:tc>
          <w:tcPr>
            <w:tcW w:w="929" w:type="dxa"/>
            <w:tcBorders>
              <w:top w:val="single" w:sz="4" w:space="0" w:color="auto"/>
              <w:left w:val="single" w:sz="4" w:space="0" w:color="auto"/>
              <w:bottom w:val="single" w:sz="4" w:space="0" w:color="auto"/>
              <w:right w:val="single" w:sz="4" w:space="0" w:color="auto"/>
            </w:tcBorders>
            <w:vAlign w:val="center"/>
            <w:hideMark/>
          </w:tcPr>
          <w:p w14:paraId="51B61C21" w14:textId="5BE5AA9F" w:rsidR="00163089" w:rsidRPr="005E5ACF" w:rsidRDefault="00163089" w:rsidP="00163089">
            <w:pPr>
              <w:jc w:val="center"/>
              <w:rPr>
                <w:rFonts w:cstheme="minorHAnsi"/>
                <w:sz w:val="14"/>
                <w:szCs w:val="14"/>
              </w:rPr>
            </w:pPr>
            <w:r w:rsidRPr="005E5ACF">
              <w:rPr>
                <w:rFonts w:cstheme="minorHAnsi"/>
                <w:sz w:val="14"/>
                <w:szCs w:val="14"/>
              </w:rPr>
              <w:t>11/2019</w:t>
            </w:r>
            <w:r w:rsidR="00C65E95">
              <w:rPr>
                <w:rFonts w:cstheme="minorHAnsi"/>
                <w:sz w:val="14"/>
                <w:szCs w:val="14"/>
              </w:rPr>
              <w:t xml:space="preserve"> –</w:t>
            </w:r>
          </w:p>
          <w:p w14:paraId="526202FE" w14:textId="77777777" w:rsidR="00163089" w:rsidRPr="005E5ACF" w:rsidRDefault="00163089" w:rsidP="00163089">
            <w:pPr>
              <w:jc w:val="center"/>
              <w:rPr>
                <w:rFonts w:cstheme="minorHAnsi"/>
                <w:sz w:val="14"/>
                <w:szCs w:val="14"/>
              </w:rPr>
            </w:pPr>
            <w:r w:rsidRPr="005E5ACF">
              <w:rPr>
                <w:rFonts w:cstheme="minorHAnsi"/>
                <w:sz w:val="14"/>
                <w:szCs w:val="14"/>
              </w:rPr>
              <w:t>02/2021</w:t>
            </w:r>
          </w:p>
        </w:tc>
        <w:tc>
          <w:tcPr>
            <w:tcW w:w="976" w:type="dxa"/>
            <w:tcBorders>
              <w:top w:val="single" w:sz="4" w:space="0" w:color="auto"/>
              <w:left w:val="single" w:sz="4" w:space="0" w:color="auto"/>
              <w:bottom w:val="single" w:sz="4" w:space="0" w:color="auto"/>
              <w:right w:val="single" w:sz="4" w:space="0" w:color="auto"/>
            </w:tcBorders>
            <w:vAlign w:val="center"/>
            <w:hideMark/>
          </w:tcPr>
          <w:p w14:paraId="15199E6C" w14:textId="77777777" w:rsidR="00163089" w:rsidRPr="005E5ACF" w:rsidRDefault="00163089" w:rsidP="005E5ACF">
            <w:pPr>
              <w:jc w:val="left"/>
              <w:rPr>
                <w:rFonts w:cstheme="minorHAnsi"/>
                <w:sz w:val="14"/>
                <w:szCs w:val="14"/>
              </w:rPr>
            </w:pPr>
            <w:r w:rsidRPr="005E5ACF">
              <w:rPr>
                <w:rFonts w:cstheme="minorHAnsi"/>
                <w:sz w:val="14"/>
                <w:szCs w:val="14"/>
              </w:rPr>
              <w:t>Křižanov</w:t>
            </w:r>
          </w:p>
        </w:tc>
        <w:tc>
          <w:tcPr>
            <w:tcW w:w="1150" w:type="dxa"/>
            <w:tcBorders>
              <w:top w:val="single" w:sz="4" w:space="0" w:color="auto"/>
              <w:left w:val="single" w:sz="4" w:space="0" w:color="auto"/>
              <w:bottom w:val="single" w:sz="4" w:space="0" w:color="auto"/>
              <w:right w:val="single" w:sz="4" w:space="0" w:color="auto"/>
            </w:tcBorders>
            <w:vAlign w:val="center"/>
            <w:hideMark/>
          </w:tcPr>
          <w:p w14:paraId="12DF480A" w14:textId="77777777" w:rsidR="00163089" w:rsidRPr="005E5ACF" w:rsidRDefault="00685F35" w:rsidP="005E5ACF">
            <w:pPr>
              <w:jc w:val="left"/>
              <w:rPr>
                <w:rFonts w:cstheme="minorHAnsi"/>
                <w:sz w:val="14"/>
                <w:szCs w:val="14"/>
              </w:rPr>
            </w:pPr>
            <w:r>
              <w:rPr>
                <w:rFonts w:cstheme="minorHAnsi"/>
                <w:sz w:val="14"/>
                <w:szCs w:val="14"/>
              </w:rPr>
              <w:t>Rekonstrukce a </w:t>
            </w:r>
            <w:r w:rsidR="00163089" w:rsidRPr="005E5ACF">
              <w:rPr>
                <w:rFonts w:cstheme="minorHAnsi"/>
                <w:sz w:val="14"/>
                <w:szCs w:val="14"/>
              </w:rPr>
              <w:t xml:space="preserve">optimalizace budovy </w:t>
            </w:r>
            <w:proofErr w:type="spellStart"/>
            <w:r w:rsidR="00163089" w:rsidRPr="005E5ACF">
              <w:rPr>
                <w:rFonts w:cstheme="minorHAnsi"/>
                <w:sz w:val="14"/>
                <w:szCs w:val="14"/>
              </w:rPr>
              <w:t>žst</w:t>
            </w:r>
            <w:proofErr w:type="spellEnd"/>
            <w:r w:rsidR="00163089" w:rsidRPr="005E5ACF">
              <w:rPr>
                <w:rFonts w:cstheme="minorHAnsi"/>
                <w:sz w:val="14"/>
                <w:szCs w:val="14"/>
              </w:rPr>
              <w:t>. Křižanov</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DB60F5" w14:textId="77777777" w:rsidR="00163089" w:rsidRPr="005E5ACF" w:rsidRDefault="00163089" w:rsidP="00163089">
            <w:pPr>
              <w:jc w:val="center"/>
              <w:rPr>
                <w:rFonts w:cstheme="minorHAnsi"/>
                <w:sz w:val="14"/>
                <w:szCs w:val="14"/>
              </w:rPr>
            </w:pPr>
            <w:r w:rsidRPr="005E5ACF">
              <w:rPr>
                <w:rFonts w:cstheme="minorHAnsi"/>
                <w:sz w:val="14"/>
                <w:szCs w:val="14"/>
              </w:rPr>
              <w:t xml:space="preserve">44 879,925 </w:t>
            </w:r>
            <w:r w:rsidRPr="005E5ACF">
              <w:rPr>
                <w:rFonts w:cstheme="minorHAnsi"/>
                <w:sz w:val="14"/>
                <w:szCs w:val="14"/>
              </w:rPr>
              <w:br/>
              <w:t>(st. práce 42 429,999; PD 2 449,926)</w:t>
            </w:r>
          </w:p>
        </w:tc>
        <w:tc>
          <w:tcPr>
            <w:tcW w:w="2284" w:type="dxa"/>
            <w:tcBorders>
              <w:top w:val="single" w:sz="4" w:space="0" w:color="auto"/>
              <w:left w:val="single" w:sz="4" w:space="0" w:color="auto"/>
              <w:bottom w:val="single" w:sz="4" w:space="0" w:color="auto"/>
              <w:right w:val="single" w:sz="4" w:space="0" w:color="auto"/>
            </w:tcBorders>
            <w:vAlign w:val="center"/>
            <w:hideMark/>
          </w:tcPr>
          <w:p w14:paraId="6D2348C1" w14:textId="00F9B092" w:rsidR="00163089" w:rsidRPr="005E5ACF" w:rsidRDefault="00163089" w:rsidP="00FA179F">
            <w:pPr>
              <w:jc w:val="left"/>
              <w:rPr>
                <w:rFonts w:cstheme="minorHAnsi"/>
                <w:sz w:val="14"/>
                <w:szCs w:val="14"/>
              </w:rPr>
            </w:pPr>
            <w:r w:rsidRPr="005E5ACF">
              <w:rPr>
                <w:rFonts w:cstheme="minorHAnsi"/>
                <w:sz w:val="14"/>
                <w:szCs w:val="14"/>
              </w:rPr>
              <w:t>Globální položka v roce 2019 (5003520139),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7DAB0554" w14:textId="05F7833F" w:rsidR="00163089" w:rsidRPr="005E5ACF" w:rsidRDefault="00480013" w:rsidP="00FA179F">
            <w:pPr>
              <w:jc w:val="left"/>
              <w:rPr>
                <w:rFonts w:cstheme="minorHAnsi"/>
                <w:sz w:val="14"/>
                <w:szCs w:val="14"/>
              </w:rPr>
            </w:pPr>
            <w:r w:rsidRPr="005E5ACF">
              <w:rPr>
                <w:rFonts w:cs="Calibri"/>
                <w:color w:val="000000"/>
                <w:sz w:val="14"/>
                <w:szCs w:val="14"/>
              </w:rPr>
              <w:t>Akce nebyla v době kontroly dokončena</w:t>
            </w:r>
            <w:r w:rsidR="00FA179F">
              <w:rPr>
                <w:rFonts w:cstheme="minorHAnsi"/>
                <w:sz w:val="14"/>
                <w:szCs w:val="14"/>
              </w:rPr>
              <w:t>;</w:t>
            </w:r>
            <w:r w:rsidR="00163089" w:rsidRPr="005E5ACF">
              <w:rPr>
                <w:rFonts w:cstheme="minorHAnsi"/>
                <w:sz w:val="14"/>
                <w:szCs w:val="14"/>
              </w:rPr>
              <w:t xml:space="preserve"> Oblastní ředitelství Brno</w:t>
            </w:r>
          </w:p>
        </w:tc>
      </w:tr>
      <w:tr w:rsidR="00163089" w:rsidRPr="005E5ACF" w14:paraId="5F4AAC1A"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65967348" w14:textId="77777777" w:rsidR="00163089" w:rsidRPr="005E5ACF" w:rsidRDefault="00163089" w:rsidP="00163089">
            <w:pPr>
              <w:jc w:val="center"/>
              <w:rPr>
                <w:rFonts w:cstheme="minorHAnsi"/>
                <w:sz w:val="14"/>
                <w:szCs w:val="14"/>
              </w:rPr>
            </w:pPr>
            <w:r w:rsidRPr="005E5ACF">
              <w:rPr>
                <w:rFonts w:cstheme="minorHAnsi"/>
                <w:sz w:val="14"/>
                <w:szCs w:val="14"/>
              </w:rPr>
              <w:t>15</w:t>
            </w:r>
          </w:p>
        </w:tc>
        <w:tc>
          <w:tcPr>
            <w:tcW w:w="929" w:type="dxa"/>
            <w:tcBorders>
              <w:top w:val="single" w:sz="4" w:space="0" w:color="auto"/>
              <w:left w:val="single" w:sz="4" w:space="0" w:color="auto"/>
              <w:bottom w:val="single" w:sz="4" w:space="0" w:color="auto"/>
              <w:right w:val="single" w:sz="4" w:space="0" w:color="auto"/>
            </w:tcBorders>
            <w:vAlign w:val="center"/>
            <w:hideMark/>
          </w:tcPr>
          <w:p w14:paraId="57D18A64" w14:textId="0F5210B7" w:rsidR="00163089" w:rsidRPr="005E5ACF" w:rsidRDefault="00163089" w:rsidP="00163089">
            <w:pPr>
              <w:jc w:val="center"/>
              <w:rPr>
                <w:rFonts w:cstheme="minorHAnsi"/>
                <w:sz w:val="14"/>
                <w:szCs w:val="14"/>
              </w:rPr>
            </w:pPr>
            <w:r w:rsidRPr="005E5ACF">
              <w:rPr>
                <w:rFonts w:cstheme="minorHAnsi"/>
                <w:sz w:val="14"/>
                <w:szCs w:val="14"/>
              </w:rPr>
              <w:t>07/2019</w:t>
            </w:r>
            <w:r w:rsidR="00C65E95">
              <w:rPr>
                <w:rFonts w:cstheme="minorHAnsi"/>
                <w:sz w:val="14"/>
                <w:szCs w:val="14"/>
              </w:rPr>
              <w:t xml:space="preserve"> –</w:t>
            </w:r>
          </w:p>
          <w:p w14:paraId="1CB6F420" w14:textId="77777777" w:rsidR="00163089" w:rsidRPr="005E5ACF" w:rsidRDefault="00163089" w:rsidP="00163089">
            <w:pPr>
              <w:jc w:val="center"/>
              <w:rPr>
                <w:rFonts w:cstheme="minorHAnsi"/>
                <w:sz w:val="14"/>
                <w:szCs w:val="14"/>
              </w:rPr>
            </w:pPr>
            <w:r w:rsidRPr="005E5ACF">
              <w:rPr>
                <w:rFonts w:cstheme="minorHAnsi"/>
                <w:sz w:val="14"/>
                <w:szCs w:val="14"/>
              </w:rPr>
              <w:t>12/2021</w:t>
            </w:r>
          </w:p>
        </w:tc>
        <w:tc>
          <w:tcPr>
            <w:tcW w:w="976" w:type="dxa"/>
            <w:tcBorders>
              <w:top w:val="single" w:sz="4" w:space="0" w:color="auto"/>
              <w:left w:val="single" w:sz="4" w:space="0" w:color="auto"/>
              <w:bottom w:val="single" w:sz="4" w:space="0" w:color="auto"/>
              <w:right w:val="single" w:sz="4" w:space="0" w:color="auto"/>
            </w:tcBorders>
            <w:vAlign w:val="center"/>
            <w:hideMark/>
          </w:tcPr>
          <w:p w14:paraId="31C02247" w14:textId="77777777" w:rsidR="00163089" w:rsidRPr="005E5ACF" w:rsidRDefault="00163089" w:rsidP="005E5ACF">
            <w:pPr>
              <w:jc w:val="left"/>
              <w:rPr>
                <w:rFonts w:cstheme="minorHAnsi"/>
                <w:sz w:val="14"/>
                <w:szCs w:val="14"/>
              </w:rPr>
            </w:pPr>
            <w:r w:rsidRPr="005E5ACF">
              <w:rPr>
                <w:rFonts w:cstheme="minorHAnsi"/>
                <w:sz w:val="14"/>
                <w:szCs w:val="14"/>
              </w:rPr>
              <w:t>Šternberk</w:t>
            </w:r>
          </w:p>
        </w:tc>
        <w:tc>
          <w:tcPr>
            <w:tcW w:w="1150" w:type="dxa"/>
            <w:tcBorders>
              <w:top w:val="single" w:sz="4" w:space="0" w:color="auto"/>
              <w:left w:val="single" w:sz="4" w:space="0" w:color="auto"/>
              <w:bottom w:val="single" w:sz="4" w:space="0" w:color="auto"/>
              <w:right w:val="single" w:sz="4" w:space="0" w:color="auto"/>
            </w:tcBorders>
            <w:vAlign w:val="center"/>
            <w:hideMark/>
          </w:tcPr>
          <w:p w14:paraId="32EFCF8A" w14:textId="77777777" w:rsidR="00163089" w:rsidRPr="005E5ACF" w:rsidRDefault="00163089" w:rsidP="005E5ACF">
            <w:pPr>
              <w:jc w:val="left"/>
              <w:rPr>
                <w:rFonts w:cstheme="minorHAnsi"/>
                <w:sz w:val="14"/>
                <w:szCs w:val="14"/>
              </w:rPr>
            </w:pPr>
            <w:r w:rsidRPr="005E5ACF">
              <w:rPr>
                <w:rFonts w:cstheme="minorHAnsi"/>
                <w:sz w:val="14"/>
                <w:szCs w:val="14"/>
              </w:rPr>
              <w:t>Rekonstrukce výpravní budovy v </w:t>
            </w:r>
            <w:proofErr w:type="spellStart"/>
            <w:r w:rsidRPr="005E5ACF">
              <w:rPr>
                <w:rFonts w:cstheme="minorHAnsi"/>
                <w:sz w:val="14"/>
                <w:szCs w:val="14"/>
              </w:rPr>
              <w:t>žst</w:t>
            </w:r>
            <w:proofErr w:type="spellEnd"/>
            <w:r w:rsidRPr="005E5ACF">
              <w:rPr>
                <w:rFonts w:cstheme="minorHAnsi"/>
                <w:sz w:val="14"/>
                <w:szCs w:val="14"/>
              </w:rPr>
              <w:t>. Šternberk</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F9C17E" w14:textId="77777777" w:rsidR="00163089" w:rsidRPr="005E5ACF" w:rsidRDefault="00163089" w:rsidP="00163089">
            <w:pPr>
              <w:jc w:val="center"/>
              <w:rPr>
                <w:rFonts w:cstheme="minorHAnsi"/>
                <w:sz w:val="14"/>
                <w:szCs w:val="14"/>
              </w:rPr>
            </w:pPr>
            <w:r w:rsidRPr="005E5ACF">
              <w:rPr>
                <w:rFonts w:cstheme="minorHAnsi"/>
                <w:sz w:val="14"/>
                <w:szCs w:val="14"/>
              </w:rPr>
              <w:t xml:space="preserve">33 697,289 </w:t>
            </w:r>
            <w:r w:rsidRPr="005E5ACF">
              <w:rPr>
                <w:rFonts w:cstheme="minorHAnsi"/>
                <w:sz w:val="14"/>
                <w:szCs w:val="14"/>
              </w:rPr>
              <w:br/>
              <w:t>(st. práce 31 706,889; PD 1 990,400)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6C80C8E0" w14:textId="5CF2C4D6" w:rsidR="00163089" w:rsidRPr="005E5ACF" w:rsidRDefault="00163089" w:rsidP="00FA179F">
            <w:pPr>
              <w:jc w:val="left"/>
              <w:rPr>
                <w:rFonts w:cstheme="minorHAnsi"/>
                <w:sz w:val="14"/>
                <w:szCs w:val="14"/>
              </w:rPr>
            </w:pPr>
            <w:r w:rsidRPr="005E5ACF">
              <w:rPr>
                <w:rFonts w:cstheme="minorHAnsi"/>
                <w:sz w:val="14"/>
                <w:szCs w:val="14"/>
              </w:rPr>
              <w:t>Globální položka v roce 2019 (5003520140), mimo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3A72BDE" w14:textId="68763ED3" w:rsidR="00163089" w:rsidRPr="005E5ACF" w:rsidRDefault="00480013" w:rsidP="00FA179F">
            <w:pPr>
              <w:jc w:val="left"/>
              <w:rPr>
                <w:rFonts w:cstheme="minorHAnsi"/>
                <w:sz w:val="14"/>
                <w:szCs w:val="14"/>
              </w:rPr>
            </w:pPr>
            <w:r w:rsidRPr="005E5ACF">
              <w:rPr>
                <w:rFonts w:cs="Calibri"/>
                <w:color w:val="000000"/>
                <w:sz w:val="14"/>
                <w:szCs w:val="14"/>
              </w:rPr>
              <w:t>Akce nebyla v době kontroly dokončena</w:t>
            </w:r>
            <w:r w:rsidR="00FA179F">
              <w:rPr>
                <w:rFonts w:cstheme="minorHAnsi"/>
                <w:sz w:val="14"/>
                <w:szCs w:val="14"/>
              </w:rPr>
              <w:t>;</w:t>
            </w:r>
            <w:r w:rsidR="00163089" w:rsidRPr="005E5ACF">
              <w:rPr>
                <w:rFonts w:cstheme="minorHAnsi"/>
                <w:sz w:val="14"/>
                <w:szCs w:val="14"/>
              </w:rPr>
              <w:t xml:space="preserve"> Oblastní ředitelství Olomouc</w:t>
            </w:r>
          </w:p>
        </w:tc>
      </w:tr>
      <w:tr w:rsidR="00163089" w:rsidRPr="005E5ACF" w14:paraId="2E0CC47E"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4EB95416" w14:textId="77777777" w:rsidR="00163089" w:rsidRPr="005E5ACF" w:rsidRDefault="00163089" w:rsidP="00163089">
            <w:pPr>
              <w:jc w:val="center"/>
              <w:rPr>
                <w:rFonts w:cstheme="minorHAnsi"/>
                <w:sz w:val="14"/>
                <w:szCs w:val="14"/>
              </w:rPr>
            </w:pPr>
            <w:r w:rsidRPr="005E5ACF">
              <w:rPr>
                <w:rFonts w:cstheme="minorHAnsi"/>
                <w:sz w:val="14"/>
                <w:szCs w:val="14"/>
              </w:rPr>
              <w:t>16</w:t>
            </w:r>
          </w:p>
        </w:tc>
        <w:tc>
          <w:tcPr>
            <w:tcW w:w="929" w:type="dxa"/>
            <w:tcBorders>
              <w:top w:val="single" w:sz="4" w:space="0" w:color="auto"/>
              <w:left w:val="single" w:sz="4" w:space="0" w:color="auto"/>
              <w:bottom w:val="single" w:sz="4" w:space="0" w:color="auto"/>
              <w:right w:val="single" w:sz="4" w:space="0" w:color="auto"/>
            </w:tcBorders>
            <w:vAlign w:val="center"/>
            <w:hideMark/>
          </w:tcPr>
          <w:p w14:paraId="36DBA663" w14:textId="65C80DDE" w:rsidR="00163089" w:rsidRPr="005E5ACF" w:rsidRDefault="00163089" w:rsidP="00163089">
            <w:pPr>
              <w:jc w:val="center"/>
              <w:rPr>
                <w:rFonts w:cstheme="minorHAnsi"/>
                <w:sz w:val="14"/>
                <w:szCs w:val="14"/>
              </w:rPr>
            </w:pPr>
            <w:r w:rsidRPr="005E5ACF">
              <w:rPr>
                <w:rFonts w:cstheme="minorHAnsi"/>
                <w:sz w:val="14"/>
                <w:szCs w:val="14"/>
              </w:rPr>
              <w:t>Do 31.</w:t>
            </w:r>
            <w:r w:rsidR="00FA179F">
              <w:rPr>
                <w:rFonts w:cstheme="minorHAnsi"/>
                <w:sz w:val="14"/>
                <w:szCs w:val="14"/>
              </w:rPr>
              <w:t> </w:t>
            </w:r>
            <w:r w:rsidRPr="005E5ACF">
              <w:rPr>
                <w:rFonts w:cstheme="minorHAnsi"/>
                <w:sz w:val="14"/>
                <w:szCs w:val="14"/>
              </w:rPr>
              <w:t>12.</w:t>
            </w:r>
            <w:r w:rsidR="00FA179F">
              <w:rPr>
                <w:rFonts w:cstheme="minorHAnsi"/>
                <w:sz w:val="14"/>
                <w:szCs w:val="14"/>
              </w:rPr>
              <w:t> </w:t>
            </w:r>
            <w:r w:rsidRPr="005E5ACF">
              <w:rPr>
                <w:rFonts w:cstheme="minorHAnsi"/>
                <w:sz w:val="14"/>
                <w:szCs w:val="14"/>
              </w:rPr>
              <w:t>2019 nebyla zahájena</w:t>
            </w:r>
          </w:p>
        </w:tc>
        <w:tc>
          <w:tcPr>
            <w:tcW w:w="976" w:type="dxa"/>
            <w:tcBorders>
              <w:top w:val="single" w:sz="4" w:space="0" w:color="auto"/>
              <w:left w:val="single" w:sz="4" w:space="0" w:color="auto"/>
              <w:bottom w:val="single" w:sz="4" w:space="0" w:color="auto"/>
              <w:right w:val="single" w:sz="4" w:space="0" w:color="auto"/>
            </w:tcBorders>
            <w:vAlign w:val="center"/>
            <w:hideMark/>
          </w:tcPr>
          <w:p w14:paraId="238AE800" w14:textId="77777777" w:rsidR="00163089" w:rsidRPr="005E5ACF" w:rsidRDefault="00163089" w:rsidP="005E5ACF">
            <w:pPr>
              <w:jc w:val="left"/>
              <w:rPr>
                <w:rFonts w:cstheme="minorHAnsi"/>
                <w:sz w:val="14"/>
                <w:szCs w:val="14"/>
              </w:rPr>
            </w:pPr>
            <w:r w:rsidRPr="005E5ACF">
              <w:rPr>
                <w:rFonts w:cstheme="minorHAnsi"/>
                <w:sz w:val="14"/>
                <w:szCs w:val="14"/>
              </w:rPr>
              <w:t>Třebíč</w:t>
            </w:r>
          </w:p>
        </w:tc>
        <w:tc>
          <w:tcPr>
            <w:tcW w:w="1150" w:type="dxa"/>
            <w:tcBorders>
              <w:top w:val="single" w:sz="4" w:space="0" w:color="auto"/>
              <w:left w:val="single" w:sz="4" w:space="0" w:color="auto"/>
              <w:bottom w:val="single" w:sz="4" w:space="0" w:color="auto"/>
              <w:right w:val="single" w:sz="4" w:space="0" w:color="auto"/>
            </w:tcBorders>
            <w:vAlign w:val="center"/>
            <w:hideMark/>
          </w:tcPr>
          <w:p w14:paraId="22F31F25" w14:textId="77777777" w:rsidR="00163089" w:rsidRPr="005E5ACF" w:rsidRDefault="00163089" w:rsidP="005E5ACF">
            <w:pPr>
              <w:jc w:val="left"/>
              <w:rPr>
                <w:rFonts w:cstheme="minorHAnsi"/>
                <w:sz w:val="14"/>
                <w:szCs w:val="14"/>
              </w:rPr>
            </w:pPr>
            <w:r w:rsidRPr="005E5ACF">
              <w:rPr>
                <w:rFonts w:cstheme="minorHAnsi"/>
                <w:sz w:val="14"/>
                <w:szCs w:val="14"/>
              </w:rPr>
              <w:t>Rekonstrukce výpravní budovy v </w:t>
            </w:r>
            <w:proofErr w:type="spellStart"/>
            <w:r w:rsidRPr="005E5ACF">
              <w:rPr>
                <w:rFonts w:cstheme="minorHAnsi"/>
                <w:sz w:val="14"/>
                <w:szCs w:val="14"/>
              </w:rPr>
              <w:t>žst</w:t>
            </w:r>
            <w:proofErr w:type="spellEnd"/>
            <w:r w:rsidRPr="005E5ACF">
              <w:rPr>
                <w:rFonts w:cstheme="minorHAnsi"/>
                <w:sz w:val="14"/>
                <w:szCs w:val="14"/>
              </w:rPr>
              <w:t>. Třebíč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FE8B6E" w14:textId="77777777" w:rsidR="00163089" w:rsidRPr="005E5ACF" w:rsidRDefault="00163089" w:rsidP="00163089">
            <w:pPr>
              <w:jc w:val="center"/>
              <w:rPr>
                <w:rFonts w:cstheme="minorHAnsi"/>
                <w:sz w:val="14"/>
                <w:szCs w:val="14"/>
              </w:rPr>
            </w:pPr>
            <w:r w:rsidRPr="005E5ACF">
              <w:rPr>
                <w:rFonts w:cstheme="minorHAnsi"/>
                <w:sz w:val="14"/>
                <w:szCs w:val="14"/>
              </w:rPr>
              <w:t>23 532,000</w:t>
            </w:r>
            <w:r w:rsidRPr="005E5ACF">
              <w:rPr>
                <w:rFonts w:cstheme="minorHAnsi"/>
                <w:sz w:val="14"/>
                <w:szCs w:val="14"/>
              </w:rPr>
              <w:br/>
              <w:t>(st. práce 21 608,000</w:t>
            </w:r>
          </w:p>
          <w:p w14:paraId="3737F59F" w14:textId="77777777" w:rsidR="00163089" w:rsidRPr="005E5ACF" w:rsidRDefault="00163089" w:rsidP="00163089">
            <w:pPr>
              <w:jc w:val="center"/>
              <w:rPr>
                <w:rFonts w:cstheme="minorHAnsi"/>
                <w:sz w:val="14"/>
                <w:szCs w:val="14"/>
              </w:rPr>
            </w:pPr>
            <w:r w:rsidRPr="005E5ACF">
              <w:rPr>
                <w:rFonts w:cstheme="minorHAnsi"/>
                <w:sz w:val="14"/>
                <w:szCs w:val="14"/>
              </w:rPr>
              <w:t>(předpokládaná cena); PD 1 924,000)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78D6957F" w14:textId="1B5512E0" w:rsidR="00163089" w:rsidRPr="005E5ACF" w:rsidRDefault="00163089" w:rsidP="00FA179F">
            <w:pPr>
              <w:jc w:val="left"/>
              <w:rPr>
                <w:rFonts w:cstheme="minorHAnsi"/>
                <w:sz w:val="14"/>
                <w:szCs w:val="14"/>
              </w:rPr>
            </w:pPr>
            <w:r w:rsidRPr="005E5ACF">
              <w:rPr>
                <w:rFonts w:cstheme="minorHAnsi"/>
                <w:sz w:val="14"/>
                <w:szCs w:val="14"/>
              </w:rPr>
              <w:t>Globální položka v roce 2017 (5003520036), mimo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B3226F1" w14:textId="29C1D645" w:rsidR="00163089" w:rsidRPr="005E5ACF" w:rsidRDefault="00480013" w:rsidP="00FA179F">
            <w:pPr>
              <w:jc w:val="left"/>
              <w:rPr>
                <w:rFonts w:cstheme="minorHAnsi"/>
                <w:sz w:val="14"/>
                <w:szCs w:val="14"/>
              </w:rPr>
            </w:pPr>
            <w:r w:rsidRPr="005E5ACF">
              <w:rPr>
                <w:rFonts w:cs="Calibri"/>
                <w:color w:val="000000"/>
                <w:sz w:val="14"/>
                <w:szCs w:val="14"/>
              </w:rPr>
              <w:t>Akce nebyla v době kontroly dokončena</w:t>
            </w:r>
            <w:r w:rsidR="00FA179F">
              <w:rPr>
                <w:rFonts w:cstheme="minorHAnsi"/>
                <w:sz w:val="14"/>
                <w:szCs w:val="14"/>
              </w:rPr>
              <w:t>;</w:t>
            </w:r>
            <w:r w:rsidR="00163089" w:rsidRPr="005E5ACF">
              <w:rPr>
                <w:rFonts w:cstheme="minorHAnsi"/>
                <w:sz w:val="14"/>
                <w:szCs w:val="14"/>
              </w:rPr>
              <w:t xml:space="preserve"> Oblastní ředitelství Brno</w:t>
            </w:r>
          </w:p>
        </w:tc>
      </w:tr>
      <w:tr w:rsidR="00163089" w:rsidRPr="005E5ACF" w14:paraId="622D582B"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3ADAE08D" w14:textId="77777777" w:rsidR="00163089" w:rsidRPr="005E5ACF" w:rsidRDefault="00163089" w:rsidP="00163089">
            <w:pPr>
              <w:jc w:val="center"/>
              <w:rPr>
                <w:rFonts w:cstheme="minorHAnsi"/>
                <w:sz w:val="14"/>
                <w:szCs w:val="14"/>
              </w:rPr>
            </w:pPr>
            <w:r w:rsidRPr="005E5ACF">
              <w:rPr>
                <w:rFonts w:cstheme="minorHAnsi"/>
                <w:sz w:val="14"/>
                <w:szCs w:val="14"/>
              </w:rPr>
              <w:t>17</w:t>
            </w:r>
          </w:p>
        </w:tc>
        <w:tc>
          <w:tcPr>
            <w:tcW w:w="929" w:type="dxa"/>
            <w:tcBorders>
              <w:top w:val="single" w:sz="4" w:space="0" w:color="auto"/>
              <w:left w:val="single" w:sz="4" w:space="0" w:color="auto"/>
              <w:bottom w:val="single" w:sz="4" w:space="0" w:color="auto"/>
              <w:right w:val="single" w:sz="4" w:space="0" w:color="auto"/>
            </w:tcBorders>
            <w:vAlign w:val="center"/>
            <w:hideMark/>
          </w:tcPr>
          <w:p w14:paraId="79E565B3" w14:textId="2D26AB16" w:rsidR="00163089" w:rsidRPr="005E5ACF" w:rsidRDefault="00163089" w:rsidP="00163089">
            <w:pPr>
              <w:jc w:val="center"/>
              <w:rPr>
                <w:rFonts w:cstheme="minorHAnsi"/>
                <w:sz w:val="14"/>
                <w:szCs w:val="14"/>
              </w:rPr>
            </w:pPr>
            <w:r w:rsidRPr="005E5ACF">
              <w:rPr>
                <w:rFonts w:cstheme="minorHAnsi"/>
                <w:sz w:val="14"/>
                <w:szCs w:val="14"/>
              </w:rPr>
              <w:t>05/2019</w:t>
            </w:r>
            <w:r w:rsidR="00C65E95">
              <w:rPr>
                <w:rFonts w:cstheme="minorHAnsi"/>
                <w:sz w:val="14"/>
                <w:szCs w:val="14"/>
              </w:rPr>
              <w:t xml:space="preserve"> –</w:t>
            </w:r>
          </w:p>
          <w:p w14:paraId="707B741E" w14:textId="77777777" w:rsidR="00163089" w:rsidRPr="005E5ACF" w:rsidRDefault="00163089" w:rsidP="00163089">
            <w:pPr>
              <w:jc w:val="center"/>
              <w:rPr>
                <w:rFonts w:cstheme="minorHAnsi"/>
                <w:sz w:val="14"/>
                <w:szCs w:val="14"/>
              </w:rPr>
            </w:pPr>
            <w:r w:rsidRPr="005E5ACF">
              <w:rPr>
                <w:rFonts w:cstheme="minorHAnsi"/>
                <w:sz w:val="14"/>
                <w:szCs w:val="14"/>
              </w:rPr>
              <w:t>05/2021</w:t>
            </w:r>
          </w:p>
        </w:tc>
        <w:tc>
          <w:tcPr>
            <w:tcW w:w="976" w:type="dxa"/>
            <w:tcBorders>
              <w:top w:val="single" w:sz="4" w:space="0" w:color="auto"/>
              <w:left w:val="single" w:sz="4" w:space="0" w:color="auto"/>
              <w:bottom w:val="single" w:sz="4" w:space="0" w:color="auto"/>
              <w:right w:val="single" w:sz="4" w:space="0" w:color="auto"/>
            </w:tcBorders>
            <w:vAlign w:val="center"/>
            <w:hideMark/>
          </w:tcPr>
          <w:p w14:paraId="4B2298E9" w14:textId="77777777" w:rsidR="00163089" w:rsidRPr="005E5ACF" w:rsidRDefault="00163089" w:rsidP="005E5ACF">
            <w:pPr>
              <w:jc w:val="left"/>
              <w:rPr>
                <w:rFonts w:cstheme="minorHAnsi"/>
                <w:sz w:val="14"/>
                <w:szCs w:val="14"/>
              </w:rPr>
            </w:pPr>
            <w:r w:rsidRPr="005E5ACF">
              <w:rPr>
                <w:rFonts w:cstheme="minorHAnsi"/>
                <w:sz w:val="14"/>
                <w:szCs w:val="14"/>
              </w:rPr>
              <w:t>Havířov</w:t>
            </w:r>
          </w:p>
        </w:tc>
        <w:tc>
          <w:tcPr>
            <w:tcW w:w="1150" w:type="dxa"/>
            <w:tcBorders>
              <w:top w:val="single" w:sz="4" w:space="0" w:color="auto"/>
              <w:left w:val="single" w:sz="4" w:space="0" w:color="auto"/>
              <w:bottom w:val="single" w:sz="4" w:space="0" w:color="auto"/>
              <w:right w:val="single" w:sz="4" w:space="0" w:color="auto"/>
            </w:tcBorders>
            <w:vAlign w:val="center"/>
            <w:hideMark/>
          </w:tcPr>
          <w:p w14:paraId="0950FFC9" w14:textId="77777777" w:rsidR="00163089" w:rsidRPr="005E5ACF" w:rsidRDefault="00163089" w:rsidP="005E5ACF">
            <w:pPr>
              <w:jc w:val="left"/>
              <w:rPr>
                <w:rFonts w:cstheme="minorHAnsi"/>
                <w:sz w:val="14"/>
                <w:szCs w:val="14"/>
              </w:rPr>
            </w:pPr>
            <w:r w:rsidRPr="005E5ACF">
              <w:rPr>
                <w:rFonts w:cstheme="minorHAnsi"/>
                <w:sz w:val="14"/>
                <w:szCs w:val="14"/>
              </w:rPr>
              <w:t>Rekonstrukce výpravní budovy v </w:t>
            </w:r>
            <w:proofErr w:type="spellStart"/>
            <w:r w:rsidRPr="005E5ACF">
              <w:rPr>
                <w:rFonts w:cstheme="minorHAnsi"/>
                <w:sz w:val="14"/>
                <w:szCs w:val="14"/>
              </w:rPr>
              <w:t>žst</w:t>
            </w:r>
            <w:proofErr w:type="spellEnd"/>
            <w:r w:rsidRPr="005E5ACF">
              <w:rPr>
                <w:rFonts w:cstheme="minorHAnsi"/>
                <w:sz w:val="14"/>
                <w:szCs w:val="14"/>
              </w:rPr>
              <w:t>. Havířov</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716D08" w14:textId="77777777" w:rsidR="00163089" w:rsidRPr="005E5ACF" w:rsidRDefault="00163089" w:rsidP="00163089">
            <w:pPr>
              <w:jc w:val="center"/>
              <w:rPr>
                <w:rFonts w:cstheme="minorHAnsi"/>
                <w:sz w:val="14"/>
                <w:szCs w:val="14"/>
              </w:rPr>
            </w:pPr>
            <w:r w:rsidRPr="005E5ACF">
              <w:rPr>
                <w:rFonts w:cstheme="minorHAnsi"/>
                <w:sz w:val="14"/>
                <w:szCs w:val="14"/>
              </w:rPr>
              <w:t>141 339,468</w:t>
            </w:r>
            <w:r w:rsidRPr="005E5ACF">
              <w:rPr>
                <w:rFonts w:cstheme="minorHAnsi"/>
                <w:sz w:val="14"/>
                <w:szCs w:val="14"/>
              </w:rPr>
              <w:br/>
              <w:t>(st. práce 137 364,468; PD 3 975,000)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3170896C" w14:textId="77777777" w:rsidR="00163089" w:rsidRPr="005E5ACF" w:rsidRDefault="00163089" w:rsidP="005E5ACF">
            <w:pPr>
              <w:jc w:val="left"/>
              <w:rPr>
                <w:rFonts w:cstheme="minorHAnsi"/>
                <w:sz w:val="14"/>
                <w:szCs w:val="14"/>
              </w:rPr>
            </w:pPr>
            <w:r w:rsidRPr="005E5ACF">
              <w:rPr>
                <w:rFonts w:cstheme="minorHAnsi"/>
                <w:sz w:val="14"/>
                <w:szCs w:val="14"/>
              </w:rPr>
              <w:t>Globální položka v roce 2019 (5003520139),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4554D2F2" w14:textId="0C45E611" w:rsidR="00163089" w:rsidRPr="005E5ACF" w:rsidRDefault="00480013" w:rsidP="00C65E95">
            <w:pPr>
              <w:jc w:val="left"/>
              <w:rPr>
                <w:rFonts w:cstheme="minorHAnsi"/>
                <w:sz w:val="14"/>
                <w:szCs w:val="14"/>
              </w:rPr>
            </w:pPr>
            <w:r w:rsidRPr="005E5ACF">
              <w:rPr>
                <w:rFonts w:cs="Calibri"/>
                <w:color w:val="000000"/>
                <w:sz w:val="14"/>
                <w:szCs w:val="14"/>
              </w:rPr>
              <w:t>Akce nebyla v době kontroly dokončena</w:t>
            </w:r>
            <w:r w:rsidR="00C65E95">
              <w:rPr>
                <w:rFonts w:cstheme="minorHAnsi"/>
                <w:sz w:val="14"/>
                <w:szCs w:val="14"/>
              </w:rPr>
              <w:t>;</w:t>
            </w:r>
            <w:r w:rsidR="00163089" w:rsidRPr="005E5ACF">
              <w:rPr>
                <w:rFonts w:cstheme="minorHAnsi"/>
                <w:sz w:val="14"/>
                <w:szCs w:val="14"/>
              </w:rPr>
              <w:t xml:space="preserve"> Oblastní ředitelství Ostrava</w:t>
            </w:r>
          </w:p>
        </w:tc>
      </w:tr>
      <w:tr w:rsidR="00163089" w:rsidRPr="005E5ACF" w14:paraId="388155A1"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009C43B0" w14:textId="77777777" w:rsidR="00163089" w:rsidRPr="005E5ACF" w:rsidRDefault="00163089" w:rsidP="00163089">
            <w:pPr>
              <w:jc w:val="center"/>
              <w:rPr>
                <w:rFonts w:cstheme="minorHAnsi"/>
                <w:sz w:val="14"/>
                <w:szCs w:val="14"/>
              </w:rPr>
            </w:pPr>
            <w:r w:rsidRPr="005E5ACF">
              <w:rPr>
                <w:rFonts w:cstheme="minorHAnsi"/>
                <w:sz w:val="14"/>
                <w:szCs w:val="14"/>
              </w:rPr>
              <w:t>18</w:t>
            </w:r>
          </w:p>
        </w:tc>
        <w:tc>
          <w:tcPr>
            <w:tcW w:w="929" w:type="dxa"/>
            <w:tcBorders>
              <w:top w:val="single" w:sz="4" w:space="0" w:color="auto"/>
              <w:left w:val="single" w:sz="4" w:space="0" w:color="auto"/>
              <w:bottom w:val="single" w:sz="4" w:space="0" w:color="auto"/>
              <w:right w:val="single" w:sz="4" w:space="0" w:color="auto"/>
            </w:tcBorders>
            <w:vAlign w:val="center"/>
            <w:hideMark/>
          </w:tcPr>
          <w:p w14:paraId="05DD7728" w14:textId="7BB305C3" w:rsidR="00163089" w:rsidRPr="005E5ACF" w:rsidRDefault="00163089" w:rsidP="00163089">
            <w:pPr>
              <w:jc w:val="center"/>
              <w:rPr>
                <w:rFonts w:cstheme="minorHAnsi"/>
                <w:sz w:val="14"/>
                <w:szCs w:val="14"/>
              </w:rPr>
            </w:pPr>
            <w:r w:rsidRPr="005E5ACF">
              <w:rPr>
                <w:rFonts w:cstheme="minorHAnsi"/>
                <w:sz w:val="14"/>
                <w:szCs w:val="14"/>
              </w:rPr>
              <w:t>09/2019</w:t>
            </w:r>
            <w:r w:rsidR="00C65E95">
              <w:rPr>
                <w:rFonts w:cstheme="minorHAnsi"/>
                <w:sz w:val="14"/>
                <w:szCs w:val="14"/>
              </w:rPr>
              <w:t xml:space="preserve"> – </w:t>
            </w:r>
          </w:p>
          <w:p w14:paraId="1C30E033" w14:textId="77777777" w:rsidR="00163089" w:rsidRPr="005E5ACF" w:rsidRDefault="00163089" w:rsidP="00163089">
            <w:pPr>
              <w:jc w:val="center"/>
              <w:rPr>
                <w:rFonts w:cstheme="minorHAnsi"/>
                <w:sz w:val="14"/>
                <w:szCs w:val="14"/>
              </w:rPr>
            </w:pPr>
            <w:r w:rsidRPr="005E5ACF">
              <w:rPr>
                <w:rFonts w:cstheme="minorHAnsi"/>
                <w:sz w:val="14"/>
                <w:szCs w:val="14"/>
              </w:rPr>
              <w:t>11/2021</w:t>
            </w:r>
          </w:p>
        </w:tc>
        <w:tc>
          <w:tcPr>
            <w:tcW w:w="976" w:type="dxa"/>
            <w:tcBorders>
              <w:top w:val="single" w:sz="4" w:space="0" w:color="auto"/>
              <w:left w:val="single" w:sz="4" w:space="0" w:color="auto"/>
              <w:bottom w:val="single" w:sz="4" w:space="0" w:color="auto"/>
              <w:right w:val="single" w:sz="4" w:space="0" w:color="auto"/>
            </w:tcBorders>
            <w:vAlign w:val="center"/>
            <w:hideMark/>
          </w:tcPr>
          <w:p w14:paraId="1A15B903" w14:textId="77777777" w:rsidR="00163089" w:rsidRPr="005E5ACF" w:rsidRDefault="00163089" w:rsidP="005E5ACF">
            <w:pPr>
              <w:jc w:val="left"/>
              <w:rPr>
                <w:rFonts w:cstheme="minorHAnsi"/>
                <w:sz w:val="14"/>
                <w:szCs w:val="14"/>
              </w:rPr>
            </w:pPr>
            <w:r w:rsidRPr="005E5ACF">
              <w:rPr>
                <w:rFonts w:cstheme="minorHAnsi"/>
                <w:sz w:val="14"/>
                <w:szCs w:val="14"/>
              </w:rPr>
              <w:t>Hanušovice</w:t>
            </w:r>
          </w:p>
        </w:tc>
        <w:tc>
          <w:tcPr>
            <w:tcW w:w="1150" w:type="dxa"/>
            <w:tcBorders>
              <w:top w:val="single" w:sz="4" w:space="0" w:color="auto"/>
              <w:left w:val="single" w:sz="4" w:space="0" w:color="auto"/>
              <w:bottom w:val="single" w:sz="4" w:space="0" w:color="auto"/>
              <w:right w:val="single" w:sz="4" w:space="0" w:color="auto"/>
            </w:tcBorders>
            <w:vAlign w:val="center"/>
            <w:hideMark/>
          </w:tcPr>
          <w:p w14:paraId="4E677048" w14:textId="77777777" w:rsidR="00163089" w:rsidRPr="005E5ACF" w:rsidRDefault="00163089" w:rsidP="005E5ACF">
            <w:pPr>
              <w:jc w:val="left"/>
              <w:rPr>
                <w:rFonts w:cstheme="minorHAnsi"/>
                <w:sz w:val="14"/>
                <w:szCs w:val="14"/>
              </w:rPr>
            </w:pPr>
            <w:r w:rsidRPr="005E5ACF">
              <w:rPr>
                <w:rFonts w:cstheme="minorHAnsi"/>
                <w:sz w:val="14"/>
                <w:szCs w:val="14"/>
              </w:rPr>
              <w:t xml:space="preserve">Rekonstrukce výpravní budovy v </w:t>
            </w:r>
            <w:proofErr w:type="spellStart"/>
            <w:r w:rsidRPr="005E5ACF">
              <w:rPr>
                <w:rFonts w:cstheme="minorHAnsi"/>
                <w:sz w:val="14"/>
                <w:szCs w:val="14"/>
              </w:rPr>
              <w:t>žst</w:t>
            </w:r>
            <w:proofErr w:type="spellEnd"/>
            <w:r w:rsidRPr="005E5ACF">
              <w:rPr>
                <w:rFonts w:cstheme="minorHAnsi"/>
                <w:sz w:val="14"/>
                <w:szCs w:val="14"/>
              </w:rPr>
              <w:t>. Hanušovice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4B6796" w14:textId="77777777" w:rsidR="00163089" w:rsidRPr="005E5ACF" w:rsidRDefault="00163089" w:rsidP="00163089">
            <w:pPr>
              <w:jc w:val="center"/>
              <w:rPr>
                <w:rFonts w:cstheme="minorHAnsi"/>
                <w:sz w:val="14"/>
                <w:szCs w:val="14"/>
              </w:rPr>
            </w:pPr>
            <w:r w:rsidRPr="005E5ACF">
              <w:rPr>
                <w:rFonts w:cstheme="minorHAnsi"/>
                <w:sz w:val="14"/>
                <w:szCs w:val="14"/>
              </w:rPr>
              <w:t>45 069,743</w:t>
            </w:r>
          </w:p>
          <w:p w14:paraId="74D1DD86" w14:textId="77777777" w:rsidR="00163089" w:rsidRPr="005E5ACF" w:rsidRDefault="00163089" w:rsidP="00163089">
            <w:pPr>
              <w:jc w:val="center"/>
              <w:rPr>
                <w:rFonts w:cstheme="minorHAnsi"/>
                <w:sz w:val="14"/>
                <w:szCs w:val="14"/>
              </w:rPr>
            </w:pPr>
            <w:r w:rsidRPr="005E5ACF">
              <w:rPr>
                <w:rFonts w:cstheme="minorHAnsi"/>
                <w:sz w:val="14"/>
                <w:szCs w:val="14"/>
              </w:rPr>
              <w:t>(st. práce 43 379,743; PD 1 690,000)</w:t>
            </w:r>
          </w:p>
        </w:tc>
        <w:tc>
          <w:tcPr>
            <w:tcW w:w="2284" w:type="dxa"/>
            <w:tcBorders>
              <w:top w:val="single" w:sz="4" w:space="0" w:color="auto"/>
              <w:left w:val="single" w:sz="4" w:space="0" w:color="auto"/>
              <w:bottom w:val="single" w:sz="4" w:space="0" w:color="auto"/>
              <w:right w:val="single" w:sz="4" w:space="0" w:color="auto"/>
            </w:tcBorders>
            <w:vAlign w:val="center"/>
            <w:hideMark/>
          </w:tcPr>
          <w:p w14:paraId="322C5D95" w14:textId="7097DB36" w:rsidR="00163089" w:rsidRPr="005E5ACF" w:rsidRDefault="00163089" w:rsidP="00C65E95">
            <w:pPr>
              <w:jc w:val="left"/>
              <w:rPr>
                <w:rFonts w:cstheme="minorHAnsi"/>
                <w:sz w:val="14"/>
                <w:szCs w:val="14"/>
              </w:rPr>
            </w:pPr>
            <w:r w:rsidRPr="005E5ACF">
              <w:rPr>
                <w:rFonts w:cstheme="minorHAnsi"/>
                <w:sz w:val="14"/>
                <w:szCs w:val="14"/>
              </w:rPr>
              <w:t>Globální položka v roce 2017 (5003520036), mimo síť TEN-T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B0EF95D" w14:textId="0CC199EF" w:rsidR="00163089" w:rsidRPr="005E5ACF" w:rsidRDefault="00480013" w:rsidP="00C65E95">
            <w:pPr>
              <w:jc w:val="left"/>
              <w:rPr>
                <w:rFonts w:cstheme="minorHAnsi"/>
                <w:sz w:val="14"/>
                <w:szCs w:val="14"/>
              </w:rPr>
            </w:pPr>
            <w:r w:rsidRPr="005E5ACF">
              <w:rPr>
                <w:rFonts w:cs="Calibri"/>
                <w:color w:val="000000"/>
                <w:sz w:val="14"/>
                <w:szCs w:val="14"/>
              </w:rPr>
              <w:t>Akce nebyla v době kontroly dokončena</w:t>
            </w:r>
            <w:r w:rsidR="00C65E95">
              <w:rPr>
                <w:rFonts w:cstheme="minorHAnsi"/>
                <w:sz w:val="14"/>
                <w:szCs w:val="14"/>
              </w:rPr>
              <w:t>;</w:t>
            </w:r>
            <w:r w:rsidR="00163089" w:rsidRPr="005E5ACF">
              <w:rPr>
                <w:rFonts w:cstheme="minorHAnsi"/>
                <w:sz w:val="14"/>
                <w:szCs w:val="14"/>
              </w:rPr>
              <w:t xml:space="preserve"> Oblastní ředitelství Olomouc</w:t>
            </w:r>
          </w:p>
        </w:tc>
      </w:tr>
      <w:tr w:rsidR="00163089" w:rsidRPr="005E5ACF" w14:paraId="775114D3"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54BECA3E" w14:textId="77777777" w:rsidR="00163089" w:rsidRPr="005E5ACF" w:rsidRDefault="00163089" w:rsidP="00163089">
            <w:pPr>
              <w:jc w:val="center"/>
              <w:rPr>
                <w:rFonts w:cstheme="minorHAnsi"/>
                <w:sz w:val="14"/>
                <w:szCs w:val="14"/>
              </w:rPr>
            </w:pPr>
            <w:r w:rsidRPr="005E5ACF">
              <w:rPr>
                <w:rFonts w:cstheme="minorHAnsi"/>
                <w:sz w:val="14"/>
                <w:szCs w:val="14"/>
              </w:rPr>
              <w:t>19</w:t>
            </w:r>
          </w:p>
        </w:tc>
        <w:tc>
          <w:tcPr>
            <w:tcW w:w="9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194AD" w14:textId="7A3B2E47" w:rsidR="00163089" w:rsidRPr="005E5ACF" w:rsidRDefault="00163089" w:rsidP="00C65E95">
            <w:pPr>
              <w:jc w:val="center"/>
              <w:rPr>
                <w:rFonts w:cstheme="minorHAnsi"/>
                <w:sz w:val="14"/>
                <w:szCs w:val="14"/>
              </w:rPr>
            </w:pPr>
            <w:r w:rsidRPr="005E5ACF">
              <w:rPr>
                <w:rFonts w:cstheme="minorHAnsi"/>
                <w:sz w:val="14"/>
                <w:szCs w:val="14"/>
              </w:rPr>
              <w:t xml:space="preserve">4/2015 </w:t>
            </w:r>
            <w:r w:rsidR="00C65E95">
              <w:rPr>
                <w:rFonts w:cstheme="minorHAnsi"/>
                <w:sz w:val="14"/>
                <w:szCs w:val="14"/>
              </w:rPr>
              <w:t>–</w:t>
            </w:r>
            <w:r w:rsidRPr="005E5ACF">
              <w:rPr>
                <w:rFonts w:cstheme="minorHAnsi"/>
                <w:sz w:val="14"/>
                <w:szCs w:val="14"/>
              </w:rPr>
              <w:t xml:space="preserve"> 9/2018</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176C1" w14:textId="77777777" w:rsidR="00163089" w:rsidRPr="005E5ACF" w:rsidRDefault="00163089" w:rsidP="005E5ACF">
            <w:pPr>
              <w:jc w:val="left"/>
              <w:rPr>
                <w:rFonts w:cstheme="minorHAnsi"/>
                <w:sz w:val="14"/>
                <w:szCs w:val="14"/>
              </w:rPr>
            </w:pPr>
            <w:r w:rsidRPr="005E5ACF">
              <w:rPr>
                <w:rFonts w:cstheme="minorHAnsi"/>
                <w:sz w:val="14"/>
                <w:szCs w:val="14"/>
              </w:rPr>
              <w:t>Karlovy Vary</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5B602" w14:textId="4B6B4C6F" w:rsidR="00163089" w:rsidRPr="005E5ACF" w:rsidRDefault="00163089" w:rsidP="00C65E95">
            <w:pPr>
              <w:jc w:val="left"/>
              <w:rPr>
                <w:rFonts w:cstheme="minorHAnsi"/>
                <w:sz w:val="14"/>
                <w:szCs w:val="14"/>
              </w:rPr>
            </w:pPr>
            <w:r w:rsidRPr="005E5ACF">
              <w:rPr>
                <w:rFonts w:cstheme="minorHAnsi"/>
                <w:sz w:val="14"/>
                <w:szCs w:val="14"/>
              </w:rPr>
              <w:t xml:space="preserve">Modernizace ŽST Karlovy Vary </w:t>
            </w:r>
            <w:r w:rsidR="00C65E95">
              <w:rPr>
                <w:rFonts w:cstheme="minorHAnsi"/>
                <w:sz w:val="14"/>
                <w:szCs w:val="14"/>
              </w:rPr>
              <w:t>–</w:t>
            </w:r>
            <w:r w:rsidRPr="005E5ACF">
              <w:rPr>
                <w:rFonts w:cstheme="minorHAnsi"/>
                <w:sz w:val="14"/>
                <w:szCs w:val="14"/>
              </w:rPr>
              <w:t xml:space="preserve"> výpravní budova</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45A26" w14:textId="77777777" w:rsidR="00163089" w:rsidRPr="005E5ACF" w:rsidRDefault="00163089" w:rsidP="00163089">
            <w:pPr>
              <w:jc w:val="center"/>
              <w:rPr>
                <w:rFonts w:cstheme="minorHAnsi"/>
                <w:sz w:val="14"/>
                <w:szCs w:val="14"/>
              </w:rPr>
            </w:pPr>
            <w:r w:rsidRPr="005E5ACF">
              <w:rPr>
                <w:rFonts w:cstheme="minorHAnsi"/>
                <w:sz w:val="14"/>
                <w:szCs w:val="14"/>
              </w:rPr>
              <w:t>88 065,250</w:t>
            </w:r>
            <w:r w:rsidRPr="005E5ACF">
              <w:rPr>
                <w:rFonts w:cstheme="minorHAnsi"/>
                <w:sz w:val="14"/>
                <w:szCs w:val="14"/>
                <w:vertAlign w:val="superscript"/>
              </w:rPr>
              <w:footnoteReference w:id="11"/>
            </w:r>
            <w:r w:rsidRPr="005E5ACF">
              <w:rPr>
                <w:rFonts w:cstheme="minorHAnsi"/>
                <w:sz w:val="14"/>
                <w:szCs w:val="14"/>
              </w:rPr>
              <w:br/>
              <w:t xml:space="preserve">(st. práce 85 613,260; PD 1 918,000; TDI 257,400; BOZP 123,840; aut. </w:t>
            </w:r>
            <w:proofErr w:type="gramStart"/>
            <w:r w:rsidRPr="005E5ACF">
              <w:rPr>
                <w:rFonts w:cstheme="minorHAnsi"/>
                <w:sz w:val="14"/>
                <w:szCs w:val="14"/>
              </w:rPr>
              <w:t>dozor</w:t>
            </w:r>
            <w:proofErr w:type="gramEnd"/>
            <w:r w:rsidRPr="005E5ACF">
              <w:rPr>
                <w:rFonts w:cstheme="minorHAnsi"/>
                <w:sz w:val="14"/>
                <w:szCs w:val="14"/>
              </w:rPr>
              <w:t xml:space="preserve"> 152,750)</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31B1A" w14:textId="565A54CF" w:rsidR="00163089" w:rsidRPr="005E5ACF" w:rsidRDefault="00163089" w:rsidP="00C65E95">
            <w:pPr>
              <w:jc w:val="left"/>
              <w:rPr>
                <w:rFonts w:cstheme="minorHAnsi"/>
                <w:sz w:val="14"/>
                <w:szCs w:val="14"/>
              </w:rPr>
            </w:pPr>
            <w:r w:rsidRPr="005E5ACF">
              <w:rPr>
                <w:rFonts w:cstheme="minorHAnsi"/>
                <w:sz w:val="14"/>
                <w:szCs w:val="14"/>
              </w:rPr>
              <w:t>Financování v letech 2016–2018 jako jmenovitá akce v rámci stavby Modernizace ŽST Karlovy Vary – výpravní budova (</w:t>
            </w:r>
            <w:r w:rsidR="00C65E95">
              <w:rPr>
                <w:rFonts w:cstheme="minorHAnsi"/>
                <w:sz w:val="14"/>
                <w:szCs w:val="14"/>
              </w:rPr>
              <w:t>e</w:t>
            </w:r>
            <w:r w:rsidRPr="005E5ACF">
              <w:rPr>
                <w:rFonts w:cstheme="minorHAnsi"/>
                <w:sz w:val="14"/>
                <w:szCs w:val="14"/>
              </w:rPr>
              <w:t>v.</w:t>
            </w:r>
            <w:r w:rsidR="00685F35">
              <w:rPr>
                <w:rFonts w:cstheme="minorHAnsi"/>
                <w:sz w:val="14"/>
                <w:szCs w:val="14"/>
              </w:rPr>
              <w:t> </w:t>
            </w:r>
            <w:r w:rsidRPr="005E5ACF">
              <w:rPr>
                <w:rFonts w:cstheme="minorHAnsi"/>
                <w:sz w:val="14"/>
                <w:szCs w:val="14"/>
              </w:rPr>
              <w:t>č.</w:t>
            </w:r>
            <w:r w:rsidR="00685F35">
              <w:rPr>
                <w:rFonts w:cstheme="minorHAnsi"/>
                <w:sz w:val="14"/>
                <w:szCs w:val="14"/>
              </w:rPr>
              <w:t> </w:t>
            </w:r>
            <w:r w:rsidRPr="005E5ACF">
              <w:rPr>
                <w:rFonts w:cstheme="minorHAnsi"/>
                <w:sz w:val="14"/>
                <w:szCs w:val="14"/>
              </w:rPr>
              <w:t>5413520012)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D3903B" w14:textId="62747B50" w:rsidR="00163089" w:rsidRPr="005E5ACF" w:rsidRDefault="00163089" w:rsidP="00C65E95">
            <w:pPr>
              <w:jc w:val="left"/>
              <w:rPr>
                <w:rFonts w:cstheme="minorHAnsi"/>
                <w:sz w:val="14"/>
                <w:szCs w:val="14"/>
              </w:rPr>
            </w:pPr>
            <w:r w:rsidRPr="005E5ACF">
              <w:rPr>
                <w:rFonts w:cstheme="minorHAnsi"/>
                <w:sz w:val="14"/>
                <w:szCs w:val="14"/>
              </w:rPr>
              <w:t>Akce dokončena</w:t>
            </w:r>
            <w:r w:rsidR="00C65E95">
              <w:rPr>
                <w:rFonts w:cstheme="minorHAnsi"/>
                <w:sz w:val="14"/>
                <w:szCs w:val="14"/>
              </w:rPr>
              <w:t>;</w:t>
            </w:r>
            <w:r w:rsidRPr="005E5ACF">
              <w:rPr>
                <w:rFonts w:cstheme="minorHAnsi"/>
                <w:sz w:val="14"/>
                <w:szCs w:val="14"/>
              </w:rPr>
              <w:t xml:space="preserve"> Oblastní ředitelství Ústí nad Labem</w:t>
            </w:r>
          </w:p>
        </w:tc>
      </w:tr>
      <w:tr w:rsidR="00163089" w:rsidRPr="005E5ACF" w14:paraId="772B6903" w14:textId="77777777" w:rsidTr="005E5ACF">
        <w:tc>
          <w:tcPr>
            <w:tcW w:w="48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98EA58" w14:textId="77777777" w:rsidR="00163089" w:rsidRPr="005E5ACF" w:rsidRDefault="00163089" w:rsidP="00163089">
            <w:pPr>
              <w:jc w:val="center"/>
              <w:rPr>
                <w:rFonts w:cstheme="minorHAnsi"/>
                <w:sz w:val="14"/>
                <w:szCs w:val="14"/>
              </w:rPr>
            </w:pPr>
            <w:r w:rsidRPr="005E5ACF">
              <w:rPr>
                <w:rFonts w:cstheme="minorHAnsi"/>
                <w:sz w:val="14"/>
                <w:szCs w:val="14"/>
              </w:rPr>
              <w:t>20</w:t>
            </w:r>
          </w:p>
        </w:tc>
        <w:tc>
          <w:tcPr>
            <w:tcW w:w="929" w:type="dxa"/>
            <w:tcBorders>
              <w:top w:val="nil"/>
              <w:left w:val="single" w:sz="4" w:space="0" w:color="auto"/>
              <w:bottom w:val="single" w:sz="4" w:space="0" w:color="auto"/>
              <w:right w:val="single" w:sz="4" w:space="0" w:color="auto"/>
            </w:tcBorders>
            <w:shd w:val="clear" w:color="auto" w:fill="FFFFFF"/>
            <w:vAlign w:val="center"/>
            <w:hideMark/>
          </w:tcPr>
          <w:p w14:paraId="11633060" w14:textId="0A8E3116" w:rsidR="00163089" w:rsidRPr="005E5ACF" w:rsidRDefault="00163089" w:rsidP="00163089">
            <w:pPr>
              <w:jc w:val="center"/>
              <w:rPr>
                <w:rFonts w:cstheme="minorHAnsi"/>
                <w:sz w:val="14"/>
                <w:szCs w:val="14"/>
              </w:rPr>
            </w:pPr>
            <w:r w:rsidRPr="005E5ACF">
              <w:rPr>
                <w:rFonts w:cstheme="minorHAnsi"/>
                <w:sz w:val="14"/>
                <w:szCs w:val="14"/>
              </w:rPr>
              <w:t>09/2017</w:t>
            </w:r>
            <w:r w:rsidR="00C65E95">
              <w:rPr>
                <w:rFonts w:cstheme="minorHAnsi"/>
                <w:sz w:val="14"/>
                <w:szCs w:val="14"/>
              </w:rPr>
              <w:t xml:space="preserve"> –</w:t>
            </w:r>
          </w:p>
          <w:p w14:paraId="254396D6" w14:textId="77777777" w:rsidR="00163089" w:rsidRPr="005E5ACF" w:rsidRDefault="00163089" w:rsidP="00163089">
            <w:pPr>
              <w:jc w:val="center"/>
              <w:rPr>
                <w:rFonts w:cstheme="minorHAnsi"/>
                <w:sz w:val="14"/>
                <w:szCs w:val="14"/>
              </w:rPr>
            </w:pPr>
            <w:r w:rsidRPr="005E5ACF">
              <w:rPr>
                <w:rFonts w:cstheme="minorHAnsi"/>
                <w:sz w:val="14"/>
                <w:szCs w:val="14"/>
              </w:rPr>
              <w:t>04/2018</w:t>
            </w:r>
          </w:p>
        </w:tc>
        <w:tc>
          <w:tcPr>
            <w:tcW w:w="976" w:type="dxa"/>
            <w:tcBorders>
              <w:top w:val="nil"/>
              <w:left w:val="single" w:sz="4" w:space="0" w:color="auto"/>
              <w:bottom w:val="single" w:sz="4" w:space="0" w:color="auto"/>
              <w:right w:val="single" w:sz="4" w:space="0" w:color="auto"/>
            </w:tcBorders>
            <w:shd w:val="clear" w:color="auto" w:fill="FFFFFF"/>
            <w:vAlign w:val="center"/>
            <w:hideMark/>
          </w:tcPr>
          <w:p w14:paraId="2CFE5FEB" w14:textId="77777777" w:rsidR="00163089" w:rsidRPr="005E5ACF" w:rsidRDefault="00163089" w:rsidP="005E5ACF">
            <w:pPr>
              <w:jc w:val="left"/>
              <w:rPr>
                <w:rFonts w:cstheme="minorHAnsi"/>
                <w:sz w:val="14"/>
                <w:szCs w:val="14"/>
              </w:rPr>
            </w:pPr>
            <w:r w:rsidRPr="005E5ACF">
              <w:rPr>
                <w:rFonts w:cstheme="minorHAnsi"/>
                <w:sz w:val="14"/>
                <w:szCs w:val="14"/>
              </w:rPr>
              <w:t>Příbram</w:t>
            </w:r>
          </w:p>
        </w:tc>
        <w:tc>
          <w:tcPr>
            <w:tcW w:w="1150" w:type="dxa"/>
            <w:tcBorders>
              <w:top w:val="nil"/>
              <w:left w:val="single" w:sz="4" w:space="0" w:color="auto"/>
              <w:bottom w:val="single" w:sz="4" w:space="0" w:color="auto"/>
              <w:right w:val="single" w:sz="4" w:space="0" w:color="auto"/>
            </w:tcBorders>
            <w:shd w:val="clear" w:color="auto" w:fill="FFFFFF"/>
            <w:vAlign w:val="center"/>
            <w:hideMark/>
          </w:tcPr>
          <w:p w14:paraId="35B27B7C" w14:textId="29AB9E68" w:rsidR="00163089" w:rsidRPr="005E5ACF" w:rsidRDefault="00163089" w:rsidP="00C65E95">
            <w:pPr>
              <w:jc w:val="left"/>
              <w:rPr>
                <w:rFonts w:cstheme="minorHAnsi"/>
                <w:sz w:val="14"/>
                <w:szCs w:val="14"/>
              </w:rPr>
            </w:pPr>
            <w:proofErr w:type="spellStart"/>
            <w:r w:rsidRPr="005E5ACF">
              <w:rPr>
                <w:rFonts w:cstheme="minorHAnsi"/>
                <w:sz w:val="14"/>
                <w:szCs w:val="14"/>
              </w:rPr>
              <w:t>Žst</w:t>
            </w:r>
            <w:proofErr w:type="spellEnd"/>
            <w:r w:rsidRPr="005E5ACF">
              <w:rPr>
                <w:rFonts w:cstheme="minorHAnsi"/>
                <w:sz w:val="14"/>
                <w:szCs w:val="14"/>
              </w:rPr>
              <w:t xml:space="preserve">. Příbram </w:t>
            </w:r>
            <w:r w:rsidR="00C65E95">
              <w:rPr>
                <w:rFonts w:cstheme="minorHAnsi"/>
                <w:sz w:val="14"/>
                <w:szCs w:val="14"/>
              </w:rPr>
              <w:t>–</w:t>
            </w:r>
            <w:r w:rsidRPr="005E5ACF">
              <w:rPr>
                <w:rFonts w:cstheme="minorHAnsi"/>
                <w:sz w:val="14"/>
                <w:szCs w:val="14"/>
              </w:rPr>
              <w:t xml:space="preserve"> oprava objektu</w:t>
            </w:r>
          </w:p>
        </w:tc>
        <w:tc>
          <w:tcPr>
            <w:tcW w:w="1560" w:type="dxa"/>
            <w:tcBorders>
              <w:top w:val="nil"/>
              <w:left w:val="single" w:sz="4" w:space="0" w:color="auto"/>
              <w:bottom w:val="single" w:sz="4" w:space="0" w:color="auto"/>
              <w:right w:val="single" w:sz="4" w:space="0" w:color="auto"/>
            </w:tcBorders>
            <w:shd w:val="clear" w:color="auto" w:fill="FFFFFF"/>
            <w:vAlign w:val="center"/>
            <w:hideMark/>
          </w:tcPr>
          <w:p w14:paraId="1B3817F8" w14:textId="77777777" w:rsidR="00163089" w:rsidRPr="005E5ACF" w:rsidRDefault="00163089" w:rsidP="00163089">
            <w:pPr>
              <w:jc w:val="center"/>
              <w:rPr>
                <w:rFonts w:cstheme="minorHAnsi"/>
                <w:sz w:val="14"/>
                <w:szCs w:val="14"/>
              </w:rPr>
            </w:pPr>
            <w:r w:rsidRPr="005E5ACF">
              <w:rPr>
                <w:rFonts w:cstheme="minorHAnsi"/>
                <w:sz w:val="14"/>
                <w:szCs w:val="14"/>
              </w:rPr>
              <w:t xml:space="preserve">9 795,238 </w:t>
            </w:r>
            <w:r w:rsidRPr="005E5ACF">
              <w:rPr>
                <w:rFonts w:cstheme="minorHAnsi"/>
                <w:sz w:val="14"/>
                <w:szCs w:val="14"/>
              </w:rPr>
              <w:br/>
              <w:t>(st. práce 9 705,238; PD 90,000)</w:t>
            </w:r>
          </w:p>
        </w:tc>
        <w:tc>
          <w:tcPr>
            <w:tcW w:w="2284" w:type="dxa"/>
            <w:tcBorders>
              <w:top w:val="nil"/>
              <w:left w:val="single" w:sz="4" w:space="0" w:color="auto"/>
              <w:bottom w:val="single" w:sz="4" w:space="0" w:color="auto"/>
              <w:right w:val="single" w:sz="4" w:space="0" w:color="auto"/>
            </w:tcBorders>
            <w:shd w:val="clear" w:color="auto" w:fill="FFFFFF"/>
            <w:vAlign w:val="center"/>
            <w:hideMark/>
          </w:tcPr>
          <w:p w14:paraId="51FC495A" w14:textId="77777777" w:rsidR="00163089" w:rsidRPr="005E5ACF" w:rsidRDefault="00163089" w:rsidP="005E5ACF">
            <w:pPr>
              <w:jc w:val="left"/>
              <w:rPr>
                <w:rFonts w:cstheme="minorHAnsi"/>
                <w:sz w:val="14"/>
                <w:szCs w:val="14"/>
              </w:rPr>
            </w:pPr>
            <w:r w:rsidRPr="005E5ACF">
              <w:rPr>
                <w:rFonts w:cstheme="minorHAnsi"/>
                <w:sz w:val="14"/>
                <w:szCs w:val="14"/>
              </w:rPr>
              <w:t xml:space="preserve">SŽDC celostátní a </w:t>
            </w:r>
            <w:proofErr w:type="spellStart"/>
            <w:r w:rsidRPr="005E5ACF">
              <w:rPr>
                <w:rFonts w:cstheme="minorHAnsi"/>
                <w:sz w:val="14"/>
                <w:szCs w:val="14"/>
              </w:rPr>
              <w:t>reg</w:t>
            </w:r>
            <w:proofErr w:type="spellEnd"/>
            <w:r w:rsidRPr="005E5ACF">
              <w:rPr>
                <w:rFonts w:cstheme="minorHAnsi"/>
                <w:sz w:val="14"/>
                <w:szCs w:val="14"/>
              </w:rPr>
              <w:t xml:space="preserve">. </w:t>
            </w:r>
            <w:proofErr w:type="gramStart"/>
            <w:r w:rsidRPr="005E5ACF">
              <w:rPr>
                <w:rFonts w:cstheme="minorHAnsi"/>
                <w:sz w:val="14"/>
                <w:szCs w:val="14"/>
              </w:rPr>
              <w:t>dráhy</w:t>
            </w:r>
            <w:proofErr w:type="gramEnd"/>
            <w:r w:rsidRPr="005E5ACF">
              <w:rPr>
                <w:rFonts w:cstheme="minorHAnsi"/>
                <w:sz w:val="14"/>
                <w:szCs w:val="14"/>
              </w:rPr>
              <w:t xml:space="preserve"> – oprava a údržba nemovitostí osobních nádraží (ISPROFOND 5003120015, neinvestiční prostředky)</w:t>
            </w:r>
          </w:p>
        </w:tc>
        <w:tc>
          <w:tcPr>
            <w:tcW w:w="1984" w:type="dxa"/>
            <w:gridSpan w:val="2"/>
            <w:tcBorders>
              <w:top w:val="nil"/>
              <w:left w:val="single" w:sz="4" w:space="0" w:color="auto"/>
              <w:bottom w:val="single" w:sz="4" w:space="0" w:color="auto"/>
              <w:right w:val="single" w:sz="4" w:space="0" w:color="auto"/>
            </w:tcBorders>
            <w:shd w:val="clear" w:color="auto" w:fill="FFFFFF"/>
            <w:vAlign w:val="center"/>
            <w:hideMark/>
          </w:tcPr>
          <w:p w14:paraId="5696EDBE" w14:textId="37E8B64D" w:rsidR="00163089" w:rsidRPr="005E5ACF" w:rsidRDefault="00163089" w:rsidP="00C65E95">
            <w:pPr>
              <w:jc w:val="left"/>
              <w:rPr>
                <w:rFonts w:cstheme="minorHAnsi"/>
                <w:sz w:val="14"/>
                <w:szCs w:val="14"/>
              </w:rPr>
            </w:pPr>
            <w:r w:rsidRPr="005E5ACF">
              <w:rPr>
                <w:rFonts w:cstheme="minorHAnsi"/>
                <w:sz w:val="14"/>
                <w:szCs w:val="14"/>
              </w:rPr>
              <w:t>Akce dokončena</w:t>
            </w:r>
            <w:r w:rsidR="00C65E95">
              <w:rPr>
                <w:rFonts w:cstheme="minorHAnsi"/>
                <w:sz w:val="14"/>
                <w:szCs w:val="14"/>
              </w:rPr>
              <w:t>;</w:t>
            </w:r>
            <w:r w:rsidRPr="005E5ACF">
              <w:rPr>
                <w:rFonts w:cstheme="minorHAnsi"/>
                <w:sz w:val="14"/>
                <w:szCs w:val="14"/>
              </w:rPr>
              <w:t xml:space="preserve"> Oblastní ředitelství Praha</w:t>
            </w:r>
          </w:p>
        </w:tc>
      </w:tr>
      <w:tr w:rsidR="00163089" w:rsidRPr="005E5ACF" w14:paraId="05FAED08"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576893DF" w14:textId="77777777" w:rsidR="00163089" w:rsidRPr="005E5ACF" w:rsidRDefault="00163089" w:rsidP="00163089">
            <w:pPr>
              <w:jc w:val="center"/>
              <w:rPr>
                <w:rFonts w:cstheme="minorHAnsi"/>
                <w:sz w:val="14"/>
                <w:szCs w:val="14"/>
              </w:rPr>
            </w:pPr>
            <w:r w:rsidRPr="005E5ACF">
              <w:rPr>
                <w:rFonts w:cstheme="minorHAnsi"/>
                <w:sz w:val="14"/>
                <w:szCs w:val="14"/>
              </w:rPr>
              <w:t>21</w:t>
            </w:r>
          </w:p>
        </w:tc>
        <w:tc>
          <w:tcPr>
            <w:tcW w:w="929" w:type="dxa"/>
            <w:tcBorders>
              <w:top w:val="nil"/>
              <w:left w:val="single" w:sz="4" w:space="0" w:color="auto"/>
              <w:bottom w:val="single" w:sz="4" w:space="0" w:color="auto"/>
              <w:right w:val="single" w:sz="4" w:space="0" w:color="auto"/>
            </w:tcBorders>
            <w:shd w:val="clear" w:color="auto" w:fill="FFFFFF"/>
            <w:vAlign w:val="center"/>
            <w:hideMark/>
          </w:tcPr>
          <w:p w14:paraId="61FDAE8C" w14:textId="7A377226" w:rsidR="00163089" w:rsidRPr="005E5ACF" w:rsidRDefault="00163089" w:rsidP="00163089">
            <w:pPr>
              <w:jc w:val="center"/>
              <w:rPr>
                <w:rFonts w:cstheme="minorHAnsi"/>
                <w:sz w:val="14"/>
                <w:szCs w:val="14"/>
              </w:rPr>
            </w:pPr>
            <w:r w:rsidRPr="005E5ACF">
              <w:rPr>
                <w:rFonts w:cstheme="minorHAnsi"/>
                <w:sz w:val="14"/>
                <w:szCs w:val="14"/>
              </w:rPr>
              <w:t>07/2018</w:t>
            </w:r>
            <w:r w:rsidR="00C65E95">
              <w:rPr>
                <w:rFonts w:cstheme="minorHAnsi"/>
                <w:sz w:val="14"/>
                <w:szCs w:val="14"/>
              </w:rPr>
              <w:t xml:space="preserve"> –</w:t>
            </w:r>
          </w:p>
          <w:p w14:paraId="5C1E1736" w14:textId="77777777" w:rsidR="00163089" w:rsidRPr="005E5ACF" w:rsidRDefault="00163089" w:rsidP="00163089">
            <w:pPr>
              <w:jc w:val="center"/>
              <w:rPr>
                <w:rFonts w:cstheme="minorHAnsi"/>
                <w:sz w:val="14"/>
                <w:szCs w:val="14"/>
              </w:rPr>
            </w:pPr>
            <w:r w:rsidRPr="005E5ACF">
              <w:rPr>
                <w:rFonts w:cstheme="minorHAnsi"/>
                <w:sz w:val="14"/>
                <w:szCs w:val="14"/>
              </w:rPr>
              <w:t>11/2018</w:t>
            </w:r>
          </w:p>
        </w:tc>
        <w:tc>
          <w:tcPr>
            <w:tcW w:w="976" w:type="dxa"/>
            <w:tcBorders>
              <w:top w:val="nil"/>
              <w:left w:val="single" w:sz="4" w:space="0" w:color="auto"/>
              <w:bottom w:val="single" w:sz="4" w:space="0" w:color="auto"/>
              <w:right w:val="single" w:sz="4" w:space="0" w:color="auto"/>
            </w:tcBorders>
            <w:shd w:val="clear" w:color="auto" w:fill="FFFFFF"/>
            <w:vAlign w:val="center"/>
            <w:hideMark/>
          </w:tcPr>
          <w:p w14:paraId="096D511B" w14:textId="77777777" w:rsidR="00163089" w:rsidRPr="005E5ACF" w:rsidRDefault="00163089" w:rsidP="005E5ACF">
            <w:pPr>
              <w:jc w:val="left"/>
              <w:rPr>
                <w:rFonts w:cstheme="minorHAnsi"/>
                <w:sz w:val="14"/>
                <w:szCs w:val="14"/>
              </w:rPr>
            </w:pPr>
            <w:r w:rsidRPr="005E5ACF">
              <w:rPr>
                <w:rFonts w:cstheme="minorHAnsi"/>
                <w:sz w:val="14"/>
                <w:szCs w:val="14"/>
              </w:rPr>
              <w:t>Karlštejn</w:t>
            </w:r>
          </w:p>
        </w:tc>
        <w:tc>
          <w:tcPr>
            <w:tcW w:w="1150" w:type="dxa"/>
            <w:tcBorders>
              <w:top w:val="nil"/>
              <w:left w:val="single" w:sz="4" w:space="0" w:color="auto"/>
              <w:bottom w:val="single" w:sz="4" w:space="0" w:color="auto"/>
              <w:right w:val="single" w:sz="4" w:space="0" w:color="auto"/>
            </w:tcBorders>
            <w:vAlign w:val="center"/>
            <w:hideMark/>
          </w:tcPr>
          <w:p w14:paraId="41CD2E28" w14:textId="75A67C7D" w:rsidR="00163089" w:rsidRPr="005E5ACF" w:rsidRDefault="00163089" w:rsidP="00C65E95">
            <w:pPr>
              <w:jc w:val="left"/>
              <w:rPr>
                <w:rFonts w:cstheme="minorHAnsi"/>
                <w:sz w:val="14"/>
                <w:szCs w:val="14"/>
              </w:rPr>
            </w:pPr>
            <w:r w:rsidRPr="005E5ACF">
              <w:rPr>
                <w:rFonts w:cstheme="minorHAnsi"/>
                <w:sz w:val="14"/>
                <w:szCs w:val="14"/>
              </w:rPr>
              <w:t xml:space="preserve">Karlštejn ON </w:t>
            </w:r>
            <w:r w:rsidR="00C65E95">
              <w:rPr>
                <w:rFonts w:cstheme="minorHAnsi"/>
                <w:sz w:val="14"/>
                <w:szCs w:val="14"/>
              </w:rPr>
              <w:t>–</w:t>
            </w:r>
            <w:r w:rsidRPr="005E5ACF">
              <w:rPr>
                <w:rFonts w:cstheme="minorHAnsi"/>
                <w:sz w:val="14"/>
                <w:szCs w:val="14"/>
              </w:rPr>
              <w:t xml:space="preserve"> SA opravná část</w:t>
            </w:r>
          </w:p>
        </w:tc>
        <w:tc>
          <w:tcPr>
            <w:tcW w:w="1560" w:type="dxa"/>
            <w:tcBorders>
              <w:top w:val="nil"/>
              <w:left w:val="single" w:sz="4" w:space="0" w:color="auto"/>
              <w:bottom w:val="single" w:sz="4" w:space="0" w:color="auto"/>
              <w:right w:val="single" w:sz="4" w:space="0" w:color="auto"/>
            </w:tcBorders>
            <w:shd w:val="clear" w:color="auto" w:fill="FFFFFF"/>
            <w:vAlign w:val="center"/>
            <w:hideMark/>
          </w:tcPr>
          <w:p w14:paraId="77709AF5" w14:textId="77777777" w:rsidR="00163089" w:rsidRPr="005E5ACF" w:rsidRDefault="00163089" w:rsidP="00163089">
            <w:pPr>
              <w:jc w:val="center"/>
              <w:rPr>
                <w:rFonts w:cstheme="minorHAnsi"/>
                <w:sz w:val="14"/>
                <w:szCs w:val="14"/>
              </w:rPr>
            </w:pPr>
            <w:r w:rsidRPr="005E5ACF">
              <w:rPr>
                <w:rFonts w:cstheme="minorHAnsi"/>
                <w:sz w:val="14"/>
                <w:szCs w:val="14"/>
              </w:rPr>
              <w:t xml:space="preserve">9 467,493 </w:t>
            </w:r>
            <w:r w:rsidRPr="005E5ACF">
              <w:rPr>
                <w:rFonts w:cstheme="minorHAnsi"/>
                <w:sz w:val="14"/>
                <w:szCs w:val="14"/>
              </w:rPr>
              <w:br/>
              <w:t>(st. práce 9 321,543; PD 96,850; BOZP 49,100)</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tcPr>
          <w:p w14:paraId="35F58E75" w14:textId="0F02C36B" w:rsidR="00163089" w:rsidRPr="005E5ACF" w:rsidRDefault="00163089" w:rsidP="005E5ACF">
            <w:pPr>
              <w:jc w:val="left"/>
              <w:rPr>
                <w:rFonts w:cstheme="minorHAnsi"/>
                <w:sz w:val="14"/>
                <w:szCs w:val="14"/>
              </w:rPr>
            </w:pPr>
            <w:r w:rsidRPr="005E5ACF">
              <w:rPr>
                <w:rFonts w:cstheme="minorHAnsi"/>
                <w:sz w:val="14"/>
                <w:szCs w:val="14"/>
              </w:rPr>
              <w:t xml:space="preserve">Jednalo </w:t>
            </w:r>
            <w:r w:rsidR="00685F35">
              <w:rPr>
                <w:rFonts w:cstheme="minorHAnsi"/>
                <w:sz w:val="14"/>
                <w:szCs w:val="14"/>
              </w:rPr>
              <w:t>se o tzv. smíšenou akci, tzn. </w:t>
            </w:r>
            <w:r w:rsidRPr="005E5ACF">
              <w:rPr>
                <w:rFonts w:cstheme="minorHAnsi"/>
                <w:sz w:val="14"/>
                <w:szCs w:val="14"/>
              </w:rPr>
              <w:t>tvořenou částečně investicí a</w:t>
            </w:r>
            <w:r w:rsidR="00C65E95">
              <w:rPr>
                <w:rFonts w:cstheme="minorHAnsi"/>
                <w:sz w:val="14"/>
                <w:szCs w:val="14"/>
              </w:rPr>
              <w:t> </w:t>
            </w:r>
            <w:r w:rsidRPr="005E5ACF">
              <w:rPr>
                <w:rFonts w:cstheme="minorHAnsi"/>
                <w:sz w:val="14"/>
                <w:szCs w:val="14"/>
              </w:rPr>
              <w:t xml:space="preserve">částečně opravou. Investiční část byla financována v roce 2018, cestou položky Investice do nemovitostí osobních nádraží (vybraná síť TEN-T), </w:t>
            </w:r>
            <w:r w:rsidR="00C65E95">
              <w:rPr>
                <w:rFonts w:cstheme="minorHAnsi"/>
                <w:sz w:val="14"/>
                <w:szCs w:val="14"/>
              </w:rPr>
              <w:t>e</w:t>
            </w:r>
            <w:r w:rsidRPr="005E5ACF">
              <w:rPr>
                <w:rFonts w:cstheme="minorHAnsi"/>
                <w:sz w:val="14"/>
                <w:szCs w:val="14"/>
              </w:rPr>
              <w:t>v. č. 5003520046.</w:t>
            </w:r>
          </w:p>
          <w:p w14:paraId="2866F63F" w14:textId="77777777" w:rsidR="00163089" w:rsidRPr="005E5ACF" w:rsidRDefault="00163089" w:rsidP="00685F35">
            <w:pPr>
              <w:jc w:val="left"/>
              <w:rPr>
                <w:rFonts w:cstheme="minorHAnsi"/>
                <w:sz w:val="14"/>
                <w:szCs w:val="14"/>
              </w:rPr>
            </w:pPr>
            <w:r w:rsidRPr="005E5ACF">
              <w:rPr>
                <w:rFonts w:cstheme="minorHAnsi"/>
                <w:sz w:val="14"/>
                <w:szCs w:val="14"/>
              </w:rPr>
              <w:t>Neinvestiční část: SŽDC celostátní a</w:t>
            </w:r>
            <w:r w:rsidR="00685F35">
              <w:rPr>
                <w:rFonts w:cstheme="minorHAnsi"/>
                <w:sz w:val="14"/>
                <w:szCs w:val="14"/>
              </w:rPr>
              <w:t> </w:t>
            </w:r>
            <w:proofErr w:type="spellStart"/>
            <w:r w:rsidRPr="005E5ACF">
              <w:rPr>
                <w:rFonts w:cstheme="minorHAnsi"/>
                <w:sz w:val="14"/>
                <w:szCs w:val="14"/>
              </w:rPr>
              <w:t>reg</w:t>
            </w:r>
            <w:proofErr w:type="spellEnd"/>
            <w:r w:rsidRPr="005E5ACF">
              <w:rPr>
                <w:rFonts w:cstheme="minorHAnsi"/>
                <w:sz w:val="14"/>
                <w:szCs w:val="14"/>
              </w:rPr>
              <w:t xml:space="preserve">. </w:t>
            </w:r>
            <w:proofErr w:type="gramStart"/>
            <w:r w:rsidRPr="005E5ACF">
              <w:rPr>
                <w:rFonts w:cstheme="minorHAnsi"/>
                <w:sz w:val="14"/>
                <w:szCs w:val="14"/>
              </w:rPr>
              <w:t>dráhy</w:t>
            </w:r>
            <w:proofErr w:type="gramEnd"/>
            <w:r w:rsidRPr="005E5ACF">
              <w:rPr>
                <w:rFonts w:cstheme="minorHAnsi"/>
                <w:sz w:val="14"/>
                <w:szCs w:val="14"/>
              </w:rPr>
              <w:t xml:space="preserve"> – oprava a údržba nemovitostí osobních nádraží (ISPROFOND 5003120015, neinvestiční prostředky)</w:t>
            </w:r>
          </w:p>
        </w:tc>
        <w:tc>
          <w:tcPr>
            <w:tcW w:w="1984" w:type="dxa"/>
            <w:gridSpan w:val="2"/>
            <w:tcBorders>
              <w:top w:val="nil"/>
              <w:left w:val="single" w:sz="4" w:space="0" w:color="auto"/>
              <w:bottom w:val="single" w:sz="4" w:space="0" w:color="auto"/>
              <w:right w:val="single" w:sz="4" w:space="0" w:color="auto"/>
            </w:tcBorders>
            <w:shd w:val="clear" w:color="auto" w:fill="FFFFFF"/>
            <w:vAlign w:val="center"/>
            <w:hideMark/>
          </w:tcPr>
          <w:p w14:paraId="11019D44" w14:textId="780FAB05" w:rsidR="00163089" w:rsidRPr="005E5ACF" w:rsidRDefault="00163089" w:rsidP="00C65E95">
            <w:pPr>
              <w:jc w:val="left"/>
              <w:rPr>
                <w:rFonts w:cstheme="minorHAnsi"/>
                <w:sz w:val="14"/>
                <w:szCs w:val="14"/>
              </w:rPr>
            </w:pPr>
            <w:r w:rsidRPr="005E5ACF">
              <w:rPr>
                <w:rFonts w:cstheme="minorHAnsi"/>
                <w:sz w:val="14"/>
                <w:szCs w:val="14"/>
              </w:rPr>
              <w:t>Akce dokončena</w:t>
            </w:r>
            <w:r w:rsidR="00C65E95">
              <w:rPr>
                <w:rFonts w:cstheme="minorHAnsi"/>
                <w:sz w:val="14"/>
                <w:szCs w:val="14"/>
              </w:rPr>
              <w:t>;</w:t>
            </w:r>
            <w:r w:rsidRPr="005E5ACF">
              <w:rPr>
                <w:rFonts w:cstheme="minorHAnsi"/>
                <w:sz w:val="14"/>
                <w:szCs w:val="14"/>
              </w:rPr>
              <w:t xml:space="preserve"> Oblastní ředitelství Praha</w:t>
            </w:r>
          </w:p>
        </w:tc>
      </w:tr>
      <w:tr w:rsidR="00163089" w:rsidRPr="005E5ACF" w14:paraId="0E804514"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06640FA5" w14:textId="77777777" w:rsidR="00163089" w:rsidRPr="005E5ACF" w:rsidRDefault="00163089" w:rsidP="00163089">
            <w:pPr>
              <w:jc w:val="center"/>
              <w:rPr>
                <w:rFonts w:cstheme="minorHAnsi"/>
                <w:sz w:val="14"/>
                <w:szCs w:val="14"/>
              </w:rPr>
            </w:pPr>
            <w:r w:rsidRPr="005E5ACF">
              <w:rPr>
                <w:rFonts w:cstheme="minorHAnsi"/>
                <w:sz w:val="14"/>
                <w:szCs w:val="14"/>
              </w:rPr>
              <w:t>22</w:t>
            </w:r>
          </w:p>
        </w:tc>
        <w:tc>
          <w:tcPr>
            <w:tcW w:w="929" w:type="dxa"/>
            <w:tcBorders>
              <w:top w:val="nil"/>
              <w:left w:val="single" w:sz="4" w:space="0" w:color="auto"/>
              <w:bottom w:val="single" w:sz="4" w:space="0" w:color="auto"/>
              <w:right w:val="single" w:sz="4" w:space="0" w:color="auto"/>
            </w:tcBorders>
            <w:shd w:val="clear" w:color="auto" w:fill="FFFFFF"/>
            <w:vAlign w:val="center"/>
            <w:hideMark/>
          </w:tcPr>
          <w:p w14:paraId="47B8E836" w14:textId="0E4FB92C" w:rsidR="00163089" w:rsidRPr="005E5ACF" w:rsidRDefault="00163089" w:rsidP="00163089">
            <w:pPr>
              <w:jc w:val="center"/>
              <w:rPr>
                <w:rFonts w:cstheme="minorHAnsi"/>
                <w:sz w:val="14"/>
                <w:szCs w:val="14"/>
              </w:rPr>
            </w:pPr>
            <w:r w:rsidRPr="005E5ACF">
              <w:rPr>
                <w:rFonts w:cstheme="minorHAnsi"/>
                <w:sz w:val="14"/>
                <w:szCs w:val="14"/>
              </w:rPr>
              <w:t>07/2017</w:t>
            </w:r>
            <w:r w:rsidR="00C65E95">
              <w:rPr>
                <w:rFonts w:cstheme="minorHAnsi"/>
                <w:sz w:val="14"/>
                <w:szCs w:val="14"/>
              </w:rPr>
              <w:t xml:space="preserve"> –</w:t>
            </w:r>
          </w:p>
          <w:p w14:paraId="1BB12D18" w14:textId="77777777" w:rsidR="00163089" w:rsidRPr="005E5ACF" w:rsidRDefault="00163089" w:rsidP="00163089">
            <w:pPr>
              <w:jc w:val="center"/>
              <w:rPr>
                <w:rFonts w:cstheme="minorHAnsi"/>
                <w:sz w:val="14"/>
                <w:szCs w:val="14"/>
              </w:rPr>
            </w:pPr>
            <w:r w:rsidRPr="005E5ACF">
              <w:rPr>
                <w:rFonts w:cstheme="minorHAnsi"/>
                <w:sz w:val="14"/>
                <w:szCs w:val="14"/>
              </w:rPr>
              <w:t>12/2017</w:t>
            </w:r>
          </w:p>
        </w:tc>
        <w:tc>
          <w:tcPr>
            <w:tcW w:w="976" w:type="dxa"/>
            <w:tcBorders>
              <w:top w:val="nil"/>
              <w:left w:val="single" w:sz="4" w:space="0" w:color="auto"/>
              <w:bottom w:val="single" w:sz="4" w:space="0" w:color="auto"/>
              <w:right w:val="single" w:sz="4" w:space="0" w:color="auto"/>
            </w:tcBorders>
            <w:shd w:val="clear" w:color="auto" w:fill="FFFFFF"/>
            <w:vAlign w:val="center"/>
            <w:hideMark/>
          </w:tcPr>
          <w:p w14:paraId="771BC483" w14:textId="77777777" w:rsidR="00163089" w:rsidRPr="005E5ACF" w:rsidRDefault="00163089" w:rsidP="005E5ACF">
            <w:pPr>
              <w:jc w:val="left"/>
              <w:rPr>
                <w:rFonts w:cstheme="minorHAnsi"/>
                <w:sz w:val="14"/>
                <w:szCs w:val="14"/>
              </w:rPr>
            </w:pPr>
            <w:r w:rsidRPr="005E5ACF">
              <w:rPr>
                <w:rFonts w:cstheme="minorHAnsi"/>
                <w:sz w:val="14"/>
                <w:szCs w:val="14"/>
              </w:rPr>
              <w:t>Zdice</w:t>
            </w:r>
          </w:p>
        </w:tc>
        <w:tc>
          <w:tcPr>
            <w:tcW w:w="1150" w:type="dxa"/>
            <w:tcBorders>
              <w:top w:val="nil"/>
              <w:left w:val="single" w:sz="4" w:space="0" w:color="auto"/>
              <w:bottom w:val="single" w:sz="4" w:space="0" w:color="auto"/>
              <w:right w:val="single" w:sz="4" w:space="0" w:color="auto"/>
            </w:tcBorders>
            <w:shd w:val="clear" w:color="auto" w:fill="FFFFFF"/>
            <w:vAlign w:val="center"/>
            <w:hideMark/>
          </w:tcPr>
          <w:p w14:paraId="7F4ECAC6" w14:textId="77777777" w:rsidR="00163089" w:rsidRPr="005E5ACF" w:rsidRDefault="00163089" w:rsidP="005E5ACF">
            <w:pPr>
              <w:jc w:val="left"/>
              <w:rPr>
                <w:rFonts w:cstheme="minorHAnsi"/>
                <w:sz w:val="14"/>
                <w:szCs w:val="14"/>
              </w:rPr>
            </w:pPr>
            <w:proofErr w:type="spellStart"/>
            <w:r w:rsidRPr="005E5ACF">
              <w:rPr>
                <w:rFonts w:cstheme="minorHAnsi"/>
                <w:sz w:val="14"/>
                <w:szCs w:val="14"/>
              </w:rPr>
              <w:t>Žst</w:t>
            </w:r>
            <w:proofErr w:type="spellEnd"/>
            <w:r w:rsidRPr="005E5ACF">
              <w:rPr>
                <w:rFonts w:cstheme="minorHAnsi"/>
                <w:sz w:val="14"/>
                <w:szCs w:val="14"/>
              </w:rPr>
              <w:t>. Zdice - komplexní oprava objektu</w:t>
            </w:r>
          </w:p>
        </w:tc>
        <w:tc>
          <w:tcPr>
            <w:tcW w:w="1560" w:type="dxa"/>
            <w:tcBorders>
              <w:top w:val="nil"/>
              <w:left w:val="single" w:sz="4" w:space="0" w:color="auto"/>
              <w:bottom w:val="single" w:sz="4" w:space="0" w:color="auto"/>
              <w:right w:val="single" w:sz="4" w:space="0" w:color="auto"/>
            </w:tcBorders>
            <w:shd w:val="clear" w:color="auto" w:fill="FFFFFF"/>
            <w:vAlign w:val="center"/>
            <w:hideMark/>
          </w:tcPr>
          <w:p w14:paraId="0CC6116F" w14:textId="77777777" w:rsidR="00163089" w:rsidRPr="005E5ACF" w:rsidRDefault="00163089" w:rsidP="00163089">
            <w:pPr>
              <w:jc w:val="center"/>
              <w:rPr>
                <w:rFonts w:cstheme="minorHAnsi"/>
                <w:sz w:val="14"/>
                <w:szCs w:val="14"/>
              </w:rPr>
            </w:pPr>
            <w:r w:rsidRPr="005E5ACF">
              <w:rPr>
                <w:rFonts w:cstheme="minorHAnsi"/>
                <w:sz w:val="14"/>
                <w:szCs w:val="14"/>
              </w:rPr>
              <w:t xml:space="preserve">8 794,376 </w:t>
            </w:r>
            <w:r w:rsidRPr="005E5ACF">
              <w:rPr>
                <w:rFonts w:cstheme="minorHAnsi"/>
                <w:sz w:val="14"/>
                <w:szCs w:val="14"/>
              </w:rPr>
              <w:br/>
              <w:t>(st. práce 8 794,376)</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77A69" w14:textId="77777777" w:rsidR="00163089" w:rsidRPr="005E5ACF" w:rsidRDefault="00163089" w:rsidP="005E5ACF">
            <w:pPr>
              <w:jc w:val="left"/>
              <w:rPr>
                <w:rFonts w:cstheme="minorHAnsi"/>
                <w:sz w:val="14"/>
                <w:szCs w:val="14"/>
              </w:rPr>
            </w:pPr>
            <w:r w:rsidRPr="005E5ACF">
              <w:rPr>
                <w:rFonts w:cstheme="minorHAnsi"/>
                <w:sz w:val="14"/>
                <w:szCs w:val="14"/>
              </w:rPr>
              <w:t xml:space="preserve">SŽDC celostátní a </w:t>
            </w:r>
            <w:proofErr w:type="spellStart"/>
            <w:r w:rsidRPr="005E5ACF">
              <w:rPr>
                <w:rFonts w:cstheme="minorHAnsi"/>
                <w:sz w:val="14"/>
                <w:szCs w:val="14"/>
              </w:rPr>
              <w:t>reg</w:t>
            </w:r>
            <w:proofErr w:type="spellEnd"/>
            <w:r w:rsidRPr="005E5ACF">
              <w:rPr>
                <w:rFonts w:cstheme="minorHAnsi"/>
                <w:sz w:val="14"/>
                <w:szCs w:val="14"/>
              </w:rPr>
              <w:t xml:space="preserve">. </w:t>
            </w:r>
            <w:proofErr w:type="gramStart"/>
            <w:r w:rsidRPr="005E5ACF">
              <w:rPr>
                <w:rFonts w:cstheme="minorHAnsi"/>
                <w:sz w:val="14"/>
                <w:szCs w:val="14"/>
              </w:rPr>
              <w:t>dráhy</w:t>
            </w:r>
            <w:proofErr w:type="gramEnd"/>
            <w:r w:rsidRPr="005E5ACF">
              <w:rPr>
                <w:rFonts w:cstheme="minorHAnsi"/>
                <w:sz w:val="14"/>
                <w:szCs w:val="14"/>
              </w:rPr>
              <w:t xml:space="preserve"> – oprava a údržba nemovitostí osobních nádraží (ISPRO</w:t>
            </w:r>
            <w:r w:rsidR="00685F35">
              <w:rPr>
                <w:rFonts w:cstheme="minorHAnsi"/>
                <w:sz w:val="14"/>
                <w:szCs w:val="14"/>
              </w:rPr>
              <w:t>FOND 5003520046, neinvestiční a </w:t>
            </w:r>
            <w:r w:rsidRPr="005E5ACF">
              <w:rPr>
                <w:rFonts w:cstheme="minorHAnsi"/>
                <w:sz w:val="14"/>
                <w:szCs w:val="14"/>
              </w:rPr>
              <w:t>neinvestiční prostředky)</w:t>
            </w:r>
          </w:p>
        </w:tc>
        <w:tc>
          <w:tcPr>
            <w:tcW w:w="1984" w:type="dxa"/>
            <w:gridSpan w:val="2"/>
            <w:tcBorders>
              <w:top w:val="nil"/>
              <w:left w:val="single" w:sz="4" w:space="0" w:color="auto"/>
              <w:bottom w:val="single" w:sz="4" w:space="0" w:color="auto"/>
              <w:right w:val="single" w:sz="4" w:space="0" w:color="auto"/>
            </w:tcBorders>
            <w:shd w:val="clear" w:color="auto" w:fill="FFFFFF"/>
            <w:vAlign w:val="center"/>
            <w:hideMark/>
          </w:tcPr>
          <w:p w14:paraId="3F3FD2A1" w14:textId="0C20E624" w:rsidR="00163089" w:rsidRPr="005E5ACF" w:rsidRDefault="00163089" w:rsidP="00C65E95">
            <w:pPr>
              <w:jc w:val="left"/>
              <w:rPr>
                <w:rFonts w:cstheme="minorHAnsi"/>
                <w:sz w:val="14"/>
                <w:szCs w:val="14"/>
              </w:rPr>
            </w:pPr>
            <w:r w:rsidRPr="005E5ACF">
              <w:rPr>
                <w:rFonts w:cstheme="minorHAnsi"/>
                <w:sz w:val="14"/>
                <w:szCs w:val="14"/>
              </w:rPr>
              <w:t>Akce dokončena</w:t>
            </w:r>
            <w:r w:rsidR="00C65E95">
              <w:rPr>
                <w:rFonts w:cstheme="minorHAnsi"/>
                <w:sz w:val="14"/>
                <w:szCs w:val="14"/>
              </w:rPr>
              <w:t>;</w:t>
            </w:r>
            <w:r w:rsidRPr="005E5ACF">
              <w:rPr>
                <w:rFonts w:cstheme="minorHAnsi"/>
                <w:sz w:val="14"/>
                <w:szCs w:val="14"/>
              </w:rPr>
              <w:t xml:space="preserve"> Oblastní ředitelství Praha</w:t>
            </w:r>
          </w:p>
        </w:tc>
      </w:tr>
      <w:tr w:rsidR="00163089" w:rsidRPr="005E5ACF" w14:paraId="34838E72" w14:textId="77777777" w:rsidTr="005E5ACF">
        <w:tc>
          <w:tcPr>
            <w:tcW w:w="484" w:type="dxa"/>
            <w:tcBorders>
              <w:top w:val="single" w:sz="4" w:space="0" w:color="auto"/>
              <w:left w:val="single" w:sz="4" w:space="0" w:color="auto"/>
              <w:bottom w:val="single" w:sz="4" w:space="0" w:color="auto"/>
              <w:right w:val="single" w:sz="4" w:space="0" w:color="auto"/>
            </w:tcBorders>
            <w:vAlign w:val="center"/>
            <w:hideMark/>
          </w:tcPr>
          <w:p w14:paraId="69E6DAE4" w14:textId="77777777" w:rsidR="00163089" w:rsidRPr="005E5ACF" w:rsidRDefault="00163089" w:rsidP="00163089">
            <w:pPr>
              <w:jc w:val="center"/>
              <w:rPr>
                <w:rFonts w:cstheme="minorHAnsi"/>
                <w:sz w:val="14"/>
                <w:szCs w:val="14"/>
              </w:rPr>
            </w:pPr>
            <w:r w:rsidRPr="005E5ACF">
              <w:rPr>
                <w:rFonts w:cstheme="minorHAnsi"/>
                <w:sz w:val="14"/>
                <w:szCs w:val="14"/>
              </w:rPr>
              <w:t>23</w:t>
            </w:r>
          </w:p>
        </w:tc>
        <w:tc>
          <w:tcPr>
            <w:tcW w:w="929" w:type="dxa"/>
            <w:tcBorders>
              <w:top w:val="nil"/>
              <w:left w:val="single" w:sz="4" w:space="0" w:color="auto"/>
              <w:bottom w:val="single" w:sz="4" w:space="0" w:color="auto"/>
              <w:right w:val="single" w:sz="4" w:space="0" w:color="auto"/>
            </w:tcBorders>
            <w:shd w:val="clear" w:color="auto" w:fill="FFFFFF"/>
            <w:vAlign w:val="center"/>
            <w:hideMark/>
          </w:tcPr>
          <w:p w14:paraId="586859BB" w14:textId="37B3AFD6" w:rsidR="00163089" w:rsidRPr="005E5ACF" w:rsidRDefault="00163089" w:rsidP="00163089">
            <w:pPr>
              <w:jc w:val="center"/>
              <w:rPr>
                <w:rFonts w:cstheme="minorHAnsi"/>
                <w:sz w:val="14"/>
                <w:szCs w:val="14"/>
              </w:rPr>
            </w:pPr>
            <w:r w:rsidRPr="005E5ACF">
              <w:rPr>
                <w:rFonts w:cstheme="minorHAnsi"/>
                <w:sz w:val="14"/>
                <w:szCs w:val="14"/>
              </w:rPr>
              <w:t>09/2017</w:t>
            </w:r>
            <w:r w:rsidR="00C65E95">
              <w:rPr>
                <w:rFonts w:cstheme="minorHAnsi"/>
                <w:sz w:val="14"/>
                <w:szCs w:val="14"/>
              </w:rPr>
              <w:t xml:space="preserve"> –</w:t>
            </w:r>
          </w:p>
          <w:p w14:paraId="36475345" w14:textId="77777777" w:rsidR="00163089" w:rsidRPr="005E5ACF" w:rsidRDefault="00163089" w:rsidP="00163089">
            <w:pPr>
              <w:jc w:val="center"/>
              <w:rPr>
                <w:rFonts w:cstheme="minorHAnsi"/>
                <w:sz w:val="14"/>
                <w:szCs w:val="14"/>
              </w:rPr>
            </w:pPr>
            <w:r w:rsidRPr="005E5ACF">
              <w:rPr>
                <w:rFonts w:cstheme="minorHAnsi"/>
                <w:sz w:val="14"/>
                <w:szCs w:val="14"/>
              </w:rPr>
              <w:t>04/2018</w:t>
            </w:r>
          </w:p>
        </w:tc>
        <w:tc>
          <w:tcPr>
            <w:tcW w:w="976" w:type="dxa"/>
            <w:tcBorders>
              <w:top w:val="nil"/>
              <w:left w:val="single" w:sz="4" w:space="0" w:color="auto"/>
              <w:bottom w:val="single" w:sz="4" w:space="0" w:color="auto"/>
              <w:right w:val="single" w:sz="4" w:space="0" w:color="auto"/>
            </w:tcBorders>
            <w:shd w:val="clear" w:color="auto" w:fill="FFFFFF"/>
            <w:vAlign w:val="center"/>
            <w:hideMark/>
          </w:tcPr>
          <w:p w14:paraId="69524CF7" w14:textId="77777777" w:rsidR="00163089" w:rsidRPr="005E5ACF" w:rsidRDefault="00163089" w:rsidP="005E5ACF">
            <w:pPr>
              <w:jc w:val="left"/>
              <w:rPr>
                <w:rFonts w:cstheme="minorHAnsi"/>
                <w:sz w:val="14"/>
                <w:szCs w:val="14"/>
              </w:rPr>
            </w:pPr>
            <w:r w:rsidRPr="005E5ACF">
              <w:rPr>
                <w:rFonts w:cstheme="minorHAnsi"/>
                <w:sz w:val="14"/>
                <w:szCs w:val="14"/>
              </w:rPr>
              <w:t>Kutná Hora město</w:t>
            </w:r>
          </w:p>
        </w:tc>
        <w:tc>
          <w:tcPr>
            <w:tcW w:w="1150" w:type="dxa"/>
            <w:tcBorders>
              <w:top w:val="nil"/>
              <w:left w:val="single" w:sz="4" w:space="0" w:color="auto"/>
              <w:bottom w:val="single" w:sz="4" w:space="0" w:color="auto"/>
              <w:right w:val="single" w:sz="4" w:space="0" w:color="auto"/>
            </w:tcBorders>
            <w:shd w:val="clear" w:color="auto" w:fill="FFFFFF"/>
            <w:vAlign w:val="center"/>
            <w:hideMark/>
          </w:tcPr>
          <w:p w14:paraId="155F83D6" w14:textId="6529A85A" w:rsidR="00163089" w:rsidRPr="005E5ACF" w:rsidRDefault="00163089" w:rsidP="00C65E95">
            <w:pPr>
              <w:jc w:val="left"/>
              <w:rPr>
                <w:rFonts w:cstheme="minorHAnsi"/>
                <w:sz w:val="14"/>
                <w:szCs w:val="14"/>
              </w:rPr>
            </w:pPr>
            <w:proofErr w:type="spellStart"/>
            <w:r w:rsidRPr="005E5ACF">
              <w:rPr>
                <w:rFonts w:cstheme="minorHAnsi"/>
                <w:sz w:val="14"/>
                <w:szCs w:val="14"/>
              </w:rPr>
              <w:t>Žst</w:t>
            </w:r>
            <w:proofErr w:type="spellEnd"/>
            <w:r w:rsidRPr="005E5ACF">
              <w:rPr>
                <w:rFonts w:cstheme="minorHAnsi"/>
                <w:sz w:val="14"/>
                <w:szCs w:val="14"/>
              </w:rPr>
              <w:t xml:space="preserve">. Kutná Hora město </w:t>
            </w:r>
            <w:r w:rsidR="00C65E95">
              <w:rPr>
                <w:rFonts w:cstheme="minorHAnsi"/>
                <w:sz w:val="14"/>
                <w:szCs w:val="14"/>
              </w:rPr>
              <w:t>–</w:t>
            </w:r>
            <w:r w:rsidRPr="005E5ACF">
              <w:rPr>
                <w:rFonts w:cstheme="minorHAnsi"/>
                <w:sz w:val="14"/>
                <w:szCs w:val="14"/>
              </w:rPr>
              <w:t xml:space="preserve"> komplexní oprava objektu</w:t>
            </w:r>
          </w:p>
        </w:tc>
        <w:tc>
          <w:tcPr>
            <w:tcW w:w="1560" w:type="dxa"/>
            <w:tcBorders>
              <w:top w:val="nil"/>
              <w:left w:val="single" w:sz="4" w:space="0" w:color="auto"/>
              <w:bottom w:val="single" w:sz="4" w:space="0" w:color="auto"/>
              <w:right w:val="single" w:sz="4" w:space="0" w:color="auto"/>
            </w:tcBorders>
            <w:shd w:val="clear" w:color="auto" w:fill="FFFFFF"/>
            <w:vAlign w:val="center"/>
            <w:hideMark/>
          </w:tcPr>
          <w:p w14:paraId="0C5175FF" w14:textId="77777777" w:rsidR="00163089" w:rsidRPr="005E5ACF" w:rsidRDefault="00163089" w:rsidP="00163089">
            <w:pPr>
              <w:jc w:val="center"/>
              <w:rPr>
                <w:rFonts w:cstheme="minorHAnsi"/>
                <w:sz w:val="14"/>
                <w:szCs w:val="14"/>
              </w:rPr>
            </w:pPr>
            <w:r w:rsidRPr="005E5ACF">
              <w:rPr>
                <w:rFonts w:cstheme="minorHAnsi"/>
                <w:sz w:val="14"/>
                <w:szCs w:val="14"/>
              </w:rPr>
              <w:t>8 545,624</w:t>
            </w:r>
            <w:r w:rsidRPr="005E5ACF">
              <w:rPr>
                <w:rFonts w:cstheme="minorHAnsi"/>
                <w:sz w:val="14"/>
                <w:szCs w:val="14"/>
              </w:rPr>
              <w:br/>
              <w:t>(st. práce 8 460,624; PD 85,000)</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87587" w14:textId="77777777" w:rsidR="00163089" w:rsidRPr="005E5ACF" w:rsidRDefault="00163089" w:rsidP="005E5ACF">
            <w:pPr>
              <w:jc w:val="left"/>
              <w:rPr>
                <w:rFonts w:cstheme="minorHAnsi"/>
                <w:sz w:val="14"/>
                <w:szCs w:val="14"/>
              </w:rPr>
            </w:pPr>
            <w:r w:rsidRPr="005E5ACF">
              <w:rPr>
                <w:rFonts w:cstheme="minorHAnsi"/>
                <w:sz w:val="14"/>
                <w:szCs w:val="14"/>
              </w:rPr>
              <w:t xml:space="preserve">SŽDC celostátní a </w:t>
            </w:r>
            <w:proofErr w:type="spellStart"/>
            <w:r w:rsidRPr="005E5ACF">
              <w:rPr>
                <w:rFonts w:cstheme="minorHAnsi"/>
                <w:sz w:val="14"/>
                <w:szCs w:val="14"/>
              </w:rPr>
              <w:t>reg</w:t>
            </w:r>
            <w:proofErr w:type="spellEnd"/>
            <w:r w:rsidRPr="005E5ACF">
              <w:rPr>
                <w:rFonts w:cstheme="minorHAnsi"/>
                <w:sz w:val="14"/>
                <w:szCs w:val="14"/>
              </w:rPr>
              <w:t xml:space="preserve">. </w:t>
            </w:r>
            <w:proofErr w:type="gramStart"/>
            <w:r w:rsidRPr="005E5ACF">
              <w:rPr>
                <w:rFonts w:cstheme="minorHAnsi"/>
                <w:sz w:val="14"/>
                <w:szCs w:val="14"/>
              </w:rPr>
              <w:t>dráhy</w:t>
            </w:r>
            <w:proofErr w:type="gramEnd"/>
            <w:r w:rsidRPr="005E5ACF">
              <w:rPr>
                <w:rFonts w:cstheme="minorHAnsi"/>
                <w:sz w:val="14"/>
                <w:szCs w:val="14"/>
              </w:rPr>
              <w:t xml:space="preserve"> – oprava a údržba nemovitostí osobních nádraží (ISPROFOND 5003120015, neinvestiční prostředky)</w:t>
            </w:r>
          </w:p>
        </w:tc>
        <w:tc>
          <w:tcPr>
            <w:tcW w:w="1984" w:type="dxa"/>
            <w:gridSpan w:val="2"/>
            <w:tcBorders>
              <w:top w:val="nil"/>
              <w:left w:val="single" w:sz="4" w:space="0" w:color="auto"/>
              <w:bottom w:val="single" w:sz="4" w:space="0" w:color="auto"/>
              <w:right w:val="single" w:sz="4" w:space="0" w:color="auto"/>
            </w:tcBorders>
            <w:shd w:val="clear" w:color="auto" w:fill="FFFFFF"/>
            <w:vAlign w:val="center"/>
            <w:hideMark/>
          </w:tcPr>
          <w:p w14:paraId="2731973C" w14:textId="0A2C6428" w:rsidR="00163089" w:rsidRPr="005E5ACF" w:rsidRDefault="00163089" w:rsidP="00C65E95">
            <w:pPr>
              <w:jc w:val="left"/>
              <w:rPr>
                <w:rFonts w:cstheme="minorHAnsi"/>
                <w:sz w:val="14"/>
                <w:szCs w:val="14"/>
              </w:rPr>
            </w:pPr>
            <w:r w:rsidRPr="005E5ACF">
              <w:rPr>
                <w:rFonts w:cstheme="minorHAnsi"/>
                <w:sz w:val="14"/>
                <w:szCs w:val="14"/>
              </w:rPr>
              <w:t>Akce dokončena</w:t>
            </w:r>
            <w:r w:rsidR="00C65E95">
              <w:rPr>
                <w:rFonts w:cstheme="minorHAnsi"/>
                <w:sz w:val="14"/>
                <w:szCs w:val="14"/>
              </w:rPr>
              <w:t>;</w:t>
            </w:r>
            <w:r w:rsidRPr="005E5ACF">
              <w:rPr>
                <w:rFonts w:cstheme="minorHAnsi"/>
                <w:sz w:val="14"/>
                <w:szCs w:val="14"/>
              </w:rPr>
              <w:t xml:space="preserve"> Oblastní ředitelství Praha</w:t>
            </w:r>
          </w:p>
        </w:tc>
      </w:tr>
      <w:tr w:rsidR="00163089" w:rsidRPr="005E5ACF" w14:paraId="4F0B8CA4" w14:textId="77777777" w:rsidTr="005E5ACF">
        <w:trPr>
          <w:trHeight w:val="684"/>
        </w:trPr>
        <w:tc>
          <w:tcPr>
            <w:tcW w:w="484" w:type="dxa"/>
            <w:tcBorders>
              <w:top w:val="single" w:sz="4" w:space="0" w:color="auto"/>
              <w:left w:val="single" w:sz="4" w:space="0" w:color="auto"/>
              <w:bottom w:val="single" w:sz="4" w:space="0" w:color="auto"/>
              <w:right w:val="single" w:sz="4" w:space="0" w:color="auto"/>
            </w:tcBorders>
            <w:vAlign w:val="center"/>
            <w:hideMark/>
          </w:tcPr>
          <w:p w14:paraId="35FC875A" w14:textId="77777777" w:rsidR="00163089" w:rsidRPr="005E5ACF" w:rsidRDefault="00163089" w:rsidP="00163089">
            <w:pPr>
              <w:jc w:val="center"/>
              <w:rPr>
                <w:rFonts w:cstheme="minorHAnsi"/>
                <w:sz w:val="14"/>
                <w:szCs w:val="14"/>
              </w:rPr>
            </w:pPr>
            <w:r w:rsidRPr="005E5ACF">
              <w:rPr>
                <w:rFonts w:cstheme="minorHAnsi"/>
                <w:sz w:val="14"/>
                <w:szCs w:val="14"/>
              </w:rPr>
              <w:t>24</w:t>
            </w:r>
          </w:p>
        </w:tc>
        <w:tc>
          <w:tcPr>
            <w:tcW w:w="929" w:type="dxa"/>
            <w:tcBorders>
              <w:top w:val="nil"/>
              <w:left w:val="single" w:sz="4" w:space="0" w:color="auto"/>
              <w:bottom w:val="single" w:sz="4" w:space="0" w:color="auto"/>
              <w:right w:val="single" w:sz="4" w:space="0" w:color="auto"/>
            </w:tcBorders>
            <w:shd w:val="clear" w:color="auto" w:fill="FFFFFF"/>
            <w:vAlign w:val="center"/>
            <w:hideMark/>
          </w:tcPr>
          <w:p w14:paraId="33E15CAA" w14:textId="2B1D8C90" w:rsidR="00163089" w:rsidRPr="005E5ACF" w:rsidRDefault="00163089" w:rsidP="00163089">
            <w:pPr>
              <w:jc w:val="center"/>
              <w:rPr>
                <w:rFonts w:cstheme="minorHAnsi"/>
                <w:sz w:val="14"/>
                <w:szCs w:val="14"/>
              </w:rPr>
            </w:pPr>
            <w:r w:rsidRPr="005E5ACF">
              <w:rPr>
                <w:rFonts w:cstheme="minorHAnsi"/>
                <w:sz w:val="14"/>
                <w:szCs w:val="14"/>
              </w:rPr>
              <w:t>05/2017</w:t>
            </w:r>
            <w:r w:rsidR="00C65E95">
              <w:rPr>
                <w:rFonts w:cstheme="minorHAnsi"/>
                <w:sz w:val="14"/>
                <w:szCs w:val="14"/>
              </w:rPr>
              <w:t xml:space="preserve"> –</w:t>
            </w:r>
          </w:p>
          <w:p w14:paraId="67ACBED8" w14:textId="77777777" w:rsidR="00163089" w:rsidRPr="005E5ACF" w:rsidRDefault="00163089" w:rsidP="00163089">
            <w:pPr>
              <w:jc w:val="center"/>
              <w:rPr>
                <w:rFonts w:cstheme="minorHAnsi"/>
                <w:sz w:val="14"/>
                <w:szCs w:val="14"/>
              </w:rPr>
            </w:pPr>
            <w:r w:rsidRPr="005E5ACF">
              <w:rPr>
                <w:rFonts w:cstheme="minorHAnsi"/>
                <w:sz w:val="14"/>
                <w:szCs w:val="14"/>
              </w:rPr>
              <w:t>09/2017</w:t>
            </w:r>
          </w:p>
        </w:tc>
        <w:tc>
          <w:tcPr>
            <w:tcW w:w="976" w:type="dxa"/>
            <w:tcBorders>
              <w:top w:val="nil"/>
              <w:left w:val="single" w:sz="4" w:space="0" w:color="auto"/>
              <w:bottom w:val="single" w:sz="4" w:space="0" w:color="auto"/>
              <w:right w:val="single" w:sz="4" w:space="0" w:color="auto"/>
            </w:tcBorders>
            <w:shd w:val="clear" w:color="auto" w:fill="FFFFFF"/>
            <w:vAlign w:val="center"/>
            <w:hideMark/>
          </w:tcPr>
          <w:p w14:paraId="6922638C" w14:textId="77777777" w:rsidR="00163089" w:rsidRPr="005E5ACF" w:rsidRDefault="00163089" w:rsidP="005E5ACF">
            <w:pPr>
              <w:jc w:val="left"/>
              <w:rPr>
                <w:rFonts w:cstheme="minorHAnsi"/>
                <w:sz w:val="14"/>
                <w:szCs w:val="14"/>
              </w:rPr>
            </w:pPr>
            <w:r w:rsidRPr="005E5ACF">
              <w:rPr>
                <w:rFonts w:cstheme="minorHAnsi"/>
                <w:sz w:val="14"/>
                <w:szCs w:val="14"/>
              </w:rPr>
              <w:t>Neratovice</w:t>
            </w:r>
          </w:p>
        </w:tc>
        <w:tc>
          <w:tcPr>
            <w:tcW w:w="1150" w:type="dxa"/>
            <w:tcBorders>
              <w:top w:val="nil"/>
              <w:left w:val="single" w:sz="4" w:space="0" w:color="auto"/>
              <w:bottom w:val="single" w:sz="4" w:space="0" w:color="auto"/>
              <w:right w:val="single" w:sz="4" w:space="0" w:color="auto"/>
            </w:tcBorders>
            <w:shd w:val="clear" w:color="auto" w:fill="FFFFFF"/>
            <w:vAlign w:val="center"/>
            <w:hideMark/>
          </w:tcPr>
          <w:p w14:paraId="6751CE18" w14:textId="77777777" w:rsidR="00163089" w:rsidRPr="005E5ACF" w:rsidRDefault="00163089" w:rsidP="005E5ACF">
            <w:pPr>
              <w:jc w:val="left"/>
              <w:rPr>
                <w:rFonts w:cstheme="minorHAnsi"/>
                <w:sz w:val="14"/>
                <w:szCs w:val="14"/>
              </w:rPr>
            </w:pPr>
            <w:proofErr w:type="spellStart"/>
            <w:r w:rsidRPr="005E5ACF">
              <w:rPr>
                <w:rFonts w:cstheme="minorHAnsi"/>
                <w:sz w:val="14"/>
                <w:szCs w:val="14"/>
              </w:rPr>
              <w:t>Žst</w:t>
            </w:r>
            <w:proofErr w:type="spellEnd"/>
            <w:r w:rsidRPr="005E5ACF">
              <w:rPr>
                <w:rFonts w:cstheme="minorHAnsi"/>
                <w:sz w:val="14"/>
                <w:szCs w:val="14"/>
              </w:rPr>
              <w:t>. Neratovice - Oprava výpravní budovy</w:t>
            </w:r>
          </w:p>
        </w:tc>
        <w:tc>
          <w:tcPr>
            <w:tcW w:w="1560" w:type="dxa"/>
            <w:tcBorders>
              <w:top w:val="nil"/>
              <w:left w:val="single" w:sz="4" w:space="0" w:color="auto"/>
              <w:bottom w:val="single" w:sz="4" w:space="0" w:color="auto"/>
              <w:right w:val="single" w:sz="4" w:space="0" w:color="auto"/>
            </w:tcBorders>
            <w:shd w:val="clear" w:color="auto" w:fill="FFFFFF"/>
            <w:vAlign w:val="center"/>
            <w:hideMark/>
          </w:tcPr>
          <w:p w14:paraId="485C5F90" w14:textId="77777777" w:rsidR="00163089" w:rsidRPr="005E5ACF" w:rsidRDefault="00163089" w:rsidP="00163089">
            <w:pPr>
              <w:jc w:val="center"/>
              <w:rPr>
                <w:rFonts w:cstheme="minorHAnsi"/>
                <w:sz w:val="14"/>
                <w:szCs w:val="14"/>
              </w:rPr>
            </w:pPr>
            <w:r w:rsidRPr="005E5ACF">
              <w:rPr>
                <w:rFonts w:cstheme="minorHAnsi"/>
                <w:sz w:val="14"/>
                <w:szCs w:val="14"/>
              </w:rPr>
              <w:t xml:space="preserve">6 322,692 </w:t>
            </w:r>
            <w:r w:rsidRPr="005E5ACF">
              <w:rPr>
                <w:rFonts w:cstheme="minorHAnsi"/>
                <w:sz w:val="14"/>
                <w:szCs w:val="14"/>
              </w:rPr>
              <w:br/>
              <w:t>(st. práce 6 277,692; PD 45,000 Kč)</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ADFEC" w14:textId="77777777" w:rsidR="00163089" w:rsidRPr="005E5ACF" w:rsidRDefault="00163089" w:rsidP="005E5ACF">
            <w:pPr>
              <w:jc w:val="left"/>
              <w:rPr>
                <w:rFonts w:cstheme="minorHAnsi"/>
                <w:sz w:val="14"/>
                <w:szCs w:val="14"/>
              </w:rPr>
            </w:pPr>
            <w:r w:rsidRPr="005E5ACF">
              <w:rPr>
                <w:rFonts w:cstheme="minorHAnsi"/>
                <w:sz w:val="14"/>
                <w:szCs w:val="14"/>
              </w:rPr>
              <w:t xml:space="preserve">SŽDC celostátní a </w:t>
            </w:r>
            <w:proofErr w:type="spellStart"/>
            <w:r w:rsidRPr="005E5ACF">
              <w:rPr>
                <w:rFonts w:cstheme="minorHAnsi"/>
                <w:sz w:val="14"/>
                <w:szCs w:val="14"/>
              </w:rPr>
              <w:t>reg</w:t>
            </w:r>
            <w:proofErr w:type="spellEnd"/>
            <w:r w:rsidRPr="005E5ACF">
              <w:rPr>
                <w:rFonts w:cstheme="minorHAnsi"/>
                <w:sz w:val="14"/>
                <w:szCs w:val="14"/>
              </w:rPr>
              <w:t xml:space="preserve">. </w:t>
            </w:r>
            <w:proofErr w:type="gramStart"/>
            <w:r w:rsidRPr="005E5ACF">
              <w:rPr>
                <w:rFonts w:cstheme="minorHAnsi"/>
                <w:sz w:val="14"/>
                <w:szCs w:val="14"/>
              </w:rPr>
              <w:t>dráhy</w:t>
            </w:r>
            <w:proofErr w:type="gramEnd"/>
            <w:r w:rsidRPr="005E5ACF">
              <w:rPr>
                <w:rFonts w:cstheme="minorHAnsi"/>
                <w:sz w:val="14"/>
                <w:szCs w:val="14"/>
              </w:rPr>
              <w:t xml:space="preserve"> – oprava a údržba nemovitostí osobních nádraží (ISPROFOND 5003120015, neinvestiční prostředky)</w:t>
            </w:r>
          </w:p>
        </w:tc>
        <w:tc>
          <w:tcPr>
            <w:tcW w:w="1984" w:type="dxa"/>
            <w:gridSpan w:val="2"/>
            <w:tcBorders>
              <w:top w:val="nil"/>
              <w:left w:val="single" w:sz="4" w:space="0" w:color="auto"/>
              <w:bottom w:val="single" w:sz="4" w:space="0" w:color="auto"/>
              <w:right w:val="single" w:sz="4" w:space="0" w:color="auto"/>
            </w:tcBorders>
            <w:shd w:val="clear" w:color="auto" w:fill="FFFFFF"/>
            <w:vAlign w:val="center"/>
            <w:hideMark/>
          </w:tcPr>
          <w:p w14:paraId="73FD1495" w14:textId="640B15BD" w:rsidR="00163089" w:rsidRPr="005E5ACF" w:rsidRDefault="00163089" w:rsidP="00C65E95">
            <w:pPr>
              <w:jc w:val="left"/>
              <w:rPr>
                <w:rFonts w:cstheme="minorHAnsi"/>
                <w:sz w:val="14"/>
                <w:szCs w:val="14"/>
              </w:rPr>
            </w:pPr>
            <w:r w:rsidRPr="005E5ACF">
              <w:rPr>
                <w:rFonts w:cstheme="minorHAnsi"/>
                <w:sz w:val="14"/>
                <w:szCs w:val="14"/>
              </w:rPr>
              <w:t>Akce dokončena</w:t>
            </w:r>
            <w:r w:rsidR="00C65E95">
              <w:rPr>
                <w:rFonts w:cstheme="minorHAnsi"/>
                <w:sz w:val="14"/>
                <w:szCs w:val="14"/>
              </w:rPr>
              <w:t>;</w:t>
            </w:r>
            <w:r w:rsidRPr="005E5ACF">
              <w:rPr>
                <w:rFonts w:cstheme="minorHAnsi"/>
                <w:sz w:val="14"/>
                <w:szCs w:val="14"/>
              </w:rPr>
              <w:t xml:space="preserve"> Oblastní ředitelství Praha</w:t>
            </w:r>
          </w:p>
        </w:tc>
      </w:tr>
      <w:tr w:rsidR="00163089" w:rsidRPr="005E5ACF" w14:paraId="797EF1BB" w14:textId="77777777" w:rsidTr="005E5ACF">
        <w:trPr>
          <w:gridAfter w:val="1"/>
          <w:wAfter w:w="8" w:type="dxa"/>
          <w:trHeight w:val="283"/>
        </w:trPr>
        <w:tc>
          <w:tcPr>
            <w:tcW w:w="3539" w:type="dxa"/>
            <w:gridSpan w:val="4"/>
            <w:tcBorders>
              <w:top w:val="single" w:sz="4" w:space="0" w:color="auto"/>
              <w:left w:val="single" w:sz="4" w:space="0" w:color="auto"/>
              <w:bottom w:val="single" w:sz="4" w:space="0" w:color="auto"/>
              <w:right w:val="single" w:sz="4" w:space="0" w:color="auto"/>
            </w:tcBorders>
            <w:shd w:val="clear" w:color="auto" w:fill="E5F1FF"/>
            <w:vAlign w:val="center"/>
            <w:hideMark/>
          </w:tcPr>
          <w:p w14:paraId="091F5ACE" w14:textId="77777777" w:rsidR="00163089" w:rsidRPr="005E5ACF" w:rsidRDefault="00163089" w:rsidP="005E5ACF">
            <w:pPr>
              <w:jc w:val="left"/>
              <w:rPr>
                <w:rFonts w:cstheme="minorHAnsi"/>
                <w:b/>
                <w:sz w:val="14"/>
                <w:szCs w:val="14"/>
              </w:rPr>
            </w:pPr>
            <w:r w:rsidRPr="005E5ACF">
              <w:rPr>
                <w:rFonts w:cstheme="minorHAnsi"/>
                <w:b/>
                <w:sz w:val="14"/>
                <w:szCs w:val="14"/>
              </w:rPr>
              <w:t>Celkem</w:t>
            </w:r>
          </w:p>
        </w:tc>
        <w:tc>
          <w:tcPr>
            <w:tcW w:w="1560" w:type="dxa"/>
            <w:tcBorders>
              <w:top w:val="nil"/>
              <w:left w:val="single" w:sz="4" w:space="0" w:color="auto"/>
              <w:bottom w:val="single" w:sz="4" w:space="0" w:color="auto"/>
              <w:right w:val="single" w:sz="4" w:space="0" w:color="auto"/>
            </w:tcBorders>
            <w:shd w:val="clear" w:color="auto" w:fill="E5F1FF"/>
            <w:vAlign w:val="center"/>
            <w:hideMark/>
          </w:tcPr>
          <w:p w14:paraId="12EB418B" w14:textId="77777777" w:rsidR="00163089" w:rsidRPr="005E5ACF" w:rsidRDefault="00163089" w:rsidP="005E5ACF">
            <w:pPr>
              <w:jc w:val="center"/>
              <w:rPr>
                <w:rFonts w:cstheme="minorHAnsi"/>
                <w:b/>
                <w:sz w:val="14"/>
                <w:szCs w:val="14"/>
              </w:rPr>
            </w:pPr>
            <w:r w:rsidRPr="005E5ACF">
              <w:rPr>
                <w:rFonts w:cstheme="minorHAnsi"/>
                <w:b/>
                <w:sz w:val="14"/>
                <w:szCs w:val="14"/>
              </w:rPr>
              <w:t>1 007 511,109</w:t>
            </w:r>
          </w:p>
        </w:tc>
        <w:tc>
          <w:tcPr>
            <w:tcW w:w="4260" w:type="dxa"/>
            <w:gridSpan w:val="2"/>
            <w:tcBorders>
              <w:top w:val="single" w:sz="4" w:space="0" w:color="auto"/>
              <w:left w:val="single" w:sz="4" w:space="0" w:color="auto"/>
              <w:bottom w:val="single" w:sz="4" w:space="0" w:color="auto"/>
              <w:right w:val="single" w:sz="4" w:space="0" w:color="auto"/>
            </w:tcBorders>
            <w:shd w:val="clear" w:color="auto" w:fill="E5F1FF"/>
            <w:vAlign w:val="center"/>
          </w:tcPr>
          <w:p w14:paraId="663E2784" w14:textId="77777777" w:rsidR="00163089" w:rsidRPr="005E5ACF" w:rsidRDefault="00163089" w:rsidP="005E5ACF">
            <w:pPr>
              <w:jc w:val="center"/>
              <w:rPr>
                <w:rFonts w:cstheme="minorHAnsi"/>
                <w:b/>
                <w:sz w:val="14"/>
                <w:szCs w:val="14"/>
              </w:rPr>
            </w:pPr>
          </w:p>
        </w:tc>
      </w:tr>
    </w:tbl>
    <w:p w14:paraId="160C79AA" w14:textId="012C9B7D" w:rsidR="00163089" w:rsidRPr="000D15E7" w:rsidRDefault="00163089" w:rsidP="000D15E7">
      <w:pPr>
        <w:spacing w:before="40"/>
        <w:rPr>
          <w:rFonts w:asciiTheme="minorHAnsi" w:hAnsiTheme="minorHAnsi" w:cstheme="minorBidi"/>
          <w:sz w:val="20"/>
          <w:szCs w:val="14"/>
        </w:rPr>
      </w:pPr>
      <w:r w:rsidRPr="000D15E7">
        <w:rPr>
          <w:rFonts w:asciiTheme="minorHAnsi" w:hAnsiTheme="minorHAnsi"/>
          <w:b/>
          <w:sz w:val="20"/>
          <w:szCs w:val="14"/>
        </w:rPr>
        <w:t>Zdroj:</w:t>
      </w:r>
      <w:r w:rsidRPr="000D15E7">
        <w:rPr>
          <w:rFonts w:asciiTheme="minorHAnsi" w:hAnsiTheme="minorHAnsi"/>
          <w:sz w:val="20"/>
          <w:szCs w:val="14"/>
        </w:rPr>
        <w:t xml:space="preserve"> </w:t>
      </w:r>
      <w:r w:rsidR="00C65E95">
        <w:rPr>
          <w:rFonts w:asciiTheme="minorHAnsi" w:hAnsiTheme="minorHAnsi"/>
          <w:sz w:val="20"/>
          <w:szCs w:val="14"/>
        </w:rPr>
        <w:t>p</w:t>
      </w:r>
      <w:r w:rsidR="007F31F0" w:rsidRPr="000D15E7">
        <w:rPr>
          <w:rFonts w:asciiTheme="minorHAnsi" w:hAnsiTheme="minorHAnsi"/>
          <w:sz w:val="20"/>
          <w:szCs w:val="14"/>
        </w:rPr>
        <w:t xml:space="preserve">odklady </w:t>
      </w:r>
      <w:r w:rsidRPr="000D15E7">
        <w:rPr>
          <w:rFonts w:asciiTheme="minorHAnsi" w:hAnsiTheme="minorHAnsi"/>
          <w:sz w:val="20"/>
          <w:szCs w:val="14"/>
        </w:rPr>
        <w:t xml:space="preserve">SŽDC, </w:t>
      </w:r>
      <w:r w:rsidR="00C65E95">
        <w:rPr>
          <w:rFonts w:asciiTheme="minorHAnsi" w:hAnsiTheme="minorHAnsi"/>
          <w:sz w:val="20"/>
          <w:szCs w:val="14"/>
        </w:rPr>
        <w:t>vypracoval</w:t>
      </w:r>
      <w:r w:rsidRPr="000D15E7">
        <w:rPr>
          <w:rFonts w:asciiTheme="minorHAnsi" w:hAnsiTheme="minorHAnsi"/>
          <w:sz w:val="20"/>
          <w:szCs w:val="14"/>
        </w:rPr>
        <w:t xml:space="preserve"> NKÚ</w:t>
      </w:r>
      <w:r w:rsidR="00F64F4D" w:rsidRPr="000D15E7">
        <w:rPr>
          <w:rFonts w:asciiTheme="minorHAnsi" w:hAnsiTheme="minorHAnsi"/>
          <w:sz w:val="20"/>
          <w:szCs w:val="14"/>
        </w:rPr>
        <w:t>.</w:t>
      </w:r>
      <w:r w:rsidRPr="000D15E7">
        <w:rPr>
          <w:rFonts w:asciiTheme="minorHAnsi" w:hAnsiTheme="minorHAnsi"/>
          <w:sz w:val="20"/>
          <w:szCs w:val="14"/>
        </w:rPr>
        <w:t xml:space="preserve"> </w:t>
      </w:r>
    </w:p>
    <w:p w14:paraId="77A4236E" w14:textId="77777777" w:rsidR="00163089" w:rsidRPr="00163089" w:rsidRDefault="00163089" w:rsidP="00163089">
      <w:pPr>
        <w:rPr>
          <w:rFonts w:asciiTheme="minorHAnsi" w:hAnsiTheme="minorHAnsi" w:cstheme="minorHAnsi"/>
        </w:rPr>
      </w:pPr>
    </w:p>
    <w:p w14:paraId="6EF02766" w14:textId="77777777" w:rsidR="000D15E7" w:rsidRDefault="000D15E7">
      <w:pPr>
        <w:spacing w:after="160" w:line="259" w:lineRule="auto"/>
        <w:jc w:val="left"/>
        <w:rPr>
          <w:rFonts w:cs="Calibri"/>
          <w:color w:val="000000"/>
        </w:rPr>
      </w:pPr>
      <w:r>
        <w:rPr>
          <w:rFonts w:cs="Calibri"/>
          <w:color w:val="000000"/>
        </w:rPr>
        <w:br w:type="page"/>
      </w:r>
    </w:p>
    <w:p w14:paraId="0E245863" w14:textId="77777777" w:rsidR="00E4157F" w:rsidRPr="000D15E7" w:rsidRDefault="00E4157F" w:rsidP="00E4157F">
      <w:pPr>
        <w:autoSpaceDE w:val="0"/>
        <w:autoSpaceDN w:val="0"/>
        <w:adjustRightInd w:val="0"/>
        <w:jc w:val="right"/>
        <w:rPr>
          <w:rFonts w:cs="Calibri"/>
          <w:b/>
          <w:color w:val="000000"/>
        </w:rPr>
      </w:pPr>
      <w:r w:rsidRPr="000D15E7">
        <w:rPr>
          <w:rFonts w:cs="Calibri"/>
          <w:b/>
          <w:color w:val="000000"/>
        </w:rPr>
        <w:t xml:space="preserve">Příloha č. </w:t>
      </w:r>
      <w:r w:rsidR="00EF2B36" w:rsidRPr="000D15E7">
        <w:rPr>
          <w:rFonts w:cs="Calibri"/>
          <w:b/>
          <w:color w:val="000000"/>
        </w:rPr>
        <w:t>3</w:t>
      </w:r>
    </w:p>
    <w:p w14:paraId="235F89D6" w14:textId="77777777" w:rsidR="00FA7603" w:rsidRPr="000D15E7" w:rsidRDefault="00FA7603" w:rsidP="00E4157F">
      <w:pPr>
        <w:autoSpaceDE w:val="0"/>
        <w:autoSpaceDN w:val="0"/>
        <w:adjustRightInd w:val="0"/>
        <w:jc w:val="right"/>
        <w:rPr>
          <w:rFonts w:cs="Calibri"/>
          <w:b/>
          <w:color w:val="000000"/>
        </w:rPr>
      </w:pPr>
    </w:p>
    <w:p w14:paraId="23378F3D" w14:textId="0216928F" w:rsidR="00E4157F" w:rsidRPr="000D15E7" w:rsidRDefault="00FA7603" w:rsidP="000D15E7">
      <w:pPr>
        <w:jc w:val="center"/>
        <w:rPr>
          <w:rFonts w:asciiTheme="minorHAnsi" w:hAnsiTheme="minorHAnsi" w:cstheme="minorHAnsi"/>
          <w:b/>
          <w:bCs/>
          <w:color w:val="000000"/>
          <w:lang w:eastAsia="cs-CZ"/>
        </w:rPr>
      </w:pPr>
      <w:r w:rsidRPr="000D15E7">
        <w:rPr>
          <w:rFonts w:asciiTheme="minorHAnsi" w:hAnsiTheme="minorHAnsi" w:cstheme="minorHAnsi"/>
          <w:b/>
          <w:bCs/>
          <w:color w:val="000000"/>
          <w:lang w:eastAsia="cs-CZ"/>
        </w:rPr>
        <w:t xml:space="preserve">Přehled kontrolovaných </w:t>
      </w:r>
      <w:r w:rsidR="00E4157F" w:rsidRPr="000D15E7">
        <w:rPr>
          <w:rFonts w:asciiTheme="minorHAnsi" w:hAnsiTheme="minorHAnsi" w:cstheme="minorHAnsi"/>
          <w:b/>
          <w:bCs/>
          <w:color w:val="000000"/>
          <w:lang w:eastAsia="cs-CZ"/>
        </w:rPr>
        <w:t>veřejných zakázek u stavebních akcí vybraných ke kontrole</w:t>
      </w:r>
    </w:p>
    <w:p w14:paraId="257EEF5A" w14:textId="77777777" w:rsidR="000D15E7" w:rsidRPr="00E4157F" w:rsidRDefault="000D15E7" w:rsidP="00E4157F">
      <w:pPr>
        <w:rPr>
          <w:rFonts w:asciiTheme="minorHAnsi" w:hAnsiTheme="minorHAnsi" w:cstheme="minorHAnsi"/>
          <w:bCs/>
          <w:color w:val="000000"/>
          <w:lang w:eastAsia="cs-CZ"/>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1"/>
        <w:gridCol w:w="1147"/>
        <w:gridCol w:w="1128"/>
        <w:gridCol w:w="1560"/>
        <w:gridCol w:w="1275"/>
        <w:gridCol w:w="1276"/>
        <w:gridCol w:w="1559"/>
      </w:tblGrid>
      <w:tr w:rsidR="00E4157F" w:rsidRPr="00E4157F" w14:paraId="5E1B8D94" w14:textId="77777777" w:rsidTr="00685F35">
        <w:trPr>
          <w:trHeight w:val="368"/>
          <w:tblHeader/>
          <w:jc w:val="center"/>
        </w:trPr>
        <w:tc>
          <w:tcPr>
            <w:tcW w:w="1841" w:type="dxa"/>
            <w:vMerge w:val="restart"/>
            <w:tcBorders>
              <w:top w:val="single" w:sz="4" w:space="0" w:color="auto"/>
              <w:left w:val="single" w:sz="4" w:space="0" w:color="auto"/>
              <w:bottom w:val="single" w:sz="4" w:space="0" w:color="auto"/>
              <w:right w:val="single" w:sz="4" w:space="0" w:color="auto"/>
            </w:tcBorders>
            <w:shd w:val="clear" w:color="auto" w:fill="E5F1FF"/>
            <w:vAlign w:val="center"/>
            <w:hideMark/>
          </w:tcPr>
          <w:p w14:paraId="11B12185" w14:textId="77777777" w:rsidR="00E4157F" w:rsidRPr="00E4157F" w:rsidRDefault="00E4157F" w:rsidP="005E5ACF">
            <w:pPr>
              <w:jc w:val="left"/>
              <w:rPr>
                <w:rFonts w:asciiTheme="minorHAnsi" w:hAnsiTheme="minorHAnsi" w:cstheme="minorHAnsi"/>
                <w:b/>
                <w:bCs/>
                <w:sz w:val="16"/>
                <w:szCs w:val="16"/>
              </w:rPr>
            </w:pPr>
            <w:r w:rsidRPr="00E4157F">
              <w:rPr>
                <w:rFonts w:asciiTheme="minorHAnsi" w:hAnsiTheme="minorHAnsi" w:cstheme="minorHAnsi"/>
                <w:b/>
                <w:bCs/>
                <w:sz w:val="16"/>
                <w:szCs w:val="16"/>
              </w:rPr>
              <w:t>Název akce</w:t>
            </w:r>
          </w:p>
        </w:tc>
        <w:tc>
          <w:tcPr>
            <w:tcW w:w="3835" w:type="dxa"/>
            <w:gridSpan w:val="3"/>
            <w:vMerge w:val="restart"/>
            <w:tcBorders>
              <w:top w:val="single" w:sz="4" w:space="0" w:color="auto"/>
              <w:left w:val="single" w:sz="4" w:space="0" w:color="auto"/>
              <w:bottom w:val="single" w:sz="4" w:space="0" w:color="auto"/>
              <w:right w:val="single" w:sz="4" w:space="0" w:color="auto"/>
            </w:tcBorders>
            <w:shd w:val="clear" w:color="auto" w:fill="E5F1FF"/>
            <w:vAlign w:val="center"/>
            <w:hideMark/>
          </w:tcPr>
          <w:p w14:paraId="535FAC47" w14:textId="77777777" w:rsidR="00E4157F" w:rsidRPr="00E4157F" w:rsidRDefault="00E4157F" w:rsidP="005E5ACF">
            <w:pPr>
              <w:jc w:val="center"/>
              <w:rPr>
                <w:rFonts w:asciiTheme="minorHAnsi" w:hAnsiTheme="minorHAnsi" w:cstheme="minorHAnsi"/>
                <w:b/>
                <w:bCs/>
                <w:sz w:val="16"/>
                <w:szCs w:val="16"/>
              </w:rPr>
            </w:pPr>
            <w:r w:rsidRPr="00E4157F">
              <w:rPr>
                <w:rFonts w:asciiTheme="minorHAnsi" w:hAnsiTheme="minorHAnsi" w:cstheme="minorHAnsi"/>
                <w:b/>
                <w:bCs/>
                <w:sz w:val="16"/>
                <w:szCs w:val="16"/>
              </w:rPr>
              <w:t>Veřejná zakázka na projektovou dokumentaci</w:t>
            </w:r>
          </w:p>
        </w:tc>
        <w:tc>
          <w:tcPr>
            <w:tcW w:w="4110" w:type="dxa"/>
            <w:gridSpan w:val="3"/>
            <w:vMerge w:val="restart"/>
            <w:tcBorders>
              <w:top w:val="single" w:sz="4" w:space="0" w:color="auto"/>
              <w:left w:val="single" w:sz="4" w:space="0" w:color="auto"/>
              <w:bottom w:val="single" w:sz="4" w:space="0" w:color="auto"/>
              <w:right w:val="single" w:sz="4" w:space="0" w:color="auto"/>
            </w:tcBorders>
            <w:shd w:val="clear" w:color="auto" w:fill="E5F1FF"/>
            <w:vAlign w:val="center"/>
            <w:hideMark/>
          </w:tcPr>
          <w:p w14:paraId="18610C24" w14:textId="77777777" w:rsidR="00E4157F" w:rsidRPr="00E4157F" w:rsidRDefault="00E4157F" w:rsidP="005E5ACF">
            <w:pPr>
              <w:jc w:val="center"/>
              <w:rPr>
                <w:rFonts w:asciiTheme="minorHAnsi" w:hAnsiTheme="minorHAnsi" w:cstheme="minorHAnsi"/>
                <w:b/>
                <w:bCs/>
                <w:sz w:val="16"/>
                <w:szCs w:val="16"/>
              </w:rPr>
            </w:pPr>
            <w:r w:rsidRPr="00E4157F">
              <w:rPr>
                <w:rFonts w:asciiTheme="minorHAnsi" w:hAnsiTheme="minorHAnsi" w:cstheme="minorHAnsi"/>
                <w:b/>
                <w:bCs/>
                <w:sz w:val="16"/>
                <w:szCs w:val="16"/>
              </w:rPr>
              <w:t>Veřejná zakázka na stavební práce</w:t>
            </w:r>
          </w:p>
        </w:tc>
      </w:tr>
      <w:tr w:rsidR="00E4157F" w:rsidRPr="00E4157F" w14:paraId="4F3C95DF" w14:textId="77777777" w:rsidTr="00685F35">
        <w:trPr>
          <w:trHeight w:val="476"/>
          <w:tblHeader/>
          <w:jc w:val="center"/>
        </w:trPr>
        <w:tc>
          <w:tcPr>
            <w:tcW w:w="1841" w:type="dxa"/>
            <w:vMerge/>
            <w:tcBorders>
              <w:top w:val="single" w:sz="4" w:space="0" w:color="auto"/>
              <w:left w:val="single" w:sz="4" w:space="0" w:color="auto"/>
              <w:bottom w:val="single" w:sz="4" w:space="0" w:color="auto"/>
              <w:right w:val="single" w:sz="4" w:space="0" w:color="auto"/>
            </w:tcBorders>
            <w:shd w:val="clear" w:color="auto" w:fill="E5F1FF"/>
            <w:vAlign w:val="center"/>
            <w:hideMark/>
          </w:tcPr>
          <w:p w14:paraId="62135210" w14:textId="77777777" w:rsidR="00E4157F" w:rsidRPr="00E4157F" w:rsidRDefault="00E4157F" w:rsidP="005E5ACF">
            <w:pPr>
              <w:jc w:val="left"/>
              <w:rPr>
                <w:rFonts w:asciiTheme="minorHAnsi" w:hAnsiTheme="minorHAnsi" w:cstheme="minorHAnsi"/>
                <w:b/>
                <w:bCs/>
                <w:sz w:val="16"/>
                <w:szCs w:val="16"/>
              </w:rPr>
            </w:pPr>
          </w:p>
        </w:tc>
        <w:tc>
          <w:tcPr>
            <w:tcW w:w="3835" w:type="dxa"/>
            <w:gridSpan w:val="3"/>
            <w:vMerge/>
            <w:tcBorders>
              <w:top w:val="single" w:sz="4" w:space="0" w:color="auto"/>
              <w:left w:val="single" w:sz="4" w:space="0" w:color="auto"/>
              <w:bottom w:val="single" w:sz="4" w:space="0" w:color="auto"/>
              <w:right w:val="single" w:sz="4" w:space="0" w:color="auto"/>
            </w:tcBorders>
            <w:shd w:val="clear" w:color="auto" w:fill="E5F1FF"/>
            <w:vAlign w:val="center"/>
            <w:hideMark/>
          </w:tcPr>
          <w:p w14:paraId="1A400DDA" w14:textId="77777777" w:rsidR="00E4157F" w:rsidRPr="00E4157F" w:rsidRDefault="00E4157F" w:rsidP="005E5ACF">
            <w:pPr>
              <w:jc w:val="left"/>
              <w:rPr>
                <w:rFonts w:asciiTheme="minorHAnsi" w:hAnsiTheme="minorHAnsi" w:cstheme="minorHAnsi"/>
                <w:b/>
                <w:bCs/>
                <w:sz w:val="16"/>
                <w:szCs w:val="16"/>
              </w:rPr>
            </w:pPr>
          </w:p>
        </w:tc>
        <w:tc>
          <w:tcPr>
            <w:tcW w:w="4110" w:type="dxa"/>
            <w:gridSpan w:val="3"/>
            <w:vMerge/>
            <w:tcBorders>
              <w:top w:val="single" w:sz="4" w:space="0" w:color="auto"/>
              <w:left w:val="single" w:sz="4" w:space="0" w:color="auto"/>
              <w:bottom w:val="single" w:sz="4" w:space="0" w:color="auto"/>
              <w:right w:val="single" w:sz="4" w:space="0" w:color="auto"/>
            </w:tcBorders>
            <w:shd w:val="clear" w:color="auto" w:fill="E5F1FF"/>
            <w:vAlign w:val="center"/>
            <w:hideMark/>
          </w:tcPr>
          <w:p w14:paraId="26601619" w14:textId="77777777" w:rsidR="00E4157F" w:rsidRPr="00E4157F" w:rsidRDefault="00E4157F" w:rsidP="005E5ACF">
            <w:pPr>
              <w:jc w:val="left"/>
              <w:rPr>
                <w:rFonts w:asciiTheme="minorHAnsi" w:hAnsiTheme="minorHAnsi" w:cstheme="minorHAnsi"/>
                <w:b/>
                <w:bCs/>
                <w:sz w:val="16"/>
                <w:szCs w:val="16"/>
              </w:rPr>
            </w:pPr>
          </w:p>
        </w:tc>
      </w:tr>
      <w:tr w:rsidR="00E4157F" w:rsidRPr="00E4157F" w14:paraId="2A023C9E" w14:textId="77777777" w:rsidTr="00685F35">
        <w:trPr>
          <w:trHeight w:hRule="exact" w:val="1268"/>
          <w:tblHeader/>
          <w:jc w:val="center"/>
        </w:trPr>
        <w:tc>
          <w:tcPr>
            <w:tcW w:w="1841" w:type="dxa"/>
            <w:vMerge/>
            <w:tcBorders>
              <w:top w:val="single" w:sz="4" w:space="0" w:color="auto"/>
              <w:left w:val="single" w:sz="4" w:space="0" w:color="auto"/>
              <w:bottom w:val="single" w:sz="4" w:space="0" w:color="auto"/>
              <w:right w:val="single" w:sz="4" w:space="0" w:color="auto"/>
            </w:tcBorders>
            <w:shd w:val="clear" w:color="auto" w:fill="E5F1FF"/>
            <w:vAlign w:val="center"/>
            <w:hideMark/>
          </w:tcPr>
          <w:p w14:paraId="624E6F37" w14:textId="77777777" w:rsidR="00E4157F" w:rsidRPr="00E4157F" w:rsidRDefault="00E4157F" w:rsidP="005E5ACF">
            <w:pPr>
              <w:jc w:val="left"/>
              <w:rPr>
                <w:rFonts w:asciiTheme="minorHAnsi" w:hAnsiTheme="minorHAnsi" w:cstheme="minorHAnsi"/>
                <w:b/>
                <w:bCs/>
                <w:sz w:val="16"/>
                <w:szCs w:val="16"/>
              </w:rPr>
            </w:pPr>
          </w:p>
        </w:tc>
        <w:tc>
          <w:tcPr>
            <w:tcW w:w="1147"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60D7DB3" w14:textId="77777777" w:rsidR="00E4157F" w:rsidRPr="00E4157F" w:rsidRDefault="00E4157F" w:rsidP="005E5ACF">
            <w:pPr>
              <w:jc w:val="center"/>
              <w:rPr>
                <w:rFonts w:asciiTheme="minorHAnsi" w:hAnsiTheme="minorHAnsi" w:cstheme="minorHAnsi"/>
                <w:b/>
                <w:bCs/>
                <w:sz w:val="16"/>
                <w:szCs w:val="16"/>
              </w:rPr>
            </w:pPr>
            <w:r w:rsidRPr="00E4157F">
              <w:rPr>
                <w:rFonts w:asciiTheme="minorHAnsi" w:hAnsiTheme="minorHAnsi" w:cstheme="minorHAnsi"/>
                <w:b/>
                <w:bCs/>
                <w:sz w:val="16"/>
                <w:szCs w:val="16"/>
              </w:rPr>
              <w:t>Předpokládaná cena (v Kč)</w:t>
            </w:r>
          </w:p>
        </w:tc>
        <w:tc>
          <w:tcPr>
            <w:tcW w:w="112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E9C2B5E" w14:textId="77777777" w:rsidR="00E4157F" w:rsidRPr="00E4157F" w:rsidRDefault="00E4157F" w:rsidP="005E5ACF">
            <w:pPr>
              <w:jc w:val="center"/>
              <w:rPr>
                <w:rFonts w:asciiTheme="minorHAnsi" w:hAnsiTheme="minorHAnsi" w:cstheme="minorHAnsi"/>
                <w:b/>
                <w:bCs/>
                <w:sz w:val="16"/>
                <w:szCs w:val="16"/>
              </w:rPr>
            </w:pPr>
            <w:r w:rsidRPr="00E4157F">
              <w:rPr>
                <w:rFonts w:asciiTheme="minorHAnsi" w:hAnsiTheme="minorHAnsi" w:cstheme="minorHAnsi"/>
                <w:b/>
                <w:bCs/>
                <w:sz w:val="16"/>
                <w:szCs w:val="16"/>
              </w:rPr>
              <w:t xml:space="preserve">Uzavřená smlouva </w:t>
            </w:r>
            <w:r w:rsidRPr="00E4157F">
              <w:rPr>
                <w:rFonts w:asciiTheme="minorHAnsi" w:hAnsiTheme="minorHAnsi" w:cstheme="minorHAnsi"/>
                <w:b/>
                <w:bCs/>
                <w:sz w:val="16"/>
                <w:szCs w:val="16"/>
              </w:rPr>
              <w:br/>
              <w:t>(v Kč)</w:t>
            </w:r>
          </w:p>
        </w:tc>
        <w:tc>
          <w:tcPr>
            <w:tcW w:w="1560"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4838B25A" w14:textId="77777777" w:rsidR="00E4157F" w:rsidRPr="00E4157F" w:rsidRDefault="00E4157F" w:rsidP="005E5ACF">
            <w:pPr>
              <w:jc w:val="center"/>
              <w:rPr>
                <w:rFonts w:asciiTheme="minorHAnsi" w:hAnsiTheme="minorHAnsi" w:cstheme="minorHAnsi"/>
                <w:b/>
                <w:bCs/>
                <w:sz w:val="16"/>
                <w:szCs w:val="16"/>
              </w:rPr>
            </w:pPr>
            <w:r w:rsidRPr="00E4157F">
              <w:rPr>
                <w:rFonts w:asciiTheme="minorHAnsi" w:hAnsiTheme="minorHAnsi" w:cstheme="minorHAnsi"/>
                <w:b/>
                <w:bCs/>
                <w:sz w:val="16"/>
                <w:szCs w:val="16"/>
              </w:rPr>
              <w:t>Rozdíl mezi předpokládanou hodnotou a</w:t>
            </w:r>
            <w:r w:rsidR="005E5ACF">
              <w:rPr>
                <w:rFonts w:asciiTheme="minorHAnsi" w:hAnsiTheme="minorHAnsi" w:cstheme="minorHAnsi"/>
                <w:b/>
                <w:bCs/>
                <w:sz w:val="16"/>
                <w:szCs w:val="16"/>
              </w:rPr>
              <w:t> </w:t>
            </w:r>
            <w:proofErr w:type="spellStart"/>
            <w:r w:rsidRPr="00E4157F">
              <w:rPr>
                <w:rFonts w:asciiTheme="minorHAnsi" w:hAnsiTheme="minorHAnsi" w:cstheme="minorHAnsi"/>
                <w:b/>
                <w:bCs/>
                <w:sz w:val="16"/>
                <w:szCs w:val="16"/>
              </w:rPr>
              <w:t>vysoutěženou</w:t>
            </w:r>
            <w:proofErr w:type="spellEnd"/>
            <w:r w:rsidRPr="00E4157F">
              <w:rPr>
                <w:rFonts w:asciiTheme="minorHAnsi" w:hAnsiTheme="minorHAnsi" w:cstheme="minorHAnsi"/>
                <w:b/>
                <w:bCs/>
                <w:sz w:val="16"/>
                <w:szCs w:val="16"/>
              </w:rPr>
              <w:t xml:space="preserve"> (smluvní) cenou</w:t>
            </w:r>
            <w:r w:rsidRPr="00E4157F">
              <w:rPr>
                <w:rFonts w:asciiTheme="minorHAnsi" w:hAnsiTheme="minorHAnsi" w:cstheme="minorHAnsi"/>
                <w:b/>
                <w:bCs/>
                <w:sz w:val="16"/>
                <w:szCs w:val="16"/>
              </w:rPr>
              <w:br/>
              <w:t>(v Kč/v %)</w:t>
            </w:r>
          </w:p>
        </w:tc>
        <w:tc>
          <w:tcPr>
            <w:tcW w:w="1275"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421F149E" w14:textId="77777777" w:rsidR="00E4157F" w:rsidRPr="00E4157F" w:rsidRDefault="00E4157F" w:rsidP="005E5ACF">
            <w:pPr>
              <w:jc w:val="center"/>
              <w:rPr>
                <w:rFonts w:asciiTheme="minorHAnsi" w:hAnsiTheme="minorHAnsi" w:cstheme="minorHAnsi"/>
                <w:b/>
                <w:bCs/>
                <w:sz w:val="16"/>
                <w:szCs w:val="16"/>
              </w:rPr>
            </w:pPr>
            <w:r w:rsidRPr="00E4157F">
              <w:rPr>
                <w:rFonts w:asciiTheme="minorHAnsi" w:hAnsiTheme="minorHAnsi" w:cstheme="minorHAnsi"/>
                <w:b/>
                <w:bCs/>
                <w:sz w:val="16"/>
                <w:szCs w:val="16"/>
              </w:rPr>
              <w:t>Předpokládaná cena (v Kč)</w:t>
            </w:r>
          </w:p>
        </w:tc>
        <w:tc>
          <w:tcPr>
            <w:tcW w:w="1276"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3D66B6C8" w14:textId="77777777" w:rsidR="00E4157F" w:rsidRPr="00E4157F" w:rsidRDefault="00E4157F" w:rsidP="005E5ACF">
            <w:pPr>
              <w:jc w:val="center"/>
              <w:rPr>
                <w:rFonts w:asciiTheme="minorHAnsi" w:hAnsiTheme="minorHAnsi" w:cstheme="minorHAnsi"/>
                <w:b/>
                <w:bCs/>
                <w:sz w:val="16"/>
                <w:szCs w:val="16"/>
              </w:rPr>
            </w:pPr>
            <w:r w:rsidRPr="00E4157F">
              <w:rPr>
                <w:rFonts w:asciiTheme="minorHAnsi" w:hAnsiTheme="minorHAnsi" w:cstheme="minorHAnsi"/>
                <w:b/>
                <w:bCs/>
                <w:sz w:val="16"/>
                <w:szCs w:val="16"/>
              </w:rPr>
              <w:t xml:space="preserve">Uzavřená smlouva </w:t>
            </w:r>
            <w:r w:rsidRPr="00E4157F">
              <w:rPr>
                <w:rFonts w:asciiTheme="minorHAnsi" w:hAnsiTheme="minorHAnsi" w:cstheme="minorHAnsi"/>
                <w:b/>
                <w:bCs/>
                <w:sz w:val="16"/>
                <w:szCs w:val="16"/>
              </w:rPr>
              <w:br/>
              <w:t>(v Kč)</w:t>
            </w:r>
          </w:p>
        </w:tc>
        <w:tc>
          <w:tcPr>
            <w:tcW w:w="1559"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87EF824" w14:textId="77777777" w:rsidR="00E4157F" w:rsidRPr="00E4157F" w:rsidRDefault="00E4157F" w:rsidP="005E5ACF">
            <w:pPr>
              <w:jc w:val="center"/>
              <w:rPr>
                <w:rFonts w:asciiTheme="minorHAnsi" w:hAnsiTheme="minorHAnsi" w:cstheme="minorHAnsi"/>
                <w:b/>
                <w:bCs/>
                <w:sz w:val="16"/>
                <w:szCs w:val="16"/>
              </w:rPr>
            </w:pPr>
            <w:r w:rsidRPr="00E4157F">
              <w:rPr>
                <w:rFonts w:asciiTheme="minorHAnsi" w:hAnsiTheme="minorHAnsi" w:cstheme="minorHAnsi"/>
                <w:b/>
                <w:bCs/>
                <w:sz w:val="16"/>
                <w:szCs w:val="16"/>
              </w:rPr>
              <w:t>Rozdíl mezi předpokládanou hodnotou a</w:t>
            </w:r>
            <w:r w:rsidR="005E5ACF">
              <w:rPr>
                <w:rFonts w:asciiTheme="minorHAnsi" w:hAnsiTheme="minorHAnsi" w:cstheme="minorHAnsi"/>
                <w:b/>
                <w:bCs/>
                <w:sz w:val="16"/>
                <w:szCs w:val="16"/>
              </w:rPr>
              <w:t> </w:t>
            </w:r>
            <w:proofErr w:type="spellStart"/>
            <w:r w:rsidRPr="00E4157F">
              <w:rPr>
                <w:rFonts w:asciiTheme="minorHAnsi" w:hAnsiTheme="minorHAnsi" w:cstheme="minorHAnsi"/>
                <w:b/>
                <w:bCs/>
                <w:sz w:val="16"/>
                <w:szCs w:val="16"/>
              </w:rPr>
              <w:t>vysoutěženou</w:t>
            </w:r>
            <w:proofErr w:type="spellEnd"/>
            <w:r w:rsidRPr="00E4157F">
              <w:rPr>
                <w:rFonts w:asciiTheme="minorHAnsi" w:hAnsiTheme="minorHAnsi" w:cstheme="minorHAnsi"/>
                <w:b/>
                <w:bCs/>
                <w:sz w:val="16"/>
                <w:szCs w:val="16"/>
              </w:rPr>
              <w:t xml:space="preserve"> (smluvní) cenou</w:t>
            </w:r>
            <w:r w:rsidRPr="00E4157F">
              <w:rPr>
                <w:rFonts w:asciiTheme="minorHAnsi" w:hAnsiTheme="minorHAnsi" w:cstheme="minorHAnsi"/>
                <w:b/>
                <w:bCs/>
                <w:sz w:val="16"/>
                <w:szCs w:val="16"/>
              </w:rPr>
              <w:br/>
              <w:t>(v Kč/v %)</w:t>
            </w:r>
          </w:p>
        </w:tc>
      </w:tr>
      <w:tr w:rsidR="00E4157F" w:rsidRPr="00E4157F" w14:paraId="183362EC" w14:textId="77777777" w:rsidTr="00685F35">
        <w:trPr>
          <w:trHeight w:val="312"/>
          <w:jc w:val="center"/>
        </w:trPr>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32DC5470" w14:textId="6CCF0F33" w:rsidR="00E4157F" w:rsidRPr="00E4157F" w:rsidRDefault="00E4157F" w:rsidP="00C65E95">
            <w:pPr>
              <w:jc w:val="left"/>
              <w:rPr>
                <w:rFonts w:asciiTheme="minorHAnsi" w:hAnsiTheme="minorHAnsi" w:cstheme="minorHAnsi"/>
                <w:sz w:val="16"/>
                <w:szCs w:val="16"/>
              </w:rPr>
            </w:pPr>
            <w:r w:rsidRPr="00E4157F">
              <w:rPr>
                <w:rFonts w:asciiTheme="minorHAnsi" w:hAnsiTheme="minorHAnsi" w:cstheme="minorHAnsi"/>
                <w:sz w:val="16"/>
                <w:szCs w:val="16"/>
              </w:rPr>
              <w:t>Rekonstrukce v</w:t>
            </w:r>
            <w:r w:rsidR="00685F35">
              <w:rPr>
                <w:rFonts w:asciiTheme="minorHAnsi" w:hAnsiTheme="minorHAnsi" w:cstheme="minorHAnsi"/>
                <w:sz w:val="16"/>
                <w:szCs w:val="16"/>
              </w:rPr>
              <w:t xml:space="preserve">ýpravní budovy </w:t>
            </w:r>
            <w:proofErr w:type="spellStart"/>
            <w:r w:rsidR="00685F35">
              <w:rPr>
                <w:rFonts w:asciiTheme="minorHAnsi" w:hAnsiTheme="minorHAnsi" w:cstheme="minorHAnsi"/>
                <w:sz w:val="16"/>
                <w:szCs w:val="16"/>
              </w:rPr>
              <w:t>žst</w:t>
            </w:r>
            <w:proofErr w:type="spellEnd"/>
            <w:r w:rsidR="00685F35">
              <w:rPr>
                <w:rFonts w:asciiTheme="minorHAnsi" w:hAnsiTheme="minorHAnsi" w:cstheme="minorHAnsi"/>
                <w:sz w:val="16"/>
                <w:szCs w:val="16"/>
              </w:rPr>
              <w:t xml:space="preserve">. Turnov </w:t>
            </w:r>
            <w:r w:rsidR="00C65E95">
              <w:rPr>
                <w:rFonts w:asciiTheme="minorHAnsi" w:hAnsiTheme="minorHAnsi" w:cstheme="minorHAnsi"/>
                <w:sz w:val="16"/>
                <w:szCs w:val="16"/>
              </w:rPr>
              <w:t>–</w:t>
            </w:r>
            <w:r w:rsidR="00685F35">
              <w:rPr>
                <w:rFonts w:asciiTheme="minorHAnsi" w:hAnsiTheme="minorHAnsi" w:cstheme="minorHAnsi"/>
                <w:sz w:val="16"/>
                <w:szCs w:val="16"/>
              </w:rPr>
              <w:t xml:space="preserve"> 2. </w:t>
            </w:r>
            <w:r w:rsidRPr="00E4157F">
              <w:rPr>
                <w:rFonts w:asciiTheme="minorHAnsi" w:hAnsiTheme="minorHAnsi" w:cstheme="minorHAnsi"/>
                <w:sz w:val="16"/>
                <w:szCs w:val="16"/>
              </w:rPr>
              <w:t>etapa</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9A01AC3"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59 000,00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E2F8F05"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59 000,00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8E870A"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3DF4466"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24 050 000,00</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74FFEFB"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29 987 366,05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2F5BBD3"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5 937 366,05/24,69</w:t>
            </w:r>
          </w:p>
        </w:tc>
      </w:tr>
      <w:tr w:rsidR="00E4157F" w:rsidRPr="00E4157F" w14:paraId="62A2D2E3" w14:textId="77777777" w:rsidTr="00685F35">
        <w:trPr>
          <w:trHeight w:hRule="exact" w:val="284"/>
          <w:jc w:val="center"/>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0666C657" w14:textId="77777777" w:rsidR="00E4157F" w:rsidRPr="00E4157F" w:rsidRDefault="00E4157F" w:rsidP="00E4157F">
            <w:pPr>
              <w:jc w:val="left"/>
              <w:rPr>
                <w:rFonts w:asciiTheme="minorHAnsi" w:hAnsiTheme="minorHAnsi" w:cstheme="minorHAnsi"/>
                <w:sz w:val="16"/>
                <w:szCs w:val="16"/>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2FD39979"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199 000,00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3B394B1"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199 000,00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5C2D0E"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395B5D" w14:textId="77777777" w:rsidR="00E4157F" w:rsidRPr="00E4157F" w:rsidRDefault="00E4157F" w:rsidP="005E5ACF">
            <w:pPr>
              <w:ind w:right="65"/>
              <w:jc w:val="left"/>
              <w:rPr>
                <w:rFonts w:asciiTheme="minorHAnsi" w:hAnsiTheme="minorHAnsi" w:cstheme="minorHAnsi"/>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72BA35" w14:textId="77777777" w:rsidR="00E4157F" w:rsidRPr="00E4157F" w:rsidRDefault="00E4157F" w:rsidP="00E4157F">
            <w:pPr>
              <w:jc w:val="left"/>
              <w:rPr>
                <w:rFonts w:asciiTheme="minorHAnsi" w:hAnsiTheme="minorHAnsi" w:cstheme="minorHAnsi"/>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D5E384E" w14:textId="77777777" w:rsidR="00E4157F" w:rsidRPr="00E4157F" w:rsidRDefault="00E4157F" w:rsidP="00E4157F">
            <w:pPr>
              <w:jc w:val="left"/>
              <w:rPr>
                <w:rFonts w:asciiTheme="minorHAnsi" w:hAnsiTheme="minorHAnsi" w:cstheme="minorHAnsi"/>
                <w:sz w:val="16"/>
                <w:szCs w:val="16"/>
              </w:rPr>
            </w:pPr>
          </w:p>
        </w:tc>
      </w:tr>
      <w:tr w:rsidR="00E4157F" w:rsidRPr="00E4157F" w14:paraId="6C7BAFE6"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1B814468" w14:textId="5E87048C" w:rsidR="00E4157F" w:rsidRPr="00E4157F" w:rsidRDefault="00E4157F" w:rsidP="00C65E95">
            <w:pPr>
              <w:jc w:val="left"/>
              <w:rPr>
                <w:rFonts w:asciiTheme="minorHAnsi" w:hAnsiTheme="minorHAnsi" w:cstheme="minorHAnsi"/>
                <w:sz w:val="16"/>
                <w:szCs w:val="16"/>
              </w:rPr>
            </w:pPr>
            <w:r w:rsidRPr="00E4157F">
              <w:rPr>
                <w:rFonts w:asciiTheme="minorHAnsi" w:hAnsiTheme="minorHAnsi" w:cstheme="minorHAnsi"/>
                <w:sz w:val="16"/>
                <w:szCs w:val="16"/>
              </w:rPr>
              <w:t xml:space="preserve">Nový Bydžov ON </w:t>
            </w:r>
            <w:r w:rsidR="00C65E95">
              <w:rPr>
                <w:rFonts w:asciiTheme="minorHAnsi" w:hAnsiTheme="minorHAnsi" w:cstheme="minorHAnsi"/>
                <w:sz w:val="16"/>
                <w:szCs w:val="16"/>
              </w:rPr>
              <w:t>–</w:t>
            </w:r>
            <w:r w:rsidRPr="00E4157F">
              <w:rPr>
                <w:rFonts w:asciiTheme="minorHAnsi" w:hAnsiTheme="minorHAnsi" w:cstheme="minorHAnsi"/>
                <w:sz w:val="16"/>
                <w:szCs w:val="16"/>
              </w:rPr>
              <w:t xml:space="preserve"> SA oprava a rekonstrukce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929F983"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1 300 000,00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A55E51D"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995 000,00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437128" w14:textId="7CC653C9"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-305 000,00/-23,46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5913C0"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27 291 818,44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578F47"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27 250 000,00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209187"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- 41 818,44/-0,15</w:t>
            </w:r>
          </w:p>
        </w:tc>
      </w:tr>
      <w:tr w:rsidR="00E4157F" w:rsidRPr="00E4157F" w14:paraId="69B00E59"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6017EBCF" w14:textId="5F89398F" w:rsidR="00E4157F" w:rsidRPr="00E4157F" w:rsidRDefault="00E4157F" w:rsidP="00C65E95">
            <w:pPr>
              <w:jc w:val="left"/>
              <w:rPr>
                <w:rFonts w:asciiTheme="minorHAnsi" w:hAnsiTheme="minorHAnsi" w:cstheme="minorHAnsi"/>
                <w:sz w:val="16"/>
                <w:szCs w:val="16"/>
              </w:rPr>
            </w:pPr>
            <w:r w:rsidRPr="00E4157F">
              <w:rPr>
                <w:rFonts w:asciiTheme="minorHAnsi" w:hAnsiTheme="minorHAnsi" w:cstheme="minorHAnsi"/>
                <w:sz w:val="16"/>
                <w:szCs w:val="16"/>
              </w:rPr>
              <w:t xml:space="preserve">Doudleby nad Orlicí ON </w:t>
            </w:r>
            <w:r w:rsidR="00C65E95">
              <w:rPr>
                <w:rFonts w:asciiTheme="minorHAnsi" w:hAnsiTheme="minorHAnsi" w:cstheme="minorHAnsi"/>
                <w:sz w:val="16"/>
                <w:szCs w:val="16"/>
              </w:rPr>
              <w:t>–</w:t>
            </w:r>
            <w:r w:rsidRPr="00E4157F">
              <w:rPr>
                <w:rFonts w:asciiTheme="minorHAnsi" w:hAnsiTheme="minorHAnsi" w:cstheme="minorHAnsi"/>
                <w:sz w:val="16"/>
                <w:szCs w:val="16"/>
              </w:rPr>
              <w:t xml:space="preserve"> SA oprava a rekonstrukce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0BE5BB7"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600 000,00</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1D12417"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610 000,00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62716D"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10 000,00/1,67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A6522A"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13 132 553,62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AB00EE"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15 949 021,20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4F850D"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2 816 467,58/21,45</w:t>
            </w:r>
          </w:p>
        </w:tc>
      </w:tr>
      <w:tr w:rsidR="00E4157F" w:rsidRPr="00E4157F" w14:paraId="526B0CEB"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2223693D" w14:textId="2E720063" w:rsidR="00E4157F" w:rsidRPr="00E4157F" w:rsidRDefault="00E4157F" w:rsidP="00C65E95">
            <w:pPr>
              <w:jc w:val="left"/>
              <w:rPr>
                <w:rFonts w:asciiTheme="minorHAnsi" w:hAnsiTheme="minorHAnsi" w:cstheme="minorHAnsi"/>
                <w:sz w:val="16"/>
                <w:szCs w:val="16"/>
              </w:rPr>
            </w:pPr>
            <w:r w:rsidRPr="00E4157F">
              <w:rPr>
                <w:rFonts w:asciiTheme="minorHAnsi" w:hAnsiTheme="minorHAnsi" w:cstheme="minorHAnsi"/>
                <w:sz w:val="16"/>
                <w:szCs w:val="16"/>
              </w:rPr>
              <w:t xml:space="preserve">Semily ON </w:t>
            </w:r>
            <w:r w:rsidR="00C65E95">
              <w:rPr>
                <w:rFonts w:asciiTheme="minorHAnsi" w:hAnsiTheme="minorHAnsi" w:cstheme="minorHAnsi"/>
                <w:sz w:val="16"/>
                <w:szCs w:val="16"/>
              </w:rPr>
              <w:t>–</w:t>
            </w:r>
            <w:r w:rsidRPr="00E4157F">
              <w:rPr>
                <w:rFonts w:asciiTheme="minorHAnsi" w:hAnsiTheme="minorHAnsi" w:cstheme="minorHAnsi"/>
                <w:sz w:val="16"/>
                <w:szCs w:val="16"/>
              </w:rPr>
              <w:t xml:space="preserve"> rekonstrukce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3891B22"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950 000,00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DE2B63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890 000,00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76995A" w14:textId="66859CD8"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-60 000,00/-6,32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E6054F"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29 943 722,10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668C08"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29 312 825,16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16CAB3" w14:textId="2EDF043B"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-630 896,94/-2,11</w:t>
            </w:r>
          </w:p>
        </w:tc>
      </w:tr>
      <w:tr w:rsidR="00E4157F" w:rsidRPr="00E4157F" w14:paraId="6255C418"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6FDB6FAE"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Rekonstrukce výpravní budovy v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Beroun</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0585E05"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9 000 000,00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91BD0BD"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8 545 200,00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23C437" w14:textId="3CB20547"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-454 800,00/-5,05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2B5EDA" w14:textId="77777777" w:rsidR="00E4157F" w:rsidRPr="00E4157F" w:rsidRDefault="00E4157F" w:rsidP="005E5ACF">
            <w:pPr>
              <w:jc w:val="right"/>
              <w:rPr>
                <w:rFonts w:asciiTheme="minorHAnsi" w:hAnsiTheme="minorHAnsi" w:cstheme="minorHAnsi"/>
                <w:sz w:val="16"/>
                <w:szCs w:val="16"/>
              </w:rPr>
            </w:pPr>
            <w:r w:rsidRPr="00E4157F">
              <w:rPr>
                <w:rFonts w:asciiTheme="minorHAnsi" w:hAnsiTheme="minorHAnsi" w:cstheme="minorHAnsi"/>
                <w:sz w:val="16"/>
                <w:szCs w:val="16"/>
              </w:rPr>
              <w:t>228 000 000,00</w:t>
            </w:r>
            <w:r w:rsidRPr="00E4157F">
              <w:rPr>
                <w:rFonts w:asciiTheme="minorHAnsi" w:hAnsiTheme="minorHAnsi" w:cstheme="minorHAnsi"/>
                <w:sz w:val="16"/>
                <w:szCs w:val="16"/>
                <w:vertAlign w:val="superscript"/>
              </w:rPr>
              <w:footnoteReference w:id="12"/>
            </w:r>
          </w:p>
        </w:tc>
        <w:tc>
          <w:tcPr>
            <w:tcW w:w="1276" w:type="dxa"/>
            <w:tcBorders>
              <w:top w:val="single" w:sz="4" w:space="0" w:color="auto"/>
              <w:left w:val="single" w:sz="4" w:space="0" w:color="auto"/>
              <w:bottom w:val="single" w:sz="4" w:space="0" w:color="auto"/>
              <w:right w:val="single" w:sz="4" w:space="0" w:color="auto"/>
            </w:tcBorders>
            <w:vAlign w:val="center"/>
            <w:hideMark/>
          </w:tcPr>
          <w:p w14:paraId="58E2A830"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5B0ED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r>
      <w:tr w:rsidR="00E4157F" w:rsidRPr="00E4157F" w14:paraId="24ADC64C"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0F50B313"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Přestupní terminál Strakonice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5F29807"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2 600 000,00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6BEF9E4"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2 417 800,00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858641" w14:textId="14815754"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-182 200,00/-7,01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7C5110"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40 854 569,00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3ED0C5"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40 002 229,55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DBD600" w14:textId="40FFDF86"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-852 339,45/-2,09</w:t>
            </w:r>
          </w:p>
        </w:tc>
      </w:tr>
      <w:tr w:rsidR="00E4157F" w:rsidRPr="00E4157F" w14:paraId="1625A1F6" w14:textId="77777777" w:rsidTr="00685F35">
        <w:trPr>
          <w:trHeight w:hRule="exact" w:val="624"/>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399D14AC" w14:textId="332EDF63" w:rsidR="00E4157F" w:rsidRPr="00E4157F" w:rsidRDefault="00E4157F" w:rsidP="00C65E95">
            <w:pPr>
              <w:jc w:val="left"/>
              <w:rPr>
                <w:rFonts w:asciiTheme="minorHAnsi" w:hAnsiTheme="minorHAnsi" w:cstheme="minorHAnsi"/>
                <w:sz w:val="16"/>
                <w:szCs w:val="16"/>
              </w:rPr>
            </w:pPr>
            <w:r w:rsidRPr="00E4157F">
              <w:rPr>
                <w:rFonts w:asciiTheme="minorHAnsi" w:hAnsiTheme="minorHAnsi" w:cstheme="minorHAnsi"/>
                <w:sz w:val="16"/>
                <w:szCs w:val="16"/>
              </w:rPr>
              <w:t xml:space="preserve">Litoměřice </w:t>
            </w:r>
            <w:r w:rsidR="00C65E95">
              <w:rPr>
                <w:rFonts w:asciiTheme="minorHAnsi" w:hAnsiTheme="minorHAnsi" w:cstheme="minorHAnsi"/>
                <w:sz w:val="16"/>
                <w:szCs w:val="16"/>
              </w:rPr>
              <w:t>–</w:t>
            </w:r>
            <w:r w:rsidRPr="00E4157F">
              <w:rPr>
                <w:rFonts w:asciiTheme="minorHAnsi" w:hAnsiTheme="minorHAnsi" w:cstheme="minorHAnsi"/>
                <w:sz w:val="16"/>
                <w:szCs w:val="16"/>
              </w:rPr>
              <w:t xml:space="preserve"> horní nádraží, opravy výpravní budovy</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A2ED3C3"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7ED268"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5AAF35"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004C68"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14 074 548,96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802EE9"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9 870 251,50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9487AD" w14:textId="283CAC49"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-4 204 297,46/-29,87</w:t>
            </w:r>
          </w:p>
        </w:tc>
      </w:tr>
      <w:tr w:rsidR="00E4157F" w:rsidRPr="00E4157F" w14:paraId="4A0EC0C9"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3CC310FE"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Rekonstrukce VB Sokolov (INVESTICE)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26FA3B6"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177 000,00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FE842E0"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177 000,00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5A6955"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87D98A"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 xml:space="preserve"> 25 411 269,00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B1601E"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23 896 999,00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C148B3" w14:textId="3AAA45C3"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-1 514 270,00/-5,96</w:t>
            </w:r>
          </w:p>
        </w:tc>
      </w:tr>
      <w:tr w:rsidR="00E4157F" w:rsidRPr="00E4157F" w14:paraId="43743601" w14:textId="77777777" w:rsidTr="00685F35">
        <w:trPr>
          <w:trHeight w:hRule="exact" w:val="624"/>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3306BCFB"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 xml:space="preserve">Rekonstrukce výpravní budovy v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Lipník nad Bečvou</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48CBA7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5DADD98"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73F30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40039B"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14 093 282,65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D708A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14 892 620,08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74DDF7"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799 337,43/5,67</w:t>
            </w:r>
          </w:p>
        </w:tc>
      </w:tr>
      <w:tr w:rsidR="00E4157F" w:rsidRPr="00E4157F" w14:paraId="0C25209A"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5C48A612"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 xml:space="preserve">Rekonstrukce výpravní budovy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Přerov</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A17D4FB"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F529639"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59D7E9"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BCB8E6"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13 944 374,58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0E0C53"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13 926 836,24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FB8B8B" w14:textId="31430A21"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-17 538,34/-0,13</w:t>
            </w:r>
          </w:p>
        </w:tc>
      </w:tr>
      <w:tr w:rsidR="00E4157F" w:rsidRPr="00E4157F" w14:paraId="6EE51DBF" w14:textId="77777777" w:rsidTr="00685F35">
        <w:trPr>
          <w:trHeight w:hRule="exact" w:val="624"/>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076063E7"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Rekonstrukce výpr</w:t>
            </w:r>
            <w:r w:rsidR="00685F35">
              <w:rPr>
                <w:rFonts w:asciiTheme="minorHAnsi" w:hAnsiTheme="minorHAnsi" w:cstheme="minorHAnsi"/>
                <w:sz w:val="16"/>
                <w:szCs w:val="16"/>
              </w:rPr>
              <w:t>avní budovy v </w:t>
            </w:r>
            <w:proofErr w:type="spellStart"/>
            <w:r w:rsidR="00685F35">
              <w:rPr>
                <w:rFonts w:asciiTheme="minorHAnsi" w:hAnsiTheme="minorHAnsi" w:cstheme="minorHAnsi"/>
                <w:sz w:val="16"/>
                <w:szCs w:val="16"/>
              </w:rPr>
              <w:t>žst</w:t>
            </w:r>
            <w:proofErr w:type="spellEnd"/>
            <w:r w:rsidR="00685F35">
              <w:rPr>
                <w:rFonts w:asciiTheme="minorHAnsi" w:hAnsiTheme="minorHAnsi" w:cstheme="minorHAnsi"/>
                <w:sz w:val="16"/>
                <w:szCs w:val="16"/>
              </w:rPr>
              <w:t>. Břeclav – 2. </w:t>
            </w:r>
            <w:r w:rsidRPr="00E4157F">
              <w:rPr>
                <w:rFonts w:asciiTheme="minorHAnsi" w:hAnsiTheme="minorHAnsi" w:cstheme="minorHAnsi"/>
                <w:sz w:val="16"/>
                <w:szCs w:val="16"/>
              </w:rPr>
              <w:t>etapa</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7E551FD"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2 073 072,00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3870BC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1 990 000,00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DCE72D" w14:textId="73E867FB"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-83 072,00/-4,01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9DA786"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72 330 000,00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30BB62"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56 880 000,00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919A9B" w14:textId="35E9F9C7" w:rsidR="00E4157F" w:rsidRPr="00E4157F" w:rsidRDefault="00E4157F" w:rsidP="00AB0AA5">
            <w:pPr>
              <w:ind w:left="-80"/>
              <w:jc w:val="right"/>
              <w:rPr>
                <w:rFonts w:asciiTheme="minorHAnsi" w:hAnsiTheme="minorHAnsi" w:cstheme="minorHAnsi"/>
                <w:sz w:val="16"/>
                <w:szCs w:val="16"/>
              </w:rPr>
            </w:pPr>
            <w:r w:rsidRPr="00E4157F">
              <w:rPr>
                <w:rFonts w:asciiTheme="minorHAnsi" w:hAnsiTheme="minorHAnsi" w:cstheme="minorHAnsi"/>
                <w:sz w:val="16"/>
                <w:szCs w:val="16"/>
              </w:rPr>
              <w:t>-15 450 000,00/-21,36</w:t>
            </w:r>
          </w:p>
        </w:tc>
      </w:tr>
      <w:tr w:rsidR="00E4157F" w:rsidRPr="00E4157F" w14:paraId="1061630C" w14:textId="77777777" w:rsidTr="00685F35">
        <w:trPr>
          <w:trHeight w:hRule="exact" w:val="624"/>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66B328BD"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Rekonstrukce výpravní budovy v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Frenštát pod Radhoštěm</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22EBA59"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x</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5AF9A15"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x</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B708D9"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DB48EC"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24 881 160,00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894248"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27 348 016,19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C06EA4"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2 466 856,19/9,91</w:t>
            </w:r>
          </w:p>
        </w:tc>
      </w:tr>
      <w:tr w:rsidR="00E4157F" w:rsidRPr="00E4157F" w14:paraId="65715C02" w14:textId="77777777" w:rsidTr="00685F35">
        <w:trPr>
          <w:trHeight w:hRule="exact" w:val="624"/>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03217232"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Rekonstrukce výpravní budovy v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Hrušovany nad Jevišovkou</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526896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1 933 000,00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27333AE"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1 690 000,00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926836" w14:textId="6C2008DA"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-243 000,00/-12,57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B4BCD3"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30 818 507,00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BCE95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33 563 370,36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5127D2"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2 744 863,36/8,91</w:t>
            </w:r>
          </w:p>
        </w:tc>
      </w:tr>
      <w:tr w:rsidR="00E4157F" w:rsidRPr="00E4157F" w14:paraId="5CA545A1" w14:textId="77777777" w:rsidTr="00685F35">
        <w:trPr>
          <w:trHeight w:hRule="exact" w:val="624"/>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48E3A5D2" w14:textId="77777777" w:rsidR="00E4157F" w:rsidRPr="00E4157F" w:rsidRDefault="00685F35" w:rsidP="00E4157F">
            <w:pPr>
              <w:jc w:val="left"/>
              <w:rPr>
                <w:rFonts w:asciiTheme="minorHAnsi" w:hAnsiTheme="minorHAnsi" w:cstheme="minorHAnsi"/>
                <w:sz w:val="16"/>
                <w:szCs w:val="16"/>
              </w:rPr>
            </w:pPr>
            <w:r>
              <w:rPr>
                <w:rFonts w:asciiTheme="minorHAnsi" w:hAnsiTheme="minorHAnsi" w:cstheme="minorHAnsi"/>
                <w:sz w:val="16"/>
                <w:szCs w:val="16"/>
              </w:rPr>
              <w:t>Rekonstrukce a </w:t>
            </w:r>
            <w:r w:rsidR="00E4157F" w:rsidRPr="00E4157F">
              <w:rPr>
                <w:rFonts w:asciiTheme="minorHAnsi" w:hAnsiTheme="minorHAnsi" w:cstheme="minorHAnsi"/>
                <w:sz w:val="16"/>
                <w:szCs w:val="16"/>
              </w:rPr>
              <w:t xml:space="preserve">optimalizace budovy </w:t>
            </w:r>
            <w:proofErr w:type="spellStart"/>
            <w:r w:rsidR="00E4157F" w:rsidRPr="00E4157F">
              <w:rPr>
                <w:rFonts w:asciiTheme="minorHAnsi" w:hAnsiTheme="minorHAnsi" w:cstheme="minorHAnsi"/>
                <w:sz w:val="16"/>
                <w:szCs w:val="16"/>
              </w:rPr>
              <w:t>žst</w:t>
            </w:r>
            <w:proofErr w:type="spellEnd"/>
            <w:r w:rsidR="00E4157F" w:rsidRPr="00E4157F">
              <w:rPr>
                <w:rFonts w:asciiTheme="minorHAnsi" w:hAnsiTheme="minorHAnsi" w:cstheme="minorHAnsi"/>
                <w:sz w:val="16"/>
                <w:szCs w:val="16"/>
              </w:rPr>
              <w:t>. Křižanov</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05D551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2 634 000,00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796FB9E"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2 449 926,00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3FE48A" w14:textId="240090ED"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-184 074,00/-6,99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2F83FD"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42 984 910,00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E72C26"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42 429 999,49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559DC" w14:textId="44C4A625"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-554 910,51/-1,29</w:t>
            </w:r>
          </w:p>
        </w:tc>
      </w:tr>
      <w:tr w:rsidR="00E4157F" w:rsidRPr="00E4157F" w14:paraId="56E981C4"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4B6D233B"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Rekonstrukce výpravní budovy v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Šternberk</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4ED5DE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1 468 030,00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13968F4"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1 880 000,00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7C04E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411 970,00/28,06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D5B8FC"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29 504 298,00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2680EE"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28 220 000,00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2CD4B8" w14:textId="4726AF4F"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-1 284 298,00/-4,35</w:t>
            </w:r>
          </w:p>
        </w:tc>
      </w:tr>
      <w:tr w:rsidR="00E4157F" w:rsidRPr="00E4157F" w14:paraId="21CE44AB"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57241DC2"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Rekonstrukce výpravní budovy v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Třebíč</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F96885A"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1 732 000,00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CF9953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1 924 000,00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DF86B3"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192 000,00/11,09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3F61C3"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963C6B"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98D91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r>
      <w:tr w:rsidR="00E4157F" w:rsidRPr="00E4157F" w14:paraId="062D65E2"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012D15C3"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Rekonstrukce výpravní budovy v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Havířov</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9A891D0"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4 478 848,00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2EEA658"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3 975 000,00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702B60" w14:textId="322049AF"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-503 848,00/-11,25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3CDE90"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115 782 973,00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33083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137 364 467,86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CFE268"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21 581 494,86/18,64</w:t>
            </w:r>
          </w:p>
        </w:tc>
      </w:tr>
      <w:tr w:rsidR="00E4157F" w:rsidRPr="00E4157F" w14:paraId="70FB4BDA"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16AA4820" w14:textId="77777777" w:rsidR="00E4157F" w:rsidRPr="00E4157F" w:rsidRDefault="00E4157F" w:rsidP="00E4157F">
            <w:pPr>
              <w:jc w:val="left"/>
              <w:rPr>
                <w:rFonts w:asciiTheme="minorHAnsi" w:hAnsiTheme="minorHAnsi" w:cstheme="minorHAnsi"/>
                <w:sz w:val="16"/>
                <w:szCs w:val="16"/>
              </w:rPr>
            </w:pPr>
            <w:r w:rsidRPr="00E4157F">
              <w:rPr>
                <w:rFonts w:asciiTheme="minorHAnsi" w:hAnsiTheme="minorHAnsi" w:cstheme="minorHAnsi"/>
                <w:sz w:val="16"/>
                <w:szCs w:val="16"/>
              </w:rPr>
              <w:t xml:space="preserve">Rekonstrukce výpravní budovy v </w:t>
            </w: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Hanušovice</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D9DAFD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1 997 564,00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570B2F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1 690 000,00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8F5780" w14:textId="1BB78C34"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 xml:space="preserve">-307 564,00/-15,40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1C76D6"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39 755 088,00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079F19"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43 379 742,83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6F5421"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3 624 654,83/9,12</w:t>
            </w:r>
          </w:p>
        </w:tc>
      </w:tr>
      <w:tr w:rsidR="00E4157F" w:rsidRPr="00E4157F" w14:paraId="3653701A"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7399F08A" w14:textId="6B8A6142" w:rsidR="00E4157F" w:rsidRPr="00E4157F" w:rsidRDefault="00E4157F" w:rsidP="00C65E95">
            <w:pPr>
              <w:jc w:val="left"/>
              <w:rPr>
                <w:rFonts w:asciiTheme="minorHAnsi" w:hAnsiTheme="minorHAnsi" w:cstheme="minorHAnsi"/>
                <w:sz w:val="16"/>
                <w:szCs w:val="16"/>
              </w:rPr>
            </w:pPr>
            <w:r w:rsidRPr="00E4157F">
              <w:rPr>
                <w:rFonts w:asciiTheme="minorHAnsi" w:hAnsiTheme="minorHAnsi" w:cstheme="minorHAnsi"/>
                <w:sz w:val="16"/>
                <w:szCs w:val="16"/>
              </w:rPr>
              <w:t xml:space="preserve">Modernizace ŽST Karlovy Vary </w:t>
            </w:r>
            <w:r w:rsidR="00C65E95">
              <w:rPr>
                <w:rFonts w:asciiTheme="minorHAnsi" w:hAnsiTheme="minorHAnsi" w:cstheme="minorHAnsi"/>
                <w:sz w:val="16"/>
                <w:szCs w:val="16"/>
              </w:rPr>
              <w:t>–</w:t>
            </w:r>
            <w:r w:rsidRPr="00E4157F">
              <w:rPr>
                <w:rFonts w:asciiTheme="minorHAnsi" w:hAnsiTheme="minorHAnsi" w:cstheme="minorHAnsi"/>
                <w:sz w:val="16"/>
                <w:szCs w:val="16"/>
              </w:rPr>
              <w:t xml:space="preserve"> výpravní budova</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3ADD232"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E65AFF0"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1 918 000,00</w:t>
            </w:r>
            <w:r w:rsidRPr="00E4157F">
              <w:rPr>
                <w:rFonts w:asciiTheme="minorHAnsi" w:hAnsiTheme="minorHAnsi" w:cstheme="minorHAnsi"/>
                <w:sz w:val="16"/>
                <w:szCs w:val="16"/>
                <w:vertAlign w:val="superscript"/>
              </w:rPr>
              <w:footnoteReference w:id="13"/>
            </w:r>
            <w:r w:rsidRPr="00E4157F">
              <w:rPr>
                <w:rFonts w:asciiTheme="minorHAnsi" w:hAnsiTheme="minorHAnsi" w:cstheme="minorHAnsi"/>
                <w:sz w:val="16"/>
                <w:szCs w:val="16"/>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1B7A0E"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264C45"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65 467 000,00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48BD18"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75 832 892,00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8B2D3E"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10 365 892,00/15,83</w:t>
            </w:r>
          </w:p>
        </w:tc>
      </w:tr>
      <w:tr w:rsidR="00E4157F" w:rsidRPr="00E4157F" w14:paraId="0A6D31C7"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3A006159" w14:textId="36C20DEC" w:rsidR="00E4157F" w:rsidRPr="00E4157F" w:rsidRDefault="00E4157F" w:rsidP="00C65E95">
            <w:pPr>
              <w:jc w:val="left"/>
              <w:rPr>
                <w:rFonts w:asciiTheme="minorHAnsi" w:hAnsiTheme="minorHAnsi" w:cstheme="minorHAnsi"/>
                <w:sz w:val="16"/>
                <w:szCs w:val="16"/>
              </w:rPr>
            </w:pP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xml:space="preserve">. Příbram </w:t>
            </w:r>
            <w:r w:rsidR="00C65E95">
              <w:rPr>
                <w:rFonts w:asciiTheme="minorHAnsi" w:hAnsiTheme="minorHAnsi" w:cstheme="minorHAnsi"/>
                <w:sz w:val="16"/>
                <w:szCs w:val="16"/>
              </w:rPr>
              <w:t>–</w:t>
            </w:r>
            <w:r w:rsidRPr="00E4157F">
              <w:rPr>
                <w:rFonts w:asciiTheme="minorHAnsi" w:hAnsiTheme="minorHAnsi" w:cstheme="minorHAnsi"/>
                <w:sz w:val="16"/>
                <w:szCs w:val="16"/>
              </w:rPr>
              <w:t xml:space="preserve"> oprava objektu</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BA36D3F"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90 000,00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7A2E288"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90 000,00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D92A51"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390DAA"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8 595 908,00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DFAFC"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8 894 558,00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2299A5"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298 650,00/3,47</w:t>
            </w:r>
          </w:p>
        </w:tc>
      </w:tr>
      <w:tr w:rsidR="00E4157F" w:rsidRPr="00E4157F" w14:paraId="682DE1F1"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1A1B42D0" w14:textId="4D9CF4C5" w:rsidR="00E4157F" w:rsidRPr="00E4157F" w:rsidRDefault="00E4157F" w:rsidP="00C65E95">
            <w:pPr>
              <w:jc w:val="left"/>
              <w:rPr>
                <w:rFonts w:asciiTheme="minorHAnsi" w:hAnsiTheme="minorHAnsi" w:cstheme="minorHAnsi"/>
                <w:sz w:val="16"/>
                <w:szCs w:val="16"/>
              </w:rPr>
            </w:pPr>
            <w:r w:rsidRPr="00E4157F">
              <w:rPr>
                <w:rFonts w:asciiTheme="minorHAnsi" w:hAnsiTheme="minorHAnsi" w:cstheme="minorHAnsi"/>
                <w:sz w:val="16"/>
                <w:szCs w:val="16"/>
              </w:rPr>
              <w:t xml:space="preserve">Karlštejn ON </w:t>
            </w:r>
            <w:r w:rsidR="00C65E95">
              <w:rPr>
                <w:rFonts w:asciiTheme="minorHAnsi" w:hAnsiTheme="minorHAnsi" w:cstheme="minorHAnsi"/>
                <w:sz w:val="16"/>
                <w:szCs w:val="16"/>
              </w:rPr>
              <w:t>–</w:t>
            </w:r>
            <w:r w:rsidRPr="00E4157F">
              <w:rPr>
                <w:rFonts w:asciiTheme="minorHAnsi" w:hAnsiTheme="minorHAnsi" w:cstheme="minorHAnsi"/>
                <w:sz w:val="16"/>
                <w:szCs w:val="16"/>
              </w:rPr>
              <w:t xml:space="preserve"> SA opravná část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2DEDCC9"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149 000,00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AC8DFD6"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149 000,00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400642"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3CF2F0" w14:textId="77777777" w:rsidR="00E4157F" w:rsidRPr="00E4157F" w:rsidRDefault="00E4157F" w:rsidP="005E5ACF">
            <w:pPr>
              <w:ind w:right="65"/>
              <w:jc w:val="right"/>
              <w:rPr>
                <w:rFonts w:asciiTheme="minorHAnsi" w:hAnsiTheme="minorHAnsi" w:cstheme="minorHAnsi"/>
                <w:sz w:val="16"/>
                <w:szCs w:val="16"/>
              </w:rPr>
            </w:pPr>
            <w:r w:rsidRPr="00E4157F">
              <w:rPr>
                <w:rFonts w:asciiTheme="minorHAnsi" w:hAnsiTheme="minorHAnsi" w:cstheme="minorHAnsi"/>
                <w:sz w:val="16"/>
                <w:szCs w:val="16"/>
              </w:rPr>
              <w:t>9 104 000,00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409650"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8 945 307,36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D34C95" w14:textId="196701D6"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-158 692,64/-1,74</w:t>
            </w:r>
          </w:p>
        </w:tc>
      </w:tr>
      <w:tr w:rsidR="00E4157F" w:rsidRPr="00E4157F" w14:paraId="13A6F5A0"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4341D775" w14:textId="700A8C9F" w:rsidR="00E4157F" w:rsidRPr="00E4157F" w:rsidRDefault="00E4157F" w:rsidP="00AB0AA5">
            <w:pPr>
              <w:jc w:val="left"/>
              <w:rPr>
                <w:rFonts w:asciiTheme="minorHAnsi" w:hAnsiTheme="minorHAnsi" w:cstheme="minorHAnsi"/>
                <w:sz w:val="16"/>
                <w:szCs w:val="16"/>
              </w:rPr>
            </w:pP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xml:space="preserve">. Zdice </w:t>
            </w:r>
            <w:r w:rsidR="00AB0AA5">
              <w:rPr>
                <w:rFonts w:asciiTheme="minorHAnsi" w:hAnsiTheme="minorHAnsi" w:cstheme="minorHAnsi"/>
                <w:sz w:val="16"/>
                <w:szCs w:val="16"/>
              </w:rPr>
              <w:t>–</w:t>
            </w:r>
            <w:r w:rsidRPr="00E4157F">
              <w:rPr>
                <w:rFonts w:asciiTheme="minorHAnsi" w:hAnsiTheme="minorHAnsi" w:cstheme="minorHAnsi"/>
                <w:sz w:val="16"/>
                <w:szCs w:val="16"/>
              </w:rPr>
              <w:t xml:space="preserve"> komplexní oprava objektu</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FF3757A"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9EE9838"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528072"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168908" w14:textId="77777777" w:rsidR="00E4157F" w:rsidRPr="00E4157F" w:rsidRDefault="00E4157F" w:rsidP="00685F35">
            <w:pPr>
              <w:ind w:right="65"/>
              <w:jc w:val="right"/>
              <w:rPr>
                <w:rFonts w:asciiTheme="minorHAnsi" w:hAnsiTheme="minorHAnsi" w:cstheme="minorHAnsi"/>
                <w:sz w:val="16"/>
                <w:szCs w:val="16"/>
              </w:rPr>
            </w:pPr>
            <w:r w:rsidRPr="00E4157F">
              <w:rPr>
                <w:rFonts w:asciiTheme="minorHAnsi" w:hAnsiTheme="minorHAnsi" w:cstheme="minorHAnsi"/>
                <w:sz w:val="16"/>
                <w:szCs w:val="16"/>
              </w:rPr>
              <w:t>8 760 000,00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3B5CC"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8 489 959,00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B22E4D" w14:textId="5FC1973C"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-270 041,00/-3,08</w:t>
            </w:r>
          </w:p>
        </w:tc>
      </w:tr>
      <w:tr w:rsidR="00E4157F" w:rsidRPr="00E4157F" w14:paraId="79F3EFE2"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0729B0B4" w14:textId="20D3D328" w:rsidR="00E4157F" w:rsidRPr="00E4157F" w:rsidRDefault="00E4157F" w:rsidP="00AB0AA5">
            <w:pPr>
              <w:jc w:val="left"/>
              <w:rPr>
                <w:rFonts w:asciiTheme="minorHAnsi" w:hAnsiTheme="minorHAnsi" w:cstheme="minorHAnsi"/>
                <w:sz w:val="16"/>
                <w:szCs w:val="16"/>
              </w:rPr>
            </w:pP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xml:space="preserve">. Kutná Hora město </w:t>
            </w:r>
            <w:r w:rsidR="00AB0AA5">
              <w:rPr>
                <w:rFonts w:asciiTheme="minorHAnsi" w:hAnsiTheme="minorHAnsi" w:cstheme="minorHAnsi"/>
                <w:sz w:val="16"/>
                <w:szCs w:val="16"/>
              </w:rPr>
              <w:t>–</w:t>
            </w:r>
            <w:r w:rsidRPr="00E4157F">
              <w:rPr>
                <w:rFonts w:asciiTheme="minorHAnsi" w:hAnsiTheme="minorHAnsi" w:cstheme="minorHAnsi"/>
                <w:sz w:val="16"/>
                <w:szCs w:val="16"/>
              </w:rPr>
              <w:t xml:space="preserve"> komplexní oprava objektu</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C97FE"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85 000,00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20FEABB"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85 000,00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ACBA4A"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735EC3" w14:textId="77777777" w:rsidR="00E4157F" w:rsidRPr="00E4157F" w:rsidRDefault="00E4157F" w:rsidP="00685F35">
            <w:pPr>
              <w:ind w:right="65"/>
              <w:jc w:val="right"/>
              <w:rPr>
                <w:rFonts w:asciiTheme="minorHAnsi" w:hAnsiTheme="minorHAnsi" w:cstheme="minorHAnsi"/>
                <w:sz w:val="16"/>
                <w:szCs w:val="16"/>
              </w:rPr>
            </w:pPr>
            <w:r w:rsidRPr="00E4157F">
              <w:rPr>
                <w:rFonts w:asciiTheme="minorHAnsi" w:hAnsiTheme="minorHAnsi" w:cstheme="minorHAnsi"/>
                <w:sz w:val="16"/>
                <w:szCs w:val="16"/>
              </w:rPr>
              <w:t>7 000 000,00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702F4"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8 274 872,66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09399D"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1 274 872,66/18,21</w:t>
            </w:r>
          </w:p>
        </w:tc>
      </w:tr>
      <w:tr w:rsidR="00E4157F" w:rsidRPr="00E4157F" w14:paraId="08FB2AF5"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vAlign w:val="center"/>
            <w:hideMark/>
          </w:tcPr>
          <w:p w14:paraId="1E46A59E" w14:textId="795870C2" w:rsidR="00E4157F" w:rsidRPr="00E4157F" w:rsidRDefault="00E4157F" w:rsidP="00AB0AA5">
            <w:pPr>
              <w:jc w:val="left"/>
              <w:rPr>
                <w:rFonts w:asciiTheme="minorHAnsi" w:hAnsiTheme="minorHAnsi" w:cstheme="minorHAnsi"/>
                <w:sz w:val="16"/>
                <w:szCs w:val="16"/>
              </w:rPr>
            </w:pPr>
            <w:proofErr w:type="spellStart"/>
            <w:r w:rsidRPr="00E4157F">
              <w:rPr>
                <w:rFonts w:asciiTheme="minorHAnsi" w:hAnsiTheme="minorHAnsi" w:cstheme="minorHAnsi"/>
                <w:sz w:val="16"/>
                <w:szCs w:val="16"/>
              </w:rPr>
              <w:t>Žst</w:t>
            </w:r>
            <w:proofErr w:type="spellEnd"/>
            <w:r w:rsidRPr="00E4157F">
              <w:rPr>
                <w:rFonts w:asciiTheme="minorHAnsi" w:hAnsiTheme="minorHAnsi" w:cstheme="minorHAnsi"/>
                <w:sz w:val="16"/>
                <w:szCs w:val="16"/>
              </w:rPr>
              <w:t xml:space="preserve">. Neratovice </w:t>
            </w:r>
            <w:r w:rsidR="00AB0AA5">
              <w:rPr>
                <w:rFonts w:asciiTheme="minorHAnsi" w:hAnsiTheme="minorHAnsi" w:cstheme="minorHAnsi"/>
                <w:sz w:val="16"/>
                <w:szCs w:val="16"/>
              </w:rPr>
              <w:t>–</w:t>
            </w:r>
            <w:r w:rsidRPr="00E4157F">
              <w:rPr>
                <w:rFonts w:asciiTheme="minorHAnsi" w:hAnsiTheme="minorHAnsi" w:cstheme="minorHAnsi"/>
                <w:sz w:val="16"/>
                <w:szCs w:val="16"/>
              </w:rPr>
              <w:t xml:space="preserve"> Oprava výpravní budovy</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74C6343"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45 000,00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888B20B"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45 000,00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232C62" w14:textId="77777777" w:rsidR="00E4157F" w:rsidRPr="00E4157F" w:rsidRDefault="00E4157F" w:rsidP="00E4157F">
            <w:pPr>
              <w:jc w:val="right"/>
              <w:rPr>
                <w:rFonts w:asciiTheme="minorHAnsi" w:hAnsiTheme="minorHAnsi" w:cstheme="minorHAnsi"/>
                <w:sz w:val="16"/>
                <w:szCs w:val="16"/>
              </w:rPr>
            </w:pPr>
            <w:r w:rsidRPr="00E4157F">
              <w:rPr>
                <w:rFonts w:asciiTheme="minorHAnsi" w:hAnsiTheme="minorHAnsi" w:cstheme="minorHAnsi"/>
                <w:sz w:val="16"/>
                <w:szCs w:val="16"/>
              </w:rPr>
              <w:t xml:space="preserve">                              x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6A8404" w14:textId="77777777" w:rsidR="00E4157F" w:rsidRPr="00E4157F" w:rsidRDefault="00E4157F" w:rsidP="00685F35">
            <w:pPr>
              <w:ind w:right="65"/>
              <w:jc w:val="right"/>
              <w:rPr>
                <w:rFonts w:asciiTheme="minorHAnsi" w:hAnsiTheme="minorHAnsi" w:cstheme="minorHAnsi"/>
                <w:sz w:val="16"/>
                <w:szCs w:val="16"/>
              </w:rPr>
            </w:pPr>
            <w:r w:rsidRPr="00E4157F">
              <w:rPr>
                <w:rFonts w:asciiTheme="minorHAnsi" w:hAnsiTheme="minorHAnsi" w:cstheme="minorHAnsi"/>
                <w:sz w:val="16"/>
                <w:szCs w:val="16"/>
              </w:rPr>
              <w:t>7 700 000,00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57742F" w14:textId="77777777" w:rsidR="00E4157F" w:rsidRPr="00E4157F" w:rsidRDefault="00E4157F" w:rsidP="00685F35">
            <w:pPr>
              <w:jc w:val="right"/>
              <w:rPr>
                <w:rFonts w:asciiTheme="minorHAnsi" w:hAnsiTheme="minorHAnsi" w:cstheme="minorHAnsi"/>
                <w:sz w:val="16"/>
                <w:szCs w:val="16"/>
              </w:rPr>
            </w:pPr>
            <w:r w:rsidRPr="00E4157F">
              <w:rPr>
                <w:rFonts w:asciiTheme="minorHAnsi" w:hAnsiTheme="minorHAnsi" w:cstheme="minorHAnsi"/>
                <w:sz w:val="16"/>
                <w:szCs w:val="16"/>
              </w:rPr>
              <w:t>5 811 208,00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10E3AD" w14:textId="50EAAA67" w:rsidR="00E4157F" w:rsidRPr="00E4157F" w:rsidRDefault="00E4157F" w:rsidP="00AB0AA5">
            <w:pPr>
              <w:jc w:val="right"/>
              <w:rPr>
                <w:rFonts w:asciiTheme="minorHAnsi" w:hAnsiTheme="minorHAnsi" w:cstheme="minorHAnsi"/>
                <w:sz w:val="16"/>
                <w:szCs w:val="16"/>
              </w:rPr>
            </w:pPr>
            <w:r w:rsidRPr="00E4157F">
              <w:rPr>
                <w:rFonts w:asciiTheme="minorHAnsi" w:hAnsiTheme="minorHAnsi" w:cstheme="minorHAnsi"/>
                <w:sz w:val="16"/>
                <w:szCs w:val="16"/>
              </w:rPr>
              <w:t>-1 888 792,00/-24,53</w:t>
            </w:r>
          </w:p>
        </w:tc>
      </w:tr>
      <w:tr w:rsidR="00E4157F" w:rsidRPr="00E4157F" w14:paraId="0790A6A9" w14:textId="77777777" w:rsidTr="00685F35">
        <w:trPr>
          <w:trHeight w:hRule="exact" w:val="397"/>
          <w:jc w:val="center"/>
        </w:trPr>
        <w:tc>
          <w:tcPr>
            <w:tcW w:w="1841"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6ABBAF1" w14:textId="77777777" w:rsidR="00E4157F" w:rsidRPr="00E4157F" w:rsidRDefault="00E4157F" w:rsidP="00E4157F">
            <w:pPr>
              <w:jc w:val="left"/>
              <w:rPr>
                <w:rFonts w:asciiTheme="minorHAnsi" w:hAnsiTheme="minorHAnsi" w:cstheme="minorHAnsi"/>
                <w:b/>
                <w:bCs/>
                <w:sz w:val="16"/>
                <w:szCs w:val="16"/>
              </w:rPr>
            </w:pPr>
            <w:r w:rsidRPr="00E4157F">
              <w:rPr>
                <w:rFonts w:asciiTheme="minorHAnsi" w:hAnsiTheme="minorHAnsi" w:cstheme="minorHAnsi"/>
                <w:b/>
                <w:bCs/>
                <w:sz w:val="16"/>
                <w:szCs w:val="16"/>
              </w:rPr>
              <w:t>Celkem</w:t>
            </w:r>
          </w:p>
        </w:tc>
        <w:tc>
          <w:tcPr>
            <w:tcW w:w="1147"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52F8366" w14:textId="77777777" w:rsidR="00E4157F" w:rsidRPr="00E4157F" w:rsidRDefault="00E4157F" w:rsidP="00E4157F">
            <w:pPr>
              <w:jc w:val="right"/>
              <w:rPr>
                <w:rFonts w:asciiTheme="minorHAnsi" w:hAnsiTheme="minorHAnsi" w:cstheme="minorHAnsi"/>
                <w:b/>
                <w:bCs/>
                <w:sz w:val="16"/>
                <w:szCs w:val="16"/>
              </w:rPr>
            </w:pPr>
            <w:r w:rsidRPr="00E4157F">
              <w:rPr>
                <w:rFonts w:asciiTheme="minorHAnsi" w:hAnsiTheme="minorHAnsi" w:cstheme="minorHAnsi"/>
                <w:b/>
                <w:bCs/>
                <w:sz w:val="16"/>
                <w:szCs w:val="16"/>
              </w:rPr>
              <w:t xml:space="preserve">31 570 514,00    </w:t>
            </w:r>
          </w:p>
        </w:tc>
        <w:tc>
          <w:tcPr>
            <w:tcW w:w="112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AD09D59" w14:textId="77777777" w:rsidR="00E4157F" w:rsidRPr="00E4157F" w:rsidRDefault="00E4157F" w:rsidP="00E4157F">
            <w:pPr>
              <w:jc w:val="right"/>
              <w:rPr>
                <w:rFonts w:asciiTheme="minorHAnsi" w:hAnsiTheme="minorHAnsi" w:cstheme="minorHAnsi"/>
                <w:b/>
                <w:bCs/>
                <w:sz w:val="16"/>
                <w:szCs w:val="16"/>
              </w:rPr>
            </w:pPr>
            <w:r w:rsidRPr="00E4157F">
              <w:rPr>
                <w:rFonts w:asciiTheme="minorHAnsi" w:hAnsiTheme="minorHAnsi" w:cstheme="minorHAnsi"/>
                <w:b/>
                <w:bCs/>
                <w:sz w:val="16"/>
                <w:szCs w:val="16"/>
              </w:rPr>
              <w:t>29 860 926,00</w:t>
            </w:r>
          </w:p>
        </w:tc>
        <w:tc>
          <w:tcPr>
            <w:tcW w:w="1560"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0312923" w14:textId="559808DC" w:rsidR="00E4157F" w:rsidRPr="00E4157F" w:rsidRDefault="00E4157F" w:rsidP="00AB0AA5">
            <w:pPr>
              <w:rPr>
                <w:rFonts w:asciiTheme="minorHAnsi" w:hAnsiTheme="minorHAnsi" w:cstheme="minorHAnsi"/>
                <w:b/>
                <w:bCs/>
                <w:sz w:val="16"/>
                <w:szCs w:val="16"/>
              </w:rPr>
            </w:pPr>
            <w:r w:rsidRPr="00E4157F">
              <w:rPr>
                <w:rFonts w:asciiTheme="minorHAnsi" w:hAnsiTheme="minorHAnsi" w:cstheme="minorHAnsi"/>
                <w:b/>
                <w:bCs/>
                <w:sz w:val="16"/>
                <w:szCs w:val="16"/>
              </w:rPr>
              <w:t>-1 709 588,00/-5,42</w:t>
            </w:r>
          </w:p>
        </w:tc>
        <w:tc>
          <w:tcPr>
            <w:tcW w:w="1275"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1903FA56" w14:textId="77777777" w:rsidR="00E4157F" w:rsidRPr="00E4157F" w:rsidRDefault="00E4157F" w:rsidP="00685F35">
            <w:pPr>
              <w:ind w:right="65"/>
              <w:jc w:val="right"/>
              <w:rPr>
                <w:rFonts w:asciiTheme="minorHAnsi" w:hAnsiTheme="minorHAnsi" w:cstheme="minorHAnsi"/>
                <w:b/>
                <w:bCs/>
                <w:sz w:val="16"/>
                <w:szCs w:val="16"/>
              </w:rPr>
            </w:pPr>
            <w:r w:rsidRPr="00E4157F">
              <w:rPr>
                <w:rFonts w:asciiTheme="minorHAnsi" w:hAnsiTheme="minorHAnsi" w:cstheme="minorHAnsi"/>
                <w:b/>
                <w:bCs/>
                <w:sz w:val="16"/>
                <w:szCs w:val="16"/>
              </w:rPr>
              <w:t>665 479 982,35</w:t>
            </w:r>
          </w:p>
        </w:tc>
        <w:tc>
          <w:tcPr>
            <w:tcW w:w="1276"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48A767D2" w14:textId="77777777" w:rsidR="00E4157F" w:rsidRPr="00E4157F" w:rsidRDefault="00E4157F" w:rsidP="00685F35">
            <w:pPr>
              <w:jc w:val="right"/>
              <w:rPr>
                <w:rFonts w:asciiTheme="minorHAnsi" w:hAnsiTheme="minorHAnsi" w:cstheme="minorHAnsi"/>
                <w:b/>
                <w:bCs/>
                <w:sz w:val="16"/>
                <w:szCs w:val="16"/>
              </w:rPr>
            </w:pPr>
            <w:r w:rsidRPr="00E4157F">
              <w:rPr>
                <w:rFonts w:asciiTheme="minorHAnsi" w:hAnsiTheme="minorHAnsi" w:cstheme="minorHAnsi"/>
                <w:b/>
                <w:bCs/>
                <w:sz w:val="16"/>
                <w:szCs w:val="16"/>
              </w:rPr>
              <w:t>690 522 542,53</w:t>
            </w:r>
          </w:p>
        </w:tc>
        <w:tc>
          <w:tcPr>
            <w:tcW w:w="1559"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946AE11" w14:textId="77777777" w:rsidR="00E4157F" w:rsidRPr="00E4157F" w:rsidRDefault="00E4157F" w:rsidP="00685F35">
            <w:pPr>
              <w:jc w:val="right"/>
              <w:rPr>
                <w:rFonts w:asciiTheme="minorHAnsi" w:hAnsiTheme="minorHAnsi" w:cstheme="minorHAnsi"/>
                <w:b/>
                <w:bCs/>
                <w:sz w:val="16"/>
                <w:szCs w:val="16"/>
              </w:rPr>
            </w:pPr>
            <w:r w:rsidRPr="00E4157F">
              <w:rPr>
                <w:rFonts w:asciiTheme="minorHAnsi" w:hAnsiTheme="minorHAnsi" w:cstheme="minorHAnsi"/>
                <w:b/>
                <w:bCs/>
                <w:sz w:val="16"/>
                <w:szCs w:val="16"/>
              </w:rPr>
              <w:t>25 042 560,18/3,76</w:t>
            </w:r>
          </w:p>
        </w:tc>
      </w:tr>
    </w:tbl>
    <w:p w14:paraId="535644C3" w14:textId="4498B8C9" w:rsidR="00E4157F" w:rsidRPr="005E5ACF" w:rsidRDefault="00E4157F" w:rsidP="005E5ACF">
      <w:pPr>
        <w:spacing w:before="40"/>
        <w:jc w:val="left"/>
        <w:rPr>
          <w:rFonts w:eastAsiaTheme="minorHAnsi" w:cs="Calibri"/>
          <w:sz w:val="20"/>
          <w:szCs w:val="16"/>
        </w:rPr>
      </w:pPr>
      <w:r w:rsidRPr="005E5ACF">
        <w:rPr>
          <w:rFonts w:eastAsiaTheme="minorHAnsi" w:cs="Calibri"/>
          <w:b/>
          <w:sz w:val="20"/>
          <w:szCs w:val="16"/>
        </w:rPr>
        <w:t>Zdroj</w:t>
      </w:r>
      <w:r w:rsidRPr="005E5ACF">
        <w:rPr>
          <w:rFonts w:eastAsiaTheme="minorHAnsi" w:cs="Calibri"/>
          <w:sz w:val="20"/>
          <w:szCs w:val="16"/>
        </w:rPr>
        <w:t xml:space="preserve">: SŽDC, </w:t>
      </w:r>
      <w:r w:rsidR="00AB0AA5">
        <w:rPr>
          <w:rFonts w:eastAsiaTheme="minorHAnsi" w:cs="Calibri"/>
          <w:sz w:val="20"/>
          <w:szCs w:val="16"/>
        </w:rPr>
        <w:t>vypracoval</w:t>
      </w:r>
      <w:r w:rsidRPr="005E5ACF">
        <w:rPr>
          <w:rFonts w:eastAsiaTheme="minorHAnsi" w:cs="Calibri"/>
          <w:sz w:val="20"/>
          <w:szCs w:val="16"/>
        </w:rPr>
        <w:t xml:space="preserve"> NKÚ</w:t>
      </w:r>
      <w:r w:rsidR="00F64F4D" w:rsidRPr="005E5ACF">
        <w:rPr>
          <w:rFonts w:eastAsiaTheme="minorHAnsi" w:cs="Calibri"/>
          <w:sz w:val="20"/>
          <w:szCs w:val="16"/>
        </w:rPr>
        <w:t>.</w:t>
      </w:r>
    </w:p>
    <w:p w14:paraId="2F98BC7D" w14:textId="77777777" w:rsidR="001640FC" w:rsidRDefault="001640FC" w:rsidP="00E4157F">
      <w:pPr>
        <w:autoSpaceDE w:val="0"/>
        <w:autoSpaceDN w:val="0"/>
        <w:adjustRightInd w:val="0"/>
        <w:rPr>
          <w:rFonts w:cs="Calibri"/>
          <w:color w:val="000000"/>
        </w:rPr>
      </w:pPr>
      <w:bookmarkStart w:id="0" w:name="_GoBack"/>
      <w:bookmarkEnd w:id="0"/>
    </w:p>
    <w:sectPr w:rsidR="001640FC" w:rsidSect="002D0EF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B5365" w14:textId="77777777" w:rsidR="00735A9D" w:rsidRDefault="00735A9D" w:rsidP="00316C1B">
      <w:r>
        <w:separator/>
      </w:r>
    </w:p>
  </w:endnote>
  <w:endnote w:type="continuationSeparator" w:id="0">
    <w:p w14:paraId="0FC0B016" w14:textId="77777777" w:rsidR="00735A9D" w:rsidRDefault="00735A9D" w:rsidP="00316C1B">
      <w:r>
        <w:continuationSeparator/>
      </w:r>
    </w:p>
  </w:endnote>
  <w:endnote w:type="continuationNotice" w:id="1">
    <w:p w14:paraId="2F0361CA" w14:textId="77777777" w:rsidR="00735A9D" w:rsidRDefault="00735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tka Subheading">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B439" w14:textId="77777777" w:rsidR="006B19C9" w:rsidRDefault="006B19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561354"/>
      <w:docPartObj>
        <w:docPartGallery w:val="Page Numbers (Bottom of Page)"/>
        <w:docPartUnique/>
      </w:docPartObj>
    </w:sdtPr>
    <w:sdtEndPr/>
    <w:sdtContent>
      <w:p w14:paraId="52F1D8BE" w14:textId="2721E73F" w:rsidR="00735A9D" w:rsidRDefault="00735A9D" w:rsidP="00EF0245">
        <w:pPr>
          <w:pStyle w:val="Zpat"/>
          <w:jc w:val="center"/>
        </w:pPr>
        <w:r>
          <w:fldChar w:fldCharType="begin"/>
        </w:r>
        <w:r>
          <w:instrText>PAGE   \* MERGEFORMAT</w:instrText>
        </w:r>
        <w:r>
          <w:fldChar w:fldCharType="separate"/>
        </w:r>
        <w:r w:rsidR="00CF0566">
          <w:rPr>
            <w:noProof/>
          </w:rPr>
          <w:t>18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A630" w14:textId="77777777" w:rsidR="006B19C9" w:rsidRDefault="006B19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09F0" w14:textId="77777777" w:rsidR="00735A9D" w:rsidRDefault="00735A9D" w:rsidP="00316C1B">
      <w:r>
        <w:separator/>
      </w:r>
    </w:p>
  </w:footnote>
  <w:footnote w:type="continuationSeparator" w:id="0">
    <w:p w14:paraId="744F3859" w14:textId="77777777" w:rsidR="00735A9D" w:rsidRDefault="00735A9D" w:rsidP="00316C1B">
      <w:r>
        <w:continuationSeparator/>
      </w:r>
    </w:p>
  </w:footnote>
  <w:footnote w:type="continuationNotice" w:id="1">
    <w:p w14:paraId="538515EB" w14:textId="77777777" w:rsidR="00735A9D" w:rsidRDefault="00735A9D"/>
  </w:footnote>
  <w:footnote w:id="2">
    <w:p w14:paraId="508DF084" w14:textId="77777777" w:rsidR="00735A9D" w:rsidRDefault="00735A9D" w:rsidP="00EF0245">
      <w:pPr>
        <w:pStyle w:val="Textpoznpodarou"/>
        <w:ind w:left="284" w:hanging="284"/>
      </w:pPr>
      <w:r w:rsidRPr="000B05B3">
        <w:rPr>
          <w:rStyle w:val="Znakapoznpodarou"/>
        </w:rPr>
        <w:footnoteRef/>
      </w:r>
      <w:r w:rsidRPr="000B05B3">
        <w:t xml:space="preserve"> </w:t>
      </w:r>
      <w:r>
        <w:tab/>
      </w:r>
      <w:r w:rsidRPr="000B05B3">
        <w:t>V kontrolním závěru je uváděna dále pouze zkratka SŽDC, neboť kontrolní akce byla zahájena a kontrolované činnosti byly uskutečněny v době před změnou názvu.</w:t>
      </w:r>
      <w:r>
        <w:t xml:space="preserve"> </w:t>
      </w:r>
    </w:p>
  </w:footnote>
  <w:footnote w:id="3">
    <w:p w14:paraId="7050CA99" w14:textId="019E0800" w:rsidR="00735A9D" w:rsidRDefault="00735A9D" w:rsidP="00EF0245">
      <w:pPr>
        <w:pStyle w:val="Textpoznpodarou"/>
        <w:ind w:left="284" w:hanging="284"/>
      </w:pPr>
      <w:r>
        <w:rPr>
          <w:rStyle w:val="Znakapoznpodarou"/>
        </w:rPr>
        <w:footnoteRef/>
      </w:r>
      <w:r>
        <w:t xml:space="preserve"> </w:t>
      </w:r>
      <w:r>
        <w:tab/>
        <w:t xml:space="preserve">Zákon </w:t>
      </w:r>
      <w:r>
        <w:rPr>
          <w:rFonts w:asciiTheme="minorHAnsi" w:hAnsiTheme="minorHAnsi" w:cstheme="minorHAnsi"/>
        </w:rPr>
        <w:t>č. 367/2019 Sb., kterým se mění zákon č. 266/1994 Sb., o dráhách, ve znění pozdějších předpisů, a další související zákony.</w:t>
      </w:r>
    </w:p>
  </w:footnote>
  <w:footnote w:id="4">
    <w:p w14:paraId="53396EE8" w14:textId="4B7E71AC" w:rsidR="00735A9D" w:rsidRDefault="00735A9D" w:rsidP="007C00F0">
      <w:pPr>
        <w:pStyle w:val="Textpoznpodarou"/>
        <w:ind w:left="284" w:hanging="284"/>
      </w:pPr>
      <w:r>
        <w:rPr>
          <w:rStyle w:val="Znakapoznpodarou"/>
        </w:rPr>
        <w:footnoteRef/>
      </w:r>
      <w:r>
        <w:t xml:space="preserve"> </w:t>
      </w:r>
      <w:r>
        <w:tab/>
        <w:t>Materiály pro 119. zasedání správní rady Správy železniční dopravní cesty.</w:t>
      </w:r>
    </w:p>
  </w:footnote>
  <w:footnote w:id="5">
    <w:p w14:paraId="5D6098D7" w14:textId="77777777" w:rsidR="00735A9D" w:rsidRDefault="00735A9D" w:rsidP="00A172D2">
      <w:pPr>
        <w:pStyle w:val="Textpoznpodarou"/>
        <w:ind w:left="284" w:hanging="284"/>
      </w:pPr>
      <w:r>
        <w:rPr>
          <w:rStyle w:val="Znakapoznpodarou"/>
        </w:rPr>
        <w:footnoteRef/>
      </w:r>
      <w:r>
        <w:t xml:space="preserve"> </w:t>
      </w:r>
      <w:r>
        <w:tab/>
      </w:r>
      <w:proofErr w:type="spellStart"/>
      <w:r w:rsidRPr="009B02E2">
        <w:t>Podakce</w:t>
      </w:r>
      <w:proofErr w:type="spellEnd"/>
      <w:r w:rsidRPr="009B02E2">
        <w:t xml:space="preserve"> – akce, která je součástí globální položky, </w:t>
      </w:r>
      <w:r>
        <w:t xml:space="preserve">má </w:t>
      </w:r>
      <w:r w:rsidRPr="009B02E2">
        <w:t xml:space="preserve">svůj rozpočet a je uváděna v žádostech o uvolnění prostředků na globální položku.  </w:t>
      </w:r>
    </w:p>
  </w:footnote>
  <w:footnote w:id="6">
    <w:p w14:paraId="5DD452C9" w14:textId="0EED09FA" w:rsidR="00735A9D" w:rsidRDefault="00735A9D" w:rsidP="00A172D2">
      <w:pPr>
        <w:pStyle w:val="Textpoznpodarou"/>
        <w:ind w:left="284" w:hanging="284"/>
      </w:pPr>
      <w:r>
        <w:rPr>
          <w:rStyle w:val="Znakapoznpodarou"/>
        </w:rPr>
        <w:footnoteRef/>
      </w:r>
      <w:r>
        <w:t xml:space="preserve"> </w:t>
      </w:r>
      <w:r>
        <w:tab/>
      </w:r>
      <w:r w:rsidRPr="009B02E2">
        <w:t>Globální položka – položka v rozpočtu SFDI, ze které je mimo jiné financována příprava a vypořádání akcí financovaných z rozpočtu SFDI, které však zároveň nejsou vedeny jako jmenovité akce, nebo ze které jsou financovány zejména druhově stejné akce, které nejsou v rozpočtu SFDI zařazen</w:t>
      </w:r>
      <w:r>
        <w:t>y</w:t>
      </w:r>
      <w:r w:rsidRPr="009B02E2">
        <w:t xml:space="preserve"> jako samostatné položky. Globální položka může být dále rozepsána na jednotlivé </w:t>
      </w:r>
      <w:proofErr w:type="spellStart"/>
      <w:r w:rsidRPr="009B02E2">
        <w:t>podakce</w:t>
      </w:r>
      <w:proofErr w:type="spellEnd"/>
      <w:r w:rsidRPr="009B02E2">
        <w:t>.</w:t>
      </w:r>
    </w:p>
  </w:footnote>
  <w:footnote w:id="7">
    <w:p w14:paraId="3578CB54" w14:textId="77777777" w:rsidR="00735A9D" w:rsidRDefault="00735A9D" w:rsidP="00A172D2">
      <w:pPr>
        <w:pStyle w:val="Textpoznpodarou"/>
        <w:ind w:left="284" w:hanging="284"/>
      </w:pPr>
      <w:r>
        <w:rPr>
          <w:rStyle w:val="Znakapoznpodarou"/>
          <w:rFonts w:eastAsiaTheme="majorEastAsia"/>
        </w:rPr>
        <w:footnoteRef/>
      </w:r>
      <w:r>
        <w:tab/>
        <w:t>Zákon č. 77/2002 Sb., o akciové společnosti České dráhy, státní organizaci Správa železnic a o změně zákona č.  266/1994 Sb., o dráhách, ve znění pozdějších předpisů, a zákona č. 77/1997 Sb., o státním podniku, ve znění pozdějších předpisů.</w:t>
      </w:r>
    </w:p>
  </w:footnote>
  <w:footnote w:id="8">
    <w:p w14:paraId="761D14FA" w14:textId="6C3E4F58" w:rsidR="00735A9D" w:rsidRDefault="00735A9D" w:rsidP="000C67B4">
      <w:pPr>
        <w:pStyle w:val="Textpoznpodarou"/>
        <w:ind w:left="284" w:hanging="284"/>
      </w:pPr>
      <w:r>
        <w:rPr>
          <w:rStyle w:val="Znakapoznpodarou"/>
        </w:rPr>
        <w:footnoteRef/>
      </w:r>
      <w:r>
        <w:t xml:space="preserve"> </w:t>
      </w:r>
      <w:r>
        <w:tab/>
      </w:r>
      <w:proofErr w:type="spellStart"/>
      <w:r w:rsidRPr="00DE2F27">
        <w:t>Peronizací</w:t>
      </w:r>
      <w:proofErr w:type="spellEnd"/>
      <w:r w:rsidRPr="00DE2F27">
        <w:t xml:space="preserve"> se rozumí zejména odstranění úzkých míst železniční tratě zařazené v hlavní síti TEN-T, zvětšení profilů perónů, vybudování podchodu k zajištění mimoúrovňového přístupu apod.</w:t>
      </w:r>
    </w:p>
  </w:footnote>
  <w:footnote w:id="9">
    <w:p w14:paraId="54BAB541" w14:textId="238C9740" w:rsidR="00735A9D" w:rsidRPr="005E5ACF" w:rsidRDefault="00735A9D" w:rsidP="005E5ACF">
      <w:pPr>
        <w:pStyle w:val="Textpoznpodarou"/>
        <w:ind w:left="284" w:hanging="284"/>
        <w:rPr>
          <w:rFonts w:cstheme="minorHAnsi"/>
        </w:rPr>
      </w:pPr>
      <w:r w:rsidRPr="005E5ACF">
        <w:rPr>
          <w:rStyle w:val="Znakapoznpodarou"/>
          <w:rFonts w:cstheme="minorHAnsi"/>
        </w:rPr>
        <w:footnoteRef/>
      </w:r>
      <w:r w:rsidRPr="005E5ACF">
        <w:rPr>
          <w:rFonts w:cstheme="minorHAnsi"/>
        </w:rPr>
        <w:t xml:space="preserve"> </w:t>
      </w:r>
      <w:r>
        <w:rPr>
          <w:rFonts w:cstheme="minorHAnsi"/>
        </w:rPr>
        <w:tab/>
      </w:r>
      <w:r w:rsidRPr="005E5ACF">
        <w:rPr>
          <w:rFonts w:cstheme="minorHAnsi"/>
        </w:rPr>
        <w:t xml:space="preserve">Rekonstrukce výpravní budovy </w:t>
      </w:r>
      <w:proofErr w:type="spellStart"/>
      <w:r w:rsidRPr="005E5ACF">
        <w:rPr>
          <w:rFonts w:cstheme="minorHAnsi"/>
        </w:rPr>
        <w:t>žst</w:t>
      </w:r>
      <w:proofErr w:type="spellEnd"/>
      <w:r w:rsidRPr="005E5ACF">
        <w:rPr>
          <w:rFonts w:cstheme="minorHAnsi"/>
        </w:rPr>
        <w:t xml:space="preserve">. Přerov </w:t>
      </w:r>
      <w:r>
        <w:rPr>
          <w:rFonts w:cstheme="minorHAnsi"/>
        </w:rPr>
        <w:t>–</w:t>
      </w:r>
      <w:r w:rsidRPr="005E5ACF">
        <w:rPr>
          <w:rFonts w:cstheme="minorHAnsi"/>
        </w:rPr>
        <w:t xml:space="preserve"> byly uplatněny sankce v celkové hodnotě 31 750,00 Kč. Sankce byly uhrazeny. Při započtení sankcí je celková cena vynaložená na tuto akci 14 595 759,00 Kč.</w:t>
      </w:r>
    </w:p>
  </w:footnote>
  <w:footnote w:id="10">
    <w:p w14:paraId="19C850F6" w14:textId="639328B9" w:rsidR="00735A9D" w:rsidRPr="005E5ACF" w:rsidRDefault="00735A9D" w:rsidP="005E5ACF">
      <w:pPr>
        <w:pStyle w:val="Textpoznpodarou"/>
        <w:ind w:left="284" w:hanging="284"/>
      </w:pPr>
      <w:r w:rsidRPr="005E5ACF">
        <w:rPr>
          <w:rStyle w:val="Znakapoznpodarou"/>
          <w:rFonts w:cs="Calibri"/>
        </w:rPr>
        <w:footnoteRef/>
      </w:r>
      <w:r w:rsidRPr="005E5ACF">
        <w:t xml:space="preserve"> </w:t>
      </w:r>
      <w:r>
        <w:tab/>
      </w:r>
      <w:r w:rsidRPr="005E5ACF">
        <w:rPr>
          <w:rFonts w:cstheme="minorHAnsi"/>
        </w:rPr>
        <w:t>Rekonstrukce výpravní budovy v </w:t>
      </w:r>
      <w:proofErr w:type="spellStart"/>
      <w:r w:rsidRPr="005E5ACF">
        <w:rPr>
          <w:rFonts w:cstheme="minorHAnsi"/>
        </w:rPr>
        <w:t>žst</w:t>
      </w:r>
      <w:proofErr w:type="spellEnd"/>
      <w:r w:rsidRPr="005E5ACF">
        <w:rPr>
          <w:rFonts w:cstheme="minorHAnsi"/>
        </w:rPr>
        <w:t xml:space="preserve">. Hrušovany nad Jevišovkou </w:t>
      </w:r>
      <w:r>
        <w:rPr>
          <w:rFonts w:cstheme="minorHAnsi"/>
        </w:rPr>
        <w:t>–</w:t>
      </w:r>
      <w:r w:rsidRPr="005E5ACF">
        <w:rPr>
          <w:rFonts w:cstheme="minorHAnsi"/>
        </w:rPr>
        <w:t xml:space="preserve"> byla uplatněna sankce v hodnotě 116 710,00</w:t>
      </w:r>
      <w:r>
        <w:rPr>
          <w:rFonts w:cstheme="minorHAnsi"/>
        </w:rPr>
        <w:t> </w:t>
      </w:r>
      <w:r w:rsidRPr="005E5ACF">
        <w:rPr>
          <w:rFonts w:cstheme="minorHAnsi"/>
        </w:rPr>
        <w:t>Kč. Sankce byla uhrazena. Při započtení sankcí je celková cena vynaložená na tuto akci 35 136 660,36 Kč.</w:t>
      </w:r>
    </w:p>
  </w:footnote>
  <w:footnote w:id="11">
    <w:p w14:paraId="34D6B8BF" w14:textId="6A2FC795" w:rsidR="00735A9D" w:rsidRPr="005E5ACF" w:rsidRDefault="00735A9D" w:rsidP="005E5ACF">
      <w:pPr>
        <w:pStyle w:val="Textpoznpodarou"/>
        <w:ind w:left="284" w:hanging="284"/>
        <w:rPr>
          <w:rFonts w:cs="Calibri"/>
          <w:szCs w:val="16"/>
        </w:rPr>
      </w:pPr>
      <w:r w:rsidRPr="005E5ACF">
        <w:rPr>
          <w:rStyle w:val="Znakapoznpodarou"/>
          <w:rFonts w:cs="Calibri"/>
          <w:szCs w:val="16"/>
        </w:rPr>
        <w:footnoteRef/>
      </w:r>
      <w:r w:rsidRPr="005E5ACF">
        <w:rPr>
          <w:rFonts w:cs="Calibri"/>
          <w:szCs w:val="16"/>
        </w:rPr>
        <w:t xml:space="preserve"> </w:t>
      </w:r>
      <w:r>
        <w:rPr>
          <w:rFonts w:cs="Calibri"/>
          <w:szCs w:val="16"/>
        </w:rPr>
        <w:tab/>
      </w:r>
      <w:r w:rsidRPr="005E5ACF">
        <w:rPr>
          <w:rFonts w:cs="Calibri"/>
          <w:szCs w:val="16"/>
        </w:rPr>
        <w:t xml:space="preserve">Modernizace ŽST Karlovy Vary </w:t>
      </w:r>
      <w:r>
        <w:rPr>
          <w:rFonts w:cs="Calibri"/>
          <w:szCs w:val="16"/>
        </w:rPr>
        <w:t>–</w:t>
      </w:r>
      <w:r w:rsidRPr="005E5ACF">
        <w:rPr>
          <w:rFonts w:cs="Calibri"/>
          <w:szCs w:val="16"/>
        </w:rPr>
        <w:t xml:space="preserve"> byly uplatněny sankce v souhrnné hodnotě 4 948 100,99 Kč. Sankce byly uhrazeny. Při započtení sankcí je celková cena vynaložená na tuto akci 83 117 149,03 Kč.</w:t>
      </w:r>
    </w:p>
  </w:footnote>
  <w:footnote w:id="12">
    <w:p w14:paraId="2C7A46E3" w14:textId="77777777" w:rsidR="00735A9D" w:rsidRPr="005E5ACF" w:rsidRDefault="00735A9D" w:rsidP="005E5ACF">
      <w:pPr>
        <w:pStyle w:val="Textpoznpodarou"/>
        <w:ind w:left="284" w:hanging="284"/>
        <w:rPr>
          <w:rFonts w:cstheme="minorBidi"/>
          <w:szCs w:val="16"/>
        </w:rPr>
      </w:pPr>
      <w:r w:rsidRPr="005E5ACF">
        <w:rPr>
          <w:rStyle w:val="Znakapoznpodarou"/>
          <w:szCs w:val="16"/>
        </w:rPr>
        <w:footnoteRef/>
      </w:r>
      <w:r w:rsidRPr="005E5ACF">
        <w:rPr>
          <w:szCs w:val="16"/>
        </w:rPr>
        <w:t xml:space="preserve"> </w:t>
      </w:r>
      <w:r>
        <w:rPr>
          <w:szCs w:val="16"/>
        </w:rPr>
        <w:tab/>
      </w:r>
      <w:r w:rsidRPr="005E5ACF">
        <w:rPr>
          <w:szCs w:val="16"/>
        </w:rPr>
        <w:t>Nebyla započtena do celkové hodnoty.</w:t>
      </w:r>
    </w:p>
  </w:footnote>
  <w:footnote w:id="13">
    <w:p w14:paraId="69FE4196" w14:textId="77777777" w:rsidR="00735A9D" w:rsidRPr="005E5ACF" w:rsidRDefault="00735A9D" w:rsidP="005E5ACF">
      <w:pPr>
        <w:pStyle w:val="Textpoznpodarou"/>
        <w:ind w:left="284" w:hanging="284"/>
        <w:rPr>
          <w:szCs w:val="16"/>
        </w:rPr>
      </w:pPr>
      <w:r w:rsidRPr="005E5ACF">
        <w:rPr>
          <w:rStyle w:val="Znakapoznpodarou"/>
          <w:szCs w:val="16"/>
        </w:rPr>
        <w:footnoteRef/>
      </w:r>
      <w:r w:rsidRPr="005E5ACF">
        <w:rPr>
          <w:szCs w:val="16"/>
        </w:rPr>
        <w:t xml:space="preserve"> </w:t>
      </w:r>
      <w:r>
        <w:rPr>
          <w:szCs w:val="16"/>
        </w:rPr>
        <w:tab/>
      </w:r>
      <w:r w:rsidRPr="005E5ACF">
        <w:rPr>
          <w:szCs w:val="16"/>
        </w:rPr>
        <w:t>Nebyla započtena do celkové hodnoty.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A42B" w14:textId="77777777" w:rsidR="006B19C9" w:rsidRDefault="006B19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122D" w14:textId="77777777" w:rsidR="00735A9D" w:rsidRDefault="00735A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85EC0" w14:textId="77777777" w:rsidR="006B19C9" w:rsidRDefault="006B19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6B7"/>
    <w:multiLevelType w:val="multilevel"/>
    <w:tmpl w:val="C7CC5D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0E02AD"/>
    <w:multiLevelType w:val="multilevel"/>
    <w:tmpl w:val="C7CC5D8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32107A"/>
    <w:multiLevelType w:val="hybridMultilevel"/>
    <w:tmpl w:val="5D74C61E"/>
    <w:lvl w:ilvl="0" w:tplc="9F1A3016">
      <w:start w:val="1"/>
      <w:numFmt w:val="bullet"/>
      <w:lvlText w:val="-"/>
      <w:lvlJc w:val="left"/>
      <w:pPr>
        <w:ind w:left="720" w:hanging="360"/>
      </w:pPr>
      <w:rPr>
        <w:rFonts w:ascii="Sitka Subheading" w:hAnsi="Sitka Subheading"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5590B"/>
    <w:multiLevelType w:val="hybridMultilevel"/>
    <w:tmpl w:val="C6647EF0"/>
    <w:lvl w:ilvl="0" w:tplc="9F1A3016">
      <w:start w:val="1"/>
      <w:numFmt w:val="bullet"/>
      <w:lvlText w:val="-"/>
      <w:lvlJc w:val="left"/>
      <w:pPr>
        <w:ind w:left="720" w:hanging="360"/>
      </w:pPr>
      <w:rPr>
        <w:rFonts w:ascii="Sitka Subheading" w:hAnsi="Sitka Subheading"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527622"/>
    <w:multiLevelType w:val="hybridMultilevel"/>
    <w:tmpl w:val="E3CCAF30"/>
    <w:lvl w:ilvl="0" w:tplc="2F6830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E91191"/>
    <w:multiLevelType w:val="hybridMultilevel"/>
    <w:tmpl w:val="CAAA5644"/>
    <w:lvl w:ilvl="0" w:tplc="2E9676F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2320041"/>
    <w:multiLevelType w:val="hybridMultilevel"/>
    <w:tmpl w:val="F6BACE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748229A"/>
    <w:multiLevelType w:val="hybridMultilevel"/>
    <w:tmpl w:val="41CA7834"/>
    <w:lvl w:ilvl="0" w:tplc="44BEA854">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832454A"/>
    <w:multiLevelType w:val="hybridMultilevel"/>
    <w:tmpl w:val="93025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65C02"/>
    <w:multiLevelType w:val="multilevel"/>
    <w:tmpl w:val="EEC2375A"/>
    <w:lvl w:ilvl="0">
      <w:start w:val="1"/>
      <w:numFmt w:val="decimal"/>
      <w:lvlText w:val="%1."/>
      <w:lvlJc w:val="left"/>
      <w:pPr>
        <w:ind w:left="0" w:firstLine="0"/>
      </w:pPr>
      <w:rPr>
        <w:rFonts w:ascii="Calibri" w:eastAsia="Calibri" w:hAnsi="Calibri" w:cs="Calibri"/>
        <w:b/>
        <w:bCs/>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AC74827"/>
    <w:multiLevelType w:val="hybridMultilevel"/>
    <w:tmpl w:val="828E0C66"/>
    <w:lvl w:ilvl="0" w:tplc="7DAE0F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BF87FC9"/>
    <w:multiLevelType w:val="multilevel"/>
    <w:tmpl w:val="4FD89C22"/>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F05084F"/>
    <w:multiLevelType w:val="hybridMultilevel"/>
    <w:tmpl w:val="CF440B08"/>
    <w:lvl w:ilvl="0" w:tplc="9F1A3016">
      <w:start w:val="1"/>
      <w:numFmt w:val="bullet"/>
      <w:lvlText w:val="-"/>
      <w:lvlJc w:val="left"/>
      <w:pPr>
        <w:ind w:left="1440" w:hanging="360"/>
      </w:pPr>
      <w:rPr>
        <w:rFonts w:ascii="Sitka Subheading" w:hAnsi="Sitka Subheading"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5D61D7E"/>
    <w:multiLevelType w:val="hybridMultilevel"/>
    <w:tmpl w:val="192E460E"/>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4" w15:restartNumberingAfterBreak="0">
    <w:nsid w:val="3B00352F"/>
    <w:multiLevelType w:val="multilevel"/>
    <w:tmpl w:val="33D4D96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91192E"/>
    <w:multiLevelType w:val="hybridMultilevel"/>
    <w:tmpl w:val="4262FB92"/>
    <w:lvl w:ilvl="0" w:tplc="5164F3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D84444"/>
    <w:multiLevelType w:val="hybridMultilevel"/>
    <w:tmpl w:val="87BEF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80700"/>
    <w:multiLevelType w:val="hybridMultilevel"/>
    <w:tmpl w:val="91143B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8232D2"/>
    <w:multiLevelType w:val="multilevel"/>
    <w:tmpl w:val="C6AC5094"/>
    <w:lvl w:ilvl="0">
      <w:start w:val="3"/>
      <w:numFmt w:val="decimal"/>
      <w:lvlText w:val="%1"/>
      <w:lvlJc w:val="left"/>
      <w:pPr>
        <w:ind w:left="480" w:hanging="480"/>
      </w:pPr>
      <w:rPr>
        <w:rFonts w:hint="default"/>
      </w:rPr>
    </w:lvl>
    <w:lvl w:ilvl="1">
      <w:start w:val="2"/>
      <w:numFmt w:val="decimal"/>
      <w:lvlText w:val="%1.%2"/>
      <w:lvlJc w:val="left"/>
      <w:pPr>
        <w:ind w:left="1882" w:hanging="480"/>
      </w:pPr>
      <w:rPr>
        <w:rFonts w:hint="default"/>
      </w:rPr>
    </w:lvl>
    <w:lvl w:ilvl="2">
      <w:start w:val="1"/>
      <w:numFmt w:val="decimal"/>
      <w:lvlText w:val="%1.%2.%3"/>
      <w:lvlJc w:val="left"/>
      <w:pPr>
        <w:ind w:left="3524" w:hanging="720"/>
      </w:pPr>
      <w:rPr>
        <w:rFonts w:hint="default"/>
      </w:rPr>
    </w:lvl>
    <w:lvl w:ilvl="3">
      <w:start w:val="1"/>
      <w:numFmt w:val="decimal"/>
      <w:lvlText w:val="%1.%2.%3.%4"/>
      <w:lvlJc w:val="left"/>
      <w:pPr>
        <w:ind w:left="4926" w:hanging="720"/>
      </w:pPr>
      <w:rPr>
        <w:rFonts w:hint="default"/>
      </w:rPr>
    </w:lvl>
    <w:lvl w:ilvl="4">
      <w:start w:val="1"/>
      <w:numFmt w:val="decimal"/>
      <w:lvlText w:val="%1.%2.%3.%4.%5"/>
      <w:lvlJc w:val="left"/>
      <w:pPr>
        <w:ind w:left="6688" w:hanging="1080"/>
      </w:pPr>
      <w:rPr>
        <w:rFonts w:hint="default"/>
      </w:rPr>
    </w:lvl>
    <w:lvl w:ilvl="5">
      <w:start w:val="1"/>
      <w:numFmt w:val="decimal"/>
      <w:lvlText w:val="%1.%2.%3.%4.%5.%6"/>
      <w:lvlJc w:val="left"/>
      <w:pPr>
        <w:ind w:left="8090" w:hanging="1080"/>
      </w:pPr>
      <w:rPr>
        <w:rFonts w:hint="default"/>
      </w:rPr>
    </w:lvl>
    <w:lvl w:ilvl="6">
      <w:start w:val="1"/>
      <w:numFmt w:val="decimal"/>
      <w:lvlText w:val="%1.%2.%3.%4.%5.%6.%7"/>
      <w:lvlJc w:val="left"/>
      <w:pPr>
        <w:ind w:left="9852" w:hanging="1440"/>
      </w:pPr>
      <w:rPr>
        <w:rFonts w:hint="default"/>
      </w:rPr>
    </w:lvl>
    <w:lvl w:ilvl="7">
      <w:start w:val="1"/>
      <w:numFmt w:val="decimal"/>
      <w:lvlText w:val="%1.%2.%3.%4.%5.%6.%7.%8"/>
      <w:lvlJc w:val="left"/>
      <w:pPr>
        <w:ind w:left="11254" w:hanging="1440"/>
      </w:pPr>
      <w:rPr>
        <w:rFonts w:hint="default"/>
      </w:rPr>
    </w:lvl>
    <w:lvl w:ilvl="8">
      <w:start w:val="1"/>
      <w:numFmt w:val="decimal"/>
      <w:lvlText w:val="%1.%2.%3.%4.%5.%6.%7.%8.%9"/>
      <w:lvlJc w:val="left"/>
      <w:pPr>
        <w:ind w:left="13016" w:hanging="1800"/>
      </w:pPr>
      <w:rPr>
        <w:rFonts w:hint="default"/>
      </w:rPr>
    </w:lvl>
  </w:abstractNum>
  <w:abstractNum w:abstractNumId="19" w15:restartNumberingAfterBreak="0">
    <w:nsid w:val="4AED179B"/>
    <w:multiLevelType w:val="hybridMultilevel"/>
    <w:tmpl w:val="F9BC4F28"/>
    <w:lvl w:ilvl="0" w:tplc="FF42123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D5F0A38"/>
    <w:multiLevelType w:val="hybridMultilevel"/>
    <w:tmpl w:val="C180D2D6"/>
    <w:lvl w:ilvl="0" w:tplc="4970C2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0332B9"/>
    <w:multiLevelType w:val="hybridMultilevel"/>
    <w:tmpl w:val="38462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0E167F"/>
    <w:multiLevelType w:val="multilevel"/>
    <w:tmpl w:val="4328EB54"/>
    <w:lvl w:ilvl="0">
      <w:start w:val="1"/>
      <w:numFmt w:val="decimal"/>
      <w:lvlText w:val="%1."/>
      <w:lvlJc w:val="left"/>
      <w:pPr>
        <w:ind w:left="1364" w:hanging="360"/>
      </w:p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3" w15:restartNumberingAfterBreak="0">
    <w:nsid w:val="56182325"/>
    <w:multiLevelType w:val="hybridMultilevel"/>
    <w:tmpl w:val="F3BC05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58E04741"/>
    <w:multiLevelType w:val="multilevel"/>
    <w:tmpl w:val="4328EB54"/>
    <w:lvl w:ilvl="0">
      <w:start w:val="1"/>
      <w:numFmt w:val="decimal"/>
      <w:lvlText w:val="%1."/>
      <w:lvlJc w:val="left"/>
      <w:pPr>
        <w:ind w:left="1364" w:hanging="360"/>
      </w:p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25" w15:restartNumberingAfterBreak="0">
    <w:nsid w:val="5D4274BF"/>
    <w:multiLevelType w:val="multilevel"/>
    <w:tmpl w:val="0A5E1876"/>
    <w:lvl w:ilvl="0">
      <w:start w:val="3"/>
      <w:numFmt w:val="decimal"/>
      <w:lvlText w:val="%1"/>
      <w:lvlJc w:val="left"/>
      <w:pPr>
        <w:ind w:left="480" w:hanging="480"/>
      </w:pPr>
      <w:rPr>
        <w:rFonts w:hint="default"/>
      </w:rPr>
    </w:lvl>
    <w:lvl w:ilvl="1">
      <w:start w:val="1"/>
      <w:numFmt w:val="decimal"/>
      <w:lvlText w:val="%1.%2"/>
      <w:lvlJc w:val="left"/>
      <w:pPr>
        <w:ind w:left="1522" w:hanging="480"/>
      </w:pPr>
      <w:rPr>
        <w:rFonts w:hint="default"/>
      </w:rPr>
    </w:lvl>
    <w:lvl w:ilvl="2">
      <w:start w:val="2"/>
      <w:numFmt w:val="decimal"/>
      <w:lvlText w:val="%1.%2.%3"/>
      <w:lvlJc w:val="left"/>
      <w:pPr>
        <w:ind w:left="2804" w:hanging="720"/>
      </w:pPr>
      <w:rPr>
        <w:rFonts w:hint="default"/>
      </w:rPr>
    </w:lvl>
    <w:lvl w:ilvl="3">
      <w:start w:val="1"/>
      <w:numFmt w:val="decimal"/>
      <w:lvlText w:val="%1.%2.%3.%4"/>
      <w:lvlJc w:val="left"/>
      <w:pPr>
        <w:ind w:left="3846" w:hanging="72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290" w:hanging="108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8734" w:hanging="1440"/>
      </w:pPr>
      <w:rPr>
        <w:rFonts w:hint="default"/>
      </w:rPr>
    </w:lvl>
    <w:lvl w:ilvl="8">
      <w:start w:val="1"/>
      <w:numFmt w:val="decimal"/>
      <w:lvlText w:val="%1.%2.%3.%4.%5.%6.%7.%8.%9"/>
      <w:lvlJc w:val="left"/>
      <w:pPr>
        <w:ind w:left="10136" w:hanging="1800"/>
      </w:pPr>
      <w:rPr>
        <w:rFonts w:hint="default"/>
      </w:rPr>
    </w:lvl>
  </w:abstractNum>
  <w:abstractNum w:abstractNumId="26" w15:restartNumberingAfterBreak="0">
    <w:nsid w:val="5EE12EC5"/>
    <w:multiLevelType w:val="hybridMultilevel"/>
    <w:tmpl w:val="D07E0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EB73C2"/>
    <w:multiLevelType w:val="hybridMultilevel"/>
    <w:tmpl w:val="56CA13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F73077"/>
    <w:multiLevelType w:val="hybridMultilevel"/>
    <w:tmpl w:val="E03AA69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687E6825"/>
    <w:multiLevelType w:val="hybridMultilevel"/>
    <w:tmpl w:val="8FE6D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8739DF"/>
    <w:multiLevelType w:val="hybridMultilevel"/>
    <w:tmpl w:val="EE1AE6C6"/>
    <w:lvl w:ilvl="0" w:tplc="148E0CC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D534EB"/>
    <w:multiLevelType w:val="hybridMultilevel"/>
    <w:tmpl w:val="FB547A00"/>
    <w:lvl w:ilvl="0" w:tplc="1226C13E">
      <w:start w:val="1"/>
      <w:numFmt w:val="bullet"/>
      <w:lvlText w:val="-"/>
      <w:lvlJc w:val="left"/>
      <w:pPr>
        <w:ind w:left="770" w:hanging="360"/>
      </w:pPr>
      <w:rPr>
        <w:rFonts w:ascii="Calibri" w:eastAsiaTheme="minorHAnsi" w:hAnsi="Calibri" w:cstheme="minorBidi"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2" w15:restartNumberingAfterBreak="0">
    <w:nsid w:val="6B2D6F64"/>
    <w:multiLevelType w:val="hybridMultilevel"/>
    <w:tmpl w:val="4B486664"/>
    <w:lvl w:ilvl="0" w:tplc="9F1A3016">
      <w:start w:val="1"/>
      <w:numFmt w:val="bullet"/>
      <w:lvlText w:val="-"/>
      <w:lvlJc w:val="left"/>
      <w:pPr>
        <w:ind w:left="720" w:hanging="360"/>
      </w:pPr>
      <w:rPr>
        <w:rFonts w:ascii="Sitka Subheading" w:hAnsi="Sitka Subheading"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9D40A3"/>
    <w:multiLevelType w:val="multilevel"/>
    <w:tmpl w:val="CABE812A"/>
    <w:lvl w:ilvl="0">
      <w:start w:val="3"/>
      <w:numFmt w:val="decimal"/>
      <w:lvlText w:val="%1"/>
      <w:lvlJc w:val="left"/>
      <w:pPr>
        <w:ind w:left="480" w:hanging="480"/>
      </w:pPr>
      <w:rPr>
        <w:rFonts w:hint="default"/>
      </w:rPr>
    </w:lvl>
    <w:lvl w:ilvl="1">
      <w:start w:val="1"/>
      <w:numFmt w:val="decimal"/>
      <w:lvlText w:val="%1.%2"/>
      <w:lvlJc w:val="left"/>
      <w:pPr>
        <w:ind w:left="1522" w:hanging="480"/>
      </w:pPr>
      <w:rPr>
        <w:rFonts w:hint="default"/>
      </w:rPr>
    </w:lvl>
    <w:lvl w:ilvl="2">
      <w:start w:val="2"/>
      <w:numFmt w:val="decimal"/>
      <w:lvlText w:val="%1.%2.%3"/>
      <w:lvlJc w:val="left"/>
      <w:pPr>
        <w:ind w:left="2804" w:hanging="720"/>
      </w:pPr>
      <w:rPr>
        <w:rFonts w:hint="default"/>
      </w:rPr>
    </w:lvl>
    <w:lvl w:ilvl="3">
      <w:start w:val="1"/>
      <w:numFmt w:val="decimal"/>
      <w:lvlText w:val="%1.%2.%3.%4"/>
      <w:lvlJc w:val="left"/>
      <w:pPr>
        <w:ind w:left="3846" w:hanging="720"/>
      </w:pPr>
      <w:rPr>
        <w:rFonts w:hint="default"/>
      </w:rPr>
    </w:lvl>
    <w:lvl w:ilvl="4">
      <w:start w:val="1"/>
      <w:numFmt w:val="decimal"/>
      <w:lvlText w:val="%1.%2.%3.%4.%5"/>
      <w:lvlJc w:val="left"/>
      <w:pPr>
        <w:ind w:left="5248" w:hanging="1080"/>
      </w:pPr>
      <w:rPr>
        <w:rFonts w:hint="default"/>
      </w:rPr>
    </w:lvl>
    <w:lvl w:ilvl="5">
      <w:start w:val="1"/>
      <w:numFmt w:val="decimal"/>
      <w:lvlText w:val="%1.%2.%3.%4.%5.%6"/>
      <w:lvlJc w:val="left"/>
      <w:pPr>
        <w:ind w:left="6290" w:hanging="1080"/>
      </w:pPr>
      <w:rPr>
        <w:rFonts w:hint="default"/>
      </w:rPr>
    </w:lvl>
    <w:lvl w:ilvl="6">
      <w:start w:val="1"/>
      <w:numFmt w:val="decimal"/>
      <w:lvlText w:val="%1.%2.%3.%4.%5.%6.%7"/>
      <w:lvlJc w:val="left"/>
      <w:pPr>
        <w:ind w:left="7692" w:hanging="1440"/>
      </w:pPr>
      <w:rPr>
        <w:rFonts w:hint="default"/>
      </w:rPr>
    </w:lvl>
    <w:lvl w:ilvl="7">
      <w:start w:val="1"/>
      <w:numFmt w:val="decimal"/>
      <w:lvlText w:val="%1.%2.%3.%4.%5.%6.%7.%8"/>
      <w:lvlJc w:val="left"/>
      <w:pPr>
        <w:ind w:left="8734" w:hanging="1440"/>
      </w:pPr>
      <w:rPr>
        <w:rFonts w:hint="default"/>
      </w:rPr>
    </w:lvl>
    <w:lvl w:ilvl="8">
      <w:start w:val="1"/>
      <w:numFmt w:val="decimal"/>
      <w:lvlText w:val="%1.%2.%3.%4.%5.%6.%7.%8.%9"/>
      <w:lvlJc w:val="left"/>
      <w:pPr>
        <w:ind w:left="10136" w:hanging="1800"/>
      </w:pPr>
      <w:rPr>
        <w:rFonts w:hint="default"/>
      </w:rPr>
    </w:lvl>
  </w:abstractNum>
  <w:abstractNum w:abstractNumId="34" w15:restartNumberingAfterBreak="0">
    <w:nsid w:val="6C332007"/>
    <w:multiLevelType w:val="hybridMultilevel"/>
    <w:tmpl w:val="3D206ED2"/>
    <w:lvl w:ilvl="0" w:tplc="9F1A3016">
      <w:start w:val="1"/>
      <w:numFmt w:val="bullet"/>
      <w:lvlText w:val="-"/>
      <w:lvlJc w:val="left"/>
      <w:pPr>
        <w:ind w:left="720" w:hanging="360"/>
      </w:pPr>
      <w:rPr>
        <w:rFonts w:ascii="Sitka Subheading" w:hAnsi="Sitka Subheading"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11516D"/>
    <w:multiLevelType w:val="multilevel"/>
    <w:tmpl w:val="06B0DC50"/>
    <w:lvl w:ilvl="0">
      <w:start w:val="3"/>
      <w:numFmt w:val="decimal"/>
      <w:lvlText w:val="%1"/>
      <w:lvlJc w:val="left"/>
      <w:pPr>
        <w:ind w:left="360" w:hanging="360"/>
      </w:pPr>
      <w:rPr>
        <w:rFonts w:cs="Times New Roman" w:hint="default"/>
      </w:rPr>
    </w:lvl>
    <w:lvl w:ilvl="1">
      <w:start w:val="1"/>
      <w:numFmt w:val="decimal"/>
      <w:lvlText w:val="%1.%2"/>
      <w:lvlJc w:val="left"/>
      <w:pPr>
        <w:ind w:left="1724" w:hanging="360"/>
      </w:pPr>
      <w:rPr>
        <w:rFonts w:cs="Times New Roman" w:hint="default"/>
      </w:rPr>
    </w:lvl>
    <w:lvl w:ilvl="2">
      <w:start w:val="1"/>
      <w:numFmt w:val="decimal"/>
      <w:lvlText w:val="%1.%2.%3"/>
      <w:lvlJc w:val="left"/>
      <w:pPr>
        <w:ind w:left="3448" w:hanging="720"/>
      </w:pPr>
      <w:rPr>
        <w:rFonts w:cs="Times New Roman" w:hint="default"/>
      </w:rPr>
    </w:lvl>
    <w:lvl w:ilvl="3">
      <w:start w:val="1"/>
      <w:numFmt w:val="decimal"/>
      <w:lvlText w:val="%1.%2.%3.%4"/>
      <w:lvlJc w:val="left"/>
      <w:pPr>
        <w:ind w:left="4812" w:hanging="720"/>
      </w:pPr>
      <w:rPr>
        <w:rFonts w:cs="Times New Roman" w:hint="default"/>
      </w:rPr>
    </w:lvl>
    <w:lvl w:ilvl="4">
      <w:start w:val="1"/>
      <w:numFmt w:val="decimal"/>
      <w:lvlText w:val="%1.%2.%3.%4.%5"/>
      <w:lvlJc w:val="left"/>
      <w:pPr>
        <w:ind w:left="6536" w:hanging="1080"/>
      </w:pPr>
      <w:rPr>
        <w:rFonts w:cs="Times New Roman" w:hint="default"/>
      </w:rPr>
    </w:lvl>
    <w:lvl w:ilvl="5">
      <w:start w:val="1"/>
      <w:numFmt w:val="decimal"/>
      <w:lvlText w:val="%1.%2.%3.%4.%5.%6"/>
      <w:lvlJc w:val="left"/>
      <w:pPr>
        <w:ind w:left="7900" w:hanging="1080"/>
      </w:pPr>
      <w:rPr>
        <w:rFonts w:cs="Times New Roman" w:hint="default"/>
      </w:rPr>
    </w:lvl>
    <w:lvl w:ilvl="6">
      <w:start w:val="1"/>
      <w:numFmt w:val="decimal"/>
      <w:lvlText w:val="%1.%2.%3.%4.%5.%6.%7"/>
      <w:lvlJc w:val="left"/>
      <w:pPr>
        <w:ind w:left="9624" w:hanging="1440"/>
      </w:pPr>
      <w:rPr>
        <w:rFonts w:cs="Times New Roman" w:hint="default"/>
      </w:rPr>
    </w:lvl>
    <w:lvl w:ilvl="7">
      <w:start w:val="1"/>
      <w:numFmt w:val="decimal"/>
      <w:lvlText w:val="%1.%2.%3.%4.%5.%6.%7.%8"/>
      <w:lvlJc w:val="left"/>
      <w:pPr>
        <w:ind w:left="10988" w:hanging="1440"/>
      </w:pPr>
      <w:rPr>
        <w:rFonts w:cs="Times New Roman" w:hint="default"/>
      </w:rPr>
    </w:lvl>
    <w:lvl w:ilvl="8">
      <w:start w:val="1"/>
      <w:numFmt w:val="decimal"/>
      <w:lvlText w:val="%1.%2.%3.%4.%5.%6.%7.%8.%9"/>
      <w:lvlJc w:val="left"/>
      <w:pPr>
        <w:ind w:left="12712" w:hanging="1800"/>
      </w:pPr>
      <w:rPr>
        <w:rFonts w:cs="Times New Roman" w:hint="default"/>
      </w:rPr>
    </w:lvl>
  </w:abstractNum>
  <w:abstractNum w:abstractNumId="36" w15:restartNumberingAfterBreak="0">
    <w:nsid w:val="6F5C6ACB"/>
    <w:multiLevelType w:val="hybridMultilevel"/>
    <w:tmpl w:val="CA84C758"/>
    <w:lvl w:ilvl="0" w:tplc="98E8709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C85FB0"/>
    <w:multiLevelType w:val="hybridMultilevel"/>
    <w:tmpl w:val="498AA04E"/>
    <w:lvl w:ilvl="0" w:tplc="26DC1DB0">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7601487F"/>
    <w:multiLevelType w:val="hybridMultilevel"/>
    <w:tmpl w:val="102CCCCA"/>
    <w:lvl w:ilvl="0" w:tplc="54C68656">
      <w:start w:val="1"/>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9976FFF"/>
    <w:multiLevelType w:val="multilevel"/>
    <w:tmpl w:val="4328EB54"/>
    <w:lvl w:ilvl="0">
      <w:start w:val="1"/>
      <w:numFmt w:val="decimal"/>
      <w:lvlText w:val="%1."/>
      <w:lvlJc w:val="left"/>
      <w:pPr>
        <w:ind w:left="1364" w:hanging="360"/>
      </w:p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num w:numId="1">
    <w:abstractNumId w:val="4"/>
  </w:num>
  <w:num w:numId="2">
    <w:abstractNumId w:val="5"/>
  </w:num>
  <w:num w:numId="3">
    <w:abstractNumId w:val="38"/>
  </w:num>
  <w:num w:numId="4">
    <w:abstractNumId w:val="27"/>
  </w:num>
  <w:num w:numId="5">
    <w:abstractNumId w:val="32"/>
  </w:num>
  <w:num w:numId="6">
    <w:abstractNumId w:val="34"/>
  </w:num>
  <w:num w:numId="7">
    <w:abstractNumId w:val="29"/>
  </w:num>
  <w:num w:numId="8">
    <w:abstractNumId w:val="1"/>
  </w:num>
  <w:num w:numId="9">
    <w:abstractNumId w:val="0"/>
  </w:num>
  <w:num w:numId="10">
    <w:abstractNumId w:val="36"/>
  </w:num>
  <w:num w:numId="11">
    <w:abstractNumId w:val="3"/>
  </w:num>
  <w:num w:numId="12">
    <w:abstractNumId w:val="11"/>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12"/>
  </w:num>
  <w:num w:numId="16">
    <w:abstractNumId w:val="28"/>
  </w:num>
  <w:num w:numId="17">
    <w:abstractNumId w:val="21"/>
  </w:num>
  <w:num w:numId="18">
    <w:abstractNumId w:val="8"/>
  </w:num>
  <w:num w:numId="19">
    <w:abstractNumId w:val="16"/>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5"/>
  </w:num>
  <w:num w:numId="23">
    <w:abstractNumId w:val="33"/>
  </w:num>
  <w:num w:numId="24">
    <w:abstractNumId w:val="25"/>
  </w:num>
  <w:num w:numId="25">
    <w:abstractNumId w:val="18"/>
  </w:num>
  <w:num w:numId="26">
    <w:abstractNumId w:val="39"/>
  </w:num>
  <w:num w:numId="27">
    <w:abstractNumId w:val="13"/>
  </w:num>
  <w:num w:numId="28">
    <w:abstractNumId w:val="31"/>
  </w:num>
  <w:num w:numId="29">
    <w:abstractNumId w:val="23"/>
  </w:num>
  <w:num w:numId="30">
    <w:abstractNumId w:val="24"/>
  </w:num>
  <w:num w:numId="31">
    <w:abstractNumId w:val="20"/>
  </w:num>
  <w:num w:numId="32">
    <w:abstractNumId w:val="30"/>
  </w:num>
  <w:num w:numId="33">
    <w:abstractNumId w:val="19"/>
  </w:num>
  <w:num w:numId="34">
    <w:abstractNumId w:val="6"/>
  </w:num>
  <w:num w:numId="35">
    <w:abstractNumId w:val="17"/>
  </w:num>
  <w:num w:numId="36">
    <w:abstractNumId w:val="15"/>
  </w:num>
  <w:num w:numId="37">
    <w:abstractNumId w:val="22"/>
  </w:num>
  <w:num w:numId="38">
    <w:abstractNumId w:val="26"/>
  </w:num>
  <w:num w:numId="39">
    <w:abstractNumId w:val="3"/>
  </w:num>
  <w:num w:numId="40">
    <w:abstractNumId w:val="14"/>
  </w:num>
  <w:num w:numId="41">
    <w:abstractNumId w:val="7"/>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B3"/>
    <w:rsid w:val="00001274"/>
    <w:rsid w:val="0000153F"/>
    <w:rsid w:val="00006685"/>
    <w:rsid w:val="00007EAC"/>
    <w:rsid w:val="0001419F"/>
    <w:rsid w:val="00014C7B"/>
    <w:rsid w:val="00023C56"/>
    <w:rsid w:val="0002474F"/>
    <w:rsid w:val="00031F00"/>
    <w:rsid w:val="00035960"/>
    <w:rsid w:val="00041672"/>
    <w:rsid w:val="00041820"/>
    <w:rsid w:val="000441BD"/>
    <w:rsid w:val="000451CA"/>
    <w:rsid w:val="000501B7"/>
    <w:rsid w:val="00051547"/>
    <w:rsid w:val="00054E0B"/>
    <w:rsid w:val="00057B63"/>
    <w:rsid w:val="00063814"/>
    <w:rsid w:val="00066B0F"/>
    <w:rsid w:val="0006718A"/>
    <w:rsid w:val="000678E8"/>
    <w:rsid w:val="00074129"/>
    <w:rsid w:val="00075D6E"/>
    <w:rsid w:val="00075E54"/>
    <w:rsid w:val="00077025"/>
    <w:rsid w:val="0008134C"/>
    <w:rsid w:val="00083368"/>
    <w:rsid w:val="00085341"/>
    <w:rsid w:val="000853DD"/>
    <w:rsid w:val="00085756"/>
    <w:rsid w:val="000944E7"/>
    <w:rsid w:val="00096CD7"/>
    <w:rsid w:val="000A2C4B"/>
    <w:rsid w:val="000A41B7"/>
    <w:rsid w:val="000A6366"/>
    <w:rsid w:val="000B05B3"/>
    <w:rsid w:val="000B299D"/>
    <w:rsid w:val="000B38CD"/>
    <w:rsid w:val="000B3C06"/>
    <w:rsid w:val="000B5B39"/>
    <w:rsid w:val="000B686B"/>
    <w:rsid w:val="000C0E84"/>
    <w:rsid w:val="000C67B4"/>
    <w:rsid w:val="000D0DA3"/>
    <w:rsid w:val="000D11F5"/>
    <w:rsid w:val="000D15E7"/>
    <w:rsid w:val="000D23B6"/>
    <w:rsid w:val="000D4B3C"/>
    <w:rsid w:val="000D505F"/>
    <w:rsid w:val="000D6623"/>
    <w:rsid w:val="000D7033"/>
    <w:rsid w:val="000D792F"/>
    <w:rsid w:val="000E0530"/>
    <w:rsid w:val="000E1501"/>
    <w:rsid w:val="000E4606"/>
    <w:rsid w:val="000E4BDB"/>
    <w:rsid w:val="000E5941"/>
    <w:rsid w:val="000E6C67"/>
    <w:rsid w:val="000E6EAA"/>
    <w:rsid w:val="000F2D5F"/>
    <w:rsid w:val="000F3A68"/>
    <w:rsid w:val="00100777"/>
    <w:rsid w:val="001018A6"/>
    <w:rsid w:val="00101F7D"/>
    <w:rsid w:val="001026CA"/>
    <w:rsid w:val="00103839"/>
    <w:rsid w:val="00104445"/>
    <w:rsid w:val="00105A3F"/>
    <w:rsid w:val="00105AE6"/>
    <w:rsid w:val="00106F45"/>
    <w:rsid w:val="001126A1"/>
    <w:rsid w:val="00115215"/>
    <w:rsid w:val="001244BC"/>
    <w:rsid w:val="001255D9"/>
    <w:rsid w:val="00126A64"/>
    <w:rsid w:val="00127DB3"/>
    <w:rsid w:val="0013255F"/>
    <w:rsid w:val="001413CE"/>
    <w:rsid w:val="001421CD"/>
    <w:rsid w:val="00142C55"/>
    <w:rsid w:val="001437D0"/>
    <w:rsid w:val="001472B7"/>
    <w:rsid w:val="0015184F"/>
    <w:rsid w:val="00152E9D"/>
    <w:rsid w:val="00153446"/>
    <w:rsid w:val="001539FF"/>
    <w:rsid w:val="00154F6A"/>
    <w:rsid w:val="00163089"/>
    <w:rsid w:val="001640FC"/>
    <w:rsid w:val="001655CE"/>
    <w:rsid w:val="001704E1"/>
    <w:rsid w:val="00170871"/>
    <w:rsid w:val="0017423F"/>
    <w:rsid w:val="0017440A"/>
    <w:rsid w:val="0017696B"/>
    <w:rsid w:val="00182628"/>
    <w:rsid w:val="00182A9E"/>
    <w:rsid w:val="00185AC7"/>
    <w:rsid w:val="00195542"/>
    <w:rsid w:val="001A0822"/>
    <w:rsid w:val="001A2A78"/>
    <w:rsid w:val="001A48D2"/>
    <w:rsid w:val="001A573E"/>
    <w:rsid w:val="001A6831"/>
    <w:rsid w:val="001A6FC2"/>
    <w:rsid w:val="001A796E"/>
    <w:rsid w:val="001B0405"/>
    <w:rsid w:val="001B1789"/>
    <w:rsid w:val="001B2923"/>
    <w:rsid w:val="001B2CB2"/>
    <w:rsid w:val="001B4359"/>
    <w:rsid w:val="001B5666"/>
    <w:rsid w:val="001B613C"/>
    <w:rsid w:val="001B647B"/>
    <w:rsid w:val="001B767B"/>
    <w:rsid w:val="001B7A79"/>
    <w:rsid w:val="001C3575"/>
    <w:rsid w:val="001C359C"/>
    <w:rsid w:val="001C40D2"/>
    <w:rsid w:val="001D22B2"/>
    <w:rsid w:val="001D3D3A"/>
    <w:rsid w:val="001D4097"/>
    <w:rsid w:val="001D57A6"/>
    <w:rsid w:val="001D5866"/>
    <w:rsid w:val="001D6919"/>
    <w:rsid w:val="001E0098"/>
    <w:rsid w:val="001E08F2"/>
    <w:rsid w:val="001E2344"/>
    <w:rsid w:val="001E2D17"/>
    <w:rsid w:val="001E4405"/>
    <w:rsid w:val="001E450F"/>
    <w:rsid w:val="001E4C8D"/>
    <w:rsid w:val="001E5002"/>
    <w:rsid w:val="001E5ADF"/>
    <w:rsid w:val="001E6882"/>
    <w:rsid w:val="001F4E13"/>
    <w:rsid w:val="001F6EF1"/>
    <w:rsid w:val="00206854"/>
    <w:rsid w:val="00215FC9"/>
    <w:rsid w:val="002218B2"/>
    <w:rsid w:val="002223CB"/>
    <w:rsid w:val="00226197"/>
    <w:rsid w:val="002279D3"/>
    <w:rsid w:val="00232787"/>
    <w:rsid w:val="00236261"/>
    <w:rsid w:val="002423C0"/>
    <w:rsid w:val="00243718"/>
    <w:rsid w:val="00245275"/>
    <w:rsid w:val="00246B34"/>
    <w:rsid w:val="002571E9"/>
    <w:rsid w:val="00262496"/>
    <w:rsid w:val="00262504"/>
    <w:rsid w:val="00265EBA"/>
    <w:rsid w:val="00267730"/>
    <w:rsid w:val="00267B81"/>
    <w:rsid w:val="00271709"/>
    <w:rsid w:val="00274A7C"/>
    <w:rsid w:val="00281929"/>
    <w:rsid w:val="00285C8D"/>
    <w:rsid w:val="00287C91"/>
    <w:rsid w:val="002A07C9"/>
    <w:rsid w:val="002A1255"/>
    <w:rsid w:val="002A13BA"/>
    <w:rsid w:val="002A1A4C"/>
    <w:rsid w:val="002A21B7"/>
    <w:rsid w:val="002A2314"/>
    <w:rsid w:val="002A2E02"/>
    <w:rsid w:val="002A4043"/>
    <w:rsid w:val="002B4214"/>
    <w:rsid w:val="002B5133"/>
    <w:rsid w:val="002B52BC"/>
    <w:rsid w:val="002B626B"/>
    <w:rsid w:val="002B6F02"/>
    <w:rsid w:val="002C25A7"/>
    <w:rsid w:val="002C43A6"/>
    <w:rsid w:val="002C4B36"/>
    <w:rsid w:val="002C761B"/>
    <w:rsid w:val="002D0EF9"/>
    <w:rsid w:val="002D50D7"/>
    <w:rsid w:val="002D51DE"/>
    <w:rsid w:val="002E0927"/>
    <w:rsid w:val="002E19EE"/>
    <w:rsid w:val="002E1DAD"/>
    <w:rsid w:val="002E273A"/>
    <w:rsid w:val="002E39F8"/>
    <w:rsid w:val="002E42ED"/>
    <w:rsid w:val="002E7FF0"/>
    <w:rsid w:val="002F0230"/>
    <w:rsid w:val="002F23D3"/>
    <w:rsid w:val="002F41ED"/>
    <w:rsid w:val="002F420B"/>
    <w:rsid w:val="002F69CB"/>
    <w:rsid w:val="003020EF"/>
    <w:rsid w:val="00302F69"/>
    <w:rsid w:val="00303ED9"/>
    <w:rsid w:val="00305804"/>
    <w:rsid w:val="00310B39"/>
    <w:rsid w:val="00310ED7"/>
    <w:rsid w:val="003138D3"/>
    <w:rsid w:val="00316060"/>
    <w:rsid w:val="00316C1B"/>
    <w:rsid w:val="00317B10"/>
    <w:rsid w:val="00320F5A"/>
    <w:rsid w:val="003253BB"/>
    <w:rsid w:val="003300C5"/>
    <w:rsid w:val="003315BC"/>
    <w:rsid w:val="00334E68"/>
    <w:rsid w:val="00340760"/>
    <w:rsid w:val="00341857"/>
    <w:rsid w:val="00343156"/>
    <w:rsid w:val="003470B3"/>
    <w:rsid w:val="00350CFD"/>
    <w:rsid w:val="0035138B"/>
    <w:rsid w:val="00352E52"/>
    <w:rsid w:val="00354686"/>
    <w:rsid w:val="00355D3E"/>
    <w:rsid w:val="0036163B"/>
    <w:rsid w:val="003619D0"/>
    <w:rsid w:val="00361A10"/>
    <w:rsid w:val="00361C34"/>
    <w:rsid w:val="00363C7A"/>
    <w:rsid w:val="0036657D"/>
    <w:rsid w:val="00367008"/>
    <w:rsid w:val="00384D5F"/>
    <w:rsid w:val="0039112E"/>
    <w:rsid w:val="00395858"/>
    <w:rsid w:val="00396B48"/>
    <w:rsid w:val="003A04F3"/>
    <w:rsid w:val="003A08FF"/>
    <w:rsid w:val="003A1A4F"/>
    <w:rsid w:val="003A2A82"/>
    <w:rsid w:val="003A75EF"/>
    <w:rsid w:val="003A7905"/>
    <w:rsid w:val="003A7DCE"/>
    <w:rsid w:val="003B1FDF"/>
    <w:rsid w:val="003B41B5"/>
    <w:rsid w:val="003B64C6"/>
    <w:rsid w:val="003C2FAD"/>
    <w:rsid w:val="003C7071"/>
    <w:rsid w:val="003C7D91"/>
    <w:rsid w:val="003D01BA"/>
    <w:rsid w:val="003D142F"/>
    <w:rsid w:val="003D2081"/>
    <w:rsid w:val="003E0529"/>
    <w:rsid w:val="003E6D66"/>
    <w:rsid w:val="003F26F5"/>
    <w:rsid w:val="003F58C5"/>
    <w:rsid w:val="003F64F2"/>
    <w:rsid w:val="003F7518"/>
    <w:rsid w:val="00401AD7"/>
    <w:rsid w:val="00401DD9"/>
    <w:rsid w:val="00405557"/>
    <w:rsid w:val="004076C4"/>
    <w:rsid w:val="00415518"/>
    <w:rsid w:val="004167EF"/>
    <w:rsid w:val="00427922"/>
    <w:rsid w:val="00427ED5"/>
    <w:rsid w:val="004360C7"/>
    <w:rsid w:val="0043677F"/>
    <w:rsid w:val="00441DF4"/>
    <w:rsid w:val="00443AEA"/>
    <w:rsid w:val="0044429A"/>
    <w:rsid w:val="004464B6"/>
    <w:rsid w:val="00446DE5"/>
    <w:rsid w:val="004475AD"/>
    <w:rsid w:val="00451B61"/>
    <w:rsid w:val="004532F6"/>
    <w:rsid w:val="00461D67"/>
    <w:rsid w:val="0046219B"/>
    <w:rsid w:val="00465AE2"/>
    <w:rsid w:val="00465DB4"/>
    <w:rsid w:val="00466227"/>
    <w:rsid w:val="00466E50"/>
    <w:rsid w:val="00472E1A"/>
    <w:rsid w:val="00474242"/>
    <w:rsid w:val="004749B4"/>
    <w:rsid w:val="00477201"/>
    <w:rsid w:val="00477664"/>
    <w:rsid w:val="00480013"/>
    <w:rsid w:val="004812F7"/>
    <w:rsid w:val="00482A3F"/>
    <w:rsid w:val="00494CED"/>
    <w:rsid w:val="00495600"/>
    <w:rsid w:val="004A6BA6"/>
    <w:rsid w:val="004B249D"/>
    <w:rsid w:val="004B5491"/>
    <w:rsid w:val="004C15D6"/>
    <w:rsid w:val="004C27EC"/>
    <w:rsid w:val="004C6C94"/>
    <w:rsid w:val="004D1BC7"/>
    <w:rsid w:val="004D38EA"/>
    <w:rsid w:val="00500DBB"/>
    <w:rsid w:val="0050281B"/>
    <w:rsid w:val="00506C25"/>
    <w:rsid w:val="00514CF1"/>
    <w:rsid w:val="00517B14"/>
    <w:rsid w:val="00521A1F"/>
    <w:rsid w:val="005254CA"/>
    <w:rsid w:val="00525C2B"/>
    <w:rsid w:val="00527BB1"/>
    <w:rsid w:val="005311C5"/>
    <w:rsid w:val="00534128"/>
    <w:rsid w:val="00534E84"/>
    <w:rsid w:val="00534FAA"/>
    <w:rsid w:val="00535667"/>
    <w:rsid w:val="00537D82"/>
    <w:rsid w:val="005412B8"/>
    <w:rsid w:val="00546E29"/>
    <w:rsid w:val="005502EB"/>
    <w:rsid w:val="0055076E"/>
    <w:rsid w:val="0055087D"/>
    <w:rsid w:val="005570C4"/>
    <w:rsid w:val="00557E8B"/>
    <w:rsid w:val="0056167D"/>
    <w:rsid w:val="00562993"/>
    <w:rsid w:val="00566811"/>
    <w:rsid w:val="00567402"/>
    <w:rsid w:val="00575064"/>
    <w:rsid w:val="005750CF"/>
    <w:rsid w:val="0058189C"/>
    <w:rsid w:val="00583C4B"/>
    <w:rsid w:val="00585270"/>
    <w:rsid w:val="00590C09"/>
    <w:rsid w:val="00594FC0"/>
    <w:rsid w:val="00596673"/>
    <w:rsid w:val="005A3E0C"/>
    <w:rsid w:val="005B113F"/>
    <w:rsid w:val="005B1447"/>
    <w:rsid w:val="005B497E"/>
    <w:rsid w:val="005C29ED"/>
    <w:rsid w:val="005C40F2"/>
    <w:rsid w:val="005C5562"/>
    <w:rsid w:val="005C62B3"/>
    <w:rsid w:val="005C7150"/>
    <w:rsid w:val="005D061E"/>
    <w:rsid w:val="005D22BC"/>
    <w:rsid w:val="005D261F"/>
    <w:rsid w:val="005D65B9"/>
    <w:rsid w:val="005E311C"/>
    <w:rsid w:val="005E5356"/>
    <w:rsid w:val="005E5ACF"/>
    <w:rsid w:val="005E61F5"/>
    <w:rsid w:val="005E7824"/>
    <w:rsid w:val="005F0B37"/>
    <w:rsid w:val="005F3199"/>
    <w:rsid w:val="005F50B4"/>
    <w:rsid w:val="005F51C5"/>
    <w:rsid w:val="0060549E"/>
    <w:rsid w:val="006055E8"/>
    <w:rsid w:val="00610F80"/>
    <w:rsid w:val="00616CA2"/>
    <w:rsid w:val="00617B47"/>
    <w:rsid w:val="0062193D"/>
    <w:rsid w:val="0062231B"/>
    <w:rsid w:val="006237FF"/>
    <w:rsid w:val="00624DE7"/>
    <w:rsid w:val="00630BD1"/>
    <w:rsid w:val="00630C21"/>
    <w:rsid w:val="00631589"/>
    <w:rsid w:val="00644D7A"/>
    <w:rsid w:val="006453EC"/>
    <w:rsid w:val="00646794"/>
    <w:rsid w:val="00650824"/>
    <w:rsid w:val="00650B2A"/>
    <w:rsid w:val="00666172"/>
    <w:rsid w:val="00667A65"/>
    <w:rsid w:val="0067151E"/>
    <w:rsid w:val="00673343"/>
    <w:rsid w:val="00681AA5"/>
    <w:rsid w:val="00681B12"/>
    <w:rsid w:val="00682A1D"/>
    <w:rsid w:val="00685F35"/>
    <w:rsid w:val="006865FC"/>
    <w:rsid w:val="00694E5E"/>
    <w:rsid w:val="00697089"/>
    <w:rsid w:val="006A2C83"/>
    <w:rsid w:val="006A4A32"/>
    <w:rsid w:val="006A4E64"/>
    <w:rsid w:val="006A56E0"/>
    <w:rsid w:val="006A6182"/>
    <w:rsid w:val="006A6E51"/>
    <w:rsid w:val="006A7464"/>
    <w:rsid w:val="006B058F"/>
    <w:rsid w:val="006B19C9"/>
    <w:rsid w:val="006B2AE6"/>
    <w:rsid w:val="006B3361"/>
    <w:rsid w:val="006B7F04"/>
    <w:rsid w:val="006C0C9B"/>
    <w:rsid w:val="006C5C8D"/>
    <w:rsid w:val="006C761E"/>
    <w:rsid w:val="006D529F"/>
    <w:rsid w:val="006E2671"/>
    <w:rsid w:val="006E61F2"/>
    <w:rsid w:val="006E69AE"/>
    <w:rsid w:val="006E7B34"/>
    <w:rsid w:val="006F44A7"/>
    <w:rsid w:val="006F488E"/>
    <w:rsid w:val="006F6164"/>
    <w:rsid w:val="006F7D44"/>
    <w:rsid w:val="007020E5"/>
    <w:rsid w:val="007040E6"/>
    <w:rsid w:val="00705017"/>
    <w:rsid w:val="00713679"/>
    <w:rsid w:val="0071569B"/>
    <w:rsid w:val="0072168D"/>
    <w:rsid w:val="00723400"/>
    <w:rsid w:val="0072476A"/>
    <w:rsid w:val="0072563B"/>
    <w:rsid w:val="00734983"/>
    <w:rsid w:val="00734E07"/>
    <w:rsid w:val="00735A9D"/>
    <w:rsid w:val="0074046E"/>
    <w:rsid w:val="00744C57"/>
    <w:rsid w:val="00747131"/>
    <w:rsid w:val="00752A2C"/>
    <w:rsid w:val="00755D71"/>
    <w:rsid w:val="007661E5"/>
    <w:rsid w:val="00766624"/>
    <w:rsid w:val="00772340"/>
    <w:rsid w:val="00774E8C"/>
    <w:rsid w:val="00775D14"/>
    <w:rsid w:val="00777E0F"/>
    <w:rsid w:val="00780166"/>
    <w:rsid w:val="007847C1"/>
    <w:rsid w:val="00787A46"/>
    <w:rsid w:val="00790D8A"/>
    <w:rsid w:val="00796BE3"/>
    <w:rsid w:val="00797E02"/>
    <w:rsid w:val="007A1A02"/>
    <w:rsid w:val="007A3BF1"/>
    <w:rsid w:val="007A3C7F"/>
    <w:rsid w:val="007B173F"/>
    <w:rsid w:val="007B28DE"/>
    <w:rsid w:val="007B34C5"/>
    <w:rsid w:val="007B470F"/>
    <w:rsid w:val="007B5ADE"/>
    <w:rsid w:val="007B786B"/>
    <w:rsid w:val="007C00F0"/>
    <w:rsid w:val="007C3D6F"/>
    <w:rsid w:val="007C546A"/>
    <w:rsid w:val="007D15C4"/>
    <w:rsid w:val="007D23C9"/>
    <w:rsid w:val="007D69FA"/>
    <w:rsid w:val="007D722F"/>
    <w:rsid w:val="007E007E"/>
    <w:rsid w:val="007E09A8"/>
    <w:rsid w:val="007E50C2"/>
    <w:rsid w:val="007E5EDF"/>
    <w:rsid w:val="007E6E76"/>
    <w:rsid w:val="007E7C3F"/>
    <w:rsid w:val="007F177E"/>
    <w:rsid w:val="007F19DD"/>
    <w:rsid w:val="007F2312"/>
    <w:rsid w:val="007F31F0"/>
    <w:rsid w:val="007F3DD8"/>
    <w:rsid w:val="007F5960"/>
    <w:rsid w:val="007F5FFF"/>
    <w:rsid w:val="007F6CB5"/>
    <w:rsid w:val="00800302"/>
    <w:rsid w:val="00801944"/>
    <w:rsid w:val="00801BEE"/>
    <w:rsid w:val="00805BCA"/>
    <w:rsid w:val="00806344"/>
    <w:rsid w:val="00806CFC"/>
    <w:rsid w:val="00810651"/>
    <w:rsid w:val="00812F5E"/>
    <w:rsid w:val="00816BB4"/>
    <w:rsid w:val="00821246"/>
    <w:rsid w:val="00821B62"/>
    <w:rsid w:val="0082383E"/>
    <w:rsid w:val="00824FC1"/>
    <w:rsid w:val="0082577C"/>
    <w:rsid w:val="00826121"/>
    <w:rsid w:val="00827DE5"/>
    <w:rsid w:val="008370E3"/>
    <w:rsid w:val="00844B64"/>
    <w:rsid w:val="008462EA"/>
    <w:rsid w:val="00852E0B"/>
    <w:rsid w:val="0085475B"/>
    <w:rsid w:val="0085506A"/>
    <w:rsid w:val="00857445"/>
    <w:rsid w:val="00857846"/>
    <w:rsid w:val="00857D2D"/>
    <w:rsid w:val="00860698"/>
    <w:rsid w:val="00860D8F"/>
    <w:rsid w:val="0086268D"/>
    <w:rsid w:val="00863DCF"/>
    <w:rsid w:val="00864C31"/>
    <w:rsid w:val="00865C57"/>
    <w:rsid w:val="00866965"/>
    <w:rsid w:val="00866AC2"/>
    <w:rsid w:val="00867183"/>
    <w:rsid w:val="00870C11"/>
    <w:rsid w:val="0087276B"/>
    <w:rsid w:val="00875051"/>
    <w:rsid w:val="00877CEC"/>
    <w:rsid w:val="008841F0"/>
    <w:rsid w:val="00885F75"/>
    <w:rsid w:val="00886BBD"/>
    <w:rsid w:val="00890FD5"/>
    <w:rsid w:val="00892962"/>
    <w:rsid w:val="0089339F"/>
    <w:rsid w:val="008A064C"/>
    <w:rsid w:val="008A20CF"/>
    <w:rsid w:val="008A6FDF"/>
    <w:rsid w:val="008B07D0"/>
    <w:rsid w:val="008B0AA5"/>
    <w:rsid w:val="008B544D"/>
    <w:rsid w:val="008B70CC"/>
    <w:rsid w:val="008C0CE3"/>
    <w:rsid w:val="008C4D4B"/>
    <w:rsid w:val="008D0023"/>
    <w:rsid w:val="008D25BF"/>
    <w:rsid w:val="008D2C25"/>
    <w:rsid w:val="008D35B4"/>
    <w:rsid w:val="008D5486"/>
    <w:rsid w:val="008D54D0"/>
    <w:rsid w:val="008D5678"/>
    <w:rsid w:val="008E000D"/>
    <w:rsid w:val="008E00D5"/>
    <w:rsid w:val="008E0AAA"/>
    <w:rsid w:val="008E1B36"/>
    <w:rsid w:val="008E2BCA"/>
    <w:rsid w:val="008F1F55"/>
    <w:rsid w:val="008F2B5C"/>
    <w:rsid w:val="008F560F"/>
    <w:rsid w:val="008F6064"/>
    <w:rsid w:val="00902013"/>
    <w:rsid w:val="009022D8"/>
    <w:rsid w:val="009044B3"/>
    <w:rsid w:val="0090475E"/>
    <w:rsid w:val="0091146E"/>
    <w:rsid w:val="0091602C"/>
    <w:rsid w:val="00917EEC"/>
    <w:rsid w:val="00917F69"/>
    <w:rsid w:val="00920BF5"/>
    <w:rsid w:val="00921DE9"/>
    <w:rsid w:val="009245BC"/>
    <w:rsid w:val="009251A7"/>
    <w:rsid w:val="009258E9"/>
    <w:rsid w:val="0092622D"/>
    <w:rsid w:val="00926236"/>
    <w:rsid w:val="0093155F"/>
    <w:rsid w:val="00931D05"/>
    <w:rsid w:val="00932ECD"/>
    <w:rsid w:val="00936BF5"/>
    <w:rsid w:val="00943008"/>
    <w:rsid w:val="00946E97"/>
    <w:rsid w:val="009526C5"/>
    <w:rsid w:val="00955BE9"/>
    <w:rsid w:val="00961AF0"/>
    <w:rsid w:val="0096238D"/>
    <w:rsid w:val="009635DA"/>
    <w:rsid w:val="00966803"/>
    <w:rsid w:val="00972FB9"/>
    <w:rsid w:val="00977251"/>
    <w:rsid w:val="0098017B"/>
    <w:rsid w:val="00984099"/>
    <w:rsid w:val="0099388F"/>
    <w:rsid w:val="009946B9"/>
    <w:rsid w:val="009947B8"/>
    <w:rsid w:val="009A086E"/>
    <w:rsid w:val="009A254D"/>
    <w:rsid w:val="009A4AD5"/>
    <w:rsid w:val="009A6819"/>
    <w:rsid w:val="009B01FA"/>
    <w:rsid w:val="009B02E2"/>
    <w:rsid w:val="009B0804"/>
    <w:rsid w:val="009B12F9"/>
    <w:rsid w:val="009B1BDC"/>
    <w:rsid w:val="009B2A29"/>
    <w:rsid w:val="009B4B7C"/>
    <w:rsid w:val="009C6C44"/>
    <w:rsid w:val="009D1852"/>
    <w:rsid w:val="009D5D0B"/>
    <w:rsid w:val="009D673A"/>
    <w:rsid w:val="009D753D"/>
    <w:rsid w:val="009D7725"/>
    <w:rsid w:val="009E1805"/>
    <w:rsid w:val="009E54F3"/>
    <w:rsid w:val="009E7513"/>
    <w:rsid w:val="009F11AF"/>
    <w:rsid w:val="009F16E4"/>
    <w:rsid w:val="009F656E"/>
    <w:rsid w:val="00A008A4"/>
    <w:rsid w:val="00A03637"/>
    <w:rsid w:val="00A06F36"/>
    <w:rsid w:val="00A07D10"/>
    <w:rsid w:val="00A10540"/>
    <w:rsid w:val="00A10740"/>
    <w:rsid w:val="00A172D2"/>
    <w:rsid w:val="00A17BA7"/>
    <w:rsid w:val="00A232A0"/>
    <w:rsid w:val="00A236F1"/>
    <w:rsid w:val="00A24CCD"/>
    <w:rsid w:val="00A32E19"/>
    <w:rsid w:val="00A3324A"/>
    <w:rsid w:val="00A332EC"/>
    <w:rsid w:val="00A352AF"/>
    <w:rsid w:val="00A35529"/>
    <w:rsid w:val="00A35B6E"/>
    <w:rsid w:val="00A36DA9"/>
    <w:rsid w:val="00A41EF8"/>
    <w:rsid w:val="00A46EDF"/>
    <w:rsid w:val="00A526E7"/>
    <w:rsid w:val="00A54CB9"/>
    <w:rsid w:val="00A54DBB"/>
    <w:rsid w:val="00A54FBB"/>
    <w:rsid w:val="00A57B20"/>
    <w:rsid w:val="00A57EEE"/>
    <w:rsid w:val="00A612D4"/>
    <w:rsid w:val="00A64D69"/>
    <w:rsid w:val="00A7202C"/>
    <w:rsid w:val="00A72172"/>
    <w:rsid w:val="00A73586"/>
    <w:rsid w:val="00A737E9"/>
    <w:rsid w:val="00A73D35"/>
    <w:rsid w:val="00A75621"/>
    <w:rsid w:val="00A76160"/>
    <w:rsid w:val="00A82DCD"/>
    <w:rsid w:val="00A849E8"/>
    <w:rsid w:val="00A859AE"/>
    <w:rsid w:val="00A91FCC"/>
    <w:rsid w:val="00A947F0"/>
    <w:rsid w:val="00A94C91"/>
    <w:rsid w:val="00A957DF"/>
    <w:rsid w:val="00A97941"/>
    <w:rsid w:val="00AA14A5"/>
    <w:rsid w:val="00AA4D64"/>
    <w:rsid w:val="00AA73AF"/>
    <w:rsid w:val="00AA7FFB"/>
    <w:rsid w:val="00AB0AA5"/>
    <w:rsid w:val="00AB0D36"/>
    <w:rsid w:val="00AB11E1"/>
    <w:rsid w:val="00AB3C58"/>
    <w:rsid w:val="00AC0049"/>
    <w:rsid w:val="00AC23AF"/>
    <w:rsid w:val="00AC45E0"/>
    <w:rsid w:val="00AC589D"/>
    <w:rsid w:val="00AC6C18"/>
    <w:rsid w:val="00AC7F7C"/>
    <w:rsid w:val="00AD22C1"/>
    <w:rsid w:val="00AE4817"/>
    <w:rsid w:val="00AE6026"/>
    <w:rsid w:val="00AF1537"/>
    <w:rsid w:val="00B03626"/>
    <w:rsid w:val="00B11139"/>
    <w:rsid w:val="00B1327E"/>
    <w:rsid w:val="00B179DE"/>
    <w:rsid w:val="00B200A3"/>
    <w:rsid w:val="00B211CD"/>
    <w:rsid w:val="00B219EA"/>
    <w:rsid w:val="00B31778"/>
    <w:rsid w:val="00B32405"/>
    <w:rsid w:val="00B32FD3"/>
    <w:rsid w:val="00B33302"/>
    <w:rsid w:val="00B36ED7"/>
    <w:rsid w:val="00B405BE"/>
    <w:rsid w:val="00B56D10"/>
    <w:rsid w:val="00B6170A"/>
    <w:rsid w:val="00B6237B"/>
    <w:rsid w:val="00B63DC6"/>
    <w:rsid w:val="00B6450A"/>
    <w:rsid w:val="00B6549C"/>
    <w:rsid w:val="00B65B80"/>
    <w:rsid w:val="00B74356"/>
    <w:rsid w:val="00B76459"/>
    <w:rsid w:val="00B77608"/>
    <w:rsid w:val="00B83BA0"/>
    <w:rsid w:val="00B84C83"/>
    <w:rsid w:val="00B84EEB"/>
    <w:rsid w:val="00B851A2"/>
    <w:rsid w:val="00B860C3"/>
    <w:rsid w:val="00B909C9"/>
    <w:rsid w:val="00B937D1"/>
    <w:rsid w:val="00B94A87"/>
    <w:rsid w:val="00BA1777"/>
    <w:rsid w:val="00BA63E1"/>
    <w:rsid w:val="00BB1BE1"/>
    <w:rsid w:val="00BB2D6D"/>
    <w:rsid w:val="00BB3875"/>
    <w:rsid w:val="00BB44A0"/>
    <w:rsid w:val="00BB68F9"/>
    <w:rsid w:val="00BB73B9"/>
    <w:rsid w:val="00BC26F6"/>
    <w:rsid w:val="00BC2772"/>
    <w:rsid w:val="00BC7962"/>
    <w:rsid w:val="00BD456D"/>
    <w:rsid w:val="00BD7E7F"/>
    <w:rsid w:val="00BE0C0D"/>
    <w:rsid w:val="00BE1149"/>
    <w:rsid w:val="00BE21EA"/>
    <w:rsid w:val="00BE445F"/>
    <w:rsid w:val="00BE4F98"/>
    <w:rsid w:val="00BF08D4"/>
    <w:rsid w:val="00BF30A4"/>
    <w:rsid w:val="00BF3593"/>
    <w:rsid w:val="00BF3CCE"/>
    <w:rsid w:val="00BF4EFD"/>
    <w:rsid w:val="00C014C7"/>
    <w:rsid w:val="00C02F14"/>
    <w:rsid w:val="00C035A3"/>
    <w:rsid w:val="00C04443"/>
    <w:rsid w:val="00C04D2B"/>
    <w:rsid w:val="00C13128"/>
    <w:rsid w:val="00C1415D"/>
    <w:rsid w:val="00C20341"/>
    <w:rsid w:val="00C23722"/>
    <w:rsid w:val="00C23C36"/>
    <w:rsid w:val="00C252DE"/>
    <w:rsid w:val="00C261A5"/>
    <w:rsid w:val="00C271DC"/>
    <w:rsid w:val="00C27909"/>
    <w:rsid w:val="00C321F2"/>
    <w:rsid w:val="00C3526A"/>
    <w:rsid w:val="00C36B31"/>
    <w:rsid w:val="00C36FD3"/>
    <w:rsid w:val="00C40D27"/>
    <w:rsid w:val="00C51CFF"/>
    <w:rsid w:val="00C51DC8"/>
    <w:rsid w:val="00C52DC6"/>
    <w:rsid w:val="00C5319A"/>
    <w:rsid w:val="00C57EA0"/>
    <w:rsid w:val="00C65E95"/>
    <w:rsid w:val="00C65EB9"/>
    <w:rsid w:val="00C70AC7"/>
    <w:rsid w:val="00C71831"/>
    <w:rsid w:val="00C71CEB"/>
    <w:rsid w:val="00C72535"/>
    <w:rsid w:val="00C73DF9"/>
    <w:rsid w:val="00C74086"/>
    <w:rsid w:val="00C8103A"/>
    <w:rsid w:val="00C81899"/>
    <w:rsid w:val="00C876DE"/>
    <w:rsid w:val="00C90811"/>
    <w:rsid w:val="00C91CC6"/>
    <w:rsid w:val="00C95289"/>
    <w:rsid w:val="00C95E7B"/>
    <w:rsid w:val="00C97D41"/>
    <w:rsid w:val="00CA0E70"/>
    <w:rsid w:val="00CA1721"/>
    <w:rsid w:val="00CA47D3"/>
    <w:rsid w:val="00CA5A39"/>
    <w:rsid w:val="00CA609B"/>
    <w:rsid w:val="00CA6142"/>
    <w:rsid w:val="00CA739F"/>
    <w:rsid w:val="00CB1247"/>
    <w:rsid w:val="00CB1AF8"/>
    <w:rsid w:val="00CB1F16"/>
    <w:rsid w:val="00CB3FF7"/>
    <w:rsid w:val="00CB4EA4"/>
    <w:rsid w:val="00CB4FFA"/>
    <w:rsid w:val="00CB6FE3"/>
    <w:rsid w:val="00CC15EF"/>
    <w:rsid w:val="00CC304B"/>
    <w:rsid w:val="00CC3112"/>
    <w:rsid w:val="00CC41A5"/>
    <w:rsid w:val="00CC7475"/>
    <w:rsid w:val="00CC7770"/>
    <w:rsid w:val="00CD10D6"/>
    <w:rsid w:val="00CD128A"/>
    <w:rsid w:val="00CD48A3"/>
    <w:rsid w:val="00CD4F44"/>
    <w:rsid w:val="00CE0D28"/>
    <w:rsid w:val="00CE24B2"/>
    <w:rsid w:val="00CE287D"/>
    <w:rsid w:val="00CE4A2B"/>
    <w:rsid w:val="00CE5BA1"/>
    <w:rsid w:val="00CF0566"/>
    <w:rsid w:val="00CF1B8A"/>
    <w:rsid w:val="00CF3B72"/>
    <w:rsid w:val="00D03E29"/>
    <w:rsid w:val="00D03E95"/>
    <w:rsid w:val="00D077DE"/>
    <w:rsid w:val="00D10D0C"/>
    <w:rsid w:val="00D1423B"/>
    <w:rsid w:val="00D172F8"/>
    <w:rsid w:val="00D17AF6"/>
    <w:rsid w:val="00D2055F"/>
    <w:rsid w:val="00D2220A"/>
    <w:rsid w:val="00D27CCF"/>
    <w:rsid w:val="00D30C90"/>
    <w:rsid w:val="00D31098"/>
    <w:rsid w:val="00D310F6"/>
    <w:rsid w:val="00D3294F"/>
    <w:rsid w:val="00D452B0"/>
    <w:rsid w:val="00D4715D"/>
    <w:rsid w:val="00D477B9"/>
    <w:rsid w:val="00D5042E"/>
    <w:rsid w:val="00D50C5C"/>
    <w:rsid w:val="00D51AB1"/>
    <w:rsid w:val="00D62820"/>
    <w:rsid w:val="00D62D8C"/>
    <w:rsid w:val="00D631EB"/>
    <w:rsid w:val="00D65E53"/>
    <w:rsid w:val="00D71A34"/>
    <w:rsid w:val="00D72E87"/>
    <w:rsid w:val="00D74A1E"/>
    <w:rsid w:val="00D809E3"/>
    <w:rsid w:val="00D81EB6"/>
    <w:rsid w:val="00D83066"/>
    <w:rsid w:val="00D8381C"/>
    <w:rsid w:val="00D86133"/>
    <w:rsid w:val="00D94495"/>
    <w:rsid w:val="00DA0315"/>
    <w:rsid w:val="00DA1039"/>
    <w:rsid w:val="00DA222D"/>
    <w:rsid w:val="00DA3D7A"/>
    <w:rsid w:val="00DA7851"/>
    <w:rsid w:val="00DB1805"/>
    <w:rsid w:val="00DB1D4B"/>
    <w:rsid w:val="00DB309F"/>
    <w:rsid w:val="00DB3A81"/>
    <w:rsid w:val="00DC3A90"/>
    <w:rsid w:val="00DC719D"/>
    <w:rsid w:val="00DD1FED"/>
    <w:rsid w:val="00DD5553"/>
    <w:rsid w:val="00DE20DE"/>
    <w:rsid w:val="00DE232A"/>
    <w:rsid w:val="00DE2F27"/>
    <w:rsid w:val="00DE3550"/>
    <w:rsid w:val="00DF2AF1"/>
    <w:rsid w:val="00DF524A"/>
    <w:rsid w:val="00DF5588"/>
    <w:rsid w:val="00E054DA"/>
    <w:rsid w:val="00E05588"/>
    <w:rsid w:val="00E06BAE"/>
    <w:rsid w:val="00E1315E"/>
    <w:rsid w:val="00E15B5C"/>
    <w:rsid w:val="00E15F65"/>
    <w:rsid w:val="00E16004"/>
    <w:rsid w:val="00E1665F"/>
    <w:rsid w:val="00E21A2C"/>
    <w:rsid w:val="00E21D39"/>
    <w:rsid w:val="00E265AF"/>
    <w:rsid w:val="00E34969"/>
    <w:rsid w:val="00E35801"/>
    <w:rsid w:val="00E40298"/>
    <w:rsid w:val="00E4157F"/>
    <w:rsid w:val="00E42E1A"/>
    <w:rsid w:val="00E4629A"/>
    <w:rsid w:val="00E50C15"/>
    <w:rsid w:val="00E568D3"/>
    <w:rsid w:val="00E6026F"/>
    <w:rsid w:val="00E610C1"/>
    <w:rsid w:val="00E62BB1"/>
    <w:rsid w:val="00E63757"/>
    <w:rsid w:val="00E66A22"/>
    <w:rsid w:val="00E675B3"/>
    <w:rsid w:val="00E676E8"/>
    <w:rsid w:val="00E73AB6"/>
    <w:rsid w:val="00E77A10"/>
    <w:rsid w:val="00E85E7A"/>
    <w:rsid w:val="00E8636A"/>
    <w:rsid w:val="00E92B49"/>
    <w:rsid w:val="00E92BA6"/>
    <w:rsid w:val="00E94F7B"/>
    <w:rsid w:val="00EA5B1A"/>
    <w:rsid w:val="00EB065B"/>
    <w:rsid w:val="00EB164E"/>
    <w:rsid w:val="00EB3A96"/>
    <w:rsid w:val="00EB6482"/>
    <w:rsid w:val="00EB70B9"/>
    <w:rsid w:val="00EC4FE9"/>
    <w:rsid w:val="00EC5B97"/>
    <w:rsid w:val="00EC6A04"/>
    <w:rsid w:val="00EC7CBC"/>
    <w:rsid w:val="00ED2287"/>
    <w:rsid w:val="00ED2917"/>
    <w:rsid w:val="00ED588F"/>
    <w:rsid w:val="00ED688B"/>
    <w:rsid w:val="00ED6A67"/>
    <w:rsid w:val="00ED6E59"/>
    <w:rsid w:val="00EE6742"/>
    <w:rsid w:val="00EE7C6C"/>
    <w:rsid w:val="00EF0245"/>
    <w:rsid w:val="00EF1487"/>
    <w:rsid w:val="00EF2B36"/>
    <w:rsid w:val="00EF47E7"/>
    <w:rsid w:val="00F011DC"/>
    <w:rsid w:val="00F03B2F"/>
    <w:rsid w:val="00F03DBD"/>
    <w:rsid w:val="00F10478"/>
    <w:rsid w:val="00F1156A"/>
    <w:rsid w:val="00F14B99"/>
    <w:rsid w:val="00F14CA4"/>
    <w:rsid w:val="00F16547"/>
    <w:rsid w:val="00F21624"/>
    <w:rsid w:val="00F223FC"/>
    <w:rsid w:val="00F22F6F"/>
    <w:rsid w:val="00F2369C"/>
    <w:rsid w:val="00F24FA3"/>
    <w:rsid w:val="00F276FD"/>
    <w:rsid w:val="00F30011"/>
    <w:rsid w:val="00F31C40"/>
    <w:rsid w:val="00F32779"/>
    <w:rsid w:val="00F33661"/>
    <w:rsid w:val="00F33A5B"/>
    <w:rsid w:val="00F433E9"/>
    <w:rsid w:val="00F444BF"/>
    <w:rsid w:val="00F4496B"/>
    <w:rsid w:val="00F465B3"/>
    <w:rsid w:val="00F50E46"/>
    <w:rsid w:val="00F51A63"/>
    <w:rsid w:val="00F53901"/>
    <w:rsid w:val="00F55847"/>
    <w:rsid w:val="00F57630"/>
    <w:rsid w:val="00F57CFB"/>
    <w:rsid w:val="00F60360"/>
    <w:rsid w:val="00F64F4D"/>
    <w:rsid w:val="00F65A34"/>
    <w:rsid w:val="00F66BE5"/>
    <w:rsid w:val="00F72E5B"/>
    <w:rsid w:val="00F81C1F"/>
    <w:rsid w:val="00F8371F"/>
    <w:rsid w:val="00F84011"/>
    <w:rsid w:val="00F843B0"/>
    <w:rsid w:val="00F848C7"/>
    <w:rsid w:val="00F8557B"/>
    <w:rsid w:val="00F940E5"/>
    <w:rsid w:val="00F941E3"/>
    <w:rsid w:val="00F951AD"/>
    <w:rsid w:val="00FA0FCD"/>
    <w:rsid w:val="00FA179F"/>
    <w:rsid w:val="00FA2111"/>
    <w:rsid w:val="00FA657D"/>
    <w:rsid w:val="00FA67EB"/>
    <w:rsid w:val="00FA7603"/>
    <w:rsid w:val="00FB18FA"/>
    <w:rsid w:val="00FB3F73"/>
    <w:rsid w:val="00FB4C60"/>
    <w:rsid w:val="00FC3B15"/>
    <w:rsid w:val="00FC5A01"/>
    <w:rsid w:val="00FD25E1"/>
    <w:rsid w:val="00FD37E9"/>
    <w:rsid w:val="00FD7EF4"/>
    <w:rsid w:val="00FE01B6"/>
    <w:rsid w:val="00FE08AC"/>
    <w:rsid w:val="00FF59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1C38C"/>
  <w15:chartTrackingRefBased/>
  <w15:docId w15:val="{22A6AAF5-7FC7-4B48-911E-8FC4070F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18A6"/>
    <w:pPr>
      <w:spacing w:after="0" w:line="240" w:lineRule="auto"/>
      <w:jc w:val="both"/>
    </w:pPr>
    <w:rPr>
      <w:rFonts w:ascii="Calibri" w:eastAsia="Times New Roman" w:hAnsi="Calibri" w:cs="Times New Roman"/>
      <w:sz w:val="24"/>
      <w:szCs w:val="24"/>
    </w:rPr>
  </w:style>
  <w:style w:type="paragraph" w:styleId="Nadpis1">
    <w:name w:val="heading 1"/>
    <w:basedOn w:val="Normln"/>
    <w:next w:val="Normln"/>
    <w:link w:val="Nadpis1Char"/>
    <w:qFormat/>
    <w:rsid w:val="00BB2D6D"/>
    <w:pPr>
      <w:keepNext/>
      <w:spacing w:before="240" w:after="120"/>
      <w:ind w:left="425" w:hanging="425"/>
      <w:outlineLvl w:val="0"/>
    </w:pPr>
    <w:rPr>
      <w:rFonts w:asciiTheme="minorHAnsi" w:hAnsiTheme="minorHAnsi" w:cs="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C4B36"/>
    <w:pPr>
      <w:ind w:left="720"/>
      <w:contextualSpacing/>
    </w:pPr>
  </w:style>
  <w:style w:type="paragraph" w:styleId="Zhlav">
    <w:name w:val="header"/>
    <w:basedOn w:val="Normln"/>
    <w:link w:val="ZhlavChar"/>
    <w:uiPriority w:val="99"/>
    <w:unhideWhenUsed/>
    <w:rsid w:val="00316C1B"/>
    <w:pPr>
      <w:tabs>
        <w:tab w:val="center" w:pos="4536"/>
        <w:tab w:val="right" w:pos="9072"/>
      </w:tabs>
    </w:pPr>
  </w:style>
  <w:style w:type="character" w:customStyle="1" w:styleId="ZhlavChar">
    <w:name w:val="Záhlaví Char"/>
    <w:basedOn w:val="Standardnpsmoodstavce"/>
    <w:link w:val="Zhlav"/>
    <w:uiPriority w:val="99"/>
    <w:rsid w:val="00316C1B"/>
    <w:rPr>
      <w:rFonts w:ascii="Calibri" w:eastAsia="Times New Roman" w:hAnsi="Calibri" w:cs="Times New Roman"/>
      <w:sz w:val="24"/>
      <w:szCs w:val="24"/>
    </w:rPr>
  </w:style>
  <w:style w:type="paragraph" w:styleId="Zpat">
    <w:name w:val="footer"/>
    <w:basedOn w:val="Normln"/>
    <w:link w:val="ZpatChar"/>
    <w:uiPriority w:val="99"/>
    <w:unhideWhenUsed/>
    <w:rsid w:val="00316C1B"/>
    <w:pPr>
      <w:tabs>
        <w:tab w:val="center" w:pos="4536"/>
        <w:tab w:val="right" w:pos="9072"/>
      </w:tabs>
    </w:pPr>
  </w:style>
  <w:style w:type="character" w:customStyle="1" w:styleId="ZpatChar">
    <w:name w:val="Zápatí Char"/>
    <w:basedOn w:val="Standardnpsmoodstavce"/>
    <w:link w:val="Zpat"/>
    <w:uiPriority w:val="99"/>
    <w:rsid w:val="00316C1B"/>
    <w:rPr>
      <w:rFonts w:ascii="Calibri" w:eastAsia="Times New Roman" w:hAnsi="Calibri" w:cs="Times New Roman"/>
      <w:sz w:val="24"/>
      <w:szCs w:val="24"/>
    </w:rPr>
  </w:style>
  <w:style w:type="table" w:styleId="Mkatabulky">
    <w:name w:val="Table Grid"/>
    <w:basedOn w:val="Normlntabulka"/>
    <w:uiPriority w:val="39"/>
    <w:rsid w:val="008B0A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tabulky">
    <w:name w:val="Titulek tabulky_"/>
    <w:basedOn w:val="Standardnpsmoodstavce"/>
    <w:link w:val="Titulektabulky0"/>
    <w:locked/>
    <w:rsid w:val="0086268D"/>
    <w:rPr>
      <w:rFonts w:ascii="Tahoma" w:eastAsia="Tahoma" w:hAnsi="Tahoma" w:cs="Tahoma"/>
      <w:color w:val="003365"/>
      <w:sz w:val="20"/>
      <w:szCs w:val="20"/>
      <w:u w:val="single"/>
      <w:shd w:val="clear" w:color="auto" w:fill="FFFFFF"/>
    </w:rPr>
  </w:style>
  <w:style w:type="paragraph" w:customStyle="1" w:styleId="Titulektabulky0">
    <w:name w:val="Titulek tabulky"/>
    <w:basedOn w:val="Normln"/>
    <w:link w:val="Titulektabulky"/>
    <w:rsid w:val="0086268D"/>
    <w:pPr>
      <w:widowControl w:val="0"/>
      <w:shd w:val="clear" w:color="auto" w:fill="FFFFFF"/>
      <w:jc w:val="left"/>
    </w:pPr>
    <w:rPr>
      <w:rFonts w:ascii="Tahoma" w:eastAsia="Tahoma" w:hAnsi="Tahoma" w:cs="Tahoma"/>
      <w:color w:val="003365"/>
      <w:sz w:val="20"/>
      <w:szCs w:val="20"/>
      <w:u w:val="single"/>
    </w:rPr>
  </w:style>
  <w:style w:type="character" w:customStyle="1" w:styleId="OdstavecseseznamemChar">
    <w:name w:val="Odstavec se seznamem Char"/>
    <w:link w:val="Odstavecseseznamem"/>
    <w:uiPriority w:val="34"/>
    <w:locked/>
    <w:rsid w:val="00465AE2"/>
    <w:rPr>
      <w:rFonts w:ascii="Calibri" w:eastAsia="Times New Roman" w:hAnsi="Calibri" w:cs="Times New Roman"/>
      <w:sz w:val="24"/>
      <w:szCs w:val="24"/>
    </w:rPr>
  </w:style>
  <w:style w:type="paragraph" w:customStyle="1" w:styleId="MDSR">
    <w:name w:val="MDS ČR"/>
    <w:basedOn w:val="Normln"/>
    <w:rsid w:val="00801944"/>
    <w:pPr>
      <w:suppressAutoHyphens/>
      <w:overflowPunct w:val="0"/>
      <w:autoSpaceDE w:val="0"/>
      <w:autoSpaceDN w:val="0"/>
      <w:adjustRightInd w:val="0"/>
      <w:spacing w:before="120"/>
      <w:ind w:firstLine="567"/>
    </w:pPr>
    <w:rPr>
      <w:rFonts w:ascii="Times New Roman" w:hAnsi="Times New Roman"/>
      <w:szCs w:val="20"/>
      <w:lang w:eastAsia="cs-CZ"/>
    </w:rPr>
  </w:style>
  <w:style w:type="character" w:customStyle="1" w:styleId="Nadpis10">
    <w:name w:val="Nadpis #1_"/>
    <w:basedOn w:val="Standardnpsmoodstavce"/>
    <w:link w:val="Nadpis11"/>
    <w:locked/>
    <w:rsid w:val="00500DBB"/>
    <w:rPr>
      <w:rFonts w:ascii="Calibri" w:eastAsia="Calibri" w:hAnsi="Calibri" w:cs="Calibri"/>
      <w:b/>
      <w:bCs/>
      <w:sz w:val="28"/>
      <w:szCs w:val="28"/>
      <w:u w:val="single"/>
      <w:shd w:val="clear" w:color="auto" w:fill="FFFFFF"/>
    </w:rPr>
  </w:style>
  <w:style w:type="paragraph" w:customStyle="1" w:styleId="Nadpis11">
    <w:name w:val="Nadpis #1"/>
    <w:basedOn w:val="Normln"/>
    <w:link w:val="Nadpis10"/>
    <w:rsid w:val="00500DBB"/>
    <w:pPr>
      <w:widowControl w:val="0"/>
      <w:shd w:val="clear" w:color="auto" w:fill="FFFFFF"/>
      <w:spacing w:after="80"/>
      <w:outlineLvl w:val="0"/>
    </w:pPr>
    <w:rPr>
      <w:rFonts w:eastAsia="Calibri" w:cs="Calibri"/>
      <w:b/>
      <w:bCs/>
      <w:sz w:val="28"/>
      <w:szCs w:val="28"/>
      <w:u w:val="single"/>
    </w:rPr>
  </w:style>
  <w:style w:type="character" w:customStyle="1" w:styleId="Zkladntext">
    <w:name w:val="Základní text_"/>
    <w:basedOn w:val="Standardnpsmoodstavce"/>
    <w:link w:val="Zkladntext1"/>
    <w:locked/>
    <w:rsid w:val="00500DBB"/>
    <w:rPr>
      <w:rFonts w:ascii="Calibri" w:eastAsia="Calibri" w:hAnsi="Calibri" w:cs="Calibri"/>
      <w:shd w:val="clear" w:color="auto" w:fill="FFFFFF"/>
    </w:rPr>
  </w:style>
  <w:style w:type="paragraph" w:customStyle="1" w:styleId="Zkladntext1">
    <w:name w:val="Základní text1"/>
    <w:basedOn w:val="Normln"/>
    <w:link w:val="Zkladntext"/>
    <w:rsid w:val="00500DBB"/>
    <w:pPr>
      <w:widowControl w:val="0"/>
      <w:shd w:val="clear" w:color="auto" w:fill="FFFFFF"/>
    </w:pPr>
    <w:rPr>
      <w:rFonts w:eastAsia="Calibri" w:cs="Calibri"/>
      <w:sz w:val="22"/>
      <w:szCs w:val="22"/>
    </w:rPr>
  </w:style>
  <w:style w:type="paragraph" w:styleId="Textbubliny">
    <w:name w:val="Balloon Text"/>
    <w:basedOn w:val="Normln"/>
    <w:link w:val="TextbublinyChar"/>
    <w:uiPriority w:val="99"/>
    <w:semiHidden/>
    <w:unhideWhenUsed/>
    <w:rsid w:val="00EB06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065B"/>
    <w:rPr>
      <w:rFonts w:ascii="Segoe UI" w:eastAsia="Times New Roman" w:hAnsi="Segoe UI" w:cs="Segoe UI"/>
      <w:sz w:val="18"/>
      <w:szCs w:val="18"/>
    </w:rPr>
  </w:style>
  <w:style w:type="table" w:customStyle="1" w:styleId="Mkatabulky1">
    <w:name w:val="Mřížka tabulky1"/>
    <w:basedOn w:val="Normlntabulka"/>
    <w:next w:val="Mkatabulky"/>
    <w:uiPriority w:val="39"/>
    <w:rsid w:val="00CA47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63089"/>
    <w:rPr>
      <w:sz w:val="20"/>
      <w:szCs w:val="20"/>
    </w:rPr>
  </w:style>
  <w:style w:type="character" w:customStyle="1" w:styleId="TextpoznpodarouChar">
    <w:name w:val="Text pozn. pod čarou Char"/>
    <w:basedOn w:val="Standardnpsmoodstavce"/>
    <w:link w:val="Textpoznpodarou"/>
    <w:uiPriority w:val="99"/>
    <w:semiHidden/>
    <w:rsid w:val="00163089"/>
    <w:rPr>
      <w:rFonts w:ascii="Calibri" w:eastAsia="Times New Roman" w:hAnsi="Calibri" w:cs="Times New Roman"/>
      <w:sz w:val="20"/>
      <w:szCs w:val="20"/>
    </w:rPr>
  </w:style>
  <w:style w:type="character" w:styleId="Znakapoznpodarou">
    <w:name w:val="footnote reference"/>
    <w:aliases w:val="Footnote"/>
    <w:basedOn w:val="Standardnpsmoodstavce"/>
    <w:uiPriority w:val="99"/>
    <w:semiHidden/>
    <w:unhideWhenUsed/>
    <w:rsid w:val="00163089"/>
    <w:rPr>
      <w:vertAlign w:val="superscript"/>
    </w:rPr>
  </w:style>
  <w:style w:type="paragraph" w:styleId="Zkladntextodsazen">
    <w:name w:val="Body Text Indent"/>
    <w:basedOn w:val="Normln"/>
    <w:link w:val="ZkladntextodsazenChar"/>
    <w:uiPriority w:val="99"/>
    <w:semiHidden/>
    <w:unhideWhenUsed/>
    <w:rsid w:val="00477201"/>
    <w:pPr>
      <w:spacing w:after="120"/>
      <w:ind w:left="283"/>
    </w:pPr>
  </w:style>
  <w:style w:type="character" w:customStyle="1" w:styleId="ZkladntextodsazenChar">
    <w:name w:val="Základní text odsazený Char"/>
    <w:basedOn w:val="Standardnpsmoodstavce"/>
    <w:link w:val="Zkladntextodsazen"/>
    <w:uiPriority w:val="99"/>
    <w:semiHidden/>
    <w:rsid w:val="00477201"/>
    <w:rPr>
      <w:rFonts w:ascii="Calibri" w:eastAsia="Times New Roman" w:hAnsi="Calibri" w:cs="Times New Roman"/>
      <w:sz w:val="24"/>
      <w:szCs w:val="24"/>
    </w:rPr>
  </w:style>
  <w:style w:type="character" w:styleId="Odkaznakoment">
    <w:name w:val="annotation reference"/>
    <w:basedOn w:val="Standardnpsmoodstavce"/>
    <w:uiPriority w:val="99"/>
    <w:semiHidden/>
    <w:unhideWhenUsed/>
    <w:rsid w:val="0017440A"/>
    <w:rPr>
      <w:sz w:val="16"/>
      <w:szCs w:val="16"/>
    </w:rPr>
  </w:style>
  <w:style w:type="paragraph" w:styleId="Textkomente">
    <w:name w:val="annotation text"/>
    <w:basedOn w:val="Normln"/>
    <w:link w:val="TextkomenteChar"/>
    <w:uiPriority w:val="99"/>
    <w:semiHidden/>
    <w:unhideWhenUsed/>
    <w:rsid w:val="0017440A"/>
    <w:rPr>
      <w:sz w:val="20"/>
      <w:szCs w:val="20"/>
    </w:rPr>
  </w:style>
  <w:style w:type="character" w:customStyle="1" w:styleId="TextkomenteChar">
    <w:name w:val="Text komentáře Char"/>
    <w:basedOn w:val="Standardnpsmoodstavce"/>
    <w:link w:val="Textkomente"/>
    <w:uiPriority w:val="99"/>
    <w:semiHidden/>
    <w:rsid w:val="0017440A"/>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17440A"/>
    <w:rPr>
      <w:b/>
      <w:bCs/>
    </w:rPr>
  </w:style>
  <w:style w:type="character" w:customStyle="1" w:styleId="PedmtkomenteChar">
    <w:name w:val="Předmět komentáře Char"/>
    <w:basedOn w:val="TextkomenteChar"/>
    <w:link w:val="Pedmtkomente"/>
    <w:uiPriority w:val="99"/>
    <w:semiHidden/>
    <w:rsid w:val="0017440A"/>
    <w:rPr>
      <w:rFonts w:ascii="Calibri" w:eastAsia="Times New Roman" w:hAnsi="Calibri" w:cs="Times New Roman"/>
      <w:b/>
      <w:bCs/>
      <w:sz w:val="20"/>
      <w:szCs w:val="20"/>
    </w:rPr>
  </w:style>
  <w:style w:type="paragraph" w:styleId="Revize">
    <w:name w:val="Revision"/>
    <w:hidden/>
    <w:uiPriority w:val="99"/>
    <w:semiHidden/>
    <w:rsid w:val="009F16E4"/>
    <w:pPr>
      <w:spacing w:after="0" w:line="240" w:lineRule="auto"/>
    </w:pPr>
    <w:rPr>
      <w:rFonts w:ascii="Calibri" w:eastAsia="Times New Roman" w:hAnsi="Calibri" w:cs="Times New Roman"/>
      <w:sz w:val="24"/>
      <w:szCs w:val="24"/>
    </w:rPr>
  </w:style>
  <w:style w:type="character" w:customStyle="1" w:styleId="Nadpis1Char">
    <w:name w:val="Nadpis 1 Char"/>
    <w:basedOn w:val="Standardnpsmoodstavce"/>
    <w:link w:val="Nadpis1"/>
    <w:rsid w:val="00BB2D6D"/>
    <w:rPr>
      <w:rFonts w:eastAsia="Times New Roman" w:cs="Arial"/>
      <w:b/>
      <w:sz w:val="28"/>
      <w:szCs w:val="24"/>
    </w:rPr>
  </w:style>
  <w:style w:type="character" w:styleId="Hypertextovodkaz">
    <w:name w:val="Hyperlink"/>
    <w:basedOn w:val="Standardnpsmoodstavce"/>
    <w:uiPriority w:val="99"/>
    <w:unhideWhenUsed/>
    <w:rsid w:val="00BB2D6D"/>
    <w:rPr>
      <w:color w:val="0563C1" w:themeColor="hyperlink"/>
      <w:u w:val="single"/>
    </w:rPr>
  </w:style>
  <w:style w:type="paragraph" w:styleId="Bezmezer">
    <w:name w:val="No Spacing"/>
    <w:uiPriority w:val="1"/>
    <w:qFormat/>
    <w:rsid w:val="009044B3"/>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unhideWhenUsed/>
    <w:rsid w:val="001D3D3A"/>
    <w:pPr>
      <w:spacing w:before="100" w:beforeAutospacing="1" w:after="100" w:afterAutospacing="1"/>
      <w:jc w:val="left"/>
    </w:pPr>
    <w:rPr>
      <w:rFonts w:ascii="Times New Roman" w:hAnsi="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6951">
      <w:bodyDiv w:val="1"/>
      <w:marLeft w:val="0"/>
      <w:marRight w:val="0"/>
      <w:marTop w:val="0"/>
      <w:marBottom w:val="0"/>
      <w:divBdr>
        <w:top w:val="none" w:sz="0" w:space="0" w:color="auto"/>
        <w:left w:val="none" w:sz="0" w:space="0" w:color="auto"/>
        <w:bottom w:val="none" w:sz="0" w:space="0" w:color="auto"/>
        <w:right w:val="none" w:sz="0" w:space="0" w:color="auto"/>
      </w:divBdr>
    </w:div>
    <w:div w:id="227302019">
      <w:bodyDiv w:val="1"/>
      <w:marLeft w:val="0"/>
      <w:marRight w:val="0"/>
      <w:marTop w:val="0"/>
      <w:marBottom w:val="0"/>
      <w:divBdr>
        <w:top w:val="none" w:sz="0" w:space="0" w:color="auto"/>
        <w:left w:val="none" w:sz="0" w:space="0" w:color="auto"/>
        <w:bottom w:val="none" w:sz="0" w:space="0" w:color="auto"/>
        <w:right w:val="none" w:sz="0" w:space="0" w:color="auto"/>
      </w:divBdr>
    </w:div>
    <w:div w:id="416177453">
      <w:bodyDiv w:val="1"/>
      <w:marLeft w:val="0"/>
      <w:marRight w:val="0"/>
      <w:marTop w:val="0"/>
      <w:marBottom w:val="0"/>
      <w:divBdr>
        <w:top w:val="none" w:sz="0" w:space="0" w:color="auto"/>
        <w:left w:val="none" w:sz="0" w:space="0" w:color="auto"/>
        <w:bottom w:val="none" w:sz="0" w:space="0" w:color="auto"/>
        <w:right w:val="none" w:sz="0" w:space="0" w:color="auto"/>
      </w:divBdr>
    </w:div>
    <w:div w:id="471947285">
      <w:bodyDiv w:val="1"/>
      <w:marLeft w:val="0"/>
      <w:marRight w:val="0"/>
      <w:marTop w:val="0"/>
      <w:marBottom w:val="0"/>
      <w:divBdr>
        <w:top w:val="none" w:sz="0" w:space="0" w:color="auto"/>
        <w:left w:val="none" w:sz="0" w:space="0" w:color="auto"/>
        <w:bottom w:val="none" w:sz="0" w:space="0" w:color="auto"/>
        <w:right w:val="none" w:sz="0" w:space="0" w:color="auto"/>
      </w:divBdr>
    </w:div>
    <w:div w:id="492335461">
      <w:bodyDiv w:val="1"/>
      <w:marLeft w:val="0"/>
      <w:marRight w:val="0"/>
      <w:marTop w:val="0"/>
      <w:marBottom w:val="0"/>
      <w:divBdr>
        <w:top w:val="none" w:sz="0" w:space="0" w:color="auto"/>
        <w:left w:val="none" w:sz="0" w:space="0" w:color="auto"/>
        <w:bottom w:val="none" w:sz="0" w:space="0" w:color="auto"/>
        <w:right w:val="none" w:sz="0" w:space="0" w:color="auto"/>
      </w:divBdr>
    </w:div>
    <w:div w:id="534972386">
      <w:bodyDiv w:val="1"/>
      <w:marLeft w:val="0"/>
      <w:marRight w:val="0"/>
      <w:marTop w:val="0"/>
      <w:marBottom w:val="0"/>
      <w:divBdr>
        <w:top w:val="none" w:sz="0" w:space="0" w:color="auto"/>
        <w:left w:val="none" w:sz="0" w:space="0" w:color="auto"/>
        <w:bottom w:val="none" w:sz="0" w:space="0" w:color="auto"/>
        <w:right w:val="none" w:sz="0" w:space="0" w:color="auto"/>
      </w:divBdr>
    </w:div>
    <w:div w:id="600837019">
      <w:bodyDiv w:val="1"/>
      <w:marLeft w:val="0"/>
      <w:marRight w:val="0"/>
      <w:marTop w:val="0"/>
      <w:marBottom w:val="0"/>
      <w:divBdr>
        <w:top w:val="none" w:sz="0" w:space="0" w:color="auto"/>
        <w:left w:val="none" w:sz="0" w:space="0" w:color="auto"/>
        <w:bottom w:val="none" w:sz="0" w:space="0" w:color="auto"/>
        <w:right w:val="none" w:sz="0" w:space="0" w:color="auto"/>
      </w:divBdr>
    </w:div>
    <w:div w:id="610671578">
      <w:bodyDiv w:val="1"/>
      <w:marLeft w:val="0"/>
      <w:marRight w:val="0"/>
      <w:marTop w:val="0"/>
      <w:marBottom w:val="0"/>
      <w:divBdr>
        <w:top w:val="none" w:sz="0" w:space="0" w:color="auto"/>
        <w:left w:val="none" w:sz="0" w:space="0" w:color="auto"/>
        <w:bottom w:val="none" w:sz="0" w:space="0" w:color="auto"/>
        <w:right w:val="none" w:sz="0" w:space="0" w:color="auto"/>
      </w:divBdr>
    </w:div>
    <w:div w:id="799807818">
      <w:bodyDiv w:val="1"/>
      <w:marLeft w:val="0"/>
      <w:marRight w:val="0"/>
      <w:marTop w:val="0"/>
      <w:marBottom w:val="0"/>
      <w:divBdr>
        <w:top w:val="none" w:sz="0" w:space="0" w:color="auto"/>
        <w:left w:val="none" w:sz="0" w:space="0" w:color="auto"/>
        <w:bottom w:val="none" w:sz="0" w:space="0" w:color="auto"/>
        <w:right w:val="none" w:sz="0" w:space="0" w:color="auto"/>
      </w:divBdr>
    </w:div>
    <w:div w:id="815223190">
      <w:bodyDiv w:val="1"/>
      <w:marLeft w:val="0"/>
      <w:marRight w:val="0"/>
      <w:marTop w:val="0"/>
      <w:marBottom w:val="0"/>
      <w:divBdr>
        <w:top w:val="none" w:sz="0" w:space="0" w:color="auto"/>
        <w:left w:val="none" w:sz="0" w:space="0" w:color="auto"/>
        <w:bottom w:val="none" w:sz="0" w:space="0" w:color="auto"/>
        <w:right w:val="none" w:sz="0" w:space="0" w:color="auto"/>
      </w:divBdr>
    </w:div>
    <w:div w:id="1032145793">
      <w:bodyDiv w:val="1"/>
      <w:marLeft w:val="0"/>
      <w:marRight w:val="0"/>
      <w:marTop w:val="0"/>
      <w:marBottom w:val="0"/>
      <w:divBdr>
        <w:top w:val="none" w:sz="0" w:space="0" w:color="auto"/>
        <w:left w:val="none" w:sz="0" w:space="0" w:color="auto"/>
        <w:bottom w:val="none" w:sz="0" w:space="0" w:color="auto"/>
        <w:right w:val="none" w:sz="0" w:space="0" w:color="auto"/>
      </w:divBdr>
    </w:div>
    <w:div w:id="1081096717">
      <w:bodyDiv w:val="1"/>
      <w:marLeft w:val="0"/>
      <w:marRight w:val="0"/>
      <w:marTop w:val="0"/>
      <w:marBottom w:val="0"/>
      <w:divBdr>
        <w:top w:val="none" w:sz="0" w:space="0" w:color="auto"/>
        <w:left w:val="none" w:sz="0" w:space="0" w:color="auto"/>
        <w:bottom w:val="none" w:sz="0" w:space="0" w:color="auto"/>
        <w:right w:val="none" w:sz="0" w:space="0" w:color="auto"/>
      </w:divBdr>
    </w:div>
    <w:div w:id="1157300578">
      <w:bodyDiv w:val="1"/>
      <w:marLeft w:val="0"/>
      <w:marRight w:val="0"/>
      <w:marTop w:val="0"/>
      <w:marBottom w:val="0"/>
      <w:divBdr>
        <w:top w:val="none" w:sz="0" w:space="0" w:color="auto"/>
        <w:left w:val="none" w:sz="0" w:space="0" w:color="auto"/>
        <w:bottom w:val="none" w:sz="0" w:space="0" w:color="auto"/>
        <w:right w:val="none" w:sz="0" w:space="0" w:color="auto"/>
      </w:divBdr>
      <w:divsChild>
        <w:div w:id="15741237">
          <w:marLeft w:val="0"/>
          <w:marRight w:val="0"/>
          <w:marTop w:val="0"/>
          <w:marBottom w:val="0"/>
          <w:divBdr>
            <w:top w:val="none" w:sz="0" w:space="0" w:color="auto"/>
            <w:left w:val="none" w:sz="0" w:space="0" w:color="auto"/>
            <w:bottom w:val="none" w:sz="0" w:space="0" w:color="auto"/>
            <w:right w:val="none" w:sz="0" w:space="0" w:color="auto"/>
          </w:divBdr>
          <w:divsChild>
            <w:div w:id="1928266332">
              <w:marLeft w:val="0"/>
              <w:marRight w:val="0"/>
              <w:marTop w:val="0"/>
              <w:marBottom w:val="0"/>
              <w:divBdr>
                <w:top w:val="none" w:sz="0" w:space="0" w:color="auto"/>
                <w:left w:val="none" w:sz="0" w:space="0" w:color="auto"/>
                <w:bottom w:val="none" w:sz="0" w:space="0" w:color="auto"/>
                <w:right w:val="none" w:sz="0" w:space="0" w:color="auto"/>
              </w:divBdr>
              <w:divsChild>
                <w:div w:id="1823699121">
                  <w:marLeft w:val="0"/>
                  <w:marRight w:val="0"/>
                  <w:marTop w:val="0"/>
                  <w:marBottom w:val="0"/>
                  <w:divBdr>
                    <w:top w:val="none" w:sz="0" w:space="0" w:color="auto"/>
                    <w:left w:val="none" w:sz="0" w:space="0" w:color="auto"/>
                    <w:bottom w:val="none" w:sz="0" w:space="0" w:color="auto"/>
                    <w:right w:val="none" w:sz="0" w:space="0" w:color="auto"/>
                  </w:divBdr>
                  <w:divsChild>
                    <w:div w:id="1646275503">
                      <w:marLeft w:val="0"/>
                      <w:marRight w:val="0"/>
                      <w:marTop w:val="0"/>
                      <w:marBottom w:val="0"/>
                      <w:divBdr>
                        <w:top w:val="none" w:sz="0" w:space="0" w:color="auto"/>
                        <w:left w:val="none" w:sz="0" w:space="0" w:color="auto"/>
                        <w:bottom w:val="none" w:sz="0" w:space="0" w:color="auto"/>
                        <w:right w:val="none" w:sz="0" w:space="0" w:color="auto"/>
                      </w:divBdr>
                      <w:divsChild>
                        <w:div w:id="86578176">
                          <w:marLeft w:val="0"/>
                          <w:marRight w:val="0"/>
                          <w:marTop w:val="0"/>
                          <w:marBottom w:val="0"/>
                          <w:divBdr>
                            <w:top w:val="none" w:sz="0" w:space="0" w:color="auto"/>
                            <w:left w:val="none" w:sz="0" w:space="0" w:color="auto"/>
                            <w:bottom w:val="none" w:sz="0" w:space="0" w:color="auto"/>
                            <w:right w:val="none" w:sz="0" w:space="0" w:color="auto"/>
                          </w:divBdr>
                          <w:divsChild>
                            <w:div w:id="1248150543">
                              <w:marLeft w:val="0"/>
                              <w:marRight w:val="0"/>
                              <w:marTop w:val="0"/>
                              <w:marBottom w:val="0"/>
                              <w:divBdr>
                                <w:top w:val="none" w:sz="0" w:space="0" w:color="auto"/>
                                <w:left w:val="none" w:sz="0" w:space="0" w:color="auto"/>
                                <w:bottom w:val="none" w:sz="0" w:space="0" w:color="auto"/>
                                <w:right w:val="none" w:sz="0" w:space="0" w:color="auto"/>
                              </w:divBdr>
                              <w:divsChild>
                                <w:div w:id="1083255566">
                                  <w:marLeft w:val="0"/>
                                  <w:marRight w:val="0"/>
                                  <w:marTop w:val="0"/>
                                  <w:marBottom w:val="0"/>
                                  <w:divBdr>
                                    <w:top w:val="none" w:sz="0" w:space="0" w:color="auto"/>
                                    <w:left w:val="none" w:sz="0" w:space="0" w:color="auto"/>
                                    <w:bottom w:val="none" w:sz="0" w:space="0" w:color="auto"/>
                                    <w:right w:val="none" w:sz="0" w:space="0" w:color="auto"/>
                                  </w:divBdr>
                                  <w:divsChild>
                                    <w:div w:id="253824806">
                                      <w:marLeft w:val="0"/>
                                      <w:marRight w:val="0"/>
                                      <w:marTop w:val="0"/>
                                      <w:marBottom w:val="0"/>
                                      <w:divBdr>
                                        <w:top w:val="none" w:sz="0" w:space="0" w:color="auto"/>
                                        <w:left w:val="none" w:sz="0" w:space="0" w:color="auto"/>
                                        <w:bottom w:val="none" w:sz="0" w:space="0" w:color="auto"/>
                                        <w:right w:val="none" w:sz="0" w:space="0" w:color="auto"/>
                                      </w:divBdr>
                                      <w:divsChild>
                                        <w:div w:id="275140614">
                                          <w:marLeft w:val="0"/>
                                          <w:marRight w:val="0"/>
                                          <w:marTop w:val="0"/>
                                          <w:marBottom w:val="0"/>
                                          <w:divBdr>
                                            <w:top w:val="none" w:sz="0" w:space="0" w:color="auto"/>
                                            <w:left w:val="none" w:sz="0" w:space="0" w:color="auto"/>
                                            <w:bottom w:val="none" w:sz="0" w:space="0" w:color="auto"/>
                                            <w:right w:val="none" w:sz="0" w:space="0" w:color="auto"/>
                                          </w:divBdr>
                                          <w:divsChild>
                                            <w:div w:id="830170880">
                                              <w:marLeft w:val="0"/>
                                              <w:marRight w:val="0"/>
                                              <w:marTop w:val="0"/>
                                              <w:marBottom w:val="0"/>
                                              <w:divBdr>
                                                <w:top w:val="none" w:sz="0" w:space="0" w:color="auto"/>
                                                <w:left w:val="none" w:sz="0" w:space="0" w:color="auto"/>
                                                <w:bottom w:val="none" w:sz="0" w:space="0" w:color="auto"/>
                                                <w:right w:val="none" w:sz="0" w:space="0" w:color="auto"/>
                                              </w:divBdr>
                                              <w:divsChild>
                                                <w:div w:id="1872955631">
                                                  <w:marLeft w:val="0"/>
                                                  <w:marRight w:val="0"/>
                                                  <w:marTop w:val="0"/>
                                                  <w:marBottom w:val="0"/>
                                                  <w:divBdr>
                                                    <w:top w:val="none" w:sz="0" w:space="0" w:color="auto"/>
                                                    <w:left w:val="none" w:sz="0" w:space="0" w:color="auto"/>
                                                    <w:bottom w:val="none" w:sz="0" w:space="0" w:color="auto"/>
                                                    <w:right w:val="none" w:sz="0" w:space="0" w:color="auto"/>
                                                  </w:divBdr>
                                                  <w:divsChild>
                                                    <w:div w:id="1211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1091704">
      <w:bodyDiv w:val="1"/>
      <w:marLeft w:val="0"/>
      <w:marRight w:val="0"/>
      <w:marTop w:val="0"/>
      <w:marBottom w:val="0"/>
      <w:divBdr>
        <w:top w:val="none" w:sz="0" w:space="0" w:color="auto"/>
        <w:left w:val="none" w:sz="0" w:space="0" w:color="auto"/>
        <w:bottom w:val="none" w:sz="0" w:space="0" w:color="auto"/>
        <w:right w:val="none" w:sz="0" w:space="0" w:color="auto"/>
      </w:divBdr>
    </w:div>
    <w:div w:id="1200969771">
      <w:bodyDiv w:val="1"/>
      <w:marLeft w:val="0"/>
      <w:marRight w:val="0"/>
      <w:marTop w:val="0"/>
      <w:marBottom w:val="0"/>
      <w:divBdr>
        <w:top w:val="none" w:sz="0" w:space="0" w:color="auto"/>
        <w:left w:val="none" w:sz="0" w:space="0" w:color="auto"/>
        <w:bottom w:val="none" w:sz="0" w:space="0" w:color="auto"/>
        <w:right w:val="none" w:sz="0" w:space="0" w:color="auto"/>
      </w:divBdr>
    </w:div>
    <w:div w:id="1404177589">
      <w:bodyDiv w:val="1"/>
      <w:marLeft w:val="0"/>
      <w:marRight w:val="0"/>
      <w:marTop w:val="0"/>
      <w:marBottom w:val="0"/>
      <w:divBdr>
        <w:top w:val="none" w:sz="0" w:space="0" w:color="auto"/>
        <w:left w:val="none" w:sz="0" w:space="0" w:color="auto"/>
        <w:bottom w:val="none" w:sz="0" w:space="0" w:color="auto"/>
        <w:right w:val="none" w:sz="0" w:space="0" w:color="auto"/>
      </w:divBdr>
    </w:div>
    <w:div w:id="1438255586">
      <w:bodyDiv w:val="1"/>
      <w:marLeft w:val="0"/>
      <w:marRight w:val="0"/>
      <w:marTop w:val="0"/>
      <w:marBottom w:val="0"/>
      <w:divBdr>
        <w:top w:val="none" w:sz="0" w:space="0" w:color="auto"/>
        <w:left w:val="none" w:sz="0" w:space="0" w:color="auto"/>
        <w:bottom w:val="none" w:sz="0" w:space="0" w:color="auto"/>
        <w:right w:val="none" w:sz="0" w:space="0" w:color="auto"/>
      </w:divBdr>
    </w:div>
    <w:div w:id="1449423362">
      <w:bodyDiv w:val="1"/>
      <w:marLeft w:val="0"/>
      <w:marRight w:val="0"/>
      <w:marTop w:val="0"/>
      <w:marBottom w:val="0"/>
      <w:divBdr>
        <w:top w:val="none" w:sz="0" w:space="0" w:color="auto"/>
        <w:left w:val="none" w:sz="0" w:space="0" w:color="auto"/>
        <w:bottom w:val="none" w:sz="0" w:space="0" w:color="auto"/>
        <w:right w:val="none" w:sz="0" w:space="0" w:color="auto"/>
      </w:divBdr>
    </w:div>
    <w:div w:id="1487436847">
      <w:bodyDiv w:val="1"/>
      <w:marLeft w:val="0"/>
      <w:marRight w:val="0"/>
      <w:marTop w:val="0"/>
      <w:marBottom w:val="0"/>
      <w:divBdr>
        <w:top w:val="none" w:sz="0" w:space="0" w:color="auto"/>
        <w:left w:val="none" w:sz="0" w:space="0" w:color="auto"/>
        <w:bottom w:val="none" w:sz="0" w:space="0" w:color="auto"/>
        <w:right w:val="none" w:sz="0" w:space="0" w:color="auto"/>
      </w:divBdr>
    </w:div>
    <w:div w:id="1571387835">
      <w:bodyDiv w:val="1"/>
      <w:marLeft w:val="0"/>
      <w:marRight w:val="0"/>
      <w:marTop w:val="0"/>
      <w:marBottom w:val="0"/>
      <w:divBdr>
        <w:top w:val="none" w:sz="0" w:space="0" w:color="auto"/>
        <w:left w:val="none" w:sz="0" w:space="0" w:color="auto"/>
        <w:bottom w:val="none" w:sz="0" w:space="0" w:color="auto"/>
        <w:right w:val="none" w:sz="0" w:space="0" w:color="auto"/>
      </w:divBdr>
    </w:div>
    <w:div w:id="1640260844">
      <w:bodyDiv w:val="1"/>
      <w:marLeft w:val="0"/>
      <w:marRight w:val="0"/>
      <w:marTop w:val="0"/>
      <w:marBottom w:val="0"/>
      <w:divBdr>
        <w:top w:val="none" w:sz="0" w:space="0" w:color="auto"/>
        <w:left w:val="none" w:sz="0" w:space="0" w:color="auto"/>
        <w:bottom w:val="none" w:sz="0" w:space="0" w:color="auto"/>
        <w:right w:val="none" w:sz="0" w:space="0" w:color="auto"/>
      </w:divBdr>
    </w:div>
    <w:div w:id="1677003182">
      <w:bodyDiv w:val="1"/>
      <w:marLeft w:val="0"/>
      <w:marRight w:val="0"/>
      <w:marTop w:val="0"/>
      <w:marBottom w:val="0"/>
      <w:divBdr>
        <w:top w:val="none" w:sz="0" w:space="0" w:color="auto"/>
        <w:left w:val="none" w:sz="0" w:space="0" w:color="auto"/>
        <w:bottom w:val="none" w:sz="0" w:space="0" w:color="auto"/>
        <w:right w:val="none" w:sz="0" w:space="0" w:color="auto"/>
      </w:divBdr>
    </w:div>
    <w:div w:id="1762726015">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213039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cs-CZ" sz="1200" b="1"/>
              <a:t>Porovnání skutečného čerpání finančních prostředků SŽDC oproti předpokladům uvedeným v </a:t>
            </a:r>
            <a:r>
              <a:rPr lang="cs-CZ" sz="1200" b="1" i="1"/>
              <a:t>Programu rekonstrukce</a:t>
            </a:r>
            <a:br>
              <a:rPr lang="cs-CZ" sz="1200" b="1" i="1"/>
            </a:br>
            <a:r>
              <a:rPr lang="cs-CZ" sz="1200" b="1" i="1" baseline="0"/>
              <a:t> </a:t>
            </a:r>
            <a:r>
              <a:rPr lang="cs-CZ" sz="1200" b="1" i="1"/>
              <a:t>a</a:t>
            </a:r>
            <a:r>
              <a:rPr lang="cs-CZ" sz="1200" b="1" i="1" baseline="0"/>
              <a:t> </a:t>
            </a:r>
            <a:r>
              <a:rPr lang="cs-CZ" sz="1200" b="1" i="1"/>
              <a:t>revitalizace</a:t>
            </a:r>
            <a:r>
              <a:rPr lang="cs-CZ" sz="1200" b="1" i="1" baseline="0"/>
              <a:t> osobních nádraží pro roky </a:t>
            </a:r>
            <a:r>
              <a:rPr lang="cs-CZ" sz="1200" b="1" i="1"/>
              <a:t>2018–2022</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Předpoklad dle Programu 2018–2022</c:v>
                </c:pt>
              </c:strCache>
            </c:strRef>
          </c:tx>
          <c:spPr>
            <a:solidFill>
              <a:srgbClr val="004595"/>
            </a:solidFill>
            <a:ln>
              <a:noFill/>
            </a:ln>
            <a:effectLst/>
          </c:spPr>
          <c:invertIfNegative val="0"/>
          <c:dPt>
            <c:idx val="3"/>
            <c:invertIfNegative val="0"/>
            <c:bubble3D val="0"/>
            <c:spPr>
              <a:solidFill>
                <a:srgbClr val="004595">
                  <a:alpha val="50000"/>
                </a:srgbClr>
              </a:solidFill>
              <a:ln>
                <a:noFill/>
              </a:ln>
              <a:effectLst/>
            </c:spPr>
            <c:extLst>
              <c:ext xmlns:c16="http://schemas.microsoft.com/office/drawing/2014/chart" uri="{C3380CC4-5D6E-409C-BE32-E72D297353CC}">
                <c16:uniqueId val="{00000001-F6A5-4A5E-AD86-773851AA98A0}"/>
              </c:ext>
            </c:extLst>
          </c:dPt>
          <c:dPt>
            <c:idx val="4"/>
            <c:invertIfNegative val="0"/>
            <c:bubble3D val="0"/>
            <c:spPr>
              <a:solidFill>
                <a:srgbClr val="004595">
                  <a:alpha val="50000"/>
                </a:srgbClr>
              </a:solidFill>
              <a:ln>
                <a:noFill/>
              </a:ln>
              <a:effectLst/>
            </c:spPr>
            <c:extLst>
              <c:ext xmlns:c16="http://schemas.microsoft.com/office/drawing/2014/chart" uri="{C3380CC4-5D6E-409C-BE32-E72D297353CC}">
                <c16:uniqueId val="{00000003-F6A5-4A5E-AD86-773851AA98A0}"/>
              </c:ext>
            </c:extLst>
          </c:dPt>
          <c:dPt>
            <c:idx val="5"/>
            <c:invertIfNegative val="0"/>
            <c:bubble3D val="0"/>
            <c:spPr>
              <a:solidFill>
                <a:srgbClr val="004595">
                  <a:alpha val="50000"/>
                </a:srgbClr>
              </a:solidFill>
              <a:ln>
                <a:noFill/>
              </a:ln>
              <a:effectLst/>
            </c:spPr>
            <c:extLst>
              <c:ext xmlns:c16="http://schemas.microsoft.com/office/drawing/2014/chart" uri="{C3380CC4-5D6E-409C-BE32-E72D297353CC}">
                <c16:uniqueId val="{00000005-F6A5-4A5E-AD86-773851AA98A0}"/>
              </c:ext>
            </c:extLst>
          </c:dPt>
          <c:cat>
            <c:strRef>
              <c:f>List1!$A$2:$A$7</c:f>
              <c:strCache>
                <c:ptCount val="6"/>
                <c:pt idx="0">
                  <c:v>Rok 2017</c:v>
                </c:pt>
                <c:pt idx="1">
                  <c:v>Rok 2018</c:v>
                </c:pt>
                <c:pt idx="2">
                  <c:v>Rok 2019</c:v>
                </c:pt>
                <c:pt idx="3">
                  <c:v>Rok 2020</c:v>
                </c:pt>
                <c:pt idx="4">
                  <c:v>Rok 2021</c:v>
                </c:pt>
                <c:pt idx="5">
                  <c:v>Rok 2022</c:v>
                </c:pt>
              </c:strCache>
            </c:strRef>
          </c:cat>
          <c:val>
            <c:numRef>
              <c:f>List1!$B$2:$B$7</c:f>
              <c:numCache>
                <c:formatCode>#,##0</c:formatCode>
                <c:ptCount val="6"/>
                <c:pt idx="0">
                  <c:v>1085</c:v>
                </c:pt>
                <c:pt idx="1">
                  <c:v>1362</c:v>
                </c:pt>
                <c:pt idx="2" formatCode="General">
                  <c:v>1661</c:v>
                </c:pt>
                <c:pt idx="3" formatCode="General">
                  <c:v>1683</c:v>
                </c:pt>
                <c:pt idx="4" formatCode="General">
                  <c:v>1550</c:v>
                </c:pt>
                <c:pt idx="5" formatCode="General">
                  <c:v>1500</c:v>
                </c:pt>
              </c:numCache>
            </c:numRef>
          </c:val>
          <c:extLst>
            <c:ext xmlns:c16="http://schemas.microsoft.com/office/drawing/2014/chart" uri="{C3380CC4-5D6E-409C-BE32-E72D297353CC}">
              <c16:uniqueId val="{00000006-F6A5-4A5E-AD86-773851AA98A0}"/>
            </c:ext>
          </c:extLst>
        </c:ser>
        <c:ser>
          <c:idx val="1"/>
          <c:order val="1"/>
          <c:tx>
            <c:strRef>
              <c:f>List1!$C$1</c:f>
              <c:strCache>
                <c:ptCount val="1"/>
                <c:pt idx="0">
                  <c:v>Sloupec1</c:v>
                </c:pt>
              </c:strCache>
            </c:strRef>
          </c:tx>
          <c:spPr>
            <a:solidFill>
              <a:schemeClr val="accent4"/>
            </a:solidFill>
            <a:ln>
              <a:noFill/>
            </a:ln>
            <a:effectLst/>
          </c:spPr>
          <c:invertIfNegative val="0"/>
          <c:cat>
            <c:strRef>
              <c:f>List1!$A$2:$A$7</c:f>
              <c:strCache>
                <c:ptCount val="6"/>
                <c:pt idx="0">
                  <c:v>Rok 2017</c:v>
                </c:pt>
                <c:pt idx="1">
                  <c:v>Rok 2018</c:v>
                </c:pt>
                <c:pt idx="2">
                  <c:v>Rok 2019</c:v>
                </c:pt>
                <c:pt idx="3">
                  <c:v>Rok 2020</c:v>
                </c:pt>
                <c:pt idx="4">
                  <c:v>Rok 2021</c:v>
                </c:pt>
                <c:pt idx="5">
                  <c:v>Rok 2022</c:v>
                </c:pt>
              </c:strCache>
            </c:strRef>
          </c:cat>
          <c:val>
            <c:numRef>
              <c:f>List1!$C$2:$C$7</c:f>
              <c:numCache>
                <c:formatCode>General</c:formatCode>
                <c:ptCount val="6"/>
              </c:numCache>
            </c:numRef>
          </c:val>
          <c:extLst>
            <c:ext xmlns:c16="http://schemas.microsoft.com/office/drawing/2014/chart" uri="{C3380CC4-5D6E-409C-BE32-E72D297353CC}">
              <c16:uniqueId val="{00000007-F6A5-4A5E-AD86-773851AA98A0}"/>
            </c:ext>
          </c:extLst>
        </c:ser>
        <c:dLbls>
          <c:showLegendKey val="0"/>
          <c:showVal val="0"/>
          <c:showCatName val="0"/>
          <c:showSerName val="0"/>
          <c:showPercent val="0"/>
          <c:showBubbleSize val="0"/>
        </c:dLbls>
        <c:gapWidth val="269"/>
        <c:overlap val="-27"/>
        <c:axId val="404056304"/>
        <c:axId val="404057136"/>
      </c:barChart>
      <c:lineChart>
        <c:grouping val="standard"/>
        <c:varyColors val="0"/>
        <c:ser>
          <c:idx val="2"/>
          <c:order val="2"/>
          <c:tx>
            <c:strRef>
              <c:f>List1!$D$1</c:f>
              <c:strCache>
                <c:ptCount val="1"/>
                <c:pt idx="0">
                  <c:v>Skutečné čerpání v jednotlivých letech</c:v>
                </c:pt>
              </c:strCache>
            </c:strRef>
          </c:tx>
          <c:spPr>
            <a:ln w="28575" cap="rnd">
              <a:solidFill>
                <a:srgbClr val="BD2A33"/>
              </a:solidFill>
              <a:round/>
            </a:ln>
            <a:effectLst/>
          </c:spPr>
          <c:marker>
            <c:symbol val="none"/>
          </c:marker>
          <c:cat>
            <c:strRef>
              <c:f>List1!$A$2:$A$7</c:f>
              <c:strCache>
                <c:ptCount val="6"/>
                <c:pt idx="0">
                  <c:v>Rok 2017</c:v>
                </c:pt>
                <c:pt idx="1">
                  <c:v>Rok 2018</c:v>
                </c:pt>
                <c:pt idx="2">
                  <c:v>Rok 2019</c:v>
                </c:pt>
                <c:pt idx="3">
                  <c:v>Rok 2020</c:v>
                </c:pt>
                <c:pt idx="4">
                  <c:v>Rok 2021</c:v>
                </c:pt>
                <c:pt idx="5">
                  <c:v>Rok 2022</c:v>
                </c:pt>
              </c:strCache>
            </c:strRef>
          </c:cat>
          <c:val>
            <c:numRef>
              <c:f>List1!$D$2:$D$7</c:f>
              <c:numCache>
                <c:formatCode>General</c:formatCode>
                <c:ptCount val="6"/>
                <c:pt idx="0">
                  <c:v>682.38</c:v>
                </c:pt>
                <c:pt idx="1">
                  <c:v>798.59</c:v>
                </c:pt>
                <c:pt idx="2" formatCode="#,##0.00">
                  <c:v>1169.2950000000001</c:v>
                </c:pt>
              </c:numCache>
            </c:numRef>
          </c:val>
          <c:smooth val="0"/>
          <c:extLst>
            <c:ext xmlns:c16="http://schemas.microsoft.com/office/drawing/2014/chart" uri="{C3380CC4-5D6E-409C-BE32-E72D297353CC}">
              <c16:uniqueId val="{00000008-F6A5-4A5E-AD86-773851AA98A0}"/>
            </c:ext>
          </c:extLst>
        </c:ser>
        <c:dLbls>
          <c:showLegendKey val="0"/>
          <c:showVal val="0"/>
          <c:showCatName val="0"/>
          <c:showSerName val="0"/>
          <c:showPercent val="0"/>
          <c:showBubbleSize val="0"/>
        </c:dLbls>
        <c:marker val="1"/>
        <c:smooth val="0"/>
        <c:axId val="414085664"/>
        <c:axId val="414074432"/>
      </c:lineChart>
      <c:catAx>
        <c:axId val="40405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crossAx val="404057136"/>
        <c:crosses val="autoZero"/>
        <c:auto val="1"/>
        <c:lblAlgn val="ctr"/>
        <c:lblOffset val="100"/>
        <c:noMultiLvlLbl val="0"/>
      </c:catAx>
      <c:valAx>
        <c:axId val="404057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cs-CZ"/>
                  <a:t>V</a:t>
                </a:r>
                <a:r>
                  <a:rPr lang="cs-CZ" baseline="0"/>
                  <a:t> mil. Kč</a:t>
                </a:r>
              </a:p>
              <a:p>
                <a:pPr>
                  <a:defRPr/>
                </a:pPr>
                <a:endParaRPr lang="cs-CZ"/>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crossAx val="404056304"/>
        <c:crosses val="autoZero"/>
        <c:crossBetween val="between"/>
      </c:valAx>
      <c:valAx>
        <c:axId val="414074432"/>
        <c:scaling>
          <c:orientation val="minMax"/>
        </c:scaling>
        <c:delete val="1"/>
        <c:axPos val="r"/>
        <c:numFmt formatCode="General" sourceLinked="1"/>
        <c:majorTickMark val="none"/>
        <c:minorTickMark val="none"/>
        <c:tickLblPos val="nextTo"/>
        <c:crossAx val="414085664"/>
        <c:crosses val="max"/>
        <c:crossBetween val="between"/>
      </c:valAx>
      <c:catAx>
        <c:axId val="414085664"/>
        <c:scaling>
          <c:orientation val="minMax"/>
        </c:scaling>
        <c:delete val="1"/>
        <c:axPos val="b"/>
        <c:numFmt formatCode="General" sourceLinked="1"/>
        <c:majorTickMark val="none"/>
        <c:minorTickMark val="none"/>
        <c:tickLblPos val="nextTo"/>
        <c:crossAx val="414074432"/>
        <c:crosses val="autoZero"/>
        <c:auto val="1"/>
        <c:lblAlgn val="ctr"/>
        <c:lblOffset val="100"/>
        <c:noMultiLvlLbl val="0"/>
      </c:catAx>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DF96-2554-4510-A32E-865618C8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FFFD37EF.dotm</Template>
  <TotalTime>4</TotalTime>
  <Pages>18</Pages>
  <Words>5830</Words>
  <Characters>34398</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Kontrolní závěr z kontrolní akce NKÚ č. 19/16 - Rekonstrukce a revitalizace osobních nádraží</vt:lpstr>
    </vt:vector>
  </TitlesOfParts>
  <Company>NKU</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19/16 - Rekonstrukce a revitalizace osobních nádraží</dc:title>
  <dc:subject/>
  <dc:creator>Nejvyšší kontrolní úřad</dc:creator>
  <cp:keywords>kontrolní závěr; nádraží; železnice</cp:keywords>
  <dc:description/>
  <cp:lastModifiedBy>KOKRDA Daniel</cp:lastModifiedBy>
  <cp:revision>4</cp:revision>
  <cp:lastPrinted>2020-05-29T07:55:00Z</cp:lastPrinted>
  <dcterms:created xsi:type="dcterms:W3CDTF">2020-07-03T10:41:00Z</dcterms:created>
  <dcterms:modified xsi:type="dcterms:W3CDTF">2020-07-03T10:45:00Z</dcterms:modified>
</cp:coreProperties>
</file>