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B5480" w14:textId="77777777" w:rsidR="00B33461" w:rsidRPr="00B33461" w:rsidRDefault="00B33461" w:rsidP="00B3346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33461">
        <w:rPr>
          <w:rFonts w:ascii="Calibri" w:hAnsi="Calibri" w:cs="Calibri"/>
          <w:b/>
          <w:noProof/>
          <w:sz w:val="24"/>
          <w:szCs w:val="24"/>
          <w:lang w:eastAsia="cs-CZ"/>
        </w:rPr>
        <w:drawing>
          <wp:anchor distT="0" distB="0" distL="114935" distR="114935" simplePos="0" relativeHeight="251659264" behindDoc="0" locked="0" layoutInCell="1" allowOverlap="1" wp14:anchorId="2B091F13" wp14:editId="17F9DDFE">
            <wp:simplePos x="0" y="0"/>
            <wp:positionH relativeFrom="column">
              <wp:posOffset>2536825</wp:posOffset>
            </wp:positionH>
            <wp:positionV relativeFrom="paragraph">
              <wp:posOffset>2540</wp:posOffset>
            </wp:positionV>
            <wp:extent cx="763905" cy="53975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56573" w14:textId="77777777" w:rsidR="00EF58D3" w:rsidRPr="00B33461" w:rsidRDefault="00EF58D3" w:rsidP="00B3346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1DA66" w14:textId="77777777" w:rsidR="00116D25" w:rsidRPr="00B33461" w:rsidRDefault="00116D25" w:rsidP="00B3346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CF44B01" w14:textId="77777777" w:rsidR="00184AA7" w:rsidRPr="00184AA7" w:rsidRDefault="00184AA7" w:rsidP="00184AA7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bookmarkStart w:id="0" w:name="_GoBack"/>
      <w:r w:rsidRPr="00184AA7">
        <w:rPr>
          <w:rFonts w:ascii="Calibri" w:eastAsia="Times New Roman" w:hAnsi="Calibri" w:cs="Calibri"/>
          <w:b/>
          <w:sz w:val="28"/>
          <w:szCs w:val="28"/>
        </w:rPr>
        <w:t>Kontrolní závěr z kontrolní akce</w:t>
      </w:r>
    </w:p>
    <w:p w14:paraId="52EE37EF" w14:textId="77777777" w:rsidR="00184AA7" w:rsidRPr="00184AA7" w:rsidRDefault="00184AA7" w:rsidP="00184AA7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  <w:highlight w:val="lightGray"/>
        </w:rPr>
      </w:pPr>
    </w:p>
    <w:p w14:paraId="17E4AC1C" w14:textId="77777777" w:rsidR="00184AA7" w:rsidRPr="00184AA7" w:rsidRDefault="00184AA7" w:rsidP="00184AA7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184AA7">
        <w:rPr>
          <w:rFonts w:ascii="Calibri" w:eastAsia="Times New Roman" w:hAnsi="Calibri" w:cs="Calibri"/>
          <w:b/>
          <w:sz w:val="28"/>
          <w:szCs w:val="28"/>
        </w:rPr>
        <w:t>15/32</w:t>
      </w:r>
    </w:p>
    <w:p w14:paraId="3AAB714F" w14:textId="77777777" w:rsidR="00184AA7" w:rsidRPr="00184AA7" w:rsidRDefault="00184AA7" w:rsidP="00184AA7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  <w:highlight w:val="green"/>
        </w:rPr>
      </w:pPr>
    </w:p>
    <w:p w14:paraId="5E26B3F2" w14:textId="77777777" w:rsidR="00184AA7" w:rsidRPr="00184AA7" w:rsidRDefault="00184AA7" w:rsidP="00184AA7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184AA7">
        <w:rPr>
          <w:rFonts w:ascii="Calibri" w:eastAsia="Times New Roman" w:hAnsi="Calibri" w:cs="Calibri"/>
          <w:b/>
          <w:sz w:val="28"/>
          <w:szCs w:val="28"/>
        </w:rPr>
        <w:t>Účetní závěrka Ministerstva vnitra k 31. 12. 2014</w:t>
      </w:r>
    </w:p>
    <w:bookmarkEnd w:id="0"/>
    <w:p w14:paraId="0DD2395D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54EF4E38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7B98A557" w14:textId="77777777" w:rsid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Kontrolní akce byla zařazena do plánu kontrolní činnosti Nejvyššího kontrolního úřadu (dále jen „NKÚ“) na rok 2015 pod číslem 15/32. Kontrolní akci řídila a kontrolní závěr vypracovala členka NKÚ Ing. Jaromíra Steidlová.</w:t>
      </w:r>
    </w:p>
    <w:p w14:paraId="2A0BE322" w14:textId="77777777" w:rsidR="00B37B3A" w:rsidRPr="00B37B3A" w:rsidRDefault="00B37B3A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51551D1" w14:textId="6B663594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 xml:space="preserve">Cílem kontroly bylo prověřit, </w:t>
      </w:r>
      <w:r w:rsidRPr="00184AA7">
        <w:rPr>
          <w:rFonts w:ascii="Calibri" w:eastAsia="Times New Roman" w:hAnsi="Calibri" w:cs="Calibri"/>
          <w:bCs/>
          <w:sz w:val="24"/>
          <w:szCs w:val="24"/>
        </w:rPr>
        <w:t>zda Ministerstvo vnitra při vedení účetnictví a sestavení účetní závěrky k 31. 12. 2014 postupovalo v souladu s příslušnými právními předpisy.</w:t>
      </w:r>
    </w:p>
    <w:p w14:paraId="3DF076D3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4D0B4376" w14:textId="77777777" w:rsidR="00CA1F63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b/>
          <w:sz w:val="24"/>
          <w:szCs w:val="24"/>
        </w:rPr>
        <w:t>Kontrolovaná osoba: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427D24B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Ministerstvo vnitra (dále také „MV“).</w:t>
      </w:r>
    </w:p>
    <w:p w14:paraId="46BB6B93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1F1AC890" w14:textId="5116C79B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 xml:space="preserve">Kontrolováno bylo období roku 2014 </w:t>
      </w:r>
      <w:r w:rsidR="00CA1F63">
        <w:rPr>
          <w:rFonts w:ascii="Calibri" w:eastAsia="Times New Roman" w:hAnsi="Calibri" w:cs="Calibri"/>
          <w:sz w:val="24"/>
          <w:szCs w:val="24"/>
        </w:rPr>
        <w:t>a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související skutečnost</w:t>
      </w:r>
      <w:r w:rsidR="00CA1F63">
        <w:rPr>
          <w:rFonts w:ascii="Calibri" w:eastAsia="Times New Roman" w:hAnsi="Calibri" w:cs="Calibri"/>
          <w:sz w:val="24"/>
          <w:szCs w:val="24"/>
        </w:rPr>
        <w:t>i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</w:t>
      </w:r>
      <w:r w:rsidRPr="00184AA7">
        <w:rPr>
          <w:rFonts w:ascii="Calibri" w:eastAsia="Times New Roman" w:hAnsi="Calibri" w:cs="Calibri"/>
          <w:spacing w:val="-2"/>
          <w:sz w:val="24"/>
          <w:szCs w:val="24"/>
        </w:rPr>
        <w:t xml:space="preserve">z let předchozích </w:t>
      </w:r>
      <w:r w:rsidR="00CA1F63">
        <w:rPr>
          <w:rFonts w:ascii="Calibri" w:eastAsia="Times New Roman" w:hAnsi="Calibri" w:cs="Calibri"/>
          <w:spacing w:val="-2"/>
          <w:sz w:val="24"/>
          <w:szCs w:val="24"/>
        </w:rPr>
        <w:t>či</w:t>
      </w:r>
      <w:r w:rsidRPr="00184AA7">
        <w:rPr>
          <w:rFonts w:ascii="Calibri" w:eastAsia="Times New Roman" w:hAnsi="Calibri" w:cs="Calibri"/>
          <w:spacing w:val="-2"/>
          <w:sz w:val="24"/>
          <w:szCs w:val="24"/>
        </w:rPr>
        <w:t xml:space="preserve"> roku následujícího</w:t>
      </w:r>
      <w:r w:rsidRPr="00184AA7">
        <w:rPr>
          <w:rFonts w:ascii="Calibri" w:eastAsia="Times New Roman" w:hAnsi="Calibri" w:cs="Calibri"/>
          <w:sz w:val="24"/>
          <w:szCs w:val="24"/>
        </w:rPr>
        <w:t>.</w:t>
      </w:r>
    </w:p>
    <w:p w14:paraId="618CEDD7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768D2D6A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Kontrola byla prováděna u kontrolované osoby v době od září 2015 do března 2016.</w:t>
      </w:r>
    </w:p>
    <w:p w14:paraId="21143352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1F01955A" w14:textId="1B8D440F" w:rsidR="00184AA7" w:rsidRPr="00053E78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Námitky proti kontrolnímu protokolu, které MV podalo, vypořád</w:t>
      </w:r>
      <w:r w:rsidR="003D007C">
        <w:rPr>
          <w:rFonts w:ascii="Calibri" w:eastAsia="Times New Roman" w:hAnsi="Calibri" w:cs="Calibri"/>
          <w:sz w:val="24"/>
          <w:szCs w:val="24"/>
        </w:rPr>
        <w:t>al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vedoucí skupiny kontrolujících rozhodnutím o námitkách. </w:t>
      </w:r>
      <w:r w:rsidRPr="00F34542">
        <w:rPr>
          <w:rFonts w:ascii="Calibri" w:eastAsia="Times New Roman" w:hAnsi="Calibri" w:cs="Calibri"/>
          <w:sz w:val="24"/>
          <w:szCs w:val="24"/>
        </w:rPr>
        <w:t xml:space="preserve">Odvolání </w:t>
      </w:r>
      <w:r w:rsidR="003D007C">
        <w:rPr>
          <w:rFonts w:ascii="Calibri" w:eastAsia="Times New Roman" w:hAnsi="Calibri" w:cs="Calibri"/>
          <w:sz w:val="24"/>
          <w:szCs w:val="24"/>
        </w:rPr>
        <w:t xml:space="preserve">MV </w:t>
      </w:r>
      <w:r w:rsidRPr="00F34542">
        <w:rPr>
          <w:rFonts w:ascii="Calibri" w:eastAsia="Times New Roman" w:hAnsi="Calibri" w:cs="Calibri"/>
          <w:sz w:val="24"/>
          <w:szCs w:val="24"/>
        </w:rPr>
        <w:t>proti rozhodnutí o námitkách bylo vypořádáno usnesením Kolegia NKÚ.</w:t>
      </w:r>
    </w:p>
    <w:p w14:paraId="1ACB58E4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61DE957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48D5F29" w14:textId="77777777" w:rsidR="00184AA7" w:rsidRPr="00053E78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53E78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Kolegium</w:t>
      </w:r>
      <w:r w:rsidRPr="00053E7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  </w:t>
      </w:r>
      <w:r w:rsidRPr="00053E78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NKÚ</w:t>
      </w:r>
      <w:r w:rsidRPr="00053E78">
        <w:rPr>
          <w:rFonts w:ascii="Calibri" w:eastAsia="Times New Roman" w:hAnsi="Calibri" w:cs="Calibri"/>
          <w:sz w:val="24"/>
          <w:szCs w:val="24"/>
        </w:rPr>
        <w:t xml:space="preserve">   na svém </w:t>
      </w:r>
      <w:r w:rsidR="00835A4F">
        <w:rPr>
          <w:rFonts w:ascii="Calibri" w:eastAsia="Times New Roman" w:hAnsi="Calibri" w:cs="Calibri"/>
          <w:sz w:val="24"/>
          <w:szCs w:val="24"/>
        </w:rPr>
        <w:t xml:space="preserve">VIII. </w:t>
      </w:r>
      <w:r w:rsidRPr="00053E78">
        <w:rPr>
          <w:rFonts w:ascii="Calibri" w:eastAsia="Times New Roman" w:hAnsi="Calibri" w:cs="Calibri"/>
          <w:sz w:val="24"/>
          <w:szCs w:val="24"/>
        </w:rPr>
        <w:t xml:space="preserve">jednání, které se </w:t>
      </w:r>
      <w:r w:rsidRPr="004A1E00">
        <w:rPr>
          <w:rFonts w:ascii="Calibri" w:eastAsia="Times New Roman" w:hAnsi="Calibri" w:cs="Calibri"/>
          <w:sz w:val="24"/>
          <w:szCs w:val="24"/>
        </w:rPr>
        <w:t xml:space="preserve">konalo dne </w:t>
      </w:r>
      <w:r w:rsidR="004A1E00" w:rsidRPr="004A1E00">
        <w:rPr>
          <w:rFonts w:ascii="Calibri" w:eastAsia="Times New Roman" w:hAnsi="Calibri" w:cs="Calibri"/>
          <w:sz w:val="24"/>
          <w:szCs w:val="24"/>
        </w:rPr>
        <w:t>30. května</w:t>
      </w:r>
      <w:r w:rsidR="007A5192" w:rsidRPr="004A1E00">
        <w:rPr>
          <w:rFonts w:ascii="Calibri" w:eastAsia="Times New Roman" w:hAnsi="Calibri" w:cs="Calibri"/>
          <w:sz w:val="24"/>
          <w:szCs w:val="24"/>
        </w:rPr>
        <w:t xml:space="preserve"> </w:t>
      </w:r>
      <w:r w:rsidRPr="004A1E00">
        <w:rPr>
          <w:rFonts w:ascii="Calibri" w:eastAsia="Times New Roman" w:hAnsi="Calibri" w:cs="Calibri"/>
          <w:sz w:val="24"/>
          <w:szCs w:val="24"/>
        </w:rPr>
        <w:t>2016,</w:t>
      </w:r>
    </w:p>
    <w:p w14:paraId="7E887657" w14:textId="77777777" w:rsidR="00184AA7" w:rsidRPr="00053E78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A1E00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schválilo</w:t>
      </w:r>
      <w:r w:rsidRPr="004A1E00">
        <w:rPr>
          <w:rFonts w:ascii="Calibri" w:eastAsia="Times New Roman" w:hAnsi="Calibri" w:cs="Calibri"/>
          <w:sz w:val="24"/>
          <w:szCs w:val="24"/>
        </w:rPr>
        <w:t xml:space="preserve">   usnesením č. </w:t>
      </w:r>
      <w:r w:rsidR="00AF51D9">
        <w:rPr>
          <w:rFonts w:ascii="Calibri" w:eastAsia="Times New Roman" w:hAnsi="Calibri" w:cs="Calibri"/>
          <w:sz w:val="24"/>
          <w:szCs w:val="24"/>
        </w:rPr>
        <w:t>11</w:t>
      </w:r>
      <w:r w:rsidRPr="004A1E00">
        <w:rPr>
          <w:rFonts w:ascii="Calibri" w:eastAsia="Times New Roman" w:hAnsi="Calibri" w:cs="Calibri"/>
          <w:sz w:val="24"/>
          <w:szCs w:val="24"/>
        </w:rPr>
        <w:t>/</w:t>
      </w:r>
      <w:r w:rsidR="004A1E00">
        <w:rPr>
          <w:rFonts w:ascii="Calibri" w:eastAsia="Times New Roman" w:hAnsi="Calibri" w:cs="Calibri"/>
          <w:sz w:val="24"/>
          <w:szCs w:val="24"/>
        </w:rPr>
        <w:t>VIII</w:t>
      </w:r>
      <w:r w:rsidR="00215E06">
        <w:rPr>
          <w:rFonts w:ascii="Calibri" w:eastAsia="Times New Roman" w:hAnsi="Calibri" w:cs="Calibri"/>
          <w:sz w:val="24"/>
          <w:szCs w:val="24"/>
        </w:rPr>
        <w:t>/</w:t>
      </w:r>
      <w:r w:rsidRPr="004A1E00">
        <w:rPr>
          <w:rFonts w:ascii="Calibri" w:eastAsia="Times New Roman" w:hAnsi="Calibri" w:cs="Calibri"/>
          <w:sz w:val="24"/>
          <w:szCs w:val="24"/>
        </w:rPr>
        <w:t>2016</w:t>
      </w:r>
    </w:p>
    <w:p w14:paraId="5430EEA0" w14:textId="77777777" w:rsidR="00184AA7" w:rsidRPr="00053E78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53E78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kontrolní</w:t>
      </w:r>
      <w:r w:rsidRPr="00053E78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  </w:t>
      </w:r>
      <w:r w:rsidRPr="00053E78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závěr</w:t>
      </w:r>
      <w:r w:rsidRPr="00053E78">
        <w:rPr>
          <w:rFonts w:ascii="Calibri" w:eastAsia="Times New Roman" w:hAnsi="Calibri" w:cs="Calibri"/>
          <w:sz w:val="24"/>
          <w:szCs w:val="24"/>
        </w:rPr>
        <w:t xml:space="preserve">   v tomto znění:</w:t>
      </w:r>
    </w:p>
    <w:p w14:paraId="743F5640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3CDCC532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7C85D106" w14:textId="77777777" w:rsidR="00184AA7" w:rsidRPr="00184AA7" w:rsidRDefault="00184AA7" w:rsidP="00184AA7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184AA7">
        <w:rPr>
          <w:rFonts w:ascii="Calibri" w:eastAsia="Times New Roman" w:hAnsi="Calibri" w:cs="Calibri"/>
          <w:b/>
          <w:sz w:val="28"/>
          <w:szCs w:val="28"/>
        </w:rPr>
        <w:t>I. Úvod</w:t>
      </w:r>
    </w:p>
    <w:p w14:paraId="34B0C66C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7CB8DECB" w14:textId="0984183C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MV bylo zřízeno zákonem č. 2/1969 Sb., o zřízení ministerstev a jiných ústředních orgánů státní správy České republiky, ve znění pozdějších předpisů</w:t>
      </w:r>
      <w:r w:rsidR="007A5192">
        <w:rPr>
          <w:rFonts w:ascii="Calibri" w:eastAsia="Times New Roman" w:hAnsi="Calibri" w:cs="Times New Roman"/>
          <w:sz w:val="24"/>
          <w:szCs w:val="24"/>
        </w:rPr>
        <w:t>. Dle ustanovení § 12 zákona č. </w:t>
      </w:r>
      <w:r w:rsidRPr="00184AA7">
        <w:rPr>
          <w:rFonts w:ascii="Calibri" w:eastAsia="Times New Roman" w:hAnsi="Calibri" w:cs="Times New Roman"/>
          <w:sz w:val="24"/>
          <w:szCs w:val="24"/>
        </w:rPr>
        <w:t>2/1969 Sb. je MV ústředním orgánem pro vnitřní věci</w:t>
      </w:r>
      <w:r w:rsidRPr="00053E78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1062F1">
        <w:rPr>
          <w:rFonts w:ascii="Calibri" w:eastAsia="Times New Roman" w:hAnsi="Calibri" w:cs="Times New Roman"/>
          <w:sz w:val="24"/>
          <w:szCs w:val="24"/>
        </w:rPr>
        <w:t>mimo jiné</w:t>
      </w:r>
      <w:r w:rsidR="0027688D">
        <w:rPr>
          <w:rFonts w:ascii="Calibri" w:eastAsia="Times New Roman" w:hAnsi="Calibri" w:cs="Times New Roman"/>
          <w:sz w:val="24"/>
          <w:szCs w:val="24"/>
        </w:rPr>
        <w:t xml:space="preserve"> pro veřejný pořádek a </w:t>
      </w:r>
      <w:r w:rsidRPr="00053E78">
        <w:rPr>
          <w:rFonts w:ascii="Calibri" w:eastAsia="Times New Roman" w:hAnsi="Calibri" w:cs="Times New Roman"/>
          <w:sz w:val="24"/>
          <w:szCs w:val="24"/>
        </w:rPr>
        <w:t>další věci vnitřního pořádku a bezpečnosti ve vymezeném rozsahu</w:t>
      </w:r>
      <w:r w:rsidR="00503F86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5B480F79" w14:textId="77777777" w:rsidR="00184AA7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 xml:space="preserve">MV je organizační složkou státu (dále jen „OSS“), samostatnou účetní jednotkou a správcem kapitoly státního rozpočtu 314 </w:t>
      </w:r>
      <w:r w:rsidR="00550F49">
        <w:rPr>
          <w:rFonts w:ascii="Calibri" w:eastAsia="Times New Roman" w:hAnsi="Calibri" w:cs="Calibri"/>
          <w:sz w:val="24"/>
          <w:szCs w:val="24"/>
        </w:rPr>
        <w:t xml:space="preserve">– </w:t>
      </w:r>
      <w:r w:rsidRPr="000923BF">
        <w:rPr>
          <w:rFonts w:ascii="Calibri" w:eastAsia="Times New Roman" w:hAnsi="Calibri" w:cs="Calibri"/>
          <w:i/>
          <w:sz w:val="24"/>
          <w:szCs w:val="24"/>
        </w:rPr>
        <w:t>Ministerstvo vnitra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(dále také „kapitola </w:t>
      </w:r>
      <w:r w:rsidR="002C3A87">
        <w:rPr>
          <w:rFonts w:ascii="Calibri" w:eastAsia="Times New Roman" w:hAnsi="Calibri" w:cs="Calibri"/>
          <w:sz w:val="24"/>
          <w:szCs w:val="24"/>
        </w:rPr>
        <w:t>MV</w:t>
      </w:r>
      <w:r w:rsidR="007A5192">
        <w:rPr>
          <w:rFonts w:ascii="Calibri" w:eastAsia="Times New Roman" w:hAnsi="Calibri" w:cs="Calibri"/>
          <w:sz w:val="24"/>
          <w:szCs w:val="24"/>
        </w:rPr>
        <w:t>“). MV bylo k 31. </w:t>
      </w:r>
      <w:r w:rsidRPr="00184AA7">
        <w:rPr>
          <w:rFonts w:ascii="Calibri" w:eastAsia="Times New Roman" w:hAnsi="Calibri" w:cs="Calibri"/>
          <w:sz w:val="24"/>
          <w:szCs w:val="24"/>
        </w:rPr>
        <w:t>prosinci 2014 zřizovatelem 47 OSS</w:t>
      </w:r>
      <w:r w:rsidR="002C3A87">
        <w:rPr>
          <w:rFonts w:ascii="Calibri" w:eastAsia="Times New Roman" w:hAnsi="Calibri" w:cs="Calibri"/>
          <w:sz w:val="24"/>
          <w:szCs w:val="24"/>
        </w:rPr>
        <w:t>,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4 příspěvkových organizací a zakladatelem</w:t>
      </w:r>
      <w:r w:rsidR="00E07476">
        <w:rPr>
          <w:rFonts w:ascii="Calibri" w:eastAsia="Times New Roman" w:hAnsi="Calibri" w:cs="Calibri"/>
          <w:sz w:val="24"/>
          <w:szCs w:val="24"/>
        </w:rPr>
        <w:t xml:space="preserve"> jednoho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státního podniku</w:t>
      </w:r>
      <w:r w:rsidR="00E07476">
        <w:rPr>
          <w:rFonts w:ascii="Calibri" w:eastAsia="Times New Roman" w:hAnsi="Calibri" w:cs="Calibri"/>
          <w:sz w:val="24"/>
          <w:szCs w:val="24"/>
        </w:rPr>
        <w:t>.</w:t>
      </w:r>
      <w:r w:rsidR="006701FB">
        <w:rPr>
          <w:rFonts w:ascii="Calibri" w:eastAsia="Times New Roman" w:hAnsi="Calibri" w:cs="Calibri"/>
          <w:sz w:val="24"/>
          <w:szCs w:val="24"/>
        </w:rPr>
        <w:t xml:space="preserve"> </w:t>
      </w:r>
      <w:r w:rsidRPr="00184AA7">
        <w:rPr>
          <w:rFonts w:ascii="Calibri" w:eastAsia="Times New Roman" w:hAnsi="Calibri" w:cs="Calibri"/>
          <w:sz w:val="24"/>
          <w:szCs w:val="24"/>
        </w:rPr>
        <w:t>Ministerstvo vnitra je také orgánem sociálního zabezpečení pro důchodové pojištění a orgánem nemocenského pojištění, a to v působnosti stanovené příslušnými právními předpisy</w:t>
      </w:r>
      <w:r w:rsidRPr="00184AA7">
        <w:rPr>
          <w:rFonts w:ascii="Calibri" w:eastAsia="Times New Roman" w:hAnsi="Calibri" w:cs="Calibri"/>
          <w:sz w:val="24"/>
          <w:szCs w:val="24"/>
          <w:vertAlign w:val="superscript"/>
        </w:rPr>
        <w:footnoteReference w:id="1"/>
      </w:r>
      <w:r w:rsidRPr="00184AA7">
        <w:rPr>
          <w:rFonts w:ascii="Calibri" w:eastAsia="Times New Roman" w:hAnsi="Calibri" w:cs="Calibri"/>
          <w:sz w:val="24"/>
          <w:szCs w:val="24"/>
        </w:rPr>
        <w:t>.</w:t>
      </w:r>
    </w:p>
    <w:p w14:paraId="76868D5D" w14:textId="52D92A8D" w:rsid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Kontrolovány byly činnosti a skutečnosti, které byly předmětem účetnictví a o kterých MV účtovalo nebo mělo účtovat v průběhu roku 2014</w:t>
      </w:r>
      <w:r w:rsidR="00723C00">
        <w:rPr>
          <w:rFonts w:ascii="Calibri" w:eastAsia="Times New Roman" w:hAnsi="Calibri" w:cs="Calibri"/>
          <w:sz w:val="24"/>
          <w:szCs w:val="24"/>
        </w:rPr>
        <w:t xml:space="preserve">, přičemž </w:t>
      </w:r>
      <w:r w:rsidR="00550F49">
        <w:rPr>
          <w:rFonts w:ascii="Calibri" w:eastAsia="Times New Roman" w:hAnsi="Calibri" w:cs="Calibri"/>
          <w:sz w:val="24"/>
          <w:szCs w:val="24"/>
        </w:rPr>
        <w:t>prověřována</w:t>
      </w:r>
      <w:r w:rsidR="00550F49" w:rsidRPr="00184AA7">
        <w:rPr>
          <w:rFonts w:ascii="Calibri" w:eastAsia="Times New Roman" w:hAnsi="Calibri" w:cs="Calibri"/>
          <w:sz w:val="24"/>
          <w:szCs w:val="24"/>
        </w:rPr>
        <w:t xml:space="preserve"> </w:t>
      </w:r>
      <w:r w:rsidR="00550F49">
        <w:rPr>
          <w:rFonts w:ascii="Calibri" w:eastAsia="Times New Roman" w:hAnsi="Calibri" w:cs="Calibri"/>
          <w:sz w:val="24"/>
          <w:szCs w:val="24"/>
        </w:rPr>
        <w:t xml:space="preserve">byla </w:t>
      </w:r>
      <w:r w:rsidR="00723C00">
        <w:rPr>
          <w:rFonts w:ascii="Calibri" w:eastAsia="Times New Roman" w:hAnsi="Calibri" w:cs="Calibri"/>
          <w:sz w:val="24"/>
          <w:szCs w:val="24"/>
        </w:rPr>
        <w:t xml:space="preserve">také 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správnost používaných účetních metod a ostatních podmínek vedení účetnictví stanovených právními předpisy. </w:t>
      </w:r>
    </w:p>
    <w:p w14:paraId="22EA2505" w14:textId="4BA1FE37" w:rsidR="00184AA7" w:rsidRDefault="00ED2E0E" w:rsidP="006701FB">
      <w:pPr>
        <w:spacing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D2E0E">
        <w:rPr>
          <w:rFonts w:ascii="Calibri" w:eastAsia="Times New Roman" w:hAnsi="Calibri" w:cs="Calibri"/>
          <w:sz w:val="24"/>
          <w:szCs w:val="24"/>
        </w:rPr>
        <w:t xml:space="preserve">Kontrola byla prováděna </w:t>
      </w:r>
      <w:r w:rsidR="00550F49">
        <w:rPr>
          <w:rFonts w:ascii="Calibri" w:eastAsia="Times New Roman" w:hAnsi="Calibri" w:cs="Calibri"/>
          <w:sz w:val="24"/>
          <w:szCs w:val="24"/>
        </w:rPr>
        <w:t>u</w:t>
      </w:r>
      <w:r w:rsidR="00694CB9" w:rsidRPr="00ED2E0E">
        <w:rPr>
          <w:rFonts w:ascii="Calibri" w:eastAsia="Times New Roman" w:hAnsi="Calibri" w:cs="Calibri"/>
          <w:sz w:val="24"/>
          <w:szCs w:val="24"/>
        </w:rPr>
        <w:t xml:space="preserve"> významných účetních okruhů</w:t>
      </w:r>
      <w:r w:rsidR="00694CB9" w:rsidRPr="00ED2E0E">
        <w:rPr>
          <w:rFonts w:ascii="Calibri" w:eastAsia="Times New Roman" w:hAnsi="Calibri" w:cs="Calibri"/>
          <w:sz w:val="24"/>
          <w:szCs w:val="24"/>
          <w:vertAlign w:val="superscript"/>
        </w:rPr>
        <w:footnoteReference w:id="2"/>
      </w:r>
      <w:r w:rsidR="00694CB9">
        <w:rPr>
          <w:rFonts w:ascii="Calibri" w:eastAsia="Times New Roman" w:hAnsi="Calibri" w:cs="Calibri"/>
          <w:sz w:val="24"/>
          <w:szCs w:val="24"/>
        </w:rPr>
        <w:t xml:space="preserve"> </w:t>
      </w:r>
      <w:r w:rsidRPr="00ED2E0E">
        <w:rPr>
          <w:rFonts w:ascii="Calibri" w:eastAsia="Times New Roman" w:hAnsi="Calibri" w:cs="Calibri"/>
          <w:sz w:val="24"/>
          <w:szCs w:val="24"/>
        </w:rPr>
        <w:t xml:space="preserve">na vzorku vybraných účetních případů týkajících se významných transakčních </w:t>
      </w:r>
      <w:r w:rsidRPr="007F3521">
        <w:rPr>
          <w:rFonts w:ascii="Calibri" w:eastAsia="Times New Roman" w:hAnsi="Calibri" w:cs="Calibri"/>
          <w:sz w:val="24"/>
          <w:szCs w:val="24"/>
        </w:rPr>
        <w:t>cyklů</w:t>
      </w:r>
      <w:r w:rsidRPr="007F3521">
        <w:rPr>
          <w:rFonts w:ascii="Calibri" w:eastAsia="Times New Roman" w:hAnsi="Calibri" w:cs="Calibri"/>
          <w:sz w:val="24"/>
          <w:szCs w:val="24"/>
          <w:vertAlign w:val="superscript"/>
        </w:rPr>
        <w:footnoteReference w:id="3"/>
      </w:r>
      <w:r w:rsidRPr="007F3521">
        <w:rPr>
          <w:rFonts w:ascii="Calibri" w:eastAsia="Times New Roman" w:hAnsi="Calibri" w:cs="Calibri"/>
          <w:sz w:val="24"/>
          <w:szCs w:val="24"/>
        </w:rPr>
        <w:t xml:space="preserve"> s cílem</w:t>
      </w:r>
      <w:r w:rsidRPr="00ED2E0E">
        <w:rPr>
          <w:rFonts w:ascii="Calibri" w:eastAsia="Times New Roman" w:hAnsi="Calibri" w:cs="Calibri"/>
          <w:sz w:val="24"/>
          <w:szCs w:val="24"/>
        </w:rPr>
        <w:t xml:space="preserve"> prověřit, zda MV při vedení účetnictví a sestavení účetní závěrky k 31. </w:t>
      </w:r>
      <w:r w:rsidR="00666A88">
        <w:rPr>
          <w:rFonts w:ascii="Calibri" w:eastAsia="Times New Roman" w:hAnsi="Calibri" w:cs="Calibri"/>
          <w:sz w:val="24"/>
          <w:szCs w:val="24"/>
        </w:rPr>
        <w:t>prosinci</w:t>
      </w:r>
      <w:r w:rsidR="007A5192">
        <w:rPr>
          <w:rFonts w:ascii="Calibri" w:eastAsia="Times New Roman" w:hAnsi="Calibri" w:cs="Calibri"/>
          <w:sz w:val="24"/>
          <w:szCs w:val="24"/>
        </w:rPr>
        <w:t xml:space="preserve"> 2014 postupovalo v souladu s </w:t>
      </w:r>
      <w:r w:rsidRPr="00ED2E0E">
        <w:rPr>
          <w:rFonts w:ascii="Calibri" w:eastAsia="Times New Roman" w:hAnsi="Calibri" w:cs="Calibri"/>
          <w:sz w:val="24"/>
          <w:szCs w:val="24"/>
        </w:rPr>
        <w:t xml:space="preserve">příslušnými právními předpisy. </w:t>
      </w:r>
      <w:r w:rsidR="009D4FF2">
        <w:rPr>
          <w:rFonts w:ascii="Calibri" w:eastAsia="Times New Roman" w:hAnsi="Calibri" w:cs="Calibri"/>
          <w:sz w:val="24"/>
          <w:szCs w:val="24"/>
        </w:rPr>
        <w:t xml:space="preserve">U účetních případů vybraných ke kontrole byly také prověřeny související skutečnosti z let předchozích a z roku 2015. </w:t>
      </w:r>
      <w:r w:rsidR="00307965">
        <w:rPr>
          <w:rFonts w:ascii="Calibri" w:eastAsia="Times New Roman" w:hAnsi="Calibri" w:cs="Calibri"/>
          <w:bCs/>
          <w:sz w:val="24"/>
          <w:szCs w:val="24"/>
        </w:rPr>
        <w:t>Na základě svého účetnictví sestavilo MV účetní závěrku k 31. prosinci 2014</w:t>
      </w:r>
      <w:r w:rsidR="00A9475D">
        <w:rPr>
          <w:rFonts w:ascii="Calibri" w:eastAsia="Times New Roman" w:hAnsi="Calibri" w:cs="Calibri"/>
          <w:bCs/>
          <w:sz w:val="24"/>
          <w:szCs w:val="24"/>
        </w:rPr>
        <w:t xml:space="preserve"> (dále také „ÚZ“)</w:t>
      </w:r>
      <w:r w:rsidR="0030796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0B9AEA97" w14:textId="77777777" w:rsidR="00184AA7" w:rsidRPr="00184AA7" w:rsidRDefault="00184AA7" w:rsidP="00725AC7">
      <w:pPr>
        <w:tabs>
          <w:tab w:val="right" w:pos="907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184AA7">
        <w:rPr>
          <w:rFonts w:ascii="Calibri" w:eastAsia="Times New Roman" w:hAnsi="Calibri" w:cs="Calibri"/>
          <w:b/>
          <w:bCs/>
          <w:sz w:val="24"/>
          <w:szCs w:val="24"/>
        </w:rPr>
        <w:t>Tabulka č. 1 – Základní údaje účetní závěrky MV k 31. prosinci 2014</w:t>
      </w:r>
      <w:r w:rsidR="00725AC7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184AA7">
        <w:rPr>
          <w:rFonts w:ascii="Calibri" w:eastAsia="Times New Roman" w:hAnsi="Calibri" w:cs="Calibri"/>
          <w:b/>
          <w:bCs/>
          <w:sz w:val="24"/>
          <w:szCs w:val="24"/>
        </w:rPr>
        <w:tab/>
        <w:t>(v Kč)</w:t>
      </w:r>
    </w:p>
    <w:tbl>
      <w:tblPr>
        <w:tblW w:w="90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7"/>
        <w:gridCol w:w="4056"/>
      </w:tblGrid>
      <w:tr w:rsidR="00184AA7" w:rsidRPr="00184AA7" w14:paraId="55699A19" w14:textId="77777777" w:rsidTr="00A234B4">
        <w:trPr>
          <w:trHeight w:val="26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126580E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Ukazatel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70CE993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Účetní hodnota</w:t>
            </w:r>
          </w:p>
        </w:tc>
      </w:tr>
      <w:tr w:rsidR="00184AA7" w:rsidRPr="00184AA7" w14:paraId="6936508B" w14:textId="77777777" w:rsidTr="00A234B4">
        <w:trPr>
          <w:trHeight w:val="266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87EC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Aktiva (netto)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694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14 508 008 874,32</w:t>
            </w:r>
          </w:p>
        </w:tc>
      </w:tr>
      <w:tr w:rsidR="00184AA7" w:rsidRPr="00184AA7" w14:paraId="4EE46D3B" w14:textId="77777777" w:rsidTr="00A234B4">
        <w:trPr>
          <w:trHeight w:val="266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CA19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Pasiva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069C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14 508 008 674,32</w:t>
            </w:r>
          </w:p>
        </w:tc>
      </w:tr>
      <w:tr w:rsidR="00184AA7" w:rsidRPr="00184AA7" w14:paraId="6A0A5AEE" w14:textId="77777777" w:rsidTr="00A234B4">
        <w:trPr>
          <w:trHeight w:val="266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31E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Náklady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1D8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23 472 120 912,18</w:t>
            </w:r>
          </w:p>
        </w:tc>
      </w:tr>
      <w:tr w:rsidR="00184AA7" w:rsidRPr="00184AA7" w14:paraId="6F35F6C4" w14:textId="77777777" w:rsidTr="00A234B4">
        <w:trPr>
          <w:trHeight w:val="266"/>
        </w:trPr>
        <w:tc>
          <w:tcPr>
            <w:tcW w:w="5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6E5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Výnosy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163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1 662 100 271,50</w:t>
            </w:r>
          </w:p>
        </w:tc>
      </w:tr>
    </w:tbl>
    <w:p w14:paraId="0448BB50" w14:textId="77777777" w:rsidR="000408FF" w:rsidRPr="00184AA7" w:rsidRDefault="00184AA7" w:rsidP="00184AA7">
      <w:pPr>
        <w:spacing w:after="120" w:line="240" w:lineRule="auto"/>
        <w:jc w:val="both"/>
        <w:rPr>
          <w:rFonts w:ascii="Calibri" w:eastAsia="Times New Roman" w:hAnsi="Calibri" w:cs="Calibri"/>
          <w:bCs/>
          <w:sz w:val="20"/>
          <w:szCs w:val="24"/>
        </w:rPr>
      </w:pPr>
      <w:r w:rsidRPr="00184AA7">
        <w:rPr>
          <w:rFonts w:ascii="Calibri" w:eastAsia="Times New Roman" w:hAnsi="Calibri" w:cs="Calibri"/>
          <w:b/>
          <w:bCs/>
          <w:sz w:val="20"/>
          <w:szCs w:val="24"/>
        </w:rPr>
        <w:t>Zdroj:</w:t>
      </w:r>
      <w:r w:rsidRPr="00184AA7">
        <w:rPr>
          <w:rFonts w:ascii="Calibri" w:eastAsia="Times New Roman" w:hAnsi="Calibri" w:cs="Calibri"/>
          <w:bCs/>
          <w:sz w:val="20"/>
          <w:szCs w:val="24"/>
        </w:rPr>
        <w:t xml:space="preserve"> účetní </w:t>
      </w:r>
      <w:r w:rsidR="002064F0">
        <w:rPr>
          <w:rFonts w:ascii="Calibri" w:eastAsia="Times New Roman" w:hAnsi="Calibri" w:cs="Calibri"/>
          <w:bCs/>
          <w:sz w:val="20"/>
          <w:szCs w:val="24"/>
        </w:rPr>
        <w:t>závěrka MV k 31. prosinci 2014.</w:t>
      </w:r>
    </w:p>
    <w:p w14:paraId="75469425" w14:textId="77777777" w:rsidR="00184AA7" w:rsidRPr="00184AA7" w:rsidRDefault="00184AA7" w:rsidP="00184AA7">
      <w:pPr>
        <w:tabs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184AA7">
        <w:rPr>
          <w:rFonts w:ascii="Calibri" w:eastAsia="Times New Roman" w:hAnsi="Calibri" w:cs="Calibri"/>
          <w:b/>
          <w:sz w:val="24"/>
          <w:szCs w:val="24"/>
          <w:lang w:eastAsia="cs-CZ"/>
        </w:rPr>
        <w:t>Tabulka č. 2</w:t>
      </w:r>
      <w:r w:rsidRPr="00184AA7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184AA7">
        <w:rPr>
          <w:rFonts w:ascii="Calibri" w:eastAsia="Times New Roman" w:hAnsi="Calibri" w:cs="Calibri"/>
          <w:b/>
          <w:sz w:val="24"/>
          <w:szCs w:val="24"/>
          <w:lang w:eastAsia="cs-CZ"/>
        </w:rPr>
        <w:t>–</w:t>
      </w:r>
      <w:r w:rsidRPr="00184AA7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184A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Údaje za běžné účetní období z výkazu </w:t>
      </w:r>
      <w:r w:rsidRPr="00184AA7">
        <w:rPr>
          <w:rFonts w:ascii="Calibri" w:eastAsia="Times New Roman" w:hAnsi="Calibri" w:cs="Calibri"/>
          <w:b/>
          <w:bCs/>
          <w:iCs/>
          <w:sz w:val="24"/>
          <w:szCs w:val="24"/>
          <w:lang w:eastAsia="cs-CZ"/>
        </w:rPr>
        <w:t>rozvaha</w:t>
      </w:r>
      <w:r w:rsidRPr="00184AA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cs-CZ"/>
        </w:rPr>
        <w:t xml:space="preserve"> </w:t>
      </w:r>
      <w:r w:rsidRPr="00184A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k 31. prosinci 2014 </w:t>
      </w:r>
      <w:r w:rsidRPr="00184AA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ab/>
        <w:t>(v Kč)</w:t>
      </w:r>
    </w:p>
    <w:tbl>
      <w:tblPr>
        <w:tblW w:w="90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445"/>
        <w:gridCol w:w="1546"/>
        <w:gridCol w:w="1546"/>
        <w:gridCol w:w="1445"/>
        <w:gridCol w:w="1546"/>
      </w:tblGrid>
      <w:tr w:rsidR="00184AA7" w:rsidRPr="00184AA7" w14:paraId="4EA64A37" w14:textId="77777777" w:rsidTr="00A234B4">
        <w:trPr>
          <w:trHeight w:val="262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2FAE5677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Aktiva (v netto hodnotě)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4E37D2FE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Pasiva</w:t>
            </w:r>
          </w:p>
        </w:tc>
      </w:tr>
      <w:tr w:rsidR="00184AA7" w:rsidRPr="00184AA7" w14:paraId="4A37AB1A" w14:textId="77777777" w:rsidTr="00A234B4">
        <w:trPr>
          <w:trHeight w:val="26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C7A080E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Stálá aktiva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093E663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Oběžná aktiva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4FA53FB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Aktiva celkem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274B33B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Vlastní kapitál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20C9940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Cizí zdroje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8601CA4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Pasiva celkem</w:t>
            </w:r>
          </w:p>
        </w:tc>
      </w:tr>
      <w:tr w:rsidR="00184AA7" w:rsidRPr="00184AA7" w14:paraId="23CB320A" w14:textId="77777777" w:rsidTr="00A234B4">
        <w:trPr>
          <w:trHeight w:val="26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105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10 366 772 114,05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F15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4 141 236 560,27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C28B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14 508 008 874,32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724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11 843 489 767,77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3EFC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2 664 518 906,55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1827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14 508 008 674,32</w:t>
            </w:r>
          </w:p>
        </w:tc>
      </w:tr>
    </w:tbl>
    <w:p w14:paraId="454B6101" w14:textId="77777777" w:rsidR="00184AA7" w:rsidRPr="00184AA7" w:rsidRDefault="00184AA7" w:rsidP="00184AA7">
      <w:pPr>
        <w:spacing w:before="40"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184AA7">
        <w:rPr>
          <w:rFonts w:ascii="Calibri" w:eastAsia="Times New Roman" w:hAnsi="Calibri" w:cs="Calibri"/>
          <w:b/>
          <w:sz w:val="20"/>
          <w:szCs w:val="20"/>
          <w:lang w:eastAsia="cs-CZ"/>
        </w:rPr>
        <w:t>Zdroj: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 xml:space="preserve"> účetní </w:t>
      </w:r>
      <w:r w:rsidR="002064F0">
        <w:rPr>
          <w:rFonts w:ascii="Calibri" w:eastAsia="Times New Roman" w:hAnsi="Calibri" w:cs="Calibri"/>
          <w:sz w:val="20"/>
          <w:szCs w:val="20"/>
          <w:lang w:eastAsia="cs-CZ"/>
        </w:rPr>
        <w:t>závěrka MV k 31. prosinci 2014.</w:t>
      </w:r>
    </w:p>
    <w:p w14:paraId="77D5461E" w14:textId="77777777" w:rsidR="008C6937" w:rsidRDefault="008C6937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br w:type="page"/>
      </w:r>
    </w:p>
    <w:p w14:paraId="4BEFD62C" w14:textId="77777777" w:rsidR="00184AA7" w:rsidRPr="00184AA7" w:rsidRDefault="00184AA7" w:rsidP="00184AA7">
      <w:pPr>
        <w:tabs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184AA7">
        <w:rPr>
          <w:rFonts w:ascii="Calibri" w:eastAsia="Times New Roman" w:hAnsi="Calibri" w:cs="Calibri"/>
          <w:b/>
          <w:sz w:val="24"/>
          <w:szCs w:val="24"/>
        </w:rPr>
        <w:lastRenderedPageBreak/>
        <w:t xml:space="preserve">Tabulka č. 3 – Údaje za běžné účetní období z výkazu zisku a ztráty k 31. prosinci 2014 </w:t>
      </w:r>
      <w:r w:rsidRPr="00184AA7">
        <w:rPr>
          <w:rFonts w:ascii="Calibri" w:eastAsia="Times New Roman" w:hAnsi="Calibri" w:cs="Calibri"/>
          <w:b/>
          <w:sz w:val="24"/>
          <w:szCs w:val="24"/>
        </w:rPr>
        <w:tab/>
      </w:r>
      <w:r w:rsidRPr="00184AA7">
        <w:rPr>
          <w:rFonts w:ascii="Calibri" w:eastAsia="Times New Roman" w:hAnsi="Calibri" w:cs="Calibri"/>
          <w:b/>
          <w:bCs/>
          <w:sz w:val="24"/>
          <w:szCs w:val="24"/>
        </w:rPr>
        <w:t>(v Kč)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16"/>
        <w:gridCol w:w="5251"/>
      </w:tblGrid>
      <w:tr w:rsidR="00184AA7" w:rsidRPr="00184AA7" w14:paraId="5EE53837" w14:textId="77777777" w:rsidTr="000923BF">
        <w:trPr>
          <w:trHeight w:val="20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AF837C4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F80359E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Výnosy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495B8F3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Výsledek hospodaření běžného účetního období</w:t>
            </w:r>
          </w:p>
        </w:tc>
      </w:tr>
      <w:tr w:rsidR="00184AA7" w:rsidRPr="00184AA7" w14:paraId="600BD090" w14:textId="77777777" w:rsidTr="000923BF">
        <w:trPr>
          <w:trHeight w:val="20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6C13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23 472 120 912,18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E36E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1 662 100 271,50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43A" w14:textId="20A2610B" w:rsidR="00184AA7" w:rsidRPr="00184AA7" w:rsidRDefault="002059F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23BF">
              <w:rPr>
                <w:rFonts w:ascii="Calibri" w:hAnsi="Calibri" w:cs="Calibri"/>
              </w:rPr>
              <w:t>−</w:t>
            </w:r>
            <w:r w:rsidR="00184AA7"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21 810 020 640,68</w:t>
            </w:r>
          </w:p>
        </w:tc>
      </w:tr>
    </w:tbl>
    <w:p w14:paraId="404D06B2" w14:textId="77777777" w:rsidR="00184AA7" w:rsidRDefault="00184AA7" w:rsidP="000923B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184AA7">
        <w:rPr>
          <w:rFonts w:ascii="Calibri" w:eastAsia="Times New Roman" w:hAnsi="Calibri" w:cs="Calibri"/>
          <w:b/>
          <w:sz w:val="20"/>
          <w:szCs w:val="20"/>
          <w:lang w:eastAsia="cs-CZ"/>
        </w:rPr>
        <w:t>Zdroj: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 xml:space="preserve"> účetní </w:t>
      </w:r>
      <w:r w:rsidR="002064F0">
        <w:rPr>
          <w:rFonts w:ascii="Calibri" w:eastAsia="Times New Roman" w:hAnsi="Calibri" w:cs="Calibri"/>
          <w:sz w:val="20"/>
          <w:szCs w:val="20"/>
          <w:lang w:eastAsia="cs-CZ"/>
        </w:rPr>
        <w:t>závěrka MV k 31. prosinci 2014.</w:t>
      </w:r>
    </w:p>
    <w:p w14:paraId="6606A118" w14:textId="77777777" w:rsidR="002373A8" w:rsidRPr="00184AA7" w:rsidRDefault="002373A8" w:rsidP="000923BF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275F0C08" w14:textId="77777777" w:rsidR="00184AA7" w:rsidRPr="00184AA7" w:rsidRDefault="00184AA7" w:rsidP="003875DB">
      <w:pPr>
        <w:tabs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184AA7">
        <w:rPr>
          <w:rFonts w:ascii="Calibri" w:eastAsia="Times New Roman" w:hAnsi="Calibri" w:cs="Calibri"/>
          <w:b/>
          <w:sz w:val="24"/>
          <w:szCs w:val="24"/>
        </w:rPr>
        <w:t>Tabulka č. 4 – Údaje za běžné účetní období z přílohy ÚZ k 31. prosinci 2014, část A.4.</w:t>
      </w:r>
      <w:r w:rsidRPr="00184AA7">
        <w:rPr>
          <w:rFonts w:ascii="Calibri" w:eastAsia="Times New Roman" w:hAnsi="Calibri" w:cs="Calibri"/>
          <w:b/>
          <w:sz w:val="24"/>
          <w:szCs w:val="24"/>
        </w:rPr>
        <w:tab/>
      </w:r>
      <w:r w:rsidRPr="00184AA7">
        <w:rPr>
          <w:rFonts w:ascii="Calibri" w:eastAsia="Times New Roman" w:hAnsi="Calibri" w:cs="Calibri"/>
          <w:b/>
          <w:bCs/>
          <w:sz w:val="24"/>
          <w:szCs w:val="24"/>
        </w:rPr>
        <w:t>(v Kč)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2327"/>
      </w:tblGrid>
      <w:tr w:rsidR="00184AA7" w:rsidRPr="00184AA7" w14:paraId="5253AE72" w14:textId="77777777" w:rsidTr="000923BF">
        <w:trPr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45D617B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Podrozvahové účty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D71659B" w14:textId="77777777" w:rsidR="00184AA7" w:rsidRPr="00184AA7" w:rsidRDefault="00184AA7" w:rsidP="00184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Účetní hodnota</w:t>
            </w:r>
          </w:p>
        </w:tc>
      </w:tr>
      <w:tr w:rsidR="00184AA7" w:rsidRPr="00184AA7" w14:paraId="42D4D80E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1BA9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P.I. Majetek účetní jednotky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0D7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244 660 658,99</w:t>
            </w:r>
          </w:p>
        </w:tc>
      </w:tr>
      <w:tr w:rsidR="00184AA7" w:rsidRPr="00184AA7" w14:paraId="53F75AA3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63A7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P.II. Vyřazené pohledávky a závazky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0450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108 168 317,77</w:t>
            </w:r>
          </w:p>
        </w:tc>
      </w:tr>
      <w:tr w:rsidR="00184AA7" w:rsidRPr="00184AA7" w14:paraId="5FCB5E95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681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P.III. Podmíněné pohledávky z důvodu užívání majetku jinou osobou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428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44 430 726,45</w:t>
            </w:r>
          </w:p>
        </w:tc>
      </w:tr>
      <w:tr w:rsidR="00184AA7" w:rsidRPr="00184AA7" w14:paraId="0943EC26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61FB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P.IV. Další podmíněné pohledávky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A95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798 719 160,04</w:t>
            </w:r>
          </w:p>
        </w:tc>
      </w:tr>
      <w:tr w:rsidR="00184AA7" w:rsidRPr="00184AA7" w14:paraId="592EB11A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55D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P.VI. Podmíněné závazky z důvodu užívání cizího majetku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62C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561 049 841,76</w:t>
            </w:r>
          </w:p>
        </w:tc>
      </w:tr>
      <w:tr w:rsidR="00184AA7" w:rsidRPr="00184AA7" w14:paraId="0D24AFAA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858" w14:textId="77777777" w:rsidR="00184AA7" w:rsidRPr="00184AA7" w:rsidRDefault="00184AA7" w:rsidP="0018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P.VII. Další podmíněné závazky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95E" w14:textId="77777777" w:rsidR="00184AA7" w:rsidRPr="00184AA7" w:rsidRDefault="00184AA7" w:rsidP="00184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6 919 687 972,26</w:t>
            </w:r>
          </w:p>
        </w:tc>
      </w:tr>
      <w:tr w:rsidR="00184AA7" w:rsidRPr="00184AA7" w14:paraId="5936BE9E" w14:textId="77777777" w:rsidTr="000923BF">
        <w:trPr>
          <w:trHeight w:val="2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D19E" w14:textId="08E69217" w:rsidR="00184AA7" w:rsidRPr="00184AA7" w:rsidRDefault="00184AA7" w:rsidP="00387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P.VIII. Ostatní podmíněná aktiva a ostatní podmíněná pasiva a</w:t>
            </w:r>
            <w:r w:rsidR="003875D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vyrovnávací účty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178" w14:textId="77777777" w:rsidR="00184AA7" w:rsidRPr="00184AA7" w:rsidRDefault="00184AA7" w:rsidP="00F50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AA7">
              <w:rPr>
                <w:rFonts w:ascii="Calibri" w:eastAsia="Times New Roman" w:hAnsi="Calibri" w:cs="Calibri"/>
                <w:color w:val="000000"/>
                <w:lang w:eastAsia="cs-CZ"/>
              </w:rPr>
              <w:t>51 885 250,47</w:t>
            </w:r>
          </w:p>
        </w:tc>
      </w:tr>
    </w:tbl>
    <w:p w14:paraId="243B8BD1" w14:textId="77777777" w:rsidR="00184AA7" w:rsidRDefault="00184AA7" w:rsidP="00184AA7">
      <w:pPr>
        <w:spacing w:before="40"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184AA7">
        <w:rPr>
          <w:rFonts w:ascii="Calibri" w:eastAsia="Times New Roman" w:hAnsi="Calibri" w:cs="Calibri"/>
          <w:b/>
          <w:sz w:val="20"/>
          <w:szCs w:val="20"/>
          <w:lang w:eastAsia="cs-CZ"/>
        </w:rPr>
        <w:t>Zdroj: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 xml:space="preserve"> účetní závěrka MV k 31. prosinci 2014.</w:t>
      </w:r>
    </w:p>
    <w:p w14:paraId="1B6F914B" w14:textId="77777777" w:rsidR="002064F0" w:rsidRDefault="002064F0" w:rsidP="000923BF">
      <w:pPr>
        <w:spacing w:before="360" w:after="0" w:line="240" w:lineRule="auto"/>
        <w:ind w:left="567" w:hanging="567"/>
        <w:jc w:val="both"/>
        <w:rPr>
          <w:rFonts w:ascii="Calibri" w:eastAsia="Times New Roman" w:hAnsi="Calibri" w:cs="Calibri"/>
          <w:iCs/>
          <w:sz w:val="20"/>
          <w:szCs w:val="20"/>
          <w:lang w:eastAsia="cs-CZ"/>
        </w:rPr>
      </w:pPr>
      <w:r w:rsidRPr="002064F0">
        <w:rPr>
          <w:rFonts w:ascii="Calibri" w:eastAsia="Times New Roman" w:hAnsi="Calibri" w:cs="Calibri"/>
          <w:b/>
          <w:iCs/>
          <w:sz w:val="20"/>
          <w:szCs w:val="20"/>
          <w:lang w:eastAsia="cs-CZ"/>
        </w:rPr>
        <w:t>Pozn.:</w:t>
      </w:r>
      <w:r w:rsidRPr="002064F0">
        <w:rPr>
          <w:rFonts w:ascii="Calibri" w:eastAsia="Times New Roman" w:hAnsi="Calibri" w:cs="Calibri"/>
          <w:b/>
          <w:iCs/>
          <w:sz w:val="20"/>
          <w:szCs w:val="20"/>
          <w:lang w:eastAsia="cs-CZ"/>
        </w:rPr>
        <w:tab/>
      </w:r>
      <w:r w:rsidRPr="002064F0">
        <w:rPr>
          <w:rFonts w:ascii="Calibri" w:eastAsia="Times New Roman" w:hAnsi="Calibri" w:cs="Calibri"/>
          <w:iCs/>
          <w:sz w:val="20"/>
          <w:szCs w:val="20"/>
          <w:lang w:eastAsia="cs-CZ"/>
        </w:rPr>
        <w:t>Všechny právní předpisy uvedené v tomto kontrolním závěru jsou aplikovány ve znění účinném pro kontrolované období.</w:t>
      </w:r>
    </w:p>
    <w:p w14:paraId="22259ED9" w14:textId="77777777" w:rsidR="000408FF" w:rsidRDefault="000408FF" w:rsidP="000923BF">
      <w:pPr>
        <w:spacing w:before="40"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cs-CZ"/>
        </w:rPr>
      </w:pPr>
    </w:p>
    <w:p w14:paraId="184BB1F1" w14:textId="77777777" w:rsidR="00992F84" w:rsidRDefault="00992F84" w:rsidP="00D83B67">
      <w:pPr>
        <w:spacing w:before="40" w:after="12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cs-CZ"/>
        </w:rPr>
      </w:pPr>
    </w:p>
    <w:p w14:paraId="2AF62C7D" w14:textId="77777777" w:rsidR="00992F84" w:rsidRPr="00992F84" w:rsidRDefault="002064F0" w:rsidP="000923BF">
      <w:pPr>
        <w:spacing w:after="240"/>
        <w:jc w:val="center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I</w:t>
      </w:r>
      <w:r w:rsidRPr="00184AA7">
        <w:rPr>
          <w:rFonts w:ascii="Calibri" w:eastAsia="Times New Roman" w:hAnsi="Calibri" w:cs="Calibri"/>
          <w:b/>
          <w:sz w:val="28"/>
          <w:szCs w:val="28"/>
        </w:rPr>
        <w:t xml:space="preserve">I. </w:t>
      </w:r>
      <w:r>
        <w:rPr>
          <w:rFonts w:ascii="Calibri" w:eastAsia="Times New Roman" w:hAnsi="Calibri" w:cs="Calibri"/>
          <w:b/>
          <w:sz w:val="28"/>
          <w:szCs w:val="28"/>
        </w:rPr>
        <w:t>Shrnutí a vyhodnocení skutečností zjištěných při</w:t>
      </w:r>
      <w:r w:rsidR="00992F84">
        <w:rPr>
          <w:rFonts w:ascii="Calibri" w:eastAsia="Times New Roman" w:hAnsi="Calibri" w:cs="Calibri"/>
          <w:b/>
          <w:sz w:val="28"/>
          <w:szCs w:val="28"/>
        </w:rPr>
        <w:t xml:space="preserve"> kontrole</w:t>
      </w:r>
    </w:p>
    <w:p w14:paraId="41158B41" w14:textId="42B5105C" w:rsidR="00047A0C" w:rsidRPr="000408FF" w:rsidRDefault="00E112BA" w:rsidP="00231D8E">
      <w:pPr>
        <w:spacing w:after="120" w:line="240" w:lineRule="auto"/>
        <w:jc w:val="both"/>
        <w:rPr>
          <w:rFonts w:cstheme="minorHAnsi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Cílem kontrolní akce č. 15/32 bylo prověřit, zda MV při vedení účetnictví a sestavení účetní závěrky k 31. prosinci 2014 postupovalo v souladu s příslušnými právními předpisy.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34542">
        <w:rPr>
          <w:rFonts w:ascii="Calibri" w:eastAsia="Times New Roman" w:hAnsi="Calibri" w:cs="Times New Roman"/>
          <w:sz w:val="24"/>
          <w:szCs w:val="24"/>
        </w:rPr>
        <w:t>J</w:t>
      </w:r>
      <w:r>
        <w:rPr>
          <w:rFonts w:ascii="Calibri" w:eastAsia="Times New Roman" w:hAnsi="Calibri" w:cs="Times New Roman"/>
          <w:sz w:val="24"/>
          <w:szCs w:val="24"/>
        </w:rPr>
        <w:t>ednalo se o první kontrolu účetní závěrky MV</w:t>
      </w:r>
      <w:r w:rsidR="00D450E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F1D5C">
        <w:rPr>
          <w:rFonts w:ascii="Calibri" w:eastAsia="Times New Roman" w:hAnsi="Calibri" w:cs="Times New Roman"/>
          <w:sz w:val="24"/>
          <w:szCs w:val="24"/>
        </w:rPr>
        <w:t>zaměřen</w:t>
      </w:r>
      <w:r w:rsidR="002059F7">
        <w:rPr>
          <w:rFonts w:ascii="Calibri" w:eastAsia="Times New Roman" w:hAnsi="Calibri" w:cs="Times New Roman"/>
          <w:sz w:val="24"/>
          <w:szCs w:val="24"/>
        </w:rPr>
        <w:t>ou</w:t>
      </w:r>
      <w:r w:rsidR="00133F16">
        <w:rPr>
          <w:rFonts w:ascii="Calibri" w:eastAsia="Times New Roman" w:hAnsi="Calibri" w:cs="Times New Roman"/>
          <w:sz w:val="24"/>
          <w:szCs w:val="24"/>
        </w:rPr>
        <w:t xml:space="preserve"> na</w:t>
      </w:r>
      <w:r w:rsidR="00720CD3" w:rsidRPr="00720CD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20CD3" w:rsidRPr="003F1D5C">
        <w:rPr>
          <w:rFonts w:cstheme="minorHAnsi"/>
          <w:sz w:val="24"/>
          <w:szCs w:val="24"/>
        </w:rPr>
        <w:t>plnění jedné ze základních povinností OSS při hospodaření s majetkem státu</w:t>
      </w:r>
      <w:r w:rsidR="0084379E">
        <w:rPr>
          <w:rStyle w:val="Znakapoznpodarou"/>
          <w:rFonts w:cstheme="minorHAnsi"/>
          <w:sz w:val="24"/>
          <w:szCs w:val="24"/>
        </w:rPr>
        <w:footnoteReference w:id="4"/>
      </w:r>
      <w:r w:rsidR="002059F7">
        <w:rPr>
          <w:rFonts w:cstheme="minorHAnsi"/>
          <w:sz w:val="24"/>
          <w:szCs w:val="24"/>
        </w:rPr>
        <w:t>,</w:t>
      </w:r>
      <w:r w:rsidR="00133F16">
        <w:rPr>
          <w:rFonts w:cstheme="minorHAnsi"/>
          <w:sz w:val="24"/>
          <w:szCs w:val="24"/>
        </w:rPr>
        <w:t xml:space="preserve"> </w:t>
      </w:r>
      <w:r w:rsidR="002059F7">
        <w:rPr>
          <w:rFonts w:cstheme="minorHAnsi"/>
          <w:sz w:val="24"/>
          <w:szCs w:val="24"/>
        </w:rPr>
        <w:t xml:space="preserve">a to </w:t>
      </w:r>
      <w:r w:rsidR="00133F16">
        <w:rPr>
          <w:rFonts w:cstheme="minorHAnsi"/>
          <w:sz w:val="24"/>
          <w:szCs w:val="24"/>
        </w:rPr>
        <w:t xml:space="preserve">vést majetek v účetnictví </w:t>
      </w:r>
      <w:r w:rsidR="00B50ABA">
        <w:rPr>
          <w:rFonts w:cstheme="minorHAnsi"/>
          <w:sz w:val="24"/>
          <w:szCs w:val="24"/>
        </w:rPr>
        <w:t xml:space="preserve">a provádět jeho inventarizaci </w:t>
      </w:r>
      <w:r w:rsidR="00133F16">
        <w:rPr>
          <w:rFonts w:cstheme="minorHAnsi"/>
          <w:sz w:val="24"/>
          <w:szCs w:val="24"/>
        </w:rPr>
        <w:t>v souladu se zákonem č. 563/1991 Sb.</w:t>
      </w:r>
      <w:r w:rsidR="00A9475D">
        <w:rPr>
          <w:rStyle w:val="Znakapoznpodarou"/>
          <w:rFonts w:cstheme="minorHAnsi"/>
          <w:sz w:val="24"/>
          <w:szCs w:val="24"/>
        </w:rPr>
        <w:footnoteReference w:id="5"/>
      </w:r>
      <w:r w:rsidR="002059F7">
        <w:rPr>
          <w:rFonts w:cstheme="minorHAnsi"/>
          <w:sz w:val="24"/>
          <w:szCs w:val="24"/>
        </w:rPr>
        <w:t>;</w:t>
      </w:r>
      <w:r w:rsidR="0094101A">
        <w:rPr>
          <w:rFonts w:cstheme="minorHAnsi"/>
          <w:sz w:val="24"/>
          <w:szCs w:val="24"/>
        </w:rPr>
        <w:t xml:space="preserve"> </w:t>
      </w:r>
      <w:r w:rsidR="002059F7">
        <w:rPr>
          <w:rFonts w:cstheme="minorHAnsi"/>
          <w:sz w:val="24"/>
          <w:szCs w:val="24"/>
        </w:rPr>
        <w:t>úkolem kontroly bylo též</w:t>
      </w:r>
      <w:r w:rsidR="008E58DD">
        <w:rPr>
          <w:rFonts w:cstheme="minorHAnsi"/>
          <w:sz w:val="24"/>
          <w:szCs w:val="24"/>
        </w:rPr>
        <w:t xml:space="preserve"> identifik</w:t>
      </w:r>
      <w:r w:rsidR="002059F7">
        <w:rPr>
          <w:rFonts w:cstheme="minorHAnsi"/>
          <w:sz w:val="24"/>
          <w:szCs w:val="24"/>
        </w:rPr>
        <w:t>ovat</w:t>
      </w:r>
      <w:r w:rsidR="008E58DD">
        <w:rPr>
          <w:rFonts w:cstheme="minorHAnsi"/>
          <w:sz w:val="24"/>
          <w:szCs w:val="24"/>
        </w:rPr>
        <w:t xml:space="preserve"> případn</w:t>
      </w:r>
      <w:r w:rsidR="002059F7">
        <w:rPr>
          <w:rFonts w:cstheme="minorHAnsi"/>
          <w:sz w:val="24"/>
          <w:szCs w:val="24"/>
        </w:rPr>
        <w:t>á</w:t>
      </w:r>
      <w:r w:rsidR="008E58DD">
        <w:rPr>
          <w:rFonts w:cstheme="minorHAnsi"/>
          <w:sz w:val="24"/>
          <w:szCs w:val="24"/>
        </w:rPr>
        <w:t xml:space="preserve"> systémov</w:t>
      </w:r>
      <w:r w:rsidR="002059F7">
        <w:rPr>
          <w:rFonts w:cstheme="minorHAnsi"/>
          <w:sz w:val="24"/>
          <w:szCs w:val="24"/>
        </w:rPr>
        <w:t>á</w:t>
      </w:r>
      <w:r w:rsidR="008E58DD">
        <w:rPr>
          <w:rFonts w:cstheme="minorHAnsi"/>
          <w:sz w:val="24"/>
          <w:szCs w:val="24"/>
        </w:rPr>
        <w:t xml:space="preserve"> rizik</w:t>
      </w:r>
      <w:r w:rsidR="002059F7">
        <w:rPr>
          <w:rFonts w:cstheme="minorHAnsi"/>
          <w:sz w:val="24"/>
          <w:szCs w:val="24"/>
        </w:rPr>
        <w:t>a</w:t>
      </w:r>
      <w:r w:rsidR="00720CD3" w:rsidRPr="003F1D5C">
        <w:rPr>
          <w:rFonts w:cstheme="minorHAnsi"/>
          <w:sz w:val="24"/>
          <w:szCs w:val="24"/>
        </w:rPr>
        <w:t xml:space="preserve"> (např. </w:t>
      </w:r>
      <w:r w:rsidR="00720CD3">
        <w:rPr>
          <w:rFonts w:cstheme="minorHAnsi"/>
          <w:sz w:val="24"/>
          <w:szCs w:val="24"/>
        </w:rPr>
        <w:t>neúplnost</w:t>
      </w:r>
      <w:r w:rsidR="00720CD3" w:rsidRPr="003F1D5C">
        <w:rPr>
          <w:rFonts w:cstheme="minorHAnsi"/>
          <w:sz w:val="24"/>
          <w:szCs w:val="24"/>
        </w:rPr>
        <w:t xml:space="preserve"> vykazovaných údajů), která by</w:t>
      </w:r>
      <w:r w:rsidR="002059F7">
        <w:rPr>
          <w:rFonts w:cstheme="minorHAnsi"/>
          <w:sz w:val="24"/>
          <w:szCs w:val="24"/>
        </w:rPr>
        <w:t xml:space="preserve"> </w:t>
      </w:r>
      <w:r w:rsidR="00D450EA">
        <w:rPr>
          <w:rFonts w:cstheme="minorHAnsi"/>
          <w:sz w:val="24"/>
          <w:szCs w:val="24"/>
        </w:rPr>
        <w:t>potenciáln</w:t>
      </w:r>
      <w:r w:rsidR="002059F7">
        <w:rPr>
          <w:rFonts w:cstheme="minorHAnsi"/>
          <w:sz w:val="24"/>
          <w:szCs w:val="24"/>
        </w:rPr>
        <w:t>ě</w:t>
      </w:r>
      <w:r w:rsidR="00D450EA">
        <w:rPr>
          <w:rFonts w:cstheme="minorHAnsi"/>
          <w:sz w:val="24"/>
          <w:szCs w:val="24"/>
        </w:rPr>
        <w:t xml:space="preserve"> </w:t>
      </w:r>
      <w:r w:rsidR="002059F7">
        <w:rPr>
          <w:rFonts w:cstheme="minorHAnsi"/>
          <w:sz w:val="24"/>
          <w:szCs w:val="24"/>
        </w:rPr>
        <w:t xml:space="preserve">mohla mít </w:t>
      </w:r>
      <w:r w:rsidR="00D450EA">
        <w:rPr>
          <w:rFonts w:cstheme="minorHAnsi"/>
          <w:sz w:val="24"/>
          <w:szCs w:val="24"/>
        </w:rPr>
        <w:t xml:space="preserve">vliv na </w:t>
      </w:r>
      <w:r w:rsidR="00720CD3" w:rsidRPr="003F1D5C">
        <w:rPr>
          <w:rFonts w:cstheme="minorHAnsi"/>
          <w:sz w:val="24"/>
          <w:szCs w:val="24"/>
        </w:rPr>
        <w:t xml:space="preserve">účetní výkazy </w:t>
      </w:r>
      <w:r w:rsidR="00720CD3" w:rsidRPr="00A9475D">
        <w:rPr>
          <w:rFonts w:cstheme="minorHAnsi"/>
          <w:sz w:val="24"/>
          <w:szCs w:val="24"/>
        </w:rPr>
        <w:t xml:space="preserve">za </w:t>
      </w:r>
      <w:r w:rsidR="00AF6A87" w:rsidRPr="00BC1544">
        <w:rPr>
          <w:rFonts w:cstheme="minorHAnsi"/>
          <w:sz w:val="24"/>
          <w:szCs w:val="24"/>
        </w:rPr>
        <w:t>Českou republiku</w:t>
      </w:r>
      <w:r w:rsidR="00AF6A87" w:rsidRPr="003F1D5C">
        <w:rPr>
          <w:rStyle w:val="Znakapoznpodarou"/>
          <w:rFonts w:cstheme="minorHAnsi"/>
        </w:rPr>
        <w:footnoteReference w:id="6"/>
      </w:r>
      <w:r w:rsidR="00720CD3" w:rsidRPr="003F1D5C">
        <w:rPr>
          <w:rFonts w:cstheme="minorHAnsi"/>
        </w:rPr>
        <w:t xml:space="preserve">. </w:t>
      </w:r>
    </w:p>
    <w:p w14:paraId="728C2044" w14:textId="4081E9DC" w:rsidR="00992F84" w:rsidRDefault="00307965" w:rsidP="00133F1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Kontrola byla prováděna na vzorku vybraných účetních případů s cílem ověřit systém účtování</w:t>
      </w:r>
      <w:r w:rsidR="00B21F84">
        <w:rPr>
          <w:rFonts w:ascii="Calibri" w:eastAsia="Times New Roman" w:hAnsi="Calibri" w:cs="Calibri"/>
          <w:sz w:val="24"/>
          <w:szCs w:val="24"/>
        </w:rPr>
        <w:t xml:space="preserve"> a vykazování informací o skutečnostech, které jsou předmětem účetnictví</w:t>
      </w:r>
      <w:r>
        <w:rPr>
          <w:rFonts w:ascii="Calibri" w:eastAsia="Times New Roman" w:hAnsi="Calibri" w:cs="Calibri"/>
          <w:sz w:val="24"/>
          <w:szCs w:val="24"/>
        </w:rPr>
        <w:t>.</w:t>
      </w:r>
      <w:r w:rsidR="008774A2" w:rsidRPr="00ED2E0E">
        <w:rPr>
          <w:rFonts w:ascii="Calibri" w:eastAsia="Times New Roman" w:hAnsi="Calibri" w:cs="Calibri"/>
          <w:sz w:val="24"/>
          <w:szCs w:val="24"/>
        </w:rPr>
        <w:t xml:space="preserve"> Ke kontrole byly vybrány majetkové položky a účetní </w:t>
      </w:r>
      <w:r w:rsidR="008774A2" w:rsidRPr="00666A88">
        <w:rPr>
          <w:rFonts w:ascii="Calibri" w:eastAsia="Times New Roman" w:hAnsi="Calibri" w:cs="Calibri"/>
          <w:sz w:val="24"/>
          <w:szCs w:val="24"/>
        </w:rPr>
        <w:t>zápisy v</w:t>
      </w:r>
      <w:r w:rsidR="00B21F84">
        <w:rPr>
          <w:rFonts w:ascii="Calibri" w:eastAsia="Times New Roman" w:hAnsi="Calibri" w:cs="Calibri"/>
          <w:sz w:val="24"/>
          <w:szCs w:val="24"/>
        </w:rPr>
        <w:t xml:space="preserve"> celkové </w:t>
      </w:r>
      <w:r w:rsidR="008774A2" w:rsidRPr="00666A88">
        <w:rPr>
          <w:rFonts w:ascii="Calibri" w:eastAsia="Times New Roman" w:hAnsi="Calibri" w:cs="Calibri"/>
          <w:sz w:val="24"/>
          <w:szCs w:val="24"/>
        </w:rPr>
        <w:t>hodnotě 3,18 mld. Kč</w:t>
      </w:r>
      <w:r w:rsidR="008774A2" w:rsidRPr="00666A88">
        <w:rPr>
          <w:rFonts w:ascii="Calibri" w:eastAsia="Times New Roman" w:hAnsi="Calibri" w:cs="Calibri"/>
          <w:sz w:val="24"/>
          <w:szCs w:val="24"/>
          <w:vertAlign w:val="superscript"/>
        </w:rPr>
        <w:footnoteReference w:id="7"/>
      </w:r>
      <w:r w:rsidR="008774A2" w:rsidRPr="00666A88">
        <w:rPr>
          <w:rFonts w:ascii="Calibri" w:eastAsia="Times New Roman" w:hAnsi="Calibri" w:cs="Calibri"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 xml:space="preserve"> Nesprávnosti</w:t>
      </w:r>
      <w:r w:rsidR="007B6909">
        <w:rPr>
          <w:rFonts w:ascii="Calibri" w:eastAsia="Times New Roman" w:hAnsi="Calibri" w:cs="Calibri"/>
          <w:sz w:val="24"/>
          <w:szCs w:val="24"/>
        </w:rPr>
        <w:t xml:space="preserve">, které byly kontrolou zjištěny a jsou </w:t>
      </w:r>
      <w:r w:rsidR="008E58DD">
        <w:rPr>
          <w:rFonts w:ascii="Calibri" w:eastAsia="Times New Roman" w:hAnsi="Calibri" w:cs="Calibri"/>
          <w:sz w:val="24"/>
          <w:szCs w:val="24"/>
        </w:rPr>
        <w:t>uveden</w:t>
      </w:r>
      <w:r w:rsidR="007B6909">
        <w:rPr>
          <w:rFonts w:ascii="Calibri" w:eastAsia="Times New Roman" w:hAnsi="Calibri" w:cs="Calibri"/>
          <w:sz w:val="24"/>
          <w:szCs w:val="24"/>
        </w:rPr>
        <w:t>y</w:t>
      </w:r>
      <w:r w:rsidR="008E58DD">
        <w:rPr>
          <w:rFonts w:ascii="Calibri" w:eastAsia="Times New Roman" w:hAnsi="Calibri" w:cs="Calibri"/>
          <w:sz w:val="24"/>
          <w:szCs w:val="24"/>
        </w:rPr>
        <w:t xml:space="preserve"> v části III. tohoto kontrolního závěru</w:t>
      </w:r>
      <w:r w:rsidR="007B6909">
        <w:rPr>
          <w:rFonts w:ascii="Calibri" w:eastAsia="Times New Roman" w:hAnsi="Calibri" w:cs="Calibri"/>
          <w:sz w:val="24"/>
          <w:szCs w:val="24"/>
        </w:rPr>
        <w:t>,</w:t>
      </w:r>
      <w:r>
        <w:rPr>
          <w:rFonts w:ascii="Calibri" w:eastAsia="Times New Roman" w:hAnsi="Calibri" w:cs="Calibri"/>
          <w:sz w:val="24"/>
          <w:szCs w:val="24"/>
        </w:rPr>
        <w:t xml:space="preserve"> jsou</w:t>
      </w:r>
      <w:r w:rsidR="00133F16">
        <w:rPr>
          <w:rFonts w:ascii="Calibri" w:eastAsia="Times New Roman" w:hAnsi="Calibri" w:cs="Calibri"/>
          <w:sz w:val="24"/>
          <w:szCs w:val="24"/>
        </w:rPr>
        <w:t xml:space="preserve"> </w:t>
      </w:r>
      <w:r w:rsidR="00B21F84">
        <w:rPr>
          <w:rFonts w:ascii="Calibri" w:eastAsia="Times New Roman" w:hAnsi="Calibri" w:cs="Calibri"/>
          <w:sz w:val="24"/>
          <w:szCs w:val="24"/>
        </w:rPr>
        <w:t>prot</w:t>
      </w:r>
      <w:r w:rsidR="00133F16">
        <w:rPr>
          <w:rFonts w:ascii="Calibri" w:eastAsia="Times New Roman" w:hAnsi="Calibri" w:cs="Calibri"/>
          <w:sz w:val="24"/>
          <w:szCs w:val="24"/>
        </w:rPr>
        <w:t>o</w:t>
      </w:r>
      <w:r>
        <w:rPr>
          <w:rFonts w:ascii="Calibri" w:eastAsia="Times New Roman" w:hAnsi="Calibri" w:cs="Calibri"/>
          <w:sz w:val="24"/>
          <w:szCs w:val="24"/>
        </w:rPr>
        <w:t xml:space="preserve"> demonstrativní</w:t>
      </w:r>
      <w:r w:rsidR="00133F16">
        <w:rPr>
          <w:rFonts w:ascii="Calibri" w:eastAsia="Times New Roman" w:hAnsi="Calibri" w:cs="Calibri"/>
          <w:sz w:val="24"/>
          <w:szCs w:val="24"/>
        </w:rPr>
        <w:t xml:space="preserve">. </w:t>
      </w:r>
      <w:r w:rsidR="004F4ED3">
        <w:rPr>
          <w:rFonts w:ascii="Calibri" w:eastAsia="Times New Roman" w:hAnsi="Calibri" w:cs="Calibri"/>
          <w:sz w:val="24"/>
          <w:szCs w:val="24"/>
        </w:rPr>
        <w:t>Z</w:t>
      </w:r>
      <w:r w:rsidR="00133F16">
        <w:rPr>
          <w:rFonts w:ascii="Calibri" w:eastAsia="Times New Roman" w:hAnsi="Calibri" w:cs="Calibri"/>
          <w:sz w:val="24"/>
          <w:szCs w:val="24"/>
        </w:rPr>
        <w:t>jištěny</w:t>
      </w:r>
      <w:r w:rsidR="004F4ED3">
        <w:rPr>
          <w:rFonts w:ascii="Calibri" w:eastAsia="Times New Roman" w:hAnsi="Calibri" w:cs="Calibri"/>
          <w:sz w:val="24"/>
          <w:szCs w:val="24"/>
        </w:rPr>
        <w:t xml:space="preserve"> byly</w:t>
      </w:r>
      <w:r w:rsidR="00133F16">
        <w:rPr>
          <w:rFonts w:ascii="Calibri" w:eastAsia="Times New Roman" w:hAnsi="Calibri" w:cs="Calibri"/>
          <w:sz w:val="24"/>
          <w:szCs w:val="24"/>
        </w:rPr>
        <w:t xml:space="preserve"> i</w:t>
      </w:r>
      <w:r>
        <w:rPr>
          <w:rFonts w:ascii="Calibri" w:eastAsia="Times New Roman" w:hAnsi="Calibri" w:cs="Calibri"/>
          <w:sz w:val="24"/>
          <w:szCs w:val="24"/>
        </w:rPr>
        <w:t xml:space="preserve"> systémové nedostatky </w:t>
      </w:r>
      <w:r w:rsidR="00133F16">
        <w:rPr>
          <w:rFonts w:ascii="Calibri" w:eastAsia="Times New Roman" w:hAnsi="Calibri" w:cs="Calibri"/>
          <w:sz w:val="24"/>
          <w:szCs w:val="24"/>
        </w:rPr>
        <w:t>při ved</w:t>
      </w:r>
      <w:r>
        <w:rPr>
          <w:rFonts w:ascii="Calibri" w:eastAsia="Times New Roman" w:hAnsi="Calibri" w:cs="Calibri"/>
          <w:sz w:val="24"/>
          <w:szCs w:val="24"/>
        </w:rPr>
        <w:t>ení účetnictví</w:t>
      </w:r>
      <w:r w:rsidR="00133F16">
        <w:rPr>
          <w:rFonts w:ascii="Calibri" w:eastAsia="Times New Roman" w:hAnsi="Calibri" w:cs="Calibri"/>
          <w:sz w:val="24"/>
          <w:szCs w:val="24"/>
        </w:rPr>
        <w:t>:</w:t>
      </w:r>
    </w:p>
    <w:p w14:paraId="04BEC0E0" w14:textId="2B4D65DF" w:rsidR="00133F16" w:rsidRPr="00231D8E" w:rsidRDefault="00133F16" w:rsidP="00231D8E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</w:rPr>
      </w:pPr>
      <w:r w:rsidRPr="00231D8E">
        <w:rPr>
          <w:rFonts w:ascii="Calibri" w:eastAsia="Times New Roman" w:hAnsi="Calibri" w:cs="Times New Roman"/>
          <w:sz w:val="24"/>
          <w:szCs w:val="24"/>
        </w:rPr>
        <w:t>nesprávné vykázání drobného dlouhodobého a jiného drobného dlouhodobého majetku (viz část III.1.3 tohoto kontrolního závěru)</w:t>
      </w:r>
      <w:r w:rsidR="00A9475D" w:rsidRPr="00231D8E">
        <w:rPr>
          <w:rFonts w:ascii="Calibri" w:eastAsia="Times New Roman" w:hAnsi="Calibri" w:cs="Times New Roman"/>
          <w:sz w:val="24"/>
          <w:szCs w:val="24"/>
        </w:rPr>
        <w:t>,</w:t>
      </w:r>
      <w:r w:rsidR="00597438" w:rsidRPr="00231D8E">
        <w:rPr>
          <w:rFonts w:ascii="Calibri" w:eastAsia="Times New Roman" w:hAnsi="Calibri" w:cs="Times New Roman"/>
          <w:sz w:val="24"/>
          <w:szCs w:val="24"/>
        </w:rPr>
        <w:t xml:space="preserve"> a to včetně</w:t>
      </w:r>
      <w:r w:rsidRPr="00231D8E">
        <w:rPr>
          <w:rFonts w:ascii="Calibri" w:eastAsia="Times New Roman" w:hAnsi="Calibri" w:cs="Times New Roman"/>
          <w:sz w:val="24"/>
          <w:szCs w:val="24"/>
        </w:rPr>
        <w:t xml:space="preserve"> nesprávné</w:t>
      </w:r>
      <w:r w:rsidR="00597438" w:rsidRPr="00231D8E">
        <w:rPr>
          <w:rFonts w:ascii="Calibri" w:eastAsia="Times New Roman" w:hAnsi="Calibri" w:cs="Times New Roman"/>
          <w:sz w:val="24"/>
          <w:szCs w:val="24"/>
        </w:rPr>
        <w:t>ho</w:t>
      </w:r>
      <w:r w:rsidRPr="00231D8E">
        <w:rPr>
          <w:rFonts w:ascii="Calibri" w:eastAsia="Times New Roman" w:hAnsi="Calibri" w:cs="Times New Roman"/>
          <w:sz w:val="24"/>
          <w:szCs w:val="24"/>
        </w:rPr>
        <w:t xml:space="preserve"> vykázání skutečností souvisejících s nakládáním </w:t>
      </w:r>
      <w:r w:rsidR="00D83B67" w:rsidRPr="00BB70CB">
        <w:rPr>
          <w:rFonts w:ascii="Calibri" w:eastAsia="Times New Roman" w:hAnsi="Calibri" w:cs="Times New Roman"/>
          <w:sz w:val="24"/>
          <w:szCs w:val="24"/>
        </w:rPr>
        <w:t xml:space="preserve">s tímto majetkem </w:t>
      </w:r>
      <w:r w:rsidRPr="00231D8E">
        <w:rPr>
          <w:rFonts w:ascii="Calibri" w:eastAsia="Times New Roman" w:hAnsi="Calibri" w:cs="Times New Roman"/>
          <w:sz w:val="24"/>
          <w:szCs w:val="24"/>
        </w:rPr>
        <w:t>(viz část III.1.4 tohoto kontrolního závěru)</w:t>
      </w:r>
      <w:r w:rsidR="00D83B67">
        <w:rPr>
          <w:rFonts w:ascii="Calibri" w:eastAsia="Times New Roman" w:hAnsi="Calibri" w:cs="Times New Roman"/>
          <w:sz w:val="24"/>
          <w:szCs w:val="24"/>
        </w:rPr>
        <w:t>;</w:t>
      </w:r>
    </w:p>
    <w:p w14:paraId="24FA01B5" w14:textId="7D3C12CB" w:rsidR="00133F16" w:rsidRPr="00231D8E" w:rsidRDefault="00066042" w:rsidP="00231D8E">
      <w:pPr>
        <w:pStyle w:val="Odstavecseseznamem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231D8E">
        <w:rPr>
          <w:rFonts w:ascii="Calibri" w:eastAsia="Times New Roman" w:hAnsi="Calibri" w:cs="Times New Roman"/>
          <w:sz w:val="24"/>
          <w:szCs w:val="24"/>
        </w:rPr>
        <w:lastRenderedPageBreak/>
        <w:t>v oblasti účtování o spotřební dani z minerálních olejů</w:t>
      </w:r>
      <w:r w:rsidR="006C2C66">
        <w:rPr>
          <w:rFonts w:ascii="Calibri" w:eastAsia="Times New Roman" w:hAnsi="Calibri" w:cs="Times New Roman"/>
          <w:sz w:val="24"/>
          <w:szCs w:val="24"/>
        </w:rPr>
        <w:t>,</w:t>
      </w:r>
      <w:r w:rsidR="00991ABD" w:rsidRPr="00231D8E">
        <w:rPr>
          <w:rFonts w:ascii="Calibri" w:eastAsia="Times New Roman" w:hAnsi="Calibri" w:cs="Times New Roman"/>
          <w:sz w:val="24"/>
          <w:szCs w:val="24"/>
        </w:rPr>
        <w:t xml:space="preserve"> a to při</w:t>
      </w:r>
      <w:r w:rsidRPr="00231D8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E467A" w:rsidRPr="00231D8E">
        <w:rPr>
          <w:rFonts w:ascii="Calibri" w:eastAsia="Times New Roman" w:hAnsi="Calibri" w:cs="Times New Roman"/>
          <w:sz w:val="24"/>
          <w:szCs w:val="24"/>
        </w:rPr>
        <w:t>účtování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 xml:space="preserve"> o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 xml:space="preserve"> pohledávk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>ách</w:t>
      </w:r>
      <w:r w:rsidR="0019188B" w:rsidRPr="00231D8E">
        <w:rPr>
          <w:rFonts w:ascii="Calibri" w:eastAsia="Times New Roman" w:hAnsi="Calibri" w:cs="Times New Roman"/>
          <w:sz w:val="24"/>
          <w:szCs w:val="24"/>
        </w:rPr>
        <w:t xml:space="preserve"> a 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>závaz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>cích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>, které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 xml:space="preserve"> ale nebyly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>nároky a povinnostmi MV jako OSS, ale pouze vzájemnými vztahy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 xml:space="preserve"> mezi účetními okruhy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 xml:space="preserve"> v rámci jedné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 xml:space="preserve"> účetní jednotky (viz část III.</w:t>
      </w:r>
      <w:r w:rsidR="0084379E" w:rsidRPr="00231D8E">
        <w:rPr>
          <w:rFonts w:ascii="Calibri" w:eastAsia="Times New Roman" w:hAnsi="Calibri" w:cs="Times New Roman"/>
          <w:sz w:val="24"/>
          <w:szCs w:val="24"/>
        </w:rPr>
        <w:t>1.</w:t>
      </w:r>
      <w:r w:rsidR="000E467A" w:rsidRPr="00231D8E">
        <w:rPr>
          <w:rFonts w:ascii="Calibri" w:eastAsia="Times New Roman" w:hAnsi="Calibri" w:cs="Times New Roman"/>
          <w:sz w:val="24"/>
          <w:szCs w:val="24"/>
        </w:rPr>
        <w:t>15</w:t>
      </w:r>
      <w:r w:rsidR="00133F16" w:rsidRPr="00231D8E">
        <w:rPr>
          <w:rFonts w:ascii="Calibri" w:eastAsia="Times New Roman" w:hAnsi="Calibri" w:cs="Times New Roman"/>
          <w:sz w:val="24"/>
          <w:szCs w:val="24"/>
        </w:rPr>
        <w:t xml:space="preserve"> tohoto kontrolního závěru)</w:t>
      </w:r>
      <w:r w:rsidR="000E467A" w:rsidRPr="00231D8E">
        <w:rPr>
          <w:rFonts w:ascii="Calibri" w:eastAsia="Times New Roman" w:hAnsi="Calibri" w:cs="Times New Roman"/>
          <w:sz w:val="24"/>
          <w:szCs w:val="24"/>
        </w:rPr>
        <w:t>, což ve svém výsledku vedlo k vykázání závazku v účetní závěrce</w:t>
      </w:r>
      <w:r w:rsidR="00DF5ED4" w:rsidRPr="00231D8E">
        <w:rPr>
          <w:rFonts w:ascii="Calibri" w:eastAsia="Times New Roman" w:hAnsi="Calibri" w:cs="Times New Roman"/>
          <w:sz w:val="24"/>
          <w:szCs w:val="24"/>
        </w:rPr>
        <w:t>, i</w:t>
      </w:r>
      <w:r w:rsidR="00D83B67">
        <w:rPr>
          <w:rFonts w:ascii="Calibri" w:eastAsia="Times New Roman" w:hAnsi="Calibri" w:cs="Times New Roman"/>
          <w:sz w:val="24"/>
          <w:szCs w:val="24"/>
        </w:rPr>
        <w:t> </w:t>
      </w:r>
      <w:r w:rsidR="00DF5ED4" w:rsidRPr="00231D8E">
        <w:rPr>
          <w:rFonts w:ascii="Calibri" w:eastAsia="Times New Roman" w:hAnsi="Calibri" w:cs="Times New Roman"/>
          <w:sz w:val="24"/>
          <w:szCs w:val="24"/>
        </w:rPr>
        <w:t>když neexistovala povinnost uhradit peněžní prostředky oprávněnému subjektu</w:t>
      </w:r>
      <w:r w:rsidR="00597438" w:rsidRPr="00231D8E">
        <w:rPr>
          <w:rFonts w:ascii="Calibri" w:eastAsia="Times New Roman" w:hAnsi="Calibri" w:cs="Times New Roman"/>
          <w:sz w:val="24"/>
          <w:szCs w:val="24"/>
        </w:rPr>
        <w:t>.</w:t>
      </w:r>
    </w:p>
    <w:p w14:paraId="2620364D" w14:textId="77777777" w:rsidR="00F34542" w:rsidRPr="00133F16" w:rsidRDefault="00133F16" w:rsidP="00DA0BFE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33F16">
        <w:rPr>
          <w:rFonts w:ascii="Calibri" w:eastAsia="Times New Roman" w:hAnsi="Calibri" w:cs="Times New Roman"/>
          <w:b/>
          <w:sz w:val="24"/>
          <w:szCs w:val="24"/>
        </w:rPr>
        <w:t>Ú</w:t>
      </w:r>
      <w:r w:rsidR="00F34542" w:rsidRPr="00133F16">
        <w:rPr>
          <w:rFonts w:ascii="Calibri" w:eastAsia="Times New Roman" w:hAnsi="Calibri" w:cs="Times New Roman"/>
          <w:b/>
          <w:sz w:val="24"/>
          <w:szCs w:val="24"/>
        </w:rPr>
        <w:t>četní závěrku k 31. prosinci 2014</w:t>
      </w:r>
      <w:r>
        <w:rPr>
          <w:rFonts w:ascii="Calibri" w:eastAsia="Times New Roman" w:hAnsi="Calibri" w:cs="Times New Roman"/>
          <w:sz w:val="24"/>
          <w:szCs w:val="24"/>
        </w:rPr>
        <w:t xml:space="preserve"> sestavilo MV</w:t>
      </w:r>
      <w:r w:rsidR="00F34542" w:rsidRPr="00F34542">
        <w:rPr>
          <w:rFonts w:ascii="Calibri" w:eastAsia="Times New Roman" w:hAnsi="Calibri" w:cs="Times New Roman"/>
          <w:sz w:val="24"/>
          <w:szCs w:val="24"/>
        </w:rPr>
        <w:t xml:space="preserve"> v rozsahu stanoveném v</w:t>
      </w:r>
      <w:r w:rsidR="0019188B">
        <w:rPr>
          <w:rFonts w:ascii="Calibri" w:eastAsia="Times New Roman" w:hAnsi="Calibri" w:cs="Times New Roman"/>
          <w:sz w:val="24"/>
          <w:szCs w:val="24"/>
        </w:rPr>
        <w:t xml:space="preserve"> ustanovení </w:t>
      </w:r>
      <w:r w:rsidR="00F34542" w:rsidRPr="00F34542">
        <w:rPr>
          <w:rFonts w:ascii="Calibri" w:eastAsia="Times New Roman" w:hAnsi="Calibri" w:cs="Times New Roman"/>
          <w:sz w:val="24"/>
          <w:szCs w:val="24"/>
        </w:rPr>
        <w:t xml:space="preserve">§ 18 odst. 1 zákona č. 563/1991 Sb. Při kontrole bylo zjištěno, že ÚZ MV </w:t>
      </w:r>
      <w:r w:rsidR="00F34542" w:rsidRPr="00133F16">
        <w:rPr>
          <w:rFonts w:ascii="Calibri" w:eastAsia="Times New Roman" w:hAnsi="Calibri" w:cs="Times New Roman"/>
          <w:b/>
          <w:sz w:val="24"/>
          <w:szCs w:val="24"/>
        </w:rPr>
        <w:t>neobsahovala všechny povinné součásti uvedené v</w:t>
      </w:r>
      <w:r w:rsidR="0019188B">
        <w:rPr>
          <w:rFonts w:ascii="Calibri" w:eastAsia="Times New Roman" w:hAnsi="Calibri" w:cs="Times New Roman"/>
          <w:b/>
          <w:sz w:val="24"/>
          <w:szCs w:val="24"/>
        </w:rPr>
        <w:t xml:space="preserve"> ustanovení </w:t>
      </w:r>
      <w:r w:rsidR="00F34542" w:rsidRPr="00133F16">
        <w:rPr>
          <w:rFonts w:ascii="Calibri" w:eastAsia="Times New Roman" w:hAnsi="Calibri" w:cs="Times New Roman"/>
          <w:b/>
          <w:sz w:val="24"/>
          <w:szCs w:val="24"/>
        </w:rPr>
        <w:t>§ 18 odst. 2 zákona č. 563/1991 Sb., což ustanovení § 37</w:t>
      </w:r>
      <w:r w:rsidR="00F8351D">
        <w:rPr>
          <w:rFonts w:ascii="Calibri" w:eastAsia="Times New Roman" w:hAnsi="Calibri" w:cs="Times New Roman"/>
          <w:b/>
          <w:sz w:val="24"/>
          <w:szCs w:val="24"/>
        </w:rPr>
        <w:t>a</w:t>
      </w:r>
      <w:r w:rsidR="00F34542" w:rsidRPr="00133F16">
        <w:rPr>
          <w:rFonts w:ascii="Calibri" w:eastAsia="Times New Roman" w:hAnsi="Calibri" w:cs="Times New Roman"/>
          <w:b/>
          <w:sz w:val="24"/>
          <w:szCs w:val="24"/>
        </w:rPr>
        <w:t xml:space="preserve"> tohoto zákona kvalifikuje jako </w:t>
      </w:r>
      <w:r w:rsidR="00F8351D">
        <w:rPr>
          <w:rFonts w:ascii="Calibri" w:eastAsia="Times New Roman" w:hAnsi="Calibri" w:cs="Times New Roman"/>
          <w:b/>
          <w:sz w:val="24"/>
          <w:szCs w:val="24"/>
        </w:rPr>
        <w:t>správní delikt</w:t>
      </w:r>
      <w:r w:rsidR="00E40DEC" w:rsidRPr="00133F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40DEC" w:rsidRPr="00133F16">
        <w:rPr>
          <w:rFonts w:ascii="Calibri" w:eastAsia="Times New Roman" w:hAnsi="Calibri" w:cs="Times New Roman"/>
          <w:sz w:val="24"/>
          <w:szCs w:val="24"/>
        </w:rPr>
        <w:t>(</w:t>
      </w:r>
      <w:r w:rsidR="00E40DEC" w:rsidRPr="00DF5ED4">
        <w:rPr>
          <w:rFonts w:ascii="Calibri" w:eastAsia="Times New Roman" w:hAnsi="Calibri" w:cs="Times New Roman"/>
          <w:sz w:val="24"/>
          <w:szCs w:val="24"/>
        </w:rPr>
        <w:t>viz část III.1.1 tohoto kontrolního</w:t>
      </w:r>
      <w:r w:rsidR="00E40DEC" w:rsidRPr="00133F16">
        <w:rPr>
          <w:rFonts w:ascii="Calibri" w:eastAsia="Times New Roman" w:hAnsi="Calibri" w:cs="Times New Roman"/>
          <w:sz w:val="24"/>
          <w:szCs w:val="24"/>
        </w:rPr>
        <w:t xml:space="preserve"> závěru)</w:t>
      </w:r>
      <w:r w:rsidR="00F34542" w:rsidRPr="00133F16">
        <w:rPr>
          <w:rFonts w:ascii="Calibri" w:eastAsia="Times New Roman" w:hAnsi="Calibri" w:cs="Times New Roman"/>
          <w:sz w:val="24"/>
          <w:szCs w:val="24"/>
        </w:rPr>
        <w:t>.</w:t>
      </w:r>
    </w:p>
    <w:p w14:paraId="3CCFEEA1" w14:textId="77777777" w:rsidR="003E530D" w:rsidRDefault="00DA0BFE" w:rsidP="00DA0BFE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Na </w:t>
      </w:r>
      <w:r w:rsidR="00D26838">
        <w:rPr>
          <w:rFonts w:ascii="Calibri" w:eastAsia="Times New Roman" w:hAnsi="Calibri" w:cs="Times New Roman"/>
          <w:sz w:val="24"/>
          <w:szCs w:val="24"/>
        </w:rPr>
        <w:t xml:space="preserve">vybraném </w:t>
      </w:r>
      <w:r>
        <w:rPr>
          <w:rFonts w:ascii="Calibri" w:eastAsia="Times New Roman" w:hAnsi="Calibri" w:cs="Times New Roman"/>
          <w:sz w:val="24"/>
          <w:szCs w:val="24"/>
        </w:rPr>
        <w:t>vzorku</w:t>
      </w:r>
      <w:r w:rsidR="001243A6">
        <w:rPr>
          <w:rFonts w:ascii="Calibri" w:eastAsia="Times New Roman" w:hAnsi="Calibri" w:cs="Times New Roman"/>
          <w:sz w:val="24"/>
          <w:szCs w:val="24"/>
        </w:rPr>
        <w:t xml:space="preserve"> účetních </w:t>
      </w:r>
      <w:r w:rsidR="00B21F84">
        <w:rPr>
          <w:rFonts w:ascii="Calibri" w:eastAsia="Times New Roman" w:hAnsi="Calibri" w:cs="Times New Roman"/>
          <w:sz w:val="24"/>
          <w:szCs w:val="24"/>
        </w:rPr>
        <w:t>případů</w:t>
      </w:r>
      <w:r>
        <w:rPr>
          <w:rFonts w:ascii="Calibri" w:eastAsia="Times New Roman" w:hAnsi="Calibri" w:cs="Times New Roman"/>
          <w:sz w:val="24"/>
          <w:szCs w:val="24"/>
        </w:rPr>
        <w:t xml:space="preserve"> bylo zjištěno, že některé </w:t>
      </w:r>
      <w:r w:rsidRPr="003E530D">
        <w:rPr>
          <w:rFonts w:ascii="Calibri" w:eastAsia="Times New Roman" w:hAnsi="Calibri" w:cs="Times New Roman"/>
          <w:b/>
          <w:sz w:val="24"/>
          <w:szCs w:val="24"/>
        </w:rPr>
        <w:t>informace v účetní závěrce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E530D">
        <w:rPr>
          <w:rFonts w:ascii="Calibri" w:eastAsia="Times New Roman" w:hAnsi="Calibri" w:cs="Times New Roman"/>
          <w:b/>
          <w:sz w:val="24"/>
          <w:szCs w:val="24"/>
        </w:rPr>
        <w:t>sestavené k 31. prosinci 2014</w:t>
      </w:r>
      <w:r>
        <w:rPr>
          <w:rFonts w:ascii="Calibri" w:eastAsia="Times New Roman" w:hAnsi="Calibri" w:cs="Times New Roman"/>
          <w:sz w:val="24"/>
          <w:szCs w:val="24"/>
        </w:rPr>
        <w:t xml:space="preserve"> nevykázalo</w:t>
      </w:r>
      <w:r w:rsidR="00B21F84">
        <w:rPr>
          <w:rFonts w:ascii="Calibri" w:eastAsia="Times New Roman" w:hAnsi="Calibri" w:cs="Times New Roman"/>
          <w:sz w:val="24"/>
          <w:szCs w:val="24"/>
        </w:rPr>
        <w:t xml:space="preserve"> MV</w:t>
      </w:r>
      <w:r>
        <w:rPr>
          <w:rFonts w:ascii="Calibri" w:eastAsia="Times New Roman" w:hAnsi="Calibri" w:cs="Times New Roman"/>
          <w:sz w:val="24"/>
          <w:szCs w:val="24"/>
        </w:rPr>
        <w:t xml:space="preserve"> v souladu s</w:t>
      </w:r>
      <w:r w:rsidR="0066230F">
        <w:rPr>
          <w:rFonts w:ascii="Calibri" w:eastAsia="Times New Roman" w:hAnsi="Calibri" w:cs="Times New Roman"/>
          <w:sz w:val="24"/>
          <w:szCs w:val="24"/>
        </w:rPr>
        <w:t xml:space="preserve"> právními </w:t>
      </w:r>
      <w:r>
        <w:rPr>
          <w:rFonts w:ascii="Calibri" w:eastAsia="Times New Roman" w:hAnsi="Calibri" w:cs="Times New Roman"/>
          <w:sz w:val="24"/>
          <w:szCs w:val="24"/>
        </w:rPr>
        <w:t>předpisy upravujícími vedení účetnictví</w:t>
      </w:r>
      <w:r w:rsidR="00E01BAA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8"/>
      </w:r>
      <w:r w:rsidR="003E530D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E530D">
        <w:rPr>
          <w:rFonts w:ascii="Calibri" w:eastAsia="Times New Roman" w:hAnsi="Calibri" w:cs="Times New Roman"/>
          <w:b/>
          <w:sz w:val="24"/>
          <w:szCs w:val="24"/>
        </w:rPr>
        <w:t>v údajích vykázaných za běžné období byly zjištěny nesprávnosti ve výši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E530D">
        <w:rPr>
          <w:rFonts w:ascii="Calibri" w:eastAsia="Times New Roman" w:hAnsi="Calibri" w:cs="Times New Roman"/>
          <w:b/>
          <w:sz w:val="24"/>
          <w:szCs w:val="24"/>
        </w:rPr>
        <w:t>4,91 mld. Kč</w:t>
      </w:r>
      <w:r w:rsidR="003F1D5C">
        <w:rPr>
          <w:rFonts w:ascii="Calibri" w:eastAsia="Times New Roman" w:hAnsi="Calibri" w:cs="Times New Roman"/>
          <w:sz w:val="24"/>
          <w:szCs w:val="24"/>
        </w:rPr>
        <w:t xml:space="preserve"> (viz část III.</w:t>
      </w:r>
      <w:r w:rsidR="00396379">
        <w:rPr>
          <w:rFonts w:ascii="Calibri" w:eastAsia="Times New Roman" w:hAnsi="Calibri" w:cs="Times New Roman"/>
          <w:sz w:val="24"/>
          <w:szCs w:val="24"/>
        </w:rPr>
        <w:t>1.</w:t>
      </w:r>
      <w:r w:rsidR="003F1D5C">
        <w:rPr>
          <w:rFonts w:ascii="Calibri" w:eastAsia="Times New Roman" w:hAnsi="Calibri" w:cs="Times New Roman"/>
          <w:sz w:val="24"/>
          <w:szCs w:val="24"/>
        </w:rPr>
        <w:t xml:space="preserve"> tohoto kontrolního závěru).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0027B58" w14:textId="04A9DE80" w:rsidR="008A0C92" w:rsidRDefault="00DA0BFE" w:rsidP="00DA0BFE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 zjištěných nesprávnostech se z 97 % podílí skutečnost, že MV v roce 2014 nevedlo dle zákona č. 563/1991 Sb. úplné účetnictví. MV</w:t>
      </w:r>
      <w:r w:rsidR="00B21F84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v účetní závěrce k 31. prosinci 2014 </w:t>
      </w:r>
      <w:r w:rsidR="00F34542" w:rsidRPr="00F34542">
        <w:rPr>
          <w:rFonts w:ascii="Calibri" w:eastAsia="Times New Roman" w:hAnsi="Calibri" w:cs="Times New Roman"/>
          <w:sz w:val="24"/>
          <w:szCs w:val="24"/>
        </w:rPr>
        <w:t xml:space="preserve">zejména </w:t>
      </w:r>
      <w:r>
        <w:rPr>
          <w:rFonts w:ascii="Calibri" w:eastAsia="Times New Roman" w:hAnsi="Calibri" w:cs="Times New Roman"/>
          <w:sz w:val="24"/>
          <w:szCs w:val="24"/>
        </w:rPr>
        <w:t>nevykázalo některé dlouhodobé podmíněné závazky z uzavřených smluv</w:t>
      </w:r>
      <w:r w:rsidR="00560686">
        <w:rPr>
          <w:rFonts w:ascii="Calibri" w:eastAsia="Times New Roman" w:hAnsi="Calibri" w:cs="Times New Roman"/>
          <w:sz w:val="24"/>
          <w:szCs w:val="24"/>
        </w:rPr>
        <w:t xml:space="preserve"> (viz </w:t>
      </w:r>
      <w:r w:rsidR="00560686" w:rsidRPr="00B012CF">
        <w:rPr>
          <w:rFonts w:ascii="Calibri" w:eastAsia="Times New Roman" w:hAnsi="Calibri" w:cs="Times New Roman"/>
          <w:sz w:val="24"/>
          <w:szCs w:val="24"/>
        </w:rPr>
        <w:t>část III.1.</w:t>
      </w:r>
      <w:r w:rsidR="00E40DEC" w:rsidRPr="00B012CF">
        <w:rPr>
          <w:rFonts w:ascii="Calibri" w:eastAsia="Times New Roman" w:hAnsi="Calibri" w:cs="Times New Roman"/>
          <w:sz w:val="24"/>
          <w:szCs w:val="24"/>
        </w:rPr>
        <w:t>2</w:t>
      </w:r>
      <w:r w:rsidR="00DF55A3">
        <w:rPr>
          <w:rFonts w:ascii="Calibri" w:eastAsia="Times New Roman" w:hAnsi="Calibri" w:cs="Times New Roman"/>
          <w:sz w:val="24"/>
          <w:szCs w:val="24"/>
        </w:rPr>
        <w:t> </w:t>
      </w:r>
      <w:r w:rsidR="00560686" w:rsidRPr="00B012CF">
        <w:rPr>
          <w:rFonts w:ascii="Calibri" w:eastAsia="Times New Roman" w:hAnsi="Calibri" w:cs="Times New Roman"/>
          <w:sz w:val="24"/>
          <w:szCs w:val="24"/>
        </w:rPr>
        <w:t>tohoto kontrolního závěru</w:t>
      </w:r>
      <w:r w:rsidR="00560686">
        <w:rPr>
          <w:rFonts w:ascii="Calibri" w:eastAsia="Times New Roman" w:hAnsi="Calibri" w:cs="Times New Roman"/>
          <w:sz w:val="24"/>
          <w:szCs w:val="24"/>
        </w:rPr>
        <w:t>)</w:t>
      </w:r>
      <w:r w:rsidR="003E530D" w:rsidRPr="003E530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E530D">
        <w:rPr>
          <w:rFonts w:ascii="Calibri" w:eastAsia="Times New Roman" w:hAnsi="Calibri" w:cs="Times New Roman"/>
          <w:sz w:val="24"/>
          <w:szCs w:val="24"/>
        </w:rPr>
        <w:t>v celkové výši 4,8 mld</w:t>
      </w:r>
      <w:r w:rsidR="00725AC7">
        <w:rPr>
          <w:rFonts w:ascii="Calibri" w:eastAsia="Times New Roman" w:hAnsi="Calibri" w:cs="Times New Roman"/>
          <w:sz w:val="24"/>
          <w:szCs w:val="24"/>
        </w:rPr>
        <w:t>.</w:t>
      </w:r>
      <w:r w:rsidR="003E530D">
        <w:rPr>
          <w:rFonts w:ascii="Calibri" w:eastAsia="Times New Roman" w:hAnsi="Calibri" w:cs="Times New Roman"/>
          <w:sz w:val="24"/>
          <w:szCs w:val="24"/>
        </w:rPr>
        <w:t xml:space="preserve"> Kč</w:t>
      </w:r>
      <w:r w:rsidR="00C432A9">
        <w:rPr>
          <w:rFonts w:ascii="Calibri" w:eastAsia="Times New Roman" w:hAnsi="Calibri" w:cs="Times New Roman"/>
          <w:sz w:val="24"/>
          <w:szCs w:val="24"/>
        </w:rPr>
        <w:t>.</w:t>
      </w:r>
      <w:r w:rsidR="00B21F84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4A42A52D" w14:textId="252CA5AA" w:rsidR="00307965" w:rsidRDefault="004E733F" w:rsidP="00C03374">
      <w:pPr>
        <w:spacing w:after="12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U</w:t>
      </w:r>
      <w:r w:rsidR="00AE3785">
        <w:rPr>
          <w:rFonts w:cstheme="minorHAnsi"/>
          <w:b/>
          <w:sz w:val="24"/>
        </w:rPr>
        <w:t>vedené</w:t>
      </w:r>
      <w:r>
        <w:rPr>
          <w:rFonts w:cstheme="minorHAnsi"/>
          <w:b/>
          <w:sz w:val="24"/>
        </w:rPr>
        <w:t xml:space="preserve"> zjištěné</w:t>
      </w:r>
      <w:r w:rsidR="00AE3785">
        <w:rPr>
          <w:rFonts w:cstheme="minorHAnsi"/>
          <w:b/>
          <w:sz w:val="24"/>
        </w:rPr>
        <w:t xml:space="preserve"> nesprávnosti jsou v</w:t>
      </w:r>
      <w:r w:rsidR="00133F16">
        <w:rPr>
          <w:rFonts w:cstheme="minorHAnsi"/>
          <w:b/>
          <w:sz w:val="24"/>
        </w:rPr>
        <w:t>e svém</w:t>
      </w:r>
      <w:r w:rsidR="006C2C66">
        <w:rPr>
          <w:rFonts w:cstheme="minorHAnsi"/>
          <w:b/>
          <w:sz w:val="24"/>
        </w:rPr>
        <w:t xml:space="preserve"> </w:t>
      </w:r>
      <w:r w:rsidR="00AE3785">
        <w:rPr>
          <w:rFonts w:cstheme="minorHAnsi"/>
          <w:b/>
          <w:sz w:val="24"/>
        </w:rPr>
        <w:t>celkovém</w:t>
      </w:r>
      <w:r>
        <w:rPr>
          <w:rFonts w:cstheme="minorHAnsi"/>
          <w:b/>
          <w:sz w:val="24"/>
        </w:rPr>
        <w:t xml:space="preserve"> </w:t>
      </w:r>
      <w:r w:rsidR="00AE3785">
        <w:rPr>
          <w:rFonts w:cstheme="minorHAnsi"/>
          <w:b/>
          <w:sz w:val="24"/>
        </w:rPr>
        <w:t>rozsahu významné. Podle názoru NKÚ tak</w:t>
      </w:r>
      <w:r w:rsidR="00FE31FE" w:rsidRPr="00C03374">
        <w:rPr>
          <w:rFonts w:cstheme="minorHAnsi"/>
          <w:b/>
          <w:sz w:val="24"/>
        </w:rPr>
        <w:t xml:space="preserve"> MV</w:t>
      </w:r>
      <w:r w:rsidR="00AE3785">
        <w:rPr>
          <w:rFonts w:cstheme="minorHAnsi"/>
          <w:b/>
          <w:sz w:val="24"/>
        </w:rPr>
        <w:t xml:space="preserve"> nevedlo</w:t>
      </w:r>
      <w:r w:rsidR="00FE31FE" w:rsidRPr="00C03374">
        <w:rPr>
          <w:rFonts w:cstheme="minorHAnsi"/>
          <w:b/>
          <w:sz w:val="24"/>
        </w:rPr>
        <w:t xml:space="preserve"> v roce 2014 správné a úplné účetnictví ve smyslu</w:t>
      </w:r>
      <w:r w:rsidR="00307965">
        <w:rPr>
          <w:rFonts w:cstheme="minorHAnsi"/>
          <w:b/>
          <w:sz w:val="24"/>
        </w:rPr>
        <w:t xml:space="preserve"> ustanovení</w:t>
      </w:r>
      <w:r w:rsidR="00FE31FE" w:rsidRPr="00C03374">
        <w:rPr>
          <w:rFonts w:cstheme="minorHAnsi"/>
          <w:b/>
          <w:sz w:val="24"/>
        </w:rPr>
        <w:t xml:space="preserve"> §</w:t>
      </w:r>
      <w:r w:rsidR="006C2C66">
        <w:rPr>
          <w:rFonts w:cstheme="minorHAnsi"/>
          <w:b/>
          <w:sz w:val="24"/>
        </w:rPr>
        <w:t> </w:t>
      </w:r>
      <w:r w:rsidR="00FE31FE" w:rsidRPr="00C03374">
        <w:rPr>
          <w:rFonts w:cstheme="minorHAnsi"/>
          <w:b/>
          <w:sz w:val="24"/>
        </w:rPr>
        <w:t>8 odst.</w:t>
      </w:r>
      <w:r w:rsidR="006C2C66">
        <w:rPr>
          <w:rFonts w:cstheme="minorHAnsi"/>
          <w:b/>
          <w:sz w:val="24"/>
        </w:rPr>
        <w:t> </w:t>
      </w:r>
      <w:r w:rsidR="00FE31FE" w:rsidRPr="00C03374">
        <w:rPr>
          <w:rFonts w:cstheme="minorHAnsi"/>
          <w:b/>
          <w:sz w:val="24"/>
        </w:rPr>
        <w:t>1</w:t>
      </w:r>
      <w:r w:rsidR="003E530D">
        <w:rPr>
          <w:rFonts w:cstheme="minorHAnsi"/>
          <w:b/>
          <w:sz w:val="24"/>
        </w:rPr>
        <w:t xml:space="preserve"> </w:t>
      </w:r>
      <w:r w:rsidR="00307965">
        <w:rPr>
          <w:rFonts w:cstheme="minorHAnsi"/>
          <w:b/>
          <w:sz w:val="24"/>
        </w:rPr>
        <w:t>až</w:t>
      </w:r>
      <w:r w:rsidR="00FE31FE" w:rsidRPr="00C03374">
        <w:rPr>
          <w:rFonts w:cstheme="minorHAnsi"/>
          <w:b/>
          <w:sz w:val="24"/>
        </w:rPr>
        <w:t xml:space="preserve"> 3 zákona č. 563/1991 Sb.</w:t>
      </w:r>
      <w:r w:rsidR="003E530D">
        <w:rPr>
          <w:rFonts w:cstheme="minorHAnsi"/>
          <w:b/>
          <w:sz w:val="24"/>
        </w:rPr>
        <w:t xml:space="preserve"> </w:t>
      </w:r>
      <w:r w:rsidR="00F8351D">
        <w:rPr>
          <w:rFonts w:cstheme="minorHAnsi"/>
          <w:b/>
          <w:sz w:val="24"/>
        </w:rPr>
        <w:t>V</w:t>
      </w:r>
      <w:r w:rsidR="003E530D">
        <w:rPr>
          <w:rFonts w:cstheme="minorHAnsi"/>
          <w:b/>
          <w:sz w:val="24"/>
        </w:rPr>
        <w:t>edení účetnictví v </w:t>
      </w:r>
      <w:r w:rsidR="00F8351D">
        <w:rPr>
          <w:rFonts w:cstheme="minorHAnsi"/>
          <w:b/>
          <w:sz w:val="24"/>
        </w:rPr>
        <w:t>rozporu</w:t>
      </w:r>
      <w:r w:rsidR="00DF55A3">
        <w:rPr>
          <w:rFonts w:cstheme="minorHAnsi"/>
          <w:b/>
          <w:sz w:val="24"/>
        </w:rPr>
        <w:t xml:space="preserve"> s</w:t>
      </w:r>
      <w:r w:rsidR="0019188B">
        <w:rPr>
          <w:rFonts w:cstheme="minorHAnsi"/>
          <w:b/>
          <w:sz w:val="24"/>
        </w:rPr>
        <w:t xml:space="preserve"> ustanovením </w:t>
      </w:r>
      <w:r w:rsidR="00DF55A3">
        <w:rPr>
          <w:rFonts w:cstheme="minorHAnsi"/>
          <w:b/>
          <w:sz w:val="24"/>
        </w:rPr>
        <w:t>§ 8 odst. 2 zákona č. </w:t>
      </w:r>
      <w:r w:rsidR="003E530D">
        <w:rPr>
          <w:rFonts w:cstheme="minorHAnsi"/>
          <w:b/>
          <w:sz w:val="24"/>
        </w:rPr>
        <w:t xml:space="preserve">563/1991 Sb. je </w:t>
      </w:r>
      <w:r w:rsidR="00133F16">
        <w:rPr>
          <w:rFonts w:cstheme="minorHAnsi"/>
          <w:b/>
          <w:sz w:val="24"/>
        </w:rPr>
        <w:t>dle</w:t>
      </w:r>
      <w:r w:rsidR="00307965">
        <w:rPr>
          <w:rFonts w:cstheme="minorHAnsi"/>
          <w:b/>
          <w:sz w:val="24"/>
        </w:rPr>
        <w:t xml:space="preserve"> ustanovení § 37</w:t>
      </w:r>
      <w:r w:rsidR="00F8351D">
        <w:rPr>
          <w:rFonts w:cstheme="minorHAnsi"/>
          <w:b/>
          <w:sz w:val="24"/>
        </w:rPr>
        <w:t>a</w:t>
      </w:r>
      <w:r w:rsidR="00307965">
        <w:rPr>
          <w:rFonts w:cstheme="minorHAnsi"/>
          <w:b/>
          <w:sz w:val="24"/>
        </w:rPr>
        <w:t xml:space="preserve"> tohoto zákona </w:t>
      </w:r>
      <w:r w:rsidR="00F8351D">
        <w:rPr>
          <w:rFonts w:cstheme="minorHAnsi"/>
          <w:b/>
          <w:sz w:val="24"/>
        </w:rPr>
        <w:t>správním deliktem</w:t>
      </w:r>
      <w:r w:rsidR="00307965">
        <w:rPr>
          <w:rFonts w:cstheme="minorHAnsi"/>
          <w:b/>
          <w:sz w:val="24"/>
        </w:rPr>
        <w:t>.</w:t>
      </w:r>
    </w:p>
    <w:p w14:paraId="79C790C0" w14:textId="77777777" w:rsidR="003F1D5C" w:rsidRDefault="00B24591" w:rsidP="00835A4F">
      <w:pPr>
        <w:spacing w:after="120"/>
        <w:jc w:val="both"/>
        <w:rPr>
          <w:rFonts w:cstheme="minorHAnsi"/>
          <w:sz w:val="24"/>
          <w:szCs w:val="24"/>
        </w:rPr>
      </w:pPr>
      <w:r w:rsidRPr="003F1D5C">
        <w:rPr>
          <w:rFonts w:cstheme="minorHAnsi"/>
          <w:sz w:val="24"/>
          <w:szCs w:val="24"/>
        </w:rPr>
        <w:t xml:space="preserve">V případě nepřijetí opatření k nápravě ze strany MV </w:t>
      </w:r>
      <w:r w:rsidR="00B012CF">
        <w:rPr>
          <w:rFonts w:cstheme="minorHAnsi"/>
          <w:sz w:val="24"/>
          <w:szCs w:val="24"/>
        </w:rPr>
        <w:t>by</w:t>
      </w:r>
      <w:r w:rsidRPr="003F1D5C">
        <w:rPr>
          <w:rFonts w:cstheme="minorHAnsi"/>
          <w:sz w:val="24"/>
          <w:szCs w:val="24"/>
        </w:rPr>
        <w:t xml:space="preserve"> nesprávnosti</w:t>
      </w:r>
      <w:r w:rsidR="00B012CF">
        <w:rPr>
          <w:rFonts w:cstheme="minorHAnsi"/>
          <w:sz w:val="24"/>
          <w:szCs w:val="24"/>
        </w:rPr>
        <w:t xml:space="preserve"> ovlivnily</w:t>
      </w:r>
      <w:r w:rsidRPr="003F1D5C">
        <w:rPr>
          <w:rFonts w:cstheme="minorHAnsi"/>
          <w:sz w:val="24"/>
          <w:szCs w:val="24"/>
        </w:rPr>
        <w:t xml:space="preserve"> účetní výkazy za Českou republiku za rok 2015</w:t>
      </w:r>
      <w:r w:rsidRPr="003F1D5C">
        <w:rPr>
          <w:rStyle w:val="Znakapoznpodarou"/>
          <w:rFonts w:cstheme="minorHAnsi"/>
          <w:sz w:val="24"/>
          <w:szCs w:val="24"/>
        </w:rPr>
        <w:footnoteReference w:id="9"/>
      </w:r>
      <w:r w:rsidRPr="003F1D5C">
        <w:rPr>
          <w:rFonts w:cstheme="minorHAnsi"/>
          <w:sz w:val="24"/>
          <w:szCs w:val="24"/>
        </w:rPr>
        <w:t xml:space="preserve">. </w:t>
      </w:r>
    </w:p>
    <w:p w14:paraId="78091B0B" w14:textId="77777777" w:rsidR="00F173A7" w:rsidRPr="003F1D5C" w:rsidRDefault="0084379E" w:rsidP="003F1D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 vykázání nesprávných</w:t>
      </w:r>
      <w:r w:rsidR="00B24591" w:rsidRPr="003F1D5C">
        <w:rPr>
          <w:rFonts w:cstheme="minorHAnsi"/>
          <w:sz w:val="24"/>
          <w:szCs w:val="24"/>
        </w:rPr>
        <w:t xml:space="preserve"> konečných zůstatků účtů podmíněných závazků</w:t>
      </w:r>
      <w:r w:rsidR="000C57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 </w:t>
      </w:r>
      <w:r w:rsidR="000C5758">
        <w:rPr>
          <w:rFonts w:cstheme="minorHAnsi"/>
          <w:sz w:val="24"/>
          <w:szCs w:val="24"/>
        </w:rPr>
        <w:t>podává</w:t>
      </w:r>
      <w:r>
        <w:rPr>
          <w:rFonts w:cstheme="minorHAnsi"/>
          <w:sz w:val="24"/>
          <w:szCs w:val="24"/>
        </w:rPr>
        <w:t>na</w:t>
      </w:r>
      <w:r w:rsidR="000C5758">
        <w:rPr>
          <w:rFonts w:cstheme="minorHAnsi"/>
          <w:sz w:val="24"/>
          <w:szCs w:val="24"/>
        </w:rPr>
        <w:t xml:space="preserve"> nesprávn</w:t>
      </w:r>
      <w:r>
        <w:rPr>
          <w:rFonts w:cstheme="minorHAnsi"/>
          <w:sz w:val="24"/>
          <w:szCs w:val="24"/>
        </w:rPr>
        <w:t>á</w:t>
      </w:r>
      <w:r w:rsidR="000C5758">
        <w:rPr>
          <w:rFonts w:cstheme="minorHAnsi"/>
          <w:sz w:val="24"/>
          <w:szCs w:val="24"/>
        </w:rPr>
        <w:t xml:space="preserve"> informac</w:t>
      </w:r>
      <w:r>
        <w:rPr>
          <w:rFonts w:cstheme="minorHAnsi"/>
          <w:sz w:val="24"/>
          <w:szCs w:val="24"/>
        </w:rPr>
        <w:t>e</w:t>
      </w:r>
      <w:r w:rsidR="000C5758">
        <w:rPr>
          <w:rFonts w:cstheme="minorHAnsi"/>
          <w:sz w:val="24"/>
          <w:szCs w:val="24"/>
        </w:rPr>
        <w:t xml:space="preserve"> o</w:t>
      </w:r>
      <w:r w:rsidR="00B24591" w:rsidRPr="003F1D5C">
        <w:rPr>
          <w:rFonts w:cstheme="minorHAnsi"/>
          <w:sz w:val="24"/>
          <w:szCs w:val="24"/>
        </w:rPr>
        <w:t xml:space="preserve"> náro</w:t>
      </w:r>
      <w:r w:rsidR="000C5758">
        <w:rPr>
          <w:rFonts w:cstheme="minorHAnsi"/>
          <w:sz w:val="24"/>
          <w:szCs w:val="24"/>
        </w:rPr>
        <w:t>cích</w:t>
      </w:r>
      <w:r w:rsidR="00B24591" w:rsidRPr="003F1D5C">
        <w:rPr>
          <w:rFonts w:cstheme="minorHAnsi"/>
          <w:sz w:val="24"/>
          <w:szCs w:val="24"/>
        </w:rPr>
        <w:t xml:space="preserve"> na budoucí rozpočt</w:t>
      </w:r>
      <w:r w:rsidR="000C5758">
        <w:rPr>
          <w:rFonts w:cstheme="minorHAnsi"/>
          <w:sz w:val="24"/>
          <w:szCs w:val="24"/>
        </w:rPr>
        <w:t>y</w:t>
      </w:r>
      <w:r w:rsidR="00B24591" w:rsidRPr="003F1D5C">
        <w:rPr>
          <w:rFonts w:cstheme="minorHAnsi"/>
          <w:sz w:val="24"/>
          <w:szCs w:val="24"/>
        </w:rPr>
        <w:t>.</w:t>
      </w:r>
      <w:r w:rsidR="00B24591" w:rsidRPr="003F1D5C">
        <w:rPr>
          <w:rStyle w:val="Znakapoznpodarou"/>
          <w:rFonts w:cstheme="minorHAnsi"/>
          <w:sz w:val="24"/>
          <w:szCs w:val="24"/>
        </w:rPr>
        <w:footnoteReference w:id="10"/>
      </w:r>
    </w:p>
    <w:p w14:paraId="105F7A99" w14:textId="371CBC60" w:rsidR="003F1D5C" w:rsidRPr="00992F84" w:rsidRDefault="00FE31FE" w:rsidP="00992F84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E044A">
        <w:rPr>
          <w:rFonts w:ascii="Calibri" w:eastAsia="Times New Roman" w:hAnsi="Calibri" w:cs="Times New Roman"/>
          <w:b/>
          <w:sz w:val="24"/>
          <w:szCs w:val="24"/>
        </w:rPr>
        <w:t xml:space="preserve">Při kontrole bylo také zjištěno, že </w:t>
      </w:r>
      <w:r w:rsidR="00E112BA" w:rsidRPr="001E044A">
        <w:rPr>
          <w:rFonts w:ascii="Calibri" w:eastAsia="Times New Roman" w:hAnsi="Calibri" w:cs="Times New Roman"/>
          <w:b/>
          <w:sz w:val="24"/>
          <w:szCs w:val="24"/>
        </w:rPr>
        <w:t>MV v roce 2014 p</w:t>
      </w:r>
      <w:r w:rsidR="00A2272E">
        <w:rPr>
          <w:rFonts w:ascii="Calibri" w:eastAsia="Times New Roman" w:hAnsi="Calibri" w:cs="Times New Roman"/>
          <w:b/>
          <w:sz w:val="24"/>
          <w:szCs w:val="24"/>
        </w:rPr>
        <w:t xml:space="preserve">orušilo </w:t>
      </w:r>
      <w:r w:rsidR="00C23C4C">
        <w:rPr>
          <w:rFonts w:ascii="Calibri" w:eastAsia="Times New Roman" w:hAnsi="Calibri" w:cs="Times New Roman"/>
          <w:b/>
          <w:sz w:val="24"/>
          <w:szCs w:val="24"/>
        </w:rPr>
        <w:t xml:space="preserve">ustanovení </w:t>
      </w:r>
      <w:r w:rsidR="00A2272E">
        <w:rPr>
          <w:rFonts w:ascii="Calibri" w:eastAsia="Times New Roman" w:hAnsi="Calibri" w:cs="Times New Roman"/>
          <w:b/>
          <w:sz w:val="24"/>
          <w:szCs w:val="24"/>
        </w:rPr>
        <w:t>§ 45 odst. 10 zákona č. </w:t>
      </w:r>
      <w:r w:rsidR="00E112BA" w:rsidRPr="001E044A">
        <w:rPr>
          <w:rFonts w:ascii="Calibri" w:eastAsia="Times New Roman" w:hAnsi="Calibri" w:cs="Times New Roman"/>
          <w:b/>
          <w:sz w:val="24"/>
          <w:szCs w:val="24"/>
        </w:rPr>
        <w:t xml:space="preserve">218/2000 Sb., </w:t>
      </w:r>
      <w:r w:rsidR="001E044A" w:rsidRPr="001E044A">
        <w:rPr>
          <w:rFonts w:ascii="Calibri" w:eastAsia="Times New Roman" w:hAnsi="Calibri" w:cs="Times New Roman"/>
          <w:sz w:val="24"/>
          <w:szCs w:val="24"/>
        </w:rPr>
        <w:t xml:space="preserve">o rozpočtových pravidlech a o změně některých souvisejících zákonů </w:t>
      </w:r>
      <w:r w:rsidR="001E044A" w:rsidRPr="001E044A">
        <w:rPr>
          <w:rFonts w:ascii="Calibri" w:eastAsia="Times New Roman" w:hAnsi="Calibri" w:cs="Times New Roman"/>
          <w:sz w:val="24"/>
          <w:szCs w:val="24"/>
        </w:rPr>
        <w:lastRenderedPageBreak/>
        <w:t xml:space="preserve">(rozpočtová pravidla), </w:t>
      </w:r>
      <w:r w:rsidR="00E112BA" w:rsidRPr="001E044A">
        <w:rPr>
          <w:rFonts w:ascii="Calibri" w:eastAsia="Times New Roman" w:hAnsi="Calibri" w:cs="Times New Roman"/>
          <w:sz w:val="24"/>
          <w:szCs w:val="24"/>
        </w:rPr>
        <w:t>neboť do 10 pracovních dnů neodvedlo na příjmový účet státního rozpočtu peněžní prostředky představující vrácenou spotřební daň ve výši 401,14 tis. Kč</w:t>
      </w:r>
      <w:r w:rsidR="001E044A" w:rsidRPr="001E044A">
        <w:rPr>
          <w:rFonts w:ascii="Calibri" w:eastAsia="Times New Roman" w:hAnsi="Calibri" w:cs="Times New Roman"/>
          <w:sz w:val="24"/>
          <w:szCs w:val="24"/>
        </w:rPr>
        <w:t>.</w:t>
      </w:r>
      <w:r w:rsidR="001E044A" w:rsidRPr="001E044A">
        <w:rPr>
          <w:rFonts w:ascii="Calibri" w:eastAsia="Times New Roman" w:hAnsi="Calibri" w:cs="Times New Roman"/>
          <w:b/>
          <w:sz w:val="24"/>
          <w:szCs w:val="24"/>
        </w:rPr>
        <w:t xml:space="preserve"> Neprovedení odvodu do 10 pracovních dnů </w:t>
      </w:r>
      <w:r w:rsidR="0084379E">
        <w:rPr>
          <w:rFonts w:ascii="Calibri" w:eastAsia="Times New Roman" w:hAnsi="Calibri" w:cs="Times New Roman"/>
          <w:b/>
          <w:sz w:val="24"/>
          <w:szCs w:val="24"/>
        </w:rPr>
        <w:t>je</w:t>
      </w:r>
      <w:r w:rsidR="001E044A" w:rsidRPr="001E044A">
        <w:rPr>
          <w:rFonts w:ascii="Calibri" w:eastAsia="Times New Roman" w:hAnsi="Calibri" w:cs="Times New Roman"/>
          <w:b/>
          <w:sz w:val="24"/>
          <w:szCs w:val="24"/>
        </w:rPr>
        <w:t xml:space="preserve"> dle ustanovení § 44 odst. 1 písm. g) zákona</w:t>
      </w:r>
      <w:r w:rsidR="001E044A">
        <w:rPr>
          <w:rFonts w:ascii="Calibri" w:eastAsia="Times New Roman" w:hAnsi="Calibri" w:cs="Times New Roman"/>
          <w:b/>
          <w:sz w:val="24"/>
          <w:szCs w:val="24"/>
        </w:rPr>
        <w:t xml:space="preserve"> č. 218/2000 Sb. porušení</w:t>
      </w:r>
      <w:r w:rsidR="0084379E">
        <w:rPr>
          <w:rFonts w:ascii="Calibri" w:eastAsia="Times New Roman" w:hAnsi="Calibri" w:cs="Times New Roman"/>
          <w:b/>
          <w:sz w:val="24"/>
          <w:szCs w:val="24"/>
        </w:rPr>
        <w:t>m</w:t>
      </w:r>
      <w:r w:rsidR="001E044A">
        <w:rPr>
          <w:rFonts w:ascii="Calibri" w:eastAsia="Times New Roman" w:hAnsi="Calibri" w:cs="Times New Roman"/>
          <w:b/>
          <w:sz w:val="24"/>
          <w:szCs w:val="24"/>
        </w:rPr>
        <w:t xml:space="preserve"> rozpočtové kázně </w:t>
      </w:r>
      <w:r w:rsidR="00E40DEC">
        <w:rPr>
          <w:rFonts w:ascii="Calibri" w:eastAsia="Times New Roman" w:hAnsi="Calibri" w:cs="Times New Roman"/>
          <w:sz w:val="24"/>
          <w:szCs w:val="24"/>
        </w:rPr>
        <w:t xml:space="preserve">(viz </w:t>
      </w:r>
      <w:r w:rsidR="00E40DEC" w:rsidRPr="006701FB">
        <w:rPr>
          <w:rFonts w:ascii="Calibri" w:eastAsia="Times New Roman" w:hAnsi="Calibri" w:cs="Times New Roman"/>
          <w:sz w:val="24"/>
          <w:szCs w:val="24"/>
        </w:rPr>
        <w:t>část III.</w:t>
      </w:r>
      <w:r w:rsidR="00133F16" w:rsidRPr="006701FB">
        <w:rPr>
          <w:rFonts w:ascii="Calibri" w:eastAsia="Times New Roman" w:hAnsi="Calibri" w:cs="Times New Roman"/>
          <w:sz w:val="24"/>
          <w:szCs w:val="24"/>
        </w:rPr>
        <w:t>2</w:t>
      </w:r>
      <w:r w:rsidR="00196BE6">
        <w:rPr>
          <w:rFonts w:ascii="Calibri" w:eastAsia="Times New Roman" w:hAnsi="Calibri" w:cs="Times New Roman"/>
          <w:sz w:val="24"/>
          <w:szCs w:val="24"/>
        </w:rPr>
        <w:t>.</w:t>
      </w:r>
      <w:r w:rsidR="00E40DEC" w:rsidRPr="006701FB">
        <w:rPr>
          <w:rFonts w:ascii="Calibri" w:eastAsia="Times New Roman" w:hAnsi="Calibri" w:cs="Times New Roman"/>
          <w:sz w:val="24"/>
          <w:szCs w:val="24"/>
        </w:rPr>
        <w:t xml:space="preserve"> tohoto kontrolního</w:t>
      </w:r>
      <w:r w:rsidR="00E40DEC">
        <w:rPr>
          <w:rFonts w:ascii="Calibri" w:eastAsia="Times New Roman" w:hAnsi="Calibri" w:cs="Times New Roman"/>
          <w:sz w:val="24"/>
          <w:szCs w:val="24"/>
        </w:rPr>
        <w:t xml:space="preserve"> závěru)</w:t>
      </w:r>
      <w:r w:rsidR="00E112BA" w:rsidRPr="00FE31FE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</w:p>
    <w:p w14:paraId="39EEEDF7" w14:textId="77777777" w:rsidR="003F1D5C" w:rsidRDefault="003F1D5C" w:rsidP="00E112BA">
      <w:pPr>
        <w:spacing w:before="40"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E2BE0EB" w14:textId="77777777" w:rsidR="00597438" w:rsidRDefault="00597438" w:rsidP="00E112BA">
      <w:pPr>
        <w:spacing w:before="40"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4605617" w14:textId="77777777" w:rsidR="00E40DEC" w:rsidRDefault="00E40DEC" w:rsidP="00E40DEC">
      <w:pPr>
        <w:spacing w:after="120" w:line="240" w:lineRule="auto"/>
        <w:jc w:val="center"/>
        <w:rPr>
          <w:rFonts w:cstheme="minorHAnsi"/>
          <w:b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III. </w:t>
      </w:r>
      <w:r w:rsidRPr="00B10F0A">
        <w:rPr>
          <w:rFonts w:cstheme="minorHAnsi"/>
          <w:b/>
          <w:sz w:val="28"/>
          <w:szCs w:val="28"/>
          <w:lang w:eastAsia="cs-CZ"/>
        </w:rPr>
        <w:t>Podrobné informace ke zjištěným skutečnostem</w:t>
      </w:r>
    </w:p>
    <w:p w14:paraId="4ED3651B" w14:textId="77777777" w:rsidR="002F2B2E" w:rsidRPr="002F2B2E" w:rsidRDefault="002F2B2E" w:rsidP="002F2B2E">
      <w:pPr>
        <w:spacing w:after="12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14:paraId="1EDA91DB" w14:textId="77777777" w:rsidR="00E40DEC" w:rsidRPr="00E40DEC" w:rsidRDefault="00E40DEC" w:rsidP="002373A8">
      <w:pPr>
        <w:pStyle w:val="Odstavecseseznamem"/>
        <w:numPr>
          <w:ilvl w:val="0"/>
          <w:numId w:val="19"/>
        </w:numPr>
        <w:spacing w:before="40" w:after="120" w:line="240" w:lineRule="auto"/>
        <w:ind w:left="284" w:hanging="284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>
        <w:rPr>
          <w:rFonts w:ascii="Calibri" w:eastAsia="Times New Roman" w:hAnsi="Calibri" w:cs="Calibri"/>
          <w:b/>
          <w:sz w:val="24"/>
          <w:szCs w:val="20"/>
          <w:lang w:eastAsia="cs-CZ"/>
        </w:rPr>
        <w:t>Nesprávnosti v účetní závěrce a hlavní příčiny těchto nesprávností</w:t>
      </w:r>
    </w:p>
    <w:p w14:paraId="421A3841" w14:textId="089161D6" w:rsidR="00E40DEC" w:rsidRDefault="00443C78" w:rsidP="00C03374">
      <w:pPr>
        <w:spacing w:before="40"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Kontrolou b</w:t>
      </w:r>
      <w:r w:rsidR="00E40DEC" w:rsidRPr="00C03374">
        <w:rPr>
          <w:rFonts w:ascii="Calibri" w:eastAsia="Times New Roman" w:hAnsi="Calibri" w:cs="Times New Roman"/>
          <w:sz w:val="24"/>
          <w:szCs w:val="24"/>
        </w:rPr>
        <w:t xml:space="preserve">yly </w:t>
      </w:r>
      <w:r w:rsidR="00C03374">
        <w:rPr>
          <w:rFonts w:ascii="Calibri" w:eastAsia="Times New Roman" w:hAnsi="Calibri" w:cs="Times New Roman"/>
          <w:sz w:val="24"/>
          <w:szCs w:val="24"/>
        </w:rPr>
        <w:t>zjiště</w:t>
      </w:r>
      <w:r w:rsidR="00E40DEC" w:rsidRPr="00C03374">
        <w:rPr>
          <w:rFonts w:ascii="Calibri" w:eastAsia="Times New Roman" w:hAnsi="Calibri" w:cs="Times New Roman"/>
          <w:sz w:val="24"/>
          <w:szCs w:val="24"/>
        </w:rPr>
        <w:t xml:space="preserve">ny nesprávnosti dle jednotlivých položek ÚZ </w:t>
      </w:r>
      <w:r>
        <w:rPr>
          <w:rFonts w:ascii="Calibri" w:eastAsia="Times New Roman" w:hAnsi="Calibri" w:cs="Times New Roman"/>
          <w:sz w:val="24"/>
          <w:szCs w:val="24"/>
        </w:rPr>
        <w:t xml:space="preserve">v návaznosti </w:t>
      </w:r>
      <w:r w:rsidR="00E40DEC" w:rsidRPr="00C03374">
        <w:rPr>
          <w:rFonts w:ascii="Calibri" w:eastAsia="Times New Roman" w:hAnsi="Calibri" w:cs="Times New Roman"/>
          <w:sz w:val="24"/>
          <w:szCs w:val="24"/>
        </w:rPr>
        <w:t>na jejich obsahové vymezení podle vyhlášky č. 410/2009 Sb.</w:t>
      </w:r>
      <w:r w:rsidR="00A9475D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1"/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="00E40DEC" w:rsidRPr="00C03374">
        <w:rPr>
          <w:rFonts w:ascii="Calibri" w:eastAsia="Times New Roman" w:hAnsi="Calibri" w:cs="Times New Roman"/>
          <w:sz w:val="24"/>
          <w:szCs w:val="24"/>
        </w:rPr>
        <w:t xml:space="preserve"> nesprávnosti </w:t>
      </w:r>
      <w:r>
        <w:rPr>
          <w:rFonts w:ascii="Calibri" w:eastAsia="Times New Roman" w:hAnsi="Calibri" w:cs="Times New Roman"/>
          <w:sz w:val="24"/>
          <w:szCs w:val="24"/>
        </w:rPr>
        <w:t>v důsledku</w:t>
      </w:r>
      <w:r w:rsidR="00CB0F1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03374" w:rsidRPr="00C03374">
        <w:rPr>
          <w:rFonts w:ascii="Calibri" w:eastAsia="Times New Roman" w:hAnsi="Calibri" w:cs="Times New Roman"/>
          <w:sz w:val="24"/>
          <w:szCs w:val="24"/>
        </w:rPr>
        <w:t>nesprávné aplikace účetních metod a</w:t>
      </w:r>
      <w:r w:rsidR="00CB0F1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03374" w:rsidRPr="00C03374">
        <w:rPr>
          <w:rFonts w:ascii="Calibri" w:eastAsia="Times New Roman" w:hAnsi="Calibri" w:cs="Times New Roman"/>
          <w:sz w:val="24"/>
          <w:szCs w:val="24"/>
        </w:rPr>
        <w:t xml:space="preserve">z </w:t>
      </w:r>
      <w:r w:rsidR="00E40DEC" w:rsidRPr="00C03374">
        <w:rPr>
          <w:rFonts w:ascii="Calibri" w:eastAsia="Times New Roman" w:hAnsi="Calibri" w:cs="Times New Roman"/>
          <w:sz w:val="24"/>
          <w:szCs w:val="24"/>
        </w:rPr>
        <w:t>nedodržení dalších podmínek vedení účetnictví stanovených právními předpisy. V níže uvedených případech jsou uvedena</w:t>
      </w:r>
      <w:r w:rsidR="00A62861">
        <w:rPr>
          <w:rFonts w:ascii="Calibri" w:eastAsia="Times New Roman" w:hAnsi="Calibri" w:cs="Times New Roman"/>
          <w:sz w:val="24"/>
          <w:szCs w:val="24"/>
        </w:rPr>
        <w:t xml:space="preserve"> některá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 významná zjištění a </w:t>
      </w:r>
      <w:r w:rsidR="00E40DEC" w:rsidRPr="00C03374">
        <w:rPr>
          <w:rFonts w:ascii="Calibri" w:eastAsia="Times New Roman" w:hAnsi="Calibri" w:cs="Times New Roman"/>
          <w:sz w:val="24"/>
          <w:szCs w:val="24"/>
        </w:rPr>
        <w:t>systémové nedostatky s vlivem na ÚZ.</w:t>
      </w:r>
    </w:p>
    <w:p w14:paraId="02ECEA36" w14:textId="77777777" w:rsidR="002F2B2E" w:rsidRPr="00064265" w:rsidRDefault="002F2B2E" w:rsidP="002373A8">
      <w:pPr>
        <w:pStyle w:val="Odstavecseseznamem"/>
        <w:numPr>
          <w:ilvl w:val="1"/>
          <w:numId w:val="20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64265">
        <w:rPr>
          <w:rFonts w:ascii="Calibri" w:eastAsia="Times New Roman" w:hAnsi="Calibri" w:cs="Calibri"/>
          <w:b/>
          <w:sz w:val="24"/>
          <w:szCs w:val="24"/>
        </w:rPr>
        <w:t>Podpis účetní závěrky</w:t>
      </w:r>
    </w:p>
    <w:p w14:paraId="55E1CFDD" w14:textId="4D94ED57" w:rsidR="002F2B2E" w:rsidRPr="002F2B2E" w:rsidRDefault="002F2B2E" w:rsidP="002F2B2E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F2B2E">
        <w:rPr>
          <w:rFonts w:ascii="Calibri" w:eastAsia="Times New Roman" w:hAnsi="Calibri" w:cs="Times New Roman"/>
          <w:sz w:val="24"/>
          <w:szCs w:val="24"/>
        </w:rPr>
        <w:t xml:space="preserve">Účetní závěrka MV k 31. prosinci 2014 byla podepsána </w:t>
      </w:r>
      <w:r w:rsidR="004E733F">
        <w:rPr>
          <w:rFonts w:ascii="Calibri" w:eastAsia="Times New Roman" w:hAnsi="Calibri" w:cs="Times New Roman"/>
          <w:sz w:val="24"/>
          <w:szCs w:val="24"/>
        </w:rPr>
        <w:t>zaměstnanci ministerstva</w:t>
      </w:r>
      <w:r w:rsidR="006C2C66">
        <w:rPr>
          <w:rFonts w:ascii="Calibri" w:eastAsia="Times New Roman" w:hAnsi="Calibri" w:cs="Times New Roman"/>
          <w:sz w:val="24"/>
          <w:szCs w:val="24"/>
        </w:rPr>
        <w:t>,</w:t>
      </w:r>
      <w:r w:rsidRPr="002F2B2E">
        <w:rPr>
          <w:rFonts w:ascii="Calibri" w:eastAsia="Times New Roman" w:hAnsi="Calibri" w:cs="Times New Roman"/>
          <w:sz w:val="24"/>
          <w:szCs w:val="24"/>
        </w:rPr>
        <w:t xml:space="preserve"> a to na základě </w:t>
      </w:r>
      <w:r w:rsidR="006C2C66" w:rsidRPr="00064265">
        <w:rPr>
          <w:rFonts w:ascii="Calibri" w:eastAsia="Times New Roman" w:hAnsi="Calibri" w:cs="Times New Roman"/>
          <w:i/>
          <w:sz w:val="24"/>
          <w:szCs w:val="24"/>
        </w:rPr>
        <w:t>n</w:t>
      </w:r>
      <w:r w:rsidRPr="00064265">
        <w:rPr>
          <w:rFonts w:ascii="Calibri" w:eastAsia="Times New Roman" w:hAnsi="Calibri" w:cs="Times New Roman"/>
          <w:i/>
          <w:sz w:val="24"/>
          <w:szCs w:val="24"/>
        </w:rPr>
        <w:t>ařízení Ministerstva vnitra o řízení</w:t>
      </w:r>
      <w:r w:rsidR="006C2C66" w:rsidRPr="00064265">
        <w:rPr>
          <w:rFonts w:ascii="Calibri" w:eastAsia="Times New Roman" w:hAnsi="Calibri" w:cs="Times New Roman"/>
          <w:i/>
          <w:sz w:val="24"/>
          <w:szCs w:val="24"/>
        </w:rPr>
        <w:t>,</w:t>
      </w:r>
      <w:r w:rsidRPr="00064265">
        <w:rPr>
          <w:rFonts w:ascii="Calibri" w:eastAsia="Times New Roman" w:hAnsi="Calibri" w:cs="Times New Roman"/>
          <w:i/>
          <w:sz w:val="24"/>
          <w:szCs w:val="24"/>
        </w:rPr>
        <w:t xml:space="preserve"> organizaci a výkonu ekonomické činnosti</w:t>
      </w:r>
      <w:r w:rsidRPr="002F2B2E">
        <w:rPr>
          <w:rFonts w:ascii="Calibri" w:eastAsia="Times New Roman" w:hAnsi="Calibri" w:cs="Times New Roman"/>
          <w:sz w:val="24"/>
          <w:szCs w:val="24"/>
        </w:rPr>
        <w:t>.</w:t>
      </w:r>
    </w:p>
    <w:p w14:paraId="52F03E9B" w14:textId="77777777" w:rsidR="002F2B2E" w:rsidRPr="002F2B2E" w:rsidRDefault="002F2B2E" w:rsidP="002F2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2B2E">
        <w:rPr>
          <w:rFonts w:ascii="Calibri" w:eastAsia="Times New Roman" w:hAnsi="Calibri" w:cs="Times New Roman"/>
          <w:sz w:val="24"/>
          <w:szCs w:val="24"/>
        </w:rPr>
        <w:t>ÚZ MV sestavená k 31. prosinci 2014 neobsahovala všechny povinné součásti uvedené v</w:t>
      </w:r>
      <w:r w:rsidR="009208B2">
        <w:rPr>
          <w:rFonts w:ascii="Calibri" w:eastAsia="Times New Roman" w:hAnsi="Calibri" w:cs="Times New Roman"/>
          <w:sz w:val="24"/>
          <w:szCs w:val="24"/>
        </w:rPr>
        <w:t xml:space="preserve"> ustanovení </w:t>
      </w:r>
      <w:r w:rsidRPr="002F2B2E">
        <w:rPr>
          <w:rFonts w:ascii="Calibri" w:eastAsia="Times New Roman" w:hAnsi="Calibri" w:cs="Times New Roman"/>
          <w:sz w:val="24"/>
          <w:szCs w:val="24"/>
        </w:rPr>
        <w:t>§ 18 odst. 2 zákona č. 563/1991 Sb.</w:t>
      </w:r>
      <w:r w:rsidR="004F4ED3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2"/>
      </w:r>
      <w:r w:rsidRPr="002F2B2E">
        <w:rPr>
          <w:rFonts w:ascii="Calibri" w:eastAsia="Times New Roman" w:hAnsi="Calibri" w:cs="Times New Roman"/>
          <w:sz w:val="24"/>
          <w:szCs w:val="24"/>
        </w:rPr>
        <w:t xml:space="preserve">, který mimo jiné ukládá, aby byl k účetní závěrce připojen podpisový záznam statutárního orgánu účetní jednotky podle </w:t>
      </w:r>
      <w:r w:rsidR="00D854B7">
        <w:rPr>
          <w:rFonts w:ascii="Calibri" w:eastAsia="Times New Roman" w:hAnsi="Calibri" w:cs="Times New Roman"/>
          <w:sz w:val="24"/>
          <w:szCs w:val="24"/>
        </w:rPr>
        <w:t>ustanovení § </w:t>
      </w:r>
      <w:r w:rsidRPr="002F2B2E">
        <w:rPr>
          <w:rFonts w:ascii="Calibri" w:eastAsia="Times New Roman" w:hAnsi="Calibri" w:cs="Times New Roman"/>
          <w:sz w:val="24"/>
          <w:szCs w:val="24"/>
        </w:rPr>
        <w:t>1 odst. 2 písm. a) až c) téhož zákona. V souladu s tímto ustanovením zákona se připojením podpisového záznamu považuje účetní závěrka za sestavenou k uvedenému okamžiku sestavení. Připojení podpisu k účetní závěrce je právním jednáním, kterým vedoucí organizační složky státu dává navenek na vědomí, že s obsahem účetní závěrky souhlasí a že údaje v ní obsažené považuje za správné a pravdivé.</w:t>
      </w:r>
      <w:r w:rsidRPr="002F2B2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59EB1AC" w14:textId="77777777" w:rsidR="002F2B2E" w:rsidRPr="00064265" w:rsidRDefault="002F2B2E" w:rsidP="002373A8">
      <w:pPr>
        <w:pStyle w:val="Odstavecseseznamem"/>
        <w:numPr>
          <w:ilvl w:val="1"/>
          <w:numId w:val="20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64265">
        <w:rPr>
          <w:rFonts w:ascii="Calibri" w:eastAsia="Times New Roman" w:hAnsi="Calibri" w:cs="Calibri"/>
          <w:b/>
          <w:sz w:val="24"/>
          <w:szCs w:val="24"/>
        </w:rPr>
        <w:t>Podmíněné závazky z</w:t>
      </w:r>
      <w:r w:rsidR="00026BBA" w:rsidRPr="00064265">
        <w:rPr>
          <w:rFonts w:ascii="Calibri" w:eastAsia="Times New Roman" w:hAnsi="Calibri" w:cs="Calibri"/>
          <w:b/>
          <w:sz w:val="24"/>
          <w:szCs w:val="24"/>
        </w:rPr>
        <w:t>e</w:t>
      </w:r>
      <w:r w:rsidRPr="00064265">
        <w:rPr>
          <w:rFonts w:ascii="Calibri" w:eastAsia="Times New Roman" w:hAnsi="Calibri" w:cs="Calibri"/>
          <w:b/>
          <w:sz w:val="24"/>
          <w:szCs w:val="24"/>
        </w:rPr>
        <w:t xml:space="preserve"> smluv</w:t>
      </w:r>
    </w:p>
    <w:p w14:paraId="14130CDF" w14:textId="6561F33A" w:rsidR="00026BBA" w:rsidRDefault="002F2B2E" w:rsidP="002F2B2E">
      <w:pPr>
        <w:spacing w:before="40"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MV v roce 2014 neúčtovalo a v ÚZ nevykázalo dlouhodobé podmíněné závazky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plynoucí z</w:t>
      </w:r>
      <w:r w:rsidR="0069165A">
        <w:rPr>
          <w:rFonts w:ascii="Calibri" w:eastAsia="Times New Roman" w:hAnsi="Calibri" w:cs="Times New Roman"/>
          <w:sz w:val="24"/>
          <w:szCs w:val="24"/>
        </w:rPr>
        <w:t>e dvou</w:t>
      </w:r>
      <w:r w:rsidR="00CB0F1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smluv</w:t>
      </w:r>
      <w:r w:rsidR="00FA75E6">
        <w:rPr>
          <w:rFonts w:ascii="Calibri" w:eastAsia="Times New Roman" w:hAnsi="Calibri" w:cs="Times New Roman"/>
          <w:sz w:val="24"/>
          <w:szCs w:val="24"/>
        </w:rPr>
        <w:t xml:space="preserve"> uzavřených</w:t>
      </w:r>
      <w:r w:rsidR="0069165A">
        <w:rPr>
          <w:rFonts w:ascii="Calibri" w:eastAsia="Times New Roman" w:hAnsi="Calibri" w:cs="Times New Roman"/>
          <w:sz w:val="24"/>
          <w:szCs w:val="24"/>
        </w:rPr>
        <w:t xml:space="preserve"> se státním podnikem</w:t>
      </w:r>
      <w:r w:rsidR="00A9475D">
        <w:rPr>
          <w:rFonts w:ascii="Calibri" w:eastAsia="Times New Roman" w:hAnsi="Calibri" w:cs="Times New Roman"/>
          <w:sz w:val="24"/>
          <w:szCs w:val="24"/>
        </w:rPr>
        <w:t>, a</w:t>
      </w:r>
      <w:r w:rsidR="00234146">
        <w:rPr>
          <w:rFonts w:ascii="Calibri" w:eastAsia="Times New Roman" w:hAnsi="Calibri" w:cs="Times New Roman"/>
          <w:sz w:val="24"/>
          <w:szCs w:val="24"/>
        </w:rPr>
        <w:t xml:space="preserve"> to ze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: </w:t>
      </w:r>
    </w:p>
    <w:p w14:paraId="39E18461" w14:textId="5E5D0BD4" w:rsidR="00026BBA" w:rsidRDefault="00026BBA" w:rsidP="00064265">
      <w:pPr>
        <w:pStyle w:val="Odstavecseseznamem"/>
        <w:numPr>
          <w:ilvl w:val="0"/>
          <w:numId w:val="31"/>
        </w:numPr>
        <w:spacing w:before="40"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</w:t>
      </w:r>
      <w:r w:rsidRPr="00026BBA">
        <w:rPr>
          <w:rFonts w:ascii="Calibri" w:eastAsia="Times New Roman" w:hAnsi="Calibri" w:cs="Times New Roman"/>
          <w:sz w:val="24"/>
          <w:szCs w:val="24"/>
        </w:rPr>
        <w:t>mlouv</w:t>
      </w:r>
      <w:r>
        <w:rPr>
          <w:rFonts w:ascii="Calibri" w:eastAsia="Times New Roman" w:hAnsi="Calibri" w:cs="Times New Roman"/>
          <w:sz w:val="24"/>
          <w:szCs w:val="24"/>
        </w:rPr>
        <w:t>y</w:t>
      </w:r>
      <w:r w:rsidRPr="00026BBA">
        <w:rPr>
          <w:rFonts w:ascii="Calibri" w:eastAsia="Times New Roman" w:hAnsi="Calibri" w:cs="Times New Roman"/>
          <w:sz w:val="24"/>
          <w:szCs w:val="24"/>
        </w:rPr>
        <w:t xml:space="preserve"> o poskytování služeb provozovatele informačního systému datových schránek</w:t>
      </w:r>
      <w:r>
        <w:rPr>
          <w:rFonts w:ascii="Calibri" w:eastAsia="Times New Roman" w:hAnsi="Calibri" w:cs="Times New Roman"/>
          <w:sz w:val="24"/>
          <w:szCs w:val="24"/>
        </w:rPr>
        <w:t>, která</w:t>
      </w:r>
      <w:r w:rsidRPr="00026BBA">
        <w:rPr>
          <w:rFonts w:ascii="Calibri" w:eastAsia="Times New Roman" w:hAnsi="Calibri" w:cs="Times New Roman"/>
          <w:sz w:val="24"/>
          <w:szCs w:val="24"/>
        </w:rPr>
        <w:t xml:space="preserve"> byla uzavřena dne 27. února 2009</w:t>
      </w:r>
      <w:r w:rsidR="00443C78">
        <w:rPr>
          <w:rFonts w:ascii="Calibri" w:eastAsia="Times New Roman" w:hAnsi="Calibri" w:cs="Times New Roman"/>
          <w:sz w:val="24"/>
          <w:szCs w:val="24"/>
        </w:rPr>
        <w:t xml:space="preserve"> (</w:t>
      </w:r>
      <w:r>
        <w:rPr>
          <w:rFonts w:ascii="Calibri" w:eastAsia="Times New Roman" w:hAnsi="Calibri" w:cs="Times New Roman"/>
          <w:sz w:val="24"/>
          <w:szCs w:val="24"/>
        </w:rPr>
        <w:t>p</w:t>
      </w:r>
      <w:r w:rsidRPr="00026BBA">
        <w:rPr>
          <w:rFonts w:ascii="Calibri" w:eastAsia="Times New Roman" w:hAnsi="Calibri" w:cs="Times New Roman"/>
          <w:sz w:val="24"/>
          <w:szCs w:val="24"/>
        </w:rPr>
        <w:t>ředmětem smlouvy je provozování uvedeného systému a s tím související poskytnutí funkčností tohoto systému</w:t>
      </w:r>
      <w:r w:rsidR="00443C78">
        <w:rPr>
          <w:rFonts w:ascii="Calibri" w:eastAsia="Times New Roman" w:hAnsi="Calibri" w:cs="Times New Roman"/>
          <w:sz w:val="24"/>
          <w:szCs w:val="24"/>
        </w:rPr>
        <w:t>, p</w:t>
      </w:r>
      <w:r w:rsidRPr="00026BBA">
        <w:rPr>
          <w:rFonts w:ascii="Calibri" w:eastAsia="Times New Roman" w:hAnsi="Calibri" w:cs="Times New Roman"/>
          <w:sz w:val="24"/>
          <w:szCs w:val="24"/>
        </w:rPr>
        <w:t>latnost smlouvy je do 31. prosince 2017 a roční částka platby vyplývající ze smlouvy je ve výši 605 mil. Kč</w:t>
      </w:r>
      <w:r w:rsidR="00443C78">
        <w:rPr>
          <w:rFonts w:ascii="Calibri" w:eastAsia="Times New Roman" w:hAnsi="Calibri" w:cs="Times New Roman"/>
          <w:sz w:val="24"/>
          <w:szCs w:val="24"/>
        </w:rPr>
        <w:t>)</w:t>
      </w:r>
      <w:r w:rsidR="006602C8">
        <w:rPr>
          <w:rFonts w:ascii="Calibri" w:eastAsia="Times New Roman" w:hAnsi="Calibri" w:cs="Times New Roman"/>
          <w:sz w:val="24"/>
          <w:szCs w:val="24"/>
        </w:rPr>
        <w:t>;</w:t>
      </w:r>
    </w:p>
    <w:p w14:paraId="6FDD9B95" w14:textId="4FAEEC3B" w:rsidR="00443C78" w:rsidRPr="00443C78" w:rsidRDefault="00443C78" w:rsidP="00064265">
      <w:pPr>
        <w:pStyle w:val="Odstavecseseznamem"/>
        <w:numPr>
          <w:ilvl w:val="0"/>
          <w:numId w:val="31"/>
        </w:numPr>
        <w:spacing w:before="40"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>r</w:t>
      </w:r>
      <w:r w:rsidR="00026BBA">
        <w:rPr>
          <w:rFonts w:ascii="Calibri" w:eastAsia="Times New Roman" w:hAnsi="Calibri" w:cs="Times New Roman"/>
          <w:sz w:val="24"/>
          <w:szCs w:val="24"/>
        </w:rPr>
        <w:t>ámcov</w:t>
      </w:r>
      <w:r>
        <w:rPr>
          <w:rFonts w:ascii="Calibri" w:eastAsia="Times New Roman" w:hAnsi="Calibri" w:cs="Times New Roman"/>
          <w:sz w:val="24"/>
          <w:szCs w:val="24"/>
        </w:rPr>
        <w:t>é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 smlouv</w:t>
      </w:r>
      <w:r>
        <w:rPr>
          <w:rFonts w:ascii="Calibri" w:eastAsia="Times New Roman" w:hAnsi="Calibri" w:cs="Times New Roman"/>
          <w:sz w:val="24"/>
          <w:szCs w:val="24"/>
        </w:rPr>
        <w:t>y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 o poskytování služeb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26BBA">
        <w:rPr>
          <w:rFonts w:ascii="Calibri" w:eastAsia="Times New Roman" w:hAnsi="Calibri" w:cs="Times New Roman"/>
          <w:sz w:val="24"/>
          <w:szCs w:val="24"/>
        </w:rPr>
        <w:t>spočívající</w:t>
      </w:r>
      <w:r w:rsidR="002D0E26">
        <w:rPr>
          <w:rFonts w:ascii="Calibri" w:eastAsia="Times New Roman" w:hAnsi="Calibri" w:cs="Times New Roman"/>
          <w:sz w:val="24"/>
          <w:szCs w:val="24"/>
        </w:rPr>
        <w:t>ch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 v provozu, servisu a rozvoji komunikační infrastruktury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D0E26">
        <w:rPr>
          <w:rFonts w:ascii="Calibri" w:eastAsia="Times New Roman" w:hAnsi="Calibri" w:cs="Times New Roman"/>
          <w:sz w:val="24"/>
          <w:szCs w:val="24"/>
        </w:rPr>
        <w:t>–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D0E26">
        <w:rPr>
          <w:rFonts w:ascii="Calibri" w:eastAsia="Times New Roman" w:hAnsi="Calibri" w:cs="Times New Roman"/>
          <w:sz w:val="24"/>
          <w:szCs w:val="24"/>
        </w:rPr>
        <w:t xml:space="preserve">smlouvu </w:t>
      </w:r>
      <w:r w:rsidR="00026BBA">
        <w:rPr>
          <w:rFonts w:ascii="Calibri" w:eastAsia="Times New Roman" w:hAnsi="Calibri" w:cs="Times New Roman"/>
          <w:sz w:val="24"/>
          <w:szCs w:val="24"/>
        </w:rPr>
        <w:t>MV uzavře</w:t>
      </w:r>
      <w:r w:rsidR="002D0E26">
        <w:rPr>
          <w:rFonts w:ascii="Calibri" w:eastAsia="Times New Roman" w:hAnsi="Calibri" w:cs="Times New Roman"/>
          <w:sz w:val="24"/>
          <w:szCs w:val="24"/>
        </w:rPr>
        <w:t>lo</w:t>
      </w:r>
      <w:r w:rsidR="00026BBA">
        <w:rPr>
          <w:rFonts w:ascii="Calibri" w:eastAsia="Times New Roman" w:hAnsi="Calibri" w:cs="Times New Roman"/>
          <w:sz w:val="24"/>
          <w:szCs w:val="24"/>
        </w:rPr>
        <w:t xml:space="preserve"> dne 31. října 2008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26BBA">
        <w:rPr>
          <w:rFonts w:ascii="Calibri" w:eastAsia="Times New Roman" w:hAnsi="Calibri" w:cs="Times New Roman"/>
          <w:sz w:val="24"/>
          <w:szCs w:val="24"/>
        </w:rPr>
        <w:t>na dobu neurčitou a</w:t>
      </w:r>
      <w:r w:rsidR="00EE06D6">
        <w:rPr>
          <w:rFonts w:ascii="Calibri" w:eastAsia="Times New Roman" w:hAnsi="Calibri" w:cs="Times New Roman"/>
          <w:sz w:val="24"/>
          <w:szCs w:val="24"/>
        </w:rPr>
        <w:t> </w:t>
      </w:r>
      <w:r w:rsidR="00026BBA">
        <w:rPr>
          <w:rFonts w:ascii="Calibri" w:eastAsia="Times New Roman" w:hAnsi="Calibri" w:cs="Times New Roman"/>
          <w:sz w:val="24"/>
          <w:szCs w:val="24"/>
        </w:rPr>
        <w:t>roční částka platby vyplývající ze smlouvy je ve výši 1</w:t>
      </w:r>
      <w:r w:rsidR="002D0E26">
        <w:rPr>
          <w:rFonts w:ascii="Calibri" w:eastAsia="Times New Roman" w:hAnsi="Calibri" w:cs="Times New Roman"/>
          <w:sz w:val="24"/>
          <w:szCs w:val="24"/>
        </w:rPr>
        <w:t> </w:t>
      </w:r>
      <w:r w:rsidR="00250521">
        <w:rPr>
          <w:rFonts w:ascii="Calibri" w:eastAsia="Times New Roman" w:hAnsi="Calibri" w:cs="Times New Roman"/>
          <w:sz w:val="24"/>
          <w:szCs w:val="24"/>
        </w:rPr>
        <w:t>mld.</w:t>
      </w:r>
      <w:r w:rsidR="002D0E26">
        <w:rPr>
          <w:rFonts w:ascii="Calibri" w:eastAsia="Times New Roman" w:hAnsi="Calibri" w:cs="Times New Roman"/>
          <w:sz w:val="24"/>
          <w:szCs w:val="24"/>
        </w:rPr>
        <w:t> </w:t>
      </w:r>
      <w:r w:rsidR="00026BBA">
        <w:rPr>
          <w:rFonts w:ascii="Calibri" w:eastAsia="Times New Roman" w:hAnsi="Calibri" w:cs="Times New Roman"/>
          <w:sz w:val="24"/>
          <w:szCs w:val="24"/>
        </w:rPr>
        <w:t>Kč.</w:t>
      </w:r>
    </w:p>
    <w:p w14:paraId="23A6A2CF" w14:textId="768F1D08" w:rsidR="00026BBA" w:rsidRDefault="00026BBA" w:rsidP="00026BBA">
      <w:pPr>
        <w:spacing w:before="40" w:after="120" w:line="240" w:lineRule="auto"/>
        <w:ind w:left="6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 souladu s ustanovením §</w:t>
      </w:r>
      <w:r w:rsidR="00443C78">
        <w:rPr>
          <w:rFonts w:ascii="Calibri" w:eastAsia="Times New Roman" w:hAnsi="Calibri" w:cs="Times New Roman"/>
          <w:sz w:val="24"/>
          <w:szCs w:val="24"/>
        </w:rPr>
        <w:t xml:space="preserve"> 54 odst. 1 písm. d) </w:t>
      </w:r>
      <w:r>
        <w:rPr>
          <w:rFonts w:ascii="Calibri" w:eastAsia="Times New Roman" w:hAnsi="Calibri" w:cs="Times New Roman"/>
          <w:sz w:val="24"/>
          <w:szCs w:val="24"/>
        </w:rPr>
        <w:t xml:space="preserve">vyhlášky č. 410/2009 Sb. měly být tyto podmíněné závazky ze smluv vykázány na účtu 974 </w:t>
      </w:r>
      <w:r w:rsidR="002B043E">
        <w:rPr>
          <w:rFonts w:ascii="Calibri" w:eastAsia="Times New Roman" w:hAnsi="Calibri" w:cs="Times New Roman"/>
          <w:sz w:val="24"/>
          <w:szCs w:val="24"/>
        </w:rPr>
        <w:t>–</w:t>
      </w:r>
      <w:r w:rsidRPr="00026BBA">
        <w:rPr>
          <w:rFonts w:ascii="Calibri" w:eastAsia="Times New Roman" w:hAnsi="Calibri" w:cs="Times New Roman"/>
          <w:i/>
          <w:sz w:val="24"/>
          <w:szCs w:val="24"/>
        </w:rPr>
        <w:t xml:space="preserve"> Dlouhodobé podmíněné závazky z</w:t>
      </w:r>
      <w:r w:rsidR="002D0E26">
        <w:rPr>
          <w:rFonts w:ascii="Calibri" w:eastAsia="Times New Roman" w:hAnsi="Calibri" w:cs="Times New Roman"/>
          <w:i/>
          <w:sz w:val="24"/>
          <w:szCs w:val="24"/>
        </w:rPr>
        <w:t xml:space="preserve"> jiných </w:t>
      </w:r>
      <w:r w:rsidRPr="00026BBA">
        <w:rPr>
          <w:rFonts w:ascii="Calibri" w:eastAsia="Times New Roman" w:hAnsi="Calibri" w:cs="Times New Roman"/>
          <w:i/>
          <w:sz w:val="24"/>
          <w:szCs w:val="24"/>
        </w:rPr>
        <w:t>smluv</w:t>
      </w:r>
      <w:r w:rsidR="002D0E26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a to v</w:t>
      </w:r>
      <w:r w:rsidR="00443C78">
        <w:rPr>
          <w:rFonts w:ascii="Calibri" w:eastAsia="Times New Roman" w:hAnsi="Calibri" w:cs="Times New Roman"/>
          <w:sz w:val="24"/>
          <w:szCs w:val="24"/>
        </w:rPr>
        <w:t>e</w:t>
      </w:r>
      <w:r>
        <w:rPr>
          <w:rFonts w:ascii="Calibri" w:eastAsia="Times New Roman" w:hAnsi="Calibri" w:cs="Times New Roman"/>
          <w:sz w:val="24"/>
          <w:szCs w:val="24"/>
        </w:rPr>
        <w:t xml:space="preserve"> výši plnění</w:t>
      </w:r>
      <w:r w:rsidR="00443C78">
        <w:rPr>
          <w:rFonts w:ascii="Calibri" w:eastAsia="Times New Roman" w:hAnsi="Calibri" w:cs="Times New Roman"/>
          <w:sz w:val="24"/>
          <w:szCs w:val="24"/>
        </w:rPr>
        <w:t xml:space="preserve"> plynoucí</w:t>
      </w:r>
      <w:r>
        <w:rPr>
          <w:rFonts w:ascii="Calibri" w:eastAsia="Times New Roman" w:hAnsi="Calibri" w:cs="Times New Roman"/>
          <w:sz w:val="24"/>
          <w:szCs w:val="24"/>
        </w:rPr>
        <w:t xml:space="preserve"> z těchto smluv za tři roky po sobě jdoucí po konci účetního období</w:t>
      </w:r>
      <w:r w:rsidR="00443C78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3"/>
      </w:r>
      <w:r w:rsidR="002D0E26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tj. v celkové výši 4,8 mld. Kč.</w:t>
      </w:r>
    </w:p>
    <w:p w14:paraId="4AC0A675" w14:textId="77777777" w:rsidR="00B938B9" w:rsidRPr="00064265" w:rsidRDefault="00B938B9" w:rsidP="002373A8">
      <w:pPr>
        <w:pStyle w:val="Odstavecseseznamem"/>
        <w:numPr>
          <w:ilvl w:val="1"/>
          <w:numId w:val="20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64265">
        <w:rPr>
          <w:rFonts w:ascii="Calibri" w:eastAsia="Times New Roman" w:hAnsi="Calibri" w:cs="Calibri"/>
          <w:b/>
          <w:sz w:val="24"/>
          <w:szCs w:val="24"/>
        </w:rPr>
        <w:t xml:space="preserve">Nesprávné vykázání </w:t>
      </w:r>
      <w:r w:rsidR="00992F84" w:rsidRPr="00064265">
        <w:rPr>
          <w:rFonts w:ascii="Calibri" w:eastAsia="Times New Roman" w:hAnsi="Calibri" w:cs="Calibri"/>
          <w:b/>
          <w:sz w:val="24"/>
          <w:szCs w:val="24"/>
        </w:rPr>
        <w:t xml:space="preserve">drobného </w:t>
      </w:r>
      <w:r w:rsidRPr="00064265">
        <w:rPr>
          <w:rFonts w:ascii="Calibri" w:eastAsia="Times New Roman" w:hAnsi="Calibri" w:cs="Calibri"/>
          <w:b/>
          <w:sz w:val="24"/>
          <w:szCs w:val="24"/>
        </w:rPr>
        <w:t xml:space="preserve">dlouhodobého majetku </w:t>
      </w:r>
    </w:p>
    <w:p w14:paraId="5BBEA660" w14:textId="7FC7165F" w:rsidR="00B938B9" w:rsidRPr="00184AA7" w:rsidRDefault="00B938B9" w:rsidP="00B938B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v ÚZ jako drobný dlouhodobý nehmotný majetek a drobný dlouhodobý hmotný majetek </w:t>
      </w:r>
      <w:r w:rsidR="00443C78">
        <w:rPr>
          <w:rFonts w:ascii="Calibri" w:eastAsia="Times New Roman" w:hAnsi="Calibri" w:cs="Times New Roman"/>
          <w:sz w:val="24"/>
          <w:szCs w:val="24"/>
        </w:rPr>
        <w:t>vykázalo i majetek</w:t>
      </w:r>
      <w:r w:rsidRPr="00184AA7">
        <w:rPr>
          <w:rFonts w:ascii="Calibri" w:eastAsia="Times New Roman" w:hAnsi="Calibri" w:cs="Times New Roman"/>
          <w:sz w:val="24"/>
          <w:szCs w:val="24"/>
        </w:rPr>
        <w:t>, kter</w:t>
      </w:r>
      <w:r w:rsidR="00443C78">
        <w:rPr>
          <w:rFonts w:ascii="Calibri" w:eastAsia="Times New Roman" w:hAnsi="Calibri" w:cs="Times New Roman"/>
          <w:sz w:val="24"/>
          <w:szCs w:val="24"/>
        </w:rPr>
        <w:t>ý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 jednotlivých případech nesplňoval dolní hranici pro</w:t>
      </w:r>
      <w:r w:rsidR="00443C78">
        <w:rPr>
          <w:rFonts w:ascii="Calibri" w:eastAsia="Times New Roman" w:hAnsi="Calibri" w:cs="Times New Roman"/>
          <w:sz w:val="24"/>
          <w:szCs w:val="24"/>
        </w:rPr>
        <w:t xml:space="preserve"> jeho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vykazování </w:t>
      </w:r>
      <w:r w:rsidR="00443C78">
        <w:rPr>
          <w:rFonts w:ascii="Calibri" w:eastAsia="Times New Roman" w:hAnsi="Calibri" w:cs="Times New Roman"/>
          <w:sz w:val="24"/>
          <w:szCs w:val="24"/>
        </w:rPr>
        <w:t>ve výkazu rozvaha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neodpovídal </w:t>
      </w:r>
      <w:r w:rsidR="002D0E26">
        <w:rPr>
          <w:rFonts w:ascii="Calibri" w:eastAsia="Times New Roman" w:hAnsi="Calibri" w:cs="Times New Roman"/>
          <w:sz w:val="24"/>
          <w:szCs w:val="24"/>
        </w:rPr>
        <w:t>v důsledku toho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obsahovému vymezení stanovenému vyhláškou č. 410/2009 Sb.</w:t>
      </w:r>
      <w:r>
        <w:rPr>
          <w:rFonts w:ascii="Calibri" w:eastAsia="Times New Roman" w:hAnsi="Calibri" w:cs="Times New Roman"/>
          <w:sz w:val="24"/>
          <w:szCs w:val="24"/>
        </w:rPr>
        <w:t xml:space="preserve"> MV tak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v ÚZ </w:t>
      </w:r>
      <w:r>
        <w:rPr>
          <w:rFonts w:ascii="Calibri" w:eastAsia="Times New Roman" w:hAnsi="Calibri" w:cs="Times New Roman"/>
          <w:sz w:val="24"/>
          <w:szCs w:val="24"/>
        </w:rPr>
        <w:t xml:space="preserve">ovlivnilo zůstatky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účtů 018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Drobný dlouhodobý nehmotný majetek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(hodnotu </w:t>
      </w:r>
      <w:r w:rsidR="002D0E26">
        <w:rPr>
          <w:rFonts w:ascii="Calibri" w:eastAsia="Times New Roman" w:hAnsi="Calibri" w:cs="Times New Roman"/>
          <w:sz w:val="24"/>
          <w:szCs w:val="24"/>
        </w:rPr>
        <w:t>„b</w:t>
      </w:r>
      <w:r w:rsidRPr="00184AA7">
        <w:rPr>
          <w:rFonts w:ascii="Calibri" w:eastAsia="Times New Roman" w:hAnsi="Calibri" w:cs="Times New Roman"/>
          <w:sz w:val="24"/>
          <w:szCs w:val="24"/>
        </w:rPr>
        <w:t>rutto</w:t>
      </w:r>
      <w:r w:rsidR="00395122">
        <w:rPr>
          <w:rFonts w:ascii="Calibri" w:eastAsia="Times New Roman" w:hAnsi="Calibri" w:cs="Times New Roman"/>
          <w:sz w:val="24"/>
          <w:szCs w:val="24"/>
        </w:rPr>
        <w:t>“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="00395122">
        <w:rPr>
          <w:rFonts w:ascii="Calibri" w:eastAsia="Times New Roman" w:hAnsi="Calibri" w:cs="Times New Roman"/>
          <w:sz w:val="24"/>
          <w:szCs w:val="24"/>
        </w:rPr>
        <w:t>„</w:t>
      </w:r>
      <w:r w:rsidR="002D0E26">
        <w:rPr>
          <w:rFonts w:ascii="Calibri" w:eastAsia="Times New Roman" w:hAnsi="Calibri" w:cs="Times New Roman"/>
          <w:sz w:val="24"/>
          <w:szCs w:val="24"/>
        </w:rPr>
        <w:t>k</w:t>
      </w:r>
      <w:r w:rsidRPr="00184AA7">
        <w:rPr>
          <w:rFonts w:ascii="Calibri" w:eastAsia="Times New Roman" w:hAnsi="Calibri" w:cs="Times New Roman"/>
          <w:sz w:val="24"/>
          <w:szCs w:val="24"/>
        </w:rPr>
        <w:t>orekce</w:t>
      </w:r>
      <w:r w:rsidR="00395122">
        <w:rPr>
          <w:rFonts w:ascii="Calibri" w:eastAsia="Times New Roman" w:hAnsi="Calibri" w:cs="Times New Roman"/>
          <w:sz w:val="24"/>
          <w:szCs w:val="24"/>
        </w:rPr>
        <w:t>“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) a 901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Jiný drobný dlouhodobý nehmotný majetek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 částku 14,33 tis. Kč a dále zůstatky účtů 028 </w:t>
      </w:r>
      <w:r>
        <w:rPr>
          <w:rFonts w:ascii="Calibri" w:eastAsia="Times New Roman" w:hAnsi="Calibri" w:cs="Times New Roman"/>
          <w:sz w:val="24"/>
          <w:szCs w:val="24"/>
        </w:rPr>
        <w:t>–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Drobný dlouhodobý hmotný majetek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(hodnotu </w:t>
      </w:r>
      <w:r w:rsidR="00395122">
        <w:rPr>
          <w:rFonts w:ascii="Calibri" w:eastAsia="Times New Roman" w:hAnsi="Calibri" w:cs="Times New Roman"/>
          <w:sz w:val="24"/>
          <w:szCs w:val="24"/>
        </w:rPr>
        <w:t>„</w:t>
      </w:r>
      <w:r w:rsidR="002D0E26">
        <w:rPr>
          <w:rFonts w:ascii="Calibri" w:eastAsia="Times New Roman" w:hAnsi="Calibri" w:cs="Times New Roman"/>
          <w:sz w:val="24"/>
          <w:szCs w:val="24"/>
        </w:rPr>
        <w:t>b</w:t>
      </w:r>
      <w:r w:rsidRPr="00184AA7">
        <w:rPr>
          <w:rFonts w:ascii="Calibri" w:eastAsia="Times New Roman" w:hAnsi="Calibri" w:cs="Times New Roman"/>
          <w:sz w:val="24"/>
          <w:szCs w:val="24"/>
        </w:rPr>
        <w:t>rutto</w:t>
      </w:r>
      <w:r w:rsidR="00395122">
        <w:rPr>
          <w:rFonts w:ascii="Calibri" w:eastAsia="Times New Roman" w:hAnsi="Calibri" w:cs="Times New Roman"/>
          <w:sz w:val="24"/>
          <w:szCs w:val="24"/>
        </w:rPr>
        <w:t>“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="00395122">
        <w:rPr>
          <w:rFonts w:ascii="Calibri" w:eastAsia="Times New Roman" w:hAnsi="Calibri" w:cs="Times New Roman"/>
          <w:sz w:val="24"/>
          <w:szCs w:val="24"/>
        </w:rPr>
        <w:t>„</w:t>
      </w:r>
      <w:r w:rsidR="002D0E26">
        <w:rPr>
          <w:rFonts w:ascii="Calibri" w:eastAsia="Times New Roman" w:hAnsi="Calibri" w:cs="Times New Roman"/>
          <w:sz w:val="24"/>
          <w:szCs w:val="24"/>
        </w:rPr>
        <w:t>k</w:t>
      </w:r>
      <w:r w:rsidRPr="00184AA7">
        <w:rPr>
          <w:rFonts w:ascii="Calibri" w:eastAsia="Times New Roman" w:hAnsi="Calibri" w:cs="Times New Roman"/>
          <w:sz w:val="24"/>
          <w:szCs w:val="24"/>
        </w:rPr>
        <w:t>orekce</w:t>
      </w:r>
      <w:r w:rsidR="00395122">
        <w:rPr>
          <w:rFonts w:ascii="Calibri" w:eastAsia="Times New Roman" w:hAnsi="Calibri" w:cs="Times New Roman"/>
          <w:sz w:val="24"/>
          <w:szCs w:val="24"/>
        </w:rPr>
        <w:t>“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) </w:t>
      </w:r>
      <w:r w:rsidR="002D0E26">
        <w:rPr>
          <w:rFonts w:ascii="Calibri" w:eastAsia="Times New Roman" w:hAnsi="Calibri" w:cs="Times New Roman"/>
          <w:sz w:val="24"/>
          <w:szCs w:val="24"/>
        </w:rPr>
        <w:t xml:space="preserve">a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902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Jiný drobný dlouhodobý hmotný majetek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 o částku 7,14 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tis. Kč. </w:t>
      </w:r>
    </w:p>
    <w:p w14:paraId="3C01A2D7" w14:textId="3455D4C1" w:rsidR="00B938B9" w:rsidRDefault="00395122" w:rsidP="00B938B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Dále jako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jiný drobný dlouhodobý hmotný majetek</w:t>
      </w:r>
      <w:r>
        <w:rPr>
          <w:rFonts w:ascii="Calibri" w:eastAsia="Times New Roman" w:hAnsi="Calibri" w:cs="Times New Roman"/>
          <w:sz w:val="24"/>
          <w:szCs w:val="24"/>
        </w:rPr>
        <w:t xml:space="preserve"> vykázalo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938B9">
        <w:rPr>
          <w:rFonts w:ascii="Calibri" w:eastAsia="Times New Roman" w:hAnsi="Calibri" w:cs="Times New Roman"/>
          <w:sz w:val="24"/>
          <w:szCs w:val="24"/>
        </w:rPr>
        <w:t xml:space="preserve">MV v ÚZ 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>položky, které neodpovídaly obsahovému vymezení uvedenému vyhláškou č. 410/2009 Sb.</w:t>
      </w:r>
      <w:r w:rsidR="00B938B9">
        <w:rPr>
          <w:rFonts w:ascii="Calibri" w:eastAsia="Times New Roman" w:hAnsi="Calibri" w:cs="Times New Roman"/>
          <w:sz w:val="24"/>
          <w:szCs w:val="24"/>
        </w:rPr>
        <w:t>,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a ovlivnilo v ÚZ zůstatky účtů 028 </w:t>
      </w:r>
      <w:r w:rsidR="00B938B9">
        <w:rPr>
          <w:rFonts w:ascii="Calibri" w:eastAsia="Times New Roman" w:hAnsi="Calibri" w:cs="Times New Roman"/>
          <w:sz w:val="24"/>
          <w:szCs w:val="24"/>
        </w:rPr>
        <w:t>–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938B9" w:rsidRPr="00184AA7">
        <w:rPr>
          <w:rFonts w:ascii="Calibri" w:eastAsia="Times New Roman" w:hAnsi="Calibri" w:cs="Times New Roman"/>
          <w:i/>
          <w:sz w:val="24"/>
          <w:szCs w:val="24"/>
        </w:rPr>
        <w:t>Drobný dlouhodobý hmotný majetek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(hodnotu </w:t>
      </w:r>
      <w:r>
        <w:rPr>
          <w:rFonts w:ascii="Calibri" w:eastAsia="Times New Roman" w:hAnsi="Calibri" w:cs="Times New Roman"/>
          <w:sz w:val="24"/>
          <w:szCs w:val="24"/>
        </w:rPr>
        <w:t>„</w:t>
      </w:r>
      <w:r w:rsidR="002D0E26">
        <w:rPr>
          <w:rFonts w:ascii="Calibri" w:eastAsia="Times New Roman" w:hAnsi="Calibri" w:cs="Times New Roman"/>
          <w:sz w:val="24"/>
          <w:szCs w:val="24"/>
        </w:rPr>
        <w:t>b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>rutto</w:t>
      </w:r>
      <w:r>
        <w:rPr>
          <w:rFonts w:ascii="Calibri" w:eastAsia="Times New Roman" w:hAnsi="Calibri" w:cs="Times New Roman"/>
          <w:sz w:val="24"/>
          <w:szCs w:val="24"/>
        </w:rPr>
        <w:t>“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>
        <w:rPr>
          <w:rFonts w:ascii="Calibri" w:eastAsia="Times New Roman" w:hAnsi="Calibri" w:cs="Times New Roman"/>
          <w:sz w:val="24"/>
          <w:szCs w:val="24"/>
        </w:rPr>
        <w:t>„</w:t>
      </w:r>
      <w:r w:rsidR="002D0E26">
        <w:rPr>
          <w:rFonts w:ascii="Calibri" w:eastAsia="Times New Roman" w:hAnsi="Calibri" w:cs="Times New Roman"/>
          <w:sz w:val="24"/>
          <w:szCs w:val="24"/>
        </w:rPr>
        <w:t>k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>orekce</w:t>
      </w:r>
      <w:r>
        <w:rPr>
          <w:rFonts w:ascii="Calibri" w:eastAsia="Times New Roman" w:hAnsi="Calibri" w:cs="Times New Roman"/>
          <w:sz w:val="24"/>
          <w:szCs w:val="24"/>
        </w:rPr>
        <w:t>“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>) a</w:t>
      </w:r>
      <w:r w:rsidR="00BE4337">
        <w:rPr>
          <w:rFonts w:ascii="Calibri" w:eastAsia="Times New Roman" w:hAnsi="Calibri" w:cs="Times New Roman"/>
          <w:sz w:val="24"/>
          <w:szCs w:val="24"/>
        </w:rPr>
        <w:t> 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902 – </w:t>
      </w:r>
      <w:r w:rsidR="00B938B9" w:rsidRPr="00184AA7">
        <w:rPr>
          <w:rFonts w:ascii="Calibri" w:eastAsia="Times New Roman" w:hAnsi="Calibri" w:cs="Times New Roman"/>
          <w:i/>
          <w:sz w:val="24"/>
          <w:szCs w:val="24"/>
        </w:rPr>
        <w:t>Jiný drobný dlouhodobý hmotný majetek</w:t>
      </w:r>
      <w:r w:rsidR="00B938B9" w:rsidRPr="00184AA7">
        <w:rPr>
          <w:rFonts w:ascii="Calibri" w:eastAsia="Times New Roman" w:hAnsi="Calibri" w:cs="Times New Roman"/>
          <w:sz w:val="24"/>
          <w:szCs w:val="24"/>
        </w:rPr>
        <w:t xml:space="preserve"> o částku 28,94 tis. Kč. </w:t>
      </w:r>
    </w:p>
    <w:p w14:paraId="25D0F683" w14:textId="77777777" w:rsidR="00395122" w:rsidRPr="00B938B9" w:rsidRDefault="004A33F1" w:rsidP="00395122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green"/>
        </w:rPr>
      </w:pPr>
      <w:r>
        <w:rPr>
          <w:rFonts w:ascii="Calibri" w:eastAsia="Times New Roman" w:hAnsi="Calibri" w:cs="Times New Roman"/>
          <w:sz w:val="24"/>
          <w:szCs w:val="24"/>
        </w:rPr>
        <w:t>Oproti tomu d</w:t>
      </w:r>
      <w:r w:rsidR="00395122" w:rsidRPr="00B938B9">
        <w:rPr>
          <w:rFonts w:ascii="Calibri" w:eastAsia="Times New Roman" w:hAnsi="Calibri" w:cs="Times New Roman"/>
          <w:sz w:val="24"/>
          <w:szCs w:val="24"/>
        </w:rPr>
        <w:t>robný dlouhodobý a jiný drobný dlouhodobý majetek</w:t>
      </w:r>
      <w:r w:rsidR="002B043E">
        <w:rPr>
          <w:rFonts w:ascii="Calibri" w:eastAsia="Times New Roman" w:hAnsi="Calibri" w:cs="Times New Roman"/>
          <w:sz w:val="24"/>
          <w:szCs w:val="24"/>
        </w:rPr>
        <w:t xml:space="preserve"> v pořizovací ceně 2,65 </w:t>
      </w:r>
      <w:r>
        <w:rPr>
          <w:rFonts w:ascii="Calibri" w:eastAsia="Times New Roman" w:hAnsi="Calibri" w:cs="Times New Roman"/>
          <w:sz w:val="24"/>
          <w:szCs w:val="24"/>
        </w:rPr>
        <w:t>mil. Kč</w:t>
      </w:r>
      <w:r w:rsidR="00395122" w:rsidRPr="00B938B9">
        <w:rPr>
          <w:rFonts w:ascii="Calibri" w:eastAsia="Times New Roman" w:hAnsi="Calibri" w:cs="Times New Roman"/>
          <w:sz w:val="24"/>
          <w:szCs w:val="24"/>
        </w:rPr>
        <w:t xml:space="preserve">, který MV pořídilo v minulých účetních obdobích a o kterém v době pořízení účtovalo na účtu 112 – </w:t>
      </w:r>
      <w:r w:rsidR="00395122" w:rsidRPr="00B938B9">
        <w:rPr>
          <w:rFonts w:ascii="Calibri" w:eastAsia="Times New Roman" w:hAnsi="Calibri" w:cs="Times New Roman"/>
          <w:i/>
          <w:sz w:val="24"/>
          <w:szCs w:val="24"/>
        </w:rPr>
        <w:t>Materiál na skladě</w:t>
      </w:r>
      <w:r w:rsidRPr="00064265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MV vykázalo v ÚZ na účtu 112 </w:t>
      </w:r>
      <w:r w:rsidR="002B043E">
        <w:rPr>
          <w:rFonts w:ascii="Calibri" w:eastAsia="Times New Roman" w:hAnsi="Calibri" w:cs="Times New Roman"/>
          <w:sz w:val="24"/>
          <w:szCs w:val="24"/>
        </w:rPr>
        <w:t>–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1544">
        <w:rPr>
          <w:rFonts w:ascii="Calibri" w:eastAsia="Times New Roman" w:hAnsi="Calibri" w:cs="Times New Roman"/>
          <w:i/>
          <w:sz w:val="24"/>
          <w:szCs w:val="24"/>
        </w:rPr>
        <w:t>Materiál na skladě</w:t>
      </w:r>
      <w:r>
        <w:rPr>
          <w:rFonts w:ascii="Calibri" w:eastAsia="Times New Roman" w:hAnsi="Calibri" w:cs="Times New Roman"/>
          <w:sz w:val="24"/>
          <w:szCs w:val="24"/>
        </w:rPr>
        <w:t>, i když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to </w:t>
      </w:r>
      <w:r w:rsidRPr="00B938B9">
        <w:rPr>
          <w:rFonts w:ascii="Calibri" w:eastAsia="Times New Roman" w:hAnsi="Calibri" w:cs="Times New Roman"/>
          <w:sz w:val="24"/>
          <w:szCs w:val="24"/>
        </w:rPr>
        <w:t>neodpovídal</w:t>
      </w:r>
      <w:r>
        <w:rPr>
          <w:rFonts w:ascii="Calibri" w:eastAsia="Times New Roman" w:hAnsi="Calibri" w:cs="Times New Roman"/>
          <w:sz w:val="24"/>
          <w:szCs w:val="24"/>
        </w:rPr>
        <w:t>o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 obsahovému vymezení tohot</w:t>
      </w:r>
      <w:r w:rsidR="00C7403C">
        <w:rPr>
          <w:rFonts w:ascii="Calibri" w:eastAsia="Times New Roman" w:hAnsi="Calibri" w:cs="Times New Roman"/>
          <w:sz w:val="24"/>
          <w:szCs w:val="24"/>
        </w:rPr>
        <w:t>o účtu stanovenému vyhláškou č. </w:t>
      </w:r>
      <w:r w:rsidRPr="00B938B9">
        <w:rPr>
          <w:rFonts w:ascii="Calibri" w:eastAsia="Times New Roman" w:hAnsi="Calibri" w:cs="Times New Roman"/>
          <w:sz w:val="24"/>
          <w:szCs w:val="24"/>
        </w:rPr>
        <w:t>410/2009 Sb</w:t>
      </w:r>
      <w:r>
        <w:rPr>
          <w:rFonts w:ascii="Calibri" w:eastAsia="Times New Roman" w:hAnsi="Calibri" w:cs="Times New Roman"/>
          <w:sz w:val="24"/>
          <w:szCs w:val="24"/>
        </w:rPr>
        <w:t>. Tento majetek mělo MV vykázat</w:t>
      </w:r>
      <w:r w:rsidR="00395122" w:rsidRPr="00B938B9">
        <w:rPr>
          <w:rFonts w:ascii="Calibri" w:eastAsia="Times New Roman" w:hAnsi="Calibri" w:cs="Times New Roman"/>
          <w:sz w:val="24"/>
          <w:szCs w:val="24"/>
        </w:rPr>
        <w:t xml:space="preserve"> na příslušných majetkových účtech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395122" w:rsidRPr="00B938B9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5C8DC259" w14:textId="52D0BDE6" w:rsidR="00B938B9" w:rsidRPr="00B938B9" w:rsidRDefault="00B938B9" w:rsidP="00B938B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green"/>
        </w:rPr>
      </w:pPr>
      <w:r w:rsidRPr="00B938B9">
        <w:rPr>
          <w:rFonts w:ascii="Calibri" w:eastAsia="Times New Roman" w:hAnsi="Calibri" w:cs="Times New Roman"/>
          <w:sz w:val="24"/>
          <w:szCs w:val="24"/>
        </w:rPr>
        <w:t>Tímto nesprávným postupem MV v ÚZ ovlivnilo zůstatky účtů 112</w:t>
      </w:r>
      <w:r w:rsidRPr="00B938B9">
        <w:rPr>
          <w:rFonts w:ascii="Calibri" w:eastAsia="Times New Roman" w:hAnsi="Calibri" w:cs="Times New Roman"/>
          <w:i/>
          <w:sz w:val="24"/>
          <w:szCs w:val="24"/>
        </w:rPr>
        <w:t xml:space="preserve"> – Materiál na skladě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 o </w:t>
      </w:r>
      <w:r w:rsidRPr="00B938B9">
        <w:rPr>
          <w:rFonts w:ascii="Calibri" w:eastAsia="Times New Roman" w:hAnsi="Calibri" w:cs="Times New Roman"/>
          <w:sz w:val="24"/>
          <w:szCs w:val="24"/>
        </w:rPr>
        <w:t>částku 2,65 mil. Kč, 901</w:t>
      </w:r>
      <w:r w:rsidRPr="00B938B9">
        <w:rPr>
          <w:rFonts w:ascii="Calibri" w:eastAsia="Times New Roman" w:hAnsi="Calibri" w:cs="Times New Roman"/>
          <w:i/>
          <w:sz w:val="24"/>
          <w:szCs w:val="24"/>
        </w:rPr>
        <w:t xml:space="preserve"> – Jiný drobný dlouhodobý nehmotný majetek</w:t>
      </w:r>
      <w:r w:rsidR="00C7403C">
        <w:rPr>
          <w:rFonts w:ascii="Calibri" w:eastAsia="Times New Roman" w:hAnsi="Calibri" w:cs="Times New Roman"/>
          <w:sz w:val="24"/>
          <w:szCs w:val="24"/>
        </w:rPr>
        <w:t xml:space="preserve"> o částku 1,24 tis. Kč a </w:t>
      </w:r>
      <w:r w:rsidRPr="00B938B9">
        <w:rPr>
          <w:rFonts w:ascii="Calibri" w:eastAsia="Times New Roman" w:hAnsi="Calibri" w:cs="Times New Roman"/>
          <w:sz w:val="24"/>
          <w:szCs w:val="24"/>
        </w:rPr>
        <w:t>902</w:t>
      </w:r>
      <w:r w:rsidRPr="00B938B9">
        <w:rPr>
          <w:rFonts w:ascii="Calibri" w:eastAsia="Times New Roman" w:hAnsi="Calibri" w:cs="Times New Roman"/>
          <w:i/>
          <w:sz w:val="24"/>
          <w:szCs w:val="24"/>
        </w:rPr>
        <w:t xml:space="preserve"> – Jiný drobný dlouhodobý hmotný majetek 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o částku 98,62 tis. Kč a dále hodnotu ve sloupcích </w:t>
      </w:r>
      <w:r w:rsidRPr="00064265">
        <w:rPr>
          <w:rFonts w:ascii="Calibri" w:eastAsia="Times New Roman" w:hAnsi="Calibri" w:cs="Times New Roman"/>
          <w:i/>
          <w:sz w:val="24"/>
          <w:szCs w:val="24"/>
        </w:rPr>
        <w:t>Brutto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Pr="00064265">
        <w:rPr>
          <w:rFonts w:ascii="Calibri" w:eastAsia="Times New Roman" w:hAnsi="Calibri" w:cs="Times New Roman"/>
          <w:i/>
          <w:sz w:val="24"/>
          <w:szCs w:val="24"/>
        </w:rPr>
        <w:t>Korekce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 účtů 018</w:t>
      </w:r>
      <w:r w:rsidRPr="00B938B9">
        <w:rPr>
          <w:rFonts w:ascii="Calibri" w:eastAsia="Times New Roman" w:hAnsi="Calibri" w:cs="Times New Roman"/>
          <w:i/>
          <w:sz w:val="24"/>
          <w:szCs w:val="24"/>
        </w:rPr>
        <w:t xml:space="preserve"> – Drobný dlouhodobý nehmotný majetek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 o částku 282,57 tis. Kč</w:t>
      </w:r>
      <w:r w:rsidR="00487202">
        <w:rPr>
          <w:rFonts w:ascii="Calibri" w:eastAsia="Times New Roman" w:hAnsi="Calibri" w:cs="Times New Roman"/>
          <w:sz w:val="24"/>
          <w:szCs w:val="24"/>
        </w:rPr>
        <w:t xml:space="preserve"> a</w:t>
      </w:r>
      <w:r w:rsidRPr="00B938B9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B938B9">
        <w:rPr>
          <w:rFonts w:ascii="Calibri" w:eastAsia="Times New Roman" w:hAnsi="Calibri" w:cs="Times New Roman"/>
          <w:sz w:val="24"/>
          <w:szCs w:val="24"/>
        </w:rPr>
        <w:t>028</w:t>
      </w:r>
      <w:r w:rsidRPr="00B938B9">
        <w:rPr>
          <w:rFonts w:ascii="Calibri" w:eastAsia="Times New Roman" w:hAnsi="Calibri" w:cs="Times New Roman"/>
          <w:i/>
          <w:sz w:val="24"/>
          <w:szCs w:val="24"/>
        </w:rPr>
        <w:t xml:space="preserve"> – Drobný dlouhodobý hmotný majetek</w:t>
      </w:r>
      <w:r w:rsidRPr="00B938B9">
        <w:rPr>
          <w:rFonts w:ascii="Calibri" w:eastAsia="Times New Roman" w:hAnsi="Calibri" w:cs="Times New Roman"/>
          <w:sz w:val="24"/>
          <w:szCs w:val="24"/>
        </w:rPr>
        <w:t xml:space="preserve"> o částku 2,27 mil. Kč.</w:t>
      </w:r>
      <w:r w:rsidRPr="00B938B9">
        <w:rPr>
          <w:rFonts w:ascii="Calibri" w:eastAsia="Times New Roman" w:hAnsi="Calibri" w:cs="Times New Roman"/>
          <w:sz w:val="24"/>
          <w:szCs w:val="24"/>
          <w:highlight w:val="green"/>
        </w:rPr>
        <w:t xml:space="preserve">  </w:t>
      </w:r>
    </w:p>
    <w:p w14:paraId="4565CA77" w14:textId="18F42B61" w:rsidR="00B938B9" w:rsidRPr="00184AA7" w:rsidRDefault="008C60D6" w:rsidP="00B938B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Nepřeúčtováním tohoto 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majetku pořízeného do roku 2010 na </w:t>
      </w:r>
      <w:r>
        <w:rPr>
          <w:rFonts w:ascii="Calibri" w:eastAsia="Times New Roman" w:hAnsi="Calibri" w:cs="Times New Roman"/>
          <w:sz w:val="24"/>
          <w:szCs w:val="24"/>
        </w:rPr>
        <w:t>správné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majetkové účty</w:t>
      </w:r>
      <w:r>
        <w:rPr>
          <w:rFonts w:ascii="Calibri" w:eastAsia="Times New Roman" w:hAnsi="Calibri" w:cs="Times New Roman"/>
          <w:sz w:val="24"/>
          <w:szCs w:val="24"/>
        </w:rPr>
        <w:t xml:space="preserve"> ovlivnilo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MV v ÚZ zůstatek účtu 401</w:t>
      </w:r>
      <w:r w:rsidR="00B938B9" w:rsidRPr="00B938B9">
        <w:rPr>
          <w:rFonts w:ascii="Calibri" w:eastAsia="Times New Roman" w:hAnsi="Calibri" w:cs="Times New Roman"/>
          <w:i/>
          <w:sz w:val="24"/>
          <w:szCs w:val="24"/>
        </w:rPr>
        <w:t xml:space="preserve"> – Jmění účetní jednotky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o částku 694,10 tis. Kč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5A27">
        <w:rPr>
          <w:rFonts w:ascii="Calibri" w:eastAsia="Times New Roman" w:hAnsi="Calibri" w:cs="Times New Roman"/>
          <w:sz w:val="24"/>
          <w:szCs w:val="24"/>
        </w:rPr>
        <w:t xml:space="preserve">nepřeúčtováním 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majetku pořízeného </w:t>
      </w:r>
      <w:r w:rsidR="00915A27">
        <w:rPr>
          <w:rFonts w:ascii="Calibri" w:eastAsia="Times New Roman" w:hAnsi="Calibri" w:cs="Times New Roman"/>
          <w:sz w:val="24"/>
          <w:szCs w:val="24"/>
        </w:rPr>
        <w:t>v letech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2010</w:t>
      </w:r>
      <w:r w:rsidR="00123D73">
        <w:rPr>
          <w:rFonts w:ascii="Calibri" w:eastAsia="Times New Roman" w:hAnsi="Calibri" w:cs="Times New Roman"/>
          <w:sz w:val="24"/>
          <w:szCs w:val="24"/>
        </w:rPr>
        <w:t xml:space="preserve"> až </w:t>
      </w:r>
      <w:r w:rsidR="00915A27">
        <w:rPr>
          <w:rFonts w:ascii="Calibri" w:eastAsia="Times New Roman" w:hAnsi="Calibri" w:cs="Times New Roman"/>
          <w:sz w:val="24"/>
          <w:szCs w:val="24"/>
        </w:rPr>
        <w:t>2013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5A27">
        <w:rPr>
          <w:rFonts w:ascii="Calibri" w:eastAsia="Times New Roman" w:hAnsi="Calibri" w:cs="Times New Roman"/>
          <w:sz w:val="24"/>
          <w:szCs w:val="24"/>
        </w:rPr>
        <w:t xml:space="preserve">ovlivnilo 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>zůstatek účtu</w:t>
      </w:r>
      <w:r w:rsidR="001F2294">
        <w:rPr>
          <w:rFonts w:ascii="Calibri" w:eastAsia="Times New Roman" w:hAnsi="Calibri" w:cs="Times New Roman"/>
          <w:sz w:val="24"/>
          <w:szCs w:val="24"/>
        </w:rPr>
        <w:br/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>432</w:t>
      </w:r>
      <w:r w:rsidR="00123D7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>–</w:t>
      </w:r>
      <w:r w:rsidR="00123D7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938B9" w:rsidRPr="00B938B9">
        <w:rPr>
          <w:rFonts w:ascii="Calibri" w:eastAsia="Times New Roman" w:hAnsi="Calibri" w:cs="Times New Roman"/>
          <w:i/>
          <w:sz w:val="24"/>
          <w:szCs w:val="24"/>
        </w:rPr>
        <w:t>Výsledek hospodaření předcházejících účetních období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o částku 1,91</w:t>
      </w:r>
      <w:r w:rsidR="00123D73">
        <w:rPr>
          <w:rFonts w:ascii="Calibri" w:eastAsia="Times New Roman" w:hAnsi="Calibri" w:cs="Times New Roman"/>
          <w:sz w:val="24"/>
          <w:szCs w:val="24"/>
        </w:rPr>
        <w:t> 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>mil.</w:t>
      </w:r>
      <w:r w:rsidR="00123D73">
        <w:rPr>
          <w:rFonts w:ascii="Calibri" w:eastAsia="Times New Roman" w:hAnsi="Calibri" w:cs="Times New Roman"/>
          <w:sz w:val="24"/>
          <w:szCs w:val="24"/>
        </w:rPr>
        <w:t> 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>Kč a</w:t>
      </w:r>
      <w:r w:rsidR="00123D73">
        <w:rPr>
          <w:rFonts w:ascii="Calibri" w:eastAsia="Times New Roman" w:hAnsi="Calibri" w:cs="Times New Roman"/>
          <w:sz w:val="24"/>
          <w:szCs w:val="24"/>
        </w:rPr>
        <w:t> </w:t>
      </w:r>
      <w:r w:rsidR="00915A27">
        <w:rPr>
          <w:rFonts w:ascii="Calibri" w:eastAsia="Times New Roman" w:hAnsi="Calibri" w:cs="Times New Roman"/>
          <w:sz w:val="24"/>
          <w:szCs w:val="24"/>
        </w:rPr>
        <w:t xml:space="preserve">nepřeúčtováním 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majetku pořízeného v roce 2014 </w:t>
      </w:r>
      <w:r w:rsidR="00915A27">
        <w:rPr>
          <w:rFonts w:ascii="Calibri" w:eastAsia="Times New Roman" w:hAnsi="Calibri" w:cs="Times New Roman"/>
          <w:sz w:val="24"/>
          <w:szCs w:val="24"/>
        </w:rPr>
        <w:t xml:space="preserve">ovlivnilo 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zůstatek účtu 501 – </w:t>
      </w:r>
      <w:r w:rsidR="00B938B9" w:rsidRPr="00B938B9">
        <w:rPr>
          <w:rFonts w:ascii="Calibri" w:eastAsia="Times New Roman" w:hAnsi="Calibri" w:cs="Times New Roman"/>
          <w:i/>
          <w:sz w:val="24"/>
          <w:szCs w:val="24"/>
        </w:rPr>
        <w:t>Spotřeba materiálu</w:t>
      </w:r>
      <w:r w:rsidR="00B938B9" w:rsidRPr="00B938B9">
        <w:rPr>
          <w:rFonts w:ascii="Calibri" w:eastAsia="Times New Roman" w:hAnsi="Calibri" w:cs="Times New Roman"/>
          <w:sz w:val="24"/>
          <w:szCs w:val="24"/>
        </w:rPr>
        <w:t xml:space="preserve"> o částku 31,94 tis. Kč.</w:t>
      </w:r>
    </w:p>
    <w:p w14:paraId="6D1513EA" w14:textId="77777777" w:rsidR="00B938B9" w:rsidRDefault="00B938B9" w:rsidP="00B938B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Uvedené nesprávnosti byly zjištěny </w:t>
      </w:r>
      <w:r>
        <w:rPr>
          <w:rFonts w:ascii="Calibri" w:eastAsia="Times New Roman" w:hAnsi="Calibri" w:cs="Times New Roman"/>
          <w:sz w:val="24"/>
          <w:szCs w:val="24"/>
        </w:rPr>
        <w:t xml:space="preserve">a vyčísleny pouze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na vybraném vzorku majetkových položek, v tomto případě se </w:t>
      </w:r>
      <w:r>
        <w:rPr>
          <w:rFonts w:ascii="Calibri" w:eastAsia="Times New Roman" w:hAnsi="Calibri" w:cs="Times New Roman"/>
          <w:sz w:val="24"/>
          <w:szCs w:val="24"/>
        </w:rPr>
        <w:t xml:space="preserve">však </w:t>
      </w:r>
      <w:r w:rsidRPr="00184AA7">
        <w:rPr>
          <w:rFonts w:ascii="Calibri" w:eastAsia="Times New Roman" w:hAnsi="Calibri" w:cs="Times New Roman"/>
          <w:sz w:val="24"/>
          <w:szCs w:val="24"/>
        </w:rPr>
        <w:t>jedná o nesprávnost systémové povahy.</w:t>
      </w:r>
    </w:p>
    <w:p w14:paraId="5CA9EC4C" w14:textId="77777777" w:rsidR="00D155F7" w:rsidRPr="00184AA7" w:rsidRDefault="00D155F7" w:rsidP="00B938B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green"/>
        </w:rPr>
      </w:pPr>
    </w:p>
    <w:p w14:paraId="7DDAF5D9" w14:textId="77777777" w:rsidR="00B938B9" w:rsidRPr="00064265" w:rsidRDefault="00794C81" w:rsidP="00064265">
      <w:pPr>
        <w:pStyle w:val="Odstavecseseznamem"/>
        <w:keepNext/>
        <w:numPr>
          <w:ilvl w:val="1"/>
          <w:numId w:val="20"/>
        </w:numPr>
        <w:spacing w:before="240" w:after="120" w:line="240" w:lineRule="auto"/>
        <w:ind w:left="425" w:hanging="425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64265">
        <w:rPr>
          <w:rFonts w:ascii="Calibri" w:eastAsia="Times New Roman" w:hAnsi="Calibri" w:cs="Calibri"/>
          <w:b/>
          <w:sz w:val="24"/>
          <w:szCs w:val="24"/>
        </w:rPr>
        <w:lastRenderedPageBreak/>
        <w:t>Nesprávné ú</w:t>
      </w:r>
      <w:r w:rsidR="00B938B9" w:rsidRPr="00064265">
        <w:rPr>
          <w:rFonts w:ascii="Calibri" w:eastAsia="Times New Roman" w:hAnsi="Calibri" w:cs="Calibri"/>
          <w:b/>
          <w:sz w:val="24"/>
          <w:szCs w:val="24"/>
        </w:rPr>
        <w:t xml:space="preserve">čtování o přeřazení majetku </w:t>
      </w:r>
    </w:p>
    <w:p w14:paraId="541688A8" w14:textId="1F9FE928" w:rsidR="00B938B9" w:rsidRDefault="00B938B9" w:rsidP="00B938B9">
      <w:pPr>
        <w:spacing w:before="40"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B64FC">
        <w:rPr>
          <w:rFonts w:ascii="Calibri" w:eastAsia="Times New Roman" w:hAnsi="Calibri" w:cs="Times New Roman"/>
          <w:sz w:val="24"/>
          <w:szCs w:val="24"/>
        </w:rPr>
        <w:t>MV v roce 2014 nesprávně účtovalo o přeřazení drobného dlouhodobého nehmotného majetku v celkové hodnotě 15,46 mil. Kč a drobného dlouhodobého hmotného majetku v celkové hodnotě 598,35 tis. Kč na</w:t>
      </w:r>
      <w:r w:rsidR="007B32C2">
        <w:rPr>
          <w:rFonts w:ascii="Calibri" w:eastAsia="Times New Roman" w:hAnsi="Calibri" w:cs="Times New Roman"/>
          <w:sz w:val="24"/>
          <w:szCs w:val="24"/>
        </w:rPr>
        <w:t xml:space="preserve"> správný</w:t>
      </w:r>
      <w:r w:rsidRPr="003B64FC">
        <w:rPr>
          <w:rFonts w:ascii="Calibri" w:eastAsia="Times New Roman" w:hAnsi="Calibri" w:cs="Times New Roman"/>
          <w:sz w:val="24"/>
          <w:szCs w:val="24"/>
        </w:rPr>
        <w:t xml:space="preserve"> majetkový účet. Jednalo se o majetek, který MV pořídilo v roce 2009 a který nesprávně zaúčtovalo a vykazovalo na účtu 112 – </w:t>
      </w:r>
      <w:r w:rsidRPr="003B64FC">
        <w:rPr>
          <w:rFonts w:ascii="Calibri" w:eastAsia="Times New Roman" w:hAnsi="Calibri" w:cs="Times New Roman"/>
          <w:i/>
          <w:sz w:val="24"/>
          <w:szCs w:val="24"/>
        </w:rPr>
        <w:t xml:space="preserve">Materiál na skladě. </w:t>
      </w:r>
      <w:r w:rsidR="00794C81">
        <w:rPr>
          <w:rFonts w:ascii="Calibri" w:eastAsia="Times New Roman" w:hAnsi="Calibri" w:cs="Times New Roman"/>
          <w:sz w:val="24"/>
          <w:szCs w:val="24"/>
        </w:rPr>
        <w:t xml:space="preserve">Při účtování o </w:t>
      </w:r>
      <w:r w:rsidR="007B32C2">
        <w:rPr>
          <w:rFonts w:ascii="Calibri" w:eastAsia="Times New Roman" w:hAnsi="Calibri" w:cs="Times New Roman"/>
          <w:sz w:val="24"/>
          <w:szCs w:val="24"/>
        </w:rPr>
        <w:t>přeřazení tohoto majetku na účt</w:t>
      </w:r>
      <w:r w:rsidR="00794C81">
        <w:rPr>
          <w:rFonts w:ascii="Calibri" w:eastAsia="Times New Roman" w:hAnsi="Calibri" w:cs="Times New Roman"/>
          <w:sz w:val="24"/>
          <w:szCs w:val="24"/>
        </w:rPr>
        <w:t xml:space="preserve">y drobného dlouhodobého majetku nepostupovalo MV </w:t>
      </w:r>
      <w:r w:rsidR="007B32C2">
        <w:rPr>
          <w:rFonts w:ascii="Calibri" w:eastAsia="Times New Roman" w:hAnsi="Calibri" w:cs="Times New Roman"/>
          <w:sz w:val="24"/>
          <w:szCs w:val="24"/>
        </w:rPr>
        <w:t>v souladu s</w:t>
      </w:r>
      <w:r w:rsidR="00EF2E3D">
        <w:rPr>
          <w:rFonts w:ascii="Calibri" w:eastAsia="Times New Roman" w:hAnsi="Calibri" w:cs="Times New Roman"/>
          <w:sz w:val="24"/>
          <w:szCs w:val="24"/>
        </w:rPr>
        <w:t> českým účetním standardem (dále jen „</w:t>
      </w:r>
      <w:r w:rsidRPr="003B64FC">
        <w:rPr>
          <w:rFonts w:ascii="Calibri" w:eastAsia="Times New Roman" w:hAnsi="Calibri" w:cs="Times New Roman"/>
          <w:sz w:val="24"/>
          <w:szCs w:val="24"/>
        </w:rPr>
        <w:t>ČÚS</w:t>
      </w:r>
      <w:r w:rsidR="00EF2E3D">
        <w:rPr>
          <w:rFonts w:ascii="Calibri" w:eastAsia="Times New Roman" w:hAnsi="Calibri" w:cs="Times New Roman"/>
          <w:sz w:val="24"/>
          <w:szCs w:val="24"/>
        </w:rPr>
        <w:t>“)</w:t>
      </w:r>
      <w:r w:rsidRPr="003B64FC">
        <w:rPr>
          <w:rFonts w:ascii="Calibri" w:eastAsia="Times New Roman" w:hAnsi="Calibri" w:cs="Times New Roman"/>
          <w:sz w:val="24"/>
          <w:szCs w:val="24"/>
        </w:rPr>
        <w:t xml:space="preserve"> č. 709 – </w:t>
      </w:r>
      <w:r w:rsidRPr="003B64FC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="007B32C2">
        <w:rPr>
          <w:rFonts w:ascii="Calibri" w:eastAsia="Times New Roman" w:hAnsi="Calibri" w:cs="Times New Roman"/>
          <w:sz w:val="24"/>
          <w:szCs w:val="24"/>
        </w:rPr>
        <w:t xml:space="preserve"> a úč</w:t>
      </w:r>
      <w:r w:rsidRPr="003B64FC">
        <w:rPr>
          <w:rFonts w:ascii="Calibri" w:eastAsia="Times New Roman" w:hAnsi="Calibri" w:cs="Times New Roman"/>
          <w:sz w:val="24"/>
          <w:szCs w:val="24"/>
        </w:rPr>
        <w:t xml:space="preserve">tovalo nesprávně na účtu 558 – </w:t>
      </w:r>
      <w:r w:rsidRPr="003B64FC">
        <w:rPr>
          <w:rFonts w:ascii="Calibri" w:eastAsia="Times New Roman" w:hAnsi="Calibri" w:cs="Times New Roman"/>
          <w:i/>
          <w:sz w:val="24"/>
          <w:szCs w:val="24"/>
        </w:rPr>
        <w:t>Náklady z drobného dlouhodobého majetku</w:t>
      </w:r>
      <w:r w:rsidRPr="003B64FC">
        <w:rPr>
          <w:rFonts w:ascii="Calibri" w:eastAsia="Times New Roman" w:hAnsi="Calibri" w:cs="Times New Roman"/>
          <w:sz w:val="24"/>
          <w:szCs w:val="24"/>
        </w:rPr>
        <w:t xml:space="preserve"> místo</w:t>
      </w:r>
      <w:r w:rsidR="00EF2E3D">
        <w:rPr>
          <w:rFonts w:ascii="Calibri" w:eastAsia="Times New Roman" w:hAnsi="Calibri" w:cs="Times New Roman"/>
          <w:sz w:val="24"/>
          <w:szCs w:val="24"/>
        </w:rPr>
        <w:t xml:space="preserve"> na</w:t>
      </w:r>
      <w:r w:rsidRPr="003B64FC">
        <w:rPr>
          <w:rFonts w:ascii="Calibri" w:eastAsia="Times New Roman" w:hAnsi="Calibri" w:cs="Times New Roman"/>
          <w:sz w:val="24"/>
          <w:szCs w:val="24"/>
        </w:rPr>
        <w:t xml:space="preserve"> účtu 401 – </w:t>
      </w:r>
      <w:r w:rsidRPr="003B64FC">
        <w:rPr>
          <w:rFonts w:ascii="Calibri" w:eastAsia="Times New Roman" w:hAnsi="Calibri" w:cs="Times New Roman"/>
          <w:i/>
          <w:sz w:val="24"/>
          <w:szCs w:val="24"/>
        </w:rPr>
        <w:t>Jmění účetní jednotky</w:t>
      </w:r>
      <w:r w:rsidR="00EF2E3D" w:rsidRPr="00064265">
        <w:rPr>
          <w:rFonts w:ascii="Calibri" w:eastAsia="Times New Roman" w:hAnsi="Calibri" w:cs="Times New Roman"/>
          <w:sz w:val="24"/>
          <w:szCs w:val="24"/>
        </w:rPr>
        <w:t>.</w:t>
      </w:r>
      <w:r w:rsidR="00AB0C62" w:rsidRPr="00064265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4"/>
      </w:r>
      <w:r w:rsidRPr="003B64FC">
        <w:rPr>
          <w:rFonts w:ascii="Calibri" w:eastAsia="Times New Roman" w:hAnsi="Calibri" w:cs="Times New Roman"/>
          <w:sz w:val="24"/>
          <w:szCs w:val="24"/>
        </w:rPr>
        <w:t xml:space="preserve"> MV tak v ÚZ ovlivnilo zůstatky těchto účtů o</w:t>
      </w:r>
      <w:r w:rsidR="00EF2E3D">
        <w:rPr>
          <w:rFonts w:ascii="Calibri" w:eastAsia="Times New Roman" w:hAnsi="Calibri" w:cs="Times New Roman"/>
          <w:sz w:val="24"/>
          <w:szCs w:val="24"/>
        </w:rPr>
        <w:t> </w:t>
      </w:r>
      <w:r w:rsidRPr="003B64FC">
        <w:rPr>
          <w:rFonts w:ascii="Calibri" w:eastAsia="Times New Roman" w:hAnsi="Calibri" w:cs="Times New Roman"/>
          <w:sz w:val="24"/>
          <w:szCs w:val="24"/>
        </w:rPr>
        <w:t>částku 16,06 mil. Kč.</w:t>
      </w:r>
    </w:p>
    <w:p w14:paraId="7F857490" w14:textId="77777777" w:rsidR="003B64FC" w:rsidRPr="00064265" w:rsidRDefault="003B64FC" w:rsidP="002373A8">
      <w:pPr>
        <w:pStyle w:val="Odstavecseseznamem"/>
        <w:numPr>
          <w:ilvl w:val="1"/>
          <w:numId w:val="20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64265">
        <w:rPr>
          <w:rFonts w:ascii="Calibri" w:eastAsia="Times New Roman" w:hAnsi="Calibri" w:cs="Calibri"/>
          <w:b/>
          <w:sz w:val="24"/>
          <w:szCs w:val="24"/>
        </w:rPr>
        <w:t>Znovuzařazení dlouhodobého hmotného majetku</w:t>
      </w:r>
    </w:p>
    <w:p w14:paraId="3DD5A8DB" w14:textId="77777777" w:rsidR="003B64FC" w:rsidRPr="00184AA7" w:rsidRDefault="003B64FC" w:rsidP="003B64FC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v roce 2014 </w:t>
      </w:r>
      <w:r w:rsidR="00C525DD">
        <w:rPr>
          <w:rFonts w:ascii="Calibri" w:eastAsia="Times New Roman" w:hAnsi="Calibri" w:cs="Times New Roman"/>
          <w:sz w:val="24"/>
          <w:szCs w:val="24"/>
        </w:rPr>
        <w:t>ne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účtovalo </w:t>
      </w:r>
      <w:r w:rsidR="00C525DD">
        <w:rPr>
          <w:rFonts w:ascii="Calibri" w:eastAsia="Times New Roman" w:hAnsi="Calibri" w:cs="Times New Roman"/>
          <w:sz w:val="24"/>
          <w:szCs w:val="24"/>
        </w:rPr>
        <w:t xml:space="preserve">správně </w:t>
      </w:r>
      <w:r w:rsidRPr="00184AA7">
        <w:rPr>
          <w:rFonts w:ascii="Calibri" w:eastAsia="Times New Roman" w:hAnsi="Calibri" w:cs="Times New Roman"/>
          <w:sz w:val="24"/>
          <w:szCs w:val="24"/>
        </w:rPr>
        <w:t>o opětovném zařaz</w:t>
      </w:r>
      <w:r w:rsidR="00C525DD">
        <w:rPr>
          <w:rFonts w:ascii="Calibri" w:eastAsia="Times New Roman" w:hAnsi="Calibri" w:cs="Times New Roman"/>
          <w:sz w:val="24"/>
          <w:szCs w:val="24"/>
        </w:rPr>
        <w:t>ování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dlouhodobého hmotného majetku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, který </w:t>
      </w:r>
      <w:r w:rsidRPr="00184AA7">
        <w:rPr>
          <w:rFonts w:ascii="Calibri" w:eastAsia="Times New Roman" w:hAnsi="Calibri" w:cs="Times New Roman"/>
          <w:sz w:val="24"/>
          <w:szCs w:val="24"/>
        </w:rPr>
        <w:t>v</w:t>
      </w:r>
      <w:r w:rsidR="00CE44C7">
        <w:rPr>
          <w:rFonts w:ascii="Calibri" w:eastAsia="Times New Roman" w:hAnsi="Calibri" w:cs="Times New Roman"/>
          <w:sz w:val="24"/>
          <w:szCs w:val="24"/>
        </w:rPr>
        <w:t> </w:t>
      </w:r>
      <w:r w:rsidRPr="00184AA7">
        <w:rPr>
          <w:rFonts w:ascii="Calibri" w:eastAsia="Times New Roman" w:hAnsi="Calibri" w:cs="Times New Roman"/>
          <w:sz w:val="24"/>
          <w:szCs w:val="24"/>
        </w:rPr>
        <w:t>minulosti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 nesprávně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vyřadilo</w:t>
      </w:r>
      <w:r w:rsidR="00CE44C7">
        <w:rPr>
          <w:rFonts w:ascii="Calibri" w:eastAsia="Times New Roman" w:hAnsi="Calibri" w:cs="Times New Roman"/>
          <w:sz w:val="24"/>
          <w:szCs w:val="24"/>
        </w:rPr>
        <w:t>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48BBACCE" w14:textId="4B014391" w:rsidR="003B64FC" w:rsidRPr="00184AA7" w:rsidRDefault="003B64FC" w:rsidP="003B64FC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V roce 2014 MV </w:t>
      </w:r>
      <w:r w:rsidR="008C60D6">
        <w:rPr>
          <w:rFonts w:ascii="Calibri" w:eastAsia="Times New Roman" w:hAnsi="Calibri" w:cs="Times New Roman"/>
          <w:sz w:val="24"/>
          <w:szCs w:val="24"/>
        </w:rPr>
        <w:t xml:space="preserve">např.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účtovalo </w:t>
      </w:r>
      <w:r>
        <w:rPr>
          <w:rFonts w:ascii="Calibri" w:eastAsia="Times New Roman" w:hAnsi="Calibri" w:cs="Times New Roman"/>
          <w:sz w:val="24"/>
          <w:szCs w:val="24"/>
        </w:rPr>
        <w:t xml:space="preserve">na účtu 022 – </w:t>
      </w:r>
      <w:r w:rsidRPr="008206E0">
        <w:rPr>
          <w:i/>
          <w:sz w:val="24"/>
        </w:rPr>
        <w:t xml:space="preserve">Samostatné hmotné movité věci a soubory </w:t>
      </w:r>
      <w:r w:rsidR="00B35702">
        <w:rPr>
          <w:i/>
          <w:sz w:val="24"/>
        </w:rPr>
        <w:t xml:space="preserve">hmotných </w:t>
      </w:r>
      <w:r w:rsidRPr="008206E0">
        <w:rPr>
          <w:i/>
          <w:sz w:val="24"/>
        </w:rPr>
        <w:t>movitých věcí</w:t>
      </w:r>
      <w:r w:rsidRPr="008206E0">
        <w:rPr>
          <w:sz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o opětovném zařazení dlouhodobého hmotného majetku, který v roce 2012</w:t>
      </w:r>
      <w:r w:rsidR="00C525DD">
        <w:rPr>
          <w:rFonts w:ascii="Calibri" w:eastAsia="Times New Roman" w:hAnsi="Calibri" w:cs="Times New Roman"/>
          <w:sz w:val="24"/>
          <w:szCs w:val="24"/>
        </w:rPr>
        <w:t xml:space="preserve"> vyřadilo z důvodu oznámené likvidace tohoto majetku</w:t>
      </w:r>
      <w:r w:rsidRPr="00184AA7">
        <w:rPr>
          <w:rFonts w:ascii="Calibri" w:eastAsia="Times New Roman" w:hAnsi="Calibri" w:cs="Times New Roman"/>
          <w:sz w:val="24"/>
          <w:szCs w:val="24"/>
        </w:rPr>
        <w:t>. Při znovuzařazení majetku MV</w:t>
      </w:r>
      <w:r w:rsidR="008C60D6">
        <w:rPr>
          <w:rFonts w:ascii="Calibri" w:eastAsia="Times New Roman" w:hAnsi="Calibri" w:cs="Times New Roman"/>
          <w:sz w:val="24"/>
          <w:szCs w:val="24"/>
        </w:rPr>
        <w:t xml:space="preserve"> nesprávně zaúčtovalo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na účet 408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Opravy minulých období</w:t>
      </w:r>
      <w:r w:rsidRPr="00127B5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7403C">
        <w:rPr>
          <w:rFonts w:ascii="Calibri" w:eastAsia="Times New Roman" w:hAnsi="Calibri" w:cs="Times New Roman"/>
          <w:sz w:val="24"/>
          <w:szCs w:val="24"/>
        </w:rPr>
        <w:t>pořizovací cenu ve výši 8,52 </w:t>
      </w:r>
      <w:r w:rsidRPr="00184AA7">
        <w:rPr>
          <w:rFonts w:ascii="Calibri" w:eastAsia="Times New Roman" w:hAnsi="Calibri" w:cs="Times New Roman"/>
          <w:sz w:val="24"/>
          <w:szCs w:val="24"/>
        </w:rPr>
        <w:t>mil. Kč, i když mělo na uvedený účet zaúčtovat pouze zůstatkovou cenu ve výši 4,4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="00B35702">
        <w:rPr>
          <w:rFonts w:ascii="Calibri" w:eastAsia="Times New Roman" w:hAnsi="Calibri" w:cs="Times New Roman"/>
          <w:sz w:val="24"/>
          <w:szCs w:val="24"/>
        </w:rPr>
        <w:t> </w:t>
      </w:r>
      <w:r w:rsidRPr="00184AA7">
        <w:rPr>
          <w:rFonts w:ascii="Calibri" w:eastAsia="Times New Roman" w:hAnsi="Calibri" w:cs="Times New Roman"/>
          <w:sz w:val="24"/>
          <w:szCs w:val="24"/>
        </w:rPr>
        <w:t>mil.</w:t>
      </w:r>
      <w:r w:rsidR="00B35702">
        <w:rPr>
          <w:rFonts w:ascii="Calibri" w:eastAsia="Times New Roman" w:hAnsi="Calibri" w:cs="Times New Roman"/>
          <w:sz w:val="24"/>
          <w:szCs w:val="24"/>
        </w:rPr>
        <w:t> 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Kč, ve které MV tento majetek vyřadilo. Rozdíl mezi pořizovací a zůstatkovou </w:t>
      </w:r>
      <w:r>
        <w:rPr>
          <w:rFonts w:ascii="Calibri" w:eastAsia="Times New Roman" w:hAnsi="Calibri" w:cs="Times New Roman"/>
          <w:sz w:val="24"/>
          <w:szCs w:val="24"/>
        </w:rPr>
        <w:t>cenou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majetku ve výši 4,09 mil. Kč </w:t>
      </w:r>
      <w:r w:rsidR="0013359A" w:rsidRPr="0013359A">
        <w:rPr>
          <w:rFonts w:ascii="Calibri" w:eastAsia="Times New Roman" w:hAnsi="Calibri" w:cs="Times New Roman"/>
          <w:sz w:val="24"/>
          <w:szCs w:val="24"/>
        </w:rPr>
        <w:t>představuje oprávky, které MV vytvořilo k tomuto majetku k</w:t>
      </w:r>
      <w:r w:rsidR="004E7618">
        <w:rPr>
          <w:rFonts w:ascii="Calibri" w:eastAsia="Times New Roman" w:hAnsi="Calibri" w:cs="Times New Roman"/>
          <w:sz w:val="24"/>
          <w:szCs w:val="24"/>
        </w:rPr>
        <w:t> </w:t>
      </w:r>
      <w:r w:rsidR="0013359A" w:rsidRPr="0013359A">
        <w:rPr>
          <w:rFonts w:ascii="Calibri" w:eastAsia="Times New Roman" w:hAnsi="Calibri" w:cs="Times New Roman"/>
          <w:sz w:val="24"/>
          <w:szCs w:val="24"/>
        </w:rPr>
        <w:t>okamžiku jeho vyřazení v roce 2012</w:t>
      </w:r>
      <w:r w:rsidR="0013359A">
        <w:rPr>
          <w:rFonts w:ascii="Calibri" w:eastAsia="Times New Roman" w:hAnsi="Calibri" w:cs="Times New Roman"/>
          <w:sz w:val="24"/>
          <w:szCs w:val="24"/>
        </w:rPr>
        <w:t>, a tyto</w:t>
      </w:r>
      <w:r w:rsidR="000C4E92">
        <w:rPr>
          <w:rFonts w:ascii="Calibri" w:eastAsia="Times New Roman" w:hAnsi="Calibri" w:cs="Times New Roman"/>
          <w:sz w:val="24"/>
          <w:szCs w:val="24"/>
        </w:rPr>
        <w:t xml:space="preserve"> mělo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MV </w:t>
      </w:r>
      <w:r w:rsidR="00F5351A">
        <w:rPr>
          <w:rFonts w:ascii="Calibri" w:eastAsia="Times New Roman" w:hAnsi="Calibri" w:cs="Times New Roman"/>
          <w:sz w:val="24"/>
          <w:szCs w:val="24"/>
        </w:rPr>
        <w:t xml:space="preserve">v roce 2014 </w:t>
      </w:r>
      <w:r w:rsidRPr="00184AA7">
        <w:rPr>
          <w:rFonts w:ascii="Calibri" w:eastAsia="Times New Roman" w:hAnsi="Calibri" w:cs="Times New Roman"/>
          <w:sz w:val="24"/>
          <w:szCs w:val="24"/>
        </w:rPr>
        <w:t>zaúčtovat na účet</w:t>
      </w:r>
      <w:r w:rsidR="00FB3415">
        <w:rPr>
          <w:rFonts w:ascii="Calibri" w:eastAsia="Times New Roman" w:hAnsi="Calibri" w:cs="Times New Roman"/>
          <w:sz w:val="24"/>
          <w:szCs w:val="24"/>
        </w:rPr>
        <w:br/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082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Oprávky k samostatným hmotným movitým věcem a souborům hmotných movitých věcí</w:t>
      </w:r>
      <w:r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184AA7">
        <w:rPr>
          <w:rFonts w:ascii="Calibri" w:eastAsia="Times New Roman" w:hAnsi="Calibri" w:cs="Times New Roman"/>
          <w:sz w:val="24"/>
          <w:szCs w:val="24"/>
        </w:rPr>
        <w:t>MV</w:t>
      </w:r>
      <w:r w:rsidR="004E7618">
        <w:rPr>
          <w:rFonts w:ascii="Calibri" w:eastAsia="Times New Roman" w:hAnsi="Calibri" w:cs="Times New Roman"/>
          <w:sz w:val="24"/>
          <w:szCs w:val="24"/>
        </w:rPr>
        <w:t> </w:t>
      </w:r>
      <w:r>
        <w:rPr>
          <w:rFonts w:ascii="Calibri" w:eastAsia="Times New Roman" w:hAnsi="Calibri" w:cs="Times New Roman"/>
          <w:sz w:val="24"/>
          <w:szCs w:val="24"/>
        </w:rPr>
        <w:t xml:space="preserve">tak </w:t>
      </w:r>
      <w:r w:rsidRPr="00184AA7">
        <w:rPr>
          <w:rFonts w:ascii="Calibri" w:eastAsia="Times New Roman" w:hAnsi="Calibri" w:cs="Times New Roman"/>
          <w:sz w:val="24"/>
          <w:szCs w:val="24"/>
        </w:rPr>
        <w:t>v ÚZ o částku 4,09 mil. Kč ovlivnilo zůstat</w:t>
      </w:r>
      <w:r>
        <w:rPr>
          <w:rFonts w:ascii="Calibri" w:eastAsia="Times New Roman" w:hAnsi="Calibri" w:cs="Times New Roman"/>
          <w:sz w:val="24"/>
          <w:szCs w:val="24"/>
        </w:rPr>
        <w:t>ky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účt</w:t>
      </w:r>
      <w:r>
        <w:rPr>
          <w:rFonts w:ascii="Calibri" w:eastAsia="Times New Roman" w:hAnsi="Calibri" w:cs="Times New Roman"/>
          <w:sz w:val="24"/>
          <w:szCs w:val="24"/>
        </w:rPr>
        <w:t>ů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408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Opravy minulých období</w:t>
      </w:r>
      <w:r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082 </w:t>
      </w:r>
      <w:r>
        <w:rPr>
          <w:rFonts w:ascii="Calibri" w:eastAsia="Times New Roman" w:hAnsi="Calibri" w:cs="Times New Roman"/>
          <w:sz w:val="24"/>
          <w:szCs w:val="24"/>
        </w:rPr>
        <w:t>–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Oprávky k samo</w:t>
      </w:r>
      <w:r w:rsidR="00BE4337">
        <w:rPr>
          <w:rFonts w:ascii="Calibri" w:eastAsia="Times New Roman" w:hAnsi="Calibri" w:cs="Times New Roman"/>
          <w:i/>
          <w:sz w:val="24"/>
          <w:szCs w:val="24"/>
        </w:rPr>
        <w:t>statným hmotným movitým věcem a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souborům hmotných movitých věcí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ve sloupci 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>Korekce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="00B35702">
        <w:rPr>
          <w:rFonts w:ascii="Calibri" w:eastAsia="Times New Roman" w:hAnsi="Calibri" w:cs="Times New Roman"/>
          <w:sz w:val="24"/>
          <w:szCs w:val="24"/>
        </w:rPr>
        <w:t>v důsledku toho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i hodnotu </w:t>
      </w:r>
      <w:r>
        <w:rPr>
          <w:rFonts w:ascii="Calibri" w:eastAsia="Times New Roman" w:hAnsi="Calibri" w:cs="Times New Roman"/>
          <w:sz w:val="24"/>
          <w:szCs w:val="24"/>
        </w:rPr>
        <w:t xml:space="preserve">ve sloupci 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>Netto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účtu 022 </w:t>
      </w:r>
      <w:r>
        <w:rPr>
          <w:rFonts w:ascii="Calibri" w:eastAsia="Times New Roman" w:hAnsi="Calibri" w:cs="Times New Roman"/>
          <w:sz w:val="24"/>
          <w:szCs w:val="24"/>
        </w:rPr>
        <w:t>–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7403C">
        <w:rPr>
          <w:rFonts w:ascii="Calibri" w:eastAsia="Times New Roman" w:hAnsi="Calibri" w:cs="Times New Roman"/>
          <w:i/>
          <w:sz w:val="24"/>
          <w:szCs w:val="24"/>
        </w:rPr>
        <w:t>Samostatné hmotné movité věci a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soubory </w:t>
      </w:r>
      <w:r w:rsidR="00B35702">
        <w:rPr>
          <w:i/>
          <w:sz w:val="24"/>
        </w:rPr>
        <w:t xml:space="preserve">hmotných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movitých věcí.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C4E92">
        <w:rPr>
          <w:rFonts w:ascii="Calibri" w:eastAsia="Times New Roman" w:hAnsi="Calibri" w:cs="Times New Roman"/>
          <w:sz w:val="24"/>
          <w:szCs w:val="24"/>
        </w:rPr>
        <w:t xml:space="preserve">V tomto případě </w:t>
      </w:r>
      <w:r>
        <w:rPr>
          <w:rFonts w:ascii="Calibri" w:eastAsia="Times New Roman" w:hAnsi="Calibri" w:cs="Times New Roman"/>
          <w:sz w:val="24"/>
          <w:szCs w:val="24"/>
        </w:rPr>
        <w:t>MV také nesprávně účtovalo 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dopoč</w:t>
      </w:r>
      <w:r w:rsidR="008C60D6">
        <w:rPr>
          <w:rFonts w:ascii="Calibri" w:eastAsia="Times New Roman" w:hAnsi="Calibri" w:cs="Times New Roman"/>
          <w:sz w:val="24"/>
          <w:szCs w:val="24"/>
        </w:rPr>
        <w:t>íta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ných odpisech </w:t>
      </w:r>
      <w:r w:rsidR="007564C7" w:rsidRPr="00184AA7">
        <w:rPr>
          <w:rFonts w:ascii="Calibri" w:eastAsia="Times New Roman" w:hAnsi="Calibri" w:cs="Times New Roman"/>
          <w:sz w:val="24"/>
          <w:szCs w:val="24"/>
        </w:rPr>
        <w:t>za období 2012 a 2013</w:t>
      </w:r>
      <w:r w:rsidR="007564C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ve výši 1,06 mil. Kč, kdy byl předmětný majetek vyřazen</w:t>
      </w:r>
      <w:r>
        <w:rPr>
          <w:rFonts w:ascii="Calibri" w:eastAsia="Times New Roman" w:hAnsi="Calibri" w:cs="Times New Roman"/>
          <w:sz w:val="24"/>
          <w:szCs w:val="24"/>
        </w:rPr>
        <w:t>. Tyto odpisy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MV nesprávně </w:t>
      </w:r>
      <w:r>
        <w:rPr>
          <w:rFonts w:ascii="Calibri" w:eastAsia="Times New Roman" w:hAnsi="Calibri" w:cs="Times New Roman"/>
          <w:sz w:val="24"/>
          <w:szCs w:val="24"/>
        </w:rPr>
        <w:t>za</w:t>
      </w:r>
      <w:r w:rsidRPr="00184AA7">
        <w:rPr>
          <w:rFonts w:ascii="Calibri" w:eastAsia="Times New Roman" w:hAnsi="Calibri" w:cs="Times New Roman"/>
          <w:sz w:val="24"/>
          <w:szCs w:val="24"/>
        </w:rPr>
        <w:t>účtovalo jako opravn</w:t>
      </w:r>
      <w:r w:rsidR="000C4E92">
        <w:rPr>
          <w:rFonts w:ascii="Calibri" w:eastAsia="Times New Roman" w:hAnsi="Calibri" w:cs="Times New Roman"/>
          <w:sz w:val="24"/>
          <w:szCs w:val="24"/>
        </w:rPr>
        <w:t>ou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polož</w:t>
      </w:r>
      <w:r>
        <w:rPr>
          <w:rFonts w:ascii="Calibri" w:eastAsia="Times New Roman" w:hAnsi="Calibri" w:cs="Times New Roman"/>
          <w:sz w:val="24"/>
          <w:szCs w:val="24"/>
        </w:rPr>
        <w:t>k</w:t>
      </w:r>
      <w:r w:rsidR="000C4E92">
        <w:rPr>
          <w:rFonts w:ascii="Calibri" w:eastAsia="Times New Roman" w:hAnsi="Calibri" w:cs="Times New Roman"/>
          <w:sz w:val="24"/>
          <w:szCs w:val="24"/>
        </w:rPr>
        <w:t>u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na účt</w:t>
      </w:r>
      <w:r>
        <w:rPr>
          <w:rFonts w:ascii="Calibri" w:eastAsia="Times New Roman" w:hAnsi="Calibri" w:cs="Times New Roman"/>
          <w:sz w:val="24"/>
          <w:szCs w:val="24"/>
        </w:rPr>
        <w:t>ech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7403C" w:rsidRPr="00A45CD0">
        <w:rPr>
          <w:rFonts w:ascii="Calibri" w:eastAsia="Times New Roman" w:hAnsi="Calibri" w:cs="Times New Roman"/>
          <w:sz w:val="24"/>
          <w:szCs w:val="24"/>
        </w:rPr>
        <w:t>556</w:t>
      </w:r>
      <w:r w:rsidR="00C7403C">
        <w:rPr>
          <w:rFonts w:ascii="Calibri" w:eastAsia="Times New Roman" w:hAnsi="Calibri" w:cs="Times New Roman"/>
          <w:i/>
          <w:sz w:val="24"/>
          <w:szCs w:val="24"/>
        </w:rPr>
        <w:t xml:space="preserve"> – Tvorba a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zúčtování opravných položek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Pr="00A45CD0">
        <w:rPr>
          <w:rFonts w:ascii="Calibri" w:eastAsia="Times New Roman" w:hAnsi="Calibri" w:cs="Times New Roman"/>
          <w:sz w:val="24"/>
          <w:szCs w:val="24"/>
        </w:rPr>
        <w:t>164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Opravné položky k samostatným hmotným movitým věcem a souborům hmotných movitých věcí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místo na účt</w:t>
      </w:r>
      <w:r>
        <w:rPr>
          <w:rFonts w:ascii="Calibri" w:eastAsia="Times New Roman" w:hAnsi="Calibri" w:cs="Times New Roman"/>
          <w:sz w:val="24"/>
          <w:szCs w:val="24"/>
        </w:rPr>
        <w:t>ech</w:t>
      </w:r>
      <w:r w:rsidR="009647B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45CD0">
        <w:rPr>
          <w:rFonts w:ascii="Calibri" w:eastAsia="Times New Roman" w:hAnsi="Calibri" w:cs="Times New Roman"/>
          <w:sz w:val="24"/>
          <w:szCs w:val="24"/>
        </w:rPr>
        <w:t>408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Opravy minulých období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Pr="00A45CD0">
        <w:rPr>
          <w:rFonts w:ascii="Calibri" w:eastAsia="Times New Roman" w:hAnsi="Calibri" w:cs="Times New Roman"/>
          <w:sz w:val="24"/>
          <w:szCs w:val="24"/>
        </w:rPr>
        <w:t>082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 – Oprávky k samo</w:t>
      </w:r>
      <w:r w:rsidR="00934EB0">
        <w:rPr>
          <w:rFonts w:ascii="Calibri" w:eastAsia="Times New Roman" w:hAnsi="Calibri" w:cs="Times New Roman"/>
          <w:i/>
          <w:sz w:val="24"/>
          <w:szCs w:val="24"/>
        </w:rPr>
        <w:t>statným hmotným movitým věcem a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souborům hmotných movitých věcí.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MV </w:t>
      </w:r>
      <w:r>
        <w:rPr>
          <w:rFonts w:ascii="Calibri" w:eastAsia="Times New Roman" w:hAnsi="Calibri" w:cs="Times New Roman"/>
          <w:sz w:val="24"/>
          <w:szCs w:val="24"/>
        </w:rPr>
        <w:t xml:space="preserve">tak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v ÚZ </w:t>
      </w:r>
      <w:r>
        <w:rPr>
          <w:rFonts w:ascii="Calibri" w:eastAsia="Times New Roman" w:hAnsi="Calibri" w:cs="Times New Roman"/>
          <w:sz w:val="24"/>
          <w:szCs w:val="24"/>
        </w:rPr>
        <w:t xml:space="preserve">o částku 1,06 mil. Kč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ovlivnilo zůstatky účtů </w:t>
      </w:r>
      <w:r w:rsidR="00C7403C" w:rsidRPr="00A45CD0">
        <w:rPr>
          <w:rFonts w:ascii="Calibri" w:eastAsia="Times New Roman" w:hAnsi="Calibri" w:cs="Times New Roman"/>
          <w:sz w:val="24"/>
          <w:szCs w:val="24"/>
        </w:rPr>
        <w:t>556</w:t>
      </w:r>
      <w:r w:rsidR="00C7403C">
        <w:rPr>
          <w:rFonts w:ascii="Calibri" w:eastAsia="Times New Roman" w:hAnsi="Calibri" w:cs="Times New Roman"/>
          <w:i/>
          <w:sz w:val="24"/>
          <w:szCs w:val="24"/>
        </w:rPr>
        <w:t xml:space="preserve"> – Tvorba a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zúčtování opravných položek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Pr="0015153C">
        <w:rPr>
          <w:rFonts w:ascii="Calibri" w:eastAsia="Times New Roman" w:hAnsi="Calibri" w:cs="Times New Roman"/>
          <w:sz w:val="24"/>
          <w:szCs w:val="24"/>
        </w:rPr>
        <w:t>408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Opravy minulých období </w:t>
      </w:r>
      <w:r>
        <w:rPr>
          <w:rFonts w:ascii="Calibri" w:eastAsia="Times New Roman" w:hAnsi="Calibri" w:cs="Times New Roman"/>
          <w:sz w:val="24"/>
          <w:szCs w:val="24"/>
        </w:rPr>
        <w:t>a</w:t>
      </w:r>
      <w:r w:rsidR="00B35702">
        <w:rPr>
          <w:rFonts w:ascii="Calibri" w:eastAsia="Times New Roman" w:hAnsi="Calibri" w:cs="Times New Roman"/>
          <w:sz w:val="24"/>
          <w:szCs w:val="24"/>
        </w:rPr>
        <w:t> </w:t>
      </w:r>
      <w:r>
        <w:rPr>
          <w:rFonts w:ascii="Calibri" w:eastAsia="Times New Roman" w:hAnsi="Calibri" w:cs="Times New Roman"/>
          <w:sz w:val="24"/>
          <w:szCs w:val="24"/>
        </w:rPr>
        <w:t>dále účt</w:t>
      </w:r>
      <w:r w:rsidR="00B35702">
        <w:rPr>
          <w:rFonts w:ascii="Calibri" w:eastAsia="Times New Roman" w:hAnsi="Calibri" w:cs="Times New Roman"/>
          <w:sz w:val="24"/>
          <w:szCs w:val="24"/>
        </w:rPr>
        <w:t>u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45CD0">
        <w:rPr>
          <w:rFonts w:ascii="Calibri" w:eastAsia="Times New Roman" w:hAnsi="Calibri" w:cs="Times New Roman"/>
          <w:sz w:val="24"/>
          <w:szCs w:val="24"/>
        </w:rPr>
        <w:t>164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Opravné položky k samo</w:t>
      </w:r>
      <w:r w:rsidR="00BE4337">
        <w:rPr>
          <w:rFonts w:ascii="Calibri" w:eastAsia="Times New Roman" w:hAnsi="Calibri" w:cs="Times New Roman"/>
          <w:i/>
          <w:sz w:val="24"/>
          <w:szCs w:val="24"/>
        </w:rPr>
        <w:t>statným hmotným movitým věcem a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souborům hmotných movitých věcí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ve sloupci 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>Korekce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 w:rsidR="00B35702">
        <w:rPr>
          <w:rFonts w:ascii="Calibri" w:eastAsia="Times New Roman" w:hAnsi="Calibri" w:cs="Times New Roman"/>
          <w:sz w:val="24"/>
          <w:szCs w:val="24"/>
        </w:rPr>
        <w:t xml:space="preserve">účtu </w:t>
      </w:r>
      <w:r w:rsidRPr="00A45CD0">
        <w:rPr>
          <w:rFonts w:ascii="Calibri" w:eastAsia="Times New Roman" w:hAnsi="Calibri" w:cs="Times New Roman"/>
          <w:sz w:val="24"/>
          <w:szCs w:val="24"/>
        </w:rPr>
        <w:t>082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Oprávky k samostatným hmotným movitým věcem a souborům hmotných movitých věcí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ve sloupci 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>Korekce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14:paraId="62E12D1B" w14:textId="58C19068" w:rsidR="003B64FC" w:rsidRPr="006F7526" w:rsidRDefault="003B64FC" w:rsidP="003B64FC">
      <w:pPr>
        <w:spacing w:after="120" w:line="240" w:lineRule="auto"/>
        <w:jc w:val="both"/>
        <w:rPr>
          <w:rFonts w:ascii="Calibri" w:eastAsia="Times New Roman" w:hAnsi="Calibri" w:cs="Times New Roman"/>
          <w:bCs/>
          <w:iCs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MV v roce 2014</w:t>
      </w:r>
      <w:r w:rsidR="008C60D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E44C7">
        <w:rPr>
          <w:rFonts w:ascii="Calibri" w:eastAsia="Times New Roman" w:hAnsi="Calibri" w:cs="Times New Roman"/>
          <w:sz w:val="24"/>
          <w:szCs w:val="24"/>
        </w:rPr>
        <w:t>dále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účtovalo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 např.</w:t>
      </w:r>
      <w:r w:rsidR="008C60D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o opětovném zařazení dlouhodobého hmotného majetku v pořizovací hodnotě 1,21 mil. Kč, který v roce 2011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 vyřadilo v důsledku manka zjištěného při inventarizaci</w:t>
      </w:r>
      <w:r w:rsidRPr="00184AA7">
        <w:rPr>
          <w:rFonts w:ascii="Calibri" w:eastAsia="Times New Roman" w:hAnsi="Calibri" w:cs="Times New Roman"/>
          <w:sz w:val="24"/>
          <w:szCs w:val="24"/>
        </w:rPr>
        <w:t>. O opětovném zařazení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 tohoto znovu nalezeného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dlouhodobého hmotného majetku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 účtovalo MV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 roce 2014 na nesprávném účt</w:t>
      </w:r>
      <w:r w:rsidR="00CE44C7">
        <w:rPr>
          <w:rFonts w:ascii="Calibri" w:eastAsia="Times New Roman" w:hAnsi="Calibri" w:cs="Times New Roman"/>
          <w:sz w:val="24"/>
          <w:szCs w:val="24"/>
        </w:rPr>
        <w:t>u</w:t>
      </w:r>
      <w:r w:rsidR="009638B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547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Manka a škody. </w:t>
      </w:r>
      <w:r w:rsidR="00C7403C">
        <w:rPr>
          <w:rFonts w:ascii="Calibri" w:eastAsia="Times New Roman" w:hAnsi="Calibri" w:cs="Times New Roman"/>
          <w:sz w:val="24"/>
          <w:szCs w:val="24"/>
        </w:rPr>
        <w:lastRenderedPageBreak/>
        <w:t>V </w:t>
      </w:r>
      <w:r w:rsidR="00CE44C7" w:rsidRPr="00BC1544">
        <w:rPr>
          <w:rFonts w:ascii="Calibri" w:eastAsia="Times New Roman" w:hAnsi="Calibri" w:cs="Times New Roman"/>
          <w:sz w:val="24"/>
          <w:szCs w:val="24"/>
        </w:rPr>
        <w:t>souladu s vyhláškou</w:t>
      </w:r>
      <w:r w:rsidR="00CE44C7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č. 410/2009 Sb. se jednalo o opravný zápis významné </w:t>
      </w:r>
      <w:r w:rsidRPr="00707A19">
        <w:rPr>
          <w:rFonts w:ascii="Calibri" w:eastAsia="Times New Roman" w:hAnsi="Calibri" w:cs="Times New Roman"/>
          <w:sz w:val="24"/>
          <w:szCs w:val="24"/>
        </w:rPr>
        <w:t>skutečnost</w:t>
      </w:r>
      <w:r w:rsidR="00487202">
        <w:rPr>
          <w:rFonts w:ascii="Calibri" w:eastAsia="Times New Roman" w:hAnsi="Calibri" w:cs="Times New Roman"/>
          <w:sz w:val="24"/>
          <w:szCs w:val="24"/>
        </w:rPr>
        <w:t>i</w:t>
      </w:r>
      <w:r w:rsidR="0034392D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5"/>
      </w:r>
      <w:r w:rsidR="00C7403C">
        <w:rPr>
          <w:rFonts w:ascii="Calibri" w:eastAsia="Times New Roman" w:hAnsi="Calibri" w:cs="Times New Roman"/>
          <w:sz w:val="24"/>
          <w:szCs w:val="24"/>
        </w:rPr>
        <w:t>, o </w:t>
      </w:r>
      <w:r w:rsidRPr="00707A19">
        <w:rPr>
          <w:rFonts w:ascii="Calibri" w:eastAsia="Times New Roman" w:hAnsi="Calibri" w:cs="Times New Roman"/>
          <w:sz w:val="24"/>
          <w:szCs w:val="24"/>
        </w:rPr>
        <w:t>které MV účtovalo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 roce 2011 a která v tomto období ovlivnila výsledek hospodaření. Dle ČÚS č. 709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se o opravě takových skutečností účtuje na účtu 408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Opravy minulých období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. MV </w:t>
      </w:r>
      <w:r>
        <w:rPr>
          <w:rFonts w:ascii="Calibri" w:eastAsia="Times New Roman" w:hAnsi="Calibri" w:cs="Times New Roman"/>
          <w:sz w:val="24"/>
          <w:szCs w:val="24"/>
        </w:rPr>
        <w:t xml:space="preserve">tak </w:t>
      </w:r>
      <w:r w:rsidRPr="00184AA7">
        <w:rPr>
          <w:rFonts w:ascii="Calibri" w:eastAsia="Times New Roman" w:hAnsi="Calibri" w:cs="Times New Roman"/>
          <w:sz w:val="24"/>
          <w:szCs w:val="24"/>
        </w:rPr>
        <w:t>v ÚZ ovlivnilo zůstatky účt</w:t>
      </w:r>
      <w:r w:rsidR="00CE44C7">
        <w:rPr>
          <w:rFonts w:ascii="Calibri" w:eastAsia="Times New Roman" w:hAnsi="Calibri" w:cs="Times New Roman"/>
          <w:sz w:val="24"/>
          <w:szCs w:val="24"/>
        </w:rPr>
        <w:t>ů</w:t>
      </w:r>
      <w:r w:rsidR="009638B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547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Manka a škody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408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Opravy minulých období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994E07">
        <w:rPr>
          <w:rFonts w:ascii="Calibri" w:eastAsia="Times New Roman" w:hAnsi="Calibri" w:cs="Times New Roman"/>
          <w:sz w:val="24"/>
          <w:szCs w:val="24"/>
        </w:rPr>
        <w:t>o částku 1,21 mil. Kč.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V souvislosti s tímto účetním případem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MV 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na účtu 551 – </w:t>
      </w:r>
      <w:r w:rsidR="000C4E92" w:rsidRPr="00184AA7">
        <w:rPr>
          <w:rFonts w:ascii="Calibri" w:eastAsia="Times New Roman" w:hAnsi="Calibri" w:cs="Times New Roman"/>
          <w:i/>
          <w:sz w:val="24"/>
          <w:szCs w:val="24"/>
        </w:rPr>
        <w:t>Odpisy dlouhodobého majetku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zaúčtovalo odpisy ve výši 949,</w:t>
      </w:r>
      <w:r>
        <w:rPr>
          <w:rFonts w:ascii="Calibri" w:eastAsia="Times New Roman" w:hAnsi="Calibri" w:cs="Times New Roman"/>
          <w:sz w:val="24"/>
          <w:szCs w:val="24"/>
        </w:rPr>
        <w:t>09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tis. Kč</w:t>
      </w:r>
      <w:r w:rsidR="009638B9">
        <w:rPr>
          <w:rFonts w:ascii="Calibri" w:eastAsia="Times New Roman" w:hAnsi="Calibri" w:cs="Times New Roman"/>
          <w:sz w:val="24"/>
          <w:szCs w:val="24"/>
        </w:rPr>
        <w:t>,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E44C7">
        <w:rPr>
          <w:rFonts w:ascii="Calibri" w:eastAsia="Times New Roman" w:hAnsi="Calibri" w:cs="Times New Roman"/>
          <w:sz w:val="24"/>
          <w:szCs w:val="24"/>
        </w:rPr>
        <w:t xml:space="preserve">a to </w:t>
      </w:r>
      <w:r w:rsidRPr="00184AA7">
        <w:rPr>
          <w:rFonts w:ascii="Calibri" w:eastAsia="Times New Roman" w:hAnsi="Calibri" w:cs="Times New Roman"/>
          <w:sz w:val="24"/>
          <w:szCs w:val="24"/>
        </w:rPr>
        <w:t>za období 2011 a</w:t>
      </w:r>
      <w:r w:rsidR="000C4E92">
        <w:rPr>
          <w:rFonts w:ascii="Calibri" w:eastAsia="Times New Roman" w:hAnsi="Calibri" w:cs="Times New Roman"/>
          <w:sz w:val="24"/>
          <w:szCs w:val="24"/>
        </w:rPr>
        <w:t>ž 2013, kdy byl majetek vyřazen.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 xml:space="preserve">Uvedený majetek byl však vyřazen v pořizovací ceně před zahájením </w:t>
      </w:r>
      <w:r w:rsidRPr="00184AA7">
        <w:rPr>
          <w:rFonts w:ascii="Calibri" w:eastAsia="Times New Roman" w:hAnsi="Calibri" w:cs="Times New Roman"/>
          <w:sz w:val="24"/>
          <w:szCs w:val="24"/>
        </w:rPr>
        <w:t>účetní metody odpisování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</w:t>
      </w:r>
      <w:r>
        <w:rPr>
          <w:rFonts w:ascii="Calibri" w:eastAsia="Times New Roman" w:hAnsi="Calibri" w:cs="Times New Roman"/>
          <w:sz w:val="24"/>
          <w:szCs w:val="24"/>
        </w:rPr>
        <w:t xml:space="preserve">proto mělo MV vykázat </w:t>
      </w:r>
      <w:r w:rsidR="00BE4337">
        <w:rPr>
          <w:rFonts w:ascii="Calibri" w:eastAsia="Times New Roman" w:hAnsi="Calibri" w:cs="Times New Roman"/>
          <w:bCs/>
          <w:iCs/>
          <w:sz w:val="24"/>
          <w:szCs w:val="24"/>
        </w:rPr>
        <w:t>dopočet oprávek k 31. 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 xml:space="preserve">prosinci 2011 ve výši </w:t>
      </w:r>
      <w:r w:rsidRPr="00184AA7">
        <w:rPr>
          <w:rFonts w:ascii="Calibri" w:eastAsia="Times New Roman" w:hAnsi="Calibri" w:cs="Times New Roman"/>
          <w:sz w:val="24"/>
          <w:szCs w:val="24"/>
        </w:rPr>
        <w:t>486,71 tis. Kč na účtu 406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Oceňovací rozdíly při prvotním použití metody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a odpisy za období 2012 a 2013 ve výši 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>462,38 tis. Kč na účtu 408</w:t>
      </w:r>
      <w:r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Opravy minulých období. </w:t>
      </w:r>
      <w:r w:rsidRPr="009A15AE">
        <w:rPr>
          <w:rFonts w:ascii="Calibri" w:eastAsia="Times New Roman" w:hAnsi="Calibri" w:cs="Times New Roman"/>
          <w:bCs/>
          <w:iCs/>
          <w:sz w:val="24"/>
          <w:szCs w:val="24"/>
        </w:rPr>
        <w:t>V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 důsledku uvedených skutečností </w:t>
      </w:r>
      <w:r w:rsidRPr="009A15AE">
        <w:rPr>
          <w:rFonts w:ascii="Calibri" w:eastAsia="Times New Roman" w:hAnsi="Calibri" w:cs="Times New Roman"/>
          <w:bCs/>
          <w:iCs/>
          <w:sz w:val="24"/>
          <w:szCs w:val="24"/>
        </w:rPr>
        <w:t>M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>V v ÚZ ovlivnilo zůstatky účtů</w:t>
      </w:r>
      <w:r w:rsidR="009638B9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>406</w:t>
      </w:r>
      <w:r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Oceňovací rozdíly při prvotním použití metody 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 xml:space="preserve">o </w:t>
      </w:r>
      <w:r w:rsidRPr="00F665C3">
        <w:rPr>
          <w:rFonts w:ascii="Calibri" w:eastAsia="Times New Roman" w:hAnsi="Calibri" w:cs="Times New Roman"/>
          <w:bCs/>
          <w:iCs/>
          <w:sz w:val="24"/>
          <w:szCs w:val="24"/>
        </w:rPr>
        <w:t>částku 486,71 tis.</w:t>
      </w:r>
      <w:r w:rsidRPr="00A564D6">
        <w:rPr>
          <w:rFonts w:ascii="Calibri" w:eastAsia="Times New Roman" w:hAnsi="Calibri" w:cs="Times New Roman"/>
          <w:bCs/>
          <w:iCs/>
          <w:sz w:val="24"/>
          <w:szCs w:val="24"/>
        </w:rPr>
        <w:t xml:space="preserve"> Kč,</w:t>
      </w:r>
      <w:r w:rsidR="009638B9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Pr="00A564D6">
        <w:rPr>
          <w:rFonts w:ascii="Calibri" w:eastAsia="Times New Roman" w:hAnsi="Calibri" w:cs="Times New Roman"/>
          <w:bCs/>
          <w:iCs/>
          <w:sz w:val="24"/>
          <w:szCs w:val="24"/>
        </w:rPr>
        <w:t>408</w:t>
      </w:r>
      <w:r w:rsidRPr="00A564D6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Opravy minulých období </w:t>
      </w:r>
      <w:r w:rsidRPr="00F665C3">
        <w:rPr>
          <w:rFonts w:ascii="Calibri" w:eastAsia="Times New Roman" w:hAnsi="Calibri" w:cs="Times New Roman"/>
          <w:bCs/>
          <w:iCs/>
          <w:sz w:val="24"/>
          <w:szCs w:val="24"/>
        </w:rPr>
        <w:t>o</w:t>
      </w:r>
      <w:r w:rsidR="009638B9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Pr="00F665C3">
        <w:rPr>
          <w:rFonts w:ascii="Calibri" w:eastAsia="Times New Roman" w:hAnsi="Calibri" w:cs="Times New Roman"/>
          <w:bCs/>
          <w:iCs/>
          <w:sz w:val="24"/>
          <w:szCs w:val="24"/>
        </w:rPr>
        <w:t xml:space="preserve">částku 462,38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tis. </w:t>
      </w:r>
      <w:r w:rsidRPr="00F665C3">
        <w:rPr>
          <w:rFonts w:ascii="Calibri" w:eastAsia="Times New Roman" w:hAnsi="Calibri" w:cs="Times New Roman"/>
          <w:bCs/>
          <w:iCs/>
          <w:sz w:val="24"/>
          <w:szCs w:val="24"/>
        </w:rPr>
        <w:t>Kč a 551</w:t>
      </w:r>
      <w:r w:rsidRPr="00F665C3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Odpisy dlouhodobého majetku </w:t>
      </w:r>
      <w:r w:rsidRPr="00F665C3">
        <w:rPr>
          <w:rFonts w:ascii="Calibri" w:eastAsia="Times New Roman" w:hAnsi="Calibri" w:cs="Times New Roman"/>
          <w:bCs/>
          <w:iCs/>
          <w:sz w:val="24"/>
          <w:szCs w:val="24"/>
        </w:rPr>
        <w:t>o částku 949,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09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tis. </w:t>
      </w:r>
      <w:r w:rsidRPr="00184AA7">
        <w:rPr>
          <w:rFonts w:ascii="Calibri" w:eastAsia="Times New Roman" w:hAnsi="Calibri" w:cs="Times New Roman"/>
          <w:bCs/>
          <w:iCs/>
          <w:sz w:val="24"/>
          <w:szCs w:val="24"/>
        </w:rPr>
        <w:t>Kč</w:t>
      </w:r>
      <w:r w:rsidRPr="006F7526">
        <w:rPr>
          <w:rFonts w:ascii="Calibri" w:eastAsia="Times New Roman" w:hAnsi="Calibri" w:cs="Times New Roman"/>
          <w:bCs/>
          <w:iCs/>
          <w:sz w:val="24"/>
          <w:szCs w:val="24"/>
        </w:rPr>
        <w:t xml:space="preserve">. </w:t>
      </w:r>
    </w:p>
    <w:p w14:paraId="738C4F94" w14:textId="77777777" w:rsidR="000C4E92" w:rsidRPr="00A45CD0" w:rsidRDefault="000C4E92" w:rsidP="002373A8">
      <w:pPr>
        <w:pStyle w:val="Odstavecseseznamem"/>
        <w:numPr>
          <w:ilvl w:val="1"/>
          <w:numId w:val="20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>Odpisování technického zhodnocení dlouhodobého nehmotného majetku a zbytková hodnota odpisovaného majetku</w:t>
      </w:r>
    </w:p>
    <w:p w14:paraId="68D5DABF" w14:textId="291BA8CC" w:rsidR="00F5351A" w:rsidRDefault="000C4E92" w:rsidP="000C4E92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v ÚZ k 31. prosinci 2014 vykázalo na účtu 013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Software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dlouhodobý nehmotný majetek </w:t>
      </w:r>
      <w:r w:rsidR="006F7526">
        <w:rPr>
          <w:rFonts w:ascii="Calibri" w:eastAsia="Times New Roman" w:hAnsi="Calibri" w:cs="Times New Roman"/>
          <w:sz w:val="24"/>
          <w:szCs w:val="24"/>
        </w:rPr>
        <w:t>v podobě n</w:t>
      </w:r>
      <w:r w:rsidRPr="00184AA7">
        <w:rPr>
          <w:rFonts w:ascii="Calibri" w:eastAsia="Times New Roman" w:hAnsi="Calibri" w:cs="Times New Roman"/>
          <w:sz w:val="24"/>
          <w:szCs w:val="24"/>
        </w:rPr>
        <w:t>árodní</w:t>
      </w:r>
      <w:r w:rsidR="006F7526">
        <w:rPr>
          <w:rFonts w:ascii="Calibri" w:eastAsia="Times New Roman" w:hAnsi="Calibri" w:cs="Times New Roman"/>
          <w:sz w:val="24"/>
          <w:szCs w:val="24"/>
        </w:rPr>
        <w:t xml:space="preserve"> části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>Schengensk</w:t>
      </w:r>
      <w:r w:rsidR="006F7526" w:rsidRPr="00A45CD0">
        <w:rPr>
          <w:rFonts w:ascii="Calibri" w:eastAsia="Times New Roman" w:hAnsi="Calibri" w:cs="Times New Roman"/>
          <w:i/>
          <w:sz w:val="24"/>
          <w:szCs w:val="24"/>
        </w:rPr>
        <w:t>ého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 xml:space="preserve"> informační</w:t>
      </w:r>
      <w:r w:rsidR="006F7526" w:rsidRPr="00A45CD0">
        <w:rPr>
          <w:rFonts w:ascii="Calibri" w:eastAsia="Times New Roman" w:hAnsi="Calibri" w:cs="Times New Roman"/>
          <w:i/>
          <w:sz w:val="24"/>
          <w:szCs w:val="24"/>
        </w:rPr>
        <w:t>ho</w:t>
      </w:r>
      <w:r w:rsidRPr="00A45CD0">
        <w:rPr>
          <w:rFonts w:ascii="Calibri" w:eastAsia="Times New Roman" w:hAnsi="Calibri" w:cs="Times New Roman"/>
          <w:i/>
          <w:sz w:val="24"/>
          <w:szCs w:val="24"/>
        </w:rPr>
        <w:t xml:space="preserve"> systém</w:t>
      </w:r>
      <w:r w:rsidR="006F7526" w:rsidRPr="00A45CD0">
        <w:rPr>
          <w:rFonts w:ascii="Calibri" w:eastAsia="Times New Roman" w:hAnsi="Calibri" w:cs="Times New Roman"/>
          <w:i/>
          <w:sz w:val="24"/>
          <w:szCs w:val="24"/>
        </w:rPr>
        <w:t>u</w:t>
      </w:r>
      <w:r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Uvedený majetek MV </w:t>
      </w:r>
      <w:r>
        <w:rPr>
          <w:rFonts w:ascii="Calibri" w:eastAsia="Times New Roman" w:hAnsi="Calibri" w:cs="Times New Roman"/>
          <w:sz w:val="24"/>
          <w:szCs w:val="24"/>
        </w:rPr>
        <w:t>zařadilo do užívání v roce 2008</w:t>
      </w:r>
      <w:r w:rsidR="00487443">
        <w:rPr>
          <w:rFonts w:ascii="Calibri" w:eastAsia="Times New Roman" w:hAnsi="Calibri" w:cs="Times New Roman"/>
          <w:sz w:val="24"/>
          <w:szCs w:val="24"/>
        </w:rPr>
        <w:t xml:space="preserve"> v pořizovací ceně</w:t>
      </w:r>
      <w:r w:rsidR="00375144">
        <w:rPr>
          <w:rFonts w:ascii="Calibri" w:eastAsia="Times New Roman" w:hAnsi="Calibri" w:cs="Times New Roman"/>
          <w:sz w:val="24"/>
          <w:szCs w:val="24"/>
        </w:rPr>
        <w:t xml:space="preserve"> 14 mil. Kč.</w:t>
      </w:r>
      <w:r w:rsidR="003524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75144">
        <w:rPr>
          <w:rFonts w:ascii="Calibri" w:eastAsia="Times New Roman" w:hAnsi="Calibri" w:cs="Times New Roman"/>
          <w:sz w:val="24"/>
          <w:szCs w:val="24"/>
        </w:rPr>
        <w:t>V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roce 2013 MV provedlo </w:t>
      </w:r>
      <w:r>
        <w:rPr>
          <w:rFonts w:ascii="Calibri" w:eastAsia="Times New Roman" w:hAnsi="Calibri" w:cs="Times New Roman"/>
          <w:sz w:val="24"/>
          <w:szCs w:val="24"/>
        </w:rPr>
        <w:t xml:space="preserve">jeho </w:t>
      </w:r>
      <w:r w:rsidRPr="00184AA7">
        <w:rPr>
          <w:rFonts w:ascii="Calibri" w:eastAsia="Times New Roman" w:hAnsi="Calibri" w:cs="Times New Roman"/>
          <w:sz w:val="24"/>
          <w:szCs w:val="24"/>
        </w:rPr>
        <w:t>technické zhodnocení</w:t>
      </w:r>
      <w:r w:rsidR="00487443">
        <w:rPr>
          <w:rFonts w:ascii="Calibri" w:eastAsia="Times New Roman" w:hAnsi="Calibri" w:cs="Times New Roman"/>
          <w:sz w:val="24"/>
          <w:szCs w:val="24"/>
        </w:rPr>
        <w:t xml:space="preserve"> v částce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75144">
        <w:rPr>
          <w:rFonts w:ascii="Calibri" w:eastAsia="Times New Roman" w:hAnsi="Calibri" w:cs="Times New Roman"/>
          <w:sz w:val="24"/>
          <w:szCs w:val="24"/>
        </w:rPr>
        <w:t>100 mil. Kč, které</w:t>
      </w:r>
      <w:r w:rsidR="00DE52D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474EC">
        <w:rPr>
          <w:rFonts w:ascii="Calibri" w:eastAsia="Times New Roman" w:hAnsi="Calibri" w:cs="Times New Roman"/>
          <w:sz w:val="24"/>
          <w:szCs w:val="24"/>
        </w:rPr>
        <w:t xml:space="preserve">odepsalo během tří kalendářních měsíců </w:t>
      </w:r>
      <w:r w:rsidR="00375144">
        <w:rPr>
          <w:rFonts w:ascii="Calibri" w:eastAsia="Times New Roman" w:hAnsi="Calibri" w:cs="Times New Roman"/>
          <w:sz w:val="24"/>
          <w:szCs w:val="24"/>
        </w:rPr>
        <w:t>v roce</w:t>
      </w:r>
      <w:r w:rsidRPr="00F474EC">
        <w:rPr>
          <w:rFonts w:ascii="Calibri" w:eastAsia="Times New Roman" w:hAnsi="Calibri" w:cs="Times New Roman"/>
          <w:sz w:val="24"/>
          <w:szCs w:val="24"/>
        </w:rPr>
        <w:t xml:space="preserve"> 2013.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75144">
        <w:rPr>
          <w:rFonts w:ascii="Calibri" w:eastAsia="Times New Roman" w:hAnsi="Calibri" w:cs="Times New Roman"/>
          <w:sz w:val="24"/>
          <w:szCs w:val="24"/>
        </w:rPr>
        <w:t>V </w:t>
      </w:r>
      <w:r w:rsidR="00375144" w:rsidRPr="00F5351A">
        <w:rPr>
          <w:rFonts w:ascii="Calibri" w:eastAsia="Times New Roman" w:hAnsi="Calibri" w:cs="Times New Roman"/>
          <w:sz w:val="24"/>
          <w:szCs w:val="24"/>
        </w:rPr>
        <w:t>roce 2015 MV provedlo další technické zhodnocení tohoto majetku</w:t>
      </w:r>
      <w:r w:rsidR="006F7526">
        <w:rPr>
          <w:rFonts w:ascii="Calibri" w:eastAsia="Times New Roman" w:hAnsi="Calibri" w:cs="Times New Roman"/>
          <w:sz w:val="24"/>
          <w:szCs w:val="24"/>
        </w:rPr>
        <w:t>, tentokrát</w:t>
      </w:r>
      <w:r w:rsidR="00375144">
        <w:rPr>
          <w:rFonts w:ascii="Calibri" w:eastAsia="Times New Roman" w:hAnsi="Calibri" w:cs="Times New Roman"/>
          <w:sz w:val="24"/>
          <w:szCs w:val="24"/>
        </w:rPr>
        <w:t xml:space="preserve"> ve výši 24</w:t>
      </w:r>
      <w:r w:rsidR="006F7526">
        <w:rPr>
          <w:rFonts w:ascii="Calibri" w:eastAsia="Times New Roman" w:hAnsi="Calibri" w:cs="Times New Roman"/>
          <w:sz w:val="24"/>
          <w:szCs w:val="24"/>
        </w:rPr>
        <w:t> </w:t>
      </w:r>
      <w:r w:rsidR="00375144">
        <w:rPr>
          <w:rFonts w:ascii="Calibri" w:eastAsia="Times New Roman" w:hAnsi="Calibri" w:cs="Times New Roman"/>
          <w:sz w:val="24"/>
          <w:szCs w:val="24"/>
        </w:rPr>
        <w:t xml:space="preserve">mil. Kč. </w:t>
      </w:r>
      <w:r w:rsidR="0034392D">
        <w:rPr>
          <w:rFonts w:ascii="Calibri" w:eastAsia="Times New Roman" w:hAnsi="Calibri" w:cs="Times New Roman"/>
          <w:sz w:val="24"/>
          <w:szCs w:val="24"/>
        </w:rPr>
        <w:t>V</w:t>
      </w:r>
      <w:r w:rsidR="00124051">
        <w:rPr>
          <w:rFonts w:ascii="Calibri" w:eastAsia="Times New Roman" w:hAnsi="Calibri" w:cs="Times New Roman"/>
          <w:sz w:val="24"/>
          <w:szCs w:val="24"/>
        </w:rPr>
        <w:t> </w:t>
      </w:r>
      <w:r w:rsidR="00F5351A">
        <w:rPr>
          <w:rFonts w:ascii="Calibri" w:eastAsia="Times New Roman" w:hAnsi="Calibri" w:cs="Times New Roman"/>
          <w:sz w:val="24"/>
          <w:szCs w:val="24"/>
        </w:rPr>
        <w:t xml:space="preserve">letech 2014 a 2015 MV uvedený dlouhodobý nehmotný majetek neodepisovalo. </w:t>
      </w:r>
    </w:p>
    <w:p w14:paraId="6F35C67F" w14:textId="757B443D" w:rsidR="000C4E92" w:rsidRPr="00184AA7" w:rsidRDefault="00375144" w:rsidP="000C4E92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> </w:t>
      </w:r>
      <w:r>
        <w:rPr>
          <w:rFonts w:ascii="Calibri" w:eastAsia="Times New Roman" w:hAnsi="Calibri" w:cs="Times New Roman"/>
          <w:sz w:val="24"/>
          <w:szCs w:val="24"/>
        </w:rPr>
        <w:t>letech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2013 a</w:t>
      </w:r>
      <w:r>
        <w:rPr>
          <w:rFonts w:ascii="Calibri" w:eastAsia="Times New Roman" w:hAnsi="Calibri" w:cs="Times New Roman"/>
          <w:sz w:val="24"/>
          <w:szCs w:val="24"/>
        </w:rPr>
        <w:t>ž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201</w:t>
      </w:r>
      <w:r>
        <w:rPr>
          <w:rFonts w:ascii="Calibri" w:eastAsia="Times New Roman" w:hAnsi="Calibri" w:cs="Times New Roman"/>
          <w:sz w:val="24"/>
          <w:szCs w:val="24"/>
        </w:rPr>
        <w:t>5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nepostupovalo</w:t>
      </w:r>
      <w:r>
        <w:rPr>
          <w:rFonts w:ascii="Calibri" w:eastAsia="Times New Roman" w:hAnsi="Calibri" w:cs="Times New Roman"/>
          <w:sz w:val="24"/>
          <w:szCs w:val="24"/>
        </w:rPr>
        <w:t xml:space="preserve"> MV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v souladu s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ČÚS č. 708 – </w:t>
      </w:r>
      <w:r w:rsidR="000C4E92" w:rsidRPr="00184AA7">
        <w:rPr>
          <w:rFonts w:ascii="Calibri" w:eastAsia="Times New Roman" w:hAnsi="Calibri" w:cs="Times New Roman"/>
          <w:i/>
          <w:sz w:val="24"/>
          <w:szCs w:val="24"/>
        </w:rPr>
        <w:t>Odpisování dlouhodobého majetku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, neboť v souvislosti s provedeným technickým zhodnocením nepřehodnotilo </w:t>
      </w:r>
      <w:r>
        <w:rPr>
          <w:rFonts w:ascii="Calibri" w:eastAsia="Times New Roman" w:hAnsi="Calibri" w:cs="Times New Roman"/>
          <w:sz w:val="24"/>
          <w:szCs w:val="24"/>
        </w:rPr>
        <w:t>dobu užívání tohoto majetku a</w:t>
      </w:r>
      <w:r w:rsidR="006F7526">
        <w:rPr>
          <w:rFonts w:ascii="Calibri" w:eastAsia="Times New Roman" w:hAnsi="Calibri" w:cs="Times New Roman"/>
          <w:sz w:val="24"/>
          <w:szCs w:val="24"/>
        </w:rPr>
        <w:t>ni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>odpisový plán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3524E9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Navíc odpisový plán</w:t>
      </w:r>
      <w:r w:rsidR="00B01F81">
        <w:rPr>
          <w:rFonts w:ascii="Calibri" w:eastAsia="Times New Roman" w:hAnsi="Calibri" w:cs="Times New Roman"/>
          <w:sz w:val="24"/>
          <w:szCs w:val="24"/>
        </w:rPr>
        <w:t xml:space="preserve"> stanovil</w:t>
      </w:r>
      <w:r>
        <w:rPr>
          <w:rFonts w:ascii="Calibri" w:eastAsia="Times New Roman" w:hAnsi="Calibri" w:cs="Times New Roman"/>
          <w:sz w:val="24"/>
          <w:szCs w:val="24"/>
        </w:rPr>
        <w:t xml:space="preserve"> pro tento i další dlouhodobý majetek zbytkov</w:t>
      </w:r>
      <w:r w:rsidR="00B01F81">
        <w:rPr>
          <w:rFonts w:ascii="Calibri" w:eastAsia="Times New Roman" w:hAnsi="Calibri" w:cs="Times New Roman"/>
          <w:sz w:val="24"/>
          <w:szCs w:val="24"/>
        </w:rPr>
        <w:t>ou</w:t>
      </w:r>
      <w:r>
        <w:rPr>
          <w:rFonts w:ascii="Calibri" w:eastAsia="Times New Roman" w:hAnsi="Calibri" w:cs="Times New Roman"/>
          <w:sz w:val="24"/>
          <w:szCs w:val="24"/>
        </w:rPr>
        <w:t xml:space="preserve"> hodnot</w:t>
      </w:r>
      <w:r w:rsidR="00B01F81">
        <w:rPr>
          <w:rFonts w:ascii="Calibri" w:eastAsia="Times New Roman" w:hAnsi="Calibri" w:cs="Times New Roman"/>
          <w:sz w:val="24"/>
          <w:szCs w:val="24"/>
        </w:rPr>
        <w:t>u</w:t>
      </w:r>
      <w:r>
        <w:rPr>
          <w:rFonts w:ascii="Calibri" w:eastAsia="Times New Roman" w:hAnsi="Calibri" w:cs="Times New Roman"/>
          <w:sz w:val="24"/>
          <w:szCs w:val="24"/>
        </w:rPr>
        <w:t xml:space="preserve"> ve výši 5 % bez toho, </w:t>
      </w:r>
      <w:r w:rsidR="006F7526">
        <w:rPr>
          <w:rFonts w:ascii="Calibri" w:eastAsia="Times New Roman" w:hAnsi="Calibri" w:cs="Times New Roman"/>
          <w:sz w:val="24"/>
          <w:szCs w:val="24"/>
        </w:rPr>
        <w:t>že by tato hodnota musela být</w:t>
      </w:r>
      <w:r>
        <w:rPr>
          <w:rFonts w:ascii="Calibri" w:eastAsia="Times New Roman" w:hAnsi="Calibri" w:cs="Times New Roman"/>
          <w:sz w:val="24"/>
          <w:szCs w:val="24"/>
        </w:rPr>
        <w:t xml:space="preserve"> zdůvodněna. Přitom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v ČÚS č. 708 – </w:t>
      </w:r>
      <w:r w:rsidR="000C4E92" w:rsidRPr="00184AA7">
        <w:rPr>
          <w:rFonts w:ascii="Calibri" w:eastAsia="Times New Roman" w:hAnsi="Calibri" w:cs="Times New Roman"/>
          <w:i/>
          <w:sz w:val="24"/>
          <w:szCs w:val="24"/>
        </w:rPr>
        <w:t>Odpisování dlouhodobého majetku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je od roku 2014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zbytková hodnota majetku</w:t>
      </w:r>
      <w:r w:rsidR="00B01F81">
        <w:rPr>
          <w:rFonts w:ascii="Calibri" w:eastAsia="Times New Roman" w:hAnsi="Calibri" w:cs="Times New Roman"/>
          <w:sz w:val="24"/>
          <w:szCs w:val="24"/>
        </w:rPr>
        <w:t xml:space="preserve"> definována jako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01F81">
        <w:rPr>
          <w:rFonts w:ascii="Calibri" w:eastAsia="Times New Roman" w:hAnsi="Calibri" w:cs="Times New Roman"/>
          <w:sz w:val="24"/>
          <w:szCs w:val="24"/>
        </w:rPr>
        <w:t xml:space="preserve">účetní jednotkou 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zdůvodnitelná </w:t>
      </w:r>
      <w:r w:rsidR="00B01F81">
        <w:rPr>
          <w:rFonts w:ascii="Calibri" w:eastAsia="Times New Roman" w:hAnsi="Calibri" w:cs="Times New Roman"/>
          <w:sz w:val="24"/>
          <w:szCs w:val="24"/>
        </w:rPr>
        <w:t>kladná odhadovaná částka, kterou by účetní jednotka mohla získat v okamžiku předpokládaného vyřazení majetku, např. prodejem, po odečtení předpokládaných nákladů s vyřazením souvisejících. N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>ejzazší termín pro vypracování odpisového plá</w:t>
      </w:r>
      <w:r w:rsidR="00124051">
        <w:rPr>
          <w:rFonts w:ascii="Calibri" w:eastAsia="Times New Roman" w:hAnsi="Calibri" w:cs="Times New Roman"/>
          <w:sz w:val="24"/>
          <w:szCs w:val="24"/>
        </w:rPr>
        <w:t>nu účetní jednotky v souladu s </w:t>
      </w:r>
      <w:r w:rsidR="000C4E92" w:rsidRPr="00184AA7">
        <w:rPr>
          <w:rFonts w:ascii="Calibri" w:eastAsia="Times New Roman" w:hAnsi="Calibri" w:cs="Times New Roman"/>
          <w:sz w:val="24"/>
          <w:szCs w:val="24"/>
        </w:rPr>
        <w:t xml:space="preserve">tímto ustanovením je 1. leden 2015. </w:t>
      </w:r>
    </w:p>
    <w:p w14:paraId="7D0CF2AA" w14:textId="6BC7BD9B" w:rsidR="003B64FC" w:rsidRDefault="000C4E92" w:rsidP="00A45CD0">
      <w:pPr>
        <w:spacing w:before="40"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ani k 31. prosinci 2015 </w:t>
      </w:r>
      <w:r w:rsidR="00B01F81">
        <w:rPr>
          <w:rFonts w:ascii="Calibri" w:eastAsia="Times New Roman" w:hAnsi="Calibri" w:cs="Times New Roman"/>
          <w:sz w:val="24"/>
          <w:szCs w:val="24"/>
        </w:rPr>
        <w:t>nestanovilo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pro </w:t>
      </w:r>
      <w:r w:rsidR="0034392D">
        <w:rPr>
          <w:rFonts w:ascii="Calibri" w:eastAsia="Times New Roman" w:hAnsi="Calibri" w:cs="Times New Roman"/>
          <w:sz w:val="24"/>
          <w:szCs w:val="24"/>
        </w:rPr>
        <w:t xml:space="preserve">výše </w:t>
      </w:r>
      <w:r w:rsidRPr="00184AA7">
        <w:rPr>
          <w:rFonts w:ascii="Calibri" w:eastAsia="Times New Roman" w:hAnsi="Calibri" w:cs="Times New Roman"/>
          <w:sz w:val="24"/>
          <w:szCs w:val="24"/>
        </w:rPr>
        <w:t>uvedenou majetkovou položku a</w:t>
      </w:r>
      <w:r w:rsidR="006F7526">
        <w:rPr>
          <w:rFonts w:ascii="Calibri" w:eastAsia="Times New Roman" w:hAnsi="Calibri" w:cs="Times New Roman"/>
          <w:sz w:val="24"/>
          <w:szCs w:val="24"/>
        </w:rPr>
        <w:t>ni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pro další položky dlouhodobého majetku</w:t>
      </w:r>
      <w:r w:rsidR="002D4B38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6"/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odpisový plán v souladu s účetní regulací a zbytkovou hodnotu stanovenou jednotně ve výši 5 % z ocenění dlouhodobého majetku ponechalo bez toho, že by tato část pořizovací ceny, která nebude zúčtována do nákladů, byla zdůvodněna.</w:t>
      </w:r>
    </w:p>
    <w:p w14:paraId="74C65FC3" w14:textId="77777777" w:rsidR="00DE52D8" w:rsidRPr="00A45CD0" w:rsidRDefault="00DE52D8" w:rsidP="00A45CD0">
      <w:p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 xml:space="preserve">1.7 </w:t>
      </w:r>
      <w:r w:rsidR="00B55690">
        <w:rPr>
          <w:rFonts w:ascii="Calibri" w:eastAsia="Times New Roman" w:hAnsi="Calibri" w:cs="Calibri"/>
          <w:b/>
          <w:sz w:val="24"/>
          <w:szCs w:val="24"/>
        </w:rPr>
        <w:tab/>
      </w:r>
      <w:r w:rsidRPr="00A45CD0">
        <w:rPr>
          <w:rFonts w:ascii="Calibri" w:eastAsia="Times New Roman" w:hAnsi="Calibri" w:cs="Calibri"/>
          <w:b/>
          <w:sz w:val="24"/>
          <w:szCs w:val="24"/>
        </w:rPr>
        <w:t>Neodpisování technického zhodnocení drobného dlouhodobého hmotného majetku</w:t>
      </w:r>
    </w:p>
    <w:p w14:paraId="7954AD5A" w14:textId="77777777" w:rsidR="00DE52D8" w:rsidRPr="00184AA7" w:rsidRDefault="00DE52D8" w:rsidP="00B55690">
      <w:pPr>
        <w:spacing w:after="12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4"/>
          <w:highlight w:val="green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v rozporu se zákonem č. 563/1991 Sb. a s vyhláškou </w:t>
      </w:r>
      <w:r w:rsidR="00BE4337">
        <w:rPr>
          <w:rFonts w:ascii="Calibri" w:eastAsia="Times New Roman" w:hAnsi="Calibri" w:cs="Times New Roman"/>
          <w:sz w:val="24"/>
          <w:szCs w:val="24"/>
        </w:rPr>
        <w:t>č. 410/2009 Sb. v letech 2013 a 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2014 neodpisovalo technické zhodnocení drobného dlouhodobého hmotného majetku, </w:t>
      </w:r>
      <w:r w:rsidRPr="00184AA7">
        <w:rPr>
          <w:rFonts w:ascii="Calibri" w:eastAsia="Times New Roman" w:hAnsi="Calibri" w:cs="Times New Roman"/>
          <w:sz w:val="24"/>
          <w:szCs w:val="24"/>
        </w:rPr>
        <w:lastRenderedPageBreak/>
        <w:t xml:space="preserve">které zařadilo do užívání v roce 2013 v hodnotě 332,09 tis. Kč a které v ÚZ vykázalo na účtu 029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Ostatní dlouhodobý hmotný majetek</w:t>
      </w:r>
      <w:r w:rsidRPr="00184AA7">
        <w:rPr>
          <w:rFonts w:ascii="Calibri" w:eastAsia="Times New Roman" w:hAnsi="Calibri" w:cs="Times New Roman"/>
          <w:sz w:val="24"/>
          <w:szCs w:val="24"/>
        </w:rPr>
        <w:t>. Vliv nesprávného postupu na ÚZ nebyl vyčíslen, neboť MV nesestavilo pro tento majetek odpisový plán ve smyslu zákona č. 563/1991 Sb.</w:t>
      </w:r>
    </w:p>
    <w:p w14:paraId="408B5D17" w14:textId="77777777" w:rsidR="00DE52D8" w:rsidRPr="00A45CD0" w:rsidRDefault="00DE52D8" w:rsidP="00B55690">
      <w:pPr>
        <w:pStyle w:val="Odstavecseseznamem"/>
        <w:numPr>
          <w:ilvl w:val="1"/>
          <w:numId w:val="21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>Duplicitní zápis vlastnictví v katastru nemovitostí</w:t>
      </w:r>
    </w:p>
    <w:p w14:paraId="3D7F1DE3" w14:textId="26F00141" w:rsidR="00DE52D8" w:rsidRPr="00184AA7" w:rsidRDefault="00DE52D8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v roce 2010 do majetku zařadilo a k 31. </w:t>
      </w:r>
      <w:r>
        <w:rPr>
          <w:rFonts w:ascii="Calibri" w:eastAsia="Times New Roman" w:hAnsi="Calibri" w:cs="Times New Roman"/>
          <w:sz w:val="24"/>
          <w:szCs w:val="24"/>
        </w:rPr>
        <w:t>prosinci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2014 v ÚZ na účtu 031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Pozemky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vykázalo pozemek v hodnotě 13,52 mil. Kč. </w:t>
      </w:r>
      <w:r w:rsidR="008B2A56">
        <w:rPr>
          <w:rFonts w:ascii="Calibri" w:eastAsia="Times New Roman" w:hAnsi="Calibri" w:cs="Times New Roman"/>
          <w:sz w:val="24"/>
          <w:szCs w:val="24"/>
        </w:rPr>
        <w:t>V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 roce 2010 </w:t>
      </w:r>
      <w:r w:rsidR="008B2A56" w:rsidRPr="00184AA7">
        <w:rPr>
          <w:rFonts w:ascii="Calibri" w:eastAsia="Times New Roman" w:hAnsi="Calibri" w:cs="Times New Roman"/>
          <w:sz w:val="24"/>
          <w:szCs w:val="24"/>
        </w:rPr>
        <w:t xml:space="preserve">byl </w:t>
      </w:r>
      <w:r w:rsidR="00AA74E2">
        <w:rPr>
          <w:rFonts w:ascii="Calibri" w:eastAsia="Times New Roman" w:hAnsi="Calibri" w:cs="Times New Roman"/>
          <w:sz w:val="24"/>
          <w:szCs w:val="24"/>
        </w:rPr>
        <w:t>z </w:t>
      </w:r>
      <w:r w:rsidR="001062F1">
        <w:rPr>
          <w:rFonts w:ascii="Calibri" w:eastAsia="Times New Roman" w:hAnsi="Calibri" w:cs="Times New Roman"/>
          <w:sz w:val="24"/>
          <w:szCs w:val="24"/>
        </w:rPr>
        <w:t>podnětu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katastrálního úřadu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zapsán </w:t>
      </w:r>
      <w:r w:rsidR="008B2A56">
        <w:rPr>
          <w:rFonts w:ascii="Calibri" w:eastAsia="Times New Roman" w:hAnsi="Calibri" w:cs="Times New Roman"/>
          <w:sz w:val="24"/>
          <w:szCs w:val="24"/>
        </w:rPr>
        <w:t>k</w:t>
      </w:r>
      <w:r w:rsidR="008B2A56" w:rsidRPr="00184AA7">
        <w:rPr>
          <w:rFonts w:ascii="Calibri" w:eastAsia="Times New Roman" w:hAnsi="Calibri" w:cs="Times New Roman"/>
          <w:sz w:val="24"/>
          <w:szCs w:val="24"/>
        </w:rPr>
        <w:t xml:space="preserve"> tomuto pozemku </w:t>
      </w:r>
      <w:r w:rsidRPr="00184AA7">
        <w:rPr>
          <w:rFonts w:ascii="Calibri" w:eastAsia="Times New Roman" w:hAnsi="Calibri" w:cs="Times New Roman"/>
          <w:sz w:val="24"/>
          <w:szCs w:val="24"/>
        </w:rPr>
        <w:t>duplicitní zápis vlastnictví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do katastru nemovitostí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mimo jiné i ve prospěch České republiky s právem hospodaření s majetkem státu pro MV. </w:t>
      </w:r>
    </w:p>
    <w:p w14:paraId="50AA61D5" w14:textId="606CDD99" w:rsidR="00DE52D8" w:rsidRPr="00184AA7" w:rsidRDefault="00DE52D8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F517E">
        <w:rPr>
          <w:rFonts w:ascii="Calibri" w:eastAsia="Times New Roman" w:hAnsi="Calibri" w:cs="Times New Roman"/>
          <w:sz w:val="24"/>
          <w:szCs w:val="24"/>
        </w:rPr>
        <w:t xml:space="preserve">Duplicitní zápis vlastnictví k téže nemovitosti je zvláštním případem zápisu práv do katastru nemovitostí. Tímto způsobem je zapsána skutečnost existence více vlastníků k téže nemovitosti, i když je zřejmé, že všichni zapsaní </w:t>
      </w:r>
      <w:r w:rsidR="00B02A81" w:rsidRPr="006F517E">
        <w:rPr>
          <w:rFonts w:ascii="Calibri" w:eastAsia="Times New Roman" w:hAnsi="Calibri" w:cs="Times New Roman"/>
          <w:sz w:val="24"/>
          <w:szCs w:val="24"/>
        </w:rPr>
        <w:t xml:space="preserve">nejsou </w:t>
      </w:r>
      <w:r w:rsidRPr="006F517E">
        <w:rPr>
          <w:rFonts w:ascii="Calibri" w:eastAsia="Times New Roman" w:hAnsi="Calibri" w:cs="Times New Roman"/>
          <w:sz w:val="24"/>
          <w:szCs w:val="24"/>
        </w:rPr>
        <w:t>vlastní</w:t>
      </w:r>
      <w:r w:rsidR="00004F5E">
        <w:rPr>
          <w:rFonts w:ascii="Calibri" w:eastAsia="Times New Roman" w:hAnsi="Calibri" w:cs="Times New Roman"/>
          <w:sz w:val="24"/>
          <w:szCs w:val="24"/>
        </w:rPr>
        <w:t>ci</w:t>
      </w:r>
      <w:r w:rsidRPr="006F517E">
        <w:rPr>
          <w:rFonts w:ascii="Calibri" w:eastAsia="Times New Roman" w:hAnsi="Calibri" w:cs="Times New Roman"/>
          <w:sz w:val="24"/>
          <w:szCs w:val="24"/>
        </w:rPr>
        <w:t xml:space="preserve"> a ani z povahy v</w:t>
      </w:r>
      <w:r w:rsidR="009F23D6">
        <w:rPr>
          <w:rFonts w:ascii="Calibri" w:eastAsia="Times New Roman" w:hAnsi="Calibri" w:cs="Times New Roman"/>
          <w:sz w:val="24"/>
          <w:szCs w:val="24"/>
        </w:rPr>
        <w:t>lastnického práva být nemohou. D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uplicitní zápis vlastnictví lze v katastru nemovitostí zrušit </w:t>
      </w:r>
      <w:r w:rsidR="00004F5E">
        <w:rPr>
          <w:rFonts w:ascii="Calibri" w:eastAsia="Times New Roman" w:hAnsi="Calibri" w:cs="Times New Roman"/>
          <w:sz w:val="24"/>
          <w:szCs w:val="24"/>
        </w:rPr>
        <w:t>např.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na základě soudního smíru, dohody o uznání vlastnického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 práva nebo rozhodnutím soudu o </w:t>
      </w:r>
      <w:r w:rsidRPr="00184AA7">
        <w:rPr>
          <w:rFonts w:ascii="Calibri" w:eastAsia="Times New Roman" w:hAnsi="Calibri" w:cs="Times New Roman"/>
          <w:sz w:val="24"/>
          <w:szCs w:val="24"/>
        </w:rPr>
        <w:t>určení vlastnického práva.</w:t>
      </w:r>
    </w:p>
    <w:p w14:paraId="33781673" w14:textId="7281F5DB" w:rsidR="00DE52D8" w:rsidRPr="00A45CD0" w:rsidRDefault="00DE52D8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Ve vztahu k majetku, který MV vykázalo v ÚZ, se jedná o v</w:t>
      </w:r>
      <w:r w:rsidR="00BE4337">
        <w:rPr>
          <w:rFonts w:ascii="Calibri" w:eastAsia="Times New Roman" w:hAnsi="Calibri" w:cs="Times New Roman"/>
          <w:sz w:val="24"/>
          <w:szCs w:val="24"/>
        </w:rPr>
        <w:t>ýznamnou skutečnost a MV mělo o 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existenci duplicitního zápisu vlastnictví v katastru nemovitostí informovat v souladu s vyhláškou č. 410/2009 Sb. v příloze ÚZ </w:t>
      </w:r>
      <w:r w:rsidR="00B02A81">
        <w:rPr>
          <w:rFonts w:ascii="Calibri" w:eastAsia="Times New Roman" w:hAnsi="Calibri" w:cs="Times New Roman"/>
          <w:sz w:val="24"/>
          <w:szCs w:val="24"/>
        </w:rPr>
        <w:t>(</w:t>
      </w:r>
      <w:r w:rsidRPr="00184AA7">
        <w:rPr>
          <w:rFonts w:ascii="Calibri" w:eastAsia="Times New Roman" w:hAnsi="Calibri" w:cs="Times New Roman"/>
          <w:sz w:val="24"/>
          <w:szCs w:val="24"/>
        </w:rPr>
        <w:t>v</w:t>
      </w:r>
      <w:r w:rsidR="0094101A">
        <w:rPr>
          <w:rFonts w:ascii="Calibri" w:eastAsia="Times New Roman" w:hAnsi="Calibri" w:cs="Times New Roman"/>
          <w:sz w:val="24"/>
          <w:szCs w:val="24"/>
        </w:rPr>
        <w:t> </w:t>
      </w:r>
      <w:r w:rsidR="00B02A81">
        <w:rPr>
          <w:rFonts w:ascii="Calibri" w:eastAsia="Times New Roman" w:hAnsi="Calibri" w:cs="Times New Roman"/>
          <w:sz w:val="24"/>
          <w:szCs w:val="24"/>
        </w:rPr>
        <w:t>části</w:t>
      </w:r>
      <w:r w:rsidR="0094101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45CD0">
        <w:rPr>
          <w:rFonts w:ascii="Calibri" w:eastAsia="Times New Roman" w:hAnsi="Calibri" w:cs="Times New Roman"/>
          <w:sz w:val="24"/>
          <w:szCs w:val="24"/>
        </w:rPr>
        <w:t>E.1.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Doplňující informace k položkám rozvahy</w:t>
      </w:r>
      <w:r w:rsidR="00B02A81" w:rsidRPr="00A45CD0">
        <w:rPr>
          <w:rFonts w:ascii="Calibri" w:eastAsia="Times New Roman" w:hAnsi="Calibri" w:cs="Times New Roman"/>
          <w:sz w:val="24"/>
          <w:szCs w:val="24"/>
        </w:rPr>
        <w:t>)</w:t>
      </w:r>
      <w:r w:rsidRPr="00A45CD0">
        <w:rPr>
          <w:rFonts w:ascii="Calibri" w:eastAsia="Times New Roman" w:hAnsi="Calibri" w:cs="Times New Roman"/>
          <w:sz w:val="24"/>
          <w:szCs w:val="24"/>
        </w:rPr>
        <w:t>.</w:t>
      </w:r>
    </w:p>
    <w:p w14:paraId="21020D1A" w14:textId="77777777" w:rsidR="00DE52D8" w:rsidRPr="00A45CD0" w:rsidRDefault="00DE52D8" w:rsidP="00B55690">
      <w:pPr>
        <w:pStyle w:val="Odstavecseseznamem"/>
        <w:numPr>
          <w:ilvl w:val="1"/>
          <w:numId w:val="21"/>
        </w:numPr>
        <w:spacing w:before="240" w:after="120"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>Nesprávný okamžik účtování</w:t>
      </w:r>
      <w:r w:rsidR="00AA74E2" w:rsidRPr="00A45CD0">
        <w:rPr>
          <w:rFonts w:ascii="Calibri" w:eastAsia="Times New Roman" w:hAnsi="Calibri" w:cs="Calibri"/>
          <w:b/>
          <w:sz w:val="24"/>
          <w:szCs w:val="24"/>
        </w:rPr>
        <w:t xml:space="preserve"> o skutečnostech souvisejících s prodejem</w:t>
      </w:r>
      <w:r w:rsidRPr="00A45CD0">
        <w:rPr>
          <w:rFonts w:ascii="Calibri" w:eastAsia="Times New Roman" w:hAnsi="Calibri" w:cs="Calibri"/>
          <w:b/>
          <w:sz w:val="24"/>
          <w:szCs w:val="24"/>
        </w:rPr>
        <w:t xml:space="preserve"> dlouhodobé</w:t>
      </w:r>
      <w:r w:rsidR="00AA74E2" w:rsidRPr="00A45CD0">
        <w:rPr>
          <w:rFonts w:ascii="Calibri" w:eastAsia="Times New Roman" w:hAnsi="Calibri" w:cs="Calibri"/>
          <w:b/>
          <w:sz w:val="24"/>
          <w:szCs w:val="24"/>
        </w:rPr>
        <w:t>ho</w:t>
      </w:r>
      <w:r w:rsidRPr="00A45CD0">
        <w:rPr>
          <w:rFonts w:ascii="Calibri" w:eastAsia="Times New Roman" w:hAnsi="Calibri" w:cs="Calibri"/>
          <w:b/>
          <w:sz w:val="24"/>
          <w:szCs w:val="24"/>
        </w:rPr>
        <w:t xml:space="preserve"> majetku</w:t>
      </w:r>
      <w:r w:rsidRPr="00BB5463"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14:paraId="66BD5152" w14:textId="7EC1BDED" w:rsidR="00AA74E2" w:rsidRDefault="00DE52D8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MV</w:t>
      </w:r>
      <w:r w:rsidR="0094101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o prodeji nemovitého majetku (rekreačního </w:t>
      </w:r>
      <w:r w:rsidR="00AA74E2">
        <w:rPr>
          <w:rFonts w:ascii="Calibri" w:eastAsia="Times New Roman" w:hAnsi="Calibri" w:cs="Times New Roman"/>
          <w:sz w:val="24"/>
          <w:szCs w:val="24"/>
        </w:rPr>
        <w:t>areálu</w:t>
      </w:r>
      <w:r w:rsidRPr="00184AA7">
        <w:rPr>
          <w:rFonts w:ascii="Calibri" w:eastAsia="Times New Roman" w:hAnsi="Calibri" w:cs="Times New Roman"/>
          <w:sz w:val="24"/>
          <w:szCs w:val="24"/>
        </w:rPr>
        <w:t>)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účtovalo v roce 2013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AA74E2">
        <w:rPr>
          <w:rFonts w:ascii="Calibri" w:eastAsia="Times New Roman" w:hAnsi="Calibri" w:cs="Times New Roman"/>
          <w:sz w:val="24"/>
          <w:szCs w:val="24"/>
        </w:rPr>
        <w:t>ve kterém nastaly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právní účinky vkladu práva do katastru nemovitostí</w:t>
      </w:r>
      <w:r w:rsidR="00AA74E2">
        <w:rPr>
          <w:rFonts w:ascii="Calibri" w:eastAsia="Times New Roman" w:hAnsi="Calibri" w:cs="Times New Roman"/>
          <w:sz w:val="24"/>
          <w:szCs w:val="24"/>
        </w:rPr>
        <w:t>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A74E2">
        <w:rPr>
          <w:rFonts w:ascii="Calibri" w:eastAsia="Times New Roman" w:hAnsi="Calibri" w:cs="Times New Roman"/>
          <w:sz w:val="24"/>
          <w:szCs w:val="24"/>
        </w:rPr>
        <w:t>O</w:t>
      </w:r>
      <w:r w:rsidR="008323A3" w:rsidRPr="00184AA7">
        <w:rPr>
          <w:rFonts w:ascii="Calibri" w:eastAsia="Times New Roman" w:hAnsi="Calibri" w:cs="Times New Roman"/>
          <w:sz w:val="24"/>
          <w:szCs w:val="24"/>
        </w:rPr>
        <w:t xml:space="preserve"> zrušení rozdílů z přecenění </w:t>
      </w:r>
      <w:r w:rsidR="008323A3">
        <w:rPr>
          <w:rFonts w:ascii="Calibri" w:eastAsia="Times New Roman" w:hAnsi="Calibri" w:cs="Times New Roman"/>
          <w:sz w:val="24"/>
          <w:szCs w:val="24"/>
        </w:rPr>
        <w:t>majetku reálnou hodnotou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však účtovalo až v roce 2014, přestože dle </w:t>
      </w:r>
      <w:r w:rsidR="00AA74E2" w:rsidRPr="00184AA7">
        <w:rPr>
          <w:rFonts w:ascii="Calibri" w:eastAsia="Times New Roman" w:hAnsi="Calibri" w:cs="Times New Roman"/>
          <w:sz w:val="24"/>
          <w:szCs w:val="24"/>
        </w:rPr>
        <w:t xml:space="preserve">ČÚS č. 709 – </w:t>
      </w:r>
      <w:r w:rsidR="00AA74E2" w:rsidRPr="00184AA7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="00AA74E2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se o </w:t>
      </w:r>
      <w:r w:rsidR="00D52AC6">
        <w:rPr>
          <w:rFonts w:ascii="Calibri" w:eastAsia="Times New Roman" w:hAnsi="Calibri" w:cs="Times New Roman"/>
          <w:sz w:val="24"/>
          <w:szCs w:val="24"/>
        </w:rPr>
        <w:t>této skutečnosti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A74E2" w:rsidRPr="00184AA7">
        <w:rPr>
          <w:rFonts w:ascii="Calibri" w:eastAsia="Times New Roman" w:hAnsi="Calibri" w:cs="Times New Roman"/>
          <w:sz w:val="24"/>
          <w:szCs w:val="24"/>
        </w:rPr>
        <w:t>účt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uje </w:t>
      </w:r>
      <w:r w:rsidR="00AA74E2" w:rsidRPr="00184AA7">
        <w:rPr>
          <w:rFonts w:ascii="Calibri" w:eastAsia="Times New Roman" w:hAnsi="Calibri" w:cs="Times New Roman"/>
          <w:sz w:val="24"/>
          <w:szCs w:val="24"/>
        </w:rPr>
        <w:t>v okamžiku prodeje majetku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07E59D72" w14:textId="167EB20A" w:rsidR="006B005C" w:rsidRDefault="00AA74E2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 zrušení kladného rozdílu z tohoto přecenění účtovalo MV na účtu 664 – </w:t>
      </w:r>
      <w:r w:rsidRPr="0094101A">
        <w:rPr>
          <w:rFonts w:ascii="Calibri" w:eastAsia="Times New Roman" w:hAnsi="Calibri" w:cs="Times New Roman"/>
          <w:i/>
          <w:sz w:val="24"/>
          <w:szCs w:val="24"/>
        </w:rPr>
        <w:t>Výnosy z přecenění reálnou hodnotou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v částce 88,2 mil. Kč</w:t>
      </w:r>
      <w:r w:rsidR="00D52AC6">
        <w:rPr>
          <w:rFonts w:ascii="Calibri" w:eastAsia="Times New Roman" w:hAnsi="Calibri" w:cs="Times New Roman"/>
          <w:sz w:val="24"/>
          <w:szCs w:val="24"/>
        </w:rPr>
        <w:t>,</w:t>
      </w:r>
      <w:r w:rsidR="001B5D1A">
        <w:rPr>
          <w:rFonts w:ascii="Calibri" w:eastAsia="Times New Roman" w:hAnsi="Calibri" w:cs="Times New Roman"/>
          <w:sz w:val="24"/>
          <w:szCs w:val="24"/>
        </w:rPr>
        <w:t xml:space="preserve"> a vykázalo tak v ÚZ výnosy, které měly být součástí hospodářského výsledku již v roce 2013.</w:t>
      </w:r>
    </w:p>
    <w:p w14:paraId="0ED5CC0C" w14:textId="1580F1DE" w:rsidR="006B005C" w:rsidRDefault="006B005C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zrušení záporného rozdílu z tohoto přecenění účtovalo MV</w:t>
      </w:r>
      <w:r>
        <w:rPr>
          <w:rFonts w:ascii="Calibri" w:eastAsia="Times New Roman" w:hAnsi="Calibri" w:cs="Times New Roman"/>
          <w:sz w:val="24"/>
          <w:szCs w:val="24"/>
        </w:rPr>
        <w:t xml:space="preserve"> navíc i</w:t>
      </w:r>
      <w:r w:rsidR="00AA74E2">
        <w:rPr>
          <w:rFonts w:ascii="Calibri" w:eastAsia="Times New Roman" w:hAnsi="Calibri" w:cs="Times New Roman"/>
          <w:sz w:val="24"/>
          <w:szCs w:val="24"/>
        </w:rPr>
        <w:t xml:space="preserve"> nesprávně</w:t>
      </w:r>
      <w:r w:rsidR="00D52AC6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a to </w:t>
      </w:r>
      <w:r w:rsidR="00AA74E2">
        <w:rPr>
          <w:rFonts w:ascii="Calibri" w:eastAsia="Times New Roman" w:hAnsi="Calibri" w:cs="Times New Roman"/>
          <w:sz w:val="24"/>
          <w:szCs w:val="24"/>
        </w:rPr>
        <w:t>na účtu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 564 – </w:t>
      </w:r>
      <w:r w:rsidR="00DE52D8" w:rsidRPr="00184AA7">
        <w:rPr>
          <w:rFonts w:ascii="Calibri" w:eastAsia="Times New Roman" w:hAnsi="Calibri" w:cs="Times New Roman"/>
          <w:i/>
          <w:sz w:val="24"/>
          <w:szCs w:val="24"/>
        </w:rPr>
        <w:t>Náklady z přecenění reálnou hodnotou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v částce 6,39 mil. Kč.</w:t>
      </w:r>
      <w:r w:rsidR="00DE52D8" w:rsidRPr="00184AA7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>Ve vzta</w:t>
      </w:r>
      <w:r w:rsidR="00BE4337">
        <w:rPr>
          <w:rFonts w:ascii="Calibri" w:eastAsia="Times New Roman" w:hAnsi="Calibri" w:cs="Times New Roman"/>
          <w:sz w:val="24"/>
          <w:szCs w:val="24"/>
        </w:rPr>
        <w:t>hu k vyhlášce č. 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410/2009 Sb. se jednalo o </w:t>
      </w:r>
      <w:r w:rsidR="00DE52D8" w:rsidRPr="00707A19">
        <w:rPr>
          <w:rFonts w:ascii="Calibri" w:eastAsia="Times New Roman" w:hAnsi="Calibri" w:cs="Times New Roman"/>
          <w:sz w:val="24"/>
          <w:szCs w:val="24"/>
        </w:rPr>
        <w:t xml:space="preserve">významnou </w:t>
      </w:r>
      <w:r w:rsidR="00DE52D8" w:rsidRPr="0094101A">
        <w:rPr>
          <w:rFonts w:ascii="Calibri" w:eastAsia="Times New Roman" w:hAnsi="Calibri" w:cs="Times New Roman"/>
          <w:sz w:val="24"/>
          <w:szCs w:val="24"/>
        </w:rPr>
        <w:t>skutečnost</w:t>
      </w:r>
      <w:r w:rsidRPr="0094101A">
        <w:rPr>
          <w:rFonts w:ascii="Calibri" w:eastAsia="Times New Roman" w:hAnsi="Calibri" w:cs="Times New Roman"/>
          <w:sz w:val="24"/>
          <w:szCs w:val="24"/>
          <w:vertAlign w:val="superscript"/>
        </w:rPr>
        <w:t>1</w:t>
      </w:r>
      <w:r w:rsidR="002D4B38">
        <w:rPr>
          <w:rFonts w:ascii="Calibri" w:eastAsia="Times New Roman" w:hAnsi="Calibri" w:cs="Times New Roman"/>
          <w:sz w:val="24"/>
          <w:szCs w:val="24"/>
          <w:vertAlign w:val="superscript"/>
        </w:rPr>
        <w:t>5</w:t>
      </w:r>
      <w:r w:rsidR="00DE52D8" w:rsidRPr="0094101A">
        <w:rPr>
          <w:rFonts w:ascii="Calibri" w:eastAsia="Times New Roman" w:hAnsi="Calibri" w:cs="Times New Roman"/>
          <w:sz w:val="24"/>
          <w:szCs w:val="24"/>
        </w:rPr>
        <w:t>,</w:t>
      </w:r>
      <w:r w:rsidR="00DE52D8" w:rsidRPr="00707A19">
        <w:rPr>
          <w:rFonts w:ascii="Calibri" w:eastAsia="Times New Roman" w:hAnsi="Calibri" w:cs="Times New Roman"/>
          <w:sz w:val="24"/>
          <w:szCs w:val="24"/>
        </w:rPr>
        <w:t xml:space="preserve"> o které mělo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 MV účtovat v roce 2013 a která by měla vliv na výsledek hospodaření. Dle ČÚS č. 709 – </w:t>
      </w:r>
      <w:r w:rsidR="00DE52D8" w:rsidRPr="00184AA7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 se o takových skutečnostech účtuje na účtu 408 – </w:t>
      </w:r>
      <w:r w:rsidR="00DE52D8" w:rsidRPr="00184AA7">
        <w:rPr>
          <w:rFonts w:ascii="Calibri" w:eastAsia="Times New Roman" w:hAnsi="Calibri" w:cs="Times New Roman"/>
          <w:i/>
          <w:sz w:val="24"/>
          <w:szCs w:val="24"/>
        </w:rPr>
        <w:t>Opravy minulých období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DE52D8">
        <w:rPr>
          <w:rFonts w:ascii="Calibri" w:eastAsia="Times New Roman" w:hAnsi="Calibri" w:cs="Times New Roman"/>
          <w:sz w:val="24"/>
          <w:szCs w:val="24"/>
        </w:rPr>
        <w:t xml:space="preserve">V důsledku uvedených skutečností 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MV v ÚZ ovlivnilo zůstatky účtů 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 xml:space="preserve">564 </w:t>
      </w:r>
      <w:r w:rsidR="00DE52D8"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– Náklady z přecenění reálnou hodnotou 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a</w:t>
      </w:r>
      <w:r w:rsidR="00BE4337">
        <w:rPr>
          <w:rFonts w:ascii="Calibri" w:eastAsia="Times New Roman" w:hAnsi="Calibri" w:cs="Times New Roman"/>
          <w:bCs/>
          <w:i/>
          <w:iCs/>
          <w:sz w:val="24"/>
          <w:szCs w:val="24"/>
        </w:rPr>
        <w:t> 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408</w:t>
      </w:r>
      <w:r w:rsidR="00DE52D8"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Opravy minulých období 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>o částku 6,39 mil. Kč</w:t>
      </w:r>
      <w:r w:rsidR="00DE52D8"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>.</w:t>
      </w:r>
      <w:r w:rsidR="00DE52D8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B01B397" w14:textId="69A03889" w:rsidR="00DE52D8" w:rsidRPr="00913E39" w:rsidRDefault="001B5D1A" w:rsidP="00DE52D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 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zrušení rozdílu z přecenění pozemků </w:t>
      </w:r>
      <w:r w:rsidR="00DE52D8">
        <w:rPr>
          <w:rFonts w:ascii="Calibri" w:eastAsia="Times New Roman" w:hAnsi="Calibri" w:cs="Times New Roman"/>
          <w:sz w:val="24"/>
          <w:szCs w:val="24"/>
        </w:rPr>
        <w:t xml:space="preserve">reálnou hodnotou </w:t>
      </w:r>
      <w:r>
        <w:rPr>
          <w:rFonts w:ascii="Calibri" w:eastAsia="Times New Roman" w:hAnsi="Calibri" w:cs="Times New Roman"/>
          <w:sz w:val="24"/>
          <w:szCs w:val="24"/>
        </w:rPr>
        <w:t>MV neúčtovalo</w:t>
      </w:r>
      <w:r w:rsidR="006B005C">
        <w:rPr>
          <w:rFonts w:ascii="Calibri" w:eastAsia="Times New Roman" w:hAnsi="Calibri" w:cs="Times New Roman"/>
          <w:sz w:val="24"/>
          <w:szCs w:val="24"/>
        </w:rPr>
        <w:t xml:space="preserve"> vůbec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6B005C">
        <w:rPr>
          <w:rFonts w:ascii="Calibri" w:eastAsia="Times New Roman" w:hAnsi="Calibri" w:cs="Times New Roman"/>
          <w:sz w:val="24"/>
          <w:szCs w:val="24"/>
        </w:rPr>
        <w:t>přestože tyto pozemky byly</w:t>
      </w:r>
      <w:r w:rsidR="00DE52D8" w:rsidRPr="00184AA7">
        <w:rPr>
          <w:rFonts w:ascii="Calibri" w:eastAsia="Times New Roman" w:hAnsi="Calibri" w:cs="Times New Roman"/>
          <w:sz w:val="24"/>
          <w:szCs w:val="24"/>
        </w:rPr>
        <w:t xml:space="preserve"> součástí prodaného majetku. 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Tímto nesprávným postupem MV v</w:t>
      </w:r>
      <w:r w:rsidR="0094101A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ÚZ</w:t>
      </w:r>
      <w:r w:rsidR="0094101A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DE52D8">
        <w:rPr>
          <w:rFonts w:ascii="Calibri" w:eastAsia="Times New Roman" w:hAnsi="Calibri" w:cs="Times New Roman"/>
          <w:bCs/>
          <w:iCs/>
          <w:sz w:val="24"/>
          <w:szCs w:val="24"/>
        </w:rPr>
        <w:t>o</w:t>
      </w:r>
      <w:r w:rsidR="00BE4337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částku 27,62 tis. Kč</w:t>
      </w:r>
      <w:r w:rsidR="00DE52D8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ovlivnilo zůstatky účtů 564</w:t>
      </w:r>
      <w:r w:rsidR="00DE52D8"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Náklady z přecenění reálnou hodnotou 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a</w:t>
      </w:r>
      <w:r w:rsidR="00BE4337">
        <w:rPr>
          <w:rFonts w:ascii="Calibri" w:eastAsia="Times New Roman" w:hAnsi="Calibri" w:cs="Times New Roman"/>
          <w:bCs/>
          <w:i/>
          <w:iCs/>
          <w:sz w:val="24"/>
          <w:szCs w:val="24"/>
        </w:rPr>
        <w:t> 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407</w:t>
      </w:r>
      <w:r w:rsidR="00DE52D8"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– Jiné oceňovací rozdíly</w:t>
      </w:r>
      <w:r w:rsidR="00DE52D8" w:rsidRPr="00184AA7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  <w:r w:rsidR="00DE52D8" w:rsidRPr="00184AA7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</w:t>
      </w:r>
    </w:p>
    <w:p w14:paraId="4B53696B" w14:textId="42A5E152" w:rsidR="008323A3" w:rsidRPr="00A45CD0" w:rsidRDefault="008323A3" w:rsidP="00BB5463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ind w:left="142" w:hanging="142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 xml:space="preserve">Transfery v rámci </w:t>
      </w:r>
      <w:r w:rsidRPr="00D52AC6">
        <w:rPr>
          <w:rFonts w:ascii="Calibri" w:eastAsia="Times New Roman" w:hAnsi="Calibri" w:cs="Calibri"/>
          <w:b/>
          <w:i/>
          <w:sz w:val="24"/>
          <w:szCs w:val="24"/>
        </w:rPr>
        <w:t>Integrovaného operačního programu</w:t>
      </w:r>
    </w:p>
    <w:p w14:paraId="5A00053C" w14:textId="70C1E2CC" w:rsidR="008323A3" w:rsidRPr="00A45CD0" w:rsidRDefault="008323A3" w:rsidP="008323A3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v roce 2014 přijímalo peněžní prostředky </w:t>
      </w:r>
      <w:r w:rsidR="00D52AC6" w:rsidRPr="00A45CD0">
        <w:rPr>
          <w:rFonts w:ascii="Calibri" w:eastAsia="Times New Roman" w:hAnsi="Calibri" w:cs="Times New Roman"/>
          <w:i/>
          <w:sz w:val="24"/>
          <w:szCs w:val="24"/>
        </w:rPr>
        <w:t>Integrovaného operačního programu</w:t>
      </w:r>
      <w:r w:rsidR="00D52AC6">
        <w:rPr>
          <w:rFonts w:ascii="Calibri" w:eastAsia="Times New Roman" w:hAnsi="Calibri" w:cs="Times New Roman"/>
          <w:sz w:val="24"/>
          <w:szCs w:val="24"/>
        </w:rPr>
        <w:t xml:space="preserve"> (dále jen „</w:t>
      </w:r>
      <w:r w:rsidRPr="00184AA7">
        <w:rPr>
          <w:rFonts w:ascii="Calibri" w:eastAsia="Times New Roman" w:hAnsi="Calibri" w:cs="Times New Roman"/>
          <w:sz w:val="24"/>
          <w:szCs w:val="24"/>
        </w:rPr>
        <w:t>IOP</w:t>
      </w:r>
      <w:r w:rsidR="00D52AC6">
        <w:rPr>
          <w:rFonts w:ascii="Calibri" w:eastAsia="Times New Roman" w:hAnsi="Calibri" w:cs="Times New Roman"/>
          <w:sz w:val="24"/>
          <w:szCs w:val="24"/>
        </w:rPr>
        <w:t>“)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D52AC6">
        <w:rPr>
          <w:rFonts w:ascii="Calibri" w:eastAsia="Times New Roman" w:hAnsi="Calibri" w:cs="Times New Roman"/>
          <w:sz w:val="24"/>
          <w:szCs w:val="24"/>
        </w:rPr>
        <w:t>resp.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nárokovalo</w:t>
      </w:r>
      <w:r w:rsidR="00D52AC6">
        <w:rPr>
          <w:rFonts w:ascii="Calibri" w:eastAsia="Times New Roman" w:hAnsi="Calibri" w:cs="Times New Roman"/>
          <w:sz w:val="24"/>
          <w:szCs w:val="24"/>
        </w:rPr>
        <w:t xml:space="preserve"> je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od Národního fondu za účelem refundace výdajů vynaložených na </w:t>
      </w:r>
      <w:r w:rsidRPr="00184AA7">
        <w:rPr>
          <w:rFonts w:ascii="Calibri" w:eastAsia="Times New Roman" w:hAnsi="Calibri" w:cs="Times New Roman"/>
          <w:sz w:val="24"/>
          <w:szCs w:val="24"/>
        </w:rPr>
        <w:lastRenderedPageBreak/>
        <w:t xml:space="preserve">realizaci vlastních projektů. V těchto případech lze MV označit za příjemce transferu ve smyslu ČÚS č. 703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Transfery</w:t>
      </w:r>
      <w:r w:rsidRPr="00A45CD0">
        <w:rPr>
          <w:rFonts w:ascii="Calibri" w:eastAsia="Times New Roman" w:hAnsi="Calibri" w:cs="Times New Roman"/>
          <w:sz w:val="24"/>
          <w:szCs w:val="24"/>
        </w:rPr>
        <w:t>.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</w:p>
    <w:p w14:paraId="4DD5C70E" w14:textId="74DB76A2" w:rsidR="008323A3" w:rsidRPr="00184AA7" w:rsidRDefault="008323A3" w:rsidP="008323A3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na účtu 939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Krátkodobé podmíněné pohledávky z nástrojů spolufinancovaných ze zahraničí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vykázalo </w:t>
      </w:r>
      <w:r>
        <w:rPr>
          <w:rFonts w:ascii="Calibri" w:eastAsia="Times New Roman" w:hAnsi="Calibri" w:cs="Times New Roman"/>
          <w:sz w:val="24"/>
          <w:szCs w:val="24"/>
        </w:rPr>
        <w:t xml:space="preserve">v rámci IOP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podmíněnou pohledávku </w:t>
      </w:r>
      <w:r w:rsidR="009F23D6">
        <w:rPr>
          <w:rFonts w:ascii="Calibri" w:eastAsia="Times New Roman" w:hAnsi="Calibri" w:cs="Times New Roman"/>
          <w:sz w:val="24"/>
          <w:szCs w:val="24"/>
        </w:rPr>
        <w:t xml:space="preserve">za Národním fondem </w:t>
      </w:r>
      <w:r w:rsidR="00FC1A53">
        <w:rPr>
          <w:rFonts w:ascii="Calibri" w:eastAsia="Times New Roman" w:hAnsi="Calibri" w:cs="Times New Roman"/>
          <w:sz w:val="24"/>
          <w:szCs w:val="24"/>
        </w:rPr>
        <w:t xml:space="preserve">z titulu nároku na převod prostředků z rozpočtu Evropské unie. </w:t>
      </w:r>
      <w:r w:rsidR="00D52AC6">
        <w:rPr>
          <w:rFonts w:ascii="Calibri" w:eastAsia="Times New Roman" w:hAnsi="Calibri" w:cs="Times New Roman"/>
          <w:sz w:val="24"/>
          <w:szCs w:val="24"/>
        </w:rPr>
        <w:t>P</w:t>
      </w:r>
      <w:r w:rsidR="00FC1A53">
        <w:rPr>
          <w:rFonts w:ascii="Calibri" w:eastAsia="Times New Roman" w:hAnsi="Calibri" w:cs="Times New Roman"/>
          <w:sz w:val="24"/>
          <w:szCs w:val="24"/>
        </w:rPr>
        <w:t>ohledávk</w:t>
      </w:r>
      <w:r w:rsidR="00D52AC6">
        <w:rPr>
          <w:rFonts w:ascii="Calibri" w:eastAsia="Times New Roman" w:hAnsi="Calibri" w:cs="Times New Roman"/>
          <w:sz w:val="24"/>
          <w:szCs w:val="24"/>
        </w:rPr>
        <w:t>a</w:t>
      </w:r>
      <w:r w:rsidR="00FC1A53">
        <w:rPr>
          <w:rFonts w:ascii="Calibri" w:eastAsia="Times New Roman" w:hAnsi="Calibri" w:cs="Times New Roman"/>
          <w:sz w:val="24"/>
          <w:szCs w:val="24"/>
        </w:rPr>
        <w:t xml:space="preserve"> však byla vykázána včetně částky, která představovala spolufinancování z rozpočtu MV. Tyto peněžní prostředky však nelze u Národního fondu k refundaci nárokovat.</w:t>
      </w:r>
      <w:r w:rsidR="009F23D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>MV tak v ÚZ ovliv</w:t>
      </w:r>
      <w:r w:rsidR="00124051">
        <w:rPr>
          <w:rFonts w:ascii="Calibri" w:eastAsia="Times New Roman" w:hAnsi="Calibri" w:cs="Times New Roman"/>
          <w:sz w:val="24"/>
          <w:szCs w:val="24"/>
        </w:rPr>
        <w:t>nilo zůstatek účtu</w:t>
      </w:r>
      <w:r w:rsidR="008E0D59">
        <w:rPr>
          <w:rFonts w:ascii="Calibri" w:eastAsia="Times New Roman" w:hAnsi="Calibri" w:cs="Times New Roman"/>
          <w:sz w:val="24"/>
          <w:szCs w:val="24"/>
        </w:rPr>
        <w:br/>
      </w:r>
      <w:r w:rsidR="00124051">
        <w:rPr>
          <w:rFonts w:ascii="Calibri" w:eastAsia="Times New Roman" w:hAnsi="Calibri" w:cs="Times New Roman"/>
          <w:sz w:val="24"/>
          <w:szCs w:val="24"/>
        </w:rPr>
        <w:t>939 – 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Krátkodobé podmíněné pohledávky z nástrojů spolufinancovaných ze zahraničí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</w:t>
      </w:r>
      <w:r w:rsidR="00CB0F1D">
        <w:rPr>
          <w:rFonts w:ascii="Calibri" w:eastAsia="Times New Roman" w:hAnsi="Calibri" w:cs="Times New Roman"/>
          <w:sz w:val="24"/>
          <w:szCs w:val="24"/>
        </w:rPr>
        <w:t> 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částku 12,18 mil. Kč. </w:t>
      </w:r>
    </w:p>
    <w:p w14:paraId="1D425262" w14:textId="77777777" w:rsidR="008323A3" w:rsidRPr="00184AA7" w:rsidRDefault="00FC1A53" w:rsidP="008323A3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Současně bylo </w:t>
      </w:r>
      <w:r w:rsidR="008323A3" w:rsidRPr="00184AA7">
        <w:rPr>
          <w:rFonts w:ascii="Calibri" w:eastAsia="Times New Roman" w:hAnsi="Calibri" w:cs="Times New Roman"/>
          <w:sz w:val="24"/>
          <w:szCs w:val="24"/>
        </w:rPr>
        <w:t xml:space="preserve">zjištěno, že </w:t>
      </w:r>
      <w:r w:rsidR="008323A3">
        <w:rPr>
          <w:rFonts w:ascii="Calibri" w:eastAsia="Times New Roman" w:hAnsi="Calibri" w:cs="Times New Roman"/>
          <w:sz w:val="24"/>
          <w:szCs w:val="24"/>
        </w:rPr>
        <w:t>MV</w:t>
      </w:r>
      <w:r w:rsidR="00597AB5">
        <w:rPr>
          <w:rFonts w:ascii="Calibri" w:eastAsia="Times New Roman" w:hAnsi="Calibri" w:cs="Times New Roman"/>
          <w:sz w:val="24"/>
          <w:szCs w:val="24"/>
        </w:rPr>
        <w:t xml:space="preserve"> v jednotlivých účetních okruzích</w:t>
      </w:r>
      <w:r w:rsidR="003F3694">
        <w:rPr>
          <w:rFonts w:ascii="Calibri" w:eastAsia="Times New Roman" w:hAnsi="Calibri" w:cs="Times New Roman"/>
          <w:sz w:val="24"/>
          <w:szCs w:val="24"/>
        </w:rPr>
        <w:t xml:space="preserve"> neúčtovalo konzistentně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 o </w:t>
      </w:r>
      <w:r w:rsidR="00597AB5">
        <w:rPr>
          <w:rFonts w:ascii="Calibri" w:eastAsia="Times New Roman" w:hAnsi="Calibri" w:cs="Times New Roman"/>
          <w:sz w:val="24"/>
          <w:szCs w:val="24"/>
        </w:rPr>
        <w:t>vzniku pohledávky, výnosech a přijatých investičních transferech v rámci IOP</w:t>
      </w:r>
      <w:r w:rsidR="003F3694">
        <w:rPr>
          <w:rFonts w:ascii="Calibri" w:eastAsia="Times New Roman" w:hAnsi="Calibri" w:cs="Times New Roman"/>
          <w:sz w:val="24"/>
          <w:szCs w:val="24"/>
        </w:rPr>
        <w:t>.</w:t>
      </w:r>
      <w:r w:rsidR="00597AB5">
        <w:rPr>
          <w:rFonts w:ascii="Calibri" w:eastAsia="Times New Roman" w:hAnsi="Calibri" w:cs="Times New Roman"/>
          <w:sz w:val="24"/>
          <w:szCs w:val="24"/>
        </w:rPr>
        <w:t xml:space="preserve"> V jednom účetním okruhu účtovalo MV o vzniku pohledávky v souvislosti se zaslanou kopií souhrnné žádosti, v dalších dvou účetních okruzích účtovalo MV </w:t>
      </w:r>
      <w:r w:rsidR="003F3694">
        <w:rPr>
          <w:rFonts w:ascii="Calibri" w:eastAsia="Times New Roman" w:hAnsi="Calibri" w:cs="Times New Roman"/>
          <w:sz w:val="24"/>
          <w:szCs w:val="24"/>
        </w:rPr>
        <w:t xml:space="preserve">o takové pohledávce </w:t>
      </w:r>
      <w:r w:rsidR="00597AB5">
        <w:rPr>
          <w:rFonts w:ascii="Calibri" w:eastAsia="Times New Roman" w:hAnsi="Calibri" w:cs="Times New Roman"/>
          <w:sz w:val="24"/>
          <w:szCs w:val="24"/>
        </w:rPr>
        <w:t xml:space="preserve">až </w:t>
      </w:r>
      <w:r w:rsidR="00773388">
        <w:rPr>
          <w:rFonts w:ascii="Calibri" w:eastAsia="Times New Roman" w:hAnsi="Calibri" w:cs="Times New Roman"/>
          <w:sz w:val="24"/>
          <w:szCs w:val="24"/>
        </w:rPr>
        <w:t xml:space="preserve">při </w:t>
      </w:r>
      <w:r w:rsidR="00597AB5">
        <w:rPr>
          <w:rFonts w:ascii="Calibri" w:eastAsia="Times New Roman" w:hAnsi="Calibri" w:cs="Times New Roman"/>
          <w:sz w:val="24"/>
          <w:szCs w:val="24"/>
        </w:rPr>
        <w:t>příjm</w:t>
      </w:r>
      <w:r w:rsidR="00773388">
        <w:rPr>
          <w:rFonts w:ascii="Calibri" w:eastAsia="Times New Roman" w:hAnsi="Calibri" w:cs="Times New Roman"/>
          <w:sz w:val="24"/>
          <w:szCs w:val="24"/>
        </w:rPr>
        <w:t>u</w:t>
      </w:r>
      <w:r w:rsidR="00597AB5">
        <w:rPr>
          <w:rFonts w:ascii="Calibri" w:eastAsia="Times New Roman" w:hAnsi="Calibri" w:cs="Times New Roman"/>
          <w:sz w:val="24"/>
          <w:szCs w:val="24"/>
        </w:rPr>
        <w:t xml:space="preserve"> peněžních prostředků od Národního fondu</w:t>
      </w:r>
      <w:r w:rsidR="00597AB5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7"/>
      </w:r>
      <w:r w:rsidR="00597AB5">
        <w:rPr>
          <w:rFonts w:ascii="Calibri" w:eastAsia="Times New Roman" w:hAnsi="Calibri" w:cs="Times New Roman"/>
          <w:sz w:val="24"/>
          <w:szCs w:val="24"/>
        </w:rPr>
        <w:t>.</w:t>
      </w:r>
      <w:r w:rsidR="008323A3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97AB5">
        <w:rPr>
          <w:rFonts w:ascii="Calibri" w:eastAsia="Times New Roman" w:hAnsi="Calibri" w:cs="Times New Roman"/>
          <w:sz w:val="24"/>
          <w:szCs w:val="24"/>
        </w:rPr>
        <w:t>Tento n</w:t>
      </w:r>
      <w:r w:rsidR="008323A3" w:rsidRPr="00EB7CE0">
        <w:rPr>
          <w:rFonts w:ascii="Calibri" w:eastAsia="Times New Roman" w:hAnsi="Calibri" w:cs="Times New Roman"/>
          <w:sz w:val="24"/>
          <w:szCs w:val="24"/>
        </w:rPr>
        <w:t>ekonzistentní postup</w:t>
      </w:r>
      <w:r w:rsidR="008323A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97AB5">
        <w:rPr>
          <w:rFonts w:ascii="Calibri" w:eastAsia="Times New Roman" w:hAnsi="Calibri" w:cs="Times New Roman"/>
          <w:sz w:val="24"/>
          <w:szCs w:val="24"/>
        </w:rPr>
        <w:t xml:space="preserve">v rámci </w:t>
      </w:r>
      <w:r w:rsidR="008323A3">
        <w:rPr>
          <w:rFonts w:ascii="Calibri" w:eastAsia="Times New Roman" w:hAnsi="Calibri" w:cs="Times New Roman"/>
          <w:sz w:val="24"/>
          <w:szCs w:val="24"/>
        </w:rPr>
        <w:t xml:space="preserve">MV měl vliv na </w:t>
      </w:r>
      <w:r w:rsidR="00EF1CB1">
        <w:rPr>
          <w:rFonts w:ascii="Calibri" w:eastAsia="Times New Roman" w:hAnsi="Calibri" w:cs="Times New Roman"/>
          <w:sz w:val="24"/>
          <w:szCs w:val="24"/>
        </w:rPr>
        <w:t xml:space="preserve">výši </w:t>
      </w:r>
      <w:r w:rsidR="00597438">
        <w:rPr>
          <w:rFonts w:ascii="Calibri" w:eastAsia="Times New Roman" w:hAnsi="Calibri" w:cs="Times New Roman"/>
          <w:sz w:val="24"/>
          <w:szCs w:val="24"/>
        </w:rPr>
        <w:t>skutečností vykázaných</w:t>
      </w:r>
      <w:r w:rsidR="00EF1CB1">
        <w:rPr>
          <w:rFonts w:ascii="Calibri" w:eastAsia="Times New Roman" w:hAnsi="Calibri" w:cs="Times New Roman"/>
          <w:sz w:val="24"/>
          <w:szCs w:val="24"/>
        </w:rPr>
        <w:t xml:space="preserve"> v</w:t>
      </w:r>
      <w:r w:rsidR="008323A3">
        <w:rPr>
          <w:rFonts w:ascii="Calibri" w:eastAsia="Times New Roman" w:hAnsi="Calibri" w:cs="Times New Roman"/>
          <w:sz w:val="24"/>
          <w:szCs w:val="24"/>
        </w:rPr>
        <w:t> ÚZ.</w:t>
      </w:r>
      <w:r w:rsidR="008323A3" w:rsidRPr="00184AA7"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14:paraId="145F3B77" w14:textId="77777777" w:rsidR="003C19E9" w:rsidRPr="00A45CD0" w:rsidRDefault="003C19E9" w:rsidP="00BB5463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>Dotace na pořízení dlouhodobého majetku</w:t>
      </w:r>
      <w:r w:rsidR="00FC1A53" w:rsidRPr="00A45CD0">
        <w:rPr>
          <w:rFonts w:ascii="Calibri" w:eastAsia="Times New Roman" w:hAnsi="Calibri" w:cs="Calibri"/>
          <w:b/>
          <w:sz w:val="24"/>
          <w:szCs w:val="24"/>
        </w:rPr>
        <w:t xml:space="preserve"> příspěvkovým organizacím</w:t>
      </w:r>
    </w:p>
    <w:p w14:paraId="2479111C" w14:textId="77777777" w:rsidR="00DE52D8" w:rsidRPr="00184AA7" w:rsidRDefault="003C19E9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o dotaci na pořízení dlouhodobého majetku, kterou poskytlo ve výši 4,09 mil. Kč vlastní příspěvkové organizaci na základě vydaného rozhodnutí, účtovalo nesprávně jako o transferu prostřednictvím účtů 373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Krátkodobé poskytnuté zálohy na transfery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, 389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Dohadné účty pasivní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, 571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Náklady vybraných ústředních vládních institucí na transfery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</w:rPr>
        <w:t>D</w:t>
      </w:r>
      <w:r w:rsidRPr="00184AA7">
        <w:rPr>
          <w:rFonts w:ascii="Calibri" w:eastAsia="Times New Roman" w:hAnsi="Calibri" w:cs="Times New Roman"/>
          <w:sz w:val="24"/>
          <w:szCs w:val="24"/>
        </w:rPr>
        <w:t>le ČÚS</w:t>
      </w:r>
      <w:r w:rsidR="00BE4337">
        <w:rPr>
          <w:rFonts w:ascii="Calibri" w:eastAsia="Times New Roman" w:hAnsi="Calibri" w:cs="Times New Roman"/>
          <w:sz w:val="24"/>
          <w:szCs w:val="24"/>
        </w:rPr>
        <w:br/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č. 703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Transfery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se prostředky zřizovatele určené na pořízení dlouhodobého majetku pro jím zřízenou příspěvkovou organizaci za transfer nepovažují. V souladu s ČÚS č. 709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se o těchto prostředcích účtuje prostřednictvím účtu 401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Jmění účetní jednotky</w:t>
      </w:r>
      <w:r w:rsidRPr="00184AA7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MV tak v ÚZ ovlivnilo zůstatky účtů </w:t>
      </w:r>
      <w:r w:rsidRPr="00000DB9">
        <w:rPr>
          <w:rFonts w:ascii="Calibri" w:eastAsia="Times New Roman" w:hAnsi="Calibri" w:cs="Times New Roman"/>
          <w:sz w:val="24"/>
          <w:szCs w:val="24"/>
        </w:rPr>
        <w:t xml:space="preserve">373 – </w:t>
      </w:r>
      <w:r w:rsidRPr="00000DB9">
        <w:rPr>
          <w:rFonts w:ascii="Calibri" w:eastAsia="Times New Roman" w:hAnsi="Calibri" w:cs="Times New Roman"/>
          <w:i/>
          <w:sz w:val="24"/>
          <w:szCs w:val="24"/>
        </w:rPr>
        <w:t>Krátkodobé poskytnuté zálohy na transfery</w:t>
      </w:r>
      <w:r w:rsidRPr="00000DB9">
        <w:rPr>
          <w:rFonts w:ascii="Calibri" w:eastAsia="Times New Roman" w:hAnsi="Calibri" w:cs="Times New Roman"/>
          <w:sz w:val="24"/>
          <w:szCs w:val="24"/>
        </w:rPr>
        <w:t>,</w:t>
      </w:r>
      <w:r w:rsidR="00BE4337">
        <w:rPr>
          <w:rFonts w:ascii="Calibri" w:eastAsia="Times New Roman" w:hAnsi="Calibri" w:cs="Times New Roman"/>
          <w:sz w:val="24"/>
          <w:szCs w:val="24"/>
        </w:rPr>
        <w:br/>
      </w:r>
      <w:r w:rsidRPr="00000DB9">
        <w:rPr>
          <w:rFonts w:ascii="Calibri" w:eastAsia="Times New Roman" w:hAnsi="Calibri" w:cs="Times New Roman"/>
          <w:sz w:val="24"/>
          <w:szCs w:val="24"/>
        </w:rPr>
        <w:t xml:space="preserve">389 – </w:t>
      </w:r>
      <w:r w:rsidRPr="00000DB9">
        <w:rPr>
          <w:rFonts w:ascii="Calibri" w:eastAsia="Times New Roman" w:hAnsi="Calibri" w:cs="Times New Roman"/>
          <w:i/>
          <w:sz w:val="24"/>
          <w:szCs w:val="24"/>
        </w:rPr>
        <w:t>Dohadné účty pasivní</w:t>
      </w:r>
      <w:r w:rsidRPr="00000DB9">
        <w:rPr>
          <w:rFonts w:ascii="Calibri" w:eastAsia="Times New Roman" w:hAnsi="Calibri" w:cs="Times New Roman"/>
          <w:sz w:val="24"/>
          <w:szCs w:val="24"/>
        </w:rPr>
        <w:t xml:space="preserve">, 571 – </w:t>
      </w:r>
      <w:r w:rsidRPr="00000DB9">
        <w:rPr>
          <w:rFonts w:ascii="Calibri" w:eastAsia="Times New Roman" w:hAnsi="Calibri" w:cs="Times New Roman"/>
          <w:i/>
          <w:sz w:val="24"/>
          <w:szCs w:val="24"/>
        </w:rPr>
        <w:t>Náklady vybraných ústředních vládních institucí na transfery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a 401 – </w:t>
      </w:r>
      <w:r w:rsidRPr="00000DB9">
        <w:rPr>
          <w:rFonts w:ascii="Calibri" w:eastAsia="Times New Roman" w:hAnsi="Calibri" w:cs="Times New Roman"/>
          <w:i/>
          <w:sz w:val="24"/>
          <w:szCs w:val="24"/>
        </w:rPr>
        <w:t>Jmění účetní jednotky</w:t>
      </w:r>
      <w:r>
        <w:rPr>
          <w:rFonts w:ascii="Calibri" w:eastAsia="Times New Roman" w:hAnsi="Calibri" w:cs="Times New Roman"/>
          <w:sz w:val="24"/>
          <w:szCs w:val="24"/>
        </w:rPr>
        <w:t xml:space="preserve"> o částku 4,09 mil. Kč.</w:t>
      </w:r>
    </w:p>
    <w:p w14:paraId="53922095" w14:textId="77777777" w:rsidR="003C19E9" w:rsidRPr="00A45CD0" w:rsidRDefault="003C19E9" w:rsidP="00BB5463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45CD0">
        <w:rPr>
          <w:rFonts w:ascii="Calibri" w:eastAsia="Times New Roman" w:hAnsi="Calibri" w:cs="Calibri"/>
          <w:b/>
          <w:sz w:val="24"/>
          <w:szCs w:val="24"/>
        </w:rPr>
        <w:t xml:space="preserve">Závazky z dávek nemocenského pojištění </w:t>
      </w:r>
    </w:p>
    <w:p w14:paraId="27F8E3EC" w14:textId="24273ADA" w:rsidR="00DE52D8" w:rsidRDefault="00045638" w:rsidP="003C19E9">
      <w:pPr>
        <w:spacing w:before="40"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</w:t>
      </w:r>
      <w:r w:rsidR="00A9475D">
        <w:rPr>
          <w:rFonts w:ascii="Calibri" w:eastAsia="Times New Roman" w:hAnsi="Calibri" w:cs="Times New Roman"/>
          <w:sz w:val="24"/>
          <w:szCs w:val="24"/>
        </w:rPr>
        <w:t xml:space="preserve"> roce 2014 bylo </w:t>
      </w:r>
      <w:r>
        <w:rPr>
          <w:rFonts w:ascii="Calibri" w:eastAsia="Times New Roman" w:hAnsi="Calibri" w:cs="Times New Roman"/>
          <w:sz w:val="24"/>
          <w:szCs w:val="24"/>
        </w:rPr>
        <w:t xml:space="preserve">MV </w:t>
      </w:r>
      <w:r w:rsidR="00A9475D">
        <w:rPr>
          <w:rFonts w:ascii="Calibri" w:eastAsia="Times New Roman" w:hAnsi="Calibri" w:cs="Times New Roman"/>
          <w:sz w:val="24"/>
          <w:szCs w:val="24"/>
        </w:rPr>
        <w:t>ve vymezené působnosti služebním orgánem</w:t>
      </w:r>
      <w:r w:rsidR="00A9475D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18"/>
      </w:r>
      <w:r w:rsidR="00A9475D">
        <w:rPr>
          <w:rFonts w:ascii="Calibri" w:eastAsia="Times New Roman" w:hAnsi="Calibri" w:cs="Times New Roman"/>
          <w:sz w:val="24"/>
          <w:szCs w:val="24"/>
        </w:rPr>
        <w:t xml:space="preserve"> ve věcech nemocenského pojištění příslušníků ve služebním poměru.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Dle ČÚS č. 703 – </w:t>
      </w:r>
      <w:r w:rsidR="003C19E9" w:rsidRPr="003C19E9">
        <w:rPr>
          <w:rFonts w:ascii="Calibri" w:eastAsia="Times New Roman" w:hAnsi="Calibri" w:cs="Times New Roman"/>
          <w:i/>
          <w:sz w:val="24"/>
          <w:szCs w:val="24"/>
        </w:rPr>
        <w:t>Transfery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 se dávky nemocenského pojištění považují za transfer.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MV </w:t>
      </w:r>
      <w:r>
        <w:rPr>
          <w:rFonts w:ascii="Calibri" w:eastAsia="Times New Roman" w:hAnsi="Calibri" w:cs="Times New Roman"/>
          <w:sz w:val="24"/>
          <w:szCs w:val="24"/>
        </w:rPr>
        <w:t xml:space="preserve">však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>o závazcích z titulu poskytnutí nemocenských dávek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účtovalo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nesprávně jako o závazcích z pracovněprávních vztahů na účtu 331 – </w:t>
      </w:r>
      <w:r w:rsidR="003C19E9" w:rsidRPr="00184AA7">
        <w:rPr>
          <w:rFonts w:ascii="Calibri" w:eastAsia="Times New Roman" w:hAnsi="Calibri" w:cs="Times New Roman"/>
          <w:i/>
          <w:sz w:val="24"/>
          <w:szCs w:val="24"/>
        </w:rPr>
        <w:t>Zaměstnanci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V důsledku uvedených skutečností MV v ÚZ ovlivnilo zůstatky účtů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331 – </w:t>
      </w:r>
      <w:r w:rsidR="003C19E9" w:rsidRPr="00184AA7">
        <w:rPr>
          <w:rFonts w:ascii="Calibri" w:eastAsia="Times New Roman" w:hAnsi="Calibri" w:cs="Times New Roman"/>
          <w:i/>
          <w:sz w:val="24"/>
          <w:szCs w:val="24"/>
        </w:rPr>
        <w:t>Zaměstnanci</w:t>
      </w:r>
      <w:r w:rsidR="003C19E9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a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345 – </w:t>
      </w:r>
      <w:r w:rsidR="003C19E9" w:rsidRPr="00184AA7">
        <w:rPr>
          <w:rFonts w:ascii="Calibri" w:eastAsia="Times New Roman" w:hAnsi="Calibri" w:cs="Times New Roman"/>
          <w:i/>
          <w:sz w:val="24"/>
          <w:szCs w:val="24"/>
        </w:rPr>
        <w:t>Závazky k osobám mimo vybrané vládní instituce</w:t>
      </w:r>
      <w:r w:rsidR="003C19E9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3C19E9" w:rsidRPr="00614D3C">
        <w:rPr>
          <w:rFonts w:ascii="Calibri" w:eastAsia="Times New Roman" w:hAnsi="Calibri" w:cs="Times New Roman"/>
          <w:sz w:val="24"/>
          <w:szCs w:val="24"/>
        </w:rPr>
        <w:t>o částku 1,2</w:t>
      </w:r>
      <w:r w:rsidR="00E540CD">
        <w:rPr>
          <w:rFonts w:ascii="Calibri" w:eastAsia="Times New Roman" w:hAnsi="Calibri" w:cs="Times New Roman"/>
          <w:sz w:val="24"/>
          <w:szCs w:val="24"/>
        </w:rPr>
        <w:t> </w:t>
      </w:r>
      <w:r w:rsidR="003C19E9" w:rsidRPr="00614D3C">
        <w:rPr>
          <w:rFonts w:ascii="Calibri" w:eastAsia="Times New Roman" w:hAnsi="Calibri" w:cs="Times New Roman"/>
          <w:sz w:val="24"/>
          <w:szCs w:val="24"/>
        </w:rPr>
        <w:t>mil.</w:t>
      </w:r>
      <w:r w:rsidR="00E540CD">
        <w:rPr>
          <w:rFonts w:ascii="Calibri" w:eastAsia="Times New Roman" w:hAnsi="Calibri" w:cs="Times New Roman"/>
          <w:sz w:val="24"/>
          <w:szCs w:val="24"/>
        </w:rPr>
        <w:t> </w:t>
      </w:r>
      <w:r w:rsidR="003C19E9" w:rsidRPr="00614D3C">
        <w:rPr>
          <w:rFonts w:ascii="Calibri" w:eastAsia="Times New Roman" w:hAnsi="Calibri" w:cs="Times New Roman"/>
          <w:sz w:val="24"/>
          <w:szCs w:val="24"/>
        </w:rPr>
        <w:t>Kč.</w:t>
      </w:r>
    </w:p>
    <w:p w14:paraId="124CAEE0" w14:textId="77777777" w:rsidR="003C19E9" w:rsidRPr="00BF1A3E" w:rsidRDefault="003C19E9" w:rsidP="00BF1A3E">
      <w:pPr>
        <w:pStyle w:val="Odstavecseseznamem"/>
        <w:keepNext/>
        <w:numPr>
          <w:ilvl w:val="1"/>
          <w:numId w:val="21"/>
        </w:numPr>
        <w:tabs>
          <w:tab w:val="left" w:pos="567"/>
        </w:tabs>
        <w:spacing w:before="240" w:after="12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F1A3E">
        <w:rPr>
          <w:rFonts w:ascii="Calibri" w:eastAsia="Times New Roman" w:hAnsi="Calibri" w:cs="Calibri"/>
          <w:b/>
          <w:sz w:val="24"/>
          <w:szCs w:val="24"/>
        </w:rPr>
        <w:lastRenderedPageBreak/>
        <w:t>Závazek z náhrady škody</w:t>
      </w:r>
    </w:p>
    <w:p w14:paraId="22DD8E8F" w14:textId="7F2FFED7" w:rsidR="003C19E9" w:rsidRPr="00A271CF" w:rsidRDefault="003C19E9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</w:t>
      </w:r>
      <w:r>
        <w:rPr>
          <w:rFonts w:ascii="Calibri" w:eastAsia="Times New Roman" w:hAnsi="Calibri" w:cs="Times New Roman"/>
          <w:sz w:val="24"/>
          <w:szCs w:val="24"/>
        </w:rPr>
        <w:t xml:space="preserve">mělo </w:t>
      </w:r>
      <w:r w:rsidRPr="00184AA7">
        <w:rPr>
          <w:rFonts w:ascii="Calibri" w:eastAsia="Times New Roman" w:hAnsi="Calibri" w:cs="Times New Roman"/>
          <w:sz w:val="24"/>
          <w:szCs w:val="24"/>
        </w:rPr>
        <w:t>na základě pravomocného rozsudku soudu z roku 2014 povinnost uhradit náhradu škody včetně úroku z</w:t>
      </w:r>
      <w:r>
        <w:rPr>
          <w:rFonts w:ascii="Calibri" w:eastAsia="Times New Roman" w:hAnsi="Calibri" w:cs="Times New Roman"/>
          <w:sz w:val="24"/>
          <w:szCs w:val="24"/>
        </w:rPr>
        <w:t> </w:t>
      </w:r>
      <w:r w:rsidRPr="00184AA7">
        <w:rPr>
          <w:rFonts w:ascii="Calibri" w:eastAsia="Times New Roman" w:hAnsi="Calibri" w:cs="Times New Roman"/>
          <w:sz w:val="24"/>
          <w:szCs w:val="24"/>
        </w:rPr>
        <w:t>prodlení</w:t>
      </w:r>
      <w:r>
        <w:rPr>
          <w:rFonts w:ascii="Calibri" w:eastAsia="Times New Roman" w:hAnsi="Calibri" w:cs="Times New Roman"/>
          <w:sz w:val="24"/>
          <w:szCs w:val="24"/>
        </w:rPr>
        <w:t xml:space="preserve"> v celkové výši 10,</w:t>
      </w:r>
      <w:r w:rsidR="00FC1A53">
        <w:rPr>
          <w:rFonts w:ascii="Calibri" w:eastAsia="Times New Roman" w:hAnsi="Calibri" w:cs="Times New Roman"/>
          <w:sz w:val="24"/>
          <w:szCs w:val="24"/>
        </w:rPr>
        <w:t>4</w:t>
      </w:r>
      <w:r>
        <w:rPr>
          <w:rFonts w:ascii="Calibri" w:eastAsia="Times New Roman" w:hAnsi="Calibri" w:cs="Times New Roman"/>
          <w:sz w:val="24"/>
          <w:szCs w:val="24"/>
        </w:rPr>
        <w:t xml:space="preserve"> mil. Kč.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 vzniku závazku a </w:t>
      </w:r>
      <w:r>
        <w:rPr>
          <w:rFonts w:ascii="Calibri" w:eastAsia="Times New Roman" w:hAnsi="Calibri" w:cs="Times New Roman"/>
          <w:sz w:val="24"/>
          <w:szCs w:val="24"/>
        </w:rPr>
        <w:t xml:space="preserve">souvisejících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nákladech však MV </w:t>
      </w:r>
      <w:r w:rsidR="00045638" w:rsidRPr="00184AA7">
        <w:rPr>
          <w:rFonts w:ascii="Calibri" w:eastAsia="Times New Roman" w:hAnsi="Calibri" w:cs="Times New Roman"/>
          <w:sz w:val="24"/>
          <w:szCs w:val="24"/>
        </w:rPr>
        <w:t xml:space="preserve">účtovalo </w:t>
      </w:r>
      <w:r w:rsidRPr="00184AA7">
        <w:rPr>
          <w:rFonts w:ascii="Calibri" w:eastAsia="Times New Roman" w:hAnsi="Calibri" w:cs="Times New Roman"/>
          <w:sz w:val="24"/>
          <w:szCs w:val="24"/>
        </w:rPr>
        <w:t>nesprávně až v</w:t>
      </w:r>
      <w:r>
        <w:rPr>
          <w:rFonts w:ascii="Calibri" w:eastAsia="Times New Roman" w:hAnsi="Calibri" w:cs="Times New Roman"/>
          <w:sz w:val="24"/>
          <w:szCs w:val="24"/>
        </w:rPr>
        <w:t> </w:t>
      </w:r>
      <w:r w:rsidR="009F23D6" w:rsidRPr="00184AA7">
        <w:rPr>
          <w:rFonts w:ascii="Calibri" w:eastAsia="Times New Roman" w:hAnsi="Calibri" w:cs="Times New Roman"/>
          <w:sz w:val="24"/>
          <w:szCs w:val="24"/>
        </w:rPr>
        <w:t xml:space="preserve">okamžiku úhrady </w:t>
      </w:r>
      <w:r w:rsidR="009F23D6">
        <w:rPr>
          <w:rFonts w:ascii="Calibri" w:eastAsia="Times New Roman" w:hAnsi="Calibri" w:cs="Times New Roman"/>
          <w:sz w:val="24"/>
          <w:szCs w:val="24"/>
        </w:rPr>
        <w:t xml:space="preserve">závazku v </w:t>
      </w:r>
      <w:r>
        <w:rPr>
          <w:rFonts w:ascii="Calibri" w:eastAsia="Times New Roman" w:hAnsi="Calibri" w:cs="Times New Roman"/>
          <w:sz w:val="24"/>
          <w:szCs w:val="24"/>
        </w:rPr>
        <w:t>roce 2015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. Tímto nesprávným postupem MV v ÚZ ovlivnilo zůstatek účtů 378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Ostatní krátkodobé závazky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 a 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549 – 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>Ostatní náklady z činnosti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o částku 10,</w:t>
      </w:r>
      <w:r w:rsidR="00FC1A53">
        <w:rPr>
          <w:rFonts w:ascii="Calibri" w:eastAsia="Times New Roman" w:hAnsi="Calibri" w:cs="Times New Roman"/>
          <w:sz w:val="24"/>
          <w:szCs w:val="24"/>
        </w:rPr>
        <w:t>4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mil. </w:t>
      </w:r>
      <w:r w:rsidRPr="00184AA7">
        <w:rPr>
          <w:rFonts w:ascii="Calibri" w:eastAsia="Times New Roman" w:hAnsi="Calibri" w:cs="Times New Roman"/>
          <w:sz w:val="24"/>
          <w:szCs w:val="24"/>
        </w:rPr>
        <w:t>Kč.</w:t>
      </w:r>
    </w:p>
    <w:p w14:paraId="28B2CCDB" w14:textId="77777777" w:rsidR="003C19E9" w:rsidRPr="00BF1A3E" w:rsidRDefault="003C19E9" w:rsidP="00A271CF">
      <w:pPr>
        <w:pStyle w:val="Odstavecseseznamem"/>
        <w:numPr>
          <w:ilvl w:val="1"/>
          <w:numId w:val="21"/>
        </w:numPr>
        <w:spacing w:before="240" w:after="120" w:line="240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F1A3E">
        <w:rPr>
          <w:rFonts w:ascii="Calibri" w:eastAsia="Times New Roman" w:hAnsi="Calibri" w:cs="Calibri"/>
          <w:b/>
          <w:sz w:val="24"/>
          <w:szCs w:val="24"/>
        </w:rPr>
        <w:t>Účtování o</w:t>
      </w:r>
      <w:r w:rsidR="008E58DD" w:rsidRPr="00BF1A3E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1C42E7" w:rsidRPr="00BF1A3E">
        <w:rPr>
          <w:rFonts w:ascii="Calibri" w:eastAsia="Times New Roman" w:hAnsi="Calibri" w:cs="Calibri"/>
          <w:b/>
          <w:sz w:val="24"/>
          <w:szCs w:val="24"/>
        </w:rPr>
        <w:t>nároku na</w:t>
      </w:r>
      <w:r w:rsidRPr="00BF1A3E">
        <w:rPr>
          <w:rFonts w:ascii="Calibri" w:eastAsia="Times New Roman" w:hAnsi="Calibri" w:cs="Calibri"/>
          <w:b/>
          <w:sz w:val="24"/>
          <w:szCs w:val="24"/>
        </w:rPr>
        <w:t xml:space="preserve"> vrácen</w:t>
      </w:r>
      <w:r w:rsidR="008E58DD" w:rsidRPr="00BF1A3E">
        <w:rPr>
          <w:rFonts w:ascii="Calibri" w:eastAsia="Times New Roman" w:hAnsi="Calibri" w:cs="Calibri"/>
          <w:b/>
          <w:sz w:val="24"/>
          <w:szCs w:val="24"/>
        </w:rPr>
        <w:t>í</w:t>
      </w:r>
      <w:r w:rsidRPr="00BF1A3E">
        <w:rPr>
          <w:rFonts w:ascii="Calibri" w:eastAsia="Times New Roman" w:hAnsi="Calibri" w:cs="Calibri"/>
          <w:b/>
          <w:sz w:val="24"/>
          <w:szCs w:val="24"/>
        </w:rPr>
        <w:t xml:space="preserve"> spotřební dan</w:t>
      </w:r>
      <w:r w:rsidR="008E58DD" w:rsidRPr="00BF1A3E">
        <w:rPr>
          <w:rFonts w:ascii="Calibri" w:eastAsia="Times New Roman" w:hAnsi="Calibri" w:cs="Calibri"/>
          <w:b/>
          <w:sz w:val="24"/>
          <w:szCs w:val="24"/>
        </w:rPr>
        <w:t>ě</w:t>
      </w:r>
      <w:r w:rsidR="00927BE8" w:rsidRPr="00BF1A3E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A271CF" w:rsidRPr="00BF1A3E">
        <w:rPr>
          <w:rFonts w:ascii="Calibri" w:eastAsia="Times New Roman" w:hAnsi="Calibri" w:cs="Calibri"/>
          <w:b/>
          <w:sz w:val="24"/>
          <w:szCs w:val="24"/>
        </w:rPr>
        <w:t>–</w:t>
      </w:r>
      <w:r w:rsidR="00927BE8" w:rsidRPr="00BF1A3E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927BE8" w:rsidRPr="00BF1A3E">
        <w:rPr>
          <w:rFonts w:ascii="Calibri" w:eastAsia="Times New Roman" w:hAnsi="Calibri" w:cs="Times New Roman"/>
          <w:b/>
          <w:sz w:val="24"/>
          <w:szCs w:val="24"/>
        </w:rPr>
        <w:t>okamžik vzniku pohledávky</w:t>
      </w:r>
      <w:r w:rsidR="008E58DD" w:rsidRPr="00BF1A3E">
        <w:rPr>
          <w:rFonts w:ascii="Calibri" w:eastAsia="Times New Roman" w:hAnsi="Calibri" w:cs="Times New Roman"/>
          <w:b/>
          <w:sz w:val="24"/>
          <w:szCs w:val="24"/>
        </w:rPr>
        <w:t xml:space="preserve"> a výše nároku</w:t>
      </w:r>
    </w:p>
    <w:p w14:paraId="6E69BD48" w14:textId="06823001" w:rsidR="003C19E9" w:rsidRPr="00184AA7" w:rsidRDefault="003C19E9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>Nárok na vrácení spotřební daně z minerálních olejů vznik</w:t>
      </w:r>
      <w:r w:rsidR="00BE4337">
        <w:rPr>
          <w:rFonts w:ascii="Calibri" w:eastAsia="Times New Roman" w:hAnsi="Calibri" w:cs="Times New Roman"/>
          <w:sz w:val="24"/>
          <w:szCs w:val="24"/>
        </w:rPr>
        <w:t xml:space="preserve">á MV dle </w:t>
      </w:r>
      <w:r w:rsidR="00A271CF">
        <w:rPr>
          <w:rFonts w:ascii="Calibri" w:eastAsia="Times New Roman" w:hAnsi="Calibri" w:cs="Times New Roman"/>
          <w:sz w:val="24"/>
          <w:szCs w:val="24"/>
        </w:rPr>
        <w:t xml:space="preserve">ustanovení </w:t>
      </w:r>
      <w:r w:rsidR="00BE4337">
        <w:rPr>
          <w:rFonts w:ascii="Calibri" w:eastAsia="Times New Roman" w:hAnsi="Calibri" w:cs="Times New Roman"/>
          <w:sz w:val="24"/>
          <w:szCs w:val="24"/>
        </w:rPr>
        <w:t>§ 56 odst. 5 zákona č. </w:t>
      </w:r>
      <w:r w:rsidRPr="00184AA7">
        <w:rPr>
          <w:rFonts w:ascii="Calibri" w:eastAsia="Times New Roman" w:hAnsi="Calibri" w:cs="Times New Roman"/>
          <w:sz w:val="24"/>
          <w:szCs w:val="24"/>
        </w:rPr>
        <w:t>353/2003 Sb</w:t>
      </w:r>
      <w:r w:rsidR="00927BE8">
        <w:rPr>
          <w:rFonts w:ascii="Calibri" w:eastAsia="Times New Roman" w:hAnsi="Calibri" w:cs="Times New Roman"/>
          <w:sz w:val="24"/>
          <w:szCs w:val="24"/>
        </w:rPr>
        <w:t>.</w:t>
      </w:r>
      <w:r w:rsidR="00837729">
        <w:rPr>
          <w:rFonts w:ascii="Calibri" w:eastAsia="Times New Roman" w:hAnsi="Calibri" w:cs="Times New Roman"/>
          <w:sz w:val="24"/>
          <w:szCs w:val="24"/>
        </w:rPr>
        <w:t>,</w:t>
      </w:r>
      <w:r w:rsidR="008E58DD">
        <w:rPr>
          <w:rFonts w:ascii="Calibri" w:eastAsia="Times New Roman" w:hAnsi="Calibri" w:cs="Times New Roman"/>
          <w:sz w:val="24"/>
          <w:szCs w:val="24"/>
        </w:rPr>
        <w:t xml:space="preserve"> o </w:t>
      </w:r>
      <w:r w:rsidR="00C03797">
        <w:rPr>
          <w:rFonts w:ascii="Calibri" w:eastAsia="Times New Roman" w:hAnsi="Calibri" w:cs="Times New Roman"/>
          <w:sz w:val="24"/>
          <w:szCs w:val="24"/>
        </w:rPr>
        <w:t>spotřebních daních</w:t>
      </w:r>
      <w:r w:rsidR="00837729">
        <w:rPr>
          <w:rFonts w:ascii="Calibri" w:eastAsia="Times New Roman" w:hAnsi="Calibri" w:cs="Times New Roman"/>
          <w:sz w:val="24"/>
          <w:szCs w:val="24"/>
        </w:rPr>
        <w:t>,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dnem spotřeby</w:t>
      </w:r>
      <w:r w:rsidR="00C03797">
        <w:rPr>
          <w:rFonts w:ascii="Calibri" w:eastAsia="Times New Roman" w:hAnsi="Calibri" w:cs="Times New Roman"/>
          <w:sz w:val="24"/>
          <w:szCs w:val="24"/>
        </w:rPr>
        <w:t xml:space="preserve"> lehkých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topných olejů pro výrobu tepla</w:t>
      </w:r>
      <w:r w:rsidR="00C03797">
        <w:rPr>
          <w:rFonts w:ascii="Calibri" w:eastAsia="Times New Roman" w:hAnsi="Calibri" w:cs="Times New Roman"/>
          <w:sz w:val="24"/>
          <w:szCs w:val="24"/>
        </w:rPr>
        <w:t xml:space="preserve"> (dále jen „LTO“)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Vzniklý nárok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lze </w:t>
      </w:r>
      <w:r w:rsidR="00837729" w:rsidRPr="00184AA7">
        <w:rPr>
          <w:rFonts w:ascii="Calibri" w:eastAsia="Times New Roman" w:hAnsi="Calibri" w:cs="Times New Roman"/>
          <w:sz w:val="24"/>
          <w:szCs w:val="24"/>
        </w:rPr>
        <w:t xml:space="preserve">následně </w:t>
      </w:r>
      <w:r w:rsidR="004E6162">
        <w:rPr>
          <w:rFonts w:ascii="Calibri" w:eastAsia="Times New Roman" w:hAnsi="Calibri" w:cs="Times New Roman"/>
          <w:sz w:val="24"/>
          <w:szCs w:val="24"/>
        </w:rPr>
        <w:t xml:space="preserve">u příslušného celního úřadu </w:t>
      </w:r>
      <w:r w:rsidRPr="00184AA7">
        <w:rPr>
          <w:rFonts w:ascii="Calibri" w:eastAsia="Times New Roman" w:hAnsi="Calibri" w:cs="Times New Roman"/>
          <w:sz w:val="24"/>
          <w:szCs w:val="24"/>
        </w:rPr>
        <w:t>uplatnit v daňovém přiznání</w:t>
      </w:r>
      <w:r w:rsidR="00927BE8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698F572F" w14:textId="77777777" w:rsidR="00927BE8" w:rsidRDefault="003C19E9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84AA7">
        <w:rPr>
          <w:rFonts w:ascii="Calibri" w:eastAsia="Times New Roman" w:hAnsi="Calibri" w:cs="Times New Roman"/>
          <w:sz w:val="24"/>
          <w:szCs w:val="24"/>
        </w:rPr>
        <w:t xml:space="preserve">MV o pohledávce za celním úřadem z titulu nároku na vrácení spotřební daně </w:t>
      </w:r>
      <w:r w:rsidR="00C03797">
        <w:rPr>
          <w:rFonts w:ascii="Calibri" w:eastAsia="Times New Roman" w:hAnsi="Calibri" w:cs="Times New Roman"/>
          <w:sz w:val="24"/>
          <w:szCs w:val="24"/>
        </w:rPr>
        <w:t xml:space="preserve">účtovalo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na účtu </w:t>
      </w:r>
      <w:r w:rsidRPr="00BF1A3E">
        <w:rPr>
          <w:rFonts w:ascii="Calibri" w:eastAsia="Times New Roman" w:hAnsi="Calibri" w:cs="Times New Roman"/>
          <w:sz w:val="24"/>
          <w:szCs w:val="24"/>
        </w:rPr>
        <w:t>344</w:t>
      </w:r>
      <w:r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Jiné daně a poplatky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nesprávně </w:t>
      </w:r>
      <w:r w:rsidR="00C03797">
        <w:rPr>
          <w:rFonts w:ascii="Calibri" w:eastAsia="Times New Roman" w:hAnsi="Calibri" w:cs="Times New Roman"/>
          <w:sz w:val="24"/>
          <w:szCs w:val="24"/>
        </w:rPr>
        <w:t>již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v okamžiku pořízení LTO od dodavatele</w:t>
      </w:r>
      <w:r w:rsidR="00C03797">
        <w:rPr>
          <w:rFonts w:ascii="Calibri" w:eastAsia="Times New Roman" w:hAnsi="Calibri" w:cs="Times New Roman"/>
          <w:sz w:val="24"/>
          <w:szCs w:val="24"/>
        </w:rPr>
        <w:t>, kdy ale ještě</w:t>
      </w:r>
      <w:r w:rsidR="009F23D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dle </w:t>
      </w:r>
      <w:r w:rsidR="0082348A">
        <w:rPr>
          <w:rFonts w:ascii="Calibri" w:eastAsia="Times New Roman" w:hAnsi="Calibri" w:cs="Times New Roman"/>
          <w:sz w:val="24"/>
          <w:szCs w:val="24"/>
        </w:rPr>
        <w:t xml:space="preserve">ustanovení </w:t>
      </w:r>
      <w:r w:rsidRPr="00184AA7">
        <w:rPr>
          <w:rFonts w:ascii="Calibri" w:eastAsia="Times New Roman" w:hAnsi="Calibri" w:cs="Times New Roman"/>
          <w:sz w:val="24"/>
          <w:szCs w:val="24"/>
        </w:rPr>
        <w:t>§ 56 odst. 5 zákona č. 353/2003 Sb. nevznikl</w:t>
      </w:r>
      <w:r w:rsidR="004F4BCA">
        <w:rPr>
          <w:rFonts w:ascii="Calibri" w:eastAsia="Times New Roman" w:hAnsi="Calibri" w:cs="Times New Roman"/>
          <w:sz w:val="24"/>
          <w:szCs w:val="24"/>
        </w:rPr>
        <w:t xml:space="preserve"> MV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nárok na vrácení spotřební daně</w:t>
      </w:r>
      <w:r w:rsidR="004F4BCA">
        <w:rPr>
          <w:rFonts w:ascii="Calibri" w:eastAsia="Times New Roman" w:hAnsi="Calibri" w:cs="Times New Roman"/>
          <w:sz w:val="24"/>
          <w:szCs w:val="24"/>
        </w:rPr>
        <w:t>.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B1092CC" w14:textId="4E131DC4" w:rsidR="003C19E9" w:rsidRDefault="00927BE8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 důsledku této skutečnosti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MV ovlivnilo </w:t>
      </w:r>
      <w:r>
        <w:rPr>
          <w:rFonts w:ascii="Calibri" w:eastAsia="Times New Roman" w:hAnsi="Calibri" w:cs="Times New Roman"/>
          <w:sz w:val="24"/>
          <w:szCs w:val="24"/>
        </w:rPr>
        <w:t xml:space="preserve">výši 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>ocenění LTO, o kterém účtovalo a kter</w:t>
      </w:r>
      <w:r w:rsidR="004F4BCA">
        <w:rPr>
          <w:rFonts w:ascii="Calibri" w:eastAsia="Times New Roman" w:hAnsi="Calibri" w:cs="Times New Roman"/>
          <w:sz w:val="24"/>
          <w:szCs w:val="24"/>
        </w:rPr>
        <w:t>é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 vykazovalo na účtu 112</w:t>
      </w:r>
      <w:r w:rsidR="003C19E9" w:rsidRPr="00184AA7">
        <w:rPr>
          <w:rFonts w:ascii="Calibri" w:eastAsia="Times New Roman" w:hAnsi="Calibri" w:cs="Times New Roman"/>
          <w:i/>
          <w:sz w:val="24"/>
          <w:szCs w:val="24"/>
        </w:rPr>
        <w:t xml:space="preserve"> – Materiál na skladě</w:t>
      </w:r>
      <w:r w:rsidR="003C19E9" w:rsidRPr="00BF1A3E">
        <w:rPr>
          <w:rFonts w:ascii="Calibri" w:eastAsia="Times New Roman" w:hAnsi="Calibri" w:cs="Times New Roman"/>
          <w:sz w:val="24"/>
          <w:szCs w:val="24"/>
          <w:vertAlign w:val="superscript"/>
        </w:rPr>
        <w:footnoteReference w:id="19"/>
      </w:r>
      <w:r w:rsidR="004F4BCA">
        <w:rPr>
          <w:rFonts w:ascii="Calibri" w:eastAsia="Times New Roman" w:hAnsi="Calibri" w:cs="Times New Roman"/>
          <w:i/>
          <w:sz w:val="24"/>
          <w:szCs w:val="24"/>
        </w:rPr>
        <w:t>,</w:t>
      </w:r>
      <w:r w:rsidR="0094101A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4F4BCA">
        <w:rPr>
          <w:rFonts w:ascii="Calibri" w:eastAsia="Times New Roman" w:hAnsi="Calibri" w:cs="Times New Roman"/>
          <w:sz w:val="24"/>
          <w:szCs w:val="24"/>
        </w:rPr>
        <w:t>neboť o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 spotřební daň, která je zahrnuta v ceně pořizovaného LTO, snižovalo pořizovací cenu těchto zásob a vykazovalo </w:t>
      </w:r>
      <w:r w:rsidR="007E0B24">
        <w:rPr>
          <w:rFonts w:ascii="Calibri" w:eastAsia="Times New Roman" w:hAnsi="Calibri" w:cs="Times New Roman"/>
          <w:sz w:val="24"/>
          <w:szCs w:val="24"/>
        </w:rPr>
        <w:t>tuto daň</w:t>
      </w:r>
      <w:r w:rsidR="003C19E9" w:rsidRPr="00184AA7">
        <w:rPr>
          <w:rFonts w:ascii="Calibri" w:eastAsia="Times New Roman" w:hAnsi="Calibri" w:cs="Times New Roman"/>
          <w:sz w:val="24"/>
          <w:szCs w:val="24"/>
        </w:rPr>
        <w:t xml:space="preserve"> jako pohledávku za celním úřadem. 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MV </w:t>
      </w:r>
      <w:r w:rsidR="00417817">
        <w:rPr>
          <w:rFonts w:ascii="Calibri" w:eastAsia="Times New Roman" w:hAnsi="Calibri" w:cs="Times New Roman"/>
          <w:sz w:val="24"/>
          <w:szCs w:val="24"/>
        </w:rPr>
        <w:t xml:space="preserve">tím </w:t>
      </w:r>
      <w:r w:rsidR="003C19E9">
        <w:rPr>
          <w:rFonts w:ascii="Calibri" w:eastAsia="Times New Roman" w:hAnsi="Calibri" w:cs="Times New Roman"/>
          <w:sz w:val="24"/>
          <w:szCs w:val="24"/>
        </w:rPr>
        <w:t xml:space="preserve">v </w:t>
      </w:r>
      <w:r w:rsidR="003C19E9" w:rsidRPr="00CB1797">
        <w:rPr>
          <w:rFonts w:ascii="Calibri" w:eastAsia="Times New Roman" w:hAnsi="Calibri" w:cs="Times New Roman"/>
          <w:sz w:val="24"/>
          <w:szCs w:val="24"/>
        </w:rPr>
        <w:t xml:space="preserve">ÚZ ovlivnilo zůstatky účtů 112 – </w:t>
      </w:r>
      <w:r w:rsidR="003C19E9" w:rsidRPr="00417817">
        <w:rPr>
          <w:rFonts w:ascii="Calibri" w:eastAsia="Times New Roman" w:hAnsi="Calibri" w:cs="Times New Roman"/>
          <w:i/>
          <w:sz w:val="24"/>
          <w:szCs w:val="24"/>
        </w:rPr>
        <w:t>Materiál na skladě</w:t>
      </w:r>
      <w:r w:rsidR="003C19E9" w:rsidRPr="00CB1797">
        <w:rPr>
          <w:rFonts w:ascii="Calibri" w:eastAsia="Times New Roman" w:hAnsi="Calibri" w:cs="Times New Roman"/>
          <w:sz w:val="24"/>
          <w:szCs w:val="24"/>
        </w:rPr>
        <w:t xml:space="preserve"> a</w:t>
      </w:r>
      <w:r w:rsidR="00882ABB">
        <w:rPr>
          <w:rFonts w:ascii="Calibri" w:eastAsia="Times New Roman" w:hAnsi="Calibri" w:cs="Times New Roman"/>
          <w:sz w:val="24"/>
          <w:szCs w:val="24"/>
        </w:rPr>
        <w:t> </w:t>
      </w:r>
      <w:r w:rsidR="003C19E9" w:rsidRPr="00CB1797">
        <w:rPr>
          <w:rFonts w:ascii="Calibri" w:eastAsia="Times New Roman" w:hAnsi="Calibri" w:cs="Times New Roman"/>
          <w:sz w:val="24"/>
          <w:szCs w:val="24"/>
        </w:rPr>
        <w:t xml:space="preserve">344 – </w:t>
      </w:r>
      <w:r w:rsidR="003C19E9" w:rsidRPr="009842FD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="003C19E9" w:rsidRPr="00CB1797">
        <w:rPr>
          <w:rFonts w:ascii="Calibri" w:eastAsia="Times New Roman" w:hAnsi="Calibri" w:cs="Times New Roman"/>
          <w:sz w:val="24"/>
          <w:szCs w:val="24"/>
        </w:rPr>
        <w:t xml:space="preserve"> o částku 47,78 tis. Kč</w:t>
      </w:r>
      <w:r w:rsidR="003C19E9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20"/>
      </w:r>
      <w:r w:rsidR="003C19E9" w:rsidRPr="00CB1797">
        <w:rPr>
          <w:rFonts w:ascii="Calibri" w:eastAsia="Times New Roman" w:hAnsi="Calibri" w:cs="Times New Roman"/>
          <w:sz w:val="24"/>
          <w:szCs w:val="24"/>
        </w:rPr>
        <w:t>.</w:t>
      </w:r>
    </w:p>
    <w:p w14:paraId="05DC6518" w14:textId="5BD9CEBB" w:rsidR="004F4BCA" w:rsidRDefault="004F4BCA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Pohledávka na účtu </w:t>
      </w:r>
      <w:r w:rsidRPr="00CB1797">
        <w:rPr>
          <w:rFonts w:ascii="Calibri" w:eastAsia="Times New Roman" w:hAnsi="Calibri" w:cs="Times New Roman"/>
          <w:sz w:val="24"/>
          <w:szCs w:val="24"/>
        </w:rPr>
        <w:t xml:space="preserve">344 – </w:t>
      </w:r>
      <w:r w:rsidRPr="009842FD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Pr="00CB179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byla navíc vykazována v nesprávné výši</w:t>
      </w:r>
      <w:r w:rsidR="007E0B24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a to v celkové částce spotřební daně zaplacené při nákupu LTO, i když nárok na vrácení této daně mělo MV v souladu s ustanovením § 56 odst. 6 zákona č. 353/2003 Sb. jen zčásti.</w:t>
      </w:r>
    </w:p>
    <w:p w14:paraId="731EFA0B" w14:textId="27A9396E" w:rsidR="004F4BCA" w:rsidRPr="00BC1544" w:rsidRDefault="004F4BCA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 systému účtování nastaveném na MV v této oblasti byla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„nevrácená“ část</w:t>
      </w:r>
      <w:r w:rsidR="005D239F">
        <w:rPr>
          <w:rFonts w:ascii="Calibri" w:eastAsia="Times New Roman" w:hAnsi="Calibri" w:cs="Times New Roman"/>
          <w:sz w:val="24"/>
          <w:szCs w:val="24"/>
        </w:rPr>
        <w:t xml:space="preserve"> spotřební daně</w:t>
      </w:r>
      <w:r>
        <w:rPr>
          <w:rFonts w:ascii="Calibri" w:eastAsia="Times New Roman" w:hAnsi="Calibri" w:cs="Times New Roman"/>
          <w:sz w:val="24"/>
          <w:szCs w:val="24"/>
        </w:rPr>
        <w:t xml:space="preserve"> zúčtována </w:t>
      </w:r>
      <w:r w:rsidR="005D239F">
        <w:rPr>
          <w:rFonts w:ascii="Calibri" w:eastAsia="Times New Roman" w:hAnsi="Calibri" w:cs="Times New Roman"/>
          <w:sz w:val="24"/>
          <w:szCs w:val="24"/>
        </w:rPr>
        <w:t xml:space="preserve">vždy </w:t>
      </w:r>
      <w:r>
        <w:rPr>
          <w:rFonts w:ascii="Calibri" w:eastAsia="Times New Roman" w:hAnsi="Calibri" w:cs="Times New Roman"/>
          <w:sz w:val="24"/>
          <w:szCs w:val="24"/>
        </w:rPr>
        <w:t xml:space="preserve">z účtu </w:t>
      </w:r>
      <w:r w:rsidRPr="00CB1797">
        <w:rPr>
          <w:rFonts w:ascii="Calibri" w:eastAsia="Times New Roman" w:hAnsi="Calibri" w:cs="Times New Roman"/>
          <w:sz w:val="24"/>
          <w:szCs w:val="24"/>
        </w:rPr>
        <w:t xml:space="preserve">344 – </w:t>
      </w:r>
      <w:r w:rsidRPr="009842FD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Pr="00CB179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do nákladů na účet</w:t>
      </w:r>
      <w:r w:rsidR="007E0B24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501 – </w:t>
      </w:r>
      <w:r w:rsidRPr="0094101A">
        <w:rPr>
          <w:rFonts w:ascii="Calibri" w:eastAsia="Times New Roman" w:hAnsi="Calibri" w:cs="Times New Roman"/>
          <w:i/>
          <w:sz w:val="24"/>
          <w:szCs w:val="24"/>
        </w:rPr>
        <w:t>Spotřeba materiálu.</w:t>
      </w:r>
    </w:p>
    <w:p w14:paraId="066B7E45" w14:textId="4996998E" w:rsidR="004F4BCA" w:rsidRPr="00BF1A3E" w:rsidRDefault="005D239F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MV </w:t>
      </w:r>
      <w:r w:rsidR="003105E0">
        <w:rPr>
          <w:rFonts w:ascii="Calibri" w:eastAsia="Times New Roman" w:hAnsi="Calibri" w:cs="Times New Roman"/>
          <w:sz w:val="24"/>
          <w:szCs w:val="24"/>
        </w:rPr>
        <w:t>jednorázově na konci roku</w:t>
      </w:r>
      <w:r>
        <w:rPr>
          <w:rFonts w:ascii="Calibri" w:eastAsia="Times New Roman" w:hAnsi="Calibri" w:cs="Times New Roman"/>
          <w:sz w:val="24"/>
          <w:szCs w:val="24"/>
        </w:rPr>
        <w:t xml:space="preserve"> zúčtovalo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F4BCA">
        <w:rPr>
          <w:rFonts w:ascii="Calibri" w:eastAsia="Times New Roman" w:hAnsi="Calibri" w:cs="Times New Roman"/>
          <w:sz w:val="24"/>
          <w:szCs w:val="24"/>
        </w:rPr>
        <w:t>částku „nevrácené“ části spotřební daně</w:t>
      </w:r>
      <w:r w:rsidR="00E0510E">
        <w:rPr>
          <w:rFonts w:ascii="Calibri" w:eastAsia="Times New Roman" w:hAnsi="Calibri" w:cs="Times New Roman"/>
          <w:sz w:val="24"/>
          <w:szCs w:val="24"/>
        </w:rPr>
        <w:t xml:space="preserve"> ve výši 1,54 mil. Kč</w:t>
      </w:r>
      <w:r w:rsidR="004F4BCA">
        <w:rPr>
          <w:rFonts w:ascii="Calibri" w:eastAsia="Times New Roman" w:hAnsi="Calibri" w:cs="Times New Roman"/>
          <w:sz w:val="24"/>
          <w:szCs w:val="24"/>
        </w:rPr>
        <w:t xml:space="preserve"> do nákladů roku 2014, přestože k datu ÚZ nebyly</w:t>
      </w:r>
      <w:r w:rsidR="00E0510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F4BCA">
        <w:rPr>
          <w:rFonts w:ascii="Calibri" w:eastAsia="Times New Roman" w:hAnsi="Calibri" w:cs="Times New Roman"/>
          <w:sz w:val="24"/>
          <w:szCs w:val="24"/>
        </w:rPr>
        <w:t>LTO</w:t>
      </w:r>
      <w:r w:rsidR="00E0510E">
        <w:rPr>
          <w:rFonts w:ascii="Calibri" w:eastAsia="Times New Roman" w:hAnsi="Calibri" w:cs="Times New Roman"/>
          <w:sz w:val="24"/>
          <w:szCs w:val="24"/>
        </w:rPr>
        <w:t xml:space="preserve"> z tohoto nákupu</w:t>
      </w:r>
      <w:r w:rsidR="004F4BC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82ABB">
        <w:rPr>
          <w:rFonts w:ascii="Calibri" w:eastAsia="Times New Roman" w:hAnsi="Calibri" w:cs="Times New Roman"/>
          <w:sz w:val="24"/>
          <w:szCs w:val="24"/>
        </w:rPr>
        <w:t xml:space="preserve">ještě </w:t>
      </w:r>
      <w:r w:rsidR="004F4BCA">
        <w:rPr>
          <w:rFonts w:ascii="Calibri" w:eastAsia="Times New Roman" w:hAnsi="Calibri" w:cs="Times New Roman"/>
          <w:sz w:val="24"/>
          <w:szCs w:val="24"/>
        </w:rPr>
        <w:t xml:space="preserve">ani vyskladněny ze skladu, a </w:t>
      </w:r>
      <w:r w:rsidR="00882ABB">
        <w:rPr>
          <w:rFonts w:ascii="Calibri" w:eastAsia="Times New Roman" w:hAnsi="Calibri" w:cs="Times New Roman"/>
          <w:sz w:val="24"/>
          <w:szCs w:val="24"/>
        </w:rPr>
        <w:t>tedy</w:t>
      </w:r>
      <w:r w:rsidR="004F4BCA">
        <w:rPr>
          <w:rFonts w:ascii="Calibri" w:eastAsia="Times New Roman" w:hAnsi="Calibri" w:cs="Times New Roman"/>
          <w:sz w:val="24"/>
          <w:szCs w:val="24"/>
        </w:rPr>
        <w:t xml:space="preserve"> ani spotřebován</w:t>
      </w:r>
      <w:r w:rsidR="00E0510E">
        <w:rPr>
          <w:rFonts w:ascii="Calibri" w:eastAsia="Times New Roman" w:hAnsi="Calibri" w:cs="Times New Roman"/>
          <w:sz w:val="24"/>
          <w:szCs w:val="24"/>
        </w:rPr>
        <w:t xml:space="preserve">y. Tímto nesprávným postupem ovlivnilo MV v ÚZ zůstatky účtů </w:t>
      </w:r>
      <w:r w:rsidR="00E0510E" w:rsidRPr="00CB1797">
        <w:rPr>
          <w:rFonts w:ascii="Calibri" w:eastAsia="Times New Roman" w:hAnsi="Calibri" w:cs="Times New Roman"/>
          <w:sz w:val="24"/>
          <w:szCs w:val="24"/>
        </w:rPr>
        <w:t xml:space="preserve">344 – </w:t>
      </w:r>
      <w:r w:rsidR="00E0510E" w:rsidRPr="009842FD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="00E0510E" w:rsidRPr="00CB179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0510E">
        <w:rPr>
          <w:rFonts w:ascii="Calibri" w:eastAsia="Times New Roman" w:hAnsi="Calibri" w:cs="Times New Roman"/>
          <w:sz w:val="24"/>
          <w:szCs w:val="24"/>
        </w:rPr>
        <w:t>a 501</w:t>
      </w:r>
      <w:r w:rsidR="00F40309"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E0510E" w:rsidRPr="0094101A">
        <w:rPr>
          <w:rFonts w:ascii="Calibri" w:eastAsia="Times New Roman" w:hAnsi="Calibri" w:cs="Times New Roman"/>
          <w:i/>
          <w:sz w:val="24"/>
          <w:szCs w:val="24"/>
        </w:rPr>
        <w:t>Spotřeba materiálu.</w:t>
      </w:r>
    </w:p>
    <w:p w14:paraId="64D7E3B9" w14:textId="77777777" w:rsidR="003C19E9" w:rsidRPr="00BF1A3E" w:rsidRDefault="004E6162" w:rsidP="00156B44">
      <w:pPr>
        <w:pStyle w:val="Odstavecseseznamem"/>
        <w:numPr>
          <w:ilvl w:val="1"/>
          <w:numId w:val="21"/>
        </w:numPr>
        <w:spacing w:after="120" w:line="240" w:lineRule="auto"/>
        <w:ind w:left="567" w:hanging="567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BF1A3E">
        <w:rPr>
          <w:rFonts w:ascii="Calibri" w:eastAsia="Times New Roman" w:hAnsi="Calibri" w:cs="Calibri"/>
          <w:b/>
          <w:sz w:val="24"/>
          <w:szCs w:val="24"/>
        </w:rPr>
        <w:t xml:space="preserve">Účtování o vrácené spotřební dani </w:t>
      </w:r>
      <w:r w:rsidR="00C60D0D" w:rsidRPr="00BF1A3E">
        <w:rPr>
          <w:rFonts w:ascii="Calibri" w:eastAsia="Times New Roman" w:hAnsi="Calibri" w:cs="Calibri"/>
          <w:b/>
          <w:sz w:val="24"/>
          <w:szCs w:val="24"/>
        </w:rPr>
        <w:t>a</w:t>
      </w:r>
      <w:r w:rsidRPr="00BF1A3E">
        <w:rPr>
          <w:rFonts w:ascii="Calibri" w:eastAsia="Times New Roman" w:hAnsi="Calibri" w:cs="Calibri"/>
          <w:b/>
          <w:sz w:val="24"/>
          <w:szCs w:val="24"/>
        </w:rPr>
        <w:t xml:space="preserve"> z</w:t>
      </w:r>
      <w:r w:rsidR="003C19E9" w:rsidRPr="00BF1A3E">
        <w:rPr>
          <w:rFonts w:ascii="Calibri" w:eastAsia="Times New Roman" w:hAnsi="Calibri" w:cs="Times New Roman"/>
          <w:b/>
          <w:sz w:val="24"/>
          <w:szCs w:val="24"/>
        </w:rPr>
        <w:t>ůstatek účtu 344</w:t>
      </w:r>
      <w:r w:rsidR="003C19E9" w:rsidRPr="00045D1C">
        <w:rPr>
          <w:rFonts w:ascii="Calibri" w:eastAsia="Times New Roman" w:hAnsi="Calibri" w:cs="Times New Roman"/>
          <w:b/>
          <w:i/>
          <w:sz w:val="24"/>
          <w:szCs w:val="24"/>
        </w:rPr>
        <w:t xml:space="preserve"> </w:t>
      </w:r>
      <w:r w:rsidR="003C19E9" w:rsidRPr="00BF1A3E">
        <w:rPr>
          <w:rFonts w:ascii="Calibri" w:eastAsia="Times New Roman" w:hAnsi="Calibri" w:cs="Times New Roman"/>
          <w:b/>
          <w:sz w:val="24"/>
          <w:szCs w:val="24"/>
        </w:rPr>
        <w:t>–</w:t>
      </w:r>
      <w:r w:rsidR="003C19E9" w:rsidRPr="00045D1C">
        <w:rPr>
          <w:rFonts w:ascii="Calibri" w:eastAsia="Times New Roman" w:hAnsi="Calibri" w:cs="Times New Roman"/>
          <w:b/>
          <w:i/>
          <w:sz w:val="24"/>
          <w:szCs w:val="24"/>
        </w:rPr>
        <w:t xml:space="preserve"> Jiné daně a poplatky</w:t>
      </w:r>
      <w:r w:rsidR="003C19E9" w:rsidRPr="00BF1A3E">
        <w:rPr>
          <w:rStyle w:val="Znakapoznpodarou"/>
          <w:rFonts w:ascii="Calibri" w:eastAsia="Times New Roman" w:hAnsi="Calibri" w:cs="Times New Roman"/>
          <w:b/>
          <w:sz w:val="24"/>
          <w:szCs w:val="24"/>
        </w:rPr>
        <w:footnoteReference w:id="21"/>
      </w:r>
    </w:p>
    <w:p w14:paraId="4948150F" w14:textId="36273E5C" w:rsidR="00C60D0D" w:rsidRDefault="00443AE7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 vratce spotřební daně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přijaté v listopadu 2014</w:t>
      </w:r>
      <w:r>
        <w:rPr>
          <w:rFonts w:ascii="Calibri" w:eastAsia="Times New Roman" w:hAnsi="Calibri" w:cs="Times New Roman"/>
          <w:sz w:val="24"/>
          <w:szCs w:val="24"/>
        </w:rPr>
        <w:t xml:space="preserve"> účtovalo </w:t>
      </w:r>
      <w:r w:rsidR="00C60D0D" w:rsidRPr="00045D1C">
        <w:rPr>
          <w:rFonts w:ascii="Calibri" w:eastAsia="Times New Roman" w:hAnsi="Calibri" w:cs="Times New Roman"/>
          <w:sz w:val="24"/>
          <w:szCs w:val="24"/>
        </w:rPr>
        <w:t>MV</w:t>
      </w:r>
      <w:r>
        <w:rPr>
          <w:rFonts w:ascii="Calibri" w:eastAsia="Times New Roman" w:hAnsi="Calibri" w:cs="Times New Roman"/>
          <w:sz w:val="24"/>
          <w:szCs w:val="24"/>
        </w:rPr>
        <w:t xml:space="preserve"> v účetním okruhu </w:t>
      </w:r>
      <w:r w:rsidR="00156B44">
        <w:rPr>
          <w:rFonts w:ascii="Calibri" w:eastAsia="Times New Roman" w:hAnsi="Calibri" w:cs="Times New Roman"/>
          <w:sz w:val="24"/>
          <w:szCs w:val="24"/>
        </w:rPr>
        <w:t>„</w:t>
      </w:r>
      <w:r w:rsidR="00DC0B4D">
        <w:rPr>
          <w:rFonts w:ascii="Calibri" w:eastAsia="Times New Roman" w:hAnsi="Calibri" w:cs="Times New Roman"/>
          <w:sz w:val="24"/>
          <w:szCs w:val="24"/>
        </w:rPr>
        <w:t>Ministerstvo</w:t>
      </w:r>
      <w:r w:rsidR="00156B44">
        <w:rPr>
          <w:rFonts w:ascii="Calibri" w:eastAsia="Times New Roman" w:hAnsi="Calibri" w:cs="Times New Roman"/>
          <w:sz w:val="24"/>
          <w:szCs w:val="24"/>
        </w:rPr>
        <w:t>“</w:t>
      </w:r>
      <w:r>
        <w:rPr>
          <w:rFonts w:ascii="Calibri" w:eastAsia="Times New Roman" w:hAnsi="Calibri" w:cs="Times New Roman"/>
          <w:sz w:val="24"/>
          <w:szCs w:val="24"/>
        </w:rPr>
        <w:t xml:space="preserve"> jako o závazku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 účetním záp</w:t>
      </w:r>
      <w:r w:rsidR="00F40309">
        <w:rPr>
          <w:rFonts w:ascii="Calibri" w:eastAsia="Times New Roman" w:hAnsi="Calibri" w:cs="Times New Roman"/>
          <w:sz w:val="24"/>
          <w:szCs w:val="24"/>
        </w:rPr>
        <w:t>isem na stranu MÁ DÁTI účtu 245 –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 w:rsidRPr="0094101A">
        <w:rPr>
          <w:rFonts w:ascii="Calibri" w:eastAsia="Times New Roman" w:hAnsi="Calibri" w:cs="Times New Roman"/>
          <w:i/>
          <w:sz w:val="24"/>
          <w:szCs w:val="24"/>
        </w:rPr>
        <w:t xml:space="preserve">Jiné běžné </w:t>
      </w:r>
      <w:r w:rsidR="00DC0B4D" w:rsidRPr="0094101A">
        <w:rPr>
          <w:rFonts w:ascii="Calibri" w:eastAsia="Times New Roman" w:hAnsi="Calibri" w:cs="Times New Roman"/>
          <w:i/>
          <w:sz w:val="24"/>
          <w:szCs w:val="24"/>
        </w:rPr>
        <w:lastRenderedPageBreak/>
        <w:t>účty</w:t>
      </w:r>
      <w:r w:rsidR="00E003FA">
        <w:rPr>
          <w:rFonts w:ascii="Calibri" w:eastAsia="Times New Roman" w:hAnsi="Calibri" w:cs="Times New Roman"/>
          <w:sz w:val="24"/>
          <w:szCs w:val="24"/>
        </w:rPr>
        <w:t xml:space="preserve"> a </w:t>
      </w:r>
      <w:r w:rsidR="00DC0B4D">
        <w:rPr>
          <w:rFonts w:ascii="Calibri" w:eastAsia="Times New Roman" w:hAnsi="Calibri" w:cs="Times New Roman"/>
          <w:sz w:val="24"/>
          <w:szCs w:val="24"/>
        </w:rPr>
        <w:t>na</w:t>
      </w:r>
      <w:r w:rsidR="003524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>
        <w:rPr>
          <w:rFonts w:ascii="Calibri" w:eastAsia="Times New Roman" w:hAnsi="Calibri" w:cs="Times New Roman"/>
          <w:sz w:val="24"/>
          <w:szCs w:val="24"/>
        </w:rPr>
        <w:t>stranu DAL účt</w:t>
      </w:r>
      <w:r w:rsidR="003524E9">
        <w:rPr>
          <w:rFonts w:ascii="Calibri" w:eastAsia="Times New Roman" w:hAnsi="Calibri" w:cs="Times New Roman"/>
          <w:sz w:val="24"/>
          <w:szCs w:val="24"/>
        </w:rPr>
        <w:t>u</w:t>
      </w:r>
      <w:r w:rsidR="00A271C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>
        <w:rPr>
          <w:rFonts w:ascii="Calibri" w:eastAsia="Times New Roman" w:hAnsi="Calibri" w:cs="Times New Roman"/>
          <w:sz w:val="24"/>
          <w:szCs w:val="24"/>
        </w:rPr>
        <w:t>344 –</w:t>
      </w:r>
      <w:r w:rsidR="00E003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 w:rsidRPr="0094101A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DC0B4D">
        <w:rPr>
          <w:rFonts w:ascii="Calibri" w:eastAsia="Times New Roman" w:hAnsi="Calibri" w:cs="Times New Roman"/>
          <w:sz w:val="24"/>
          <w:szCs w:val="24"/>
        </w:rPr>
        <w:t>Vratku spotřební daně</w:t>
      </w:r>
      <w:r w:rsidR="003524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>
        <w:rPr>
          <w:rFonts w:ascii="Calibri" w:eastAsia="Times New Roman" w:hAnsi="Calibri" w:cs="Times New Roman"/>
          <w:sz w:val="24"/>
          <w:szCs w:val="24"/>
        </w:rPr>
        <w:t>MV přijímá od celního úřadu na bankovní účet cizích prostředků</w:t>
      </w:r>
      <w:r w:rsidR="00156B44">
        <w:rPr>
          <w:rFonts w:ascii="Calibri" w:eastAsia="Times New Roman" w:hAnsi="Calibri" w:cs="Times New Roman"/>
          <w:sz w:val="24"/>
          <w:szCs w:val="24"/>
        </w:rPr>
        <w:t>,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následně ji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 převádí na příjmový účet státního rozpočtu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56B44">
        <w:rPr>
          <w:rFonts w:ascii="Calibri" w:eastAsia="Times New Roman" w:hAnsi="Calibri" w:cs="Times New Roman"/>
          <w:sz w:val="24"/>
          <w:szCs w:val="24"/>
        </w:rPr>
        <w:t xml:space="preserve">a 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o </w:t>
      </w:r>
      <w:r w:rsidR="00156B44">
        <w:rPr>
          <w:rFonts w:ascii="Calibri" w:eastAsia="Times New Roman" w:hAnsi="Calibri" w:cs="Times New Roman"/>
          <w:sz w:val="24"/>
          <w:szCs w:val="24"/>
        </w:rPr>
        <w:t>tomto převodu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účtuje v jiném účetním okruhu</w:t>
      </w:r>
      <w:r w:rsidR="00E003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>
        <w:rPr>
          <w:rFonts w:ascii="Calibri" w:eastAsia="Times New Roman" w:hAnsi="Calibri" w:cs="Times New Roman"/>
          <w:sz w:val="24"/>
          <w:szCs w:val="24"/>
        </w:rPr>
        <w:t>v rámci MV. K datu ÚZ</w:t>
      </w:r>
      <w:r w:rsidR="003105E0">
        <w:rPr>
          <w:rFonts w:ascii="Calibri" w:eastAsia="Times New Roman" w:hAnsi="Calibri" w:cs="Times New Roman"/>
          <w:sz w:val="24"/>
          <w:szCs w:val="24"/>
        </w:rPr>
        <w:t xml:space="preserve"> nebyl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 převod peněžních prostředků proveden a závazek na účtu 344 – </w:t>
      </w:r>
      <w:r w:rsidR="00DC0B4D" w:rsidRPr="0094101A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 byl v rámci inventarizace jako existující odsouhlasen. </w:t>
      </w:r>
      <w:r>
        <w:rPr>
          <w:rFonts w:ascii="Calibri" w:eastAsia="Times New Roman" w:hAnsi="Calibri" w:cs="Times New Roman"/>
          <w:sz w:val="24"/>
          <w:szCs w:val="24"/>
        </w:rPr>
        <w:t>Tím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 MV</w:t>
      </w:r>
      <w:r w:rsidR="00C60D0D" w:rsidRPr="00045D1C">
        <w:rPr>
          <w:rFonts w:ascii="Calibri" w:eastAsia="Times New Roman" w:hAnsi="Calibri" w:cs="Times New Roman"/>
          <w:sz w:val="24"/>
          <w:szCs w:val="24"/>
        </w:rPr>
        <w:t xml:space="preserve"> v ÚZ ovlivnilo zůstatek účtu</w:t>
      </w:r>
      <w:r w:rsidR="007C6884">
        <w:rPr>
          <w:rFonts w:ascii="Calibri" w:eastAsia="Times New Roman" w:hAnsi="Calibri" w:cs="Times New Roman"/>
          <w:sz w:val="24"/>
          <w:szCs w:val="24"/>
        </w:rPr>
        <w:br/>
      </w:r>
      <w:r w:rsidR="00C60D0D" w:rsidRPr="00045D1C">
        <w:rPr>
          <w:rFonts w:ascii="Calibri" w:eastAsia="Times New Roman" w:hAnsi="Calibri" w:cs="Times New Roman"/>
          <w:sz w:val="24"/>
          <w:szCs w:val="24"/>
        </w:rPr>
        <w:t xml:space="preserve">344 – </w:t>
      </w:r>
      <w:r w:rsidR="00C60D0D" w:rsidRPr="00045D1C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="00F40309">
        <w:rPr>
          <w:rFonts w:ascii="Calibri" w:eastAsia="Times New Roman" w:hAnsi="Calibri" w:cs="Times New Roman"/>
          <w:sz w:val="24"/>
          <w:szCs w:val="24"/>
        </w:rPr>
        <w:t xml:space="preserve"> o </w:t>
      </w:r>
      <w:r w:rsidR="00C60D0D" w:rsidRPr="00045D1C">
        <w:rPr>
          <w:rFonts w:ascii="Calibri" w:eastAsia="Times New Roman" w:hAnsi="Calibri" w:cs="Times New Roman"/>
          <w:sz w:val="24"/>
          <w:szCs w:val="24"/>
        </w:rPr>
        <w:t>částku 401,14 tis. Kč</w:t>
      </w:r>
      <w:r w:rsidR="00156B44">
        <w:rPr>
          <w:rFonts w:ascii="Calibri" w:eastAsia="Times New Roman" w:hAnsi="Calibri" w:cs="Times New Roman"/>
          <w:sz w:val="24"/>
          <w:szCs w:val="24"/>
        </w:rPr>
        <w:t>.</w:t>
      </w:r>
    </w:p>
    <w:p w14:paraId="6D5CCD05" w14:textId="2DD8C08F" w:rsidR="003C19E9" w:rsidRDefault="003C19E9" w:rsidP="003C19E9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45D1C">
        <w:rPr>
          <w:rFonts w:ascii="Calibri" w:eastAsia="Times New Roman" w:hAnsi="Calibri" w:cs="Times New Roman"/>
          <w:sz w:val="24"/>
          <w:szCs w:val="24"/>
        </w:rPr>
        <w:t xml:space="preserve">MV v ÚZ k 31. prosinci 2014 vykázalo na účtu 344 – </w:t>
      </w:r>
      <w:r w:rsidRPr="00045D1C">
        <w:rPr>
          <w:rFonts w:ascii="Calibri" w:eastAsia="Times New Roman" w:hAnsi="Calibri" w:cs="Times New Roman"/>
          <w:i/>
          <w:sz w:val="24"/>
          <w:szCs w:val="24"/>
        </w:rPr>
        <w:t>Jiné daně a poplatky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0B4D">
        <w:rPr>
          <w:rFonts w:ascii="Calibri" w:eastAsia="Times New Roman" w:hAnsi="Calibri" w:cs="Times New Roman"/>
          <w:sz w:val="24"/>
          <w:szCs w:val="24"/>
        </w:rPr>
        <w:t xml:space="preserve">jako konečný zůstatek </w:t>
      </w:r>
      <w:r w:rsidRPr="00045D1C">
        <w:rPr>
          <w:rFonts w:ascii="Calibri" w:eastAsia="Times New Roman" w:hAnsi="Calibri" w:cs="Times New Roman"/>
          <w:sz w:val="24"/>
          <w:szCs w:val="24"/>
        </w:rPr>
        <w:t>krátkodobý závazek ve výši 353 tis. Kč</w:t>
      </w:r>
      <w:r w:rsidRPr="00045D1C">
        <w:rPr>
          <w:rFonts w:ascii="Calibri" w:eastAsia="Times New Roman" w:hAnsi="Calibri" w:cs="Times New Roman"/>
          <w:sz w:val="24"/>
          <w:szCs w:val="24"/>
          <w:vertAlign w:val="superscript"/>
        </w:rPr>
        <w:footnoteReference w:id="22"/>
      </w:r>
      <w:r w:rsidRPr="00045D1C">
        <w:rPr>
          <w:rFonts w:ascii="Calibri" w:eastAsia="Times New Roman" w:hAnsi="Calibri" w:cs="Times New Roman"/>
          <w:sz w:val="24"/>
          <w:szCs w:val="24"/>
        </w:rPr>
        <w:t>, tj. povinnost uhradit spotřební</w:t>
      </w:r>
      <w:r w:rsidR="00D25870" w:rsidRPr="00D2587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25870" w:rsidRPr="00045D1C">
        <w:rPr>
          <w:rFonts w:ascii="Calibri" w:eastAsia="Times New Roman" w:hAnsi="Calibri" w:cs="Times New Roman"/>
          <w:sz w:val="24"/>
          <w:szCs w:val="24"/>
        </w:rPr>
        <w:t>daň</w:t>
      </w:r>
      <w:r w:rsidR="00045D1C" w:rsidRPr="00045D1C">
        <w:rPr>
          <w:rFonts w:ascii="Calibri" w:eastAsia="Times New Roman" w:hAnsi="Calibri" w:cs="Times New Roman"/>
          <w:sz w:val="24"/>
          <w:szCs w:val="24"/>
        </w:rPr>
        <w:t>. T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ento </w:t>
      </w:r>
      <w:r w:rsidR="00CF1F94">
        <w:rPr>
          <w:rFonts w:ascii="Calibri" w:eastAsia="Times New Roman" w:hAnsi="Calibri" w:cs="Times New Roman"/>
          <w:sz w:val="24"/>
          <w:szCs w:val="24"/>
        </w:rPr>
        <w:t xml:space="preserve">vykázaný 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závazek </w:t>
      </w:r>
      <w:r w:rsidR="00045D1C" w:rsidRPr="00045D1C">
        <w:rPr>
          <w:rFonts w:ascii="Calibri" w:eastAsia="Times New Roman" w:hAnsi="Calibri" w:cs="Times New Roman"/>
          <w:sz w:val="24"/>
          <w:szCs w:val="24"/>
        </w:rPr>
        <w:t>však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 představoval</w:t>
      </w:r>
      <w:r w:rsidR="000E467A">
        <w:rPr>
          <w:rFonts w:ascii="Calibri" w:eastAsia="Times New Roman" w:hAnsi="Calibri" w:cs="Times New Roman"/>
          <w:sz w:val="24"/>
          <w:szCs w:val="24"/>
        </w:rPr>
        <w:t xml:space="preserve"> výsledek účtování o pohledávkách a závazcích </w:t>
      </w:r>
      <w:r w:rsidR="00404924">
        <w:rPr>
          <w:rFonts w:ascii="Calibri" w:eastAsia="Times New Roman" w:hAnsi="Calibri" w:cs="Times New Roman"/>
          <w:sz w:val="24"/>
          <w:szCs w:val="24"/>
        </w:rPr>
        <w:t xml:space="preserve">mezi </w:t>
      </w:r>
      <w:r w:rsidRPr="00045D1C">
        <w:rPr>
          <w:rFonts w:ascii="Calibri" w:eastAsia="Times New Roman" w:hAnsi="Calibri" w:cs="Times New Roman"/>
          <w:sz w:val="24"/>
          <w:szCs w:val="24"/>
        </w:rPr>
        <w:t>organizačním</w:t>
      </w:r>
      <w:r w:rsidR="00404924">
        <w:rPr>
          <w:rFonts w:ascii="Calibri" w:eastAsia="Times New Roman" w:hAnsi="Calibri" w:cs="Times New Roman"/>
          <w:sz w:val="24"/>
          <w:szCs w:val="24"/>
        </w:rPr>
        <w:t>i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 součástm</w:t>
      </w:r>
      <w:r w:rsidR="00404924">
        <w:rPr>
          <w:rFonts w:ascii="Calibri" w:eastAsia="Times New Roman" w:hAnsi="Calibri" w:cs="Times New Roman"/>
          <w:sz w:val="24"/>
          <w:szCs w:val="24"/>
        </w:rPr>
        <w:t>i (účetními okruhy)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 v rámci OSS Ministerstvo vnitra</w:t>
      </w:r>
      <w:r w:rsidR="00522597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23"/>
      </w:r>
      <w:r w:rsidR="00D25870">
        <w:rPr>
          <w:rFonts w:ascii="Calibri" w:eastAsia="Times New Roman" w:hAnsi="Calibri" w:cs="Times New Roman"/>
          <w:sz w:val="24"/>
          <w:szCs w:val="24"/>
        </w:rPr>
        <w:t>,</w:t>
      </w:r>
      <w:r w:rsidR="000E467A">
        <w:rPr>
          <w:rFonts w:ascii="Calibri" w:eastAsia="Times New Roman" w:hAnsi="Calibri" w:cs="Times New Roman"/>
          <w:sz w:val="24"/>
          <w:szCs w:val="24"/>
        </w:rPr>
        <w:t xml:space="preserve"> nebyl</w:t>
      </w:r>
      <w:r w:rsidR="0040492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25870">
        <w:rPr>
          <w:rFonts w:ascii="Calibri" w:eastAsia="Times New Roman" w:hAnsi="Calibri" w:cs="Times New Roman"/>
          <w:sz w:val="24"/>
          <w:szCs w:val="24"/>
        </w:rPr>
        <w:t>tedy</w:t>
      </w:r>
      <w:r w:rsidR="00404924">
        <w:rPr>
          <w:rFonts w:ascii="Calibri" w:eastAsia="Times New Roman" w:hAnsi="Calibri" w:cs="Times New Roman"/>
          <w:sz w:val="24"/>
          <w:szCs w:val="24"/>
        </w:rPr>
        <w:t xml:space="preserve"> skutečným</w:t>
      </w:r>
      <w:r w:rsidR="000E467A">
        <w:rPr>
          <w:rFonts w:ascii="Calibri" w:eastAsia="Times New Roman" w:hAnsi="Calibri" w:cs="Times New Roman"/>
          <w:sz w:val="24"/>
          <w:szCs w:val="24"/>
        </w:rPr>
        <w:t xml:space="preserve"> závazkem účetní jednotky</w:t>
      </w:r>
      <w:r w:rsidR="00D25870">
        <w:rPr>
          <w:rFonts w:ascii="Calibri" w:eastAsia="Times New Roman" w:hAnsi="Calibri" w:cs="Times New Roman"/>
          <w:sz w:val="24"/>
          <w:szCs w:val="24"/>
        </w:rPr>
        <w:t>,</w:t>
      </w:r>
      <w:r w:rsidR="000E467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40309">
        <w:rPr>
          <w:rFonts w:ascii="Calibri" w:eastAsia="Times New Roman" w:hAnsi="Calibri" w:cs="Times New Roman"/>
          <w:sz w:val="24"/>
          <w:szCs w:val="24"/>
        </w:rPr>
        <w:t>tzn.</w:t>
      </w:r>
      <w:r w:rsidR="00CD338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404924">
        <w:rPr>
          <w:rFonts w:ascii="Calibri" w:eastAsia="Times New Roman" w:hAnsi="Calibri" w:cs="Times New Roman"/>
          <w:sz w:val="24"/>
          <w:szCs w:val="24"/>
        </w:rPr>
        <w:t>nešlo o povinnost</w:t>
      </w:r>
      <w:r w:rsidR="000E467A">
        <w:rPr>
          <w:rFonts w:ascii="Calibri" w:eastAsia="Times New Roman" w:hAnsi="Calibri" w:cs="Times New Roman"/>
          <w:sz w:val="24"/>
          <w:szCs w:val="24"/>
        </w:rPr>
        <w:t xml:space="preserve"> uhradit peněžní prostředky</w:t>
      </w:r>
      <w:r w:rsidR="00404924">
        <w:rPr>
          <w:rFonts w:ascii="Calibri" w:eastAsia="Times New Roman" w:hAnsi="Calibri" w:cs="Times New Roman"/>
          <w:sz w:val="24"/>
          <w:szCs w:val="24"/>
        </w:rPr>
        <w:t xml:space="preserve"> oprávněnému subjektu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C60D0D">
        <w:rPr>
          <w:rFonts w:ascii="Calibri" w:eastAsia="Times New Roman" w:hAnsi="Calibri" w:cs="Times New Roman"/>
          <w:sz w:val="24"/>
          <w:szCs w:val="24"/>
        </w:rPr>
        <w:t>MV při inventarizaci v roce 2014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 porušilo </w:t>
      </w:r>
      <w:r w:rsidR="000A242E">
        <w:rPr>
          <w:rFonts w:ascii="Calibri" w:eastAsia="Times New Roman" w:hAnsi="Calibri" w:cs="Times New Roman"/>
          <w:sz w:val="24"/>
          <w:szCs w:val="24"/>
        </w:rPr>
        <w:t>ustanovení § 29 zákona č. </w:t>
      </w:r>
      <w:r w:rsidRPr="00045D1C">
        <w:rPr>
          <w:rFonts w:ascii="Calibri" w:eastAsia="Times New Roman" w:hAnsi="Calibri" w:cs="Times New Roman"/>
          <w:sz w:val="24"/>
          <w:szCs w:val="24"/>
        </w:rPr>
        <w:t xml:space="preserve">563/1991 Sb., neboť při dokladové inventuře nepostupovalo správně a v případě uvedeného účtu </w:t>
      </w:r>
      <w:r w:rsidR="00C60D0D">
        <w:rPr>
          <w:rFonts w:ascii="Calibri" w:eastAsia="Times New Roman" w:hAnsi="Calibri" w:cs="Times New Roman"/>
          <w:sz w:val="24"/>
          <w:szCs w:val="24"/>
        </w:rPr>
        <w:t xml:space="preserve">nezjistilo </w:t>
      </w:r>
      <w:r w:rsidR="00F40309">
        <w:rPr>
          <w:rFonts w:ascii="Calibri" w:eastAsia="Times New Roman" w:hAnsi="Calibri" w:cs="Times New Roman"/>
          <w:sz w:val="24"/>
          <w:szCs w:val="24"/>
        </w:rPr>
        <w:t xml:space="preserve">k rozvahovému dni </w:t>
      </w:r>
      <w:r w:rsidRPr="00045D1C">
        <w:rPr>
          <w:rFonts w:ascii="Calibri" w:eastAsia="Times New Roman" w:hAnsi="Calibri" w:cs="Times New Roman"/>
          <w:sz w:val="24"/>
          <w:szCs w:val="24"/>
        </w:rPr>
        <w:t>jeho skutečný stav.</w:t>
      </w:r>
    </w:p>
    <w:p w14:paraId="1C321A3A" w14:textId="77777777" w:rsidR="00C66D81" w:rsidRPr="00BF1A3E" w:rsidRDefault="00C66D81" w:rsidP="00BB5463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F1A3E">
        <w:rPr>
          <w:rFonts w:ascii="Calibri" w:eastAsia="Times New Roman" w:hAnsi="Calibri" w:cs="Calibri"/>
          <w:b/>
          <w:sz w:val="24"/>
          <w:szCs w:val="24"/>
        </w:rPr>
        <w:t>Vykazování pohledávek na nesprávném účtu</w:t>
      </w:r>
    </w:p>
    <w:p w14:paraId="4924DBA4" w14:textId="77777777" w:rsidR="00C66D81" w:rsidRDefault="00C66D81" w:rsidP="00C66D81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Kontrolou bylo zjištěno, že MV v roce 2014 neúčtovalo a v některých případech v ÚZ nevykázalo pohledávky na správném syntetickém účtu. Jednalo se např. o následující pohledávky</w:t>
      </w:r>
      <w:r w:rsidR="00443AE7">
        <w:rPr>
          <w:rFonts w:ascii="Calibri" w:eastAsia="Times New Roman" w:hAnsi="Calibri" w:cs="Times New Roman"/>
          <w:sz w:val="24"/>
          <w:szCs w:val="24"/>
        </w:rPr>
        <w:t>:</w:t>
      </w:r>
    </w:p>
    <w:p w14:paraId="260B01BD" w14:textId="5841C74E" w:rsidR="00443AE7" w:rsidRPr="0094101A" w:rsidRDefault="00443AE7" w:rsidP="00BF1A3E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</w:rPr>
        <w:t>N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a účtu 377 – </w:t>
      </w:r>
      <w:r w:rsidRPr="00A96822">
        <w:rPr>
          <w:rFonts w:ascii="Calibri" w:eastAsia="Times New Roman" w:hAnsi="Calibri" w:cs="Times New Roman"/>
          <w:bCs/>
          <w:i/>
          <w:iCs/>
          <w:sz w:val="24"/>
          <w:szCs w:val="24"/>
        </w:rPr>
        <w:t>Ostatní krátkodobé pohledávky</w:t>
      </w:r>
      <w:r w:rsidR="008C1F4C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2D2427">
        <w:rPr>
          <w:rFonts w:ascii="Calibri" w:eastAsia="Times New Roman" w:hAnsi="Calibri" w:cs="Times New Roman"/>
          <w:bCs/>
          <w:iCs/>
          <w:sz w:val="24"/>
          <w:szCs w:val="24"/>
        </w:rPr>
        <w:t xml:space="preserve">vykázalo </w:t>
      </w:r>
      <w:r w:rsidR="008C1F4C">
        <w:rPr>
          <w:rFonts w:ascii="Calibri" w:eastAsia="Times New Roman" w:hAnsi="Calibri" w:cs="Times New Roman"/>
          <w:bCs/>
          <w:iCs/>
          <w:sz w:val="24"/>
          <w:szCs w:val="24"/>
        </w:rPr>
        <w:t>MV nesprávně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pohledávky vyplývající z řízení p</w:t>
      </w:r>
      <w:r w:rsidRPr="00A96822">
        <w:rPr>
          <w:rFonts w:ascii="Calibri" w:eastAsia="Times New Roman" w:hAnsi="Calibri" w:cs="Times New Roman"/>
          <w:sz w:val="24"/>
          <w:szCs w:val="24"/>
        </w:rPr>
        <w:t>odle zákona č. 325/1999 Sb., o azylu,</w:t>
      </w:r>
      <w:r>
        <w:rPr>
          <w:rFonts w:ascii="Calibri" w:eastAsia="Times New Roman" w:hAnsi="Calibri" w:cs="Times New Roman"/>
          <w:sz w:val="24"/>
          <w:szCs w:val="24"/>
        </w:rPr>
        <w:t xml:space="preserve"> dle kterého</w:t>
      </w:r>
      <w:r w:rsidRPr="00A96822">
        <w:rPr>
          <w:rFonts w:ascii="Calibri" w:eastAsia="Times New Roman" w:hAnsi="Calibri" w:cs="Times New Roman"/>
          <w:sz w:val="24"/>
          <w:szCs w:val="24"/>
        </w:rPr>
        <w:t xml:space="preserve"> je MV správním orgánem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96822">
        <w:rPr>
          <w:rFonts w:ascii="Calibri" w:eastAsia="Times New Roman" w:hAnsi="Calibri" w:cs="Times New Roman"/>
          <w:sz w:val="24"/>
          <w:szCs w:val="24"/>
        </w:rPr>
        <w:t>příslušný</w:t>
      </w:r>
      <w:r>
        <w:rPr>
          <w:rFonts w:ascii="Calibri" w:eastAsia="Times New Roman" w:hAnsi="Calibri" w:cs="Times New Roman"/>
          <w:sz w:val="24"/>
          <w:szCs w:val="24"/>
        </w:rPr>
        <w:t>m</w:t>
      </w:r>
      <w:r w:rsidRPr="00A96822">
        <w:rPr>
          <w:rFonts w:ascii="Calibri" w:eastAsia="Times New Roman" w:hAnsi="Calibri" w:cs="Times New Roman"/>
          <w:sz w:val="24"/>
          <w:szCs w:val="24"/>
        </w:rPr>
        <w:t xml:space="preserve"> v prvním stupni projednávat správní delikty podle tohoto zákona</w:t>
      </w:r>
      <w:r w:rsidR="003105E0">
        <w:rPr>
          <w:rFonts w:ascii="Calibri" w:eastAsia="Times New Roman" w:hAnsi="Calibri" w:cs="Times New Roman"/>
          <w:sz w:val="24"/>
          <w:szCs w:val="24"/>
        </w:rPr>
        <w:t>, a</w:t>
      </w:r>
      <w:r w:rsidR="00B82C27">
        <w:rPr>
          <w:rFonts w:ascii="Calibri" w:eastAsia="Times New Roman" w:hAnsi="Calibri" w:cs="Times New Roman"/>
          <w:sz w:val="24"/>
          <w:szCs w:val="24"/>
        </w:rPr>
        <w:t> </w:t>
      </w:r>
      <w:r w:rsidR="00BE5350">
        <w:rPr>
          <w:rFonts w:ascii="Calibri" w:eastAsia="Times New Roman" w:hAnsi="Calibri" w:cs="Times New Roman"/>
          <w:sz w:val="24"/>
          <w:szCs w:val="24"/>
        </w:rPr>
        <w:t xml:space="preserve">dále </w:t>
      </w:r>
      <w:r w:rsidR="003105E0">
        <w:rPr>
          <w:rFonts w:ascii="Calibri" w:eastAsia="Times New Roman" w:hAnsi="Calibri" w:cs="Times New Roman"/>
          <w:sz w:val="24"/>
          <w:szCs w:val="24"/>
        </w:rPr>
        <w:t>pohledávky dle zákona č. 326/1999 Sb., o pobytu cizinců na území České republiky a o změně některých zákonů, který vymezuje působnost MV</w:t>
      </w:r>
      <w:r w:rsidR="00721950">
        <w:rPr>
          <w:rFonts w:ascii="Calibri" w:eastAsia="Times New Roman" w:hAnsi="Calibri" w:cs="Times New Roman"/>
          <w:sz w:val="24"/>
          <w:szCs w:val="24"/>
        </w:rPr>
        <w:t>.</w:t>
      </w:r>
      <w:r w:rsidRPr="00A9682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110CE">
        <w:rPr>
          <w:rFonts w:ascii="Calibri" w:eastAsia="Times New Roman" w:hAnsi="Calibri" w:cs="Times New Roman"/>
          <w:bCs/>
          <w:iCs/>
          <w:sz w:val="24"/>
          <w:szCs w:val="24"/>
        </w:rPr>
        <w:t>V souladu s 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>vyhlášk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ou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 č.</w:t>
      </w:r>
      <w:r w:rsidR="00B82C27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>410/2009 Sb.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>mělo</w:t>
      </w:r>
      <w:r w:rsidR="003105E0">
        <w:rPr>
          <w:rFonts w:ascii="Calibri" w:eastAsia="Times New Roman" w:hAnsi="Calibri" w:cs="Times New Roman"/>
          <w:bCs/>
          <w:iCs/>
          <w:sz w:val="24"/>
          <w:szCs w:val="24"/>
        </w:rPr>
        <w:t xml:space="preserve"> MV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 tyto pohledávky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vykázat na účtu 315 – </w:t>
      </w:r>
      <w:r w:rsidRPr="00A96822">
        <w:rPr>
          <w:rFonts w:ascii="Calibri" w:eastAsia="Times New Roman" w:hAnsi="Calibri" w:cs="Times New Roman"/>
          <w:bCs/>
          <w:i/>
          <w:iCs/>
          <w:sz w:val="24"/>
          <w:szCs w:val="24"/>
        </w:rPr>
        <w:t>Jiné pohledávky z hlavní činnosti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Ne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správným postupem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ovlivnilo 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MV v ÚZ uvedené účty ve sloupci </w:t>
      </w:r>
      <w:r w:rsidRPr="00BF1A3E">
        <w:rPr>
          <w:rFonts w:ascii="Calibri" w:eastAsia="Times New Roman" w:hAnsi="Calibri" w:cs="Times New Roman"/>
          <w:bCs/>
          <w:i/>
          <w:iCs/>
          <w:sz w:val="24"/>
          <w:szCs w:val="24"/>
        </w:rPr>
        <w:t>Brutto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 xml:space="preserve"> o</w:t>
      </w:r>
      <w:r w:rsidR="00B82C27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Pr="00A96822">
        <w:rPr>
          <w:rFonts w:ascii="Calibri" w:eastAsia="Times New Roman" w:hAnsi="Calibri" w:cs="Times New Roman"/>
          <w:bCs/>
          <w:iCs/>
          <w:sz w:val="24"/>
          <w:szCs w:val="24"/>
        </w:rPr>
        <w:t>částku 198,21 tis. Kč</w:t>
      </w:r>
      <w:r w:rsidR="008C1F4C">
        <w:rPr>
          <w:rFonts w:ascii="Calibri" w:eastAsia="Times New Roman" w:hAnsi="Calibri" w:cs="Times New Roman"/>
          <w:bCs/>
          <w:iCs/>
          <w:sz w:val="24"/>
          <w:szCs w:val="24"/>
        </w:rPr>
        <w:t>.</w:t>
      </w:r>
    </w:p>
    <w:p w14:paraId="0F4E7D5D" w14:textId="6B12BC24" w:rsidR="00C66D81" w:rsidRDefault="00443AE7" w:rsidP="00BF1A3E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</w:t>
      </w:r>
      <w:r w:rsidR="00C66D81" w:rsidRPr="0094101A">
        <w:rPr>
          <w:rFonts w:ascii="Calibri" w:eastAsia="Times New Roman" w:hAnsi="Calibri" w:cs="Times New Roman"/>
          <w:sz w:val="24"/>
          <w:szCs w:val="24"/>
        </w:rPr>
        <w:t xml:space="preserve">a účtu 311 – </w:t>
      </w:r>
      <w:r w:rsidR="00C66D81" w:rsidRPr="0094101A">
        <w:rPr>
          <w:rFonts w:ascii="Calibri" w:eastAsia="Times New Roman" w:hAnsi="Calibri" w:cs="Times New Roman"/>
          <w:i/>
          <w:sz w:val="24"/>
          <w:szCs w:val="24"/>
        </w:rPr>
        <w:t>Odběratelé</w:t>
      </w:r>
      <w:r w:rsidRPr="00BF1A3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E5350" w:rsidRPr="0094101A">
        <w:rPr>
          <w:rFonts w:ascii="Calibri" w:eastAsia="Times New Roman" w:hAnsi="Calibri" w:cs="Times New Roman"/>
          <w:sz w:val="24"/>
          <w:szCs w:val="24"/>
        </w:rPr>
        <w:t xml:space="preserve">vykázalo </w:t>
      </w:r>
      <w:r>
        <w:rPr>
          <w:rFonts w:ascii="Calibri" w:eastAsia="Times New Roman" w:hAnsi="Calibri" w:cs="Times New Roman"/>
          <w:sz w:val="24"/>
          <w:szCs w:val="24"/>
        </w:rPr>
        <w:t>MV</w:t>
      </w:r>
      <w:r w:rsidR="00C66D81" w:rsidRPr="0094101A">
        <w:rPr>
          <w:rFonts w:ascii="Calibri" w:eastAsia="Times New Roman" w:hAnsi="Calibri" w:cs="Times New Roman"/>
          <w:sz w:val="24"/>
          <w:szCs w:val="24"/>
        </w:rPr>
        <w:t xml:space="preserve"> nesprávně </w:t>
      </w:r>
      <w:r w:rsidR="00CF1F94" w:rsidRPr="0094101A">
        <w:rPr>
          <w:rFonts w:ascii="Calibri" w:eastAsia="Times New Roman" w:hAnsi="Calibri" w:cs="Times New Roman"/>
          <w:sz w:val="24"/>
          <w:szCs w:val="24"/>
        </w:rPr>
        <w:t>pohledávk</w:t>
      </w:r>
      <w:r>
        <w:rPr>
          <w:rFonts w:ascii="Calibri" w:eastAsia="Times New Roman" w:hAnsi="Calibri" w:cs="Times New Roman"/>
          <w:sz w:val="24"/>
          <w:szCs w:val="24"/>
        </w:rPr>
        <w:t>y</w:t>
      </w:r>
      <w:r w:rsidR="00CF1F94" w:rsidRPr="0094101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6D81" w:rsidRPr="0094101A">
        <w:rPr>
          <w:rFonts w:ascii="Calibri" w:eastAsia="Times New Roman" w:hAnsi="Calibri" w:cs="Times New Roman"/>
          <w:sz w:val="24"/>
          <w:szCs w:val="24"/>
        </w:rPr>
        <w:t>za zaměstnancem</w:t>
      </w:r>
      <w:r>
        <w:rPr>
          <w:rFonts w:ascii="Calibri" w:eastAsia="Times New Roman" w:hAnsi="Calibri" w:cs="Times New Roman"/>
          <w:sz w:val="24"/>
          <w:szCs w:val="24"/>
        </w:rPr>
        <w:t>, kter</w:t>
      </w:r>
      <w:r w:rsidR="008C1F4C">
        <w:rPr>
          <w:rFonts w:ascii="Calibri" w:eastAsia="Times New Roman" w:hAnsi="Calibri" w:cs="Times New Roman"/>
          <w:sz w:val="24"/>
          <w:szCs w:val="24"/>
        </w:rPr>
        <w:t>é</w:t>
      </w:r>
      <w:r>
        <w:rPr>
          <w:rFonts w:ascii="Calibri" w:eastAsia="Times New Roman" w:hAnsi="Calibri" w:cs="Times New Roman"/>
          <w:sz w:val="24"/>
          <w:szCs w:val="24"/>
        </w:rPr>
        <w:t xml:space="preserve"> byly </w:t>
      </w:r>
      <w:r w:rsidR="00C66D81" w:rsidRPr="0094101A">
        <w:rPr>
          <w:rFonts w:ascii="Calibri" w:eastAsia="Times New Roman" w:hAnsi="Calibri" w:cs="Times New Roman"/>
          <w:sz w:val="24"/>
          <w:szCs w:val="24"/>
        </w:rPr>
        <w:t xml:space="preserve">z titulu bezúplatného ubytování, na které příslušník ve služebním poměru již neměl nárok. V souladu s vyhláškou č. 410/2009 Sb. mělo MV tyto pohledávky vykázat na účtu 335 – </w:t>
      </w:r>
      <w:r w:rsidR="00C66D81" w:rsidRPr="0094101A">
        <w:rPr>
          <w:rFonts w:ascii="Calibri" w:eastAsia="Times New Roman" w:hAnsi="Calibri" w:cs="Times New Roman"/>
          <w:i/>
          <w:sz w:val="24"/>
          <w:szCs w:val="24"/>
        </w:rPr>
        <w:t>Pohledávky za zaměstnanci</w:t>
      </w:r>
      <w:r w:rsidR="00C66D81" w:rsidRPr="0094101A">
        <w:rPr>
          <w:rFonts w:ascii="Calibri" w:eastAsia="Times New Roman" w:hAnsi="Calibri" w:cs="Times New Roman"/>
          <w:sz w:val="24"/>
          <w:szCs w:val="24"/>
        </w:rPr>
        <w:t>. Tímto nesprávným postupem MV v ÚZ ovlivnilo zůstatky uvedených účtů o částku 110,06 tis. Kč.</w:t>
      </w:r>
    </w:p>
    <w:p w14:paraId="23F30017" w14:textId="77777777" w:rsidR="00C66D81" w:rsidRPr="00185F2A" w:rsidRDefault="00C66D81" w:rsidP="00185F2A">
      <w:pPr>
        <w:pStyle w:val="Odstavecseseznamem"/>
        <w:numPr>
          <w:ilvl w:val="1"/>
          <w:numId w:val="21"/>
        </w:numPr>
        <w:tabs>
          <w:tab w:val="left" w:pos="567"/>
        </w:tabs>
        <w:spacing w:before="360" w:after="12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185F2A">
        <w:rPr>
          <w:rFonts w:ascii="Calibri" w:eastAsia="Times New Roman" w:hAnsi="Calibri" w:cs="Calibri"/>
          <w:b/>
          <w:sz w:val="24"/>
          <w:szCs w:val="24"/>
        </w:rPr>
        <w:t>Nesprávný okamžik účtování o pohledávkách</w:t>
      </w:r>
    </w:p>
    <w:p w14:paraId="3C572A41" w14:textId="4BF13311" w:rsidR="00C66D81" w:rsidRDefault="00C66D81" w:rsidP="00C66D81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MV o některých pohledávkách neúčtovalo v okamžiku uskutečnění účetního případu</w:t>
      </w:r>
      <w:r w:rsidR="009309DC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např.</w:t>
      </w:r>
      <w:r w:rsidR="009159B6">
        <w:rPr>
          <w:rFonts w:ascii="Calibri" w:eastAsia="Times New Roman" w:hAnsi="Calibri" w:cs="Times New Roman"/>
          <w:sz w:val="24"/>
          <w:szCs w:val="24"/>
        </w:rPr>
        <w:t>:</w:t>
      </w:r>
    </w:p>
    <w:p w14:paraId="76FCC66B" w14:textId="554AC8A4" w:rsidR="00C66D81" w:rsidRPr="00A85929" w:rsidRDefault="00E80333" w:rsidP="00185F2A">
      <w:pPr>
        <w:pStyle w:val="Odstavecseseznamem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185F2A">
        <w:rPr>
          <w:rFonts w:ascii="Calibri" w:eastAsia="Times New Roman" w:hAnsi="Calibri" w:cs="Times New Roman"/>
          <w:sz w:val="24"/>
          <w:szCs w:val="24"/>
        </w:rPr>
        <w:t>P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>ohledáv</w:t>
      </w:r>
      <w:r w:rsidR="009159B6" w:rsidRPr="00185F2A">
        <w:rPr>
          <w:rFonts w:ascii="Calibri" w:eastAsia="Times New Roman" w:hAnsi="Calibri" w:cs="Times New Roman"/>
          <w:sz w:val="24"/>
          <w:szCs w:val="24"/>
        </w:rPr>
        <w:t>k</w:t>
      </w:r>
      <w:r w:rsidRPr="00185F2A">
        <w:rPr>
          <w:rFonts w:ascii="Calibri" w:eastAsia="Times New Roman" w:hAnsi="Calibri" w:cs="Times New Roman"/>
          <w:sz w:val="24"/>
          <w:szCs w:val="24"/>
        </w:rPr>
        <w:t>y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 xml:space="preserve"> a výnos</w:t>
      </w:r>
      <w:r w:rsidR="009159B6" w:rsidRPr="00185F2A">
        <w:rPr>
          <w:rFonts w:ascii="Calibri" w:eastAsia="Times New Roman" w:hAnsi="Calibri" w:cs="Times New Roman"/>
          <w:sz w:val="24"/>
          <w:szCs w:val="24"/>
        </w:rPr>
        <w:t>y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 xml:space="preserve"> ve výši 300 tis. Kč, které vznikly </w:t>
      </w:r>
      <w:r w:rsidR="00CF1F94" w:rsidRPr="00185F2A">
        <w:rPr>
          <w:rFonts w:ascii="Calibri" w:eastAsia="Times New Roman" w:hAnsi="Calibri" w:cs="Times New Roman"/>
          <w:sz w:val="24"/>
          <w:szCs w:val="24"/>
        </w:rPr>
        <w:t xml:space="preserve">v roce 2013 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>na základě pravomocného rozhodnutí o pokutě podle zákona č. 326/1999 Sb.,</w:t>
      </w:r>
      <w:r w:rsidR="002D70D2" w:rsidRPr="00185F2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>účtovalo</w:t>
      </w:r>
      <w:r w:rsidR="002D70D2" w:rsidRPr="00185F2A">
        <w:rPr>
          <w:rFonts w:ascii="Calibri" w:eastAsia="Times New Roman" w:hAnsi="Calibri" w:cs="Times New Roman"/>
          <w:sz w:val="24"/>
          <w:szCs w:val="24"/>
        </w:rPr>
        <w:t xml:space="preserve"> MV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 xml:space="preserve"> až v roce 2014. </w:t>
      </w:r>
      <w:r w:rsidR="009159B6" w:rsidRPr="00185F2A">
        <w:rPr>
          <w:rFonts w:ascii="Calibri" w:eastAsia="Times New Roman" w:hAnsi="Calibri" w:cs="Times New Roman"/>
          <w:sz w:val="24"/>
          <w:szCs w:val="24"/>
        </w:rPr>
        <w:t>V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 xml:space="preserve">ýnosy z roku 2013 </w:t>
      </w:r>
      <w:r w:rsidR="009159B6" w:rsidRPr="00185F2A">
        <w:rPr>
          <w:rFonts w:ascii="Calibri" w:eastAsia="Times New Roman" w:hAnsi="Calibri" w:cs="Times New Roman"/>
          <w:sz w:val="24"/>
          <w:szCs w:val="24"/>
        </w:rPr>
        <w:t>MV navíc</w:t>
      </w:r>
      <w:r w:rsidRPr="00185F2A">
        <w:rPr>
          <w:rFonts w:ascii="Calibri" w:eastAsia="Times New Roman" w:hAnsi="Calibri" w:cs="Times New Roman"/>
          <w:sz w:val="24"/>
          <w:szCs w:val="24"/>
        </w:rPr>
        <w:t xml:space="preserve"> v roce 2014 vykázalo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 xml:space="preserve"> nesprávně na účtu 64</w:t>
      </w:r>
      <w:r w:rsidR="00250521" w:rsidRPr="00185F2A">
        <w:rPr>
          <w:rFonts w:ascii="Calibri" w:eastAsia="Times New Roman" w:hAnsi="Calibri" w:cs="Times New Roman"/>
          <w:sz w:val="24"/>
          <w:szCs w:val="24"/>
        </w:rPr>
        <w:t>2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250521" w:rsidRPr="00185F2A">
        <w:rPr>
          <w:rFonts w:ascii="Calibri" w:eastAsia="Times New Roman" w:hAnsi="Calibri" w:cs="Times New Roman"/>
          <w:i/>
          <w:sz w:val="24"/>
          <w:szCs w:val="24"/>
        </w:rPr>
        <w:t xml:space="preserve">Jiné </w:t>
      </w:r>
      <w:r w:rsidR="00250521" w:rsidRPr="00185F2A">
        <w:rPr>
          <w:rFonts w:ascii="Calibri" w:eastAsia="Times New Roman" w:hAnsi="Calibri" w:cs="Times New Roman"/>
          <w:i/>
          <w:sz w:val="24"/>
          <w:szCs w:val="24"/>
        </w:rPr>
        <w:lastRenderedPageBreak/>
        <w:t>pokuty a penále</w:t>
      </w:r>
      <w:r w:rsidR="00250521" w:rsidRPr="00185F2A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C66D81" w:rsidRPr="00185F2A">
        <w:rPr>
          <w:rFonts w:ascii="Calibri" w:eastAsia="Times New Roman" w:hAnsi="Calibri" w:cs="Times New Roman"/>
          <w:sz w:val="24"/>
          <w:szCs w:val="24"/>
        </w:rPr>
        <w:t>Ve vztahu k vyhlášce č. 410/2009 Sb. se jednalo o opravný zápis významné skutečnosti, o které mělo MV účtovat v roce 2013 a která by</w:t>
      </w:r>
      <w:r w:rsidR="006C361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v tomto období ovlivnila výsledek hospodaření. Dle ČÚS č. 709 – </w:t>
      </w:r>
      <w:r w:rsidR="00C66D81" w:rsidRPr="00A85929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="00F40309" w:rsidRPr="00A85929">
        <w:rPr>
          <w:rFonts w:ascii="Calibri" w:eastAsia="Times New Roman" w:hAnsi="Calibri" w:cs="Times New Roman"/>
          <w:sz w:val="24"/>
          <w:szCs w:val="24"/>
        </w:rPr>
        <w:t xml:space="preserve"> se </w:t>
      </w:r>
      <w:r w:rsidR="00196BE6">
        <w:rPr>
          <w:rFonts w:ascii="Calibri" w:eastAsia="Times New Roman" w:hAnsi="Calibri" w:cs="Times New Roman"/>
          <w:sz w:val="24"/>
          <w:szCs w:val="24"/>
        </w:rPr>
        <w:t xml:space="preserve">o 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opravě takových skutečností účtuje na účtu 408 – </w:t>
      </w:r>
      <w:r w:rsidR="00C66D81" w:rsidRPr="00A85929">
        <w:rPr>
          <w:rFonts w:ascii="Calibri" w:eastAsia="Times New Roman" w:hAnsi="Calibri" w:cs="Times New Roman"/>
          <w:i/>
          <w:sz w:val="24"/>
          <w:szCs w:val="24"/>
        </w:rPr>
        <w:t>Opravy minulých období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C66D81" w:rsidRPr="00A85929">
        <w:rPr>
          <w:rFonts w:ascii="Calibri" w:eastAsia="Times New Roman" w:hAnsi="Calibri" w:cs="Times New Roman"/>
          <w:bCs/>
          <w:iCs/>
          <w:sz w:val="24"/>
          <w:szCs w:val="24"/>
        </w:rPr>
        <w:t>Tímto nesprávným postupem MV v ÚZ ovlivnilo zůstatky uvedených účtů o částku 300 tis. Kč.</w:t>
      </w:r>
    </w:p>
    <w:p w14:paraId="5A54E9A9" w14:textId="1F45A744" w:rsidR="005D239F" w:rsidRPr="00A85929" w:rsidRDefault="00E80333" w:rsidP="00185F2A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A85929">
        <w:rPr>
          <w:rFonts w:ascii="Calibri" w:eastAsia="Times New Roman" w:hAnsi="Calibri" w:cs="Times New Roman"/>
          <w:sz w:val="24"/>
          <w:szCs w:val="24"/>
        </w:rPr>
        <w:t>Pohledávky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 ve výši 196,35 tis. Kč z titulu správního vyhoštění dle zákona č. 326/1999 Sb., které vznikly v letech 2008 a 2010, MV účtovalo až v roce 2014. </w:t>
      </w:r>
      <w:r w:rsidR="009159B6" w:rsidRPr="00A85929">
        <w:rPr>
          <w:rFonts w:ascii="Calibri" w:eastAsia="Times New Roman" w:hAnsi="Calibri" w:cs="Times New Roman"/>
          <w:sz w:val="24"/>
          <w:szCs w:val="24"/>
        </w:rPr>
        <w:t>Při předpisu jedné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 pohledávky z roku 2008 ve výši 101,05 tis. Kč</w:t>
      </w:r>
      <w:r w:rsidR="009159B6" w:rsidRPr="00A85929">
        <w:rPr>
          <w:rFonts w:ascii="Calibri" w:eastAsia="Times New Roman" w:hAnsi="Calibri" w:cs="Times New Roman"/>
          <w:sz w:val="24"/>
          <w:szCs w:val="24"/>
        </w:rPr>
        <w:t xml:space="preserve"> navíc MV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 nepostupovalo správně, neboť účtovalo současně o výnosech na účtu 649 – </w:t>
      </w:r>
      <w:r w:rsidR="00C66D81" w:rsidRPr="00A85929">
        <w:rPr>
          <w:rFonts w:ascii="Calibri" w:eastAsia="Times New Roman" w:hAnsi="Calibri" w:cs="Times New Roman"/>
          <w:i/>
          <w:sz w:val="24"/>
          <w:szCs w:val="24"/>
        </w:rPr>
        <w:t>Ostatní výnosy z činnosti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>. Ve vztahu k</w:t>
      </w:r>
      <w:r w:rsidR="00AE5A2E">
        <w:rPr>
          <w:rFonts w:ascii="Calibri" w:eastAsia="Times New Roman" w:hAnsi="Calibri" w:cs="Times New Roman"/>
          <w:sz w:val="24"/>
          <w:szCs w:val="24"/>
        </w:rPr>
        <w:t> 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>vyhlášce č. 410/2009 Sb. se</w:t>
      </w:r>
      <w:r w:rsidR="0038397A" w:rsidRPr="00A8592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nejednalo o opravný zápis významné skutečnosti, </w:t>
      </w:r>
      <w:r w:rsidR="00A9029B" w:rsidRPr="00A85929">
        <w:rPr>
          <w:rFonts w:ascii="Calibri" w:eastAsia="Times New Roman" w:hAnsi="Calibri" w:cs="Times New Roman"/>
          <w:sz w:val="24"/>
          <w:szCs w:val="24"/>
        </w:rPr>
        <w:t>proto mělo MV opravu účtovat d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le ČÚS č. 709 – </w:t>
      </w:r>
      <w:r w:rsidR="00C66D81" w:rsidRPr="00A85929"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 xml:space="preserve"> na účtu 401 – </w:t>
      </w:r>
      <w:r w:rsidR="00C66D81" w:rsidRPr="00A85929">
        <w:rPr>
          <w:rFonts w:ascii="Calibri" w:eastAsia="Times New Roman" w:hAnsi="Calibri" w:cs="Times New Roman"/>
          <w:i/>
          <w:sz w:val="24"/>
          <w:szCs w:val="24"/>
        </w:rPr>
        <w:t>Jmění účetní jednotky</w:t>
      </w:r>
      <w:r w:rsidR="00CD5310" w:rsidRPr="00A85929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24"/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>. Tímto nesprávným postupem MV v ÚZ ovlivnilo zůstatky uvedených účtů o</w:t>
      </w:r>
      <w:r w:rsidR="00AE5A2E">
        <w:rPr>
          <w:rFonts w:ascii="Calibri" w:eastAsia="Times New Roman" w:hAnsi="Calibri" w:cs="Times New Roman"/>
          <w:sz w:val="24"/>
          <w:szCs w:val="24"/>
        </w:rPr>
        <w:t> </w:t>
      </w:r>
      <w:r w:rsidR="00C66D81" w:rsidRPr="00A85929">
        <w:rPr>
          <w:rFonts w:ascii="Calibri" w:eastAsia="Times New Roman" w:hAnsi="Calibri" w:cs="Times New Roman"/>
          <w:sz w:val="24"/>
          <w:szCs w:val="24"/>
        </w:rPr>
        <w:t>částku 101,05 tis. Kč</w:t>
      </w:r>
      <w:r w:rsidR="005D239F" w:rsidRPr="00A85929">
        <w:rPr>
          <w:rFonts w:ascii="Calibri" w:eastAsia="Times New Roman" w:hAnsi="Calibri" w:cs="Times New Roman"/>
          <w:sz w:val="24"/>
          <w:szCs w:val="24"/>
        </w:rPr>
        <w:t>.</w:t>
      </w:r>
    </w:p>
    <w:p w14:paraId="0694DCBA" w14:textId="4E2E9001" w:rsidR="005D239F" w:rsidRDefault="00721950" w:rsidP="00C66D81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</w:t>
      </w:r>
      <w:r w:rsidR="005D239F">
        <w:rPr>
          <w:rFonts w:ascii="Calibri" w:eastAsia="Times New Roman" w:hAnsi="Calibri" w:cs="Times New Roman"/>
          <w:sz w:val="24"/>
          <w:szCs w:val="24"/>
        </w:rPr>
        <w:t>o pořizovací ceny</w:t>
      </w:r>
      <w:r>
        <w:rPr>
          <w:rFonts w:ascii="Calibri" w:eastAsia="Times New Roman" w:hAnsi="Calibri" w:cs="Times New Roman"/>
          <w:sz w:val="24"/>
          <w:szCs w:val="24"/>
        </w:rPr>
        <w:t xml:space="preserve"> těchto</w:t>
      </w:r>
      <w:r w:rsidR="005D239F">
        <w:rPr>
          <w:rFonts w:ascii="Calibri" w:eastAsia="Times New Roman" w:hAnsi="Calibri" w:cs="Times New Roman"/>
          <w:sz w:val="24"/>
          <w:szCs w:val="24"/>
        </w:rPr>
        <w:t xml:space="preserve"> pohledávek</w:t>
      </w:r>
      <w:r>
        <w:rPr>
          <w:rFonts w:ascii="Calibri" w:eastAsia="Times New Roman" w:hAnsi="Calibri" w:cs="Times New Roman"/>
          <w:sz w:val="24"/>
          <w:szCs w:val="24"/>
        </w:rPr>
        <w:t xml:space="preserve"> MV navíc</w:t>
      </w:r>
      <w:r w:rsidR="005D239F">
        <w:rPr>
          <w:rFonts w:ascii="Calibri" w:eastAsia="Times New Roman" w:hAnsi="Calibri" w:cs="Times New Roman"/>
          <w:sz w:val="24"/>
          <w:szCs w:val="24"/>
        </w:rPr>
        <w:t xml:space="preserve"> zaúčtovalo </w:t>
      </w:r>
      <w:r>
        <w:rPr>
          <w:rFonts w:ascii="Calibri" w:eastAsia="Times New Roman" w:hAnsi="Calibri" w:cs="Times New Roman"/>
          <w:sz w:val="24"/>
          <w:szCs w:val="24"/>
        </w:rPr>
        <w:t>n</w:t>
      </w:r>
      <w:r w:rsidR="005D239F">
        <w:rPr>
          <w:rFonts w:ascii="Calibri" w:eastAsia="Times New Roman" w:hAnsi="Calibri" w:cs="Times New Roman"/>
          <w:sz w:val="24"/>
          <w:szCs w:val="24"/>
        </w:rPr>
        <w:t>esprávně i částku soudních poplatků ve výši 7</w:t>
      </w:r>
      <w:r w:rsidR="002D4B38">
        <w:rPr>
          <w:rFonts w:ascii="Calibri" w:eastAsia="Times New Roman" w:hAnsi="Calibri" w:cs="Times New Roman"/>
          <w:sz w:val="24"/>
          <w:szCs w:val="24"/>
        </w:rPr>
        <w:t>,</w:t>
      </w:r>
      <w:r w:rsidR="005D239F">
        <w:rPr>
          <w:rFonts w:ascii="Calibri" w:eastAsia="Times New Roman" w:hAnsi="Calibri" w:cs="Times New Roman"/>
          <w:sz w:val="24"/>
          <w:szCs w:val="24"/>
        </w:rPr>
        <w:t>86</w:t>
      </w:r>
      <w:r w:rsidR="002D4B38">
        <w:rPr>
          <w:rFonts w:ascii="Calibri" w:eastAsia="Times New Roman" w:hAnsi="Calibri" w:cs="Times New Roman"/>
          <w:sz w:val="24"/>
          <w:szCs w:val="24"/>
        </w:rPr>
        <w:t xml:space="preserve"> tis.</w:t>
      </w:r>
      <w:r w:rsidR="005D239F">
        <w:rPr>
          <w:rFonts w:ascii="Calibri" w:eastAsia="Times New Roman" w:hAnsi="Calibri" w:cs="Times New Roman"/>
          <w:sz w:val="24"/>
          <w:szCs w:val="24"/>
        </w:rPr>
        <w:t xml:space="preserve"> Kč, které ale byly nárokem soudu.</w:t>
      </w:r>
    </w:p>
    <w:p w14:paraId="17E4875E" w14:textId="40C6FE22" w:rsidR="00C66D81" w:rsidRDefault="00C66D81" w:rsidP="00C66D81">
      <w:pPr>
        <w:spacing w:after="120" w:line="240" w:lineRule="auto"/>
        <w:jc w:val="both"/>
        <w:rPr>
          <w:rFonts w:ascii="Calibri" w:eastAsia="Times New Roman" w:hAnsi="Calibri" w:cs="Times New Roman"/>
          <w:bCs/>
          <w:iCs/>
          <w:sz w:val="24"/>
          <w:szCs w:val="24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</w:rPr>
        <w:t>Dodatečné zaúčtování pohledávek až v roce 2014 mělo k 31. prosinci 2014 také vliv na tvorbu op</w:t>
      </w:r>
      <w:r w:rsidR="00F40309">
        <w:rPr>
          <w:rFonts w:ascii="Calibri" w:eastAsia="Times New Roman" w:hAnsi="Calibri" w:cs="Times New Roman"/>
          <w:bCs/>
          <w:iCs/>
          <w:sz w:val="24"/>
          <w:szCs w:val="24"/>
        </w:rPr>
        <w:t>ravných položek dle vyhlášky č. 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410/2009 Sb.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>,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a 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>tedy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i na 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 xml:space="preserve">netto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hodnotu uvedených pohledávek v ÚZ. MV opravné položky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pro rok 2014 nezaúčtovalo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na účtu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556 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</w:rPr>
        <w:t>Tvorba a</w:t>
      </w:r>
      <w:r w:rsidR="00AA7D25">
        <w:rPr>
          <w:rFonts w:ascii="Calibri" w:eastAsia="Times New Roman" w:hAnsi="Calibri" w:cs="Times New Roman"/>
          <w:bCs/>
          <w:i/>
          <w:iCs/>
          <w:sz w:val="24"/>
          <w:szCs w:val="24"/>
        </w:rPr>
        <w:t> 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</w:rPr>
        <w:t>zúčtování opravných položek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ve správné výši a dále nevytvořilo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 xml:space="preserve"> celkové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opravné položky</w:t>
      </w:r>
      <w:r w:rsidR="00EC334C">
        <w:rPr>
          <w:rFonts w:ascii="Calibri" w:eastAsia="Times New Roman" w:hAnsi="Calibri" w:cs="Times New Roman"/>
          <w:bCs/>
          <w:iCs/>
          <w:sz w:val="24"/>
          <w:szCs w:val="24"/>
        </w:rPr>
        <w:t xml:space="preserve"> dle vyhlášky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č. 410/2009 Sb. 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 xml:space="preserve">a dle 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stanovené metody</w:t>
      </w:r>
      <w:r w:rsidR="0025568E">
        <w:rPr>
          <w:rFonts w:ascii="Calibri" w:eastAsia="Times New Roman" w:hAnsi="Calibri" w:cs="Times New Roman"/>
          <w:bCs/>
          <w:iCs/>
          <w:sz w:val="24"/>
          <w:szCs w:val="24"/>
        </w:rPr>
        <w:t>,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tzn. s ohledem na počet dní</w:t>
      </w:r>
      <w:r w:rsidR="00495772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po splatnosti. V souladu se stanovenou metodou měla být v ÚZ vykázána 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>n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etto hodnota těchto pohledávek v nulové výši. MV 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 xml:space="preserve">ale 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vykázalo v ÚZ jejich </w:t>
      </w:r>
      <w:r w:rsidR="006C3618">
        <w:rPr>
          <w:rFonts w:ascii="Calibri" w:eastAsia="Times New Roman" w:hAnsi="Calibri" w:cs="Times New Roman"/>
          <w:bCs/>
          <w:iCs/>
          <w:sz w:val="24"/>
          <w:szCs w:val="24"/>
        </w:rPr>
        <w:t>n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etto hodnotu ve výši 176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>,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59</w:t>
      </w:r>
      <w:r w:rsidR="005F7EF9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>tis.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Kč.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V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důsledku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obou výše uvedených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skutečností MV v ÚZ ovlivnilo hodnotu ve sloupci </w:t>
      </w:r>
      <w:r w:rsidRPr="00A85929">
        <w:rPr>
          <w:rFonts w:ascii="Calibri" w:eastAsia="Times New Roman" w:hAnsi="Calibri" w:cs="Times New Roman"/>
          <w:bCs/>
          <w:i/>
          <w:iCs/>
          <w:sz w:val="24"/>
          <w:szCs w:val="24"/>
        </w:rPr>
        <w:t>Netto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účtu 315 – </w:t>
      </w:r>
      <w:r>
        <w:rPr>
          <w:rFonts w:ascii="Calibri" w:eastAsia="Times New Roman" w:hAnsi="Calibri" w:cs="Times New Roman"/>
          <w:bCs/>
          <w:i/>
          <w:iCs/>
          <w:sz w:val="24"/>
          <w:szCs w:val="24"/>
        </w:rPr>
        <w:t>Jiné pohledávky z hlavní činnos</w:t>
      </w:r>
      <w:r w:rsidRPr="006C3618">
        <w:rPr>
          <w:rFonts w:ascii="Calibri" w:eastAsia="Times New Roman" w:hAnsi="Calibri" w:cs="Times New Roman"/>
          <w:bCs/>
          <w:i/>
          <w:iCs/>
          <w:sz w:val="24"/>
          <w:szCs w:val="24"/>
        </w:rPr>
        <w:t>t</w:t>
      </w:r>
      <w:r w:rsidRPr="00A85929">
        <w:rPr>
          <w:rFonts w:ascii="Calibri" w:eastAsia="Times New Roman" w:hAnsi="Calibri" w:cs="Times New Roman"/>
          <w:bCs/>
          <w:i/>
          <w:iCs/>
          <w:sz w:val="24"/>
          <w:szCs w:val="24"/>
        </w:rPr>
        <w:t>i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o částku 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176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>,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59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 xml:space="preserve"> tis.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Kč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a dále </w:t>
      </w:r>
      <w:r w:rsidR="006E7883">
        <w:rPr>
          <w:rFonts w:ascii="Calibri" w:eastAsia="Times New Roman" w:hAnsi="Calibri" w:cs="Times New Roman"/>
          <w:bCs/>
          <w:iCs/>
          <w:sz w:val="24"/>
          <w:szCs w:val="24"/>
        </w:rPr>
        <w:t xml:space="preserve">sloupec </w:t>
      </w:r>
      <w:r w:rsidR="006E7883" w:rsidRPr="00A85929">
        <w:rPr>
          <w:rFonts w:ascii="Calibri" w:eastAsia="Times New Roman" w:hAnsi="Calibri" w:cs="Times New Roman"/>
          <w:bCs/>
          <w:i/>
          <w:iCs/>
          <w:sz w:val="24"/>
          <w:szCs w:val="24"/>
        </w:rPr>
        <w:t>Korekce</w:t>
      </w:r>
      <w:r w:rsidR="006E7883">
        <w:rPr>
          <w:rFonts w:ascii="Calibri" w:eastAsia="Times New Roman" w:hAnsi="Calibri" w:cs="Times New Roman"/>
          <w:bCs/>
          <w:iCs/>
          <w:sz w:val="24"/>
          <w:szCs w:val="24"/>
        </w:rPr>
        <w:t xml:space="preserve"> (a</w:t>
      </w:r>
      <w:r w:rsidR="00AA7D25">
        <w:rPr>
          <w:rFonts w:ascii="Calibri" w:eastAsia="Times New Roman" w:hAnsi="Calibri" w:cs="Times New Roman"/>
          <w:bCs/>
          <w:iCs/>
          <w:sz w:val="24"/>
          <w:szCs w:val="24"/>
        </w:rPr>
        <w:t> </w:t>
      </w:r>
      <w:r w:rsidR="006E7883">
        <w:rPr>
          <w:rFonts w:ascii="Calibri" w:eastAsia="Times New Roman" w:hAnsi="Calibri" w:cs="Times New Roman"/>
          <w:bCs/>
          <w:iCs/>
          <w:sz w:val="24"/>
          <w:szCs w:val="24"/>
        </w:rPr>
        <w:t xml:space="preserve">tím 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zůstat</w:t>
      </w:r>
      <w:r w:rsidR="006E7883">
        <w:rPr>
          <w:rFonts w:ascii="Calibri" w:eastAsia="Times New Roman" w:hAnsi="Calibri" w:cs="Times New Roman"/>
          <w:bCs/>
          <w:iCs/>
          <w:sz w:val="24"/>
          <w:szCs w:val="24"/>
        </w:rPr>
        <w:t>e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>k účt</w:t>
      </w:r>
      <w:r w:rsidR="006E7883">
        <w:rPr>
          <w:rFonts w:ascii="Calibri" w:eastAsia="Times New Roman" w:hAnsi="Calibri" w:cs="Times New Roman"/>
          <w:bCs/>
          <w:iCs/>
          <w:sz w:val="24"/>
          <w:szCs w:val="24"/>
        </w:rPr>
        <w:t>u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192 </w:t>
      </w:r>
      <w:r w:rsidR="006E7883">
        <w:rPr>
          <w:rFonts w:ascii="Calibri" w:eastAsia="Times New Roman" w:hAnsi="Calibri" w:cs="Times New Roman"/>
          <w:bCs/>
          <w:iCs/>
          <w:sz w:val="24"/>
          <w:szCs w:val="24"/>
        </w:rPr>
        <w:t>–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  <w:r w:rsidR="006E7883" w:rsidRPr="00BC1544">
        <w:rPr>
          <w:rFonts w:ascii="Calibri" w:eastAsia="Times New Roman" w:hAnsi="Calibri" w:cs="Times New Roman"/>
          <w:bCs/>
          <w:i/>
          <w:iCs/>
          <w:sz w:val="24"/>
          <w:szCs w:val="24"/>
        </w:rPr>
        <w:t>Opravné položky k jiným pohledávkám z hlavní činnosti</w:t>
      </w:r>
      <w:r w:rsidR="006E7883" w:rsidRPr="00A85929">
        <w:rPr>
          <w:rFonts w:ascii="Calibri" w:eastAsia="Times New Roman" w:hAnsi="Calibri" w:cs="Times New Roman"/>
          <w:bCs/>
          <w:iCs/>
          <w:sz w:val="24"/>
          <w:szCs w:val="24"/>
        </w:rPr>
        <w:t>)</w:t>
      </w:r>
      <w:r w:rsidR="005D239F" w:rsidRPr="00BC1544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ve výši 168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>,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73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 xml:space="preserve"> tis.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Kč a účet 649 </w:t>
      </w:r>
      <w:r w:rsidR="005D239F" w:rsidRPr="00BC1544">
        <w:rPr>
          <w:rFonts w:ascii="Calibri" w:eastAsia="Times New Roman" w:hAnsi="Calibri" w:cs="Times New Roman"/>
          <w:bCs/>
          <w:i/>
          <w:iCs/>
          <w:sz w:val="24"/>
          <w:szCs w:val="24"/>
        </w:rPr>
        <w:t>– Ostatní výnosy z činnosti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o částku 7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>,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>86</w:t>
      </w:r>
      <w:r w:rsidR="002D4B38">
        <w:rPr>
          <w:rFonts w:ascii="Calibri" w:eastAsia="Times New Roman" w:hAnsi="Calibri" w:cs="Times New Roman"/>
          <w:bCs/>
          <w:iCs/>
          <w:sz w:val="24"/>
          <w:szCs w:val="24"/>
        </w:rPr>
        <w:t xml:space="preserve"> tis.</w:t>
      </w:r>
      <w:r w:rsidR="005D239F">
        <w:rPr>
          <w:rFonts w:ascii="Calibri" w:eastAsia="Times New Roman" w:hAnsi="Calibri" w:cs="Times New Roman"/>
          <w:bCs/>
          <w:iCs/>
          <w:sz w:val="24"/>
          <w:szCs w:val="24"/>
        </w:rPr>
        <w:t xml:space="preserve"> Kč.</w:t>
      </w:r>
      <w:r>
        <w:rPr>
          <w:rFonts w:ascii="Calibri" w:eastAsia="Times New Roman" w:hAnsi="Calibri" w:cs="Times New Roman"/>
          <w:bCs/>
          <w:iCs/>
          <w:sz w:val="24"/>
          <w:szCs w:val="24"/>
        </w:rPr>
        <w:t xml:space="preserve"> </w:t>
      </w:r>
    </w:p>
    <w:p w14:paraId="3529D2AD" w14:textId="77777777" w:rsidR="00C66D81" w:rsidRPr="00A85929" w:rsidRDefault="00C66D81" w:rsidP="00BB5463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85929">
        <w:rPr>
          <w:rFonts w:ascii="Calibri" w:eastAsia="Times New Roman" w:hAnsi="Calibri" w:cs="Calibri"/>
          <w:b/>
          <w:sz w:val="24"/>
          <w:szCs w:val="24"/>
        </w:rPr>
        <w:t>Pohledávky v cizí měně</w:t>
      </w:r>
    </w:p>
    <w:p w14:paraId="20841329" w14:textId="24A38B65" w:rsidR="00C66D81" w:rsidRDefault="00495772" w:rsidP="00C66D81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 některých případech MV v roce 2014</w:t>
      </w:r>
      <w:r w:rsidR="00C66D81">
        <w:rPr>
          <w:rFonts w:ascii="Calibri" w:eastAsia="Times New Roman" w:hAnsi="Calibri" w:cs="Times New Roman"/>
          <w:sz w:val="24"/>
          <w:szCs w:val="24"/>
        </w:rPr>
        <w:t xml:space="preserve"> při ocenění pohledávek </w:t>
      </w:r>
      <w:r>
        <w:rPr>
          <w:rFonts w:ascii="Calibri" w:eastAsia="Times New Roman" w:hAnsi="Calibri" w:cs="Times New Roman"/>
          <w:sz w:val="24"/>
          <w:szCs w:val="24"/>
        </w:rPr>
        <w:t xml:space="preserve">v cizí měně </w:t>
      </w:r>
      <w:r w:rsidR="00C66D81">
        <w:rPr>
          <w:rFonts w:ascii="Calibri" w:eastAsia="Times New Roman" w:hAnsi="Calibri" w:cs="Times New Roman"/>
          <w:sz w:val="24"/>
          <w:szCs w:val="24"/>
        </w:rPr>
        <w:t>nepostupovalo dle zákona č. 563/1991 Sb.</w:t>
      </w:r>
      <w:r w:rsidR="00CD5310">
        <w:rPr>
          <w:rFonts w:ascii="Calibri" w:eastAsia="Times New Roman" w:hAnsi="Calibri" w:cs="Times New Roman"/>
          <w:sz w:val="24"/>
          <w:szCs w:val="24"/>
        </w:rPr>
        <w:t>, neboť je neocenilo kurzem devizového trhu k datu vzniku nároku, ale až devizovým kurzem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5310">
        <w:rPr>
          <w:rFonts w:ascii="Calibri" w:eastAsia="Times New Roman" w:hAnsi="Calibri" w:cs="Times New Roman"/>
          <w:sz w:val="24"/>
          <w:szCs w:val="24"/>
        </w:rPr>
        <w:t xml:space="preserve">k datu přijetí peněžních prostředků. </w:t>
      </w:r>
      <w:r w:rsidR="00C66D81">
        <w:rPr>
          <w:rFonts w:ascii="Calibri" w:eastAsia="Times New Roman" w:hAnsi="Calibri" w:cs="Times New Roman"/>
          <w:sz w:val="24"/>
          <w:szCs w:val="24"/>
        </w:rPr>
        <w:t xml:space="preserve">V důsledku této skutečnosti MV </w:t>
      </w:r>
      <w:r w:rsidR="00CD5310">
        <w:rPr>
          <w:rFonts w:ascii="Calibri" w:eastAsia="Times New Roman" w:hAnsi="Calibri" w:cs="Times New Roman"/>
          <w:sz w:val="24"/>
          <w:szCs w:val="24"/>
        </w:rPr>
        <w:t>neúčtovalo o kurzových rozdílech</w:t>
      </w:r>
      <w:r w:rsidR="00C66D81">
        <w:rPr>
          <w:rFonts w:ascii="Calibri" w:eastAsia="Times New Roman" w:hAnsi="Calibri" w:cs="Times New Roman"/>
          <w:sz w:val="24"/>
          <w:szCs w:val="24"/>
        </w:rPr>
        <w:t xml:space="preserve"> a v ÚZ nevykázalo kurzové ztráty.  </w:t>
      </w:r>
    </w:p>
    <w:p w14:paraId="05DFDD58" w14:textId="77777777" w:rsidR="00C66D81" w:rsidRPr="00A85929" w:rsidRDefault="00C66D81" w:rsidP="00BB5463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85929">
        <w:rPr>
          <w:rFonts w:ascii="Calibri" w:eastAsia="Times New Roman" w:hAnsi="Calibri" w:cs="Calibri"/>
          <w:b/>
          <w:sz w:val="24"/>
          <w:szCs w:val="24"/>
        </w:rPr>
        <w:t>Účtování o úbytku pohledávek</w:t>
      </w:r>
    </w:p>
    <w:p w14:paraId="783B3D73" w14:textId="72894CAE" w:rsidR="00C66D81" w:rsidRDefault="00C66D81" w:rsidP="00C66D81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MV v roce 2014 účtovalo o úbytku pohledávek z titulu bezúplatného pozbytí. Jednalo se např. o pohledávku z pokuty uložené ve správním řízení ve výši 10 tis. </w:t>
      </w:r>
      <w:r w:rsidR="0073515A">
        <w:rPr>
          <w:rFonts w:ascii="Calibri" w:eastAsia="Times New Roman" w:hAnsi="Calibri" w:cs="Times New Roman"/>
          <w:sz w:val="24"/>
          <w:szCs w:val="24"/>
        </w:rPr>
        <w:t xml:space="preserve">Kč a </w:t>
      </w:r>
      <w:r>
        <w:rPr>
          <w:rFonts w:ascii="Calibri" w:eastAsia="Times New Roman" w:hAnsi="Calibri" w:cs="Times New Roman"/>
          <w:sz w:val="24"/>
          <w:szCs w:val="24"/>
        </w:rPr>
        <w:t xml:space="preserve">dále </w:t>
      </w:r>
      <w:r w:rsidR="009C46FA">
        <w:rPr>
          <w:rFonts w:ascii="Calibri" w:eastAsia="Times New Roman" w:hAnsi="Calibri" w:cs="Times New Roman"/>
          <w:sz w:val="24"/>
          <w:szCs w:val="24"/>
        </w:rPr>
        <w:t xml:space="preserve">o pohledávku </w:t>
      </w:r>
      <w:r>
        <w:rPr>
          <w:rFonts w:ascii="Calibri" w:eastAsia="Times New Roman" w:hAnsi="Calibri" w:cs="Times New Roman"/>
          <w:sz w:val="24"/>
          <w:szCs w:val="24"/>
        </w:rPr>
        <w:t>z pokuty ve výši 300 tis. Kč, kterou MV uložilo na základě zákona č. 326/1999 Sb. Tyto pohledávky nebyly uhrazeny, byly k nim tvořeny opravné položky a MV je v roce 2014 postoupilo k dalšímu řízení příslušnému celnímu úřadu</w:t>
      </w:r>
      <w:r>
        <w:rPr>
          <w:rFonts w:ascii="Calibri" w:eastAsia="Times New Roman" w:hAnsi="Calibri" w:cs="Times New Roman"/>
          <w:sz w:val="24"/>
          <w:szCs w:val="24"/>
          <w:vertAlign w:val="superscript"/>
        </w:rPr>
        <w:footnoteReference w:id="25"/>
      </w:r>
      <w:r>
        <w:rPr>
          <w:rFonts w:ascii="Calibri" w:eastAsia="Times New Roman" w:hAnsi="Calibri" w:cs="Times New Roman"/>
          <w:sz w:val="24"/>
          <w:szCs w:val="24"/>
        </w:rPr>
        <w:t xml:space="preserve">. MV však o úbytku uvedených </w:t>
      </w:r>
      <w:r>
        <w:rPr>
          <w:rFonts w:ascii="Calibri" w:eastAsia="Times New Roman" w:hAnsi="Calibri" w:cs="Times New Roman"/>
          <w:sz w:val="24"/>
          <w:szCs w:val="24"/>
        </w:rPr>
        <w:lastRenderedPageBreak/>
        <w:t xml:space="preserve">pohledávek neúčtovalo postupem stanoveným </w:t>
      </w:r>
      <w:r w:rsidR="009C46FA">
        <w:rPr>
          <w:rFonts w:ascii="Calibri" w:eastAsia="Times New Roman" w:hAnsi="Calibri" w:cs="Times New Roman"/>
          <w:sz w:val="24"/>
          <w:szCs w:val="24"/>
        </w:rPr>
        <w:t>v </w:t>
      </w:r>
      <w:r>
        <w:rPr>
          <w:rFonts w:ascii="Calibri" w:eastAsia="Times New Roman" w:hAnsi="Calibri" w:cs="Times New Roman"/>
          <w:sz w:val="24"/>
          <w:szCs w:val="24"/>
        </w:rPr>
        <w:t xml:space="preserve">ČÚS č. 709 – </w:t>
      </w:r>
      <w:r>
        <w:rPr>
          <w:rFonts w:ascii="Calibri" w:eastAsia="Times New Roman" w:hAnsi="Calibri" w:cs="Times New Roman"/>
          <w:i/>
          <w:sz w:val="24"/>
          <w:szCs w:val="24"/>
        </w:rPr>
        <w:t>Vlastní zdroje</w:t>
      </w:r>
      <w:r w:rsidR="009C46FA" w:rsidRPr="00A85929">
        <w:rPr>
          <w:rFonts w:ascii="Calibri" w:eastAsia="Times New Roman" w:hAnsi="Calibri" w:cs="Times New Roman"/>
          <w:sz w:val="24"/>
          <w:szCs w:val="24"/>
        </w:rPr>
        <w:t>,</w:t>
      </w:r>
      <w:r w:rsidR="006F2F01" w:rsidRPr="00A85929">
        <w:rPr>
          <w:rStyle w:val="Znakapoznpodarou"/>
          <w:rFonts w:ascii="Calibri" w:eastAsia="Times New Roman" w:hAnsi="Calibri" w:cs="Times New Roman"/>
          <w:sz w:val="24"/>
          <w:szCs w:val="24"/>
        </w:rPr>
        <w:footnoteReference w:id="26"/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C46FA">
        <w:rPr>
          <w:rFonts w:ascii="Calibri" w:eastAsia="Times New Roman" w:hAnsi="Calibri" w:cs="Times New Roman"/>
          <w:sz w:val="24"/>
          <w:szCs w:val="24"/>
        </w:rPr>
        <w:t>v důsledku čehož</w:t>
      </w:r>
      <w:r w:rsidR="00483D61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ovlivnilo zůstat</w:t>
      </w:r>
      <w:r w:rsidR="009C46FA">
        <w:rPr>
          <w:rFonts w:ascii="Calibri" w:eastAsia="Times New Roman" w:hAnsi="Calibri" w:cs="Times New Roman"/>
          <w:sz w:val="24"/>
          <w:szCs w:val="24"/>
        </w:rPr>
        <w:t>ky</w:t>
      </w:r>
      <w:r>
        <w:rPr>
          <w:rFonts w:ascii="Calibri" w:eastAsia="Times New Roman" w:hAnsi="Calibri" w:cs="Times New Roman"/>
          <w:sz w:val="24"/>
          <w:szCs w:val="24"/>
        </w:rPr>
        <w:t xml:space="preserve"> účtů</w:t>
      </w:r>
      <w:r w:rsidR="009C46FA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556 – </w:t>
      </w:r>
      <w:r>
        <w:rPr>
          <w:rFonts w:ascii="Calibri" w:eastAsia="Times New Roman" w:hAnsi="Calibri" w:cs="Times New Roman"/>
          <w:i/>
          <w:sz w:val="24"/>
          <w:szCs w:val="24"/>
        </w:rPr>
        <w:t>Tvorba a zúčtování opravných položek</w:t>
      </w:r>
      <w:r>
        <w:rPr>
          <w:rFonts w:ascii="Calibri" w:eastAsia="Times New Roman" w:hAnsi="Calibri" w:cs="Times New Roman"/>
          <w:sz w:val="24"/>
          <w:szCs w:val="24"/>
        </w:rPr>
        <w:t xml:space="preserve"> a 549 – </w:t>
      </w:r>
      <w:r>
        <w:rPr>
          <w:rFonts w:ascii="Calibri" w:eastAsia="Times New Roman" w:hAnsi="Calibri" w:cs="Times New Roman"/>
          <w:i/>
          <w:sz w:val="24"/>
          <w:szCs w:val="24"/>
        </w:rPr>
        <w:t>Ostatní náklady z činnosti</w:t>
      </w:r>
      <w:r w:rsidR="00F40309">
        <w:rPr>
          <w:rFonts w:ascii="Calibri" w:eastAsia="Times New Roman" w:hAnsi="Calibri" w:cs="Times New Roman"/>
          <w:sz w:val="24"/>
          <w:szCs w:val="24"/>
        </w:rPr>
        <w:t xml:space="preserve"> o částku 100 </w:t>
      </w:r>
      <w:r w:rsidR="00495772">
        <w:rPr>
          <w:rFonts w:ascii="Calibri" w:eastAsia="Times New Roman" w:hAnsi="Calibri" w:cs="Times New Roman"/>
          <w:sz w:val="24"/>
          <w:szCs w:val="24"/>
        </w:rPr>
        <w:t>tis. Kč.</w:t>
      </w:r>
    </w:p>
    <w:p w14:paraId="13B165BB" w14:textId="3FEBE06E" w:rsidR="00C66D81" w:rsidRPr="00A85929" w:rsidRDefault="00C66D81" w:rsidP="00B55690">
      <w:pPr>
        <w:pStyle w:val="Odstavecseseznamem"/>
        <w:numPr>
          <w:ilvl w:val="1"/>
          <w:numId w:val="21"/>
        </w:numPr>
        <w:tabs>
          <w:tab w:val="left" w:pos="567"/>
        </w:tabs>
        <w:spacing w:before="24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85929">
        <w:rPr>
          <w:rFonts w:ascii="Calibri" w:eastAsia="Times New Roman" w:hAnsi="Calibri" w:cs="Calibri"/>
          <w:b/>
          <w:sz w:val="24"/>
          <w:szCs w:val="24"/>
        </w:rPr>
        <w:t xml:space="preserve">Podmíněné závazky plynoucí </w:t>
      </w:r>
      <w:r w:rsidR="000D5E09">
        <w:rPr>
          <w:rFonts w:ascii="Calibri" w:eastAsia="Times New Roman" w:hAnsi="Calibri" w:cs="Calibri"/>
          <w:b/>
          <w:sz w:val="24"/>
          <w:szCs w:val="24"/>
        </w:rPr>
        <w:t xml:space="preserve">pro </w:t>
      </w:r>
      <w:r w:rsidRPr="00A85929">
        <w:rPr>
          <w:rFonts w:ascii="Calibri" w:eastAsia="Times New Roman" w:hAnsi="Calibri" w:cs="Calibri"/>
          <w:b/>
          <w:sz w:val="24"/>
          <w:szCs w:val="24"/>
        </w:rPr>
        <w:t>MV z užívání cizího majetku</w:t>
      </w:r>
    </w:p>
    <w:p w14:paraId="179881A4" w14:textId="3F1643EF" w:rsidR="00646574" w:rsidRDefault="00C66D81" w:rsidP="00BC1544">
      <w:pPr>
        <w:spacing w:before="40" w:after="120" w:line="240" w:lineRule="auto"/>
        <w:ind w:left="6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MV dlouhodobý podmíněný závazek</w:t>
      </w:r>
      <w:r w:rsidR="00B779A6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D3F17">
        <w:rPr>
          <w:rFonts w:ascii="Calibri" w:eastAsia="Times New Roman" w:hAnsi="Calibri" w:cs="Times New Roman"/>
          <w:sz w:val="24"/>
          <w:szCs w:val="24"/>
        </w:rPr>
        <w:t>který vyplynul</w:t>
      </w:r>
      <w:r>
        <w:rPr>
          <w:rFonts w:ascii="Calibri" w:eastAsia="Times New Roman" w:hAnsi="Calibri" w:cs="Times New Roman"/>
          <w:sz w:val="24"/>
          <w:szCs w:val="24"/>
        </w:rPr>
        <w:t xml:space="preserve"> z</w:t>
      </w:r>
      <w:r w:rsidR="00B779A6">
        <w:rPr>
          <w:rFonts w:ascii="Calibri" w:eastAsia="Times New Roman" w:hAnsi="Calibri" w:cs="Times New Roman"/>
          <w:sz w:val="24"/>
          <w:szCs w:val="24"/>
        </w:rPr>
        <w:t>e</w:t>
      </w:r>
      <w:r>
        <w:rPr>
          <w:rFonts w:ascii="Calibri" w:eastAsia="Times New Roman" w:hAnsi="Calibri" w:cs="Times New Roman"/>
          <w:sz w:val="24"/>
          <w:szCs w:val="24"/>
        </w:rPr>
        <w:t xml:space="preserve"> smlouvy o nájmu nebytových prostor</w:t>
      </w:r>
      <w:r w:rsidR="00B779A6">
        <w:rPr>
          <w:rFonts w:ascii="Calibri" w:eastAsia="Times New Roman" w:hAnsi="Calibri" w:cs="Times New Roman"/>
          <w:sz w:val="24"/>
          <w:szCs w:val="24"/>
        </w:rPr>
        <w:t xml:space="preserve"> uzavřené v roce 2010 na dobu neurčitou s výší ročního plnění</w:t>
      </w:r>
      <w:r w:rsidR="000D5E0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779A6">
        <w:rPr>
          <w:rFonts w:ascii="Calibri" w:eastAsia="Times New Roman" w:hAnsi="Calibri" w:cs="Times New Roman"/>
          <w:sz w:val="24"/>
          <w:szCs w:val="24"/>
        </w:rPr>
        <w:t xml:space="preserve">v částce 693,37 tis. Kč, vykázalo v </w:t>
      </w:r>
      <w:r>
        <w:rPr>
          <w:rFonts w:ascii="Calibri" w:eastAsia="Times New Roman" w:hAnsi="Calibri" w:cs="Times New Roman"/>
          <w:sz w:val="24"/>
          <w:szCs w:val="24"/>
        </w:rPr>
        <w:t>ÚZ v nesprávné výši 774,24 tis. Kč</w:t>
      </w:r>
      <w:r w:rsidR="00B779A6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a na nesprávném účtu 968 – </w:t>
      </w:r>
      <w:r>
        <w:rPr>
          <w:rFonts w:ascii="Calibri" w:eastAsia="Times New Roman" w:hAnsi="Calibri" w:cs="Times New Roman"/>
          <w:i/>
          <w:sz w:val="24"/>
          <w:szCs w:val="24"/>
        </w:rPr>
        <w:t>Dlouhodobé podmíněné závazky z důvodu užívání cizího majetku nebo jeho převzetí z jiných důvodů</w:t>
      </w:r>
      <w:r w:rsidR="00B779A6">
        <w:rPr>
          <w:rFonts w:ascii="Calibri" w:eastAsia="Times New Roman" w:hAnsi="Calibri" w:cs="Times New Roman"/>
          <w:sz w:val="24"/>
          <w:szCs w:val="24"/>
        </w:rPr>
        <w:t>.</w:t>
      </w:r>
      <w:r w:rsidR="003524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779A6">
        <w:rPr>
          <w:rFonts w:ascii="Calibri" w:eastAsia="Times New Roman" w:hAnsi="Calibri" w:cs="Times New Roman"/>
          <w:sz w:val="24"/>
          <w:szCs w:val="24"/>
        </w:rPr>
        <w:t>Dl</w:t>
      </w:r>
      <w:r>
        <w:rPr>
          <w:rFonts w:ascii="Calibri" w:eastAsia="Times New Roman" w:hAnsi="Calibri" w:cs="Times New Roman"/>
          <w:sz w:val="24"/>
          <w:szCs w:val="24"/>
        </w:rPr>
        <w:t>e vyhlášky č. 410/2009 Sb.</w:t>
      </w:r>
      <w:r w:rsidR="00B779A6">
        <w:rPr>
          <w:rFonts w:ascii="Calibri" w:eastAsia="Times New Roman" w:hAnsi="Calibri" w:cs="Times New Roman"/>
          <w:sz w:val="24"/>
          <w:szCs w:val="24"/>
        </w:rPr>
        <w:t xml:space="preserve"> mají být</w:t>
      </w:r>
      <w:r>
        <w:rPr>
          <w:rFonts w:ascii="Calibri" w:eastAsia="Times New Roman" w:hAnsi="Calibri" w:cs="Times New Roman"/>
          <w:sz w:val="24"/>
          <w:szCs w:val="24"/>
        </w:rPr>
        <w:t xml:space="preserve"> dlouhodob</w:t>
      </w:r>
      <w:r w:rsidR="00B779A6">
        <w:rPr>
          <w:rFonts w:ascii="Calibri" w:eastAsia="Times New Roman" w:hAnsi="Calibri" w:cs="Times New Roman"/>
          <w:sz w:val="24"/>
          <w:szCs w:val="24"/>
        </w:rPr>
        <w:t>é</w:t>
      </w:r>
      <w:r>
        <w:rPr>
          <w:rFonts w:ascii="Calibri" w:eastAsia="Times New Roman" w:hAnsi="Calibri" w:cs="Times New Roman"/>
          <w:sz w:val="24"/>
          <w:szCs w:val="24"/>
        </w:rPr>
        <w:t xml:space="preserve"> podmíněn</w:t>
      </w:r>
      <w:r w:rsidR="00B779A6">
        <w:rPr>
          <w:rFonts w:ascii="Calibri" w:eastAsia="Times New Roman" w:hAnsi="Calibri" w:cs="Times New Roman"/>
          <w:sz w:val="24"/>
          <w:szCs w:val="24"/>
        </w:rPr>
        <w:t xml:space="preserve">é </w:t>
      </w:r>
      <w:r>
        <w:rPr>
          <w:rFonts w:ascii="Calibri" w:eastAsia="Times New Roman" w:hAnsi="Calibri" w:cs="Times New Roman"/>
          <w:sz w:val="24"/>
          <w:szCs w:val="24"/>
        </w:rPr>
        <w:t>závaz</w:t>
      </w:r>
      <w:r w:rsidR="00B779A6">
        <w:rPr>
          <w:rFonts w:ascii="Calibri" w:eastAsia="Times New Roman" w:hAnsi="Calibri" w:cs="Times New Roman"/>
          <w:sz w:val="24"/>
          <w:szCs w:val="24"/>
        </w:rPr>
        <w:t>ky existující</w:t>
      </w:r>
      <w:r>
        <w:rPr>
          <w:rFonts w:ascii="Calibri" w:eastAsia="Times New Roman" w:hAnsi="Calibri" w:cs="Times New Roman"/>
          <w:sz w:val="24"/>
          <w:szCs w:val="24"/>
        </w:rPr>
        <w:t xml:space="preserve"> z důvodu uzavřené smlouvy o nájmu </w:t>
      </w:r>
      <w:r w:rsidR="00B779A6">
        <w:rPr>
          <w:rFonts w:ascii="Calibri" w:eastAsia="Times New Roman" w:hAnsi="Calibri" w:cs="Times New Roman"/>
          <w:sz w:val="24"/>
          <w:szCs w:val="24"/>
        </w:rPr>
        <w:t>vykazovány</w:t>
      </w:r>
      <w:r>
        <w:rPr>
          <w:rFonts w:ascii="Calibri" w:eastAsia="Times New Roman" w:hAnsi="Calibri" w:cs="Times New Roman"/>
          <w:sz w:val="24"/>
          <w:szCs w:val="24"/>
        </w:rPr>
        <w:t xml:space="preserve"> na účtu</w:t>
      </w:r>
      <w:r w:rsidR="000D3F1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974 – </w:t>
      </w:r>
      <w:r w:rsidR="00C8404F">
        <w:rPr>
          <w:rFonts w:ascii="Calibri" w:eastAsia="Times New Roman" w:hAnsi="Calibri" w:cs="Times New Roman"/>
          <w:i/>
          <w:sz w:val="24"/>
          <w:szCs w:val="24"/>
        </w:rPr>
        <w:t>Dlouhodobé podmíněné závazky z </w:t>
      </w:r>
      <w:r>
        <w:rPr>
          <w:rFonts w:ascii="Calibri" w:eastAsia="Times New Roman" w:hAnsi="Calibri" w:cs="Times New Roman"/>
          <w:i/>
          <w:sz w:val="24"/>
          <w:szCs w:val="24"/>
        </w:rPr>
        <w:t>jiných smluv</w:t>
      </w:r>
      <w:r w:rsidR="000D5E09">
        <w:rPr>
          <w:rFonts w:ascii="Calibri" w:eastAsia="Times New Roman" w:hAnsi="Calibri" w:cs="Times New Roman"/>
          <w:sz w:val="24"/>
          <w:szCs w:val="24"/>
        </w:rPr>
        <w:t>,</w:t>
      </w:r>
      <w:r w:rsidR="004962E5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4962E5">
        <w:rPr>
          <w:rFonts w:ascii="Calibri" w:eastAsia="Times New Roman" w:hAnsi="Calibri" w:cs="Times New Roman"/>
          <w:sz w:val="24"/>
          <w:szCs w:val="24"/>
        </w:rPr>
        <w:t>a to ve výši plnění plynoucí z t</w:t>
      </w:r>
      <w:r w:rsidR="005D107C">
        <w:rPr>
          <w:rFonts w:ascii="Calibri" w:eastAsia="Times New Roman" w:hAnsi="Calibri" w:cs="Times New Roman"/>
          <w:sz w:val="24"/>
          <w:szCs w:val="24"/>
        </w:rPr>
        <w:t>akové</w:t>
      </w:r>
      <w:r w:rsidR="004962E5">
        <w:rPr>
          <w:rFonts w:ascii="Calibri" w:eastAsia="Times New Roman" w:hAnsi="Calibri" w:cs="Times New Roman"/>
          <w:sz w:val="24"/>
          <w:szCs w:val="24"/>
        </w:rPr>
        <w:t xml:space="preserve"> sml</w:t>
      </w:r>
      <w:r w:rsidR="005D107C">
        <w:rPr>
          <w:rFonts w:ascii="Calibri" w:eastAsia="Times New Roman" w:hAnsi="Calibri" w:cs="Times New Roman"/>
          <w:sz w:val="24"/>
          <w:szCs w:val="24"/>
        </w:rPr>
        <w:t>ouvy</w:t>
      </w:r>
      <w:r w:rsidR="004962E5">
        <w:rPr>
          <w:rFonts w:ascii="Calibri" w:eastAsia="Times New Roman" w:hAnsi="Calibri" w:cs="Times New Roman"/>
          <w:sz w:val="24"/>
          <w:szCs w:val="24"/>
        </w:rPr>
        <w:t xml:space="preserve"> za tři roky po sobě jdoucí po konci účetního období</w:t>
      </w:r>
      <w:r w:rsidR="000D5E09">
        <w:rPr>
          <w:rFonts w:ascii="Calibri" w:eastAsia="Times New Roman" w:hAnsi="Calibri" w:cs="Times New Roman"/>
          <w:sz w:val="24"/>
          <w:szCs w:val="24"/>
        </w:rPr>
        <w:t>,</w:t>
      </w:r>
      <w:r w:rsidR="004962E5">
        <w:rPr>
          <w:rFonts w:ascii="Calibri" w:eastAsia="Times New Roman" w:hAnsi="Calibri" w:cs="Times New Roman"/>
          <w:sz w:val="24"/>
          <w:szCs w:val="24"/>
        </w:rPr>
        <w:t xml:space="preserve"> tj. v tomto případě v celkové výši 2,08 mil. Kč. </w:t>
      </w:r>
      <w:r>
        <w:rPr>
          <w:rFonts w:ascii="Calibri" w:eastAsia="Times New Roman" w:hAnsi="Calibri" w:cs="Times New Roman"/>
          <w:sz w:val="24"/>
          <w:szCs w:val="24"/>
        </w:rPr>
        <w:t>MV</w:t>
      </w:r>
      <w:r w:rsidR="00B779A6">
        <w:rPr>
          <w:rFonts w:ascii="Calibri" w:eastAsia="Times New Roman" w:hAnsi="Calibri" w:cs="Times New Roman"/>
          <w:sz w:val="24"/>
          <w:szCs w:val="24"/>
        </w:rPr>
        <w:t xml:space="preserve"> tak</w:t>
      </w:r>
      <w:r>
        <w:rPr>
          <w:rFonts w:ascii="Calibri" w:eastAsia="Times New Roman" w:hAnsi="Calibri" w:cs="Times New Roman"/>
          <w:sz w:val="24"/>
          <w:szCs w:val="24"/>
        </w:rPr>
        <w:t xml:space="preserve"> v ÚZ ovlivnilo zůstatek účtu</w:t>
      </w:r>
      <w:r w:rsidR="00C8404F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968 – </w:t>
      </w:r>
      <w:r>
        <w:rPr>
          <w:rFonts w:ascii="Calibri" w:eastAsia="Times New Roman" w:hAnsi="Calibri" w:cs="Times New Roman"/>
          <w:i/>
          <w:sz w:val="24"/>
          <w:szCs w:val="24"/>
        </w:rPr>
        <w:t>Dlouhodobé podmíněné závazky z důvodu užívání cizí</w:t>
      </w:r>
      <w:r w:rsidR="00F40309">
        <w:rPr>
          <w:rFonts w:ascii="Calibri" w:eastAsia="Times New Roman" w:hAnsi="Calibri" w:cs="Times New Roman"/>
          <w:i/>
          <w:sz w:val="24"/>
          <w:szCs w:val="24"/>
        </w:rPr>
        <w:t>ho majetku nebo jeho převzetí z </w:t>
      </w:r>
      <w:r>
        <w:rPr>
          <w:rFonts w:ascii="Calibri" w:eastAsia="Times New Roman" w:hAnsi="Calibri" w:cs="Times New Roman"/>
          <w:i/>
          <w:sz w:val="24"/>
          <w:szCs w:val="24"/>
        </w:rPr>
        <w:t>jiných důvodů</w:t>
      </w:r>
      <w:r>
        <w:rPr>
          <w:rFonts w:ascii="Calibri" w:eastAsia="Times New Roman" w:hAnsi="Calibri" w:cs="Times New Roman"/>
          <w:sz w:val="24"/>
          <w:szCs w:val="24"/>
        </w:rPr>
        <w:t xml:space="preserve"> o částku 774,24 tis. Kč a zůstatek účtu 974 – </w:t>
      </w:r>
      <w:r>
        <w:rPr>
          <w:rFonts w:ascii="Calibri" w:eastAsia="Times New Roman" w:hAnsi="Calibri" w:cs="Times New Roman"/>
          <w:i/>
          <w:sz w:val="24"/>
          <w:szCs w:val="24"/>
        </w:rPr>
        <w:t>Dlouhodobé podmíněné závazky z jiných smluv</w:t>
      </w:r>
      <w:r>
        <w:rPr>
          <w:rFonts w:ascii="Calibri" w:eastAsia="Times New Roman" w:hAnsi="Calibri" w:cs="Times New Roman"/>
          <w:sz w:val="24"/>
          <w:szCs w:val="24"/>
        </w:rPr>
        <w:t xml:space="preserve"> o částku 2,08 mil. Kč.</w:t>
      </w:r>
    </w:p>
    <w:p w14:paraId="50B227BA" w14:textId="77777777" w:rsidR="00184AA7" w:rsidRPr="00184AA7" w:rsidRDefault="00B55690" w:rsidP="00A85929">
      <w:pPr>
        <w:pStyle w:val="Styl1"/>
        <w:numPr>
          <w:ilvl w:val="0"/>
          <w:numId w:val="0"/>
        </w:numPr>
        <w:ind w:left="284" w:hanging="284"/>
      </w:pPr>
      <w:r>
        <w:t xml:space="preserve">2. </w:t>
      </w:r>
      <w:r>
        <w:tab/>
      </w:r>
      <w:r w:rsidR="00184AA7" w:rsidRPr="00184AA7">
        <w:t>Ostatní zjištění – porušení rozpočtové kázně</w:t>
      </w:r>
    </w:p>
    <w:p w14:paraId="7E3D7681" w14:textId="58F104D5" w:rsidR="00184AA7" w:rsidRPr="00184AA7" w:rsidRDefault="00E0793F" w:rsidP="00184AA7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395122">
        <w:rPr>
          <w:rFonts w:ascii="Calibri" w:eastAsia="Times New Roman" w:hAnsi="Calibri" w:cs="Times New Roman"/>
          <w:sz w:val="24"/>
          <w:szCs w:val="24"/>
        </w:rPr>
        <w:t xml:space="preserve">eněžní </w:t>
      </w:r>
      <w:r>
        <w:rPr>
          <w:rFonts w:ascii="Calibri" w:eastAsia="Times New Roman" w:hAnsi="Calibri" w:cs="Times New Roman"/>
          <w:sz w:val="24"/>
          <w:szCs w:val="24"/>
        </w:rPr>
        <w:t>p</w:t>
      </w:r>
      <w:r w:rsidR="00395122">
        <w:rPr>
          <w:rFonts w:ascii="Calibri" w:eastAsia="Times New Roman" w:hAnsi="Calibri" w:cs="Times New Roman"/>
          <w:sz w:val="24"/>
          <w:szCs w:val="24"/>
        </w:rPr>
        <w:t>rostředk</w:t>
      </w:r>
      <w:r w:rsidR="00585A5A">
        <w:rPr>
          <w:rFonts w:ascii="Calibri" w:eastAsia="Times New Roman" w:hAnsi="Calibri" w:cs="Times New Roman"/>
          <w:sz w:val="24"/>
          <w:szCs w:val="24"/>
        </w:rPr>
        <w:t>y</w:t>
      </w:r>
      <w:r w:rsidR="00395122">
        <w:rPr>
          <w:rFonts w:ascii="Calibri" w:eastAsia="Times New Roman" w:hAnsi="Calibri" w:cs="Times New Roman"/>
          <w:sz w:val="24"/>
          <w:szCs w:val="24"/>
        </w:rPr>
        <w:t xml:space="preserve"> přijat</w:t>
      </w:r>
      <w:r w:rsidR="00585A5A">
        <w:rPr>
          <w:rFonts w:ascii="Calibri" w:eastAsia="Times New Roman" w:hAnsi="Calibri" w:cs="Times New Roman"/>
          <w:sz w:val="24"/>
          <w:szCs w:val="24"/>
        </w:rPr>
        <w:t>é</w:t>
      </w:r>
      <w:r w:rsidR="00395122">
        <w:rPr>
          <w:rFonts w:ascii="Calibri" w:eastAsia="Times New Roman" w:hAnsi="Calibri" w:cs="Times New Roman"/>
          <w:sz w:val="24"/>
          <w:szCs w:val="24"/>
        </w:rPr>
        <w:t xml:space="preserve"> na jiný než příjmový rozpočtový účet </w:t>
      </w:r>
      <w:r>
        <w:rPr>
          <w:rFonts w:ascii="Calibri" w:eastAsia="Times New Roman" w:hAnsi="Calibri" w:cs="Times New Roman"/>
          <w:sz w:val="24"/>
          <w:szCs w:val="24"/>
        </w:rPr>
        <w:t xml:space="preserve">neodvedlo </w:t>
      </w:r>
      <w:r w:rsidRPr="00184AA7">
        <w:rPr>
          <w:rFonts w:ascii="Calibri" w:eastAsia="Times New Roman" w:hAnsi="Calibri" w:cs="Times New Roman"/>
          <w:sz w:val="24"/>
          <w:szCs w:val="24"/>
        </w:rPr>
        <w:t xml:space="preserve">MV v roce 2014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ve lhůtě 10 pracovních dnů</w:t>
      </w:r>
      <w:r w:rsidR="00395122">
        <w:rPr>
          <w:rFonts w:ascii="Calibri" w:eastAsia="Times New Roman" w:hAnsi="Calibri" w:cs="Times New Roman"/>
          <w:sz w:val="24"/>
          <w:szCs w:val="24"/>
        </w:rPr>
        <w:t xml:space="preserve"> do státního rozpočtu,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85A5A">
        <w:rPr>
          <w:rFonts w:ascii="Calibri" w:eastAsia="Times New Roman" w:hAnsi="Calibri" w:cs="Times New Roman"/>
          <w:sz w:val="24"/>
          <w:szCs w:val="24"/>
        </w:rPr>
        <w:t xml:space="preserve">čímž </w:t>
      </w:r>
      <w:r w:rsidR="002B6AF4">
        <w:rPr>
          <w:rFonts w:ascii="Calibri" w:eastAsia="Times New Roman" w:hAnsi="Calibri" w:cs="Times New Roman"/>
          <w:sz w:val="24"/>
          <w:szCs w:val="24"/>
        </w:rPr>
        <w:t>porušilo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03277">
        <w:rPr>
          <w:rFonts w:ascii="Calibri" w:eastAsia="Times New Roman" w:hAnsi="Calibri" w:cs="Times New Roman"/>
          <w:sz w:val="24"/>
          <w:szCs w:val="24"/>
        </w:rPr>
        <w:t xml:space="preserve">ustanovení </w:t>
      </w:r>
      <w:r w:rsidR="00C8404F">
        <w:rPr>
          <w:rFonts w:ascii="Calibri" w:eastAsia="Times New Roman" w:hAnsi="Calibri" w:cs="Times New Roman"/>
          <w:sz w:val="24"/>
          <w:szCs w:val="24"/>
        </w:rPr>
        <w:t>§ 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45 odst. 10 zákona č. 218/2000 Sb</w:t>
      </w:r>
      <w:r w:rsidR="000E4D13">
        <w:rPr>
          <w:rFonts w:ascii="Calibri" w:eastAsia="Times New Roman" w:hAnsi="Calibri" w:cs="Times New Roman"/>
          <w:sz w:val="24"/>
          <w:szCs w:val="24"/>
        </w:rPr>
        <w:t>.</w:t>
      </w:r>
      <w:r w:rsidR="007F4EC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F4EC6" w:rsidRPr="007F4EC6">
        <w:rPr>
          <w:rFonts w:ascii="Calibri" w:eastAsia="Times New Roman" w:hAnsi="Calibri" w:cs="Times New Roman"/>
          <w:sz w:val="24"/>
          <w:szCs w:val="24"/>
        </w:rPr>
        <w:t>Neprovedení</w:t>
      </w:r>
      <w:r w:rsidR="00395122">
        <w:rPr>
          <w:rFonts w:ascii="Calibri" w:eastAsia="Times New Roman" w:hAnsi="Calibri" w:cs="Times New Roman"/>
          <w:sz w:val="24"/>
          <w:szCs w:val="24"/>
        </w:rPr>
        <w:t xml:space="preserve"> tohoto</w:t>
      </w:r>
      <w:r w:rsidR="007F4EC6" w:rsidRPr="007F4EC6">
        <w:rPr>
          <w:rFonts w:ascii="Calibri" w:eastAsia="Times New Roman" w:hAnsi="Calibri" w:cs="Times New Roman"/>
          <w:sz w:val="24"/>
          <w:szCs w:val="24"/>
        </w:rPr>
        <w:t xml:space="preserve"> odvodu do 10 pracovních dnů se dle ustanovení § 44 odst. 1 písm. g) zákona č. 218/2000 Sb. </w:t>
      </w:r>
      <w:r w:rsidR="00487202">
        <w:rPr>
          <w:rFonts w:ascii="Calibri" w:eastAsia="Times New Roman" w:hAnsi="Calibri" w:cs="Times New Roman"/>
          <w:sz w:val="24"/>
          <w:szCs w:val="24"/>
        </w:rPr>
        <w:t xml:space="preserve">považuje za </w:t>
      </w:r>
      <w:r w:rsidR="007F4EC6" w:rsidRPr="007F4EC6">
        <w:rPr>
          <w:rFonts w:ascii="Calibri" w:eastAsia="Times New Roman" w:hAnsi="Calibri" w:cs="Times New Roman"/>
          <w:sz w:val="24"/>
          <w:szCs w:val="24"/>
        </w:rPr>
        <w:t>porušení rozpočtové kázně</w:t>
      </w:r>
      <w:r w:rsidR="007F4EC6">
        <w:rPr>
          <w:rFonts w:ascii="Calibri" w:eastAsia="Times New Roman" w:hAnsi="Calibri" w:cs="Times New Roman"/>
          <w:sz w:val="24"/>
          <w:szCs w:val="24"/>
        </w:rPr>
        <w:t>.</w:t>
      </w:r>
      <w:r w:rsidR="00585A5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Jednalo se o prostředky představující vrácenou spotřební daň za měsíc říjen 2014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 xml:space="preserve"> MV </w:t>
      </w:r>
      <w:r w:rsidR="00585A5A">
        <w:rPr>
          <w:rFonts w:ascii="Calibri" w:eastAsia="Times New Roman" w:hAnsi="Calibri" w:cs="Times New Roman"/>
          <w:sz w:val="24"/>
          <w:szCs w:val="24"/>
        </w:rPr>
        <w:t xml:space="preserve">je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přijalo od příslušného celního úřadu na bankovní</w:t>
      </w:r>
      <w:r w:rsidR="00595BF6">
        <w:rPr>
          <w:rFonts w:ascii="Calibri" w:eastAsia="Times New Roman" w:hAnsi="Calibri" w:cs="Times New Roman"/>
          <w:sz w:val="24"/>
          <w:szCs w:val="24"/>
        </w:rPr>
        <w:t xml:space="preserve"> účet cizích prostředků dne 28.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listo</w:t>
      </w:r>
      <w:r w:rsidR="00595BF6">
        <w:rPr>
          <w:rFonts w:ascii="Calibri" w:eastAsia="Times New Roman" w:hAnsi="Calibri" w:cs="Times New Roman"/>
          <w:sz w:val="24"/>
          <w:szCs w:val="24"/>
        </w:rPr>
        <w:t>padu</w:t>
      </w:r>
      <w:r w:rsidR="00585A5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 xml:space="preserve">2014. </w:t>
      </w:r>
      <w:r w:rsidR="007F4EC6">
        <w:rPr>
          <w:rFonts w:ascii="Calibri" w:eastAsia="Times New Roman" w:hAnsi="Calibri" w:cs="Times New Roman"/>
          <w:sz w:val="24"/>
          <w:szCs w:val="24"/>
        </w:rPr>
        <w:t>P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eněžní prostředky ve výši 401,14 tis. Kč</w:t>
      </w:r>
      <w:r w:rsidR="00395122">
        <w:rPr>
          <w:rFonts w:ascii="Calibri" w:eastAsia="Times New Roman" w:hAnsi="Calibri" w:cs="Times New Roman"/>
          <w:sz w:val="24"/>
          <w:szCs w:val="24"/>
        </w:rPr>
        <w:t xml:space="preserve"> převedlo MV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85A5A" w:rsidRPr="00184AA7">
        <w:rPr>
          <w:rFonts w:ascii="Calibri" w:eastAsia="Times New Roman" w:hAnsi="Calibri" w:cs="Times New Roman"/>
          <w:sz w:val="24"/>
          <w:szCs w:val="24"/>
        </w:rPr>
        <w:t xml:space="preserve">na příjmový účet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 xml:space="preserve">státního rozpočtu </w:t>
      </w:r>
      <w:r w:rsidR="00003EAC">
        <w:rPr>
          <w:rFonts w:ascii="Calibri" w:eastAsia="Times New Roman" w:hAnsi="Calibri" w:cs="Times New Roman"/>
          <w:sz w:val="24"/>
          <w:szCs w:val="24"/>
        </w:rPr>
        <w:t xml:space="preserve">až </w:t>
      </w:r>
      <w:r w:rsidR="00184AA7" w:rsidRPr="00184AA7">
        <w:rPr>
          <w:rFonts w:ascii="Calibri" w:eastAsia="Times New Roman" w:hAnsi="Calibri" w:cs="Times New Roman"/>
          <w:sz w:val="24"/>
          <w:szCs w:val="24"/>
        </w:rPr>
        <w:t>dne 5. ledna 2015.</w:t>
      </w:r>
      <w:r w:rsidR="007F4EC6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6F839D0" w14:textId="77777777" w:rsidR="00184AA7" w:rsidRPr="00184AA7" w:rsidRDefault="00184AA7" w:rsidP="00184AA7">
      <w:pPr>
        <w:spacing w:before="240" w:after="120" w:line="240" w:lineRule="auto"/>
        <w:ind w:left="432" w:hanging="432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BCE9948" w14:textId="77777777" w:rsidR="00184AA7" w:rsidRPr="00184AA7" w:rsidRDefault="00184AA7" w:rsidP="00184AA7">
      <w:pPr>
        <w:spacing w:before="240" w:after="120" w:line="240" w:lineRule="auto"/>
        <w:ind w:left="432" w:hanging="432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FDB4C40" w14:textId="77777777" w:rsidR="00C33848" w:rsidRPr="0094101A" w:rsidRDefault="00C33848" w:rsidP="00074F4D">
      <w:pPr>
        <w:spacing w:after="0" w:line="240" w:lineRule="auto"/>
        <w:ind w:left="567" w:hanging="567"/>
        <w:jc w:val="both"/>
        <w:rPr>
          <w:rFonts w:ascii="Calibri" w:hAnsi="Calibri" w:cs="Calibri"/>
          <w:sz w:val="18"/>
          <w:szCs w:val="18"/>
        </w:rPr>
      </w:pPr>
    </w:p>
    <w:sectPr w:rsidR="00C33848" w:rsidRPr="0094101A" w:rsidSect="007079F2">
      <w:headerReference w:type="default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C50EF" w14:textId="77777777" w:rsidR="00A85929" w:rsidRDefault="00A85929" w:rsidP="00EC6961">
      <w:pPr>
        <w:spacing w:after="0" w:line="240" w:lineRule="auto"/>
      </w:pPr>
      <w:r>
        <w:separator/>
      </w:r>
    </w:p>
  </w:endnote>
  <w:endnote w:type="continuationSeparator" w:id="0">
    <w:p w14:paraId="6ACB3EDA" w14:textId="77777777" w:rsidR="00A85929" w:rsidRDefault="00A85929" w:rsidP="00EC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69033" w14:textId="77777777" w:rsidR="00A85929" w:rsidRPr="00231D8E" w:rsidRDefault="00A85929" w:rsidP="00C70458">
    <w:pPr>
      <w:pStyle w:val="Zpat"/>
      <w:jc w:val="center"/>
      <w:rPr>
        <w:rFonts w:ascii="Calibri" w:hAnsi="Calibri" w:cs="Calibri"/>
        <w:sz w:val="24"/>
        <w:szCs w:val="24"/>
      </w:rPr>
    </w:pPr>
    <w:r w:rsidRPr="00231D8E">
      <w:rPr>
        <w:rFonts w:ascii="Calibri" w:hAnsi="Calibri" w:cs="Calibri"/>
        <w:sz w:val="24"/>
        <w:szCs w:val="24"/>
      </w:rPr>
      <w:fldChar w:fldCharType="begin"/>
    </w:r>
    <w:r w:rsidRPr="00231D8E">
      <w:rPr>
        <w:rFonts w:ascii="Calibri" w:hAnsi="Calibri" w:cs="Calibri"/>
        <w:sz w:val="24"/>
        <w:szCs w:val="24"/>
      </w:rPr>
      <w:instrText>PAGE   \* MERGEFORMAT</w:instrText>
    </w:r>
    <w:r w:rsidRPr="00231D8E">
      <w:rPr>
        <w:rFonts w:ascii="Calibri" w:hAnsi="Calibri" w:cs="Calibri"/>
        <w:sz w:val="24"/>
        <w:szCs w:val="24"/>
      </w:rPr>
      <w:fldChar w:fldCharType="separate"/>
    </w:r>
    <w:r w:rsidR="000D4FFD">
      <w:rPr>
        <w:rFonts w:ascii="Calibri" w:hAnsi="Calibri" w:cs="Calibri"/>
        <w:noProof/>
        <w:sz w:val="24"/>
        <w:szCs w:val="24"/>
      </w:rPr>
      <w:t>3</w:t>
    </w:r>
    <w:r w:rsidRPr="00231D8E">
      <w:rPr>
        <w:rFonts w:ascii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B50CF" w14:textId="77777777" w:rsidR="00A85929" w:rsidRDefault="00A85929" w:rsidP="00EC6961">
      <w:pPr>
        <w:spacing w:after="0" w:line="240" w:lineRule="auto"/>
      </w:pPr>
      <w:r>
        <w:separator/>
      </w:r>
    </w:p>
  </w:footnote>
  <w:footnote w:type="continuationSeparator" w:id="0">
    <w:p w14:paraId="22BF1199" w14:textId="77777777" w:rsidR="00A85929" w:rsidRDefault="00A85929" w:rsidP="00EC6961">
      <w:pPr>
        <w:spacing w:after="0" w:line="240" w:lineRule="auto"/>
      </w:pPr>
      <w:r>
        <w:continuationSeparator/>
      </w:r>
    </w:p>
  </w:footnote>
  <w:footnote w:id="1">
    <w:p w14:paraId="1ECABF6B" w14:textId="77777777" w:rsidR="00A85929" w:rsidRDefault="00A85929" w:rsidP="00725AC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692D61">
        <w:t>ákon č. 187/2006 Sb., o nemocenském pojištění, zákon č. 589/1992 Sb., o pojistném na sociální zabezpečení a příspěvku na státní politiku zaměstnanosti</w:t>
      </w:r>
      <w:r>
        <w:t>,</w:t>
      </w:r>
      <w:r w:rsidRPr="00692D61">
        <w:t xml:space="preserve"> a zákon č. 155/1995 Sb., o důchodovém pojištění</w:t>
      </w:r>
      <w:r>
        <w:t>.</w:t>
      </w:r>
    </w:p>
  </w:footnote>
  <w:footnote w:id="2">
    <w:p w14:paraId="631E38E5" w14:textId="1071AD67" w:rsidR="00A85929" w:rsidRDefault="00A85929" w:rsidP="00725AC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Účetní okruhy „Ministerstvo“, „Generální ředitelství Hasičského záchranného sboru České republiky“ a „Policejní prezidium České republiky“, které představují organizační součásti OSS Ministerstvo vnitra.</w:t>
      </w:r>
    </w:p>
  </w:footnote>
  <w:footnote w:id="3">
    <w:p w14:paraId="19799EE8" w14:textId="74160A0D" w:rsidR="00A85929" w:rsidRDefault="00A85929" w:rsidP="00725AC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Kontrolovány byly vybrané transakce s dlouhodobým majetkem, s materiálem na skladě, s pohledávkami, s transfery v rámci </w:t>
      </w:r>
      <w:r w:rsidRPr="000923BF">
        <w:rPr>
          <w:i/>
        </w:rPr>
        <w:t>Integrovaného operačního programu</w:t>
      </w:r>
      <w:r>
        <w:t xml:space="preserve"> a operačního programu </w:t>
      </w:r>
      <w:r w:rsidRPr="000923BF">
        <w:rPr>
          <w:i/>
        </w:rPr>
        <w:t>Lidské zdroje a zaměstnanost</w:t>
      </w:r>
      <w:r>
        <w:t xml:space="preserve">, s peněžními </w:t>
      </w:r>
      <w:r w:rsidRPr="00760B93">
        <w:t>p</w:t>
      </w:r>
      <w:r>
        <w:t>ro</w:t>
      </w:r>
      <w:r w:rsidRPr="00760B93">
        <w:t>středky</w:t>
      </w:r>
      <w:r>
        <w:t xml:space="preserve"> na účtu 245 – </w:t>
      </w:r>
      <w:r w:rsidRPr="00760B93">
        <w:rPr>
          <w:i/>
        </w:rPr>
        <w:t>Jiné běžné účty</w:t>
      </w:r>
      <w:r>
        <w:t>, s podmíněnými závazky a vybranými nákladovými účty.</w:t>
      </w:r>
    </w:p>
  </w:footnote>
  <w:footnote w:id="4">
    <w:p w14:paraId="69D1EB77" w14:textId="0C8C996D" w:rsidR="00A85929" w:rsidRPr="00AB2A68" w:rsidRDefault="00A85929" w:rsidP="00725AC7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AB2A68">
        <w:rPr>
          <w:rStyle w:val="Znakapoznpodarou"/>
          <w:sz w:val="20"/>
          <w:szCs w:val="20"/>
        </w:rPr>
        <w:footnoteRef/>
      </w:r>
      <w:r w:rsidRPr="00AB2A6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B2A68">
        <w:rPr>
          <w:rFonts w:cstheme="minorHAnsi"/>
          <w:sz w:val="20"/>
          <w:szCs w:val="20"/>
        </w:rPr>
        <w:t>Viz ustanovení § 14 odst. 2 zákona č. 219/2000 Sb., o majetku České republiky a jejím vystupování v právních vztazích.</w:t>
      </w:r>
    </w:p>
  </w:footnote>
  <w:footnote w:id="5">
    <w:p w14:paraId="3543357C" w14:textId="5349DDCC" w:rsidR="00A85929" w:rsidRPr="00AB2A68" w:rsidRDefault="00A85929" w:rsidP="00725AC7">
      <w:pPr>
        <w:pStyle w:val="Textpoznpodarou"/>
        <w:ind w:left="284" w:hanging="284"/>
      </w:pPr>
      <w:r w:rsidRPr="00AB2A68">
        <w:rPr>
          <w:rStyle w:val="Znakapoznpodarou"/>
        </w:rPr>
        <w:footnoteRef/>
      </w:r>
      <w:r w:rsidRPr="00AB2A68">
        <w:t xml:space="preserve"> </w:t>
      </w:r>
      <w:r>
        <w:tab/>
      </w:r>
      <w:r w:rsidRPr="00AB2A68">
        <w:t>Zákon č. 563/1991 Sb., o účetnictví.</w:t>
      </w:r>
    </w:p>
  </w:footnote>
  <w:footnote w:id="6">
    <w:p w14:paraId="6E67962F" w14:textId="53CEC761" w:rsidR="00A85929" w:rsidRPr="00AB2A68" w:rsidRDefault="00A85929" w:rsidP="00725AC7">
      <w:pPr>
        <w:pStyle w:val="Textpoznpodarou"/>
        <w:ind w:left="284" w:hanging="284"/>
        <w:rPr>
          <w:rFonts w:cstheme="minorHAnsi"/>
        </w:rPr>
      </w:pPr>
      <w:r w:rsidRPr="00AB2A68">
        <w:rPr>
          <w:rStyle w:val="Znakapoznpodarou"/>
          <w:rFonts w:cstheme="minorHAnsi"/>
        </w:rPr>
        <w:footnoteRef/>
      </w:r>
      <w:r w:rsidRPr="00AB2A68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AB2A68">
        <w:rPr>
          <w:rFonts w:cstheme="minorHAnsi"/>
        </w:rPr>
        <w:t>Viz ustanovení § 23b zákona o účetnictví a vyhláška č. 312/2014 Sb., o podmínkách sestavení účetních výkazů za Českou republiku (konsolidační vyhláška státu).</w:t>
      </w:r>
    </w:p>
  </w:footnote>
  <w:footnote w:id="7">
    <w:p w14:paraId="16F97580" w14:textId="3EC3C023" w:rsidR="00A85929" w:rsidRPr="00AB2A68" w:rsidRDefault="00A85929" w:rsidP="00725AC7">
      <w:pPr>
        <w:pStyle w:val="Textpoznpodarou"/>
        <w:ind w:left="284" w:hanging="284"/>
        <w:jc w:val="both"/>
      </w:pPr>
      <w:r w:rsidRPr="00AB2A68">
        <w:rPr>
          <w:rStyle w:val="Znakapoznpodarou"/>
        </w:rPr>
        <w:footnoteRef/>
      </w:r>
      <w:r w:rsidRPr="00AB2A68">
        <w:t xml:space="preserve"> </w:t>
      </w:r>
      <w:r>
        <w:tab/>
      </w:r>
      <w:r w:rsidRPr="00AB2A68">
        <w:t>Kontrolovaný objem majetku a účetních zápisů nezahrnuje hodnotu souvisejících dokladů, které byly v souvislosti s kontrolovanými položkami vyžádány a prověř</w:t>
      </w:r>
      <w:r>
        <w:t>eny</w:t>
      </w:r>
      <w:r w:rsidRPr="00AB2A68">
        <w:t>.</w:t>
      </w:r>
    </w:p>
  </w:footnote>
  <w:footnote w:id="8">
    <w:p w14:paraId="7B1D5CAE" w14:textId="43466AB8" w:rsidR="00A85929" w:rsidRPr="00231D8E" w:rsidRDefault="00A85929" w:rsidP="00231D8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B22965">
        <w:rPr>
          <w:rStyle w:val="Znakapoznpodarou"/>
          <w:sz w:val="20"/>
          <w:szCs w:val="20"/>
        </w:rPr>
        <w:footnoteRef/>
      </w:r>
      <w:r w:rsidRPr="00B22965">
        <w:rPr>
          <w:sz w:val="20"/>
          <w:szCs w:val="20"/>
        </w:rPr>
        <w:t xml:space="preserve"> </w:t>
      </w:r>
      <w:r w:rsidRPr="00B22965">
        <w:rPr>
          <w:sz w:val="20"/>
          <w:szCs w:val="20"/>
        </w:rPr>
        <w:tab/>
        <w:t xml:space="preserve">Na základě znění ustanovení § 36 zákona č. </w:t>
      </w:r>
      <w:r>
        <w:rPr>
          <w:sz w:val="20"/>
          <w:szCs w:val="20"/>
        </w:rPr>
        <w:t>3</w:t>
      </w:r>
      <w:r w:rsidRPr="00B22965">
        <w:rPr>
          <w:sz w:val="20"/>
          <w:szCs w:val="20"/>
        </w:rPr>
        <w:t>04/2008 Sb., kterým s</w:t>
      </w:r>
      <w:r>
        <w:rPr>
          <w:sz w:val="20"/>
          <w:szCs w:val="20"/>
        </w:rPr>
        <w:t>e mění zákon č. 563/1991 Sb., o </w:t>
      </w:r>
      <w:r w:rsidRPr="00B22965">
        <w:rPr>
          <w:sz w:val="20"/>
          <w:szCs w:val="20"/>
        </w:rPr>
        <w:t>účetnictví, ve znění pozdějších předpisů</w:t>
      </w:r>
      <w:r>
        <w:rPr>
          <w:sz w:val="20"/>
          <w:szCs w:val="20"/>
        </w:rPr>
        <w:t>,</w:t>
      </w:r>
      <w:r w:rsidRPr="00B22965">
        <w:rPr>
          <w:sz w:val="20"/>
          <w:szCs w:val="20"/>
        </w:rPr>
        <w:t xml:space="preserve"> a některé zákony, je odchylka od Českých účetních standardů s účinností od 1. ledna 2010 pro vybrané účetní jednotky vyloučena. V důvodové zprávě je uvedeno „...</w:t>
      </w:r>
      <w:r>
        <w:rPr>
          <w:sz w:val="20"/>
          <w:szCs w:val="20"/>
        </w:rPr>
        <w:t> </w:t>
      </w:r>
      <w:r>
        <w:rPr>
          <w:i/>
          <w:sz w:val="20"/>
          <w:szCs w:val="20"/>
        </w:rPr>
        <w:t>u </w:t>
      </w:r>
      <w:r w:rsidRPr="00B22965">
        <w:rPr>
          <w:i/>
          <w:sz w:val="20"/>
          <w:szCs w:val="20"/>
        </w:rPr>
        <w:t>vybraných účetních jednotek, které poskytují účetní záznamy pro potřeby státu, je za účelem dosažení co nejvyšší míry srovnatelnosti účetních výkazů a pro eliminaci možných chyb stanovena bezv</w:t>
      </w:r>
      <w:r>
        <w:rPr>
          <w:i/>
          <w:sz w:val="20"/>
          <w:szCs w:val="20"/>
        </w:rPr>
        <w:t>ýji</w:t>
      </w:r>
      <w:r w:rsidRPr="00B22965">
        <w:rPr>
          <w:i/>
          <w:sz w:val="20"/>
          <w:szCs w:val="20"/>
        </w:rPr>
        <w:t>mečná závaznost standardů. Ostatní účetní jednotky, zejm. podnikatelé zůstávají v režimu možnosti odchylky od standardů</w:t>
      </w:r>
      <w:r>
        <w:rPr>
          <w:i/>
          <w:sz w:val="20"/>
          <w:szCs w:val="20"/>
        </w:rPr>
        <w:t>,</w:t>
      </w:r>
      <w:r w:rsidRPr="00B22965">
        <w:rPr>
          <w:i/>
          <w:sz w:val="20"/>
          <w:szCs w:val="20"/>
        </w:rPr>
        <w:t xml:space="preserve"> a to v odůvodněných případech</w:t>
      </w:r>
      <w:r>
        <w:rPr>
          <w:i/>
          <w:sz w:val="20"/>
          <w:szCs w:val="20"/>
        </w:rPr>
        <w:t xml:space="preserve"> </w:t>
      </w:r>
      <w:r w:rsidRPr="00B22965">
        <w:rPr>
          <w:i/>
          <w:sz w:val="20"/>
          <w:szCs w:val="20"/>
        </w:rPr>
        <w:t>...</w:t>
      </w:r>
      <w:r w:rsidRPr="00231D8E">
        <w:rPr>
          <w:sz w:val="20"/>
          <w:szCs w:val="20"/>
        </w:rPr>
        <w:t>“</w:t>
      </w:r>
    </w:p>
  </w:footnote>
  <w:footnote w:id="9">
    <w:p w14:paraId="30796D5B" w14:textId="77777777" w:rsidR="00A85929" w:rsidRPr="00B22965" w:rsidRDefault="00A85929" w:rsidP="006C2C66">
      <w:pPr>
        <w:pStyle w:val="Textpoznpodarou"/>
        <w:ind w:left="284" w:hanging="284"/>
        <w:jc w:val="both"/>
        <w:rPr>
          <w:rFonts w:cstheme="minorHAnsi"/>
        </w:rPr>
      </w:pPr>
      <w:r w:rsidRPr="00B22965">
        <w:rPr>
          <w:rStyle w:val="Znakapoznpodarou"/>
          <w:rFonts w:cstheme="minorHAnsi"/>
        </w:rPr>
        <w:footnoteRef/>
      </w:r>
      <w:r w:rsidRPr="00B22965">
        <w:rPr>
          <w:rFonts w:cstheme="minorHAnsi"/>
        </w:rPr>
        <w:t xml:space="preserve"> </w:t>
      </w:r>
      <w:r w:rsidRPr="00B22965">
        <w:rPr>
          <w:rFonts w:cstheme="minorHAnsi"/>
        </w:rPr>
        <w:tab/>
        <w:t xml:space="preserve">Pro sestavování účetních výkazů za Českou republiku je vyhláškou č. 312/2014 Sb. stanovena povinnost vyloučit vzájemné vztahy uvnitř konsolidačního celku státu tak, aby v těchto výkazech byly výsledně zachyceny zejména vztahy mimo konsolidační celek státu. </w:t>
      </w:r>
    </w:p>
  </w:footnote>
  <w:footnote w:id="10">
    <w:p w14:paraId="3D65167F" w14:textId="77777777" w:rsidR="00A85929" w:rsidRPr="00B22965" w:rsidRDefault="00A85929" w:rsidP="00231D8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31D8E">
        <w:rPr>
          <w:rStyle w:val="Znakapoznpodarou"/>
          <w:rFonts w:cstheme="minorHAnsi"/>
          <w:spacing w:val="-2"/>
          <w:sz w:val="20"/>
          <w:szCs w:val="20"/>
        </w:rPr>
        <w:footnoteRef/>
      </w:r>
      <w:r w:rsidRPr="00231D8E">
        <w:rPr>
          <w:rFonts w:cstheme="minorHAnsi"/>
          <w:spacing w:val="-2"/>
          <w:sz w:val="20"/>
          <w:szCs w:val="20"/>
        </w:rPr>
        <w:t xml:space="preserve"> </w:t>
      </w:r>
      <w:r w:rsidRPr="00231D8E">
        <w:rPr>
          <w:rFonts w:cstheme="minorHAnsi"/>
          <w:spacing w:val="-2"/>
          <w:sz w:val="20"/>
          <w:szCs w:val="20"/>
        </w:rPr>
        <w:tab/>
        <w:t>Dle návrhu zákona o pravidlech rozpočtové odpovědnosti</w:t>
      </w:r>
      <w:r w:rsidRPr="00B22965">
        <w:rPr>
          <w:rFonts w:cstheme="minorHAnsi"/>
          <w:sz w:val="20"/>
          <w:szCs w:val="20"/>
        </w:rPr>
        <w:t xml:space="preserve"> (</w:t>
      </w:r>
      <w:hyperlink r:id="rId1" w:history="1">
        <w:r w:rsidRPr="00B22965">
          <w:rPr>
            <w:rStyle w:val="Hypertextovodkaz"/>
            <w:rFonts w:cstheme="minorHAnsi"/>
            <w:sz w:val="20"/>
            <w:szCs w:val="20"/>
          </w:rPr>
          <w:t>http://www.psp.cz/sqw/historie.sqw?o=7&amp;t=412</w:t>
        </w:r>
      </w:hyperlink>
      <w:r w:rsidRPr="00B22965">
        <w:rPr>
          <w:rFonts w:cstheme="minorHAnsi"/>
          <w:sz w:val="20"/>
          <w:szCs w:val="20"/>
        </w:rPr>
        <w:t>) by měly být za Českou republiku zveřejňovány vybrané údaje stanovené tímto zákonem. Návrh zákona reaguje na povinnost transponovat do národních právních řádů směrnici Rady č. 2011/85/EU, o požadavcích na rozpočtové rámce členských států. Dle čl. 15 odst. 1 této směrnice byl</w:t>
      </w:r>
      <w:r>
        <w:rPr>
          <w:rFonts w:cstheme="minorHAnsi"/>
          <w:sz w:val="20"/>
          <w:szCs w:val="20"/>
        </w:rPr>
        <w:t>y členské státy povinny uvést v </w:t>
      </w:r>
      <w:r w:rsidRPr="00B22965">
        <w:rPr>
          <w:rFonts w:cstheme="minorHAnsi"/>
          <w:sz w:val="20"/>
          <w:szCs w:val="20"/>
        </w:rPr>
        <w:t>účinnost právní předpisy nezbytné pro dosažen</w:t>
      </w:r>
      <w:r>
        <w:rPr>
          <w:rFonts w:cstheme="minorHAnsi"/>
          <w:sz w:val="20"/>
          <w:szCs w:val="20"/>
        </w:rPr>
        <w:t>í souladu s </w:t>
      </w:r>
      <w:r w:rsidRPr="00B22965">
        <w:rPr>
          <w:rFonts w:cstheme="minorHAnsi"/>
          <w:sz w:val="20"/>
          <w:szCs w:val="20"/>
        </w:rPr>
        <w:t>touto směrnicí do 31. prosince 2013. Mezi povinně zveřejňované údaje patří i informace o podmíněných závazcích, u nichž lze očekávat, resp. nelze vyloučit, potenciálně významný dopad na veřejné finance.</w:t>
      </w:r>
    </w:p>
  </w:footnote>
  <w:footnote w:id="11">
    <w:p w14:paraId="6A1CE931" w14:textId="77777777" w:rsidR="00A85929" w:rsidRPr="00B55690" w:rsidRDefault="00A85929" w:rsidP="00BB5463">
      <w:pPr>
        <w:pStyle w:val="Textpoznpodarou"/>
        <w:ind w:left="284" w:hanging="284"/>
        <w:jc w:val="both"/>
      </w:pPr>
      <w:r w:rsidRPr="00BB5463">
        <w:rPr>
          <w:rStyle w:val="Znakapoznpodarou"/>
        </w:rPr>
        <w:footnoteRef/>
      </w:r>
      <w:r w:rsidRPr="00BB5463">
        <w:t xml:space="preserve"> </w:t>
      </w:r>
      <w:r w:rsidRPr="00BB5463">
        <w:tab/>
        <w:t>Vyhláška č. 410/2009 Sb., kterou se provádějí některá ustanovení zákona č. 563/1991 Sb., o účetnictví, ve znění pozdějších předpisů, pro některé vybrané účetní jednotky.</w:t>
      </w:r>
    </w:p>
  </w:footnote>
  <w:footnote w:id="12">
    <w:p w14:paraId="722ADB95" w14:textId="329BB10A" w:rsidR="00A85929" w:rsidRPr="00B55690" w:rsidRDefault="00A85929" w:rsidP="00BB5463">
      <w:pPr>
        <w:pStyle w:val="Textpoznpodarou"/>
        <w:ind w:left="284" w:hanging="284"/>
        <w:jc w:val="both"/>
      </w:pPr>
      <w:r w:rsidRPr="00064265">
        <w:rPr>
          <w:rStyle w:val="Znakapoznpodarou"/>
        </w:rPr>
        <w:footnoteRef/>
      </w:r>
      <w:r w:rsidRPr="00064265">
        <w:t xml:space="preserve"> </w:t>
      </w:r>
      <w:r w:rsidRPr="00BB5463">
        <w:tab/>
      </w:r>
      <w:r w:rsidRPr="00BB5463">
        <w:rPr>
          <w:rFonts w:cstheme="minorHAnsi"/>
        </w:rPr>
        <w:t>V případě ustanovení § 18 odst. 2 zákona o účetnictví se jedná o ustanovení zvláštního právního předpisu. Obecným právním p</w:t>
      </w:r>
      <w:r w:rsidRPr="00B55690">
        <w:rPr>
          <w:rFonts w:cstheme="minorHAnsi"/>
        </w:rPr>
        <w:t>ředpisem je zákon č. 219/2000 Sb., o majetku České republiky a jejím vystupování v právních vztazích, který v ustanovení § 7 odst. 2 umožňuje vedoucímu organizační složky státu pro některé právní úkony písemně pověřit jednáním jiného vedoucího zaměstnance dané organizační složky státu. V případech, kdy je jeden právní předpis ve vztahu speciality k jinému právnímu předpisu, je při jejich aplikaci nutn</w:t>
      </w:r>
      <w:r>
        <w:rPr>
          <w:rFonts w:cstheme="minorHAnsi"/>
        </w:rPr>
        <w:t>é</w:t>
      </w:r>
      <w:r w:rsidRPr="00B55690">
        <w:rPr>
          <w:rFonts w:cstheme="minorHAnsi"/>
        </w:rPr>
        <w:t xml:space="preserve"> postupovat dle právní zásady, která stanoví, že v případě vzájemného rozporu má ustanovení zvláštního zákona přednost před ustanovením zákona obecného.</w:t>
      </w:r>
    </w:p>
  </w:footnote>
  <w:footnote w:id="13">
    <w:p w14:paraId="7136DAB6" w14:textId="77777777" w:rsidR="00A85929" w:rsidRDefault="00A85929" w:rsidP="00BB546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Viz ustanovení § 72 vyhlášky č. 410/2009 Sb.</w:t>
      </w:r>
    </w:p>
  </w:footnote>
  <w:footnote w:id="14">
    <w:p w14:paraId="6071746C" w14:textId="77777777" w:rsidR="00A85929" w:rsidRPr="00A45CD0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O pořizovací ceně by se v době pořízení účtovalo na účtu 420 </w:t>
      </w:r>
      <w:r w:rsidRPr="00BC1544">
        <w:rPr>
          <w:i/>
        </w:rPr>
        <w:t>– Služby a náklady nevýrobní povahy</w:t>
      </w:r>
      <w:r>
        <w:t xml:space="preserve">, který byl při uzavírání účetních knih převáděn na účet 964 – </w:t>
      </w:r>
      <w:r w:rsidRPr="00AF6C31">
        <w:rPr>
          <w:i/>
        </w:rPr>
        <w:t xml:space="preserve">Saldo </w:t>
      </w:r>
      <w:r>
        <w:rPr>
          <w:i/>
        </w:rPr>
        <w:t>výdajů a nákladů</w:t>
      </w:r>
      <w:r>
        <w:t xml:space="preserve">, jehož konečný zůstatek byl v rámci převodového můstku k 1. lednu 2010 převeden na účet 401 </w:t>
      </w:r>
      <w:r>
        <w:rPr>
          <w:i/>
        </w:rPr>
        <w:t>– Jmění účetní jednotky</w:t>
      </w:r>
      <w:r w:rsidRPr="00A45CD0">
        <w:t xml:space="preserve">. </w:t>
      </w:r>
    </w:p>
  </w:footnote>
  <w:footnote w:id="15">
    <w:p w14:paraId="7B8C3A42" w14:textId="36D63565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07D1E">
        <w:t>D</w:t>
      </w:r>
      <w:r>
        <w:t xml:space="preserve">le ustanovení § 26 odst. 2 písm. d) vyhlášky č. 410/2009 Sb. položka </w:t>
      </w:r>
      <w:r w:rsidRPr="00A45CD0">
        <w:rPr>
          <w:i/>
        </w:rPr>
        <w:t>C.I.7. Opravy minulých období</w:t>
      </w:r>
      <w:r>
        <w:t xml:space="preserve"> (syntetický účet 408) obsahuje </w:t>
      </w:r>
      <w:r w:rsidRPr="00707A19">
        <w:t>opravy minulých účetních období, které</w:t>
      </w:r>
      <w:r>
        <w:t xml:space="preserve"> jsou významné a ovlivnily by v </w:t>
      </w:r>
      <w:r w:rsidRPr="00707A19">
        <w:t>minulých účetních obdobích výši výsledku hospodaření; za významnou se považuje každá jednotlivá oprava, jejíž výše dosahuje alespoň 0,3 % hodnoty aktiv netto za minulé účetní obd</w:t>
      </w:r>
      <w:r>
        <w:t>obí nebo částky 260 000 Kč.</w:t>
      </w:r>
    </w:p>
  </w:footnote>
  <w:footnote w:id="16">
    <w:p w14:paraId="4DA3ECD0" w14:textId="142CB870" w:rsidR="00A85929" w:rsidRDefault="00A85929" w:rsidP="00BB546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účetním okruhu „Policejní prezidium České republiky“.</w:t>
      </w:r>
    </w:p>
  </w:footnote>
  <w:footnote w:id="17">
    <w:p w14:paraId="24C0C4B3" w14:textId="2A60EE78" w:rsidR="00A85929" w:rsidRPr="002F05D4" w:rsidRDefault="00A85929" w:rsidP="00BB5463">
      <w:pPr>
        <w:pStyle w:val="Textpoznpodarou"/>
        <w:ind w:left="284" w:hanging="284"/>
        <w:jc w:val="both"/>
      </w:pPr>
      <w:r w:rsidRPr="002F05D4">
        <w:rPr>
          <w:rStyle w:val="Znakapoznpodarou"/>
        </w:rPr>
        <w:footnoteRef/>
      </w:r>
      <w:r>
        <w:t> </w:t>
      </w:r>
      <w:r>
        <w:tab/>
      </w:r>
      <w:r w:rsidRPr="002F05D4">
        <w:t>O</w:t>
      </w:r>
      <w:r w:rsidRPr="002F05D4">
        <w:rPr>
          <w:rFonts w:ascii="Calibri" w:eastAsia="Times New Roman" w:hAnsi="Calibri" w:cs="Times New Roman"/>
        </w:rPr>
        <w:t xml:space="preserve"> vzniku pohledávky za Národním fondem z titulu souhrnných žádostí o převod prostředků poskytnutých České republice z rozpočtu Evropské unie schválených a podaných na Národní</w:t>
      </w:r>
      <w:r>
        <w:rPr>
          <w:rFonts w:ascii="Calibri" w:eastAsia="Times New Roman" w:hAnsi="Calibri" w:cs="Times New Roman"/>
        </w:rPr>
        <w:t xml:space="preserve"> fond v roce 2013, o výnosech a </w:t>
      </w:r>
      <w:r w:rsidRPr="002F05D4">
        <w:rPr>
          <w:rFonts w:ascii="Calibri" w:eastAsia="Times New Roman" w:hAnsi="Calibri" w:cs="Times New Roman"/>
        </w:rPr>
        <w:t xml:space="preserve">o v roce 2014 přijatých investičních transferech ve výši 209,49 mil. Kč účtovalo MV v účetním okruhu </w:t>
      </w:r>
      <w:r>
        <w:rPr>
          <w:rFonts w:ascii="Calibri" w:eastAsia="Times New Roman" w:hAnsi="Calibri" w:cs="Times New Roman"/>
        </w:rPr>
        <w:t>„</w:t>
      </w:r>
      <w:r w:rsidRPr="002F05D4">
        <w:rPr>
          <w:rFonts w:ascii="Calibri" w:eastAsia="Times New Roman" w:hAnsi="Calibri" w:cs="Times New Roman"/>
        </w:rPr>
        <w:t>Ministerstvo</w:t>
      </w:r>
      <w:r>
        <w:rPr>
          <w:rFonts w:ascii="Calibri" w:eastAsia="Times New Roman" w:hAnsi="Calibri" w:cs="Times New Roman"/>
        </w:rPr>
        <w:t>“</w:t>
      </w:r>
      <w:r w:rsidRPr="002F05D4">
        <w:rPr>
          <w:rFonts w:ascii="Calibri" w:eastAsia="Times New Roman" w:hAnsi="Calibri" w:cs="Times New Roman"/>
        </w:rPr>
        <w:t xml:space="preserve"> na účtech 371 – </w:t>
      </w:r>
      <w:r w:rsidRPr="002F05D4">
        <w:rPr>
          <w:rFonts w:ascii="Calibri" w:eastAsia="Times New Roman" w:hAnsi="Calibri" w:cs="Times New Roman"/>
          <w:i/>
        </w:rPr>
        <w:t>Krátkodobé pohledávky z nástrojů spolufinancovaných ze zahraničí</w:t>
      </w:r>
      <w:r w:rsidRPr="002F05D4">
        <w:rPr>
          <w:rFonts w:ascii="Calibri" w:eastAsia="Times New Roman" w:hAnsi="Calibri" w:cs="Times New Roman"/>
        </w:rPr>
        <w:t>,</w:t>
      </w:r>
      <w:r>
        <w:rPr>
          <w:rFonts w:ascii="Calibri" w:eastAsia="Times New Roman" w:hAnsi="Calibri" w:cs="Times New Roman"/>
        </w:rPr>
        <w:br/>
      </w:r>
      <w:r w:rsidRPr="002F05D4">
        <w:rPr>
          <w:rFonts w:ascii="Calibri" w:eastAsia="Times New Roman" w:hAnsi="Calibri" w:cs="Times New Roman"/>
        </w:rPr>
        <w:t xml:space="preserve">671 – </w:t>
      </w:r>
      <w:r w:rsidRPr="002F05D4">
        <w:rPr>
          <w:rFonts w:ascii="Calibri" w:eastAsia="Times New Roman" w:hAnsi="Calibri" w:cs="Times New Roman"/>
          <w:i/>
        </w:rPr>
        <w:t>Výnosy vybraných ústředních vládních institucí z transferů</w:t>
      </w:r>
      <w:r w:rsidRPr="002F05D4">
        <w:rPr>
          <w:rFonts w:ascii="Calibri" w:eastAsia="Times New Roman" w:hAnsi="Calibri" w:cs="Times New Roman"/>
        </w:rPr>
        <w:t xml:space="preserve"> a</w:t>
      </w:r>
      <w:r>
        <w:rPr>
          <w:rFonts w:ascii="Calibri" w:eastAsia="Times New Roman" w:hAnsi="Calibri" w:cs="Times New Roman"/>
        </w:rPr>
        <w:t xml:space="preserve"> </w:t>
      </w:r>
      <w:r w:rsidRPr="002F05D4">
        <w:rPr>
          <w:rFonts w:ascii="Calibri" w:eastAsia="Times New Roman" w:hAnsi="Calibri" w:cs="Times New Roman"/>
        </w:rPr>
        <w:t xml:space="preserve">401 – </w:t>
      </w:r>
      <w:r w:rsidRPr="002F05D4">
        <w:rPr>
          <w:rFonts w:ascii="Calibri" w:eastAsia="Times New Roman" w:hAnsi="Calibri" w:cs="Times New Roman"/>
          <w:i/>
        </w:rPr>
        <w:t>Jmění účetní jednotky</w:t>
      </w:r>
      <w:r w:rsidRPr="002F05D4">
        <w:rPr>
          <w:rFonts w:ascii="Calibri" w:eastAsia="Times New Roman" w:hAnsi="Calibri" w:cs="Times New Roman"/>
        </w:rPr>
        <w:t xml:space="preserve"> až v souvislosti s příjmem pen</w:t>
      </w:r>
      <w:r>
        <w:rPr>
          <w:rFonts w:ascii="Calibri" w:eastAsia="Times New Roman" w:hAnsi="Calibri" w:cs="Times New Roman"/>
        </w:rPr>
        <w:t xml:space="preserve">ěžních prostředků v roce 2014. </w:t>
      </w:r>
      <w:r w:rsidRPr="002F05D4">
        <w:rPr>
          <w:rFonts w:ascii="Calibri" w:eastAsia="Times New Roman" w:hAnsi="Calibri" w:cs="Times New Roman"/>
        </w:rPr>
        <w:t xml:space="preserve">V účetním okruhu </w:t>
      </w:r>
      <w:r>
        <w:rPr>
          <w:rFonts w:ascii="Calibri" w:eastAsia="Times New Roman" w:hAnsi="Calibri" w:cs="Times New Roman"/>
        </w:rPr>
        <w:t>„</w:t>
      </w:r>
      <w:r w:rsidRPr="002F05D4">
        <w:t>Generální ředitelství Hasičského záchranného sboru České republiky</w:t>
      </w:r>
      <w:r>
        <w:t>“</w:t>
      </w:r>
      <w:r w:rsidRPr="002F05D4">
        <w:rPr>
          <w:rFonts w:ascii="Calibri" w:eastAsia="Times New Roman" w:hAnsi="Calibri" w:cs="Times New Roman"/>
        </w:rPr>
        <w:t xml:space="preserve"> ale o vzniku pohledávky za Národním fondem ve výši 70,87</w:t>
      </w:r>
      <w:r>
        <w:rPr>
          <w:rFonts w:ascii="Calibri" w:eastAsia="Times New Roman" w:hAnsi="Calibri" w:cs="Times New Roman"/>
        </w:rPr>
        <w:t> </w:t>
      </w:r>
      <w:r w:rsidRPr="002F05D4">
        <w:rPr>
          <w:rFonts w:ascii="Calibri" w:eastAsia="Times New Roman" w:hAnsi="Calibri" w:cs="Times New Roman"/>
        </w:rPr>
        <w:t>mil. Kč účtovalo MV již v roce 2013.</w:t>
      </w:r>
    </w:p>
  </w:footnote>
  <w:footnote w:id="18">
    <w:p w14:paraId="1246D867" w14:textId="77777777" w:rsidR="00A85929" w:rsidRPr="002F05D4" w:rsidRDefault="00A85929" w:rsidP="00BB5463">
      <w:pPr>
        <w:pStyle w:val="Textpoznpodarou"/>
        <w:ind w:left="284" w:hanging="284"/>
      </w:pPr>
      <w:r w:rsidRPr="002F05D4">
        <w:rPr>
          <w:rStyle w:val="Znakapoznpodarou"/>
        </w:rPr>
        <w:footnoteRef/>
      </w:r>
      <w:r w:rsidRPr="002F05D4">
        <w:t xml:space="preserve"> </w:t>
      </w:r>
      <w:r>
        <w:tab/>
      </w:r>
      <w:r w:rsidRPr="002F05D4">
        <w:t>Ustanovení § 81 odst. 3 písm. b) a § 82 odst. 1 písm. c) zákona č. 187/2006 Sb., o nemocenském pojištění.</w:t>
      </w:r>
    </w:p>
  </w:footnote>
  <w:footnote w:id="19">
    <w:p w14:paraId="42E8A4EF" w14:textId="77777777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MV k</w:t>
      </w:r>
      <w:r w:rsidRPr="006E7C6D">
        <w:t xml:space="preserve"> 31. </w:t>
      </w:r>
      <w:r>
        <w:t>prosinci</w:t>
      </w:r>
      <w:r w:rsidRPr="006E7C6D">
        <w:t xml:space="preserve"> 2014 na účtu 112 – </w:t>
      </w:r>
      <w:r w:rsidRPr="006E7C6D">
        <w:rPr>
          <w:i/>
        </w:rPr>
        <w:t>Materiál na skladě</w:t>
      </w:r>
      <w:r w:rsidRPr="006E7C6D">
        <w:t xml:space="preserve"> vykázalo LTO v celkové hodnotě 3 323 179,23 Kč.</w:t>
      </w:r>
    </w:p>
  </w:footnote>
  <w:footnote w:id="20">
    <w:p w14:paraId="720C4388" w14:textId="46293135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E2101">
        <w:t>MV</w:t>
      </w:r>
      <w:r w:rsidRPr="00242E01">
        <w:t xml:space="preserve"> </w:t>
      </w:r>
      <w:r>
        <w:t xml:space="preserve">v rámci </w:t>
      </w:r>
      <w:r w:rsidRPr="00242E01">
        <w:t>účetní</w:t>
      </w:r>
      <w:r>
        <w:t>ho</w:t>
      </w:r>
      <w:r w:rsidRPr="00242E01">
        <w:t xml:space="preserve"> okruh</w:t>
      </w:r>
      <w:r>
        <w:t>u</w:t>
      </w:r>
      <w:r w:rsidRPr="00242E01">
        <w:t xml:space="preserve"> </w:t>
      </w:r>
      <w:r>
        <w:t>„</w:t>
      </w:r>
      <w:r w:rsidRPr="00242E01">
        <w:t>Generální ředitelství Hasičského záchranného sboru České republiky</w:t>
      </w:r>
      <w:r>
        <w:t>“</w:t>
      </w:r>
      <w:r w:rsidRPr="00FE2101">
        <w:t xml:space="preserve"> vykázalo k 31. </w:t>
      </w:r>
      <w:r>
        <w:t>prosinci</w:t>
      </w:r>
      <w:r w:rsidRPr="00FE2101">
        <w:t xml:space="preserve"> 2014 na účtu 112 – </w:t>
      </w:r>
      <w:r w:rsidRPr="00242E01">
        <w:rPr>
          <w:i/>
        </w:rPr>
        <w:t>Materiál na skladě</w:t>
      </w:r>
      <w:r w:rsidRPr="00FE2101">
        <w:t xml:space="preserve"> zásoby LTO v </w:t>
      </w:r>
      <w:r>
        <w:t>objemu</w:t>
      </w:r>
      <w:r w:rsidRPr="00FE2101">
        <w:t xml:space="preserve"> 2 973 litrů </w:t>
      </w:r>
      <w:r>
        <w:t xml:space="preserve">a </w:t>
      </w:r>
      <w:r w:rsidRPr="00FE2101">
        <w:t>v hodnotě 70 890,81 Kč. Na účtu</w:t>
      </w:r>
      <w:r>
        <w:t xml:space="preserve"> </w:t>
      </w:r>
      <w:r w:rsidRPr="00FE2101">
        <w:t xml:space="preserve">344 – </w:t>
      </w:r>
      <w:r w:rsidRPr="00242E01">
        <w:rPr>
          <w:i/>
        </w:rPr>
        <w:t>Jiné daně a poplatky</w:t>
      </w:r>
      <w:r w:rsidRPr="00FE2101">
        <w:t xml:space="preserve"> pak MV </w:t>
      </w:r>
      <w:r>
        <w:t xml:space="preserve">v rámci </w:t>
      </w:r>
      <w:r w:rsidRPr="00242E01">
        <w:t>účetní</w:t>
      </w:r>
      <w:r>
        <w:t>ho</w:t>
      </w:r>
      <w:r w:rsidRPr="00242E01">
        <w:t xml:space="preserve"> okruh</w:t>
      </w:r>
      <w:r>
        <w:t>u</w:t>
      </w:r>
      <w:r w:rsidRPr="00242E01">
        <w:t xml:space="preserve"> </w:t>
      </w:r>
      <w:r>
        <w:t>„</w:t>
      </w:r>
      <w:r w:rsidRPr="00242E01">
        <w:t>Generální ředitelství Hasičského záchranného sboru České republiky</w:t>
      </w:r>
      <w:r>
        <w:t>“</w:t>
      </w:r>
      <w:r w:rsidRPr="00FE2101">
        <w:t xml:space="preserve"> vykázalo pohledávku ve výši 47 783,64 Kč.</w:t>
      </w:r>
    </w:p>
  </w:footnote>
  <w:footnote w:id="21">
    <w:p w14:paraId="5B87A906" w14:textId="58B35881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Dle ustanovení § 4 odst. 8 vyhlášky č. 410/2009 Sb. u tohoto syntetického účtu dochází k okamžiku sestavení účetní závěrky k porovnání zůstatků stran MÁ DÁTI a DAL – výsledný rozdíl vstupuje kladně do aktiv, jestliže zůstatek syntetického účtu je na straně MÁ DÁTI, anebo vstupuje kladně do pasiv, jestliže zůstatek syntetického účtu je na straně DAL.</w:t>
      </w:r>
    </w:p>
  </w:footnote>
  <w:footnote w:id="22">
    <w:p w14:paraId="7E6C2551" w14:textId="059B07A3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75D0E">
        <w:t xml:space="preserve">Vzhledem k tomu, že MV na účtu 112 – </w:t>
      </w:r>
      <w:r w:rsidRPr="00E75D0E">
        <w:rPr>
          <w:i/>
        </w:rPr>
        <w:t>Materiál na skladě</w:t>
      </w:r>
      <w:r w:rsidRPr="00E75D0E">
        <w:t xml:space="preserve"> v ÚZ vykázalo LTO v hodnotě 3 323 179,23 Kč, vedl by nastavený postup účtování v ÚZ k vykázání pohledávky na účtu </w:t>
      </w:r>
      <w:r w:rsidRPr="00A0498E">
        <w:t>344</w:t>
      </w:r>
      <w:r w:rsidRPr="00E75D0E">
        <w:rPr>
          <w:i/>
        </w:rPr>
        <w:t xml:space="preserve"> – Jiné daně a poplatky</w:t>
      </w:r>
      <w:r w:rsidRPr="00E75D0E">
        <w:t xml:space="preserve">. MV však v ÚZ vykázalo krátkodobý závazek ve výši 353 tis. Kč, tj. povinnost uhradit </w:t>
      </w:r>
      <w:r>
        <w:t>spotřební daň</w:t>
      </w:r>
      <w:r w:rsidRPr="00E75D0E">
        <w:t>, což neodpovídalo skutečnosti.</w:t>
      </w:r>
    </w:p>
  </w:footnote>
  <w:footnote w:id="23">
    <w:p w14:paraId="15E081F9" w14:textId="70E114C9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Účetní okruh „Generální ředitelství Hasičského záchranného sboru České republiky“ vykázal na účtu </w:t>
      </w:r>
      <w:r>
        <w:br/>
        <w:t xml:space="preserve">344 – </w:t>
      </w:r>
      <w:r w:rsidRPr="0094101A">
        <w:rPr>
          <w:i/>
        </w:rPr>
        <w:t>Jiné daně a poplatky</w:t>
      </w:r>
      <w:r>
        <w:t xml:space="preserve"> pohledávku ve výši 47 783,64 Kč, účetní okruh „Policejní prezidium“ vykázal nulový zůstatek na tomto účtu v důsledku nesprávného zúčtování LTO do spotřeby včetně „nevrácené“ části spotřební daně, účetní okruh „Ministerstvo“ vykázal na tomto účtu závazek ve výši 401 146 Kč.</w:t>
      </w:r>
    </w:p>
  </w:footnote>
  <w:footnote w:id="24">
    <w:p w14:paraId="60E6F683" w14:textId="312759D0" w:rsidR="00A85929" w:rsidRP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Pohledávky v roce 2008 by nebyly předepsány do výnosů, ale na účet 205 –</w:t>
      </w:r>
      <w:r w:rsidRPr="00BC1544">
        <w:rPr>
          <w:i/>
        </w:rPr>
        <w:t xml:space="preserve"> Vyúčtování rozpočtových příjmů</w:t>
      </w:r>
      <w:r>
        <w:t xml:space="preserve"> </w:t>
      </w:r>
      <w:r w:rsidRPr="00BC1544">
        <w:rPr>
          <w:i/>
        </w:rPr>
        <w:t>z běžné činnosti organizačních složek státu</w:t>
      </w:r>
      <w:r>
        <w:t xml:space="preserve">, který byl při uzavírání účetních knih převáděn na účet </w:t>
      </w:r>
      <w:r>
        <w:br/>
        <w:t xml:space="preserve">965 – </w:t>
      </w:r>
      <w:r w:rsidRPr="00BC1544">
        <w:rPr>
          <w:i/>
        </w:rPr>
        <w:t>Saldo příjmů a výnosů</w:t>
      </w:r>
      <w:r>
        <w:t xml:space="preserve">, jehož konečný zůstatek byl v rámci převodového můstku k 1. lednu 2010 převeden na účet 401 </w:t>
      </w:r>
      <w:r w:rsidRPr="00BC1544">
        <w:rPr>
          <w:i/>
        </w:rPr>
        <w:t>– Jmění účetní jednotky</w:t>
      </w:r>
      <w:r w:rsidRPr="00A85929">
        <w:t xml:space="preserve">. </w:t>
      </w:r>
    </w:p>
  </w:footnote>
  <w:footnote w:id="25">
    <w:p w14:paraId="178BDD41" w14:textId="4DAD5C46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> </w:t>
      </w:r>
      <w:r>
        <w:tab/>
        <w:t>Viz ustanovení § 161 a § 162 zákona č. 280/2009 Sb., daňový řád.</w:t>
      </w:r>
    </w:p>
  </w:footnote>
  <w:footnote w:id="26">
    <w:p w14:paraId="6BB3BC09" w14:textId="77777777" w:rsidR="00A85929" w:rsidRDefault="00A85929" w:rsidP="00BB546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Složeným účetním zápisem na stranu MÁ DÁTI účtu 192 – </w:t>
      </w:r>
      <w:r w:rsidRPr="00BC1544">
        <w:rPr>
          <w:i/>
        </w:rPr>
        <w:t>Opravné položky k jiným pohledávkám z hlavní</w:t>
      </w:r>
      <w:r>
        <w:t xml:space="preserve"> </w:t>
      </w:r>
      <w:r w:rsidRPr="00BC1544">
        <w:rPr>
          <w:i/>
        </w:rPr>
        <w:t xml:space="preserve">činnosti </w:t>
      </w:r>
      <w:r>
        <w:t xml:space="preserve">(ve výši vytvořené opravné položky), na stranu MÁ DÁTI účtu 549 – </w:t>
      </w:r>
      <w:r w:rsidRPr="00BC1544">
        <w:rPr>
          <w:i/>
        </w:rPr>
        <w:t>Ostatní náklady z činnosti</w:t>
      </w:r>
      <w:r>
        <w:t xml:space="preserve"> (ve výši rozdílu pořizovací ceny a vytvořených opravných položek) a na stranu DAL účtu 315 – </w:t>
      </w:r>
      <w:r w:rsidRPr="00BC1544">
        <w:rPr>
          <w:i/>
        </w:rPr>
        <w:t>Jiné pohledávky z hlavní činnosti</w:t>
      </w:r>
      <w:r>
        <w:t xml:space="preserve"> (v pořizovací ceně).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3ED7" w14:textId="77777777" w:rsidR="00A85929" w:rsidRPr="00B33461" w:rsidRDefault="00A85929" w:rsidP="00116D25">
    <w:pPr>
      <w:pStyle w:val="Zhlav"/>
      <w:jc w:val="right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C33F0" w14:textId="774C20D2" w:rsidR="00A85929" w:rsidRPr="004A089F" w:rsidRDefault="00A85929" w:rsidP="004A089F">
    <w:pPr>
      <w:pStyle w:val="Zhlav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20C"/>
    <w:multiLevelType w:val="hybridMultilevel"/>
    <w:tmpl w:val="DCCC1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734C"/>
    <w:multiLevelType w:val="hybridMultilevel"/>
    <w:tmpl w:val="0A0A88CC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29E20AF"/>
    <w:multiLevelType w:val="hybridMultilevel"/>
    <w:tmpl w:val="287C6736"/>
    <w:lvl w:ilvl="0" w:tplc="D4F8E7A4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99973EF"/>
    <w:multiLevelType w:val="hybridMultilevel"/>
    <w:tmpl w:val="C2F2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A58EA"/>
    <w:multiLevelType w:val="hybridMultilevel"/>
    <w:tmpl w:val="8DA22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72361"/>
    <w:multiLevelType w:val="hybridMultilevel"/>
    <w:tmpl w:val="EB081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6097"/>
    <w:multiLevelType w:val="multilevel"/>
    <w:tmpl w:val="BCC08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2B29D1"/>
    <w:multiLevelType w:val="hybridMultilevel"/>
    <w:tmpl w:val="048E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57CF9"/>
    <w:multiLevelType w:val="hybridMultilevel"/>
    <w:tmpl w:val="0BAE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14AA4"/>
    <w:multiLevelType w:val="hybridMultilevel"/>
    <w:tmpl w:val="17381F2E"/>
    <w:lvl w:ilvl="0" w:tplc="69EC1214">
      <w:start w:val="1"/>
      <w:numFmt w:val="bullet"/>
      <w:pStyle w:val="Fousteka"/>
      <w:lvlText w:val=""/>
      <w:lvlJc w:val="left"/>
      <w:pPr>
        <w:tabs>
          <w:tab w:val="num" w:pos="721"/>
        </w:tabs>
        <w:ind w:left="721" w:hanging="381"/>
      </w:pPr>
      <w:rPr>
        <w:rFonts w:ascii="Symbol" w:hAnsi="Symbol" w:hint="default"/>
        <w:sz w:val="16"/>
      </w:rPr>
    </w:lvl>
    <w:lvl w:ilvl="1" w:tplc="5490A942">
      <w:numFmt w:val="bullet"/>
      <w:lvlText w:val="–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>
    <w:nsid w:val="20412814"/>
    <w:multiLevelType w:val="multilevel"/>
    <w:tmpl w:val="62A02EC0"/>
    <w:lvl w:ilvl="0">
      <w:start w:val="1"/>
      <w:numFmt w:val="decimal"/>
      <w:pStyle w:val="rove1"/>
      <w:lvlText w:val="%1."/>
      <w:lvlJc w:val="left"/>
      <w:pPr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ind w:left="792" w:hanging="432"/>
      </w:pPr>
    </w:lvl>
    <w:lvl w:ilvl="2">
      <w:start w:val="1"/>
      <w:numFmt w:val="decimal"/>
      <w:pStyle w:val="rove3"/>
      <w:lvlText w:val="%1.%2.%3."/>
      <w:lvlJc w:val="left"/>
      <w:pPr>
        <w:ind w:left="504" w:hanging="504"/>
      </w:p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</w:lvl>
    <w:lvl w:ilvl="4">
      <w:start w:val="1"/>
      <w:numFmt w:val="decimal"/>
      <w:pStyle w:val="rove5"/>
      <w:lvlText w:val="%1.%2.%3.%4.%5."/>
      <w:lvlJc w:val="left"/>
      <w:pPr>
        <w:ind w:left="934" w:hanging="792"/>
      </w:pPr>
    </w:lvl>
    <w:lvl w:ilvl="5">
      <w:start w:val="1"/>
      <w:numFmt w:val="decimal"/>
      <w:pStyle w:val="rove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95685F"/>
    <w:multiLevelType w:val="multilevel"/>
    <w:tmpl w:val="FFA06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eastAsiaTheme="minorHAnsi" w:hAnsiTheme="minorHAnsi" w:cstheme="minorHAns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eastAsiaTheme="minorHAnsi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eastAsiaTheme="minorHAnsi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eastAsiaTheme="minorHAnsi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eastAsiaTheme="minorHAnsi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eastAsiaTheme="minorHAnsi" w:hAnsiTheme="minorHAnsi" w:cstheme="minorHAnsi" w:hint="default"/>
      </w:rPr>
    </w:lvl>
  </w:abstractNum>
  <w:abstractNum w:abstractNumId="12">
    <w:nsid w:val="28BD2175"/>
    <w:multiLevelType w:val="hybridMultilevel"/>
    <w:tmpl w:val="715A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02817"/>
    <w:multiLevelType w:val="hybridMultilevel"/>
    <w:tmpl w:val="55F02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56816"/>
    <w:multiLevelType w:val="hybridMultilevel"/>
    <w:tmpl w:val="215AF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363E7"/>
    <w:multiLevelType w:val="multilevel"/>
    <w:tmpl w:val="3D64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FC7327"/>
    <w:multiLevelType w:val="multilevel"/>
    <w:tmpl w:val="8C1A5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7987D80"/>
    <w:multiLevelType w:val="multilevel"/>
    <w:tmpl w:val="BCC08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8A715C3"/>
    <w:multiLevelType w:val="hybridMultilevel"/>
    <w:tmpl w:val="253CF0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F2626C"/>
    <w:multiLevelType w:val="hybridMultilevel"/>
    <w:tmpl w:val="1A0451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67BF4"/>
    <w:multiLevelType w:val="hybridMultilevel"/>
    <w:tmpl w:val="A2B0B9A8"/>
    <w:lvl w:ilvl="0" w:tplc="008087FA">
      <w:start w:val="1"/>
      <w:numFmt w:val="bullet"/>
      <w:pStyle w:val="Fousnadpis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5490A9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852F54"/>
    <w:multiLevelType w:val="hybridMultilevel"/>
    <w:tmpl w:val="B3C28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F5FC9"/>
    <w:multiLevelType w:val="hybridMultilevel"/>
    <w:tmpl w:val="A8F08086"/>
    <w:lvl w:ilvl="0" w:tplc="25F0C2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24BD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3699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1F2159"/>
    <w:multiLevelType w:val="multilevel"/>
    <w:tmpl w:val="2F589E66"/>
    <w:lvl w:ilvl="0">
      <w:start w:val="1"/>
      <w:numFmt w:val="decimal"/>
      <w:pStyle w:val="len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56BF2913"/>
    <w:multiLevelType w:val="hybridMultilevel"/>
    <w:tmpl w:val="B51A4BC2"/>
    <w:lvl w:ilvl="0" w:tplc="45E60D26">
      <w:start w:val="1"/>
      <w:numFmt w:val="decimal"/>
      <w:pStyle w:val="KZ-nadpis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156A10"/>
    <w:multiLevelType w:val="hybridMultilevel"/>
    <w:tmpl w:val="D27686CE"/>
    <w:lvl w:ilvl="0" w:tplc="8D9633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806EC"/>
    <w:multiLevelType w:val="hybridMultilevel"/>
    <w:tmpl w:val="0B368A96"/>
    <w:lvl w:ilvl="0" w:tplc="6E703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C0F13"/>
    <w:multiLevelType w:val="hybridMultilevel"/>
    <w:tmpl w:val="0ECAB7A6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671C68B2"/>
    <w:multiLevelType w:val="hybridMultilevel"/>
    <w:tmpl w:val="49AA96BA"/>
    <w:lvl w:ilvl="0" w:tplc="0AD292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B774F"/>
    <w:multiLevelType w:val="hybridMultilevel"/>
    <w:tmpl w:val="64963762"/>
    <w:lvl w:ilvl="0" w:tplc="04050017">
      <w:start w:val="1"/>
      <w:numFmt w:val="bullet"/>
      <w:pStyle w:val="Fous"/>
      <w:lvlText w:val=""/>
      <w:lvlJc w:val="left"/>
      <w:pPr>
        <w:tabs>
          <w:tab w:val="num" w:pos="722"/>
        </w:tabs>
        <w:ind w:left="722" w:hanging="382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0">
    <w:nsid w:val="6E656962"/>
    <w:multiLevelType w:val="hybridMultilevel"/>
    <w:tmpl w:val="40381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92383"/>
    <w:multiLevelType w:val="multilevel"/>
    <w:tmpl w:val="403CAF1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Styl2"/>
      <w:lvlText w:val="%1.%2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740A02FC"/>
    <w:multiLevelType w:val="hybridMultilevel"/>
    <w:tmpl w:val="ADF8B232"/>
    <w:lvl w:ilvl="0" w:tplc="685E6B7C">
      <w:start w:val="1"/>
      <w:numFmt w:val="upperRoman"/>
      <w:pStyle w:val="Nadpis5"/>
      <w:lvlText w:val="%1."/>
      <w:lvlJc w:val="right"/>
      <w:pPr>
        <w:tabs>
          <w:tab w:val="num" w:pos="540"/>
        </w:tabs>
        <w:ind w:left="540" w:hanging="18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025561"/>
    <w:multiLevelType w:val="hybridMultilevel"/>
    <w:tmpl w:val="1520AD50"/>
    <w:lvl w:ilvl="0" w:tplc="45123A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82109"/>
    <w:multiLevelType w:val="hybridMultilevel"/>
    <w:tmpl w:val="12FCB8F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4"/>
  </w:num>
  <w:num w:numId="4">
    <w:abstractNumId w:val="9"/>
  </w:num>
  <w:num w:numId="5">
    <w:abstractNumId w:val="20"/>
  </w:num>
  <w:num w:numId="6">
    <w:abstractNumId w:val="29"/>
  </w:num>
  <w:num w:numId="7">
    <w:abstractNumId w:val="23"/>
  </w:num>
  <w:num w:numId="8">
    <w:abstractNumId w:val="14"/>
  </w:num>
  <w:num w:numId="9">
    <w:abstractNumId w:val="31"/>
  </w:num>
  <w:num w:numId="10">
    <w:abstractNumId w:val="8"/>
  </w:num>
  <w:num w:numId="11">
    <w:abstractNumId w:val="7"/>
  </w:num>
  <w:num w:numId="12">
    <w:abstractNumId w:val="21"/>
  </w:num>
  <w:num w:numId="13">
    <w:abstractNumId w:val="13"/>
  </w:num>
  <w:num w:numId="14">
    <w:abstractNumId w:val="19"/>
  </w:num>
  <w:num w:numId="15">
    <w:abstractNumId w:val="12"/>
  </w:num>
  <w:num w:numId="16">
    <w:abstractNumId w:val="1"/>
  </w:num>
  <w:num w:numId="17">
    <w:abstractNumId w:val="30"/>
  </w:num>
  <w:num w:numId="18">
    <w:abstractNumId w:val="4"/>
  </w:num>
  <w:num w:numId="19">
    <w:abstractNumId w:val="11"/>
  </w:num>
  <w:num w:numId="20">
    <w:abstractNumId w:val="16"/>
  </w:num>
  <w:num w:numId="21">
    <w:abstractNumId w:val="15"/>
  </w:num>
  <w:num w:numId="22">
    <w:abstractNumId w:val="15"/>
  </w:num>
  <w:num w:numId="23">
    <w:abstractNumId w:val="17"/>
  </w:num>
  <w:num w:numId="24">
    <w:abstractNumId w:val="22"/>
  </w:num>
  <w:num w:numId="25">
    <w:abstractNumId w:val="2"/>
  </w:num>
  <w:num w:numId="26">
    <w:abstractNumId w:val="28"/>
  </w:num>
  <w:num w:numId="27">
    <w:abstractNumId w:val="18"/>
  </w:num>
  <w:num w:numId="28">
    <w:abstractNumId w:val="6"/>
  </w:num>
  <w:num w:numId="29">
    <w:abstractNumId w:val="5"/>
  </w:num>
  <w:num w:numId="30">
    <w:abstractNumId w:val="33"/>
  </w:num>
  <w:num w:numId="31">
    <w:abstractNumId w:val="34"/>
  </w:num>
  <w:num w:numId="32">
    <w:abstractNumId w:val="27"/>
  </w:num>
  <w:num w:numId="33">
    <w:abstractNumId w:val="0"/>
  </w:num>
  <w:num w:numId="34">
    <w:abstractNumId w:val="26"/>
  </w:num>
  <w:num w:numId="35">
    <w:abstractNumId w:val="3"/>
  </w:num>
  <w:num w:numId="3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98"/>
    <w:rsid w:val="00000DB9"/>
    <w:rsid w:val="00003426"/>
    <w:rsid w:val="00003EAC"/>
    <w:rsid w:val="00004394"/>
    <w:rsid w:val="00004F5E"/>
    <w:rsid w:val="00006C8C"/>
    <w:rsid w:val="00007671"/>
    <w:rsid w:val="00011FDA"/>
    <w:rsid w:val="000123C3"/>
    <w:rsid w:val="000128EA"/>
    <w:rsid w:val="000133F2"/>
    <w:rsid w:val="000134E8"/>
    <w:rsid w:val="00014AC7"/>
    <w:rsid w:val="00014D9A"/>
    <w:rsid w:val="000152F9"/>
    <w:rsid w:val="00015D4D"/>
    <w:rsid w:val="000165D0"/>
    <w:rsid w:val="0002053C"/>
    <w:rsid w:val="000213F7"/>
    <w:rsid w:val="00021A1A"/>
    <w:rsid w:val="00022FFB"/>
    <w:rsid w:val="00023513"/>
    <w:rsid w:val="00023618"/>
    <w:rsid w:val="0002412E"/>
    <w:rsid w:val="00025B5D"/>
    <w:rsid w:val="00026679"/>
    <w:rsid w:val="00026BBA"/>
    <w:rsid w:val="000318EE"/>
    <w:rsid w:val="00031D6C"/>
    <w:rsid w:val="0003224C"/>
    <w:rsid w:val="00032A08"/>
    <w:rsid w:val="00033182"/>
    <w:rsid w:val="000334CF"/>
    <w:rsid w:val="00033D26"/>
    <w:rsid w:val="00034F1A"/>
    <w:rsid w:val="00035396"/>
    <w:rsid w:val="00036882"/>
    <w:rsid w:val="00037AD4"/>
    <w:rsid w:val="00040122"/>
    <w:rsid w:val="000408FF"/>
    <w:rsid w:val="00040B5D"/>
    <w:rsid w:val="00040F0F"/>
    <w:rsid w:val="00041216"/>
    <w:rsid w:val="00041791"/>
    <w:rsid w:val="00041AF4"/>
    <w:rsid w:val="000421F4"/>
    <w:rsid w:val="000436F7"/>
    <w:rsid w:val="0004380E"/>
    <w:rsid w:val="00044A2F"/>
    <w:rsid w:val="00045638"/>
    <w:rsid w:val="00045D1C"/>
    <w:rsid w:val="00046608"/>
    <w:rsid w:val="00046A40"/>
    <w:rsid w:val="00047550"/>
    <w:rsid w:val="000478C8"/>
    <w:rsid w:val="00047A0C"/>
    <w:rsid w:val="00047BCB"/>
    <w:rsid w:val="00047CFB"/>
    <w:rsid w:val="00050870"/>
    <w:rsid w:val="00050ABC"/>
    <w:rsid w:val="0005237D"/>
    <w:rsid w:val="00053909"/>
    <w:rsid w:val="00053E78"/>
    <w:rsid w:val="00055DB8"/>
    <w:rsid w:val="00055F04"/>
    <w:rsid w:val="00056FAA"/>
    <w:rsid w:val="00057774"/>
    <w:rsid w:val="00057AB4"/>
    <w:rsid w:val="000605C5"/>
    <w:rsid w:val="00060E38"/>
    <w:rsid w:val="00061D71"/>
    <w:rsid w:val="000625BB"/>
    <w:rsid w:val="00062751"/>
    <w:rsid w:val="00062D99"/>
    <w:rsid w:val="000633EB"/>
    <w:rsid w:val="00064265"/>
    <w:rsid w:val="00066042"/>
    <w:rsid w:val="00066D71"/>
    <w:rsid w:val="00070CE7"/>
    <w:rsid w:val="000716D6"/>
    <w:rsid w:val="000728A5"/>
    <w:rsid w:val="00073CC6"/>
    <w:rsid w:val="00074F4D"/>
    <w:rsid w:val="00076502"/>
    <w:rsid w:val="00076BDC"/>
    <w:rsid w:val="00077E10"/>
    <w:rsid w:val="000805E5"/>
    <w:rsid w:val="000811B2"/>
    <w:rsid w:val="00081B5F"/>
    <w:rsid w:val="0008277B"/>
    <w:rsid w:val="000842F3"/>
    <w:rsid w:val="000855F3"/>
    <w:rsid w:val="00085F8C"/>
    <w:rsid w:val="0008610D"/>
    <w:rsid w:val="00087032"/>
    <w:rsid w:val="00090ABF"/>
    <w:rsid w:val="00091858"/>
    <w:rsid w:val="000923BF"/>
    <w:rsid w:val="00093160"/>
    <w:rsid w:val="00093923"/>
    <w:rsid w:val="00093DFF"/>
    <w:rsid w:val="000942E7"/>
    <w:rsid w:val="00096160"/>
    <w:rsid w:val="000962EE"/>
    <w:rsid w:val="000966CF"/>
    <w:rsid w:val="00097B95"/>
    <w:rsid w:val="000A061E"/>
    <w:rsid w:val="000A193D"/>
    <w:rsid w:val="000A1B64"/>
    <w:rsid w:val="000A242E"/>
    <w:rsid w:val="000A3659"/>
    <w:rsid w:val="000A444B"/>
    <w:rsid w:val="000A469B"/>
    <w:rsid w:val="000A5BED"/>
    <w:rsid w:val="000A6B27"/>
    <w:rsid w:val="000A6FA1"/>
    <w:rsid w:val="000A7226"/>
    <w:rsid w:val="000A7C3A"/>
    <w:rsid w:val="000A7C56"/>
    <w:rsid w:val="000B01DE"/>
    <w:rsid w:val="000B0886"/>
    <w:rsid w:val="000B3224"/>
    <w:rsid w:val="000B37AA"/>
    <w:rsid w:val="000B37DF"/>
    <w:rsid w:val="000B3B0B"/>
    <w:rsid w:val="000B6827"/>
    <w:rsid w:val="000B6AE1"/>
    <w:rsid w:val="000B7046"/>
    <w:rsid w:val="000C2440"/>
    <w:rsid w:val="000C2773"/>
    <w:rsid w:val="000C33C8"/>
    <w:rsid w:val="000C4531"/>
    <w:rsid w:val="000C4C33"/>
    <w:rsid w:val="000C4E92"/>
    <w:rsid w:val="000C5421"/>
    <w:rsid w:val="000C5758"/>
    <w:rsid w:val="000C6AB3"/>
    <w:rsid w:val="000C715C"/>
    <w:rsid w:val="000C7D8E"/>
    <w:rsid w:val="000D017C"/>
    <w:rsid w:val="000D1C6F"/>
    <w:rsid w:val="000D2CBB"/>
    <w:rsid w:val="000D3F17"/>
    <w:rsid w:val="000D4904"/>
    <w:rsid w:val="000D4FFD"/>
    <w:rsid w:val="000D572F"/>
    <w:rsid w:val="000D5E09"/>
    <w:rsid w:val="000D651B"/>
    <w:rsid w:val="000D6919"/>
    <w:rsid w:val="000D7FFE"/>
    <w:rsid w:val="000E0907"/>
    <w:rsid w:val="000E09C3"/>
    <w:rsid w:val="000E0B8A"/>
    <w:rsid w:val="000E27EB"/>
    <w:rsid w:val="000E2ADF"/>
    <w:rsid w:val="000E3AE3"/>
    <w:rsid w:val="000E467A"/>
    <w:rsid w:val="000E47E4"/>
    <w:rsid w:val="000E4D13"/>
    <w:rsid w:val="000E4D9C"/>
    <w:rsid w:val="000E5001"/>
    <w:rsid w:val="000E530B"/>
    <w:rsid w:val="000E533B"/>
    <w:rsid w:val="000E5ACE"/>
    <w:rsid w:val="000E6620"/>
    <w:rsid w:val="000F09F6"/>
    <w:rsid w:val="000F1B31"/>
    <w:rsid w:val="000F1C3C"/>
    <w:rsid w:val="000F2B2B"/>
    <w:rsid w:val="000F2C54"/>
    <w:rsid w:val="000F54D1"/>
    <w:rsid w:val="000F6393"/>
    <w:rsid w:val="000F7517"/>
    <w:rsid w:val="000F7816"/>
    <w:rsid w:val="00100003"/>
    <w:rsid w:val="0010028A"/>
    <w:rsid w:val="00101393"/>
    <w:rsid w:val="00101CF1"/>
    <w:rsid w:val="00101CF4"/>
    <w:rsid w:val="00101FFD"/>
    <w:rsid w:val="00102911"/>
    <w:rsid w:val="00102AB2"/>
    <w:rsid w:val="00102E7C"/>
    <w:rsid w:val="001032D0"/>
    <w:rsid w:val="001047E3"/>
    <w:rsid w:val="00106226"/>
    <w:rsid w:val="001062F1"/>
    <w:rsid w:val="00106D34"/>
    <w:rsid w:val="00106D9F"/>
    <w:rsid w:val="00110A83"/>
    <w:rsid w:val="00111C09"/>
    <w:rsid w:val="00111E0E"/>
    <w:rsid w:val="00111E58"/>
    <w:rsid w:val="0011369A"/>
    <w:rsid w:val="00114CBE"/>
    <w:rsid w:val="00114FDE"/>
    <w:rsid w:val="0011655B"/>
    <w:rsid w:val="00116934"/>
    <w:rsid w:val="00116D25"/>
    <w:rsid w:val="001170DE"/>
    <w:rsid w:val="001211B2"/>
    <w:rsid w:val="00121BAC"/>
    <w:rsid w:val="00121F8A"/>
    <w:rsid w:val="00121FBD"/>
    <w:rsid w:val="0012222E"/>
    <w:rsid w:val="00123D73"/>
    <w:rsid w:val="00124051"/>
    <w:rsid w:val="001243A6"/>
    <w:rsid w:val="00124A26"/>
    <w:rsid w:val="001256EC"/>
    <w:rsid w:val="0012572C"/>
    <w:rsid w:val="00125C5A"/>
    <w:rsid w:val="001268CE"/>
    <w:rsid w:val="00127B5E"/>
    <w:rsid w:val="00130156"/>
    <w:rsid w:val="0013075C"/>
    <w:rsid w:val="00130970"/>
    <w:rsid w:val="00130DFC"/>
    <w:rsid w:val="0013136F"/>
    <w:rsid w:val="001317AE"/>
    <w:rsid w:val="00132610"/>
    <w:rsid w:val="0013271F"/>
    <w:rsid w:val="00132DF7"/>
    <w:rsid w:val="00133135"/>
    <w:rsid w:val="0013359A"/>
    <w:rsid w:val="00133B52"/>
    <w:rsid w:val="00133C05"/>
    <w:rsid w:val="00133F16"/>
    <w:rsid w:val="0013454D"/>
    <w:rsid w:val="0013600E"/>
    <w:rsid w:val="001364B3"/>
    <w:rsid w:val="00137488"/>
    <w:rsid w:val="00140799"/>
    <w:rsid w:val="00140954"/>
    <w:rsid w:val="00140AAD"/>
    <w:rsid w:val="00140C4C"/>
    <w:rsid w:val="001416ED"/>
    <w:rsid w:val="00142C4C"/>
    <w:rsid w:val="001432F2"/>
    <w:rsid w:val="0014358B"/>
    <w:rsid w:val="00143B77"/>
    <w:rsid w:val="00143D3D"/>
    <w:rsid w:val="00144DF5"/>
    <w:rsid w:val="001454A6"/>
    <w:rsid w:val="0014744D"/>
    <w:rsid w:val="00150A3C"/>
    <w:rsid w:val="00150E86"/>
    <w:rsid w:val="0015153C"/>
    <w:rsid w:val="00152803"/>
    <w:rsid w:val="00153BBE"/>
    <w:rsid w:val="001541A2"/>
    <w:rsid w:val="00154FA3"/>
    <w:rsid w:val="00156B44"/>
    <w:rsid w:val="001616C1"/>
    <w:rsid w:val="001618D0"/>
    <w:rsid w:val="00163613"/>
    <w:rsid w:val="001645A0"/>
    <w:rsid w:val="00164C51"/>
    <w:rsid w:val="00166105"/>
    <w:rsid w:val="00166443"/>
    <w:rsid w:val="00166B50"/>
    <w:rsid w:val="001707B6"/>
    <w:rsid w:val="0017183C"/>
    <w:rsid w:val="00171B49"/>
    <w:rsid w:val="00173291"/>
    <w:rsid w:val="00174B4B"/>
    <w:rsid w:val="00174CD6"/>
    <w:rsid w:val="00175CFC"/>
    <w:rsid w:val="00176C07"/>
    <w:rsid w:val="001804C9"/>
    <w:rsid w:val="00181F8B"/>
    <w:rsid w:val="001833A8"/>
    <w:rsid w:val="001847B0"/>
    <w:rsid w:val="00184AA7"/>
    <w:rsid w:val="00184CA3"/>
    <w:rsid w:val="00184EBD"/>
    <w:rsid w:val="001859A7"/>
    <w:rsid w:val="00185D21"/>
    <w:rsid w:val="00185F2A"/>
    <w:rsid w:val="001867ED"/>
    <w:rsid w:val="00187B02"/>
    <w:rsid w:val="00191502"/>
    <w:rsid w:val="0019188B"/>
    <w:rsid w:val="0019197A"/>
    <w:rsid w:val="00192FBA"/>
    <w:rsid w:val="001935DC"/>
    <w:rsid w:val="001948CF"/>
    <w:rsid w:val="001953BD"/>
    <w:rsid w:val="0019548F"/>
    <w:rsid w:val="00195678"/>
    <w:rsid w:val="001964BD"/>
    <w:rsid w:val="00196BE6"/>
    <w:rsid w:val="001973BF"/>
    <w:rsid w:val="0019750D"/>
    <w:rsid w:val="001A3D5A"/>
    <w:rsid w:val="001A3F7D"/>
    <w:rsid w:val="001A524B"/>
    <w:rsid w:val="001A5759"/>
    <w:rsid w:val="001A5D44"/>
    <w:rsid w:val="001A6444"/>
    <w:rsid w:val="001A6858"/>
    <w:rsid w:val="001A6D46"/>
    <w:rsid w:val="001A6F7A"/>
    <w:rsid w:val="001A7400"/>
    <w:rsid w:val="001A7834"/>
    <w:rsid w:val="001A78A1"/>
    <w:rsid w:val="001B093B"/>
    <w:rsid w:val="001B09CD"/>
    <w:rsid w:val="001B0F3C"/>
    <w:rsid w:val="001B25DA"/>
    <w:rsid w:val="001B26E2"/>
    <w:rsid w:val="001B2744"/>
    <w:rsid w:val="001B336C"/>
    <w:rsid w:val="001B54AC"/>
    <w:rsid w:val="001B5D1A"/>
    <w:rsid w:val="001B68A6"/>
    <w:rsid w:val="001B68EB"/>
    <w:rsid w:val="001B6C73"/>
    <w:rsid w:val="001B7511"/>
    <w:rsid w:val="001C04EC"/>
    <w:rsid w:val="001C14F3"/>
    <w:rsid w:val="001C1B2C"/>
    <w:rsid w:val="001C1DF1"/>
    <w:rsid w:val="001C27F5"/>
    <w:rsid w:val="001C28EC"/>
    <w:rsid w:val="001C42E7"/>
    <w:rsid w:val="001C4BD4"/>
    <w:rsid w:val="001C4C64"/>
    <w:rsid w:val="001C589D"/>
    <w:rsid w:val="001C76E1"/>
    <w:rsid w:val="001C7A73"/>
    <w:rsid w:val="001D104D"/>
    <w:rsid w:val="001D15C8"/>
    <w:rsid w:val="001D1DAC"/>
    <w:rsid w:val="001D3168"/>
    <w:rsid w:val="001D31BB"/>
    <w:rsid w:val="001D3786"/>
    <w:rsid w:val="001D6EF6"/>
    <w:rsid w:val="001D735F"/>
    <w:rsid w:val="001E00B0"/>
    <w:rsid w:val="001E044A"/>
    <w:rsid w:val="001E045B"/>
    <w:rsid w:val="001E1EA0"/>
    <w:rsid w:val="001E1EBF"/>
    <w:rsid w:val="001E254B"/>
    <w:rsid w:val="001E317A"/>
    <w:rsid w:val="001E519C"/>
    <w:rsid w:val="001E566C"/>
    <w:rsid w:val="001E5FA6"/>
    <w:rsid w:val="001E624A"/>
    <w:rsid w:val="001E6F24"/>
    <w:rsid w:val="001F017B"/>
    <w:rsid w:val="001F0D2E"/>
    <w:rsid w:val="001F1081"/>
    <w:rsid w:val="001F1B12"/>
    <w:rsid w:val="001F2294"/>
    <w:rsid w:val="001F345D"/>
    <w:rsid w:val="001F41BF"/>
    <w:rsid w:val="001F44ED"/>
    <w:rsid w:val="001F65BE"/>
    <w:rsid w:val="001F75F3"/>
    <w:rsid w:val="001F7729"/>
    <w:rsid w:val="00200482"/>
    <w:rsid w:val="00200B5D"/>
    <w:rsid w:val="002028D5"/>
    <w:rsid w:val="002028E5"/>
    <w:rsid w:val="00202F44"/>
    <w:rsid w:val="002033E7"/>
    <w:rsid w:val="00203C72"/>
    <w:rsid w:val="00203E72"/>
    <w:rsid w:val="00203F53"/>
    <w:rsid w:val="002046CF"/>
    <w:rsid w:val="00204FB5"/>
    <w:rsid w:val="00205081"/>
    <w:rsid w:val="00205472"/>
    <w:rsid w:val="00205994"/>
    <w:rsid w:val="002059F7"/>
    <w:rsid w:val="002064F0"/>
    <w:rsid w:val="00206B08"/>
    <w:rsid w:val="00206BCD"/>
    <w:rsid w:val="00207199"/>
    <w:rsid w:val="00207420"/>
    <w:rsid w:val="00207A1B"/>
    <w:rsid w:val="00207AC9"/>
    <w:rsid w:val="00210B50"/>
    <w:rsid w:val="00211587"/>
    <w:rsid w:val="002118D0"/>
    <w:rsid w:val="0021226E"/>
    <w:rsid w:val="00212AA9"/>
    <w:rsid w:val="002134F7"/>
    <w:rsid w:val="00213F83"/>
    <w:rsid w:val="002143C8"/>
    <w:rsid w:val="00215A5C"/>
    <w:rsid w:val="00215E06"/>
    <w:rsid w:val="002163FD"/>
    <w:rsid w:val="002166F6"/>
    <w:rsid w:val="00217D93"/>
    <w:rsid w:val="00217F21"/>
    <w:rsid w:val="00217F81"/>
    <w:rsid w:val="00220775"/>
    <w:rsid w:val="00220D78"/>
    <w:rsid w:val="00220DAF"/>
    <w:rsid w:val="002213F8"/>
    <w:rsid w:val="0022196A"/>
    <w:rsid w:val="00221A81"/>
    <w:rsid w:val="00221E58"/>
    <w:rsid w:val="00222CA5"/>
    <w:rsid w:val="00222F8E"/>
    <w:rsid w:val="00223D2C"/>
    <w:rsid w:val="00224F37"/>
    <w:rsid w:val="0022712B"/>
    <w:rsid w:val="00227A53"/>
    <w:rsid w:val="0023047A"/>
    <w:rsid w:val="002305A8"/>
    <w:rsid w:val="00230668"/>
    <w:rsid w:val="00231762"/>
    <w:rsid w:val="00231A8F"/>
    <w:rsid w:val="00231C6A"/>
    <w:rsid w:val="00231D8E"/>
    <w:rsid w:val="00231DFF"/>
    <w:rsid w:val="00232052"/>
    <w:rsid w:val="00234146"/>
    <w:rsid w:val="00234362"/>
    <w:rsid w:val="00234E99"/>
    <w:rsid w:val="002352B0"/>
    <w:rsid w:val="00235726"/>
    <w:rsid w:val="00235846"/>
    <w:rsid w:val="00235B72"/>
    <w:rsid w:val="0023664B"/>
    <w:rsid w:val="00236B42"/>
    <w:rsid w:val="002373A8"/>
    <w:rsid w:val="002375C9"/>
    <w:rsid w:val="00237653"/>
    <w:rsid w:val="00237832"/>
    <w:rsid w:val="0024124B"/>
    <w:rsid w:val="002419DE"/>
    <w:rsid w:val="002419EF"/>
    <w:rsid w:val="00243951"/>
    <w:rsid w:val="002439DC"/>
    <w:rsid w:val="00243F68"/>
    <w:rsid w:val="002449B4"/>
    <w:rsid w:val="00245ABF"/>
    <w:rsid w:val="00246C9A"/>
    <w:rsid w:val="002471F5"/>
    <w:rsid w:val="002476D4"/>
    <w:rsid w:val="00250521"/>
    <w:rsid w:val="002505ED"/>
    <w:rsid w:val="00250C80"/>
    <w:rsid w:val="002512A4"/>
    <w:rsid w:val="00251B56"/>
    <w:rsid w:val="00252C29"/>
    <w:rsid w:val="002540A8"/>
    <w:rsid w:val="00254A2C"/>
    <w:rsid w:val="00254D09"/>
    <w:rsid w:val="002554F6"/>
    <w:rsid w:val="0025568E"/>
    <w:rsid w:val="00257065"/>
    <w:rsid w:val="00257111"/>
    <w:rsid w:val="00260121"/>
    <w:rsid w:val="002607F1"/>
    <w:rsid w:val="00260A4F"/>
    <w:rsid w:val="00261B71"/>
    <w:rsid w:val="00261FBB"/>
    <w:rsid w:val="0026205F"/>
    <w:rsid w:val="002643EE"/>
    <w:rsid w:val="00265137"/>
    <w:rsid w:val="002656D8"/>
    <w:rsid w:val="00265810"/>
    <w:rsid w:val="00265BC9"/>
    <w:rsid w:val="00266B76"/>
    <w:rsid w:val="00266DE2"/>
    <w:rsid w:val="002679F0"/>
    <w:rsid w:val="00267E65"/>
    <w:rsid w:val="0027013E"/>
    <w:rsid w:val="00275A70"/>
    <w:rsid w:val="0027626E"/>
    <w:rsid w:val="0027688D"/>
    <w:rsid w:val="00280B6D"/>
    <w:rsid w:val="002812DB"/>
    <w:rsid w:val="0028141A"/>
    <w:rsid w:val="0028207A"/>
    <w:rsid w:val="00282D27"/>
    <w:rsid w:val="00285531"/>
    <w:rsid w:val="00290155"/>
    <w:rsid w:val="002917F8"/>
    <w:rsid w:val="00291F40"/>
    <w:rsid w:val="00292E31"/>
    <w:rsid w:val="00292EF7"/>
    <w:rsid w:val="00293AD4"/>
    <w:rsid w:val="00293DF6"/>
    <w:rsid w:val="0029473A"/>
    <w:rsid w:val="00296BAB"/>
    <w:rsid w:val="00297BE5"/>
    <w:rsid w:val="002A2071"/>
    <w:rsid w:val="002A2537"/>
    <w:rsid w:val="002A2761"/>
    <w:rsid w:val="002A2A8A"/>
    <w:rsid w:val="002A2E1A"/>
    <w:rsid w:val="002A2E3E"/>
    <w:rsid w:val="002A4080"/>
    <w:rsid w:val="002A5BA8"/>
    <w:rsid w:val="002A6525"/>
    <w:rsid w:val="002B043E"/>
    <w:rsid w:val="002B0591"/>
    <w:rsid w:val="002B0810"/>
    <w:rsid w:val="002B0AB2"/>
    <w:rsid w:val="002B141A"/>
    <w:rsid w:val="002B14CB"/>
    <w:rsid w:val="002B2C62"/>
    <w:rsid w:val="002B33EC"/>
    <w:rsid w:val="002B3CEC"/>
    <w:rsid w:val="002B4971"/>
    <w:rsid w:val="002B56CE"/>
    <w:rsid w:val="002B6594"/>
    <w:rsid w:val="002B6AF4"/>
    <w:rsid w:val="002B7C28"/>
    <w:rsid w:val="002C0AC4"/>
    <w:rsid w:val="002C1FFF"/>
    <w:rsid w:val="002C21D6"/>
    <w:rsid w:val="002C28DC"/>
    <w:rsid w:val="002C2BBD"/>
    <w:rsid w:val="002C3A87"/>
    <w:rsid w:val="002C4C9C"/>
    <w:rsid w:val="002C53CF"/>
    <w:rsid w:val="002C63BC"/>
    <w:rsid w:val="002C71B3"/>
    <w:rsid w:val="002C7BA8"/>
    <w:rsid w:val="002D0E26"/>
    <w:rsid w:val="002D11BA"/>
    <w:rsid w:val="002D124B"/>
    <w:rsid w:val="002D2427"/>
    <w:rsid w:val="002D3E12"/>
    <w:rsid w:val="002D4AF4"/>
    <w:rsid w:val="002D4B38"/>
    <w:rsid w:val="002D5FC8"/>
    <w:rsid w:val="002D6823"/>
    <w:rsid w:val="002D70D2"/>
    <w:rsid w:val="002D75B1"/>
    <w:rsid w:val="002E0017"/>
    <w:rsid w:val="002E0245"/>
    <w:rsid w:val="002E0AF5"/>
    <w:rsid w:val="002E4E1D"/>
    <w:rsid w:val="002E4FF4"/>
    <w:rsid w:val="002E52AC"/>
    <w:rsid w:val="002E59D2"/>
    <w:rsid w:val="002E5F3B"/>
    <w:rsid w:val="002E6A5C"/>
    <w:rsid w:val="002E6E10"/>
    <w:rsid w:val="002E7198"/>
    <w:rsid w:val="002F05D4"/>
    <w:rsid w:val="002F0B36"/>
    <w:rsid w:val="002F0C38"/>
    <w:rsid w:val="002F0D71"/>
    <w:rsid w:val="002F1CF6"/>
    <w:rsid w:val="002F24FC"/>
    <w:rsid w:val="002F2543"/>
    <w:rsid w:val="002F264F"/>
    <w:rsid w:val="002F2B2E"/>
    <w:rsid w:val="002F3885"/>
    <w:rsid w:val="002F395E"/>
    <w:rsid w:val="002F43A7"/>
    <w:rsid w:val="002F5B98"/>
    <w:rsid w:val="002F785F"/>
    <w:rsid w:val="002F7CBE"/>
    <w:rsid w:val="002F7F6C"/>
    <w:rsid w:val="00301578"/>
    <w:rsid w:val="00301798"/>
    <w:rsid w:val="00301D14"/>
    <w:rsid w:val="00301DFA"/>
    <w:rsid w:val="003021EC"/>
    <w:rsid w:val="0030276A"/>
    <w:rsid w:val="00303484"/>
    <w:rsid w:val="00303ECB"/>
    <w:rsid w:val="00304735"/>
    <w:rsid w:val="00304DDD"/>
    <w:rsid w:val="0030585D"/>
    <w:rsid w:val="00305DF9"/>
    <w:rsid w:val="00305FBA"/>
    <w:rsid w:val="00307965"/>
    <w:rsid w:val="00307FFE"/>
    <w:rsid w:val="003105E0"/>
    <w:rsid w:val="00314649"/>
    <w:rsid w:val="00315D3E"/>
    <w:rsid w:val="00316226"/>
    <w:rsid w:val="003178F4"/>
    <w:rsid w:val="0032140F"/>
    <w:rsid w:val="00321850"/>
    <w:rsid w:val="00322008"/>
    <w:rsid w:val="00323086"/>
    <w:rsid w:val="0032400C"/>
    <w:rsid w:val="00324133"/>
    <w:rsid w:val="003245C2"/>
    <w:rsid w:val="00325196"/>
    <w:rsid w:val="00326C22"/>
    <w:rsid w:val="00326D08"/>
    <w:rsid w:val="00326DF5"/>
    <w:rsid w:val="0032769A"/>
    <w:rsid w:val="00327784"/>
    <w:rsid w:val="0033056A"/>
    <w:rsid w:val="003321E0"/>
    <w:rsid w:val="00332853"/>
    <w:rsid w:val="00332C31"/>
    <w:rsid w:val="00333543"/>
    <w:rsid w:val="00333860"/>
    <w:rsid w:val="003342CB"/>
    <w:rsid w:val="00335449"/>
    <w:rsid w:val="00335990"/>
    <w:rsid w:val="0034135D"/>
    <w:rsid w:val="00341E1B"/>
    <w:rsid w:val="003420CB"/>
    <w:rsid w:val="003429FE"/>
    <w:rsid w:val="00342D41"/>
    <w:rsid w:val="00342E2E"/>
    <w:rsid w:val="0034392D"/>
    <w:rsid w:val="00343E81"/>
    <w:rsid w:val="00343F92"/>
    <w:rsid w:val="0034513D"/>
    <w:rsid w:val="003459E2"/>
    <w:rsid w:val="0034669D"/>
    <w:rsid w:val="00346764"/>
    <w:rsid w:val="00346B3E"/>
    <w:rsid w:val="00350051"/>
    <w:rsid w:val="00351071"/>
    <w:rsid w:val="003513C8"/>
    <w:rsid w:val="00351990"/>
    <w:rsid w:val="00351A44"/>
    <w:rsid w:val="00352119"/>
    <w:rsid w:val="003524E9"/>
    <w:rsid w:val="0035282B"/>
    <w:rsid w:val="00354622"/>
    <w:rsid w:val="003556D6"/>
    <w:rsid w:val="00356C20"/>
    <w:rsid w:val="0035738E"/>
    <w:rsid w:val="00357911"/>
    <w:rsid w:val="00357E82"/>
    <w:rsid w:val="003607D6"/>
    <w:rsid w:val="00360A60"/>
    <w:rsid w:val="003627D4"/>
    <w:rsid w:val="0036325A"/>
    <w:rsid w:val="00363DF4"/>
    <w:rsid w:val="003646FA"/>
    <w:rsid w:val="003649A7"/>
    <w:rsid w:val="00364D29"/>
    <w:rsid w:val="0036506D"/>
    <w:rsid w:val="00367008"/>
    <w:rsid w:val="00367E70"/>
    <w:rsid w:val="003705CD"/>
    <w:rsid w:val="003718CE"/>
    <w:rsid w:val="00372555"/>
    <w:rsid w:val="00372919"/>
    <w:rsid w:val="00372D2D"/>
    <w:rsid w:val="00373CC9"/>
    <w:rsid w:val="00373DDD"/>
    <w:rsid w:val="00374A0C"/>
    <w:rsid w:val="00375144"/>
    <w:rsid w:val="00376262"/>
    <w:rsid w:val="003764C1"/>
    <w:rsid w:val="0037668B"/>
    <w:rsid w:val="003800CE"/>
    <w:rsid w:val="00380E89"/>
    <w:rsid w:val="0038151A"/>
    <w:rsid w:val="00382E89"/>
    <w:rsid w:val="0038377A"/>
    <w:rsid w:val="0038397A"/>
    <w:rsid w:val="003842B4"/>
    <w:rsid w:val="00384E65"/>
    <w:rsid w:val="00384F73"/>
    <w:rsid w:val="003864B9"/>
    <w:rsid w:val="003866A8"/>
    <w:rsid w:val="003875DB"/>
    <w:rsid w:val="00390710"/>
    <w:rsid w:val="0039086D"/>
    <w:rsid w:val="00391568"/>
    <w:rsid w:val="003927FC"/>
    <w:rsid w:val="00392F54"/>
    <w:rsid w:val="00393280"/>
    <w:rsid w:val="00393FEA"/>
    <w:rsid w:val="00394429"/>
    <w:rsid w:val="00394A5D"/>
    <w:rsid w:val="00394DD8"/>
    <w:rsid w:val="00395122"/>
    <w:rsid w:val="0039519B"/>
    <w:rsid w:val="003955D4"/>
    <w:rsid w:val="003958C0"/>
    <w:rsid w:val="0039596C"/>
    <w:rsid w:val="00396379"/>
    <w:rsid w:val="0039682B"/>
    <w:rsid w:val="00397BE5"/>
    <w:rsid w:val="003A11FF"/>
    <w:rsid w:val="003A1232"/>
    <w:rsid w:val="003A17BE"/>
    <w:rsid w:val="003A19EF"/>
    <w:rsid w:val="003A2AE3"/>
    <w:rsid w:val="003A332C"/>
    <w:rsid w:val="003A4B1E"/>
    <w:rsid w:val="003A55CD"/>
    <w:rsid w:val="003A6107"/>
    <w:rsid w:val="003A6B84"/>
    <w:rsid w:val="003A6C17"/>
    <w:rsid w:val="003A768D"/>
    <w:rsid w:val="003B0226"/>
    <w:rsid w:val="003B08E8"/>
    <w:rsid w:val="003B11C5"/>
    <w:rsid w:val="003B1443"/>
    <w:rsid w:val="003B1DEA"/>
    <w:rsid w:val="003B2DF7"/>
    <w:rsid w:val="003B329A"/>
    <w:rsid w:val="003B3357"/>
    <w:rsid w:val="003B3F9B"/>
    <w:rsid w:val="003B5301"/>
    <w:rsid w:val="003B5E3F"/>
    <w:rsid w:val="003B5ED3"/>
    <w:rsid w:val="003B64FC"/>
    <w:rsid w:val="003B6ADF"/>
    <w:rsid w:val="003B7DD7"/>
    <w:rsid w:val="003B7DD8"/>
    <w:rsid w:val="003C11EB"/>
    <w:rsid w:val="003C150B"/>
    <w:rsid w:val="003C19E9"/>
    <w:rsid w:val="003C1A1D"/>
    <w:rsid w:val="003C3F6C"/>
    <w:rsid w:val="003C5203"/>
    <w:rsid w:val="003C620C"/>
    <w:rsid w:val="003C6E1A"/>
    <w:rsid w:val="003C7A93"/>
    <w:rsid w:val="003C7DBC"/>
    <w:rsid w:val="003D007C"/>
    <w:rsid w:val="003D13A1"/>
    <w:rsid w:val="003D1AA0"/>
    <w:rsid w:val="003D3D89"/>
    <w:rsid w:val="003D3EB1"/>
    <w:rsid w:val="003D6334"/>
    <w:rsid w:val="003D72CE"/>
    <w:rsid w:val="003D7519"/>
    <w:rsid w:val="003E0956"/>
    <w:rsid w:val="003E0C7B"/>
    <w:rsid w:val="003E352C"/>
    <w:rsid w:val="003E44BB"/>
    <w:rsid w:val="003E4F3D"/>
    <w:rsid w:val="003E522B"/>
    <w:rsid w:val="003E530D"/>
    <w:rsid w:val="003E5B62"/>
    <w:rsid w:val="003E77BA"/>
    <w:rsid w:val="003E79B9"/>
    <w:rsid w:val="003F0DA9"/>
    <w:rsid w:val="003F1BFB"/>
    <w:rsid w:val="003F1D4A"/>
    <w:rsid w:val="003F1D5C"/>
    <w:rsid w:val="003F2579"/>
    <w:rsid w:val="003F2EBC"/>
    <w:rsid w:val="003F3353"/>
    <w:rsid w:val="003F3694"/>
    <w:rsid w:val="003F370B"/>
    <w:rsid w:val="003F3C83"/>
    <w:rsid w:val="003F4129"/>
    <w:rsid w:val="003F5D5B"/>
    <w:rsid w:val="003F6A00"/>
    <w:rsid w:val="003F7275"/>
    <w:rsid w:val="003F790D"/>
    <w:rsid w:val="003F7DF3"/>
    <w:rsid w:val="00400966"/>
    <w:rsid w:val="0040184E"/>
    <w:rsid w:val="00401A38"/>
    <w:rsid w:val="00402E75"/>
    <w:rsid w:val="00403D58"/>
    <w:rsid w:val="00403E3F"/>
    <w:rsid w:val="0040412B"/>
    <w:rsid w:val="004043A1"/>
    <w:rsid w:val="004045E4"/>
    <w:rsid w:val="00404924"/>
    <w:rsid w:val="0040561B"/>
    <w:rsid w:val="0040650F"/>
    <w:rsid w:val="00406B75"/>
    <w:rsid w:val="004107AD"/>
    <w:rsid w:val="00410BD0"/>
    <w:rsid w:val="004123D3"/>
    <w:rsid w:val="004134A5"/>
    <w:rsid w:val="00413BA0"/>
    <w:rsid w:val="004152D2"/>
    <w:rsid w:val="00415851"/>
    <w:rsid w:val="004158FA"/>
    <w:rsid w:val="00415FBA"/>
    <w:rsid w:val="00417235"/>
    <w:rsid w:val="00417817"/>
    <w:rsid w:val="00417A05"/>
    <w:rsid w:val="00417BCF"/>
    <w:rsid w:val="00417E52"/>
    <w:rsid w:val="00421458"/>
    <w:rsid w:val="004218AD"/>
    <w:rsid w:val="00422E66"/>
    <w:rsid w:val="004243FE"/>
    <w:rsid w:val="0042450F"/>
    <w:rsid w:val="0042469C"/>
    <w:rsid w:val="00424B9D"/>
    <w:rsid w:val="00424D7E"/>
    <w:rsid w:val="00425897"/>
    <w:rsid w:val="00425C8A"/>
    <w:rsid w:val="004263B8"/>
    <w:rsid w:val="00426773"/>
    <w:rsid w:val="00427183"/>
    <w:rsid w:val="00427582"/>
    <w:rsid w:val="004279E8"/>
    <w:rsid w:val="00427ED9"/>
    <w:rsid w:val="00430B38"/>
    <w:rsid w:val="00430BCE"/>
    <w:rsid w:val="004320E9"/>
    <w:rsid w:val="00432849"/>
    <w:rsid w:val="004329AD"/>
    <w:rsid w:val="00433E33"/>
    <w:rsid w:val="00433FBD"/>
    <w:rsid w:val="00434459"/>
    <w:rsid w:val="004350A9"/>
    <w:rsid w:val="00435705"/>
    <w:rsid w:val="004357FD"/>
    <w:rsid w:val="00435E5F"/>
    <w:rsid w:val="0043669D"/>
    <w:rsid w:val="00436EF9"/>
    <w:rsid w:val="00443883"/>
    <w:rsid w:val="00443AE7"/>
    <w:rsid w:val="00443C78"/>
    <w:rsid w:val="00444396"/>
    <w:rsid w:val="00444C87"/>
    <w:rsid w:val="00445068"/>
    <w:rsid w:val="00445160"/>
    <w:rsid w:val="0044680C"/>
    <w:rsid w:val="00446CE9"/>
    <w:rsid w:val="00447688"/>
    <w:rsid w:val="00447AF6"/>
    <w:rsid w:val="00447F1A"/>
    <w:rsid w:val="00447FA1"/>
    <w:rsid w:val="00450955"/>
    <w:rsid w:val="00452F05"/>
    <w:rsid w:val="00453C64"/>
    <w:rsid w:val="00455421"/>
    <w:rsid w:val="00455551"/>
    <w:rsid w:val="00455E73"/>
    <w:rsid w:val="00455F6B"/>
    <w:rsid w:val="00456454"/>
    <w:rsid w:val="00456B68"/>
    <w:rsid w:val="00456C9B"/>
    <w:rsid w:val="00457B4F"/>
    <w:rsid w:val="00457E8D"/>
    <w:rsid w:val="004601E5"/>
    <w:rsid w:val="00460D0F"/>
    <w:rsid w:val="00460EF4"/>
    <w:rsid w:val="00462375"/>
    <w:rsid w:val="0046322E"/>
    <w:rsid w:val="0046431E"/>
    <w:rsid w:val="00464B5B"/>
    <w:rsid w:val="00464FFF"/>
    <w:rsid w:val="004667BB"/>
    <w:rsid w:val="0046713E"/>
    <w:rsid w:val="0046748E"/>
    <w:rsid w:val="004678CB"/>
    <w:rsid w:val="00471776"/>
    <w:rsid w:val="00471826"/>
    <w:rsid w:val="00471897"/>
    <w:rsid w:val="00472F8A"/>
    <w:rsid w:val="0047336D"/>
    <w:rsid w:val="00473A3A"/>
    <w:rsid w:val="00474BD9"/>
    <w:rsid w:val="0048066B"/>
    <w:rsid w:val="00480A89"/>
    <w:rsid w:val="00481321"/>
    <w:rsid w:val="004816C5"/>
    <w:rsid w:val="00482C46"/>
    <w:rsid w:val="004837DC"/>
    <w:rsid w:val="00483A32"/>
    <w:rsid w:val="00483A5F"/>
    <w:rsid w:val="00483D61"/>
    <w:rsid w:val="00483F60"/>
    <w:rsid w:val="00484AA7"/>
    <w:rsid w:val="00484CE9"/>
    <w:rsid w:val="00486BB7"/>
    <w:rsid w:val="00487202"/>
    <w:rsid w:val="00487443"/>
    <w:rsid w:val="004878E3"/>
    <w:rsid w:val="00487E91"/>
    <w:rsid w:val="004905D3"/>
    <w:rsid w:val="004916FB"/>
    <w:rsid w:val="00494E25"/>
    <w:rsid w:val="00495772"/>
    <w:rsid w:val="004961E0"/>
    <w:rsid w:val="004962E5"/>
    <w:rsid w:val="00497A8E"/>
    <w:rsid w:val="004A0151"/>
    <w:rsid w:val="004A089F"/>
    <w:rsid w:val="004A1E00"/>
    <w:rsid w:val="004A33F1"/>
    <w:rsid w:val="004A4237"/>
    <w:rsid w:val="004A68CB"/>
    <w:rsid w:val="004A7022"/>
    <w:rsid w:val="004A7023"/>
    <w:rsid w:val="004B0BDF"/>
    <w:rsid w:val="004B0FD0"/>
    <w:rsid w:val="004B2C39"/>
    <w:rsid w:val="004B35A9"/>
    <w:rsid w:val="004B3779"/>
    <w:rsid w:val="004B390D"/>
    <w:rsid w:val="004B5A4D"/>
    <w:rsid w:val="004B669B"/>
    <w:rsid w:val="004B66FF"/>
    <w:rsid w:val="004B6854"/>
    <w:rsid w:val="004C096C"/>
    <w:rsid w:val="004C28F0"/>
    <w:rsid w:val="004C38A0"/>
    <w:rsid w:val="004C38FC"/>
    <w:rsid w:val="004C4524"/>
    <w:rsid w:val="004C48B1"/>
    <w:rsid w:val="004C5FC2"/>
    <w:rsid w:val="004C622C"/>
    <w:rsid w:val="004D0407"/>
    <w:rsid w:val="004D1B18"/>
    <w:rsid w:val="004D20E3"/>
    <w:rsid w:val="004D21FC"/>
    <w:rsid w:val="004D2DAF"/>
    <w:rsid w:val="004D3389"/>
    <w:rsid w:val="004D3698"/>
    <w:rsid w:val="004D36D4"/>
    <w:rsid w:val="004D3FB5"/>
    <w:rsid w:val="004D664D"/>
    <w:rsid w:val="004D6EEF"/>
    <w:rsid w:val="004D716B"/>
    <w:rsid w:val="004D767B"/>
    <w:rsid w:val="004E0965"/>
    <w:rsid w:val="004E1019"/>
    <w:rsid w:val="004E10F5"/>
    <w:rsid w:val="004E198D"/>
    <w:rsid w:val="004E232F"/>
    <w:rsid w:val="004E30C6"/>
    <w:rsid w:val="004E38DA"/>
    <w:rsid w:val="004E3EFF"/>
    <w:rsid w:val="004E44FD"/>
    <w:rsid w:val="004E533F"/>
    <w:rsid w:val="004E5461"/>
    <w:rsid w:val="004E5AD8"/>
    <w:rsid w:val="004E6162"/>
    <w:rsid w:val="004E68E4"/>
    <w:rsid w:val="004E733F"/>
    <w:rsid w:val="004E7618"/>
    <w:rsid w:val="004F0580"/>
    <w:rsid w:val="004F14E8"/>
    <w:rsid w:val="004F2AE7"/>
    <w:rsid w:val="004F4BCA"/>
    <w:rsid w:val="004F4ED3"/>
    <w:rsid w:val="004F51C7"/>
    <w:rsid w:val="004F5704"/>
    <w:rsid w:val="004F6B92"/>
    <w:rsid w:val="005005F6"/>
    <w:rsid w:val="00500631"/>
    <w:rsid w:val="00500BA3"/>
    <w:rsid w:val="00500F6A"/>
    <w:rsid w:val="00502650"/>
    <w:rsid w:val="00502B21"/>
    <w:rsid w:val="00503763"/>
    <w:rsid w:val="00503AA3"/>
    <w:rsid w:val="00503F86"/>
    <w:rsid w:val="00504023"/>
    <w:rsid w:val="00504974"/>
    <w:rsid w:val="00505E16"/>
    <w:rsid w:val="005062D3"/>
    <w:rsid w:val="00506A10"/>
    <w:rsid w:val="00506B52"/>
    <w:rsid w:val="00507350"/>
    <w:rsid w:val="00511BAB"/>
    <w:rsid w:val="005121F3"/>
    <w:rsid w:val="0051228F"/>
    <w:rsid w:val="00513245"/>
    <w:rsid w:val="0051673B"/>
    <w:rsid w:val="00516B03"/>
    <w:rsid w:val="00516B82"/>
    <w:rsid w:val="00517039"/>
    <w:rsid w:val="00517460"/>
    <w:rsid w:val="005204A7"/>
    <w:rsid w:val="00521285"/>
    <w:rsid w:val="00521564"/>
    <w:rsid w:val="00521D2D"/>
    <w:rsid w:val="00522244"/>
    <w:rsid w:val="00522597"/>
    <w:rsid w:val="0052325E"/>
    <w:rsid w:val="0052342B"/>
    <w:rsid w:val="005235FF"/>
    <w:rsid w:val="00523B3D"/>
    <w:rsid w:val="005252D8"/>
    <w:rsid w:val="00527169"/>
    <w:rsid w:val="00527D98"/>
    <w:rsid w:val="00527F11"/>
    <w:rsid w:val="00534CD5"/>
    <w:rsid w:val="00534EFA"/>
    <w:rsid w:val="00534FC1"/>
    <w:rsid w:val="00535494"/>
    <w:rsid w:val="00535578"/>
    <w:rsid w:val="0053614A"/>
    <w:rsid w:val="00536828"/>
    <w:rsid w:val="00536C3A"/>
    <w:rsid w:val="00541416"/>
    <w:rsid w:val="005416A5"/>
    <w:rsid w:val="00542005"/>
    <w:rsid w:val="0054250A"/>
    <w:rsid w:val="005434B3"/>
    <w:rsid w:val="00543CA6"/>
    <w:rsid w:val="00544501"/>
    <w:rsid w:val="00544BC6"/>
    <w:rsid w:val="0054627F"/>
    <w:rsid w:val="00546938"/>
    <w:rsid w:val="005501CF"/>
    <w:rsid w:val="005509BC"/>
    <w:rsid w:val="00550F49"/>
    <w:rsid w:val="005525F3"/>
    <w:rsid w:val="00552FBD"/>
    <w:rsid w:val="00553A4A"/>
    <w:rsid w:val="00553F3B"/>
    <w:rsid w:val="005542D0"/>
    <w:rsid w:val="00554AE0"/>
    <w:rsid w:val="00555DAE"/>
    <w:rsid w:val="00556A7D"/>
    <w:rsid w:val="00556BBA"/>
    <w:rsid w:val="00557598"/>
    <w:rsid w:val="00557ADA"/>
    <w:rsid w:val="00557B8D"/>
    <w:rsid w:val="00557CAF"/>
    <w:rsid w:val="00557D28"/>
    <w:rsid w:val="00560686"/>
    <w:rsid w:val="005619BD"/>
    <w:rsid w:val="005668F4"/>
    <w:rsid w:val="00567422"/>
    <w:rsid w:val="00570177"/>
    <w:rsid w:val="00570D11"/>
    <w:rsid w:val="0057129B"/>
    <w:rsid w:val="005716F4"/>
    <w:rsid w:val="00571B7F"/>
    <w:rsid w:val="00572500"/>
    <w:rsid w:val="00572B37"/>
    <w:rsid w:val="00573030"/>
    <w:rsid w:val="00573039"/>
    <w:rsid w:val="00574360"/>
    <w:rsid w:val="00574525"/>
    <w:rsid w:val="00574D10"/>
    <w:rsid w:val="00574FF7"/>
    <w:rsid w:val="0057672C"/>
    <w:rsid w:val="005769AD"/>
    <w:rsid w:val="00576CA5"/>
    <w:rsid w:val="00577518"/>
    <w:rsid w:val="00577D23"/>
    <w:rsid w:val="00580AA6"/>
    <w:rsid w:val="00581E98"/>
    <w:rsid w:val="00581F0F"/>
    <w:rsid w:val="00582338"/>
    <w:rsid w:val="00582504"/>
    <w:rsid w:val="00582E5D"/>
    <w:rsid w:val="005837CC"/>
    <w:rsid w:val="005845B4"/>
    <w:rsid w:val="005848AA"/>
    <w:rsid w:val="00584EC5"/>
    <w:rsid w:val="00585A5A"/>
    <w:rsid w:val="00585EF2"/>
    <w:rsid w:val="00586EDF"/>
    <w:rsid w:val="00586F03"/>
    <w:rsid w:val="005913E3"/>
    <w:rsid w:val="0059324E"/>
    <w:rsid w:val="00593A34"/>
    <w:rsid w:val="00595002"/>
    <w:rsid w:val="005950A7"/>
    <w:rsid w:val="005952B2"/>
    <w:rsid w:val="005954AB"/>
    <w:rsid w:val="00595749"/>
    <w:rsid w:val="00595BF6"/>
    <w:rsid w:val="00595F2C"/>
    <w:rsid w:val="00596462"/>
    <w:rsid w:val="00596746"/>
    <w:rsid w:val="00596776"/>
    <w:rsid w:val="00597438"/>
    <w:rsid w:val="00597475"/>
    <w:rsid w:val="00597476"/>
    <w:rsid w:val="00597AB5"/>
    <w:rsid w:val="005A0EC6"/>
    <w:rsid w:val="005A20A0"/>
    <w:rsid w:val="005A3123"/>
    <w:rsid w:val="005A3F60"/>
    <w:rsid w:val="005A49B7"/>
    <w:rsid w:val="005A585F"/>
    <w:rsid w:val="005A614A"/>
    <w:rsid w:val="005B0952"/>
    <w:rsid w:val="005B17A9"/>
    <w:rsid w:val="005B1A8E"/>
    <w:rsid w:val="005B3491"/>
    <w:rsid w:val="005B357B"/>
    <w:rsid w:val="005B4029"/>
    <w:rsid w:val="005B540E"/>
    <w:rsid w:val="005B5675"/>
    <w:rsid w:val="005C0C4D"/>
    <w:rsid w:val="005C1FE6"/>
    <w:rsid w:val="005C378D"/>
    <w:rsid w:val="005C37D7"/>
    <w:rsid w:val="005C3A2E"/>
    <w:rsid w:val="005C4891"/>
    <w:rsid w:val="005C50A5"/>
    <w:rsid w:val="005C641C"/>
    <w:rsid w:val="005C64DF"/>
    <w:rsid w:val="005D01B4"/>
    <w:rsid w:val="005D04CA"/>
    <w:rsid w:val="005D107C"/>
    <w:rsid w:val="005D118E"/>
    <w:rsid w:val="005D121E"/>
    <w:rsid w:val="005D1DD4"/>
    <w:rsid w:val="005D239F"/>
    <w:rsid w:val="005D2E34"/>
    <w:rsid w:val="005D3BB4"/>
    <w:rsid w:val="005D3C46"/>
    <w:rsid w:val="005D5044"/>
    <w:rsid w:val="005D60B3"/>
    <w:rsid w:val="005D75B5"/>
    <w:rsid w:val="005E144F"/>
    <w:rsid w:val="005E20FB"/>
    <w:rsid w:val="005E42D8"/>
    <w:rsid w:val="005E466F"/>
    <w:rsid w:val="005E4AE8"/>
    <w:rsid w:val="005E4EB1"/>
    <w:rsid w:val="005E4F8E"/>
    <w:rsid w:val="005E55DE"/>
    <w:rsid w:val="005E5CA4"/>
    <w:rsid w:val="005E5F40"/>
    <w:rsid w:val="005E6262"/>
    <w:rsid w:val="005E6E6C"/>
    <w:rsid w:val="005E7CDC"/>
    <w:rsid w:val="005F104A"/>
    <w:rsid w:val="005F1274"/>
    <w:rsid w:val="005F15C4"/>
    <w:rsid w:val="005F3684"/>
    <w:rsid w:val="005F3ED3"/>
    <w:rsid w:val="005F64FB"/>
    <w:rsid w:val="005F754E"/>
    <w:rsid w:val="005F7EF9"/>
    <w:rsid w:val="00600C3A"/>
    <w:rsid w:val="0060184D"/>
    <w:rsid w:val="00601E1B"/>
    <w:rsid w:val="00601FD0"/>
    <w:rsid w:val="006022D9"/>
    <w:rsid w:val="00603190"/>
    <w:rsid w:val="00604A42"/>
    <w:rsid w:val="00605646"/>
    <w:rsid w:val="006065F3"/>
    <w:rsid w:val="006073FD"/>
    <w:rsid w:val="0061009A"/>
    <w:rsid w:val="006104A8"/>
    <w:rsid w:val="00610DD0"/>
    <w:rsid w:val="00611AD7"/>
    <w:rsid w:val="00612FE8"/>
    <w:rsid w:val="00614814"/>
    <w:rsid w:val="00614D3C"/>
    <w:rsid w:val="006206C2"/>
    <w:rsid w:val="00621644"/>
    <w:rsid w:val="00621B38"/>
    <w:rsid w:val="00621F8B"/>
    <w:rsid w:val="00622ACF"/>
    <w:rsid w:val="00622D35"/>
    <w:rsid w:val="006230A3"/>
    <w:rsid w:val="00623386"/>
    <w:rsid w:val="00624758"/>
    <w:rsid w:val="006248CF"/>
    <w:rsid w:val="006261D1"/>
    <w:rsid w:val="00626C4B"/>
    <w:rsid w:val="00627B39"/>
    <w:rsid w:val="00627C85"/>
    <w:rsid w:val="00627D17"/>
    <w:rsid w:val="00630372"/>
    <w:rsid w:val="00630ADC"/>
    <w:rsid w:val="00631288"/>
    <w:rsid w:val="006313BF"/>
    <w:rsid w:val="0063265B"/>
    <w:rsid w:val="00632889"/>
    <w:rsid w:val="00636D1D"/>
    <w:rsid w:val="006372BC"/>
    <w:rsid w:val="00637423"/>
    <w:rsid w:val="00637DEC"/>
    <w:rsid w:val="00637EFD"/>
    <w:rsid w:val="00641235"/>
    <w:rsid w:val="00643EEF"/>
    <w:rsid w:val="0064437C"/>
    <w:rsid w:val="00644790"/>
    <w:rsid w:val="006449E2"/>
    <w:rsid w:val="00646574"/>
    <w:rsid w:val="00646F11"/>
    <w:rsid w:val="00650BC1"/>
    <w:rsid w:val="0065166B"/>
    <w:rsid w:val="0065268C"/>
    <w:rsid w:val="0065326D"/>
    <w:rsid w:val="00653E98"/>
    <w:rsid w:val="00655F51"/>
    <w:rsid w:val="00656E84"/>
    <w:rsid w:val="00657B9C"/>
    <w:rsid w:val="006602C8"/>
    <w:rsid w:val="00660AB8"/>
    <w:rsid w:val="006613DC"/>
    <w:rsid w:val="00661625"/>
    <w:rsid w:val="00661FCF"/>
    <w:rsid w:val="0066230F"/>
    <w:rsid w:val="00662502"/>
    <w:rsid w:val="0066250C"/>
    <w:rsid w:val="0066351D"/>
    <w:rsid w:val="00664335"/>
    <w:rsid w:val="00665131"/>
    <w:rsid w:val="006651EB"/>
    <w:rsid w:val="006665FF"/>
    <w:rsid w:val="0066671E"/>
    <w:rsid w:val="00666A88"/>
    <w:rsid w:val="00666FFE"/>
    <w:rsid w:val="00667753"/>
    <w:rsid w:val="006701FB"/>
    <w:rsid w:val="00671918"/>
    <w:rsid w:val="006736A7"/>
    <w:rsid w:val="00673707"/>
    <w:rsid w:val="00673BB2"/>
    <w:rsid w:val="00674445"/>
    <w:rsid w:val="00674622"/>
    <w:rsid w:val="006747AE"/>
    <w:rsid w:val="00674D48"/>
    <w:rsid w:val="00674F75"/>
    <w:rsid w:val="00675A61"/>
    <w:rsid w:val="00675F61"/>
    <w:rsid w:val="00676120"/>
    <w:rsid w:val="006762DF"/>
    <w:rsid w:val="00676BE5"/>
    <w:rsid w:val="00677EEE"/>
    <w:rsid w:val="0068087A"/>
    <w:rsid w:val="0068272B"/>
    <w:rsid w:val="00682B85"/>
    <w:rsid w:val="00682C29"/>
    <w:rsid w:val="00684804"/>
    <w:rsid w:val="00685B2A"/>
    <w:rsid w:val="00686176"/>
    <w:rsid w:val="006877B6"/>
    <w:rsid w:val="00687AFB"/>
    <w:rsid w:val="0069032B"/>
    <w:rsid w:val="00690769"/>
    <w:rsid w:val="0069092B"/>
    <w:rsid w:val="00690C7E"/>
    <w:rsid w:val="00690D24"/>
    <w:rsid w:val="006910B1"/>
    <w:rsid w:val="0069165A"/>
    <w:rsid w:val="006924F8"/>
    <w:rsid w:val="00692DC0"/>
    <w:rsid w:val="00693DC1"/>
    <w:rsid w:val="00693E9E"/>
    <w:rsid w:val="00694984"/>
    <w:rsid w:val="00694CB9"/>
    <w:rsid w:val="00695091"/>
    <w:rsid w:val="006953C6"/>
    <w:rsid w:val="00695F0D"/>
    <w:rsid w:val="00696168"/>
    <w:rsid w:val="006972CF"/>
    <w:rsid w:val="006A10DC"/>
    <w:rsid w:val="006A16D8"/>
    <w:rsid w:val="006A1CCB"/>
    <w:rsid w:val="006A1FC1"/>
    <w:rsid w:val="006A2510"/>
    <w:rsid w:val="006A2FCA"/>
    <w:rsid w:val="006A3095"/>
    <w:rsid w:val="006A3D80"/>
    <w:rsid w:val="006A3F01"/>
    <w:rsid w:val="006A4D1C"/>
    <w:rsid w:val="006A4D4F"/>
    <w:rsid w:val="006A5207"/>
    <w:rsid w:val="006A5617"/>
    <w:rsid w:val="006A5821"/>
    <w:rsid w:val="006A61A8"/>
    <w:rsid w:val="006A6863"/>
    <w:rsid w:val="006A6DB9"/>
    <w:rsid w:val="006B005C"/>
    <w:rsid w:val="006B0724"/>
    <w:rsid w:val="006B0EC6"/>
    <w:rsid w:val="006B26E2"/>
    <w:rsid w:val="006B29D4"/>
    <w:rsid w:val="006B2B37"/>
    <w:rsid w:val="006B37DD"/>
    <w:rsid w:val="006B50B9"/>
    <w:rsid w:val="006B5916"/>
    <w:rsid w:val="006B5CAF"/>
    <w:rsid w:val="006C0047"/>
    <w:rsid w:val="006C0054"/>
    <w:rsid w:val="006C0743"/>
    <w:rsid w:val="006C1A4A"/>
    <w:rsid w:val="006C1ECD"/>
    <w:rsid w:val="006C2C66"/>
    <w:rsid w:val="006C2C72"/>
    <w:rsid w:val="006C306A"/>
    <w:rsid w:val="006C33E8"/>
    <w:rsid w:val="006C3618"/>
    <w:rsid w:val="006C3A54"/>
    <w:rsid w:val="006C3FCB"/>
    <w:rsid w:val="006C4CB8"/>
    <w:rsid w:val="006C5D81"/>
    <w:rsid w:val="006C61D6"/>
    <w:rsid w:val="006D0370"/>
    <w:rsid w:val="006D0C1B"/>
    <w:rsid w:val="006D3646"/>
    <w:rsid w:val="006D3F72"/>
    <w:rsid w:val="006D4B7F"/>
    <w:rsid w:val="006D6354"/>
    <w:rsid w:val="006D7B27"/>
    <w:rsid w:val="006E1052"/>
    <w:rsid w:val="006E16AB"/>
    <w:rsid w:val="006E49F6"/>
    <w:rsid w:val="006E65F0"/>
    <w:rsid w:val="006E6803"/>
    <w:rsid w:val="006E6E3E"/>
    <w:rsid w:val="006E7883"/>
    <w:rsid w:val="006F01B0"/>
    <w:rsid w:val="006F0367"/>
    <w:rsid w:val="006F052A"/>
    <w:rsid w:val="006F0C23"/>
    <w:rsid w:val="006F0CD4"/>
    <w:rsid w:val="006F1744"/>
    <w:rsid w:val="006F18E2"/>
    <w:rsid w:val="006F2F01"/>
    <w:rsid w:val="006F3596"/>
    <w:rsid w:val="006F3C8D"/>
    <w:rsid w:val="006F517E"/>
    <w:rsid w:val="006F60F8"/>
    <w:rsid w:val="006F61F1"/>
    <w:rsid w:val="006F684D"/>
    <w:rsid w:val="006F6F88"/>
    <w:rsid w:val="006F7076"/>
    <w:rsid w:val="006F716A"/>
    <w:rsid w:val="006F7526"/>
    <w:rsid w:val="0070055A"/>
    <w:rsid w:val="00700575"/>
    <w:rsid w:val="007009F2"/>
    <w:rsid w:val="007046F2"/>
    <w:rsid w:val="00704AFC"/>
    <w:rsid w:val="00705480"/>
    <w:rsid w:val="00705754"/>
    <w:rsid w:val="0070582C"/>
    <w:rsid w:val="00705B17"/>
    <w:rsid w:val="007079F2"/>
    <w:rsid w:val="00707A19"/>
    <w:rsid w:val="00710108"/>
    <w:rsid w:val="00712B65"/>
    <w:rsid w:val="007139AE"/>
    <w:rsid w:val="00713C0D"/>
    <w:rsid w:val="00714209"/>
    <w:rsid w:val="00714506"/>
    <w:rsid w:val="00716008"/>
    <w:rsid w:val="00720CD3"/>
    <w:rsid w:val="007210A2"/>
    <w:rsid w:val="00721950"/>
    <w:rsid w:val="00721AA0"/>
    <w:rsid w:val="00722891"/>
    <w:rsid w:val="007234D3"/>
    <w:rsid w:val="00723C00"/>
    <w:rsid w:val="0072460E"/>
    <w:rsid w:val="007246FD"/>
    <w:rsid w:val="007248BA"/>
    <w:rsid w:val="00724ECA"/>
    <w:rsid w:val="0072512D"/>
    <w:rsid w:val="00725AC7"/>
    <w:rsid w:val="00726393"/>
    <w:rsid w:val="007277E3"/>
    <w:rsid w:val="00731843"/>
    <w:rsid w:val="00732080"/>
    <w:rsid w:val="00732660"/>
    <w:rsid w:val="00733D09"/>
    <w:rsid w:val="00734A00"/>
    <w:rsid w:val="00734B7A"/>
    <w:rsid w:val="0073515A"/>
    <w:rsid w:val="00735678"/>
    <w:rsid w:val="007368BB"/>
    <w:rsid w:val="00736BD1"/>
    <w:rsid w:val="007371C4"/>
    <w:rsid w:val="00737F0D"/>
    <w:rsid w:val="00740094"/>
    <w:rsid w:val="007405FC"/>
    <w:rsid w:val="00740DE0"/>
    <w:rsid w:val="00741A90"/>
    <w:rsid w:val="007449EB"/>
    <w:rsid w:val="00745301"/>
    <w:rsid w:val="007477EB"/>
    <w:rsid w:val="00747902"/>
    <w:rsid w:val="007507FC"/>
    <w:rsid w:val="00750B45"/>
    <w:rsid w:val="00751186"/>
    <w:rsid w:val="00751268"/>
    <w:rsid w:val="00751A67"/>
    <w:rsid w:val="0075255E"/>
    <w:rsid w:val="007528F0"/>
    <w:rsid w:val="00752A2C"/>
    <w:rsid w:val="007531EB"/>
    <w:rsid w:val="00753696"/>
    <w:rsid w:val="00753ACF"/>
    <w:rsid w:val="00755BF9"/>
    <w:rsid w:val="007564C7"/>
    <w:rsid w:val="00756719"/>
    <w:rsid w:val="00760B93"/>
    <w:rsid w:val="00760C3C"/>
    <w:rsid w:val="00763756"/>
    <w:rsid w:val="00763F8C"/>
    <w:rsid w:val="0076507B"/>
    <w:rsid w:val="0076509D"/>
    <w:rsid w:val="00765D15"/>
    <w:rsid w:val="007661AC"/>
    <w:rsid w:val="00767CFE"/>
    <w:rsid w:val="00770F8E"/>
    <w:rsid w:val="007715CA"/>
    <w:rsid w:val="00771ADC"/>
    <w:rsid w:val="00771C35"/>
    <w:rsid w:val="00771CA0"/>
    <w:rsid w:val="00772BF2"/>
    <w:rsid w:val="00772E17"/>
    <w:rsid w:val="007730BF"/>
    <w:rsid w:val="00773388"/>
    <w:rsid w:val="007734BA"/>
    <w:rsid w:val="00773519"/>
    <w:rsid w:val="00773AE6"/>
    <w:rsid w:val="00773BE0"/>
    <w:rsid w:val="00773F6D"/>
    <w:rsid w:val="00774CEF"/>
    <w:rsid w:val="00775EAB"/>
    <w:rsid w:val="00776029"/>
    <w:rsid w:val="00776DBF"/>
    <w:rsid w:val="007801BA"/>
    <w:rsid w:val="007809CC"/>
    <w:rsid w:val="00782E33"/>
    <w:rsid w:val="0078422D"/>
    <w:rsid w:val="00791096"/>
    <w:rsid w:val="00791445"/>
    <w:rsid w:val="007919E1"/>
    <w:rsid w:val="00791F60"/>
    <w:rsid w:val="0079233E"/>
    <w:rsid w:val="007948F5"/>
    <w:rsid w:val="00794C81"/>
    <w:rsid w:val="0079590A"/>
    <w:rsid w:val="00795F63"/>
    <w:rsid w:val="00796662"/>
    <w:rsid w:val="007A073C"/>
    <w:rsid w:val="007A0D8E"/>
    <w:rsid w:val="007A2C1B"/>
    <w:rsid w:val="007A2D80"/>
    <w:rsid w:val="007A37D6"/>
    <w:rsid w:val="007A49A8"/>
    <w:rsid w:val="007A4A40"/>
    <w:rsid w:val="007A5192"/>
    <w:rsid w:val="007A52FE"/>
    <w:rsid w:val="007A59A1"/>
    <w:rsid w:val="007A605E"/>
    <w:rsid w:val="007A7631"/>
    <w:rsid w:val="007A7CB4"/>
    <w:rsid w:val="007B0852"/>
    <w:rsid w:val="007B1419"/>
    <w:rsid w:val="007B1442"/>
    <w:rsid w:val="007B1710"/>
    <w:rsid w:val="007B32C2"/>
    <w:rsid w:val="007B3826"/>
    <w:rsid w:val="007B51D5"/>
    <w:rsid w:val="007B5D3A"/>
    <w:rsid w:val="007B6656"/>
    <w:rsid w:val="007B6909"/>
    <w:rsid w:val="007B6E15"/>
    <w:rsid w:val="007B78FD"/>
    <w:rsid w:val="007B7B22"/>
    <w:rsid w:val="007C047A"/>
    <w:rsid w:val="007C093C"/>
    <w:rsid w:val="007C1F22"/>
    <w:rsid w:val="007C3032"/>
    <w:rsid w:val="007C31F1"/>
    <w:rsid w:val="007C351E"/>
    <w:rsid w:val="007C3D85"/>
    <w:rsid w:val="007C5CAD"/>
    <w:rsid w:val="007C5E39"/>
    <w:rsid w:val="007C67F4"/>
    <w:rsid w:val="007C6884"/>
    <w:rsid w:val="007C6ED5"/>
    <w:rsid w:val="007D01C8"/>
    <w:rsid w:val="007D48AB"/>
    <w:rsid w:val="007D4CC1"/>
    <w:rsid w:val="007D4E14"/>
    <w:rsid w:val="007D4E97"/>
    <w:rsid w:val="007D5CBF"/>
    <w:rsid w:val="007D65FE"/>
    <w:rsid w:val="007D7057"/>
    <w:rsid w:val="007D76C4"/>
    <w:rsid w:val="007E0B24"/>
    <w:rsid w:val="007E3FCA"/>
    <w:rsid w:val="007E4733"/>
    <w:rsid w:val="007E6040"/>
    <w:rsid w:val="007E63CE"/>
    <w:rsid w:val="007E6517"/>
    <w:rsid w:val="007E6746"/>
    <w:rsid w:val="007E6962"/>
    <w:rsid w:val="007E6964"/>
    <w:rsid w:val="007E6E5B"/>
    <w:rsid w:val="007E7F7D"/>
    <w:rsid w:val="007F06EA"/>
    <w:rsid w:val="007F103C"/>
    <w:rsid w:val="007F2515"/>
    <w:rsid w:val="007F2526"/>
    <w:rsid w:val="007F3478"/>
    <w:rsid w:val="007F3521"/>
    <w:rsid w:val="007F494E"/>
    <w:rsid w:val="007F4A30"/>
    <w:rsid w:val="007F4EC6"/>
    <w:rsid w:val="007F55AF"/>
    <w:rsid w:val="007F5DE7"/>
    <w:rsid w:val="007F6F77"/>
    <w:rsid w:val="007F762F"/>
    <w:rsid w:val="007F7E7B"/>
    <w:rsid w:val="00800842"/>
    <w:rsid w:val="00801E0A"/>
    <w:rsid w:val="008027A6"/>
    <w:rsid w:val="00802837"/>
    <w:rsid w:val="00805141"/>
    <w:rsid w:val="00805941"/>
    <w:rsid w:val="008065C0"/>
    <w:rsid w:val="00806629"/>
    <w:rsid w:val="00807EAF"/>
    <w:rsid w:val="00810762"/>
    <w:rsid w:val="00811DD6"/>
    <w:rsid w:val="0081316D"/>
    <w:rsid w:val="008136DC"/>
    <w:rsid w:val="0081375C"/>
    <w:rsid w:val="00813E41"/>
    <w:rsid w:val="00814863"/>
    <w:rsid w:val="00814F1A"/>
    <w:rsid w:val="00815D3C"/>
    <w:rsid w:val="008164A6"/>
    <w:rsid w:val="00816CCB"/>
    <w:rsid w:val="008172D6"/>
    <w:rsid w:val="008177BF"/>
    <w:rsid w:val="00820441"/>
    <w:rsid w:val="008206E0"/>
    <w:rsid w:val="00820D03"/>
    <w:rsid w:val="00822F20"/>
    <w:rsid w:val="0082348A"/>
    <w:rsid w:val="00823A5C"/>
    <w:rsid w:val="00823E2E"/>
    <w:rsid w:val="00824A7E"/>
    <w:rsid w:val="00825A90"/>
    <w:rsid w:val="00825E55"/>
    <w:rsid w:val="008272BC"/>
    <w:rsid w:val="00827A50"/>
    <w:rsid w:val="00830654"/>
    <w:rsid w:val="00830A20"/>
    <w:rsid w:val="00831D01"/>
    <w:rsid w:val="008323A3"/>
    <w:rsid w:val="00833A8B"/>
    <w:rsid w:val="008346D7"/>
    <w:rsid w:val="0083491D"/>
    <w:rsid w:val="00835718"/>
    <w:rsid w:val="00835A4F"/>
    <w:rsid w:val="00835CE2"/>
    <w:rsid w:val="00835D46"/>
    <w:rsid w:val="008361EA"/>
    <w:rsid w:val="00837530"/>
    <w:rsid w:val="00837729"/>
    <w:rsid w:val="00837B75"/>
    <w:rsid w:val="00837C4D"/>
    <w:rsid w:val="00837CE9"/>
    <w:rsid w:val="00837DAC"/>
    <w:rsid w:val="0084034A"/>
    <w:rsid w:val="0084082D"/>
    <w:rsid w:val="00842F81"/>
    <w:rsid w:val="00843691"/>
    <w:rsid w:val="0084379E"/>
    <w:rsid w:val="008439FC"/>
    <w:rsid w:val="008441C5"/>
    <w:rsid w:val="008442F3"/>
    <w:rsid w:val="00845780"/>
    <w:rsid w:val="00845DEA"/>
    <w:rsid w:val="00846669"/>
    <w:rsid w:val="008476C6"/>
    <w:rsid w:val="00850189"/>
    <w:rsid w:val="00850EE4"/>
    <w:rsid w:val="00851018"/>
    <w:rsid w:val="008512D9"/>
    <w:rsid w:val="008519AF"/>
    <w:rsid w:val="00851C14"/>
    <w:rsid w:val="008521D2"/>
    <w:rsid w:val="008534DE"/>
    <w:rsid w:val="008534EF"/>
    <w:rsid w:val="008556B9"/>
    <w:rsid w:val="00855A6A"/>
    <w:rsid w:val="00855BF5"/>
    <w:rsid w:val="008563C8"/>
    <w:rsid w:val="0085733F"/>
    <w:rsid w:val="00857F0D"/>
    <w:rsid w:val="00860C90"/>
    <w:rsid w:val="00860DB0"/>
    <w:rsid w:val="00862011"/>
    <w:rsid w:val="00862515"/>
    <w:rsid w:val="00862F77"/>
    <w:rsid w:val="0086462B"/>
    <w:rsid w:val="00865270"/>
    <w:rsid w:val="00865717"/>
    <w:rsid w:val="00867A82"/>
    <w:rsid w:val="00867BEB"/>
    <w:rsid w:val="00872279"/>
    <w:rsid w:val="008727CF"/>
    <w:rsid w:val="00875763"/>
    <w:rsid w:val="008762FC"/>
    <w:rsid w:val="008774A2"/>
    <w:rsid w:val="008774A4"/>
    <w:rsid w:val="0087759C"/>
    <w:rsid w:val="00880278"/>
    <w:rsid w:val="008804E1"/>
    <w:rsid w:val="008806C6"/>
    <w:rsid w:val="008807F9"/>
    <w:rsid w:val="00882329"/>
    <w:rsid w:val="00882ABB"/>
    <w:rsid w:val="0088303A"/>
    <w:rsid w:val="00883163"/>
    <w:rsid w:val="0088407C"/>
    <w:rsid w:val="0088585E"/>
    <w:rsid w:val="00885D61"/>
    <w:rsid w:val="00887461"/>
    <w:rsid w:val="0088759E"/>
    <w:rsid w:val="00887EF2"/>
    <w:rsid w:val="00890DF0"/>
    <w:rsid w:val="00890F6A"/>
    <w:rsid w:val="00892CDF"/>
    <w:rsid w:val="008950B6"/>
    <w:rsid w:val="00896F55"/>
    <w:rsid w:val="008A05DC"/>
    <w:rsid w:val="008A0C92"/>
    <w:rsid w:val="008A12E3"/>
    <w:rsid w:val="008A25D3"/>
    <w:rsid w:val="008A2DEB"/>
    <w:rsid w:val="008A3006"/>
    <w:rsid w:val="008A3587"/>
    <w:rsid w:val="008A3642"/>
    <w:rsid w:val="008A471A"/>
    <w:rsid w:val="008A4758"/>
    <w:rsid w:val="008A4CB2"/>
    <w:rsid w:val="008A6410"/>
    <w:rsid w:val="008A6FBF"/>
    <w:rsid w:val="008A709C"/>
    <w:rsid w:val="008B1766"/>
    <w:rsid w:val="008B18B5"/>
    <w:rsid w:val="008B240B"/>
    <w:rsid w:val="008B2A56"/>
    <w:rsid w:val="008B3AD6"/>
    <w:rsid w:val="008B439A"/>
    <w:rsid w:val="008B447E"/>
    <w:rsid w:val="008B586B"/>
    <w:rsid w:val="008B7438"/>
    <w:rsid w:val="008B7443"/>
    <w:rsid w:val="008C05E3"/>
    <w:rsid w:val="008C0950"/>
    <w:rsid w:val="008C0EDE"/>
    <w:rsid w:val="008C12D0"/>
    <w:rsid w:val="008C1F4C"/>
    <w:rsid w:val="008C2ED8"/>
    <w:rsid w:val="008C3111"/>
    <w:rsid w:val="008C60D6"/>
    <w:rsid w:val="008C6937"/>
    <w:rsid w:val="008C7508"/>
    <w:rsid w:val="008C79CB"/>
    <w:rsid w:val="008C7D9B"/>
    <w:rsid w:val="008C7DE5"/>
    <w:rsid w:val="008D0465"/>
    <w:rsid w:val="008D0724"/>
    <w:rsid w:val="008D0BF9"/>
    <w:rsid w:val="008D1CBE"/>
    <w:rsid w:val="008D1DD3"/>
    <w:rsid w:val="008D1E33"/>
    <w:rsid w:val="008D29E2"/>
    <w:rsid w:val="008D331E"/>
    <w:rsid w:val="008D342D"/>
    <w:rsid w:val="008D57AA"/>
    <w:rsid w:val="008D5A59"/>
    <w:rsid w:val="008D61DA"/>
    <w:rsid w:val="008D6A3D"/>
    <w:rsid w:val="008D6E76"/>
    <w:rsid w:val="008D79F7"/>
    <w:rsid w:val="008E02CD"/>
    <w:rsid w:val="008E0D59"/>
    <w:rsid w:val="008E2649"/>
    <w:rsid w:val="008E2D57"/>
    <w:rsid w:val="008E52E4"/>
    <w:rsid w:val="008E58DD"/>
    <w:rsid w:val="008E69D7"/>
    <w:rsid w:val="008E6FDC"/>
    <w:rsid w:val="008F058F"/>
    <w:rsid w:val="008F0E84"/>
    <w:rsid w:val="008F1CC9"/>
    <w:rsid w:val="008F2428"/>
    <w:rsid w:val="008F2445"/>
    <w:rsid w:val="008F25B9"/>
    <w:rsid w:val="008F2C6B"/>
    <w:rsid w:val="008F2FDE"/>
    <w:rsid w:val="008F3B03"/>
    <w:rsid w:val="008F43E1"/>
    <w:rsid w:val="008F4991"/>
    <w:rsid w:val="008F4AF8"/>
    <w:rsid w:val="008F580B"/>
    <w:rsid w:val="008F5D46"/>
    <w:rsid w:val="008F6A9B"/>
    <w:rsid w:val="008F766C"/>
    <w:rsid w:val="008F7A94"/>
    <w:rsid w:val="0090097B"/>
    <w:rsid w:val="009011CC"/>
    <w:rsid w:val="0090362A"/>
    <w:rsid w:val="009036EB"/>
    <w:rsid w:val="009044C6"/>
    <w:rsid w:val="009049F8"/>
    <w:rsid w:val="00906AAD"/>
    <w:rsid w:val="0090756A"/>
    <w:rsid w:val="0091020A"/>
    <w:rsid w:val="009133A4"/>
    <w:rsid w:val="0091351A"/>
    <w:rsid w:val="009136C4"/>
    <w:rsid w:val="00913E39"/>
    <w:rsid w:val="009159B6"/>
    <w:rsid w:val="00915A27"/>
    <w:rsid w:val="00915C1A"/>
    <w:rsid w:val="00916806"/>
    <w:rsid w:val="00917407"/>
    <w:rsid w:val="0092045C"/>
    <w:rsid w:val="00920621"/>
    <w:rsid w:val="009208B2"/>
    <w:rsid w:val="00920B21"/>
    <w:rsid w:val="00920D41"/>
    <w:rsid w:val="00922A13"/>
    <w:rsid w:val="00924127"/>
    <w:rsid w:val="00924178"/>
    <w:rsid w:val="009245D3"/>
    <w:rsid w:val="009248DF"/>
    <w:rsid w:val="00925BD9"/>
    <w:rsid w:val="0092634E"/>
    <w:rsid w:val="00927BE8"/>
    <w:rsid w:val="00927E3A"/>
    <w:rsid w:val="00930433"/>
    <w:rsid w:val="009309DC"/>
    <w:rsid w:val="00931EFA"/>
    <w:rsid w:val="009338EB"/>
    <w:rsid w:val="0093421D"/>
    <w:rsid w:val="00934C02"/>
    <w:rsid w:val="00934D72"/>
    <w:rsid w:val="00934EB0"/>
    <w:rsid w:val="00934F9A"/>
    <w:rsid w:val="009352F0"/>
    <w:rsid w:val="0093635E"/>
    <w:rsid w:val="00936E14"/>
    <w:rsid w:val="00940EF4"/>
    <w:rsid w:val="0094101A"/>
    <w:rsid w:val="009419EC"/>
    <w:rsid w:val="00941BF0"/>
    <w:rsid w:val="00942471"/>
    <w:rsid w:val="00942F88"/>
    <w:rsid w:val="00943BA7"/>
    <w:rsid w:val="00943CD3"/>
    <w:rsid w:val="0094460C"/>
    <w:rsid w:val="0094467D"/>
    <w:rsid w:val="0094711A"/>
    <w:rsid w:val="009501A0"/>
    <w:rsid w:val="00950468"/>
    <w:rsid w:val="00956D7D"/>
    <w:rsid w:val="009575D2"/>
    <w:rsid w:val="00957DA1"/>
    <w:rsid w:val="009609C0"/>
    <w:rsid w:val="009638B9"/>
    <w:rsid w:val="00964037"/>
    <w:rsid w:val="009644DA"/>
    <w:rsid w:val="009647BF"/>
    <w:rsid w:val="00964975"/>
    <w:rsid w:val="009659C9"/>
    <w:rsid w:val="00965B24"/>
    <w:rsid w:val="00966109"/>
    <w:rsid w:val="00967B83"/>
    <w:rsid w:val="00970D58"/>
    <w:rsid w:val="009717CF"/>
    <w:rsid w:val="00971BDB"/>
    <w:rsid w:val="009767AB"/>
    <w:rsid w:val="009771E6"/>
    <w:rsid w:val="009774E8"/>
    <w:rsid w:val="00977A8C"/>
    <w:rsid w:val="00977C3D"/>
    <w:rsid w:val="0098039A"/>
    <w:rsid w:val="009827FC"/>
    <w:rsid w:val="00982A51"/>
    <w:rsid w:val="00982E41"/>
    <w:rsid w:val="009830D2"/>
    <w:rsid w:val="00983BC1"/>
    <w:rsid w:val="009842FD"/>
    <w:rsid w:val="009877F2"/>
    <w:rsid w:val="00990137"/>
    <w:rsid w:val="00990CC6"/>
    <w:rsid w:val="0099110E"/>
    <w:rsid w:val="00991ABD"/>
    <w:rsid w:val="00992E78"/>
    <w:rsid w:val="00992F84"/>
    <w:rsid w:val="00993061"/>
    <w:rsid w:val="00993D66"/>
    <w:rsid w:val="00994C60"/>
    <w:rsid w:val="00994E07"/>
    <w:rsid w:val="00995262"/>
    <w:rsid w:val="00997124"/>
    <w:rsid w:val="00997589"/>
    <w:rsid w:val="00997D65"/>
    <w:rsid w:val="009A0708"/>
    <w:rsid w:val="009A13B1"/>
    <w:rsid w:val="009A15AE"/>
    <w:rsid w:val="009A4047"/>
    <w:rsid w:val="009A4BB3"/>
    <w:rsid w:val="009A66D0"/>
    <w:rsid w:val="009A69BA"/>
    <w:rsid w:val="009B0657"/>
    <w:rsid w:val="009B2ABF"/>
    <w:rsid w:val="009B5482"/>
    <w:rsid w:val="009B5E0F"/>
    <w:rsid w:val="009B62AE"/>
    <w:rsid w:val="009B7959"/>
    <w:rsid w:val="009C0FD3"/>
    <w:rsid w:val="009C12D6"/>
    <w:rsid w:val="009C2AD6"/>
    <w:rsid w:val="009C2F0F"/>
    <w:rsid w:val="009C39A4"/>
    <w:rsid w:val="009C3C6D"/>
    <w:rsid w:val="009C410F"/>
    <w:rsid w:val="009C46FA"/>
    <w:rsid w:val="009C4CCA"/>
    <w:rsid w:val="009C5325"/>
    <w:rsid w:val="009C5D93"/>
    <w:rsid w:val="009D02D2"/>
    <w:rsid w:val="009D0777"/>
    <w:rsid w:val="009D1634"/>
    <w:rsid w:val="009D2198"/>
    <w:rsid w:val="009D3D05"/>
    <w:rsid w:val="009D41A6"/>
    <w:rsid w:val="009D4FF2"/>
    <w:rsid w:val="009D52DC"/>
    <w:rsid w:val="009E1D26"/>
    <w:rsid w:val="009E2456"/>
    <w:rsid w:val="009E29C2"/>
    <w:rsid w:val="009E3D70"/>
    <w:rsid w:val="009E492D"/>
    <w:rsid w:val="009E56F9"/>
    <w:rsid w:val="009E597A"/>
    <w:rsid w:val="009E5DF5"/>
    <w:rsid w:val="009E68E0"/>
    <w:rsid w:val="009E7944"/>
    <w:rsid w:val="009F0178"/>
    <w:rsid w:val="009F0837"/>
    <w:rsid w:val="009F105C"/>
    <w:rsid w:val="009F1E07"/>
    <w:rsid w:val="009F20B4"/>
    <w:rsid w:val="009F23D6"/>
    <w:rsid w:val="009F2DA6"/>
    <w:rsid w:val="009F2E97"/>
    <w:rsid w:val="009F3CB8"/>
    <w:rsid w:val="009F3F90"/>
    <w:rsid w:val="009F4DF3"/>
    <w:rsid w:val="009F5378"/>
    <w:rsid w:val="009F5F3C"/>
    <w:rsid w:val="009F6475"/>
    <w:rsid w:val="009F69C9"/>
    <w:rsid w:val="009F74C1"/>
    <w:rsid w:val="00A014DC"/>
    <w:rsid w:val="00A01D9A"/>
    <w:rsid w:val="00A031E2"/>
    <w:rsid w:val="00A03E48"/>
    <w:rsid w:val="00A04396"/>
    <w:rsid w:val="00A0498E"/>
    <w:rsid w:val="00A07278"/>
    <w:rsid w:val="00A07827"/>
    <w:rsid w:val="00A07BBB"/>
    <w:rsid w:val="00A10027"/>
    <w:rsid w:val="00A11FEF"/>
    <w:rsid w:val="00A13EC1"/>
    <w:rsid w:val="00A14606"/>
    <w:rsid w:val="00A15140"/>
    <w:rsid w:val="00A162C8"/>
    <w:rsid w:val="00A16D86"/>
    <w:rsid w:val="00A17BDB"/>
    <w:rsid w:val="00A2196E"/>
    <w:rsid w:val="00A2272E"/>
    <w:rsid w:val="00A234B4"/>
    <w:rsid w:val="00A238BF"/>
    <w:rsid w:val="00A23EC6"/>
    <w:rsid w:val="00A2567C"/>
    <w:rsid w:val="00A26C35"/>
    <w:rsid w:val="00A271CF"/>
    <w:rsid w:val="00A30648"/>
    <w:rsid w:val="00A31120"/>
    <w:rsid w:val="00A3130C"/>
    <w:rsid w:val="00A31532"/>
    <w:rsid w:val="00A31EAD"/>
    <w:rsid w:val="00A31EF3"/>
    <w:rsid w:val="00A32183"/>
    <w:rsid w:val="00A32D07"/>
    <w:rsid w:val="00A3322F"/>
    <w:rsid w:val="00A35210"/>
    <w:rsid w:val="00A3522F"/>
    <w:rsid w:val="00A374D2"/>
    <w:rsid w:val="00A376B5"/>
    <w:rsid w:val="00A37C21"/>
    <w:rsid w:val="00A37C51"/>
    <w:rsid w:val="00A42A60"/>
    <w:rsid w:val="00A4304E"/>
    <w:rsid w:val="00A439CE"/>
    <w:rsid w:val="00A439D5"/>
    <w:rsid w:val="00A43A21"/>
    <w:rsid w:val="00A442CE"/>
    <w:rsid w:val="00A442D4"/>
    <w:rsid w:val="00A44591"/>
    <w:rsid w:val="00A44E90"/>
    <w:rsid w:val="00A450D1"/>
    <w:rsid w:val="00A45212"/>
    <w:rsid w:val="00A452AA"/>
    <w:rsid w:val="00A45CD0"/>
    <w:rsid w:val="00A464CC"/>
    <w:rsid w:val="00A465D4"/>
    <w:rsid w:val="00A46ED1"/>
    <w:rsid w:val="00A477E7"/>
    <w:rsid w:val="00A47861"/>
    <w:rsid w:val="00A512A3"/>
    <w:rsid w:val="00A524F3"/>
    <w:rsid w:val="00A5366E"/>
    <w:rsid w:val="00A53B06"/>
    <w:rsid w:val="00A53EC5"/>
    <w:rsid w:val="00A55576"/>
    <w:rsid w:val="00A55679"/>
    <w:rsid w:val="00A5581A"/>
    <w:rsid w:val="00A564D6"/>
    <w:rsid w:val="00A565C1"/>
    <w:rsid w:val="00A577D1"/>
    <w:rsid w:val="00A578FD"/>
    <w:rsid w:val="00A57EA6"/>
    <w:rsid w:val="00A60A1B"/>
    <w:rsid w:val="00A61510"/>
    <w:rsid w:val="00A61C6B"/>
    <w:rsid w:val="00A61D52"/>
    <w:rsid w:val="00A61FEF"/>
    <w:rsid w:val="00A62861"/>
    <w:rsid w:val="00A62A5E"/>
    <w:rsid w:val="00A6374F"/>
    <w:rsid w:val="00A639BB"/>
    <w:rsid w:val="00A64F27"/>
    <w:rsid w:val="00A65096"/>
    <w:rsid w:val="00A65445"/>
    <w:rsid w:val="00A660C6"/>
    <w:rsid w:val="00A66474"/>
    <w:rsid w:val="00A67008"/>
    <w:rsid w:val="00A673C4"/>
    <w:rsid w:val="00A676A3"/>
    <w:rsid w:val="00A67A2F"/>
    <w:rsid w:val="00A67DBC"/>
    <w:rsid w:val="00A67E36"/>
    <w:rsid w:val="00A70913"/>
    <w:rsid w:val="00A71B17"/>
    <w:rsid w:val="00A72799"/>
    <w:rsid w:val="00A7391C"/>
    <w:rsid w:val="00A74DDE"/>
    <w:rsid w:val="00A751DB"/>
    <w:rsid w:val="00A765C0"/>
    <w:rsid w:val="00A76E01"/>
    <w:rsid w:val="00A77C69"/>
    <w:rsid w:val="00A802DF"/>
    <w:rsid w:val="00A81025"/>
    <w:rsid w:val="00A822CA"/>
    <w:rsid w:val="00A831E9"/>
    <w:rsid w:val="00A83BA9"/>
    <w:rsid w:val="00A84178"/>
    <w:rsid w:val="00A8425D"/>
    <w:rsid w:val="00A846CF"/>
    <w:rsid w:val="00A849A5"/>
    <w:rsid w:val="00A84D83"/>
    <w:rsid w:val="00A84DEC"/>
    <w:rsid w:val="00A855F4"/>
    <w:rsid w:val="00A85929"/>
    <w:rsid w:val="00A86C7D"/>
    <w:rsid w:val="00A86EA5"/>
    <w:rsid w:val="00A900EC"/>
    <w:rsid w:val="00A9029B"/>
    <w:rsid w:val="00A9084C"/>
    <w:rsid w:val="00A918FC"/>
    <w:rsid w:val="00A9269A"/>
    <w:rsid w:val="00A92BC9"/>
    <w:rsid w:val="00A92F46"/>
    <w:rsid w:val="00A9475D"/>
    <w:rsid w:val="00A94AAC"/>
    <w:rsid w:val="00A94EFA"/>
    <w:rsid w:val="00A95177"/>
    <w:rsid w:val="00A9738F"/>
    <w:rsid w:val="00A976BE"/>
    <w:rsid w:val="00AA07FF"/>
    <w:rsid w:val="00AA0C85"/>
    <w:rsid w:val="00AA12C8"/>
    <w:rsid w:val="00AA1ABA"/>
    <w:rsid w:val="00AA255A"/>
    <w:rsid w:val="00AA3172"/>
    <w:rsid w:val="00AA59A2"/>
    <w:rsid w:val="00AA5A84"/>
    <w:rsid w:val="00AA74E2"/>
    <w:rsid w:val="00AA7646"/>
    <w:rsid w:val="00AA7D25"/>
    <w:rsid w:val="00AB0C16"/>
    <w:rsid w:val="00AB0C62"/>
    <w:rsid w:val="00AB1A7F"/>
    <w:rsid w:val="00AB1C0D"/>
    <w:rsid w:val="00AB286E"/>
    <w:rsid w:val="00AB2A4D"/>
    <w:rsid w:val="00AB2A68"/>
    <w:rsid w:val="00AB2AD3"/>
    <w:rsid w:val="00AB2CB5"/>
    <w:rsid w:val="00AB3280"/>
    <w:rsid w:val="00AB3ADC"/>
    <w:rsid w:val="00AB3D2C"/>
    <w:rsid w:val="00AB5405"/>
    <w:rsid w:val="00AB5DB7"/>
    <w:rsid w:val="00AB61BE"/>
    <w:rsid w:val="00AB6D2C"/>
    <w:rsid w:val="00AB7AE8"/>
    <w:rsid w:val="00AB7EAA"/>
    <w:rsid w:val="00AC100F"/>
    <w:rsid w:val="00AC29DE"/>
    <w:rsid w:val="00AC4392"/>
    <w:rsid w:val="00AC44ED"/>
    <w:rsid w:val="00AC60DD"/>
    <w:rsid w:val="00AC6AB5"/>
    <w:rsid w:val="00AD0964"/>
    <w:rsid w:val="00AD09E8"/>
    <w:rsid w:val="00AD266D"/>
    <w:rsid w:val="00AD3094"/>
    <w:rsid w:val="00AD390C"/>
    <w:rsid w:val="00AD4429"/>
    <w:rsid w:val="00AD68E7"/>
    <w:rsid w:val="00AE114B"/>
    <w:rsid w:val="00AE1B44"/>
    <w:rsid w:val="00AE288E"/>
    <w:rsid w:val="00AE3785"/>
    <w:rsid w:val="00AE3A49"/>
    <w:rsid w:val="00AE3A9B"/>
    <w:rsid w:val="00AE3C77"/>
    <w:rsid w:val="00AE5A2E"/>
    <w:rsid w:val="00AE778F"/>
    <w:rsid w:val="00AE7A40"/>
    <w:rsid w:val="00AF0577"/>
    <w:rsid w:val="00AF2926"/>
    <w:rsid w:val="00AF2B97"/>
    <w:rsid w:val="00AF47A3"/>
    <w:rsid w:val="00AF51A0"/>
    <w:rsid w:val="00AF51D9"/>
    <w:rsid w:val="00AF55A3"/>
    <w:rsid w:val="00AF58EE"/>
    <w:rsid w:val="00AF615E"/>
    <w:rsid w:val="00AF6474"/>
    <w:rsid w:val="00AF6521"/>
    <w:rsid w:val="00AF656B"/>
    <w:rsid w:val="00AF6A87"/>
    <w:rsid w:val="00AF6BB0"/>
    <w:rsid w:val="00AF7B1D"/>
    <w:rsid w:val="00B00C5F"/>
    <w:rsid w:val="00B01129"/>
    <w:rsid w:val="00B012CF"/>
    <w:rsid w:val="00B01F81"/>
    <w:rsid w:val="00B020BA"/>
    <w:rsid w:val="00B02861"/>
    <w:rsid w:val="00B02A1B"/>
    <w:rsid w:val="00B02A81"/>
    <w:rsid w:val="00B02D1E"/>
    <w:rsid w:val="00B03A8E"/>
    <w:rsid w:val="00B03AE8"/>
    <w:rsid w:val="00B04482"/>
    <w:rsid w:val="00B0514E"/>
    <w:rsid w:val="00B0591F"/>
    <w:rsid w:val="00B0625A"/>
    <w:rsid w:val="00B06D02"/>
    <w:rsid w:val="00B07305"/>
    <w:rsid w:val="00B07CFE"/>
    <w:rsid w:val="00B1157D"/>
    <w:rsid w:val="00B127D3"/>
    <w:rsid w:val="00B12BB7"/>
    <w:rsid w:val="00B12DAB"/>
    <w:rsid w:val="00B148C6"/>
    <w:rsid w:val="00B14E4E"/>
    <w:rsid w:val="00B17B82"/>
    <w:rsid w:val="00B17CD5"/>
    <w:rsid w:val="00B201E3"/>
    <w:rsid w:val="00B20351"/>
    <w:rsid w:val="00B20C12"/>
    <w:rsid w:val="00B21485"/>
    <w:rsid w:val="00B21C36"/>
    <w:rsid w:val="00B21F84"/>
    <w:rsid w:val="00B224C4"/>
    <w:rsid w:val="00B225CC"/>
    <w:rsid w:val="00B22896"/>
    <w:rsid w:val="00B22965"/>
    <w:rsid w:val="00B23422"/>
    <w:rsid w:val="00B235D5"/>
    <w:rsid w:val="00B23CD8"/>
    <w:rsid w:val="00B243DB"/>
    <w:rsid w:val="00B2446C"/>
    <w:rsid w:val="00B24591"/>
    <w:rsid w:val="00B251D0"/>
    <w:rsid w:val="00B25E45"/>
    <w:rsid w:val="00B26654"/>
    <w:rsid w:val="00B26BA1"/>
    <w:rsid w:val="00B2772F"/>
    <w:rsid w:val="00B27A86"/>
    <w:rsid w:val="00B30DBE"/>
    <w:rsid w:val="00B327C0"/>
    <w:rsid w:val="00B32904"/>
    <w:rsid w:val="00B32995"/>
    <w:rsid w:val="00B32998"/>
    <w:rsid w:val="00B32D15"/>
    <w:rsid w:val="00B33461"/>
    <w:rsid w:val="00B33CE3"/>
    <w:rsid w:val="00B35253"/>
    <w:rsid w:val="00B35702"/>
    <w:rsid w:val="00B36574"/>
    <w:rsid w:val="00B3773D"/>
    <w:rsid w:val="00B37B3A"/>
    <w:rsid w:val="00B40432"/>
    <w:rsid w:val="00B40D1F"/>
    <w:rsid w:val="00B40EDC"/>
    <w:rsid w:val="00B414C8"/>
    <w:rsid w:val="00B41FAA"/>
    <w:rsid w:val="00B42976"/>
    <w:rsid w:val="00B4345E"/>
    <w:rsid w:val="00B437CB"/>
    <w:rsid w:val="00B4481B"/>
    <w:rsid w:val="00B44EEF"/>
    <w:rsid w:val="00B44FE6"/>
    <w:rsid w:val="00B45F23"/>
    <w:rsid w:val="00B46CA9"/>
    <w:rsid w:val="00B46F69"/>
    <w:rsid w:val="00B475B9"/>
    <w:rsid w:val="00B502E9"/>
    <w:rsid w:val="00B50819"/>
    <w:rsid w:val="00B50ABA"/>
    <w:rsid w:val="00B50BD6"/>
    <w:rsid w:val="00B50C31"/>
    <w:rsid w:val="00B51645"/>
    <w:rsid w:val="00B51A47"/>
    <w:rsid w:val="00B521C7"/>
    <w:rsid w:val="00B52FCB"/>
    <w:rsid w:val="00B530C6"/>
    <w:rsid w:val="00B534DB"/>
    <w:rsid w:val="00B53796"/>
    <w:rsid w:val="00B53CD6"/>
    <w:rsid w:val="00B55158"/>
    <w:rsid w:val="00B55690"/>
    <w:rsid w:val="00B62086"/>
    <w:rsid w:val="00B62A6F"/>
    <w:rsid w:val="00B63D5D"/>
    <w:rsid w:val="00B641C4"/>
    <w:rsid w:val="00B64A76"/>
    <w:rsid w:val="00B64E38"/>
    <w:rsid w:val="00B65BBB"/>
    <w:rsid w:val="00B66BEF"/>
    <w:rsid w:val="00B70200"/>
    <w:rsid w:val="00B70A1C"/>
    <w:rsid w:val="00B71126"/>
    <w:rsid w:val="00B72B9D"/>
    <w:rsid w:val="00B72C34"/>
    <w:rsid w:val="00B72F96"/>
    <w:rsid w:val="00B73DA7"/>
    <w:rsid w:val="00B73E53"/>
    <w:rsid w:val="00B7430E"/>
    <w:rsid w:val="00B779A6"/>
    <w:rsid w:val="00B77FE5"/>
    <w:rsid w:val="00B800E2"/>
    <w:rsid w:val="00B801CD"/>
    <w:rsid w:val="00B8069F"/>
    <w:rsid w:val="00B81680"/>
    <w:rsid w:val="00B81853"/>
    <w:rsid w:val="00B81B55"/>
    <w:rsid w:val="00B82A3A"/>
    <w:rsid w:val="00B82C27"/>
    <w:rsid w:val="00B8384B"/>
    <w:rsid w:val="00B8446A"/>
    <w:rsid w:val="00B850E3"/>
    <w:rsid w:val="00B8647F"/>
    <w:rsid w:val="00B87413"/>
    <w:rsid w:val="00B877F9"/>
    <w:rsid w:val="00B90DBC"/>
    <w:rsid w:val="00B921AF"/>
    <w:rsid w:val="00B92E91"/>
    <w:rsid w:val="00B92FA0"/>
    <w:rsid w:val="00B93067"/>
    <w:rsid w:val="00B938B9"/>
    <w:rsid w:val="00B9454A"/>
    <w:rsid w:val="00B94BA6"/>
    <w:rsid w:val="00B94E38"/>
    <w:rsid w:val="00B953AC"/>
    <w:rsid w:val="00B95437"/>
    <w:rsid w:val="00B960BD"/>
    <w:rsid w:val="00B9674A"/>
    <w:rsid w:val="00B96C53"/>
    <w:rsid w:val="00BA0B17"/>
    <w:rsid w:val="00BA10AF"/>
    <w:rsid w:val="00BA227D"/>
    <w:rsid w:val="00BA33A6"/>
    <w:rsid w:val="00BA3FEA"/>
    <w:rsid w:val="00BA4CCA"/>
    <w:rsid w:val="00BA5634"/>
    <w:rsid w:val="00BA63B8"/>
    <w:rsid w:val="00BA6715"/>
    <w:rsid w:val="00BA6D46"/>
    <w:rsid w:val="00BB0151"/>
    <w:rsid w:val="00BB0821"/>
    <w:rsid w:val="00BB13CA"/>
    <w:rsid w:val="00BB1457"/>
    <w:rsid w:val="00BB3460"/>
    <w:rsid w:val="00BB5463"/>
    <w:rsid w:val="00BB6811"/>
    <w:rsid w:val="00BB694D"/>
    <w:rsid w:val="00BB759E"/>
    <w:rsid w:val="00BC01F9"/>
    <w:rsid w:val="00BC1360"/>
    <w:rsid w:val="00BC1544"/>
    <w:rsid w:val="00BC3212"/>
    <w:rsid w:val="00BC3255"/>
    <w:rsid w:val="00BC32D3"/>
    <w:rsid w:val="00BC49A4"/>
    <w:rsid w:val="00BC4BF3"/>
    <w:rsid w:val="00BC557F"/>
    <w:rsid w:val="00BC5ED6"/>
    <w:rsid w:val="00BD048E"/>
    <w:rsid w:val="00BD0990"/>
    <w:rsid w:val="00BD0B55"/>
    <w:rsid w:val="00BD2BDF"/>
    <w:rsid w:val="00BD3A8C"/>
    <w:rsid w:val="00BD540B"/>
    <w:rsid w:val="00BD5C54"/>
    <w:rsid w:val="00BE0A4E"/>
    <w:rsid w:val="00BE1C48"/>
    <w:rsid w:val="00BE1D08"/>
    <w:rsid w:val="00BE2DBD"/>
    <w:rsid w:val="00BE31E7"/>
    <w:rsid w:val="00BE34C7"/>
    <w:rsid w:val="00BE4337"/>
    <w:rsid w:val="00BE44E9"/>
    <w:rsid w:val="00BE4632"/>
    <w:rsid w:val="00BE5350"/>
    <w:rsid w:val="00BE5437"/>
    <w:rsid w:val="00BE5584"/>
    <w:rsid w:val="00BE6046"/>
    <w:rsid w:val="00BE6667"/>
    <w:rsid w:val="00BE7E2D"/>
    <w:rsid w:val="00BF1A3E"/>
    <w:rsid w:val="00BF1CC1"/>
    <w:rsid w:val="00BF21B0"/>
    <w:rsid w:val="00BF3098"/>
    <w:rsid w:val="00BF3D0E"/>
    <w:rsid w:val="00BF428A"/>
    <w:rsid w:val="00BF5983"/>
    <w:rsid w:val="00BF6506"/>
    <w:rsid w:val="00BF658C"/>
    <w:rsid w:val="00C001B5"/>
    <w:rsid w:val="00C00D2B"/>
    <w:rsid w:val="00C01706"/>
    <w:rsid w:val="00C0187A"/>
    <w:rsid w:val="00C02B25"/>
    <w:rsid w:val="00C03277"/>
    <w:rsid w:val="00C03374"/>
    <w:rsid w:val="00C033D4"/>
    <w:rsid w:val="00C03797"/>
    <w:rsid w:val="00C04346"/>
    <w:rsid w:val="00C05534"/>
    <w:rsid w:val="00C05AE3"/>
    <w:rsid w:val="00C07532"/>
    <w:rsid w:val="00C07C74"/>
    <w:rsid w:val="00C07D1E"/>
    <w:rsid w:val="00C10FB4"/>
    <w:rsid w:val="00C11854"/>
    <w:rsid w:val="00C12037"/>
    <w:rsid w:val="00C131BF"/>
    <w:rsid w:val="00C13C2F"/>
    <w:rsid w:val="00C14184"/>
    <w:rsid w:val="00C14979"/>
    <w:rsid w:val="00C154BD"/>
    <w:rsid w:val="00C16B17"/>
    <w:rsid w:val="00C16B7A"/>
    <w:rsid w:val="00C208B7"/>
    <w:rsid w:val="00C208E2"/>
    <w:rsid w:val="00C2154D"/>
    <w:rsid w:val="00C23C4C"/>
    <w:rsid w:val="00C24A60"/>
    <w:rsid w:val="00C252FB"/>
    <w:rsid w:val="00C26F98"/>
    <w:rsid w:val="00C30039"/>
    <w:rsid w:val="00C311E1"/>
    <w:rsid w:val="00C3159F"/>
    <w:rsid w:val="00C33848"/>
    <w:rsid w:val="00C34694"/>
    <w:rsid w:val="00C347BA"/>
    <w:rsid w:val="00C34A18"/>
    <w:rsid w:val="00C34A92"/>
    <w:rsid w:val="00C36483"/>
    <w:rsid w:val="00C36B24"/>
    <w:rsid w:val="00C37C97"/>
    <w:rsid w:val="00C37F6B"/>
    <w:rsid w:val="00C400A0"/>
    <w:rsid w:val="00C4020A"/>
    <w:rsid w:val="00C402BB"/>
    <w:rsid w:val="00C40BD3"/>
    <w:rsid w:val="00C41D14"/>
    <w:rsid w:val="00C42DD6"/>
    <w:rsid w:val="00C432A9"/>
    <w:rsid w:val="00C45798"/>
    <w:rsid w:val="00C45DDD"/>
    <w:rsid w:val="00C460B9"/>
    <w:rsid w:val="00C46B20"/>
    <w:rsid w:val="00C50200"/>
    <w:rsid w:val="00C50447"/>
    <w:rsid w:val="00C50D84"/>
    <w:rsid w:val="00C525DD"/>
    <w:rsid w:val="00C52914"/>
    <w:rsid w:val="00C53E88"/>
    <w:rsid w:val="00C54372"/>
    <w:rsid w:val="00C54497"/>
    <w:rsid w:val="00C546A2"/>
    <w:rsid w:val="00C57436"/>
    <w:rsid w:val="00C60D0D"/>
    <w:rsid w:val="00C60D2F"/>
    <w:rsid w:val="00C616ED"/>
    <w:rsid w:val="00C62EB2"/>
    <w:rsid w:val="00C63003"/>
    <w:rsid w:val="00C63C60"/>
    <w:rsid w:val="00C645A2"/>
    <w:rsid w:val="00C65E87"/>
    <w:rsid w:val="00C66237"/>
    <w:rsid w:val="00C664AE"/>
    <w:rsid w:val="00C66993"/>
    <w:rsid w:val="00C66D81"/>
    <w:rsid w:val="00C70458"/>
    <w:rsid w:val="00C7054A"/>
    <w:rsid w:val="00C705CD"/>
    <w:rsid w:val="00C71778"/>
    <w:rsid w:val="00C7403C"/>
    <w:rsid w:val="00C74284"/>
    <w:rsid w:val="00C7454D"/>
    <w:rsid w:val="00C75CC1"/>
    <w:rsid w:val="00C76B99"/>
    <w:rsid w:val="00C775D0"/>
    <w:rsid w:val="00C77B83"/>
    <w:rsid w:val="00C80A9B"/>
    <w:rsid w:val="00C8173C"/>
    <w:rsid w:val="00C8404F"/>
    <w:rsid w:val="00C8419A"/>
    <w:rsid w:val="00C84323"/>
    <w:rsid w:val="00C85506"/>
    <w:rsid w:val="00C85C45"/>
    <w:rsid w:val="00C861D2"/>
    <w:rsid w:val="00C867BE"/>
    <w:rsid w:val="00C87338"/>
    <w:rsid w:val="00C87A5A"/>
    <w:rsid w:val="00C87F11"/>
    <w:rsid w:val="00C905D5"/>
    <w:rsid w:val="00C946A2"/>
    <w:rsid w:val="00C95BD7"/>
    <w:rsid w:val="00C961E9"/>
    <w:rsid w:val="00C96ACA"/>
    <w:rsid w:val="00C96E15"/>
    <w:rsid w:val="00C97D51"/>
    <w:rsid w:val="00CA0287"/>
    <w:rsid w:val="00CA0515"/>
    <w:rsid w:val="00CA0580"/>
    <w:rsid w:val="00CA069E"/>
    <w:rsid w:val="00CA1F63"/>
    <w:rsid w:val="00CA32C1"/>
    <w:rsid w:val="00CA3BC8"/>
    <w:rsid w:val="00CA485C"/>
    <w:rsid w:val="00CA5A82"/>
    <w:rsid w:val="00CA6286"/>
    <w:rsid w:val="00CA6739"/>
    <w:rsid w:val="00CB05C0"/>
    <w:rsid w:val="00CB0F1D"/>
    <w:rsid w:val="00CB13A0"/>
    <w:rsid w:val="00CB1797"/>
    <w:rsid w:val="00CB1CFC"/>
    <w:rsid w:val="00CB430E"/>
    <w:rsid w:val="00CB4979"/>
    <w:rsid w:val="00CB528C"/>
    <w:rsid w:val="00CB5506"/>
    <w:rsid w:val="00CB6202"/>
    <w:rsid w:val="00CB641A"/>
    <w:rsid w:val="00CB6BF9"/>
    <w:rsid w:val="00CC07C6"/>
    <w:rsid w:val="00CC08B1"/>
    <w:rsid w:val="00CC2C04"/>
    <w:rsid w:val="00CC2C5B"/>
    <w:rsid w:val="00CC2D54"/>
    <w:rsid w:val="00CC3E87"/>
    <w:rsid w:val="00CC52A7"/>
    <w:rsid w:val="00CC62BA"/>
    <w:rsid w:val="00CC6566"/>
    <w:rsid w:val="00CD0E5F"/>
    <w:rsid w:val="00CD0F74"/>
    <w:rsid w:val="00CD143D"/>
    <w:rsid w:val="00CD1EEB"/>
    <w:rsid w:val="00CD245F"/>
    <w:rsid w:val="00CD338B"/>
    <w:rsid w:val="00CD4F82"/>
    <w:rsid w:val="00CD5310"/>
    <w:rsid w:val="00CD5F67"/>
    <w:rsid w:val="00CD70AD"/>
    <w:rsid w:val="00CD7AA3"/>
    <w:rsid w:val="00CE05B0"/>
    <w:rsid w:val="00CE0E8C"/>
    <w:rsid w:val="00CE19A0"/>
    <w:rsid w:val="00CE200C"/>
    <w:rsid w:val="00CE3144"/>
    <w:rsid w:val="00CE42EE"/>
    <w:rsid w:val="00CE44C7"/>
    <w:rsid w:val="00CE65FF"/>
    <w:rsid w:val="00CE667D"/>
    <w:rsid w:val="00CE6D75"/>
    <w:rsid w:val="00CE7D67"/>
    <w:rsid w:val="00CF1F94"/>
    <w:rsid w:val="00CF2516"/>
    <w:rsid w:val="00CF2AB2"/>
    <w:rsid w:val="00CF2E7C"/>
    <w:rsid w:val="00CF3751"/>
    <w:rsid w:val="00CF49B8"/>
    <w:rsid w:val="00CF5918"/>
    <w:rsid w:val="00CF6825"/>
    <w:rsid w:val="00CF6C1D"/>
    <w:rsid w:val="00CF704E"/>
    <w:rsid w:val="00CF740C"/>
    <w:rsid w:val="00D0026C"/>
    <w:rsid w:val="00D00806"/>
    <w:rsid w:val="00D01260"/>
    <w:rsid w:val="00D01665"/>
    <w:rsid w:val="00D01C44"/>
    <w:rsid w:val="00D02378"/>
    <w:rsid w:val="00D02CA2"/>
    <w:rsid w:val="00D03040"/>
    <w:rsid w:val="00D052DF"/>
    <w:rsid w:val="00D061FA"/>
    <w:rsid w:val="00D069DD"/>
    <w:rsid w:val="00D07B59"/>
    <w:rsid w:val="00D10A5F"/>
    <w:rsid w:val="00D10DAB"/>
    <w:rsid w:val="00D10FDA"/>
    <w:rsid w:val="00D111BC"/>
    <w:rsid w:val="00D1121C"/>
    <w:rsid w:val="00D12988"/>
    <w:rsid w:val="00D140FB"/>
    <w:rsid w:val="00D155BF"/>
    <w:rsid w:val="00D155F7"/>
    <w:rsid w:val="00D157F1"/>
    <w:rsid w:val="00D15B69"/>
    <w:rsid w:val="00D20595"/>
    <w:rsid w:val="00D209F2"/>
    <w:rsid w:val="00D20AE5"/>
    <w:rsid w:val="00D216EE"/>
    <w:rsid w:val="00D21F76"/>
    <w:rsid w:val="00D22722"/>
    <w:rsid w:val="00D2307C"/>
    <w:rsid w:val="00D238D6"/>
    <w:rsid w:val="00D238E7"/>
    <w:rsid w:val="00D24CF5"/>
    <w:rsid w:val="00D25048"/>
    <w:rsid w:val="00D25176"/>
    <w:rsid w:val="00D25870"/>
    <w:rsid w:val="00D26838"/>
    <w:rsid w:val="00D2684B"/>
    <w:rsid w:val="00D278B0"/>
    <w:rsid w:val="00D27BB8"/>
    <w:rsid w:val="00D27C61"/>
    <w:rsid w:val="00D304D7"/>
    <w:rsid w:val="00D30609"/>
    <w:rsid w:val="00D30D3B"/>
    <w:rsid w:val="00D30E04"/>
    <w:rsid w:val="00D32283"/>
    <w:rsid w:val="00D3257B"/>
    <w:rsid w:val="00D3342C"/>
    <w:rsid w:val="00D34120"/>
    <w:rsid w:val="00D36FA7"/>
    <w:rsid w:val="00D41921"/>
    <w:rsid w:val="00D43607"/>
    <w:rsid w:val="00D43E93"/>
    <w:rsid w:val="00D43F78"/>
    <w:rsid w:val="00D450EA"/>
    <w:rsid w:val="00D4544C"/>
    <w:rsid w:val="00D45685"/>
    <w:rsid w:val="00D45797"/>
    <w:rsid w:val="00D45C92"/>
    <w:rsid w:val="00D4738C"/>
    <w:rsid w:val="00D513E9"/>
    <w:rsid w:val="00D51D72"/>
    <w:rsid w:val="00D52185"/>
    <w:rsid w:val="00D52AC6"/>
    <w:rsid w:val="00D52C78"/>
    <w:rsid w:val="00D53862"/>
    <w:rsid w:val="00D53C19"/>
    <w:rsid w:val="00D53E52"/>
    <w:rsid w:val="00D5471A"/>
    <w:rsid w:val="00D54C0C"/>
    <w:rsid w:val="00D54FE1"/>
    <w:rsid w:val="00D55DAB"/>
    <w:rsid w:val="00D563F4"/>
    <w:rsid w:val="00D56780"/>
    <w:rsid w:val="00D56A63"/>
    <w:rsid w:val="00D56C34"/>
    <w:rsid w:val="00D576A4"/>
    <w:rsid w:val="00D6047F"/>
    <w:rsid w:val="00D60733"/>
    <w:rsid w:val="00D62C8E"/>
    <w:rsid w:val="00D631AE"/>
    <w:rsid w:val="00D7153F"/>
    <w:rsid w:val="00D7194E"/>
    <w:rsid w:val="00D7216E"/>
    <w:rsid w:val="00D72521"/>
    <w:rsid w:val="00D7280D"/>
    <w:rsid w:val="00D72A1C"/>
    <w:rsid w:val="00D73192"/>
    <w:rsid w:val="00D731FF"/>
    <w:rsid w:val="00D73B0A"/>
    <w:rsid w:val="00D73D53"/>
    <w:rsid w:val="00D747F9"/>
    <w:rsid w:val="00D7619C"/>
    <w:rsid w:val="00D76A5C"/>
    <w:rsid w:val="00D77150"/>
    <w:rsid w:val="00D812FA"/>
    <w:rsid w:val="00D81A24"/>
    <w:rsid w:val="00D81D60"/>
    <w:rsid w:val="00D826F8"/>
    <w:rsid w:val="00D82C3A"/>
    <w:rsid w:val="00D82DBB"/>
    <w:rsid w:val="00D830DA"/>
    <w:rsid w:val="00D83485"/>
    <w:rsid w:val="00D83510"/>
    <w:rsid w:val="00D83B67"/>
    <w:rsid w:val="00D84580"/>
    <w:rsid w:val="00D84922"/>
    <w:rsid w:val="00D84AE7"/>
    <w:rsid w:val="00D854B7"/>
    <w:rsid w:val="00D85764"/>
    <w:rsid w:val="00D859D5"/>
    <w:rsid w:val="00D85A99"/>
    <w:rsid w:val="00D87635"/>
    <w:rsid w:val="00D901C0"/>
    <w:rsid w:val="00D9252B"/>
    <w:rsid w:val="00D92B03"/>
    <w:rsid w:val="00D92F41"/>
    <w:rsid w:val="00D931A8"/>
    <w:rsid w:val="00D93250"/>
    <w:rsid w:val="00D937E2"/>
    <w:rsid w:val="00D9491B"/>
    <w:rsid w:val="00D94BC8"/>
    <w:rsid w:val="00D94C8E"/>
    <w:rsid w:val="00D94D55"/>
    <w:rsid w:val="00D952F4"/>
    <w:rsid w:val="00D95CDB"/>
    <w:rsid w:val="00D96B34"/>
    <w:rsid w:val="00D97004"/>
    <w:rsid w:val="00D976C3"/>
    <w:rsid w:val="00DA0AF1"/>
    <w:rsid w:val="00DA0BFE"/>
    <w:rsid w:val="00DA1C13"/>
    <w:rsid w:val="00DA2003"/>
    <w:rsid w:val="00DA2317"/>
    <w:rsid w:val="00DA31ED"/>
    <w:rsid w:val="00DA5CCC"/>
    <w:rsid w:val="00DA72D4"/>
    <w:rsid w:val="00DA77EE"/>
    <w:rsid w:val="00DB1D18"/>
    <w:rsid w:val="00DB231B"/>
    <w:rsid w:val="00DB2439"/>
    <w:rsid w:val="00DB2EBA"/>
    <w:rsid w:val="00DB35A1"/>
    <w:rsid w:val="00DB4D46"/>
    <w:rsid w:val="00DB5015"/>
    <w:rsid w:val="00DB6C57"/>
    <w:rsid w:val="00DB713C"/>
    <w:rsid w:val="00DB72C9"/>
    <w:rsid w:val="00DB77AC"/>
    <w:rsid w:val="00DC0066"/>
    <w:rsid w:val="00DC0B4D"/>
    <w:rsid w:val="00DC2B64"/>
    <w:rsid w:val="00DC46A3"/>
    <w:rsid w:val="00DC485D"/>
    <w:rsid w:val="00DC4CE6"/>
    <w:rsid w:val="00DC55A6"/>
    <w:rsid w:val="00DC5A27"/>
    <w:rsid w:val="00DC6DD7"/>
    <w:rsid w:val="00DD09E6"/>
    <w:rsid w:val="00DD0ECF"/>
    <w:rsid w:val="00DD3473"/>
    <w:rsid w:val="00DD3E8C"/>
    <w:rsid w:val="00DD771E"/>
    <w:rsid w:val="00DD778B"/>
    <w:rsid w:val="00DE16F5"/>
    <w:rsid w:val="00DE2A10"/>
    <w:rsid w:val="00DE3A2B"/>
    <w:rsid w:val="00DE3DF9"/>
    <w:rsid w:val="00DE47DA"/>
    <w:rsid w:val="00DE52D8"/>
    <w:rsid w:val="00DE6514"/>
    <w:rsid w:val="00DF1DC3"/>
    <w:rsid w:val="00DF1FB7"/>
    <w:rsid w:val="00DF225A"/>
    <w:rsid w:val="00DF2CD3"/>
    <w:rsid w:val="00DF2F29"/>
    <w:rsid w:val="00DF35DA"/>
    <w:rsid w:val="00DF5302"/>
    <w:rsid w:val="00DF55A3"/>
    <w:rsid w:val="00DF5875"/>
    <w:rsid w:val="00DF5ED4"/>
    <w:rsid w:val="00DF65A6"/>
    <w:rsid w:val="00DF77D8"/>
    <w:rsid w:val="00E000F1"/>
    <w:rsid w:val="00E001CE"/>
    <w:rsid w:val="00E003FA"/>
    <w:rsid w:val="00E016F0"/>
    <w:rsid w:val="00E01898"/>
    <w:rsid w:val="00E01BAA"/>
    <w:rsid w:val="00E0510E"/>
    <w:rsid w:val="00E051F9"/>
    <w:rsid w:val="00E05314"/>
    <w:rsid w:val="00E058AB"/>
    <w:rsid w:val="00E05B4D"/>
    <w:rsid w:val="00E05ECE"/>
    <w:rsid w:val="00E0674F"/>
    <w:rsid w:val="00E07476"/>
    <w:rsid w:val="00E0793F"/>
    <w:rsid w:val="00E101AA"/>
    <w:rsid w:val="00E1056C"/>
    <w:rsid w:val="00E10D1C"/>
    <w:rsid w:val="00E111CB"/>
    <w:rsid w:val="00E112BA"/>
    <w:rsid w:val="00E115F7"/>
    <w:rsid w:val="00E11A5D"/>
    <w:rsid w:val="00E124AD"/>
    <w:rsid w:val="00E13B7B"/>
    <w:rsid w:val="00E145B3"/>
    <w:rsid w:val="00E17383"/>
    <w:rsid w:val="00E17A0D"/>
    <w:rsid w:val="00E2002E"/>
    <w:rsid w:val="00E2074F"/>
    <w:rsid w:val="00E2193F"/>
    <w:rsid w:val="00E22707"/>
    <w:rsid w:val="00E229EA"/>
    <w:rsid w:val="00E22B43"/>
    <w:rsid w:val="00E2324A"/>
    <w:rsid w:val="00E24043"/>
    <w:rsid w:val="00E24D98"/>
    <w:rsid w:val="00E25E06"/>
    <w:rsid w:val="00E26203"/>
    <w:rsid w:val="00E2667C"/>
    <w:rsid w:val="00E3160D"/>
    <w:rsid w:val="00E31C58"/>
    <w:rsid w:val="00E31D28"/>
    <w:rsid w:val="00E32756"/>
    <w:rsid w:val="00E33C02"/>
    <w:rsid w:val="00E33DD9"/>
    <w:rsid w:val="00E3448B"/>
    <w:rsid w:val="00E34B67"/>
    <w:rsid w:val="00E35B10"/>
    <w:rsid w:val="00E35F42"/>
    <w:rsid w:val="00E36705"/>
    <w:rsid w:val="00E37170"/>
    <w:rsid w:val="00E40DEC"/>
    <w:rsid w:val="00E41331"/>
    <w:rsid w:val="00E4391A"/>
    <w:rsid w:val="00E4400E"/>
    <w:rsid w:val="00E47275"/>
    <w:rsid w:val="00E47631"/>
    <w:rsid w:val="00E47BB2"/>
    <w:rsid w:val="00E51012"/>
    <w:rsid w:val="00E511F2"/>
    <w:rsid w:val="00E534A1"/>
    <w:rsid w:val="00E540CD"/>
    <w:rsid w:val="00E54D27"/>
    <w:rsid w:val="00E55B66"/>
    <w:rsid w:val="00E55F2E"/>
    <w:rsid w:val="00E5660E"/>
    <w:rsid w:val="00E61017"/>
    <w:rsid w:val="00E61319"/>
    <w:rsid w:val="00E618E0"/>
    <w:rsid w:val="00E61980"/>
    <w:rsid w:val="00E61C82"/>
    <w:rsid w:val="00E62D33"/>
    <w:rsid w:val="00E6329F"/>
    <w:rsid w:val="00E636BB"/>
    <w:rsid w:val="00E63FD4"/>
    <w:rsid w:val="00E66B98"/>
    <w:rsid w:val="00E676ED"/>
    <w:rsid w:val="00E67DAA"/>
    <w:rsid w:val="00E71371"/>
    <w:rsid w:val="00E717F6"/>
    <w:rsid w:val="00E73B42"/>
    <w:rsid w:val="00E743CB"/>
    <w:rsid w:val="00E7505A"/>
    <w:rsid w:val="00E75509"/>
    <w:rsid w:val="00E761C9"/>
    <w:rsid w:val="00E7682F"/>
    <w:rsid w:val="00E76F52"/>
    <w:rsid w:val="00E80333"/>
    <w:rsid w:val="00E81D30"/>
    <w:rsid w:val="00E821C0"/>
    <w:rsid w:val="00E82277"/>
    <w:rsid w:val="00E82DC3"/>
    <w:rsid w:val="00E835DB"/>
    <w:rsid w:val="00E837DF"/>
    <w:rsid w:val="00E83C8C"/>
    <w:rsid w:val="00E8544B"/>
    <w:rsid w:val="00E85CD8"/>
    <w:rsid w:val="00E8697B"/>
    <w:rsid w:val="00E86BA2"/>
    <w:rsid w:val="00E87D28"/>
    <w:rsid w:val="00E905FB"/>
    <w:rsid w:val="00E90834"/>
    <w:rsid w:val="00E91750"/>
    <w:rsid w:val="00E92913"/>
    <w:rsid w:val="00E9494F"/>
    <w:rsid w:val="00E94C5C"/>
    <w:rsid w:val="00E963D6"/>
    <w:rsid w:val="00E96489"/>
    <w:rsid w:val="00E96E68"/>
    <w:rsid w:val="00EA10D0"/>
    <w:rsid w:val="00EA1CB3"/>
    <w:rsid w:val="00EA1D2E"/>
    <w:rsid w:val="00EA5664"/>
    <w:rsid w:val="00EA69DB"/>
    <w:rsid w:val="00EA6AC8"/>
    <w:rsid w:val="00EA7FD9"/>
    <w:rsid w:val="00EB0661"/>
    <w:rsid w:val="00EB0BD6"/>
    <w:rsid w:val="00EB10D6"/>
    <w:rsid w:val="00EB1756"/>
    <w:rsid w:val="00EB1A9B"/>
    <w:rsid w:val="00EB28C9"/>
    <w:rsid w:val="00EB2C41"/>
    <w:rsid w:val="00EB35D4"/>
    <w:rsid w:val="00EB386B"/>
    <w:rsid w:val="00EB451D"/>
    <w:rsid w:val="00EB45E1"/>
    <w:rsid w:val="00EB6430"/>
    <w:rsid w:val="00EB659A"/>
    <w:rsid w:val="00EB7CE0"/>
    <w:rsid w:val="00EC09F1"/>
    <w:rsid w:val="00EC0A7F"/>
    <w:rsid w:val="00EC0ED1"/>
    <w:rsid w:val="00EC2DD5"/>
    <w:rsid w:val="00EC30D0"/>
    <w:rsid w:val="00EC334C"/>
    <w:rsid w:val="00EC4ADD"/>
    <w:rsid w:val="00EC4F9A"/>
    <w:rsid w:val="00EC51C6"/>
    <w:rsid w:val="00EC5920"/>
    <w:rsid w:val="00EC6961"/>
    <w:rsid w:val="00EC6D01"/>
    <w:rsid w:val="00EC7175"/>
    <w:rsid w:val="00EC7238"/>
    <w:rsid w:val="00EC7444"/>
    <w:rsid w:val="00ED0397"/>
    <w:rsid w:val="00ED144D"/>
    <w:rsid w:val="00ED1525"/>
    <w:rsid w:val="00ED23F9"/>
    <w:rsid w:val="00ED29DA"/>
    <w:rsid w:val="00ED2E0E"/>
    <w:rsid w:val="00ED390F"/>
    <w:rsid w:val="00ED3937"/>
    <w:rsid w:val="00ED3C7C"/>
    <w:rsid w:val="00ED5FCB"/>
    <w:rsid w:val="00ED665A"/>
    <w:rsid w:val="00ED7502"/>
    <w:rsid w:val="00EE06D6"/>
    <w:rsid w:val="00EE1326"/>
    <w:rsid w:val="00EE2845"/>
    <w:rsid w:val="00EE2AE3"/>
    <w:rsid w:val="00EE334C"/>
    <w:rsid w:val="00EE33D8"/>
    <w:rsid w:val="00EE392D"/>
    <w:rsid w:val="00EE3D1F"/>
    <w:rsid w:val="00EE4035"/>
    <w:rsid w:val="00EE53EB"/>
    <w:rsid w:val="00EE58BB"/>
    <w:rsid w:val="00EE5C60"/>
    <w:rsid w:val="00EE6038"/>
    <w:rsid w:val="00EE6619"/>
    <w:rsid w:val="00EE6C50"/>
    <w:rsid w:val="00EE6E1D"/>
    <w:rsid w:val="00EE6EA1"/>
    <w:rsid w:val="00EE735C"/>
    <w:rsid w:val="00EF049D"/>
    <w:rsid w:val="00EF15AE"/>
    <w:rsid w:val="00EF1647"/>
    <w:rsid w:val="00EF1CB1"/>
    <w:rsid w:val="00EF28DE"/>
    <w:rsid w:val="00EF2E3D"/>
    <w:rsid w:val="00EF58D3"/>
    <w:rsid w:val="00EF5B55"/>
    <w:rsid w:val="00EF5FCC"/>
    <w:rsid w:val="00EF67B1"/>
    <w:rsid w:val="00EF7144"/>
    <w:rsid w:val="00EF7E6D"/>
    <w:rsid w:val="00F00A6A"/>
    <w:rsid w:val="00F00BDB"/>
    <w:rsid w:val="00F0164C"/>
    <w:rsid w:val="00F0165E"/>
    <w:rsid w:val="00F023E7"/>
    <w:rsid w:val="00F02F6B"/>
    <w:rsid w:val="00F039A2"/>
    <w:rsid w:val="00F0558B"/>
    <w:rsid w:val="00F05C40"/>
    <w:rsid w:val="00F061FC"/>
    <w:rsid w:val="00F062D5"/>
    <w:rsid w:val="00F064D2"/>
    <w:rsid w:val="00F06562"/>
    <w:rsid w:val="00F07F07"/>
    <w:rsid w:val="00F110CE"/>
    <w:rsid w:val="00F1169B"/>
    <w:rsid w:val="00F12689"/>
    <w:rsid w:val="00F1293A"/>
    <w:rsid w:val="00F1317C"/>
    <w:rsid w:val="00F14C55"/>
    <w:rsid w:val="00F1529A"/>
    <w:rsid w:val="00F1593C"/>
    <w:rsid w:val="00F16602"/>
    <w:rsid w:val="00F16DBF"/>
    <w:rsid w:val="00F173A7"/>
    <w:rsid w:val="00F2097A"/>
    <w:rsid w:val="00F20C0C"/>
    <w:rsid w:val="00F210F6"/>
    <w:rsid w:val="00F22173"/>
    <w:rsid w:val="00F22491"/>
    <w:rsid w:val="00F234D5"/>
    <w:rsid w:val="00F24927"/>
    <w:rsid w:val="00F267DF"/>
    <w:rsid w:val="00F26945"/>
    <w:rsid w:val="00F27FCE"/>
    <w:rsid w:val="00F30622"/>
    <w:rsid w:val="00F3144B"/>
    <w:rsid w:val="00F32D2B"/>
    <w:rsid w:val="00F337B4"/>
    <w:rsid w:val="00F344E4"/>
    <w:rsid w:val="00F34542"/>
    <w:rsid w:val="00F35F03"/>
    <w:rsid w:val="00F362D8"/>
    <w:rsid w:val="00F37988"/>
    <w:rsid w:val="00F40309"/>
    <w:rsid w:val="00F415BD"/>
    <w:rsid w:val="00F41649"/>
    <w:rsid w:val="00F41A45"/>
    <w:rsid w:val="00F41A9D"/>
    <w:rsid w:val="00F41FD0"/>
    <w:rsid w:val="00F429A7"/>
    <w:rsid w:val="00F45186"/>
    <w:rsid w:val="00F46042"/>
    <w:rsid w:val="00F46BE9"/>
    <w:rsid w:val="00F470FD"/>
    <w:rsid w:val="00F474EC"/>
    <w:rsid w:val="00F47970"/>
    <w:rsid w:val="00F50057"/>
    <w:rsid w:val="00F5011C"/>
    <w:rsid w:val="00F50AA8"/>
    <w:rsid w:val="00F518C1"/>
    <w:rsid w:val="00F519DD"/>
    <w:rsid w:val="00F524CC"/>
    <w:rsid w:val="00F52B52"/>
    <w:rsid w:val="00F52D94"/>
    <w:rsid w:val="00F5351A"/>
    <w:rsid w:val="00F5388F"/>
    <w:rsid w:val="00F54A61"/>
    <w:rsid w:val="00F54ED4"/>
    <w:rsid w:val="00F5612E"/>
    <w:rsid w:val="00F561C4"/>
    <w:rsid w:val="00F56C22"/>
    <w:rsid w:val="00F57DDF"/>
    <w:rsid w:val="00F60BAD"/>
    <w:rsid w:val="00F62FBF"/>
    <w:rsid w:val="00F64243"/>
    <w:rsid w:val="00F6499B"/>
    <w:rsid w:val="00F64D7C"/>
    <w:rsid w:val="00F6555F"/>
    <w:rsid w:val="00F65EED"/>
    <w:rsid w:val="00F665C3"/>
    <w:rsid w:val="00F66E13"/>
    <w:rsid w:val="00F67548"/>
    <w:rsid w:val="00F676B4"/>
    <w:rsid w:val="00F70A54"/>
    <w:rsid w:val="00F711A0"/>
    <w:rsid w:val="00F724B9"/>
    <w:rsid w:val="00F728C3"/>
    <w:rsid w:val="00F72985"/>
    <w:rsid w:val="00F73120"/>
    <w:rsid w:val="00F73463"/>
    <w:rsid w:val="00F738F7"/>
    <w:rsid w:val="00F74477"/>
    <w:rsid w:val="00F76B19"/>
    <w:rsid w:val="00F77104"/>
    <w:rsid w:val="00F77423"/>
    <w:rsid w:val="00F80BA4"/>
    <w:rsid w:val="00F80CF8"/>
    <w:rsid w:val="00F81A09"/>
    <w:rsid w:val="00F81B14"/>
    <w:rsid w:val="00F831C2"/>
    <w:rsid w:val="00F83398"/>
    <w:rsid w:val="00F8351D"/>
    <w:rsid w:val="00F84E55"/>
    <w:rsid w:val="00F86224"/>
    <w:rsid w:val="00F86263"/>
    <w:rsid w:val="00F86A53"/>
    <w:rsid w:val="00F872ED"/>
    <w:rsid w:val="00F87D54"/>
    <w:rsid w:val="00F90266"/>
    <w:rsid w:val="00F90842"/>
    <w:rsid w:val="00F90E8A"/>
    <w:rsid w:val="00F91238"/>
    <w:rsid w:val="00F91636"/>
    <w:rsid w:val="00F919C5"/>
    <w:rsid w:val="00F92E74"/>
    <w:rsid w:val="00F93CAD"/>
    <w:rsid w:val="00F93E54"/>
    <w:rsid w:val="00F94675"/>
    <w:rsid w:val="00F95262"/>
    <w:rsid w:val="00F954CD"/>
    <w:rsid w:val="00F95516"/>
    <w:rsid w:val="00F95769"/>
    <w:rsid w:val="00F96312"/>
    <w:rsid w:val="00F963E2"/>
    <w:rsid w:val="00F963F4"/>
    <w:rsid w:val="00F9646A"/>
    <w:rsid w:val="00F96504"/>
    <w:rsid w:val="00F96566"/>
    <w:rsid w:val="00F97A3D"/>
    <w:rsid w:val="00FA272C"/>
    <w:rsid w:val="00FA2D68"/>
    <w:rsid w:val="00FA2F86"/>
    <w:rsid w:val="00FA34B5"/>
    <w:rsid w:val="00FA3668"/>
    <w:rsid w:val="00FA366B"/>
    <w:rsid w:val="00FA4ABB"/>
    <w:rsid w:val="00FA5A1D"/>
    <w:rsid w:val="00FA75E6"/>
    <w:rsid w:val="00FA7D9C"/>
    <w:rsid w:val="00FA7EC5"/>
    <w:rsid w:val="00FB0D95"/>
    <w:rsid w:val="00FB0F69"/>
    <w:rsid w:val="00FB11B1"/>
    <w:rsid w:val="00FB2464"/>
    <w:rsid w:val="00FB3415"/>
    <w:rsid w:val="00FB356E"/>
    <w:rsid w:val="00FB4241"/>
    <w:rsid w:val="00FB51C0"/>
    <w:rsid w:val="00FB5B28"/>
    <w:rsid w:val="00FB6941"/>
    <w:rsid w:val="00FB71C5"/>
    <w:rsid w:val="00FB71E1"/>
    <w:rsid w:val="00FB7991"/>
    <w:rsid w:val="00FC098B"/>
    <w:rsid w:val="00FC0C8B"/>
    <w:rsid w:val="00FC105B"/>
    <w:rsid w:val="00FC1377"/>
    <w:rsid w:val="00FC187B"/>
    <w:rsid w:val="00FC1A53"/>
    <w:rsid w:val="00FC1AC0"/>
    <w:rsid w:val="00FC1F72"/>
    <w:rsid w:val="00FC28E7"/>
    <w:rsid w:val="00FC3393"/>
    <w:rsid w:val="00FC4655"/>
    <w:rsid w:val="00FC4F1F"/>
    <w:rsid w:val="00FC63E9"/>
    <w:rsid w:val="00FC6EC5"/>
    <w:rsid w:val="00FC77BB"/>
    <w:rsid w:val="00FD0159"/>
    <w:rsid w:val="00FD0223"/>
    <w:rsid w:val="00FD0330"/>
    <w:rsid w:val="00FD1B51"/>
    <w:rsid w:val="00FD1CE3"/>
    <w:rsid w:val="00FD1E62"/>
    <w:rsid w:val="00FD38B0"/>
    <w:rsid w:val="00FD5619"/>
    <w:rsid w:val="00FD65F9"/>
    <w:rsid w:val="00FE1A35"/>
    <w:rsid w:val="00FE31FE"/>
    <w:rsid w:val="00FE3297"/>
    <w:rsid w:val="00FE3330"/>
    <w:rsid w:val="00FE3384"/>
    <w:rsid w:val="00FE37DB"/>
    <w:rsid w:val="00FE392A"/>
    <w:rsid w:val="00FE455A"/>
    <w:rsid w:val="00FE4C43"/>
    <w:rsid w:val="00FE598A"/>
    <w:rsid w:val="00FE7695"/>
    <w:rsid w:val="00FE7C8E"/>
    <w:rsid w:val="00FF015D"/>
    <w:rsid w:val="00FF07BB"/>
    <w:rsid w:val="00FF15C8"/>
    <w:rsid w:val="00FF18F3"/>
    <w:rsid w:val="00FF1BD2"/>
    <w:rsid w:val="00FF20B4"/>
    <w:rsid w:val="00FF213E"/>
    <w:rsid w:val="00FF220A"/>
    <w:rsid w:val="00FF2B88"/>
    <w:rsid w:val="00FF3C4F"/>
    <w:rsid w:val="00FF4821"/>
    <w:rsid w:val="00FF48E2"/>
    <w:rsid w:val="00FF53B0"/>
    <w:rsid w:val="00FF6074"/>
    <w:rsid w:val="00FF7AD3"/>
    <w:rsid w:val="00FF7C7D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6155B0BA"/>
  <w15:docId w15:val="{DDC72610-F812-4911-9A2A-2381A41C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44A"/>
  </w:style>
  <w:style w:type="paragraph" w:styleId="Nadpis1">
    <w:name w:val="heading 1"/>
    <w:basedOn w:val="Normln"/>
    <w:next w:val="Normln"/>
    <w:link w:val="Nadpis1Char"/>
    <w:uiPriority w:val="9"/>
    <w:qFormat/>
    <w:rsid w:val="00DC0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84AA7"/>
    <w:pPr>
      <w:keepNext/>
      <w:spacing w:before="360" w:after="240" w:line="240" w:lineRule="auto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4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qFormat/>
    <w:rsid w:val="00184AA7"/>
    <w:pPr>
      <w:keepLines/>
      <w:spacing w:before="240" w:after="60"/>
      <w:ind w:left="1134" w:hanging="850"/>
      <w:outlineLvl w:val="2"/>
    </w:pPr>
    <w:rPr>
      <w:rFonts w:ascii="Arial" w:hAnsi="Arial" w:cs="Arial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184AA7"/>
    <w:pPr>
      <w:keepNext/>
      <w:spacing w:after="120" w:line="240" w:lineRule="auto"/>
      <w:jc w:val="both"/>
      <w:outlineLvl w:val="3"/>
    </w:pPr>
    <w:rPr>
      <w:rFonts w:ascii="Calibri" w:eastAsia="Times New Roman" w:hAnsi="Calibri" w:cs="Times New Roman"/>
      <w:sz w:val="28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184AA7"/>
    <w:pPr>
      <w:numPr>
        <w:numId w:val="2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4AA7"/>
    <w:pPr>
      <w:keepNext/>
      <w:spacing w:after="120" w:line="240" w:lineRule="auto"/>
      <w:jc w:val="both"/>
      <w:outlineLvl w:val="5"/>
    </w:pPr>
    <w:rPr>
      <w:rFonts w:ascii="Calibri" w:eastAsia="Times New Roman" w:hAnsi="Calibri" w:cs="Times New Roman"/>
      <w:b/>
      <w:bCs/>
      <w:sz w:val="32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84AA7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84AA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84AA7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6961"/>
  </w:style>
  <w:style w:type="paragraph" w:styleId="Zpat">
    <w:name w:val="footer"/>
    <w:basedOn w:val="Normln"/>
    <w:link w:val="ZpatChar"/>
    <w:uiPriority w:val="99"/>
    <w:unhideWhenUsed/>
    <w:rsid w:val="00EC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961"/>
  </w:style>
  <w:style w:type="paragraph" w:styleId="Textbubliny">
    <w:name w:val="Balloon Text"/>
    <w:basedOn w:val="Normln"/>
    <w:link w:val="TextbublinyChar"/>
    <w:semiHidden/>
    <w:unhideWhenUsed/>
    <w:rsid w:val="008E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E69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2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2E001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11FDA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7479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79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479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47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47902"/>
    <w:rPr>
      <w:b/>
      <w:bCs/>
      <w:sz w:val="20"/>
      <w:szCs w:val="20"/>
    </w:rPr>
  </w:style>
  <w:style w:type="paragraph" w:customStyle="1" w:styleId="NormlnKZ">
    <w:name w:val="Normální KZ"/>
    <w:basedOn w:val="Normln"/>
    <w:rsid w:val="000B37AA"/>
    <w:pPr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aliases w:val="Nadpis pro KZ"/>
    <w:basedOn w:val="Normln"/>
    <w:link w:val="OdstavecseseznamemChar"/>
    <w:uiPriority w:val="34"/>
    <w:qFormat/>
    <w:rsid w:val="0059646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45C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5C92"/>
    <w:rPr>
      <w:sz w:val="20"/>
      <w:szCs w:val="20"/>
    </w:rPr>
  </w:style>
  <w:style w:type="character" w:styleId="Znakapoznpodarou">
    <w:name w:val="footnote reference"/>
    <w:aliases w:val="PGI Fußnote Ziffer,number,PGI Fußnote Ziffer + Times New Roman,12 b.,Zúžené o ..."/>
    <w:basedOn w:val="Standardnpsmoodstavce"/>
    <w:uiPriority w:val="99"/>
    <w:unhideWhenUsed/>
    <w:rsid w:val="00D45C92"/>
    <w:rPr>
      <w:vertAlign w:val="superscript"/>
    </w:rPr>
  </w:style>
  <w:style w:type="paragraph" w:styleId="Bezmezer">
    <w:name w:val="No Spacing"/>
    <w:uiPriority w:val="1"/>
    <w:qFormat/>
    <w:rsid w:val="004B390D"/>
    <w:pPr>
      <w:spacing w:after="0" w:line="240" w:lineRule="auto"/>
    </w:pPr>
  </w:style>
  <w:style w:type="paragraph" w:customStyle="1" w:styleId="rove1">
    <w:name w:val="úroveň 1"/>
    <w:basedOn w:val="Nadpis1"/>
    <w:qFormat/>
    <w:rsid w:val="00DC0066"/>
    <w:pPr>
      <w:keepLines w:val="0"/>
      <w:numPr>
        <w:numId w:val="1"/>
      </w:numPr>
      <w:spacing w:before="120" w:line="360" w:lineRule="auto"/>
      <w:ind w:left="720"/>
    </w:pPr>
    <w:rPr>
      <w:rFonts w:ascii="Arial" w:eastAsia="Times New Roman" w:hAnsi="Arial" w:cs="Arial"/>
      <w:bCs w:val="0"/>
      <w:color w:val="auto"/>
      <w:szCs w:val="24"/>
    </w:rPr>
  </w:style>
  <w:style w:type="paragraph" w:customStyle="1" w:styleId="rove2">
    <w:name w:val="úroveň 2"/>
    <w:basedOn w:val="rove1"/>
    <w:qFormat/>
    <w:rsid w:val="00DC0066"/>
    <w:pPr>
      <w:numPr>
        <w:ilvl w:val="1"/>
      </w:numPr>
      <w:ind w:left="1440" w:hanging="360"/>
      <w:jc w:val="both"/>
    </w:pPr>
    <w:rPr>
      <w:sz w:val="24"/>
    </w:rPr>
  </w:style>
  <w:style w:type="paragraph" w:customStyle="1" w:styleId="rove3">
    <w:name w:val="úroveň3"/>
    <w:basedOn w:val="Normln"/>
    <w:qFormat/>
    <w:rsid w:val="00DC0066"/>
    <w:pPr>
      <w:keepNext/>
      <w:numPr>
        <w:ilvl w:val="2"/>
        <w:numId w:val="1"/>
      </w:numPr>
      <w:spacing w:before="120" w:after="0" w:line="360" w:lineRule="auto"/>
      <w:ind w:left="709" w:hanging="709"/>
      <w:jc w:val="both"/>
      <w:outlineLvl w:val="0"/>
    </w:pPr>
    <w:rPr>
      <w:rFonts w:ascii="Arial" w:eastAsia="Times New Roman" w:hAnsi="Arial" w:cs="Arial"/>
      <w:b/>
      <w:szCs w:val="24"/>
    </w:rPr>
  </w:style>
  <w:style w:type="paragraph" w:customStyle="1" w:styleId="rove4">
    <w:name w:val="úroveň4"/>
    <w:basedOn w:val="rove3"/>
    <w:qFormat/>
    <w:rsid w:val="00DC0066"/>
    <w:pPr>
      <w:numPr>
        <w:ilvl w:val="3"/>
      </w:numPr>
      <w:ind w:left="567" w:hanging="567"/>
    </w:pPr>
    <w:rPr>
      <w:i/>
    </w:rPr>
  </w:style>
  <w:style w:type="paragraph" w:customStyle="1" w:styleId="rove5">
    <w:name w:val="úroveň 5"/>
    <w:basedOn w:val="rove4"/>
    <w:link w:val="rove5Char"/>
    <w:qFormat/>
    <w:rsid w:val="00DC0066"/>
    <w:pPr>
      <w:numPr>
        <w:ilvl w:val="4"/>
      </w:numPr>
      <w:ind w:left="709" w:hanging="709"/>
    </w:pPr>
  </w:style>
  <w:style w:type="character" w:customStyle="1" w:styleId="rove5Char">
    <w:name w:val="úroveň 5 Char"/>
    <w:basedOn w:val="Standardnpsmoodstavce"/>
    <w:link w:val="rove5"/>
    <w:rsid w:val="00DC0066"/>
    <w:rPr>
      <w:rFonts w:ascii="Arial" w:eastAsia="Times New Roman" w:hAnsi="Arial" w:cs="Arial"/>
      <w:b/>
      <w:i/>
      <w:szCs w:val="24"/>
    </w:rPr>
  </w:style>
  <w:style w:type="paragraph" w:customStyle="1" w:styleId="rove6">
    <w:name w:val="úroveň 6"/>
    <w:basedOn w:val="rove5"/>
    <w:qFormat/>
    <w:rsid w:val="00DC0066"/>
    <w:pPr>
      <w:numPr>
        <w:ilvl w:val="5"/>
      </w:numPr>
      <w:spacing w:before="0" w:after="120" w:line="240" w:lineRule="auto"/>
      <w:ind w:left="4320" w:hanging="360"/>
    </w:pPr>
    <w:rPr>
      <w:b w:val="0"/>
    </w:rPr>
  </w:style>
  <w:style w:type="character" w:customStyle="1" w:styleId="Nadpis1Char">
    <w:name w:val="Nadpis 1 Char"/>
    <w:basedOn w:val="Standardnpsmoodstavce"/>
    <w:link w:val="Nadpis1"/>
    <w:uiPriority w:val="9"/>
    <w:rsid w:val="00DC0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edovanodkaz">
    <w:name w:val="FollowedHyperlink"/>
    <w:basedOn w:val="Standardnpsmoodstavce"/>
    <w:semiHidden/>
    <w:unhideWhenUsed/>
    <w:rsid w:val="00206B08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rsid w:val="00C16B17"/>
    <w:pPr>
      <w:spacing w:after="120" w:line="240" w:lineRule="auto"/>
      <w:ind w:firstLine="68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16B17"/>
    <w:rPr>
      <w:rFonts w:ascii="Arial" w:eastAsia="Times New Roman" w:hAnsi="Arial" w:cs="Arial"/>
      <w:sz w:val="24"/>
      <w:szCs w:val="24"/>
    </w:rPr>
  </w:style>
  <w:style w:type="paragraph" w:styleId="Revize">
    <w:name w:val="Revision"/>
    <w:hidden/>
    <w:semiHidden/>
    <w:rsid w:val="00C705CD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84AA7"/>
    <w:rPr>
      <w:rFonts w:ascii="Calibri" w:eastAsia="Times New Roman" w:hAnsi="Calibri" w:cs="Times New Roman"/>
      <w:b/>
      <w:bCs/>
      <w:i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4AA7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184AA7"/>
    <w:rPr>
      <w:rFonts w:ascii="Calibri" w:eastAsia="Times New Roman" w:hAnsi="Calibri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84A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4AA7"/>
    <w:rPr>
      <w:rFonts w:ascii="Calibri" w:eastAsia="Times New Roman" w:hAnsi="Calibri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84AA7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84AA7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84AA7"/>
    <w:rPr>
      <w:rFonts w:ascii="Arial" w:eastAsia="Times New Roman" w:hAnsi="Arial" w:cs="Arial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84AA7"/>
  </w:style>
  <w:style w:type="paragraph" w:customStyle="1" w:styleId="Zpravodaj1">
    <w:name w:val="Zpravodaj 1"/>
    <w:basedOn w:val="Zkladntext2"/>
    <w:next w:val="Zkladntext2"/>
    <w:rsid w:val="00184AA7"/>
    <w:pPr>
      <w:spacing w:after="0" w:line="240" w:lineRule="auto"/>
    </w:pPr>
    <w:rPr>
      <w:rFonts w:ascii="Palatino Linotype" w:hAnsi="Palatino Linotype" w:cs="Arial"/>
      <w:b/>
      <w:bCs/>
      <w:color w:val="000080"/>
      <w:sz w:val="40"/>
    </w:rPr>
  </w:style>
  <w:style w:type="paragraph" w:styleId="Zkladntext2">
    <w:name w:val="Body Text 2"/>
    <w:basedOn w:val="Normln"/>
    <w:link w:val="Zkladntext2Char"/>
    <w:semiHidden/>
    <w:rsid w:val="00184AA7"/>
    <w:pPr>
      <w:spacing w:after="120" w:line="48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84AA7"/>
    <w:rPr>
      <w:rFonts w:ascii="Calibri" w:eastAsia="Times New Roman" w:hAnsi="Calibri" w:cs="Times New Roman"/>
      <w:sz w:val="24"/>
      <w:szCs w:val="24"/>
    </w:rPr>
  </w:style>
  <w:style w:type="paragraph" w:customStyle="1" w:styleId="Zpravodaj2">
    <w:name w:val="Zpravodaj2"/>
    <w:basedOn w:val="Nadpis1"/>
    <w:next w:val="Zkladntext"/>
    <w:rsid w:val="00184AA7"/>
    <w:pPr>
      <w:keepLines w:val="0"/>
      <w:tabs>
        <w:tab w:val="num" w:pos="720"/>
      </w:tabs>
      <w:spacing w:before="0" w:line="240" w:lineRule="auto"/>
      <w:ind w:left="720" w:hanging="360"/>
      <w:jc w:val="both"/>
    </w:pPr>
    <w:rPr>
      <w:rFonts w:ascii="Palatino Linotype" w:eastAsia="Times New Roman" w:hAnsi="Palatino Linotype" w:cs="Times New Roman"/>
      <w:color w:val="auto"/>
      <w:szCs w:val="24"/>
    </w:rPr>
  </w:style>
  <w:style w:type="paragraph" w:customStyle="1" w:styleId="Zpravodaj3">
    <w:name w:val="Zpravodaj3"/>
    <w:basedOn w:val="Nadpis5"/>
    <w:next w:val="Zkladntext"/>
    <w:rsid w:val="00184AA7"/>
    <w:pPr>
      <w:keepNext/>
      <w:spacing w:before="0" w:after="0"/>
    </w:pPr>
    <w:rPr>
      <w:rFonts w:ascii="Palatino Linotype" w:hAnsi="Palatino Linotype"/>
      <w:sz w:val="28"/>
      <w:szCs w:val="24"/>
      <w:u w:val="single"/>
    </w:rPr>
  </w:style>
  <w:style w:type="paragraph" w:customStyle="1" w:styleId="KZ-nadpis">
    <w:name w:val="KZ-nadpis"/>
    <w:basedOn w:val="Normln"/>
    <w:next w:val="Normln"/>
    <w:rsid w:val="00184AA7"/>
    <w:pPr>
      <w:numPr>
        <w:numId w:val="3"/>
      </w:numPr>
      <w:spacing w:after="120" w:line="240" w:lineRule="auto"/>
      <w:jc w:val="both"/>
    </w:pPr>
    <w:rPr>
      <w:rFonts w:ascii="Calibri" w:eastAsia="Times New Roman" w:hAnsi="Calibri" w:cs="Times New Roman"/>
      <w:b/>
      <w:bCs/>
      <w:sz w:val="28"/>
      <w:szCs w:val="24"/>
    </w:rPr>
  </w:style>
  <w:style w:type="paragraph" w:customStyle="1" w:styleId="Pressrelease">
    <w:name w:val="Press release"/>
    <w:basedOn w:val="Normlnweb"/>
    <w:rsid w:val="00184AA7"/>
    <w:pPr>
      <w:ind w:firstLine="720"/>
    </w:pPr>
    <w:rPr>
      <w:b/>
      <w:bCs/>
      <w:i/>
      <w:iCs/>
      <w:lang w:val="en-US"/>
    </w:rPr>
  </w:style>
  <w:style w:type="paragraph" w:styleId="Normlnweb">
    <w:name w:val="Normal (Web)"/>
    <w:basedOn w:val="Normln"/>
    <w:uiPriority w:val="99"/>
    <w:rsid w:val="00184AA7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slostrnky">
    <w:name w:val="page number"/>
    <w:basedOn w:val="Standardnpsmoodstavce"/>
    <w:semiHidden/>
    <w:rsid w:val="00184AA7"/>
  </w:style>
  <w:style w:type="paragraph" w:customStyle="1" w:styleId="Fousteka">
    <w:name w:val="Fous tečka"/>
    <w:basedOn w:val="Normln"/>
    <w:rsid w:val="00184AA7"/>
    <w:pPr>
      <w:numPr>
        <w:numId w:val="4"/>
      </w:numPr>
      <w:tabs>
        <w:tab w:val="clear" w:pos="721"/>
        <w:tab w:val="num" w:pos="180"/>
      </w:tabs>
      <w:spacing w:after="60" w:line="240" w:lineRule="auto"/>
      <w:ind w:left="180" w:hanging="18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Fousnadpis">
    <w:name w:val="Fous nadpis"/>
    <w:basedOn w:val="Normln"/>
    <w:rsid w:val="00184AA7"/>
    <w:pPr>
      <w:numPr>
        <w:numId w:val="5"/>
      </w:numPr>
      <w:tabs>
        <w:tab w:val="clear" w:pos="720"/>
        <w:tab w:val="num" w:pos="360"/>
      </w:tabs>
      <w:spacing w:before="120" w:after="120" w:line="240" w:lineRule="auto"/>
      <w:ind w:left="360" w:hanging="360"/>
      <w:jc w:val="both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Fous">
    <w:name w:val="Fous"/>
    <w:basedOn w:val="Normln"/>
    <w:rsid w:val="00184AA7"/>
    <w:pPr>
      <w:numPr>
        <w:numId w:val="6"/>
      </w:numPr>
      <w:tabs>
        <w:tab w:val="clear" w:pos="722"/>
        <w:tab w:val="num" w:pos="360"/>
      </w:tabs>
      <w:spacing w:after="120" w:line="240" w:lineRule="auto"/>
      <w:ind w:left="360" w:hanging="3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lenn1">
    <w:name w:val="členění 1"/>
    <w:basedOn w:val="Normln"/>
    <w:rsid w:val="00184AA7"/>
    <w:pPr>
      <w:numPr>
        <w:numId w:val="7"/>
      </w:numPr>
      <w:spacing w:after="120" w:line="240" w:lineRule="auto"/>
      <w:jc w:val="both"/>
    </w:pPr>
    <w:rPr>
      <w:rFonts w:ascii="Calibri" w:eastAsia="Times New Roman" w:hAnsi="Calibri" w:cs="Times New Roman"/>
      <w:b/>
      <w:sz w:val="24"/>
      <w:szCs w:val="24"/>
      <w:lang w:eastAsia="cs-CZ"/>
    </w:rPr>
  </w:style>
  <w:style w:type="paragraph" w:customStyle="1" w:styleId="NadpisKZ">
    <w:name w:val="Nadpis KZ"/>
    <w:basedOn w:val="Zkladntext2"/>
    <w:rsid w:val="00184AA7"/>
    <w:pPr>
      <w:spacing w:before="120" w:after="360" w:line="240" w:lineRule="auto"/>
    </w:pPr>
    <w:rPr>
      <w:b/>
      <w:bCs/>
      <w:sz w:val="32"/>
      <w:lang w:eastAsia="cs-CZ"/>
    </w:rPr>
  </w:style>
  <w:style w:type="paragraph" w:customStyle="1" w:styleId="vod">
    <w:name w:val="Úvod"/>
    <w:basedOn w:val="Nadpisvod"/>
    <w:rsid w:val="00184AA7"/>
    <w:pPr>
      <w:tabs>
        <w:tab w:val="clear" w:pos="360"/>
      </w:tabs>
      <w:ind w:left="0" w:firstLine="0"/>
    </w:pPr>
  </w:style>
  <w:style w:type="paragraph" w:customStyle="1" w:styleId="Nadpisvod">
    <w:name w:val="Nadpis úvod"/>
    <w:basedOn w:val="Nadpis1"/>
    <w:rsid w:val="00184AA7"/>
    <w:pPr>
      <w:keepLines w:val="0"/>
      <w:tabs>
        <w:tab w:val="num" w:pos="360"/>
        <w:tab w:val="num" w:pos="787"/>
      </w:tabs>
      <w:spacing w:before="360" w:after="240" w:line="240" w:lineRule="auto"/>
      <w:ind w:left="787" w:hanging="360"/>
      <w:jc w:val="both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paragraph" w:styleId="Titulek">
    <w:name w:val="caption"/>
    <w:basedOn w:val="Normln"/>
    <w:next w:val="Normln"/>
    <w:uiPriority w:val="35"/>
    <w:qFormat/>
    <w:rsid w:val="00184AA7"/>
    <w:pPr>
      <w:spacing w:before="120" w:after="120" w:line="240" w:lineRule="auto"/>
      <w:jc w:val="both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184AA7"/>
    <w:pPr>
      <w:spacing w:after="120" w:line="240" w:lineRule="auto"/>
      <w:jc w:val="center"/>
    </w:pPr>
    <w:rPr>
      <w:rFonts w:ascii="Calibri" w:eastAsia="Times New Roman" w:hAnsi="Calibri" w:cs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84AA7"/>
    <w:rPr>
      <w:rFonts w:ascii="Calibri" w:eastAsia="Times New Roman" w:hAnsi="Calibri" w:cs="Times New Roman"/>
      <w:sz w:val="24"/>
      <w:szCs w:val="20"/>
    </w:rPr>
  </w:style>
  <w:style w:type="paragraph" w:customStyle="1" w:styleId="Normln0">
    <w:name w:val="Norm‡ln’"/>
    <w:rsid w:val="00184A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unhideWhenUsed/>
    <w:rsid w:val="00184AA7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84AA7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184AA7"/>
    <w:rPr>
      <w:vertAlign w:val="superscript"/>
    </w:rPr>
  </w:style>
  <w:style w:type="paragraph" w:customStyle="1" w:styleId="Nadpisrovn3">
    <w:name w:val="Nadpis úrovně 3"/>
    <w:basedOn w:val="NormlnKZ"/>
    <w:next w:val="NormlnKZ"/>
    <w:rsid w:val="00184AA7"/>
    <w:pPr>
      <w:keepNext/>
      <w:spacing w:before="240"/>
      <w:ind w:firstLine="0"/>
      <w:jc w:val="left"/>
    </w:pPr>
    <w:rPr>
      <w:rFonts w:ascii="Calibri" w:hAnsi="Calibri"/>
      <w:b/>
      <w:sz w:val="26"/>
    </w:rPr>
  </w:style>
  <w:style w:type="character" w:customStyle="1" w:styleId="OdstavecseseznamemChar">
    <w:name w:val="Odstavec se seznamem Char"/>
    <w:aliases w:val="Nadpis pro KZ Char"/>
    <w:link w:val="Odstavecseseznamem"/>
    <w:uiPriority w:val="34"/>
    <w:locked/>
    <w:rsid w:val="00184AA7"/>
  </w:style>
  <w:style w:type="paragraph" w:customStyle="1" w:styleId="Styl1">
    <w:name w:val="Styl1"/>
    <w:basedOn w:val="Odstavecseseznamem"/>
    <w:link w:val="Styl1Char"/>
    <w:qFormat/>
    <w:rsid w:val="00184AA7"/>
    <w:pPr>
      <w:numPr>
        <w:numId w:val="9"/>
      </w:numPr>
      <w:spacing w:before="240" w:after="120" w:line="240" w:lineRule="auto"/>
      <w:jc w:val="both"/>
    </w:pPr>
    <w:rPr>
      <w:rFonts w:eastAsia="Times New Roman" w:cs="Calibri"/>
      <w:b/>
      <w:sz w:val="24"/>
      <w:szCs w:val="24"/>
    </w:rPr>
  </w:style>
  <w:style w:type="paragraph" w:customStyle="1" w:styleId="Styl2">
    <w:name w:val="Styl2"/>
    <w:basedOn w:val="Styl1"/>
    <w:link w:val="Styl2Char"/>
    <w:qFormat/>
    <w:rsid w:val="00184AA7"/>
    <w:pPr>
      <w:numPr>
        <w:ilvl w:val="1"/>
      </w:numPr>
    </w:pPr>
    <w:rPr>
      <w:b w:val="0"/>
    </w:rPr>
  </w:style>
  <w:style w:type="character" w:customStyle="1" w:styleId="Styl1Char">
    <w:name w:val="Styl1 Char"/>
    <w:basedOn w:val="OdstavecseseznamemChar"/>
    <w:link w:val="Styl1"/>
    <w:rsid w:val="00184AA7"/>
    <w:rPr>
      <w:rFonts w:eastAsia="Times New Roman" w:cs="Calibri"/>
      <w:b/>
      <w:sz w:val="24"/>
      <w:szCs w:val="24"/>
    </w:rPr>
  </w:style>
  <w:style w:type="character" w:customStyle="1" w:styleId="Styl2Char">
    <w:name w:val="Styl2 Char"/>
    <w:basedOn w:val="Styl1Char"/>
    <w:link w:val="Styl2"/>
    <w:rsid w:val="00184AA7"/>
    <w:rPr>
      <w:rFonts w:eastAsia="Times New Roman" w:cs="Calibri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p.cz/sqw/historie.sqw?o=7&amp;t=41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816E0-CA2A-4A58-AD41-987342D26BB7}"/>
</file>

<file path=customXml/itemProps2.xml><?xml version="1.0" encoding="utf-8"?>
<ds:datastoreItem xmlns:ds="http://schemas.openxmlformats.org/officeDocument/2006/customXml" ds:itemID="{B7CC5D6C-FD91-4934-905F-BADC28AA6AE3}"/>
</file>

<file path=customXml/itemProps3.xml><?xml version="1.0" encoding="utf-8"?>
<ds:datastoreItem xmlns:ds="http://schemas.openxmlformats.org/officeDocument/2006/customXml" ds:itemID="{D4D0D8B8-F9D3-480F-AD9A-0B6B834DE007}"/>
</file>

<file path=customXml/itemProps4.xml><?xml version="1.0" encoding="utf-8"?>
<ds:datastoreItem xmlns:ds="http://schemas.openxmlformats.org/officeDocument/2006/customXml" ds:itemID="{785E7A06-2030-4159-B9EC-6E3514B8C710}"/>
</file>

<file path=docProps/app.xml><?xml version="1.0" encoding="utf-8"?>
<Properties xmlns="http://schemas.openxmlformats.org/officeDocument/2006/extended-properties" xmlns:vt="http://schemas.openxmlformats.org/officeDocument/2006/docPropsVTypes">
  <Template>7B72A77.dotm</Template>
  <TotalTime>0</TotalTime>
  <Pages>14</Pages>
  <Words>5116</Words>
  <Characters>30188</Characters>
  <Application>Microsoft Office Word</Application>
  <DocSecurity>4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14/19</vt:lpstr>
    </vt:vector>
  </TitlesOfParts>
  <Company>NKU</Company>
  <LinksUpToDate>false</LinksUpToDate>
  <CharactersWithSpaces>35234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15/32 - Účetní závěrka Ministerstva vnitra k 31. 12. 2014</dc:title>
  <dc:creator>Nejvyšší kontrolní úřad</dc:creator>
  <cp:keywords>kontrolní závěr, účetnictví, účetní závěrka, MV, ministerstvo vnitra</cp:keywords>
  <dc:description/>
  <cp:lastModifiedBy>KOKRDA Daniel</cp:lastModifiedBy>
  <cp:revision>2</cp:revision>
  <cp:lastPrinted>2016-06-07T08:28:00Z</cp:lastPrinted>
  <dcterms:created xsi:type="dcterms:W3CDTF">2016-06-16T06:56:00Z</dcterms:created>
  <dcterms:modified xsi:type="dcterms:W3CDTF">2016-06-16T06:56:00Z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0x0101002F7A625AE9F5AB4A939F92BCAA7FEC02</vt:lpwstr>
  </property>
</Properties>
</file>