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B342F" w14:textId="64F0077C" w:rsidR="0003387D" w:rsidRPr="00D25FE6" w:rsidRDefault="00125A0D" w:rsidP="00125A0D">
      <w:pPr>
        <w:pStyle w:val="Nzev"/>
        <w:outlineLvl w:val="0"/>
        <w:rPr>
          <w:rFonts w:asciiTheme="minorHAnsi" w:hAnsiTheme="minorHAnsi" w:cstheme="minorHAnsi"/>
          <w:sz w:val="24"/>
          <w:szCs w:val="28"/>
        </w:rPr>
      </w:pPr>
      <w:r w:rsidRPr="00D25FE6">
        <w:rPr>
          <w:rFonts w:asciiTheme="minorHAnsi" w:hAnsiTheme="minorHAnsi" w:cstheme="minorHAnsi"/>
          <w:noProof/>
          <w:sz w:val="24"/>
          <w:szCs w:val="28"/>
        </w:rPr>
        <w:drawing>
          <wp:anchor distT="0" distB="0" distL="114300" distR="114300" simplePos="0" relativeHeight="251659264" behindDoc="0" locked="0" layoutInCell="1" allowOverlap="1" wp14:anchorId="636C7E3E" wp14:editId="6A84177C">
            <wp:simplePos x="0" y="0"/>
            <wp:positionH relativeFrom="column">
              <wp:posOffset>2487461</wp:posOffset>
            </wp:positionH>
            <wp:positionV relativeFrom="paragraph">
              <wp:posOffset>-1298</wp:posOffset>
            </wp:positionV>
            <wp:extent cx="787400" cy="564515"/>
            <wp:effectExtent l="0" t="0" r="0" b="698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DBD4D" w14:textId="77777777" w:rsidR="0003387D" w:rsidRPr="00D25FE6" w:rsidRDefault="0003387D" w:rsidP="0003387D">
      <w:pPr>
        <w:pStyle w:val="Nzev"/>
        <w:outlineLvl w:val="0"/>
        <w:rPr>
          <w:rFonts w:asciiTheme="minorHAnsi" w:hAnsiTheme="minorHAnsi" w:cstheme="minorHAnsi"/>
          <w:sz w:val="24"/>
          <w:szCs w:val="28"/>
        </w:rPr>
      </w:pPr>
    </w:p>
    <w:p w14:paraId="22C3FEBA" w14:textId="77777777" w:rsidR="0003387D" w:rsidRPr="00D25FE6" w:rsidRDefault="0003387D" w:rsidP="0003387D">
      <w:pPr>
        <w:pStyle w:val="Nzev"/>
        <w:outlineLvl w:val="0"/>
        <w:rPr>
          <w:rFonts w:asciiTheme="minorHAnsi" w:hAnsiTheme="minorHAnsi" w:cstheme="minorHAnsi"/>
          <w:sz w:val="24"/>
          <w:szCs w:val="28"/>
        </w:rPr>
      </w:pPr>
    </w:p>
    <w:p w14:paraId="540FF18C" w14:textId="77777777" w:rsidR="0003387D" w:rsidRPr="005B4442" w:rsidRDefault="0003387D" w:rsidP="0003387D">
      <w:pPr>
        <w:pStyle w:val="Nzev"/>
        <w:outlineLvl w:val="0"/>
        <w:rPr>
          <w:rFonts w:asciiTheme="minorHAnsi" w:hAnsiTheme="minorHAnsi" w:cstheme="minorHAnsi"/>
          <w:sz w:val="28"/>
          <w:szCs w:val="28"/>
        </w:rPr>
      </w:pPr>
      <w:bookmarkStart w:id="0" w:name="_GoBack"/>
      <w:r w:rsidRPr="005B4442">
        <w:rPr>
          <w:rFonts w:asciiTheme="minorHAnsi" w:hAnsiTheme="minorHAnsi" w:cstheme="minorHAnsi"/>
          <w:sz w:val="28"/>
          <w:szCs w:val="28"/>
        </w:rPr>
        <w:t>Kontrolní závěr z kontrolní akce</w:t>
      </w:r>
    </w:p>
    <w:p w14:paraId="02B268BF" w14:textId="77777777" w:rsidR="0003387D" w:rsidRPr="00D25FE6" w:rsidRDefault="0003387D" w:rsidP="0003387D">
      <w:pPr>
        <w:pStyle w:val="Nzev"/>
        <w:outlineLvl w:val="0"/>
        <w:rPr>
          <w:rFonts w:asciiTheme="minorHAnsi" w:hAnsiTheme="minorHAnsi" w:cstheme="minorHAnsi"/>
          <w:sz w:val="24"/>
          <w:szCs w:val="28"/>
        </w:rPr>
      </w:pPr>
    </w:p>
    <w:p w14:paraId="1169158C" w14:textId="77777777" w:rsidR="0003387D" w:rsidRPr="005B4442" w:rsidRDefault="0003387D" w:rsidP="0003387D">
      <w:pPr>
        <w:jc w:val="center"/>
        <w:rPr>
          <w:rFonts w:asciiTheme="minorHAnsi" w:hAnsiTheme="minorHAnsi" w:cstheme="minorHAnsi"/>
          <w:b/>
          <w:bCs/>
          <w:sz w:val="28"/>
          <w:szCs w:val="28"/>
        </w:rPr>
      </w:pPr>
      <w:r w:rsidRPr="005B4442">
        <w:rPr>
          <w:rFonts w:asciiTheme="minorHAnsi" w:hAnsiTheme="minorHAnsi" w:cstheme="minorHAnsi"/>
          <w:b/>
          <w:bCs/>
          <w:sz w:val="28"/>
          <w:szCs w:val="28"/>
        </w:rPr>
        <w:t>1</w:t>
      </w:r>
      <w:r w:rsidR="001E1289">
        <w:rPr>
          <w:rFonts w:asciiTheme="minorHAnsi" w:hAnsiTheme="minorHAnsi" w:cstheme="minorHAnsi"/>
          <w:b/>
          <w:bCs/>
          <w:sz w:val="28"/>
          <w:szCs w:val="28"/>
        </w:rPr>
        <w:t>5/18</w:t>
      </w:r>
    </w:p>
    <w:p w14:paraId="076C4B25" w14:textId="77777777" w:rsidR="0003387D" w:rsidRPr="00D25FE6" w:rsidRDefault="0003387D" w:rsidP="0003387D">
      <w:pPr>
        <w:jc w:val="center"/>
        <w:rPr>
          <w:rFonts w:asciiTheme="minorHAnsi" w:hAnsiTheme="minorHAnsi" w:cstheme="minorHAnsi"/>
          <w:b/>
          <w:bCs/>
          <w:sz w:val="24"/>
          <w:szCs w:val="28"/>
        </w:rPr>
      </w:pPr>
    </w:p>
    <w:p w14:paraId="608B8628" w14:textId="77777777" w:rsidR="0003387D" w:rsidRPr="005B4442" w:rsidRDefault="0003387D" w:rsidP="001E1289">
      <w:pPr>
        <w:jc w:val="center"/>
        <w:rPr>
          <w:rFonts w:asciiTheme="minorHAnsi" w:hAnsiTheme="minorHAnsi" w:cstheme="minorHAnsi"/>
          <w:sz w:val="28"/>
          <w:szCs w:val="28"/>
        </w:rPr>
      </w:pPr>
      <w:r w:rsidRPr="005B4442">
        <w:rPr>
          <w:rFonts w:asciiTheme="minorHAnsi" w:hAnsiTheme="minorHAnsi" w:cstheme="minorHAnsi"/>
          <w:b/>
          <w:sz w:val="28"/>
          <w:szCs w:val="28"/>
        </w:rPr>
        <w:t>Peněžní prostředky určené na</w:t>
      </w:r>
      <w:r w:rsidR="001E1289">
        <w:rPr>
          <w:rFonts w:asciiTheme="minorHAnsi" w:hAnsiTheme="minorHAnsi" w:cstheme="minorHAnsi"/>
          <w:b/>
          <w:sz w:val="28"/>
          <w:szCs w:val="28"/>
        </w:rPr>
        <w:t xml:space="preserve"> podporu bydlení</w:t>
      </w:r>
    </w:p>
    <w:bookmarkEnd w:id="0"/>
    <w:p w14:paraId="63A6A3D1" w14:textId="77777777" w:rsidR="0003387D" w:rsidRDefault="0003387D" w:rsidP="0003387D">
      <w:pPr>
        <w:tabs>
          <w:tab w:val="left" w:pos="7988"/>
        </w:tabs>
        <w:rPr>
          <w:rFonts w:asciiTheme="minorHAnsi" w:hAnsiTheme="minorHAnsi" w:cstheme="minorHAnsi"/>
          <w:szCs w:val="22"/>
        </w:rPr>
      </w:pPr>
    </w:p>
    <w:p w14:paraId="275F8816" w14:textId="77777777" w:rsidR="006C0225" w:rsidRPr="00B86FD0" w:rsidRDefault="006C0225" w:rsidP="0003387D">
      <w:pPr>
        <w:tabs>
          <w:tab w:val="left" w:pos="7988"/>
        </w:tabs>
        <w:rPr>
          <w:rFonts w:asciiTheme="minorHAnsi" w:hAnsiTheme="minorHAnsi" w:cstheme="minorHAnsi"/>
          <w:szCs w:val="22"/>
        </w:rPr>
      </w:pPr>
    </w:p>
    <w:p w14:paraId="0AE7695D" w14:textId="4D840510" w:rsidR="0003387D" w:rsidRPr="002C6E11" w:rsidRDefault="0003387D" w:rsidP="0003387D">
      <w:pPr>
        <w:rPr>
          <w:rFonts w:asciiTheme="minorHAnsi" w:hAnsiTheme="minorHAnsi" w:cstheme="minorHAnsi"/>
          <w:sz w:val="24"/>
        </w:rPr>
      </w:pPr>
      <w:r w:rsidRPr="002C6E11">
        <w:rPr>
          <w:rFonts w:asciiTheme="minorHAnsi" w:hAnsiTheme="minorHAnsi" w:cstheme="minorHAnsi"/>
          <w:sz w:val="24"/>
        </w:rPr>
        <w:t>Kontrolní akce byla zařazena do plánu kontrolní činnosti Nejvyššího kontrolního úřadu (dále jen „NKÚ“) na rok 201</w:t>
      </w:r>
      <w:r w:rsidR="001E1289" w:rsidRPr="002C6E11">
        <w:rPr>
          <w:rFonts w:asciiTheme="minorHAnsi" w:hAnsiTheme="minorHAnsi" w:cstheme="minorHAnsi"/>
          <w:sz w:val="24"/>
        </w:rPr>
        <w:t>5</w:t>
      </w:r>
      <w:r w:rsidRPr="002C6E11">
        <w:rPr>
          <w:rFonts w:asciiTheme="minorHAnsi" w:hAnsiTheme="minorHAnsi" w:cstheme="minorHAnsi"/>
          <w:sz w:val="24"/>
        </w:rPr>
        <w:t xml:space="preserve"> pod číslem 1</w:t>
      </w:r>
      <w:r w:rsidR="001E1289" w:rsidRPr="002C6E11">
        <w:rPr>
          <w:rFonts w:asciiTheme="minorHAnsi" w:hAnsiTheme="minorHAnsi" w:cstheme="minorHAnsi"/>
          <w:sz w:val="24"/>
        </w:rPr>
        <w:t>5</w:t>
      </w:r>
      <w:r w:rsidRPr="002C6E11">
        <w:rPr>
          <w:rFonts w:asciiTheme="minorHAnsi" w:hAnsiTheme="minorHAnsi" w:cstheme="minorHAnsi"/>
          <w:sz w:val="24"/>
        </w:rPr>
        <w:t>/</w:t>
      </w:r>
      <w:r w:rsidR="001E1289" w:rsidRPr="002C6E11">
        <w:rPr>
          <w:rFonts w:asciiTheme="minorHAnsi" w:hAnsiTheme="minorHAnsi" w:cstheme="minorHAnsi"/>
          <w:sz w:val="24"/>
        </w:rPr>
        <w:t>18</w:t>
      </w:r>
      <w:r w:rsidRPr="002C6E11">
        <w:rPr>
          <w:rFonts w:asciiTheme="minorHAnsi" w:hAnsiTheme="minorHAnsi" w:cstheme="minorHAnsi"/>
          <w:sz w:val="24"/>
        </w:rPr>
        <w:t xml:space="preserve">. Kontrolní akci řídil a </w:t>
      </w:r>
      <w:r w:rsidR="003970B8">
        <w:rPr>
          <w:rFonts w:asciiTheme="minorHAnsi" w:hAnsiTheme="minorHAnsi" w:cstheme="minorHAnsi"/>
          <w:sz w:val="24"/>
        </w:rPr>
        <w:t>kontrolní závěr vypracoval člen </w:t>
      </w:r>
      <w:r w:rsidRPr="002C6E11">
        <w:rPr>
          <w:rFonts w:asciiTheme="minorHAnsi" w:hAnsiTheme="minorHAnsi" w:cstheme="minorHAnsi"/>
          <w:sz w:val="24"/>
        </w:rPr>
        <w:t>NKÚ Ing.</w:t>
      </w:r>
      <w:r w:rsidR="003970B8">
        <w:rPr>
          <w:rFonts w:asciiTheme="minorHAnsi" w:hAnsiTheme="minorHAnsi" w:cstheme="minorHAnsi"/>
          <w:sz w:val="24"/>
        </w:rPr>
        <w:t> </w:t>
      </w:r>
      <w:r w:rsidR="001E1289" w:rsidRPr="002C6E11">
        <w:rPr>
          <w:rFonts w:asciiTheme="minorHAnsi" w:hAnsiTheme="minorHAnsi" w:cstheme="minorHAnsi"/>
          <w:sz w:val="24"/>
        </w:rPr>
        <w:t>Pavel Hrnčíř</w:t>
      </w:r>
      <w:r w:rsidRPr="002C6E11">
        <w:rPr>
          <w:rFonts w:asciiTheme="minorHAnsi" w:hAnsiTheme="minorHAnsi" w:cstheme="minorHAnsi"/>
          <w:sz w:val="24"/>
        </w:rPr>
        <w:t>.</w:t>
      </w:r>
    </w:p>
    <w:p w14:paraId="6AC1BF7E" w14:textId="77777777" w:rsidR="0003387D" w:rsidRPr="002C6E11" w:rsidRDefault="0003387D" w:rsidP="0003387D">
      <w:pPr>
        <w:rPr>
          <w:rFonts w:asciiTheme="minorHAnsi" w:hAnsiTheme="minorHAnsi" w:cstheme="minorHAnsi"/>
          <w:sz w:val="24"/>
        </w:rPr>
      </w:pPr>
    </w:p>
    <w:p w14:paraId="25DC3325" w14:textId="77777777" w:rsidR="0003387D" w:rsidRPr="002C6E11" w:rsidRDefault="0003387D" w:rsidP="0003387D">
      <w:pPr>
        <w:rPr>
          <w:rFonts w:asciiTheme="minorHAnsi" w:hAnsiTheme="minorHAnsi" w:cstheme="minorHAnsi"/>
          <w:sz w:val="24"/>
        </w:rPr>
      </w:pPr>
      <w:r w:rsidRPr="002C6E11">
        <w:rPr>
          <w:rFonts w:asciiTheme="minorHAnsi" w:hAnsiTheme="minorHAnsi" w:cstheme="minorHAnsi"/>
          <w:sz w:val="24"/>
        </w:rPr>
        <w:t xml:space="preserve">Cílem kontroly bylo prověřit poskytování, čerpání a použití peněžních prostředků určených na </w:t>
      </w:r>
      <w:r w:rsidR="001E1289" w:rsidRPr="002C6E11">
        <w:rPr>
          <w:rFonts w:asciiTheme="minorHAnsi" w:hAnsiTheme="minorHAnsi" w:cstheme="minorHAnsi"/>
          <w:sz w:val="24"/>
        </w:rPr>
        <w:t>podporu bydlení.</w:t>
      </w:r>
    </w:p>
    <w:p w14:paraId="0BA2DB46" w14:textId="77777777" w:rsidR="0003387D" w:rsidRPr="002C6E11" w:rsidRDefault="0003387D" w:rsidP="0003387D">
      <w:pPr>
        <w:rPr>
          <w:rFonts w:asciiTheme="minorHAnsi" w:hAnsiTheme="minorHAnsi" w:cstheme="minorHAnsi"/>
          <w:sz w:val="24"/>
        </w:rPr>
      </w:pPr>
    </w:p>
    <w:p w14:paraId="01C2D530" w14:textId="692A7571" w:rsidR="0003387D" w:rsidRPr="002C6E11" w:rsidRDefault="0003387D" w:rsidP="0003387D">
      <w:pPr>
        <w:rPr>
          <w:rFonts w:asciiTheme="minorHAnsi" w:hAnsiTheme="minorHAnsi" w:cstheme="minorHAnsi"/>
          <w:sz w:val="24"/>
        </w:rPr>
      </w:pPr>
      <w:r w:rsidRPr="002C6E11">
        <w:rPr>
          <w:rFonts w:asciiTheme="minorHAnsi" w:hAnsiTheme="minorHAnsi" w:cstheme="minorHAnsi"/>
          <w:sz w:val="24"/>
        </w:rPr>
        <w:t xml:space="preserve">Kontrola byla prováděna </w:t>
      </w:r>
      <w:r w:rsidR="00F06607" w:rsidRPr="002C6E11">
        <w:rPr>
          <w:rFonts w:asciiTheme="minorHAnsi" w:hAnsiTheme="minorHAnsi" w:cstheme="minorHAnsi"/>
          <w:sz w:val="24"/>
        </w:rPr>
        <w:t xml:space="preserve">u kontrolovaných osob </w:t>
      </w:r>
      <w:r w:rsidRPr="002C6E11">
        <w:rPr>
          <w:rFonts w:asciiTheme="minorHAnsi" w:hAnsiTheme="minorHAnsi" w:cstheme="minorHAnsi"/>
          <w:sz w:val="24"/>
        </w:rPr>
        <w:t>v</w:t>
      </w:r>
      <w:r w:rsidR="006C0225">
        <w:rPr>
          <w:rFonts w:asciiTheme="minorHAnsi" w:hAnsiTheme="minorHAnsi" w:cstheme="minorHAnsi"/>
          <w:sz w:val="24"/>
        </w:rPr>
        <w:t xml:space="preserve"> </w:t>
      </w:r>
      <w:r w:rsidRPr="002C6E11">
        <w:rPr>
          <w:rFonts w:asciiTheme="minorHAnsi" w:hAnsiTheme="minorHAnsi" w:cstheme="minorHAnsi"/>
          <w:sz w:val="24"/>
        </w:rPr>
        <w:t xml:space="preserve">období od </w:t>
      </w:r>
      <w:r w:rsidR="001E1289" w:rsidRPr="002C6E11">
        <w:rPr>
          <w:rFonts w:asciiTheme="minorHAnsi" w:hAnsiTheme="minorHAnsi" w:cstheme="minorHAnsi"/>
          <w:sz w:val="24"/>
        </w:rPr>
        <w:t>května 2015</w:t>
      </w:r>
      <w:r w:rsidRPr="002C6E11">
        <w:rPr>
          <w:rFonts w:asciiTheme="minorHAnsi" w:hAnsiTheme="minorHAnsi" w:cstheme="minorHAnsi"/>
          <w:sz w:val="24"/>
        </w:rPr>
        <w:t xml:space="preserve"> do </w:t>
      </w:r>
      <w:r w:rsidR="001E1289" w:rsidRPr="002C6E11">
        <w:rPr>
          <w:rFonts w:asciiTheme="minorHAnsi" w:hAnsiTheme="minorHAnsi" w:cstheme="minorHAnsi"/>
          <w:sz w:val="24"/>
        </w:rPr>
        <w:t>listopadu</w:t>
      </w:r>
      <w:r w:rsidRPr="002C6E11">
        <w:rPr>
          <w:rFonts w:asciiTheme="minorHAnsi" w:hAnsiTheme="minorHAnsi" w:cstheme="minorHAnsi"/>
          <w:sz w:val="24"/>
        </w:rPr>
        <w:t xml:space="preserve"> 2015. </w:t>
      </w:r>
      <w:r w:rsidR="00D2640C">
        <w:rPr>
          <w:rFonts w:asciiTheme="minorHAnsi" w:hAnsiTheme="minorHAnsi" w:cstheme="minorHAnsi"/>
          <w:sz w:val="24"/>
        </w:rPr>
        <w:t>Kontrolováno</w:t>
      </w:r>
      <w:r w:rsidRPr="002C6E11">
        <w:rPr>
          <w:rFonts w:asciiTheme="minorHAnsi" w:hAnsiTheme="minorHAnsi" w:cstheme="minorHAnsi"/>
          <w:sz w:val="24"/>
        </w:rPr>
        <w:t xml:space="preserve"> bylo období od roku 20</w:t>
      </w:r>
      <w:r w:rsidR="001E1289" w:rsidRPr="002C6E11">
        <w:rPr>
          <w:rFonts w:asciiTheme="minorHAnsi" w:hAnsiTheme="minorHAnsi" w:cstheme="minorHAnsi"/>
          <w:sz w:val="24"/>
        </w:rPr>
        <w:t>11</w:t>
      </w:r>
      <w:r w:rsidRPr="002C6E11">
        <w:rPr>
          <w:rFonts w:asciiTheme="minorHAnsi" w:hAnsiTheme="minorHAnsi" w:cstheme="minorHAnsi"/>
          <w:sz w:val="24"/>
        </w:rPr>
        <w:t xml:space="preserve"> do doby ukončení kontroly, v</w:t>
      </w:r>
      <w:r w:rsidR="006C0225">
        <w:rPr>
          <w:rFonts w:asciiTheme="minorHAnsi" w:hAnsiTheme="minorHAnsi" w:cstheme="minorHAnsi"/>
          <w:sz w:val="24"/>
        </w:rPr>
        <w:t xml:space="preserve"> </w:t>
      </w:r>
      <w:r w:rsidRPr="002C6E11">
        <w:rPr>
          <w:rFonts w:asciiTheme="minorHAnsi" w:hAnsiTheme="minorHAnsi" w:cstheme="minorHAnsi"/>
          <w:sz w:val="24"/>
        </w:rPr>
        <w:t>případě věcných souvislostí i</w:t>
      </w:r>
      <w:r w:rsidR="006C0225">
        <w:rPr>
          <w:rFonts w:asciiTheme="minorHAnsi" w:hAnsiTheme="minorHAnsi" w:cstheme="minorHAnsi"/>
          <w:sz w:val="24"/>
        </w:rPr>
        <w:t xml:space="preserve"> </w:t>
      </w:r>
      <w:r w:rsidRPr="002C6E11">
        <w:rPr>
          <w:rFonts w:asciiTheme="minorHAnsi" w:hAnsiTheme="minorHAnsi" w:cstheme="minorHAnsi"/>
          <w:sz w:val="24"/>
        </w:rPr>
        <w:t xml:space="preserve">období předcházející. </w:t>
      </w:r>
    </w:p>
    <w:p w14:paraId="2A79543A" w14:textId="77777777" w:rsidR="0003387D" w:rsidRPr="002C6E11" w:rsidRDefault="0003387D" w:rsidP="0003387D">
      <w:pPr>
        <w:rPr>
          <w:rFonts w:asciiTheme="minorHAnsi" w:hAnsiTheme="minorHAnsi" w:cstheme="minorHAnsi"/>
          <w:sz w:val="24"/>
        </w:rPr>
      </w:pPr>
    </w:p>
    <w:p w14:paraId="0BA0FAFC" w14:textId="77777777" w:rsidR="0003387D" w:rsidRPr="00E819ED" w:rsidRDefault="0003387D" w:rsidP="0003387D">
      <w:pPr>
        <w:rPr>
          <w:rFonts w:asciiTheme="minorHAnsi" w:hAnsiTheme="minorHAnsi" w:cstheme="minorHAnsi"/>
          <w:b/>
          <w:sz w:val="24"/>
        </w:rPr>
      </w:pPr>
      <w:r w:rsidRPr="00E819ED">
        <w:rPr>
          <w:rFonts w:asciiTheme="minorHAnsi" w:hAnsiTheme="minorHAnsi" w:cstheme="minorHAnsi"/>
          <w:b/>
          <w:sz w:val="24"/>
        </w:rPr>
        <w:t>Kontrolované osoby:</w:t>
      </w:r>
    </w:p>
    <w:p w14:paraId="39C94BB9" w14:textId="025CEEF0" w:rsidR="0003387D" w:rsidRPr="002C6E11" w:rsidRDefault="0003387D" w:rsidP="0003387D">
      <w:pPr>
        <w:rPr>
          <w:rFonts w:asciiTheme="minorHAnsi" w:hAnsiTheme="minorHAnsi" w:cstheme="minorHAnsi"/>
          <w:sz w:val="24"/>
        </w:rPr>
      </w:pPr>
      <w:r w:rsidRPr="002C6E11">
        <w:rPr>
          <w:rFonts w:asciiTheme="minorHAnsi" w:hAnsiTheme="minorHAnsi" w:cstheme="minorHAnsi"/>
          <w:sz w:val="24"/>
        </w:rPr>
        <w:t>Ministerstvo</w:t>
      </w:r>
      <w:r w:rsidR="001E1289" w:rsidRPr="002C6E11">
        <w:rPr>
          <w:rFonts w:asciiTheme="minorHAnsi" w:hAnsiTheme="minorHAnsi" w:cstheme="minorHAnsi"/>
          <w:sz w:val="24"/>
        </w:rPr>
        <w:t xml:space="preserve"> pro místní rozvoj</w:t>
      </w:r>
      <w:r w:rsidRPr="002C6E11">
        <w:rPr>
          <w:rFonts w:asciiTheme="minorHAnsi" w:hAnsiTheme="minorHAnsi" w:cstheme="minorHAnsi"/>
          <w:sz w:val="24"/>
        </w:rPr>
        <w:t xml:space="preserve"> </w:t>
      </w:r>
      <w:r w:rsidR="001E1289" w:rsidRPr="002C6E11">
        <w:rPr>
          <w:rFonts w:asciiTheme="minorHAnsi" w:hAnsiTheme="minorHAnsi" w:cstheme="minorHAnsi"/>
          <w:sz w:val="24"/>
        </w:rPr>
        <w:t>(dále také „MMR</w:t>
      </w:r>
      <w:r w:rsidRPr="002C6E11">
        <w:rPr>
          <w:rFonts w:asciiTheme="minorHAnsi" w:hAnsiTheme="minorHAnsi" w:cstheme="minorHAnsi"/>
          <w:sz w:val="24"/>
        </w:rPr>
        <w:t>“)</w:t>
      </w:r>
      <w:r w:rsidR="006C0225">
        <w:rPr>
          <w:rFonts w:asciiTheme="minorHAnsi" w:hAnsiTheme="minorHAnsi" w:cstheme="minorHAnsi"/>
          <w:sz w:val="24"/>
        </w:rPr>
        <w:t>;</w:t>
      </w:r>
    </w:p>
    <w:p w14:paraId="7A6AB831" w14:textId="3B950443" w:rsidR="0003387D" w:rsidRPr="002C6E11" w:rsidRDefault="001E1289" w:rsidP="0003387D">
      <w:pPr>
        <w:rPr>
          <w:rFonts w:asciiTheme="minorHAnsi" w:hAnsiTheme="minorHAnsi" w:cstheme="minorHAnsi"/>
          <w:sz w:val="24"/>
        </w:rPr>
      </w:pPr>
      <w:r w:rsidRPr="002C6E11">
        <w:rPr>
          <w:rFonts w:asciiTheme="minorHAnsi" w:hAnsiTheme="minorHAnsi" w:cstheme="minorHAnsi"/>
          <w:sz w:val="24"/>
        </w:rPr>
        <w:t>Státní fond rozvoje bydlení (dále také „SFRB“)</w:t>
      </w:r>
      <w:r w:rsidR="006C0225">
        <w:rPr>
          <w:rFonts w:asciiTheme="minorHAnsi" w:hAnsiTheme="minorHAnsi" w:cstheme="minorHAnsi"/>
          <w:sz w:val="24"/>
        </w:rPr>
        <w:t>;</w:t>
      </w:r>
    </w:p>
    <w:p w14:paraId="14743E59" w14:textId="77777777" w:rsidR="00E21318" w:rsidRDefault="00786A5B" w:rsidP="009B1781">
      <w:pPr>
        <w:rPr>
          <w:rFonts w:asciiTheme="minorHAnsi" w:hAnsiTheme="minorHAnsi" w:cstheme="minorHAnsi"/>
          <w:sz w:val="24"/>
        </w:rPr>
      </w:pPr>
      <w:r w:rsidRPr="002C6E11">
        <w:rPr>
          <w:rFonts w:asciiTheme="minorHAnsi" w:hAnsiTheme="minorHAnsi" w:cstheme="minorHAnsi"/>
          <w:sz w:val="24"/>
        </w:rPr>
        <w:t>m</w:t>
      </w:r>
      <w:r w:rsidR="009B1781" w:rsidRPr="002C6E11">
        <w:rPr>
          <w:rFonts w:asciiTheme="minorHAnsi" w:hAnsiTheme="minorHAnsi" w:cstheme="minorHAnsi"/>
          <w:sz w:val="24"/>
        </w:rPr>
        <w:t xml:space="preserve">ěsto Svratka; </w:t>
      </w:r>
    </w:p>
    <w:p w14:paraId="7332D32E" w14:textId="77777777" w:rsidR="00E21318" w:rsidRDefault="00786A5B" w:rsidP="009B1781">
      <w:pPr>
        <w:rPr>
          <w:rFonts w:asciiTheme="minorHAnsi" w:hAnsiTheme="minorHAnsi" w:cstheme="minorHAnsi"/>
          <w:sz w:val="24"/>
        </w:rPr>
      </w:pPr>
      <w:r w:rsidRPr="002C6E11">
        <w:rPr>
          <w:rFonts w:asciiTheme="minorHAnsi" w:hAnsiTheme="minorHAnsi" w:cstheme="minorHAnsi"/>
          <w:sz w:val="24"/>
        </w:rPr>
        <w:t>o</w:t>
      </w:r>
      <w:r w:rsidR="009B1781" w:rsidRPr="002C6E11">
        <w:rPr>
          <w:rFonts w:asciiTheme="minorHAnsi" w:hAnsiTheme="minorHAnsi" w:cstheme="minorHAnsi"/>
          <w:sz w:val="24"/>
        </w:rPr>
        <w:t>bec Střítež</w:t>
      </w:r>
      <w:r w:rsidRPr="002C6E11">
        <w:rPr>
          <w:rFonts w:asciiTheme="minorHAnsi" w:hAnsiTheme="minorHAnsi" w:cstheme="minorHAnsi"/>
          <w:sz w:val="24"/>
        </w:rPr>
        <w:t xml:space="preserve"> (okres Třebíč)</w:t>
      </w:r>
      <w:r w:rsidR="009B1781" w:rsidRPr="002C6E11">
        <w:rPr>
          <w:rFonts w:asciiTheme="minorHAnsi" w:hAnsiTheme="minorHAnsi" w:cstheme="minorHAnsi"/>
          <w:sz w:val="24"/>
        </w:rPr>
        <w:t xml:space="preserve">; </w:t>
      </w:r>
    </w:p>
    <w:p w14:paraId="4958341E" w14:textId="77777777" w:rsidR="00E21318" w:rsidRDefault="00786A5B" w:rsidP="009B1781">
      <w:pPr>
        <w:rPr>
          <w:rFonts w:asciiTheme="minorHAnsi" w:hAnsiTheme="minorHAnsi" w:cstheme="minorHAnsi"/>
          <w:sz w:val="24"/>
        </w:rPr>
      </w:pPr>
      <w:r w:rsidRPr="002C6E11">
        <w:rPr>
          <w:rFonts w:asciiTheme="minorHAnsi" w:hAnsiTheme="minorHAnsi" w:cstheme="minorHAnsi"/>
          <w:sz w:val="24"/>
        </w:rPr>
        <w:t>m</w:t>
      </w:r>
      <w:r w:rsidR="009B1781" w:rsidRPr="002C6E11">
        <w:rPr>
          <w:rFonts w:asciiTheme="minorHAnsi" w:hAnsiTheme="minorHAnsi" w:cstheme="minorHAnsi"/>
          <w:sz w:val="24"/>
        </w:rPr>
        <w:t xml:space="preserve">ěstys Mohelno; </w:t>
      </w:r>
    </w:p>
    <w:p w14:paraId="069D9425" w14:textId="77777777" w:rsidR="00E21318" w:rsidRDefault="00786A5B" w:rsidP="009B1781">
      <w:pPr>
        <w:rPr>
          <w:rFonts w:asciiTheme="minorHAnsi" w:hAnsiTheme="minorHAnsi" w:cstheme="minorHAnsi"/>
          <w:sz w:val="24"/>
        </w:rPr>
      </w:pPr>
      <w:r w:rsidRPr="002C6E11">
        <w:rPr>
          <w:rFonts w:asciiTheme="minorHAnsi" w:hAnsiTheme="minorHAnsi" w:cstheme="minorHAnsi"/>
          <w:sz w:val="24"/>
        </w:rPr>
        <w:t>o</w:t>
      </w:r>
      <w:r w:rsidR="009B1781" w:rsidRPr="002C6E11">
        <w:rPr>
          <w:rFonts w:asciiTheme="minorHAnsi" w:hAnsiTheme="minorHAnsi" w:cstheme="minorHAnsi"/>
          <w:sz w:val="24"/>
        </w:rPr>
        <w:t xml:space="preserve">bec Předklášteří; </w:t>
      </w:r>
    </w:p>
    <w:p w14:paraId="5D6EBDAB" w14:textId="77777777" w:rsidR="00E21318" w:rsidRDefault="009B1781" w:rsidP="009B1781">
      <w:pPr>
        <w:rPr>
          <w:rFonts w:asciiTheme="minorHAnsi" w:hAnsiTheme="minorHAnsi" w:cstheme="minorHAnsi"/>
          <w:sz w:val="24"/>
        </w:rPr>
      </w:pPr>
      <w:r w:rsidRPr="002C6E11">
        <w:rPr>
          <w:rFonts w:asciiTheme="minorHAnsi" w:hAnsiTheme="minorHAnsi" w:cstheme="minorHAnsi"/>
          <w:sz w:val="24"/>
        </w:rPr>
        <w:t>ARCHIKA s.r.o.</w:t>
      </w:r>
      <w:r w:rsidR="00786A5B" w:rsidRPr="002C6E11">
        <w:rPr>
          <w:rFonts w:asciiTheme="minorHAnsi" w:hAnsiTheme="minorHAnsi" w:cstheme="minorHAnsi"/>
          <w:sz w:val="24"/>
        </w:rPr>
        <w:t>, Boršice</w:t>
      </w:r>
      <w:r w:rsidRPr="002C6E11">
        <w:rPr>
          <w:rFonts w:asciiTheme="minorHAnsi" w:hAnsiTheme="minorHAnsi" w:cstheme="minorHAnsi"/>
          <w:sz w:val="24"/>
        </w:rPr>
        <w:t xml:space="preserve">; </w:t>
      </w:r>
    </w:p>
    <w:p w14:paraId="75FDF594" w14:textId="7C6F2EDF" w:rsidR="00E21318" w:rsidRDefault="00786A5B" w:rsidP="009B1781">
      <w:pPr>
        <w:rPr>
          <w:rFonts w:asciiTheme="minorHAnsi" w:hAnsiTheme="minorHAnsi" w:cstheme="minorHAnsi"/>
          <w:sz w:val="24"/>
        </w:rPr>
      </w:pPr>
      <w:r w:rsidRPr="002C6E11">
        <w:rPr>
          <w:rFonts w:asciiTheme="minorHAnsi" w:hAnsiTheme="minorHAnsi" w:cstheme="minorHAnsi"/>
          <w:sz w:val="24"/>
        </w:rPr>
        <w:t>o</w:t>
      </w:r>
      <w:r w:rsidR="009B1781" w:rsidRPr="002C6E11">
        <w:rPr>
          <w:rFonts w:asciiTheme="minorHAnsi" w:hAnsiTheme="minorHAnsi" w:cstheme="minorHAnsi"/>
          <w:sz w:val="24"/>
        </w:rPr>
        <w:t xml:space="preserve">bec Boršice; </w:t>
      </w:r>
    </w:p>
    <w:p w14:paraId="1BF0BD39" w14:textId="77777777" w:rsidR="00E21318" w:rsidRDefault="00786A5B" w:rsidP="009B1781">
      <w:pPr>
        <w:rPr>
          <w:rFonts w:asciiTheme="minorHAnsi" w:hAnsiTheme="minorHAnsi" w:cstheme="minorHAnsi"/>
          <w:sz w:val="24"/>
        </w:rPr>
      </w:pPr>
      <w:r w:rsidRPr="002C6E11">
        <w:rPr>
          <w:rFonts w:asciiTheme="minorHAnsi" w:hAnsiTheme="minorHAnsi" w:cstheme="minorHAnsi"/>
          <w:sz w:val="24"/>
        </w:rPr>
        <w:t>o</w:t>
      </w:r>
      <w:r w:rsidR="009B1781" w:rsidRPr="002C6E11">
        <w:rPr>
          <w:rFonts w:asciiTheme="minorHAnsi" w:hAnsiTheme="minorHAnsi" w:cstheme="minorHAnsi"/>
          <w:sz w:val="24"/>
        </w:rPr>
        <w:t xml:space="preserve">bec Mrsklesy; </w:t>
      </w:r>
    </w:p>
    <w:p w14:paraId="4B21BE7E" w14:textId="77777777" w:rsidR="00E21318" w:rsidRDefault="009B1781" w:rsidP="009B1781">
      <w:pPr>
        <w:rPr>
          <w:rFonts w:asciiTheme="minorHAnsi" w:hAnsiTheme="minorHAnsi" w:cstheme="minorHAnsi"/>
          <w:sz w:val="24"/>
        </w:rPr>
      </w:pPr>
      <w:r w:rsidRPr="002C6E11">
        <w:rPr>
          <w:rFonts w:asciiTheme="minorHAnsi" w:hAnsiTheme="minorHAnsi" w:cstheme="minorHAnsi"/>
          <w:sz w:val="24"/>
        </w:rPr>
        <w:t>RÝPAR-STAV s.r.o.</w:t>
      </w:r>
      <w:r w:rsidR="00786A5B" w:rsidRPr="002C6E11">
        <w:rPr>
          <w:rFonts w:asciiTheme="minorHAnsi" w:hAnsiTheme="minorHAnsi" w:cstheme="minorHAnsi"/>
          <w:sz w:val="24"/>
        </w:rPr>
        <w:t>, Hranice</w:t>
      </w:r>
      <w:r w:rsidRPr="002C6E11">
        <w:rPr>
          <w:rFonts w:asciiTheme="minorHAnsi" w:hAnsiTheme="minorHAnsi" w:cstheme="minorHAnsi"/>
          <w:sz w:val="24"/>
        </w:rPr>
        <w:t xml:space="preserve">; </w:t>
      </w:r>
    </w:p>
    <w:p w14:paraId="6B2934A5" w14:textId="6895B6F8" w:rsidR="009B1781" w:rsidRPr="002C6E11" w:rsidRDefault="00786A5B" w:rsidP="009B1781">
      <w:pPr>
        <w:rPr>
          <w:rFonts w:asciiTheme="minorHAnsi" w:hAnsiTheme="minorHAnsi" w:cstheme="minorHAnsi"/>
          <w:sz w:val="24"/>
        </w:rPr>
      </w:pPr>
      <w:r w:rsidRPr="002C6E11">
        <w:rPr>
          <w:rFonts w:asciiTheme="minorHAnsi" w:hAnsiTheme="minorHAnsi" w:cstheme="minorHAnsi"/>
          <w:sz w:val="24"/>
        </w:rPr>
        <w:t>o</w:t>
      </w:r>
      <w:r w:rsidR="009B1781" w:rsidRPr="002C6E11">
        <w:rPr>
          <w:rFonts w:asciiTheme="minorHAnsi" w:hAnsiTheme="minorHAnsi" w:cstheme="minorHAnsi"/>
          <w:sz w:val="24"/>
        </w:rPr>
        <w:t>bec Horní Moštěnice</w:t>
      </w:r>
      <w:r w:rsidR="006C0225">
        <w:rPr>
          <w:rFonts w:asciiTheme="minorHAnsi" w:hAnsiTheme="minorHAnsi" w:cstheme="minorHAnsi"/>
          <w:sz w:val="24"/>
        </w:rPr>
        <w:t>.</w:t>
      </w:r>
      <w:r w:rsidR="009B1781" w:rsidRPr="002C6E11">
        <w:rPr>
          <w:rFonts w:asciiTheme="minorHAnsi" w:hAnsiTheme="minorHAnsi" w:cstheme="minorHAnsi"/>
          <w:sz w:val="24"/>
        </w:rPr>
        <w:t xml:space="preserve"> </w:t>
      </w:r>
    </w:p>
    <w:p w14:paraId="26D5A018" w14:textId="77777777" w:rsidR="0003387D" w:rsidRPr="002C6E11" w:rsidRDefault="0003387D" w:rsidP="0003387D">
      <w:pPr>
        <w:rPr>
          <w:rFonts w:asciiTheme="minorHAnsi" w:hAnsiTheme="minorHAnsi" w:cstheme="minorHAnsi"/>
          <w:sz w:val="24"/>
        </w:rPr>
      </w:pPr>
    </w:p>
    <w:p w14:paraId="6C6B7FD3" w14:textId="77777777" w:rsidR="0003387D" w:rsidRPr="002C6E11" w:rsidRDefault="0084062D" w:rsidP="0003387D">
      <w:pPr>
        <w:rPr>
          <w:rFonts w:asciiTheme="minorHAnsi" w:hAnsiTheme="minorHAnsi" w:cstheme="minorHAnsi"/>
          <w:sz w:val="24"/>
        </w:rPr>
      </w:pPr>
      <w:r w:rsidRPr="002C6E11">
        <w:rPr>
          <w:rFonts w:asciiTheme="minorHAnsi" w:hAnsiTheme="minorHAnsi" w:cstheme="minorHAnsi"/>
          <w:sz w:val="24"/>
        </w:rPr>
        <w:t>Námitky nebyly proti kontrolním protokolům podány.</w:t>
      </w:r>
    </w:p>
    <w:p w14:paraId="7313A9F3" w14:textId="77777777" w:rsidR="0003387D" w:rsidRDefault="0003387D" w:rsidP="0003387D">
      <w:pPr>
        <w:rPr>
          <w:rFonts w:asciiTheme="minorHAnsi" w:hAnsiTheme="minorHAnsi" w:cstheme="minorHAnsi"/>
          <w:sz w:val="24"/>
        </w:rPr>
      </w:pPr>
    </w:p>
    <w:p w14:paraId="7A900A99" w14:textId="77777777" w:rsidR="006C0225" w:rsidRPr="002C6E11" w:rsidRDefault="006C0225" w:rsidP="0003387D">
      <w:pPr>
        <w:rPr>
          <w:rFonts w:asciiTheme="minorHAnsi" w:hAnsiTheme="minorHAnsi" w:cstheme="minorHAnsi"/>
          <w:sz w:val="24"/>
        </w:rPr>
      </w:pPr>
    </w:p>
    <w:p w14:paraId="546BC97C" w14:textId="5E3DC68E" w:rsidR="0003387D" w:rsidRDefault="0003387D" w:rsidP="006C0225">
      <w:pPr>
        <w:rPr>
          <w:rFonts w:asciiTheme="minorHAnsi" w:hAnsiTheme="minorHAnsi" w:cstheme="minorHAnsi"/>
          <w:sz w:val="24"/>
        </w:rPr>
      </w:pPr>
      <w:r w:rsidRPr="002C6E11">
        <w:rPr>
          <w:rFonts w:asciiTheme="minorHAnsi" w:hAnsiTheme="minorHAnsi" w:cstheme="minorHAnsi"/>
          <w:b/>
          <w:bCs/>
          <w:i/>
          <w:iCs/>
          <w:sz w:val="24"/>
        </w:rPr>
        <w:t xml:space="preserve">K o l e g i u m   N K Ú  </w:t>
      </w:r>
      <w:r w:rsidRPr="002C6E11">
        <w:rPr>
          <w:rFonts w:asciiTheme="minorHAnsi" w:hAnsiTheme="minorHAnsi" w:cstheme="minorHAnsi"/>
          <w:sz w:val="24"/>
        </w:rPr>
        <w:t xml:space="preserve"> na svém </w:t>
      </w:r>
      <w:r w:rsidR="00125A0D" w:rsidRPr="002C6E11">
        <w:rPr>
          <w:rFonts w:asciiTheme="minorHAnsi" w:hAnsiTheme="minorHAnsi" w:cstheme="minorHAnsi"/>
          <w:sz w:val="24"/>
        </w:rPr>
        <w:t>II</w:t>
      </w:r>
      <w:r w:rsidRPr="002C6E11">
        <w:rPr>
          <w:rFonts w:asciiTheme="minorHAnsi" w:hAnsiTheme="minorHAnsi" w:cstheme="minorHAnsi"/>
          <w:sz w:val="24"/>
        </w:rPr>
        <w:t xml:space="preserve">. jednání, </w:t>
      </w:r>
      <w:r w:rsidR="00E21318">
        <w:rPr>
          <w:rFonts w:asciiTheme="minorHAnsi" w:hAnsiTheme="minorHAnsi" w:cstheme="minorHAnsi"/>
          <w:sz w:val="24"/>
        </w:rPr>
        <w:t>které se konalo</w:t>
      </w:r>
      <w:r w:rsidRPr="002C6E11">
        <w:rPr>
          <w:rFonts w:asciiTheme="minorHAnsi" w:hAnsiTheme="minorHAnsi" w:cstheme="minorHAnsi"/>
          <w:sz w:val="24"/>
        </w:rPr>
        <w:t xml:space="preserve"> dne </w:t>
      </w:r>
      <w:r w:rsidR="00125A0D" w:rsidRPr="002C6E11">
        <w:rPr>
          <w:rFonts w:asciiTheme="minorHAnsi" w:hAnsiTheme="minorHAnsi" w:cstheme="minorHAnsi"/>
          <w:sz w:val="24"/>
        </w:rPr>
        <w:t xml:space="preserve">15. </w:t>
      </w:r>
      <w:r w:rsidR="0065487A" w:rsidRPr="002C6E11">
        <w:rPr>
          <w:rFonts w:asciiTheme="minorHAnsi" w:hAnsiTheme="minorHAnsi" w:cstheme="minorHAnsi"/>
          <w:sz w:val="24"/>
        </w:rPr>
        <w:t>únor</w:t>
      </w:r>
      <w:r w:rsidR="0084062D" w:rsidRPr="002C6E11">
        <w:rPr>
          <w:rFonts w:asciiTheme="minorHAnsi" w:hAnsiTheme="minorHAnsi" w:cstheme="minorHAnsi"/>
          <w:sz w:val="24"/>
        </w:rPr>
        <w:t>a</w:t>
      </w:r>
      <w:r w:rsidRPr="002C6E11">
        <w:rPr>
          <w:rFonts w:asciiTheme="minorHAnsi" w:hAnsiTheme="minorHAnsi" w:cstheme="minorHAnsi"/>
          <w:sz w:val="24"/>
        </w:rPr>
        <w:t xml:space="preserve"> 201</w:t>
      </w:r>
      <w:r w:rsidR="0084062D" w:rsidRPr="002C6E11">
        <w:rPr>
          <w:rFonts w:asciiTheme="minorHAnsi" w:hAnsiTheme="minorHAnsi" w:cstheme="minorHAnsi"/>
          <w:sz w:val="24"/>
        </w:rPr>
        <w:t>6</w:t>
      </w:r>
      <w:r w:rsidRPr="002C6E11">
        <w:rPr>
          <w:rFonts w:asciiTheme="minorHAnsi" w:hAnsiTheme="minorHAnsi" w:cstheme="minorHAnsi"/>
          <w:sz w:val="24"/>
        </w:rPr>
        <w:t xml:space="preserve">, </w:t>
      </w:r>
    </w:p>
    <w:p w14:paraId="461D7DC7" w14:textId="153B4D3A" w:rsidR="0003387D" w:rsidRDefault="0003387D" w:rsidP="006C0225">
      <w:pPr>
        <w:pStyle w:val="NormlnKZ"/>
        <w:spacing w:after="0"/>
        <w:ind w:firstLine="0"/>
        <w:rPr>
          <w:rFonts w:asciiTheme="minorHAnsi" w:hAnsiTheme="minorHAnsi" w:cstheme="minorHAnsi"/>
          <w:sz w:val="24"/>
        </w:rPr>
      </w:pPr>
      <w:r w:rsidRPr="002C6E11">
        <w:rPr>
          <w:rFonts w:asciiTheme="minorHAnsi" w:hAnsiTheme="minorHAnsi" w:cstheme="minorHAnsi"/>
          <w:b/>
          <w:bCs/>
          <w:i/>
          <w:iCs/>
          <w:sz w:val="24"/>
        </w:rPr>
        <w:t xml:space="preserve">s c h v á l i l o  </w:t>
      </w:r>
      <w:r w:rsidRPr="002C6E11">
        <w:rPr>
          <w:rFonts w:asciiTheme="minorHAnsi" w:hAnsiTheme="minorHAnsi" w:cstheme="minorHAnsi"/>
          <w:sz w:val="24"/>
        </w:rPr>
        <w:t xml:space="preserve"> usnesením č. </w:t>
      </w:r>
      <w:r w:rsidR="006C0225">
        <w:rPr>
          <w:rFonts w:asciiTheme="minorHAnsi" w:hAnsiTheme="minorHAnsi" w:cstheme="minorHAnsi"/>
          <w:sz w:val="24"/>
        </w:rPr>
        <w:t>9</w:t>
      </w:r>
      <w:r w:rsidRPr="002C6E11">
        <w:rPr>
          <w:rFonts w:asciiTheme="minorHAnsi" w:hAnsiTheme="minorHAnsi" w:cstheme="minorHAnsi"/>
          <w:sz w:val="24"/>
        </w:rPr>
        <w:t>/</w:t>
      </w:r>
      <w:r w:rsidR="00125A0D" w:rsidRPr="002C6E11">
        <w:rPr>
          <w:rFonts w:asciiTheme="minorHAnsi" w:hAnsiTheme="minorHAnsi" w:cstheme="minorHAnsi"/>
          <w:sz w:val="24"/>
        </w:rPr>
        <w:t>II</w:t>
      </w:r>
      <w:r w:rsidR="0084062D" w:rsidRPr="002C6E11">
        <w:rPr>
          <w:rFonts w:asciiTheme="minorHAnsi" w:hAnsiTheme="minorHAnsi" w:cstheme="minorHAnsi"/>
          <w:sz w:val="24"/>
        </w:rPr>
        <w:t>/2016</w:t>
      </w:r>
    </w:p>
    <w:p w14:paraId="746F0C10" w14:textId="77777777" w:rsidR="0003387D" w:rsidRPr="002C6E11" w:rsidRDefault="0003387D" w:rsidP="006C0225">
      <w:pPr>
        <w:pStyle w:val="NormlnKZ"/>
        <w:spacing w:after="0"/>
        <w:ind w:firstLine="0"/>
        <w:rPr>
          <w:rFonts w:asciiTheme="minorHAnsi" w:hAnsiTheme="minorHAnsi" w:cstheme="minorHAnsi"/>
          <w:sz w:val="24"/>
        </w:rPr>
      </w:pPr>
      <w:r w:rsidRPr="002C6E11">
        <w:rPr>
          <w:rFonts w:asciiTheme="minorHAnsi" w:hAnsiTheme="minorHAnsi" w:cstheme="minorHAnsi"/>
          <w:b/>
          <w:bCs/>
          <w:i/>
          <w:iCs/>
          <w:sz w:val="24"/>
        </w:rPr>
        <w:t>k o n t r o l n í   z á v ě r</w:t>
      </w:r>
      <w:r w:rsidRPr="002C6E11">
        <w:rPr>
          <w:rFonts w:asciiTheme="minorHAnsi" w:hAnsiTheme="minorHAnsi" w:cstheme="minorHAnsi"/>
          <w:sz w:val="24"/>
        </w:rPr>
        <w:t xml:space="preserve">   v tomto znění:</w:t>
      </w:r>
    </w:p>
    <w:p w14:paraId="632EBAAC" w14:textId="77777777" w:rsidR="0003387D" w:rsidRPr="002C6E11" w:rsidRDefault="0003387D" w:rsidP="0003387D">
      <w:pPr>
        <w:pStyle w:val="NormlnKZ"/>
        <w:spacing w:after="0"/>
        <w:ind w:firstLine="0"/>
        <w:rPr>
          <w:rFonts w:asciiTheme="minorHAnsi" w:hAnsiTheme="minorHAnsi" w:cstheme="minorHAnsi"/>
          <w:sz w:val="24"/>
        </w:rPr>
      </w:pPr>
    </w:p>
    <w:p w14:paraId="12BC31E0" w14:textId="77777777" w:rsidR="0003387D" w:rsidRPr="002C6E11" w:rsidRDefault="0003387D" w:rsidP="0003387D">
      <w:pPr>
        <w:pStyle w:val="NormlnKZ"/>
        <w:spacing w:after="0"/>
        <w:ind w:firstLine="0"/>
        <w:rPr>
          <w:rFonts w:asciiTheme="minorHAnsi" w:hAnsiTheme="minorHAnsi" w:cstheme="minorHAnsi"/>
          <w:sz w:val="24"/>
        </w:rPr>
      </w:pPr>
    </w:p>
    <w:p w14:paraId="58D22C99" w14:textId="77777777" w:rsidR="0003387D" w:rsidRPr="00B86FD0" w:rsidRDefault="0003387D" w:rsidP="0003387D">
      <w:pPr>
        <w:spacing w:after="200"/>
        <w:jc w:val="left"/>
        <w:rPr>
          <w:rFonts w:asciiTheme="minorHAnsi" w:hAnsiTheme="minorHAnsi" w:cstheme="minorHAnsi"/>
          <w:sz w:val="24"/>
          <w:lang w:eastAsia="cs-CZ"/>
        </w:rPr>
      </w:pPr>
      <w:r w:rsidRPr="00B86FD0">
        <w:rPr>
          <w:rFonts w:asciiTheme="minorHAnsi" w:hAnsiTheme="minorHAnsi" w:cstheme="minorHAnsi"/>
          <w:sz w:val="24"/>
        </w:rPr>
        <w:br w:type="page"/>
      </w:r>
    </w:p>
    <w:p w14:paraId="1205DBB3" w14:textId="77777777" w:rsidR="0003387D" w:rsidRPr="00A01642" w:rsidRDefault="0003387D" w:rsidP="0003387D">
      <w:pPr>
        <w:jc w:val="center"/>
        <w:rPr>
          <w:rFonts w:asciiTheme="minorHAnsi" w:hAnsiTheme="minorHAnsi" w:cstheme="minorHAnsi"/>
          <w:b/>
          <w:bCs/>
          <w:sz w:val="28"/>
        </w:rPr>
      </w:pPr>
      <w:r w:rsidRPr="00A01642">
        <w:rPr>
          <w:rFonts w:asciiTheme="minorHAnsi" w:hAnsiTheme="minorHAnsi" w:cstheme="minorHAnsi"/>
          <w:b/>
          <w:bCs/>
          <w:sz w:val="28"/>
        </w:rPr>
        <w:lastRenderedPageBreak/>
        <w:t xml:space="preserve">I. Úvod </w:t>
      </w:r>
    </w:p>
    <w:p w14:paraId="05CA2E02" w14:textId="77777777" w:rsidR="004F5D7D" w:rsidRPr="00A01642" w:rsidRDefault="004F5D7D" w:rsidP="00A01642">
      <w:pPr>
        <w:autoSpaceDE w:val="0"/>
        <w:autoSpaceDN w:val="0"/>
        <w:adjustRightInd w:val="0"/>
        <w:rPr>
          <w:rFonts w:ascii="Calibri" w:hAnsi="Calibri" w:cs="Calibri"/>
          <w:sz w:val="24"/>
        </w:rPr>
      </w:pPr>
    </w:p>
    <w:p w14:paraId="3853BD3F" w14:textId="2C35938E" w:rsidR="001B4993" w:rsidRPr="00626B6D" w:rsidRDefault="001B4993" w:rsidP="00A01642">
      <w:pPr>
        <w:tabs>
          <w:tab w:val="left" w:pos="7254"/>
        </w:tabs>
        <w:autoSpaceDE w:val="0"/>
        <w:autoSpaceDN w:val="0"/>
        <w:adjustRightInd w:val="0"/>
        <w:rPr>
          <w:rFonts w:asciiTheme="minorHAnsi" w:hAnsiTheme="minorHAnsi" w:cstheme="minorHAnsi"/>
          <w:bCs/>
          <w:sz w:val="24"/>
        </w:rPr>
      </w:pPr>
      <w:r w:rsidRPr="00626B6D">
        <w:rPr>
          <w:rFonts w:asciiTheme="minorHAnsi" w:hAnsiTheme="minorHAnsi" w:cstheme="minorHAnsi"/>
          <w:bCs/>
          <w:sz w:val="24"/>
        </w:rPr>
        <w:t>V</w:t>
      </w:r>
      <w:r w:rsidR="006C0225">
        <w:rPr>
          <w:rFonts w:asciiTheme="minorHAnsi" w:hAnsiTheme="minorHAnsi" w:cstheme="minorHAnsi"/>
          <w:bCs/>
          <w:sz w:val="24"/>
        </w:rPr>
        <w:t xml:space="preserve"> </w:t>
      </w:r>
      <w:r w:rsidRPr="00626B6D">
        <w:rPr>
          <w:rFonts w:asciiTheme="minorHAnsi" w:hAnsiTheme="minorHAnsi" w:cstheme="minorHAnsi"/>
          <w:bCs/>
          <w:sz w:val="24"/>
        </w:rPr>
        <w:t>roce 2011</w:t>
      </w:r>
      <w:r w:rsidRPr="00626B6D">
        <w:rPr>
          <w:rFonts w:asciiTheme="minorHAnsi" w:hAnsiTheme="minorHAnsi" w:cstheme="minorHAnsi"/>
          <w:sz w:val="24"/>
        </w:rPr>
        <w:t xml:space="preserve"> </w:t>
      </w:r>
      <w:r w:rsidRPr="00626B6D">
        <w:rPr>
          <w:rFonts w:asciiTheme="minorHAnsi" w:hAnsiTheme="minorHAnsi" w:cstheme="minorHAnsi"/>
          <w:bCs/>
          <w:sz w:val="24"/>
        </w:rPr>
        <w:t xml:space="preserve">vláda ČR </w:t>
      </w:r>
      <w:r w:rsidRPr="00626B6D">
        <w:rPr>
          <w:rFonts w:asciiTheme="minorHAnsi" w:hAnsiTheme="minorHAnsi" w:cstheme="minorHAnsi"/>
          <w:sz w:val="24"/>
        </w:rPr>
        <w:t>schválila</w:t>
      </w:r>
      <w:r w:rsidRPr="00626B6D">
        <w:rPr>
          <w:rFonts w:asciiTheme="minorHAnsi" w:hAnsiTheme="minorHAnsi" w:cstheme="minorHAnsi"/>
          <w:bCs/>
          <w:sz w:val="24"/>
        </w:rPr>
        <w:t xml:space="preserve"> </w:t>
      </w:r>
      <w:r w:rsidRPr="00E819ED">
        <w:rPr>
          <w:rFonts w:asciiTheme="minorHAnsi" w:hAnsiTheme="minorHAnsi" w:cstheme="minorHAnsi"/>
          <w:b/>
          <w:i/>
          <w:sz w:val="24"/>
        </w:rPr>
        <w:t>Koncepci bydlení České republiky do roku 2020</w:t>
      </w:r>
      <w:r w:rsidRPr="00626B6D">
        <w:rPr>
          <w:rStyle w:val="Znakapoznpodarou"/>
          <w:rFonts w:asciiTheme="minorHAnsi" w:hAnsiTheme="minorHAnsi" w:cstheme="minorHAnsi"/>
          <w:sz w:val="24"/>
        </w:rPr>
        <w:footnoteReference w:id="1"/>
      </w:r>
      <w:r w:rsidRPr="00626B6D">
        <w:rPr>
          <w:rFonts w:asciiTheme="minorHAnsi" w:hAnsiTheme="minorHAnsi" w:cstheme="minorHAnsi"/>
          <w:sz w:val="24"/>
        </w:rPr>
        <w:t xml:space="preserve"> (dále jen „Koncepce</w:t>
      </w:r>
      <w:r w:rsidR="00F3709C" w:rsidRPr="00626B6D">
        <w:rPr>
          <w:rFonts w:asciiTheme="minorHAnsi" w:hAnsiTheme="minorHAnsi" w:cstheme="minorHAnsi"/>
          <w:sz w:val="24"/>
        </w:rPr>
        <w:t>“</w:t>
      </w:r>
      <w:r w:rsidRPr="00626B6D">
        <w:rPr>
          <w:rFonts w:asciiTheme="minorHAnsi" w:hAnsiTheme="minorHAnsi" w:cstheme="minorHAnsi"/>
          <w:sz w:val="24"/>
        </w:rPr>
        <w:t>), která obsahuje analýzu oblasti bydlení a stanoví vizi bytové politiky, její cíle, priority, nástroje a úkoly k</w:t>
      </w:r>
      <w:r w:rsidR="006C0225">
        <w:rPr>
          <w:rFonts w:asciiTheme="minorHAnsi" w:hAnsiTheme="minorHAnsi" w:cstheme="minorHAnsi"/>
          <w:sz w:val="24"/>
        </w:rPr>
        <w:t xml:space="preserve"> </w:t>
      </w:r>
      <w:r w:rsidRPr="00626B6D">
        <w:rPr>
          <w:rFonts w:asciiTheme="minorHAnsi" w:hAnsiTheme="minorHAnsi" w:cstheme="minorHAnsi"/>
          <w:sz w:val="24"/>
        </w:rPr>
        <w:t>jejich dosažení</w:t>
      </w:r>
      <w:r w:rsidR="00986E88" w:rsidRPr="00626B6D">
        <w:rPr>
          <w:rFonts w:asciiTheme="minorHAnsi" w:hAnsiTheme="minorHAnsi" w:cstheme="minorHAnsi"/>
          <w:sz w:val="24"/>
        </w:rPr>
        <w:t xml:space="preserve"> včetně termínů plnění a odpovědných orgánů</w:t>
      </w:r>
      <w:r w:rsidRPr="00626B6D">
        <w:rPr>
          <w:rFonts w:asciiTheme="minorHAnsi" w:hAnsiTheme="minorHAnsi" w:cstheme="minorHAnsi"/>
          <w:sz w:val="24"/>
        </w:rPr>
        <w:t>.</w:t>
      </w:r>
      <w:r w:rsidR="00F3709C" w:rsidRPr="00626B6D">
        <w:rPr>
          <w:rFonts w:asciiTheme="minorHAnsi" w:hAnsiTheme="minorHAnsi" w:cstheme="minorHAnsi"/>
          <w:sz w:val="24"/>
        </w:rPr>
        <w:t xml:space="preserve"> Předkladatelem K</w:t>
      </w:r>
      <w:r w:rsidR="000532AC" w:rsidRPr="00626B6D">
        <w:rPr>
          <w:rFonts w:asciiTheme="minorHAnsi" w:hAnsiTheme="minorHAnsi" w:cstheme="minorHAnsi"/>
          <w:sz w:val="24"/>
        </w:rPr>
        <w:t>oncepce bylo MMR.</w:t>
      </w:r>
    </w:p>
    <w:p w14:paraId="7F8FEE67" w14:textId="77777777" w:rsidR="004F5D7D" w:rsidRPr="00626B6D" w:rsidRDefault="004F5D7D" w:rsidP="00A01642">
      <w:pPr>
        <w:rPr>
          <w:rFonts w:asciiTheme="minorHAnsi" w:hAnsiTheme="minorHAnsi" w:cstheme="minorHAnsi"/>
          <w:sz w:val="24"/>
        </w:rPr>
      </w:pPr>
    </w:p>
    <w:p w14:paraId="4FB9E16C" w14:textId="3787DAC0" w:rsidR="00E04A73" w:rsidRPr="00626B6D" w:rsidRDefault="004F5D7D" w:rsidP="00A01642">
      <w:pPr>
        <w:rPr>
          <w:rFonts w:asciiTheme="minorHAnsi" w:hAnsiTheme="minorHAnsi" w:cstheme="minorHAnsi"/>
          <w:sz w:val="24"/>
        </w:rPr>
      </w:pPr>
      <w:r w:rsidRPr="00626B6D">
        <w:rPr>
          <w:rFonts w:asciiTheme="minorHAnsi" w:hAnsiTheme="minorHAnsi" w:cstheme="minorHAnsi"/>
          <w:sz w:val="24"/>
        </w:rPr>
        <w:t>K</w:t>
      </w:r>
      <w:r w:rsidR="006C0225">
        <w:rPr>
          <w:rFonts w:asciiTheme="minorHAnsi" w:hAnsiTheme="minorHAnsi" w:cstheme="minorHAnsi"/>
          <w:sz w:val="24"/>
        </w:rPr>
        <w:t xml:space="preserve"> </w:t>
      </w:r>
      <w:r w:rsidRPr="00626B6D">
        <w:rPr>
          <w:rFonts w:asciiTheme="minorHAnsi" w:hAnsiTheme="minorHAnsi" w:cstheme="minorHAnsi"/>
          <w:sz w:val="24"/>
        </w:rPr>
        <w:t xml:space="preserve">finančním nástrojům, které mají </w:t>
      </w:r>
      <w:r w:rsidR="009F113E">
        <w:rPr>
          <w:rFonts w:asciiTheme="minorHAnsi" w:hAnsiTheme="minorHAnsi" w:cstheme="minorHAnsi"/>
          <w:sz w:val="24"/>
        </w:rPr>
        <w:t xml:space="preserve">pomoci </w:t>
      </w:r>
      <w:r w:rsidR="00342081" w:rsidRPr="00626B6D">
        <w:rPr>
          <w:rFonts w:asciiTheme="minorHAnsi" w:hAnsiTheme="minorHAnsi" w:cstheme="minorHAnsi"/>
          <w:sz w:val="24"/>
        </w:rPr>
        <w:t>realizovat Koncepci</w:t>
      </w:r>
      <w:r w:rsidRPr="00626B6D">
        <w:rPr>
          <w:rFonts w:asciiTheme="minorHAnsi" w:hAnsiTheme="minorHAnsi" w:cstheme="minorHAnsi"/>
          <w:sz w:val="24"/>
        </w:rPr>
        <w:t>, patří programy a další podpory, které poskytuje</w:t>
      </w:r>
      <w:r w:rsidR="00E04A73" w:rsidRPr="00626B6D">
        <w:rPr>
          <w:rFonts w:asciiTheme="minorHAnsi" w:hAnsiTheme="minorHAnsi" w:cstheme="minorHAnsi"/>
          <w:sz w:val="24"/>
        </w:rPr>
        <w:t>:</w:t>
      </w:r>
    </w:p>
    <w:p w14:paraId="2909DDC1" w14:textId="77777777" w:rsidR="00E04A73" w:rsidRPr="00626B6D" w:rsidRDefault="004F5D7D" w:rsidP="00A01642">
      <w:pPr>
        <w:pStyle w:val="Odstavecseseznamem"/>
        <w:numPr>
          <w:ilvl w:val="0"/>
          <w:numId w:val="5"/>
        </w:numPr>
        <w:spacing w:after="0" w:line="240" w:lineRule="auto"/>
        <w:ind w:left="284" w:hanging="284"/>
        <w:contextualSpacing w:val="0"/>
        <w:rPr>
          <w:rFonts w:asciiTheme="minorHAnsi" w:hAnsiTheme="minorHAnsi" w:cstheme="minorHAnsi"/>
          <w:sz w:val="24"/>
          <w:szCs w:val="24"/>
        </w:rPr>
      </w:pPr>
      <w:r w:rsidRPr="00626B6D">
        <w:rPr>
          <w:rFonts w:asciiTheme="minorHAnsi" w:hAnsiTheme="minorHAnsi" w:cstheme="minorHAnsi"/>
          <w:sz w:val="24"/>
          <w:szCs w:val="24"/>
        </w:rPr>
        <w:t>MMR a SFRB formou dotací, úvěrů a</w:t>
      </w:r>
      <w:r w:rsidR="00E04A73" w:rsidRPr="00626B6D">
        <w:rPr>
          <w:rFonts w:asciiTheme="minorHAnsi" w:hAnsiTheme="minorHAnsi" w:cstheme="minorHAnsi"/>
          <w:sz w:val="24"/>
          <w:szCs w:val="24"/>
        </w:rPr>
        <w:t xml:space="preserve"> záruk za bankovní úvěry; </w:t>
      </w:r>
    </w:p>
    <w:p w14:paraId="7A8CEFB4" w14:textId="42DDE76E" w:rsidR="00E04A73" w:rsidRPr="00626B6D" w:rsidRDefault="004F5D7D" w:rsidP="00A01642">
      <w:pPr>
        <w:pStyle w:val="Odstavecseseznamem"/>
        <w:numPr>
          <w:ilvl w:val="0"/>
          <w:numId w:val="5"/>
        </w:numPr>
        <w:spacing w:after="0" w:line="240" w:lineRule="auto"/>
        <w:ind w:left="284" w:hanging="284"/>
        <w:contextualSpacing w:val="0"/>
        <w:rPr>
          <w:rFonts w:asciiTheme="minorHAnsi" w:hAnsiTheme="minorHAnsi" w:cstheme="minorHAnsi"/>
          <w:sz w:val="24"/>
          <w:szCs w:val="24"/>
        </w:rPr>
      </w:pPr>
      <w:r w:rsidRPr="00626B6D">
        <w:rPr>
          <w:rFonts w:asciiTheme="minorHAnsi" w:hAnsiTheme="minorHAnsi" w:cstheme="minorHAnsi"/>
          <w:sz w:val="24"/>
          <w:szCs w:val="24"/>
        </w:rPr>
        <w:t>Ministerstvo financí zejména prostřednictvím příspěvku ke stavebnímu spořen</w:t>
      </w:r>
      <w:r w:rsidR="00E04A73" w:rsidRPr="00626B6D">
        <w:rPr>
          <w:rFonts w:asciiTheme="minorHAnsi" w:hAnsiTheme="minorHAnsi" w:cstheme="minorHAnsi"/>
          <w:sz w:val="24"/>
          <w:szCs w:val="24"/>
        </w:rPr>
        <w:t>í a</w:t>
      </w:r>
      <w:r w:rsidR="00E21318">
        <w:rPr>
          <w:rFonts w:asciiTheme="minorHAnsi" w:hAnsiTheme="minorHAnsi" w:cstheme="minorHAnsi"/>
          <w:sz w:val="24"/>
          <w:szCs w:val="24"/>
        </w:rPr>
        <w:t> </w:t>
      </w:r>
      <w:r w:rsidR="00E04A73" w:rsidRPr="00626B6D">
        <w:rPr>
          <w:rFonts w:asciiTheme="minorHAnsi" w:hAnsiTheme="minorHAnsi" w:cstheme="minorHAnsi"/>
          <w:sz w:val="24"/>
          <w:szCs w:val="24"/>
        </w:rPr>
        <w:t>daňovými úlevami a odpočty;</w:t>
      </w:r>
    </w:p>
    <w:p w14:paraId="0BD4CE3F" w14:textId="502933B7" w:rsidR="00E04A73" w:rsidRPr="00626B6D" w:rsidRDefault="004F5D7D" w:rsidP="00A01642">
      <w:pPr>
        <w:pStyle w:val="Odstavecseseznamem"/>
        <w:numPr>
          <w:ilvl w:val="0"/>
          <w:numId w:val="5"/>
        </w:numPr>
        <w:spacing w:after="0" w:line="240" w:lineRule="auto"/>
        <w:ind w:left="284" w:hanging="284"/>
        <w:contextualSpacing w:val="0"/>
        <w:jc w:val="both"/>
        <w:rPr>
          <w:rFonts w:asciiTheme="minorHAnsi" w:hAnsiTheme="minorHAnsi" w:cstheme="minorHAnsi"/>
          <w:sz w:val="24"/>
          <w:szCs w:val="24"/>
        </w:rPr>
      </w:pPr>
      <w:r w:rsidRPr="00626B6D">
        <w:rPr>
          <w:rFonts w:asciiTheme="minorHAnsi" w:hAnsiTheme="minorHAnsi" w:cstheme="minorHAnsi"/>
          <w:sz w:val="24"/>
          <w:szCs w:val="24"/>
        </w:rPr>
        <w:t>Ministerstvo životního prostředí, resp. Státní fond životního prostředí</w:t>
      </w:r>
      <w:r w:rsidR="00261712">
        <w:rPr>
          <w:rFonts w:asciiTheme="minorHAnsi" w:hAnsiTheme="minorHAnsi" w:cstheme="minorHAnsi"/>
          <w:sz w:val="24"/>
          <w:szCs w:val="24"/>
        </w:rPr>
        <w:t>,</w:t>
      </w:r>
      <w:r w:rsidRPr="00626B6D">
        <w:rPr>
          <w:rFonts w:asciiTheme="minorHAnsi" w:hAnsiTheme="minorHAnsi" w:cstheme="minorHAnsi"/>
          <w:sz w:val="24"/>
          <w:szCs w:val="24"/>
        </w:rPr>
        <w:t xml:space="preserve"> prostřednictvím programu </w:t>
      </w:r>
      <w:r w:rsidRPr="00E819ED">
        <w:rPr>
          <w:rFonts w:asciiTheme="minorHAnsi" w:hAnsiTheme="minorHAnsi" w:cstheme="minorHAnsi"/>
          <w:i/>
          <w:sz w:val="24"/>
          <w:szCs w:val="24"/>
        </w:rPr>
        <w:t>Zelen</w:t>
      </w:r>
      <w:r w:rsidR="00E04A73" w:rsidRPr="00E819ED">
        <w:rPr>
          <w:rFonts w:asciiTheme="minorHAnsi" w:hAnsiTheme="minorHAnsi" w:cstheme="minorHAnsi"/>
          <w:i/>
          <w:sz w:val="24"/>
          <w:szCs w:val="24"/>
        </w:rPr>
        <w:t>á úsporám</w:t>
      </w:r>
      <w:r w:rsidR="00E04A73" w:rsidRPr="00626B6D">
        <w:rPr>
          <w:rFonts w:asciiTheme="minorHAnsi" w:hAnsiTheme="minorHAnsi" w:cstheme="minorHAnsi"/>
          <w:sz w:val="24"/>
          <w:szCs w:val="24"/>
        </w:rPr>
        <w:t xml:space="preserve"> (</w:t>
      </w:r>
      <w:r w:rsidR="00E04A73" w:rsidRPr="00E819ED">
        <w:rPr>
          <w:rFonts w:asciiTheme="minorHAnsi" w:hAnsiTheme="minorHAnsi" w:cstheme="minorHAnsi"/>
          <w:i/>
          <w:sz w:val="24"/>
          <w:szCs w:val="24"/>
        </w:rPr>
        <w:t>Nová Zelená úsporám</w:t>
      </w:r>
      <w:r w:rsidR="00E04A73" w:rsidRPr="00626B6D">
        <w:rPr>
          <w:rFonts w:asciiTheme="minorHAnsi" w:hAnsiTheme="minorHAnsi" w:cstheme="minorHAnsi"/>
          <w:sz w:val="24"/>
          <w:szCs w:val="24"/>
        </w:rPr>
        <w:t>);</w:t>
      </w:r>
      <w:r w:rsidRPr="00626B6D">
        <w:rPr>
          <w:rFonts w:asciiTheme="minorHAnsi" w:hAnsiTheme="minorHAnsi" w:cstheme="minorHAnsi"/>
          <w:sz w:val="24"/>
          <w:szCs w:val="24"/>
        </w:rPr>
        <w:t xml:space="preserve"> </w:t>
      </w:r>
    </w:p>
    <w:p w14:paraId="7DF8F21E" w14:textId="77777777" w:rsidR="00E04A73" w:rsidRPr="00626B6D" w:rsidRDefault="004F5D7D" w:rsidP="00A01642">
      <w:pPr>
        <w:pStyle w:val="Odstavecseseznamem"/>
        <w:numPr>
          <w:ilvl w:val="0"/>
          <w:numId w:val="5"/>
        </w:numPr>
        <w:spacing w:after="0" w:line="240" w:lineRule="auto"/>
        <w:ind w:left="284" w:hanging="284"/>
        <w:contextualSpacing w:val="0"/>
        <w:rPr>
          <w:rFonts w:asciiTheme="minorHAnsi" w:hAnsiTheme="minorHAnsi" w:cstheme="minorHAnsi"/>
          <w:sz w:val="24"/>
          <w:szCs w:val="24"/>
        </w:rPr>
      </w:pPr>
      <w:r w:rsidRPr="00626B6D">
        <w:rPr>
          <w:rFonts w:asciiTheme="minorHAnsi" w:hAnsiTheme="minorHAnsi" w:cstheme="minorHAnsi"/>
          <w:sz w:val="24"/>
          <w:szCs w:val="24"/>
        </w:rPr>
        <w:t>Ministerstvo práce a sociálních věcí pomocí příspěvku na</w:t>
      </w:r>
      <w:r w:rsidR="00E04A73" w:rsidRPr="00626B6D">
        <w:rPr>
          <w:rFonts w:asciiTheme="minorHAnsi" w:hAnsiTheme="minorHAnsi" w:cstheme="minorHAnsi"/>
          <w:sz w:val="24"/>
          <w:szCs w:val="24"/>
        </w:rPr>
        <w:t xml:space="preserve"> bydlení a doplatku na bydlení;</w:t>
      </w:r>
    </w:p>
    <w:p w14:paraId="526D61AF" w14:textId="77777777" w:rsidR="004F5D7D" w:rsidRPr="00626B6D" w:rsidRDefault="004F5D7D" w:rsidP="00A01642">
      <w:pPr>
        <w:pStyle w:val="Odstavecseseznamem"/>
        <w:numPr>
          <w:ilvl w:val="0"/>
          <w:numId w:val="5"/>
        </w:numPr>
        <w:spacing w:after="0" w:line="240" w:lineRule="auto"/>
        <w:ind w:left="284" w:hanging="284"/>
        <w:contextualSpacing w:val="0"/>
        <w:rPr>
          <w:rFonts w:asciiTheme="minorHAnsi" w:hAnsiTheme="minorHAnsi" w:cstheme="minorHAnsi"/>
          <w:sz w:val="24"/>
          <w:szCs w:val="24"/>
        </w:rPr>
      </w:pPr>
      <w:r w:rsidRPr="00626B6D">
        <w:rPr>
          <w:rFonts w:asciiTheme="minorHAnsi" w:hAnsiTheme="minorHAnsi" w:cstheme="minorHAnsi"/>
          <w:sz w:val="24"/>
          <w:szCs w:val="24"/>
        </w:rPr>
        <w:t>Ministerstvo vnitra</w:t>
      </w:r>
      <w:r w:rsidR="00804CCC" w:rsidRPr="00626B6D">
        <w:rPr>
          <w:rFonts w:asciiTheme="minorHAnsi" w:hAnsiTheme="minorHAnsi" w:cstheme="minorHAnsi"/>
          <w:sz w:val="24"/>
          <w:szCs w:val="24"/>
        </w:rPr>
        <w:t>, které podporuje</w:t>
      </w:r>
      <w:r w:rsidRPr="00626B6D">
        <w:rPr>
          <w:rFonts w:asciiTheme="minorHAnsi" w:hAnsiTheme="minorHAnsi" w:cstheme="minorHAnsi"/>
          <w:sz w:val="24"/>
          <w:szCs w:val="24"/>
        </w:rPr>
        <w:t xml:space="preserve"> zabezpečení integrace azylantů. </w:t>
      </w:r>
    </w:p>
    <w:p w14:paraId="17ADD210" w14:textId="77777777" w:rsidR="00A01642" w:rsidRPr="00A01642" w:rsidRDefault="00A01642" w:rsidP="00A01642">
      <w:pPr>
        <w:autoSpaceDE w:val="0"/>
        <w:autoSpaceDN w:val="0"/>
        <w:adjustRightInd w:val="0"/>
        <w:rPr>
          <w:rFonts w:asciiTheme="minorHAnsi" w:hAnsiTheme="minorHAnsi" w:cstheme="minorHAnsi"/>
          <w:sz w:val="24"/>
        </w:rPr>
      </w:pPr>
    </w:p>
    <w:p w14:paraId="494948EC" w14:textId="56044F1C" w:rsidR="004F5D7D" w:rsidRPr="00626B6D" w:rsidRDefault="00B7144D" w:rsidP="00A01642">
      <w:pPr>
        <w:autoSpaceDE w:val="0"/>
        <w:autoSpaceDN w:val="0"/>
        <w:adjustRightInd w:val="0"/>
        <w:rPr>
          <w:rFonts w:asciiTheme="minorHAnsi" w:hAnsiTheme="minorHAnsi" w:cstheme="minorHAnsi"/>
          <w:bCs/>
          <w:sz w:val="24"/>
        </w:rPr>
      </w:pPr>
      <w:r w:rsidRPr="00626B6D">
        <w:rPr>
          <w:rFonts w:asciiTheme="minorHAnsi" w:hAnsiTheme="minorHAnsi" w:cstheme="minorHAnsi"/>
          <w:b/>
          <w:sz w:val="24"/>
        </w:rPr>
        <w:t xml:space="preserve">1. </w:t>
      </w:r>
      <w:r w:rsidR="004F5D7D" w:rsidRPr="00626B6D">
        <w:rPr>
          <w:rFonts w:asciiTheme="minorHAnsi" w:hAnsiTheme="minorHAnsi" w:cstheme="minorHAnsi"/>
          <w:b/>
          <w:sz w:val="24"/>
        </w:rPr>
        <w:t>MMR je ústředním orgánem státní správy</w:t>
      </w:r>
      <w:r w:rsidR="004F5D7D" w:rsidRPr="00626B6D">
        <w:rPr>
          <w:rFonts w:asciiTheme="minorHAnsi" w:hAnsiTheme="minorHAnsi" w:cstheme="minorHAnsi"/>
          <w:sz w:val="24"/>
        </w:rPr>
        <w:t xml:space="preserve"> mimo jiné ve věcech </w:t>
      </w:r>
      <w:r w:rsidR="004F5D7D" w:rsidRPr="00626B6D">
        <w:rPr>
          <w:rFonts w:asciiTheme="minorHAnsi" w:hAnsiTheme="minorHAnsi" w:cstheme="minorHAnsi"/>
          <w:b/>
          <w:sz w:val="24"/>
        </w:rPr>
        <w:t xml:space="preserve">politiky bydlení, </w:t>
      </w:r>
      <w:r w:rsidR="004F5D7D" w:rsidRPr="00626B6D">
        <w:rPr>
          <w:rFonts w:asciiTheme="minorHAnsi" w:hAnsiTheme="minorHAnsi" w:cstheme="minorHAnsi"/>
          <w:sz w:val="24"/>
        </w:rPr>
        <w:t>rozvoje domovního a bytového fondu a pro věci nájmu bytů a nebytových prostor. Podle zákona č.</w:t>
      </w:r>
      <w:r w:rsidR="00F352BD">
        <w:rPr>
          <w:rFonts w:asciiTheme="minorHAnsi" w:hAnsiTheme="minorHAnsi" w:cstheme="minorHAnsi"/>
          <w:sz w:val="24"/>
        </w:rPr>
        <w:t> </w:t>
      </w:r>
      <w:r w:rsidR="004F5D7D" w:rsidRPr="00626B6D">
        <w:rPr>
          <w:rFonts w:asciiTheme="minorHAnsi" w:hAnsiTheme="minorHAnsi" w:cstheme="minorHAnsi"/>
          <w:sz w:val="24"/>
        </w:rPr>
        <w:t>2/1969</w:t>
      </w:r>
      <w:r w:rsidR="006C0225">
        <w:rPr>
          <w:rFonts w:asciiTheme="minorHAnsi" w:hAnsiTheme="minorHAnsi" w:cstheme="minorHAnsi"/>
          <w:sz w:val="24"/>
        </w:rPr>
        <w:t xml:space="preserve"> </w:t>
      </w:r>
      <w:r w:rsidR="004F5D7D" w:rsidRPr="00626B6D">
        <w:rPr>
          <w:rFonts w:asciiTheme="minorHAnsi" w:hAnsiTheme="minorHAnsi" w:cstheme="minorHAnsi"/>
          <w:sz w:val="24"/>
        </w:rPr>
        <w:t>Sb.</w:t>
      </w:r>
      <w:r w:rsidR="004F5D7D" w:rsidRPr="00626B6D">
        <w:rPr>
          <w:rStyle w:val="Znakapoznpodarou"/>
          <w:rFonts w:asciiTheme="minorHAnsi" w:hAnsiTheme="minorHAnsi" w:cstheme="minorHAnsi"/>
          <w:sz w:val="24"/>
        </w:rPr>
        <w:footnoteReference w:id="2"/>
      </w:r>
      <w:r w:rsidR="004F5D7D" w:rsidRPr="00626B6D">
        <w:rPr>
          <w:rFonts w:asciiTheme="minorHAnsi" w:hAnsiTheme="minorHAnsi" w:cstheme="minorHAnsi"/>
          <w:sz w:val="24"/>
        </w:rPr>
        <w:t xml:space="preserve"> má v</w:t>
      </w:r>
      <w:r w:rsidR="006C0225">
        <w:rPr>
          <w:rFonts w:asciiTheme="minorHAnsi" w:hAnsiTheme="minorHAnsi" w:cstheme="minorHAnsi"/>
          <w:sz w:val="24"/>
        </w:rPr>
        <w:t xml:space="preserve"> </w:t>
      </w:r>
      <w:r w:rsidR="004F5D7D" w:rsidRPr="00626B6D">
        <w:rPr>
          <w:rFonts w:asciiTheme="minorHAnsi" w:hAnsiTheme="minorHAnsi" w:cstheme="minorHAnsi"/>
          <w:sz w:val="24"/>
        </w:rPr>
        <w:t>oblasti politiky bydlení spravov</w:t>
      </w:r>
      <w:r w:rsidR="00492C48">
        <w:rPr>
          <w:rFonts w:asciiTheme="minorHAnsi" w:hAnsiTheme="minorHAnsi" w:cstheme="minorHAnsi"/>
          <w:sz w:val="24"/>
        </w:rPr>
        <w:t>at finanční prostředky určené k</w:t>
      </w:r>
      <w:r w:rsidR="00F352BD">
        <w:rPr>
          <w:rFonts w:asciiTheme="minorHAnsi" w:hAnsiTheme="minorHAnsi" w:cstheme="minorHAnsi"/>
          <w:sz w:val="24"/>
        </w:rPr>
        <w:t> </w:t>
      </w:r>
      <w:r w:rsidR="004F5D7D" w:rsidRPr="00626B6D">
        <w:rPr>
          <w:rFonts w:asciiTheme="minorHAnsi" w:hAnsiTheme="minorHAnsi" w:cstheme="minorHAnsi"/>
          <w:sz w:val="24"/>
        </w:rPr>
        <w:t>zabezpečování politiky bydlení a regionální politiky státu, koordinovat činnosti ministerstev a jiných ústředních orgánů státní správy při zabezpečování politiky bydlení a regionální politiky státu, včetně koordinace financování těchto činností, pokud tyto prostředky přímo nespravuje.</w:t>
      </w:r>
    </w:p>
    <w:p w14:paraId="1B7F511D" w14:textId="77777777" w:rsidR="004F5D7D" w:rsidRPr="00626B6D" w:rsidRDefault="004F5D7D" w:rsidP="00A01642">
      <w:pPr>
        <w:rPr>
          <w:rFonts w:asciiTheme="minorHAnsi" w:hAnsiTheme="minorHAnsi" w:cstheme="minorHAnsi"/>
          <w:iCs/>
          <w:color w:val="000000"/>
          <w:sz w:val="24"/>
          <w:lang w:eastAsia="cs-CZ"/>
        </w:rPr>
      </w:pPr>
    </w:p>
    <w:p w14:paraId="7E579508" w14:textId="10B8B203" w:rsidR="001106D3" w:rsidRPr="00626B6D" w:rsidRDefault="004F5D7D" w:rsidP="00A01642">
      <w:pPr>
        <w:rPr>
          <w:rFonts w:asciiTheme="minorHAnsi" w:hAnsiTheme="minorHAnsi" w:cstheme="minorHAnsi"/>
          <w:iCs/>
          <w:color w:val="000000"/>
          <w:sz w:val="24"/>
          <w:lang w:eastAsia="cs-CZ"/>
        </w:rPr>
      </w:pPr>
      <w:r w:rsidRPr="00626B6D">
        <w:rPr>
          <w:rFonts w:asciiTheme="minorHAnsi" w:hAnsiTheme="minorHAnsi" w:cstheme="minorHAnsi"/>
          <w:b/>
          <w:iCs/>
          <w:color w:val="000000"/>
          <w:sz w:val="24"/>
          <w:lang w:eastAsia="cs-CZ"/>
        </w:rPr>
        <w:t xml:space="preserve">MMR poskytovalo </w:t>
      </w:r>
      <w:r w:rsidR="00C33975" w:rsidRPr="00626B6D">
        <w:rPr>
          <w:rFonts w:asciiTheme="minorHAnsi" w:hAnsiTheme="minorHAnsi" w:cstheme="minorHAnsi"/>
          <w:b/>
          <w:iCs/>
          <w:color w:val="000000"/>
          <w:sz w:val="24"/>
          <w:lang w:eastAsia="cs-CZ"/>
        </w:rPr>
        <w:t>v</w:t>
      </w:r>
      <w:r w:rsidR="006C0225">
        <w:rPr>
          <w:rFonts w:asciiTheme="minorHAnsi" w:hAnsiTheme="minorHAnsi" w:cstheme="minorHAnsi"/>
          <w:b/>
          <w:iCs/>
          <w:color w:val="000000"/>
          <w:sz w:val="24"/>
          <w:lang w:eastAsia="cs-CZ"/>
        </w:rPr>
        <w:t xml:space="preserve"> </w:t>
      </w:r>
      <w:r w:rsidR="00C33975" w:rsidRPr="00626B6D">
        <w:rPr>
          <w:rFonts w:asciiTheme="minorHAnsi" w:hAnsiTheme="minorHAnsi" w:cstheme="minorHAnsi"/>
          <w:b/>
          <w:iCs/>
          <w:color w:val="000000"/>
          <w:sz w:val="24"/>
          <w:lang w:eastAsia="cs-CZ"/>
        </w:rPr>
        <w:t xml:space="preserve">kontrolovaném období </w:t>
      </w:r>
      <w:r w:rsidRPr="00626B6D">
        <w:rPr>
          <w:rFonts w:asciiTheme="minorHAnsi" w:hAnsiTheme="minorHAnsi" w:cstheme="minorHAnsi"/>
          <w:b/>
          <w:iCs/>
          <w:color w:val="000000"/>
          <w:sz w:val="24"/>
          <w:lang w:eastAsia="cs-CZ"/>
        </w:rPr>
        <w:t>dotace na bydlení z</w:t>
      </w:r>
      <w:r w:rsidR="006C0225">
        <w:rPr>
          <w:rFonts w:asciiTheme="minorHAnsi" w:hAnsiTheme="minorHAnsi" w:cstheme="minorHAnsi"/>
          <w:b/>
          <w:iCs/>
          <w:color w:val="000000"/>
          <w:sz w:val="24"/>
          <w:lang w:eastAsia="cs-CZ"/>
        </w:rPr>
        <w:t xml:space="preserve"> </w:t>
      </w:r>
      <w:r w:rsidRPr="00626B6D">
        <w:rPr>
          <w:rFonts w:asciiTheme="minorHAnsi" w:hAnsiTheme="minorHAnsi" w:cstheme="minorHAnsi"/>
          <w:b/>
          <w:iCs/>
          <w:color w:val="000000"/>
          <w:sz w:val="24"/>
          <w:lang w:eastAsia="cs-CZ"/>
        </w:rPr>
        <w:t>prostředků státního rozpočtu</w:t>
      </w:r>
      <w:r w:rsidR="00804CCC" w:rsidRPr="00626B6D">
        <w:rPr>
          <w:rFonts w:asciiTheme="minorHAnsi" w:hAnsiTheme="minorHAnsi" w:cstheme="minorHAnsi"/>
          <w:iCs/>
          <w:color w:val="000000"/>
          <w:sz w:val="24"/>
          <w:lang w:eastAsia="cs-CZ"/>
        </w:rPr>
        <w:t xml:space="preserve"> v rámci programů</w:t>
      </w:r>
      <w:r w:rsidRPr="00626B6D">
        <w:rPr>
          <w:rFonts w:asciiTheme="minorHAnsi" w:hAnsiTheme="minorHAnsi" w:cstheme="minorHAnsi"/>
          <w:iCs/>
          <w:color w:val="000000"/>
          <w:sz w:val="24"/>
          <w:lang w:eastAsia="cs-CZ"/>
        </w:rPr>
        <w:t xml:space="preserve"> </w:t>
      </w:r>
      <w:r w:rsidRPr="00E819ED">
        <w:rPr>
          <w:rFonts w:asciiTheme="minorHAnsi" w:hAnsiTheme="minorHAnsi" w:cstheme="minorHAnsi"/>
          <w:iCs/>
          <w:color w:val="000000"/>
          <w:sz w:val="24"/>
          <w:lang w:eastAsia="cs-CZ"/>
        </w:rPr>
        <w:t>117</w:t>
      </w:r>
      <w:r w:rsidR="00261712">
        <w:rPr>
          <w:rFonts w:asciiTheme="minorHAnsi" w:hAnsiTheme="minorHAnsi" w:cstheme="minorHAnsi"/>
          <w:iCs/>
          <w:color w:val="000000"/>
          <w:sz w:val="24"/>
          <w:lang w:eastAsia="cs-CZ"/>
        </w:rPr>
        <w:t> </w:t>
      </w:r>
      <w:r w:rsidRPr="00E819ED">
        <w:rPr>
          <w:rFonts w:asciiTheme="minorHAnsi" w:hAnsiTheme="minorHAnsi" w:cstheme="minorHAnsi"/>
          <w:iCs/>
          <w:color w:val="000000"/>
          <w:sz w:val="24"/>
          <w:lang w:eastAsia="cs-CZ"/>
        </w:rPr>
        <w:t>510</w:t>
      </w:r>
      <w:r w:rsidR="00261712">
        <w:rPr>
          <w:rFonts w:asciiTheme="minorHAnsi" w:hAnsiTheme="minorHAnsi" w:cstheme="minorHAnsi"/>
          <w:iCs/>
          <w:color w:val="000000"/>
          <w:sz w:val="24"/>
          <w:lang w:eastAsia="cs-CZ"/>
        </w:rPr>
        <w:t> –</w:t>
      </w:r>
      <w:r w:rsidRPr="00626B6D">
        <w:rPr>
          <w:rFonts w:asciiTheme="minorHAnsi" w:hAnsiTheme="minorHAnsi" w:cstheme="minorHAnsi"/>
          <w:i/>
          <w:iCs/>
          <w:color w:val="000000"/>
          <w:sz w:val="24"/>
          <w:lang w:eastAsia="cs-CZ"/>
        </w:rPr>
        <w:t xml:space="preserve"> Podpora bydlení </w:t>
      </w:r>
      <w:r w:rsidRPr="00E819ED">
        <w:rPr>
          <w:rFonts w:asciiTheme="minorHAnsi" w:hAnsiTheme="minorHAnsi" w:cstheme="minorHAnsi"/>
          <w:iCs/>
          <w:color w:val="000000"/>
          <w:sz w:val="24"/>
          <w:lang w:eastAsia="cs-CZ"/>
        </w:rPr>
        <w:t>a 117</w:t>
      </w:r>
      <w:r w:rsidR="00261712">
        <w:rPr>
          <w:rFonts w:asciiTheme="minorHAnsi" w:hAnsiTheme="minorHAnsi" w:cstheme="minorHAnsi"/>
          <w:iCs/>
          <w:color w:val="000000"/>
          <w:sz w:val="24"/>
          <w:lang w:eastAsia="cs-CZ"/>
        </w:rPr>
        <w:t> </w:t>
      </w:r>
      <w:r w:rsidRPr="00E819ED">
        <w:rPr>
          <w:rFonts w:asciiTheme="minorHAnsi" w:hAnsiTheme="minorHAnsi" w:cstheme="minorHAnsi"/>
          <w:iCs/>
          <w:color w:val="000000"/>
          <w:sz w:val="24"/>
          <w:lang w:eastAsia="cs-CZ"/>
        </w:rPr>
        <w:t>020</w:t>
      </w:r>
      <w:r w:rsidR="00261712">
        <w:rPr>
          <w:rFonts w:asciiTheme="minorHAnsi" w:hAnsiTheme="minorHAnsi" w:cstheme="minorHAnsi"/>
          <w:iCs/>
          <w:color w:val="000000"/>
          <w:sz w:val="24"/>
          <w:lang w:eastAsia="cs-CZ"/>
        </w:rPr>
        <w:t> –</w:t>
      </w:r>
      <w:r w:rsidRPr="00626B6D">
        <w:rPr>
          <w:rFonts w:asciiTheme="minorHAnsi" w:hAnsiTheme="minorHAnsi" w:cstheme="minorHAnsi"/>
          <w:i/>
          <w:iCs/>
          <w:color w:val="000000"/>
          <w:sz w:val="24"/>
          <w:lang w:eastAsia="cs-CZ"/>
        </w:rPr>
        <w:t xml:space="preserve"> Podpora bydlení při živelní pohromě</w:t>
      </w:r>
      <w:r w:rsidR="00804CCC" w:rsidRPr="00626B6D">
        <w:rPr>
          <w:rFonts w:asciiTheme="minorHAnsi" w:hAnsiTheme="minorHAnsi" w:cstheme="minorHAnsi"/>
          <w:iCs/>
          <w:color w:val="000000"/>
          <w:sz w:val="24"/>
          <w:lang w:eastAsia="cs-CZ"/>
        </w:rPr>
        <w:t>.</w:t>
      </w:r>
      <w:r w:rsidRPr="00626B6D">
        <w:rPr>
          <w:rFonts w:asciiTheme="minorHAnsi" w:hAnsiTheme="minorHAnsi" w:cstheme="minorHAnsi"/>
          <w:iCs/>
          <w:color w:val="000000"/>
          <w:sz w:val="24"/>
          <w:lang w:eastAsia="cs-CZ"/>
        </w:rPr>
        <w:t xml:space="preserve"> </w:t>
      </w:r>
    </w:p>
    <w:p w14:paraId="00FD4966" w14:textId="77777777" w:rsidR="001106D3" w:rsidRPr="00626B6D" w:rsidRDefault="001106D3" w:rsidP="00A01642">
      <w:pPr>
        <w:rPr>
          <w:rFonts w:asciiTheme="minorHAnsi" w:hAnsiTheme="minorHAnsi" w:cstheme="minorHAnsi"/>
          <w:iCs/>
          <w:color w:val="000000"/>
          <w:sz w:val="24"/>
          <w:lang w:eastAsia="cs-CZ"/>
        </w:rPr>
      </w:pPr>
    </w:p>
    <w:p w14:paraId="0FF57A57" w14:textId="07DA77A8" w:rsidR="000659D4" w:rsidRPr="00626B6D" w:rsidRDefault="000659D4" w:rsidP="00A01642">
      <w:pPr>
        <w:rPr>
          <w:rFonts w:asciiTheme="minorHAnsi" w:hAnsiTheme="minorHAnsi" w:cstheme="minorHAnsi"/>
          <w:iCs/>
          <w:color w:val="000000"/>
          <w:sz w:val="24"/>
          <w:lang w:eastAsia="cs-CZ"/>
        </w:rPr>
      </w:pPr>
      <w:r w:rsidRPr="00626B6D">
        <w:rPr>
          <w:rFonts w:asciiTheme="minorHAnsi" w:hAnsiTheme="minorHAnsi" w:cstheme="minorHAnsi"/>
          <w:iCs/>
          <w:color w:val="000000"/>
          <w:sz w:val="24"/>
          <w:lang w:eastAsia="cs-CZ"/>
        </w:rPr>
        <w:t>Program 117</w:t>
      </w:r>
      <w:r w:rsidR="006C0225">
        <w:rPr>
          <w:rFonts w:asciiTheme="minorHAnsi" w:hAnsiTheme="minorHAnsi" w:cstheme="minorHAnsi"/>
          <w:iCs/>
          <w:color w:val="000000"/>
          <w:sz w:val="24"/>
          <w:lang w:eastAsia="cs-CZ"/>
        </w:rPr>
        <w:t xml:space="preserve"> </w:t>
      </w:r>
      <w:r w:rsidRPr="00626B6D">
        <w:rPr>
          <w:rFonts w:asciiTheme="minorHAnsi" w:hAnsiTheme="minorHAnsi" w:cstheme="minorHAnsi"/>
          <w:iCs/>
          <w:color w:val="000000"/>
          <w:sz w:val="24"/>
          <w:lang w:eastAsia="cs-CZ"/>
        </w:rPr>
        <w:t>510 zahrnoval podprogramy:</w:t>
      </w:r>
    </w:p>
    <w:p w14:paraId="57631C7E" w14:textId="70B438CF" w:rsidR="000659D4" w:rsidRPr="00626B6D" w:rsidRDefault="000659D4" w:rsidP="00A01642">
      <w:pPr>
        <w:pStyle w:val="Odstavecseseznamem"/>
        <w:numPr>
          <w:ilvl w:val="0"/>
          <w:numId w:val="6"/>
        </w:numPr>
        <w:spacing w:after="0" w:line="240" w:lineRule="auto"/>
        <w:ind w:left="284" w:hanging="284"/>
        <w:contextualSpacing w:val="0"/>
        <w:jc w:val="both"/>
        <w:rPr>
          <w:rFonts w:asciiTheme="minorHAnsi" w:hAnsiTheme="minorHAnsi" w:cstheme="minorHAnsi"/>
          <w:sz w:val="24"/>
          <w:szCs w:val="24"/>
        </w:rPr>
      </w:pPr>
      <w:r w:rsidRPr="00E819ED">
        <w:rPr>
          <w:rFonts w:asciiTheme="minorHAnsi" w:hAnsiTheme="minorHAnsi" w:cstheme="minorHAnsi"/>
          <w:sz w:val="24"/>
          <w:szCs w:val="24"/>
        </w:rPr>
        <w:t>117</w:t>
      </w:r>
      <w:r w:rsidR="005522F1">
        <w:rPr>
          <w:rFonts w:asciiTheme="minorHAnsi" w:hAnsiTheme="minorHAnsi" w:cstheme="minorHAnsi"/>
          <w:sz w:val="24"/>
          <w:szCs w:val="24"/>
        </w:rPr>
        <w:t> </w:t>
      </w:r>
      <w:r w:rsidRPr="00E819ED">
        <w:rPr>
          <w:rFonts w:asciiTheme="minorHAnsi" w:hAnsiTheme="minorHAnsi" w:cstheme="minorHAnsi"/>
          <w:sz w:val="24"/>
          <w:szCs w:val="24"/>
        </w:rPr>
        <w:t>512</w:t>
      </w:r>
      <w:r w:rsidR="00261712">
        <w:rPr>
          <w:rFonts w:asciiTheme="minorHAnsi" w:hAnsiTheme="minorHAnsi" w:cstheme="minorHAnsi"/>
          <w:sz w:val="24"/>
          <w:szCs w:val="24"/>
        </w:rPr>
        <w:t> –</w:t>
      </w:r>
      <w:r w:rsidRPr="00626B6D">
        <w:rPr>
          <w:rFonts w:asciiTheme="minorHAnsi" w:hAnsiTheme="minorHAnsi" w:cstheme="minorHAnsi"/>
          <w:i/>
          <w:sz w:val="24"/>
          <w:szCs w:val="24"/>
        </w:rPr>
        <w:t xml:space="preserve"> Podpora regenerace panelových sídlišť</w:t>
      </w:r>
      <w:r w:rsidR="009F113E">
        <w:rPr>
          <w:rFonts w:asciiTheme="minorHAnsi" w:hAnsiTheme="minorHAnsi" w:cstheme="minorHAnsi"/>
          <w:sz w:val="24"/>
          <w:szCs w:val="24"/>
        </w:rPr>
        <w:t>.</w:t>
      </w:r>
      <w:r w:rsidRPr="00626B6D">
        <w:rPr>
          <w:rFonts w:asciiTheme="minorHAnsi" w:hAnsiTheme="minorHAnsi" w:cstheme="minorHAnsi"/>
          <w:sz w:val="24"/>
          <w:szCs w:val="24"/>
        </w:rPr>
        <w:t xml:space="preserve"> </w:t>
      </w:r>
      <w:r w:rsidR="009F113E">
        <w:rPr>
          <w:rFonts w:asciiTheme="minorHAnsi" w:hAnsiTheme="minorHAnsi" w:cstheme="minorHAnsi"/>
          <w:sz w:val="24"/>
          <w:szCs w:val="24"/>
        </w:rPr>
        <w:t xml:space="preserve">Z tohoto </w:t>
      </w:r>
      <w:r w:rsidR="001133F5">
        <w:rPr>
          <w:rFonts w:asciiTheme="minorHAnsi" w:hAnsiTheme="minorHAnsi" w:cstheme="minorHAnsi"/>
          <w:sz w:val="24"/>
          <w:szCs w:val="24"/>
        </w:rPr>
        <w:t>pod</w:t>
      </w:r>
      <w:r w:rsidR="009F113E">
        <w:rPr>
          <w:rFonts w:asciiTheme="minorHAnsi" w:hAnsiTheme="minorHAnsi" w:cstheme="minorHAnsi"/>
          <w:sz w:val="24"/>
          <w:szCs w:val="24"/>
        </w:rPr>
        <w:t>programu byly poskytovány</w:t>
      </w:r>
      <w:r w:rsidR="00A502CC" w:rsidRPr="00626B6D">
        <w:rPr>
          <w:rFonts w:asciiTheme="minorHAnsi" w:hAnsiTheme="minorHAnsi" w:cstheme="minorHAnsi"/>
          <w:sz w:val="24"/>
          <w:szCs w:val="24"/>
        </w:rPr>
        <w:t xml:space="preserve"> dotace na výstavbu dopravní a</w:t>
      </w:r>
      <w:r w:rsidR="006C0225">
        <w:rPr>
          <w:rFonts w:asciiTheme="minorHAnsi" w:hAnsiTheme="minorHAnsi" w:cstheme="minorHAnsi"/>
          <w:sz w:val="24"/>
          <w:szCs w:val="24"/>
        </w:rPr>
        <w:t xml:space="preserve"> </w:t>
      </w:r>
      <w:r w:rsidRPr="00626B6D">
        <w:rPr>
          <w:rFonts w:asciiTheme="minorHAnsi" w:hAnsiTheme="minorHAnsi" w:cstheme="minorHAnsi"/>
          <w:sz w:val="24"/>
          <w:szCs w:val="24"/>
        </w:rPr>
        <w:t>technické infrastruktury, úpravu veřejných prostranství, zpracování regulačního plánu sídliště. Podprogram byl určen pro obce, na jejichž území se nacházejí panelová sídliště</w:t>
      </w:r>
      <w:r w:rsidR="00261712">
        <w:rPr>
          <w:rFonts w:asciiTheme="minorHAnsi" w:hAnsiTheme="minorHAnsi" w:cstheme="minorHAnsi"/>
          <w:sz w:val="24"/>
          <w:szCs w:val="24"/>
        </w:rPr>
        <w:t>;</w:t>
      </w:r>
    </w:p>
    <w:p w14:paraId="1048FEA8" w14:textId="55FDA6BF" w:rsidR="000659D4" w:rsidRPr="00626B6D" w:rsidRDefault="000659D4" w:rsidP="00A01642">
      <w:pPr>
        <w:pStyle w:val="Odstavecseseznamem"/>
        <w:numPr>
          <w:ilvl w:val="0"/>
          <w:numId w:val="6"/>
        </w:numPr>
        <w:spacing w:after="0" w:line="240" w:lineRule="auto"/>
        <w:ind w:left="284" w:hanging="284"/>
        <w:contextualSpacing w:val="0"/>
        <w:jc w:val="both"/>
        <w:rPr>
          <w:rFonts w:asciiTheme="minorHAnsi" w:hAnsiTheme="minorHAnsi" w:cstheme="minorHAnsi"/>
          <w:sz w:val="24"/>
          <w:szCs w:val="24"/>
        </w:rPr>
      </w:pPr>
      <w:r w:rsidRPr="00E819ED">
        <w:rPr>
          <w:rFonts w:asciiTheme="minorHAnsi" w:hAnsiTheme="minorHAnsi" w:cstheme="minorHAnsi"/>
          <w:sz w:val="24"/>
          <w:szCs w:val="24"/>
        </w:rPr>
        <w:t>117</w:t>
      </w:r>
      <w:r w:rsidR="005522F1">
        <w:rPr>
          <w:rFonts w:asciiTheme="minorHAnsi" w:hAnsiTheme="minorHAnsi" w:cstheme="minorHAnsi"/>
          <w:sz w:val="24"/>
          <w:szCs w:val="24"/>
        </w:rPr>
        <w:t> </w:t>
      </w:r>
      <w:r w:rsidRPr="00E819ED">
        <w:rPr>
          <w:rFonts w:asciiTheme="minorHAnsi" w:hAnsiTheme="minorHAnsi" w:cstheme="minorHAnsi"/>
          <w:sz w:val="24"/>
          <w:szCs w:val="24"/>
        </w:rPr>
        <w:t>513</w:t>
      </w:r>
      <w:r w:rsidR="00261712">
        <w:rPr>
          <w:rFonts w:asciiTheme="minorHAnsi" w:hAnsiTheme="minorHAnsi" w:cstheme="minorHAnsi"/>
          <w:sz w:val="24"/>
          <w:szCs w:val="24"/>
        </w:rPr>
        <w:t> –</w:t>
      </w:r>
      <w:r w:rsidRPr="00626B6D">
        <w:rPr>
          <w:rFonts w:asciiTheme="minorHAnsi" w:hAnsiTheme="minorHAnsi" w:cstheme="minorHAnsi"/>
          <w:i/>
          <w:sz w:val="24"/>
          <w:szCs w:val="24"/>
        </w:rPr>
        <w:t xml:space="preserve"> Podpora výstavby technické infrastruktury</w:t>
      </w:r>
      <w:r w:rsidR="009F113E">
        <w:rPr>
          <w:rFonts w:asciiTheme="minorHAnsi" w:hAnsiTheme="minorHAnsi" w:cstheme="minorHAnsi"/>
          <w:sz w:val="24"/>
          <w:szCs w:val="24"/>
        </w:rPr>
        <w:t>.</w:t>
      </w:r>
      <w:r w:rsidRPr="00626B6D">
        <w:rPr>
          <w:rFonts w:asciiTheme="minorHAnsi" w:hAnsiTheme="minorHAnsi" w:cstheme="minorHAnsi"/>
          <w:sz w:val="24"/>
          <w:szCs w:val="24"/>
        </w:rPr>
        <w:t xml:space="preserve"> </w:t>
      </w:r>
      <w:r w:rsidR="009F113E">
        <w:rPr>
          <w:rFonts w:asciiTheme="minorHAnsi" w:hAnsiTheme="minorHAnsi" w:cstheme="minorHAnsi"/>
          <w:sz w:val="24"/>
          <w:szCs w:val="24"/>
        </w:rPr>
        <w:t>P</w:t>
      </w:r>
      <w:r w:rsidR="001133F5">
        <w:rPr>
          <w:rFonts w:asciiTheme="minorHAnsi" w:hAnsiTheme="minorHAnsi" w:cstheme="minorHAnsi"/>
          <w:sz w:val="24"/>
          <w:szCs w:val="24"/>
        </w:rPr>
        <w:t>odp</w:t>
      </w:r>
      <w:r w:rsidR="009F113E">
        <w:rPr>
          <w:rFonts w:asciiTheme="minorHAnsi" w:hAnsiTheme="minorHAnsi" w:cstheme="minorHAnsi"/>
          <w:sz w:val="24"/>
          <w:szCs w:val="24"/>
        </w:rPr>
        <w:t xml:space="preserve">rogram byl </w:t>
      </w:r>
      <w:r w:rsidRPr="00626B6D">
        <w:rPr>
          <w:rFonts w:asciiTheme="minorHAnsi" w:hAnsiTheme="minorHAnsi" w:cstheme="minorHAnsi"/>
          <w:sz w:val="24"/>
          <w:szCs w:val="24"/>
        </w:rPr>
        <w:t xml:space="preserve">zaměřen na </w:t>
      </w:r>
      <w:r w:rsidR="009F113E">
        <w:rPr>
          <w:rFonts w:asciiTheme="minorHAnsi" w:hAnsiTheme="minorHAnsi" w:cstheme="minorHAnsi"/>
          <w:sz w:val="24"/>
          <w:szCs w:val="24"/>
        </w:rPr>
        <w:t xml:space="preserve">poskytování </w:t>
      </w:r>
      <w:r w:rsidRPr="00626B6D">
        <w:rPr>
          <w:rFonts w:asciiTheme="minorHAnsi" w:hAnsiTheme="minorHAnsi" w:cstheme="minorHAnsi"/>
          <w:sz w:val="24"/>
          <w:szCs w:val="24"/>
        </w:rPr>
        <w:t>dotac</w:t>
      </w:r>
      <w:r w:rsidR="009F113E">
        <w:rPr>
          <w:rFonts w:asciiTheme="minorHAnsi" w:hAnsiTheme="minorHAnsi" w:cstheme="minorHAnsi"/>
          <w:sz w:val="24"/>
          <w:szCs w:val="24"/>
        </w:rPr>
        <w:t>í</w:t>
      </w:r>
      <w:r w:rsidRPr="00626B6D">
        <w:rPr>
          <w:rFonts w:asciiTheme="minorHAnsi" w:hAnsiTheme="minorHAnsi" w:cstheme="minorHAnsi"/>
          <w:sz w:val="24"/>
          <w:szCs w:val="24"/>
        </w:rPr>
        <w:t xml:space="preserve"> obcím na zainvestování obecní</w:t>
      </w:r>
      <w:r w:rsidR="009F113E">
        <w:rPr>
          <w:rFonts w:asciiTheme="minorHAnsi" w:hAnsiTheme="minorHAnsi" w:cstheme="minorHAnsi"/>
          <w:sz w:val="24"/>
          <w:szCs w:val="24"/>
        </w:rPr>
        <w:t>ch</w:t>
      </w:r>
      <w:r w:rsidRPr="00626B6D">
        <w:rPr>
          <w:rFonts w:asciiTheme="minorHAnsi" w:hAnsiTheme="minorHAnsi" w:cstheme="minorHAnsi"/>
          <w:sz w:val="24"/>
          <w:szCs w:val="24"/>
        </w:rPr>
        <w:t xml:space="preserve"> pozemk</w:t>
      </w:r>
      <w:r w:rsidR="009F113E">
        <w:rPr>
          <w:rFonts w:asciiTheme="minorHAnsi" w:hAnsiTheme="minorHAnsi" w:cstheme="minorHAnsi"/>
          <w:sz w:val="24"/>
          <w:szCs w:val="24"/>
        </w:rPr>
        <w:t>ů</w:t>
      </w:r>
      <w:r w:rsidRPr="00626B6D">
        <w:rPr>
          <w:rFonts w:asciiTheme="minorHAnsi" w:hAnsiTheme="minorHAnsi" w:cstheme="minorHAnsi"/>
          <w:sz w:val="24"/>
          <w:szCs w:val="24"/>
        </w:rPr>
        <w:t xml:space="preserve"> s</w:t>
      </w:r>
      <w:r w:rsidR="006C0225">
        <w:rPr>
          <w:rFonts w:asciiTheme="minorHAnsi" w:hAnsiTheme="minorHAnsi" w:cstheme="minorHAnsi"/>
          <w:sz w:val="24"/>
          <w:szCs w:val="24"/>
        </w:rPr>
        <w:t xml:space="preserve"> </w:t>
      </w:r>
      <w:r w:rsidRPr="00626B6D">
        <w:rPr>
          <w:rFonts w:asciiTheme="minorHAnsi" w:hAnsiTheme="minorHAnsi" w:cstheme="minorHAnsi"/>
          <w:sz w:val="24"/>
          <w:szCs w:val="24"/>
        </w:rPr>
        <w:t>cílem rozšířit nabídku pozemků pro následnou výstavbu bytových a rodinných domů především v</w:t>
      </w:r>
      <w:r w:rsidR="006C0225">
        <w:rPr>
          <w:rFonts w:asciiTheme="minorHAnsi" w:hAnsiTheme="minorHAnsi" w:cstheme="minorHAnsi"/>
          <w:sz w:val="24"/>
          <w:szCs w:val="24"/>
        </w:rPr>
        <w:t xml:space="preserve"> </w:t>
      </w:r>
      <w:r w:rsidRPr="00626B6D">
        <w:rPr>
          <w:rFonts w:asciiTheme="minorHAnsi" w:hAnsiTheme="minorHAnsi" w:cstheme="minorHAnsi"/>
          <w:sz w:val="24"/>
          <w:szCs w:val="24"/>
        </w:rPr>
        <w:t>malých obcích</w:t>
      </w:r>
      <w:r w:rsidR="00261712">
        <w:rPr>
          <w:rFonts w:asciiTheme="minorHAnsi" w:hAnsiTheme="minorHAnsi" w:cstheme="minorHAnsi"/>
          <w:sz w:val="24"/>
          <w:szCs w:val="24"/>
        </w:rPr>
        <w:t>;</w:t>
      </w:r>
    </w:p>
    <w:p w14:paraId="5B5E2BFA" w14:textId="4569CFDE" w:rsidR="000659D4" w:rsidRPr="00626B6D" w:rsidRDefault="000659D4" w:rsidP="00A01642">
      <w:pPr>
        <w:pStyle w:val="Odstavecseseznamem"/>
        <w:numPr>
          <w:ilvl w:val="0"/>
          <w:numId w:val="6"/>
        </w:numPr>
        <w:spacing w:after="0" w:line="240" w:lineRule="auto"/>
        <w:ind w:left="284" w:hanging="284"/>
        <w:contextualSpacing w:val="0"/>
        <w:jc w:val="both"/>
        <w:rPr>
          <w:rFonts w:asciiTheme="minorHAnsi" w:hAnsiTheme="minorHAnsi" w:cstheme="minorHAnsi"/>
          <w:sz w:val="24"/>
          <w:szCs w:val="24"/>
        </w:rPr>
      </w:pPr>
      <w:r w:rsidRPr="00E819ED">
        <w:rPr>
          <w:rFonts w:asciiTheme="minorHAnsi" w:hAnsiTheme="minorHAnsi" w:cstheme="minorHAnsi"/>
          <w:sz w:val="24"/>
          <w:szCs w:val="24"/>
        </w:rPr>
        <w:t>117</w:t>
      </w:r>
      <w:r w:rsidR="005522F1">
        <w:rPr>
          <w:rFonts w:asciiTheme="minorHAnsi" w:hAnsiTheme="minorHAnsi" w:cstheme="minorHAnsi"/>
          <w:sz w:val="24"/>
          <w:szCs w:val="24"/>
        </w:rPr>
        <w:t> </w:t>
      </w:r>
      <w:r w:rsidRPr="00E819ED">
        <w:rPr>
          <w:rFonts w:asciiTheme="minorHAnsi" w:hAnsiTheme="minorHAnsi" w:cstheme="minorHAnsi"/>
          <w:sz w:val="24"/>
          <w:szCs w:val="24"/>
        </w:rPr>
        <w:t>514</w:t>
      </w:r>
      <w:r w:rsidR="00261712">
        <w:rPr>
          <w:rFonts w:asciiTheme="minorHAnsi" w:hAnsiTheme="minorHAnsi" w:cstheme="minorHAnsi"/>
          <w:sz w:val="24"/>
          <w:szCs w:val="24"/>
        </w:rPr>
        <w:t> –</w:t>
      </w:r>
      <w:r w:rsidRPr="00626B6D">
        <w:rPr>
          <w:rFonts w:asciiTheme="minorHAnsi" w:hAnsiTheme="minorHAnsi" w:cstheme="minorHAnsi"/>
          <w:i/>
          <w:sz w:val="24"/>
          <w:szCs w:val="24"/>
        </w:rPr>
        <w:t xml:space="preserve"> Podpora výstavby podporovaných bytů</w:t>
      </w:r>
      <w:r w:rsidR="009F113E">
        <w:rPr>
          <w:rFonts w:asciiTheme="minorHAnsi" w:hAnsiTheme="minorHAnsi" w:cstheme="minorHAnsi"/>
          <w:sz w:val="24"/>
          <w:szCs w:val="24"/>
        </w:rPr>
        <w:t>.</w:t>
      </w:r>
      <w:r w:rsidRPr="00626B6D">
        <w:rPr>
          <w:rFonts w:asciiTheme="minorHAnsi" w:hAnsiTheme="minorHAnsi" w:cstheme="minorHAnsi"/>
          <w:sz w:val="24"/>
          <w:szCs w:val="24"/>
        </w:rPr>
        <w:t xml:space="preserve"> </w:t>
      </w:r>
      <w:r w:rsidR="009F113E">
        <w:rPr>
          <w:rFonts w:asciiTheme="minorHAnsi" w:hAnsiTheme="minorHAnsi" w:cstheme="minorHAnsi"/>
          <w:sz w:val="24"/>
          <w:szCs w:val="24"/>
        </w:rPr>
        <w:t>Z </w:t>
      </w:r>
      <w:r w:rsidR="001133F5">
        <w:rPr>
          <w:rFonts w:asciiTheme="minorHAnsi" w:hAnsiTheme="minorHAnsi" w:cstheme="minorHAnsi"/>
          <w:sz w:val="24"/>
          <w:szCs w:val="24"/>
        </w:rPr>
        <w:t>pod</w:t>
      </w:r>
      <w:r w:rsidR="009F113E">
        <w:rPr>
          <w:rFonts w:asciiTheme="minorHAnsi" w:hAnsiTheme="minorHAnsi" w:cstheme="minorHAnsi"/>
          <w:sz w:val="24"/>
          <w:szCs w:val="24"/>
        </w:rPr>
        <w:t>programu byly poskytovány</w:t>
      </w:r>
      <w:r w:rsidRPr="00626B6D">
        <w:rPr>
          <w:rFonts w:asciiTheme="minorHAnsi" w:hAnsiTheme="minorHAnsi" w:cstheme="minorHAnsi"/>
          <w:sz w:val="24"/>
          <w:szCs w:val="24"/>
        </w:rPr>
        <w:t xml:space="preserve"> dotace </w:t>
      </w:r>
      <w:r w:rsidR="00D940D4" w:rsidRPr="00626B6D">
        <w:rPr>
          <w:rFonts w:asciiTheme="minorHAnsi" w:hAnsiTheme="minorHAnsi" w:cstheme="minorHAnsi"/>
          <w:sz w:val="24"/>
          <w:szCs w:val="24"/>
        </w:rPr>
        <w:t>na výstavbu nájemních bytů pro osoby, které jsou znevýhodněny v</w:t>
      </w:r>
      <w:r w:rsidR="009F113E">
        <w:rPr>
          <w:rFonts w:asciiTheme="minorHAnsi" w:hAnsiTheme="minorHAnsi" w:cstheme="minorHAnsi"/>
          <w:sz w:val="24"/>
          <w:szCs w:val="24"/>
        </w:rPr>
        <w:t> </w:t>
      </w:r>
      <w:r w:rsidR="00D940D4" w:rsidRPr="00626B6D">
        <w:rPr>
          <w:rFonts w:asciiTheme="minorHAnsi" w:hAnsiTheme="minorHAnsi" w:cstheme="minorHAnsi"/>
          <w:sz w:val="24"/>
          <w:szCs w:val="24"/>
        </w:rPr>
        <w:t>přístupu k</w:t>
      </w:r>
      <w:r w:rsidR="00E819ED">
        <w:rPr>
          <w:rFonts w:asciiTheme="minorHAnsi" w:hAnsiTheme="minorHAnsi" w:cstheme="minorHAnsi"/>
          <w:sz w:val="24"/>
          <w:szCs w:val="24"/>
        </w:rPr>
        <w:t> </w:t>
      </w:r>
      <w:r w:rsidR="00D940D4" w:rsidRPr="00626B6D">
        <w:rPr>
          <w:rFonts w:asciiTheme="minorHAnsi" w:hAnsiTheme="minorHAnsi" w:cstheme="minorHAnsi"/>
          <w:sz w:val="24"/>
          <w:szCs w:val="24"/>
        </w:rPr>
        <w:t>bydlení, a to z</w:t>
      </w:r>
      <w:r w:rsidR="006C0225">
        <w:rPr>
          <w:rFonts w:asciiTheme="minorHAnsi" w:hAnsiTheme="minorHAnsi" w:cstheme="minorHAnsi"/>
          <w:sz w:val="24"/>
          <w:szCs w:val="24"/>
        </w:rPr>
        <w:t xml:space="preserve"> </w:t>
      </w:r>
      <w:r w:rsidR="00D940D4" w:rsidRPr="00626B6D">
        <w:rPr>
          <w:rFonts w:asciiTheme="minorHAnsi" w:hAnsiTheme="minorHAnsi" w:cstheme="minorHAnsi"/>
          <w:sz w:val="24"/>
          <w:szCs w:val="24"/>
        </w:rPr>
        <w:t>důvodu příjmů, zdravotního stavu, věku, nepříznivých životních okolností. Příjemcem dotace mohl</w:t>
      </w:r>
      <w:r w:rsidR="009F113E">
        <w:rPr>
          <w:rFonts w:asciiTheme="minorHAnsi" w:hAnsiTheme="minorHAnsi" w:cstheme="minorHAnsi"/>
          <w:sz w:val="24"/>
          <w:szCs w:val="24"/>
        </w:rPr>
        <w:t>y</w:t>
      </w:r>
      <w:r w:rsidR="00D940D4" w:rsidRPr="00626B6D">
        <w:rPr>
          <w:rFonts w:asciiTheme="minorHAnsi" w:hAnsiTheme="minorHAnsi" w:cstheme="minorHAnsi"/>
          <w:sz w:val="24"/>
          <w:szCs w:val="24"/>
        </w:rPr>
        <w:t xml:space="preserve"> být územní samosprávn</w:t>
      </w:r>
      <w:r w:rsidR="009F113E">
        <w:rPr>
          <w:rFonts w:asciiTheme="minorHAnsi" w:hAnsiTheme="minorHAnsi" w:cstheme="minorHAnsi"/>
          <w:sz w:val="24"/>
          <w:szCs w:val="24"/>
        </w:rPr>
        <w:t>ý</w:t>
      </w:r>
      <w:r w:rsidR="00D940D4" w:rsidRPr="00626B6D">
        <w:rPr>
          <w:rFonts w:asciiTheme="minorHAnsi" w:hAnsiTheme="minorHAnsi" w:cstheme="minorHAnsi"/>
          <w:sz w:val="24"/>
          <w:szCs w:val="24"/>
        </w:rPr>
        <w:t xml:space="preserve"> celek</w:t>
      </w:r>
      <w:r w:rsidR="0028714F" w:rsidRPr="00626B6D">
        <w:rPr>
          <w:rFonts w:asciiTheme="minorHAnsi" w:hAnsiTheme="minorHAnsi" w:cstheme="minorHAnsi"/>
          <w:sz w:val="24"/>
          <w:szCs w:val="24"/>
        </w:rPr>
        <w:t>,</w:t>
      </w:r>
      <w:r w:rsidR="00D940D4" w:rsidRPr="00626B6D">
        <w:rPr>
          <w:rFonts w:asciiTheme="minorHAnsi" w:hAnsiTheme="minorHAnsi" w:cstheme="minorHAnsi"/>
          <w:sz w:val="24"/>
          <w:szCs w:val="24"/>
        </w:rPr>
        <w:t xml:space="preserve"> </w:t>
      </w:r>
      <w:r w:rsidR="0028714F" w:rsidRPr="00626B6D">
        <w:rPr>
          <w:rFonts w:asciiTheme="minorHAnsi" w:hAnsiTheme="minorHAnsi" w:cstheme="minorHAnsi"/>
          <w:sz w:val="24"/>
          <w:szCs w:val="24"/>
        </w:rPr>
        <w:t>obecně prospěšná společnost</w:t>
      </w:r>
      <w:r w:rsidR="00E24283" w:rsidRPr="00626B6D">
        <w:rPr>
          <w:rFonts w:asciiTheme="minorHAnsi" w:hAnsiTheme="minorHAnsi" w:cstheme="minorHAnsi"/>
          <w:sz w:val="24"/>
          <w:szCs w:val="24"/>
        </w:rPr>
        <w:t>, občanské sdružení</w:t>
      </w:r>
      <w:r w:rsidR="00492C48">
        <w:rPr>
          <w:rFonts w:asciiTheme="minorHAnsi" w:hAnsiTheme="minorHAnsi" w:cstheme="minorHAnsi"/>
          <w:sz w:val="24"/>
          <w:szCs w:val="24"/>
        </w:rPr>
        <w:t xml:space="preserve"> </w:t>
      </w:r>
      <w:r w:rsidR="009F113E">
        <w:rPr>
          <w:rFonts w:asciiTheme="minorHAnsi" w:hAnsiTheme="minorHAnsi" w:cstheme="minorHAnsi"/>
          <w:sz w:val="24"/>
          <w:szCs w:val="24"/>
        </w:rPr>
        <w:t xml:space="preserve">či </w:t>
      </w:r>
      <w:r w:rsidR="0028714F" w:rsidRPr="00626B6D">
        <w:rPr>
          <w:rFonts w:asciiTheme="minorHAnsi" w:hAnsiTheme="minorHAnsi" w:cstheme="minorHAnsi"/>
          <w:sz w:val="24"/>
          <w:szCs w:val="24"/>
        </w:rPr>
        <w:t xml:space="preserve">právnická osoba, jejímž předmětem činnosti je poskytování </w:t>
      </w:r>
      <w:r w:rsidR="0028714F" w:rsidRPr="00626B6D">
        <w:rPr>
          <w:rFonts w:asciiTheme="minorHAnsi" w:hAnsiTheme="minorHAnsi" w:cstheme="minorHAnsi"/>
          <w:sz w:val="24"/>
          <w:szCs w:val="24"/>
        </w:rPr>
        <w:lastRenderedPageBreak/>
        <w:t xml:space="preserve">sociálních služeb pro cílovou skupinu. </w:t>
      </w:r>
      <w:r w:rsidR="00D940D4" w:rsidRPr="00626B6D">
        <w:rPr>
          <w:rFonts w:asciiTheme="minorHAnsi" w:hAnsiTheme="minorHAnsi" w:cstheme="minorHAnsi"/>
          <w:sz w:val="24"/>
          <w:szCs w:val="24"/>
        </w:rPr>
        <w:t xml:space="preserve">Od roku 2010 byly příjemcem dotace podnikající fyzické </w:t>
      </w:r>
      <w:r w:rsidR="0028714F" w:rsidRPr="00626B6D">
        <w:rPr>
          <w:rFonts w:asciiTheme="minorHAnsi" w:hAnsiTheme="minorHAnsi" w:cstheme="minorHAnsi"/>
          <w:sz w:val="24"/>
          <w:szCs w:val="24"/>
        </w:rPr>
        <w:t xml:space="preserve">osoby </w:t>
      </w:r>
      <w:r w:rsidR="00D940D4" w:rsidRPr="00626B6D">
        <w:rPr>
          <w:rFonts w:asciiTheme="minorHAnsi" w:hAnsiTheme="minorHAnsi" w:cstheme="minorHAnsi"/>
          <w:sz w:val="24"/>
          <w:szCs w:val="24"/>
        </w:rPr>
        <w:t>nebo právnické osoby včetně obcí</w:t>
      </w:r>
      <w:r w:rsidR="00261712">
        <w:rPr>
          <w:rFonts w:asciiTheme="minorHAnsi" w:hAnsiTheme="minorHAnsi" w:cstheme="minorHAnsi"/>
          <w:sz w:val="24"/>
          <w:szCs w:val="24"/>
        </w:rPr>
        <w:t>;</w:t>
      </w:r>
    </w:p>
    <w:p w14:paraId="46C9F175" w14:textId="633DAE71" w:rsidR="000659D4" w:rsidRPr="00626B6D" w:rsidRDefault="000659D4" w:rsidP="00A01642">
      <w:pPr>
        <w:pStyle w:val="Odstavecseseznamem"/>
        <w:numPr>
          <w:ilvl w:val="0"/>
          <w:numId w:val="6"/>
        </w:numPr>
        <w:spacing w:after="0" w:line="240" w:lineRule="auto"/>
        <w:ind w:left="284" w:hanging="284"/>
        <w:contextualSpacing w:val="0"/>
        <w:jc w:val="both"/>
        <w:rPr>
          <w:rFonts w:asciiTheme="minorHAnsi" w:hAnsiTheme="minorHAnsi" w:cstheme="minorHAnsi"/>
          <w:sz w:val="24"/>
          <w:szCs w:val="24"/>
        </w:rPr>
      </w:pPr>
      <w:r w:rsidRPr="00E819ED">
        <w:rPr>
          <w:rFonts w:asciiTheme="minorHAnsi" w:hAnsiTheme="minorHAnsi" w:cstheme="minorHAnsi"/>
          <w:sz w:val="24"/>
          <w:szCs w:val="24"/>
        </w:rPr>
        <w:t>117</w:t>
      </w:r>
      <w:r w:rsidR="005522F1">
        <w:rPr>
          <w:rFonts w:asciiTheme="minorHAnsi" w:hAnsiTheme="minorHAnsi" w:cstheme="minorHAnsi"/>
          <w:sz w:val="24"/>
          <w:szCs w:val="24"/>
        </w:rPr>
        <w:t> </w:t>
      </w:r>
      <w:r w:rsidRPr="00E819ED">
        <w:rPr>
          <w:rFonts w:asciiTheme="minorHAnsi" w:hAnsiTheme="minorHAnsi" w:cstheme="minorHAnsi"/>
          <w:sz w:val="24"/>
          <w:szCs w:val="24"/>
        </w:rPr>
        <w:t>515</w:t>
      </w:r>
      <w:r w:rsidR="00261712">
        <w:rPr>
          <w:rFonts w:asciiTheme="minorHAnsi" w:hAnsiTheme="minorHAnsi" w:cstheme="minorHAnsi"/>
          <w:sz w:val="24"/>
          <w:szCs w:val="24"/>
        </w:rPr>
        <w:t> –</w:t>
      </w:r>
      <w:r w:rsidRPr="00626B6D">
        <w:rPr>
          <w:rFonts w:asciiTheme="minorHAnsi" w:hAnsiTheme="minorHAnsi" w:cstheme="minorHAnsi"/>
          <w:sz w:val="24"/>
          <w:szCs w:val="24"/>
        </w:rPr>
        <w:t xml:space="preserve"> </w:t>
      </w:r>
      <w:r w:rsidRPr="00626B6D">
        <w:rPr>
          <w:rFonts w:asciiTheme="minorHAnsi" w:hAnsiTheme="minorHAnsi" w:cstheme="minorHAnsi"/>
          <w:i/>
          <w:sz w:val="24"/>
          <w:szCs w:val="24"/>
        </w:rPr>
        <w:t>Podpora oprav domovních olověných rozvodů</w:t>
      </w:r>
      <w:r w:rsidR="009F113E">
        <w:rPr>
          <w:rFonts w:asciiTheme="minorHAnsi" w:hAnsiTheme="minorHAnsi" w:cstheme="minorHAnsi"/>
          <w:sz w:val="24"/>
          <w:szCs w:val="24"/>
        </w:rPr>
        <w:t>.</w:t>
      </w:r>
      <w:r w:rsidR="00B32420" w:rsidRPr="00626B6D">
        <w:rPr>
          <w:rFonts w:asciiTheme="minorHAnsi" w:hAnsiTheme="minorHAnsi" w:cstheme="minorHAnsi"/>
          <w:sz w:val="24"/>
          <w:szCs w:val="24"/>
        </w:rPr>
        <w:t xml:space="preserve"> </w:t>
      </w:r>
      <w:r w:rsidR="009F113E">
        <w:rPr>
          <w:rFonts w:asciiTheme="minorHAnsi" w:hAnsiTheme="minorHAnsi" w:cstheme="minorHAnsi"/>
          <w:sz w:val="24"/>
          <w:szCs w:val="24"/>
        </w:rPr>
        <w:t>P</w:t>
      </w:r>
      <w:r w:rsidR="001133F5">
        <w:rPr>
          <w:rFonts w:asciiTheme="minorHAnsi" w:hAnsiTheme="minorHAnsi" w:cstheme="minorHAnsi"/>
          <w:sz w:val="24"/>
          <w:szCs w:val="24"/>
        </w:rPr>
        <w:t>odp</w:t>
      </w:r>
      <w:r w:rsidR="009F113E">
        <w:rPr>
          <w:rFonts w:asciiTheme="minorHAnsi" w:hAnsiTheme="minorHAnsi" w:cstheme="minorHAnsi"/>
          <w:sz w:val="24"/>
          <w:szCs w:val="24"/>
        </w:rPr>
        <w:t>rogram byl vytvořen z důvodu splnění</w:t>
      </w:r>
      <w:r w:rsidR="006C0225">
        <w:rPr>
          <w:rFonts w:asciiTheme="minorHAnsi" w:hAnsiTheme="minorHAnsi" w:cstheme="minorHAnsi"/>
          <w:sz w:val="24"/>
          <w:szCs w:val="24"/>
        </w:rPr>
        <w:t xml:space="preserve"> </w:t>
      </w:r>
      <w:r w:rsidR="00D940D4" w:rsidRPr="00626B6D">
        <w:rPr>
          <w:rFonts w:asciiTheme="minorHAnsi" w:hAnsiTheme="minorHAnsi" w:cstheme="minorHAnsi"/>
          <w:sz w:val="24"/>
          <w:szCs w:val="24"/>
        </w:rPr>
        <w:t>povinnosti České republiky zajistit implementaci právních předpisů Evropské unie</w:t>
      </w:r>
      <w:r w:rsidR="00D940D4" w:rsidRPr="00261712">
        <w:rPr>
          <w:rFonts w:asciiTheme="minorHAnsi" w:hAnsiTheme="minorHAnsi" w:cstheme="minorHAnsi"/>
          <w:color w:val="000000" w:themeColor="text1"/>
          <w:sz w:val="24"/>
          <w:szCs w:val="24"/>
        </w:rPr>
        <w:t xml:space="preserve">. </w:t>
      </w:r>
      <w:r w:rsidR="00D940D4" w:rsidRPr="00626B6D">
        <w:rPr>
          <w:rFonts w:asciiTheme="minorHAnsi" w:hAnsiTheme="minorHAnsi" w:cstheme="minorHAnsi"/>
          <w:sz w:val="24"/>
          <w:szCs w:val="24"/>
        </w:rPr>
        <w:t>Dotaci MMR poskytuje podle obsahu olova v</w:t>
      </w:r>
      <w:r w:rsidR="006C0225">
        <w:rPr>
          <w:rFonts w:asciiTheme="minorHAnsi" w:hAnsiTheme="minorHAnsi" w:cstheme="minorHAnsi"/>
          <w:sz w:val="24"/>
          <w:szCs w:val="24"/>
        </w:rPr>
        <w:t xml:space="preserve"> </w:t>
      </w:r>
      <w:r w:rsidR="00D940D4" w:rsidRPr="00626B6D">
        <w:rPr>
          <w:rFonts w:asciiTheme="minorHAnsi" w:hAnsiTheme="minorHAnsi" w:cstheme="minorHAnsi"/>
          <w:sz w:val="24"/>
          <w:szCs w:val="24"/>
        </w:rPr>
        <w:t>pitné vodě, což posuzuje na základě metodiky zpracované Ministerstvem zdravotnictví</w:t>
      </w:r>
      <w:r w:rsidR="00261712">
        <w:rPr>
          <w:rFonts w:asciiTheme="minorHAnsi" w:hAnsiTheme="minorHAnsi" w:cstheme="minorHAnsi"/>
          <w:sz w:val="24"/>
          <w:szCs w:val="24"/>
        </w:rPr>
        <w:t>;</w:t>
      </w:r>
    </w:p>
    <w:p w14:paraId="4C40F4F6" w14:textId="296BAD4B" w:rsidR="000659D4" w:rsidRPr="00626B6D" w:rsidRDefault="000659D4" w:rsidP="00A01642">
      <w:pPr>
        <w:pStyle w:val="Odstavecseseznamem"/>
        <w:numPr>
          <w:ilvl w:val="0"/>
          <w:numId w:val="6"/>
        </w:numPr>
        <w:spacing w:after="0" w:line="240" w:lineRule="auto"/>
        <w:ind w:left="284" w:hanging="284"/>
        <w:contextualSpacing w:val="0"/>
        <w:jc w:val="both"/>
        <w:rPr>
          <w:rFonts w:asciiTheme="minorHAnsi" w:hAnsiTheme="minorHAnsi" w:cstheme="minorHAnsi"/>
          <w:i/>
          <w:sz w:val="24"/>
          <w:szCs w:val="24"/>
        </w:rPr>
      </w:pPr>
      <w:r w:rsidRPr="00E819ED">
        <w:rPr>
          <w:rFonts w:asciiTheme="minorHAnsi" w:hAnsiTheme="minorHAnsi" w:cstheme="minorHAnsi"/>
          <w:sz w:val="24"/>
          <w:szCs w:val="24"/>
        </w:rPr>
        <w:t>117</w:t>
      </w:r>
      <w:r w:rsidR="005522F1">
        <w:rPr>
          <w:rFonts w:asciiTheme="minorHAnsi" w:hAnsiTheme="minorHAnsi" w:cstheme="minorHAnsi"/>
          <w:sz w:val="24"/>
          <w:szCs w:val="24"/>
        </w:rPr>
        <w:t> </w:t>
      </w:r>
      <w:r w:rsidRPr="00E819ED">
        <w:rPr>
          <w:rFonts w:asciiTheme="minorHAnsi" w:hAnsiTheme="minorHAnsi" w:cstheme="minorHAnsi"/>
          <w:sz w:val="24"/>
          <w:szCs w:val="24"/>
        </w:rPr>
        <w:t>516</w:t>
      </w:r>
      <w:r w:rsidR="00261712">
        <w:rPr>
          <w:rFonts w:asciiTheme="minorHAnsi" w:hAnsiTheme="minorHAnsi" w:cstheme="minorHAnsi"/>
          <w:sz w:val="24"/>
          <w:szCs w:val="24"/>
        </w:rPr>
        <w:t> –</w:t>
      </w:r>
      <w:r w:rsidRPr="00626B6D">
        <w:rPr>
          <w:rFonts w:asciiTheme="minorHAnsi" w:hAnsiTheme="minorHAnsi" w:cstheme="minorHAnsi"/>
          <w:sz w:val="24"/>
          <w:szCs w:val="24"/>
        </w:rPr>
        <w:t xml:space="preserve"> </w:t>
      </w:r>
      <w:r w:rsidRPr="00626B6D">
        <w:rPr>
          <w:rFonts w:asciiTheme="minorHAnsi" w:hAnsiTheme="minorHAnsi" w:cstheme="minorHAnsi"/>
          <w:i/>
          <w:sz w:val="24"/>
          <w:szCs w:val="24"/>
        </w:rPr>
        <w:t>Podpora výstavby obecních nájemních bytů pro občany postižené živelní pohromou</w:t>
      </w:r>
      <w:r w:rsidR="00261712">
        <w:rPr>
          <w:rFonts w:asciiTheme="minorHAnsi" w:hAnsiTheme="minorHAnsi" w:cstheme="minorHAnsi"/>
          <w:sz w:val="24"/>
          <w:szCs w:val="24"/>
        </w:rPr>
        <w:t>;</w:t>
      </w:r>
      <w:r w:rsidRPr="00626B6D">
        <w:rPr>
          <w:rFonts w:asciiTheme="minorHAnsi" w:hAnsiTheme="minorHAnsi" w:cstheme="minorHAnsi"/>
          <w:i/>
          <w:sz w:val="24"/>
          <w:szCs w:val="24"/>
        </w:rPr>
        <w:t xml:space="preserve"> </w:t>
      </w:r>
    </w:p>
    <w:p w14:paraId="73026AF0" w14:textId="19E0B74F" w:rsidR="000659D4" w:rsidRPr="00626B6D" w:rsidRDefault="000659D4" w:rsidP="00A01642">
      <w:pPr>
        <w:pStyle w:val="Odstavecseseznamem"/>
        <w:numPr>
          <w:ilvl w:val="0"/>
          <w:numId w:val="6"/>
        </w:numPr>
        <w:spacing w:after="0" w:line="240" w:lineRule="auto"/>
        <w:ind w:left="284" w:hanging="284"/>
        <w:contextualSpacing w:val="0"/>
        <w:jc w:val="both"/>
        <w:rPr>
          <w:rFonts w:asciiTheme="minorHAnsi" w:hAnsiTheme="minorHAnsi" w:cstheme="minorHAnsi"/>
          <w:i/>
          <w:sz w:val="24"/>
          <w:szCs w:val="24"/>
        </w:rPr>
      </w:pPr>
      <w:r w:rsidRPr="00E819ED">
        <w:rPr>
          <w:rFonts w:asciiTheme="minorHAnsi" w:hAnsiTheme="minorHAnsi" w:cstheme="minorHAnsi"/>
          <w:sz w:val="24"/>
          <w:szCs w:val="24"/>
        </w:rPr>
        <w:t>117</w:t>
      </w:r>
      <w:r w:rsidR="005522F1">
        <w:rPr>
          <w:rFonts w:asciiTheme="minorHAnsi" w:hAnsiTheme="minorHAnsi" w:cstheme="minorHAnsi"/>
          <w:sz w:val="24"/>
          <w:szCs w:val="24"/>
        </w:rPr>
        <w:t> </w:t>
      </w:r>
      <w:r w:rsidRPr="00E819ED">
        <w:rPr>
          <w:rFonts w:asciiTheme="minorHAnsi" w:hAnsiTheme="minorHAnsi" w:cstheme="minorHAnsi"/>
          <w:sz w:val="24"/>
          <w:szCs w:val="24"/>
        </w:rPr>
        <w:t>517</w:t>
      </w:r>
      <w:r w:rsidR="00261712">
        <w:rPr>
          <w:rFonts w:asciiTheme="minorHAnsi" w:hAnsiTheme="minorHAnsi" w:cstheme="minorHAnsi"/>
          <w:sz w:val="24"/>
          <w:szCs w:val="24"/>
        </w:rPr>
        <w:t> –</w:t>
      </w:r>
      <w:r w:rsidRPr="00E819ED">
        <w:rPr>
          <w:rFonts w:asciiTheme="minorHAnsi" w:hAnsiTheme="minorHAnsi" w:cstheme="minorHAnsi"/>
          <w:i/>
          <w:sz w:val="24"/>
          <w:szCs w:val="24"/>
        </w:rPr>
        <w:t xml:space="preserve"> </w:t>
      </w:r>
      <w:r w:rsidR="00B7144D" w:rsidRPr="00626B6D">
        <w:rPr>
          <w:rFonts w:asciiTheme="minorHAnsi" w:hAnsiTheme="minorHAnsi" w:cstheme="minorHAnsi"/>
          <w:i/>
          <w:sz w:val="24"/>
          <w:szCs w:val="24"/>
        </w:rPr>
        <w:t>Podpora</w:t>
      </w:r>
      <w:r w:rsidRPr="00626B6D">
        <w:rPr>
          <w:rFonts w:asciiTheme="minorHAnsi" w:hAnsiTheme="minorHAnsi" w:cstheme="minorHAnsi"/>
          <w:i/>
          <w:sz w:val="24"/>
          <w:szCs w:val="24"/>
        </w:rPr>
        <w:t xml:space="preserve"> při zajišťování dočasného náhradního ubytování a dalších souvisejících potřeb v</w:t>
      </w:r>
      <w:r w:rsidR="006C0225">
        <w:rPr>
          <w:rFonts w:asciiTheme="minorHAnsi" w:hAnsiTheme="minorHAnsi" w:cstheme="minorHAnsi"/>
          <w:i/>
          <w:sz w:val="24"/>
          <w:szCs w:val="24"/>
        </w:rPr>
        <w:t xml:space="preserve"> </w:t>
      </w:r>
      <w:r w:rsidRPr="00626B6D">
        <w:rPr>
          <w:rFonts w:asciiTheme="minorHAnsi" w:hAnsiTheme="minorHAnsi" w:cstheme="minorHAnsi"/>
          <w:i/>
          <w:sz w:val="24"/>
          <w:szCs w:val="24"/>
        </w:rPr>
        <w:t>důsledku povodně či jiné živelní pohromy</w:t>
      </w:r>
      <w:r w:rsidRPr="00E819ED">
        <w:rPr>
          <w:rFonts w:asciiTheme="minorHAnsi" w:hAnsiTheme="minorHAnsi" w:cstheme="minorHAnsi"/>
          <w:sz w:val="24"/>
          <w:szCs w:val="24"/>
        </w:rPr>
        <w:t>.</w:t>
      </w:r>
    </w:p>
    <w:p w14:paraId="3ECD76C5" w14:textId="77777777" w:rsidR="000659D4" w:rsidRPr="00A01642" w:rsidRDefault="000659D4" w:rsidP="00A01642">
      <w:pPr>
        <w:ind w:left="284" w:hanging="284"/>
        <w:rPr>
          <w:rFonts w:ascii="Calibri" w:hAnsi="Calibri" w:cs="Calibri"/>
        </w:rPr>
      </w:pPr>
    </w:p>
    <w:p w14:paraId="6B522786" w14:textId="4305397F" w:rsidR="001A36E2" w:rsidRPr="00626B6D" w:rsidRDefault="00D940D4" w:rsidP="00A01642">
      <w:pPr>
        <w:rPr>
          <w:rFonts w:asciiTheme="minorHAnsi" w:hAnsiTheme="minorHAnsi" w:cstheme="minorHAnsi"/>
          <w:sz w:val="24"/>
        </w:rPr>
      </w:pPr>
      <w:r w:rsidRPr="00A01642">
        <w:rPr>
          <w:rFonts w:ascii="Calibri" w:hAnsi="Calibri" w:cs="Calibri"/>
          <w:sz w:val="24"/>
        </w:rPr>
        <w:t>Program</w:t>
      </w:r>
      <w:r w:rsidRPr="00626B6D">
        <w:rPr>
          <w:rFonts w:asciiTheme="minorHAnsi" w:hAnsiTheme="minorHAnsi" w:cstheme="minorHAnsi"/>
          <w:sz w:val="24"/>
        </w:rPr>
        <w:t xml:space="preserve"> </w:t>
      </w:r>
      <w:r w:rsidRPr="00E819ED">
        <w:rPr>
          <w:rFonts w:asciiTheme="minorHAnsi" w:hAnsiTheme="minorHAnsi" w:cstheme="minorHAnsi"/>
          <w:iCs/>
          <w:color w:val="000000"/>
          <w:sz w:val="24"/>
          <w:lang w:eastAsia="cs-CZ"/>
        </w:rPr>
        <w:t>117</w:t>
      </w:r>
      <w:r w:rsidR="005522F1">
        <w:rPr>
          <w:rFonts w:asciiTheme="minorHAnsi" w:hAnsiTheme="minorHAnsi" w:cstheme="minorHAnsi"/>
          <w:iCs/>
          <w:color w:val="000000"/>
          <w:sz w:val="24"/>
          <w:lang w:eastAsia="cs-CZ"/>
        </w:rPr>
        <w:t> </w:t>
      </w:r>
      <w:r w:rsidRPr="00E819ED">
        <w:rPr>
          <w:rFonts w:asciiTheme="minorHAnsi" w:hAnsiTheme="minorHAnsi" w:cstheme="minorHAnsi"/>
          <w:iCs/>
          <w:color w:val="000000"/>
          <w:sz w:val="24"/>
          <w:lang w:eastAsia="cs-CZ"/>
        </w:rPr>
        <w:t>020</w:t>
      </w:r>
      <w:r w:rsidR="00030196">
        <w:rPr>
          <w:rFonts w:asciiTheme="minorHAnsi" w:hAnsiTheme="minorHAnsi" w:cstheme="minorHAnsi"/>
          <w:iCs/>
          <w:color w:val="000000"/>
          <w:sz w:val="24"/>
          <w:lang w:eastAsia="cs-CZ"/>
        </w:rPr>
        <w:t> –</w:t>
      </w:r>
      <w:r w:rsidRPr="00626B6D">
        <w:rPr>
          <w:rFonts w:asciiTheme="minorHAnsi" w:hAnsiTheme="minorHAnsi" w:cstheme="minorHAnsi"/>
          <w:i/>
          <w:iCs/>
          <w:color w:val="000000"/>
          <w:sz w:val="24"/>
          <w:lang w:eastAsia="cs-CZ"/>
        </w:rPr>
        <w:t xml:space="preserve"> Podpora bydlení při živelní pohromě</w:t>
      </w:r>
      <w:r w:rsidR="00B7144D" w:rsidRPr="00E819ED">
        <w:rPr>
          <w:rFonts w:asciiTheme="minorHAnsi" w:hAnsiTheme="minorHAnsi" w:cstheme="minorHAnsi"/>
          <w:iCs/>
          <w:color w:val="000000"/>
          <w:sz w:val="24"/>
          <w:lang w:eastAsia="cs-CZ"/>
        </w:rPr>
        <w:t>,</w:t>
      </w:r>
      <w:r w:rsidR="00B7144D" w:rsidRPr="00626B6D">
        <w:rPr>
          <w:rFonts w:asciiTheme="minorHAnsi" w:hAnsiTheme="minorHAnsi" w:cstheme="minorHAnsi"/>
          <w:i/>
          <w:iCs/>
          <w:color w:val="000000"/>
          <w:sz w:val="24"/>
          <w:lang w:eastAsia="cs-CZ"/>
        </w:rPr>
        <w:t xml:space="preserve"> </w:t>
      </w:r>
      <w:r w:rsidR="00B7144D" w:rsidRPr="00626B6D">
        <w:rPr>
          <w:rFonts w:asciiTheme="minorHAnsi" w:hAnsiTheme="minorHAnsi" w:cstheme="minorHAnsi"/>
          <w:iCs/>
          <w:color w:val="000000"/>
          <w:sz w:val="24"/>
          <w:lang w:eastAsia="cs-CZ"/>
        </w:rPr>
        <w:t>který</w:t>
      </w:r>
      <w:r w:rsidRPr="00626B6D">
        <w:rPr>
          <w:rFonts w:asciiTheme="minorHAnsi" w:hAnsiTheme="minorHAnsi" w:cstheme="minorHAnsi"/>
          <w:iCs/>
          <w:color w:val="000000"/>
          <w:sz w:val="24"/>
          <w:lang w:eastAsia="cs-CZ"/>
        </w:rPr>
        <w:t xml:space="preserve"> </w:t>
      </w:r>
      <w:r w:rsidR="00C33975" w:rsidRPr="00626B6D">
        <w:rPr>
          <w:rFonts w:asciiTheme="minorHAnsi" w:hAnsiTheme="minorHAnsi" w:cstheme="minorHAnsi"/>
          <w:iCs/>
          <w:color w:val="000000"/>
          <w:sz w:val="24"/>
          <w:lang w:eastAsia="cs-CZ"/>
        </w:rPr>
        <w:t xml:space="preserve">věcně </w:t>
      </w:r>
      <w:r w:rsidRPr="00626B6D">
        <w:rPr>
          <w:rFonts w:asciiTheme="minorHAnsi" w:hAnsiTheme="minorHAnsi" w:cstheme="minorHAnsi"/>
          <w:iCs/>
          <w:color w:val="000000"/>
          <w:sz w:val="24"/>
          <w:lang w:eastAsia="cs-CZ"/>
        </w:rPr>
        <w:t xml:space="preserve">navazuje na </w:t>
      </w:r>
      <w:r w:rsidR="00B7144D" w:rsidRPr="00626B6D">
        <w:rPr>
          <w:rFonts w:asciiTheme="minorHAnsi" w:hAnsiTheme="minorHAnsi" w:cstheme="minorHAnsi"/>
          <w:iCs/>
          <w:color w:val="000000"/>
          <w:sz w:val="24"/>
          <w:lang w:eastAsia="cs-CZ"/>
        </w:rPr>
        <w:t>program 117</w:t>
      </w:r>
      <w:r w:rsidR="00F352BD">
        <w:rPr>
          <w:rFonts w:asciiTheme="minorHAnsi" w:hAnsiTheme="minorHAnsi" w:cstheme="minorHAnsi"/>
          <w:iCs/>
          <w:color w:val="000000"/>
          <w:sz w:val="24"/>
          <w:lang w:eastAsia="cs-CZ"/>
        </w:rPr>
        <w:t> </w:t>
      </w:r>
      <w:r w:rsidR="00B7144D" w:rsidRPr="00626B6D">
        <w:rPr>
          <w:rFonts w:asciiTheme="minorHAnsi" w:hAnsiTheme="minorHAnsi" w:cstheme="minorHAnsi"/>
          <w:iCs/>
          <w:color w:val="000000"/>
          <w:sz w:val="24"/>
          <w:lang w:eastAsia="cs-CZ"/>
        </w:rPr>
        <w:t xml:space="preserve">510, </w:t>
      </w:r>
      <w:r w:rsidRPr="00626B6D">
        <w:rPr>
          <w:rFonts w:asciiTheme="minorHAnsi" w:hAnsiTheme="minorHAnsi" w:cstheme="minorHAnsi"/>
          <w:iCs/>
          <w:color w:val="000000"/>
          <w:sz w:val="24"/>
          <w:lang w:eastAsia="cs-CZ"/>
        </w:rPr>
        <w:t>podprogramy 117</w:t>
      </w:r>
      <w:r w:rsidR="005522F1">
        <w:rPr>
          <w:rFonts w:asciiTheme="minorHAnsi" w:hAnsiTheme="minorHAnsi" w:cstheme="minorHAnsi"/>
          <w:iCs/>
          <w:color w:val="000000"/>
          <w:sz w:val="24"/>
          <w:lang w:eastAsia="cs-CZ"/>
        </w:rPr>
        <w:t> </w:t>
      </w:r>
      <w:r w:rsidR="00B7144D" w:rsidRPr="00626B6D">
        <w:rPr>
          <w:rFonts w:asciiTheme="minorHAnsi" w:hAnsiTheme="minorHAnsi" w:cstheme="minorHAnsi"/>
          <w:iCs/>
          <w:color w:val="000000"/>
          <w:sz w:val="24"/>
          <w:lang w:eastAsia="cs-CZ"/>
        </w:rPr>
        <w:t>516 a 117</w:t>
      </w:r>
      <w:r w:rsidR="009F113E">
        <w:rPr>
          <w:rFonts w:asciiTheme="minorHAnsi" w:hAnsiTheme="minorHAnsi" w:cstheme="minorHAnsi"/>
          <w:iCs/>
          <w:color w:val="000000"/>
          <w:sz w:val="24"/>
          <w:lang w:eastAsia="cs-CZ"/>
        </w:rPr>
        <w:t> </w:t>
      </w:r>
      <w:r w:rsidR="00B7144D" w:rsidRPr="00626B6D">
        <w:rPr>
          <w:rFonts w:asciiTheme="minorHAnsi" w:hAnsiTheme="minorHAnsi" w:cstheme="minorHAnsi"/>
          <w:iCs/>
          <w:color w:val="000000"/>
          <w:sz w:val="24"/>
          <w:lang w:eastAsia="cs-CZ"/>
        </w:rPr>
        <w:t>517</w:t>
      </w:r>
      <w:r w:rsidR="009F113E">
        <w:rPr>
          <w:rFonts w:asciiTheme="minorHAnsi" w:hAnsiTheme="minorHAnsi" w:cstheme="minorHAnsi"/>
          <w:iCs/>
          <w:color w:val="000000"/>
          <w:sz w:val="24"/>
          <w:lang w:eastAsia="cs-CZ"/>
        </w:rPr>
        <w:t>,</w:t>
      </w:r>
      <w:r w:rsidR="00B7144D" w:rsidRPr="00626B6D">
        <w:rPr>
          <w:rFonts w:asciiTheme="minorHAnsi" w:hAnsiTheme="minorHAnsi" w:cstheme="minorHAnsi"/>
          <w:iCs/>
          <w:color w:val="000000"/>
          <w:sz w:val="24"/>
          <w:lang w:eastAsia="cs-CZ"/>
        </w:rPr>
        <w:t xml:space="preserve"> realizuje MMR </w:t>
      </w:r>
      <w:r w:rsidR="00E04A73" w:rsidRPr="00626B6D">
        <w:rPr>
          <w:rFonts w:asciiTheme="minorHAnsi" w:hAnsiTheme="minorHAnsi" w:cstheme="minorHAnsi"/>
          <w:iCs/>
          <w:color w:val="000000"/>
          <w:sz w:val="24"/>
          <w:lang w:eastAsia="cs-CZ"/>
        </w:rPr>
        <w:t>od roku 2011 s</w:t>
      </w:r>
      <w:r w:rsidR="006C0225">
        <w:rPr>
          <w:rFonts w:asciiTheme="minorHAnsi" w:hAnsiTheme="minorHAnsi" w:cstheme="minorHAnsi"/>
          <w:iCs/>
          <w:color w:val="000000"/>
          <w:sz w:val="24"/>
          <w:lang w:eastAsia="cs-CZ"/>
        </w:rPr>
        <w:t xml:space="preserve"> </w:t>
      </w:r>
      <w:r w:rsidR="00E04A73" w:rsidRPr="00626B6D">
        <w:rPr>
          <w:rFonts w:asciiTheme="minorHAnsi" w:hAnsiTheme="minorHAnsi" w:cstheme="minorHAnsi"/>
          <w:iCs/>
          <w:color w:val="000000"/>
          <w:sz w:val="24"/>
          <w:lang w:eastAsia="cs-CZ"/>
        </w:rPr>
        <w:t>plánovaným ukončením realizace v</w:t>
      </w:r>
      <w:r w:rsidR="006C0225">
        <w:rPr>
          <w:rFonts w:asciiTheme="minorHAnsi" w:hAnsiTheme="minorHAnsi" w:cstheme="minorHAnsi"/>
          <w:iCs/>
          <w:color w:val="000000"/>
          <w:sz w:val="24"/>
          <w:lang w:eastAsia="cs-CZ"/>
        </w:rPr>
        <w:t xml:space="preserve"> </w:t>
      </w:r>
      <w:r w:rsidR="00E04A73" w:rsidRPr="00626B6D">
        <w:rPr>
          <w:rFonts w:asciiTheme="minorHAnsi" w:hAnsiTheme="minorHAnsi" w:cstheme="minorHAnsi"/>
          <w:iCs/>
          <w:color w:val="000000"/>
          <w:sz w:val="24"/>
          <w:lang w:eastAsia="cs-CZ"/>
        </w:rPr>
        <w:t>roce 2017.</w:t>
      </w:r>
      <w:r w:rsidR="001A36E2" w:rsidRPr="00626B6D">
        <w:rPr>
          <w:rFonts w:asciiTheme="minorHAnsi" w:hAnsiTheme="minorHAnsi" w:cstheme="minorHAnsi"/>
          <w:iCs/>
          <w:color w:val="000000"/>
          <w:sz w:val="24"/>
          <w:lang w:eastAsia="cs-CZ"/>
        </w:rPr>
        <w:t xml:space="preserve"> </w:t>
      </w:r>
      <w:r w:rsidR="00030196">
        <w:rPr>
          <w:rFonts w:asciiTheme="minorHAnsi" w:hAnsiTheme="minorHAnsi" w:cstheme="minorHAnsi"/>
          <w:iCs/>
          <w:color w:val="000000"/>
          <w:sz w:val="24"/>
          <w:lang w:eastAsia="cs-CZ"/>
        </w:rPr>
        <w:t xml:space="preserve">Program </w:t>
      </w:r>
      <w:r w:rsidR="00030196">
        <w:rPr>
          <w:rFonts w:asciiTheme="minorHAnsi" w:hAnsiTheme="minorHAnsi" w:cstheme="minorHAnsi"/>
          <w:sz w:val="24"/>
        </w:rPr>
        <w:t>j</w:t>
      </w:r>
      <w:r w:rsidR="001A36E2" w:rsidRPr="00626B6D">
        <w:rPr>
          <w:rFonts w:asciiTheme="minorHAnsi" w:hAnsiTheme="minorHAnsi" w:cstheme="minorHAnsi"/>
          <w:sz w:val="24"/>
        </w:rPr>
        <w:t xml:space="preserve">e zaměřen na podporu poskytovanou obcím při opravě bytů poškozených živelní pohromou, při odstraňování zničených staveb pro bydlení nebo při řešení náhradního ubytování </w:t>
      </w:r>
      <w:r w:rsidR="009F113E">
        <w:rPr>
          <w:rFonts w:asciiTheme="minorHAnsi" w:hAnsiTheme="minorHAnsi" w:cstheme="minorHAnsi"/>
          <w:sz w:val="24"/>
        </w:rPr>
        <w:t xml:space="preserve">pro </w:t>
      </w:r>
      <w:r w:rsidR="001A36E2" w:rsidRPr="00626B6D">
        <w:rPr>
          <w:rFonts w:asciiTheme="minorHAnsi" w:hAnsiTheme="minorHAnsi" w:cstheme="minorHAnsi"/>
          <w:sz w:val="24"/>
        </w:rPr>
        <w:t>osob</w:t>
      </w:r>
      <w:r w:rsidR="009F113E">
        <w:rPr>
          <w:rFonts w:asciiTheme="minorHAnsi" w:hAnsiTheme="minorHAnsi" w:cstheme="minorHAnsi"/>
          <w:sz w:val="24"/>
        </w:rPr>
        <w:t>y</w:t>
      </w:r>
      <w:r w:rsidR="001A36E2" w:rsidRPr="00626B6D">
        <w:rPr>
          <w:rFonts w:asciiTheme="minorHAnsi" w:hAnsiTheme="minorHAnsi" w:cstheme="minorHAnsi"/>
          <w:sz w:val="24"/>
        </w:rPr>
        <w:t>, které trvale nebo dočasně přišly o bydlení při živelní pohromě v</w:t>
      </w:r>
      <w:r w:rsidR="006C0225">
        <w:rPr>
          <w:rFonts w:asciiTheme="minorHAnsi" w:hAnsiTheme="minorHAnsi" w:cstheme="minorHAnsi"/>
          <w:sz w:val="24"/>
        </w:rPr>
        <w:t xml:space="preserve"> </w:t>
      </w:r>
      <w:r w:rsidR="001A36E2" w:rsidRPr="00626B6D">
        <w:rPr>
          <w:rFonts w:asciiTheme="minorHAnsi" w:hAnsiTheme="minorHAnsi" w:cstheme="minorHAnsi"/>
          <w:sz w:val="24"/>
        </w:rPr>
        <w:t>době krizového stavu nebo při vyhlášení 3. stupně povodňové aktivity.</w:t>
      </w:r>
    </w:p>
    <w:p w14:paraId="49C33637" w14:textId="77777777" w:rsidR="000659D4" w:rsidRPr="00626B6D" w:rsidRDefault="000659D4" w:rsidP="00A01642">
      <w:pPr>
        <w:rPr>
          <w:rFonts w:asciiTheme="minorHAnsi" w:hAnsiTheme="minorHAnsi" w:cstheme="minorHAnsi"/>
          <w:sz w:val="24"/>
        </w:rPr>
      </w:pPr>
    </w:p>
    <w:p w14:paraId="6103C39B" w14:textId="11B905CC" w:rsidR="00B7144D" w:rsidRPr="00626B6D" w:rsidRDefault="00B7144D" w:rsidP="00A01642">
      <w:pPr>
        <w:rPr>
          <w:rFonts w:asciiTheme="minorHAnsi" w:hAnsiTheme="minorHAnsi" w:cstheme="minorHAnsi"/>
          <w:sz w:val="24"/>
        </w:rPr>
      </w:pPr>
      <w:r w:rsidRPr="00626B6D">
        <w:rPr>
          <w:rFonts w:asciiTheme="minorHAnsi" w:hAnsiTheme="minorHAnsi" w:cstheme="minorHAnsi"/>
          <w:iCs/>
          <w:color w:val="000000"/>
          <w:sz w:val="24"/>
          <w:lang w:eastAsia="cs-CZ"/>
        </w:rPr>
        <w:t>MMR r</w:t>
      </w:r>
      <w:r w:rsidR="004F5D7D" w:rsidRPr="00626B6D">
        <w:rPr>
          <w:rFonts w:asciiTheme="minorHAnsi" w:hAnsiTheme="minorHAnsi" w:cstheme="minorHAnsi"/>
          <w:iCs/>
          <w:color w:val="000000"/>
          <w:sz w:val="24"/>
          <w:lang w:eastAsia="cs-CZ"/>
        </w:rPr>
        <w:t>ovněž zajišťovalo poskytování příspěvku podle na</w:t>
      </w:r>
      <w:r w:rsidR="00492C48">
        <w:rPr>
          <w:rFonts w:asciiTheme="minorHAnsi" w:hAnsiTheme="minorHAnsi" w:cstheme="minorHAnsi"/>
          <w:iCs/>
          <w:color w:val="000000"/>
          <w:sz w:val="24"/>
          <w:lang w:eastAsia="cs-CZ"/>
        </w:rPr>
        <w:t>řízení vlády č. 249/2002 Sb., o</w:t>
      </w:r>
      <w:r w:rsidR="00F352BD">
        <w:rPr>
          <w:rFonts w:asciiTheme="minorHAnsi" w:hAnsiTheme="minorHAnsi" w:cstheme="minorHAnsi"/>
          <w:iCs/>
          <w:color w:val="000000"/>
          <w:sz w:val="24"/>
          <w:lang w:eastAsia="cs-CZ"/>
        </w:rPr>
        <w:t> </w:t>
      </w:r>
      <w:r w:rsidR="004F5D7D" w:rsidRPr="00626B6D">
        <w:rPr>
          <w:rFonts w:asciiTheme="minorHAnsi" w:hAnsiTheme="minorHAnsi" w:cstheme="minorHAnsi"/>
          <w:iCs/>
          <w:color w:val="000000"/>
          <w:sz w:val="24"/>
          <w:lang w:eastAsia="cs-CZ"/>
        </w:rPr>
        <w:t>podmínkách poskytování příspěvků k</w:t>
      </w:r>
      <w:r w:rsidR="006C0225">
        <w:rPr>
          <w:rFonts w:asciiTheme="minorHAnsi" w:hAnsiTheme="minorHAnsi" w:cstheme="minorHAnsi"/>
          <w:iCs/>
          <w:color w:val="000000"/>
          <w:sz w:val="24"/>
          <w:lang w:eastAsia="cs-CZ"/>
        </w:rPr>
        <w:t xml:space="preserve"> </w:t>
      </w:r>
      <w:r w:rsidR="004F5D7D" w:rsidRPr="00626B6D">
        <w:rPr>
          <w:rFonts w:asciiTheme="minorHAnsi" w:hAnsiTheme="minorHAnsi" w:cstheme="minorHAnsi"/>
          <w:iCs/>
          <w:color w:val="000000"/>
          <w:sz w:val="24"/>
          <w:lang w:eastAsia="cs-CZ"/>
        </w:rPr>
        <w:t>hypot</w:t>
      </w:r>
      <w:r w:rsidR="009F113E">
        <w:rPr>
          <w:rFonts w:asciiTheme="minorHAnsi" w:hAnsiTheme="minorHAnsi" w:cstheme="minorHAnsi"/>
          <w:iCs/>
          <w:color w:val="000000"/>
          <w:sz w:val="24"/>
          <w:lang w:eastAsia="cs-CZ"/>
        </w:rPr>
        <w:t>e</w:t>
      </w:r>
      <w:r w:rsidR="004F5D7D" w:rsidRPr="00626B6D">
        <w:rPr>
          <w:rFonts w:asciiTheme="minorHAnsi" w:hAnsiTheme="minorHAnsi" w:cstheme="minorHAnsi"/>
          <w:iCs/>
          <w:color w:val="000000"/>
          <w:sz w:val="24"/>
          <w:lang w:eastAsia="cs-CZ"/>
        </w:rPr>
        <w:t>čnímu úvěru osobám mladším 36 let.</w:t>
      </w:r>
      <w:r w:rsidR="004F5D7D" w:rsidRPr="00626B6D">
        <w:rPr>
          <w:rFonts w:asciiTheme="minorHAnsi" w:hAnsiTheme="minorHAnsi" w:cstheme="minorHAnsi"/>
          <w:sz w:val="24"/>
        </w:rPr>
        <w:t xml:space="preserve"> </w:t>
      </w:r>
    </w:p>
    <w:p w14:paraId="6873F32A" w14:textId="77777777" w:rsidR="003A234F" w:rsidRPr="00A01642" w:rsidRDefault="003A234F" w:rsidP="00A01642">
      <w:pPr>
        <w:rPr>
          <w:rFonts w:asciiTheme="minorHAnsi" w:hAnsiTheme="minorHAnsi" w:cstheme="minorHAnsi"/>
          <w:iCs/>
          <w:color w:val="000000"/>
          <w:sz w:val="24"/>
          <w:szCs w:val="22"/>
          <w:lang w:eastAsia="cs-CZ"/>
        </w:rPr>
      </w:pPr>
    </w:p>
    <w:p w14:paraId="434474A4" w14:textId="4496496C" w:rsidR="003A234F" w:rsidRPr="00E819ED" w:rsidRDefault="003A234F" w:rsidP="00B31DAF">
      <w:pPr>
        <w:tabs>
          <w:tab w:val="right" w:pos="9072"/>
        </w:tabs>
        <w:spacing w:after="40"/>
        <w:ind w:left="1418" w:hanging="1418"/>
        <w:rPr>
          <w:rFonts w:asciiTheme="minorHAnsi" w:hAnsiTheme="minorHAnsi" w:cstheme="minorHAnsi"/>
          <w:b/>
          <w:iCs/>
          <w:color w:val="000000"/>
          <w:sz w:val="20"/>
          <w:szCs w:val="20"/>
          <w:lang w:eastAsia="cs-CZ"/>
        </w:rPr>
      </w:pPr>
      <w:r w:rsidRPr="00F352BD">
        <w:rPr>
          <w:rFonts w:asciiTheme="minorHAnsi" w:hAnsiTheme="minorHAnsi" w:cstheme="minorHAnsi"/>
          <w:b/>
          <w:iCs/>
          <w:color w:val="000000"/>
          <w:sz w:val="24"/>
          <w:lang w:eastAsia="cs-CZ"/>
        </w:rPr>
        <w:t xml:space="preserve">Tabulka č. 1 </w:t>
      </w:r>
      <w:r w:rsidR="00A502CC" w:rsidRPr="00F352BD">
        <w:rPr>
          <w:rFonts w:asciiTheme="minorHAnsi" w:hAnsiTheme="minorHAnsi" w:cstheme="minorHAnsi"/>
          <w:b/>
          <w:iCs/>
          <w:color w:val="000000"/>
          <w:sz w:val="24"/>
          <w:lang w:eastAsia="cs-CZ"/>
        </w:rPr>
        <w:t>–</w:t>
      </w:r>
      <w:r w:rsidR="00F352BD">
        <w:rPr>
          <w:rFonts w:asciiTheme="minorHAnsi" w:hAnsiTheme="minorHAnsi" w:cstheme="minorHAnsi"/>
          <w:b/>
          <w:iCs/>
          <w:color w:val="000000"/>
          <w:sz w:val="24"/>
          <w:lang w:eastAsia="cs-CZ"/>
        </w:rPr>
        <w:tab/>
      </w:r>
      <w:r w:rsidRPr="00F352BD">
        <w:rPr>
          <w:rFonts w:asciiTheme="minorHAnsi" w:hAnsiTheme="minorHAnsi" w:cstheme="minorHAnsi"/>
          <w:b/>
          <w:iCs/>
          <w:color w:val="000000"/>
          <w:sz w:val="24"/>
          <w:lang w:eastAsia="cs-CZ"/>
        </w:rPr>
        <w:t>Podpora bydlení poskytnutá Ministerstvem pro místní rozvoj od roku 2011</w:t>
      </w:r>
      <w:r w:rsidR="00F352BD">
        <w:rPr>
          <w:rFonts w:asciiTheme="minorHAnsi" w:hAnsiTheme="minorHAnsi" w:cstheme="minorHAnsi"/>
          <w:b/>
          <w:iCs/>
          <w:color w:val="000000"/>
          <w:sz w:val="24"/>
          <w:lang w:eastAsia="cs-CZ"/>
        </w:rPr>
        <w:t xml:space="preserve"> </w:t>
      </w:r>
      <w:r w:rsidRPr="00F352BD">
        <w:rPr>
          <w:rFonts w:asciiTheme="minorHAnsi" w:hAnsiTheme="minorHAnsi" w:cstheme="minorHAnsi"/>
          <w:b/>
          <w:iCs/>
          <w:color w:val="000000"/>
          <w:sz w:val="24"/>
          <w:lang w:eastAsia="cs-CZ"/>
        </w:rPr>
        <w:t>do srpna 2015</w:t>
      </w:r>
      <w:r w:rsidR="00F352BD">
        <w:rPr>
          <w:rFonts w:asciiTheme="minorHAnsi" w:hAnsiTheme="minorHAnsi" w:cstheme="minorHAnsi"/>
          <w:b/>
          <w:iCs/>
          <w:color w:val="000000"/>
          <w:sz w:val="24"/>
          <w:lang w:eastAsia="cs-CZ"/>
        </w:rPr>
        <w:t xml:space="preserve"> </w:t>
      </w:r>
      <w:r w:rsidR="00CA3741">
        <w:rPr>
          <w:rFonts w:asciiTheme="minorHAnsi" w:hAnsiTheme="minorHAnsi" w:cstheme="minorHAnsi"/>
          <w:iCs/>
          <w:color w:val="000000"/>
          <w:szCs w:val="22"/>
          <w:lang w:eastAsia="cs-CZ"/>
        </w:rPr>
        <w:tab/>
      </w:r>
      <w:r w:rsidR="00F352BD" w:rsidRPr="00E819ED">
        <w:rPr>
          <w:rFonts w:asciiTheme="minorHAnsi" w:hAnsiTheme="minorHAnsi" w:cstheme="minorHAnsi"/>
          <w:b/>
          <w:iCs/>
          <w:color w:val="000000"/>
          <w:szCs w:val="22"/>
          <w:lang w:eastAsia="cs-CZ"/>
        </w:rPr>
        <w:t>(</w:t>
      </w:r>
      <w:r w:rsidR="00875C7B" w:rsidRPr="00E819ED">
        <w:rPr>
          <w:rFonts w:asciiTheme="minorHAnsi" w:hAnsiTheme="minorHAnsi" w:cstheme="minorHAnsi"/>
          <w:b/>
          <w:iCs/>
          <w:color w:val="000000"/>
          <w:sz w:val="24"/>
          <w:lang w:eastAsia="cs-CZ"/>
        </w:rPr>
        <w:t>v</w:t>
      </w:r>
      <w:r w:rsidR="006C0225" w:rsidRPr="00E819ED">
        <w:rPr>
          <w:rFonts w:asciiTheme="minorHAnsi" w:hAnsiTheme="minorHAnsi" w:cstheme="minorHAnsi"/>
          <w:b/>
          <w:iCs/>
          <w:color w:val="000000"/>
          <w:sz w:val="24"/>
          <w:lang w:eastAsia="cs-CZ"/>
        </w:rPr>
        <w:t xml:space="preserve"> </w:t>
      </w:r>
      <w:r w:rsidR="00875C7B" w:rsidRPr="00E819ED">
        <w:rPr>
          <w:rFonts w:asciiTheme="minorHAnsi" w:hAnsiTheme="minorHAnsi" w:cstheme="minorHAnsi"/>
          <w:b/>
          <w:iCs/>
          <w:color w:val="000000"/>
          <w:sz w:val="24"/>
          <w:lang w:eastAsia="cs-CZ"/>
        </w:rPr>
        <w:t>mil. Kč</w:t>
      </w:r>
      <w:r w:rsidR="00F352BD" w:rsidRPr="00E819ED">
        <w:rPr>
          <w:rFonts w:asciiTheme="minorHAnsi" w:hAnsiTheme="minorHAnsi" w:cstheme="minorHAnsi"/>
          <w:b/>
          <w:iCs/>
          <w:color w:val="000000"/>
          <w:sz w:val="24"/>
          <w:lang w:eastAsia="cs-CZ"/>
        </w:rPr>
        <w:t>)</w:t>
      </w:r>
    </w:p>
    <w:tbl>
      <w:tblPr>
        <w:tblStyle w:val="Mkatabulky"/>
        <w:tblW w:w="4884" w:type="pct"/>
        <w:tblInd w:w="108" w:type="dxa"/>
        <w:shd w:val="clear" w:color="auto" w:fill="FFFFFF" w:themeFill="background1"/>
        <w:tblLook w:val="04A0" w:firstRow="1" w:lastRow="0" w:firstColumn="1" w:lastColumn="0" w:noHBand="0" w:noVBand="1"/>
      </w:tblPr>
      <w:tblGrid>
        <w:gridCol w:w="6088"/>
        <w:gridCol w:w="2985"/>
      </w:tblGrid>
      <w:tr w:rsidR="003A234F" w:rsidRPr="00BD47F5" w14:paraId="578D9734" w14:textId="77777777" w:rsidTr="00A01642">
        <w:trPr>
          <w:trHeight w:val="227"/>
        </w:trPr>
        <w:tc>
          <w:tcPr>
            <w:tcW w:w="3355" w:type="pct"/>
            <w:shd w:val="clear" w:color="auto" w:fill="FFFFFF" w:themeFill="background1"/>
            <w:vAlign w:val="center"/>
          </w:tcPr>
          <w:p w14:paraId="343B7E03" w14:textId="000B0C92" w:rsidR="003A234F" w:rsidRPr="00626B6D" w:rsidRDefault="003A234F" w:rsidP="00F352BD">
            <w:pPr>
              <w:shd w:val="clear" w:color="auto" w:fill="FFFFFF" w:themeFill="background1"/>
              <w:jc w:val="left"/>
              <w:rPr>
                <w:rFonts w:asciiTheme="minorHAnsi" w:hAnsiTheme="minorHAnsi" w:cstheme="minorHAnsi"/>
                <w:sz w:val="20"/>
                <w:szCs w:val="20"/>
              </w:rPr>
            </w:pPr>
            <w:r w:rsidRPr="00626B6D">
              <w:rPr>
                <w:rFonts w:asciiTheme="minorHAnsi" w:hAnsiTheme="minorHAnsi" w:cstheme="minorHAnsi"/>
                <w:sz w:val="20"/>
                <w:szCs w:val="20"/>
              </w:rPr>
              <w:t>Dotace z programu 117</w:t>
            </w:r>
            <w:r w:rsidR="006C0225">
              <w:rPr>
                <w:rFonts w:asciiTheme="minorHAnsi" w:hAnsiTheme="minorHAnsi" w:cstheme="minorHAnsi"/>
                <w:sz w:val="20"/>
                <w:szCs w:val="20"/>
              </w:rPr>
              <w:t xml:space="preserve"> </w:t>
            </w:r>
            <w:r w:rsidRPr="00626B6D">
              <w:rPr>
                <w:rFonts w:asciiTheme="minorHAnsi" w:hAnsiTheme="minorHAnsi" w:cstheme="minorHAnsi"/>
                <w:sz w:val="20"/>
                <w:szCs w:val="20"/>
              </w:rPr>
              <w:t>510</w:t>
            </w:r>
          </w:p>
        </w:tc>
        <w:tc>
          <w:tcPr>
            <w:tcW w:w="1645" w:type="pct"/>
            <w:shd w:val="clear" w:color="auto" w:fill="FFFFFF" w:themeFill="background1"/>
            <w:vAlign w:val="center"/>
          </w:tcPr>
          <w:p w14:paraId="695E0909" w14:textId="3F922E36" w:rsidR="003A234F" w:rsidRPr="00626B6D" w:rsidRDefault="003A234F" w:rsidP="00A01642">
            <w:pPr>
              <w:ind w:right="1027"/>
              <w:jc w:val="right"/>
              <w:rPr>
                <w:rFonts w:asciiTheme="minorHAnsi" w:hAnsiTheme="minorHAnsi" w:cstheme="minorHAnsi"/>
                <w:sz w:val="20"/>
                <w:szCs w:val="20"/>
              </w:rPr>
            </w:pPr>
            <w:r w:rsidRPr="00626B6D">
              <w:rPr>
                <w:rFonts w:asciiTheme="minorHAnsi" w:hAnsiTheme="minorHAnsi" w:cstheme="minorHAnsi"/>
                <w:iCs/>
                <w:color w:val="000000"/>
                <w:sz w:val="20"/>
                <w:szCs w:val="20"/>
                <w:lang w:eastAsia="cs-CZ"/>
              </w:rPr>
              <w:t>1</w:t>
            </w:r>
            <w:r w:rsidR="006C0225">
              <w:rPr>
                <w:rFonts w:asciiTheme="minorHAnsi" w:hAnsiTheme="minorHAnsi" w:cstheme="minorHAnsi"/>
                <w:iCs/>
                <w:color w:val="000000"/>
                <w:sz w:val="20"/>
                <w:szCs w:val="20"/>
                <w:lang w:eastAsia="cs-CZ"/>
              </w:rPr>
              <w:t xml:space="preserve"> </w:t>
            </w:r>
            <w:r w:rsidRPr="00626B6D">
              <w:rPr>
                <w:rFonts w:asciiTheme="minorHAnsi" w:hAnsiTheme="minorHAnsi" w:cstheme="minorHAnsi"/>
                <w:iCs/>
                <w:color w:val="000000"/>
                <w:sz w:val="20"/>
                <w:szCs w:val="20"/>
                <w:lang w:eastAsia="cs-CZ"/>
              </w:rPr>
              <w:t>753,6</w:t>
            </w:r>
          </w:p>
        </w:tc>
      </w:tr>
      <w:tr w:rsidR="003A234F" w:rsidRPr="00BD47F5" w14:paraId="3990784C" w14:textId="77777777" w:rsidTr="00A01642">
        <w:trPr>
          <w:trHeight w:val="227"/>
        </w:trPr>
        <w:tc>
          <w:tcPr>
            <w:tcW w:w="3355" w:type="pct"/>
            <w:shd w:val="clear" w:color="auto" w:fill="FFFFFF" w:themeFill="background1"/>
            <w:vAlign w:val="center"/>
          </w:tcPr>
          <w:p w14:paraId="6DEE862C" w14:textId="77777777" w:rsidR="003A234F" w:rsidRPr="00626B6D" w:rsidRDefault="003A234F" w:rsidP="00F352BD">
            <w:pPr>
              <w:shd w:val="clear" w:color="auto" w:fill="FFFFFF" w:themeFill="background1"/>
              <w:jc w:val="left"/>
              <w:rPr>
                <w:rFonts w:asciiTheme="minorHAnsi" w:hAnsiTheme="minorHAnsi" w:cstheme="minorHAnsi"/>
                <w:sz w:val="20"/>
                <w:szCs w:val="20"/>
              </w:rPr>
            </w:pPr>
            <w:r w:rsidRPr="00626B6D">
              <w:rPr>
                <w:rFonts w:asciiTheme="minorHAnsi" w:hAnsiTheme="minorHAnsi" w:cstheme="minorHAnsi"/>
                <w:sz w:val="20"/>
                <w:szCs w:val="20"/>
              </w:rPr>
              <w:t>Dotace z programu 117 020</w:t>
            </w:r>
          </w:p>
        </w:tc>
        <w:tc>
          <w:tcPr>
            <w:tcW w:w="1645" w:type="pct"/>
            <w:shd w:val="clear" w:color="auto" w:fill="FFFFFF" w:themeFill="background1"/>
            <w:vAlign w:val="center"/>
          </w:tcPr>
          <w:p w14:paraId="729E2F7B" w14:textId="77777777" w:rsidR="003A234F" w:rsidRPr="00626B6D" w:rsidRDefault="003A234F" w:rsidP="00A01642">
            <w:pPr>
              <w:ind w:right="1027"/>
              <w:jc w:val="right"/>
              <w:rPr>
                <w:rFonts w:asciiTheme="minorHAnsi" w:hAnsiTheme="minorHAnsi" w:cstheme="minorHAnsi"/>
                <w:sz w:val="20"/>
                <w:szCs w:val="20"/>
              </w:rPr>
            </w:pPr>
            <w:r w:rsidRPr="00626B6D">
              <w:rPr>
                <w:rFonts w:asciiTheme="minorHAnsi" w:hAnsiTheme="minorHAnsi" w:cstheme="minorHAnsi"/>
                <w:sz w:val="20"/>
                <w:szCs w:val="20"/>
              </w:rPr>
              <w:t>60,9</w:t>
            </w:r>
          </w:p>
        </w:tc>
      </w:tr>
      <w:tr w:rsidR="003A234F" w:rsidRPr="00BD47F5" w14:paraId="55B06D1F" w14:textId="77777777" w:rsidTr="00A01642">
        <w:trPr>
          <w:trHeight w:val="227"/>
        </w:trPr>
        <w:tc>
          <w:tcPr>
            <w:tcW w:w="3355" w:type="pct"/>
            <w:shd w:val="clear" w:color="auto" w:fill="FFFFFF" w:themeFill="background1"/>
            <w:vAlign w:val="center"/>
          </w:tcPr>
          <w:p w14:paraId="7663C3C3" w14:textId="02200B93" w:rsidR="003A234F" w:rsidRPr="00626B6D" w:rsidRDefault="003A234F" w:rsidP="009F113E">
            <w:pPr>
              <w:shd w:val="clear" w:color="auto" w:fill="FFFFFF" w:themeFill="background1"/>
              <w:jc w:val="left"/>
              <w:rPr>
                <w:rFonts w:asciiTheme="minorHAnsi" w:hAnsiTheme="minorHAnsi" w:cstheme="minorHAnsi"/>
                <w:sz w:val="20"/>
                <w:szCs w:val="20"/>
              </w:rPr>
            </w:pPr>
            <w:r w:rsidRPr="00626B6D">
              <w:rPr>
                <w:rFonts w:asciiTheme="minorHAnsi" w:hAnsiTheme="minorHAnsi" w:cstheme="minorHAnsi"/>
                <w:sz w:val="20"/>
                <w:szCs w:val="20"/>
              </w:rPr>
              <w:t>Příspěvky k</w:t>
            </w:r>
            <w:r w:rsidR="006C0225">
              <w:rPr>
                <w:rFonts w:asciiTheme="minorHAnsi" w:hAnsiTheme="minorHAnsi" w:cstheme="minorHAnsi"/>
                <w:sz w:val="20"/>
                <w:szCs w:val="20"/>
              </w:rPr>
              <w:t xml:space="preserve"> </w:t>
            </w:r>
            <w:r w:rsidRPr="00626B6D">
              <w:rPr>
                <w:rFonts w:asciiTheme="minorHAnsi" w:hAnsiTheme="minorHAnsi" w:cstheme="minorHAnsi"/>
                <w:sz w:val="20"/>
                <w:szCs w:val="20"/>
              </w:rPr>
              <w:t>hypot</w:t>
            </w:r>
            <w:r w:rsidR="009F113E">
              <w:rPr>
                <w:rFonts w:asciiTheme="minorHAnsi" w:hAnsiTheme="minorHAnsi" w:cstheme="minorHAnsi"/>
                <w:sz w:val="20"/>
                <w:szCs w:val="20"/>
              </w:rPr>
              <w:t>e</w:t>
            </w:r>
            <w:r w:rsidRPr="00626B6D">
              <w:rPr>
                <w:rFonts w:asciiTheme="minorHAnsi" w:hAnsiTheme="minorHAnsi" w:cstheme="minorHAnsi"/>
                <w:sz w:val="20"/>
                <w:szCs w:val="20"/>
              </w:rPr>
              <w:t>čnímu úvěru</w:t>
            </w:r>
          </w:p>
        </w:tc>
        <w:tc>
          <w:tcPr>
            <w:tcW w:w="1645" w:type="pct"/>
            <w:shd w:val="clear" w:color="auto" w:fill="FFFFFF" w:themeFill="background1"/>
            <w:vAlign w:val="center"/>
          </w:tcPr>
          <w:p w14:paraId="6C5A0CF8" w14:textId="77777777" w:rsidR="003A234F" w:rsidRPr="00626B6D" w:rsidRDefault="003A234F" w:rsidP="00A01642">
            <w:pPr>
              <w:shd w:val="clear" w:color="auto" w:fill="FFFFFF" w:themeFill="background1"/>
              <w:ind w:right="1027"/>
              <w:jc w:val="right"/>
              <w:rPr>
                <w:rFonts w:asciiTheme="minorHAnsi" w:hAnsiTheme="minorHAnsi" w:cstheme="minorHAnsi"/>
                <w:sz w:val="20"/>
                <w:szCs w:val="20"/>
              </w:rPr>
            </w:pPr>
            <w:r w:rsidRPr="00626B6D">
              <w:rPr>
                <w:rFonts w:asciiTheme="minorHAnsi" w:hAnsiTheme="minorHAnsi" w:cstheme="minorHAnsi"/>
                <w:sz w:val="20"/>
                <w:szCs w:val="20"/>
              </w:rPr>
              <w:t>72</w:t>
            </w:r>
            <w:r w:rsidR="00342081" w:rsidRPr="00626B6D">
              <w:rPr>
                <w:rFonts w:asciiTheme="minorHAnsi" w:hAnsiTheme="minorHAnsi" w:cstheme="minorHAnsi"/>
                <w:sz w:val="20"/>
                <w:szCs w:val="20"/>
              </w:rPr>
              <w:t>,0</w:t>
            </w:r>
          </w:p>
        </w:tc>
      </w:tr>
      <w:tr w:rsidR="003A234F" w:rsidRPr="00BD47F5" w14:paraId="464C60FF" w14:textId="77777777" w:rsidTr="00A01642">
        <w:trPr>
          <w:trHeight w:val="227"/>
        </w:trPr>
        <w:tc>
          <w:tcPr>
            <w:tcW w:w="3355" w:type="pct"/>
            <w:shd w:val="clear" w:color="auto" w:fill="FFFFFF" w:themeFill="background1"/>
            <w:vAlign w:val="center"/>
          </w:tcPr>
          <w:p w14:paraId="6C570ECF" w14:textId="19DFC896" w:rsidR="003A234F" w:rsidRPr="00E819ED" w:rsidRDefault="00F352BD" w:rsidP="00F352BD">
            <w:pPr>
              <w:shd w:val="clear" w:color="auto" w:fill="FFFFFF" w:themeFill="background1"/>
              <w:jc w:val="left"/>
              <w:rPr>
                <w:rFonts w:asciiTheme="minorHAnsi" w:hAnsiTheme="minorHAnsi" w:cstheme="minorHAnsi"/>
                <w:b/>
                <w:sz w:val="20"/>
                <w:szCs w:val="20"/>
              </w:rPr>
            </w:pPr>
            <w:r w:rsidRPr="00E819ED">
              <w:rPr>
                <w:rFonts w:asciiTheme="minorHAnsi" w:hAnsiTheme="minorHAnsi" w:cstheme="minorHAnsi"/>
                <w:b/>
                <w:sz w:val="20"/>
                <w:szCs w:val="20"/>
              </w:rPr>
              <w:t>C</w:t>
            </w:r>
            <w:r w:rsidR="003A234F" w:rsidRPr="00E819ED">
              <w:rPr>
                <w:rFonts w:asciiTheme="minorHAnsi" w:hAnsiTheme="minorHAnsi" w:cstheme="minorHAnsi"/>
                <w:b/>
                <w:sz w:val="20"/>
                <w:szCs w:val="20"/>
              </w:rPr>
              <w:t>elkem</w:t>
            </w:r>
          </w:p>
        </w:tc>
        <w:tc>
          <w:tcPr>
            <w:tcW w:w="1645" w:type="pct"/>
            <w:shd w:val="clear" w:color="auto" w:fill="FFFFFF" w:themeFill="background1"/>
            <w:vAlign w:val="center"/>
          </w:tcPr>
          <w:p w14:paraId="62DFFF27" w14:textId="5AECFC46" w:rsidR="003A234F" w:rsidRPr="00626B6D" w:rsidRDefault="003A234F" w:rsidP="00A01642">
            <w:pPr>
              <w:shd w:val="clear" w:color="auto" w:fill="FFFFFF" w:themeFill="background1"/>
              <w:ind w:right="1027"/>
              <w:jc w:val="right"/>
              <w:rPr>
                <w:rFonts w:asciiTheme="minorHAnsi" w:hAnsiTheme="minorHAnsi" w:cstheme="minorHAnsi"/>
                <w:b/>
                <w:sz w:val="20"/>
                <w:szCs w:val="20"/>
              </w:rPr>
            </w:pPr>
            <w:r w:rsidRPr="00626B6D">
              <w:rPr>
                <w:rFonts w:asciiTheme="minorHAnsi" w:hAnsiTheme="minorHAnsi" w:cstheme="minorHAnsi"/>
                <w:b/>
                <w:sz w:val="20"/>
                <w:szCs w:val="20"/>
              </w:rPr>
              <w:t>1</w:t>
            </w:r>
            <w:r w:rsidR="006C0225">
              <w:rPr>
                <w:rFonts w:asciiTheme="minorHAnsi" w:hAnsiTheme="minorHAnsi" w:cstheme="minorHAnsi"/>
                <w:b/>
                <w:sz w:val="20"/>
                <w:szCs w:val="20"/>
              </w:rPr>
              <w:t xml:space="preserve"> </w:t>
            </w:r>
            <w:r w:rsidRPr="00626B6D">
              <w:rPr>
                <w:rFonts w:asciiTheme="minorHAnsi" w:hAnsiTheme="minorHAnsi" w:cstheme="minorHAnsi"/>
                <w:b/>
                <w:sz w:val="20"/>
                <w:szCs w:val="20"/>
              </w:rPr>
              <w:t>886,5</w:t>
            </w:r>
          </w:p>
        </w:tc>
      </w:tr>
    </w:tbl>
    <w:p w14:paraId="7B31EAB4" w14:textId="15715560" w:rsidR="00B7144D" w:rsidRDefault="00092768" w:rsidP="00A01642">
      <w:pPr>
        <w:spacing w:before="40"/>
        <w:rPr>
          <w:rFonts w:asciiTheme="minorHAnsi" w:hAnsiTheme="minorHAnsi" w:cstheme="minorHAnsi"/>
          <w:sz w:val="20"/>
          <w:szCs w:val="20"/>
        </w:rPr>
      </w:pPr>
      <w:r w:rsidRPr="000D07BA">
        <w:rPr>
          <w:rFonts w:asciiTheme="minorHAnsi" w:hAnsiTheme="minorHAnsi" w:cstheme="minorHAnsi"/>
          <w:b/>
          <w:sz w:val="20"/>
          <w:szCs w:val="20"/>
        </w:rPr>
        <w:t>Zdroj:</w:t>
      </w:r>
      <w:r w:rsidRPr="00626B6D">
        <w:rPr>
          <w:rFonts w:asciiTheme="minorHAnsi" w:hAnsiTheme="minorHAnsi" w:cstheme="minorHAnsi"/>
          <w:sz w:val="20"/>
          <w:szCs w:val="20"/>
        </w:rPr>
        <w:t xml:space="preserve"> MMR</w:t>
      </w:r>
      <w:r w:rsidR="00626B6D">
        <w:rPr>
          <w:rFonts w:asciiTheme="minorHAnsi" w:hAnsiTheme="minorHAnsi" w:cstheme="minorHAnsi"/>
          <w:sz w:val="20"/>
          <w:szCs w:val="20"/>
        </w:rPr>
        <w:t>.</w:t>
      </w:r>
    </w:p>
    <w:p w14:paraId="60AAD9C5" w14:textId="77777777" w:rsidR="00626B6D" w:rsidRPr="00A01642" w:rsidRDefault="00626B6D" w:rsidP="004F5D7D">
      <w:pPr>
        <w:rPr>
          <w:rFonts w:asciiTheme="minorHAnsi" w:hAnsiTheme="minorHAnsi" w:cstheme="minorHAnsi"/>
          <w:sz w:val="24"/>
          <w:szCs w:val="20"/>
        </w:rPr>
      </w:pPr>
    </w:p>
    <w:p w14:paraId="4505F3F3" w14:textId="3342E5BA" w:rsidR="004F5D7D" w:rsidRPr="00626B6D" w:rsidRDefault="004F5D7D" w:rsidP="004F5D7D">
      <w:pPr>
        <w:rPr>
          <w:rFonts w:asciiTheme="minorHAnsi" w:hAnsiTheme="minorHAnsi" w:cstheme="minorHAnsi"/>
          <w:iCs/>
          <w:color w:val="000000"/>
          <w:sz w:val="24"/>
          <w:lang w:eastAsia="cs-CZ"/>
        </w:rPr>
      </w:pPr>
      <w:r w:rsidRPr="00626B6D">
        <w:rPr>
          <w:rFonts w:asciiTheme="minorHAnsi" w:hAnsiTheme="minorHAnsi" w:cstheme="minorHAnsi"/>
          <w:b/>
          <w:sz w:val="24"/>
        </w:rPr>
        <w:t>Z</w:t>
      </w:r>
      <w:r w:rsidR="006C0225">
        <w:rPr>
          <w:rFonts w:asciiTheme="minorHAnsi" w:hAnsiTheme="minorHAnsi" w:cstheme="minorHAnsi"/>
          <w:b/>
          <w:sz w:val="24"/>
        </w:rPr>
        <w:t xml:space="preserve"> </w:t>
      </w:r>
      <w:r w:rsidRPr="00626B6D">
        <w:rPr>
          <w:rFonts w:asciiTheme="minorHAnsi" w:hAnsiTheme="minorHAnsi" w:cstheme="minorHAnsi"/>
          <w:b/>
          <w:sz w:val="24"/>
        </w:rPr>
        <w:t>prostředků Evropské unie –</w:t>
      </w:r>
      <w:r w:rsidR="006C0225">
        <w:rPr>
          <w:rFonts w:asciiTheme="minorHAnsi" w:hAnsiTheme="minorHAnsi" w:cstheme="minorHAnsi"/>
          <w:b/>
          <w:sz w:val="24"/>
        </w:rPr>
        <w:t xml:space="preserve"> </w:t>
      </w:r>
      <w:r w:rsidRPr="00E819ED">
        <w:rPr>
          <w:rFonts w:asciiTheme="minorHAnsi" w:hAnsiTheme="minorHAnsi" w:cstheme="minorHAnsi"/>
          <w:b/>
          <w:i/>
          <w:sz w:val="24"/>
        </w:rPr>
        <w:t>Evropského fondu pro regionální rozvoj</w:t>
      </w:r>
      <w:r w:rsidR="009F113E">
        <w:rPr>
          <w:rFonts w:asciiTheme="minorHAnsi" w:hAnsiTheme="minorHAnsi" w:cstheme="minorHAnsi"/>
          <w:b/>
          <w:sz w:val="24"/>
        </w:rPr>
        <w:t> –</w:t>
      </w:r>
      <w:r w:rsidRPr="00626B6D">
        <w:rPr>
          <w:rFonts w:asciiTheme="minorHAnsi" w:hAnsiTheme="minorHAnsi" w:cstheme="minorHAnsi"/>
          <w:b/>
          <w:sz w:val="24"/>
        </w:rPr>
        <w:t xml:space="preserve"> poskytovalo</w:t>
      </w:r>
      <w:r w:rsidR="009F113E" w:rsidRPr="009F113E">
        <w:rPr>
          <w:rFonts w:asciiTheme="minorHAnsi" w:hAnsiTheme="minorHAnsi" w:cstheme="minorHAnsi"/>
          <w:b/>
          <w:sz w:val="24"/>
        </w:rPr>
        <w:t xml:space="preserve"> </w:t>
      </w:r>
      <w:r w:rsidR="009F113E" w:rsidRPr="00626B6D">
        <w:rPr>
          <w:rFonts w:asciiTheme="minorHAnsi" w:hAnsiTheme="minorHAnsi" w:cstheme="minorHAnsi"/>
          <w:b/>
          <w:sz w:val="24"/>
        </w:rPr>
        <w:t>MMR</w:t>
      </w:r>
      <w:r w:rsidRPr="00626B6D">
        <w:rPr>
          <w:rFonts w:asciiTheme="minorHAnsi" w:hAnsiTheme="minorHAnsi" w:cstheme="minorHAnsi"/>
          <w:b/>
          <w:sz w:val="24"/>
        </w:rPr>
        <w:t xml:space="preserve"> dotace</w:t>
      </w:r>
      <w:r w:rsidRPr="00626B6D">
        <w:rPr>
          <w:rFonts w:asciiTheme="minorHAnsi" w:hAnsiTheme="minorHAnsi" w:cstheme="minorHAnsi"/>
          <w:sz w:val="24"/>
        </w:rPr>
        <w:t xml:space="preserve"> na bydlení v</w:t>
      </w:r>
      <w:r w:rsidR="006C0225">
        <w:rPr>
          <w:rFonts w:asciiTheme="minorHAnsi" w:hAnsiTheme="minorHAnsi" w:cstheme="minorHAnsi"/>
          <w:sz w:val="24"/>
        </w:rPr>
        <w:t xml:space="preserve"> </w:t>
      </w:r>
      <w:r w:rsidRPr="00626B6D">
        <w:rPr>
          <w:rFonts w:asciiTheme="minorHAnsi" w:hAnsiTheme="minorHAnsi" w:cstheme="minorHAnsi"/>
          <w:sz w:val="24"/>
        </w:rPr>
        <w:t xml:space="preserve">rámci </w:t>
      </w:r>
      <w:r w:rsidRPr="00626B6D">
        <w:rPr>
          <w:rFonts w:asciiTheme="minorHAnsi" w:hAnsiTheme="minorHAnsi" w:cstheme="minorHAnsi"/>
          <w:i/>
          <w:sz w:val="24"/>
        </w:rPr>
        <w:t>Integrovaného operačního programu</w:t>
      </w:r>
      <w:r w:rsidRPr="00626B6D">
        <w:rPr>
          <w:rFonts w:asciiTheme="minorHAnsi" w:hAnsiTheme="minorHAnsi" w:cstheme="minorHAnsi"/>
          <w:sz w:val="24"/>
        </w:rPr>
        <w:t xml:space="preserve"> pro období 2007 až 2013</w:t>
      </w:r>
      <w:r w:rsidR="0023344E" w:rsidRPr="00626B6D">
        <w:rPr>
          <w:rFonts w:asciiTheme="minorHAnsi" w:hAnsiTheme="minorHAnsi" w:cstheme="minorHAnsi"/>
          <w:sz w:val="24"/>
        </w:rPr>
        <w:t xml:space="preserve"> (dále jen „IOP“)</w:t>
      </w:r>
      <w:r w:rsidRPr="00626B6D">
        <w:rPr>
          <w:rFonts w:asciiTheme="minorHAnsi" w:hAnsiTheme="minorHAnsi" w:cstheme="minorHAnsi"/>
          <w:sz w:val="24"/>
        </w:rPr>
        <w:t xml:space="preserve">, </w:t>
      </w:r>
      <w:r w:rsidR="009F113E">
        <w:rPr>
          <w:rFonts w:asciiTheme="minorHAnsi" w:hAnsiTheme="minorHAnsi" w:cstheme="minorHAnsi"/>
          <w:sz w:val="24"/>
        </w:rPr>
        <w:t>a to z </w:t>
      </w:r>
      <w:r w:rsidRPr="00626B6D">
        <w:rPr>
          <w:rFonts w:asciiTheme="minorHAnsi" w:hAnsiTheme="minorHAnsi" w:cstheme="minorHAnsi"/>
          <w:sz w:val="24"/>
        </w:rPr>
        <w:t>prioritní osy 5</w:t>
      </w:r>
      <w:r w:rsidR="00030196">
        <w:rPr>
          <w:rFonts w:asciiTheme="minorHAnsi" w:hAnsiTheme="minorHAnsi" w:cstheme="minorHAnsi"/>
          <w:sz w:val="24"/>
        </w:rPr>
        <w:t> –</w:t>
      </w:r>
      <w:r w:rsidRPr="00626B6D">
        <w:rPr>
          <w:rFonts w:asciiTheme="minorHAnsi" w:hAnsiTheme="minorHAnsi" w:cstheme="minorHAnsi"/>
          <w:sz w:val="24"/>
        </w:rPr>
        <w:t xml:space="preserve"> </w:t>
      </w:r>
      <w:r w:rsidRPr="00E819ED">
        <w:rPr>
          <w:rFonts w:asciiTheme="minorHAnsi" w:hAnsiTheme="minorHAnsi" w:cstheme="minorHAnsi"/>
          <w:i/>
          <w:sz w:val="24"/>
        </w:rPr>
        <w:t>Národní podpora územního rozvoje</w:t>
      </w:r>
      <w:r w:rsidRPr="00626B6D">
        <w:rPr>
          <w:rFonts w:asciiTheme="minorHAnsi" w:hAnsiTheme="minorHAnsi" w:cstheme="minorHAnsi"/>
          <w:sz w:val="24"/>
        </w:rPr>
        <w:t xml:space="preserve">, </w:t>
      </w:r>
      <w:r w:rsidR="009F113E">
        <w:rPr>
          <w:rFonts w:asciiTheme="minorHAnsi" w:hAnsiTheme="minorHAnsi" w:cstheme="minorHAnsi"/>
          <w:sz w:val="24"/>
        </w:rPr>
        <w:t xml:space="preserve">oblast </w:t>
      </w:r>
      <w:r w:rsidRPr="00626B6D">
        <w:rPr>
          <w:rFonts w:asciiTheme="minorHAnsi" w:hAnsiTheme="minorHAnsi" w:cstheme="minorHAnsi"/>
          <w:sz w:val="24"/>
        </w:rPr>
        <w:t>intervence</w:t>
      </w:r>
      <w:r w:rsidR="00234ABB">
        <w:rPr>
          <w:rFonts w:asciiTheme="minorHAnsi" w:hAnsiTheme="minorHAnsi" w:cstheme="minorHAnsi"/>
          <w:sz w:val="24"/>
        </w:rPr>
        <w:t xml:space="preserve"> </w:t>
      </w:r>
      <w:r w:rsidRPr="00626B6D">
        <w:rPr>
          <w:rFonts w:asciiTheme="minorHAnsi" w:hAnsiTheme="minorHAnsi" w:cstheme="minorHAnsi"/>
          <w:sz w:val="24"/>
        </w:rPr>
        <w:t xml:space="preserve">5.2 </w:t>
      </w:r>
      <w:r w:rsidR="008F21E8" w:rsidRPr="00626B6D">
        <w:rPr>
          <w:rFonts w:asciiTheme="minorHAnsi" w:hAnsiTheme="minorHAnsi" w:cstheme="minorHAnsi"/>
          <w:sz w:val="24"/>
        </w:rPr>
        <w:t>–</w:t>
      </w:r>
      <w:r w:rsidRPr="00626B6D">
        <w:rPr>
          <w:rFonts w:asciiTheme="minorHAnsi" w:hAnsiTheme="minorHAnsi" w:cstheme="minorHAnsi"/>
          <w:sz w:val="24"/>
        </w:rPr>
        <w:t xml:space="preserve"> </w:t>
      </w:r>
      <w:r w:rsidRPr="00E819ED">
        <w:rPr>
          <w:rFonts w:asciiTheme="minorHAnsi" w:hAnsiTheme="minorHAnsi" w:cstheme="minorHAnsi"/>
          <w:i/>
          <w:sz w:val="24"/>
        </w:rPr>
        <w:t>Zlepšení prostř</w:t>
      </w:r>
      <w:r w:rsidR="008F21E8" w:rsidRPr="00E819ED">
        <w:rPr>
          <w:rFonts w:asciiTheme="minorHAnsi" w:hAnsiTheme="minorHAnsi" w:cstheme="minorHAnsi"/>
          <w:i/>
          <w:sz w:val="24"/>
        </w:rPr>
        <w:t>edí v</w:t>
      </w:r>
      <w:r w:rsidR="006C0225" w:rsidRPr="00E819ED">
        <w:rPr>
          <w:rFonts w:asciiTheme="minorHAnsi" w:hAnsiTheme="minorHAnsi" w:cstheme="minorHAnsi"/>
          <w:i/>
          <w:sz w:val="24"/>
        </w:rPr>
        <w:t xml:space="preserve"> </w:t>
      </w:r>
      <w:r w:rsidR="00A34D3E" w:rsidRPr="00E819ED">
        <w:rPr>
          <w:rFonts w:asciiTheme="minorHAnsi" w:hAnsiTheme="minorHAnsi" w:cstheme="minorHAnsi"/>
          <w:i/>
          <w:sz w:val="24"/>
        </w:rPr>
        <w:t>problémových sídlištích</w:t>
      </w:r>
      <w:r w:rsidR="00A34D3E" w:rsidRPr="00626B6D">
        <w:rPr>
          <w:rFonts w:asciiTheme="minorHAnsi" w:hAnsiTheme="minorHAnsi" w:cstheme="minorHAnsi"/>
          <w:sz w:val="24"/>
        </w:rPr>
        <w:t xml:space="preserve">. </w:t>
      </w:r>
      <w:r w:rsidR="003A234F" w:rsidRPr="00626B6D">
        <w:rPr>
          <w:rFonts w:asciiTheme="minorHAnsi" w:hAnsiTheme="minorHAnsi" w:cstheme="minorHAnsi"/>
          <w:sz w:val="24"/>
        </w:rPr>
        <w:t xml:space="preserve">Do října 2015 </w:t>
      </w:r>
      <w:r w:rsidR="00342081" w:rsidRPr="00626B6D">
        <w:rPr>
          <w:rFonts w:asciiTheme="minorHAnsi" w:hAnsiTheme="minorHAnsi" w:cstheme="minorHAnsi"/>
          <w:sz w:val="24"/>
        </w:rPr>
        <w:t xml:space="preserve">tyto dotace činily </w:t>
      </w:r>
      <w:r w:rsidR="00342081" w:rsidRPr="00626B6D">
        <w:rPr>
          <w:rFonts w:asciiTheme="minorHAnsi" w:hAnsiTheme="minorHAnsi" w:cstheme="minorHAnsi"/>
          <w:b/>
          <w:sz w:val="24"/>
        </w:rPr>
        <w:t>5</w:t>
      </w:r>
      <w:r w:rsidR="00F352BD">
        <w:rPr>
          <w:rFonts w:asciiTheme="minorHAnsi" w:hAnsiTheme="minorHAnsi" w:cstheme="minorHAnsi"/>
          <w:b/>
          <w:sz w:val="24"/>
        </w:rPr>
        <w:t> </w:t>
      </w:r>
      <w:r w:rsidR="00342081" w:rsidRPr="00626B6D">
        <w:rPr>
          <w:rFonts w:asciiTheme="minorHAnsi" w:hAnsiTheme="minorHAnsi" w:cstheme="minorHAnsi"/>
          <w:b/>
          <w:sz w:val="24"/>
        </w:rPr>
        <w:t>453,4</w:t>
      </w:r>
      <w:r w:rsidR="00F352BD">
        <w:rPr>
          <w:rFonts w:asciiTheme="minorHAnsi" w:hAnsiTheme="minorHAnsi" w:cstheme="minorHAnsi"/>
          <w:b/>
          <w:sz w:val="24"/>
        </w:rPr>
        <w:t> </w:t>
      </w:r>
      <w:r w:rsidR="00342081" w:rsidRPr="00626B6D">
        <w:rPr>
          <w:rFonts w:asciiTheme="minorHAnsi" w:hAnsiTheme="minorHAnsi" w:cstheme="minorHAnsi"/>
          <w:b/>
          <w:sz w:val="24"/>
        </w:rPr>
        <w:t>mil.</w:t>
      </w:r>
      <w:r w:rsidR="006C0225">
        <w:rPr>
          <w:rFonts w:asciiTheme="minorHAnsi" w:hAnsiTheme="minorHAnsi" w:cstheme="minorHAnsi"/>
          <w:b/>
          <w:sz w:val="24"/>
        </w:rPr>
        <w:t xml:space="preserve"> </w:t>
      </w:r>
      <w:r w:rsidR="003A234F" w:rsidRPr="00626B6D">
        <w:rPr>
          <w:rFonts w:asciiTheme="minorHAnsi" w:hAnsiTheme="minorHAnsi" w:cstheme="minorHAnsi"/>
          <w:b/>
          <w:sz w:val="24"/>
        </w:rPr>
        <w:t>Kč</w:t>
      </w:r>
      <w:r w:rsidR="00B4403D" w:rsidRPr="00626B6D">
        <w:rPr>
          <w:rFonts w:asciiTheme="minorHAnsi" w:hAnsiTheme="minorHAnsi" w:cstheme="minorHAnsi"/>
          <w:sz w:val="24"/>
        </w:rPr>
        <w:t xml:space="preserve"> včetně prostředků spolufinancování ze státního rozpočtu</w:t>
      </w:r>
      <w:r w:rsidR="003A234F" w:rsidRPr="00626B6D">
        <w:rPr>
          <w:rFonts w:asciiTheme="minorHAnsi" w:hAnsiTheme="minorHAnsi" w:cstheme="minorHAnsi"/>
          <w:sz w:val="24"/>
        </w:rPr>
        <w:t xml:space="preserve">. </w:t>
      </w:r>
      <w:r w:rsidRPr="00626B6D">
        <w:rPr>
          <w:rFonts w:asciiTheme="minorHAnsi" w:hAnsiTheme="minorHAnsi" w:cstheme="minorHAnsi"/>
          <w:iCs/>
          <w:color w:val="000000"/>
          <w:sz w:val="24"/>
          <w:lang w:eastAsia="cs-CZ"/>
        </w:rPr>
        <w:t xml:space="preserve">Pro období 2014 až 2020 je podpora bydlení začleněna </w:t>
      </w:r>
      <w:r w:rsidR="008F21E8" w:rsidRPr="00E819ED">
        <w:rPr>
          <w:rFonts w:asciiTheme="minorHAnsi" w:hAnsiTheme="minorHAnsi" w:cstheme="minorHAnsi"/>
          <w:iCs/>
          <w:color w:val="000000"/>
          <w:sz w:val="24"/>
          <w:lang w:eastAsia="cs-CZ"/>
        </w:rPr>
        <w:t>v</w:t>
      </w:r>
      <w:r w:rsidR="006C0225" w:rsidRPr="00E819ED">
        <w:rPr>
          <w:rFonts w:asciiTheme="minorHAnsi" w:hAnsiTheme="minorHAnsi" w:cstheme="minorHAnsi"/>
          <w:iCs/>
          <w:color w:val="000000"/>
          <w:sz w:val="24"/>
          <w:lang w:eastAsia="cs-CZ"/>
        </w:rPr>
        <w:t xml:space="preserve"> </w:t>
      </w:r>
      <w:r w:rsidRPr="00626B6D">
        <w:rPr>
          <w:rFonts w:asciiTheme="minorHAnsi" w:hAnsiTheme="minorHAnsi" w:cstheme="minorHAnsi"/>
          <w:i/>
          <w:iCs/>
          <w:color w:val="000000"/>
          <w:sz w:val="24"/>
          <w:lang w:eastAsia="cs-CZ"/>
        </w:rPr>
        <w:t>Integrovaném regionálním operačním programu</w:t>
      </w:r>
      <w:r w:rsidRPr="00626B6D">
        <w:rPr>
          <w:rFonts w:asciiTheme="minorHAnsi" w:hAnsiTheme="minorHAnsi" w:cstheme="minorHAnsi"/>
          <w:iCs/>
          <w:color w:val="000000"/>
          <w:sz w:val="24"/>
          <w:lang w:eastAsia="cs-CZ"/>
        </w:rPr>
        <w:t xml:space="preserve"> </w:t>
      </w:r>
      <w:r w:rsidR="0023344E" w:rsidRPr="00626B6D">
        <w:rPr>
          <w:rFonts w:asciiTheme="minorHAnsi" w:hAnsiTheme="minorHAnsi" w:cstheme="minorHAnsi"/>
          <w:iCs/>
          <w:color w:val="000000"/>
          <w:sz w:val="24"/>
          <w:lang w:eastAsia="cs-CZ"/>
        </w:rPr>
        <w:t xml:space="preserve">(dále jen „IROP“) </w:t>
      </w:r>
      <w:r w:rsidRPr="00626B6D">
        <w:rPr>
          <w:rFonts w:asciiTheme="minorHAnsi" w:hAnsiTheme="minorHAnsi" w:cstheme="minorHAnsi"/>
          <w:iCs/>
          <w:color w:val="000000"/>
          <w:sz w:val="24"/>
          <w:lang w:eastAsia="cs-CZ"/>
        </w:rPr>
        <w:t xml:space="preserve">pod specifickými cíli 2.1 </w:t>
      </w:r>
      <w:r w:rsidRPr="00E819ED">
        <w:rPr>
          <w:rFonts w:asciiTheme="minorHAnsi" w:hAnsiTheme="minorHAnsi" w:cstheme="minorHAnsi"/>
          <w:i/>
          <w:iCs/>
          <w:color w:val="000000"/>
          <w:sz w:val="24"/>
          <w:lang w:eastAsia="cs-CZ"/>
        </w:rPr>
        <w:t>Zvýšení kvality</w:t>
      </w:r>
      <w:r w:rsidR="000D07BA" w:rsidRPr="00E819ED">
        <w:rPr>
          <w:rFonts w:asciiTheme="minorHAnsi" w:hAnsiTheme="minorHAnsi" w:cstheme="minorHAnsi"/>
          <w:i/>
          <w:iCs/>
          <w:color w:val="000000"/>
          <w:sz w:val="24"/>
          <w:lang w:eastAsia="cs-CZ"/>
        </w:rPr>
        <w:t xml:space="preserve"> a dostupnosti služeb vedoucí k</w:t>
      </w:r>
      <w:r w:rsidR="00F352BD" w:rsidRPr="00E819ED">
        <w:rPr>
          <w:rFonts w:asciiTheme="minorHAnsi" w:hAnsiTheme="minorHAnsi" w:cstheme="minorHAnsi"/>
          <w:i/>
          <w:iCs/>
          <w:color w:val="000000"/>
          <w:sz w:val="24"/>
          <w:lang w:eastAsia="cs-CZ"/>
        </w:rPr>
        <w:t> </w:t>
      </w:r>
      <w:r w:rsidRPr="00E819ED">
        <w:rPr>
          <w:rFonts w:asciiTheme="minorHAnsi" w:hAnsiTheme="minorHAnsi" w:cstheme="minorHAnsi"/>
          <w:i/>
          <w:iCs/>
          <w:color w:val="000000"/>
          <w:sz w:val="24"/>
          <w:lang w:eastAsia="cs-CZ"/>
        </w:rPr>
        <w:t>sociální inkluzi</w:t>
      </w:r>
      <w:r w:rsidRPr="00626B6D">
        <w:rPr>
          <w:rFonts w:asciiTheme="minorHAnsi" w:hAnsiTheme="minorHAnsi" w:cstheme="minorHAnsi"/>
          <w:iCs/>
          <w:color w:val="000000"/>
          <w:sz w:val="24"/>
          <w:lang w:eastAsia="cs-CZ"/>
        </w:rPr>
        <w:t xml:space="preserve"> a 2.5 </w:t>
      </w:r>
      <w:r w:rsidRPr="00E819ED">
        <w:rPr>
          <w:rFonts w:asciiTheme="minorHAnsi" w:hAnsiTheme="minorHAnsi" w:cstheme="minorHAnsi"/>
          <w:i/>
          <w:iCs/>
          <w:color w:val="000000"/>
          <w:sz w:val="24"/>
          <w:lang w:eastAsia="cs-CZ"/>
        </w:rPr>
        <w:t>Snížení energetické náročnosti v sektoru bydlení</w:t>
      </w:r>
      <w:r w:rsidRPr="00626B6D">
        <w:rPr>
          <w:rFonts w:asciiTheme="minorHAnsi" w:hAnsiTheme="minorHAnsi" w:cstheme="minorHAnsi"/>
          <w:iCs/>
          <w:color w:val="000000"/>
          <w:sz w:val="24"/>
          <w:lang w:eastAsia="cs-CZ"/>
        </w:rPr>
        <w:t>. Do doby ukončení kontroly NKÚ zatím MMR tuto podporu z</w:t>
      </w:r>
      <w:r w:rsidR="006C0225">
        <w:rPr>
          <w:rFonts w:asciiTheme="minorHAnsi" w:hAnsiTheme="minorHAnsi" w:cstheme="minorHAnsi"/>
          <w:iCs/>
          <w:color w:val="000000"/>
          <w:sz w:val="24"/>
          <w:lang w:eastAsia="cs-CZ"/>
        </w:rPr>
        <w:t xml:space="preserve"> </w:t>
      </w:r>
      <w:r w:rsidRPr="00626B6D">
        <w:rPr>
          <w:rFonts w:asciiTheme="minorHAnsi" w:hAnsiTheme="minorHAnsi" w:cstheme="minorHAnsi"/>
          <w:iCs/>
          <w:color w:val="000000"/>
          <w:sz w:val="24"/>
          <w:lang w:eastAsia="cs-CZ"/>
        </w:rPr>
        <w:t>IROP neposkytovalo.</w:t>
      </w:r>
    </w:p>
    <w:p w14:paraId="106C9529" w14:textId="77777777" w:rsidR="00E93AB8" w:rsidRPr="00A01642" w:rsidRDefault="00E93AB8" w:rsidP="004F5D7D">
      <w:pPr>
        <w:rPr>
          <w:rFonts w:asciiTheme="minorHAnsi" w:hAnsiTheme="minorHAnsi" w:cstheme="minorHAnsi"/>
          <w:iCs/>
          <w:color w:val="000000"/>
          <w:sz w:val="24"/>
          <w:szCs w:val="22"/>
          <w:lang w:eastAsia="cs-CZ"/>
        </w:rPr>
      </w:pPr>
    </w:p>
    <w:p w14:paraId="30A2FE3E" w14:textId="75D7A495" w:rsidR="00AE5B44" w:rsidRPr="00A01642" w:rsidRDefault="00B7144D" w:rsidP="00AE5B44">
      <w:pPr>
        <w:pStyle w:val="Odstavecseseznamem"/>
        <w:spacing w:after="0" w:line="240" w:lineRule="auto"/>
        <w:ind w:left="0"/>
        <w:contextualSpacing w:val="0"/>
        <w:jc w:val="both"/>
        <w:rPr>
          <w:rFonts w:asciiTheme="minorHAnsi" w:eastAsia="Times New Roman" w:hAnsiTheme="minorHAnsi" w:cstheme="minorHAnsi"/>
          <w:iCs/>
          <w:sz w:val="24"/>
          <w:szCs w:val="24"/>
        </w:rPr>
      </w:pPr>
      <w:r w:rsidRPr="00626B6D">
        <w:rPr>
          <w:rFonts w:asciiTheme="minorHAnsi" w:eastAsia="Times New Roman" w:hAnsiTheme="minorHAnsi" w:cstheme="minorHAnsi"/>
          <w:b/>
          <w:iCs/>
          <w:sz w:val="24"/>
          <w:szCs w:val="24"/>
        </w:rPr>
        <w:t>2</w:t>
      </w:r>
      <w:r w:rsidRPr="00E819ED">
        <w:rPr>
          <w:rFonts w:asciiTheme="minorHAnsi" w:eastAsia="Times New Roman" w:hAnsiTheme="minorHAnsi" w:cstheme="minorHAnsi"/>
          <w:b/>
          <w:iCs/>
          <w:sz w:val="24"/>
          <w:szCs w:val="24"/>
        </w:rPr>
        <w:t>.</w:t>
      </w:r>
      <w:r w:rsidRPr="00626B6D">
        <w:rPr>
          <w:rFonts w:asciiTheme="minorHAnsi" w:eastAsia="Times New Roman" w:hAnsiTheme="minorHAnsi" w:cstheme="minorHAnsi"/>
          <w:iCs/>
          <w:sz w:val="24"/>
          <w:szCs w:val="24"/>
        </w:rPr>
        <w:t xml:space="preserve"> </w:t>
      </w:r>
      <w:r w:rsidR="00AE5B44" w:rsidRPr="00626B6D">
        <w:rPr>
          <w:rFonts w:asciiTheme="minorHAnsi" w:eastAsia="Times New Roman" w:hAnsiTheme="minorHAnsi" w:cstheme="minorHAnsi"/>
          <w:b/>
          <w:iCs/>
          <w:sz w:val="24"/>
          <w:szCs w:val="24"/>
        </w:rPr>
        <w:t>SFRB je právnick</w:t>
      </w:r>
      <w:r w:rsidR="009F113E">
        <w:rPr>
          <w:rFonts w:asciiTheme="minorHAnsi" w:eastAsia="Times New Roman" w:hAnsiTheme="minorHAnsi" w:cstheme="minorHAnsi"/>
          <w:b/>
          <w:iCs/>
          <w:sz w:val="24"/>
          <w:szCs w:val="24"/>
        </w:rPr>
        <w:t>á</w:t>
      </w:r>
      <w:r w:rsidR="00AE5B44" w:rsidRPr="00626B6D">
        <w:rPr>
          <w:rFonts w:asciiTheme="minorHAnsi" w:eastAsia="Times New Roman" w:hAnsiTheme="minorHAnsi" w:cstheme="minorHAnsi"/>
          <w:b/>
          <w:iCs/>
          <w:sz w:val="24"/>
          <w:szCs w:val="24"/>
        </w:rPr>
        <w:t xml:space="preserve"> osob</w:t>
      </w:r>
      <w:r w:rsidR="009F113E">
        <w:rPr>
          <w:rFonts w:asciiTheme="minorHAnsi" w:eastAsia="Times New Roman" w:hAnsiTheme="minorHAnsi" w:cstheme="minorHAnsi"/>
          <w:b/>
          <w:iCs/>
          <w:sz w:val="24"/>
          <w:szCs w:val="24"/>
        </w:rPr>
        <w:t>a</w:t>
      </w:r>
      <w:r w:rsidR="00AE5B44" w:rsidRPr="00626B6D">
        <w:rPr>
          <w:rFonts w:asciiTheme="minorHAnsi" w:eastAsia="Times New Roman" w:hAnsiTheme="minorHAnsi" w:cstheme="minorHAnsi"/>
          <w:b/>
          <w:iCs/>
          <w:sz w:val="24"/>
          <w:szCs w:val="24"/>
        </w:rPr>
        <w:t xml:space="preserve"> zřízen</w:t>
      </w:r>
      <w:r w:rsidR="009F113E">
        <w:rPr>
          <w:rFonts w:asciiTheme="minorHAnsi" w:eastAsia="Times New Roman" w:hAnsiTheme="minorHAnsi" w:cstheme="minorHAnsi"/>
          <w:b/>
          <w:iCs/>
          <w:sz w:val="24"/>
          <w:szCs w:val="24"/>
        </w:rPr>
        <w:t>á</w:t>
      </w:r>
      <w:r w:rsidR="00AE5B44" w:rsidRPr="00626B6D">
        <w:rPr>
          <w:rFonts w:asciiTheme="minorHAnsi" w:eastAsia="Times New Roman" w:hAnsiTheme="minorHAnsi" w:cstheme="minorHAnsi"/>
          <w:b/>
          <w:iCs/>
          <w:sz w:val="24"/>
          <w:szCs w:val="24"/>
        </w:rPr>
        <w:t xml:space="preserve"> zákonem č. 211/2000 Sb.</w:t>
      </w:r>
      <w:r w:rsidR="00AE5B44" w:rsidRPr="00626B6D">
        <w:rPr>
          <w:rStyle w:val="Znakapoznpodarou"/>
          <w:rFonts w:asciiTheme="minorHAnsi" w:eastAsia="Times New Roman" w:hAnsiTheme="minorHAnsi" w:cstheme="minorHAnsi"/>
          <w:b/>
          <w:iCs/>
          <w:sz w:val="24"/>
          <w:szCs w:val="24"/>
        </w:rPr>
        <w:footnoteReference w:id="3"/>
      </w:r>
      <w:r w:rsidR="00582D9F" w:rsidRPr="00626B6D">
        <w:rPr>
          <w:rFonts w:asciiTheme="minorHAnsi" w:eastAsia="Times New Roman" w:hAnsiTheme="minorHAnsi" w:cstheme="minorHAnsi"/>
          <w:b/>
          <w:iCs/>
          <w:sz w:val="24"/>
          <w:szCs w:val="24"/>
        </w:rPr>
        <w:t xml:space="preserve"> </w:t>
      </w:r>
      <w:r w:rsidR="009F113E">
        <w:rPr>
          <w:rFonts w:asciiTheme="minorHAnsi" w:eastAsia="Times New Roman" w:hAnsiTheme="minorHAnsi" w:cstheme="minorHAnsi"/>
          <w:b/>
          <w:iCs/>
          <w:sz w:val="24"/>
          <w:szCs w:val="24"/>
        </w:rPr>
        <w:t>a </w:t>
      </w:r>
      <w:r w:rsidR="00582D9F" w:rsidRPr="00626B6D">
        <w:rPr>
          <w:rFonts w:asciiTheme="minorHAnsi" w:eastAsia="Times New Roman" w:hAnsiTheme="minorHAnsi" w:cstheme="minorHAnsi"/>
          <w:b/>
          <w:iCs/>
          <w:sz w:val="24"/>
          <w:szCs w:val="24"/>
        </w:rPr>
        <w:t>jeho úlohou</w:t>
      </w:r>
      <w:r w:rsidR="00AE5B44" w:rsidRPr="00626B6D">
        <w:rPr>
          <w:rFonts w:asciiTheme="minorHAnsi" w:eastAsia="Times New Roman" w:hAnsiTheme="minorHAnsi" w:cstheme="minorHAnsi"/>
          <w:b/>
          <w:iCs/>
          <w:sz w:val="24"/>
          <w:szCs w:val="24"/>
        </w:rPr>
        <w:t xml:space="preserve"> je podporovat rozvoj bydlení v</w:t>
      </w:r>
      <w:r w:rsidR="006C0225">
        <w:rPr>
          <w:rFonts w:asciiTheme="minorHAnsi" w:eastAsia="Times New Roman" w:hAnsiTheme="minorHAnsi" w:cstheme="minorHAnsi"/>
          <w:b/>
          <w:iCs/>
          <w:sz w:val="24"/>
          <w:szCs w:val="24"/>
        </w:rPr>
        <w:t xml:space="preserve"> </w:t>
      </w:r>
      <w:r w:rsidR="00AE5B44" w:rsidRPr="00626B6D">
        <w:rPr>
          <w:rFonts w:asciiTheme="minorHAnsi" w:eastAsia="Times New Roman" w:hAnsiTheme="minorHAnsi" w:cstheme="minorHAnsi"/>
          <w:b/>
          <w:iCs/>
          <w:sz w:val="24"/>
          <w:szCs w:val="24"/>
        </w:rPr>
        <w:t>ČR</w:t>
      </w:r>
      <w:r w:rsidR="00AE5B44" w:rsidRPr="00626B6D">
        <w:rPr>
          <w:rFonts w:asciiTheme="minorHAnsi" w:eastAsia="Times New Roman" w:hAnsiTheme="minorHAnsi" w:cstheme="minorHAnsi"/>
          <w:iCs/>
          <w:sz w:val="24"/>
          <w:szCs w:val="24"/>
        </w:rPr>
        <w:t xml:space="preserve"> v</w:t>
      </w:r>
      <w:r w:rsidR="006C0225">
        <w:rPr>
          <w:rFonts w:asciiTheme="minorHAnsi" w:eastAsia="Times New Roman" w:hAnsiTheme="minorHAnsi" w:cstheme="minorHAnsi"/>
          <w:iCs/>
          <w:sz w:val="24"/>
          <w:szCs w:val="24"/>
        </w:rPr>
        <w:t xml:space="preserve"> </w:t>
      </w:r>
      <w:r w:rsidR="00AE5B44" w:rsidRPr="00626B6D">
        <w:rPr>
          <w:rFonts w:asciiTheme="minorHAnsi" w:eastAsia="Times New Roman" w:hAnsiTheme="minorHAnsi" w:cstheme="minorHAnsi"/>
          <w:iCs/>
          <w:sz w:val="24"/>
          <w:szCs w:val="24"/>
        </w:rPr>
        <w:t>souladu s</w:t>
      </w:r>
      <w:r w:rsidR="006C0225">
        <w:rPr>
          <w:rFonts w:asciiTheme="minorHAnsi" w:eastAsia="Times New Roman" w:hAnsiTheme="minorHAnsi" w:cstheme="minorHAnsi"/>
          <w:iCs/>
          <w:sz w:val="24"/>
          <w:szCs w:val="24"/>
        </w:rPr>
        <w:t xml:space="preserve"> </w:t>
      </w:r>
      <w:r w:rsidR="00AE5B44" w:rsidRPr="00626B6D">
        <w:rPr>
          <w:rFonts w:asciiTheme="minorHAnsi" w:eastAsia="Times New Roman" w:hAnsiTheme="minorHAnsi" w:cstheme="minorHAnsi"/>
          <w:iCs/>
          <w:sz w:val="24"/>
          <w:szCs w:val="24"/>
        </w:rPr>
        <w:t>koncepcí bytové politiky ČR. Orgány SFRB jsou výbor SFRB, dozorčí rada SFRB a ředitel SFRB. Vztah mezi MMR a SFRB je upraven zákonem č.</w:t>
      </w:r>
      <w:r w:rsidR="00E819ED">
        <w:rPr>
          <w:rFonts w:asciiTheme="minorHAnsi" w:eastAsia="Times New Roman" w:hAnsiTheme="minorHAnsi" w:cstheme="minorHAnsi"/>
          <w:iCs/>
          <w:sz w:val="24"/>
          <w:szCs w:val="24"/>
        </w:rPr>
        <w:t> </w:t>
      </w:r>
      <w:r w:rsidR="00AE5B44" w:rsidRPr="00626B6D">
        <w:rPr>
          <w:rFonts w:asciiTheme="minorHAnsi" w:eastAsia="Times New Roman" w:hAnsiTheme="minorHAnsi" w:cstheme="minorHAnsi"/>
          <w:iCs/>
          <w:sz w:val="24"/>
          <w:szCs w:val="24"/>
        </w:rPr>
        <w:t>211/2000</w:t>
      </w:r>
      <w:r w:rsidR="0051464E">
        <w:rPr>
          <w:rFonts w:asciiTheme="minorHAnsi" w:eastAsia="Times New Roman" w:hAnsiTheme="minorHAnsi" w:cstheme="minorHAnsi"/>
          <w:iCs/>
          <w:sz w:val="24"/>
          <w:szCs w:val="24"/>
        </w:rPr>
        <w:t> </w:t>
      </w:r>
      <w:r w:rsidR="00AE5B44" w:rsidRPr="00626B6D">
        <w:rPr>
          <w:rFonts w:asciiTheme="minorHAnsi" w:eastAsia="Times New Roman" w:hAnsiTheme="minorHAnsi" w:cstheme="minorHAnsi"/>
          <w:iCs/>
          <w:sz w:val="24"/>
          <w:szCs w:val="24"/>
        </w:rPr>
        <w:t>Sb., podle kterého je ministr pro místní rozvoj předsedou výboru SFRB a jmenuje ředitele SFRB. Kontrola činnosti a</w:t>
      </w:r>
      <w:r w:rsidR="006C0225">
        <w:rPr>
          <w:rFonts w:asciiTheme="minorHAnsi" w:eastAsia="Times New Roman" w:hAnsiTheme="minorHAnsi" w:cstheme="minorHAnsi"/>
          <w:iCs/>
          <w:sz w:val="24"/>
          <w:szCs w:val="24"/>
        </w:rPr>
        <w:t xml:space="preserve"> </w:t>
      </w:r>
      <w:r w:rsidR="00AE5B44" w:rsidRPr="00626B6D">
        <w:rPr>
          <w:rFonts w:asciiTheme="minorHAnsi" w:eastAsia="Times New Roman" w:hAnsiTheme="minorHAnsi" w:cstheme="minorHAnsi"/>
          <w:iCs/>
          <w:sz w:val="24"/>
          <w:szCs w:val="24"/>
        </w:rPr>
        <w:t>hospodaření SFRB je v</w:t>
      </w:r>
      <w:r w:rsidR="006C0225">
        <w:rPr>
          <w:rFonts w:asciiTheme="minorHAnsi" w:eastAsia="Times New Roman" w:hAnsiTheme="minorHAnsi" w:cstheme="minorHAnsi"/>
          <w:iCs/>
          <w:sz w:val="24"/>
          <w:szCs w:val="24"/>
        </w:rPr>
        <w:t xml:space="preserve"> </w:t>
      </w:r>
      <w:r w:rsidR="00AE5B44" w:rsidRPr="00626B6D">
        <w:rPr>
          <w:rFonts w:asciiTheme="minorHAnsi" w:eastAsia="Times New Roman" w:hAnsiTheme="minorHAnsi" w:cstheme="minorHAnsi"/>
          <w:iCs/>
          <w:sz w:val="24"/>
          <w:szCs w:val="24"/>
        </w:rPr>
        <w:t xml:space="preserve">působnosti dozorčí rady SFRB, jejíž </w:t>
      </w:r>
      <w:r w:rsidR="00AE5B44" w:rsidRPr="00626B6D">
        <w:rPr>
          <w:rFonts w:asciiTheme="minorHAnsi" w:eastAsia="Times New Roman" w:hAnsiTheme="minorHAnsi" w:cstheme="minorHAnsi"/>
          <w:iCs/>
          <w:sz w:val="24"/>
          <w:szCs w:val="24"/>
        </w:rPr>
        <w:lastRenderedPageBreak/>
        <w:t>členy jmenuje Poslanecká sněmovna Parlamentu České republiky. Podrobnosti o činnosti SF</w:t>
      </w:r>
      <w:r w:rsidR="008F21E8" w:rsidRPr="00626B6D">
        <w:rPr>
          <w:rFonts w:asciiTheme="minorHAnsi" w:eastAsia="Times New Roman" w:hAnsiTheme="minorHAnsi" w:cstheme="minorHAnsi"/>
          <w:iCs/>
          <w:sz w:val="24"/>
          <w:szCs w:val="24"/>
        </w:rPr>
        <w:t>RB, vztazích mezi jeho orgány a</w:t>
      </w:r>
      <w:r w:rsidR="006C0225">
        <w:rPr>
          <w:rFonts w:asciiTheme="minorHAnsi" w:eastAsia="Times New Roman" w:hAnsiTheme="minorHAnsi" w:cstheme="minorHAnsi"/>
          <w:iCs/>
          <w:sz w:val="24"/>
          <w:szCs w:val="24"/>
        </w:rPr>
        <w:t xml:space="preserve"> </w:t>
      </w:r>
      <w:r w:rsidR="00AE5B44" w:rsidRPr="00626B6D">
        <w:rPr>
          <w:rFonts w:asciiTheme="minorHAnsi" w:eastAsia="Times New Roman" w:hAnsiTheme="minorHAnsi" w:cstheme="minorHAnsi"/>
          <w:iCs/>
          <w:sz w:val="24"/>
          <w:szCs w:val="24"/>
        </w:rPr>
        <w:t xml:space="preserve">jeho vnitřní organizaci stanoví </w:t>
      </w:r>
      <w:r w:rsidR="007654CE" w:rsidRPr="00626B6D">
        <w:rPr>
          <w:rFonts w:asciiTheme="minorHAnsi" w:eastAsia="Times New Roman" w:hAnsiTheme="minorHAnsi" w:cstheme="minorHAnsi"/>
          <w:iCs/>
          <w:sz w:val="24"/>
          <w:szCs w:val="24"/>
        </w:rPr>
        <w:t xml:space="preserve">jeho </w:t>
      </w:r>
      <w:r w:rsidR="00AE5B44" w:rsidRPr="00A01642">
        <w:rPr>
          <w:rFonts w:asciiTheme="minorHAnsi" w:eastAsia="Times New Roman" w:hAnsiTheme="minorHAnsi" w:cstheme="minorHAnsi"/>
          <w:iCs/>
          <w:sz w:val="24"/>
          <w:szCs w:val="24"/>
        </w:rPr>
        <w:t>statut</w:t>
      </w:r>
      <w:r w:rsidR="007654CE" w:rsidRPr="00A01642">
        <w:rPr>
          <w:rFonts w:asciiTheme="minorHAnsi" w:eastAsia="Times New Roman" w:hAnsiTheme="minorHAnsi" w:cstheme="minorHAnsi"/>
          <w:iCs/>
          <w:sz w:val="24"/>
          <w:szCs w:val="24"/>
        </w:rPr>
        <w:t>.</w:t>
      </w:r>
      <w:r w:rsidR="00AE5B44" w:rsidRPr="00A01642">
        <w:rPr>
          <w:rFonts w:asciiTheme="minorHAnsi" w:eastAsia="Times New Roman" w:hAnsiTheme="minorHAnsi" w:cstheme="minorHAnsi"/>
          <w:iCs/>
          <w:sz w:val="24"/>
          <w:szCs w:val="24"/>
        </w:rPr>
        <w:t xml:space="preserve"> SFRB hospodaří na základě vlastního rozpočtu, který je pro příslušný rok předkládán vládě ČR a schvalován Poslaneckou sněmovnou Parlamentu Č</w:t>
      </w:r>
      <w:r w:rsidR="00342081" w:rsidRPr="00A01642">
        <w:rPr>
          <w:rFonts w:asciiTheme="minorHAnsi" w:eastAsia="Times New Roman" w:hAnsiTheme="minorHAnsi" w:cstheme="minorHAnsi"/>
          <w:iCs/>
          <w:sz w:val="24"/>
          <w:szCs w:val="24"/>
        </w:rPr>
        <w:t>eské republiky</w:t>
      </w:r>
      <w:r w:rsidR="00AE5B44" w:rsidRPr="00A01642">
        <w:rPr>
          <w:rFonts w:asciiTheme="minorHAnsi" w:eastAsia="Times New Roman" w:hAnsiTheme="minorHAnsi" w:cstheme="minorHAnsi"/>
          <w:iCs/>
          <w:sz w:val="24"/>
          <w:szCs w:val="24"/>
        </w:rPr>
        <w:t xml:space="preserve">. </w:t>
      </w:r>
      <w:r w:rsidR="00BD47F5" w:rsidRPr="00A01642">
        <w:rPr>
          <w:rFonts w:asciiTheme="minorHAnsi" w:eastAsia="Times New Roman" w:hAnsiTheme="minorHAnsi" w:cstheme="minorHAnsi"/>
          <w:iCs/>
          <w:sz w:val="24"/>
          <w:szCs w:val="24"/>
        </w:rPr>
        <w:t>Pravidla podpory bydlení, kterou poskytoval SFRB ze státních prostředků</w:t>
      </w:r>
      <w:r w:rsidR="00342081" w:rsidRPr="00A01642">
        <w:rPr>
          <w:rFonts w:asciiTheme="minorHAnsi" w:eastAsia="Times New Roman" w:hAnsiTheme="minorHAnsi" w:cstheme="minorHAnsi"/>
          <w:iCs/>
          <w:sz w:val="24"/>
          <w:szCs w:val="24"/>
        </w:rPr>
        <w:t>,</w:t>
      </w:r>
      <w:r w:rsidR="00BD47F5" w:rsidRPr="00A01642">
        <w:rPr>
          <w:rFonts w:asciiTheme="minorHAnsi" w:eastAsia="Times New Roman" w:hAnsiTheme="minorHAnsi" w:cstheme="minorHAnsi"/>
          <w:iCs/>
          <w:sz w:val="24"/>
          <w:szCs w:val="24"/>
        </w:rPr>
        <w:t xml:space="preserve"> byla </w:t>
      </w:r>
      <w:r w:rsidR="00342081" w:rsidRPr="00A01642">
        <w:rPr>
          <w:rFonts w:asciiTheme="minorHAnsi" w:eastAsia="Times New Roman" w:hAnsiTheme="minorHAnsi" w:cstheme="minorHAnsi"/>
          <w:iCs/>
          <w:sz w:val="24"/>
          <w:szCs w:val="24"/>
        </w:rPr>
        <w:t xml:space="preserve">stanovena nařízeními vlády ČR. </w:t>
      </w:r>
      <w:r w:rsidR="00093BF0" w:rsidRPr="00A01642">
        <w:rPr>
          <w:rFonts w:asciiTheme="minorHAnsi" w:eastAsia="Times New Roman" w:hAnsiTheme="minorHAnsi" w:cstheme="minorHAnsi"/>
          <w:iCs/>
          <w:sz w:val="24"/>
          <w:szCs w:val="24"/>
        </w:rPr>
        <w:t>SFRB byl</w:t>
      </w:r>
      <w:r w:rsidR="00BD47F5" w:rsidRPr="00A01642">
        <w:rPr>
          <w:rFonts w:asciiTheme="minorHAnsi" w:eastAsia="Times New Roman" w:hAnsiTheme="minorHAnsi" w:cstheme="minorHAnsi"/>
          <w:iCs/>
          <w:sz w:val="24"/>
          <w:szCs w:val="24"/>
        </w:rPr>
        <w:t xml:space="preserve"> </w:t>
      </w:r>
      <w:r w:rsidR="00FE5C23" w:rsidRPr="00A01642">
        <w:rPr>
          <w:rFonts w:asciiTheme="minorHAnsi" w:eastAsia="Times New Roman" w:hAnsiTheme="minorHAnsi" w:cstheme="minorHAnsi"/>
          <w:iCs/>
          <w:sz w:val="24"/>
          <w:szCs w:val="24"/>
        </w:rPr>
        <w:t xml:space="preserve">také </w:t>
      </w:r>
      <w:r w:rsidR="00BD47F5" w:rsidRPr="00A01642">
        <w:rPr>
          <w:rFonts w:asciiTheme="minorHAnsi" w:eastAsia="Times New Roman" w:hAnsiTheme="minorHAnsi" w:cstheme="minorHAnsi"/>
          <w:iCs/>
          <w:sz w:val="24"/>
          <w:szCs w:val="24"/>
        </w:rPr>
        <w:t xml:space="preserve">příjemcem podpory </w:t>
      </w:r>
      <w:r w:rsidR="00A024DD" w:rsidRPr="00A01642">
        <w:rPr>
          <w:rFonts w:asciiTheme="minorHAnsi" w:eastAsia="Times New Roman" w:hAnsiTheme="minorHAnsi" w:cstheme="minorHAnsi"/>
          <w:iCs/>
          <w:sz w:val="24"/>
          <w:szCs w:val="24"/>
        </w:rPr>
        <w:t>z</w:t>
      </w:r>
      <w:r w:rsidR="006C0225" w:rsidRPr="00A01642">
        <w:rPr>
          <w:rFonts w:asciiTheme="minorHAnsi" w:eastAsia="Times New Roman" w:hAnsiTheme="minorHAnsi" w:cstheme="minorHAnsi"/>
          <w:iCs/>
          <w:sz w:val="24"/>
          <w:szCs w:val="24"/>
        </w:rPr>
        <w:t xml:space="preserve"> </w:t>
      </w:r>
      <w:r w:rsidR="00A024DD" w:rsidRPr="00A01642">
        <w:rPr>
          <w:rFonts w:asciiTheme="minorHAnsi" w:eastAsia="Times New Roman" w:hAnsiTheme="minorHAnsi" w:cstheme="minorHAnsi"/>
          <w:iCs/>
          <w:sz w:val="24"/>
          <w:szCs w:val="24"/>
        </w:rPr>
        <w:t xml:space="preserve">IOP </w:t>
      </w:r>
      <w:r w:rsidR="00093BF0" w:rsidRPr="00A01642">
        <w:rPr>
          <w:rFonts w:asciiTheme="minorHAnsi" w:eastAsia="Times New Roman" w:hAnsiTheme="minorHAnsi" w:cstheme="minorHAnsi"/>
          <w:iCs/>
          <w:sz w:val="24"/>
          <w:szCs w:val="24"/>
        </w:rPr>
        <w:t xml:space="preserve">u </w:t>
      </w:r>
      <w:r w:rsidR="00A024DD" w:rsidRPr="00A01642">
        <w:rPr>
          <w:rFonts w:asciiTheme="minorHAnsi" w:eastAsia="Times New Roman" w:hAnsiTheme="minorHAnsi" w:cstheme="minorHAnsi"/>
          <w:iCs/>
          <w:sz w:val="24"/>
          <w:szCs w:val="24"/>
        </w:rPr>
        <w:t>projekt</w:t>
      </w:r>
      <w:r w:rsidR="00093BF0" w:rsidRPr="00A01642">
        <w:rPr>
          <w:rFonts w:asciiTheme="minorHAnsi" w:eastAsia="Times New Roman" w:hAnsiTheme="minorHAnsi" w:cstheme="minorHAnsi"/>
          <w:iCs/>
          <w:sz w:val="24"/>
          <w:szCs w:val="24"/>
        </w:rPr>
        <w:t>u</w:t>
      </w:r>
      <w:r w:rsidR="00A024DD" w:rsidRPr="00A01642">
        <w:rPr>
          <w:rFonts w:asciiTheme="minorHAnsi" w:eastAsia="Times New Roman" w:hAnsiTheme="minorHAnsi" w:cstheme="minorHAnsi"/>
          <w:iCs/>
          <w:sz w:val="24"/>
          <w:szCs w:val="24"/>
        </w:rPr>
        <w:t xml:space="preserve"> </w:t>
      </w:r>
      <w:r w:rsidR="00A024DD" w:rsidRPr="00A01642">
        <w:rPr>
          <w:rFonts w:cstheme="minorHAnsi"/>
          <w:i/>
          <w:sz w:val="24"/>
          <w:szCs w:val="24"/>
        </w:rPr>
        <w:t>Realizace finančního nástroje JESSICA v</w:t>
      </w:r>
      <w:r w:rsidR="006C0225" w:rsidRPr="00A01642">
        <w:rPr>
          <w:rFonts w:cstheme="minorHAnsi"/>
          <w:i/>
          <w:sz w:val="24"/>
          <w:szCs w:val="24"/>
        </w:rPr>
        <w:t xml:space="preserve"> </w:t>
      </w:r>
      <w:r w:rsidR="00A024DD" w:rsidRPr="00A01642">
        <w:rPr>
          <w:rFonts w:cstheme="minorHAnsi"/>
          <w:i/>
          <w:sz w:val="24"/>
          <w:szCs w:val="24"/>
        </w:rPr>
        <w:t xml:space="preserve">IOP. </w:t>
      </w:r>
      <w:r w:rsidR="00A024DD" w:rsidRPr="00A01642">
        <w:rPr>
          <w:rFonts w:cstheme="minorHAnsi"/>
          <w:sz w:val="24"/>
          <w:szCs w:val="24"/>
        </w:rPr>
        <w:t>SFRB</w:t>
      </w:r>
      <w:r w:rsidR="005366AB" w:rsidRPr="00A01642">
        <w:rPr>
          <w:rFonts w:cstheme="minorHAnsi"/>
          <w:sz w:val="24"/>
          <w:szCs w:val="24"/>
        </w:rPr>
        <w:t xml:space="preserve"> v</w:t>
      </w:r>
      <w:r w:rsidR="0051464E">
        <w:rPr>
          <w:rFonts w:cstheme="minorHAnsi"/>
          <w:sz w:val="24"/>
          <w:szCs w:val="24"/>
        </w:rPr>
        <w:t> </w:t>
      </w:r>
      <w:r w:rsidR="005366AB" w:rsidRPr="00A01642">
        <w:rPr>
          <w:rFonts w:cstheme="minorHAnsi"/>
          <w:sz w:val="24"/>
          <w:szCs w:val="24"/>
        </w:rPr>
        <w:t>rámci tohoto projektu získal</w:t>
      </w:r>
      <w:r w:rsidR="00A024DD" w:rsidRPr="00A01642">
        <w:rPr>
          <w:rFonts w:cstheme="minorHAnsi"/>
          <w:sz w:val="24"/>
          <w:szCs w:val="24"/>
        </w:rPr>
        <w:t xml:space="preserve"> celke</w:t>
      </w:r>
      <w:r w:rsidR="00342081" w:rsidRPr="00A01642">
        <w:rPr>
          <w:rFonts w:cstheme="minorHAnsi"/>
          <w:sz w:val="24"/>
          <w:szCs w:val="24"/>
        </w:rPr>
        <w:t>m 609,9 mil.</w:t>
      </w:r>
      <w:r w:rsidR="006C0225" w:rsidRPr="00A01642">
        <w:rPr>
          <w:rFonts w:cstheme="minorHAnsi"/>
          <w:sz w:val="24"/>
          <w:szCs w:val="24"/>
        </w:rPr>
        <w:t xml:space="preserve"> </w:t>
      </w:r>
      <w:r w:rsidR="00A024DD" w:rsidRPr="00A01642">
        <w:rPr>
          <w:rFonts w:cstheme="minorHAnsi"/>
          <w:sz w:val="24"/>
          <w:szCs w:val="24"/>
        </w:rPr>
        <w:t xml:space="preserve">Kč, </w:t>
      </w:r>
      <w:r w:rsidR="00AD378D">
        <w:rPr>
          <w:rFonts w:cstheme="minorHAnsi"/>
          <w:sz w:val="24"/>
          <w:szCs w:val="24"/>
        </w:rPr>
        <w:t xml:space="preserve">ze </w:t>
      </w:r>
      <w:r w:rsidR="00A024DD" w:rsidRPr="00A01642">
        <w:rPr>
          <w:rFonts w:cstheme="minorHAnsi"/>
          <w:sz w:val="24"/>
          <w:szCs w:val="24"/>
        </w:rPr>
        <w:t xml:space="preserve">kterých prostřednictvím Komerční banky poskytuje úvěry </w:t>
      </w:r>
      <w:r w:rsidR="00093BF0" w:rsidRPr="00A01642">
        <w:rPr>
          <w:rFonts w:cstheme="minorHAnsi"/>
          <w:sz w:val="24"/>
          <w:szCs w:val="24"/>
        </w:rPr>
        <w:t>konečným příjemcům na zlepšení prostředí problémových sídlišť. Splátky z těchto úvěrů včetně získaných úroků může SFRB opětovně použít na podporu bydlení.</w:t>
      </w:r>
      <w:r w:rsidR="00A024DD" w:rsidRPr="00A01642">
        <w:rPr>
          <w:rFonts w:cstheme="minorHAnsi"/>
          <w:sz w:val="24"/>
          <w:szCs w:val="24"/>
        </w:rPr>
        <w:t xml:space="preserve"> </w:t>
      </w:r>
    </w:p>
    <w:p w14:paraId="78005AC6" w14:textId="77777777" w:rsidR="00AE5B44" w:rsidRPr="00A01642" w:rsidRDefault="00AE5B44" w:rsidP="004F5D7D">
      <w:pPr>
        <w:rPr>
          <w:rFonts w:asciiTheme="minorHAnsi" w:hAnsiTheme="minorHAnsi" w:cstheme="minorHAnsi"/>
          <w:sz w:val="24"/>
        </w:rPr>
      </w:pPr>
    </w:p>
    <w:p w14:paraId="40A75E5B" w14:textId="12FBA2B0" w:rsidR="00694B3A" w:rsidRPr="00E819ED" w:rsidRDefault="00694B3A" w:rsidP="00B31DAF">
      <w:pPr>
        <w:tabs>
          <w:tab w:val="right" w:pos="9072"/>
        </w:tabs>
        <w:spacing w:after="40"/>
        <w:ind w:left="1418" w:hanging="1418"/>
        <w:rPr>
          <w:rFonts w:asciiTheme="minorHAnsi" w:hAnsiTheme="minorHAnsi" w:cstheme="minorHAnsi"/>
          <w:b/>
          <w:iCs/>
          <w:color w:val="000000"/>
          <w:sz w:val="24"/>
          <w:lang w:eastAsia="cs-CZ"/>
        </w:rPr>
      </w:pPr>
      <w:r w:rsidRPr="00F352BD">
        <w:rPr>
          <w:rFonts w:asciiTheme="minorHAnsi" w:hAnsiTheme="minorHAnsi" w:cstheme="minorHAnsi"/>
          <w:b/>
          <w:iCs/>
          <w:color w:val="000000"/>
          <w:sz w:val="24"/>
          <w:lang w:eastAsia="cs-CZ"/>
        </w:rPr>
        <w:t xml:space="preserve">Tabulka č. 2 </w:t>
      </w:r>
      <w:r w:rsidR="008F21E8" w:rsidRPr="00F352BD">
        <w:rPr>
          <w:rFonts w:asciiTheme="minorHAnsi" w:hAnsiTheme="minorHAnsi" w:cstheme="minorHAnsi"/>
          <w:b/>
          <w:iCs/>
          <w:color w:val="000000"/>
          <w:sz w:val="24"/>
          <w:lang w:eastAsia="cs-CZ"/>
        </w:rPr>
        <w:t>–</w:t>
      </w:r>
      <w:r w:rsidR="00F352BD">
        <w:rPr>
          <w:rFonts w:asciiTheme="minorHAnsi" w:hAnsiTheme="minorHAnsi" w:cstheme="minorHAnsi"/>
          <w:b/>
          <w:iCs/>
          <w:color w:val="000000"/>
          <w:sz w:val="24"/>
          <w:lang w:eastAsia="cs-CZ"/>
        </w:rPr>
        <w:tab/>
      </w:r>
      <w:r w:rsidRPr="00F352BD">
        <w:rPr>
          <w:rFonts w:asciiTheme="minorHAnsi" w:hAnsiTheme="minorHAnsi" w:cstheme="minorHAnsi"/>
          <w:b/>
          <w:iCs/>
          <w:color w:val="000000"/>
          <w:sz w:val="24"/>
          <w:lang w:eastAsia="cs-CZ"/>
        </w:rPr>
        <w:t xml:space="preserve">Podpora bydlení poskytnutá Státním fondem rozvoje bydlení </w:t>
      </w:r>
      <w:r w:rsidR="00B4403D" w:rsidRPr="00F352BD">
        <w:rPr>
          <w:rFonts w:asciiTheme="minorHAnsi" w:hAnsiTheme="minorHAnsi" w:cstheme="minorHAnsi"/>
          <w:b/>
          <w:iCs/>
          <w:color w:val="000000"/>
          <w:sz w:val="24"/>
          <w:lang w:eastAsia="cs-CZ"/>
        </w:rPr>
        <w:t>od roku</w:t>
      </w:r>
      <w:r w:rsidRPr="00F352BD">
        <w:rPr>
          <w:rFonts w:asciiTheme="minorHAnsi" w:hAnsiTheme="minorHAnsi" w:cstheme="minorHAnsi"/>
          <w:b/>
          <w:iCs/>
          <w:color w:val="000000"/>
          <w:sz w:val="24"/>
          <w:lang w:eastAsia="cs-CZ"/>
        </w:rPr>
        <w:t xml:space="preserve"> 2011 </w:t>
      </w:r>
      <w:r w:rsidR="00B4403D" w:rsidRPr="00F352BD">
        <w:rPr>
          <w:rFonts w:asciiTheme="minorHAnsi" w:hAnsiTheme="minorHAnsi" w:cstheme="minorHAnsi"/>
          <w:b/>
          <w:iCs/>
          <w:color w:val="000000"/>
          <w:sz w:val="24"/>
          <w:lang w:eastAsia="cs-CZ"/>
        </w:rPr>
        <w:t>do září</w:t>
      </w:r>
      <w:r w:rsidRPr="00F352BD">
        <w:rPr>
          <w:rFonts w:asciiTheme="minorHAnsi" w:hAnsiTheme="minorHAnsi" w:cstheme="minorHAnsi"/>
          <w:b/>
          <w:iCs/>
          <w:color w:val="000000"/>
          <w:sz w:val="24"/>
          <w:lang w:eastAsia="cs-CZ"/>
        </w:rPr>
        <w:t xml:space="preserve"> 2015</w:t>
      </w:r>
      <w:r w:rsidR="008F21E8">
        <w:rPr>
          <w:rFonts w:asciiTheme="minorHAnsi" w:hAnsiTheme="minorHAnsi" w:cstheme="minorHAnsi"/>
          <w:iCs/>
          <w:color w:val="000000"/>
          <w:szCs w:val="22"/>
          <w:lang w:eastAsia="cs-CZ"/>
        </w:rPr>
        <w:tab/>
      </w:r>
      <w:r w:rsidR="00F352BD" w:rsidRPr="00E819ED">
        <w:rPr>
          <w:rFonts w:asciiTheme="minorHAnsi" w:hAnsiTheme="minorHAnsi" w:cstheme="minorHAnsi"/>
          <w:b/>
          <w:iCs/>
          <w:color w:val="000000"/>
          <w:sz w:val="24"/>
          <w:lang w:eastAsia="cs-CZ"/>
        </w:rPr>
        <w:t>(</w:t>
      </w:r>
      <w:r w:rsidRPr="00E819ED">
        <w:rPr>
          <w:rFonts w:asciiTheme="minorHAnsi" w:hAnsiTheme="minorHAnsi" w:cstheme="minorHAnsi"/>
          <w:b/>
          <w:iCs/>
          <w:color w:val="000000"/>
          <w:sz w:val="24"/>
          <w:lang w:eastAsia="cs-CZ"/>
        </w:rPr>
        <w:t>v</w:t>
      </w:r>
      <w:r w:rsidR="006C0225" w:rsidRPr="00E819ED">
        <w:rPr>
          <w:rFonts w:asciiTheme="minorHAnsi" w:hAnsiTheme="minorHAnsi" w:cstheme="minorHAnsi"/>
          <w:b/>
          <w:iCs/>
          <w:color w:val="000000"/>
          <w:sz w:val="24"/>
          <w:lang w:eastAsia="cs-CZ"/>
        </w:rPr>
        <w:t xml:space="preserve"> </w:t>
      </w:r>
      <w:r w:rsidRPr="00E819ED">
        <w:rPr>
          <w:rFonts w:asciiTheme="minorHAnsi" w:hAnsiTheme="minorHAnsi" w:cstheme="minorHAnsi"/>
          <w:b/>
          <w:iCs/>
          <w:color w:val="000000"/>
          <w:sz w:val="24"/>
          <w:lang w:eastAsia="cs-CZ"/>
        </w:rPr>
        <w:t>mil. Kč</w:t>
      </w:r>
      <w:r w:rsidR="00F352BD" w:rsidRPr="00E819ED">
        <w:rPr>
          <w:rFonts w:asciiTheme="minorHAnsi" w:hAnsiTheme="minorHAnsi" w:cstheme="minorHAnsi"/>
          <w:b/>
          <w:iCs/>
          <w:color w:val="000000"/>
          <w:sz w:val="24"/>
          <w:lang w:eastAsia="cs-CZ"/>
        </w:rPr>
        <w:t>)</w:t>
      </w:r>
    </w:p>
    <w:tbl>
      <w:tblPr>
        <w:tblStyle w:val="Mkatabulky"/>
        <w:tblW w:w="4884" w:type="pct"/>
        <w:tblInd w:w="108" w:type="dxa"/>
        <w:shd w:val="clear" w:color="auto" w:fill="FFFFFF" w:themeFill="background1"/>
        <w:tblLook w:val="04A0" w:firstRow="1" w:lastRow="0" w:firstColumn="1" w:lastColumn="0" w:noHBand="0" w:noVBand="1"/>
      </w:tblPr>
      <w:tblGrid>
        <w:gridCol w:w="4536"/>
        <w:gridCol w:w="4537"/>
      </w:tblGrid>
      <w:tr w:rsidR="00694B3A" w:rsidRPr="00A01642" w14:paraId="6F7466CD" w14:textId="77777777" w:rsidTr="00A01642">
        <w:trPr>
          <w:trHeight w:val="227"/>
        </w:trPr>
        <w:tc>
          <w:tcPr>
            <w:tcW w:w="2500" w:type="pct"/>
            <w:shd w:val="clear" w:color="auto" w:fill="FFFFFF" w:themeFill="background1"/>
            <w:vAlign w:val="center"/>
          </w:tcPr>
          <w:p w14:paraId="6FDBAFC8" w14:textId="77777777" w:rsidR="00694B3A" w:rsidRPr="00A01642" w:rsidRDefault="006A3E5C" w:rsidP="00A01642">
            <w:pPr>
              <w:shd w:val="clear" w:color="auto" w:fill="FFFFFF" w:themeFill="background1"/>
              <w:jc w:val="left"/>
              <w:rPr>
                <w:rFonts w:asciiTheme="minorHAnsi" w:hAnsiTheme="minorHAnsi" w:cstheme="minorHAnsi"/>
                <w:sz w:val="20"/>
                <w:szCs w:val="20"/>
              </w:rPr>
            </w:pPr>
            <w:r w:rsidRPr="00A01642">
              <w:rPr>
                <w:rFonts w:asciiTheme="minorHAnsi" w:hAnsiTheme="minorHAnsi" w:cstheme="minorHAnsi"/>
                <w:sz w:val="20"/>
                <w:szCs w:val="20"/>
              </w:rPr>
              <w:t xml:space="preserve">Dotace </w:t>
            </w:r>
          </w:p>
        </w:tc>
        <w:tc>
          <w:tcPr>
            <w:tcW w:w="2500" w:type="pct"/>
            <w:shd w:val="clear" w:color="auto" w:fill="FFFFFF" w:themeFill="background1"/>
            <w:vAlign w:val="center"/>
          </w:tcPr>
          <w:p w14:paraId="59F38CFB" w14:textId="0893C9AE" w:rsidR="00694B3A" w:rsidRPr="00A01642" w:rsidRDefault="00C6201B" w:rsidP="00A01642">
            <w:pPr>
              <w:ind w:right="1877"/>
              <w:jc w:val="right"/>
              <w:rPr>
                <w:rFonts w:asciiTheme="minorHAnsi" w:hAnsiTheme="minorHAnsi" w:cstheme="minorHAnsi"/>
                <w:sz w:val="20"/>
                <w:szCs w:val="20"/>
              </w:rPr>
            </w:pPr>
            <w:r w:rsidRPr="00A01642">
              <w:rPr>
                <w:rFonts w:asciiTheme="minorHAnsi" w:hAnsiTheme="minorHAnsi" w:cstheme="minorHAnsi"/>
                <w:sz w:val="20"/>
                <w:szCs w:val="20"/>
              </w:rPr>
              <w:t>4</w:t>
            </w:r>
            <w:r w:rsidR="006C0225" w:rsidRPr="00A01642">
              <w:rPr>
                <w:rFonts w:asciiTheme="minorHAnsi" w:hAnsiTheme="minorHAnsi" w:cstheme="minorHAnsi"/>
                <w:sz w:val="20"/>
                <w:szCs w:val="20"/>
              </w:rPr>
              <w:t xml:space="preserve"> </w:t>
            </w:r>
            <w:r w:rsidRPr="00A01642">
              <w:rPr>
                <w:rFonts w:asciiTheme="minorHAnsi" w:hAnsiTheme="minorHAnsi" w:cstheme="minorHAnsi"/>
                <w:sz w:val="20"/>
                <w:szCs w:val="20"/>
              </w:rPr>
              <w:t>484,33</w:t>
            </w:r>
          </w:p>
        </w:tc>
      </w:tr>
      <w:tr w:rsidR="00694B3A" w:rsidRPr="00A01642" w14:paraId="00F9FFFE" w14:textId="77777777" w:rsidTr="00A01642">
        <w:trPr>
          <w:trHeight w:val="227"/>
        </w:trPr>
        <w:tc>
          <w:tcPr>
            <w:tcW w:w="2500" w:type="pct"/>
            <w:shd w:val="clear" w:color="auto" w:fill="FFFFFF" w:themeFill="background1"/>
            <w:vAlign w:val="center"/>
          </w:tcPr>
          <w:p w14:paraId="5F98BCB5" w14:textId="77777777" w:rsidR="005B36A0" w:rsidRPr="00A01642" w:rsidRDefault="005B36A0" w:rsidP="00A01642">
            <w:pPr>
              <w:shd w:val="clear" w:color="auto" w:fill="FFFFFF" w:themeFill="background1"/>
              <w:jc w:val="left"/>
              <w:rPr>
                <w:rFonts w:asciiTheme="minorHAnsi" w:hAnsiTheme="minorHAnsi" w:cstheme="minorHAnsi"/>
                <w:sz w:val="20"/>
                <w:szCs w:val="20"/>
              </w:rPr>
            </w:pPr>
            <w:r w:rsidRPr="00A01642">
              <w:rPr>
                <w:rFonts w:asciiTheme="minorHAnsi" w:hAnsiTheme="minorHAnsi" w:cstheme="minorHAnsi"/>
                <w:sz w:val="20"/>
                <w:szCs w:val="20"/>
              </w:rPr>
              <w:t>Úvěry</w:t>
            </w:r>
          </w:p>
        </w:tc>
        <w:tc>
          <w:tcPr>
            <w:tcW w:w="2500" w:type="pct"/>
            <w:shd w:val="clear" w:color="auto" w:fill="FFFFFF" w:themeFill="background1"/>
            <w:vAlign w:val="center"/>
          </w:tcPr>
          <w:p w14:paraId="018C5DE0" w14:textId="083CEE8B" w:rsidR="00694B3A" w:rsidRPr="00A01642" w:rsidRDefault="00D530EF" w:rsidP="00A01642">
            <w:pPr>
              <w:ind w:right="1814"/>
              <w:jc w:val="right"/>
              <w:rPr>
                <w:rFonts w:asciiTheme="minorHAnsi" w:hAnsiTheme="minorHAnsi" w:cstheme="minorHAnsi"/>
                <w:sz w:val="20"/>
                <w:szCs w:val="20"/>
              </w:rPr>
            </w:pPr>
            <w:r w:rsidRPr="00A01642">
              <w:rPr>
                <w:rFonts w:asciiTheme="minorHAnsi" w:hAnsiTheme="minorHAnsi" w:cstheme="minorHAnsi"/>
                <w:sz w:val="20"/>
                <w:szCs w:val="20"/>
              </w:rPr>
              <w:t>1</w:t>
            </w:r>
            <w:r w:rsidR="006C0225" w:rsidRPr="00A01642">
              <w:rPr>
                <w:rFonts w:asciiTheme="minorHAnsi" w:hAnsiTheme="minorHAnsi" w:cstheme="minorHAnsi"/>
                <w:sz w:val="20"/>
                <w:szCs w:val="20"/>
              </w:rPr>
              <w:t xml:space="preserve"> </w:t>
            </w:r>
            <w:r w:rsidRPr="00A01642">
              <w:rPr>
                <w:rFonts w:asciiTheme="minorHAnsi" w:hAnsiTheme="minorHAnsi" w:cstheme="minorHAnsi"/>
                <w:sz w:val="20"/>
                <w:szCs w:val="20"/>
              </w:rPr>
              <w:t>954,60</w:t>
            </w:r>
            <w:r w:rsidRPr="00A01642">
              <w:rPr>
                <w:rStyle w:val="Znakapoznpodarou"/>
                <w:rFonts w:asciiTheme="minorHAnsi" w:hAnsiTheme="minorHAnsi" w:cstheme="minorHAnsi"/>
                <w:sz w:val="20"/>
                <w:szCs w:val="20"/>
              </w:rPr>
              <w:footnoteReference w:id="4"/>
            </w:r>
          </w:p>
        </w:tc>
      </w:tr>
      <w:tr w:rsidR="00E5106A" w:rsidRPr="00A01642" w14:paraId="7823007D" w14:textId="77777777" w:rsidTr="00A01642">
        <w:trPr>
          <w:trHeight w:val="227"/>
        </w:trPr>
        <w:tc>
          <w:tcPr>
            <w:tcW w:w="2500" w:type="pct"/>
            <w:shd w:val="clear" w:color="auto" w:fill="FFFFFF" w:themeFill="background1"/>
            <w:vAlign w:val="center"/>
          </w:tcPr>
          <w:p w14:paraId="11DE6DCC" w14:textId="4280B920" w:rsidR="00E5106A" w:rsidRPr="00A01642" w:rsidRDefault="00F352BD" w:rsidP="00A01642">
            <w:pPr>
              <w:shd w:val="clear" w:color="auto" w:fill="FFFFFF" w:themeFill="background1"/>
              <w:jc w:val="left"/>
              <w:rPr>
                <w:rFonts w:asciiTheme="minorHAnsi" w:hAnsiTheme="minorHAnsi" w:cstheme="minorHAnsi"/>
                <w:sz w:val="20"/>
                <w:szCs w:val="20"/>
              </w:rPr>
            </w:pPr>
            <w:r w:rsidRPr="00A01642">
              <w:rPr>
                <w:rFonts w:asciiTheme="minorHAnsi" w:hAnsiTheme="minorHAnsi" w:cstheme="minorHAnsi"/>
                <w:sz w:val="20"/>
                <w:szCs w:val="20"/>
              </w:rPr>
              <w:t>C</w:t>
            </w:r>
            <w:r w:rsidR="00E5106A" w:rsidRPr="00A01642">
              <w:rPr>
                <w:rFonts w:asciiTheme="minorHAnsi" w:hAnsiTheme="minorHAnsi" w:cstheme="minorHAnsi"/>
                <w:sz w:val="20"/>
                <w:szCs w:val="20"/>
              </w:rPr>
              <w:t xml:space="preserve">elkem </w:t>
            </w:r>
          </w:p>
        </w:tc>
        <w:tc>
          <w:tcPr>
            <w:tcW w:w="2500" w:type="pct"/>
            <w:shd w:val="clear" w:color="auto" w:fill="FFFFFF" w:themeFill="background1"/>
            <w:vAlign w:val="center"/>
          </w:tcPr>
          <w:p w14:paraId="1D26E4C4" w14:textId="7783B947" w:rsidR="00E5106A" w:rsidRPr="00A01642" w:rsidRDefault="00D530EF" w:rsidP="00A01642">
            <w:pPr>
              <w:ind w:right="1877"/>
              <w:jc w:val="right"/>
              <w:rPr>
                <w:rFonts w:asciiTheme="minorHAnsi" w:hAnsiTheme="minorHAnsi" w:cstheme="minorHAnsi"/>
                <w:b/>
                <w:sz w:val="20"/>
                <w:szCs w:val="20"/>
              </w:rPr>
            </w:pPr>
            <w:r w:rsidRPr="00A01642">
              <w:rPr>
                <w:rFonts w:asciiTheme="minorHAnsi" w:hAnsiTheme="minorHAnsi" w:cstheme="minorHAnsi"/>
                <w:b/>
                <w:sz w:val="20"/>
                <w:szCs w:val="20"/>
              </w:rPr>
              <w:t>6</w:t>
            </w:r>
            <w:r w:rsidR="006C0225" w:rsidRPr="00A01642">
              <w:rPr>
                <w:rFonts w:asciiTheme="minorHAnsi" w:hAnsiTheme="minorHAnsi" w:cstheme="minorHAnsi"/>
                <w:b/>
                <w:sz w:val="20"/>
                <w:szCs w:val="20"/>
              </w:rPr>
              <w:t xml:space="preserve"> </w:t>
            </w:r>
            <w:r w:rsidRPr="00A01642">
              <w:rPr>
                <w:rFonts w:asciiTheme="minorHAnsi" w:hAnsiTheme="minorHAnsi" w:cstheme="minorHAnsi"/>
                <w:b/>
                <w:sz w:val="20"/>
                <w:szCs w:val="20"/>
              </w:rPr>
              <w:t>438,93</w:t>
            </w:r>
          </w:p>
        </w:tc>
      </w:tr>
    </w:tbl>
    <w:p w14:paraId="71D6B654" w14:textId="6B67D7F3" w:rsidR="00092768" w:rsidRPr="00626B6D" w:rsidRDefault="00092768" w:rsidP="00A01642">
      <w:pPr>
        <w:spacing w:before="40"/>
        <w:rPr>
          <w:rFonts w:asciiTheme="minorHAnsi" w:hAnsiTheme="minorHAnsi" w:cstheme="minorHAnsi"/>
          <w:b/>
          <w:sz w:val="20"/>
          <w:szCs w:val="20"/>
        </w:rPr>
      </w:pPr>
      <w:r w:rsidRPr="00626B6D">
        <w:rPr>
          <w:rFonts w:asciiTheme="minorHAnsi" w:hAnsiTheme="minorHAnsi" w:cstheme="minorHAnsi"/>
          <w:b/>
          <w:sz w:val="20"/>
          <w:szCs w:val="20"/>
        </w:rPr>
        <w:t xml:space="preserve">Zdroj: </w:t>
      </w:r>
      <w:r w:rsidRPr="00626B6D">
        <w:rPr>
          <w:rFonts w:asciiTheme="minorHAnsi" w:hAnsiTheme="minorHAnsi" w:cstheme="minorHAnsi"/>
          <w:sz w:val="20"/>
          <w:szCs w:val="20"/>
        </w:rPr>
        <w:t>SFRB</w:t>
      </w:r>
      <w:r w:rsidR="00626B6D" w:rsidRPr="00626B6D">
        <w:rPr>
          <w:rFonts w:asciiTheme="minorHAnsi" w:hAnsiTheme="minorHAnsi" w:cstheme="minorHAnsi"/>
          <w:sz w:val="20"/>
          <w:szCs w:val="20"/>
        </w:rPr>
        <w:t>.</w:t>
      </w:r>
    </w:p>
    <w:p w14:paraId="551DA0F0" w14:textId="77777777" w:rsidR="00092768" w:rsidRDefault="00092768" w:rsidP="0003387D">
      <w:pPr>
        <w:jc w:val="center"/>
        <w:rPr>
          <w:rFonts w:asciiTheme="minorHAnsi" w:hAnsiTheme="minorHAnsi" w:cstheme="minorHAnsi"/>
          <w:b/>
          <w:szCs w:val="22"/>
        </w:rPr>
      </w:pPr>
    </w:p>
    <w:p w14:paraId="6CB3EABB" w14:textId="77777777" w:rsidR="00092768" w:rsidRDefault="00092768" w:rsidP="0003387D">
      <w:pPr>
        <w:jc w:val="center"/>
        <w:rPr>
          <w:rFonts w:asciiTheme="minorHAnsi" w:hAnsiTheme="minorHAnsi" w:cstheme="minorHAnsi"/>
          <w:b/>
          <w:szCs w:val="22"/>
        </w:rPr>
      </w:pPr>
    </w:p>
    <w:p w14:paraId="4D40F614" w14:textId="07DFF484" w:rsidR="0003387D" w:rsidRPr="00A01642" w:rsidRDefault="0003387D" w:rsidP="00A01642">
      <w:pPr>
        <w:tabs>
          <w:tab w:val="center" w:pos="4536"/>
          <w:tab w:val="left" w:pos="8026"/>
        </w:tabs>
        <w:jc w:val="center"/>
        <w:rPr>
          <w:rFonts w:asciiTheme="minorHAnsi" w:hAnsiTheme="minorHAnsi" w:cstheme="minorHAnsi"/>
          <w:b/>
          <w:sz w:val="28"/>
        </w:rPr>
      </w:pPr>
      <w:r w:rsidRPr="00A01642">
        <w:rPr>
          <w:rFonts w:asciiTheme="minorHAnsi" w:hAnsiTheme="minorHAnsi" w:cstheme="minorHAnsi"/>
          <w:b/>
          <w:sz w:val="28"/>
        </w:rPr>
        <w:t>II. Shrnutí skutečností zjištěných při kontrole</w:t>
      </w:r>
    </w:p>
    <w:p w14:paraId="502D37B4" w14:textId="77777777" w:rsidR="0003387D" w:rsidRPr="00205B34" w:rsidRDefault="0003387D">
      <w:pPr>
        <w:rPr>
          <w:rFonts w:ascii="Calibri" w:hAnsi="Calibri" w:cs="Calibri"/>
          <w:sz w:val="24"/>
        </w:rPr>
      </w:pPr>
    </w:p>
    <w:p w14:paraId="71BED771" w14:textId="55CE5759" w:rsidR="00B8795D" w:rsidRPr="00205B34" w:rsidRDefault="004656E8" w:rsidP="00B8795D">
      <w:pPr>
        <w:pStyle w:val="Odstavecseseznamem"/>
        <w:spacing w:after="0" w:line="240" w:lineRule="auto"/>
        <w:ind w:left="0"/>
        <w:contextualSpacing w:val="0"/>
        <w:jc w:val="both"/>
        <w:rPr>
          <w:rFonts w:eastAsia="Times New Roman" w:cs="Calibri"/>
          <w:b/>
          <w:iCs/>
          <w:sz w:val="24"/>
          <w:szCs w:val="24"/>
        </w:rPr>
      </w:pPr>
      <w:r w:rsidRPr="00205B34">
        <w:rPr>
          <w:rFonts w:cs="Calibri"/>
          <w:b/>
          <w:sz w:val="24"/>
          <w:szCs w:val="24"/>
        </w:rPr>
        <w:t xml:space="preserve">1. </w:t>
      </w:r>
      <w:r w:rsidR="00C62C16" w:rsidRPr="00205B34">
        <w:rPr>
          <w:rFonts w:cs="Calibri"/>
          <w:b/>
          <w:sz w:val="24"/>
          <w:szCs w:val="24"/>
        </w:rPr>
        <w:t xml:space="preserve">MMR má </w:t>
      </w:r>
      <w:r w:rsidR="00B8795D" w:rsidRPr="00205B34">
        <w:rPr>
          <w:rFonts w:cs="Calibri"/>
          <w:b/>
          <w:sz w:val="24"/>
          <w:szCs w:val="24"/>
        </w:rPr>
        <w:t>podle kompetenčního zákona</w:t>
      </w:r>
      <w:r w:rsidR="00B8795D" w:rsidRPr="00205B34">
        <w:rPr>
          <w:rFonts w:cs="Calibri"/>
          <w:b/>
          <w:sz w:val="24"/>
          <w:szCs w:val="24"/>
          <w:vertAlign w:val="superscript"/>
        </w:rPr>
        <w:t>2</w:t>
      </w:r>
      <w:r w:rsidR="00B8795D" w:rsidRPr="00205B34">
        <w:rPr>
          <w:rFonts w:cs="Calibri"/>
          <w:b/>
          <w:sz w:val="24"/>
          <w:szCs w:val="24"/>
        </w:rPr>
        <w:t xml:space="preserve"> </w:t>
      </w:r>
      <w:r w:rsidR="00C62C16" w:rsidRPr="00205B34">
        <w:rPr>
          <w:rFonts w:cs="Calibri"/>
          <w:b/>
          <w:sz w:val="24"/>
          <w:szCs w:val="24"/>
        </w:rPr>
        <w:t>v</w:t>
      </w:r>
      <w:r w:rsidR="006C0225" w:rsidRPr="00205B34">
        <w:rPr>
          <w:rFonts w:cs="Calibri"/>
          <w:b/>
          <w:sz w:val="24"/>
          <w:szCs w:val="24"/>
        </w:rPr>
        <w:t xml:space="preserve"> </w:t>
      </w:r>
      <w:r w:rsidR="00C62C16" w:rsidRPr="00205B34">
        <w:rPr>
          <w:rFonts w:cs="Calibri"/>
          <w:b/>
          <w:sz w:val="24"/>
          <w:szCs w:val="24"/>
        </w:rPr>
        <w:t>oblasti politiky bydlení koordinovat činnosti ministerstev a jiných ústředních orgánů státní správy při zabezpečování politiky</w:t>
      </w:r>
      <w:r w:rsidR="00B8795D" w:rsidRPr="00205B34">
        <w:rPr>
          <w:rFonts w:cs="Calibri"/>
          <w:b/>
          <w:sz w:val="24"/>
          <w:szCs w:val="24"/>
        </w:rPr>
        <w:t xml:space="preserve"> bydlení</w:t>
      </w:r>
      <w:r w:rsidR="00C62C16" w:rsidRPr="00205B34">
        <w:rPr>
          <w:rFonts w:cs="Calibri"/>
          <w:b/>
          <w:sz w:val="24"/>
          <w:szCs w:val="24"/>
        </w:rPr>
        <w:t xml:space="preserve">, </w:t>
      </w:r>
      <w:r w:rsidR="000D07BA" w:rsidRPr="00205B34">
        <w:rPr>
          <w:rFonts w:cs="Calibri"/>
          <w:b/>
          <w:sz w:val="24"/>
          <w:szCs w:val="24"/>
        </w:rPr>
        <w:t>a</w:t>
      </w:r>
      <w:r w:rsidR="00F352BD" w:rsidRPr="00205B34">
        <w:rPr>
          <w:rFonts w:cs="Calibri"/>
          <w:b/>
          <w:sz w:val="24"/>
          <w:szCs w:val="24"/>
        </w:rPr>
        <w:t> </w:t>
      </w:r>
      <w:r w:rsidR="00B8795D" w:rsidRPr="00205B34">
        <w:rPr>
          <w:rFonts w:cs="Calibri"/>
          <w:b/>
          <w:sz w:val="24"/>
          <w:szCs w:val="24"/>
        </w:rPr>
        <w:t xml:space="preserve">to </w:t>
      </w:r>
      <w:r w:rsidR="00C62C16" w:rsidRPr="00205B34">
        <w:rPr>
          <w:rFonts w:cs="Calibri"/>
          <w:b/>
          <w:sz w:val="24"/>
          <w:szCs w:val="24"/>
        </w:rPr>
        <w:t>včetně koordinace financování těchto činností, pokud tyto prostředky přímo nespravuje.</w:t>
      </w:r>
      <w:r w:rsidR="00B8795D" w:rsidRPr="00205B34">
        <w:rPr>
          <w:rFonts w:cs="Calibri"/>
          <w:b/>
          <w:sz w:val="24"/>
          <w:szCs w:val="24"/>
        </w:rPr>
        <w:t xml:space="preserve"> </w:t>
      </w:r>
      <w:r w:rsidR="005366AB" w:rsidRPr="00205B34">
        <w:rPr>
          <w:rFonts w:eastAsia="Times New Roman" w:cs="Calibri"/>
          <w:b/>
          <w:iCs/>
          <w:sz w:val="24"/>
          <w:szCs w:val="24"/>
        </w:rPr>
        <w:t>MMR s</w:t>
      </w:r>
      <w:r w:rsidR="006C0225" w:rsidRPr="00205B34">
        <w:rPr>
          <w:rFonts w:eastAsia="Times New Roman" w:cs="Calibri"/>
          <w:b/>
          <w:iCs/>
          <w:sz w:val="24"/>
          <w:szCs w:val="24"/>
        </w:rPr>
        <w:t xml:space="preserve"> </w:t>
      </w:r>
      <w:r w:rsidR="005366AB" w:rsidRPr="00205B34">
        <w:rPr>
          <w:rFonts w:eastAsia="Times New Roman" w:cs="Calibri"/>
          <w:b/>
          <w:iCs/>
          <w:sz w:val="24"/>
          <w:szCs w:val="24"/>
        </w:rPr>
        <w:t>ministerstvy podporujícími oblast bydlení spolupracovalo, ale nemělo dostatečné nástroje, jak záměry bytové politiky plně prosadit.</w:t>
      </w:r>
    </w:p>
    <w:p w14:paraId="415C0F33" w14:textId="77777777" w:rsidR="00236E29" w:rsidRPr="00205B34" w:rsidRDefault="00236E29" w:rsidP="00B8795D">
      <w:pPr>
        <w:pStyle w:val="Odstavecseseznamem"/>
        <w:spacing w:after="0" w:line="240" w:lineRule="auto"/>
        <w:ind w:left="0"/>
        <w:contextualSpacing w:val="0"/>
        <w:jc w:val="both"/>
        <w:rPr>
          <w:rFonts w:eastAsia="Times New Roman" w:cs="Calibri"/>
          <w:b/>
          <w:iCs/>
          <w:sz w:val="24"/>
          <w:szCs w:val="24"/>
        </w:rPr>
      </w:pPr>
    </w:p>
    <w:p w14:paraId="03BFE8D4" w14:textId="7CD123E4" w:rsidR="007A03A5" w:rsidRPr="00205B34" w:rsidRDefault="00236E29" w:rsidP="007A03A5">
      <w:pPr>
        <w:autoSpaceDE w:val="0"/>
        <w:autoSpaceDN w:val="0"/>
        <w:adjustRightInd w:val="0"/>
        <w:rPr>
          <w:rFonts w:ascii="Calibri" w:hAnsi="Calibri" w:cs="Calibri"/>
          <w:b/>
          <w:sz w:val="24"/>
        </w:rPr>
      </w:pPr>
      <w:r w:rsidRPr="00205B34">
        <w:rPr>
          <w:rFonts w:ascii="Calibri" w:hAnsi="Calibri" w:cs="Calibri"/>
          <w:b/>
          <w:iCs/>
          <w:sz w:val="24"/>
        </w:rPr>
        <w:t>2.</w:t>
      </w:r>
      <w:r w:rsidR="005C028F" w:rsidRPr="00205B34">
        <w:rPr>
          <w:rFonts w:ascii="Calibri" w:hAnsi="Calibri" w:cs="Calibri"/>
          <w:b/>
          <w:iCs/>
          <w:sz w:val="24"/>
        </w:rPr>
        <w:t xml:space="preserve"> </w:t>
      </w:r>
      <w:r w:rsidR="00AD378D">
        <w:rPr>
          <w:rFonts w:ascii="Calibri" w:hAnsi="Calibri" w:cs="Calibri"/>
          <w:b/>
          <w:sz w:val="24"/>
        </w:rPr>
        <w:t>V Koncepci nebyly uvedeny</w:t>
      </w:r>
      <w:r w:rsidR="001609E0" w:rsidRPr="00205B34">
        <w:rPr>
          <w:rFonts w:ascii="Calibri" w:hAnsi="Calibri" w:cs="Calibri"/>
          <w:b/>
          <w:sz w:val="24"/>
        </w:rPr>
        <w:t xml:space="preserve"> ukazatele pro hodnocení jejích cílů ani výš</w:t>
      </w:r>
      <w:r w:rsidR="00AD378D">
        <w:rPr>
          <w:rFonts w:ascii="Calibri" w:hAnsi="Calibri" w:cs="Calibri"/>
          <w:b/>
          <w:sz w:val="24"/>
        </w:rPr>
        <w:t>e</w:t>
      </w:r>
      <w:r w:rsidR="001609E0" w:rsidRPr="00205B34">
        <w:rPr>
          <w:rFonts w:ascii="Calibri" w:hAnsi="Calibri" w:cs="Calibri"/>
          <w:b/>
          <w:sz w:val="24"/>
        </w:rPr>
        <w:t xml:space="preserve"> finančních prostředků, které </w:t>
      </w:r>
      <w:r w:rsidR="00AD378D" w:rsidRPr="00205B34">
        <w:rPr>
          <w:rFonts w:ascii="Calibri" w:hAnsi="Calibri" w:cs="Calibri"/>
          <w:b/>
          <w:sz w:val="24"/>
        </w:rPr>
        <w:t xml:space="preserve">budou potřeba </w:t>
      </w:r>
      <w:r w:rsidR="001609E0" w:rsidRPr="00205B34">
        <w:rPr>
          <w:rFonts w:ascii="Calibri" w:hAnsi="Calibri" w:cs="Calibri"/>
          <w:b/>
          <w:sz w:val="24"/>
        </w:rPr>
        <w:t>k</w:t>
      </w:r>
      <w:r w:rsidR="006C0225" w:rsidRPr="00205B34">
        <w:rPr>
          <w:rFonts w:ascii="Calibri" w:hAnsi="Calibri" w:cs="Calibri"/>
          <w:b/>
          <w:sz w:val="24"/>
        </w:rPr>
        <w:t xml:space="preserve"> </w:t>
      </w:r>
      <w:r w:rsidR="001609E0" w:rsidRPr="00205B34">
        <w:rPr>
          <w:rFonts w:ascii="Calibri" w:hAnsi="Calibri" w:cs="Calibri"/>
          <w:b/>
          <w:sz w:val="24"/>
        </w:rPr>
        <w:t xml:space="preserve">naplnění cílů. </w:t>
      </w:r>
      <w:r w:rsidR="008E5DD4" w:rsidRPr="00205B34">
        <w:rPr>
          <w:rFonts w:ascii="Calibri" w:hAnsi="Calibri" w:cs="Calibri"/>
          <w:b/>
          <w:sz w:val="24"/>
        </w:rPr>
        <w:t xml:space="preserve">Ukazatele pro hodnocení cílů a dopadů na bytovou politiku neobsahovala </w:t>
      </w:r>
      <w:r w:rsidR="0043072C" w:rsidRPr="00205B34">
        <w:rPr>
          <w:rFonts w:ascii="Calibri" w:hAnsi="Calibri" w:cs="Calibri"/>
          <w:b/>
          <w:sz w:val="24"/>
        </w:rPr>
        <w:t xml:space="preserve">ani většina </w:t>
      </w:r>
      <w:r w:rsidR="008E5DD4" w:rsidRPr="00205B34">
        <w:rPr>
          <w:rFonts w:ascii="Calibri" w:hAnsi="Calibri" w:cs="Calibri"/>
          <w:b/>
          <w:sz w:val="24"/>
        </w:rPr>
        <w:t>podpor spravovaných a poskytovaných Minister</w:t>
      </w:r>
      <w:r w:rsidR="00F63E68" w:rsidRPr="00205B34">
        <w:rPr>
          <w:rFonts w:ascii="Calibri" w:hAnsi="Calibri" w:cs="Calibri"/>
          <w:b/>
          <w:sz w:val="24"/>
        </w:rPr>
        <w:t>st</w:t>
      </w:r>
      <w:r w:rsidR="008E5DD4" w:rsidRPr="00205B34">
        <w:rPr>
          <w:rFonts w:ascii="Calibri" w:hAnsi="Calibri" w:cs="Calibri"/>
          <w:b/>
          <w:sz w:val="24"/>
        </w:rPr>
        <w:t>vem pro místní rozvoj a</w:t>
      </w:r>
      <w:r w:rsidR="006C0225" w:rsidRPr="00205B34">
        <w:rPr>
          <w:rFonts w:ascii="Calibri" w:hAnsi="Calibri" w:cs="Calibri"/>
          <w:b/>
          <w:sz w:val="24"/>
        </w:rPr>
        <w:t xml:space="preserve"> </w:t>
      </w:r>
      <w:r w:rsidR="00B32420" w:rsidRPr="00205B34">
        <w:rPr>
          <w:rFonts w:ascii="Calibri" w:hAnsi="Calibri" w:cs="Calibri"/>
          <w:b/>
          <w:sz w:val="24"/>
        </w:rPr>
        <w:t>Stá</w:t>
      </w:r>
      <w:r w:rsidR="00F63E68" w:rsidRPr="00205B34">
        <w:rPr>
          <w:rFonts w:ascii="Calibri" w:hAnsi="Calibri" w:cs="Calibri"/>
          <w:b/>
          <w:sz w:val="24"/>
        </w:rPr>
        <w:t>tním fondem rozvoje bydlení</w:t>
      </w:r>
      <w:r w:rsidR="0043072C" w:rsidRPr="00205B34">
        <w:rPr>
          <w:rFonts w:ascii="Calibri" w:hAnsi="Calibri" w:cs="Calibri"/>
          <w:b/>
          <w:sz w:val="24"/>
        </w:rPr>
        <w:t>.</w:t>
      </w:r>
      <w:r w:rsidR="007A03A5" w:rsidRPr="00205B34">
        <w:rPr>
          <w:rFonts w:ascii="Calibri" w:hAnsi="Calibri" w:cs="Calibri"/>
          <w:b/>
          <w:sz w:val="24"/>
        </w:rPr>
        <w:t xml:space="preserve"> </w:t>
      </w:r>
    </w:p>
    <w:p w14:paraId="7453C390" w14:textId="77777777" w:rsidR="000B5A4F" w:rsidRPr="00205B34" w:rsidRDefault="000B5A4F" w:rsidP="005C028F">
      <w:pPr>
        <w:autoSpaceDE w:val="0"/>
        <w:autoSpaceDN w:val="0"/>
        <w:adjustRightInd w:val="0"/>
        <w:rPr>
          <w:rFonts w:ascii="Calibri" w:hAnsi="Calibri" w:cs="Calibri"/>
          <w:b/>
          <w:sz w:val="24"/>
        </w:rPr>
      </w:pPr>
    </w:p>
    <w:p w14:paraId="4C824E24" w14:textId="7E5ADA3C" w:rsidR="00195844" w:rsidRPr="00205B34" w:rsidRDefault="000B5A4F" w:rsidP="005C028F">
      <w:pPr>
        <w:autoSpaceDE w:val="0"/>
        <w:autoSpaceDN w:val="0"/>
        <w:adjustRightInd w:val="0"/>
        <w:rPr>
          <w:rFonts w:ascii="Calibri" w:hAnsi="Calibri" w:cs="Calibri"/>
          <w:b/>
          <w:sz w:val="24"/>
        </w:rPr>
      </w:pPr>
      <w:r w:rsidRPr="00205B34">
        <w:rPr>
          <w:rFonts w:ascii="Calibri" w:hAnsi="Calibri" w:cs="Calibri"/>
          <w:b/>
          <w:sz w:val="24"/>
        </w:rPr>
        <w:t>3.</w:t>
      </w:r>
      <w:r w:rsidR="00BC2BC1" w:rsidRPr="00205B34">
        <w:rPr>
          <w:rFonts w:ascii="Calibri" w:hAnsi="Calibri" w:cs="Calibri"/>
          <w:b/>
          <w:sz w:val="24"/>
        </w:rPr>
        <w:t xml:space="preserve"> MMR </w:t>
      </w:r>
      <w:r w:rsidR="008347E1" w:rsidRPr="00205B34">
        <w:rPr>
          <w:rFonts w:ascii="Calibri" w:hAnsi="Calibri" w:cs="Calibri"/>
          <w:b/>
          <w:sz w:val="24"/>
        </w:rPr>
        <w:t xml:space="preserve">poskytovalo dotace na </w:t>
      </w:r>
      <w:r w:rsidR="00BC2BC1" w:rsidRPr="00205B34">
        <w:rPr>
          <w:rFonts w:ascii="Calibri" w:hAnsi="Calibri" w:cs="Calibri"/>
          <w:b/>
          <w:sz w:val="24"/>
        </w:rPr>
        <w:t xml:space="preserve">rozvoj bydlení </w:t>
      </w:r>
      <w:r w:rsidR="0043072C" w:rsidRPr="00205B34">
        <w:rPr>
          <w:rFonts w:ascii="Calibri" w:hAnsi="Calibri" w:cs="Calibri"/>
          <w:b/>
          <w:sz w:val="24"/>
        </w:rPr>
        <w:t>v letech 1999 až</w:t>
      </w:r>
      <w:r w:rsidR="00866D9F" w:rsidRPr="00205B34">
        <w:rPr>
          <w:rFonts w:ascii="Calibri" w:hAnsi="Calibri" w:cs="Calibri"/>
          <w:b/>
          <w:sz w:val="24"/>
        </w:rPr>
        <w:t xml:space="preserve"> 2015 </w:t>
      </w:r>
      <w:r w:rsidR="005C1EDC" w:rsidRPr="00205B34">
        <w:rPr>
          <w:rFonts w:ascii="Calibri" w:hAnsi="Calibri" w:cs="Calibri"/>
          <w:b/>
          <w:sz w:val="24"/>
        </w:rPr>
        <w:t xml:space="preserve">postupně </w:t>
      </w:r>
      <w:r w:rsidR="00BC2BC1" w:rsidRPr="00205B34">
        <w:rPr>
          <w:rFonts w:ascii="Calibri" w:hAnsi="Calibri" w:cs="Calibri"/>
          <w:b/>
          <w:sz w:val="24"/>
        </w:rPr>
        <w:t>ze tří programů</w:t>
      </w:r>
      <w:r w:rsidR="008347E1" w:rsidRPr="00205B34">
        <w:rPr>
          <w:rFonts w:ascii="Calibri" w:hAnsi="Calibri" w:cs="Calibri"/>
          <w:b/>
          <w:sz w:val="24"/>
        </w:rPr>
        <w:t xml:space="preserve"> s</w:t>
      </w:r>
      <w:r w:rsidR="006C0225" w:rsidRPr="00205B34">
        <w:rPr>
          <w:rFonts w:ascii="Calibri" w:hAnsi="Calibri" w:cs="Calibri"/>
          <w:b/>
          <w:sz w:val="24"/>
        </w:rPr>
        <w:t xml:space="preserve"> </w:t>
      </w:r>
      <w:r w:rsidR="00074713" w:rsidRPr="00205B34">
        <w:rPr>
          <w:rFonts w:ascii="Calibri" w:hAnsi="Calibri" w:cs="Calibri"/>
          <w:b/>
          <w:sz w:val="24"/>
        </w:rPr>
        <w:t>prakticky stejným věcným zaměřením. Přestože ani u jednoho z</w:t>
      </w:r>
      <w:r w:rsidR="006C0225" w:rsidRPr="00205B34">
        <w:rPr>
          <w:rFonts w:ascii="Calibri" w:hAnsi="Calibri" w:cs="Calibri"/>
          <w:b/>
          <w:sz w:val="24"/>
        </w:rPr>
        <w:t xml:space="preserve"> </w:t>
      </w:r>
      <w:r w:rsidR="005C1EDC" w:rsidRPr="00205B34">
        <w:rPr>
          <w:rFonts w:ascii="Calibri" w:hAnsi="Calibri" w:cs="Calibri"/>
          <w:b/>
          <w:sz w:val="24"/>
        </w:rPr>
        <w:t xml:space="preserve">těchto </w:t>
      </w:r>
      <w:r w:rsidR="00074713" w:rsidRPr="00205B34">
        <w:rPr>
          <w:rFonts w:ascii="Calibri" w:hAnsi="Calibri" w:cs="Calibri"/>
          <w:b/>
          <w:sz w:val="24"/>
        </w:rPr>
        <w:t>programů nevyhodnotilo</w:t>
      </w:r>
      <w:r w:rsidR="00BA7B2E" w:rsidRPr="00205B34">
        <w:rPr>
          <w:rFonts w:ascii="Calibri" w:hAnsi="Calibri" w:cs="Calibri"/>
          <w:b/>
          <w:sz w:val="24"/>
        </w:rPr>
        <w:t xml:space="preserve"> plnění jeho cílů ani</w:t>
      </w:r>
      <w:r w:rsidR="005C1EDC" w:rsidRPr="00205B34">
        <w:rPr>
          <w:rFonts w:ascii="Calibri" w:hAnsi="Calibri" w:cs="Calibri"/>
          <w:b/>
          <w:sz w:val="24"/>
        </w:rPr>
        <w:t xml:space="preserve"> </w:t>
      </w:r>
      <w:r w:rsidR="00E41916" w:rsidRPr="00205B34">
        <w:rPr>
          <w:rFonts w:ascii="Calibri" w:hAnsi="Calibri" w:cs="Calibri"/>
          <w:b/>
          <w:sz w:val="24"/>
        </w:rPr>
        <w:t xml:space="preserve">dopad </w:t>
      </w:r>
      <w:r w:rsidR="005C1EDC" w:rsidRPr="00205B34">
        <w:rPr>
          <w:rFonts w:ascii="Calibri" w:hAnsi="Calibri" w:cs="Calibri"/>
          <w:b/>
          <w:sz w:val="24"/>
        </w:rPr>
        <w:t xml:space="preserve">dotací </w:t>
      </w:r>
      <w:r w:rsidR="00074713" w:rsidRPr="00205B34">
        <w:rPr>
          <w:rFonts w:ascii="Calibri" w:hAnsi="Calibri" w:cs="Calibri"/>
          <w:b/>
          <w:sz w:val="24"/>
        </w:rPr>
        <w:t>na bytovou politiku, zahájilo čtvrtý stejně zaměřený program</w:t>
      </w:r>
      <w:r w:rsidR="000E4A28" w:rsidRPr="00205B34">
        <w:rPr>
          <w:rFonts w:ascii="Calibri" w:hAnsi="Calibri" w:cs="Calibri"/>
          <w:b/>
          <w:sz w:val="24"/>
        </w:rPr>
        <w:t xml:space="preserve"> </w:t>
      </w:r>
      <w:r w:rsidR="0010568C" w:rsidRPr="00205B34">
        <w:rPr>
          <w:rFonts w:ascii="Calibri" w:hAnsi="Calibri" w:cs="Calibri"/>
          <w:b/>
          <w:sz w:val="24"/>
        </w:rPr>
        <w:t>doplněný</w:t>
      </w:r>
      <w:r w:rsidR="0043072C" w:rsidRPr="00205B34">
        <w:rPr>
          <w:rFonts w:ascii="Calibri" w:hAnsi="Calibri" w:cs="Calibri"/>
          <w:b/>
          <w:sz w:val="24"/>
        </w:rPr>
        <w:t xml:space="preserve"> o jeden nový</w:t>
      </w:r>
      <w:r w:rsidR="005C1EDC" w:rsidRPr="00205B34">
        <w:rPr>
          <w:rFonts w:ascii="Calibri" w:hAnsi="Calibri" w:cs="Calibri"/>
          <w:b/>
          <w:sz w:val="24"/>
        </w:rPr>
        <w:t xml:space="preserve"> dotační titul</w:t>
      </w:r>
      <w:r w:rsidR="00074713" w:rsidRPr="00205B34">
        <w:rPr>
          <w:rFonts w:ascii="Calibri" w:hAnsi="Calibri" w:cs="Calibri"/>
          <w:b/>
          <w:sz w:val="24"/>
        </w:rPr>
        <w:t>.</w:t>
      </w:r>
      <w:r w:rsidR="00412DED" w:rsidRPr="00205B34">
        <w:rPr>
          <w:rFonts w:ascii="Calibri" w:hAnsi="Calibri" w:cs="Calibri"/>
          <w:b/>
          <w:sz w:val="24"/>
        </w:rPr>
        <w:t xml:space="preserve"> </w:t>
      </w:r>
    </w:p>
    <w:p w14:paraId="3DFCAB65" w14:textId="77777777" w:rsidR="00195844" w:rsidRPr="00205B34" w:rsidRDefault="00195844" w:rsidP="005C028F">
      <w:pPr>
        <w:autoSpaceDE w:val="0"/>
        <w:autoSpaceDN w:val="0"/>
        <w:adjustRightInd w:val="0"/>
        <w:rPr>
          <w:rFonts w:ascii="Calibri" w:hAnsi="Calibri" w:cs="Calibri"/>
          <w:b/>
          <w:sz w:val="24"/>
        </w:rPr>
      </w:pPr>
    </w:p>
    <w:p w14:paraId="2148263F" w14:textId="78F93A5B" w:rsidR="00164802" w:rsidRPr="00205B34" w:rsidRDefault="00195844" w:rsidP="005C028F">
      <w:pPr>
        <w:autoSpaceDE w:val="0"/>
        <w:autoSpaceDN w:val="0"/>
        <w:adjustRightInd w:val="0"/>
        <w:rPr>
          <w:rFonts w:ascii="Calibri" w:hAnsi="Calibri" w:cs="Calibri"/>
          <w:b/>
          <w:sz w:val="24"/>
        </w:rPr>
      </w:pPr>
      <w:r w:rsidRPr="00205B34">
        <w:rPr>
          <w:rFonts w:ascii="Calibri" w:hAnsi="Calibri" w:cs="Calibri"/>
          <w:b/>
          <w:sz w:val="24"/>
        </w:rPr>
        <w:t xml:space="preserve">4. </w:t>
      </w:r>
      <w:r w:rsidR="005A46E1" w:rsidRPr="00205B34">
        <w:rPr>
          <w:rFonts w:ascii="Calibri" w:hAnsi="Calibri" w:cs="Calibri"/>
          <w:b/>
          <w:sz w:val="24"/>
        </w:rPr>
        <w:t xml:space="preserve">Podle údajů MMR poskytly ze státního rozpočtu </w:t>
      </w:r>
      <w:r w:rsidR="00773AED" w:rsidRPr="00205B34">
        <w:rPr>
          <w:rFonts w:ascii="Calibri" w:hAnsi="Calibri" w:cs="Calibri"/>
          <w:b/>
          <w:sz w:val="24"/>
        </w:rPr>
        <w:t xml:space="preserve">MMR, </w:t>
      </w:r>
      <w:r w:rsidR="002D7F29" w:rsidRPr="00205B34">
        <w:rPr>
          <w:rFonts w:ascii="Calibri" w:hAnsi="Calibri" w:cs="Calibri"/>
          <w:b/>
          <w:sz w:val="24"/>
        </w:rPr>
        <w:t>SFRB, Ministerstvo financí a</w:t>
      </w:r>
      <w:r w:rsidR="00F352BD" w:rsidRPr="00205B34">
        <w:rPr>
          <w:rFonts w:ascii="Calibri" w:hAnsi="Calibri" w:cs="Calibri"/>
          <w:b/>
          <w:sz w:val="24"/>
        </w:rPr>
        <w:t> </w:t>
      </w:r>
      <w:r w:rsidR="005A46E1" w:rsidRPr="00205B34">
        <w:rPr>
          <w:rFonts w:ascii="Calibri" w:hAnsi="Calibri" w:cs="Calibri"/>
          <w:b/>
          <w:sz w:val="24"/>
        </w:rPr>
        <w:t>Ministerstvo práce a sociálních věcí v</w:t>
      </w:r>
      <w:r w:rsidR="006C0225" w:rsidRPr="00205B34">
        <w:rPr>
          <w:rFonts w:ascii="Calibri" w:hAnsi="Calibri" w:cs="Calibri"/>
          <w:b/>
          <w:sz w:val="24"/>
        </w:rPr>
        <w:t xml:space="preserve"> </w:t>
      </w:r>
      <w:r w:rsidR="005A46E1" w:rsidRPr="00205B34">
        <w:rPr>
          <w:rFonts w:ascii="Calibri" w:hAnsi="Calibri" w:cs="Calibri"/>
          <w:b/>
          <w:sz w:val="24"/>
        </w:rPr>
        <w:t xml:space="preserve">letech 1997 až 2012 celkem 137,8 mld. Kč na podporu bydlení. </w:t>
      </w:r>
      <w:r w:rsidR="00164802" w:rsidRPr="00205B34">
        <w:rPr>
          <w:rFonts w:ascii="Calibri" w:hAnsi="Calibri" w:cs="Calibri"/>
          <w:b/>
          <w:sz w:val="24"/>
        </w:rPr>
        <w:t xml:space="preserve">MMR </w:t>
      </w:r>
      <w:r w:rsidR="00771A5F" w:rsidRPr="00205B34">
        <w:rPr>
          <w:rFonts w:ascii="Calibri" w:hAnsi="Calibri" w:cs="Calibri"/>
          <w:b/>
          <w:sz w:val="24"/>
        </w:rPr>
        <w:t xml:space="preserve">nemělo průkazné hodnocení přínosů těchto podpor, disponovalo pouze výpočtem fiskálních dopadů podpor na státní rozpočet. </w:t>
      </w:r>
    </w:p>
    <w:p w14:paraId="67F00F95" w14:textId="77777777" w:rsidR="00236E29" w:rsidRPr="00205B34" w:rsidRDefault="00236E29" w:rsidP="00B8795D">
      <w:pPr>
        <w:pStyle w:val="Odstavecseseznamem"/>
        <w:spacing w:after="0" w:line="240" w:lineRule="auto"/>
        <w:ind w:left="0"/>
        <w:contextualSpacing w:val="0"/>
        <w:jc w:val="both"/>
        <w:rPr>
          <w:rFonts w:eastAsia="Times New Roman" w:cs="Calibri"/>
          <w:b/>
          <w:iCs/>
          <w:sz w:val="24"/>
          <w:szCs w:val="24"/>
        </w:rPr>
      </w:pPr>
    </w:p>
    <w:p w14:paraId="7F92B904" w14:textId="7A66F570" w:rsidR="00496B6F" w:rsidRPr="00205B34" w:rsidRDefault="00866D9F" w:rsidP="00C62C16">
      <w:pPr>
        <w:autoSpaceDE w:val="0"/>
        <w:autoSpaceDN w:val="0"/>
        <w:adjustRightInd w:val="0"/>
        <w:rPr>
          <w:rFonts w:ascii="Calibri" w:hAnsi="Calibri" w:cs="Calibri"/>
          <w:b/>
          <w:bCs/>
          <w:sz w:val="24"/>
        </w:rPr>
      </w:pPr>
      <w:r w:rsidRPr="00205B34">
        <w:rPr>
          <w:rFonts w:ascii="Calibri" w:hAnsi="Calibri" w:cs="Calibri"/>
          <w:b/>
          <w:bCs/>
          <w:sz w:val="24"/>
        </w:rPr>
        <w:t xml:space="preserve">5. </w:t>
      </w:r>
      <w:r w:rsidR="00EF6E00" w:rsidRPr="00205B34">
        <w:rPr>
          <w:rFonts w:ascii="Calibri" w:hAnsi="Calibri" w:cs="Calibri"/>
          <w:b/>
          <w:bCs/>
          <w:sz w:val="24"/>
        </w:rPr>
        <w:t xml:space="preserve">MMR poskytovalo dotace na výstavbu </w:t>
      </w:r>
      <w:r w:rsidR="00467C75" w:rsidRPr="00205B34">
        <w:rPr>
          <w:rFonts w:ascii="Calibri" w:hAnsi="Calibri" w:cs="Calibri"/>
          <w:b/>
          <w:bCs/>
          <w:sz w:val="24"/>
        </w:rPr>
        <w:t>9</w:t>
      </w:r>
      <w:r w:rsidR="00467C75">
        <w:rPr>
          <w:rFonts w:ascii="Calibri" w:hAnsi="Calibri" w:cs="Calibri"/>
          <w:b/>
          <w:bCs/>
          <w:sz w:val="24"/>
        </w:rPr>
        <w:t> </w:t>
      </w:r>
      <w:r w:rsidR="00467C75" w:rsidRPr="00205B34">
        <w:rPr>
          <w:rFonts w:ascii="Calibri" w:hAnsi="Calibri" w:cs="Calibri"/>
          <w:b/>
          <w:bCs/>
          <w:sz w:val="24"/>
        </w:rPr>
        <w:t xml:space="preserve">453 </w:t>
      </w:r>
      <w:r w:rsidR="00EF6E00" w:rsidRPr="00205B34">
        <w:rPr>
          <w:rFonts w:ascii="Calibri" w:hAnsi="Calibri" w:cs="Calibri"/>
          <w:b/>
          <w:bCs/>
          <w:sz w:val="24"/>
        </w:rPr>
        <w:t>nájemních bytů pro vymezen</w:t>
      </w:r>
      <w:r w:rsidR="00C33975" w:rsidRPr="00205B34">
        <w:rPr>
          <w:rFonts w:ascii="Calibri" w:hAnsi="Calibri" w:cs="Calibri"/>
          <w:b/>
          <w:bCs/>
          <w:sz w:val="24"/>
        </w:rPr>
        <w:t>é</w:t>
      </w:r>
      <w:r w:rsidR="00EF6E00" w:rsidRPr="00205B34">
        <w:rPr>
          <w:rFonts w:ascii="Calibri" w:hAnsi="Calibri" w:cs="Calibri"/>
          <w:b/>
          <w:bCs/>
          <w:sz w:val="24"/>
        </w:rPr>
        <w:t xml:space="preserve"> cílov</w:t>
      </w:r>
      <w:r w:rsidR="00C33975" w:rsidRPr="00205B34">
        <w:rPr>
          <w:rFonts w:ascii="Calibri" w:hAnsi="Calibri" w:cs="Calibri"/>
          <w:b/>
          <w:bCs/>
          <w:sz w:val="24"/>
        </w:rPr>
        <w:t>é</w:t>
      </w:r>
      <w:r w:rsidR="00EF6E00" w:rsidRPr="00205B34">
        <w:rPr>
          <w:rFonts w:ascii="Calibri" w:hAnsi="Calibri" w:cs="Calibri"/>
          <w:b/>
          <w:bCs/>
          <w:sz w:val="24"/>
        </w:rPr>
        <w:t xml:space="preserve"> skupin</w:t>
      </w:r>
      <w:r w:rsidR="00C33975" w:rsidRPr="00205B34">
        <w:rPr>
          <w:rFonts w:ascii="Calibri" w:hAnsi="Calibri" w:cs="Calibri"/>
          <w:b/>
          <w:bCs/>
          <w:sz w:val="24"/>
        </w:rPr>
        <w:t>y osob</w:t>
      </w:r>
      <w:r w:rsidR="00F37EA2" w:rsidRPr="00205B34">
        <w:rPr>
          <w:rFonts w:ascii="Calibri" w:hAnsi="Calibri" w:cs="Calibri"/>
          <w:b/>
          <w:bCs/>
          <w:sz w:val="24"/>
        </w:rPr>
        <w:t xml:space="preserve"> znevýhodněných </w:t>
      </w:r>
      <w:r w:rsidR="002E00DB" w:rsidRPr="00205B34">
        <w:rPr>
          <w:rFonts w:ascii="Calibri" w:hAnsi="Calibri" w:cs="Calibri"/>
          <w:b/>
          <w:bCs/>
          <w:sz w:val="24"/>
        </w:rPr>
        <w:t>v</w:t>
      </w:r>
      <w:r w:rsidR="006C0225" w:rsidRPr="00205B34">
        <w:rPr>
          <w:rFonts w:ascii="Calibri" w:hAnsi="Calibri" w:cs="Calibri"/>
          <w:b/>
          <w:bCs/>
          <w:sz w:val="24"/>
        </w:rPr>
        <w:t xml:space="preserve"> </w:t>
      </w:r>
      <w:r w:rsidR="00F37EA2" w:rsidRPr="00205B34">
        <w:rPr>
          <w:rFonts w:ascii="Calibri" w:hAnsi="Calibri" w:cs="Calibri"/>
          <w:b/>
          <w:bCs/>
          <w:sz w:val="24"/>
        </w:rPr>
        <w:t>přístupu k bydlení</w:t>
      </w:r>
      <w:r w:rsidR="00EF6E00" w:rsidRPr="00205B34">
        <w:rPr>
          <w:rFonts w:ascii="Calibri" w:hAnsi="Calibri" w:cs="Calibri"/>
          <w:b/>
          <w:bCs/>
          <w:sz w:val="24"/>
        </w:rPr>
        <w:t xml:space="preserve"> od </w:t>
      </w:r>
      <w:r w:rsidR="00F37EA2" w:rsidRPr="00205B34">
        <w:rPr>
          <w:rFonts w:ascii="Calibri" w:hAnsi="Calibri" w:cs="Calibri"/>
          <w:b/>
          <w:bCs/>
          <w:sz w:val="24"/>
        </w:rPr>
        <w:t xml:space="preserve">ledna </w:t>
      </w:r>
      <w:r w:rsidR="00EF6E00" w:rsidRPr="00205B34">
        <w:rPr>
          <w:rFonts w:ascii="Calibri" w:hAnsi="Calibri" w:cs="Calibri"/>
          <w:b/>
          <w:bCs/>
          <w:sz w:val="24"/>
        </w:rPr>
        <w:t>roku 2003</w:t>
      </w:r>
      <w:r w:rsidR="00177117" w:rsidRPr="00205B34">
        <w:rPr>
          <w:rFonts w:ascii="Calibri" w:hAnsi="Calibri" w:cs="Calibri"/>
          <w:b/>
          <w:bCs/>
          <w:sz w:val="24"/>
        </w:rPr>
        <w:t xml:space="preserve"> d</w:t>
      </w:r>
      <w:r w:rsidR="00EF6E00" w:rsidRPr="00205B34">
        <w:rPr>
          <w:rFonts w:ascii="Calibri" w:hAnsi="Calibri" w:cs="Calibri"/>
          <w:b/>
          <w:bCs/>
          <w:sz w:val="24"/>
        </w:rPr>
        <w:t xml:space="preserve">o září 2015 </w:t>
      </w:r>
      <w:r w:rsidR="00F37EA2" w:rsidRPr="00205B34">
        <w:rPr>
          <w:rFonts w:ascii="Calibri" w:hAnsi="Calibri" w:cs="Calibri"/>
          <w:b/>
          <w:bCs/>
          <w:sz w:val="24"/>
        </w:rPr>
        <w:t>v</w:t>
      </w:r>
      <w:r w:rsidR="00467C75">
        <w:rPr>
          <w:rFonts w:ascii="Calibri" w:hAnsi="Calibri" w:cs="Calibri"/>
          <w:b/>
          <w:bCs/>
          <w:sz w:val="24"/>
        </w:rPr>
        <w:t> </w:t>
      </w:r>
      <w:r w:rsidR="00F37EA2" w:rsidRPr="00205B34">
        <w:rPr>
          <w:rFonts w:ascii="Calibri" w:hAnsi="Calibri" w:cs="Calibri"/>
          <w:b/>
          <w:bCs/>
          <w:sz w:val="24"/>
        </w:rPr>
        <w:t xml:space="preserve">celkové výši </w:t>
      </w:r>
      <w:r w:rsidR="00EF6E00" w:rsidRPr="00205B34">
        <w:rPr>
          <w:rFonts w:ascii="Calibri" w:hAnsi="Calibri" w:cs="Calibri"/>
          <w:b/>
          <w:bCs/>
          <w:sz w:val="24"/>
        </w:rPr>
        <w:t>4</w:t>
      </w:r>
      <w:r w:rsidR="006C0225" w:rsidRPr="00205B34">
        <w:rPr>
          <w:rFonts w:ascii="Calibri" w:hAnsi="Calibri" w:cs="Calibri"/>
          <w:b/>
          <w:bCs/>
          <w:sz w:val="24"/>
        </w:rPr>
        <w:t xml:space="preserve"> </w:t>
      </w:r>
      <w:r w:rsidR="00EF6E00" w:rsidRPr="00205B34">
        <w:rPr>
          <w:rFonts w:ascii="Calibri" w:hAnsi="Calibri" w:cs="Calibri"/>
          <w:b/>
          <w:bCs/>
          <w:sz w:val="24"/>
        </w:rPr>
        <w:t>866,4 mil. Kč</w:t>
      </w:r>
      <w:r w:rsidR="00177117" w:rsidRPr="00205B34">
        <w:rPr>
          <w:rFonts w:ascii="Calibri" w:hAnsi="Calibri" w:cs="Calibri"/>
          <w:b/>
          <w:bCs/>
          <w:sz w:val="24"/>
        </w:rPr>
        <w:t>.</w:t>
      </w:r>
      <w:r w:rsidR="00630BEB" w:rsidRPr="00205B34">
        <w:rPr>
          <w:rFonts w:ascii="Calibri" w:hAnsi="Calibri" w:cs="Calibri"/>
          <w:b/>
          <w:bCs/>
          <w:sz w:val="24"/>
        </w:rPr>
        <w:t xml:space="preserve"> Žadatelé o dotace nemuseli prokazovat potřebu bytů a</w:t>
      </w:r>
      <w:r w:rsidR="008D29C8" w:rsidRPr="00205B34">
        <w:rPr>
          <w:rFonts w:ascii="Calibri" w:hAnsi="Calibri" w:cs="Calibri"/>
          <w:b/>
          <w:bCs/>
          <w:sz w:val="24"/>
        </w:rPr>
        <w:t xml:space="preserve"> </w:t>
      </w:r>
      <w:r w:rsidR="00177117" w:rsidRPr="00205B34">
        <w:rPr>
          <w:rFonts w:ascii="Calibri" w:hAnsi="Calibri" w:cs="Calibri"/>
          <w:b/>
          <w:bCs/>
          <w:sz w:val="24"/>
        </w:rPr>
        <w:t>MMR</w:t>
      </w:r>
      <w:r w:rsidR="008D29C8" w:rsidRPr="00205B34">
        <w:rPr>
          <w:rFonts w:ascii="Calibri" w:hAnsi="Calibri" w:cs="Calibri"/>
          <w:b/>
          <w:bCs/>
          <w:sz w:val="24"/>
        </w:rPr>
        <w:t xml:space="preserve"> </w:t>
      </w:r>
      <w:r w:rsidR="00294348" w:rsidRPr="00205B34">
        <w:rPr>
          <w:rFonts w:ascii="Calibri" w:hAnsi="Calibri" w:cs="Calibri"/>
          <w:b/>
          <w:bCs/>
          <w:sz w:val="24"/>
        </w:rPr>
        <w:t>nesledovalo</w:t>
      </w:r>
      <w:r w:rsidR="00177117" w:rsidRPr="00205B34">
        <w:rPr>
          <w:rFonts w:ascii="Calibri" w:hAnsi="Calibri" w:cs="Calibri"/>
          <w:b/>
          <w:bCs/>
          <w:sz w:val="24"/>
        </w:rPr>
        <w:t>,</w:t>
      </w:r>
      <w:r w:rsidR="008D29C8" w:rsidRPr="00205B34">
        <w:rPr>
          <w:rFonts w:ascii="Calibri" w:hAnsi="Calibri" w:cs="Calibri"/>
          <w:b/>
          <w:bCs/>
          <w:sz w:val="24"/>
        </w:rPr>
        <w:t xml:space="preserve"> kolik z</w:t>
      </w:r>
      <w:r w:rsidR="006C0225" w:rsidRPr="00205B34">
        <w:rPr>
          <w:rFonts w:ascii="Calibri" w:hAnsi="Calibri" w:cs="Calibri"/>
          <w:b/>
          <w:bCs/>
          <w:sz w:val="24"/>
        </w:rPr>
        <w:t xml:space="preserve"> </w:t>
      </w:r>
      <w:r w:rsidR="008D29C8" w:rsidRPr="00205B34">
        <w:rPr>
          <w:rFonts w:ascii="Calibri" w:hAnsi="Calibri" w:cs="Calibri"/>
          <w:b/>
          <w:bCs/>
          <w:sz w:val="24"/>
        </w:rPr>
        <w:t>těchto bytů je skutečně využíváno cílov</w:t>
      </w:r>
      <w:r w:rsidR="009E5D61" w:rsidRPr="00205B34">
        <w:rPr>
          <w:rFonts w:ascii="Calibri" w:hAnsi="Calibri" w:cs="Calibri"/>
          <w:b/>
          <w:bCs/>
          <w:sz w:val="24"/>
        </w:rPr>
        <w:t>ými</w:t>
      </w:r>
      <w:r w:rsidR="008D29C8" w:rsidRPr="00205B34">
        <w:rPr>
          <w:rFonts w:ascii="Calibri" w:hAnsi="Calibri" w:cs="Calibri"/>
          <w:b/>
          <w:bCs/>
          <w:sz w:val="24"/>
        </w:rPr>
        <w:t xml:space="preserve"> skupin</w:t>
      </w:r>
      <w:r w:rsidR="009E5D61" w:rsidRPr="00205B34">
        <w:rPr>
          <w:rFonts w:ascii="Calibri" w:hAnsi="Calibri" w:cs="Calibri"/>
          <w:b/>
          <w:bCs/>
          <w:sz w:val="24"/>
        </w:rPr>
        <w:t>ami osob</w:t>
      </w:r>
      <w:r w:rsidR="003E4E34" w:rsidRPr="00205B34">
        <w:rPr>
          <w:rFonts w:ascii="Calibri" w:hAnsi="Calibri" w:cs="Calibri"/>
          <w:b/>
          <w:bCs/>
          <w:sz w:val="24"/>
        </w:rPr>
        <w:t>.</w:t>
      </w:r>
      <w:r w:rsidR="00177117" w:rsidRPr="00205B34">
        <w:rPr>
          <w:rFonts w:ascii="Calibri" w:hAnsi="Calibri" w:cs="Calibri"/>
          <w:b/>
          <w:bCs/>
          <w:sz w:val="24"/>
        </w:rPr>
        <w:t xml:space="preserve"> </w:t>
      </w:r>
      <w:r w:rsidR="008F13DE" w:rsidRPr="00205B34">
        <w:rPr>
          <w:rFonts w:ascii="Calibri" w:hAnsi="Calibri" w:cs="Calibri"/>
          <w:b/>
          <w:bCs/>
          <w:sz w:val="24"/>
        </w:rPr>
        <w:t xml:space="preserve">Přitom </w:t>
      </w:r>
      <w:r w:rsidR="008F13DE" w:rsidRPr="00205B34">
        <w:rPr>
          <w:rFonts w:ascii="Calibri" w:hAnsi="Calibri" w:cs="Calibri"/>
          <w:b/>
          <w:bCs/>
          <w:sz w:val="24"/>
        </w:rPr>
        <w:lastRenderedPageBreak/>
        <w:t>p</w:t>
      </w:r>
      <w:r w:rsidR="00956E54" w:rsidRPr="00205B34">
        <w:rPr>
          <w:rFonts w:ascii="Calibri" w:hAnsi="Calibri" w:cs="Calibri"/>
          <w:b/>
          <w:bCs/>
          <w:sz w:val="24"/>
        </w:rPr>
        <w:t xml:space="preserve">odporu sociálních bytů zařadilo opět </w:t>
      </w:r>
      <w:r w:rsidR="008F13DE" w:rsidRPr="00205B34">
        <w:rPr>
          <w:rFonts w:ascii="Calibri" w:hAnsi="Calibri" w:cs="Calibri"/>
          <w:b/>
          <w:bCs/>
          <w:sz w:val="24"/>
        </w:rPr>
        <w:t xml:space="preserve">do nového programu </w:t>
      </w:r>
      <w:r w:rsidR="008F13DE" w:rsidRPr="00E819ED">
        <w:rPr>
          <w:rFonts w:ascii="Calibri" w:hAnsi="Calibri" w:cs="Calibri"/>
          <w:b/>
          <w:bCs/>
          <w:i/>
          <w:sz w:val="24"/>
        </w:rPr>
        <w:t>Podpora bydlení</w:t>
      </w:r>
      <w:r w:rsidR="008F13DE" w:rsidRPr="00205B34">
        <w:rPr>
          <w:rFonts w:ascii="Calibri" w:hAnsi="Calibri" w:cs="Calibri"/>
          <w:b/>
          <w:bCs/>
          <w:sz w:val="24"/>
        </w:rPr>
        <w:t xml:space="preserve"> i</w:t>
      </w:r>
      <w:r w:rsidR="00467C75">
        <w:rPr>
          <w:rFonts w:ascii="Calibri" w:hAnsi="Calibri" w:cs="Calibri"/>
          <w:b/>
          <w:bCs/>
          <w:sz w:val="24"/>
        </w:rPr>
        <w:t> </w:t>
      </w:r>
      <w:r w:rsidR="008F13DE" w:rsidRPr="00205B34">
        <w:rPr>
          <w:rFonts w:ascii="Calibri" w:hAnsi="Calibri" w:cs="Calibri"/>
          <w:b/>
          <w:bCs/>
          <w:sz w:val="24"/>
        </w:rPr>
        <w:t xml:space="preserve">do </w:t>
      </w:r>
      <w:r w:rsidR="008F13DE" w:rsidRPr="00E819ED">
        <w:rPr>
          <w:rFonts w:ascii="Calibri" w:hAnsi="Calibri" w:cs="Calibri"/>
          <w:b/>
          <w:bCs/>
          <w:i/>
          <w:sz w:val="24"/>
        </w:rPr>
        <w:t>Integrovaného regionálního operačního programu pro období 2014 až 2020</w:t>
      </w:r>
      <w:r w:rsidR="008F13DE" w:rsidRPr="00205B34">
        <w:rPr>
          <w:rFonts w:ascii="Calibri" w:hAnsi="Calibri" w:cs="Calibri"/>
          <w:b/>
          <w:bCs/>
          <w:sz w:val="24"/>
        </w:rPr>
        <w:t>.</w:t>
      </w:r>
    </w:p>
    <w:p w14:paraId="3AD0D241" w14:textId="77777777" w:rsidR="00994880" w:rsidRPr="00205B34" w:rsidRDefault="00994880" w:rsidP="00C62C16">
      <w:pPr>
        <w:autoSpaceDE w:val="0"/>
        <w:autoSpaceDN w:val="0"/>
        <w:adjustRightInd w:val="0"/>
        <w:rPr>
          <w:rFonts w:ascii="Calibri" w:hAnsi="Calibri" w:cs="Calibri"/>
          <w:b/>
          <w:bCs/>
          <w:sz w:val="24"/>
        </w:rPr>
      </w:pPr>
    </w:p>
    <w:p w14:paraId="781ECE91" w14:textId="5AE2CA7D" w:rsidR="00283E43" w:rsidRPr="00205B34" w:rsidRDefault="00994880" w:rsidP="00C62C16">
      <w:pPr>
        <w:autoSpaceDE w:val="0"/>
        <w:autoSpaceDN w:val="0"/>
        <w:adjustRightInd w:val="0"/>
        <w:rPr>
          <w:rFonts w:ascii="Calibri" w:hAnsi="Calibri" w:cs="Calibri"/>
          <w:b/>
          <w:bCs/>
          <w:sz w:val="24"/>
        </w:rPr>
      </w:pPr>
      <w:r w:rsidRPr="00205B34">
        <w:rPr>
          <w:rFonts w:ascii="Calibri" w:hAnsi="Calibri" w:cs="Calibri"/>
          <w:b/>
          <w:bCs/>
          <w:sz w:val="24"/>
        </w:rPr>
        <w:t xml:space="preserve">6. </w:t>
      </w:r>
      <w:r w:rsidR="00D04342" w:rsidRPr="00205B34">
        <w:rPr>
          <w:rFonts w:ascii="Calibri" w:hAnsi="Calibri" w:cs="Calibri"/>
          <w:b/>
          <w:bCs/>
          <w:sz w:val="24"/>
        </w:rPr>
        <w:t>Příspěvek k</w:t>
      </w:r>
      <w:r w:rsidR="006C0225" w:rsidRPr="00205B34">
        <w:rPr>
          <w:rFonts w:ascii="Calibri" w:hAnsi="Calibri" w:cs="Calibri"/>
          <w:b/>
          <w:bCs/>
          <w:sz w:val="24"/>
        </w:rPr>
        <w:t xml:space="preserve"> </w:t>
      </w:r>
      <w:r w:rsidR="002C5098" w:rsidRPr="00205B34">
        <w:rPr>
          <w:rFonts w:ascii="Calibri" w:hAnsi="Calibri" w:cs="Calibri"/>
          <w:b/>
          <w:bCs/>
          <w:sz w:val="24"/>
        </w:rPr>
        <w:t>hypot</w:t>
      </w:r>
      <w:r w:rsidR="00AD378D">
        <w:rPr>
          <w:rFonts w:ascii="Calibri" w:hAnsi="Calibri" w:cs="Calibri"/>
          <w:b/>
          <w:bCs/>
          <w:sz w:val="24"/>
        </w:rPr>
        <w:t>e</w:t>
      </w:r>
      <w:r w:rsidR="002C5098" w:rsidRPr="00205B34">
        <w:rPr>
          <w:rFonts w:ascii="Calibri" w:hAnsi="Calibri" w:cs="Calibri"/>
          <w:b/>
          <w:bCs/>
          <w:sz w:val="24"/>
        </w:rPr>
        <w:t>čním</w:t>
      </w:r>
      <w:r w:rsidR="00D04342" w:rsidRPr="00205B34">
        <w:rPr>
          <w:rFonts w:ascii="Calibri" w:hAnsi="Calibri" w:cs="Calibri"/>
          <w:b/>
          <w:bCs/>
          <w:sz w:val="24"/>
        </w:rPr>
        <w:t xml:space="preserve"> </w:t>
      </w:r>
      <w:r w:rsidR="002C5098" w:rsidRPr="00205B34">
        <w:rPr>
          <w:rFonts w:ascii="Calibri" w:hAnsi="Calibri" w:cs="Calibri"/>
          <w:b/>
          <w:bCs/>
          <w:sz w:val="24"/>
        </w:rPr>
        <w:t>úvěrům</w:t>
      </w:r>
      <w:r w:rsidR="00D04342" w:rsidRPr="00205B34">
        <w:rPr>
          <w:rFonts w:ascii="Calibri" w:hAnsi="Calibri" w:cs="Calibri"/>
          <w:b/>
          <w:bCs/>
          <w:sz w:val="24"/>
        </w:rPr>
        <w:t xml:space="preserve"> </w:t>
      </w:r>
      <w:r w:rsidRPr="00205B34">
        <w:rPr>
          <w:rFonts w:ascii="Calibri" w:hAnsi="Calibri" w:cs="Calibri"/>
          <w:b/>
          <w:bCs/>
          <w:sz w:val="24"/>
        </w:rPr>
        <w:t>MMR sice v</w:t>
      </w:r>
      <w:r w:rsidR="006C0225" w:rsidRPr="00205B34">
        <w:rPr>
          <w:rFonts w:ascii="Calibri" w:hAnsi="Calibri" w:cs="Calibri"/>
          <w:b/>
          <w:bCs/>
          <w:sz w:val="24"/>
        </w:rPr>
        <w:t xml:space="preserve"> </w:t>
      </w:r>
      <w:r w:rsidR="00D04342" w:rsidRPr="00205B34">
        <w:rPr>
          <w:rFonts w:ascii="Calibri" w:hAnsi="Calibri" w:cs="Calibri"/>
          <w:b/>
          <w:bCs/>
          <w:sz w:val="24"/>
        </w:rPr>
        <w:t xml:space="preserve">letech 2011 až 2015 </w:t>
      </w:r>
      <w:r w:rsidRPr="00205B34">
        <w:rPr>
          <w:rFonts w:ascii="Calibri" w:hAnsi="Calibri" w:cs="Calibri"/>
          <w:b/>
          <w:bCs/>
          <w:sz w:val="24"/>
        </w:rPr>
        <w:t xml:space="preserve">novým žadatelům neposkytovalo, ale bankám </w:t>
      </w:r>
      <w:r w:rsidR="00CD3A87" w:rsidRPr="00205B34">
        <w:rPr>
          <w:rFonts w:ascii="Calibri" w:hAnsi="Calibri" w:cs="Calibri"/>
          <w:b/>
          <w:bCs/>
          <w:sz w:val="24"/>
        </w:rPr>
        <w:t xml:space="preserve">uhradilo </w:t>
      </w:r>
      <w:r w:rsidRPr="00205B34">
        <w:rPr>
          <w:rFonts w:ascii="Calibri" w:hAnsi="Calibri" w:cs="Calibri"/>
          <w:b/>
          <w:bCs/>
          <w:sz w:val="24"/>
        </w:rPr>
        <w:t xml:space="preserve">za jeho administraci </w:t>
      </w:r>
      <w:r w:rsidR="00303C1E" w:rsidRPr="00205B34">
        <w:rPr>
          <w:rFonts w:ascii="Calibri" w:hAnsi="Calibri" w:cs="Calibri"/>
          <w:b/>
          <w:bCs/>
          <w:sz w:val="24"/>
        </w:rPr>
        <w:t>na základě již uzavřených</w:t>
      </w:r>
      <w:r w:rsidR="0010568C" w:rsidRPr="00205B34">
        <w:rPr>
          <w:rFonts w:ascii="Calibri" w:hAnsi="Calibri" w:cs="Calibri"/>
          <w:b/>
          <w:bCs/>
          <w:sz w:val="24"/>
        </w:rPr>
        <w:t xml:space="preserve"> smluv </w:t>
      </w:r>
      <w:r w:rsidR="00342081" w:rsidRPr="00205B34">
        <w:rPr>
          <w:rFonts w:ascii="Calibri" w:hAnsi="Calibri" w:cs="Calibri"/>
          <w:b/>
          <w:bCs/>
          <w:sz w:val="24"/>
        </w:rPr>
        <w:t>83</w:t>
      </w:r>
      <w:r w:rsidR="006C0225" w:rsidRPr="00205B34">
        <w:rPr>
          <w:rFonts w:ascii="Calibri" w:hAnsi="Calibri" w:cs="Calibri"/>
          <w:b/>
          <w:bCs/>
          <w:sz w:val="24"/>
        </w:rPr>
        <w:t xml:space="preserve"> </w:t>
      </w:r>
      <w:r w:rsidR="00342081" w:rsidRPr="00205B34">
        <w:rPr>
          <w:rFonts w:ascii="Calibri" w:hAnsi="Calibri" w:cs="Calibri"/>
          <w:b/>
          <w:bCs/>
          <w:sz w:val="24"/>
        </w:rPr>
        <w:t>mil.</w:t>
      </w:r>
      <w:r w:rsidR="006C0225" w:rsidRPr="00205B34">
        <w:rPr>
          <w:rFonts w:ascii="Calibri" w:hAnsi="Calibri" w:cs="Calibri"/>
          <w:b/>
          <w:bCs/>
          <w:sz w:val="24"/>
        </w:rPr>
        <w:t xml:space="preserve"> </w:t>
      </w:r>
      <w:r w:rsidRPr="00205B34">
        <w:rPr>
          <w:rFonts w:ascii="Calibri" w:hAnsi="Calibri" w:cs="Calibri"/>
          <w:b/>
          <w:bCs/>
          <w:sz w:val="24"/>
        </w:rPr>
        <w:t xml:space="preserve">Kč, </w:t>
      </w:r>
      <w:r w:rsidR="00303C1E" w:rsidRPr="00205B34">
        <w:rPr>
          <w:rFonts w:ascii="Calibri" w:hAnsi="Calibri" w:cs="Calibri"/>
          <w:b/>
          <w:bCs/>
          <w:sz w:val="24"/>
        </w:rPr>
        <w:t>což bylo o 11 mil. Kč více, než činil samotný příspěvek</w:t>
      </w:r>
      <w:r w:rsidR="007D539D" w:rsidRPr="00205B34">
        <w:rPr>
          <w:rFonts w:ascii="Calibri" w:hAnsi="Calibri" w:cs="Calibri"/>
          <w:b/>
          <w:bCs/>
          <w:sz w:val="24"/>
        </w:rPr>
        <w:t xml:space="preserve"> uhrazený na základě těchto smluv</w:t>
      </w:r>
      <w:r w:rsidR="00303C1E" w:rsidRPr="00205B34">
        <w:rPr>
          <w:rFonts w:ascii="Calibri" w:hAnsi="Calibri" w:cs="Calibri"/>
          <w:b/>
          <w:bCs/>
          <w:sz w:val="24"/>
        </w:rPr>
        <w:t>. Výdaje za administraci zahrnovaly i</w:t>
      </w:r>
      <w:r w:rsidRPr="00205B34">
        <w:rPr>
          <w:rFonts w:ascii="Calibri" w:hAnsi="Calibri" w:cs="Calibri"/>
          <w:b/>
          <w:bCs/>
          <w:sz w:val="24"/>
        </w:rPr>
        <w:t xml:space="preserve"> </w:t>
      </w:r>
      <w:r w:rsidR="00D04342" w:rsidRPr="00205B34">
        <w:rPr>
          <w:rFonts w:ascii="Calibri" w:hAnsi="Calibri" w:cs="Calibri"/>
          <w:b/>
          <w:bCs/>
          <w:sz w:val="24"/>
        </w:rPr>
        <w:t>37,18 mil. Kč</w:t>
      </w:r>
      <w:r w:rsidR="00303C1E" w:rsidRPr="00205B34">
        <w:rPr>
          <w:rFonts w:ascii="Calibri" w:hAnsi="Calibri" w:cs="Calibri"/>
          <w:b/>
          <w:bCs/>
          <w:sz w:val="24"/>
        </w:rPr>
        <w:t>, které MMR bankám</w:t>
      </w:r>
      <w:r w:rsidR="00D04342" w:rsidRPr="00205B34">
        <w:rPr>
          <w:rFonts w:ascii="Calibri" w:hAnsi="Calibri" w:cs="Calibri"/>
          <w:b/>
          <w:bCs/>
          <w:sz w:val="24"/>
        </w:rPr>
        <w:t xml:space="preserve"> uhradilo za administra</w:t>
      </w:r>
      <w:r w:rsidRPr="00205B34">
        <w:rPr>
          <w:rFonts w:ascii="Calibri" w:hAnsi="Calibri" w:cs="Calibri"/>
          <w:b/>
          <w:bCs/>
          <w:sz w:val="24"/>
        </w:rPr>
        <w:t>ci smluv</w:t>
      </w:r>
      <w:r w:rsidR="002C5098" w:rsidRPr="00205B34">
        <w:rPr>
          <w:rFonts w:ascii="Calibri" w:hAnsi="Calibri" w:cs="Calibri"/>
          <w:b/>
          <w:bCs/>
          <w:sz w:val="24"/>
        </w:rPr>
        <w:t xml:space="preserve"> klientů</w:t>
      </w:r>
      <w:r w:rsidR="00D04342" w:rsidRPr="00205B34">
        <w:rPr>
          <w:rFonts w:ascii="Calibri" w:hAnsi="Calibri" w:cs="Calibri"/>
          <w:b/>
          <w:bCs/>
          <w:sz w:val="24"/>
        </w:rPr>
        <w:t>, kteří nemají nárok na příspěvek</w:t>
      </w:r>
      <w:r w:rsidR="007A745B" w:rsidRPr="00205B34">
        <w:rPr>
          <w:rFonts w:ascii="Calibri" w:hAnsi="Calibri" w:cs="Calibri"/>
          <w:b/>
          <w:bCs/>
          <w:sz w:val="24"/>
        </w:rPr>
        <w:t xml:space="preserve"> z</w:t>
      </w:r>
      <w:r w:rsidR="006C0225" w:rsidRPr="00205B34">
        <w:rPr>
          <w:rFonts w:ascii="Calibri" w:hAnsi="Calibri" w:cs="Calibri"/>
          <w:b/>
          <w:bCs/>
          <w:sz w:val="24"/>
        </w:rPr>
        <w:t xml:space="preserve"> </w:t>
      </w:r>
      <w:r w:rsidR="007A745B" w:rsidRPr="00205B34">
        <w:rPr>
          <w:rFonts w:ascii="Calibri" w:hAnsi="Calibri" w:cs="Calibri"/>
          <w:b/>
          <w:bCs/>
          <w:sz w:val="24"/>
        </w:rPr>
        <w:t>důvodu nízkých úrokových sazeb</w:t>
      </w:r>
      <w:r w:rsidR="00D04342" w:rsidRPr="00205B34">
        <w:rPr>
          <w:rFonts w:ascii="Calibri" w:hAnsi="Calibri" w:cs="Calibri"/>
          <w:b/>
          <w:bCs/>
          <w:sz w:val="24"/>
        </w:rPr>
        <w:t xml:space="preserve">, ale </w:t>
      </w:r>
      <w:r w:rsidR="00303C1E" w:rsidRPr="00205B34">
        <w:rPr>
          <w:rFonts w:ascii="Calibri" w:hAnsi="Calibri" w:cs="Calibri"/>
          <w:b/>
          <w:bCs/>
          <w:sz w:val="24"/>
        </w:rPr>
        <w:t xml:space="preserve">které vedou banky </w:t>
      </w:r>
      <w:r w:rsidR="00D04342" w:rsidRPr="00205B34">
        <w:rPr>
          <w:rFonts w:ascii="Calibri" w:hAnsi="Calibri" w:cs="Calibri"/>
          <w:b/>
          <w:bCs/>
          <w:sz w:val="24"/>
        </w:rPr>
        <w:t>v</w:t>
      </w:r>
      <w:r w:rsidR="006C0225" w:rsidRPr="00205B34">
        <w:rPr>
          <w:rFonts w:ascii="Calibri" w:hAnsi="Calibri" w:cs="Calibri"/>
          <w:b/>
          <w:bCs/>
          <w:sz w:val="24"/>
        </w:rPr>
        <w:t xml:space="preserve"> </w:t>
      </w:r>
      <w:r w:rsidR="00D04342" w:rsidRPr="00205B34">
        <w:rPr>
          <w:rFonts w:ascii="Calibri" w:hAnsi="Calibri" w:cs="Calibri"/>
          <w:b/>
          <w:bCs/>
          <w:sz w:val="24"/>
        </w:rPr>
        <w:t>evidenci.</w:t>
      </w:r>
      <w:r w:rsidR="007C5A64" w:rsidRPr="00205B34">
        <w:rPr>
          <w:rFonts w:ascii="Calibri" w:hAnsi="Calibri" w:cs="Calibri"/>
          <w:b/>
          <w:bCs/>
          <w:sz w:val="24"/>
        </w:rPr>
        <w:t xml:space="preserve"> </w:t>
      </w:r>
    </w:p>
    <w:p w14:paraId="50E79167" w14:textId="77777777" w:rsidR="00303C1E" w:rsidRPr="00205B34" w:rsidRDefault="00303C1E" w:rsidP="00C62C16">
      <w:pPr>
        <w:autoSpaceDE w:val="0"/>
        <w:autoSpaceDN w:val="0"/>
        <w:adjustRightInd w:val="0"/>
        <w:rPr>
          <w:rFonts w:ascii="Calibri" w:hAnsi="Calibri" w:cs="Calibri"/>
          <w:b/>
          <w:bCs/>
          <w:sz w:val="24"/>
        </w:rPr>
      </w:pPr>
    </w:p>
    <w:p w14:paraId="5EC1F8A7" w14:textId="22CFB328" w:rsidR="0057772E" w:rsidRPr="00205B34" w:rsidRDefault="00283E43" w:rsidP="00C62C16">
      <w:pPr>
        <w:autoSpaceDE w:val="0"/>
        <w:autoSpaceDN w:val="0"/>
        <w:adjustRightInd w:val="0"/>
        <w:rPr>
          <w:rFonts w:ascii="Calibri" w:hAnsi="Calibri" w:cs="Calibri"/>
          <w:b/>
          <w:bCs/>
          <w:sz w:val="24"/>
        </w:rPr>
      </w:pPr>
      <w:r w:rsidRPr="00205B34">
        <w:rPr>
          <w:rFonts w:ascii="Calibri" w:hAnsi="Calibri" w:cs="Calibri"/>
          <w:b/>
          <w:bCs/>
          <w:sz w:val="24"/>
        </w:rPr>
        <w:t xml:space="preserve">7. </w:t>
      </w:r>
      <w:r w:rsidR="00CD3A87" w:rsidRPr="00205B34">
        <w:rPr>
          <w:rFonts w:ascii="Calibri" w:hAnsi="Calibri" w:cs="Calibri"/>
          <w:b/>
          <w:bCs/>
          <w:sz w:val="24"/>
        </w:rPr>
        <w:t>SFRB hradil v</w:t>
      </w:r>
      <w:r w:rsidR="007C5A64" w:rsidRPr="00205B34">
        <w:rPr>
          <w:rFonts w:ascii="Calibri" w:hAnsi="Calibri" w:cs="Calibri"/>
          <w:b/>
          <w:bCs/>
          <w:sz w:val="24"/>
        </w:rPr>
        <w:t xml:space="preserve">ysoké výdaje </w:t>
      </w:r>
      <w:r w:rsidR="00EA40FE" w:rsidRPr="00205B34">
        <w:rPr>
          <w:rFonts w:ascii="Calibri" w:hAnsi="Calibri" w:cs="Calibri"/>
          <w:b/>
          <w:bCs/>
          <w:sz w:val="24"/>
        </w:rPr>
        <w:t>bankám</w:t>
      </w:r>
      <w:r w:rsidR="00FD5465" w:rsidRPr="00205B34">
        <w:rPr>
          <w:rFonts w:ascii="Calibri" w:hAnsi="Calibri" w:cs="Calibri"/>
          <w:b/>
          <w:sz w:val="24"/>
        </w:rPr>
        <w:t xml:space="preserve"> </w:t>
      </w:r>
      <w:r w:rsidR="007C5A64" w:rsidRPr="00205B34">
        <w:rPr>
          <w:rFonts w:ascii="Calibri" w:hAnsi="Calibri" w:cs="Calibri"/>
          <w:b/>
          <w:bCs/>
          <w:sz w:val="24"/>
        </w:rPr>
        <w:t xml:space="preserve">za administraci </w:t>
      </w:r>
      <w:r w:rsidR="006E4E11" w:rsidRPr="00205B34">
        <w:rPr>
          <w:rFonts w:ascii="Calibri" w:hAnsi="Calibri" w:cs="Calibri"/>
          <w:b/>
          <w:bCs/>
          <w:sz w:val="24"/>
        </w:rPr>
        <w:t>části</w:t>
      </w:r>
      <w:r w:rsidR="00CD3A87" w:rsidRPr="00205B34">
        <w:rPr>
          <w:rFonts w:ascii="Calibri" w:hAnsi="Calibri" w:cs="Calibri"/>
          <w:b/>
          <w:bCs/>
          <w:sz w:val="24"/>
        </w:rPr>
        <w:t xml:space="preserve"> poskytovaných</w:t>
      </w:r>
      <w:r w:rsidR="006E4E11" w:rsidRPr="00205B34">
        <w:rPr>
          <w:rFonts w:ascii="Calibri" w:hAnsi="Calibri" w:cs="Calibri"/>
          <w:b/>
          <w:bCs/>
          <w:sz w:val="24"/>
        </w:rPr>
        <w:t xml:space="preserve"> </w:t>
      </w:r>
      <w:r w:rsidR="00956E54" w:rsidRPr="00205B34">
        <w:rPr>
          <w:rFonts w:ascii="Calibri" w:hAnsi="Calibri" w:cs="Calibri"/>
          <w:b/>
          <w:bCs/>
          <w:sz w:val="24"/>
        </w:rPr>
        <w:t>podpor, přesto</w:t>
      </w:r>
      <w:r w:rsidR="001731A3" w:rsidRPr="00205B34">
        <w:rPr>
          <w:rFonts w:ascii="Calibri" w:hAnsi="Calibri" w:cs="Calibri"/>
          <w:b/>
          <w:bCs/>
          <w:sz w:val="24"/>
        </w:rPr>
        <w:t>že byl zřízen za účelem poskytování podpor bydlení</w:t>
      </w:r>
      <w:r w:rsidR="00FD5465" w:rsidRPr="00205B34">
        <w:rPr>
          <w:rFonts w:ascii="Calibri" w:hAnsi="Calibri" w:cs="Calibri"/>
          <w:b/>
          <w:bCs/>
          <w:sz w:val="24"/>
        </w:rPr>
        <w:t xml:space="preserve">. Tyto výdaje činily </w:t>
      </w:r>
      <w:r w:rsidR="00504109" w:rsidRPr="00205B34">
        <w:rPr>
          <w:rFonts w:ascii="Calibri" w:hAnsi="Calibri" w:cs="Calibri"/>
          <w:b/>
          <w:bCs/>
          <w:sz w:val="24"/>
        </w:rPr>
        <w:t xml:space="preserve">od roku 2011 do června 2015 celkem </w:t>
      </w:r>
      <w:r w:rsidR="00964FBC" w:rsidRPr="00205B34">
        <w:rPr>
          <w:rFonts w:ascii="Calibri" w:hAnsi="Calibri" w:cs="Calibri"/>
          <w:b/>
          <w:bCs/>
          <w:sz w:val="24"/>
        </w:rPr>
        <w:t>470,48</w:t>
      </w:r>
      <w:r w:rsidR="00504109" w:rsidRPr="00205B34">
        <w:rPr>
          <w:rFonts w:ascii="Calibri" w:hAnsi="Calibri" w:cs="Calibri"/>
          <w:b/>
          <w:bCs/>
          <w:sz w:val="24"/>
        </w:rPr>
        <w:t xml:space="preserve"> mil. Kč, tj. </w:t>
      </w:r>
      <w:r w:rsidR="009805E4" w:rsidRPr="00205B34">
        <w:rPr>
          <w:rFonts w:ascii="Calibri" w:hAnsi="Calibri" w:cs="Calibri"/>
          <w:b/>
          <w:bCs/>
          <w:sz w:val="24"/>
        </w:rPr>
        <w:t>65</w:t>
      </w:r>
      <w:r w:rsidR="007C5A64" w:rsidRPr="00205B34">
        <w:rPr>
          <w:rFonts w:ascii="Calibri" w:hAnsi="Calibri" w:cs="Calibri"/>
          <w:b/>
          <w:bCs/>
          <w:sz w:val="24"/>
        </w:rPr>
        <w:t xml:space="preserve"> % z</w:t>
      </w:r>
      <w:r w:rsidR="006C0225" w:rsidRPr="00205B34">
        <w:rPr>
          <w:rFonts w:ascii="Calibri" w:hAnsi="Calibri" w:cs="Calibri"/>
          <w:b/>
          <w:bCs/>
          <w:sz w:val="24"/>
        </w:rPr>
        <w:t xml:space="preserve"> </w:t>
      </w:r>
      <w:r w:rsidR="00FD5465" w:rsidRPr="00205B34">
        <w:rPr>
          <w:rFonts w:ascii="Calibri" w:hAnsi="Calibri" w:cs="Calibri"/>
          <w:b/>
          <w:bCs/>
          <w:sz w:val="24"/>
        </w:rPr>
        <w:t xml:space="preserve">celkových </w:t>
      </w:r>
      <w:r w:rsidR="007C5A64" w:rsidRPr="00205B34">
        <w:rPr>
          <w:rFonts w:ascii="Calibri" w:hAnsi="Calibri" w:cs="Calibri"/>
          <w:b/>
          <w:bCs/>
          <w:sz w:val="24"/>
        </w:rPr>
        <w:t xml:space="preserve">výdajů </w:t>
      </w:r>
      <w:r w:rsidR="009C6E11" w:rsidRPr="00205B34">
        <w:rPr>
          <w:rFonts w:ascii="Calibri" w:hAnsi="Calibri" w:cs="Calibri"/>
          <w:b/>
          <w:bCs/>
          <w:sz w:val="24"/>
        </w:rPr>
        <w:t>SFRB spojených s jeho</w:t>
      </w:r>
      <w:r w:rsidR="007C5A64" w:rsidRPr="00205B34">
        <w:rPr>
          <w:rFonts w:ascii="Calibri" w:hAnsi="Calibri" w:cs="Calibri"/>
          <w:b/>
          <w:bCs/>
          <w:sz w:val="24"/>
        </w:rPr>
        <w:t xml:space="preserve"> správou.</w:t>
      </w:r>
    </w:p>
    <w:p w14:paraId="526D0F82" w14:textId="77777777" w:rsidR="00FE4EF6" w:rsidRPr="00205B34" w:rsidRDefault="00FE4EF6" w:rsidP="00C62C16">
      <w:pPr>
        <w:autoSpaceDE w:val="0"/>
        <w:autoSpaceDN w:val="0"/>
        <w:adjustRightInd w:val="0"/>
        <w:rPr>
          <w:rFonts w:ascii="Calibri" w:hAnsi="Calibri" w:cs="Calibri"/>
          <w:b/>
          <w:bCs/>
          <w:sz w:val="24"/>
        </w:rPr>
      </w:pPr>
    </w:p>
    <w:p w14:paraId="3CF8DD32" w14:textId="69EA3890" w:rsidR="00496B6F" w:rsidRPr="00205B34" w:rsidRDefault="00283E43" w:rsidP="00C62C16">
      <w:pPr>
        <w:autoSpaceDE w:val="0"/>
        <w:autoSpaceDN w:val="0"/>
        <w:adjustRightInd w:val="0"/>
        <w:rPr>
          <w:rFonts w:ascii="Calibri" w:hAnsi="Calibri" w:cs="Calibri"/>
          <w:b/>
          <w:bCs/>
          <w:sz w:val="24"/>
        </w:rPr>
      </w:pPr>
      <w:r w:rsidRPr="00205B34">
        <w:rPr>
          <w:rFonts w:ascii="Calibri" w:hAnsi="Calibri" w:cs="Calibri"/>
          <w:b/>
          <w:bCs/>
          <w:sz w:val="24"/>
        </w:rPr>
        <w:t>8</w:t>
      </w:r>
      <w:r w:rsidR="00997EC3" w:rsidRPr="00205B34">
        <w:rPr>
          <w:rFonts w:ascii="Calibri" w:hAnsi="Calibri" w:cs="Calibri"/>
          <w:b/>
          <w:bCs/>
          <w:sz w:val="24"/>
        </w:rPr>
        <w:t xml:space="preserve">. </w:t>
      </w:r>
      <w:r w:rsidR="002845C2" w:rsidRPr="00205B34">
        <w:rPr>
          <w:rFonts w:ascii="Calibri" w:hAnsi="Calibri" w:cs="Calibri"/>
          <w:b/>
          <w:bCs/>
          <w:sz w:val="24"/>
        </w:rPr>
        <w:t>Při kontrole devíti</w:t>
      </w:r>
      <w:r w:rsidR="00F06607" w:rsidRPr="00205B34">
        <w:rPr>
          <w:rFonts w:ascii="Calibri" w:hAnsi="Calibri" w:cs="Calibri"/>
          <w:b/>
          <w:bCs/>
          <w:sz w:val="24"/>
        </w:rPr>
        <w:t xml:space="preserve"> příjemců dotací </w:t>
      </w:r>
      <w:r w:rsidR="00E25933" w:rsidRPr="00205B34">
        <w:rPr>
          <w:rFonts w:ascii="Calibri" w:hAnsi="Calibri" w:cs="Calibri"/>
          <w:b/>
          <w:bCs/>
          <w:sz w:val="24"/>
        </w:rPr>
        <w:t>NKÚ posoudil zjištěné nedostatky</w:t>
      </w:r>
      <w:r w:rsidR="00997EC3" w:rsidRPr="00205B34">
        <w:rPr>
          <w:rFonts w:ascii="Calibri" w:hAnsi="Calibri" w:cs="Calibri"/>
          <w:b/>
          <w:bCs/>
          <w:sz w:val="24"/>
        </w:rPr>
        <w:t xml:space="preserve"> </w:t>
      </w:r>
      <w:r w:rsidR="002845C2" w:rsidRPr="00205B34">
        <w:rPr>
          <w:rFonts w:ascii="Calibri" w:hAnsi="Calibri" w:cs="Calibri"/>
          <w:b/>
          <w:bCs/>
          <w:sz w:val="24"/>
        </w:rPr>
        <w:t>u tří z</w:t>
      </w:r>
      <w:r w:rsidR="006C0225" w:rsidRPr="00205B34">
        <w:rPr>
          <w:rFonts w:ascii="Calibri" w:hAnsi="Calibri" w:cs="Calibri"/>
          <w:b/>
          <w:bCs/>
          <w:sz w:val="24"/>
        </w:rPr>
        <w:t xml:space="preserve"> </w:t>
      </w:r>
      <w:r w:rsidR="002845C2" w:rsidRPr="00205B34">
        <w:rPr>
          <w:rFonts w:ascii="Calibri" w:hAnsi="Calibri" w:cs="Calibri"/>
          <w:b/>
          <w:bCs/>
          <w:sz w:val="24"/>
        </w:rPr>
        <w:t xml:space="preserve">nich </w:t>
      </w:r>
      <w:r w:rsidR="00E25933" w:rsidRPr="00205B34">
        <w:rPr>
          <w:rFonts w:ascii="Calibri" w:hAnsi="Calibri" w:cs="Calibri"/>
          <w:b/>
          <w:bCs/>
          <w:sz w:val="24"/>
        </w:rPr>
        <w:t xml:space="preserve">jako </w:t>
      </w:r>
      <w:r w:rsidR="00DC16BC" w:rsidRPr="00205B34">
        <w:rPr>
          <w:rFonts w:ascii="Calibri" w:hAnsi="Calibri" w:cs="Calibri"/>
          <w:b/>
          <w:sz w:val="24"/>
        </w:rPr>
        <w:t>porušení rozpočtové</w:t>
      </w:r>
      <w:r w:rsidR="00554E6F" w:rsidRPr="00205B34">
        <w:rPr>
          <w:rFonts w:ascii="Calibri" w:hAnsi="Calibri" w:cs="Calibri"/>
          <w:b/>
          <w:sz w:val="24"/>
        </w:rPr>
        <w:t xml:space="preserve"> kázně</w:t>
      </w:r>
      <w:r w:rsidR="00633A17" w:rsidRPr="00205B34">
        <w:rPr>
          <w:rFonts w:ascii="Calibri" w:hAnsi="Calibri" w:cs="Calibri"/>
          <w:b/>
          <w:sz w:val="24"/>
        </w:rPr>
        <w:t xml:space="preserve"> </w:t>
      </w:r>
      <w:r w:rsidR="00467C75">
        <w:rPr>
          <w:rFonts w:ascii="Calibri" w:hAnsi="Calibri" w:cs="Calibri"/>
          <w:b/>
          <w:sz w:val="24"/>
        </w:rPr>
        <w:t>v celkové</w:t>
      </w:r>
      <w:r w:rsidR="009E0356" w:rsidRPr="00205B34">
        <w:rPr>
          <w:rFonts w:ascii="Calibri" w:hAnsi="Calibri" w:cs="Calibri"/>
          <w:b/>
          <w:sz w:val="24"/>
        </w:rPr>
        <w:t xml:space="preserve"> výši 8,55 mil.</w:t>
      </w:r>
      <w:r w:rsidR="00F37EA2" w:rsidRPr="00205B34">
        <w:rPr>
          <w:rFonts w:ascii="Calibri" w:hAnsi="Calibri" w:cs="Calibri"/>
          <w:b/>
          <w:sz w:val="24"/>
        </w:rPr>
        <w:t xml:space="preserve"> Kč </w:t>
      </w:r>
      <w:r w:rsidR="002845C2" w:rsidRPr="00205B34">
        <w:rPr>
          <w:rFonts w:ascii="Calibri" w:hAnsi="Calibri" w:cs="Calibri"/>
          <w:b/>
          <w:sz w:val="24"/>
        </w:rPr>
        <w:t>z</w:t>
      </w:r>
      <w:r w:rsidR="006C0225" w:rsidRPr="00205B34">
        <w:rPr>
          <w:rFonts w:ascii="Calibri" w:hAnsi="Calibri" w:cs="Calibri"/>
          <w:b/>
          <w:sz w:val="24"/>
        </w:rPr>
        <w:t xml:space="preserve"> </w:t>
      </w:r>
      <w:r w:rsidR="002845C2" w:rsidRPr="00205B34">
        <w:rPr>
          <w:rFonts w:ascii="Calibri" w:hAnsi="Calibri" w:cs="Calibri"/>
          <w:b/>
          <w:sz w:val="24"/>
        </w:rPr>
        <w:t xml:space="preserve">důvodu nedodržení podmínek </w:t>
      </w:r>
      <w:r w:rsidR="00467C75">
        <w:rPr>
          <w:rFonts w:ascii="Calibri" w:hAnsi="Calibri" w:cs="Calibri"/>
          <w:b/>
          <w:sz w:val="24"/>
        </w:rPr>
        <w:t>r</w:t>
      </w:r>
      <w:r w:rsidR="002845C2" w:rsidRPr="00205B34">
        <w:rPr>
          <w:rFonts w:ascii="Calibri" w:hAnsi="Calibri" w:cs="Calibri"/>
          <w:b/>
          <w:sz w:val="24"/>
        </w:rPr>
        <w:t>o</w:t>
      </w:r>
      <w:r w:rsidR="00CD6C1A" w:rsidRPr="00205B34">
        <w:rPr>
          <w:rFonts w:ascii="Calibri" w:hAnsi="Calibri" w:cs="Calibri"/>
          <w:b/>
          <w:sz w:val="24"/>
        </w:rPr>
        <w:t>zhodnutí o poskytnutí dotace. V dalších</w:t>
      </w:r>
      <w:r w:rsidR="002845C2" w:rsidRPr="00205B34">
        <w:rPr>
          <w:rFonts w:ascii="Calibri" w:hAnsi="Calibri" w:cs="Calibri"/>
          <w:b/>
          <w:sz w:val="24"/>
        </w:rPr>
        <w:t xml:space="preserve"> případech byla zjištěna </w:t>
      </w:r>
      <w:r w:rsidR="00AD378D">
        <w:rPr>
          <w:rFonts w:ascii="Calibri" w:hAnsi="Calibri" w:cs="Calibri"/>
          <w:b/>
          <w:sz w:val="24"/>
        </w:rPr>
        <w:t xml:space="preserve">formální </w:t>
      </w:r>
      <w:r w:rsidR="002845C2" w:rsidRPr="00205B34">
        <w:rPr>
          <w:rFonts w:ascii="Calibri" w:hAnsi="Calibri" w:cs="Calibri"/>
          <w:b/>
          <w:sz w:val="24"/>
        </w:rPr>
        <w:t xml:space="preserve">pochybení, která neměla vliv na užití dotace ani na </w:t>
      </w:r>
      <w:r w:rsidR="00771A5F" w:rsidRPr="00205B34">
        <w:rPr>
          <w:rFonts w:ascii="Calibri" w:hAnsi="Calibri" w:cs="Calibri"/>
          <w:b/>
          <w:sz w:val="24"/>
        </w:rPr>
        <w:t xml:space="preserve">realizaci </w:t>
      </w:r>
      <w:r w:rsidR="002845C2" w:rsidRPr="00205B34">
        <w:rPr>
          <w:rFonts w:ascii="Calibri" w:hAnsi="Calibri" w:cs="Calibri"/>
          <w:b/>
          <w:sz w:val="24"/>
        </w:rPr>
        <w:t>veřejn</w:t>
      </w:r>
      <w:r w:rsidR="00771A5F" w:rsidRPr="00205B34">
        <w:rPr>
          <w:rFonts w:ascii="Calibri" w:hAnsi="Calibri" w:cs="Calibri"/>
          <w:b/>
          <w:sz w:val="24"/>
        </w:rPr>
        <w:t>é</w:t>
      </w:r>
      <w:r w:rsidR="002845C2" w:rsidRPr="00205B34">
        <w:rPr>
          <w:rFonts w:ascii="Calibri" w:hAnsi="Calibri" w:cs="Calibri"/>
          <w:b/>
          <w:sz w:val="24"/>
        </w:rPr>
        <w:t xml:space="preserve"> zakázk</w:t>
      </w:r>
      <w:r w:rsidR="00771A5F" w:rsidRPr="00205B34">
        <w:rPr>
          <w:rFonts w:ascii="Calibri" w:hAnsi="Calibri" w:cs="Calibri"/>
          <w:b/>
          <w:sz w:val="24"/>
        </w:rPr>
        <w:t>y</w:t>
      </w:r>
      <w:r w:rsidR="002845C2" w:rsidRPr="00205B34">
        <w:rPr>
          <w:rFonts w:ascii="Calibri" w:hAnsi="Calibri" w:cs="Calibri"/>
          <w:b/>
          <w:sz w:val="24"/>
        </w:rPr>
        <w:t>.</w:t>
      </w:r>
    </w:p>
    <w:p w14:paraId="30E9E165" w14:textId="77777777" w:rsidR="00A22FC3" w:rsidRPr="00205B34" w:rsidRDefault="00A22FC3" w:rsidP="006A65F3">
      <w:pPr>
        <w:rPr>
          <w:rFonts w:ascii="Calibri" w:hAnsi="Calibri" w:cs="Calibri"/>
          <w:b/>
          <w:sz w:val="24"/>
        </w:rPr>
      </w:pPr>
    </w:p>
    <w:p w14:paraId="0C5B94A0" w14:textId="77777777" w:rsidR="00A22FC3" w:rsidRPr="00205B34" w:rsidRDefault="00A22FC3" w:rsidP="006A65F3">
      <w:pPr>
        <w:rPr>
          <w:rFonts w:ascii="Calibri" w:hAnsi="Calibri" w:cs="Calibri"/>
          <w:b/>
          <w:sz w:val="24"/>
        </w:rPr>
      </w:pPr>
    </w:p>
    <w:p w14:paraId="40EEB9CD" w14:textId="77777777" w:rsidR="00045525" w:rsidRPr="00205B34" w:rsidRDefault="00045525" w:rsidP="00045525">
      <w:pPr>
        <w:jc w:val="center"/>
        <w:rPr>
          <w:rFonts w:ascii="Calibri" w:hAnsi="Calibri" w:cs="Calibri"/>
          <w:b/>
          <w:sz w:val="28"/>
        </w:rPr>
      </w:pPr>
      <w:r w:rsidRPr="00205B34">
        <w:rPr>
          <w:rFonts w:ascii="Calibri" w:hAnsi="Calibri" w:cs="Calibri"/>
          <w:b/>
          <w:sz w:val="28"/>
        </w:rPr>
        <w:t xml:space="preserve">III. Vyhodnocení skutečností zjištěných při kontrole </w:t>
      </w:r>
    </w:p>
    <w:p w14:paraId="215AD699" w14:textId="77777777" w:rsidR="00045525" w:rsidRPr="00205B34" w:rsidRDefault="00045525" w:rsidP="00045525">
      <w:pPr>
        <w:rPr>
          <w:rFonts w:ascii="Calibri" w:hAnsi="Calibri" w:cs="Calibri"/>
          <w:sz w:val="24"/>
        </w:rPr>
      </w:pPr>
    </w:p>
    <w:p w14:paraId="34E77F5A" w14:textId="350227F9" w:rsidR="00045525" w:rsidRPr="00205B34" w:rsidRDefault="00045525" w:rsidP="00045525">
      <w:pPr>
        <w:rPr>
          <w:rFonts w:ascii="Calibri" w:hAnsi="Calibri" w:cs="Calibri"/>
          <w:b/>
          <w:sz w:val="24"/>
        </w:rPr>
      </w:pPr>
      <w:r w:rsidRPr="00205B34">
        <w:rPr>
          <w:rFonts w:ascii="Calibri" w:hAnsi="Calibri" w:cs="Calibri"/>
          <w:b/>
          <w:sz w:val="24"/>
        </w:rPr>
        <w:t xml:space="preserve">Od roku 2011 do října 2015 MMR a SFRB vynaložily na podporu bydlení </w:t>
      </w:r>
      <w:r w:rsidR="001133F5">
        <w:rPr>
          <w:rFonts w:ascii="Calibri" w:hAnsi="Calibri" w:cs="Calibri"/>
          <w:b/>
          <w:sz w:val="24"/>
        </w:rPr>
        <w:t xml:space="preserve">jen </w:t>
      </w:r>
      <w:r w:rsidR="0071381F" w:rsidRPr="00205B34">
        <w:rPr>
          <w:rFonts w:ascii="Calibri" w:hAnsi="Calibri" w:cs="Calibri"/>
          <w:b/>
          <w:sz w:val="24"/>
        </w:rPr>
        <w:t xml:space="preserve">ze státních prostředků </w:t>
      </w:r>
      <w:r w:rsidRPr="00205B34">
        <w:rPr>
          <w:rFonts w:ascii="Calibri" w:hAnsi="Calibri" w:cs="Calibri"/>
          <w:b/>
          <w:sz w:val="24"/>
        </w:rPr>
        <w:t>celkem</w:t>
      </w:r>
      <w:r w:rsidR="006C0225" w:rsidRPr="00205B34">
        <w:rPr>
          <w:rFonts w:ascii="Calibri" w:hAnsi="Calibri" w:cs="Calibri"/>
          <w:b/>
          <w:sz w:val="24"/>
        </w:rPr>
        <w:t xml:space="preserve"> </w:t>
      </w:r>
      <w:r w:rsidRPr="00205B34">
        <w:rPr>
          <w:rFonts w:ascii="Calibri" w:hAnsi="Calibri" w:cs="Calibri"/>
          <w:b/>
          <w:sz w:val="24"/>
        </w:rPr>
        <w:t>8</w:t>
      </w:r>
      <w:r w:rsidR="00490608" w:rsidRPr="00205B34">
        <w:rPr>
          <w:rFonts w:ascii="Calibri" w:hAnsi="Calibri" w:cs="Calibri"/>
          <w:b/>
          <w:sz w:val="24"/>
        </w:rPr>
        <w:t> </w:t>
      </w:r>
      <w:r w:rsidRPr="00205B34">
        <w:rPr>
          <w:rFonts w:ascii="Calibri" w:hAnsi="Calibri" w:cs="Calibri"/>
          <w:b/>
          <w:sz w:val="24"/>
        </w:rPr>
        <w:t>325,43</w:t>
      </w:r>
      <w:r w:rsidR="00490608" w:rsidRPr="00205B34">
        <w:rPr>
          <w:rFonts w:ascii="Calibri" w:hAnsi="Calibri" w:cs="Calibri"/>
          <w:b/>
          <w:sz w:val="24"/>
        </w:rPr>
        <w:t> </w:t>
      </w:r>
      <w:r w:rsidRPr="00205B34">
        <w:rPr>
          <w:rFonts w:ascii="Calibri" w:hAnsi="Calibri" w:cs="Calibri"/>
          <w:b/>
          <w:sz w:val="24"/>
        </w:rPr>
        <w:t>mil. Kč a 5</w:t>
      </w:r>
      <w:r w:rsidR="005522F1">
        <w:rPr>
          <w:rFonts w:ascii="Calibri" w:hAnsi="Calibri" w:cs="Calibri"/>
          <w:b/>
          <w:sz w:val="24"/>
        </w:rPr>
        <w:t> </w:t>
      </w:r>
      <w:r w:rsidRPr="00205B34">
        <w:rPr>
          <w:rFonts w:ascii="Calibri" w:hAnsi="Calibri" w:cs="Calibri"/>
          <w:b/>
          <w:sz w:val="24"/>
        </w:rPr>
        <w:t>453,40 mil. Kč</w:t>
      </w:r>
      <w:r w:rsidRPr="00205B34">
        <w:rPr>
          <w:rFonts w:ascii="Calibri" w:hAnsi="Calibri" w:cs="Calibri"/>
          <w:b/>
          <w:sz w:val="24"/>
          <w:vertAlign w:val="superscript"/>
        </w:rPr>
        <w:footnoteReference w:id="5"/>
      </w:r>
      <w:r w:rsidRPr="00205B34">
        <w:rPr>
          <w:rFonts w:ascii="Calibri" w:hAnsi="Calibri" w:cs="Calibri"/>
          <w:b/>
          <w:sz w:val="24"/>
        </w:rPr>
        <w:t xml:space="preserve"> z</w:t>
      </w:r>
      <w:r w:rsidR="0071381F">
        <w:rPr>
          <w:rFonts w:ascii="Calibri" w:hAnsi="Calibri" w:cs="Calibri"/>
          <w:b/>
          <w:sz w:val="24"/>
        </w:rPr>
        <w:t> </w:t>
      </w:r>
      <w:r w:rsidRPr="00205B34">
        <w:rPr>
          <w:rFonts w:ascii="Calibri" w:hAnsi="Calibri" w:cs="Calibri"/>
          <w:b/>
          <w:sz w:val="24"/>
        </w:rPr>
        <w:t xml:space="preserve">prostředků </w:t>
      </w:r>
      <w:r w:rsidRPr="00E819ED">
        <w:rPr>
          <w:rFonts w:ascii="Calibri" w:hAnsi="Calibri" w:cs="Calibri"/>
          <w:b/>
          <w:i/>
          <w:sz w:val="24"/>
        </w:rPr>
        <w:t>Integrovaného operačního programu</w:t>
      </w:r>
      <w:r w:rsidRPr="00205B34">
        <w:rPr>
          <w:rFonts w:ascii="Calibri" w:hAnsi="Calibri" w:cs="Calibri"/>
          <w:b/>
          <w:sz w:val="24"/>
        </w:rPr>
        <w:t>. Kontrola se zaměřila mj. na účinnost opatření k</w:t>
      </w:r>
      <w:r w:rsidR="006C0225" w:rsidRPr="00205B34">
        <w:rPr>
          <w:rFonts w:ascii="Calibri" w:hAnsi="Calibri" w:cs="Calibri"/>
          <w:b/>
          <w:sz w:val="24"/>
        </w:rPr>
        <w:t xml:space="preserve"> </w:t>
      </w:r>
      <w:r w:rsidRPr="00205B34">
        <w:rPr>
          <w:rFonts w:ascii="Calibri" w:hAnsi="Calibri" w:cs="Calibri"/>
          <w:b/>
          <w:sz w:val="24"/>
        </w:rPr>
        <w:t xml:space="preserve">nápravě nedostatků zjištěných při kontrolní akci </w:t>
      </w:r>
      <w:r w:rsidRPr="00E819ED">
        <w:rPr>
          <w:rFonts w:ascii="Calibri" w:hAnsi="Calibri" w:cs="Calibri"/>
          <w:b/>
          <w:sz w:val="24"/>
        </w:rPr>
        <w:t>č.</w:t>
      </w:r>
      <w:r w:rsidR="006C0225" w:rsidRPr="00E819ED">
        <w:rPr>
          <w:rFonts w:ascii="Calibri" w:hAnsi="Calibri" w:cs="Calibri"/>
          <w:b/>
          <w:sz w:val="24"/>
        </w:rPr>
        <w:t xml:space="preserve"> </w:t>
      </w:r>
      <w:r w:rsidRPr="00E819ED">
        <w:rPr>
          <w:rFonts w:ascii="Calibri" w:hAnsi="Calibri" w:cs="Calibri"/>
          <w:b/>
          <w:sz w:val="24"/>
        </w:rPr>
        <w:t>09/24</w:t>
      </w:r>
      <w:r w:rsidR="0071381F">
        <w:rPr>
          <w:rFonts w:ascii="Calibri" w:hAnsi="Calibri" w:cs="Calibri"/>
          <w:b/>
          <w:sz w:val="24"/>
        </w:rPr>
        <w:t> –</w:t>
      </w:r>
      <w:r w:rsidRPr="0071381F">
        <w:rPr>
          <w:rFonts w:ascii="Calibri" w:hAnsi="Calibri" w:cs="Calibri"/>
          <w:b/>
          <w:i/>
          <w:sz w:val="24"/>
        </w:rPr>
        <w:t xml:space="preserve"> </w:t>
      </w:r>
      <w:r w:rsidRPr="00205B34">
        <w:rPr>
          <w:rFonts w:ascii="Calibri" w:hAnsi="Calibri" w:cs="Calibri"/>
          <w:b/>
          <w:i/>
          <w:sz w:val="24"/>
        </w:rPr>
        <w:t>Peněžní prostředky určené na podporu bydlení</w:t>
      </w:r>
      <w:r w:rsidRPr="00205B34">
        <w:rPr>
          <w:rFonts w:ascii="Calibri" w:hAnsi="Calibri" w:cs="Calibri"/>
          <w:b/>
          <w:sz w:val="24"/>
        </w:rPr>
        <w:t xml:space="preserve">, kterou NKÚ provedl v době od října 2009 do května 2010. </w:t>
      </w:r>
      <w:r w:rsidR="00AD378D">
        <w:rPr>
          <w:rFonts w:ascii="Calibri" w:hAnsi="Calibri" w:cs="Calibri"/>
          <w:b/>
          <w:sz w:val="24"/>
        </w:rPr>
        <w:t>Nápravná</w:t>
      </w:r>
      <w:r w:rsidRPr="00205B34">
        <w:rPr>
          <w:rFonts w:ascii="Calibri" w:hAnsi="Calibri" w:cs="Calibri"/>
          <w:b/>
          <w:sz w:val="24"/>
        </w:rPr>
        <w:t xml:space="preserve"> opatření </w:t>
      </w:r>
      <w:r w:rsidR="00AD378D">
        <w:rPr>
          <w:rFonts w:ascii="Calibri" w:hAnsi="Calibri" w:cs="Calibri"/>
          <w:b/>
          <w:sz w:val="24"/>
        </w:rPr>
        <w:t xml:space="preserve">realizovaná </w:t>
      </w:r>
      <w:r w:rsidRPr="00205B34">
        <w:rPr>
          <w:rFonts w:ascii="Calibri" w:hAnsi="Calibri" w:cs="Calibri"/>
          <w:b/>
          <w:sz w:val="24"/>
        </w:rPr>
        <w:t>s</w:t>
      </w:r>
      <w:r w:rsidR="0051464E">
        <w:rPr>
          <w:rFonts w:ascii="Calibri" w:hAnsi="Calibri" w:cs="Calibri"/>
          <w:b/>
          <w:sz w:val="24"/>
        </w:rPr>
        <w:t> </w:t>
      </w:r>
      <w:r w:rsidRPr="00205B34">
        <w:rPr>
          <w:rFonts w:ascii="Calibri" w:hAnsi="Calibri" w:cs="Calibri"/>
          <w:b/>
          <w:sz w:val="24"/>
        </w:rPr>
        <w:t>cílem odstranit nedostatky podle usnesení vlády ze dne 1. prosince 2010 č. 856</w:t>
      </w:r>
      <w:r w:rsidRPr="00205B34">
        <w:rPr>
          <w:rFonts w:ascii="Calibri" w:hAnsi="Calibri" w:cs="Calibri"/>
          <w:b/>
          <w:sz w:val="24"/>
          <w:vertAlign w:val="superscript"/>
        </w:rPr>
        <w:footnoteReference w:id="6"/>
      </w:r>
      <w:r w:rsidRPr="00205B34">
        <w:rPr>
          <w:rFonts w:ascii="Calibri" w:hAnsi="Calibri" w:cs="Calibri"/>
          <w:b/>
          <w:sz w:val="24"/>
        </w:rPr>
        <w:t xml:space="preserve"> nebyla účinná a</w:t>
      </w:r>
      <w:r w:rsidR="00490608" w:rsidRPr="00205B34">
        <w:rPr>
          <w:rFonts w:ascii="Calibri" w:hAnsi="Calibri" w:cs="Calibri"/>
          <w:b/>
          <w:sz w:val="24"/>
        </w:rPr>
        <w:t> </w:t>
      </w:r>
      <w:r w:rsidRPr="00205B34">
        <w:rPr>
          <w:rFonts w:ascii="Calibri" w:hAnsi="Calibri" w:cs="Calibri"/>
          <w:b/>
          <w:sz w:val="24"/>
        </w:rPr>
        <w:t>nedostatky přetrvávaly, jak je uvedeno v</w:t>
      </w:r>
      <w:r w:rsidR="006C0225" w:rsidRPr="00205B34">
        <w:rPr>
          <w:rFonts w:ascii="Calibri" w:hAnsi="Calibri" w:cs="Calibri"/>
          <w:b/>
          <w:sz w:val="24"/>
        </w:rPr>
        <w:t xml:space="preserve"> </w:t>
      </w:r>
      <w:r w:rsidRPr="00205B34">
        <w:rPr>
          <w:rFonts w:ascii="Calibri" w:hAnsi="Calibri" w:cs="Calibri"/>
          <w:b/>
          <w:sz w:val="24"/>
        </w:rPr>
        <w:t>kapitole II. v</w:t>
      </w:r>
      <w:r w:rsidR="006C0225" w:rsidRPr="00205B34">
        <w:rPr>
          <w:rFonts w:ascii="Calibri" w:hAnsi="Calibri" w:cs="Calibri"/>
          <w:b/>
          <w:sz w:val="24"/>
        </w:rPr>
        <w:t xml:space="preserve"> </w:t>
      </w:r>
      <w:r w:rsidRPr="00205B34">
        <w:rPr>
          <w:rFonts w:ascii="Calibri" w:hAnsi="Calibri" w:cs="Calibri"/>
          <w:b/>
          <w:sz w:val="24"/>
        </w:rPr>
        <w:t>bodech 1</w:t>
      </w:r>
      <w:r w:rsidR="00490608" w:rsidRPr="00205B34">
        <w:rPr>
          <w:rFonts w:ascii="Calibri" w:hAnsi="Calibri" w:cs="Calibri"/>
          <w:b/>
          <w:sz w:val="24"/>
        </w:rPr>
        <w:t xml:space="preserve"> až </w:t>
      </w:r>
      <w:r w:rsidRPr="00205B34">
        <w:rPr>
          <w:rFonts w:ascii="Calibri" w:hAnsi="Calibri" w:cs="Calibri"/>
          <w:b/>
          <w:sz w:val="24"/>
        </w:rPr>
        <w:t>6 tohoto kontrolního závěru. Navíc byly zjištěny vysoké výdaje, které hradil SF</w:t>
      </w:r>
      <w:r w:rsidR="00AD378D">
        <w:rPr>
          <w:rFonts w:ascii="Calibri" w:hAnsi="Calibri" w:cs="Calibri"/>
          <w:b/>
          <w:sz w:val="24"/>
        </w:rPr>
        <w:t>R</w:t>
      </w:r>
      <w:r w:rsidRPr="00205B34">
        <w:rPr>
          <w:rFonts w:ascii="Calibri" w:hAnsi="Calibri" w:cs="Calibri"/>
          <w:b/>
          <w:sz w:val="24"/>
        </w:rPr>
        <w:t>B bankám za administraci podpor</w:t>
      </w:r>
      <w:r w:rsidR="0071381F">
        <w:rPr>
          <w:rFonts w:ascii="Calibri" w:hAnsi="Calibri" w:cs="Calibri"/>
          <w:b/>
          <w:sz w:val="24"/>
        </w:rPr>
        <w:t>y</w:t>
      </w:r>
      <w:r w:rsidRPr="00205B34">
        <w:rPr>
          <w:rFonts w:ascii="Calibri" w:hAnsi="Calibri" w:cs="Calibri"/>
          <w:b/>
          <w:sz w:val="24"/>
        </w:rPr>
        <w:t xml:space="preserve"> bydlení. NKÚ proto doporučuje přijmout adekvátní a</w:t>
      </w:r>
      <w:r w:rsidR="0071381F">
        <w:rPr>
          <w:rFonts w:ascii="Calibri" w:hAnsi="Calibri" w:cs="Calibri"/>
          <w:b/>
          <w:sz w:val="24"/>
        </w:rPr>
        <w:t> </w:t>
      </w:r>
      <w:r w:rsidRPr="00205B34">
        <w:rPr>
          <w:rFonts w:ascii="Calibri" w:hAnsi="Calibri" w:cs="Calibri"/>
          <w:b/>
          <w:sz w:val="24"/>
        </w:rPr>
        <w:t>efektivní opatření k</w:t>
      </w:r>
      <w:r w:rsidR="00490608" w:rsidRPr="00205B34">
        <w:rPr>
          <w:rFonts w:ascii="Calibri" w:hAnsi="Calibri" w:cs="Calibri"/>
          <w:b/>
          <w:sz w:val="24"/>
        </w:rPr>
        <w:t> </w:t>
      </w:r>
      <w:r w:rsidRPr="00205B34">
        <w:rPr>
          <w:rFonts w:ascii="Calibri" w:hAnsi="Calibri" w:cs="Calibri"/>
          <w:b/>
          <w:sz w:val="24"/>
        </w:rPr>
        <w:t xml:space="preserve">odstranění všech nedostatků. </w:t>
      </w:r>
    </w:p>
    <w:p w14:paraId="300D7C62" w14:textId="45AA47D4" w:rsidR="00045525" w:rsidRPr="00205B34" w:rsidRDefault="00045525" w:rsidP="00045525">
      <w:pPr>
        <w:rPr>
          <w:rFonts w:ascii="Calibri" w:hAnsi="Calibri" w:cs="Calibri"/>
          <w:b/>
          <w:sz w:val="24"/>
        </w:rPr>
      </w:pPr>
    </w:p>
    <w:p w14:paraId="10698988" w14:textId="406B60C1" w:rsidR="00045525" w:rsidRPr="00205B34" w:rsidRDefault="00045525" w:rsidP="00045525">
      <w:pPr>
        <w:rPr>
          <w:rFonts w:ascii="Calibri" w:hAnsi="Calibri" w:cs="Calibri"/>
          <w:b/>
          <w:sz w:val="24"/>
        </w:rPr>
      </w:pPr>
      <w:r w:rsidRPr="00205B34">
        <w:rPr>
          <w:rFonts w:ascii="Calibri" w:hAnsi="Calibri" w:cs="Calibri"/>
          <w:b/>
          <w:sz w:val="24"/>
        </w:rPr>
        <w:t>U programu, který má dotovat výstavbu podporovaných bytů pro osoby, které jsou znevýhodněny v</w:t>
      </w:r>
      <w:r w:rsidR="006C0225" w:rsidRPr="00205B34">
        <w:rPr>
          <w:rFonts w:ascii="Calibri" w:hAnsi="Calibri" w:cs="Calibri"/>
          <w:b/>
          <w:sz w:val="24"/>
        </w:rPr>
        <w:t xml:space="preserve"> </w:t>
      </w:r>
      <w:r w:rsidRPr="00205B34">
        <w:rPr>
          <w:rFonts w:ascii="Calibri" w:hAnsi="Calibri" w:cs="Calibri"/>
          <w:b/>
          <w:sz w:val="24"/>
        </w:rPr>
        <w:t>přístupu k bydlení, by mělo MMR nastavit systém sběru informací tak, aby po přiznání dotace mohlo sledovat, zda jsou byty skutečně využívány stanovenou cílovou skupinou.</w:t>
      </w:r>
    </w:p>
    <w:p w14:paraId="10C3D728" w14:textId="77777777" w:rsidR="00C17D27" w:rsidRPr="00205B34" w:rsidRDefault="00C17D27" w:rsidP="00C4470F">
      <w:pPr>
        <w:rPr>
          <w:rFonts w:ascii="Calibri" w:hAnsi="Calibri" w:cs="Calibri"/>
          <w:strike/>
          <w:sz w:val="24"/>
        </w:rPr>
      </w:pPr>
    </w:p>
    <w:p w14:paraId="4A972091" w14:textId="77777777" w:rsidR="004656E8" w:rsidRPr="00205B34" w:rsidRDefault="004656E8">
      <w:pPr>
        <w:rPr>
          <w:rFonts w:ascii="Calibri" w:hAnsi="Calibri" w:cs="Calibri"/>
          <w:sz w:val="24"/>
        </w:rPr>
      </w:pPr>
    </w:p>
    <w:p w14:paraId="6FF56E54" w14:textId="77777777" w:rsidR="0071381F" w:rsidRDefault="0071381F">
      <w:pPr>
        <w:spacing w:after="160" w:line="259" w:lineRule="auto"/>
        <w:jc w:val="left"/>
        <w:rPr>
          <w:rFonts w:asciiTheme="minorHAnsi" w:hAnsiTheme="minorHAnsi" w:cstheme="minorHAnsi"/>
          <w:b/>
          <w:sz w:val="28"/>
        </w:rPr>
      </w:pPr>
      <w:r>
        <w:rPr>
          <w:rFonts w:asciiTheme="minorHAnsi" w:hAnsiTheme="minorHAnsi" w:cstheme="minorHAnsi"/>
          <w:b/>
          <w:sz w:val="28"/>
        </w:rPr>
        <w:br w:type="page"/>
      </w:r>
    </w:p>
    <w:p w14:paraId="22C931F8" w14:textId="6629E2FA" w:rsidR="0003387D" w:rsidRPr="00205B34" w:rsidRDefault="00B4403D" w:rsidP="0003387D">
      <w:pPr>
        <w:jc w:val="center"/>
        <w:rPr>
          <w:rFonts w:asciiTheme="minorHAnsi" w:hAnsiTheme="minorHAnsi" w:cstheme="minorHAnsi"/>
          <w:b/>
          <w:sz w:val="28"/>
        </w:rPr>
      </w:pPr>
      <w:r w:rsidRPr="00205B34">
        <w:rPr>
          <w:rFonts w:asciiTheme="minorHAnsi" w:hAnsiTheme="minorHAnsi" w:cstheme="minorHAnsi"/>
          <w:b/>
          <w:sz w:val="28"/>
        </w:rPr>
        <w:lastRenderedPageBreak/>
        <w:t>IV</w:t>
      </w:r>
      <w:r w:rsidR="0003387D" w:rsidRPr="00205B34">
        <w:rPr>
          <w:rFonts w:asciiTheme="minorHAnsi" w:hAnsiTheme="minorHAnsi" w:cstheme="minorHAnsi"/>
          <w:b/>
          <w:sz w:val="28"/>
        </w:rPr>
        <w:t>. Podrobnější informace ke zjištěným skutečnostem</w:t>
      </w:r>
    </w:p>
    <w:p w14:paraId="1B8EC206" w14:textId="77777777" w:rsidR="00B8795D" w:rsidRPr="00626B6D" w:rsidRDefault="00B8795D" w:rsidP="00B8795D">
      <w:pPr>
        <w:pStyle w:val="Odstavecseseznamem"/>
        <w:spacing w:after="0" w:line="240" w:lineRule="auto"/>
        <w:ind w:left="0"/>
        <w:jc w:val="both"/>
        <w:rPr>
          <w:rFonts w:cstheme="minorHAnsi"/>
          <w:b/>
          <w:sz w:val="24"/>
          <w:szCs w:val="24"/>
        </w:rPr>
      </w:pPr>
    </w:p>
    <w:p w14:paraId="4EB62C3B" w14:textId="190846D2" w:rsidR="00B8795D" w:rsidRPr="00626B6D" w:rsidRDefault="00B8795D" w:rsidP="00697EA4">
      <w:pPr>
        <w:pStyle w:val="Odstavecseseznamem"/>
        <w:spacing w:after="0" w:line="240" w:lineRule="auto"/>
        <w:ind w:left="0"/>
        <w:jc w:val="both"/>
        <w:rPr>
          <w:rFonts w:cstheme="minorHAnsi"/>
          <w:sz w:val="24"/>
          <w:szCs w:val="24"/>
        </w:rPr>
      </w:pPr>
      <w:r w:rsidRPr="00626B6D">
        <w:rPr>
          <w:rFonts w:cstheme="minorHAnsi"/>
          <w:b/>
          <w:sz w:val="24"/>
          <w:szCs w:val="24"/>
        </w:rPr>
        <w:t>1.</w:t>
      </w:r>
      <w:r w:rsidRPr="00DF79AE">
        <w:rPr>
          <w:rFonts w:cstheme="minorHAnsi"/>
        </w:rPr>
        <w:t xml:space="preserve"> </w:t>
      </w:r>
      <w:r w:rsidR="00DF79AE" w:rsidRPr="00626B6D">
        <w:rPr>
          <w:rFonts w:asciiTheme="minorHAnsi" w:hAnsiTheme="minorHAnsi" w:cstheme="minorHAnsi"/>
          <w:sz w:val="24"/>
          <w:szCs w:val="24"/>
        </w:rPr>
        <w:t>K</w:t>
      </w:r>
      <w:r w:rsidR="006C0225">
        <w:rPr>
          <w:rFonts w:asciiTheme="minorHAnsi" w:hAnsiTheme="minorHAnsi" w:cstheme="minorHAnsi"/>
          <w:sz w:val="24"/>
          <w:szCs w:val="24"/>
        </w:rPr>
        <w:t xml:space="preserve"> </w:t>
      </w:r>
      <w:r w:rsidR="00DF79AE" w:rsidRPr="00626B6D">
        <w:rPr>
          <w:rFonts w:asciiTheme="minorHAnsi" w:hAnsiTheme="minorHAnsi" w:cstheme="minorHAnsi"/>
          <w:sz w:val="24"/>
          <w:szCs w:val="24"/>
        </w:rPr>
        <w:t xml:space="preserve">finančním nástrojům, které mají </w:t>
      </w:r>
      <w:r w:rsidR="00AD378D">
        <w:rPr>
          <w:rFonts w:asciiTheme="minorHAnsi" w:hAnsiTheme="minorHAnsi" w:cstheme="minorHAnsi"/>
          <w:sz w:val="24"/>
          <w:szCs w:val="24"/>
        </w:rPr>
        <w:t xml:space="preserve">pomoci </w:t>
      </w:r>
      <w:r w:rsidR="00342081" w:rsidRPr="00626B6D">
        <w:rPr>
          <w:rFonts w:asciiTheme="minorHAnsi" w:hAnsiTheme="minorHAnsi" w:cstheme="minorHAnsi"/>
          <w:sz w:val="24"/>
          <w:szCs w:val="24"/>
        </w:rPr>
        <w:t>realizovat Koncepci</w:t>
      </w:r>
      <w:r w:rsidR="00DF79AE" w:rsidRPr="00626B6D">
        <w:rPr>
          <w:rFonts w:asciiTheme="minorHAnsi" w:hAnsiTheme="minorHAnsi" w:cstheme="minorHAnsi"/>
          <w:sz w:val="24"/>
          <w:szCs w:val="24"/>
        </w:rPr>
        <w:t>, patří programy a další podpory, které poskytuj</w:t>
      </w:r>
      <w:r w:rsidR="00AD378D">
        <w:rPr>
          <w:rFonts w:asciiTheme="minorHAnsi" w:hAnsiTheme="minorHAnsi" w:cstheme="minorHAnsi"/>
          <w:sz w:val="24"/>
          <w:szCs w:val="24"/>
        </w:rPr>
        <w:t>í</w:t>
      </w:r>
      <w:r w:rsidR="00DF79AE" w:rsidRPr="00626B6D">
        <w:rPr>
          <w:rFonts w:asciiTheme="minorHAnsi" w:hAnsiTheme="minorHAnsi" w:cstheme="minorHAnsi"/>
          <w:sz w:val="24"/>
          <w:szCs w:val="24"/>
        </w:rPr>
        <w:t xml:space="preserve"> MMR a SFRB formou dotací, úvěrů a záruk za bankovní úvěry, ale </w:t>
      </w:r>
      <w:r w:rsidR="002E00DB" w:rsidRPr="00626B6D">
        <w:rPr>
          <w:rFonts w:asciiTheme="minorHAnsi" w:hAnsiTheme="minorHAnsi" w:cstheme="minorHAnsi"/>
          <w:sz w:val="24"/>
          <w:szCs w:val="24"/>
        </w:rPr>
        <w:t>také</w:t>
      </w:r>
      <w:r w:rsidR="00DF79AE" w:rsidRPr="00626B6D">
        <w:rPr>
          <w:rFonts w:asciiTheme="minorHAnsi" w:hAnsiTheme="minorHAnsi" w:cstheme="minorHAnsi"/>
          <w:sz w:val="24"/>
          <w:szCs w:val="24"/>
        </w:rPr>
        <w:t xml:space="preserve"> Ministerstvo financí</w:t>
      </w:r>
      <w:r w:rsidR="00002C7F" w:rsidRPr="00626B6D">
        <w:rPr>
          <w:rFonts w:asciiTheme="minorHAnsi" w:hAnsiTheme="minorHAnsi" w:cstheme="minorHAnsi"/>
          <w:sz w:val="24"/>
          <w:szCs w:val="24"/>
        </w:rPr>
        <w:t>, M</w:t>
      </w:r>
      <w:r w:rsidR="00DF79AE" w:rsidRPr="00626B6D">
        <w:rPr>
          <w:rFonts w:asciiTheme="minorHAnsi" w:hAnsiTheme="minorHAnsi" w:cstheme="minorHAnsi"/>
          <w:sz w:val="24"/>
          <w:szCs w:val="24"/>
        </w:rPr>
        <w:t>inisterstvo životního prostředí, resp. Státní fond životního prostředí, Ministerstvo práce a sociálních věcí a Ministerstvo vnitra</w:t>
      </w:r>
      <w:r w:rsidR="00002C7F" w:rsidRPr="00626B6D">
        <w:rPr>
          <w:rFonts w:asciiTheme="minorHAnsi" w:hAnsiTheme="minorHAnsi" w:cstheme="minorHAnsi"/>
          <w:sz w:val="24"/>
          <w:szCs w:val="24"/>
        </w:rPr>
        <w:t>.</w:t>
      </w:r>
      <w:r w:rsidR="00DF79AE" w:rsidRPr="00626B6D">
        <w:rPr>
          <w:rFonts w:asciiTheme="minorHAnsi" w:hAnsiTheme="minorHAnsi" w:cstheme="minorHAnsi"/>
          <w:sz w:val="24"/>
          <w:szCs w:val="24"/>
        </w:rPr>
        <w:t xml:space="preserve"> Vláda ČR uložila </w:t>
      </w:r>
      <w:r w:rsidR="00342081" w:rsidRPr="00626B6D">
        <w:rPr>
          <w:rFonts w:asciiTheme="minorHAnsi" w:hAnsiTheme="minorHAnsi" w:cstheme="minorHAnsi"/>
          <w:sz w:val="24"/>
          <w:szCs w:val="24"/>
        </w:rPr>
        <w:t>ministrům uvedených ministerstev</w:t>
      </w:r>
      <w:r w:rsidR="00DF79AE" w:rsidRPr="00626B6D">
        <w:rPr>
          <w:rFonts w:asciiTheme="minorHAnsi" w:hAnsiTheme="minorHAnsi" w:cstheme="minorHAnsi"/>
          <w:sz w:val="24"/>
          <w:szCs w:val="24"/>
        </w:rPr>
        <w:t xml:space="preserve"> zabezpečit plnění úkolů u</w:t>
      </w:r>
      <w:r w:rsidR="00342081" w:rsidRPr="00626B6D">
        <w:rPr>
          <w:rFonts w:asciiTheme="minorHAnsi" w:hAnsiTheme="minorHAnsi" w:cstheme="minorHAnsi"/>
          <w:sz w:val="24"/>
          <w:szCs w:val="24"/>
        </w:rPr>
        <w:t>ložených v</w:t>
      </w:r>
      <w:r w:rsidR="006C0225">
        <w:rPr>
          <w:rFonts w:asciiTheme="minorHAnsi" w:hAnsiTheme="minorHAnsi" w:cstheme="minorHAnsi"/>
          <w:sz w:val="24"/>
          <w:szCs w:val="24"/>
        </w:rPr>
        <w:t xml:space="preserve"> </w:t>
      </w:r>
      <w:r w:rsidR="00342081" w:rsidRPr="00626B6D">
        <w:rPr>
          <w:rFonts w:asciiTheme="minorHAnsi" w:hAnsiTheme="minorHAnsi" w:cstheme="minorHAnsi"/>
          <w:sz w:val="24"/>
          <w:szCs w:val="24"/>
        </w:rPr>
        <w:t>Koncepci</w:t>
      </w:r>
      <w:r w:rsidR="00002C7F" w:rsidRPr="00626B6D">
        <w:rPr>
          <w:rFonts w:asciiTheme="minorHAnsi" w:hAnsiTheme="minorHAnsi" w:cstheme="minorHAnsi"/>
          <w:sz w:val="24"/>
          <w:szCs w:val="24"/>
        </w:rPr>
        <w:t xml:space="preserve">. </w:t>
      </w:r>
      <w:r w:rsidR="00342081" w:rsidRPr="00626B6D">
        <w:rPr>
          <w:rFonts w:asciiTheme="minorHAnsi" w:hAnsiTheme="minorHAnsi" w:cstheme="minorHAnsi"/>
          <w:sz w:val="24"/>
          <w:szCs w:val="24"/>
        </w:rPr>
        <w:t>Jednou z</w:t>
      </w:r>
      <w:r w:rsidR="00214020">
        <w:rPr>
          <w:rFonts w:asciiTheme="minorHAnsi" w:hAnsiTheme="minorHAnsi" w:cstheme="minorHAnsi"/>
          <w:sz w:val="24"/>
          <w:szCs w:val="24"/>
        </w:rPr>
        <w:t> </w:t>
      </w:r>
      <w:r w:rsidR="00342081" w:rsidRPr="00626B6D">
        <w:rPr>
          <w:rFonts w:asciiTheme="minorHAnsi" w:hAnsiTheme="minorHAnsi" w:cstheme="minorHAnsi"/>
          <w:sz w:val="24"/>
          <w:szCs w:val="24"/>
        </w:rPr>
        <w:t>priorit této K</w:t>
      </w:r>
      <w:r w:rsidR="00152C03" w:rsidRPr="00626B6D">
        <w:rPr>
          <w:rFonts w:asciiTheme="minorHAnsi" w:hAnsiTheme="minorHAnsi" w:cstheme="minorHAnsi"/>
          <w:sz w:val="24"/>
          <w:szCs w:val="24"/>
        </w:rPr>
        <w:t>oncepce je „</w:t>
      </w:r>
      <w:r w:rsidR="00152C03" w:rsidRPr="00E819ED">
        <w:rPr>
          <w:rFonts w:asciiTheme="minorHAnsi" w:hAnsiTheme="minorHAnsi" w:cstheme="minorHAnsi"/>
          <w:i/>
          <w:sz w:val="24"/>
          <w:szCs w:val="24"/>
        </w:rPr>
        <w:t>d</w:t>
      </w:r>
      <w:r w:rsidR="00A22FC3" w:rsidRPr="00E819ED">
        <w:rPr>
          <w:rFonts w:asciiTheme="minorHAnsi" w:hAnsiTheme="minorHAnsi" w:cstheme="minorHAnsi"/>
          <w:i/>
          <w:sz w:val="24"/>
          <w:szCs w:val="24"/>
        </w:rPr>
        <w:t>ůsledné vymezení odpovědnosti a</w:t>
      </w:r>
      <w:r w:rsidR="006C0225" w:rsidRPr="00E819ED">
        <w:rPr>
          <w:rFonts w:asciiTheme="minorHAnsi" w:hAnsiTheme="minorHAnsi" w:cstheme="minorHAnsi"/>
          <w:i/>
          <w:sz w:val="24"/>
          <w:szCs w:val="24"/>
        </w:rPr>
        <w:t xml:space="preserve"> </w:t>
      </w:r>
      <w:r w:rsidR="00152C03" w:rsidRPr="00E819ED">
        <w:rPr>
          <w:rFonts w:asciiTheme="minorHAnsi" w:hAnsiTheme="minorHAnsi" w:cstheme="minorHAnsi"/>
          <w:i/>
          <w:sz w:val="24"/>
          <w:szCs w:val="24"/>
        </w:rPr>
        <w:t>koordinace aktivit státu v</w:t>
      </w:r>
      <w:r w:rsidR="00214020">
        <w:rPr>
          <w:rFonts w:asciiTheme="minorHAnsi" w:hAnsiTheme="minorHAnsi" w:cstheme="minorHAnsi"/>
          <w:i/>
          <w:sz w:val="24"/>
          <w:szCs w:val="24"/>
        </w:rPr>
        <w:t> </w:t>
      </w:r>
      <w:r w:rsidR="00152C03" w:rsidRPr="00E819ED">
        <w:rPr>
          <w:rFonts w:asciiTheme="minorHAnsi" w:hAnsiTheme="minorHAnsi" w:cstheme="minorHAnsi"/>
          <w:i/>
          <w:sz w:val="24"/>
          <w:szCs w:val="24"/>
        </w:rPr>
        <w:t>ob</w:t>
      </w:r>
      <w:r w:rsidR="00E1725D" w:rsidRPr="00E819ED">
        <w:rPr>
          <w:rFonts w:asciiTheme="minorHAnsi" w:hAnsiTheme="minorHAnsi" w:cstheme="minorHAnsi"/>
          <w:i/>
          <w:sz w:val="24"/>
          <w:szCs w:val="24"/>
        </w:rPr>
        <w:t>lasti politiky bydlení</w:t>
      </w:r>
      <w:r w:rsidR="00E1725D" w:rsidRPr="00626B6D">
        <w:rPr>
          <w:rFonts w:asciiTheme="minorHAnsi" w:hAnsiTheme="minorHAnsi" w:cstheme="minorHAnsi"/>
          <w:sz w:val="24"/>
          <w:szCs w:val="24"/>
        </w:rPr>
        <w:t xml:space="preserve">“. </w:t>
      </w:r>
      <w:r w:rsidR="00AD378D">
        <w:rPr>
          <w:rFonts w:asciiTheme="minorHAnsi" w:hAnsiTheme="minorHAnsi" w:cstheme="minorHAnsi"/>
          <w:sz w:val="24"/>
          <w:szCs w:val="24"/>
        </w:rPr>
        <w:t>Dalším</w:t>
      </w:r>
      <w:r w:rsidR="00DF79AE" w:rsidRPr="00626B6D">
        <w:rPr>
          <w:rFonts w:asciiTheme="minorHAnsi" w:hAnsiTheme="minorHAnsi" w:cstheme="minorHAnsi"/>
          <w:sz w:val="24"/>
          <w:szCs w:val="24"/>
        </w:rPr>
        <w:t xml:space="preserve"> z</w:t>
      </w:r>
      <w:r w:rsidR="006C0225">
        <w:rPr>
          <w:rFonts w:asciiTheme="minorHAnsi" w:hAnsiTheme="minorHAnsi" w:cstheme="minorHAnsi"/>
          <w:sz w:val="24"/>
          <w:szCs w:val="24"/>
        </w:rPr>
        <w:t xml:space="preserve"> </w:t>
      </w:r>
      <w:r w:rsidR="00DF79AE" w:rsidRPr="00626B6D">
        <w:rPr>
          <w:rFonts w:asciiTheme="minorHAnsi" w:hAnsiTheme="minorHAnsi" w:cstheme="minorHAnsi"/>
          <w:sz w:val="24"/>
          <w:szCs w:val="24"/>
        </w:rPr>
        <w:t>jejích úkolů pro všechny státní orgány bylo „</w:t>
      </w:r>
      <w:r w:rsidR="00DF79AE" w:rsidRPr="00E819ED">
        <w:rPr>
          <w:rFonts w:asciiTheme="minorHAnsi" w:hAnsiTheme="minorHAnsi" w:cstheme="minorHAnsi"/>
          <w:i/>
          <w:sz w:val="24"/>
          <w:szCs w:val="24"/>
        </w:rPr>
        <w:t>respektovat kompetenci a odpovědnost MMR při realizaci státní bytové politiky</w:t>
      </w:r>
      <w:r w:rsidR="00DF79AE" w:rsidRPr="00626B6D">
        <w:rPr>
          <w:rFonts w:asciiTheme="minorHAnsi" w:hAnsiTheme="minorHAnsi" w:cstheme="minorHAnsi"/>
          <w:sz w:val="24"/>
          <w:szCs w:val="24"/>
        </w:rPr>
        <w:t>“.</w:t>
      </w:r>
      <w:r w:rsidRPr="00626B6D">
        <w:rPr>
          <w:rFonts w:asciiTheme="minorHAnsi" w:hAnsiTheme="minorHAnsi" w:cstheme="minorHAnsi"/>
          <w:sz w:val="24"/>
          <w:szCs w:val="24"/>
        </w:rPr>
        <w:t xml:space="preserve"> MMR vyhodnocovalo na základě informací získaných o</w:t>
      </w:r>
      <w:r w:rsidR="00342081" w:rsidRPr="00626B6D">
        <w:rPr>
          <w:rFonts w:asciiTheme="minorHAnsi" w:hAnsiTheme="minorHAnsi" w:cstheme="minorHAnsi"/>
          <w:sz w:val="24"/>
          <w:szCs w:val="24"/>
        </w:rPr>
        <w:t>d SFRB</w:t>
      </w:r>
      <w:r w:rsidRPr="00626B6D">
        <w:rPr>
          <w:rFonts w:asciiTheme="minorHAnsi" w:hAnsiTheme="minorHAnsi" w:cstheme="minorHAnsi"/>
          <w:sz w:val="24"/>
          <w:szCs w:val="24"/>
        </w:rPr>
        <w:t xml:space="preserve"> a </w:t>
      </w:r>
      <w:r w:rsidR="007D4FD2" w:rsidRPr="00626B6D">
        <w:rPr>
          <w:rFonts w:asciiTheme="minorHAnsi" w:hAnsiTheme="minorHAnsi" w:cstheme="minorHAnsi"/>
          <w:sz w:val="24"/>
          <w:szCs w:val="24"/>
        </w:rPr>
        <w:t xml:space="preserve">od </w:t>
      </w:r>
      <w:r w:rsidRPr="00626B6D">
        <w:rPr>
          <w:rFonts w:asciiTheme="minorHAnsi" w:hAnsiTheme="minorHAnsi" w:cstheme="minorHAnsi"/>
          <w:sz w:val="24"/>
          <w:szCs w:val="24"/>
        </w:rPr>
        <w:t>zúčastně</w:t>
      </w:r>
      <w:r w:rsidR="00F3709C" w:rsidRPr="00626B6D">
        <w:rPr>
          <w:rFonts w:asciiTheme="minorHAnsi" w:hAnsiTheme="minorHAnsi" w:cstheme="minorHAnsi"/>
          <w:sz w:val="24"/>
          <w:szCs w:val="24"/>
        </w:rPr>
        <w:t>ných ministerstev plnění úkolů K</w:t>
      </w:r>
      <w:r w:rsidRPr="00626B6D">
        <w:rPr>
          <w:rFonts w:asciiTheme="minorHAnsi" w:hAnsiTheme="minorHAnsi" w:cstheme="minorHAnsi"/>
          <w:sz w:val="24"/>
          <w:szCs w:val="24"/>
        </w:rPr>
        <w:t>oncepce, ale věcné zaměření podpor bydlení</w:t>
      </w:r>
      <w:r w:rsidR="00CD6C1A" w:rsidRPr="00626B6D">
        <w:rPr>
          <w:rFonts w:asciiTheme="minorHAnsi" w:hAnsiTheme="minorHAnsi" w:cstheme="minorHAnsi"/>
          <w:sz w:val="24"/>
          <w:szCs w:val="24"/>
        </w:rPr>
        <w:t xml:space="preserve"> poskytovaných zúčastněnými ministerstvy</w:t>
      </w:r>
      <w:r w:rsidR="00E70849">
        <w:rPr>
          <w:rFonts w:asciiTheme="minorHAnsi" w:hAnsiTheme="minorHAnsi" w:cstheme="minorHAnsi"/>
          <w:sz w:val="24"/>
          <w:szCs w:val="24"/>
        </w:rPr>
        <w:t xml:space="preserve"> </w:t>
      </w:r>
      <w:r w:rsidR="00AD378D">
        <w:rPr>
          <w:rFonts w:asciiTheme="minorHAnsi" w:hAnsiTheme="minorHAnsi" w:cstheme="minorHAnsi"/>
          <w:sz w:val="24"/>
          <w:szCs w:val="24"/>
        </w:rPr>
        <w:t xml:space="preserve">ani </w:t>
      </w:r>
      <w:r w:rsidRPr="00626B6D">
        <w:rPr>
          <w:rFonts w:asciiTheme="minorHAnsi" w:hAnsiTheme="minorHAnsi" w:cstheme="minorHAnsi"/>
          <w:sz w:val="24"/>
          <w:szCs w:val="24"/>
        </w:rPr>
        <w:t>jejich finanční zajištění nekoordinovalo</w:t>
      </w:r>
      <w:r w:rsidR="00EA40FE" w:rsidRPr="00626B6D">
        <w:rPr>
          <w:rFonts w:asciiTheme="minorHAnsi" w:hAnsiTheme="minorHAnsi" w:cstheme="minorHAnsi"/>
          <w:sz w:val="24"/>
          <w:szCs w:val="24"/>
        </w:rPr>
        <w:t>.</w:t>
      </w:r>
      <w:r w:rsidRPr="00626B6D">
        <w:rPr>
          <w:rFonts w:asciiTheme="minorHAnsi" w:hAnsiTheme="minorHAnsi" w:cstheme="minorHAnsi"/>
          <w:sz w:val="24"/>
          <w:szCs w:val="24"/>
        </w:rPr>
        <w:t xml:space="preserve"> </w:t>
      </w:r>
      <w:r w:rsidR="00CD6C1A" w:rsidRPr="00626B6D">
        <w:rPr>
          <w:rFonts w:asciiTheme="minorHAnsi" w:hAnsiTheme="minorHAnsi" w:cstheme="minorHAnsi"/>
          <w:sz w:val="24"/>
          <w:szCs w:val="24"/>
        </w:rPr>
        <w:t>Z</w:t>
      </w:r>
      <w:r w:rsidR="00CD6C1A" w:rsidRPr="00626B6D">
        <w:rPr>
          <w:rFonts w:asciiTheme="minorHAnsi" w:eastAsia="Times New Roman" w:hAnsiTheme="minorHAnsi" w:cstheme="minorHAnsi"/>
          <w:iCs/>
          <w:sz w:val="24"/>
          <w:szCs w:val="24"/>
        </w:rPr>
        <w:t>áměry ostatních ministerstev mohlo ovlivňovat jen v</w:t>
      </w:r>
      <w:r w:rsidR="00357A49">
        <w:rPr>
          <w:rFonts w:asciiTheme="minorHAnsi" w:eastAsia="Times New Roman" w:hAnsiTheme="minorHAnsi" w:cstheme="minorHAnsi"/>
          <w:iCs/>
          <w:sz w:val="24"/>
          <w:szCs w:val="24"/>
        </w:rPr>
        <w:t> </w:t>
      </w:r>
      <w:r w:rsidR="00CD6C1A" w:rsidRPr="00626B6D">
        <w:rPr>
          <w:rFonts w:asciiTheme="minorHAnsi" w:eastAsia="Times New Roman" w:hAnsiTheme="minorHAnsi" w:cstheme="minorHAnsi"/>
          <w:iCs/>
          <w:sz w:val="24"/>
          <w:szCs w:val="24"/>
        </w:rPr>
        <w:t>rámci meziresortního připomínkového řízení při předkládání materiálů do vlády nebo v</w:t>
      </w:r>
      <w:r w:rsidR="00490608">
        <w:rPr>
          <w:rFonts w:asciiTheme="minorHAnsi" w:eastAsia="Times New Roman" w:hAnsiTheme="minorHAnsi" w:cstheme="minorHAnsi"/>
          <w:iCs/>
          <w:sz w:val="24"/>
          <w:szCs w:val="24"/>
        </w:rPr>
        <w:t> </w:t>
      </w:r>
      <w:r w:rsidR="00CD6C1A" w:rsidRPr="00626B6D">
        <w:rPr>
          <w:rFonts w:asciiTheme="minorHAnsi" w:eastAsia="Times New Roman" w:hAnsiTheme="minorHAnsi" w:cstheme="minorHAnsi"/>
          <w:iCs/>
          <w:sz w:val="24"/>
          <w:szCs w:val="24"/>
        </w:rPr>
        <w:t>rámci pracovních jednání a</w:t>
      </w:r>
      <w:r w:rsidR="006C0225">
        <w:rPr>
          <w:rFonts w:asciiTheme="minorHAnsi" w:eastAsia="Times New Roman" w:hAnsiTheme="minorHAnsi" w:cstheme="minorHAnsi"/>
          <w:iCs/>
          <w:sz w:val="24"/>
          <w:szCs w:val="24"/>
        </w:rPr>
        <w:t xml:space="preserve"> </w:t>
      </w:r>
      <w:r w:rsidR="00CD6C1A" w:rsidRPr="00626B6D">
        <w:rPr>
          <w:rFonts w:asciiTheme="minorHAnsi" w:eastAsia="Times New Roman" w:hAnsiTheme="minorHAnsi" w:cstheme="minorHAnsi"/>
          <w:iCs/>
          <w:sz w:val="24"/>
          <w:szCs w:val="24"/>
        </w:rPr>
        <w:t>konzultací. S</w:t>
      </w:r>
      <w:r w:rsidR="006C0225">
        <w:rPr>
          <w:rFonts w:asciiTheme="minorHAnsi" w:eastAsia="Times New Roman" w:hAnsiTheme="minorHAnsi" w:cstheme="minorHAnsi"/>
          <w:iCs/>
          <w:sz w:val="24"/>
          <w:szCs w:val="24"/>
        </w:rPr>
        <w:t xml:space="preserve"> </w:t>
      </w:r>
      <w:r w:rsidRPr="00626B6D">
        <w:rPr>
          <w:rFonts w:asciiTheme="minorHAnsi" w:eastAsia="Times New Roman" w:hAnsiTheme="minorHAnsi" w:cstheme="minorHAnsi"/>
          <w:iCs/>
          <w:sz w:val="24"/>
          <w:szCs w:val="24"/>
        </w:rPr>
        <w:t>ministerst</w:t>
      </w:r>
      <w:r w:rsidR="00CD6C1A" w:rsidRPr="00626B6D">
        <w:rPr>
          <w:rFonts w:asciiTheme="minorHAnsi" w:eastAsia="Times New Roman" w:hAnsiTheme="minorHAnsi" w:cstheme="minorHAnsi"/>
          <w:iCs/>
          <w:sz w:val="24"/>
          <w:szCs w:val="24"/>
        </w:rPr>
        <w:t xml:space="preserve">vy </w:t>
      </w:r>
      <w:r w:rsidRPr="00626B6D">
        <w:rPr>
          <w:rFonts w:asciiTheme="minorHAnsi" w:eastAsia="Times New Roman" w:hAnsiTheme="minorHAnsi" w:cstheme="minorHAnsi"/>
          <w:iCs/>
          <w:sz w:val="24"/>
          <w:szCs w:val="24"/>
        </w:rPr>
        <w:t xml:space="preserve">spolupracovalo, ale nemělo dostatečné nástroje, jak záměry bytové politiky plně prosadit. </w:t>
      </w:r>
      <w:r w:rsidR="007D4FD2" w:rsidRPr="00626B6D">
        <w:rPr>
          <w:rFonts w:asciiTheme="minorHAnsi" w:eastAsia="Times New Roman" w:hAnsiTheme="minorHAnsi" w:cstheme="minorHAnsi"/>
          <w:iCs/>
          <w:sz w:val="24"/>
          <w:szCs w:val="24"/>
        </w:rPr>
        <w:t xml:space="preserve">Důsledkem </w:t>
      </w:r>
      <w:r w:rsidR="00E929AE" w:rsidRPr="00626B6D">
        <w:rPr>
          <w:rFonts w:asciiTheme="minorHAnsi" w:eastAsia="Times New Roman" w:hAnsiTheme="minorHAnsi" w:cstheme="minorHAnsi"/>
          <w:iCs/>
          <w:sz w:val="24"/>
          <w:szCs w:val="24"/>
        </w:rPr>
        <w:t>uvedených skutečností</w:t>
      </w:r>
      <w:r w:rsidR="007D4FD2" w:rsidRPr="00626B6D">
        <w:rPr>
          <w:rFonts w:asciiTheme="minorHAnsi" w:eastAsia="Times New Roman" w:hAnsiTheme="minorHAnsi" w:cstheme="minorHAnsi"/>
          <w:iCs/>
          <w:sz w:val="24"/>
          <w:szCs w:val="24"/>
        </w:rPr>
        <w:t xml:space="preserve"> byl</w:t>
      </w:r>
      <w:r w:rsidR="00E25933" w:rsidRPr="00626B6D">
        <w:rPr>
          <w:rFonts w:asciiTheme="minorHAnsi" w:eastAsia="Times New Roman" w:hAnsiTheme="minorHAnsi" w:cstheme="minorHAnsi"/>
          <w:iCs/>
          <w:sz w:val="24"/>
          <w:szCs w:val="24"/>
        </w:rPr>
        <w:t>o</w:t>
      </w:r>
      <w:r w:rsidR="007D4FD2" w:rsidRPr="00626B6D">
        <w:rPr>
          <w:rFonts w:asciiTheme="minorHAnsi" w:eastAsia="Times New Roman" w:hAnsiTheme="minorHAnsi" w:cstheme="minorHAnsi"/>
          <w:iCs/>
          <w:sz w:val="24"/>
          <w:szCs w:val="24"/>
        </w:rPr>
        <w:t xml:space="preserve"> například</w:t>
      </w:r>
      <w:r w:rsidR="00E25933" w:rsidRPr="00626B6D">
        <w:rPr>
          <w:rFonts w:asciiTheme="minorHAnsi" w:eastAsia="Times New Roman" w:hAnsiTheme="minorHAnsi" w:cstheme="minorHAnsi"/>
          <w:iCs/>
          <w:sz w:val="24"/>
          <w:szCs w:val="24"/>
        </w:rPr>
        <w:t xml:space="preserve"> schválení</w:t>
      </w:r>
      <w:r w:rsidR="007D4FD2" w:rsidRPr="00626B6D">
        <w:rPr>
          <w:rFonts w:asciiTheme="minorHAnsi" w:eastAsia="Times New Roman" w:hAnsiTheme="minorHAnsi" w:cstheme="minorHAnsi"/>
          <w:iCs/>
          <w:sz w:val="24"/>
          <w:szCs w:val="24"/>
        </w:rPr>
        <w:t xml:space="preserve"> </w:t>
      </w:r>
      <w:r w:rsidR="00E929AE" w:rsidRPr="00E819ED">
        <w:rPr>
          <w:rFonts w:asciiTheme="minorHAnsi" w:eastAsia="Times New Roman" w:hAnsiTheme="minorHAnsi" w:cstheme="minorHAnsi"/>
          <w:i/>
          <w:iCs/>
          <w:sz w:val="24"/>
          <w:szCs w:val="24"/>
        </w:rPr>
        <w:t>Koncepce sociálního bydlení České republiky</w:t>
      </w:r>
      <w:r w:rsidR="00AD378D">
        <w:rPr>
          <w:rFonts w:asciiTheme="minorHAnsi" w:eastAsia="Times New Roman" w:hAnsiTheme="minorHAnsi" w:cstheme="minorHAnsi"/>
          <w:i/>
          <w:iCs/>
          <w:sz w:val="24"/>
          <w:szCs w:val="24"/>
        </w:rPr>
        <w:t xml:space="preserve"> na léta 2015–2025</w:t>
      </w:r>
      <w:r w:rsidR="00E929AE" w:rsidRPr="00626B6D">
        <w:rPr>
          <w:rFonts w:asciiTheme="minorHAnsi" w:eastAsia="Times New Roman" w:hAnsiTheme="minorHAnsi" w:cstheme="minorHAnsi"/>
          <w:iCs/>
          <w:sz w:val="24"/>
          <w:szCs w:val="24"/>
        </w:rPr>
        <w:t xml:space="preserve"> vlád</w:t>
      </w:r>
      <w:r w:rsidR="00E85286" w:rsidRPr="00626B6D">
        <w:rPr>
          <w:rFonts w:asciiTheme="minorHAnsi" w:eastAsia="Times New Roman" w:hAnsiTheme="minorHAnsi" w:cstheme="minorHAnsi"/>
          <w:iCs/>
          <w:sz w:val="24"/>
          <w:szCs w:val="24"/>
        </w:rPr>
        <w:t>ou</w:t>
      </w:r>
      <w:r w:rsidR="00956E54" w:rsidRPr="00626B6D">
        <w:rPr>
          <w:rFonts w:asciiTheme="minorHAnsi" w:eastAsia="Times New Roman" w:hAnsiTheme="minorHAnsi" w:cstheme="minorHAnsi"/>
          <w:iCs/>
          <w:sz w:val="24"/>
          <w:szCs w:val="24"/>
        </w:rPr>
        <w:t xml:space="preserve"> ČR </w:t>
      </w:r>
      <w:r w:rsidR="00E929AE" w:rsidRPr="00626B6D">
        <w:rPr>
          <w:rFonts w:asciiTheme="minorHAnsi" w:eastAsia="Times New Roman" w:hAnsiTheme="minorHAnsi" w:cstheme="minorHAnsi"/>
          <w:iCs/>
          <w:sz w:val="24"/>
          <w:szCs w:val="24"/>
        </w:rPr>
        <w:t>v</w:t>
      </w:r>
      <w:r w:rsidR="00357A49">
        <w:rPr>
          <w:rFonts w:asciiTheme="minorHAnsi" w:eastAsia="Times New Roman" w:hAnsiTheme="minorHAnsi" w:cstheme="minorHAnsi"/>
          <w:iCs/>
          <w:sz w:val="24"/>
          <w:szCs w:val="24"/>
        </w:rPr>
        <w:t> </w:t>
      </w:r>
      <w:r w:rsidR="00E929AE" w:rsidRPr="00626B6D">
        <w:rPr>
          <w:rFonts w:asciiTheme="minorHAnsi" w:eastAsia="Times New Roman" w:hAnsiTheme="minorHAnsi" w:cstheme="minorHAnsi"/>
          <w:iCs/>
          <w:sz w:val="24"/>
          <w:szCs w:val="24"/>
        </w:rPr>
        <w:t>říjnu 2015</w:t>
      </w:r>
      <w:r w:rsidR="00E929AE" w:rsidRPr="00626B6D">
        <w:rPr>
          <w:rStyle w:val="Znakapoznpodarou"/>
          <w:rFonts w:asciiTheme="minorHAnsi" w:eastAsia="Times New Roman" w:hAnsiTheme="minorHAnsi" w:cstheme="minorHAnsi"/>
          <w:iCs/>
          <w:sz w:val="24"/>
          <w:szCs w:val="24"/>
        </w:rPr>
        <w:footnoteReference w:id="7"/>
      </w:r>
      <w:r w:rsidR="00E85286" w:rsidRPr="00626B6D">
        <w:rPr>
          <w:rFonts w:asciiTheme="minorHAnsi" w:eastAsia="Times New Roman" w:hAnsiTheme="minorHAnsi" w:cstheme="minorHAnsi"/>
          <w:iCs/>
          <w:sz w:val="24"/>
          <w:szCs w:val="24"/>
        </w:rPr>
        <w:t>,</w:t>
      </w:r>
      <w:r w:rsidR="00E929AE" w:rsidRPr="00626B6D">
        <w:rPr>
          <w:rFonts w:asciiTheme="minorHAnsi" w:eastAsia="Times New Roman" w:hAnsiTheme="minorHAnsi" w:cstheme="minorHAnsi"/>
          <w:iCs/>
          <w:sz w:val="24"/>
          <w:szCs w:val="24"/>
        </w:rPr>
        <w:t xml:space="preserve"> jejímž předklada</w:t>
      </w:r>
      <w:r w:rsidR="0051464E">
        <w:rPr>
          <w:rFonts w:asciiTheme="minorHAnsi" w:eastAsia="Times New Roman" w:hAnsiTheme="minorHAnsi" w:cstheme="minorHAnsi"/>
          <w:iCs/>
          <w:sz w:val="24"/>
          <w:szCs w:val="24"/>
        </w:rPr>
        <w:t>telem bylo Ministerstvo práce a </w:t>
      </w:r>
      <w:r w:rsidR="00E929AE" w:rsidRPr="00626B6D">
        <w:rPr>
          <w:rFonts w:asciiTheme="minorHAnsi" w:eastAsia="Times New Roman" w:hAnsiTheme="minorHAnsi" w:cstheme="minorHAnsi"/>
          <w:iCs/>
          <w:sz w:val="24"/>
          <w:szCs w:val="24"/>
        </w:rPr>
        <w:t>sociálních věcí</w:t>
      </w:r>
      <w:r w:rsidR="00956E54" w:rsidRPr="00626B6D">
        <w:rPr>
          <w:rFonts w:asciiTheme="minorHAnsi" w:eastAsia="Times New Roman" w:hAnsiTheme="minorHAnsi" w:cstheme="minorHAnsi"/>
          <w:iCs/>
          <w:sz w:val="24"/>
          <w:szCs w:val="24"/>
        </w:rPr>
        <w:t>,</w:t>
      </w:r>
      <w:r w:rsidR="009E0356" w:rsidRPr="00626B6D">
        <w:rPr>
          <w:rFonts w:asciiTheme="minorHAnsi" w:eastAsia="Times New Roman" w:hAnsiTheme="minorHAnsi" w:cstheme="minorHAnsi"/>
          <w:iCs/>
          <w:sz w:val="24"/>
          <w:szCs w:val="24"/>
        </w:rPr>
        <w:t xml:space="preserve"> </w:t>
      </w:r>
      <w:r w:rsidR="00956E54" w:rsidRPr="00626B6D">
        <w:rPr>
          <w:rFonts w:asciiTheme="minorHAnsi" w:eastAsia="Times New Roman" w:hAnsiTheme="minorHAnsi" w:cstheme="minorHAnsi"/>
          <w:iCs/>
          <w:sz w:val="24"/>
          <w:szCs w:val="24"/>
        </w:rPr>
        <w:t>ale</w:t>
      </w:r>
      <w:r w:rsidR="00E929AE" w:rsidRPr="00626B6D">
        <w:rPr>
          <w:rFonts w:asciiTheme="minorHAnsi" w:eastAsia="Times New Roman" w:hAnsiTheme="minorHAnsi" w:cstheme="minorHAnsi"/>
          <w:iCs/>
          <w:sz w:val="24"/>
          <w:szCs w:val="24"/>
        </w:rPr>
        <w:t xml:space="preserve"> MMR</w:t>
      </w:r>
      <w:r w:rsidR="00AD378D">
        <w:rPr>
          <w:rFonts w:asciiTheme="minorHAnsi" w:eastAsia="Times New Roman" w:hAnsiTheme="minorHAnsi" w:cstheme="minorHAnsi"/>
          <w:iCs/>
          <w:sz w:val="24"/>
          <w:szCs w:val="24"/>
        </w:rPr>
        <w:t xml:space="preserve"> ji</w:t>
      </w:r>
      <w:r w:rsidR="00C704A2" w:rsidRPr="00626B6D">
        <w:rPr>
          <w:rFonts w:asciiTheme="minorHAnsi" w:eastAsia="Times New Roman" w:hAnsiTheme="minorHAnsi" w:cstheme="minorHAnsi"/>
          <w:iCs/>
          <w:sz w:val="24"/>
          <w:szCs w:val="24"/>
        </w:rPr>
        <w:t xml:space="preserve"> </w:t>
      </w:r>
      <w:r w:rsidR="00E929AE" w:rsidRPr="00626B6D">
        <w:rPr>
          <w:rFonts w:asciiTheme="minorHAnsi" w:eastAsia="Times New Roman" w:hAnsiTheme="minorHAnsi" w:cstheme="minorHAnsi"/>
          <w:iCs/>
          <w:sz w:val="24"/>
          <w:szCs w:val="24"/>
        </w:rPr>
        <w:t>nepodpořilo</w:t>
      </w:r>
      <w:r w:rsidR="00521184" w:rsidRPr="00626B6D">
        <w:rPr>
          <w:rFonts w:asciiTheme="minorHAnsi" w:eastAsia="Times New Roman" w:hAnsiTheme="minorHAnsi" w:cstheme="minorHAnsi"/>
          <w:iCs/>
          <w:sz w:val="24"/>
          <w:szCs w:val="24"/>
        </w:rPr>
        <w:t>. Dokonce</w:t>
      </w:r>
      <w:r w:rsidR="00E929AE" w:rsidRPr="00626B6D">
        <w:rPr>
          <w:rFonts w:asciiTheme="minorHAnsi" w:eastAsia="Times New Roman" w:hAnsiTheme="minorHAnsi" w:cstheme="minorHAnsi"/>
          <w:iCs/>
          <w:sz w:val="24"/>
          <w:szCs w:val="24"/>
        </w:rPr>
        <w:t xml:space="preserve"> za n</w:t>
      </w:r>
      <w:r w:rsidR="00357A49">
        <w:rPr>
          <w:rFonts w:asciiTheme="minorHAnsi" w:eastAsia="Times New Roman" w:hAnsiTheme="minorHAnsi" w:cstheme="minorHAnsi"/>
          <w:iCs/>
          <w:sz w:val="24"/>
          <w:szCs w:val="24"/>
        </w:rPr>
        <w:t>i</w:t>
      </w:r>
      <w:r w:rsidR="00E929AE" w:rsidRPr="00626B6D">
        <w:rPr>
          <w:rFonts w:asciiTheme="minorHAnsi" w:eastAsia="Times New Roman" w:hAnsiTheme="minorHAnsi" w:cstheme="minorHAnsi"/>
          <w:iCs/>
          <w:sz w:val="24"/>
          <w:szCs w:val="24"/>
        </w:rPr>
        <w:t xml:space="preserve"> </w:t>
      </w:r>
      <w:r w:rsidR="00AD378D" w:rsidRPr="00626B6D">
        <w:rPr>
          <w:rFonts w:asciiTheme="minorHAnsi" w:eastAsia="Times New Roman" w:hAnsiTheme="minorHAnsi" w:cstheme="minorHAnsi"/>
          <w:iCs/>
          <w:sz w:val="24"/>
          <w:szCs w:val="24"/>
        </w:rPr>
        <w:t xml:space="preserve">odmítlo </w:t>
      </w:r>
      <w:r w:rsidR="00E929AE" w:rsidRPr="00626B6D">
        <w:rPr>
          <w:rFonts w:asciiTheme="minorHAnsi" w:eastAsia="Times New Roman" w:hAnsiTheme="minorHAnsi" w:cstheme="minorHAnsi"/>
          <w:iCs/>
          <w:sz w:val="24"/>
          <w:szCs w:val="24"/>
        </w:rPr>
        <w:t>nést spoluzodpovědnost</w:t>
      </w:r>
      <w:r w:rsidR="00AD378D">
        <w:rPr>
          <w:rFonts w:asciiTheme="minorHAnsi" w:eastAsia="Times New Roman" w:hAnsiTheme="minorHAnsi" w:cstheme="minorHAnsi"/>
          <w:iCs/>
          <w:sz w:val="24"/>
          <w:szCs w:val="24"/>
        </w:rPr>
        <w:t>, a to</w:t>
      </w:r>
      <w:r w:rsidR="00E929AE" w:rsidRPr="00626B6D">
        <w:rPr>
          <w:rFonts w:asciiTheme="minorHAnsi" w:eastAsia="Times New Roman" w:hAnsiTheme="minorHAnsi" w:cstheme="minorHAnsi"/>
          <w:iCs/>
          <w:sz w:val="24"/>
          <w:szCs w:val="24"/>
        </w:rPr>
        <w:t xml:space="preserve"> z</w:t>
      </w:r>
      <w:r w:rsidR="00AD378D">
        <w:rPr>
          <w:rFonts w:asciiTheme="minorHAnsi" w:eastAsia="Times New Roman" w:hAnsiTheme="minorHAnsi" w:cstheme="minorHAnsi"/>
          <w:iCs/>
          <w:sz w:val="24"/>
          <w:szCs w:val="24"/>
        </w:rPr>
        <w:t> toho</w:t>
      </w:r>
      <w:r w:rsidR="006C0225">
        <w:rPr>
          <w:rFonts w:asciiTheme="minorHAnsi" w:eastAsia="Times New Roman" w:hAnsiTheme="minorHAnsi" w:cstheme="minorHAnsi"/>
          <w:iCs/>
          <w:sz w:val="24"/>
          <w:szCs w:val="24"/>
        </w:rPr>
        <w:t xml:space="preserve"> </w:t>
      </w:r>
      <w:r w:rsidR="00E929AE" w:rsidRPr="00626B6D">
        <w:rPr>
          <w:rFonts w:asciiTheme="minorHAnsi" w:eastAsia="Times New Roman" w:hAnsiTheme="minorHAnsi" w:cstheme="minorHAnsi"/>
          <w:iCs/>
          <w:sz w:val="24"/>
          <w:szCs w:val="24"/>
        </w:rPr>
        <w:t>důvodu, že s</w:t>
      </w:r>
      <w:r w:rsidR="0053585F" w:rsidRPr="00626B6D">
        <w:rPr>
          <w:rFonts w:asciiTheme="minorHAnsi" w:eastAsia="Times New Roman" w:hAnsiTheme="minorHAnsi" w:cstheme="minorHAnsi"/>
          <w:iCs/>
          <w:sz w:val="24"/>
          <w:szCs w:val="24"/>
        </w:rPr>
        <w:t>e nedostatečně zabývá vazbami</w:t>
      </w:r>
      <w:r w:rsidR="00E929AE" w:rsidRPr="00626B6D">
        <w:rPr>
          <w:rFonts w:asciiTheme="minorHAnsi" w:eastAsia="Times New Roman" w:hAnsiTheme="minorHAnsi" w:cstheme="minorHAnsi"/>
          <w:iCs/>
          <w:sz w:val="24"/>
          <w:szCs w:val="24"/>
        </w:rPr>
        <w:t xml:space="preserve"> stávající</w:t>
      </w:r>
      <w:r w:rsidR="0053585F" w:rsidRPr="00626B6D">
        <w:rPr>
          <w:rFonts w:asciiTheme="minorHAnsi" w:eastAsia="Times New Roman" w:hAnsiTheme="minorHAnsi" w:cstheme="minorHAnsi"/>
          <w:iCs/>
          <w:sz w:val="24"/>
          <w:szCs w:val="24"/>
        </w:rPr>
        <w:t>ch nástrojů</w:t>
      </w:r>
      <w:r w:rsidR="00A22FC3" w:rsidRPr="00626B6D">
        <w:rPr>
          <w:rFonts w:asciiTheme="minorHAnsi" w:eastAsia="Times New Roman" w:hAnsiTheme="minorHAnsi" w:cstheme="minorHAnsi"/>
          <w:iCs/>
          <w:sz w:val="24"/>
          <w:szCs w:val="24"/>
        </w:rPr>
        <w:t xml:space="preserve"> sociální a</w:t>
      </w:r>
      <w:r w:rsidR="006C0225">
        <w:rPr>
          <w:rFonts w:asciiTheme="minorHAnsi" w:eastAsia="Times New Roman" w:hAnsiTheme="minorHAnsi" w:cstheme="minorHAnsi"/>
          <w:iCs/>
          <w:sz w:val="24"/>
          <w:szCs w:val="24"/>
        </w:rPr>
        <w:t xml:space="preserve"> </w:t>
      </w:r>
      <w:r w:rsidR="00E929AE" w:rsidRPr="00626B6D">
        <w:rPr>
          <w:rFonts w:asciiTheme="minorHAnsi" w:eastAsia="Times New Roman" w:hAnsiTheme="minorHAnsi" w:cstheme="minorHAnsi"/>
          <w:iCs/>
          <w:sz w:val="24"/>
          <w:szCs w:val="24"/>
        </w:rPr>
        <w:t>bytové politiky</w:t>
      </w:r>
      <w:r w:rsidR="0053585F" w:rsidRPr="00626B6D">
        <w:rPr>
          <w:rFonts w:asciiTheme="minorHAnsi" w:eastAsia="Times New Roman" w:hAnsiTheme="minorHAnsi" w:cstheme="minorHAnsi"/>
          <w:iCs/>
          <w:sz w:val="24"/>
          <w:szCs w:val="24"/>
        </w:rPr>
        <w:t xml:space="preserve"> a neprokazuje reálnost a finanční udržitelnost navrženého systému. </w:t>
      </w:r>
    </w:p>
    <w:p w14:paraId="3DCBBB49" w14:textId="77777777" w:rsidR="0003387D" w:rsidRDefault="0003387D">
      <w:pPr>
        <w:rPr>
          <w:rFonts w:asciiTheme="minorHAnsi" w:hAnsiTheme="minorHAnsi" w:cstheme="minorHAnsi"/>
          <w:szCs w:val="22"/>
        </w:rPr>
      </w:pPr>
    </w:p>
    <w:p w14:paraId="4BDCAFEB" w14:textId="6D919AA9" w:rsidR="00002C7F" w:rsidRDefault="00F3404C" w:rsidP="00DB72C9">
      <w:pPr>
        <w:autoSpaceDE w:val="0"/>
        <w:autoSpaceDN w:val="0"/>
        <w:adjustRightInd w:val="0"/>
        <w:rPr>
          <w:rFonts w:asciiTheme="minorHAnsi" w:hAnsiTheme="minorHAnsi" w:cstheme="minorHAnsi"/>
          <w:iCs/>
          <w:sz w:val="24"/>
        </w:rPr>
      </w:pPr>
      <w:r w:rsidRPr="00626B6D">
        <w:rPr>
          <w:rFonts w:asciiTheme="minorHAnsi" w:hAnsiTheme="minorHAnsi" w:cstheme="minorHAnsi"/>
          <w:b/>
          <w:sz w:val="24"/>
        </w:rPr>
        <w:t>2.</w:t>
      </w:r>
      <w:r w:rsidRPr="00DB72C9">
        <w:rPr>
          <w:rFonts w:asciiTheme="minorHAnsi" w:hAnsiTheme="minorHAnsi" w:cstheme="minorHAnsi"/>
          <w:szCs w:val="22"/>
        </w:rPr>
        <w:t xml:space="preserve"> </w:t>
      </w:r>
      <w:r w:rsidR="00342081" w:rsidRPr="00626B6D">
        <w:rPr>
          <w:rFonts w:asciiTheme="minorHAnsi" w:hAnsiTheme="minorHAnsi" w:cstheme="minorHAnsi"/>
          <w:sz w:val="24"/>
        </w:rPr>
        <w:t>V</w:t>
      </w:r>
      <w:r w:rsidR="006C0225">
        <w:rPr>
          <w:rFonts w:asciiTheme="minorHAnsi" w:hAnsiTheme="minorHAnsi" w:cstheme="minorHAnsi"/>
          <w:sz w:val="24"/>
        </w:rPr>
        <w:t xml:space="preserve"> </w:t>
      </w:r>
      <w:r w:rsidR="00342081" w:rsidRPr="00626B6D">
        <w:rPr>
          <w:rFonts w:asciiTheme="minorHAnsi" w:hAnsiTheme="minorHAnsi" w:cstheme="minorHAnsi"/>
          <w:sz w:val="24"/>
        </w:rPr>
        <w:t>Koncepci</w:t>
      </w:r>
      <w:r w:rsidR="00DB72C9" w:rsidRPr="00626B6D">
        <w:rPr>
          <w:rFonts w:asciiTheme="minorHAnsi" w:hAnsiTheme="minorHAnsi" w:cstheme="minorHAnsi"/>
          <w:sz w:val="24"/>
        </w:rPr>
        <w:t xml:space="preserve"> jsou uvedeny cíle a priority politiky bydlení, ale není v</w:t>
      </w:r>
      <w:r w:rsidR="006C0225">
        <w:rPr>
          <w:rFonts w:asciiTheme="minorHAnsi" w:hAnsiTheme="minorHAnsi" w:cstheme="minorHAnsi"/>
          <w:sz w:val="24"/>
        </w:rPr>
        <w:t xml:space="preserve"> </w:t>
      </w:r>
      <w:r w:rsidR="00DB72C9" w:rsidRPr="00626B6D">
        <w:rPr>
          <w:rFonts w:asciiTheme="minorHAnsi" w:hAnsiTheme="minorHAnsi" w:cstheme="minorHAnsi"/>
          <w:sz w:val="24"/>
        </w:rPr>
        <w:t>ní uvedena výše finančních prostředků potřebná k</w:t>
      </w:r>
      <w:r w:rsidR="006C0225">
        <w:rPr>
          <w:rFonts w:asciiTheme="minorHAnsi" w:hAnsiTheme="minorHAnsi" w:cstheme="minorHAnsi"/>
          <w:sz w:val="24"/>
        </w:rPr>
        <w:t xml:space="preserve"> </w:t>
      </w:r>
      <w:r w:rsidR="00DB72C9" w:rsidRPr="00626B6D">
        <w:rPr>
          <w:rFonts w:asciiTheme="minorHAnsi" w:hAnsiTheme="minorHAnsi" w:cstheme="minorHAnsi"/>
          <w:sz w:val="24"/>
        </w:rPr>
        <w:t>jejich naplnění. Koncepce rovněž neobsahuje ukazatele pro hodnocení plnění těchto cílů a priorit ani jejich očekávané hodnoty.</w:t>
      </w:r>
      <w:r w:rsidR="002E08CD" w:rsidRPr="00626B6D">
        <w:rPr>
          <w:rFonts w:asciiTheme="minorHAnsi" w:hAnsiTheme="minorHAnsi" w:cstheme="minorHAnsi"/>
          <w:sz w:val="24"/>
        </w:rPr>
        <w:t xml:space="preserve"> </w:t>
      </w:r>
      <w:r w:rsidR="00DB72C9" w:rsidRPr="00626B6D">
        <w:rPr>
          <w:rFonts w:asciiTheme="minorHAnsi" w:hAnsiTheme="minorHAnsi" w:cstheme="minorHAnsi"/>
          <w:sz w:val="24"/>
        </w:rPr>
        <w:t xml:space="preserve">Např. </w:t>
      </w:r>
      <w:r w:rsidR="00521184" w:rsidRPr="00626B6D">
        <w:rPr>
          <w:rFonts w:asciiTheme="minorHAnsi" w:hAnsiTheme="minorHAnsi" w:cstheme="minorHAnsi"/>
          <w:sz w:val="24"/>
        </w:rPr>
        <w:t xml:space="preserve">u cíle </w:t>
      </w:r>
      <w:r w:rsidR="00357A49">
        <w:rPr>
          <w:rFonts w:asciiTheme="minorHAnsi" w:hAnsiTheme="minorHAnsi" w:cstheme="minorHAnsi"/>
          <w:sz w:val="24"/>
        </w:rPr>
        <w:t>„</w:t>
      </w:r>
      <w:r w:rsidR="00521184" w:rsidRPr="00E819ED">
        <w:rPr>
          <w:rFonts w:asciiTheme="minorHAnsi" w:hAnsiTheme="minorHAnsi" w:cstheme="minorHAnsi"/>
          <w:i/>
          <w:sz w:val="24"/>
        </w:rPr>
        <w:t>zvýšení dostupnosti bydlení pro cílové skupiny obyvatel</w:t>
      </w:r>
      <w:r w:rsidR="00357A49">
        <w:rPr>
          <w:rFonts w:asciiTheme="minorHAnsi" w:hAnsiTheme="minorHAnsi" w:cstheme="minorHAnsi"/>
          <w:sz w:val="24"/>
        </w:rPr>
        <w:t>“</w:t>
      </w:r>
      <w:r w:rsidR="00521184" w:rsidRPr="00626B6D">
        <w:rPr>
          <w:rFonts w:asciiTheme="minorHAnsi" w:hAnsiTheme="minorHAnsi" w:cstheme="minorHAnsi"/>
          <w:sz w:val="24"/>
        </w:rPr>
        <w:t xml:space="preserve"> </w:t>
      </w:r>
      <w:r w:rsidR="00DB72C9" w:rsidRPr="00626B6D">
        <w:rPr>
          <w:rFonts w:asciiTheme="minorHAnsi" w:hAnsiTheme="minorHAnsi" w:cstheme="minorHAnsi"/>
          <w:sz w:val="24"/>
        </w:rPr>
        <w:t xml:space="preserve">není jasné, do jaké míry </w:t>
      </w:r>
      <w:r w:rsidR="00521184" w:rsidRPr="00626B6D">
        <w:rPr>
          <w:rFonts w:asciiTheme="minorHAnsi" w:hAnsiTheme="minorHAnsi" w:cstheme="minorHAnsi"/>
          <w:sz w:val="24"/>
        </w:rPr>
        <w:t xml:space="preserve">se </w:t>
      </w:r>
      <w:r w:rsidR="00DB72C9" w:rsidRPr="00626B6D">
        <w:rPr>
          <w:rFonts w:asciiTheme="minorHAnsi" w:hAnsiTheme="minorHAnsi" w:cstheme="minorHAnsi"/>
          <w:sz w:val="24"/>
        </w:rPr>
        <w:t xml:space="preserve">má </w:t>
      </w:r>
      <w:r w:rsidR="00521184" w:rsidRPr="00626B6D">
        <w:rPr>
          <w:rFonts w:asciiTheme="minorHAnsi" w:hAnsiTheme="minorHAnsi" w:cstheme="minorHAnsi"/>
          <w:sz w:val="24"/>
        </w:rPr>
        <w:t>tato dostupnost zvýšit</w:t>
      </w:r>
      <w:r w:rsidR="00DB72C9" w:rsidRPr="00626B6D">
        <w:rPr>
          <w:rFonts w:asciiTheme="minorHAnsi" w:hAnsiTheme="minorHAnsi" w:cstheme="minorHAnsi"/>
          <w:sz w:val="24"/>
        </w:rPr>
        <w:t>,</w:t>
      </w:r>
      <w:r w:rsidR="00685B2E" w:rsidRPr="00626B6D">
        <w:rPr>
          <w:rFonts w:asciiTheme="minorHAnsi" w:hAnsiTheme="minorHAnsi" w:cstheme="minorHAnsi"/>
          <w:sz w:val="24"/>
        </w:rPr>
        <w:t xml:space="preserve"> rovněž není jasné,</w:t>
      </w:r>
      <w:r w:rsidR="00DB72C9" w:rsidRPr="00626B6D">
        <w:rPr>
          <w:rFonts w:asciiTheme="minorHAnsi" w:hAnsiTheme="minorHAnsi" w:cstheme="minorHAnsi"/>
          <w:sz w:val="24"/>
        </w:rPr>
        <w:t xml:space="preserve"> o kolik se má snížit investiční dluh do bydlení, </w:t>
      </w:r>
      <w:r w:rsidR="00AD378D">
        <w:rPr>
          <w:rFonts w:asciiTheme="minorHAnsi" w:hAnsiTheme="minorHAnsi" w:cstheme="minorHAnsi"/>
          <w:sz w:val="24"/>
        </w:rPr>
        <w:t>či</w:t>
      </w:r>
      <w:r w:rsidR="00DB72C9" w:rsidRPr="00626B6D">
        <w:rPr>
          <w:rFonts w:asciiTheme="minorHAnsi" w:hAnsiTheme="minorHAnsi" w:cstheme="minorHAnsi"/>
          <w:sz w:val="24"/>
        </w:rPr>
        <w:t xml:space="preserve"> do jaké míry se mají snížit náklady spojené s</w:t>
      </w:r>
      <w:r w:rsidR="006C0225">
        <w:rPr>
          <w:rFonts w:asciiTheme="minorHAnsi" w:hAnsiTheme="minorHAnsi" w:cstheme="minorHAnsi"/>
          <w:sz w:val="24"/>
        </w:rPr>
        <w:t xml:space="preserve"> </w:t>
      </w:r>
      <w:r w:rsidR="00DB72C9" w:rsidRPr="00626B6D">
        <w:rPr>
          <w:rFonts w:asciiTheme="minorHAnsi" w:hAnsiTheme="minorHAnsi" w:cstheme="minorHAnsi"/>
          <w:sz w:val="24"/>
        </w:rPr>
        <w:t>bydlením</w:t>
      </w:r>
      <w:r w:rsidR="00685B2E" w:rsidRPr="00626B6D">
        <w:rPr>
          <w:rFonts w:asciiTheme="minorHAnsi" w:hAnsiTheme="minorHAnsi" w:cstheme="minorHAnsi"/>
          <w:sz w:val="24"/>
        </w:rPr>
        <w:t>.</w:t>
      </w:r>
      <w:r w:rsidR="00F3709C" w:rsidRPr="00626B6D">
        <w:rPr>
          <w:rFonts w:asciiTheme="minorHAnsi" w:hAnsiTheme="minorHAnsi" w:cstheme="minorHAnsi"/>
          <w:sz w:val="24"/>
        </w:rPr>
        <w:t xml:space="preserve"> Cílem K</w:t>
      </w:r>
      <w:r w:rsidR="00DB72C9" w:rsidRPr="00626B6D">
        <w:rPr>
          <w:rFonts w:asciiTheme="minorHAnsi" w:hAnsiTheme="minorHAnsi" w:cstheme="minorHAnsi"/>
          <w:sz w:val="24"/>
        </w:rPr>
        <w:t>oncepce je rovněž ponechat dotace tam, kde jsou ne</w:t>
      </w:r>
      <w:r w:rsidR="00342081" w:rsidRPr="00626B6D">
        <w:rPr>
          <w:rFonts w:asciiTheme="minorHAnsi" w:hAnsiTheme="minorHAnsi" w:cstheme="minorHAnsi"/>
          <w:sz w:val="24"/>
        </w:rPr>
        <w:t>zbytné. MMR ale „nezbytnost“ v</w:t>
      </w:r>
      <w:r w:rsidR="006C0225">
        <w:rPr>
          <w:rFonts w:asciiTheme="minorHAnsi" w:hAnsiTheme="minorHAnsi" w:cstheme="minorHAnsi"/>
          <w:sz w:val="24"/>
        </w:rPr>
        <w:t xml:space="preserve"> </w:t>
      </w:r>
      <w:r w:rsidR="00342081" w:rsidRPr="00626B6D">
        <w:rPr>
          <w:rFonts w:asciiTheme="minorHAnsi" w:hAnsiTheme="minorHAnsi" w:cstheme="minorHAnsi"/>
          <w:sz w:val="24"/>
        </w:rPr>
        <w:t>K</w:t>
      </w:r>
      <w:r w:rsidR="00DB72C9" w:rsidRPr="00626B6D">
        <w:rPr>
          <w:rFonts w:asciiTheme="minorHAnsi" w:hAnsiTheme="minorHAnsi" w:cstheme="minorHAnsi"/>
          <w:sz w:val="24"/>
        </w:rPr>
        <w:t>oncepci konkrétně</w:t>
      </w:r>
      <w:r w:rsidR="008E5DD4" w:rsidRPr="00626B6D">
        <w:rPr>
          <w:rFonts w:asciiTheme="minorHAnsi" w:hAnsiTheme="minorHAnsi" w:cstheme="minorHAnsi"/>
          <w:sz w:val="24"/>
        </w:rPr>
        <w:t xml:space="preserve"> nespecifikovalo</w:t>
      </w:r>
      <w:r w:rsidR="000532AC" w:rsidRPr="00626B6D">
        <w:rPr>
          <w:rFonts w:asciiTheme="minorHAnsi" w:hAnsiTheme="minorHAnsi" w:cstheme="minorHAnsi"/>
          <w:color w:val="000000"/>
          <w:sz w:val="24"/>
        </w:rPr>
        <w:t>.</w:t>
      </w:r>
      <w:r w:rsidR="008E5DD4" w:rsidRPr="00626B6D">
        <w:rPr>
          <w:rFonts w:asciiTheme="minorHAnsi" w:hAnsiTheme="minorHAnsi" w:cstheme="minorHAnsi"/>
          <w:color w:val="000000"/>
          <w:sz w:val="24"/>
        </w:rPr>
        <w:t xml:space="preserve"> </w:t>
      </w:r>
      <w:r w:rsidR="008E5DD4" w:rsidRPr="00626B6D">
        <w:rPr>
          <w:rFonts w:asciiTheme="minorHAnsi" w:hAnsiTheme="minorHAnsi" w:cstheme="minorHAnsi"/>
          <w:iCs/>
          <w:sz w:val="24"/>
        </w:rPr>
        <w:t xml:space="preserve">Přestože MMR je ústředním orgánem státní správy ve věcech politiky bydlení a posláním SFRB je podpora bydlení, bylo zpracování Koncepce zadáno </w:t>
      </w:r>
      <w:r w:rsidR="009E5D61" w:rsidRPr="00626B6D">
        <w:rPr>
          <w:rFonts w:asciiTheme="minorHAnsi" w:hAnsiTheme="minorHAnsi" w:cstheme="minorHAnsi"/>
          <w:iCs/>
          <w:sz w:val="24"/>
        </w:rPr>
        <w:t>externímu dodavateli</w:t>
      </w:r>
      <w:r w:rsidR="008E5DD4" w:rsidRPr="00626B6D">
        <w:rPr>
          <w:rFonts w:asciiTheme="minorHAnsi" w:hAnsiTheme="minorHAnsi" w:cstheme="minorHAnsi"/>
          <w:iCs/>
          <w:sz w:val="24"/>
        </w:rPr>
        <w:t xml:space="preserve">, za což </w:t>
      </w:r>
      <w:r w:rsidR="009E5D61" w:rsidRPr="00626B6D">
        <w:rPr>
          <w:rFonts w:asciiTheme="minorHAnsi" w:hAnsiTheme="minorHAnsi" w:cstheme="minorHAnsi"/>
          <w:iCs/>
          <w:sz w:val="24"/>
        </w:rPr>
        <w:t>mu</w:t>
      </w:r>
      <w:r w:rsidR="008E5DD4" w:rsidRPr="00626B6D">
        <w:rPr>
          <w:rFonts w:asciiTheme="minorHAnsi" w:hAnsiTheme="minorHAnsi" w:cstheme="minorHAnsi"/>
          <w:iCs/>
          <w:sz w:val="24"/>
        </w:rPr>
        <w:t xml:space="preserve"> SFRB uhradil 2,15 mil. Kč. </w:t>
      </w:r>
      <w:r w:rsidR="00956E54" w:rsidRPr="00626B6D">
        <w:rPr>
          <w:rFonts w:asciiTheme="minorHAnsi" w:hAnsiTheme="minorHAnsi" w:cstheme="minorHAnsi"/>
          <w:iCs/>
          <w:sz w:val="24"/>
        </w:rPr>
        <w:t>Zpráv</w:t>
      </w:r>
      <w:r w:rsidR="009E5D61" w:rsidRPr="00626B6D">
        <w:rPr>
          <w:rFonts w:asciiTheme="minorHAnsi" w:hAnsiTheme="minorHAnsi" w:cstheme="minorHAnsi"/>
          <w:iCs/>
          <w:sz w:val="24"/>
        </w:rPr>
        <w:t>u o p</w:t>
      </w:r>
      <w:r w:rsidR="00F3709C" w:rsidRPr="00626B6D">
        <w:rPr>
          <w:rFonts w:asciiTheme="minorHAnsi" w:hAnsiTheme="minorHAnsi" w:cstheme="minorHAnsi"/>
          <w:iCs/>
          <w:sz w:val="24"/>
        </w:rPr>
        <w:t>lnění cílů K</w:t>
      </w:r>
      <w:r w:rsidR="00685B2E" w:rsidRPr="00626B6D">
        <w:rPr>
          <w:rFonts w:asciiTheme="minorHAnsi" w:hAnsiTheme="minorHAnsi" w:cstheme="minorHAnsi"/>
          <w:iCs/>
          <w:sz w:val="24"/>
        </w:rPr>
        <w:t>oncepce má MMR předložit do konce června 2016.</w:t>
      </w:r>
    </w:p>
    <w:p w14:paraId="778A6388" w14:textId="77777777" w:rsidR="00357A49" w:rsidRPr="00626B6D" w:rsidRDefault="00357A49" w:rsidP="00DB72C9">
      <w:pPr>
        <w:autoSpaceDE w:val="0"/>
        <w:autoSpaceDN w:val="0"/>
        <w:adjustRightInd w:val="0"/>
        <w:rPr>
          <w:rFonts w:asciiTheme="minorHAnsi" w:hAnsiTheme="minorHAnsi" w:cstheme="minorHAnsi"/>
          <w:iCs/>
          <w:sz w:val="24"/>
        </w:rPr>
      </w:pPr>
    </w:p>
    <w:p w14:paraId="6C55A063" w14:textId="3AF26E56" w:rsidR="007A03A5" w:rsidRPr="00626B6D" w:rsidRDefault="00521184" w:rsidP="00DB72C9">
      <w:pPr>
        <w:autoSpaceDE w:val="0"/>
        <w:autoSpaceDN w:val="0"/>
        <w:adjustRightInd w:val="0"/>
        <w:rPr>
          <w:rFonts w:asciiTheme="minorHAnsi" w:hAnsiTheme="minorHAnsi" w:cstheme="minorHAnsi"/>
          <w:sz w:val="24"/>
        </w:rPr>
      </w:pPr>
      <w:r w:rsidRPr="00626B6D">
        <w:rPr>
          <w:rFonts w:asciiTheme="minorHAnsi" w:hAnsiTheme="minorHAnsi" w:cstheme="minorHAnsi"/>
          <w:sz w:val="24"/>
        </w:rPr>
        <w:t>A</w:t>
      </w:r>
      <w:r w:rsidR="00685B2E" w:rsidRPr="00626B6D">
        <w:rPr>
          <w:rFonts w:asciiTheme="minorHAnsi" w:hAnsiTheme="minorHAnsi" w:cstheme="minorHAnsi"/>
          <w:sz w:val="24"/>
        </w:rPr>
        <w:t xml:space="preserve">ni </w:t>
      </w:r>
      <w:r w:rsidRPr="00626B6D">
        <w:rPr>
          <w:rFonts w:asciiTheme="minorHAnsi" w:hAnsiTheme="minorHAnsi" w:cstheme="minorHAnsi"/>
          <w:sz w:val="24"/>
        </w:rPr>
        <w:t>podpory</w:t>
      </w:r>
      <w:r w:rsidR="00C90E43">
        <w:rPr>
          <w:rFonts w:asciiTheme="minorHAnsi" w:hAnsiTheme="minorHAnsi" w:cstheme="minorHAnsi"/>
          <w:sz w:val="24"/>
        </w:rPr>
        <w:t>, které</w:t>
      </w:r>
      <w:r w:rsidRPr="00626B6D">
        <w:rPr>
          <w:rFonts w:asciiTheme="minorHAnsi" w:hAnsiTheme="minorHAnsi" w:cstheme="minorHAnsi"/>
          <w:sz w:val="24"/>
        </w:rPr>
        <w:t xml:space="preserve"> sprav</w:t>
      </w:r>
      <w:r w:rsidR="00C90E43">
        <w:rPr>
          <w:rFonts w:asciiTheme="minorHAnsi" w:hAnsiTheme="minorHAnsi" w:cstheme="minorHAnsi"/>
          <w:sz w:val="24"/>
        </w:rPr>
        <w:t>ují</w:t>
      </w:r>
      <w:r w:rsidRPr="00626B6D">
        <w:rPr>
          <w:rFonts w:asciiTheme="minorHAnsi" w:hAnsiTheme="minorHAnsi" w:cstheme="minorHAnsi"/>
          <w:sz w:val="24"/>
        </w:rPr>
        <w:t xml:space="preserve"> a poskyt</w:t>
      </w:r>
      <w:r w:rsidR="00C90E43">
        <w:rPr>
          <w:rFonts w:asciiTheme="minorHAnsi" w:hAnsiTheme="minorHAnsi" w:cstheme="minorHAnsi"/>
          <w:sz w:val="24"/>
        </w:rPr>
        <w:t>ují</w:t>
      </w:r>
      <w:r w:rsidRPr="00626B6D">
        <w:rPr>
          <w:rFonts w:asciiTheme="minorHAnsi" w:hAnsiTheme="minorHAnsi" w:cstheme="minorHAnsi"/>
          <w:sz w:val="24"/>
        </w:rPr>
        <w:t xml:space="preserve"> MMR a SFRB</w:t>
      </w:r>
      <w:r w:rsidR="00C90E43">
        <w:rPr>
          <w:rFonts w:asciiTheme="minorHAnsi" w:hAnsiTheme="minorHAnsi" w:cstheme="minorHAnsi"/>
          <w:sz w:val="24"/>
        </w:rPr>
        <w:t>,</w:t>
      </w:r>
      <w:r w:rsidRPr="00626B6D">
        <w:rPr>
          <w:rFonts w:asciiTheme="minorHAnsi" w:hAnsiTheme="minorHAnsi" w:cstheme="minorHAnsi"/>
          <w:sz w:val="24"/>
        </w:rPr>
        <w:t xml:space="preserve"> neobsahovaly u</w:t>
      </w:r>
      <w:r w:rsidR="00554677" w:rsidRPr="00626B6D">
        <w:rPr>
          <w:rFonts w:asciiTheme="minorHAnsi" w:hAnsiTheme="minorHAnsi" w:cstheme="minorHAnsi"/>
          <w:sz w:val="24"/>
        </w:rPr>
        <w:t xml:space="preserve">kazatele pro hodnocení </w:t>
      </w:r>
      <w:r w:rsidR="00685B2E" w:rsidRPr="00626B6D">
        <w:rPr>
          <w:rFonts w:asciiTheme="minorHAnsi" w:hAnsiTheme="minorHAnsi" w:cstheme="minorHAnsi"/>
          <w:sz w:val="24"/>
        </w:rPr>
        <w:t>jeji</w:t>
      </w:r>
      <w:r w:rsidRPr="00626B6D">
        <w:rPr>
          <w:rFonts w:asciiTheme="minorHAnsi" w:hAnsiTheme="minorHAnsi" w:cstheme="minorHAnsi"/>
          <w:sz w:val="24"/>
        </w:rPr>
        <w:t xml:space="preserve">ch </w:t>
      </w:r>
      <w:r w:rsidR="00554677" w:rsidRPr="00626B6D">
        <w:rPr>
          <w:rFonts w:asciiTheme="minorHAnsi" w:hAnsiTheme="minorHAnsi" w:cstheme="minorHAnsi"/>
          <w:sz w:val="24"/>
        </w:rPr>
        <w:t xml:space="preserve">cílů </w:t>
      </w:r>
      <w:r w:rsidR="00FB682A" w:rsidRPr="00626B6D">
        <w:rPr>
          <w:rFonts w:asciiTheme="minorHAnsi" w:hAnsiTheme="minorHAnsi" w:cstheme="minorHAnsi"/>
          <w:sz w:val="24"/>
        </w:rPr>
        <w:t xml:space="preserve">a dopadů na bytovou politiku </w:t>
      </w:r>
      <w:r w:rsidR="000B5A4F" w:rsidRPr="00626B6D">
        <w:rPr>
          <w:rFonts w:asciiTheme="minorHAnsi" w:hAnsiTheme="minorHAnsi" w:cstheme="minorHAnsi"/>
          <w:sz w:val="24"/>
        </w:rPr>
        <w:t>a</w:t>
      </w:r>
      <w:r w:rsidR="00C90E43">
        <w:rPr>
          <w:rFonts w:asciiTheme="minorHAnsi" w:hAnsiTheme="minorHAnsi" w:cstheme="minorHAnsi"/>
          <w:sz w:val="24"/>
        </w:rPr>
        <w:t>ni</w:t>
      </w:r>
      <w:r w:rsidR="000B5A4F" w:rsidRPr="00626B6D">
        <w:rPr>
          <w:rFonts w:asciiTheme="minorHAnsi" w:hAnsiTheme="minorHAnsi" w:cstheme="minorHAnsi"/>
          <w:sz w:val="24"/>
        </w:rPr>
        <w:t xml:space="preserve"> jejich očekávané hodnoty </w:t>
      </w:r>
      <w:r w:rsidR="00715E6D" w:rsidRPr="00626B6D">
        <w:rPr>
          <w:rFonts w:asciiTheme="minorHAnsi" w:hAnsiTheme="minorHAnsi" w:cstheme="minorHAnsi"/>
          <w:sz w:val="24"/>
        </w:rPr>
        <w:t>(vyjma hodnocení energetických úspor objektů)</w:t>
      </w:r>
      <w:r w:rsidR="00685B2E" w:rsidRPr="00626B6D">
        <w:rPr>
          <w:rFonts w:asciiTheme="minorHAnsi" w:hAnsiTheme="minorHAnsi" w:cstheme="minorHAnsi"/>
          <w:sz w:val="24"/>
        </w:rPr>
        <w:t xml:space="preserve">. Přitom tyto </w:t>
      </w:r>
      <w:r w:rsidRPr="00626B6D">
        <w:rPr>
          <w:rFonts w:asciiTheme="minorHAnsi" w:hAnsiTheme="minorHAnsi" w:cstheme="minorHAnsi"/>
          <w:sz w:val="24"/>
        </w:rPr>
        <w:t>podpory</w:t>
      </w:r>
      <w:r w:rsidR="00FB682A" w:rsidRPr="00626B6D">
        <w:rPr>
          <w:rFonts w:asciiTheme="minorHAnsi" w:hAnsiTheme="minorHAnsi" w:cstheme="minorHAnsi"/>
          <w:sz w:val="24"/>
        </w:rPr>
        <w:t xml:space="preserve"> měly reali</w:t>
      </w:r>
      <w:r w:rsidR="00F3709C" w:rsidRPr="00626B6D">
        <w:rPr>
          <w:rFonts w:asciiTheme="minorHAnsi" w:hAnsiTheme="minorHAnsi" w:cstheme="minorHAnsi"/>
          <w:sz w:val="24"/>
        </w:rPr>
        <w:t>zovat cíle Koncepce</w:t>
      </w:r>
      <w:r w:rsidR="00FB682A" w:rsidRPr="00626B6D">
        <w:rPr>
          <w:rFonts w:asciiTheme="minorHAnsi" w:hAnsiTheme="minorHAnsi" w:cstheme="minorHAnsi"/>
          <w:sz w:val="24"/>
        </w:rPr>
        <w:t xml:space="preserve">. </w:t>
      </w:r>
      <w:r w:rsidR="000B5A4F" w:rsidRPr="00626B6D">
        <w:rPr>
          <w:rFonts w:asciiTheme="minorHAnsi" w:hAnsiTheme="minorHAnsi" w:cstheme="minorHAnsi"/>
          <w:sz w:val="24"/>
        </w:rPr>
        <w:t>Není tedy např. jasné,</w:t>
      </w:r>
      <w:r w:rsidR="00685B2E" w:rsidRPr="00626B6D">
        <w:rPr>
          <w:rFonts w:asciiTheme="minorHAnsi" w:hAnsiTheme="minorHAnsi" w:cstheme="minorHAnsi"/>
          <w:sz w:val="24"/>
        </w:rPr>
        <w:t xml:space="preserve"> jaký vliv má mít podpora na snížení</w:t>
      </w:r>
      <w:r w:rsidR="000B5A4F" w:rsidRPr="00626B6D">
        <w:rPr>
          <w:rFonts w:asciiTheme="minorHAnsi" w:hAnsiTheme="minorHAnsi" w:cstheme="minorHAnsi"/>
          <w:sz w:val="24"/>
        </w:rPr>
        <w:t xml:space="preserve"> stá</w:t>
      </w:r>
      <w:r w:rsidR="00685B2E" w:rsidRPr="00626B6D">
        <w:rPr>
          <w:rFonts w:asciiTheme="minorHAnsi" w:hAnsiTheme="minorHAnsi" w:cstheme="minorHAnsi"/>
          <w:sz w:val="24"/>
        </w:rPr>
        <w:t>ří bytového fondu a jeho kvalitu</w:t>
      </w:r>
      <w:r w:rsidR="000B5A4F" w:rsidRPr="00626B6D">
        <w:rPr>
          <w:rFonts w:asciiTheme="minorHAnsi" w:hAnsiTheme="minorHAnsi" w:cstheme="minorHAnsi"/>
          <w:sz w:val="24"/>
        </w:rPr>
        <w:t xml:space="preserve"> a jak bude hodnoceno udržení sociální stability v</w:t>
      </w:r>
      <w:r w:rsidR="006C0225">
        <w:rPr>
          <w:rFonts w:asciiTheme="minorHAnsi" w:hAnsiTheme="minorHAnsi" w:cstheme="minorHAnsi"/>
          <w:sz w:val="24"/>
        </w:rPr>
        <w:t xml:space="preserve"> </w:t>
      </w:r>
      <w:r w:rsidR="000B5A4F" w:rsidRPr="00626B6D">
        <w:rPr>
          <w:rFonts w:asciiTheme="minorHAnsi" w:hAnsiTheme="minorHAnsi" w:cstheme="minorHAnsi"/>
          <w:sz w:val="24"/>
        </w:rPr>
        <w:t xml:space="preserve">sídlištích. </w:t>
      </w:r>
      <w:r w:rsidR="00FB682A" w:rsidRPr="00626B6D">
        <w:rPr>
          <w:rFonts w:asciiTheme="minorHAnsi" w:hAnsiTheme="minorHAnsi" w:cstheme="minorHAnsi"/>
          <w:sz w:val="24"/>
        </w:rPr>
        <w:t xml:space="preserve">MMR a SFRB </w:t>
      </w:r>
      <w:r w:rsidR="00737F6D" w:rsidRPr="00626B6D">
        <w:rPr>
          <w:rFonts w:asciiTheme="minorHAnsi" w:hAnsiTheme="minorHAnsi" w:cstheme="minorHAnsi"/>
          <w:sz w:val="24"/>
        </w:rPr>
        <w:t>stanovily pro hodnocení</w:t>
      </w:r>
      <w:r w:rsidR="00685B2E" w:rsidRPr="00626B6D">
        <w:rPr>
          <w:rFonts w:asciiTheme="minorHAnsi" w:hAnsiTheme="minorHAnsi" w:cstheme="minorHAnsi"/>
          <w:sz w:val="24"/>
        </w:rPr>
        <w:t xml:space="preserve"> </w:t>
      </w:r>
      <w:r w:rsidR="00737F6D" w:rsidRPr="00626B6D">
        <w:rPr>
          <w:rFonts w:asciiTheme="minorHAnsi" w:hAnsiTheme="minorHAnsi" w:cstheme="minorHAnsi"/>
          <w:sz w:val="24"/>
        </w:rPr>
        <w:t xml:space="preserve">podpor finanční a technické parametry – </w:t>
      </w:r>
      <w:r w:rsidR="00715E6D" w:rsidRPr="00626B6D">
        <w:rPr>
          <w:rFonts w:asciiTheme="minorHAnsi" w:hAnsiTheme="minorHAnsi" w:cstheme="minorHAnsi"/>
          <w:sz w:val="24"/>
        </w:rPr>
        <w:t xml:space="preserve">např. finanční objem poskytnutých podpor, </w:t>
      </w:r>
      <w:r w:rsidR="00737F6D" w:rsidRPr="00626B6D">
        <w:rPr>
          <w:rFonts w:asciiTheme="minorHAnsi" w:hAnsiTheme="minorHAnsi" w:cstheme="minorHAnsi"/>
          <w:sz w:val="24"/>
        </w:rPr>
        <w:t xml:space="preserve">velikost </w:t>
      </w:r>
      <w:r w:rsidR="00A77C0C" w:rsidRPr="00626B6D">
        <w:rPr>
          <w:rFonts w:asciiTheme="minorHAnsi" w:hAnsiTheme="minorHAnsi" w:cstheme="minorHAnsi"/>
          <w:sz w:val="24"/>
        </w:rPr>
        <w:t>regenerované plochy a</w:t>
      </w:r>
      <w:r w:rsidR="00737F6D" w:rsidRPr="00626B6D">
        <w:rPr>
          <w:rFonts w:asciiTheme="minorHAnsi" w:hAnsiTheme="minorHAnsi" w:cstheme="minorHAnsi"/>
          <w:sz w:val="24"/>
        </w:rPr>
        <w:t xml:space="preserve"> </w:t>
      </w:r>
      <w:r w:rsidR="00715E6D" w:rsidRPr="00626B6D">
        <w:rPr>
          <w:rFonts w:asciiTheme="minorHAnsi" w:hAnsiTheme="minorHAnsi" w:cstheme="minorHAnsi"/>
          <w:sz w:val="24"/>
        </w:rPr>
        <w:t>počet nových či opravených bytů.</w:t>
      </w:r>
      <w:r w:rsidR="00737F6D" w:rsidRPr="00626B6D">
        <w:rPr>
          <w:rFonts w:asciiTheme="minorHAnsi" w:hAnsiTheme="minorHAnsi" w:cstheme="minorHAnsi"/>
          <w:sz w:val="24"/>
        </w:rPr>
        <w:t xml:space="preserve"> </w:t>
      </w:r>
      <w:r w:rsidR="00B905BC" w:rsidRPr="00626B6D">
        <w:rPr>
          <w:rFonts w:asciiTheme="minorHAnsi" w:hAnsiTheme="minorHAnsi" w:cstheme="minorHAnsi"/>
          <w:sz w:val="24"/>
        </w:rPr>
        <w:t xml:space="preserve">MMR </w:t>
      </w:r>
      <w:r w:rsidR="00002C7F" w:rsidRPr="00626B6D">
        <w:rPr>
          <w:rFonts w:asciiTheme="minorHAnsi" w:hAnsiTheme="minorHAnsi" w:cstheme="minorHAnsi"/>
          <w:sz w:val="24"/>
        </w:rPr>
        <w:t xml:space="preserve">sice </w:t>
      </w:r>
      <w:r w:rsidR="000532AC" w:rsidRPr="00626B6D">
        <w:rPr>
          <w:rFonts w:asciiTheme="minorHAnsi" w:hAnsiTheme="minorHAnsi" w:cstheme="minorHAnsi"/>
          <w:sz w:val="24"/>
        </w:rPr>
        <w:t>u</w:t>
      </w:r>
      <w:r w:rsidR="00C90E43">
        <w:rPr>
          <w:rFonts w:asciiTheme="minorHAnsi" w:hAnsiTheme="minorHAnsi" w:cstheme="minorHAnsi"/>
          <w:sz w:val="24"/>
        </w:rPr>
        <w:t> </w:t>
      </w:r>
      <w:r w:rsidR="000532AC" w:rsidRPr="00626B6D">
        <w:rPr>
          <w:rFonts w:asciiTheme="minorHAnsi" w:hAnsiTheme="minorHAnsi" w:cstheme="minorHAnsi"/>
          <w:sz w:val="24"/>
        </w:rPr>
        <w:t>programu 117</w:t>
      </w:r>
      <w:r w:rsidR="005522F1">
        <w:rPr>
          <w:rFonts w:asciiTheme="minorHAnsi" w:hAnsiTheme="minorHAnsi" w:cstheme="minorHAnsi"/>
          <w:sz w:val="24"/>
        </w:rPr>
        <w:t> </w:t>
      </w:r>
      <w:r w:rsidR="000532AC" w:rsidRPr="00626B6D">
        <w:rPr>
          <w:rFonts w:asciiTheme="minorHAnsi" w:hAnsiTheme="minorHAnsi" w:cstheme="minorHAnsi"/>
          <w:sz w:val="24"/>
        </w:rPr>
        <w:t>510</w:t>
      </w:r>
      <w:r w:rsidR="00357A49">
        <w:rPr>
          <w:rFonts w:asciiTheme="minorHAnsi" w:hAnsiTheme="minorHAnsi" w:cstheme="minorHAnsi"/>
          <w:sz w:val="24"/>
        </w:rPr>
        <w:t> –</w:t>
      </w:r>
      <w:r w:rsidR="000532AC" w:rsidRPr="00626B6D">
        <w:rPr>
          <w:rFonts w:asciiTheme="minorHAnsi" w:hAnsiTheme="minorHAnsi" w:cstheme="minorHAnsi"/>
          <w:sz w:val="24"/>
        </w:rPr>
        <w:t xml:space="preserve"> </w:t>
      </w:r>
      <w:r w:rsidR="000532AC" w:rsidRPr="00E819ED">
        <w:rPr>
          <w:rFonts w:asciiTheme="minorHAnsi" w:hAnsiTheme="minorHAnsi" w:cstheme="minorHAnsi"/>
          <w:i/>
          <w:sz w:val="24"/>
        </w:rPr>
        <w:t>Podpora bydlení</w:t>
      </w:r>
      <w:r w:rsidR="000532AC" w:rsidRPr="00626B6D">
        <w:rPr>
          <w:rFonts w:asciiTheme="minorHAnsi" w:hAnsiTheme="minorHAnsi" w:cstheme="minorHAnsi"/>
          <w:sz w:val="24"/>
        </w:rPr>
        <w:t xml:space="preserve"> </w:t>
      </w:r>
      <w:r w:rsidR="00B905BC" w:rsidRPr="00626B6D">
        <w:rPr>
          <w:rFonts w:asciiTheme="minorHAnsi" w:hAnsiTheme="minorHAnsi" w:cstheme="minorHAnsi"/>
          <w:sz w:val="24"/>
        </w:rPr>
        <w:t xml:space="preserve">stanovilo očekávané hodnoty těchto parametrů, ale </w:t>
      </w:r>
      <w:r w:rsidR="000532AC" w:rsidRPr="00626B6D">
        <w:rPr>
          <w:rFonts w:asciiTheme="minorHAnsi" w:hAnsiTheme="minorHAnsi" w:cstheme="minorHAnsi"/>
          <w:sz w:val="24"/>
        </w:rPr>
        <w:t>způsob</w:t>
      </w:r>
      <w:r w:rsidR="00956E54" w:rsidRPr="00626B6D">
        <w:rPr>
          <w:rFonts w:asciiTheme="minorHAnsi" w:hAnsiTheme="minorHAnsi" w:cstheme="minorHAnsi"/>
          <w:sz w:val="24"/>
        </w:rPr>
        <w:t xml:space="preserve"> jejich stanovení sdělen nebyl</w:t>
      </w:r>
      <w:r w:rsidR="00EA40FE" w:rsidRPr="00626B6D">
        <w:rPr>
          <w:rFonts w:asciiTheme="minorHAnsi" w:hAnsiTheme="minorHAnsi" w:cstheme="minorHAnsi"/>
          <w:sz w:val="24"/>
        </w:rPr>
        <w:t>.</w:t>
      </w:r>
      <w:r w:rsidR="00956E54" w:rsidRPr="00626B6D">
        <w:rPr>
          <w:rFonts w:asciiTheme="minorHAnsi" w:hAnsiTheme="minorHAnsi" w:cstheme="minorHAnsi"/>
          <w:sz w:val="24"/>
        </w:rPr>
        <w:t xml:space="preserve"> </w:t>
      </w:r>
      <w:r w:rsidR="00B905BC" w:rsidRPr="00626B6D">
        <w:rPr>
          <w:rFonts w:asciiTheme="minorHAnsi" w:hAnsiTheme="minorHAnsi" w:cstheme="minorHAnsi"/>
          <w:sz w:val="24"/>
        </w:rPr>
        <w:t>MMR vysvětlilo jen způsob aktualizace těchto hodnot, kdy původní hodnoty posoudilo podle</w:t>
      </w:r>
      <w:r w:rsidR="006C0225">
        <w:rPr>
          <w:rFonts w:asciiTheme="minorHAnsi" w:hAnsiTheme="minorHAnsi" w:cstheme="minorHAnsi"/>
          <w:sz w:val="24"/>
        </w:rPr>
        <w:t xml:space="preserve"> </w:t>
      </w:r>
      <w:r w:rsidR="00B905BC" w:rsidRPr="00626B6D">
        <w:rPr>
          <w:rFonts w:asciiTheme="minorHAnsi" w:hAnsiTheme="minorHAnsi" w:cstheme="minorHAnsi"/>
          <w:sz w:val="24"/>
        </w:rPr>
        <w:t>požadavků a skutečnosti v</w:t>
      </w:r>
      <w:r w:rsidR="006C0225">
        <w:rPr>
          <w:rFonts w:asciiTheme="minorHAnsi" w:hAnsiTheme="minorHAnsi" w:cstheme="minorHAnsi"/>
          <w:sz w:val="24"/>
        </w:rPr>
        <w:t xml:space="preserve"> </w:t>
      </w:r>
      <w:r w:rsidR="00B905BC" w:rsidRPr="00626B6D">
        <w:rPr>
          <w:rFonts w:asciiTheme="minorHAnsi" w:hAnsiTheme="minorHAnsi" w:cstheme="minorHAnsi"/>
          <w:sz w:val="24"/>
        </w:rPr>
        <w:t xml:space="preserve">daném roce aktualizace. </w:t>
      </w:r>
    </w:p>
    <w:p w14:paraId="2BF6E3E3" w14:textId="77777777" w:rsidR="00126D44" w:rsidRDefault="00126D44" w:rsidP="00126D44">
      <w:pPr>
        <w:rPr>
          <w:rFonts w:asciiTheme="minorHAnsi" w:hAnsiTheme="minorHAnsi" w:cstheme="minorHAnsi"/>
        </w:rPr>
      </w:pPr>
    </w:p>
    <w:p w14:paraId="399140ED" w14:textId="18C51AD8" w:rsidR="0051722F" w:rsidRPr="00626B6D" w:rsidRDefault="00F1727E" w:rsidP="0051722F">
      <w:pPr>
        <w:rPr>
          <w:rFonts w:asciiTheme="minorHAnsi" w:hAnsiTheme="minorHAnsi" w:cstheme="minorHAnsi"/>
          <w:i/>
          <w:sz w:val="24"/>
        </w:rPr>
      </w:pPr>
      <w:r w:rsidRPr="00626B6D">
        <w:rPr>
          <w:rFonts w:asciiTheme="minorHAnsi" w:hAnsiTheme="minorHAnsi" w:cstheme="minorHAnsi"/>
          <w:b/>
          <w:sz w:val="24"/>
        </w:rPr>
        <w:lastRenderedPageBreak/>
        <w:t>3.</w:t>
      </w:r>
      <w:r>
        <w:rPr>
          <w:rFonts w:asciiTheme="minorHAnsi" w:hAnsiTheme="minorHAnsi" w:cstheme="minorHAnsi"/>
        </w:rPr>
        <w:t xml:space="preserve"> </w:t>
      </w:r>
      <w:r w:rsidRPr="00626B6D">
        <w:rPr>
          <w:rFonts w:asciiTheme="minorHAnsi" w:hAnsiTheme="minorHAnsi" w:cstheme="minorHAnsi"/>
          <w:sz w:val="24"/>
        </w:rPr>
        <w:t>MMR poskytovalo dotace od roku 1999 z</w:t>
      </w:r>
      <w:r w:rsidR="006C0225">
        <w:rPr>
          <w:rFonts w:asciiTheme="minorHAnsi" w:hAnsiTheme="minorHAnsi" w:cstheme="minorHAnsi"/>
          <w:sz w:val="24"/>
        </w:rPr>
        <w:t xml:space="preserve"> </w:t>
      </w:r>
      <w:r w:rsidRPr="00626B6D">
        <w:rPr>
          <w:rFonts w:asciiTheme="minorHAnsi" w:hAnsiTheme="minorHAnsi" w:cstheme="minorHAnsi"/>
          <w:sz w:val="24"/>
        </w:rPr>
        <w:t>programu 31</w:t>
      </w:r>
      <w:r w:rsidR="00E70849">
        <w:rPr>
          <w:rFonts w:asciiTheme="minorHAnsi" w:hAnsiTheme="minorHAnsi" w:cstheme="minorHAnsi"/>
          <w:sz w:val="24"/>
        </w:rPr>
        <w:t>7</w:t>
      </w:r>
      <w:r w:rsidR="005522F1">
        <w:rPr>
          <w:rFonts w:asciiTheme="minorHAnsi" w:hAnsiTheme="minorHAnsi" w:cstheme="minorHAnsi"/>
          <w:sz w:val="24"/>
        </w:rPr>
        <w:t> </w:t>
      </w:r>
      <w:r w:rsidR="00E70849">
        <w:rPr>
          <w:rFonts w:asciiTheme="minorHAnsi" w:hAnsiTheme="minorHAnsi" w:cstheme="minorHAnsi"/>
          <w:sz w:val="24"/>
        </w:rPr>
        <w:t>420</w:t>
      </w:r>
      <w:r w:rsidR="00357A49">
        <w:rPr>
          <w:rFonts w:asciiTheme="minorHAnsi" w:hAnsiTheme="minorHAnsi" w:cstheme="minorHAnsi"/>
          <w:sz w:val="24"/>
        </w:rPr>
        <w:t> –</w:t>
      </w:r>
      <w:r w:rsidR="00E70849">
        <w:rPr>
          <w:rFonts w:asciiTheme="minorHAnsi" w:hAnsiTheme="minorHAnsi" w:cstheme="minorHAnsi"/>
          <w:sz w:val="24"/>
        </w:rPr>
        <w:t xml:space="preserve"> </w:t>
      </w:r>
      <w:r w:rsidR="00E70849" w:rsidRPr="00E819ED">
        <w:rPr>
          <w:rFonts w:asciiTheme="minorHAnsi" w:hAnsiTheme="minorHAnsi" w:cstheme="minorHAnsi"/>
          <w:i/>
          <w:sz w:val="24"/>
        </w:rPr>
        <w:t>Výstavba nájemních bytů a</w:t>
      </w:r>
      <w:r w:rsidR="00490608" w:rsidRPr="00E819ED">
        <w:rPr>
          <w:rFonts w:asciiTheme="minorHAnsi" w:hAnsiTheme="minorHAnsi" w:cstheme="minorHAnsi"/>
          <w:i/>
          <w:sz w:val="24"/>
        </w:rPr>
        <w:t> </w:t>
      </w:r>
      <w:r w:rsidRPr="00E819ED">
        <w:rPr>
          <w:rFonts w:asciiTheme="minorHAnsi" w:hAnsiTheme="minorHAnsi" w:cstheme="minorHAnsi"/>
          <w:i/>
          <w:sz w:val="24"/>
        </w:rPr>
        <w:t>technické infrastruktury</w:t>
      </w:r>
      <w:r w:rsidRPr="00626B6D">
        <w:rPr>
          <w:rFonts w:asciiTheme="minorHAnsi" w:hAnsiTheme="minorHAnsi" w:cstheme="minorHAnsi"/>
          <w:sz w:val="24"/>
        </w:rPr>
        <w:t xml:space="preserve">, od roku </w:t>
      </w:r>
      <w:r w:rsidR="00D02EF4" w:rsidRPr="00626B6D">
        <w:rPr>
          <w:rFonts w:asciiTheme="minorHAnsi" w:hAnsiTheme="minorHAnsi" w:cstheme="minorHAnsi"/>
          <w:sz w:val="24"/>
        </w:rPr>
        <w:t>2004 z</w:t>
      </w:r>
      <w:r w:rsidR="006C0225">
        <w:rPr>
          <w:rFonts w:asciiTheme="minorHAnsi" w:hAnsiTheme="minorHAnsi" w:cstheme="minorHAnsi"/>
          <w:sz w:val="24"/>
        </w:rPr>
        <w:t xml:space="preserve"> </w:t>
      </w:r>
      <w:r w:rsidR="00D02EF4" w:rsidRPr="00626B6D">
        <w:rPr>
          <w:rFonts w:asciiTheme="minorHAnsi" w:hAnsiTheme="minorHAnsi" w:cstheme="minorHAnsi"/>
          <w:sz w:val="24"/>
        </w:rPr>
        <w:t>programu 217</w:t>
      </w:r>
      <w:r w:rsidR="005522F1">
        <w:rPr>
          <w:rFonts w:asciiTheme="minorHAnsi" w:hAnsiTheme="minorHAnsi" w:cstheme="minorHAnsi"/>
          <w:sz w:val="24"/>
        </w:rPr>
        <w:t> </w:t>
      </w:r>
      <w:r w:rsidR="00D02EF4" w:rsidRPr="00626B6D">
        <w:rPr>
          <w:rFonts w:asciiTheme="minorHAnsi" w:hAnsiTheme="minorHAnsi" w:cstheme="minorHAnsi"/>
          <w:sz w:val="24"/>
        </w:rPr>
        <w:t>310</w:t>
      </w:r>
      <w:r w:rsidR="00357A49">
        <w:rPr>
          <w:rFonts w:asciiTheme="minorHAnsi" w:hAnsiTheme="minorHAnsi" w:cstheme="minorHAnsi"/>
          <w:sz w:val="24"/>
        </w:rPr>
        <w:t> –</w:t>
      </w:r>
      <w:r w:rsidR="00D02EF4" w:rsidRPr="00626B6D">
        <w:rPr>
          <w:rFonts w:asciiTheme="minorHAnsi" w:hAnsiTheme="minorHAnsi" w:cstheme="minorHAnsi"/>
          <w:sz w:val="24"/>
        </w:rPr>
        <w:t xml:space="preserve"> </w:t>
      </w:r>
      <w:r w:rsidR="00D02EF4" w:rsidRPr="00E819ED">
        <w:rPr>
          <w:rFonts w:asciiTheme="minorHAnsi" w:hAnsiTheme="minorHAnsi" w:cstheme="minorHAnsi"/>
          <w:i/>
          <w:sz w:val="24"/>
        </w:rPr>
        <w:t>Podpora bydlení</w:t>
      </w:r>
      <w:r w:rsidR="00D02EF4" w:rsidRPr="00626B6D">
        <w:rPr>
          <w:rFonts w:asciiTheme="minorHAnsi" w:hAnsiTheme="minorHAnsi" w:cstheme="minorHAnsi"/>
          <w:sz w:val="24"/>
        </w:rPr>
        <w:t xml:space="preserve"> a od roku 2007 z</w:t>
      </w:r>
      <w:r w:rsidR="006C0225">
        <w:rPr>
          <w:rFonts w:asciiTheme="minorHAnsi" w:hAnsiTheme="minorHAnsi" w:cstheme="minorHAnsi"/>
          <w:sz w:val="24"/>
        </w:rPr>
        <w:t xml:space="preserve"> </w:t>
      </w:r>
      <w:r w:rsidR="00D02EF4" w:rsidRPr="00626B6D">
        <w:rPr>
          <w:rFonts w:asciiTheme="minorHAnsi" w:hAnsiTheme="minorHAnsi" w:cstheme="minorHAnsi"/>
          <w:sz w:val="24"/>
        </w:rPr>
        <w:t>programu 117</w:t>
      </w:r>
      <w:r w:rsidR="005522F1">
        <w:rPr>
          <w:rFonts w:asciiTheme="minorHAnsi" w:hAnsiTheme="minorHAnsi" w:cstheme="minorHAnsi"/>
          <w:sz w:val="24"/>
        </w:rPr>
        <w:t> </w:t>
      </w:r>
      <w:r w:rsidR="00D02EF4" w:rsidRPr="00626B6D">
        <w:rPr>
          <w:rFonts w:asciiTheme="minorHAnsi" w:hAnsiTheme="minorHAnsi" w:cstheme="minorHAnsi"/>
          <w:sz w:val="24"/>
        </w:rPr>
        <w:t>510</w:t>
      </w:r>
      <w:r w:rsidR="00357A49">
        <w:rPr>
          <w:rFonts w:asciiTheme="minorHAnsi" w:hAnsiTheme="minorHAnsi" w:cstheme="minorHAnsi"/>
          <w:sz w:val="24"/>
        </w:rPr>
        <w:t> –</w:t>
      </w:r>
      <w:r w:rsidR="00D02EF4" w:rsidRPr="00626B6D">
        <w:rPr>
          <w:rFonts w:asciiTheme="minorHAnsi" w:hAnsiTheme="minorHAnsi" w:cstheme="minorHAnsi"/>
          <w:sz w:val="24"/>
        </w:rPr>
        <w:t xml:space="preserve"> </w:t>
      </w:r>
      <w:r w:rsidR="00D02EF4" w:rsidRPr="00E819ED">
        <w:rPr>
          <w:rFonts w:asciiTheme="minorHAnsi" w:hAnsiTheme="minorHAnsi" w:cstheme="minorHAnsi"/>
          <w:i/>
          <w:sz w:val="24"/>
        </w:rPr>
        <w:t>Podpora bydlení</w:t>
      </w:r>
      <w:r w:rsidR="00D02EF4" w:rsidRPr="00626B6D">
        <w:rPr>
          <w:rFonts w:asciiTheme="minorHAnsi" w:hAnsiTheme="minorHAnsi" w:cstheme="minorHAnsi"/>
          <w:sz w:val="24"/>
        </w:rPr>
        <w:t xml:space="preserve">. </w:t>
      </w:r>
      <w:r w:rsidR="00436E9B" w:rsidRPr="00626B6D">
        <w:rPr>
          <w:rFonts w:asciiTheme="minorHAnsi" w:hAnsiTheme="minorHAnsi" w:cstheme="minorHAnsi"/>
          <w:sz w:val="24"/>
        </w:rPr>
        <w:t>Ukončený</w:t>
      </w:r>
      <w:r w:rsidR="00F67B4F" w:rsidRPr="00626B6D">
        <w:rPr>
          <w:rFonts w:asciiTheme="minorHAnsi" w:hAnsiTheme="minorHAnsi" w:cstheme="minorHAnsi"/>
          <w:sz w:val="24"/>
        </w:rPr>
        <w:t xml:space="preserve"> p</w:t>
      </w:r>
      <w:r w:rsidR="00436E9B" w:rsidRPr="00626B6D">
        <w:rPr>
          <w:rFonts w:asciiTheme="minorHAnsi" w:hAnsiTheme="minorHAnsi" w:cstheme="minorHAnsi"/>
          <w:sz w:val="24"/>
        </w:rPr>
        <w:t>rogram</w:t>
      </w:r>
      <w:r w:rsidR="00F67B4F" w:rsidRPr="00626B6D">
        <w:rPr>
          <w:rFonts w:asciiTheme="minorHAnsi" w:hAnsiTheme="minorHAnsi" w:cstheme="minorHAnsi"/>
          <w:sz w:val="24"/>
        </w:rPr>
        <w:t xml:space="preserve"> 317</w:t>
      </w:r>
      <w:r w:rsidR="005522F1">
        <w:rPr>
          <w:rFonts w:asciiTheme="minorHAnsi" w:hAnsiTheme="minorHAnsi" w:cstheme="minorHAnsi"/>
          <w:sz w:val="24"/>
        </w:rPr>
        <w:t> </w:t>
      </w:r>
      <w:r w:rsidR="00F67B4F" w:rsidRPr="00626B6D">
        <w:rPr>
          <w:rFonts w:asciiTheme="minorHAnsi" w:hAnsiTheme="minorHAnsi" w:cstheme="minorHAnsi"/>
          <w:sz w:val="24"/>
        </w:rPr>
        <w:t>420</w:t>
      </w:r>
      <w:r w:rsidR="00436E9B" w:rsidRPr="00626B6D">
        <w:rPr>
          <w:rFonts w:asciiTheme="minorHAnsi" w:hAnsiTheme="minorHAnsi" w:cstheme="minorHAnsi"/>
          <w:sz w:val="24"/>
        </w:rPr>
        <w:t xml:space="preserve"> MMR nevyhodnotilo, což zdůvodnilo tím, že jej převzalo</w:t>
      </w:r>
      <w:r w:rsidR="00E70849">
        <w:rPr>
          <w:rFonts w:asciiTheme="minorHAnsi" w:hAnsiTheme="minorHAnsi" w:cstheme="minorHAnsi"/>
          <w:sz w:val="24"/>
        </w:rPr>
        <w:t xml:space="preserve"> od Ministerstva hospodářství a</w:t>
      </w:r>
      <w:r w:rsidR="00490608">
        <w:rPr>
          <w:rFonts w:asciiTheme="minorHAnsi" w:hAnsiTheme="minorHAnsi" w:cstheme="minorHAnsi"/>
          <w:sz w:val="24"/>
        </w:rPr>
        <w:t> </w:t>
      </w:r>
      <w:r w:rsidR="00436E9B" w:rsidRPr="00626B6D">
        <w:rPr>
          <w:rFonts w:asciiTheme="minorHAnsi" w:hAnsiTheme="minorHAnsi" w:cstheme="minorHAnsi"/>
          <w:sz w:val="24"/>
        </w:rPr>
        <w:t>Ministerstva financí a dokumentace k</w:t>
      </w:r>
      <w:r w:rsidR="006C0225">
        <w:rPr>
          <w:rFonts w:asciiTheme="minorHAnsi" w:hAnsiTheme="minorHAnsi" w:cstheme="minorHAnsi"/>
          <w:sz w:val="24"/>
        </w:rPr>
        <w:t xml:space="preserve"> </w:t>
      </w:r>
      <w:r w:rsidR="00436E9B" w:rsidRPr="00626B6D">
        <w:rPr>
          <w:rFonts w:asciiTheme="minorHAnsi" w:hAnsiTheme="minorHAnsi" w:cstheme="minorHAnsi"/>
          <w:sz w:val="24"/>
        </w:rPr>
        <w:t>němu není.</w:t>
      </w:r>
      <w:r w:rsidR="0062430C" w:rsidRPr="00626B6D">
        <w:rPr>
          <w:rFonts w:asciiTheme="minorHAnsi" w:hAnsiTheme="minorHAnsi" w:cstheme="minorHAnsi"/>
          <w:sz w:val="24"/>
        </w:rPr>
        <w:t xml:space="preserve"> MMR nemělo ani úplný přehled o výši poskytnuté dotace z</w:t>
      </w:r>
      <w:r w:rsidR="006C0225">
        <w:rPr>
          <w:rFonts w:asciiTheme="minorHAnsi" w:hAnsiTheme="minorHAnsi" w:cstheme="minorHAnsi"/>
          <w:sz w:val="24"/>
        </w:rPr>
        <w:t xml:space="preserve"> </w:t>
      </w:r>
      <w:r w:rsidR="0062430C" w:rsidRPr="00626B6D">
        <w:rPr>
          <w:rFonts w:asciiTheme="minorHAnsi" w:hAnsiTheme="minorHAnsi" w:cstheme="minorHAnsi"/>
          <w:sz w:val="24"/>
        </w:rPr>
        <w:t xml:space="preserve">tohoto programu. </w:t>
      </w:r>
      <w:r w:rsidR="006028C1" w:rsidRPr="00626B6D">
        <w:rPr>
          <w:rFonts w:asciiTheme="minorHAnsi" w:hAnsiTheme="minorHAnsi" w:cstheme="minorHAnsi"/>
          <w:sz w:val="24"/>
        </w:rPr>
        <w:t>Termín pro vyhodnocení p</w:t>
      </w:r>
      <w:r w:rsidR="00436E9B" w:rsidRPr="00626B6D">
        <w:rPr>
          <w:rFonts w:asciiTheme="minorHAnsi" w:hAnsiTheme="minorHAnsi" w:cstheme="minorHAnsi"/>
          <w:sz w:val="24"/>
        </w:rPr>
        <w:t>rogram</w:t>
      </w:r>
      <w:r w:rsidR="006028C1" w:rsidRPr="00626B6D">
        <w:rPr>
          <w:rFonts w:asciiTheme="minorHAnsi" w:hAnsiTheme="minorHAnsi" w:cstheme="minorHAnsi"/>
          <w:sz w:val="24"/>
        </w:rPr>
        <w:t>u</w:t>
      </w:r>
      <w:r w:rsidR="00436E9B" w:rsidRPr="00626B6D">
        <w:rPr>
          <w:rFonts w:asciiTheme="minorHAnsi" w:hAnsiTheme="minorHAnsi" w:cstheme="minorHAnsi"/>
          <w:sz w:val="24"/>
        </w:rPr>
        <w:t xml:space="preserve"> </w:t>
      </w:r>
      <w:r w:rsidR="00F67B4F" w:rsidRPr="00626B6D">
        <w:rPr>
          <w:rFonts w:asciiTheme="minorHAnsi" w:hAnsiTheme="minorHAnsi" w:cstheme="minorHAnsi"/>
          <w:sz w:val="24"/>
        </w:rPr>
        <w:t>217</w:t>
      </w:r>
      <w:r w:rsidR="006C0225">
        <w:rPr>
          <w:rFonts w:asciiTheme="minorHAnsi" w:hAnsiTheme="minorHAnsi" w:cstheme="minorHAnsi"/>
          <w:sz w:val="24"/>
        </w:rPr>
        <w:t xml:space="preserve"> </w:t>
      </w:r>
      <w:r w:rsidR="00F67B4F" w:rsidRPr="00626B6D">
        <w:rPr>
          <w:rFonts w:asciiTheme="minorHAnsi" w:hAnsiTheme="minorHAnsi" w:cstheme="minorHAnsi"/>
          <w:sz w:val="24"/>
        </w:rPr>
        <w:t xml:space="preserve">310 </w:t>
      </w:r>
      <w:r w:rsidR="006028C1" w:rsidRPr="00626B6D">
        <w:rPr>
          <w:rFonts w:asciiTheme="minorHAnsi" w:hAnsiTheme="minorHAnsi" w:cstheme="minorHAnsi"/>
          <w:sz w:val="24"/>
        </w:rPr>
        <w:t xml:space="preserve">byl stanoven </w:t>
      </w:r>
      <w:r w:rsidR="00FB0220">
        <w:rPr>
          <w:rFonts w:asciiTheme="minorHAnsi" w:hAnsiTheme="minorHAnsi" w:cstheme="minorHAnsi"/>
          <w:sz w:val="24"/>
        </w:rPr>
        <w:t>na konec</w:t>
      </w:r>
      <w:r w:rsidR="00436E9B" w:rsidRPr="00626B6D">
        <w:rPr>
          <w:rFonts w:asciiTheme="minorHAnsi" w:hAnsiTheme="minorHAnsi" w:cstheme="minorHAnsi"/>
          <w:sz w:val="24"/>
        </w:rPr>
        <w:t xml:space="preserve"> roku 2015 a</w:t>
      </w:r>
      <w:r w:rsidR="00FB0220">
        <w:rPr>
          <w:rFonts w:asciiTheme="minorHAnsi" w:hAnsiTheme="minorHAnsi" w:cstheme="minorHAnsi"/>
          <w:sz w:val="24"/>
        </w:rPr>
        <w:t> u</w:t>
      </w:r>
      <w:r w:rsidR="00F67B4F" w:rsidRPr="00626B6D">
        <w:rPr>
          <w:rFonts w:asciiTheme="minorHAnsi" w:hAnsiTheme="minorHAnsi" w:cstheme="minorHAnsi"/>
          <w:sz w:val="24"/>
        </w:rPr>
        <w:t xml:space="preserve"> </w:t>
      </w:r>
      <w:r w:rsidR="00436E9B" w:rsidRPr="00626B6D">
        <w:rPr>
          <w:rFonts w:asciiTheme="minorHAnsi" w:hAnsiTheme="minorHAnsi" w:cstheme="minorHAnsi"/>
          <w:sz w:val="24"/>
        </w:rPr>
        <w:t>p</w:t>
      </w:r>
      <w:r w:rsidR="00F67B4F" w:rsidRPr="00626B6D">
        <w:rPr>
          <w:rFonts w:asciiTheme="minorHAnsi" w:hAnsiTheme="minorHAnsi" w:cstheme="minorHAnsi"/>
          <w:sz w:val="24"/>
        </w:rPr>
        <w:t>rogram</w:t>
      </w:r>
      <w:r w:rsidR="006028C1" w:rsidRPr="00626B6D">
        <w:rPr>
          <w:rFonts w:asciiTheme="minorHAnsi" w:hAnsiTheme="minorHAnsi" w:cstheme="minorHAnsi"/>
          <w:sz w:val="24"/>
        </w:rPr>
        <w:t>u</w:t>
      </w:r>
      <w:r w:rsidR="00F67B4F" w:rsidRPr="00626B6D">
        <w:rPr>
          <w:rFonts w:asciiTheme="minorHAnsi" w:hAnsiTheme="minorHAnsi" w:cstheme="minorHAnsi"/>
          <w:sz w:val="24"/>
        </w:rPr>
        <w:t xml:space="preserve"> 117</w:t>
      </w:r>
      <w:r w:rsidR="005522F1">
        <w:rPr>
          <w:rFonts w:asciiTheme="minorHAnsi" w:hAnsiTheme="minorHAnsi" w:cstheme="minorHAnsi"/>
          <w:sz w:val="24"/>
        </w:rPr>
        <w:t> </w:t>
      </w:r>
      <w:r w:rsidR="00F67B4F" w:rsidRPr="00626B6D">
        <w:rPr>
          <w:rFonts w:asciiTheme="minorHAnsi" w:hAnsiTheme="minorHAnsi" w:cstheme="minorHAnsi"/>
          <w:sz w:val="24"/>
        </w:rPr>
        <w:t xml:space="preserve">510 </w:t>
      </w:r>
      <w:r w:rsidR="00FB0220">
        <w:rPr>
          <w:rFonts w:asciiTheme="minorHAnsi" w:hAnsiTheme="minorHAnsi" w:cstheme="minorHAnsi"/>
          <w:sz w:val="24"/>
        </w:rPr>
        <w:t>na konec</w:t>
      </w:r>
      <w:r w:rsidR="00F67B4F" w:rsidRPr="00626B6D">
        <w:rPr>
          <w:rFonts w:asciiTheme="minorHAnsi" w:hAnsiTheme="minorHAnsi" w:cstheme="minorHAnsi"/>
          <w:sz w:val="24"/>
        </w:rPr>
        <w:t xml:space="preserve"> roku 2019. </w:t>
      </w:r>
      <w:r w:rsidR="006028C1" w:rsidRPr="00626B6D">
        <w:rPr>
          <w:rFonts w:asciiTheme="minorHAnsi" w:hAnsiTheme="minorHAnsi" w:cstheme="minorHAnsi"/>
          <w:sz w:val="24"/>
        </w:rPr>
        <w:t>V</w:t>
      </w:r>
      <w:r w:rsidR="006C0225">
        <w:rPr>
          <w:rFonts w:asciiTheme="minorHAnsi" w:hAnsiTheme="minorHAnsi" w:cstheme="minorHAnsi"/>
          <w:sz w:val="24"/>
        </w:rPr>
        <w:t xml:space="preserve"> </w:t>
      </w:r>
      <w:r w:rsidR="006028C1" w:rsidRPr="00626B6D">
        <w:rPr>
          <w:rFonts w:asciiTheme="minorHAnsi" w:hAnsiTheme="minorHAnsi" w:cstheme="minorHAnsi"/>
          <w:sz w:val="24"/>
        </w:rPr>
        <w:t>červnu 2015 MMR zaslalo Ministerstvu financí k</w:t>
      </w:r>
      <w:r w:rsidR="006C0225">
        <w:rPr>
          <w:rFonts w:asciiTheme="minorHAnsi" w:hAnsiTheme="minorHAnsi" w:cstheme="minorHAnsi"/>
          <w:sz w:val="24"/>
        </w:rPr>
        <w:t xml:space="preserve"> </w:t>
      </w:r>
      <w:r w:rsidR="006028C1" w:rsidRPr="00626B6D">
        <w:rPr>
          <w:rFonts w:asciiTheme="minorHAnsi" w:hAnsiTheme="minorHAnsi" w:cstheme="minorHAnsi"/>
          <w:sz w:val="24"/>
        </w:rPr>
        <w:t>posouzení dokumentaci programu 117</w:t>
      </w:r>
      <w:r w:rsidR="00FB0220">
        <w:rPr>
          <w:rFonts w:asciiTheme="minorHAnsi" w:hAnsiTheme="minorHAnsi" w:cstheme="minorHAnsi"/>
          <w:sz w:val="24"/>
        </w:rPr>
        <w:t> </w:t>
      </w:r>
      <w:r w:rsidR="006028C1" w:rsidRPr="00626B6D">
        <w:rPr>
          <w:rFonts w:asciiTheme="minorHAnsi" w:hAnsiTheme="minorHAnsi" w:cstheme="minorHAnsi"/>
          <w:sz w:val="24"/>
        </w:rPr>
        <w:t>060</w:t>
      </w:r>
      <w:r w:rsidR="00357A49">
        <w:rPr>
          <w:rFonts w:asciiTheme="minorHAnsi" w:hAnsiTheme="minorHAnsi" w:cstheme="minorHAnsi"/>
          <w:sz w:val="24"/>
        </w:rPr>
        <w:t> –</w:t>
      </w:r>
      <w:r w:rsidR="006028C1" w:rsidRPr="00626B6D">
        <w:rPr>
          <w:rFonts w:asciiTheme="minorHAnsi" w:hAnsiTheme="minorHAnsi" w:cstheme="minorHAnsi"/>
          <w:sz w:val="24"/>
        </w:rPr>
        <w:t xml:space="preserve"> </w:t>
      </w:r>
      <w:r w:rsidR="006028C1" w:rsidRPr="00E819ED">
        <w:rPr>
          <w:rFonts w:asciiTheme="minorHAnsi" w:hAnsiTheme="minorHAnsi" w:cstheme="minorHAnsi"/>
          <w:i/>
          <w:sz w:val="24"/>
        </w:rPr>
        <w:t>Podpora bydlení</w:t>
      </w:r>
      <w:r w:rsidR="0051722F" w:rsidRPr="00626B6D">
        <w:rPr>
          <w:rFonts w:asciiTheme="minorHAnsi" w:hAnsiTheme="minorHAnsi" w:cstheme="minorHAnsi"/>
          <w:sz w:val="24"/>
        </w:rPr>
        <w:t>,</w:t>
      </w:r>
      <w:r w:rsidR="006028C1" w:rsidRPr="00626B6D">
        <w:rPr>
          <w:rFonts w:asciiTheme="minorHAnsi" w:hAnsiTheme="minorHAnsi" w:cstheme="minorHAnsi"/>
          <w:sz w:val="24"/>
        </w:rPr>
        <w:t xml:space="preserve"> </w:t>
      </w:r>
      <w:r w:rsidR="0051722F" w:rsidRPr="00626B6D">
        <w:rPr>
          <w:rFonts w:asciiTheme="minorHAnsi" w:hAnsiTheme="minorHAnsi" w:cstheme="minorHAnsi"/>
          <w:sz w:val="24"/>
        </w:rPr>
        <w:t>který má být ukončen v</w:t>
      </w:r>
      <w:r w:rsidR="006C0225">
        <w:rPr>
          <w:rFonts w:asciiTheme="minorHAnsi" w:hAnsiTheme="minorHAnsi" w:cstheme="minorHAnsi"/>
          <w:sz w:val="24"/>
        </w:rPr>
        <w:t xml:space="preserve"> </w:t>
      </w:r>
      <w:r w:rsidR="0051722F" w:rsidRPr="00626B6D">
        <w:rPr>
          <w:rFonts w:asciiTheme="minorHAnsi" w:hAnsiTheme="minorHAnsi" w:cstheme="minorHAnsi"/>
          <w:sz w:val="24"/>
        </w:rPr>
        <w:t xml:space="preserve">roce 2020. MMR na jeho realizaci nárokovalo ze státního rozpočtu celkem </w:t>
      </w:r>
      <w:r w:rsidR="00882FC1" w:rsidRPr="00626B6D">
        <w:rPr>
          <w:rFonts w:asciiTheme="minorHAnsi" w:hAnsiTheme="minorHAnsi" w:cstheme="minorHAnsi"/>
          <w:sz w:val="24"/>
        </w:rPr>
        <w:t>2,56</w:t>
      </w:r>
      <w:r w:rsidR="006C0225">
        <w:rPr>
          <w:rFonts w:asciiTheme="minorHAnsi" w:hAnsiTheme="minorHAnsi" w:cstheme="minorHAnsi"/>
          <w:sz w:val="24"/>
        </w:rPr>
        <w:t xml:space="preserve"> </w:t>
      </w:r>
      <w:r w:rsidR="00882FC1" w:rsidRPr="00626B6D">
        <w:rPr>
          <w:rFonts w:asciiTheme="minorHAnsi" w:hAnsiTheme="minorHAnsi" w:cstheme="minorHAnsi"/>
          <w:sz w:val="24"/>
        </w:rPr>
        <w:t>mld.</w:t>
      </w:r>
      <w:r w:rsidR="006C0225">
        <w:rPr>
          <w:rFonts w:asciiTheme="minorHAnsi" w:hAnsiTheme="minorHAnsi" w:cstheme="minorHAnsi"/>
          <w:sz w:val="24"/>
        </w:rPr>
        <w:t xml:space="preserve"> </w:t>
      </w:r>
      <w:r w:rsidR="006028C1" w:rsidRPr="00626B6D">
        <w:rPr>
          <w:rFonts w:asciiTheme="minorHAnsi" w:hAnsiTheme="minorHAnsi" w:cstheme="minorHAnsi"/>
          <w:sz w:val="24"/>
        </w:rPr>
        <w:t>Kč</w:t>
      </w:r>
      <w:r w:rsidR="0051722F" w:rsidRPr="00626B6D">
        <w:rPr>
          <w:rFonts w:asciiTheme="minorHAnsi" w:hAnsiTheme="minorHAnsi" w:cstheme="minorHAnsi"/>
          <w:sz w:val="24"/>
        </w:rPr>
        <w:t>.</w:t>
      </w:r>
      <w:r w:rsidR="006028C1" w:rsidRPr="00626B6D">
        <w:rPr>
          <w:rFonts w:asciiTheme="minorHAnsi" w:hAnsiTheme="minorHAnsi" w:cstheme="minorHAnsi"/>
          <w:sz w:val="24"/>
        </w:rPr>
        <w:t xml:space="preserve"> </w:t>
      </w:r>
      <w:r w:rsidR="0051722F" w:rsidRPr="00626B6D">
        <w:rPr>
          <w:rFonts w:asciiTheme="minorHAnsi" w:hAnsiTheme="minorHAnsi" w:cstheme="minorHAnsi"/>
          <w:sz w:val="24"/>
        </w:rPr>
        <w:t>Přestože d</w:t>
      </w:r>
      <w:r w:rsidR="00882FC1" w:rsidRPr="00626B6D">
        <w:rPr>
          <w:rFonts w:asciiTheme="minorHAnsi" w:hAnsiTheme="minorHAnsi" w:cstheme="minorHAnsi"/>
          <w:sz w:val="24"/>
        </w:rPr>
        <w:t>okumentace programu nebyla k</w:t>
      </w:r>
      <w:r w:rsidR="006C0225">
        <w:rPr>
          <w:rFonts w:asciiTheme="minorHAnsi" w:hAnsiTheme="minorHAnsi" w:cstheme="minorHAnsi"/>
          <w:sz w:val="24"/>
        </w:rPr>
        <w:t xml:space="preserve"> </w:t>
      </w:r>
      <w:r w:rsidR="00882FC1" w:rsidRPr="00626B6D">
        <w:rPr>
          <w:rFonts w:asciiTheme="minorHAnsi" w:hAnsiTheme="minorHAnsi" w:cstheme="minorHAnsi"/>
          <w:sz w:val="24"/>
        </w:rPr>
        <w:t>6.</w:t>
      </w:r>
      <w:r w:rsidR="006C0225">
        <w:rPr>
          <w:rFonts w:asciiTheme="minorHAnsi" w:hAnsiTheme="minorHAnsi" w:cstheme="minorHAnsi"/>
          <w:sz w:val="24"/>
        </w:rPr>
        <w:t xml:space="preserve"> </w:t>
      </w:r>
      <w:r w:rsidR="0051722F" w:rsidRPr="00626B6D">
        <w:rPr>
          <w:rFonts w:asciiTheme="minorHAnsi" w:hAnsiTheme="minorHAnsi" w:cstheme="minorHAnsi"/>
          <w:sz w:val="24"/>
        </w:rPr>
        <w:t xml:space="preserve">listopadu </w:t>
      </w:r>
      <w:r w:rsidR="00F06607" w:rsidRPr="00626B6D">
        <w:rPr>
          <w:rFonts w:asciiTheme="minorHAnsi" w:hAnsiTheme="minorHAnsi" w:cstheme="minorHAnsi"/>
          <w:sz w:val="24"/>
        </w:rPr>
        <w:t xml:space="preserve">2015 </w:t>
      </w:r>
      <w:r w:rsidR="0051722F" w:rsidRPr="00626B6D">
        <w:rPr>
          <w:rFonts w:asciiTheme="minorHAnsi" w:hAnsiTheme="minorHAnsi" w:cstheme="minorHAnsi"/>
          <w:sz w:val="24"/>
        </w:rPr>
        <w:t>Ministerstvem financí schválena, MMR vyhlásilo již 1.</w:t>
      </w:r>
      <w:r w:rsidR="006C0225">
        <w:rPr>
          <w:rFonts w:asciiTheme="minorHAnsi" w:hAnsiTheme="minorHAnsi" w:cstheme="minorHAnsi"/>
          <w:sz w:val="24"/>
        </w:rPr>
        <w:t xml:space="preserve"> </w:t>
      </w:r>
      <w:r w:rsidR="00D02EF4" w:rsidRPr="00626B6D">
        <w:rPr>
          <w:rFonts w:asciiTheme="minorHAnsi" w:hAnsiTheme="minorHAnsi" w:cstheme="minorHAnsi"/>
          <w:sz w:val="24"/>
        </w:rPr>
        <w:t>listopadu 201</w:t>
      </w:r>
      <w:r w:rsidR="007F78C2" w:rsidRPr="00626B6D">
        <w:rPr>
          <w:rFonts w:asciiTheme="minorHAnsi" w:hAnsiTheme="minorHAnsi" w:cstheme="minorHAnsi"/>
          <w:sz w:val="24"/>
        </w:rPr>
        <w:t>5 výzvu k</w:t>
      </w:r>
      <w:r w:rsidR="006C0225">
        <w:rPr>
          <w:rFonts w:asciiTheme="minorHAnsi" w:hAnsiTheme="minorHAnsi" w:cstheme="minorHAnsi"/>
          <w:sz w:val="24"/>
        </w:rPr>
        <w:t xml:space="preserve"> </w:t>
      </w:r>
      <w:r w:rsidR="007F78C2" w:rsidRPr="00626B6D">
        <w:rPr>
          <w:rFonts w:asciiTheme="minorHAnsi" w:hAnsiTheme="minorHAnsi" w:cstheme="minorHAnsi"/>
          <w:sz w:val="24"/>
        </w:rPr>
        <w:t>předkládání žádostí o</w:t>
      </w:r>
      <w:r w:rsidR="006C0225">
        <w:rPr>
          <w:rFonts w:asciiTheme="minorHAnsi" w:hAnsiTheme="minorHAnsi" w:cstheme="minorHAnsi"/>
          <w:sz w:val="24"/>
        </w:rPr>
        <w:t xml:space="preserve"> </w:t>
      </w:r>
      <w:r w:rsidR="00D02EF4" w:rsidRPr="00626B6D">
        <w:rPr>
          <w:rFonts w:asciiTheme="minorHAnsi" w:hAnsiTheme="minorHAnsi" w:cstheme="minorHAnsi"/>
          <w:sz w:val="24"/>
        </w:rPr>
        <w:t>podporu z</w:t>
      </w:r>
      <w:r w:rsidR="006C0225">
        <w:rPr>
          <w:rFonts w:asciiTheme="minorHAnsi" w:hAnsiTheme="minorHAnsi" w:cstheme="minorHAnsi"/>
          <w:sz w:val="24"/>
        </w:rPr>
        <w:t xml:space="preserve"> </w:t>
      </w:r>
      <w:r w:rsidR="0051722F" w:rsidRPr="00626B6D">
        <w:rPr>
          <w:rFonts w:asciiTheme="minorHAnsi" w:hAnsiTheme="minorHAnsi" w:cstheme="minorHAnsi"/>
          <w:sz w:val="24"/>
        </w:rPr>
        <w:t xml:space="preserve">tohoto </w:t>
      </w:r>
      <w:r w:rsidR="00D02EF4" w:rsidRPr="00626B6D">
        <w:rPr>
          <w:rFonts w:asciiTheme="minorHAnsi" w:hAnsiTheme="minorHAnsi" w:cstheme="minorHAnsi"/>
          <w:sz w:val="24"/>
        </w:rPr>
        <w:t>programu</w:t>
      </w:r>
      <w:r w:rsidR="0051722F" w:rsidRPr="00626B6D">
        <w:rPr>
          <w:rFonts w:asciiTheme="minorHAnsi" w:hAnsiTheme="minorHAnsi" w:cstheme="minorHAnsi"/>
          <w:sz w:val="24"/>
        </w:rPr>
        <w:t>.</w:t>
      </w:r>
      <w:r w:rsidR="00436E9B" w:rsidRPr="00626B6D">
        <w:rPr>
          <w:rFonts w:asciiTheme="minorHAnsi" w:hAnsiTheme="minorHAnsi" w:cstheme="minorHAnsi"/>
          <w:sz w:val="24"/>
        </w:rPr>
        <w:t xml:space="preserve"> </w:t>
      </w:r>
      <w:r w:rsidR="001D2832" w:rsidRPr="00626B6D">
        <w:rPr>
          <w:rFonts w:asciiTheme="minorHAnsi" w:hAnsiTheme="minorHAnsi" w:cstheme="minorHAnsi"/>
          <w:sz w:val="24"/>
        </w:rPr>
        <w:t>Zaměření uvedených programů bylo stejné</w:t>
      </w:r>
      <w:r w:rsidR="00357A49">
        <w:rPr>
          <w:rFonts w:asciiTheme="minorHAnsi" w:hAnsiTheme="minorHAnsi" w:cstheme="minorHAnsi"/>
          <w:sz w:val="24"/>
        </w:rPr>
        <w:t>.</w:t>
      </w:r>
      <w:r w:rsidR="001D2832" w:rsidRPr="00626B6D">
        <w:rPr>
          <w:rFonts w:asciiTheme="minorHAnsi" w:hAnsiTheme="minorHAnsi" w:cstheme="minorHAnsi"/>
          <w:sz w:val="24"/>
        </w:rPr>
        <w:t xml:space="preserve"> </w:t>
      </w:r>
      <w:r w:rsidR="0051722F" w:rsidRPr="00626B6D">
        <w:rPr>
          <w:rFonts w:asciiTheme="minorHAnsi" w:hAnsiTheme="minorHAnsi" w:cstheme="minorHAnsi"/>
          <w:sz w:val="24"/>
        </w:rPr>
        <w:t>Program 317</w:t>
      </w:r>
      <w:r w:rsidR="006C0225">
        <w:rPr>
          <w:rFonts w:asciiTheme="minorHAnsi" w:hAnsiTheme="minorHAnsi" w:cstheme="minorHAnsi"/>
          <w:sz w:val="24"/>
        </w:rPr>
        <w:t xml:space="preserve"> </w:t>
      </w:r>
      <w:r w:rsidR="0051722F" w:rsidRPr="00626B6D">
        <w:rPr>
          <w:rFonts w:asciiTheme="minorHAnsi" w:hAnsiTheme="minorHAnsi" w:cstheme="minorHAnsi"/>
          <w:sz w:val="24"/>
        </w:rPr>
        <w:t xml:space="preserve">420 byl zaměřen na podporu výstavby nájemních bytů a technické infrastruktury, </w:t>
      </w:r>
      <w:r w:rsidR="00FB0220">
        <w:rPr>
          <w:rFonts w:asciiTheme="minorHAnsi" w:hAnsiTheme="minorHAnsi" w:cstheme="minorHAnsi"/>
          <w:sz w:val="24"/>
        </w:rPr>
        <w:t>tato podpora</w:t>
      </w:r>
      <w:r w:rsidR="0051722F" w:rsidRPr="00626B6D">
        <w:rPr>
          <w:rFonts w:asciiTheme="minorHAnsi" w:hAnsiTheme="minorHAnsi" w:cstheme="minorHAnsi"/>
          <w:sz w:val="24"/>
        </w:rPr>
        <w:t xml:space="preserve"> byla součástí i dalších tří programů</w:t>
      </w:r>
      <w:r w:rsidR="001D2832" w:rsidRPr="00626B6D">
        <w:rPr>
          <w:rFonts w:asciiTheme="minorHAnsi" w:hAnsiTheme="minorHAnsi" w:cstheme="minorHAnsi"/>
          <w:sz w:val="24"/>
        </w:rPr>
        <w:t>;</w:t>
      </w:r>
      <w:r w:rsidR="00681E0B" w:rsidRPr="00626B6D">
        <w:rPr>
          <w:rFonts w:asciiTheme="minorHAnsi" w:hAnsiTheme="minorHAnsi" w:cstheme="minorHAnsi"/>
          <w:sz w:val="24"/>
        </w:rPr>
        <w:t xml:space="preserve"> </w:t>
      </w:r>
      <w:r w:rsidR="001D2832" w:rsidRPr="00626B6D">
        <w:rPr>
          <w:rFonts w:asciiTheme="minorHAnsi" w:hAnsiTheme="minorHAnsi" w:cstheme="minorHAnsi"/>
          <w:sz w:val="24"/>
        </w:rPr>
        <w:t>p</w:t>
      </w:r>
      <w:r w:rsidR="0051722F" w:rsidRPr="00626B6D">
        <w:rPr>
          <w:rFonts w:asciiTheme="minorHAnsi" w:hAnsiTheme="minorHAnsi" w:cstheme="minorHAnsi"/>
          <w:sz w:val="24"/>
        </w:rPr>
        <w:t>rogram</w:t>
      </w:r>
      <w:r w:rsidR="00681E0B" w:rsidRPr="00626B6D">
        <w:rPr>
          <w:rFonts w:asciiTheme="minorHAnsi" w:hAnsiTheme="minorHAnsi" w:cstheme="minorHAnsi"/>
          <w:sz w:val="24"/>
        </w:rPr>
        <w:t>y</w:t>
      </w:r>
      <w:r w:rsidR="001D2832" w:rsidRPr="00626B6D">
        <w:rPr>
          <w:rFonts w:asciiTheme="minorHAnsi" w:hAnsiTheme="minorHAnsi" w:cstheme="minorHAnsi"/>
          <w:sz w:val="24"/>
        </w:rPr>
        <w:t xml:space="preserve"> 217</w:t>
      </w:r>
      <w:r w:rsidR="005522F1">
        <w:rPr>
          <w:rFonts w:asciiTheme="minorHAnsi" w:hAnsiTheme="minorHAnsi" w:cstheme="minorHAnsi"/>
          <w:sz w:val="24"/>
        </w:rPr>
        <w:t> </w:t>
      </w:r>
      <w:r w:rsidR="00FB0220">
        <w:rPr>
          <w:rFonts w:asciiTheme="minorHAnsi" w:hAnsiTheme="minorHAnsi" w:cstheme="minorHAnsi"/>
          <w:sz w:val="24"/>
        </w:rPr>
        <w:t>310 a </w:t>
      </w:r>
      <w:r w:rsidR="001D2832" w:rsidRPr="00626B6D">
        <w:rPr>
          <w:rFonts w:asciiTheme="minorHAnsi" w:hAnsiTheme="minorHAnsi" w:cstheme="minorHAnsi"/>
          <w:sz w:val="24"/>
        </w:rPr>
        <w:t>117</w:t>
      </w:r>
      <w:r w:rsidR="00FB0220">
        <w:rPr>
          <w:rFonts w:asciiTheme="minorHAnsi" w:hAnsiTheme="minorHAnsi" w:cstheme="minorHAnsi"/>
          <w:sz w:val="24"/>
        </w:rPr>
        <w:t> </w:t>
      </w:r>
      <w:r w:rsidR="001D2832" w:rsidRPr="00626B6D">
        <w:rPr>
          <w:rFonts w:asciiTheme="minorHAnsi" w:hAnsiTheme="minorHAnsi" w:cstheme="minorHAnsi"/>
          <w:sz w:val="24"/>
        </w:rPr>
        <w:t>510</w:t>
      </w:r>
      <w:r w:rsidR="00681E0B" w:rsidRPr="00626B6D">
        <w:rPr>
          <w:rFonts w:asciiTheme="minorHAnsi" w:hAnsiTheme="minorHAnsi" w:cstheme="minorHAnsi"/>
          <w:sz w:val="24"/>
        </w:rPr>
        <w:t xml:space="preserve"> </w:t>
      </w:r>
      <w:r w:rsidR="0051722F" w:rsidRPr="00626B6D">
        <w:rPr>
          <w:rFonts w:asciiTheme="minorHAnsi" w:hAnsiTheme="minorHAnsi" w:cstheme="minorHAnsi"/>
          <w:sz w:val="24"/>
        </w:rPr>
        <w:t>obsahoval</w:t>
      </w:r>
      <w:r w:rsidR="001D2832" w:rsidRPr="00626B6D">
        <w:rPr>
          <w:rFonts w:asciiTheme="minorHAnsi" w:hAnsiTheme="minorHAnsi" w:cstheme="minorHAnsi"/>
          <w:sz w:val="24"/>
        </w:rPr>
        <w:t xml:space="preserve">y </w:t>
      </w:r>
      <w:r w:rsidR="00681E0B" w:rsidRPr="00626B6D">
        <w:rPr>
          <w:rFonts w:asciiTheme="minorHAnsi" w:hAnsiTheme="minorHAnsi" w:cstheme="minorHAnsi"/>
          <w:sz w:val="24"/>
        </w:rPr>
        <w:t xml:space="preserve">stejné podprogramy </w:t>
      </w:r>
      <w:r w:rsidR="004B44B9" w:rsidRPr="00626B6D">
        <w:rPr>
          <w:rFonts w:asciiTheme="minorHAnsi" w:hAnsiTheme="minorHAnsi" w:cstheme="minorHAnsi"/>
          <w:sz w:val="24"/>
        </w:rPr>
        <w:t>(</w:t>
      </w:r>
      <w:r w:rsidR="0051722F" w:rsidRPr="00626B6D">
        <w:rPr>
          <w:rFonts w:asciiTheme="minorHAnsi" w:hAnsiTheme="minorHAnsi" w:cstheme="minorHAnsi"/>
          <w:sz w:val="24"/>
        </w:rPr>
        <w:t>vyjma oprav vad panelové výstavby</w:t>
      </w:r>
      <w:r w:rsidR="001D2832" w:rsidRPr="00626B6D">
        <w:rPr>
          <w:rFonts w:asciiTheme="minorHAnsi" w:hAnsiTheme="minorHAnsi" w:cstheme="minorHAnsi"/>
          <w:sz w:val="24"/>
        </w:rPr>
        <w:t xml:space="preserve"> a</w:t>
      </w:r>
      <w:r w:rsidR="00FB0220">
        <w:rPr>
          <w:rFonts w:asciiTheme="minorHAnsi" w:hAnsiTheme="minorHAnsi" w:cstheme="minorHAnsi"/>
          <w:sz w:val="24"/>
        </w:rPr>
        <w:t> </w:t>
      </w:r>
      <w:r w:rsidR="00681E0B" w:rsidRPr="00626B6D">
        <w:rPr>
          <w:rFonts w:asciiTheme="minorHAnsi" w:hAnsiTheme="minorHAnsi" w:cstheme="minorHAnsi"/>
          <w:sz w:val="24"/>
        </w:rPr>
        <w:t>pomoci při živelní pohromě</w:t>
      </w:r>
      <w:r w:rsidR="001D2832" w:rsidRPr="00626B6D">
        <w:rPr>
          <w:rFonts w:asciiTheme="minorHAnsi" w:hAnsiTheme="minorHAnsi" w:cstheme="minorHAnsi"/>
          <w:sz w:val="24"/>
        </w:rPr>
        <w:t>)</w:t>
      </w:r>
      <w:r w:rsidR="00FB0220">
        <w:rPr>
          <w:rFonts w:asciiTheme="minorHAnsi" w:hAnsiTheme="minorHAnsi" w:cstheme="minorHAnsi"/>
          <w:sz w:val="24"/>
        </w:rPr>
        <w:t>.</w:t>
      </w:r>
      <w:r w:rsidR="001D2832" w:rsidRPr="00626B6D">
        <w:rPr>
          <w:rFonts w:asciiTheme="minorHAnsi" w:hAnsiTheme="minorHAnsi" w:cstheme="minorHAnsi"/>
          <w:sz w:val="24"/>
        </w:rPr>
        <w:t xml:space="preserve"> </w:t>
      </w:r>
      <w:r w:rsidR="00FB0220">
        <w:rPr>
          <w:rFonts w:asciiTheme="minorHAnsi" w:hAnsiTheme="minorHAnsi" w:cstheme="minorHAnsi"/>
          <w:sz w:val="24"/>
        </w:rPr>
        <w:t>S</w:t>
      </w:r>
      <w:r w:rsidR="000E4A28" w:rsidRPr="00626B6D">
        <w:rPr>
          <w:rFonts w:asciiTheme="minorHAnsi" w:hAnsiTheme="minorHAnsi" w:cstheme="minorHAnsi"/>
          <w:sz w:val="24"/>
        </w:rPr>
        <w:t>tejné podprogramy obsahoval i program 117</w:t>
      </w:r>
      <w:r w:rsidR="005522F1">
        <w:rPr>
          <w:rFonts w:asciiTheme="minorHAnsi" w:hAnsiTheme="minorHAnsi" w:cstheme="minorHAnsi"/>
          <w:sz w:val="24"/>
        </w:rPr>
        <w:t> </w:t>
      </w:r>
      <w:r w:rsidR="000E4A28" w:rsidRPr="00626B6D">
        <w:rPr>
          <w:rFonts w:asciiTheme="minorHAnsi" w:hAnsiTheme="minorHAnsi" w:cstheme="minorHAnsi"/>
          <w:sz w:val="24"/>
        </w:rPr>
        <w:t xml:space="preserve">060, do kterého MMR zařadilo </w:t>
      </w:r>
      <w:r w:rsidR="001D2832" w:rsidRPr="00626B6D">
        <w:rPr>
          <w:rFonts w:asciiTheme="minorHAnsi" w:hAnsiTheme="minorHAnsi" w:cstheme="minorHAnsi"/>
          <w:sz w:val="24"/>
        </w:rPr>
        <w:t xml:space="preserve">navíc jen jeden </w:t>
      </w:r>
      <w:r w:rsidR="000E4A28" w:rsidRPr="00626B6D">
        <w:rPr>
          <w:rFonts w:asciiTheme="minorHAnsi" w:hAnsiTheme="minorHAnsi" w:cstheme="minorHAnsi"/>
          <w:sz w:val="24"/>
        </w:rPr>
        <w:t xml:space="preserve">nový dotační titul </w:t>
      </w:r>
      <w:r w:rsidR="000E4A28" w:rsidRPr="00626B6D">
        <w:rPr>
          <w:rFonts w:asciiTheme="minorHAnsi" w:hAnsiTheme="minorHAnsi" w:cstheme="minorHAnsi"/>
          <w:i/>
          <w:sz w:val="24"/>
        </w:rPr>
        <w:t>Bytové domy bez bariér.</w:t>
      </w:r>
    </w:p>
    <w:p w14:paraId="14748630" w14:textId="77777777" w:rsidR="00866D9F" w:rsidRPr="00412DED" w:rsidRDefault="00866D9F" w:rsidP="0051722F">
      <w:pPr>
        <w:rPr>
          <w:rFonts w:asciiTheme="minorHAnsi" w:hAnsiTheme="minorHAnsi" w:cstheme="minorHAnsi"/>
          <w:szCs w:val="22"/>
        </w:rPr>
      </w:pPr>
    </w:p>
    <w:p w14:paraId="554C9ADB" w14:textId="1B60F50A" w:rsidR="0055698D" w:rsidRPr="00626B6D" w:rsidRDefault="00773AED" w:rsidP="006E3060">
      <w:pPr>
        <w:autoSpaceDE w:val="0"/>
        <w:autoSpaceDN w:val="0"/>
        <w:adjustRightInd w:val="0"/>
        <w:rPr>
          <w:rFonts w:asciiTheme="minorHAnsi" w:hAnsiTheme="minorHAnsi" w:cstheme="minorHAnsi"/>
          <w:sz w:val="24"/>
        </w:rPr>
      </w:pPr>
      <w:r w:rsidRPr="00626B6D">
        <w:rPr>
          <w:rFonts w:asciiTheme="minorHAnsi" w:hAnsiTheme="minorHAnsi" w:cstheme="minorHAnsi"/>
          <w:b/>
          <w:sz w:val="24"/>
        </w:rPr>
        <w:t>4.</w:t>
      </w:r>
      <w:r w:rsidRPr="00626B6D">
        <w:rPr>
          <w:rFonts w:asciiTheme="minorHAnsi" w:hAnsiTheme="minorHAnsi" w:cstheme="minorHAnsi"/>
          <w:sz w:val="24"/>
        </w:rPr>
        <w:t xml:space="preserve"> </w:t>
      </w:r>
      <w:r w:rsidR="00896877" w:rsidRPr="00626B6D">
        <w:rPr>
          <w:rFonts w:asciiTheme="minorHAnsi" w:hAnsiTheme="minorHAnsi" w:cstheme="minorHAnsi"/>
          <w:sz w:val="24"/>
        </w:rPr>
        <w:t>MMR mělo k</w:t>
      </w:r>
      <w:r w:rsidR="006C0225">
        <w:rPr>
          <w:rFonts w:asciiTheme="minorHAnsi" w:hAnsiTheme="minorHAnsi" w:cstheme="minorHAnsi"/>
          <w:sz w:val="24"/>
        </w:rPr>
        <w:t xml:space="preserve"> </w:t>
      </w:r>
      <w:r w:rsidR="00896877" w:rsidRPr="00626B6D">
        <w:rPr>
          <w:rFonts w:asciiTheme="minorHAnsi" w:hAnsiTheme="minorHAnsi" w:cstheme="minorHAnsi"/>
          <w:sz w:val="24"/>
        </w:rPr>
        <w:t xml:space="preserve">dispozici </w:t>
      </w:r>
      <w:r w:rsidR="0055698D" w:rsidRPr="00626B6D">
        <w:rPr>
          <w:rFonts w:asciiTheme="minorHAnsi" w:hAnsiTheme="minorHAnsi" w:cstheme="minorHAnsi"/>
          <w:sz w:val="24"/>
        </w:rPr>
        <w:t>hodnocení fiskální</w:t>
      </w:r>
      <w:r w:rsidR="001A7775" w:rsidRPr="00626B6D">
        <w:rPr>
          <w:rFonts w:asciiTheme="minorHAnsi" w:hAnsiTheme="minorHAnsi" w:cstheme="minorHAnsi"/>
          <w:sz w:val="24"/>
        </w:rPr>
        <w:t>ho dopadu podpor bydlení na státní rozpočet</w:t>
      </w:r>
      <w:r w:rsidR="008E7814">
        <w:rPr>
          <w:rFonts w:asciiTheme="minorHAnsi" w:hAnsiTheme="minorHAnsi" w:cstheme="minorHAnsi"/>
          <w:sz w:val="24"/>
        </w:rPr>
        <w:t xml:space="preserve"> a</w:t>
      </w:r>
      <w:r w:rsidR="00490608">
        <w:rPr>
          <w:rFonts w:asciiTheme="minorHAnsi" w:hAnsiTheme="minorHAnsi" w:cstheme="minorHAnsi"/>
          <w:sz w:val="24"/>
        </w:rPr>
        <w:t> </w:t>
      </w:r>
      <w:r w:rsidR="00FB0220">
        <w:rPr>
          <w:rFonts w:asciiTheme="minorHAnsi" w:hAnsiTheme="minorHAnsi" w:cstheme="minorHAnsi"/>
          <w:sz w:val="24"/>
        </w:rPr>
        <w:t>na veřejné rozpočty</w:t>
      </w:r>
      <w:r w:rsidR="00975A7B" w:rsidRPr="00626B6D">
        <w:rPr>
          <w:rFonts w:asciiTheme="minorHAnsi" w:hAnsiTheme="minorHAnsi" w:cstheme="minorHAnsi"/>
          <w:sz w:val="24"/>
        </w:rPr>
        <w:t xml:space="preserve"> a</w:t>
      </w:r>
      <w:r w:rsidR="00FB0220">
        <w:rPr>
          <w:rFonts w:asciiTheme="minorHAnsi" w:hAnsiTheme="minorHAnsi" w:cstheme="minorHAnsi"/>
          <w:sz w:val="24"/>
        </w:rPr>
        <w:t> znalo i</w:t>
      </w:r>
      <w:r w:rsidR="0055698D" w:rsidRPr="00626B6D">
        <w:rPr>
          <w:rFonts w:asciiTheme="minorHAnsi" w:hAnsiTheme="minorHAnsi" w:cstheme="minorHAnsi"/>
          <w:sz w:val="24"/>
        </w:rPr>
        <w:t xml:space="preserve"> subjektivní názory odborné veřejnosti na dopad podpor bydlení na t</w:t>
      </w:r>
      <w:r w:rsidR="00975A7B" w:rsidRPr="00626B6D">
        <w:rPr>
          <w:rFonts w:asciiTheme="minorHAnsi" w:hAnsiTheme="minorHAnsi" w:cstheme="minorHAnsi"/>
          <w:sz w:val="24"/>
        </w:rPr>
        <w:t>rh s</w:t>
      </w:r>
      <w:r w:rsidR="006C0225">
        <w:rPr>
          <w:rFonts w:asciiTheme="minorHAnsi" w:hAnsiTheme="minorHAnsi" w:cstheme="minorHAnsi"/>
          <w:sz w:val="24"/>
        </w:rPr>
        <w:t xml:space="preserve"> </w:t>
      </w:r>
      <w:r w:rsidR="00975A7B" w:rsidRPr="00626B6D">
        <w:rPr>
          <w:rFonts w:asciiTheme="minorHAnsi" w:hAnsiTheme="minorHAnsi" w:cstheme="minorHAnsi"/>
          <w:sz w:val="24"/>
        </w:rPr>
        <w:t>byty.</w:t>
      </w:r>
      <w:r w:rsidR="0055698D" w:rsidRPr="00626B6D">
        <w:rPr>
          <w:rFonts w:asciiTheme="minorHAnsi" w:hAnsiTheme="minorHAnsi" w:cstheme="minorHAnsi"/>
          <w:sz w:val="24"/>
        </w:rPr>
        <w:t xml:space="preserve"> </w:t>
      </w:r>
      <w:r w:rsidR="00975A7B" w:rsidRPr="00626B6D">
        <w:rPr>
          <w:rFonts w:asciiTheme="minorHAnsi" w:hAnsiTheme="minorHAnsi" w:cstheme="minorHAnsi"/>
          <w:sz w:val="24"/>
        </w:rPr>
        <w:t>Samo ale</w:t>
      </w:r>
      <w:r w:rsidR="006006D8" w:rsidRPr="00626B6D">
        <w:rPr>
          <w:rFonts w:asciiTheme="minorHAnsi" w:hAnsiTheme="minorHAnsi" w:cstheme="minorHAnsi"/>
          <w:sz w:val="24"/>
        </w:rPr>
        <w:t xml:space="preserve"> uvedlo, že hodnocení fiskální návratnosti je zavádějícím pojmem, protože fiskální návratnost by neměla být jediným přínosem.</w:t>
      </w:r>
      <w:r w:rsidR="00975A7B" w:rsidRPr="00626B6D">
        <w:rPr>
          <w:rFonts w:asciiTheme="minorHAnsi" w:hAnsiTheme="minorHAnsi" w:cstheme="minorHAnsi"/>
          <w:sz w:val="24"/>
        </w:rPr>
        <w:t xml:space="preserve"> MMR rovněž disponovalo</w:t>
      </w:r>
      <w:r w:rsidR="006006D8" w:rsidRPr="00626B6D">
        <w:rPr>
          <w:rFonts w:asciiTheme="minorHAnsi" w:hAnsiTheme="minorHAnsi" w:cstheme="minorHAnsi"/>
          <w:sz w:val="24"/>
        </w:rPr>
        <w:t xml:space="preserve"> </w:t>
      </w:r>
      <w:r w:rsidR="00975A7B" w:rsidRPr="00626B6D">
        <w:rPr>
          <w:rFonts w:asciiTheme="minorHAnsi" w:hAnsiTheme="minorHAnsi" w:cstheme="minorHAnsi"/>
          <w:sz w:val="24"/>
        </w:rPr>
        <w:t xml:space="preserve">návrhem indikátorů pro měření výstupů, výsledků a dopadů podpor </w:t>
      </w:r>
      <w:r w:rsidR="00FB0220">
        <w:rPr>
          <w:rFonts w:asciiTheme="minorHAnsi" w:hAnsiTheme="minorHAnsi" w:cstheme="minorHAnsi"/>
          <w:sz w:val="24"/>
        </w:rPr>
        <w:t>tohoto typu</w:t>
      </w:r>
      <w:r w:rsidR="00975A7B" w:rsidRPr="00626B6D">
        <w:rPr>
          <w:rFonts w:asciiTheme="minorHAnsi" w:hAnsiTheme="minorHAnsi" w:cstheme="minorHAnsi"/>
          <w:sz w:val="24"/>
        </w:rPr>
        <w:t xml:space="preserve"> a tzv. metodikou pro hodnocení nástrojů bytové politiky. </w:t>
      </w:r>
      <w:r w:rsidR="0055698D" w:rsidRPr="00626B6D">
        <w:rPr>
          <w:rFonts w:asciiTheme="minorHAnsi" w:hAnsiTheme="minorHAnsi" w:cstheme="minorHAnsi"/>
          <w:sz w:val="24"/>
        </w:rPr>
        <w:t xml:space="preserve">Návrh indikátorů </w:t>
      </w:r>
      <w:r w:rsidR="00975A7B" w:rsidRPr="00626B6D">
        <w:rPr>
          <w:rFonts w:asciiTheme="minorHAnsi" w:hAnsiTheme="minorHAnsi" w:cstheme="minorHAnsi"/>
          <w:sz w:val="24"/>
        </w:rPr>
        <w:t>ale</w:t>
      </w:r>
      <w:r w:rsidR="0055698D" w:rsidRPr="00626B6D">
        <w:rPr>
          <w:rFonts w:asciiTheme="minorHAnsi" w:hAnsiTheme="minorHAnsi" w:cstheme="minorHAnsi"/>
          <w:sz w:val="24"/>
        </w:rPr>
        <w:t xml:space="preserve"> nemohlo využít</w:t>
      </w:r>
      <w:r w:rsidR="00975A7B" w:rsidRPr="00626B6D">
        <w:rPr>
          <w:rFonts w:asciiTheme="minorHAnsi" w:hAnsiTheme="minorHAnsi" w:cstheme="minorHAnsi"/>
          <w:sz w:val="24"/>
        </w:rPr>
        <w:t>, protože nemělo zajištěn zdroj jejich</w:t>
      </w:r>
      <w:r w:rsidR="0055698D" w:rsidRPr="00626B6D">
        <w:rPr>
          <w:rFonts w:asciiTheme="minorHAnsi" w:hAnsiTheme="minorHAnsi" w:cstheme="minorHAnsi"/>
          <w:sz w:val="24"/>
        </w:rPr>
        <w:t xml:space="preserve"> dat, indikátory</w:t>
      </w:r>
      <w:r w:rsidR="00975A7B" w:rsidRPr="00626B6D">
        <w:rPr>
          <w:rFonts w:asciiTheme="minorHAnsi" w:hAnsiTheme="minorHAnsi" w:cstheme="minorHAnsi"/>
          <w:sz w:val="24"/>
        </w:rPr>
        <w:t xml:space="preserve"> neměly přímou vazbu na podpory a chyběly jejich cílové hodnoty. M</w:t>
      </w:r>
      <w:r w:rsidR="00B11B13" w:rsidRPr="00626B6D">
        <w:rPr>
          <w:rFonts w:asciiTheme="minorHAnsi" w:hAnsiTheme="minorHAnsi" w:cstheme="minorHAnsi"/>
          <w:sz w:val="24"/>
        </w:rPr>
        <w:t>etodiku</w:t>
      </w:r>
      <w:r w:rsidR="0055698D" w:rsidRPr="00626B6D">
        <w:rPr>
          <w:rFonts w:asciiTheme="minorHAnsi" w:hAnsiTheme="minorHAnsi" w:cstheme="minorHAnsi"/>
          <w:sz w:val="24"/>
        </w:rPr>
        <w:t xml:space="preserve"> hodnocení </w:t>
      </w:r>
      <w:r w:rsidR="00B11B13" w:rsidRPr="00626B6D">
        <w:rPr>
          <w:rFonts w:asciiTheme="minorHAnsi" w:hAnsiTheme="minorHAnsi" w:cstheme="minorHAnsi"/>
          <w:sz w:val="24"/>
        </w:rPr>
        <w:t>sice využilo, ale ta jen</w:t>
      </w:r>
      <w:r w:rsidR="00975A7B" w:rsidRPr="00626B6D">
        <w:rPr>
          <w:rFonts w:asciiTheme="minorHAnsi" w:hAnsiTheme="minorHAnsi" w:cstheme="minorHAnsi"/>
          <w:sz w:val="24"/>
        </w:rPr>
        <w:t xml:space="preserve"> </w:t>
      </w:r>
      <w:r w:rsidR="0055698D" w:rsidRPr="00626B6D">
        <w:rPr>
          <w:rFonts w:asciiTheme="minorHAnsi" w:hAnsiTheme="minorHAnsi" w:cstheme="minorHAnsi"/>
          <w:sz w:val="24"/>
        </w:rPr>
        <w:t>posuz</w:t>
      </w:r>
      <w:r w:rsidR="007F78C2" w:rsidRPr="00626B6D">
        <w:rPr>
          <w:rFonts w:asciiTheme="minorHAnsi" w:hAnsiTheme="minorHAnsi" w:cstheme="minorHAnsi"/>
          <w:sz w:val="24"/>
        </w:rPr>
        <w:t>ovala, zda systém poskytování a</w:t>
      </w:r>
      <w:r w:rsidR="00FB0220">
        <w:rPr>
          <w:rFonts w:asciiTheme="minorHAnsi" w:hAnsiTheme="minorHAnsi" w:cstheme="minorHAnsi"/>
          <w:sz w:val="24"/>
        </w:rPr>
        <w:t> </w:t>
      </w:r>
      <w:r w:rsidR="0055698D" w:rsidRPr="00626B6D">
        <w:rPr>
          <w:rFonts w:asciiTheme="minorHAnsi" w:hAnsiTheme="minorHAnsi" w:cstheme="minorHAnsi"/>
          <w:sz w:val="24"/>
        </w:rPr>
        <w:t>hodnocení podpor</w:t>
      </w:r>
      <w:r w:rsidR="00B11B13" w:rsidRPr="00626B6D">
        <w:rPr>
          <w:rFonts w:asciiTheme="minorHAnsi" w:hAnsiTheme="minorHAnsi" w:cstheme="minorHAnsi"/>
          <w:sz w:val="24"/>
        </w:rPr>
        <w:t xml:space="preserve"> bydlení je nastaven, což</w:t>
      </w:r>
      <w:r w:rsidR="0055698D" w:rsidRPr="00626B6D">
        <w:rPr>
          <w:rFonts w:asciiTheme="minorHAnsi" w:hAnsiTheme="minorHAnsi" w:cstheme="minorHAnsi"/>
          <w:sz w:val="24"/>
        </w:rPr>
        <w:t xml:space="preserve"> </w:t>
      </w:r>
      <w:r w:rsidR="00620A70" w:rsidRPr="00626B6D">
        <w:rPr>
          <w:rFonts w:asciiTheme="minorHAnsi" w:hAnsiTheme="minorHAnsi" w:cstheme="minorHAnsi"/>
          <w:sz w:val="24"/>
        </w:rPr>
        <w:t xml:space="preserve">je </w:t>
      </w:r>
      <w:r w:rsidR="0055698D" w:rsidRPr="00626B6D">
        <w:rPr>
          <w:rFonts w:asciiTheme="minorHAnsi" w:hAnsiTheme="minorHAnsi" w:cstheme="minorHAnsi"/>
          <w:sz w:val="24"/>
        </w:rPr>
        <w:t xml:space="preserve">u programového financování základní podmínkou pro samotné schválení programu. Metodika se nezabývala kvalitou </w:t>
      </w:r>
      <w:r w:rsidR="007F78C2" w:rsidRPr="00626B6D">
        <w:rPr>
          <w:rFonts w:asciiTheme="minorHAnsi" w:hAnsiTheme="minorHAnsi" w:cstheme="minorHAnsi"/>
          <w:sz w:val="24"/>
        </w:rPr>
        <w:t>nastavení systému poskytování a</w:t>
      </w:r>
      <w:r w:rsidR="006C0225">
        <w:rPr>
          <w:rFonts w:asciiTheme="minorHAnsi" w:hAnsiTheme="minorHAnsi" w:cstheme="minorHAnsi"/>
          <w:sz w:val="24"/>
        </w:rPr>
        <w:t xml:space="preserve"> </w:t>
      </w:r>
      <w:r w:rsidR="0055698D" w:rsidRPr="00626B6D">
        <w:rPr>
          <w:rFonts w:asciiTheme="minorHAnsi" w:hAnsiTheme="minorHAnsi" w:cstheme="minorHAnsi"/>
          <w:sz w:val="24"/>
        </w:rPr>
        <w:t>hodnocení podpor bydlení ani konkrétním vyčíslením</w:t>
      </w:r>
      <w:r w:rsidR="00CA05CA" w:rsidRPr="00626B6D">
        <w:rPr>
          <w:rFonts w:asciiTheme="minorHAnsi" w:hAnsiTheme="minorHAnsi" w:cstheme="minorHAnsi"/>
          <w:sz w:val="24"/>
        </w:rPr>
        <w:t xml:space="preserve"> </w:t>
      </w:r>
      <w:r w:rsidR="0055698D" w:rsidRPr="00626B6D">
        <w:rPr>
          <w:rFonts w:asciiTheme="minorHAnsi" w:hAnsiTheme="minorHAnsi" w:cstheme="minorHAnsi"/>
          <w:sz w:val="24"/>
        </w:rPr>
        <w:t>efektivnosti a</w:t>
      </w:r>
      <w:r w:rsidR="00FB0220">
        <w:rPr>
          <w:rFonts w:asciiTheme="minorHAnsi" w:hAnsiTheme="minorHAnsi" w:cstheme="minorHAnsi"/>
          <w:sz w:val="24"/>
        </w:rPr>
        <w:t> </w:t>
      </w:r>
      <w:r w:rsidR="0055698D" w:rsidRPr="00626B6D">
        <w:rPr>
          <w:rFonts w:asciiTheme="minorHAnsi" w:hAnsiTheme="minorHAnsi" w:cstheme="minorHAnsi"/>
          <w:sz w:val="24"/>
        </w:rPr>
        <w:t>účelnosti poskytnutých podpor bydlení. Tím se nezabývaly ani další analýzy a hodnocení, které mělo MMR k dispozici.</w:t>
      </w:r>
    </w:p>
    <w:p w14:paraId="76DD9EF8" w14:textId="77777777" w:rsidR="00126D44" w:rsidRDefault="00126D44" w:rsidP="00126D44">
      <w:pPr>
        <w:rPr>
          <w:rFonts w:asciiTheme="minorHAnsi" w:hAnsiTheme="minorHAnsi" w:cstheme="minorHAnsi"/>
        </w:rPr>
      </w:pPr>
    </w:p>
    <w:p w14:paraId="7AFA7720" w14:textId="4BBBF2B1" w:rsidR="00FB0220" w:rsidRDefault="005E1A03" w:rsidP="005E1A03">
      <w:pPr>
        <w:rPr>
          <w:rFonts w:asciiTheme="minorHAnsi" w:hAnsiTheme="minorHAnsi" w:cstheme="minorHAnsi"/>
          <w:sz w:val="24"/>
        </w:rPr>
      </w:pPr>
      <w:r w:rsidRPr="00626B6D">
        <w:rPr>
          <w:rFonts w:asciiTheme="minorHAnsi" w:hAnsiTheme="minorHAnsi" w:cstheme="minorHAnsi"/>
          <w:b/>
          <w:sz w:val="24"/>
        </w:rPr>
        <w:t>5.</w:t>
      </w:r>
      <w:r w:rsidRPr="00626B6D">
        <w:rPr>
          <w:rFonts w:asciiTheme="minorHAnsi" w:hAnsiTheme="minorHAnsi" w:cstheme="minorHAnsi"/>
          <w:sz w:val="24"/>
        </w:rPr>
        <w:t xml:space="preserve"> Dotace na výstavbu nájemních bytů </w:t>
      </w:r>
      <w:r w:rsidR="009E5D61" w:rsidRPr="00626B6D">
        <w:rPr>
          <w:rFonts w:asciiTheme="minorHAnsi" w:hAnsiTheme="minorHAnsi" w:cstheme="minorHAnsi"/>
          <w:sz w:val="24"/>
        </w:rPr>
        <w:t>určených pro</w:t>
      </w:r>
      <w:r w:rsidRPr="00626B6D">
        <w:rPr>
          <w:rFonts w:asciiTheme="minorHAnsi" w:hAnsiTheme="minorHAnsi" w:cstheme="minorHAnsi"/>
          <w:sz w:val="24"/>
        </w:rPr>
        <w:t xml:space="preserve"> cílov</w:t>
      </w:r>
      <w:r w:rsidR="009E5D61" w:rsidRPr="00626B6D">
        <w:rPr>
          <w:rFonts w:asciiTheme="minorHAnsi" w:hAnsiTheme="minorHAnsi" w:cstheme="minorHAnsi"/>
          <w:sz w:val="24"/>
        </w:rPr>
        <w:t>é</w:t>
      </w:r>
      <w:r w:rsidRPr="00626B6D">
        <w:rPr>
          <w:rFonts w:asciiTheme="minorHAnsi" w:hAnsiTheme="minorHAnsi" w:cstheme="minorHAnsi"/>
          <w:sz w:val="24"/>
        </w:rPr>
        <w:t xml:space="preserve"> skupin</w:t>
      </w:r>
      <w:r w:rsidR="009E5D61" w:rsidRPr="00626B6D">
        <w:rPr>
          <w:rFonts w:asciiTheme="minorHAnsi" w:hAnsiTheme="minorHAnsi" w:cstheme="minorHAnsi"/>
          <w:sz w:val="24"/>
        </w:rPr>
        <w:t>y osob</w:t>
      </w:r>
      <w:r w:rsidRPr="00626B6D">
        <w:rPr>
          <w:rFonts w:asciiTheme="minorHAnsi" w:hAnsiTheme="minorHAnsi" w:cstheme="minorHAnsi"/>
          <w:sz w:val="24"/>
        </w:rPr>
        <w:t xml:space="preserve"> poskytovalo MMR se změnami podmínek nepřetržitě od roku 2003, a to zejména z</w:t>
      </w:r>
      <w:r w:rsidR="006C0225">
        <w:rPr>
          <w:rFonts w:asciiTheme="minorHAnsi" w:hAnsiTheme="minorHAnsi" w:cstheme="minorHAnsi"/>
          <w:sz w:val="24"/>
        </w:rPr>
        <w:t xml:space="preserve"> </w:t>
      </w:r>
      <w:r w:rsidRPr="00626B6D">
        <w:rPr>
          <w:rFonts w:asciiTheme="minorHAnsi" w:hAnsiTheme="minorHAnsi" w:cstheme="minorHAnsi"/>
          <w:sz w:val="24"/>
        </w:rPr>
        <w:t>programu 217</w:t>
      </w:r>
      <w:r w:rsidR="005522F1">
        <w:rPr>
          <w:rFonts w:asciiTheme="minorHAnsi" w:hAnsiTheme="minorHAnsi" w:cstheme="minorHAnsi"/>
          <w:sz w:val="24"/>
        </w:rPr>
        <w:t> </w:t>
      </w:r>
      <w:r w:rsidRPr="00626B6D">
        <w:rPr>
          <w:rFonts w:asciiTheme="minorHAnsi" w:hAnsiTheme="minorHAnsi" w:cstheme="minorHAnsi"/>
          <w:sz w:val="24"/>
        </w:rPr>
        <w:t>310</w:t>
      </w:r>
      <w:r w:rsidR="00620A70">
        <w:rPr>
          <w:rFonts w:asciiTheme="minorHAnsi" w:hAnsiTheme="minorHAnsi" w:cstheme="minorHAnsi"/>
          <w:sz w:val="24"/>
        </w:rPr>
        <w:t> –</w:t>
      </w:r>
      <w:r w:rsidRPr="00626B6D">
        <w:rPr>
          <w:rFonts w:asciiTheme="minorHAnsi" w:hAnsiTheme="minorHAnsi" w:cstheme="minorHAnsi"/>
          <w:sz w:val="24"/>
        </w:rPr>
        <w:t xml:space="preserve"> </w:t>
      </w:r>
      <w:r w:rsidRPr="00E819ED">
        <w:rPr>
          <w:rFonts w:asciiTheme="minorHAnsi" w:hAnsiTheme="minorHAnsi" w:cstheme="minorHAnsi"/>
          <w:i/>
          <w:sz w:val="24"/>
        </w:rPr>
        <w:t>Podpora bydlení</w:t>
      </w:r>
      <w:r w:rsidR="00DC5058" w:rsidRPr="00626B6D">
        <w:rPr>
          <w:rFonts w:asciiTheme="minorHAnsi" w:hAnsiTheme="minorHAnsi" w:cstheme="minorHAnsi"/>
          <w:sz w:val="24"/>
        </w:rPr>
        <w:t xml:space="preserve"> a</w:t>
      </w:r>
      <w:r w:rsidR="00620A70">
        <w:rPr>
          <w:rFonts w:asciiTheme="minorHAnsi" w:hAnsiTheme="minorHAnsi" w:cstheme="minorHAnsi"/>
          <w:sz w:val="24"/>
        </w:rPr>
        <w:t> z</w:t>
      </w:r>
      <w:r w:rsidR="00DC5058" w:rsidRPr="00626B6D">
        <w:rPr>
          <w:rFonts w:asciiTheme="minorHAnsi" w:hAnsiTheme="minorHAnsi" w:cstheme="minorHAnsi"/>
          <w:sz w:val="24"/>
        </w:rPr>
        <w:t xml:space="preserve"> </w:t>
      </w:r>
      <w:r w:rsidRPr="00626B6D">
        <w:rPr>
          <w:rFonts w:asciiTheme="minorHAnsi" w:hAnsiTheme="minorHAnsi" w:cstheme="minorHAnsi"/>
          <w:sz w:val="24"/>
        </w:rPr>
        <w:t>programu 117</w:t>
      </w:r>
      <w:r w:rsidR="005522F1">
        <w:rPr>
          <w:rFonts w:asciiTheme="minorHAnsi" w:hAnsiTheme="minorHAnsi" w:cstheme="minorHAnsi"/>
          <w:sz w:val="24"/>
        </w:rPr>
        <w:t> </w:t>
      </w:r>
      <w:r w:rsidRPr="00626B6D">
        <w:rPr>
          <w:rFonts w:asciiTheme="minorHAnsi" w:hAnsiTheme="minorHAnsi" w:cstheme="minorHAnsi"/>
          <w:sz w:val="24"/>
        </w:rPr>
        <w:t>510</w:t>
      </w:r>
      <w:r w:rsidR="00620A70">
        <w:rPr>
          <w:rFonts w:asciiTheme="minorHAnsi" w:hAnsiTheme="minorHAnsi" w:cstheme="minorHAnsi"/>
          <w:sz w:val="24"/>
        </w:rPr>
        <w:t> –</w:t>
      </w:r>
      <w:r w:rsidRPr="00626B6D">
        <w:rPr>
          <w:rFonts w:asciiTheme="minorHAnsi" w:hAnsiTheme="minorHAnsi" w:cstheme="minorHAnsi"/>
          <w:sz w:val="24"/>
        </w:rPr>
        <w:t xml:space="preserve"> </w:t>
      </w:r>
      <w:r w:rsidR="00DC5058" w:rsidRPr="00E819ED">
        <w:rPr>
          <w:rFonts w:asciiTheme="minorHAnsi" w:hAnsiTheme="minorHAnsi" w:cstheme="minorHAnsi"/>
          <w:i/>
          <w:sz w:val="24"/>
        </w:rPr>
        <w:t>Podpora bydlení</w:t>
      </w:r>
      <w:r w:rsidRPr="00626B6D">
        <w:rPr>
          <w:rFonts w:asciiTheme="minorHAnsi" w:hAnsiTheme="minorHAnsi" w:cstheme="minorHAnsi"/>
          <w:sz w:val="24"/>
        </w:rPr>
        <w:t xml:space="preserve">. Dotace byly určeny osobám, které jsou znevýhodněny </w:t>
      </w:r>
      <w:r w:rsidR="00DA74AC" w:rsidRPr="00626B6D">
        <w:rPr>
          <w:rFonts w:asciiTheme="minorHAnsi" w:hAnsiTheme="minorHAnsi" w:cstheme="minorHAnsi"/>
          <w:sz w:val="24"/>
        </w:rPr>
        <w:t>v</w:t>
      </w:r>
      <w:r w:rsidR="006C0225">
        <w:rPr>
          <w:rFonts w:asciiTheme="minorHAnsi" w:hAnsiTheme="minorHAnsi" w:cstheme="minorHAnsi"/>
          <w:sz w:val="24"/>
        </w:rPr>
        <w:t xml:space="preserve"> </w:t>
      </w:r>
      <w:r w:rsidRPr="00626B6D">
        <w:rPr>
          <w:rFonts w:asciiTheme="minorHAnsi" w:hAnsiTheme="minorHAnsi" w:cstheme="minorHAnsi"/>
          <w:sz w:val="24"/>
        </w:rPr>
        <w:t>přístupu k</w:t>
      </w:r>
      <w:r w:rsidR="006C0225">
        <w:rPr>
          <w:rFonts w:asciiTheme="minorHAnsi" w:hAnsiTheme="minorHAnsi" w:cstheme="minorHAnsi"/>
          <w:sz w:val="24"/>
        </w:rPr>
        <w:t xml:space="preserve"> </w:t>
      </w:r>
      <w:r w:rsidRPr="00626B6D">
        <w:rPr>
          <w:rFonts w:asciiTheme="minorHAnsi" w:hAnsiTheme="minorHAnsi" w:cstheme="minorHAnsi"/>
          <w:sz w:val="24"/>
        </w:rPr>
        <w:t>bydlení z</w:t>
      </w:r>
      <w:r w:rsidR="006C0225">
        <w:rPr>
          <w:rFonts w:asciiTheme="minorHAnsi" w:hAnsiTheme="minorHAnsi" w:cstheme="minorHAnsi"/>
          <w:sz w:val="24"/>
        </w:rPr>
        <w:t xml:space="preserve"> </w:t>
      </w:r>
      <w:r w:rsidRPr="00626B6D">
        <w:rPr>
          <w:rFonts w:asciiTheme="minorHAnsi" w:hAnsiTheme="minorHAnsi" w:cstheme="minorHAnsi"/>
          <w:sz w:val="24"/>
        </w:rPr>
        <w:t xml:space="preserve">důvodů sociálních, například </w:t>
      </w:r>
      <w:r w:rsidR="00620A70">
        <w:rPr>
          <w:rFonts w:asciiTheme="minorHAnsi" w:hAnsiTheme="minorHAnsi" w:cstheme="minorHAnsi"/>
          <w:sz w:val="24"/>
        </w:rPr>
        <w:t xml:space="preserve">z důvodu </w:t>
      </w:r>
      <w:r w:rsidRPr="00626B6D">
        <w:rPr>
          <w:rFonts w:asciiTheme="minorHAnsi" w:hAnsiTheme="minorHAnsi" w:cstheme="minorHAnsi"/>
          <w:sz w:val="24"/>
        </w:rPr>
        <w:t>nízkého příjmu, zdravotního stavu, věku, nepříznivých životních okolností</w:t>
      </w:r>
      <w:r w:rsidR="00AD4B30" w:rsidRPr="00626B6D">
        <w:rPr>
          <w:rFonts w:asciiTheme="minorHAnsi" w:hAnsiTheme="minorHAnsi" w:cstheme="minorHAnsi"/>
          <w:sz w:val="24"/>
        </w:rPr>
        <w:t xml:space="preserve"> (</w:t>
      </w:r>
      <w:r w:rsidRPr="00626B6D">
        <w:rPr>
          <w:rFonts w:asciiTheme="minorHAnsi" w:hAnsiTheme="minorHAnsi" w:cstheme="minorHAnsi"/>
          <w:sz w:val="24"/>
        </w:rPr>
        <w:t>důchodci se sníženou soběstačností, osoby se zdravotním postižením, osoby opouštějící ústavní zařízení, dětské domovy, terapeutické komunity, nápravná zařízení</w:t>
      </w:r>
      <w:r w:rsidR="00AD4B30" w:rsidRPr="00626B6D">
        <w:rPr>
          <w:rFonts w:asciiTheme="minorHAnsi" w:hAnsiTheme="minorHAnsi" w:cstheme="minorHAnsi"/>
          <w:sz w:val="24"/>
        </w:rPr>
        <w:t xml:space="preserve"> apod.</w:t>
      </w:r>
      <w:r w:rsidRPr="00626B6D">
        <w:rPr>
          <w:rFonts w:asciiTheme="minorHAnsi" w:hAnsiTheme="minorHAnsi" w:cstheme="minorHAnsi"/>
          <w:sz w:val="24"/>
        </w:rPr>
        <w:t xml:space="preserve">). </w:t>
      </w:r>
      <w:r w:rsidR="00294348" w:rsidRPr="00626B6D">
        <w:rPr>
          <w:rFonts w:asciiTheme="minorHAnsi" w:hAnsiTheme="minorHAnsi" w:cstheme="minorHAnsi"/>
          <w:sz w:val="24"/>
        </w:rPr>
        <w:t>N</w:t>
      </w:r>
      <w:r w:rsidRPr="00626B6D">
        <w:rPr>
          <w:rFonts w:asciiTheme="minorHAnsi" w:hAnsiTheme="minorHAnsi" w:cstheme="minorHAnsi"/>
          <w:sz w:val="24"/>
        </w:rPr>
        <w:t>a podporu bytů</w:t>
      </w:r>
      <w:r w:rsidR="00FB0220">
        <w:rPr>
          <w:rFonts w:asciiTheme="minorHAnsi" w:hAnsiTheme="minorHAnsi" w:cstheme="minorHAnsi"/>
          <w:sz w:val="24"/>
        </w:rPr>
        <w:t xml:space="preserve"> pro tyto osoby</w:t>
      </w:r>
      <w:r w:rsidRPr="00626B6D">
        <w:rPr>
          <w:rFonts w:asciiTheme="minorHAnsi" w:hAnsiTheme="minorHAnsi" w:cstheme="minorHAnsi"/>
          <w:sz w:val="24"/>
        </w:rPr>
        <w:t xml:space="preserve"> </w:t>
      </w:r>
      <w:r w:rsidR="00294348" w:rsidRPr="00626B6D">
        <w:rPr>
          <w:rFonts w:asciiTheme="minorHAnsi" w:hAnsiTheme="minorHAnsi" w:cstheme="minorHAnsi"/>
          <w:sz w:val="24"/>
        </w:rPr>
        <w:t>byly poskytnuty</w:t>
      </w:r>
      <w:r w:rsidRPr="00626B6D">
        <w:rPr>
          <w:rFonts w:asciiTheme="minorHAnsi" w:hAnsiTheme="minorHAnsi" w:cstheme="minorHAnsi"/>
          <w:sz w:val="24"/>
        </w:rPr>
        <w:t xml:space="preserve"> dotace </w:t>
      </w:r>
      <w:r w:rsidR="00FB0220">
        <w:rPr>
          <w:rFonts w:asciiTheme="minorHAnsi" w:hAnsiTheme="minorHAnsi" w:cstheme="minorHAnsi"/>
          <w:sz w:val="24"/>
        </w:rPr>
        <w:t>v období</w:t>
      </w:r>
      <w:r w:rsidR="00294348" w:rsidRPr="00626B6D">
        <w:rPr>
          <w:rFonts w:asciiTheme="minorHAnsi" w:hAnsiTheme="minorHAnsi" w:cstheme="minorHAnsi"/>
          <w:sz w:val="24"/>
        </w:rPr>
        <w:t xml:space="preserve"> 2003 </w:t>
      </w:r>
      <w:r w:rsidR="00FB0220">
        <w:rPr>
          <w:rFonts w:asciiTheme="minorHAnsi" w:hAnsiTheme="minorHAnsi" w:cstheme="minorHAnsi"/>
          <w:sz w:val="24"/>
        </w:rPr>
        <w:t>až</w:t>
      </w:r>
      <w:r w:rsidR="00294348" w:rsidRPr="00626B6D">
        <w:rPr>
          <w:rFonts w:asciiTheme="minorHAnsi" w:hAnsiTheme="minorHAnsi" w:cstheme="minorHAnsi"/>
          <w:sz w:val="24"/>
        </w:rPr>
        <w:t xml:space="preserve"> září 2015 </w:t>
      </w:r>
      <w:r w:rsidRPr="00626B6D">
        <w:rPr>
          <w:rFonts w:asciiTheme="minorHAnsi" w:hAnsiTheme="minorHAnsi" w:cstheme="minorHAnsi"/>
          <w:sz w:val="24"/>
        </w:rPr>
        <w:t>v</w:t>
      </w:r>
      <w:r w:rsidR="006C0225">
        <w:rPr>
          <w:rFonts w:asciiTheme="minorHAnsi" w:hAnsiTheme="minorHAnsi" w:cstheme="minorHAnsi"/>
          <w:sz w:val="24"/>
        </w:rPr>
        <w:t xml:space="preserve"> </w:t>
      </w:r>
      <w:r w:rsidRPr="00626B6D">
        <w:rPr>
          <w:rFonts w:asciiTheme="minorHAnsi" w:hAnsiTheme="minorHAnsi" w:cstheme="minorHAnsi"/>
          <w:sz w:val="24"/>
        </w:rPr>
        <w:t>celkové výši 4</w:t>
      </w:r>
      <w:r w:rsidR="00FB0220">
        <w:rPr>
          <w:rFonts w:asciiTheme="minorHAnsi" w:hAnsiTheme="minorHAnsi" w:cstheme="minorHAnsi"/>
          <w:sz w:val="24"/>
        </w:rPr>
        <w:t> 866,4 mil. </w:t>
      </w:r>
      <w:r w:rsidRPr="00626B6D">
        <w:rPr>
          <w:rFonts w:asciiTheme="minorHAnsi" w:hAnsiTheme="minorHAnsi" w:cstheme="minorHAnsi"/>
          <w:sz w:val="24"/>
        </w:rPr>
        <w:t>Kč a podle údajů MMR příjemci na základě této podpory pořídili celkem 9</w:t>
      </w:r>
      <w:r w:rsidR="006C0225">
        <w:rPr>
          <w:rFonts w:asciiTheme="minorHAnsi" w:hAnsiTheme="minorHAnsi" w:cstheme="minorHAnsi"/>
          <w:sz w:val="24"/>
        </w:rPr>
        <w:t xml:space="preserve"> </w:t>
      </w:r>
      <w:r w:rsidRPr="00626B6D">
        <w:rPr>
          <w:rFonts w:asciiTheme="minorHAnsi" w:hAnsiTheme="minorHAnsi" w:cstheme="minorHAnsi"/>
          <w:sz w:val="24"/>
        </w:rPr>
        <w:t>453 bytů</w:t>
      </w:r>
      <w:r w:rsidR="009802E4" w:rsidRPr="00626B6D">
        <w:rPr>
          <w:rFonts w:asciiTheme="minorHAnsi" w:hAnsiTheme="minorHAnsi" w:cstheme="minorHAnsi"/>
          <w:sz w:val="24"/>
        </w:rPr>
        <w:t xml:space="preserve">. </w:t>
      </w:r>
      <w:r w:rsidR="00BE2095" w:rsidRPr="00626B6D">
        <w:rPr>
          <w:rFonts w:asciiTheme="minorHAnsi" w:hAnsiTheme="minorHAnsi" w:cstheme="minorHAnsi"/>
          <w:sz w:val="24"/>
        </w:rPr>
        <w:t>U kontrolovaného programu 117</w:t>
      </w:r>
      <w:r w:rsidR="005522F1">
        <w:rPr>
          <w:rFonts w:asciiTheme="minorHAnsi" w:hAnsiTheme="minorHAnsi" w:cstheme="minorHAnsi"/>
          <w:sz w:val="24"/>
        </w:rPr>
        <w:t> </w:t>
      </w:r>
      <w:r w:rsidR="00BE2095" w:rsidRPr="00626B6D">
        <w:rPr>
          <w:rFonts w:asciiTheme="minorHAnsi" w:hAnsiTheme="minorHAnsi" w:cstheme="minorHAnsi"/>
          <w:sz w:val="24"/>
        </w:rPr>
        <w:t xml:space="preserve">510 </w:t>
      </w:r>
      <w:r w:rsidR="00620A70" w:rsidRPr="00626B6D">
        <w:rPr>
          <w:rFonts w:asciiTheme="minorHAnsi" w:hAnsiTheme="minorHAnsi" w:cstheme="minorHAnsi"/>
          <w:sz w:val="24"/>
        </w:rPr>
        <w:t xml:space="preserve">byli </w:t>
      </w:r>
      <w:r w:rsidR="00BE2095" w:rsidRPr="00626B6D">
        <w:rPr>
          <w:rFonts w:asciiTheme="minorHAnsi" w:hAnsiTheme="minorHAnsi" w:cstheme="minorHAnsi"/>
          <w:sz w:val="24"/>
        </w:rPr>
        <w:t>p</w:t>
      </w:r>
      <w:r w:rsidR="009802E4" w:rsidRPr="00626B6D">
        <w:rPr>
          <w:rFonts w:asciiTheme="minorHAnsi" w:hAnsiTheme="minorHAnsi" w:cstheme="minorHAnsi"/>
          <w:sz w:val="24"/>
        </w:rPr>
        <w:t>říjemci dotací</w:t>
      </w:r>
      <w:r w:rsidR="00F01459" w:rsidRPr="00626B6D">
        <w:rPr>
          <w:rFonts w:asciiTheme="minorHAnsi" w:hAnsiTheme="minorHAnsi" w:cstheme="minorHAnsi"/>
          <w:sz w:val="24"/>
        </w:rPr>
        <w:t xml:space="preserve"> </w:t>
      </w:r>
      <w:r w:rsidR="009802E4" w:rsidRPr="00626B6D">
        <w:rPr>
          <w:rFonts w:asciiTheme="minorHAnsi" w:hAnsiTheme="minorHAnsi" w:cstheme="minorHAnsi"/>
          <w:sz w:val="24"/>
        </w:rPr>
        <w:t xml:space="preserve">povinni po dobu dvaceti let zajistit užívání </w:t>
      </w:r>
      <w:r w:rsidR="00FB0220">
        <w:rPr>
          <w:rFonts w:asciiTheme="minorHAnsi" w:hAnsiTheme="minorHAnsi" w:cstheme="minorHAnsi"/>
          <w:sz w:val="24"/>
        </w:rPr>
        <w:t xml:space="preserve">nájemních </w:t>
      </w:r>
      <w:r w:rsidR="009802E4" w:rsidRPr="00626B6D">
        <w:rPr>
          <w:rFonts w:asciiTheme="minorHAnsi" w:hAnsiTheme="minorHAnsi" w:cstheme="minorHAnsi"/>
          <w:sz w:val="24"/>
        </w:rPr>
        <w:t xml:space="preserve">bytů </w:t>
      </w:r>
      <w:r w:rsidR="00FB0220">
        <w:rPr>
          <w:rFonts w:asciiTheme="minorHAnsi" w:hAnsiTheme="minorHAnsi" w:cstheme="minorHAnsi"/>
          <w:sz w:val="24"/>
        </w:rPr>
        <w:t>osobami</w:t>
      </w:r>
      <w:r w:rsidR="009802E4" w:rsidRPr="00626B6D">
        <w:rPr>
          <w:rFonts w:asciiTheme="minorHAnsi" w:hAnsiTheme="minorHAnsi" w:cstheme="minorHAnsi"/>
          <w:sz w:val="24"/>
        </w:rPr>
        <w:t xml:space="preserve"> z</w:t>
      </w:r>
      <w:r w:rsidR="006C0225">
        <w:rPr>
          <w:rFonts w:asciiTheme="minorHAnsi" w:hAnsiTheme="minorHAnsi" w:cstheme="minorHAnsi"/>
          <w:sz w:val="24"/>
        </w:rPr>
        <w:t xml:space="preserve"> </w:t>
      </w:r>
      <w:r w:rsidR="009802E4" w:rsidRPr="00626B6D">
        <w:rPr>
          <w:rFonts w:asciiTheme="minorHAnsi" w:hAnsiTheme="minorHAnsi" w:cstheme="minorHAnsi"/>
          <w:sz w:val="24"/>
        </w:rPr>
        <w:t>cílové skupin</w:t>
      </w:r>
      <w:r w:rsidR="00763FAD" w:rsidRPr="00626B6D">
        <w:rPr>
          <w:rFonts w:asciiTheme="minorHAnsi" w:hAnsiTheme="minorHAnsi" w:cstheme="minorHAnsi"/>
          <w:sz w:val="24"/>
        </w:rPr>
        <w:t>y za MMR stanovenou výši nájmu a</w:t>
      </w:r>
      <w:r w:rsidR="00FB0220">
        <w:rPr>
          <w:rFonts w:asciiTheme="minorHAnsi" w:hAnsiTheme="minorHAnsi" w:cstheme="minorHAnsi"/>
          <w:sz w:val="24"/>
        </w:rPr>
        <w:t> </w:t>
      </w:r>
      <w:r w:rsidR="009802E4" w:rsidRPr="00626B6D">
        <w:rPr>
          <w:rFonts w:asciiTheme="minorHAnsi" w:hAnsiTheme="minorHAnsi" w:cstheme="minorHAnsi"/>
          <w:sz w:val="24"/>
        </w:rPr>
        <w:t>nesměli po dobu dvaceti let převést vlastnické nebo spoluvlastnické právo</w:t>
      </w:r>
      <w:r w:rsidR="00763FAD" w:rsidRPr="00626B6D">
        <w:rPr>
          <w:rFonts w:asciiTheme="minorHAnsi" w:hAnsiTheme="minorHAnsi" w:cstheme="minorHAnsi"/>
          <w:sz w:val="24"/>
        </w:rPr>
        <w:t xml:space="preserve"> k bytům</w:t>
      </w:r>
      <w:r w:rsidR="009802E4" w:rsidRPr="00626B6D">
        <w:rPr>
          <w:rFonts w:asciiTheme="minorHAnsi" w:hAnsiTheme="minorHAnsi" w:cstheme="minorHAnsi"/>
          <w:sz w:val="24"/>
        </w:rPr>
        <w:t xml:space="preserve"> na jinou osobu. K</w:t>
      </w:r>
      <w:r w:rsidR="006C0225">
        <w:rPr>
          <w:rFonts w:asciiTheme="minorHAnsi" w:hAnsiTheme="minorHAnsi" w:cstheme="minorHAnsi"/>
          <w:sz w:val="24"/>
        </w:rPr>
        <w:t xml:space="preserve"> </w:t>
      </w:r>
      <w:r w:rsidR="009802E4" w:rsidRPr="00626B6D">
        <w:rPr>
          <w:rFonts w:asciiTheme="minorHAnsi" w:hAnsiTheme="minorHAnsi" w:cstheme="minorHAnsi"/>
          <w:sz w:val="24"/>
        </w:rPr>
        <w:t>bytům byli povinni zřídit zástavní právo ve prospěch MMR (jako věřitele) na dobu dvaceti let pro případ, že příjemce poruší podmínky užití dotace. MMR příjemcům umožnilo, že pokud jsou uspokojeni všichni žadatelé z</w:t>
      </w:r>
      <w:r w:rsidR="006C0225">
        <w:rPr>
          <w:rFonts w:asciiTheme="minorHAnsi" w:hAnsiTheme="minorHAnsi" w:cstheme="minorHAnsi"/>
          <w:sz w:val="24"/>
        </w:rPr>
        <w:t xml:space="preserve"> </w:t>
      </w:r>
      <w:r w:rsidR="009802E4" w:rsidRPr="00626B6D">
        <w:rPr>
          <w:rFonts w:asciiTheme="minorHAnsi" w:hAnsiTheme="minorHAnsi" w:cstheme="minorHAnsi"/>
          <w:sz w:val="24"/>
        </w:rPr>
        <w:t>cílové skupiny, lze byt pronajmou</w:t>
      </w:r>
      <w:r w:rsidR="00853A42" w:rsidRPr="00626B6D">
        <w:rPr>
          <w:rFonts w:asciiTheme="minorHAnsi" w:hAnsiTheme="minorHAnsi" w:cstheme="minorHAnsi"/>
          <w:sz w:val="24"/>
        </w:rPr>
        <w:t>t</w:t>
      </w:r>
      <w:r w:rsidR="009802E4" w:rsidRPr="00626B6D">
        <w:rPr>
          <w:rFonts w:asciiTheme="minorHAnsi" w:hAnsiTheme="minorHAnsi" w:cstheme="minorHAnsi"/>
          <w:sz w:val="24"/>
        </w:rPr>
        <w:t xml:space="preserve"> na jeden rok i osobě, která není z</w:t>
      </w:r>
      <w:r w:rsidR="006C0225">
        <w:rPr>
          <w:rFonts w:asciiTheme="minorHAnsi" w:hAnsiTheme="minorHAnsi" w:cstheme="minorHAnsi"/>
          <w:sz w:val="24"/>
        </w:rPr>
        <w:t xml:space="preserve"> </w:t>
      </w:r>
      <w:r w:rsidR="009802E4" w:rsidRPr="00626B6D">
        <w:rPr>
          <w:rFonts w:asciiTheme="minorHAnsi" w:hAnsiTheme="minorHAnsi" w:cstheme="minorHAnsi"/>
          <w:sz w:val="24"/>
        </w:rPr>
        <w:t xml:space="preserve">cílové </w:t>
      </w:r>
      <w:r w:rsidR="009802E4" w:rsidRPr="00626B6D">
        <w:rPr>
          <w:rFonts w:asciiTheme="minorHAnsi" w:hAnsiTheme="minorHAnsi" w:cstheme="minorHAnsi"/>
          <w:sz w:val="24"/>
        </w:rPr>
        <w:lastRenderedPageBreak/>
        <w:t xml:space="preserve">skupiny, a to se souhlasem obce. </w:t>
      </w:r>
      <w:r w:rsidR="00AD4B30" w:rsidRPr="00626B6D">
        <w:rPr>
          <w:rFonts w:asciiTheme="minorHAnsi" w:hAnsiTheme="minorHAnsi" w:cstheme="minorHAnsi"/>
          <w:sz w:val="24"/>
        </w:rPr>
        <w:t>Někteří p</w:t>
      </w:r>
      <w:r w:rsidR="009802E4" w:rsidRPr="00626B6D">
        <w:rPr>
          <w:rFonts w:asciiTheme="minorHAnsi" w:hAnsiTheme="minorHAnsi" w:cstheme="minorHAnsi"/>
          <w:sz w:val="24"/>
        </w:rPr>
        <w:t xml:space="preserve">říjemci tak činili opakovaně. </w:t>
      </w:r>
      <w:r w:rsidR="0057271B" w:rsidRPr="00626B6D">
        <w:rPr>
          <w:rFonts w:asciiTheme="minorHAnsi" w:hAnsiTheme="minorHAnsi" w:cstheme="minorHAnsi"/>
          <w:sz w:val="24"/>
        </w:rPr>
        <w:t>MMR</w:t>
      </w:r>
      <w:r w:rsidR="00294348" w:rsidRPr="00626B6D">
        <w:rPr>
          <w:rFonts w:asciiTheme="minorHAnsi" w:hAnsiTheme="minorHAnsi" w:cstheme="minorHAnsi"/>
          <w:sz w:val="24"/>
        </w:rPr>
        <w:t xml:space="preserve"> n</w:t>
      </w:r>
      <w:r w:rsidR="00F01459" w:rsidRPr="00626B6D">
        <w:rPr>
          <w:rFonts w:asciiTheme="minorHAnsi" w:hAnsiTheme="minorHAnsi" w:cstheme="minorHAnsi"/>
          <w:sz w:val="24"/>
        </w:rPr>
        <w:t>emělo nastaven systém monitorování informací o tom, zda jsou</w:t>
      </w:r>
      <w:r w:rsidR="00620A70" w:rsidRPr="00620A70">
        <w:rPr>
          <w:rFonts w:asciiTheme="minorHAnsi" w:hAnsiTheme="minorHAnsi" w:cstheme="minorHAnsi"/>
          <w:sz w:val="24"/>
        </w:rPr>
        <w:t xml:space="preserve"> </w:t>
      </w:r>
      <w:r w:rsidR="00620A70" w:rsidRPr="00626B6D">
        <w:rPr>
          <w:rFonts w:asciiTheme="minorHAnsi" w:hAnsiTheme="minorHAnsi" w:cstheme="minorHAnsi"/>
          <w:sz w:val="24"/>
        </w:rPr>
        <w:t>byty</w:t>
      </w:r>
      <w:r w:rsidR="00F01459" w:rsidRPr="00626B6D">
        <w:rPr>
          <w:rFonts w:asciiTheme="minorHAnsi" w:hAnsiTheme="minorHAnsi" w:cstheme="minorHAnsi"/>
          <w:sz w:val="24"/>
        </w:rPr>
        <w:t xml:space="preserve"> využity </w:t>
      </w:r>
      <w:r w:rsidR="00FB0220">
        <w:rPr>
          <w:rFonts w:asciiTheme="minorHAnsi" w:hAnsiTheme="minorHAnsi" w:cstheme="minorHAnsi"/>
          <w:sz w:val="24"/>
        </w:rPr>
        <w:t>cílovou skupinou</w:t>
      </w:r>
      <w:r w:rsidR="009E5D61" w:rsidRPr="00626B6D">
        <w:rPr>
          <w:rFonts w:asciiTheme="minorHAnsi" w:hAnsiTheme="minorHAnsi" w:cstheme="minorHAnsi"/>
          <w:sz w:val="24"/>
        </w:rPr>
        <w:t xml:space="preserve"> osob</w:t>
      </w:r>
      <w:r w:rsidR="00F01459" w:rsidRPr="00626B6D">
        <w:rPr>
          <w:rFonts w:asciiTheme="minorHAnsi" w:hAnsiTheme="minorHAnsi" w:cstheme="minorHAnsi"/>
          <w:sz w:val="24"/>
        </w:rPr>
        <w:t>.</w:t>
      </w:r>
      <w:r w:rsidR="00294348" w:rsidRPr="00626B6D">
        <w:rPr>
          <w:rFonts w:asciiTheme="minorHAnsi" w:hAnsiTheme="minorHAnsi" w:cstheme="minorHAnsi"/>
          <w:sz w:val="24"/>
        </w:rPr>
        <w:t xml:space="preserve"> Využití bytů po ukončení závěrečného hodnocení akcí sledovalo jen u akcí, kde provedlo kontrolu. U </w:t>
      </w:r>
      <w:r w:rsidR="0035412F" w:rsidRPr="00626B6D">
        <w:rPr>
          <w:rFonts w:asciiTheme="minorHAnsi" w:hAnsiTheme="minorHAnsi" w:cstheme="minorHAnsi"/>
          <w:sz w:val="24"/>
        </w:rPr>
        <w:t>podprogramu 117</w:t>
      </w:r>
      <w:r w:rsidR="00EE26C9">
        <w:rPr>
          <w:rFonts w:asciiTheme="minorHAnsi" w:hAnsiTheme="minorHAnsi" w:cstheme="minorHAnsi"/>
          <w:sz w:val="24"/>
        </w:rPr>
        <w:t> </w:t>
      </w:r>
      <w:r w:rsidR="0035412F" w:rsidRPr="00626B6D">
        <w:rPr>
          <w:rFonts w:asciiTheme="minorHAnsi" w:hAnsiTheme="minorHAnsi" w:cstheme="minorHAnsi"/>
          <w:sz w:val="24"/>
        </w:rPr>
        <w:t>514</w:t>
      </w:r>
      <w:r w:rsidR="00294348" w:rsidRPr="00626B6D">
        <w:rPr>
          <w:rFonts w:asciiTheme="minorHAnsi" w:hAnsiTheme="minorHAnsi" w:cstheme="minorHAnsi"/>
          <w:sz w:val="24"/>
        </w:rPr>
        <w:t xml:space="preserve"> takovou kontrolu provedlo </w:t>
      </w:r>
      <w:r w:rsidR="009802E4" w:rsidRPr="00626B6D">
        <w:rPr>
          <w:rFonts w:asciiTheme="minorHAnsi" w:hAnsiTheme="minorHAnsi" w:cstheme="minorHAnsi"/>
          <w:sz w:val="24"/>
        </w:rPr>
        <w:t xml:space="preserve">jen </w:t>
      </w:r>
      <w:r w:rsidR="00294348" w:rsidRPr="00626B6D">
        <w:rPr>
          <w:rFonts w:asciiTheme="minorHAnsi" w:hAnsiTheme="minorHAnsi" w:cstheme="minorHAnsi"/>
          <w:sz w:val="24"/>
        </w:rPr>
        <w:t>u 51 akcí z</w:t>
      </w:r>
      <w:r w:rsidR="006C0225">
        <w:rPr>
          <w:rFonts w:asciiTheme="minorHAnsi" w:hAnsiTheme="minorHAnsi" w:cstheme="minorHAnsi"/>
          <w:sz w:val="24"/>
        </w:rPr>
        <w:t xml:space="preserve"> </w:t>
      </w:r>
      <w:r w:rsidR="00294348" w:rsidRPr="00626B6D">
        <w:rPr>
          <w:rFonts w:asciiTheme="minorHAnsi" w:hAnsiTheme="minorHAnsi" w:cstheme="minorHAnsi"/>
          <w:sz w:val="24"/>
        </w:rPr>
        <w:t>celkových 303</w:t>
      </w:r>
      <w:r w:rsidR="00E819ED">
        <w:rPr>
          <w:rFonts w:asciiTheme="minorHAnsi" w:hAnsiTheme="minorHAnsi" w:cstheme="minorHAnsi"/>
          <w:sz w:val="24"/>
        </w:rPr>
        <w:t> </w:t>
      </w:r>
      <w:r w:rsidR="00294348" w:rsidRPr="00626B6D">
        <w:rPr>
          <w:rFonts w:asciiTheme="minorHAnsi" w:hAnsiTheme="minorHAnsi" w:cstheme="minorHAnsi"/>
          <w:sz w:val="24"/>
        </w:rPr>
        <w:t>ukončených akcí.</w:t>
      </w:r>
      <w:r w:rsidR="008F13DE" w:rsidRPr="00626B6D">
        <w:rPr>
          <w:rFonts w:asciiTheme="minorHAnsi" w:hAnsiTheme="minorHAnsi" w:cstheme="minorHAnsi"/>
          <w:sz w:val="24"/>
        </w:rPr>
        <w:t xml:space="preserve"> U vzorku devíti </w:t>
      </w:r>
      <w:r w:rsidR="00002DA7" w:rsidRPr="00626B6D">
        <w:rPr>
          <w:rFonts w:asciiTheme="minorHAnsi" w:hAnsiTheme="minorHAnsi" w:cstheme="minorHAnsi"/>
          <w:sz w:val="24"/>
        </w:rPr>
        <w:t>akcí</w:t>
      </w:r>
      <w:r w:rsidR="008F13DE" w:rsidRPr="00626B6D">
        <w:rPr>
          <w:rFonts w:asciiTheme="minorHAnsi" w:hAnsiTheme="minorHAnsi" w:cstheme="minorHAnsi"/>
          <w:sz w:val="24"/>
        </w:rPr>
        <w:t>, které kontroloval NKÚ na místě u příjemc</w:t>
      </w:r>
      <w:r w:rsidR="00FB0220">
        <w:rPr>
          <w:rFonts w:asciiTheme="minorHAnsi" w:hAnsiTheme="minorHAnsi" w:cstheme="minorHAnsi"/>
          <w:sz w:val="24"/>
        </w:rPr>
        <w:t>ů</w:t>
      </w:r>
      <w:r w:rsidR="008F13DE" w:rsidRPr="00626B6D">
        <w:rPr>
          <w:rFonts w:asciiTheme="minorHAnsi" w:hAnsiTheme="minorHAnsi" w:cstheme="minorHAnsi"/>
          <w:sz w:val="24"/>
        </w:rPr>
        <w:t xml:space="preserve"> podpory,</w:t>
      </w:r>
      <w:r w:rsidR="00002DA7" w:rsidRPr="00626B6D">
        <w:rPr>
          <w:rFonts w:asciiTheme="minorHAnsi" w:hAnsiTheme="minorHAnsi" w:cstheme="minorHAnsi"/>
          <w:sz w:val="24"/>
        </w:rPr>
        <w:t xml:space="preserve"> bylo zjištěno, že </w:t>
      </w:r>
      <w:r w:rsidR="00D61E61" w:rsidRPr="00626B6D">
        <w:rPr>
          <w:rFonts w:asciiTheme="minorHAnsi" w:hAnsiTheme="minorHAnsi" w:cstheme="minorHAnsi"/>
          <w:sz w:val="24"/>
        </w:rPr>
        <w:t xml:space="preserve">všech </w:t>
      </w:r>
      <w:r w:rsidR="007229B3" w:rsidRPr="00626B6D">
        <w:rPr>
          <w:rFonts w:asciiTheme="minorHAnsi" w:hAnsiTheme="minorHAnsi" w:cstheme="minorHAnsi"/>
          <w:sz w:val="24"/>
        </w:rPr>
        <w:t>71</w:t>
      </w:r>
      <w:r w:rsidR="001F35A9" w:rsidRPr="00626B6D">
        <w:rPr>
          <w:rFonts w:asciiTheme="minorHAnsi" w:hAnsiTheme="minorHAnsi" w:cstheme="minorHAnsi"/>
          <w:sz w:val="24"/>
        </w:rPr>
        <w:t xml:space="preserve"> bytů bylo </w:t>
      </w:r>
      <w:r w:rsidR="007229B3" w:rsidRPr="00626B6D">
        <w:rPr>
          <w:rFonts w:asciiTheme="minorHAnsi" w:hAnsiTheme="minorHAnsi" w:cstheme="minorHAnsi"/>
          <w:sz w:val="24"/>
        </w:rPr>
        <w:t xml:space="preserve">pronajato, </w:t>
      </w:r>
      <w:r w:rsidR="00245847" w:rsidRPr="00626B6D">
        <w:rPr>
          <w:rFonts w:asciiTheme="minorHAnsi" w:hAnsiTheme="minorHAnsi" w:cstheme="minorHAnsi"/>
          <w:sz w:val="24"/>
        </w:rPr>
        <w:t>ale</w:t>
      </w:r>
      <w:r w:rsidR="007229B3" w:rsidRPr="00626B6D">
        <w:rPr>
          <w:rFonts w:asciiTheme="minorHAnsi" w:hAnsiTheme="minorHAnsi" w:cstheme="minorHAnsi"/>
          <w:sz w:val="24"/>
        </w:rPr>
        <w:t xml:space="preserve"> 18</w:t>
      </w:r>
      <w:r w:rsidR="001F35A9" w:rsidRPr="00626B6D">
        <w:rPr>
          <w:rFonts w:asciiTheme="minorHAnsi" w:hAnsiTheme="minorHAnsi" w:cstheme="minorHAnsi"/>
          <w:sz w:val="24"/>
        </w:rPr>
        <w:t xml:space="preserve"> bytů nebylo pronajato osobám z</w:t>
      </w:r>
      <w:r w:rsidR="006C0225">
        <w:rPr>
          <w:rFonts w:asciiTheme="minorHAnsi" w:hAnsiTheme="minorHAnsi" w:cstheme="minorHAnsi"/>
          <w:sz w:val="24"/>
        </w:rPr>
        <w:t xml:space="preserve"> </w:t>
      </w:r>
      <w:r w:rsidR="001F35A9" w:rsidRPr="00626B6D">
        <w:rPr>
          <w:rFonts w:asciiTheme="minorHAnsi" w:hAnsiTheme="minorHAnsi" w:cstheme="minorHAnsi"/>
          <w:sz w:val="24"/>
        </w:rPr>
        <w:t>cílové skupiny</w:t>
      </w:r>
      <w:r w:rsidR="00002DA7" w:rsidRPr="00626B6D">
        <w:rPr>
          <w:rFonts w:asciiTheme="minorHAnsi" w:hAnsiTheme="minorHAnsi" w:cstheme="minorHAnsi"/>
          <w:sz w:val="24"/>
        </w:rPr>
        <w:t xml:space="preserve">. </w:t>
      </w:r>
    </w:p>
    <w:p w14:paraId="58334EB9" w14:textId="77777777" w:rsidR="00FB0220" w:rsidRDefault="00FB0220" w:rsidP="005E1A03">
      <w:pPr>
        <w:rPr>
          <w:rFonts w:asciiTheme="minorHAnsi" w:hAnsiTheme="minorHAnsi" w:cstheme="minorHAnsi"/>
          <w:sz w:val="24"/>
        </w:rPr>
      </w:pPr>
    </w:p>
    <w:p w14:paraId="2F288103" w14:textId="6B90F83A" w:rsidR="00294348" w:rsidRPr="00626B6D" w:rsidRDefault="00484A95" w:rsidP="005E1A03">
      <w:pPr>
        <w:rPr>
          <w:rFonts w:asciiTheme="minorHAnsi" w:hAnsiTheme="minorHAnsi" w:cstheme="minorHAnsi"/>
          <w:sz w:val="24"/>
        </w:rPr>
      </w:pPr>
      <w:r w:rsidRPr="00626B6D">
        <w:rPr>
          <w:rFonts w:asciiTheme="minorHAnsi" w:hAnsiTheme="minorHAnsi" w:cstheme="minorHAnsi"/>
          <w:sz w:val="24"/>
        </w:rPr>
        <w:t>Do roku 2009 mohl být příjemcem dotace územní samosprávn</w:t>
      </w:r>
      <w:r w:rsidR="00FB0220">
        <w:rPr>
          <w:rFonts w:asciiTheme="minorHAnsi" w:hAnsiTheme="minorHAnsi" w:cstheme="minorHAnsi"/>
          <w:sz w:val="24"/>
        </w:rPr>
        <w:t>ý</w:t>
      </w:r>
      <w:r w:rsidRPr="00626B6D">
        <w:rPr>
          <w:rFonts w:asciiTheme="minorHAnsi" w:hAnsiTheme="minorHAnsi" w:cstheme="minorHAnsi"/>
          <w:sz w:val="24"/>
        </w:rPr>
        <w:t xml:space="preserve"> celek, obecně prospěšná společnost</w:t>
      </w:r>
      <w:r w:rsidR="00E24283" w:rsidRPr="00626B6D">
        <w:rPr>
          <w:rFonts w:asciiTheme="minorHAnsi" w:hAnsiTheme="minorHAnsi" w:cstheme="minorHAnsi"/>
          <w:sz w:val="24"/>
        </w:rPr>
        <w:t>, občanské sdružení</w:t>
      </w:r>
      <w:r w:rsidRPr="00626B6D">
        <w:rPr>
          <w:rFonts w:asciiTheme="minorHAnsi" w:hAnsiTheme="minorHAnsi" w:cstheme="minorHAnsi"/>
          <w:sz w:val="24"/>
        </w:rPr>
        <w:t xml:space="preserve"> </w:t>
      </w:r>
      <w:r w:rsidR="00FB0220">
        <w:rPr>
          <w:rFonts w:asciiTheme="minorHAnsi" w:hAnsiTheme="minorHAnsi" w:cstheme="minorHAnsi"/>
          <w:sz w:val="24"/>
        </w:rPr>
        <w:t>či</w:t>
      </w:r>
      <w:r w:rsidRPr="00626B6D">
        <w:rPr>
          <w:rFonts w:asciiTheme="minorHAnsi" w:hAnsiTheme="minorHAnsi" w:cstheme="minorHAnsi"/>
          <w:sz w:val="24"/>
        </w:rPr>
        <w:t xml:space="preserve"> právnická osoba, jejímž předmětem činnosti je poskytování sociálních služeb pro cílovou</w:t>
      </w:r>
      <w:r w:rsidR="005A79BA" w:rsidRPr="00626B6D">
        <w:rPr>
          <w:rFonts w:asciiTheme="minorHAnsi" w:hAnsiTheme="minorHAnsi" w:cstheme="minorHAnsi"/>
          <w:sz w:val="24"/>
        </w:rPr>
        <w:t xml:space="preserve"> skupinu</w:t>
      </w:r>
      <w:r w:rsidRPr="00626B6D">
        <w:rPr>
          <w:rFonts w:asciiTheme="minorHAnsi" w:hAnsiTheme="minorHAnsi" w:cstheme="minorHAnsi"/>
          <w:sz w:val="24"/>
        </w:rPr>
        <w:t xml:space="preserve">. Od roku 2010 </w:t>
      </w:r>
      <w:r w:rsidR="00C54163" w:rsidRPr="00626B6D">
        <w:rPr>
          <w:rFonts w:asciiTheme="minorHAnsi" w:hAnsiTheme="minorHAnsi" w:cstheme="minorHAnsi"/>
          <w:sz w:val="24"/>
        </w:rPr>
        <w:t>MMR určilo jako příjemce podnikající fyzick</w:t>
      </w:r>
      <w:r w:rsidR="00FB0220">
        <w:rPr>
          <w:rFonts w:asciiTheme="minorHAnsi" w:hAnsiTheme="minorHAnsi" w:cstheme="minorHAnsi"/>
          <w:sz w:val="24"/>
        </w:rPr>
        <w:t>é</w:t>
      </w:r>
      <w:r w:rsidR="00C54163" w:rsidRPr="00626B6D">
        <w:rPr>
          <w:rFonts w:asciiTheme="minorHAnsi" w:hAnsiTheme="minorHAnsi" w:cstheme="minorHAnsi"/>
          <w:sz w:val="24"/>
        </w:rPr>
        <w:t xml:space="preserve"> osob</w:t>
      </w:r>
      <w:r w:rsidR="00FB0220">
        <w:rPr>
          <w:rFonts w:asciiTheme="minorHAnsi" w:hAnsiTheme="minorHAnsi" w:cstheme="minorHAnsi"/>
          <w:sz w:val="24"/>
        </w:rPr>
        <w:t>y</w:t>
      </w:r>
      <w:r w:rsidR="00C54163" w:rsidRPr="00626B6D">
        <w:rPr>
          <w:rFonts w:asciiTheme="minorHAnsi" w:hAnsiTheme="minorHAnsi" w:cstheme="minorHAnsi"/>
          <w:sz w:val="24"/>
        </w:rPr>
        <w:t xml:space="preserve"> nebo právnick</w:t>
      </w:r>
      <w:r w:rsidR="00FB0220">
        <w:rPr>
          <w:rFonts w:asciiTheme="minorHAnsi" w:hAnsiTheme="minorHAnsi" w:cstheme="minorHAnsi"/>
          <w:sz w:val="24"/>
        </w:rPr>
        <w:t>é</w:t>
      </w:r>
      <w:r w:rsidRPr="00626B6D">
        <w:rPr>
          <w:rFonts w:asciiTheme="minorHAnsi" w:hAnsiTheme="minorHAnsi" w:cstheme="minorHAnsi"/>
          <w:sz w:val="24"/>
        </w:rPr>
        <w:t xml:space="preserve"> osob</w:t>
      </w:r>
      <w:r w:rsidR="00FB0220">
        <w:rPr>
          <w:rFonts w:asciiTheme="minorHAnsi" w:hAnsiTheme="minorHAnsi" w:cstheme="minorHAnsi"/>
          <w:sz w:val="24"/>
        </w:rPr>
        <w:t>y</w:t>
      </w:r>
      <w:r w:rsidRPr="00626B6D">
        <w:rPr>
          <w:rFonts w:asciiTheme="minorHAnsi" w:hAnsiTheme="minorHAnsi" w:cstheme="minorHAnsi"/>
          <w:sz w:val="24"/>
        </w:rPr>
        <w:t xml:space="preserve"> včetně obcí. Žadatelé o dotaci byli povinni věcně zdůvodnit </w:t>
      </w:r>
      <w:r w:rsidR="00002DA7" w:rsidRPr="00626B6D">
        <w:rPr>
          <w:rFonts w:asciiTheme="minorHAnsi" w:hAnsiTheme="minorHAnsi" w:cstheme="minorHAnsi"/>
          <w:sz w:val="24"/>
        </w:rPr>
        <w:t>z</w:t>
      </w:r>
      <w:r w:rsidRPr="00626B6D">
        <w:rPr>
          <w:rFonts w:asciiTheme="minorHAnsi" w:hAnsiTheme="minorHAnsi" w:cstheme="minorHAnsi"/>
          <w:sz w:val="24"/>
        </w:rPr>
        <w:t>áměr</w:t>
      </w:r>
      <w:r w:rsidR="00002DA7" w:rsidRPr="00626B6D">
        <w:rPr>
          <w:rFonts w:asciiTheme="minorHAnsi" w:hAnsiTheme="minorHAnsi" w:cstheme="minorHAnsi"/>
          <w:sz w:val="24"/>
        </w:rPr>
        <w:t xml:space="preserve"> akce</w:t>
      </w:r>
      <w:r w:rsidRPr="00626B6D">
        <w:rPr>
          <w:rFonts w:asciiTheme="minorHAnsi" w:hAnsiTheme="minorHAnsi" w:cstheme="minorHAnsi"/>
          <w:sz w:val="24"/>
        </w:rPr>
        <w:t xml:space="preserve">, ale </w:t>
      </w:r>
      <w:r w:rsidR="00002DA7" w:rsidRPr="00626B6D">
        <w:rPr>
          <w:rFonts w:asciiTheme="minorHAnsi" w:hAnsiTheme="minorHAnsi" w:cstheme="minorHAnsi"/>
          <w:sz w:val="24"/>
        </w:rPr>
        <w:t>potřebu bytů nemuseli prokazovat a ve většině případů j</w:t>
      </w:r>
      <w:r w:rsidR="00FB0220">
        <w:rPr>
          <w:rFonts w:asciiTheme="minorHAnsi" w:hAnsiTheme="minorHAnsi" w:cstheme="minorHAnsi"/>
          <w:sz w:val="24"/>
        </w:rPr>
        <w:t>i</w:t>
      </w:r>
      <w:r w:rsidR="00002DA7" w:rsidRPr="00626B6D">
        <w:rPr>
          <w:rFonts w:asciiTheme="minorHAnsi" w:hAnsiTheme="minorHAnsi" w:cstheme="minorHAnsi"/>
          <w:sz w:val="24"/>
        </w:rPr>
        <w:t xml:space="preserve"> zdůvodnili </w:t>
      </w:r>
      <w:r w:rsidR="00763FAD" w:rsidRPr="00626B6D">
        <w:rPr>
          <w:rFonts w:asciiTheme="minorHAnsi" w:hAnsiTheme="minorHAnsi" w:cstheme="minorHAnsi"/>
          <w:sz w:val="24"/>
        </w:rPr>
        <w:t xml:space="preserve">jen </w:t>
      </w:r>
      <w:r w:rsidR="00002DA7" w:rsidRPr="00626B6D">
        <w:rPr>
          <w:rFonts w:asciiTheme="minorHAnsi" w:hAnsiTheme="minorHAnsi" w:cstheme="minorHAnsi"/>
          <w:sz w:val="24"/>
        </w:rPr>
        <w:t>obecně. V</w:t>
      </w:r>
      <w:r w:rsidR="006C0225">
        <w:rPr>
          <w:rFonts w:asciiTheme="minorHAnsi" w:hAnsiTheme="minorHAnsi" w:cstheme="minorHAnsi"/>
          <w:sz w:val="24"/>
        </w:rPr>
        <w:t xml:space="preserve"> </w:t>
      </w:r>
      <w:r w:rsidR="00002DA7" w:rsidRPr="00626B6D">
        <w:rPr>
          <w:rFonts w:asciiTheme="minorHAnsi" w:hAnsiTheme="minorHAnsi" w:cstheme="minorHAnsi"/>
          <w:sz w:val="24"/>
        </w:rPr>
        <w:t xml:space="preserve">jednom </w:t>
      </w:r>
      <w:r w:rsidR="00BC7DC0" w:rsidRPr="00626B6D">
        <w:rPr>
          <w:rFonts w:asciiTheme="minorHAnsi" w:hAnsiTheme="minorHAnsi" w:cstheme="minorHAnsi"/>
          <w:sz w:val="24"/>
        </w:rPr>
        <w:t xml:space="preserve">zjištěném </w:t>
      </w:r>
      <w:r w:rsidR="00002DA7" w:rsidRPr="00626B6D">
        <w:rPr>
          <w:rFonts w:asciiTheme="minorHAnsi" w:hAnsiTheme="minorHAnsi" w:cstheme="minorHAnsi"/>
          <w:sz w:val="24"/>
        </w:rPr>
        <w:t xml:space="preserve">případě </w:t>
      </w:r>
      <w:r w:rsidRPr="00626B6D">
        <w:rPr>
          <w:rFonts w:asciiTheme="minorHAnsi" w:hAnsiTheme="minorHAnsi" w:cstheme="minorHAnsi"/>
          <w:sz w:val="24"/>
        </w:rPr>
        <w:t>získala dotaci společnost s</w:t>
      </w:r>
      <w:r w:rsidR="00FB0220">
        <w:rPr>
          <w:rFonts w:asciiTheme="minorHAnsi" w:hAnsiTheme="minorHAnsi" w:cstheme="minorHAnsi"/>
          <w:sz w:val="24"/>
        </w:rPr>
        <w:t> </w:t>
      </w:r>
      <w:r w:rsidRPr="00626B6D">
        <w:rPr>
          <w:rFonts w:asciiTheme="minorHAnsi" w:hAnsiTheme="minorHAnsi" w:cstheme="minorHAnsi"/>
          <w:sz w:val="24"/>
        </w:rPr>
        <w:t xml:space="preserve">ručením omezeným, která podala žádost o dotaci dva týdny poté, co byla zapsána do </w:t>
      </w:r>
      <w:r w:rsidR="00620A70">
        <w:rPr>
          <w:rFonts w:asciiTheme="minorHAnsi" w:hAnsiTheme="minorHAnsi" w:cstheme="minorHAnsi"/>
          <w:sz w:val="24"/>
        </w:rPr>
        <w:t>o</w:t>
      </w:r>
      <w:r w:rsidRPr="00626B6D">
        <w:rPr>
          <w:rFonts w:asciiTheme="minorHAnsi" w:hAnsiTheme="minorHAnsi" w:cstheme="minorHAnsi"/>
          <w:sz w:val="24"/>
        </w:rPr>
        <w:t xml:space="preserve">bchodního rejstříku. </w:t>
      </w:r>
      <w:r w:rsidR="00273F6F" w:rsidRPr="00626B6D">
        <w:rPr>
          <w:rFonts w:asciiTheme="minorHAnsi" w:hAnsiTheme="minorHAnsi" w:cstheme="minorHAnsi"/>
          <w:sz w:val="24"/>
        </w:rPr>
        <w:t>Z</w:t>
      </w:r>
      <w:r w:rsidR="006C0225">
        <w:rPr>
          <w:rFonts w:asciiTheme="minorHAnsi" w:hAnsiTheme="minorHAnsi" w:cstheme="minorHAnsi"/>
          <w:sz w:val="24"/>
        </w:rPr>
        <w:t xml:space="preserve"> </w:t>
      </w:r>
      <w:r w:rsidR="00273F6F" w:rsidRPr="00626B6D">
        <w:rPr>
          <w:rFonts w:asciiTheme="minorHAnsi" w:hAnsiTheme="minorHAnsi" w:cstheme="minorHAnsi"/>
          <w:sz w:val="24"/>
        </w:rPr>
        <w:t>devíti bytů, na kt</w:t>
      </w:r>
      <w:r w:rsidR="007F78C2" w:rsidRPr="00626B6D">
        <w:rPr>
          <w:rFonts w:asciiTheme="minorHAnsi" w:hAnsiTheme="minorHAnsi" w:cstheme="minorHAnsi"/>
          <w:sz w:val="24"/>
        </w:rPr>
        <w:t>eré získala dotaci ve výši 4,95</w:t>
      </w:r>
      <w:r w:rsidR="006C0225">
        <w:rPr>
          <w:rFonts w:asciiTheme="minorHAnsi" w:hAnsiTheme="minorHAnsi" w:cstheme="minorHAnsi"/>
          <w:sz w:val="24"/>
        </w:rPr>
        <w:t xml:space="preserve"> </w:t>
      </w:r>
      <w:r w:rsidR="00273F6F" w:rsidRPr="00626B6D">
        <w:rPr>
          <w:rFonts w:asciiTheme="minorHAnsi" w:hAnsiTheme="minorHAnsi" w:cstheme="minorHAnsi"/>
          <w:sz w:val="24"/>
        </w:rPr>
        <w:t>mil. Kč, jen jeden pronajala osobě z</w:t>
      </w:r>
      <w:r w:rsidR="00FB0220">
        <w:rPr>
          <w:rFonts w:asciiTheme="minorHAnsi" w:hAnsiTheme="minorHAnsi" w:cstheme="minorHAnsi"/>
          <w:sz w:val="24"/>
        </w:rPr>
        <w:t> </w:t>
      </w:r>
      <w:r w:rsidR="00273F6F" w:rsidRPr="00626B6D">
        <w:rPr>
          <w:rFonts w:asciiTheme="minorHAnsi" w:hAnsiTheme="minorHAnsi" w:cstheme="minorHAnsi"/>
          <w:sz w:val="24"/>
        </w:rPr>
        <w:t>cílové skupiny.</w:t>
      </w:r>
    </w:p>
    <w:p w14:paraId="3FEA1FBD" w14:textId="77777777" w:rsidR="00002DA7" w:rsidRDefault="00002DA7" w:rsidP="007A03A5">
      <w:pPr>
        <w:rPr>
          <w:rFonts w:asciiTheme="minorHAnsi" w:hAnsiTheme="minorHAnsi" w:cstheme="minorHAnsi"/>
          <w:szCs w:val="22"/>
        </w:rPr>
      </w:pPr>
    </w:p>
    <w:p w14:paraId="13D072B9" w14:textId="4E51B302" w:rsidR="00310754" w:rsidRPr="00626B6D" w:rsidRDefault="00FE4EF6" w:rsidP="00310754">
      <w:pPr>
        <w:rPr>
          <w:rFonts w:asciiTheme="minorHAnsi" w:hAnsiTheme="minorHAnsi" w:cstheme="minorHAnsi"/>
          <w:sz w:val="24"/>
        </w:rPr>
      </w:pPr>
      <w:r w:rsidRPr="00626B6D">
        <w:rPr>
          <w:rFonts w:asciiTheme="minorHAnsi" w:hAnsiTheme="minorHAnsi" w:cstheme="minorHAnsi"/>
          <w:b/>
          <w:sz w:val="24"/>
        </w:rPr>
        <w:t>6.</w:t>
      </w:r>
      <w:r w:rsidRPr="00626B6D">
        <w:rPr>
          <w:rFonts w:asciiTheme="minorHAnsi" w:hAnsiTheme="minorHAnsi" w:cstheme="minorHAnsi"/>
          <w:sz w:val="24"/>
        </w:rPr>
        <w:t xml:space="preserve"> Podpora hypot</w:t>
      </w:r>
      <w:r w:rsidR="00286C6F">
        <w:rPr>
          <w:rFonts w:asciiTheme="minorHAnsi" w:hAnsiTheme="minorHAnsi" w:cstheme="minorHAnsi"/>
          <w:sz w:val="24"/>
        </w:rPr>
        <w:t>e</w:t>
      </w:r>
      <w:r w:rsidRPr="00626B6D">
        <w:rPr>
          <w:rFonts w:asciiTheme="minorHAnsi" w:hAnsiTheme="minorHAnsi" w:cstheme="minorHAnsi"/>
          <w:sz w:val="24"/>
        </w:rPr>
        <w:t>čního úvěrování byla zaměřena na zvýšení dostupnosti hypot</w:t>
      </w:r>
      <w:r w:rsidR="00286C6F">
        <w:rPr>
          <w:rFonts w:asciiTheme="minorHAnsi" w:hAnsiTheme="minorHAnsi" w:cstheme="minorHAnsi"/>
          <w:sz w:val="24"/>
        </w:rPr>
        <w:t>e</w:t>
      </w:r>
      <w:r w:rsidRPr="00626B6D">
        <w:rPr>
          <w:rFonts w:asciiTheme="minorHAnsi" w:hAnsiTheme="minorHAnsi" w:cstheme="minorHAnsi"/>
          <w:sz w:val="24"/>
        </w:rPr>
        <w:t xml:space="preserve">čních úvěrů poskytovaných komerčními bankami na výstavbu domů, </w:t>
      </w:r>
      <w:r w:rsidR="008E7814">
        <w:rPr>
          <w:rFonts w:asciiTheme="minorHAnsi" w:hAnsiTheme="minorHAnsi" w:cstheme="minorHAnsi"/>
          <w:sz w:val="24"/>
        </w:rPr>
        <w:t>bytů a pomoc mladým lidem do 36</w:t>
      </w:r>
      <w:r w:rsidR="00490608">
        <w:rPr>
          <w:rFonts w:asciiTheme="minorHAnsi" w:hAnsiTheme="minorHAnsi" w:cstheme="minorHAnsi"/>
          <w:sz w:val="24"/>
        </w:rPr>
        <w:t> </w:t>
      </w:r>
      <w:r w:rsidRPr="00626B6D">
        <w:rPr>
          <w:rFonts w:asciiTheme="minorHAnsi" w:hAnsiTheme="minorHAnsi" w:cstheme="minorHAnsi"/>
          <w:sz w:val="24"/>
        </w:rPr>
        <w:t>let</w:t>
      </w:r>
      <w:r w:rsidR="00FD68A6">
        <w:rPr>
          <w:rFonts w:asciiTheme="minorHAnsi" w:hAnsiTheme="minorHAnsi" w:cstheme="minorHAnsi"/>
          <w:sz w:val="24"/>
        </w:rPr>
        <w:t>, a to za účelem</w:t>
      </w:r>
      <w:r w:rsidRPr="00626B6D">
        <w:rPr>
          <w:rFonts w:asciiTheme="minorHAnsi" w:hAnsiTheme="minorHAnsi" w:cstheme="minorHAnsi"/>
          <w:sz w:val="24"/>
        </w:rPr>
        <w:t xml:space="preserve"> zvýšení dostupnosti staršího vlastnického bydlení. </w:t>
      </w:r>
      <w:r w:rsidR="00FD68A6">
        <w:rPr>
          <w:rFonts w:asciiTheme="minorHAnsi" w:hAnsiTheme="minorHAnsi" w:cstheme="minorHAnsi"/>
          <w:sz w:val="24"/>
        </w:rPr>
        <w:t>P</w:t>
      </w:r>
      <w:r w:rsidRPr="00626B6D">
        <w:rPr>
          <w:rFonts w:asciiTheme="minorHAnsi" w:hAnsiTheme="minorHAnsi" w:cstheme="minorHAnsi"/>
          <w:sz w:val="24"/>
        </w:rPr>
        <w:t xml:space="preserve">říspěvek </w:t>
      </w:r>
      <w:r w:rsidR="00FD68A6">
        <w:rPr>
          <w:rFonts w:asciiTheme="minorHAnsi" w:hAnsiTheme="minorHAnsi" w:cstheme="minorHAnsi"/>
          <w:sz w:val="24"/>
        </w:rPr>
        <w:t xml:space="preserve">měl formu </w:t>
      </w:r>
      <w:r w:rsidRPr="00626B6D">
        <w:rPr>
          <w:rFonts w:asciiTheme="minorHAnsi" w:hAnsiTheme="minorHAnsi" w:cstheme="minorHAnsi"/>
          <w:sz w:val="24"/>
        </w:rPr>
        <w:t>úrokov</w:t>
      </w:r>
      <w:r w:rsidR="00FD68A6">
        <w:rPr>
          <w:rFonts w:asciiTheme="minorHAnsi" w:hAnsiTheme="minorHAnsi" w:cstheme="minorHAnsi"/>
          <w:sz w:val="24"/>
        </w:rPr>
        <w:t>é</w:t>
      </w:r>
      <w:r w:rsidRPr="00626B6D">
        <w:rPr>
          <w:rFonts w:asciiTheme="minorHAnsi" w:hAnsiTheme="minorHAnsi" w:cstheme="minorHAnsi"/>
          <w:sz w:val="24"/>
        </w:rPr>
        <w:t xml:space="preserve"> dotace</w:t>
      </w:r>
      <w:r w:rsidR="00805AA7" w:rsidRPr="00626B6D">
        <w:rPr>
          <w:rFonts w:asciiTheme="minorHAnsi" w:hAnsiTheme="minorHAnsi" w:cstheme="minorHAnsi"/>
          <w:sz w:val="24"/>
        </w:rPr>
        <w:t xml:space="preserve">. </w:t>
      </w:r>
      <w:r w:rsidRPr="00626B6D">
        <w:rPr>
          <w:rFonts w:asciiTheme="minorHAnsi" w:hAnsiTheme="minorHAnsi" w:cstheme="minorHAnsi"/>
          <w:sz w:val="24"/>
        </w:rPr>
        <w:t xml:space="preserve">Jestliže průměrná úroková sazba klesla pod </w:t>
      </w:r>
      <w:r w:rsidR="002C5098" w:rsidRPr="00626B6D">
        <w:rPr>
          <w:rFonts w:asciiTheme="minorHAnsi" w:hAnsiTheme="minorHAnsi" w:cstheme="minorHAnsi"/>
          <w:sz w:val="24"/>
        </w:rPr>
        <w:t>7 %, od roku 2002</w:t>
      </w:r>
      <w:r w:rsidRPr="00626B6D">
        <w:rPr>
          <w:rFonts w:asciiTheme="minorHAnsi" w:hAnsiTheme="minorHAnsi" w:cstheme="minorHAnsi"/>
          <w:sz w:val="24"/>
        </w:rPr>
        <w:t xml:space="preserve"> pod 5 %, byla výše podpory nulová.</w:t>
      </w:r>
      <w:r w:rsidR="0082589E" w:rsidRPr="00626B6D">
        <w:rPr>
          <w:rFonts w:asciiTheme="minorHAnsi" w:hAnsiTheme="minorHAnsi" w:cstheme="minorHAnsi"/>
          <w:sz w:val="24"/>
        </w:rPr>
        <w:t xml:space="preserve"> </w:t>
      </w:r>
      <w:r w:rsidR="00DF2361" w:rsidRPr="00626B6D">
        <w:rPr>
          <w:rFonts w:asciiTheme="minorHAnsi" w:hAnsiTheme="minorHAnsi" w:cstheme="minorHAnsi"/>
          <w:sz w:val="24"/>
          <w:lang w:eastAsia="cs-CZ"/>
        </w:rPr>
        <w:t>Žádosti o poskytnutí příspěvku</w:t>
      </w:r>
      <w:r w:rsidRPr="00626B6D">
        <w:rPr>
          <w:rFonts w:asciiTheme="minorHAnsi" w:hAnsiTheme="minorHAnsi" w:cstheme="minorHAnsi"/>
          <w:sz w:val="24"/>
          <w:lang w:eastAsia="cs-CZ"/>
        </w:rPr>
        <w:t xml:space="preserve"> </w:t>
      </w:r>
      <w:r w:rsidR="002C5098" w:rsidRPr="00626B6D">
        <w:rPr>
          <w:rFonts w:asciiTheme="minorHAnsi" w:hAnsiTheme="minorHAnsi" w:cstheme="minorHAnsi"/>
          <w:sz w:val="24"/>
          <w:lang w:eastAsia="cs-CZ"/>
        </w:rPr>
        <w:t>žadatelé předkládali bankám</w:t>
      </w:r>
      <w:r w:rsidRPr="00626B6D">
        <w:rPr>
          <w:rFonts w:asciiTheme="minorHAnsi" w:hAnsiTheme="minorHAnsi" w:cstheme="minorHAnsi"/>
          <w:sz w:val="24"/>
          <w:lang w:eastAsia="cs-CZ"/>
        </w:rPr>
        <w:t>, které MMR zmocnilo k</w:t>
      </w:r>
      <w:r w:rsidR="006C0225">
        <w:rPr>
          <w:rFonts w:asciiTheme="minorHAnsi" w:hAnsiTheme="minorHAnsi" w:cstheme="minorHAnsi"/>
          <w:sz w:val="24"/>
          <w:lang w:eastAsia="cs-CZ"/>
        </w:rPr>
        <w:t xml:space="preserve"> </w:t>
      </w:r>
      <w:r w:rsidRPr="00626B6D">
        <w:rPr>
          <w:rFonts w:asciiTheme="minorHAnsi" w:hAnsiTheme="minorHAnsi" w:cstheme="minorHAnsi"/>
          <w:sz w:val="24"/>
          <w:lang w:eastAsia="cs-CZ"/>
        </w:rPr>
        <w:t>přijímání žádostí a uzav</w:t>
      </w:r>
      <w:r w:rsidR="00DF2361" w:rsidRPr="00626B6D">
        <w:rPr>
          <w:rFonts w:asciiTheme="minorHAnsi" w:hAnsiTheme="minorHAnsi" w:cstheme="minorHAnsi"/>
          <w:sz w:val="24"/>
          <w:lang w:eastAsia="cs-CZ"/>
        </w:rPr>
        <w:t>írání smluv o poskytování příspěvku</w:t>
      </w:r>
      <w:r w:rsidR="002C5098" w:rsidRPr="00626B6D">
        <w:rPr>
          <w:rFonts w:asciiTheme="minorHAnsi" w:hAnsiTheme="minorHAnsi" w:cstheme="minorHAnsi"/>
          <w:sz w:val="24"/>
          <w:lang w:eastAsia="cs-CZ"/>
        </w:rPr>
        <w:t xml:space="preserve">. </w:t>
      </w:r>
      <w:r w:rsidRPr="00626B6D">
        <w:rPr>
          <w:rFonts w:asciiTheme="minorHAnsi" w:hAnsiTheme="minorHAnsi" w:cstheme="minorHAnsi"/>
          <w:sz w:val="24"/>
          <w:lang w:eastAsia="cs-CZ"/>
        </w:rPr>
        <w:t>V době ukončení kontroly NKÚ mělo MMR uzavřeno smlouvy s</w:t>
      </w:r>
      <w:r w:rsidR="006C0225">
        <w:rPr>
          <w:rFonts w:asciiTheme="minorHAnsi" w:hAnsiTheme="minorHAnsi" w:cstheme="minorHAnsi"/>
          <w:sz w:val="24"/>
          <w:lang w:eastAsia="cs-CZ"/>
        </w:rPr>
        <w:t xml:space="preserve"> </w:t>
      </w:r>
      <w:r w:rsidRPr="00626B6D">
        <w:rPr>
          <w:rFonts w:asciiTheme="minorHAnsi" w:hAnsiTheme="minorHAnsi" w:cstheme="minorHAnsi"/>
          <w:sz w:val="24"/>
          <w:lang w:eastAsia="cs-CZ"/>
        </w:rPr>
        <w:t>osmi bankami, a to na dobu neurčitou s</w:t>
      </w:r>
      <w:r w:rsidR="006C0225">
        <w:rPr>
          <w:rFonts w:asciiTheme="minorHAnsi" w:hAnsiTheme="minorHAnsi" w:cstheme="minorHAnsi"/>
          <w:sz w:val="24"/>
          <w:lang w:eastAsia="cs-CZ"/>
        </w:rPr>
        <w:t xml:space="preserve"> </w:t>
      </w:r>
      <w:r w:rsidRPr="00626B6D">
        <w:rPr>
          <w:rFonts w:asciiTheme="minorHAnsi" w:hAnsiTheme="minorHAnsi" w:cstheme="minorHAnsi"/>
          <w:sz w:val="24"/>
          <w:lang w:eastAsia="cs-CZ"/>
        </w:rPr>
        <w:t>výpovědní lhůtou šesti měsíců. N</w:t>
      </w:r>
      <w:r w:rsidR="002C5098" w:rsidRPr="00626B6D">
        <w:rPr>
          <w:rFonts w:asciiTheme="minorHAnsi" w:hAnsiTheme="minorHAnsi" w:cstheme="minorHAnsi"/>
          <w:sz w:val="24"/>
          <w:lang w:eastAsia="cs-CZ"/>
        </w:rPr>
        <w:t>a základě těchto smluv MMR převádělo</w:t>
      </w:r>
      <w:r w:rsidRPr="00626B6D">
        <w:rPr>
          <w:rFonts w:asciiTheme="minorHAnsi" w:hAnsiTheme="minorHAnsi" w:cstheme="minorHAnsi"/>
          <w:sz w:val="24"/>
          <w:lang w:eastAsia="cs-CZ"/>
        </w:rPr>
        <w:t xml:space="preserve"> bankám finanční prostředky státního přísp</w:t>
      </w:r>
      <w:r w:rsidR="002C5098" w:rsidRPr="00626B6D">
        <w:rPr>
          <w:rFonts w:asciiTheme="minorHAnsi" w:hAnsiTheme="minorHAnsi" w:cstheme="minorHAnsi"/>
          <w:sz w:val="24"/>
          <w:lang w:eastAsia="cs-CZ"/>
        </w:rPr>
        <w:t>ěvku k</w:t>
      </w:r>
      <w:r w:rsidR="006C0225">
        <w:rPr>
          <w:rFonts w:asciiTheme="minorHAnsi" w:hAnsiTheme="minorHAnsi" w:cstheme="minorHAnsi"/>
          <w:sz w:val="24"/>
          <w:lang w:eastAsia="cs-CZ"/>
        </w:rPr>
        <w:t xml:space="preserve"> </w:t>
      </w:r>
      <w:r w:rsidR="002C5098" w:rsidRPr="00626B6D">
        <w:rPr>
          <w:rFonts w:asciiTheme="minorHAnsi" w:hAnsiTheme="minorHAnsi" w:cstheme="minorHAnsi"/>
          <w:sz w:val="24"/>
          <w:lang w:eastAsia="cs-CZ"/>
        </w:rPr>
        <w:t>hypotečním úvěrům</w:t>
      </w:r>
      <w:r w:rsidR="007F78C2" w:rsidRPr="00626B6D">
        <w:rPr>
          <w:rFonts w:asciiTheme="minorHAnsi" w:hAnsiTheme="minorHAnsi" w:cstheme="minorHAnsi"/>
          <w:sz w:val="24"/>
          <w:lang w:eastAsia="cs-CZ"/>
        </w:rPr>
        <w:t xml:space="preserve"> a</w:t>
      </w:r>
      <w:r w:rsidR="006C0225">
        <w:rPr>
          <w:rFonts w:asciiTheme="minorHAnsi" w:hAnsiTheme="minorHAnsi" w:cstheme="minorHAnsi"/>
          <w:sz w:val="24"/>
          <w:lang w:eastAsia="cs-CZ"/>
        </w:rPr>
        <w:t xml:space="preserve"> </w:t>
      </w:r>
      <w:r w:rsidR="002C5098" w:rsidRPr="00626B6D">
        <w:rPr>
          <w:rFonts w:asciiTheme="minorHAnsi" w:hAnsiTheme="minorHAnsi" w:cstheme="minorHAnsi"/>
          <w:sz w:val="24"/>
          <w:lang w:eastAsia="cs-CZ"/>
        </w:rPr>
        <w:t xml:space="preserve">hradilo výdaje za jeho administraci. </w:t>
      </w:r>
      <w:r w:rsidRPr="00626B6D">
        <w:rPr>
          <w:rFonts w:asciiTheme="minorHAnsi" w:hAnsiTheme="minorHAnsi" w:cstheme="minorHAnsi"/>
          <w:sz w:val="24"/>
          <w:lang w:eastAsia="cs-CZ"/>
        </w:rPr>
        <w:t>MMR v</w:t>
      </w:r>
      <w:r w:rsidR="006C0225">
        <w:rPr>
          <w:rFonts w:asciiTheme="minorHAnsi" w:hAnsiTheme="minorHAnsi" w:cstheme="minorHAnsi"/>
          <w:sz w:val="24"/>
          <w:lang w:eastAsia="cs-CZ"/>
        </w:rPr>
        <w:t xml:space="preserve"> </w:t>
      </w:r>
      <w:r w:rsidRPr="00626B6D">
        <w:rPr>
          <w:rFonts w:asciiTheme="minorHAnsi" w:hAnsiTheme="minorHAnsi" w:cstheme="minorHAnsi"/>
          <w:sz w:val="24"/>
          <w:lang w:eastAsia="cs-CZ"/>
        </w:rPr>
        <w:t>letech 2011 až 2015 převedlo bankám státní příspěvek v</w:t>
      </w:r>
      <w:r w:rsidR="006C0225">
        <w:rPr>
          <w:rFonts w:asciiTheme="minorHAnsi" w:hAnsiTheme="minorHAnsi" w:cstheme="minorHAnsi"/>
          <w:sz w:val="24"/>
          <w:lang w:eastAsia="cs-CZ"/>
        </w:rPr>
        <w:t xml:space="preserve"> </w:t>
      </w:r>
      <w:r w:rsidR="0051464E">
        <w:rPr>
          <w:rFonts w:asciiTheme="minorHAnsi" w:hAnsiTheme="minorHAnsi" w:cstheme="minorHAnsi"/>
          <w:sz w:val="24"/>
          <w:lang w:eastAsia="cs-CZ"/>
        </w:rPr>
        <w:t>celkové výši 72 mil. </w:t>
      </w:r>
      <w:r w:rsidRPr="00626B6D">
        <w:rPr>
          <w:rFonts w:asciiTheme="minorHAnsi" w:hAnsiTheme="minorHAnsi" w:cstheme="minorHAnsi"/>
          <w:sz w:val="24"/>
          <w:lang w:eastAsia="cs-CZ"/>
        </w:rPr>
        <w:t>Kč. Státní příspěvek nebyl v</w:t>
      </w:r>
      <w:r w:rsidR="006C0225">
        <w:rPr>
          <w:rFonts w:asciiTheme="minorHAnsi" w:hAnsiTheme="minorHAnsi" w:cstheme="minorHAnsi"/>
          <w:sz w:val="24"/>
          <w:lang w:eastAsia="cs-CZ"/>
        </w:rPr>
        <w:t xml:space="preserve"> </w:t>
      </w:r>
      <w:r w:rsidRPr="00626B6D">
        <w:rPr>
          <w:rFonts w:asciiTheme="minorHAnsi" w:hAnsiTheme="minorHAnsi" w:cstheme="minorHAnsi"/>
          <w:sz w:val="24"/>
          <w:lang w:eastAsia="cs-CZ"/>
        </w:rPr>
        <w:t xml:space="preserve">tomto období novým klientům poskytován. </w:t>
      </w:r>
      <w:r w:rsidR="00310754" w:rsidRPr="00626B6D">
        <w:rPr>
          <w:rFonts w:asciiTheme="minorHAnsi" w:hAnsiTheme="minorHAnsi" w:cstheme="minorHAnsi"/>
          <w:sz w:val="24"/>
          <w:lang w:eastAsia="cs-CZ"/>
        </w:rPr>
        <w:t>Výdaje za administraci</w:t>
      </w:r>
      <w:r w:rsidRPr="00626B6D">
        <w:rPr>
          <w:rFonts w:asciiTheme="minorHAnsi" w:hAnsiTheme="minorHAnsi" w:cstheme="minorHAnsi"/>
          <w:sz w:val="24"/>
          <w:lang w:eastAsia="cs-CZ"/>
        </w:rPr>
        <w:t>, které MMR uhradilo bankám v</w:t>
      </w:r>
      <w:r w:rsidR="006C0225">
        <w:rPr>
          <w:rFonts w:asciiTheme="minorHAnsi" w:hAnsiTheme="minorHAnsi" w:cstheme="minorHAnsi"/>
          <w:sz w:val="24"/>
          <w:lang w:eastAsia="cs-CZ"/>
        </w:rPr>
        <w:t xml:space="preserve"> </w:t>
      </w:r>
      <w:r w:rsidRPr="00626B6D">
        <w:rPr>
          <w:rFonts w:asciiTheme="minorHAnsi" w:hAnsiTheme="minorHAnsi" w:cstheme="minorHAnsi"/>
          <w:sz w:val="24"/>
          <w:lang w:eastAsia="cs-CZ"/>
        </w:rPr>
        <w:t xml:space="preserve">letech 2011 až 2015, činily celkem 83 mil. Kč. </w:t>
      </w:r>
      <w:r w:rsidR="00310754" w:rsidRPr="00626B6D">
        <w:rPr>
          <w:rFonts w:asciiTheme="minorHAnsi" w:hAnsiTheme="minorHAnsi" w:cstheme="minorHAnsi"/>
          <w:sz w:val="24"/>
          <w:lang w:eastAsia="cs-CZ"/>
        </w:rPr>
        <w:t>Výdaje za administraci</w:t>
      </w:r>
      <w:r w:rsidRPr="00626B6D">
        <w:rPr>
          <w:rFonts w:asciiTheme="minorHAnsi" w:hAnsiTheme="minorHAnsi" w:cstheme="minorHAnsi"/>
          <w:sz w:val="24"/>
          <w:lang w:eastAsia="cs-CZ"/>
        </w:rPr>
        <w:t xml:space="preserve"> obsahovaly i úhrady za administraci tzv.</w:t>
      </w:r>
      <w:r w:rsidR="00214020">
        <w:rPr>
          <w:rFonts w:asciiTheme="minorHAnsi" w:hAnsiTheme="minorHAnsi" w:cstheme="minorHAnsi"/>
          <w:sz w:val="24"/>
          <w:lang w:eastAsia="cs-CZ"/>
        </w:rPr>
        <w:t> </w:t>
      </w:r>
      <w:r w:rsidRPr="00626B6D">
        <w:rPr>
          <w:rFonts w:asciiTheme="minorHAnsi" w:hAnsiTheme="minorHAnsi" w:cstheme="minorHAnsi"/>
          <w:sz w:val="24"/>
          <w:lang w:eastAsia="cs-CZ"/>
        </w:rPr>
        <w:t>pasivních příjemců, kteří z</w:t>
      </w:r>
      <w:r w:rsidR="00490608">
        <w:rPr>
          <w:rFonts w:asciiTheme="minorHAnsi" w:hAnsiTheme="minorHAnsi" w:cstheme="minorHAnsi"/>
          <w:sz w:val="24"/>
          <w:lang w:eastAsia="cs-CZ"/>
        </w:rPr>
        <w:t> </w:t>
      </w:r>
      <w:r w:rsidRPr="00626B6D">
        <w:rPr>
          <w:rFonts w:asciiTheme="minorHAnsi" w:hAnsiTheme="minorHAnsi" w:cstheme="minorHAnsi"/>
          <w:sz w:val="24"/>
          <w:lang w:eastAsia="cs-CZ"/>
        </w:rPr>
        <w:t>důvodu poklesu úrokových sazeb nemají nárok na příspěvek, ale které vede příslušná banka v</w:t>
      </w:r>
      <w:r w:rsidR="006C0225">
        <w:rPr>
          <w:rFonts w:asciiTheme="minorHAnsi" w:hAnsiTheme="minorHAnsi" w:cstheme="minorHAnsi"/>
          <w:sz w:val="24"/>
          <w:lang w:eastAsia="cs-CZ"/>
        </w:rPr>
        <w:t xml:space="preserve"> </w:t>
      </w:r>
      <w:r w:rsidRPr="00626B6D">
        <w:rPr>
          <w:rFonts w:asciiTheme="minorHAnsi" w:hAnsiTheme="minorHAnsi" w:cstheme="minorHAnsi"/>
          <w:sz w:val="24"/>
          <w:lang w:eastAsia="cs-CZ"/>
        </w:rPr>
        <w:t>evidenci.</w:t>
      </w:r>
      <w:r w:rsidRPr="00626B6D">
        <w:rPr>
          <w:rFonts w:asciiTheme="minorHAnsi" w:hAnsiTheme="minorHAnsi" w:cstheme="minorHAnsi"/>
          <w:color w:val="000000"/>
          <w:sz w:val="24"/>
          <w:lang w:eastAsia="cs-CZ"/>
        </w:rPr>
        <w:t xml:space="preserve"> </w:t>
      </w:r>
      <w:r w:rsidR="0010568C" w:rsidRPr="00626B6D">
        <w:rPr>
          <w:rFonts w:asciiTheme="minorHAnsi" w:hAnsiTheme="minorHAnsi" w:cstheme="minorHAnsi"/>
          <w:color w:val="000000"/>
          <w:sz w:val="24"/>
          <w:lang w:eastAsia="cs-CZ"/>
        </w:rPr>
        <w:t>Vzhledem k</w:t>
      </w:r>
      <w:r w:rsidR="006C0225">
        <w:rPr>
          <w:rFonts w:asciiTheme="minorHAnsi" w:hAnsiTheme="minorHAnsi" w:cstheme="minorHAnsi"/>
          <w:color w:val="000000"/>
          <w:sz w:val="24"/>
          <w:lang w:eastAsia="cs-CZ"/>
        </w:rPr>
        <w:t xml:space="preserve"> </w:t>
      </w:r>
      <w:r w:rsidR="0010568C" w:rsidRPr="00626B6D">
        <w:rPr>
          <w:rFonts w:asciiTheme="minorHAnsi" w:hAnsiTheme="minorHAnsi" w:cstheme="minorHAnsi"/>
          <w:color w:val="000000"/>
          <w:sz w:val="24"/>
          <w:lang w:eastAsia="cs-CZ"/>
        </w:rPr>
        <w:t>nízké</w:t>
      </w:r>
      <w:r w:rsidR="00FD5465" w:rsidRPr="00626B6D">
        <w:rPr>
          <w:rFonts w:asciiTheme="minorHAnsi" w:hAnsiTheme="minorHAnsi" w:cstheme="minorHAnsi"/>
          <w:color w:val="000000"/>
          <w:sz w:val="24"/>
          <w:lang w:eastAsia="cs-CZ"/>
        </w:rPr>
        <w:t xml:space="preserve"> pravděpodobnosti</w:t>
      </w:r>
      <w:r w:rsidR="0010568C" w:rsidRPr="00626B6D">
        <w:rPr>
          <w:rFonts w:asciiTheme="minorHAnsi" w:hAnsiTheme="minorHAnsi" w:cstheme="minorHAnsi"/>
          <w:color w:val="000000"/>
          <w:sz w:val="24"/>
          <w:lang w:eastAsia="cs-CZ"/>
        </w:rPr>
        <w:t xml:space="preserve"> růstu úrokových sazeb nad 5 %</w:t>
      </w:r>
      <w:r w:rsidR="00B30144" w:rsidRPr="00626B6D">
        <w:rPr>
          <w:rFonts w:asciiTheme="minorHAnsi" w:hAnsiTheme="minorHAnsi" w:cstheme="minorHAnsi"/>
          <w:color w:val="000000"/>
          <w:sz w:val="24"/>
          <w:lang w:eastAsia="cs-CZ"/>
        </w:rPr>
        <w:t xml:space="preserve"> </w:t>
      </w:r>
      <w:r w:rsidR="00FD5465" w:rsidRPr="00626B6D">
        <w:rPr>
          <w:rFonts w:asciiTheme="minorHAnsi" w:hAnsiTheme="minorHAnsi" w:cstheme="minorHAnsi"/>
          <w:color w:val="000000"/>
          <w:sz w:val="24"/>
          <w:lang w:eastAsia="cs-CZ"/>
        </w:rPr>
        <w:t>nelze předpokládat,</w:t>
      </w:r>
      <w:r w:rsidR="00B30144" w:rsidRPr="00626B6D">
        <w:rPr>
          <w:rFonts w:asciiTheme="minorHAnsi" w:hAnsiTheme="minorHAnsi" w:cstheme="minorHAnsi"/>
          <w:color w:val="000000"/>
          <w:sz w:val="24"/>
          <w:lang w:eastAsia="cs-CZ"/>
        </w:rPr>
        <w:t xml:space="preserve"> že tito pasivní </w:t>
      </w:r>
      <w:r w:rsidR="00FD5465" w:rsidRPr="00626B6D">
        <w:rPr>
          <w:rFonts w:asciiTheme="minorHAnsi" w:hAnsiTheme="minorHAnsi" w:cstheme="minorHAnsi"/>
          <w:color w:val="000000"/>
          <w:sz w:val="24"/>
          <w:lang w:eastAsia="cs-CZ"/>
        </w:rPr>
        <w:t>příjemci získají v</w:t>
      </w:r>
      <w:r w:rsidR="006C0225">
        <w:rPr>
          <w:rFonts w:asciiTheme="minorHAnsi" w:hAnsiTheme="minorHAnsi" w:cstheme="minorHAnsi"/>
          <w:color w:val="000000"/>
          <w:sz w:val="24"/>
          <w:lang w:eastAsia="cs-CZ"/>
        </w:rPr>
        <w:t xml:space="preserve"> </w:t>
      </w:r>
      <w:r w:rsidR="00FD5465" w:rsidRPr="00626B6D">
        <w:rPr>
          <w:rFonts w:asciiTheme="minorHAnsi" w:hAnsiTheme="minorHAnsi" w:cstheme="minorHAnsi"/>
          <w:color w:val="000000"/>
          <w:sz w:val="24"/>
          <w:lang w:eastAsia="cs-CZ"/>
        </w:rPr>
        <w:t xml:space="preserve">blízké budoucnosti nárok na příspěvek. </w:t>
      </w:r>
      <w:r w:rsidRPr="00626B6D">
        <w:rPr>
          <w:rFonts w:asciiTheme="minorHAnsi" w:hAnsiTheme="minorHAnsi" w:cstheme="minorHAnsi"/>
          <w:sz w:val="24"/>
          <w:lang w:eastAsia="cs-CZ"/>
        </w:rPr>
        <w:t>MMR uhradilo bank</w:t>
      </w:r>
      <w:r w:rsidR="00D42B0A" w:rsidRPr="00626B6D">
        <w:rPr>
          <w:rFonts w:asciiTheme="minorHAnsi" w:hAnsiTheme="minorHAnsi" w:cstheme="minorHAnsi"/>
          <w:sz w:val="24"/>
          <w:lang w:eastAsia="cs-CZ"/>
        </w:rPr>
        <w:t>ám v</w:t>
      </w:r>
      <w:r w:rsidR="006C0225">
        <w:rPr>
          <w:rFonts w:asciiTheme="minorHAnsi" w:hAnsiTheme="minorHAnsi" w:cstheme="minorHAnsi"/>
          <w:sz w:val="24"/>
          <w:lang w:eastAsia="cs-CZ"/>
        </w:rPr>
        <w:t xml:space="preserve"> </w:t>
      </w:r>
      <w:r w:rsidR="00D42B0A" w:rsidRPr="00626B6D">
        <w:rPr>
          <w:rFonts w:asciiTheme="minorHAnsi" w:hAnsiTheme="minorHAnsi" w:cstheme="minorHAnsi"/>
          <w:sz w:val="24"/>
          <w:lang w:eastAsia="cs-CZ"/>
        </w:rPr>
        <w:t>období od roku 2011 do 31.</w:t>
      </w:r>
      <w:r w:rsidR="006C0225">
        <w:rPr>
          <w:rFonts w:asciiTheme="minorHAnsi" w:hAnsiTheme="minorHAnsi" w:cstheme="minorHAnsi"/>
          <w:sz w:val="24"/>
          <w:lang w:eastAsia="cs-CZ"/>
        </w:rPr>
        <w:t xml:space="preserve"> </w:t>
      </w:r>
      <w:r w:rsidRPr="00626B6D">
        <w:rPr>
          <w:rFonts w:asciiTheme="minorHAnsi" w:hAnsiTheme="minorHAnsi" w:cstheme="minorHAnsi"/>
          <w:sz w:val="24"/>
          <w:lang w:eastAsia="cs-CZ"/>
        </w:rPr>
        <w:t>srpna 2015 celkem 37,18</w:t>
      </w:r>
      <w:r w:rsidR="00FD68A6">
        <w:rPr>
          <w:rFonts w:asciiTheme="minorHAnsi" w:hAnsiTheme="minorHAnsi" w:cstheme="minorHAnsi"/>
          <w:sz w:val="24"/>
          <w:lang w:eastAsia="cs-CZ"/>
        </w:rPr>
        <w:t> mil. </w:t>
      </w:r>
      <w:r w:rsidRPr="00626B6D">
        <w:rPr>
          <w:rFonts w:asciiTheme="minorHAnsi" w:hAnsiTheme="minorHAnsi" w:cstheme="minorHAnsi"/>
          <w:sz w:val="24"/>
          <w:lang w:eastAsia="cs-CZ"/>
        </w:rPr>
        <w:t xml:space="preserve">Kč </w:t>
      </w:r>
      <w:r w:rsidR="00DF2361" w:rsidRPr="00626B6D">
        <w:rPr>
          <w:rFonts w:asciiTheme="minorHAnsi" w:hAnsiTheme="minorHAnsi" w:cstheme="minorHAnsi"/>
          <w:sz w:val="24"/>
          <w:lang w:eastAsia="cs-CZ"/>
        </w:rPr>
        <w:t>za administraci pasivních příjemců</w:t>
      </w:r>
      <w:r w:rsidRPr="00626B6D">
        <w:rPr>
          <w:rFonts w:asciiTheme="minorHAnsi" w:hAnsiTheme="minorHAnsi" w:cstheme="minorHAnsi"/>
          <w:sz w:val="24"/>
          <w:lang w:eastAsia="cs-CZ"/>
        </w:rPr>
        <w:t xml:space="preserve">. </w:t>
      </w:r>
      <w:r w:rsidR="00310754" w:rsidRPr="00626B6D">
        <w:rPr>
          <w:rFonts w:asciiTheme="minorHAnsi" w:hAnsiTheme="minorHAnsi" w:cstheme="minorHAnsi"/>
          <w:sz w:val="24"/>
          <w:lang w:eastAsia="cs-CZ"/>
        </w:rPr>
        <w:t>Z</w:t>
      </w:r>
      <w:r w:rsidR="006C0225">
        <w:rPr>
          <w:rFonts w:asciiTheme="minorHAnsi" w:hAnsiTheme="minorHAnsi" w:cstheme="minorHAnsi"/>
          <w:sz w:val="24"/>
          <w:lang w:eastAsia="cs-CZ"/>
        </w:rPr>
        <w:t xml:space="preserve"> </w:t>
      </w:r>
      <w:r w:rsidR="00310754" w:rsidRPr="00626B6D">
        <w:rPr>
          <w:rFonts w:asciiTheme="minorHAnsi" w:hAnsiTheme="minorHAnsi" w:cstheme="minorHAnsi"/>
          <w:sz w:val="24"/>
          <w:lang w:eastAsia="cs-CZ"/>
        </w:rPr>
        <w:t xml:space="preserve">materiálu </w:t>
      </w:r>
      <w:r w:rsidR="00310754" w:rsidRPr="00E819ED">
        <w:rPr>
          <w:rFonts w:asciiTheme="minorHAnsi" w:hAnsiTheme="minorHAnsi" w:cstheme="minorHAnsi"/>
          <w:i/>
          <w:sz w:val="24"/>
        </w:rPr>
        <w:t>Státní podpora hypot</w:t>
      </w:r>
      <w:r w:rsidR="00FD68A6">
        <w:rPr>
          <w:rFonts w:asciiTheme="minorHAnsi" w:hAnsiTheme="minorHAnsi" w:cstheme="minorHAnsi"/>
          <w:i/>
          <w:sz w:val="24"/>
        </w:rPr>
        <w:t>e</w:t>
      </w:r>
      <w:r w:rsidR="00310754" w:rsidRPr="00E819ED">
        <w:rPr>
          <w:rFonts w:asciiTheme="minorHAnsi" w:hAnsiTheme="minorHAnsi" w:cstheme="minorHAnsi"/>
          <w:i/>
          <w:sz w:val="24"/>
        </w:rPr>
        <w:t>čního úvěrování</w:t>
      </w:r>
      <w:r w:rsidR="00310754" w:rsidRPr="00626B6D">
        <w:rPr>
          <w:rFonts w:asciiTheme="minorHAnsi" w:hAnsiTheme="minorHAnsi" w:cstheme="minorHAnsi"/>
          <w:sz w:val="24"/>
        </w:rPr>
        <w:t xml:space="preserve">, který MMR </w:t>
      </w:r>
      <w:r w:rsidR="00FD68A6">
        <w:rPr>
          <w:rFonts w:asciiTheme="minorHAnsi" w:hAnsiTheme="minorHAnsi" w:cstheme="minorHAnsi"/>
          <w:sz w:val="24"/>
        </w:rPr>
        <w:t>vy</w:t>
      </w:r>
      <w:r w:rsidR="00310754" w:rsidRPr="00626B6D">
        <w:rPr>
          <w:rFonts w:asciiTheme="minorHAnsi" w:hAnsiTheme="minorHAnsi" w:cstheme="minorHAnsi"/>
          <w:sz w:val="24"/>
        </w:rPr>
        <w:t>pracovalo na přelomu let 2010/2011</w:t>
      </w:r>
      <w:r w:rsidR="00FD68A6">
        <w:rPr>
          <w:rFonts w:asciiTheme="minorHAnsi" w:hAnsiTheme="minorHAnsi" w:cstheme="minorHAnsi"/>
          <w:sz w:val="24"/>
        </w:rPr>
        <w:t>,</w:t>
      </w:r>
      <w:r w:rsidR="00310754" w:rsidRPr="00626B6D">
        <w:rPr>
          <w:rFonts w:asciiTheme="minorHAnsi" w:hAnsiTheme="minorHAnsi" w:cstheme="minorHAnsi"/>
          <w:sz w:val="24"/>
        </w:rPr>
        <w:t xml:space="preserve"> vyplynulo, že některé banky administraci podpor</w:t>
      </w:r>
      <w:r w:rsidR="00303C1E" w:rsidRPr="00626B6D">
        <w:rPr>
          <w:rFonts w:asciiTheme="minorHAnsi" w:hAnsiTheme="minorHAnsi" w:cstheme="minorHAnsi"/>
          <w:sz w:val="24"/>
        </w:rPr>
        <w:t xml:space="preserve"> </w:t>
      </w:r>
      <w:r w:rsidR="00310754" w:rsidRPr="00626B6D">
        <w:rPr>
          <w:rFonts w:asciiTheme="minorHAnsi" w:hAnsiTheme="minorHAnsi" w:cstheme="minorHAnsi"/>
          <w:sz w:val="24"/>
        </w:rPr>
        <w:t>zpoplatňují</w:t>
      </w:r>
      <w:r w:rsidR="00FD68A6" w:rsidRPr="00FD68A6">
        <w:rPr>
          <w:rFonts w:asciiTheme="minorHAnsi" w:hAnsiTheme="minorHAnsi" w:cstheme="minorHAnsi"/>
          <w:sz w:val="24"/>
        </w:rPr>
        <w:t xml:space="preserve"> </w:t>
      </w:r>
      <w:r w:rsidR="00FD68A6" w:rsidRPr="00626B6D">
        <w:rPr>
          <w:rFonts w:asciiTheme="minorHAnsi" w:hAnsiTheme="minorHAnsi" w:cstheme="minorHAnsi"/>
          <w:sz w:val="24"/>
        </w:rPr>
        <w:t>dokonce</w:t>
      </w:r>
      <w:r w:rsidR="00310754" w:rsidRPr="00626B6D">
        <w:rPr>
          <w:rFonts w:asciiTheme="minorHAnsi" w:hAnsiTheme="minorHAnsi" w:cstheme="minorHAnsi"/>
          <w:sz w:val="24"/>
        </w:rPr>
        <w:t xml:space="preserve"> i klientům. </w:t>
      </w:r>
      <w:r w:rsidR="004129A7" w:rsidRPr="00626B6D">
        <w:rPr>
          <w:rFonts w:asciiTheme="minorHAnsi" w:hAnsiTheme="minorHAnsi" w:cstheme="minorHAnsi"/>
          <w:sz w:val="24"/>
        </w:rPr>
        <w:t>V</w:t>
      </w:r>
      <w:r w:rsidR="006C0225">
        <w:rPr>
          <w:rFonts w:asciiTheme="minorHAnsi" w:hAnsiTheme="minorHAnsi" w:cstheme="minorHAnsi"/>
          <w:sz w:val="24"/>
        </w:rPr>
        <w:t xml:space="preserve"> </w:t>
      </w:r>
      <w:r w:rsidR="003F30B7" w:rsidRPr="00626B6D">
        <w:rPr>
          <w:rFonts w:asciiTheme="minorHAnsi" w:hAnsiTheme="minorHAnsi" w:cstheme="minorHAnsi"/>
          <w:sz w:val="24"/>
        </w:rPr>
        <w:t>průběhu kontroly</w:t>
      </w:r>
      <w:r w:rsidR="004129A7" w:rsidRPr="00626B6D">
        <w:rPr>
          <w:rFonts w:asciiTheme="minorHAnsi" w:hAnsiTheme="minorHAnsi" w:cstheme="minorHAnsi"/>
          <w:sz w:val="24"/>
        </w:rPr>
        <w:t xml:space="preserve"> NKÚ</w:t>
      </w:r>
      <w:r w:rsidR="003F30B7" w:rsidRPr="00626B6D">
        <w:rPr>
          <w:rFonts w:asciiTheme="minorHAnsi" w:hAnsiTheme="minorHAnsi" w:cstheme="minorHAnsi"/>
          <w:sz w:val="24"/>
        </w:rPr>
        <w:t xml:space="preserve"> </w:t>
      </w:r>
      <w:r w:rsidR="004129A7" w:rsidRPr="00626B6D">
        <w:rPr>
          <w:rFonts w:asciiTheme="minorHAnsi" w:hAnsiTheme="minorHAnsi" w:cstheme="minorHAnsi"/>
          <w:sz w:val="24"/>
        </w:rPr>
        <w:t xml:space="preserve">připravilo MMR </w:t>
      </w:r>
      <w:r w:rsidR="00310754" w:rsidRPr="00626B6D">
        <w:rPr>
          <w:rFonts w:asciiTheme="minorHAnsi" w:hAnsiTheme="minorHAnsi" w:cstheme="minorHAnsi"/>
          <w:sz w:val="24"/>
        </w:rPr>
        <w:t xml:space="preserve">návrh zrušení </w:t>
      </w:r>
      <w:r w:rsidR="004129A7" w:rsidRPr="00626B6D">
        <w:rPr>
          <w:rFonts w:asciiTheme="minorHAnsi" w:hAnsiTheme="minorHAnsi" w:cstheme="minorHAnsi"/>
          <w:sz w:val="24"/>
        </w:rPr>
        <w:t>nařízení vlády, které poskytování příspěvku stanoví.</w:t>
      </w:r>
      <w:r w:rsidR="00310754" w:rsidRPr="00626B6D">
        <w:rPr>
          <w:rFonts w:asciiTheme="minorHAnsi" w:hAnsiTheme="minorHAnsi" w:cstheme="minorHAnsi"/>
          <w:sz w:val="24"/>
        </w:rPr>
        <w:t xml:space="preserve">  </w:t>
      </w:r>
    </w:p>
    <w:p w14:paraId="3ECDED9C" w14:textId="77777777" w:rsidR="00283E43" w:rsidRDefault="00283E43" w:rsidP="007A03A5">
      <w:pPr>
        <w:rPr>
          <w:rFonts w:asciiTheme="minorHAnsi" w:hAnsiTheme="minorHAnsi" w:cstheme="minorHAnsi"/>
          <w:szCs w:val="22"/>
        </w:rPr>
      </w:pPr>
    </w:p>
    <w:p w14:paraId="7D2161AB" w14:textId="6231189E" w:rsidR="00994880" w:rsidRPr="00626B6D" w:rsidRDefault="00283E43" w:rsidP="007A03A5">
      <w:pPr>
        <w:rPr>
          <w:rFonts w:asciiTheme="minorHAnsi" w:hAnsiTheme="minorHAnsi" w:cstheme="minorHAnsi"/>
          <w:sz w:val="24"/>
        </w:rPr>
      </w:pPr>
      <w:r w:rsidRPr="00626B6D">
        <w:rPr>
          <w:rFonts w:asciiTheme="minorHAnsi" w:hAnsiTheme="minorHAnsi" w:cstheme="minorHAnsi"/>
          <w:b/>
          <w:sz w:val="24"/>
        </w:rPr>
        <w:t>7.</w:t>
      </w:r>
      <w:r w:rsidRPr="00626B6D">
        <w:rPr>
          <w:rFonts w:asciiTheme="minorHAnsi" w:hAnsiTheme="minorHAnsi" w:cstheme="minorHAnsi"/>
          <w:sz w:val="24"/>
        </w:rPr>
        <w:t xml:space="preserve"> </w:t>
      </w:r>
      <w:r w:rsidR="00504109" w:rsidRPr="00626B6D">
        <w:rPr>
          <w:rFonts w:asciiTheme="minorHAnsi" w:hAnsiTheme="minorHAnsi" w:cstheme="minorHAnsi"/>
          <w:sz w:val="24"/>
        </w:rPr>
        <w:t xml:space="preserve">Vysoké výdaje </w:t>
      </w:r>
      <w:r w:rsidR="00507219" w:rsidRPr="00626B6D">
        <w:rPr>
          <w:rFonts w:asciiTheme="minorHAnsi" w:hAnsiTheme="minorHAnsi" w:cstheme="minorHAnsi"/>
          <w:sz w:val="24"/>
        </w:rPr>
        <w:t xml:space="preserve">hrazené bankám </w:t>
      </w:r>
      <w:r w:rsidR="007F6037" w:rsidRPr="00626B6D">
        <w:rPr>
          <w:rFonts w:asciiTheme="minorHAnsi" w:hAnsiTheme="minorHAnsi" w:cstheme="minorHAnsi"/>
          <w:sz w:val="24"/>
        </w:rPr>
        <w:t xml:space="preserve">za administraci </w:t>
      </w:r>
      <w:r w:rsidR="00106A7F" w:rsidRPr="00626B6D">
        <w:rPr>
          <w:rFonts w:asciiTheme="minorHAnsi" w:hAnsiTheme="minorHAnsi" w:cstheme="minorHAnsi"/>
          <w:sz w:val="24"/>
        </w:rPr>
        <w:t xml:space="preserve">části </w:t>
      </w:r>
      <w:r w:rsidR="007F6037" w:rsidRPr="00626B6D">
        <w:rPr>
          <w:rFonts w:asciiTheme="minorHAnsi" w:hAnsiTheme="minorHAnsi" w:cstheme="minorHAnsi"/>
          <w:sz w:val="24"/>
        </w:rPr>
        <w:t>podpor byly zjištěny</w:t>
      </w:r>
      <w:r w:rsidR="002B3FA1" w:rsidRPr="00626B6D">
        <w:rPr>
          <w:rFonts w:asciiTheme="minorHAnsi" w:hAnsiTheme="minorHAnsi" w:cstheme="minorHAnsi"/>
          <w:sz w:val="24"/>
        </w:rPr>
        <w:t xml:space="preserve"> i u SFRB</w:t>
      </w:r>
      <w:r w:rsidR="00FA1AAA" w:rsidRPr="00626B6D">
        <w:rPr>
          <w:rFonts w:asciiTheme="minorHAnsi" w:hAnsiTheme="minorHAnsi" w:cstheme="minorHAnsi"/>
          <w:sz w:val="24"/>
        </w:rPr>
        <w:t xml:space="preserve">. Od roku 2011 do června 2015 </w:t>
      </w:r>
      <w:r w:rsidR="0043488B" w:rsidRPr="00626B6D">
        <w:rPr>
          <w:rFonts w:asciiTheme="minorHAnsi" w:hAnsiTheme="minorHAnsi" w:cstheme="minorHAnsi"/>
          <w:sz w:val="24"/>
        </w:rPr>
        <w:t xml:space="preserve">uhradil </w:t>
      </w:r>
      <w:r w:rsidR="009805E4" w:rsidRPr="00626B6D">
        <w:rPr>
          <w:rFonts w:asciiTheme="minorHAnsi" w:hAnsiTheme="minorHAnsi" w:cstheme="minorHAnsi"/>
          <w:sz w:val="24"/>
        </w:rPr>
        <w:t xml:space="preserve">SFRB </w:t>
      </w:r>
      <w:r w:rsidR="00507219" w:rsidRPr="00626B6D">
        <w:rPr>
          <w:rFonts w:asciiTheme="minorHAnsi" w:hAnsiTheme="minorHAnsi" w:cstheme="minorHAnsi"/>
          <w:sz w:val="24"/>
        </w:rPr>
        <w:t>čtyřem bankám</w:t>
      </w:r>
      <w:r w:rsidR="00FA1AAA" w:rsidRPr="00626B6D">
        <w:rPr>
          <w:rFonts w:asciiTheme="minorHAnsi" w:hAnsiTheme="minorHAnsi" w:cstheme="minorHAnsi"/>
          <w:sz w:val="24"/>
        </w:rPr>
        <w:t xml:space="preserve"> </w:t>
      </w:r>
      <w:r w:rsidR="00507219" w:rsidRPr="00626B6D">
        <w:rPr>
          <w:rFonts w:asciiTheme="minorHAnsi" w:hAnsiTheme="minorHAnsi" w:cstheme="minorHAnsi"/>
          <w:sz w:val="24"/>
        </w:rPr>
        <w:t>za činnosti související s</w:t>
      </w:r>
      <w:r w:rsidR="0043488B">
        <w:rPr>
          <w:rFonts w:asciiTheme="minorHAnsi" w:hAnsiTheme="minorHAnsi" w:cstheme="minorHAnsi"/>
          <w:sz w:val="24"/>
        </w:rPr>
        <w:t> </w:t>
      </w:r>
      <w:r w:rsidR="00507219" w:rsidRPr="00626B6D">
        <w:rPr>
          <w:rFonts w:asciiTheme="minorHAnsi" w:hAnsiTheme="minorHAnsi" w:cstheme="minorHAnsi"/>
          <w:sz w:val="24"/>
        </w:rPr>
        <w:t xml:space="preserve">poskytováním podpor celkem </w:t>
      </w:r>
      <w:r w:rsidR="00FA1AAA" w:rsidRPr="00626B6D">
        <w:rPr>
          <w:rFonts w:asciiTheme="minorHAnsi" w:hAnsiTheme="minorHAnsi" w:cstheme="minorHAnsi"/>
          <w:sz w:val="24"/>
        </w:rPr>
        <w:t xml:space="preserve">470,48 mil. Kč, </w:t>
      </w:r>
      <w:r w:rsidR="00507219" w:rsidRPr="00626B6D">
        <w:rPr>
          <w:rFonts w:asciiTheme="minorHAnsi" w:hAnsiTheme="minorHAnsi" w:cstheme="minorHAnsi"/>
          <w:sz w:val="24"/>
        </w:rPr>
        <w:t>což činilo</w:t>
      </w:r>
      <w:r w:rsidR="00FA1AAA" w:rsidRPr="00626B6D">
        <w:rPr>
          <w:rFonts w:asciiTheme="minorHAnsi" w:hAnsiTheme="minorHAnsi" w:cstheme="minorHAnsi"/>
          <w:sz w:val="24"/>
        </w:rPr>
        <w:t xml:space="preserve"> 65 % z</w:t>
      </w:r>
      <w:r w:rsidR="006C0225">
        <w:rPr>
          <w:rFonts w:asciiTheme="minorHAnsi" w:hAnsiTheme="minorHAnsi" w:cstheme="minorHAnsi"/>
          <w:sz w:val="24"/>
        </w:rPr>
        <w:t xml:space="preserve"> </w:t>
      </w:r>
      <w:r w:rsidR="00FA1AAA" w:rsidRPr="00626B6D">
        <w:rPr>
          <w:rFonts w:asciiTheme="minorHAnsi" w:hAnsiTheme="minorHAnsi" w:cstheme="minorHAnsi"/>
          <w:sz w:val="24"/>
        </w:rPr>
        <w:t xml:space="preserve">celkových </w:t>
      </w:r>
      <w:r w:rsidR="00EB394C" w:rsidRPr="00626B6D">
        <w:rPr>
          <w:rFonts w:asciiTheme="minorHAnsi" w:hAnsiTheme="minorHAnsi" w:cstheme="minorHAnsi"/>
          <w:sz w:val="24"/>
        </w:rPr>
        <w:t>výdajů spojených se správou SFRB</w:t>
      </w:r>
      <w:r w:rsidR="00FA1AAA" w:rsidRPr="00626B6D">
        <w:rPr>
          <w:rFonts w:asciiTheme="minorHAnsi" w:hAnsiTheme="minorHAnsi" w:cstheme="minorHAnsi"/>
          <w:sz w:val="24"/>
        </w:rPr>
        <w:t xml:space="preserve"> </w:t>
      </w:r>
      <w:r w:rsidR="009805E4" w:rsidRPr="00626B6D">
        <w:rPr>
          <w:rFonts w:asciiTheme="minorHAnsi" w:hAnsiTheme="minorHAnsi" w:cstheme="minorHAnsi"/>
          <w:sz w:val="24"/>
        </w:rPr>
        <w:t>(</w:t>
      </w:r>
      <w:r w:rsidR="00FA1AAA" w:rsidRPr="00626B6D">
        <w:rPr>
          <w:rFonts w:asciiTheme="minorHAnsi" w:hAnsiTheme="minorHAnsi" w:cstheme="minorHAnsi"/>
          <w:sz w:val="24"/>
        </w:rPr>
        <w:t>ve výši 720,57 mil. Kč</w:t>
      </w:r>
      <w:r w:rsidR="009805E4" w:rsidRPr="00626B6D">
        <w:rPr>
          <w:rFonts w:asciiTheme="minorHAnsi" w:hAnsiTheme="minorHAnsi" w:cstheme="minorHAnsi"/>
          <w:sz w:val="24"/>
        </w:rPr>
        <w:t>)</w:t>
      </w:r>
      <w:r w:rsidR="00FA1AAA" w:rsidRPr="00626B6D">
        <w:rPr>
          <w:rFonts w:asciiTheme="minorHAnsi" w:hAnsiTheme="minorHAnsi" w:cstheme="minorHAnsi"/>
          <w:sz w:val="24"/>
        </w:rPr>
        <w:t>.</w:t>
      </w:r>
      <w:r w:rsidR="00507219" w:rsidRPr="00626B6D">
        <w:rPr>
          <w:rFonts w:asciiTheme="minorHAnsi" w:hAnsiTheme="minorHAnsi" w:cstheme="minorHAnsi"/>
          <w:sz w:val="24"/>
        </w:rPr>
        <w:t xml:space="preserve"> </w:t>
      </w:r>
      <w:r w:rsidR="00525424" w:rsidRPr="00626B6D">
        <w:rPr>
          <w:rFonts w:asciiTheme="minorHAnsi" w:hAnsiTheme="minorHAnsi" w:cstheme="minorHAnsi"/>
          <w:sz w:val="24"/>
        </w:rPr>
        <w:t>Z</w:t>
      </w:r>
      <w:r w:rsidR="006C0225">
        <w:rPr>
          <w:rFonts w:asciiTheme="minorHAnsi" w:hAnsiTheme="minorHAnsi" w:cstheme="minorHAnsi"/>
          <w:sz w:val="24"/>
        </w:rPr>
        <w:t xml:space="preserve"> </w:t>
      </w:r>
      <w:r w:rsidR="00525424" w:rsidRPr="00626B6D">
        <w:rPr>
          <w:rFonts w:asciiTheme="minorHAnsi" w:hAnsiTheme="minorHAnsi" w:cstheme="minorHAnsi"/>
          <w:sz w:val="24"/>
        </w:rPr>
        <w:t>toho c</w:t>
      </w:r>
      <w:r w:rsidR="009805E4" w:rsidRPr="00626B6D">
        <w:rPr>
          <w:rFonts w:asciiTheme="minorHAnsi" w:hAnsiTheme="minorHAnsi" w:cstheme="minorHAnsi"/>
          <w:sz w:val="24"/>
        </w:rPr>
        <w:t>elk</w:t>
      </w:r>
      <w:r w:rsidR="00525424" w:rsidRPr="00626B6D">
        <w:rPr>
          <w:rFonts w:asciiTheme="minorHAnsi" w:hAnsiTheme="minorHAnsi" w:cstheme="minorHAnsi"/>
          <w:sz w:val="24"/>
        </w:rPr>
        <w:t xml:space="preserve">em 455,07 mil. Kč získala </w:t>
      </w:r>
      <w:r w:rsidR="009805E4" w:rsidRPr="00626B6D">
        <w:rPr>
          <w:rFonts w:asciiTheme="minorHAnsi" w:hAnsiTheme="minorHAnsi" w:cstheme="minorHAnsi"/>
          <w:sz w:val="24"/>
        </w:rPr>
        <w:t>banka</w:t>
      </w:r>
      <w:r w:rsidR="00525424" w:rsidRPr="00626B6D">
        <w:rPr>
          <w:rFonts w:asciiTheme="minorHAnsi" w:hAnsiTheme="minorHAnsi" w:cstheme="minorHAnsi"/>
          <w:sz w:val="24"/>
        </w:rPr>
        <w:t>, jejímž akcionářem je Česká republika</w:t>
      </w:r>
      <w:r w:rsidR="009805E4" w:rsidRPr="00626B6D">
        <w:rPr>
          <w:rFonts w:asciiTheme="minorHAnsi" w:hAnsiTheme="minorHAnsi" w:cstheme="minorHAnsi"/>
          <w:sz w:val="24"/>
        </w:rPr>
        <w:t xml:space="preserve">. </w:t>
      </w:r>
      <w:r w:rsidR="00507219" w:rsidRPr="00626B6D">
        <w:rPr>
          <w:rFonts w:asciiTheme="minorHAnsi" w:hAnsiTheme="minorHAnsi" w:cstheme="minorHAnsi"/>
          <w:sz w:val="24"/>
        </w:rPr>
        <w:t>Výdaje se týkaly zejména zpracování žádostí, správy</w:t>
      </w:r>
      <w:r w:rsidR="00E62F5B" w:rsidRPr="00626B6D">
        <w:rPr>
          <w:rFonts w:asciiTheme="minorHAnsi" w:hAnsiTheme="minorHAnsi" w:cstheme="minorHAnsi"/>
          <w:sz w:val="24"/>
        </w:rPr>
        <w:t xml:space="preserve"> portfolia uzavřených smluv pro klienty, vedení účetnictví, výkaznictví a statistiky o podpoře</w:t>
      </w:r>
      <w:r w:rsidR="00507219" w:rsidRPr="00626B6D">
        <w:rPr>
          <w:rFonts w:asciiTheme="minorHAnsi" w:hAnsiTheme="minorHAnsi" w:cstheme="minorHAnsi"/>
          <w:sz w:val="24"/>
        </w:rPr>
        <w:t>.</w:t>
      </w:r>
      <w:r w:rsidR="00981DDC" w:rsidRPr="00626B6D">
        <w:rPr>
          <w:rFonts w:asciiTheme="minorHAnsi" w:hAnsiTheme="minorHAnsi" w:cstheme="minorHAnsi"/>
          <w:sz w:val="24"/>
        </w:rPr>
        <w:t xml:space="preserve"> Přitom </w:t>
      </w:r>
      <w:r w:rsidR="00AA515F" w:rsidRPr="00626B6D">
        <w:rPr>
          <w:rFonts w:asciiTheme="minorHAnsi" w:hAnsiTheme="minorHAnsi" w:cstheme="minorHAnsi"/>
          <w:sz w:val="24"/>
        </w:rPr>
        <w:t xml:space="preserve">kromě </w:t>
      </w:r>
      <w:r w:rsidR="00AA515F" w:rsidRPr="00626B6D">
        <w:rPr>
          <w:rFonts w:asciiTheme="minorHAnsi" w:hAnsiTheme="minorHAnsi" w:cstheme="minorHAnsi"/>
          <w:sz w:val="24"/>
        </w:rPr>
        <w:lastRenderedPageBreak/>
        <w:t>sledování a analýz situace v</w:t>
      </w:r>
      <w:r w:rsidR="00214020">
        <w:rPr>
          <w:rFonts w:asciiTheme="minorHAnsi" w:hAnsiTheme="minorHAnsi" w:cstheme="minorHAnsi"/>
          <w:sz w:val="24"/>
        </w:rPr>
        <w:t> oblasti</w:t>
      </w:r>
      <w:r w:rsidR="006C0225">
        <w:rPr>
          <w:rFonts w:asciiTheme="minorHAnsi" w:hAnsiTheme="minorHAnsi" w:cstheme="minorHAnsi"/>
          <w:sz w:val="24"/>
        </w:rPr>
        <w:t xml:space="preserve"> </w:t>
      </w:r>
      <w:r w:rsidR="00AA515F" w:rsidRPr="00626B6D">
        <w:rPr>
          <w:rFonts w:asciiTheme="minorHAnsi" w:hAnsiTheme="minorHAnsi" w:cstheme="minorHAnsi"/>
          <w:sz w:val="24"/>
        </w:rPr>
        <w:t xml:space="preserve">bydlení je </w:t>
      </w:r>
      <w:r w:rsidR="00981DDC" w:rsidRPr="00626B6D">
        <w:rPr>
          <w:rFonts w:asciiTheme="minorHAnsi" w:hAnsiTheme="minorHAnsi" w:cstheme="minorHAnsi"/>
          <w:sz w:val="24"/>
        </w:rPr>
        <w:t xml:space="preserve">jediným důvodem zřízení </w:t>
      </w:r>
      <w:r w:rsidR="00AA515F" w:rsidRPr="00626B6D">
        <w:rPr>
          <w:rFonts w:asciiTheme="minorHAnsi" w:hAnsiTheme="minorHAnsi" w:cstheme="minorHAnsi"/>
          <w:sz w:val="24"/>
        </w:rPr>
        <w:t xml:space="preserve">a posláním </w:t>
      </w:r>
      <w:r w:rsidR="00AA51ED" w:rsidRPr="00626B6D">
        <w:rPr>
          <w:rFonts w:asciiTheme="minorHAnsi" w:hAnsiTheme="minorHAnsi" w:cstheme="minorHAnsi"/>
          <w:sz w:val="24"/>
        </w:rPr>
        <w:t>SFRB</w:t>
      </w:r>
      <w:r w:rsidR="00AA515F" w:rsidRPr="00626B6D">
        <w:rPr>
          <w:rFonts w:asciiTheme="minorHAnsi" w:hAnsiTheme="minorHAnsi" w:cstheme="minorHAnsi"/>
          <w:sz w:val="24"/>
        </w:rPr>
        <w:t xml:space="preserve"> </w:t>
      </w:r>
      <w:r w:rsidR="00981DDC" w:rsidRPr="00626B6D">
        <w:rPr>
          <w:rFonts w:asciiTheme="minorHAnsi" w:hAnsiTheme="minorHAnsi" w:cstheme="minorHAnsi"/>
          <w:sz w:val="24"/>
        </w:rPr>
        <w:t>poskytování podpor bydlení</w:t>
      </w:r>
      <w:r w:rsidR="00AA515F" w:rsidRPr="00626B6D">
        <w:rPr>
          <w:rFonts w:asciiTheme="minorHAnsi" w:hAnsiTheme="minorHAnsi" w:cstheme="minorHAnsi"/>
          <w:sz w:val="24"/>
        </w:rPr>
        <w:t>.</w:t>
      </w:r>
    </w:p>
    <w:p w14:paraId="04ACE1D3" w14:textId="77777777" w:rsidR="00994880" w:rsidRPr="00AD0DAE" w:rsidRDefault="00994880" w:rsidP="007A03A5">
      <w:pPr>
        <w:rPr>
          <w:rFonts w:asciiTheme="minorHAnsi" w:hAnsiTheme="minorHAnsi" w:cstheme="minorHAnsi"/>
          <w:szCs w:val="22"/>
        </w:rPr>
      </w:pPr>
    </w:p>
    <w:p w14:paraId="77600323" w14:textId="19A118CF" w:rsidR="00331111" w:rsidRPr="00626B6D" w:rsidRDefault="00283E43" w:rsidP="007A03A5">
      <w:pPr>
        <w:rPr>
          <w:rFonts w:ascii="Calibri" w:hAnsi="Calibri" w:cs="Calibri"/>
          <w:sz w:val="24"/>
        </w:rPr>
      </w:pPr>
      <w:r w:rsidRPr="00626B6D">
        <w:rPr>
          <w:rFonts w:asciiTheme="minorHAnsi" w:hAnsiTheme="minorHAnsi" w:cstheme="minorHAnsi"/>
          <w:b/>
          <w:sz w:val="24"/>
        </w:rPr>
        <w:t>8</w:t>
      </w:r>
      <w:r w:rsidR="00FE4EF6" w:rsidRPr="00626B6D">
        <w:rPr>
          <w:rFonts w:asciiTheme="minorHAnsi" w:hAnsiTheme="minorHAnsi" w:cstheme="minorHAnsi"/>
          <w:b/>
          <w:sz w:val="24"/>
        </w:rPr>
        <w:t>.</w:t>
      </w:r>
      <w:r w:rsidR="00FE4EF6" w:rsidRPr="00626B6D">
        <w:rPr>
          <w:rFonts w:asciiTheme="minorHAnsi" w:hAnsiTheme="minorHAnsi" w:cstheme="minorHAnsi"/>
          <w:sz w:val="24"/>
        </w:rPr>
        <w:t xml:space="preserve"> </w:t>
      </w:r>
      <w:r w:rsidR="00742928" w:rsidRPr="00626B6D">
        <w:rPr>
          <w:rFonts w:asciiTheme="minorHAnsi" w:hAnsiTheme="minorHAnsi" w:cstheme="minorHAnsi"/>
          <w:sz w:val="24"/>
        </w:rPr>
        <w:t xml:space="preserve">Kontrolou </w:t>
      </w:r>
      <w:r w:rsidR="002811E2" w:rsidRPr="00626B6D">
        <w:rPr>
          <w:rFonts w:asciiTheme="minorHAnsi" w:hAnsiTheme="minorHAnsi" w:cstheme="minorHAnsi"/>
          <w:sz w:val="24"/>
        </w:rPr>
        <w:t xml:space="preserve">u příjemců dotací bylo prověřeno devět </w:t>
      </w:r>
      <w:r w:rsidR="00002DA7" w:rsidRPr="00626B6D">
        <w:rPr>
          <w:rFonts w:asciiTheme="minorHAnsi" w:hAnsiTheme="minorHAnsi" w:cstheme="minorHAnsi"/>
          <w:sz w:val="24"/>
        </w:rPr>
        <w:t xml:space="preserve">ukončených </w:t>
      </w:r>
      <w:r w:rsidR="002811E2" w:rsidRPr="00626B6D">
        <w:rPr>
          <w:rFonts w:asciiTheme="minorHAnsi" w:hAnsiTheme="minorHAnsi" w:cstheme="minorHAnsi"/>
          <w:sz w:val="24"/>
        </w:rPr>
        <w:t>akcí</w:t>
      </w:r>
      <w:r w:rsidR="00002DA7" w:rsidRPr="00626B6D">
        <w:rPr>
          <w:rFonts w:asciiTheme="minorHAnsi" w:hAnsiTheme="minorHAnsi" w:cstheme="minorHAnsi"/>
          <w:sz w:val="24"/>
        </w:rPr>
        <w:t xml:space="preserve"> </w:t>
      </w:r>
      <w:r w:rsidR="006B6FCA" w:rsidRPr="00626B6D">
        <w:rPr>
          <w:rFonts w:asciiTheme="minorHAnsi" w:hAnsiTheme="minorHAnsi" w:cstheme="minorHAnsi"/>
          <w:sz w:val="24"/>
        </w:rPr>
        <w:t>podpořených z</w:t>
      </w:r>
      <w:r w:rsidR="00490608">
        <w:rPr>
          <w:rFonts w:asciiTheme="minorHAnsi" w:hAnsiTheme="minorHAnsi" w:cstheme="minorHAnsi"/>
          <w:sz w:val="24"/>
        </w:rPr>
        <w:t> </w:t>
      </w:r>
      <w:r w:rsidR="006B6FCA" w:rsidRPr="00626B6D">
        <w:rPr>
          <w:rFonts w:asciiTheme="minorHAnsi" w:hAnsiTheme="minorHAnsi" w:cstheme="minorHAnsi"/>
          <w:sz w:val="24"/>
        </w:rPr>
        <w:t>programu 117</w:t>
      </w:r>
      <w:r w:rsidR="006C0225">
        <w:rPr>
          <w:rFonts w:asciiTheme="minorHAnsi" w:hAnsiTheme="minorHAnsi" w:cstheme="minorHAnsi"/>
          <w:sz w:val="24"/>
        </w:rPr>
        <w:t xml:space="preserve"> </w:t>
      </w:r>
      <w:r w:rsidR="006B6FCA" w:rsidRPr="00626B6D">
        <w:rPr>
          <w:rFonts w:asciiTheme="minorHAnsi" w:hAnsiTheme="minorHAnsi" w:cstheme="minorHAnsi"/>
          <w:sz w:val="24"/>
        </w:rPr>
        <w:t>510</w:t>
      </w:r>
      <w:r w:rsidR="0043488B">
        <w:rPr>
          <w:rFonts w:asciiTheme="minorHAnsi" w:hAnsiTheme="minorHAnsi" w:cstheme="minorHAnsi"/>
          <w:sz w:val="24"/>
        </w:rPr>
        <w:t> –</w:t>
      </w:r>
      <w:r w:rsidR="006B6FCA" w:rsidRPr="00626B6D">
        <w:rPr>
          <w:rFonts w:asciiTheme="minorHAnsi" w:hAnsiTheme="minorHAnsi" w:cstheme="minorHAnsi"/>
          <w:sz w:val="24"/>
        </w:rPr>
        <w:t xml:space="preserve"> </w:t>
      </w:r>
      <w:r w:rsidR="006B6FCA" w:rsidRPr="00E819ED">
        <w:rPr>
          <w:rFonts w:asciiTheme="minorHAnsi" w:hAnsiTheme="minorHAnsi" w:cstheme="minorHAnsi"/>
          <w:i/>
          <w:sz w:val="24"/>
        </w:rPr>
        <w:t>Podpora bydlení</w:t>
      </w:r>
      <w:r w:rsidR="006B6FCA" w:rsidRPr="00626B6D">
        <w:rPr>
          <w:rFonts w:asciiTheme="minorHAnsi" w:hAnsiTheme="minorHAnsi" w:cstheme="minorHAnsi"/>
          <w:sz w:val="24"/>
        </w:rPr>
        <w:t xml:space="preserve">, </w:t>
      </w:r>
      <w:r w:rsidR="00214020">
        <w:rPr>
          <w:rFonts w:asciiTheme="minorHAnsi" w:hAnsiTheme="minorHAnsi" w:cstheme="minorHAnsi"/>
          <w:sz w:val="24"/>
        </w:rPr>
        <w:t xml:space="preserve">resp. </w:t>
      </w:r>
      <w:r w:rsidR="006B6FCA" w:rsidRPr="00626B6D">
        <w:rPr>
          <w:rFonts w:asciiTheme="minorHAnsi" w:hAnsiTheme="minorHAnsi" w:cstheme="minorHAnsi"/>
          <w:sz w:val="24"/>
        </w:rPr>
        <w:t>podprogramu 11</w:t>
      </w:r>
      <w:r w:rsidR="00D42B0A" w:rsidRPr="00626B6D">
        <w:rPr>
          <w:rFonts w:asciiTheme="minorHAnsi" w:hAnsiTheme="minorHAnsi" w:cstheme="minorHAnsi"/>
          <w:sz w:val="24"/>
        </w:rPr>
        <w:t>7</w:t>
      </w:r>
      <w:r w:rsidR="00EE26C9">
        <w:rPr>
          <w:rFonts w:asciiTheme="minorHAnsi" w:hAnsiTheme="minorHAnsi" w:cstheme="minorHAnsi"/>
          <w:sz w:val="24"/>
        </w:rPr>
        <w:t> </w:t>
      </w:r>
      <w:r w:rsidR="006B6FCA" w:rsidRPr="00626B6D">
        <w:rPr>
          <w:rFonts w:asciiTheme="minorHAnsi" w:hAnsiTheme="minorHAnsi" w:cstheme="minorHAnsi"/>
          <w:sz w:val="24"/>
        </w:rPr>
        <w:t>514</w:t>
      </w:r>
      <w:r w:rsidR="0043488B">
        <w:rPr>
          <w:rFonts w:asciiTheme="minorHAnsi" w:hAnsiTheme="minorHAnsi" w:cstheme="minorHAnsi"/>
          <w:sz w:val="24"/>
        </w:rPr>
        <w:t> –</w:t>
      </w:r>
      <w:r w:rsidR="006B6FCA" w:rsidRPr="00626B6D">
        <w:rPr>
          <w:rFonts w:asciiTheme="minorHAnsi" w:hAnsiTheme="minorHAnsi" w:cstheme="minorHAnsi"/>
          <w:sz w:val="24"/>
        </w:rPr>
        <w:t xml:space="preserve"> </w:t>
      </w:r>
      <w:r w:rsidR="006B6FCA" w:rsidRPr="00E819ED">
        <w:rPr>
          <w:rFonts w:asciiTheme="minorHAnsi" w:hAnsiTheme="minorHAnsi" w:cstheme="minorHAnsi"/>
          <w:i/>
          <w:sz w:val="24"/>
        </w:rPr>
        <w:t>Podpora výstavby podporovaných bytů</w:t>
      </w:r>
      <w:r w:rsidR="00214020">
        <w:rPr>
          <w:rFonts w:asciiTheme="minorHAnsi" w:hAnsiTheme="minorHAnsi" w:cstheme="minorHAnsi"/>
          <w:sz w:val="24"/>
        </w:rPr>
        <w:t>.</w:t>
      </w:r>
      <w:r w:rsidR="00002DA7" w:rsidRPr="00626B6D">
        <w:rPr>
          <w:rFonts w:asciiTheme="minorHAnsi" w:hAnsiTheme="minorHAnsi" w:cstheme="minorHAnsi"/>
          <w:sz w:val="24"/>
        </w:rPr>
        <w:t xml:space="preserve"> </w:t>
      </w:r>
      <w:r w:rsidR="00214020">
        <w:rPr>
          <w:rFonts w:asciiTheme="minorHAnsi" w:hAnsiTheme="minorHAnsi" w:cstheme="minorHAnsi"/>
          <w:sz w:val="24"/>
        </w:rPr>
        <w:t>V rámci těchto akcí</w:t>
      </w:r>
      <w:r w:rsidR="00002DA7" w:rsidRPr="00626B6D">
        <w:rPr>
          <w:rFonts w:asciiTheme="minorHAnsi" w:hAnsiTheme="minorHAnsi" w:cstheme="minorHAnsi"/>
          <w:sz w:val="24"/>
        </w:rPr>
        <w:t xml:space="preserve"> poskytlo</w:t>
      </w:r>
      <w:r w:rsidR="00214020" w:rsidRPr="00214020">
        <w:rPr>
          <w:rFonts w:asciiTheme="minorHAnsi" w:hAnsiTheme="minorHAnsi" w:cstheme="minorHAnsi"/>
          <w:sz w:val="24"/>
        </w:rPr>
        <w:t xml:space="preserve"> </w:t>
      </w:r>
      <w:r w:rsidR="00214020" w:rsidRPr="00626B6D">
        <w:rPr>
          <w:rFonts w:asciiTheme="minorHAnsi" w:hAnsiTheme="minorHAnsi" w:cstheme="minorHAnsi"/>
          <w:sz w:val="24"/>
        </w:rPr>
        <w:t>MMR</w:t>
      </w:r>
      <w:r w:rsidR="00002DA7" w:rsidRPr="00626B6D">
        <w:rPr>
          <w:rFonts w:asciiTheme="minorHAnsi" w:hAnsiTheme="minorHAnsi" w:cstheme="minorHAnsi"/>
          <w:sz w:val="24"/>
        </w:rPr>
        <w:t xml:space="preserve"> dotace v</w:t>
      </w:r>
      <w:r w:rsidR="006C0225">
        <w:rPr>
          <w:rFonts w:asciiTheme="minorHAnsi" w:hAnsiTheme="minorHAnsi" w:cstheme="minorHAnsi"/>
          <w:sz w:val="24"/>
        </w:rPr>
        <w:t xml:space="preserve"> </w:t>
      </w:r>
      <w:r w:rsidR="00002DA7" w:rsidRPr="00626B6D">
        <w:rPr>
          <w:rFonts w:asciiTheme="minorHAnsi" w:hAnsiTheme="minorHAnsi" w:cstheme="minorHAnsi"/>
          <w:sz w:val="24"/>
        </w:rPr>
        <w:t>celkové výši 41,48 mil. Kč</w:t>
      </w:r>
      <w:r w:rsidR="007229B3" w:rsidRPr="00626B6D">
        <w:rPr>
          <w:rFonts w:asciiTheme="minorHAnsi" w:hAnsiTheme="minorHAnsi" w:cstheme="minorHAnsi"/>
          <w:sz w:val="24"/>
        </w:rPr>
        <w:t xml:space="preserve"> na 71</w:t>
      </w:r>
      <w:r w:rsidR="001F35A9" w:rsidRPr="00626B6D">
        <w:rPr>
          <w:rFonts w:asciiTheme="minorHAnsi" w:hAnsiTheme="minorHAnsi" w:cstheme="minorHAnsi"/>
          <w:sz w:val="24"/>
        </w:rPr>
        <w:t xml:space="preserve"> bytů, z</w:t>
      </w:r>
      <w:r w:rsidR="006C0225">
        <w:rPr>
          <w:rFonts w:asciiTheme="minorHAnsi" w:hAnsiTheme="minorHAnsi" w:cstheme="minorHAnsi"/>
          <w:sz w:val="24"/>
        </w:rPr>
        <w:t xml:space="preserve"> </w:t>
      </w:r>
      <w:r w:rsidR="001F35A9" w:rsidRPr="00626B6D">
        <w:rPr>
          <w:rFonts w:asciiTheme="minorHAnsi" w:hAnsiTheme="minorHAnsi" w:cstheme="minorHAnsi"/>
          <w:sz w:val="24"/>
        </w:rPr>
        <w:t xml:space="preserve">toho </w:t>
      </w:r>
      <w:r w:rsidR="007229B3" w:rsidRPr="00626B6D">
        <w:rPr>
          <w:rFonts w:asciiTheme="minorHAnsi" w:hAnsiTheme="minorHAnsi" w:cstheme="minorHAnsi"/>
          <w:sz w:val="24"/>
        </w:rPr>
        <w:t>bylo 16</w:t>
      </w:r>
      <w:r w:rsidR="001F35A9" w:rsidRPr="00626B6D">
        <w:rPr>
          <w:rFonts w:asciiTheme="minorHAnsi" w:hAnsiTheme="minorHAnsi" w:cstheme="minorHAnsi"/>
          <w:sz w:val="24"/>
        </w:rPr>
        <w:t xml:space="preserve"> vstupních</w:t>
      </w:r>
      <w:r w:rsidR="007229B3" w:rsidRPr="00626B6D">
        <w:rPr>
          <w:rFonts w:asciiTheme="minorHAnsi" w:hAnsiTheme="minorHAnsi" w:cstheme="minorHAnsi"/>
          <w:sz w:val="24"/>
        </w:rPr>
        <w:t xml:space="preserve"> bytů (určený</w:t>
      </w:r>
      <w:r w:rsidR="0004659F" w:rsidRPr="00626B6D">
        <w:rPr>
          <w:rFonts w:asciiTheme="minorHAnsi" w:hAnsiTheme="minorHAnsi" w:cstheme="minorHAnsi"/>
          <w:sz w:val="24"/>
        </w:rPr>
        <w:t>ch pro osoby s</w:t>
      </w:r>
      <w:r w:rsidR="006C0225">
        <w:rPr>
          <w:rFonts w:asciiTheme="minorHAnsi" w:hAnsiTheme="minorHAnsi" w:cstheme="minorHAnsi"/>
          <w:sz w:val="24"/>
        </w:rPr>
        <w:t xml:space="preserve"> </w:t>
      </w:r>
      <w:r w:rsidR="0004659F" w:rsidRPr="00626B6D">
        <w:rPr>
          <w:rFonts w:asciiTheme="minorHAnsi" w:hAnsiTheme="minorHAnsi" w:cstheme="minorHAnsi"/>
          <w:sz w:val="24"/>
        </w:rPr>
        <w:t>nízkými příjmy, po</w:t>
      </w:r>
      <w:r w:rsidR="006C0225">
        <w:rPr>
          <w:rFonts w:asciiTheme="minorHAnsi" w:hAnsiTheme="minorHAnsi" w:cstheme="minorHAnsi"/>
          <w:sz w:val="24"/>
        </w:rPr>
        <w:t xml:space="preserve"> </w:t>
      </w:r>
      <w:r w:rsidR="007229B3" w:rsidRPr="00626B6D">
        <w:rPr>
          <w:rFonts w:asciiTheme="minorHAnsi" w:hAnsiTheme="minorHAnsi" w:cstheme="minorHAnsi"/>
          <w:sz w:val="24"/>
        </w:rPr>
        <w:t xml:space="preserve">výkonu trestu, </w:t>
      </w:r>
      <w:r w:rsidR="0004659F" w:rsidRPr="00626B6D">
        <w:rPr>
          <w:rFonts w:asciiTheme="minorHAnsi" w:hAnsiTheme="minorHAnsi" w:cstheme="minorHAnsi"/>
          <w:sz w:val="24"/>
        </w:rPr>
        <w:t xml:space="preserve">po odchodu </w:t>
      </w:r>
      <w:r w:rsidR="007229B3" w:rsidRPr="00626B6D">
        <w:rPr>
          <w:rFonts w:asciiTheme="minorHAnsi" w:hAnsiTheme="minorHAnsi" w:cstheme="minorHAnsi"/>
          <w:sz w:val="24"/>
        </w:rPr>
        <w:t>z</w:t>
      </w:r>
      <w:r w:rsidR="006C0225">
        <w:rPr>
          <w:rFonts w:asciiTheme="minorHAnsi" w:hAnsiTheme="minorHAnsi" w:cstheme="minorHAnsi"/>
          <w:sz w:val="24"/>
        </w:rPr>
        <w:t xml:space="preserve"> </w:t>
      </w:r>
      <w:r w:rsidR="007229B3" w:rsidRPr="00626B6D">
        <w:rPr>
          <w:rFonts w:asciiTheme="minorHAnsi" w:hAnsiTheme="minorHAnsi" w:cstheme="minorHAnsi"/>
          <w:sz w:val="24"/>
        </w:rPr>
        <w:t xml:space="preserve">výchovných zařízení, </w:t>
      </w:r>
      <w:r w:rsidR="0004659F" w:rsidRPr="00626B6D">
        <w:rPr>
          <w:rFonts w:asciiTheme="minorHAnsi" w:hAnsiTheme="minorHAnsi" w:cstheme="minorHAnsi"/>
          <w:sz w:val="24"/>
        </w:rPr>
        <w:t xml:space="preserve">z </w:t>
      </w:r>
      <w:r w:rsidR="007229B3" w:rsidRPr="00626B6D">
        <w:rPr>
          <w:rFonts w:asciiTheme="minorHAnsi" w:hAnsiTheme="minorHAnsi" w:cstheme="minorHAnsi"/>
          <w:sz w:val="24"/>
        </w:rPr>
        <w:t>ústavů sociáln</w:t>
      </w:r>
      <w:r w:rsidR="008E7814">
        <w:rPr>
          <w:rFonts w:asciiTheme="minorHAnsi" w:hAnsiTheme="minorHAnsi" w:cstheme="minorHAnsi"/>
          <w:sz w:val="24"/>
        </w:rPr>
        <w:t>í péče, azylových domů apod.) a</w:t>
      </w:r>
      <w:r w:rsidR="00490608">
        <w:rPr>
          <w:rFonts w:asciiTheme="minorHAnsi" w:hAnsiTheme="minorHAnsi" w:cstheme="minorHAnsi"/>
          <w:sz w:val="24"/>
        </w:rPr>
        <w:t> </w:t>
      </w:r>
      <w:r w:rsidR="007229B3" w:rsidRPr="00626B6D">
        <w:rPr>
          <w:rFonts w:asciiTheme="minorHAnsi" w:hAnsiTheme="minorHAnsi" w:cstheme="minorHAnsi"/>
          <w:sz w:val="24"/>
        </w:rPr>
        <w:t>55</w:t>
      </w:r>
      <w:r w:rsidR="00490608">
        <w:rPr>
          <w:rFonts w:asciiTheme="minorHAnsi" w:hAnsiTheme="minorHAnsi" w:cstheme="minorHAnsi"/>
          <w:sz w:val="24"/>
        </w:rPr>
        <w:t> </w:t>
      </w:r>
      <w:r w:rsidR="001F35A9" w:rsidRPr="00626B6D">
        <w:rPr>
          <w:rFonts w:asciiTheme="minorHAnsi" w:hAnsiTheme="minorHAnsi" w:cstheme="minorHAnsi"/>
          <w:sz w:val="24"/>
        </w:rPr>
        <w:t>pečovatelských</w:t>
      </w:r>
      <w:r w:rsidR="007229B3" w:rsidRPr="00626B6D">
        <w:rPr>
          <w:rFonts w:asciiTheme="minorHAnsi" w:hAnsiTheme="minorHAnsi" w:cstheme="minorHAnsi"/>
          <w:sz w:val="24"/>
        </w:rPr>
        <w:t xml:space="preserve"> bytů (určených pro osoby se sníženou s</w:t>
      </w:r>
      <w:r w:rsidR="008E7814">
        <w:rPr>
          <w:rFonts w:asciiTheme="minorHAnsi" w:hAnsiTheme="minorHAnsi" w:cstheme="minorHAnsi"/>
          <w:sz w:val="24"/>
        </w:rPr>
        <w:t>oběstačností způsobenou věkem a</w:t>
      </w:r>
      <w:r w:rsidR="006C0225">
        <w:rPr>
          <w:rFonts w:asciiTheme="minorHAnsi" w:hAnsiTheme="minorHAnsi" w:cstheme="minorHAnsi"/>
          <w:sz w:val="24"/>
        </w:rPr>
        <w:t xml:space="preserve"> </w:t>
      </w:r>
      <w:r w:rsidR="007229B3" w:rsidRPr="00626B6D">
        <w:rPr>
          <w:rFonts w:asciiTheme="minorHAnsi" w:hAnsiTheme="minorHAnsi" w:cstheme="minorHAnsi"/>
          <w:sz w:val="24"/>
        </w:rPr>
        <w:t>zdravotním stavem</w:t>
      </w:r>
      <w:r w:rsidR="00997EC3" w:rsidRPr="00626B6D">
        <w:rPr>
          <w:rFonts w:asciiTheme="minorHAnsi" w:hAnsiTheme="minorHAnsi" w:cstheme="minorHAnsi"/>
          <w:sz w:val="24"/>
        </w:rPr>
        <w:t>)</w:t>
      </w:r>
      <w:r w:rsidR="001F35A9" w:rsidRPr="00626B6D">
        <w:rPr>
          <w:rFonts w:asciiTheme="minorHAnsi" w:hAnsiTheme="minorHAnsi" w:cstheme="minorHAnsi"/>
          <w:sz w:val="24"/>
        </w:rPr>
        <w:t>.</w:t>
      </w:r>
      <w:r w:rsidR="00997EC3" w:rsidRPr="00626B6D">
        <w:rPr>
          <w:rFonts w:asciiTheme="minorHAnsi" w:hAnsiTheme="minorHAnsi" w:cstheme="minorHAnsi"/>
          <w:sz w:val="24"/>
        </w:rPr>
        <w:t xml:space="preserve"> </w:t>
      </w:r>
      <w:r w:rsidR="00FA380B" w:rsidRPr="00626B6D">
        <w:rPr>
          <w:rFonts w:ascii="Calibri" w:hAnsi="Calibri" w:cs="Calibri"/>
          <w:bCs/>
          <w:sz w:val="24"/>
        </w:rPr>
        <w:t>U</w:t>
      </w:r>
      <w:r w:rsidR="006C0225">
        <w:rPr>
          <w:rFonts w:ascii="Calibri" w:hAnsi="Calibri" w:cs="Calibri"/>
          <w:bCs/>
          <w:sz w:val="24"/>
        </w:rPr>
        <w:t xml:space="preserve"> </w:t>
      </w:r>
      <w:r w:rsidR="00FA380B" w:rsidRPr="00626B6D">
        <w:rPr>
          <w:rFonts w:ascii="Calibri" w:hAnsi="Calibri" w:cs="Calibri"/>
          <w:bCs/>
          <w:sz w:val="24"/>
        </w:rPr>
        <w:t xml:space="preserve">šesti akcí, </w:t>
      </w:r>
      <w:r w:rsidR="0043488B">
        <w:rPr>
          <w:rFonts w:ascii="Calibri" w:hAnsi="Calibri" w:cs="Calibri"/>
          <w:bCs/>
          <w:sz w:val="24"/>
        </w:rPr>
        <w:t>v jejichž rámci</w:t>
      </w:r>
      <w:r w:rsidR="00FA380B" w:rsidRPr="00626B6D">
        <w:rPr>
          <w:rFonts w:ascii="Calibri" w:hAnsi="Calibri" w:cs="Calibri"/>
          <w:bCs/>
          <w:sz w:val="24"/>
        </w:rPr>
        <w:t xml:space="preserve"> byly postaveny nové pečovatelské byty, se </w:t>
      </w:r>
      <w:r w:rsidR="005A0FC0" w:rsidRPr="00626B6D">
        <w:rPr>
          <w:rFonts w:ascii="Calibri" w:hAnsi="Calibri" w:cs="Calibri"/>
          <w:bCs/>
          <w:sz w:val="24"/>
        </w:rPr>
        <w:t xml:space="preserve">celkové </w:t>
      </w:r>
      <w:r w:rsidR="00FA380B" w:rsidRPr="00626B6D">
        <w:rPr>
          <w:rFonts w:ascii="Calibri" w:hAnsi="Calibri" w:cs="Calibri"/>
          <w:bCs/>
          <w:sz w:val="24"/>
        </w:rPr>
        <w:t>ceny jedné bytové jednotky pohybovaly v</w:t>
      </w:r>
      <w:r w:rsidR="006C0225">
        <w:rPr>
          <w:rFonts w:ascii="Calibri" w:hAnsi="Calibri" w:cs="Calibri"/>
          <w:bCs/>
          <w:sz w:val="24"/>
        </w:rPr>
        <w:t xml:space="preserve"> </w:t>
      </w:r>
      <w:r w:rsidR="00FA380B" w:rsidRPr="00626B6D">
        <w:rPr>
          <w:rFonts w:ascii="Calibri" w:hAnsi="Calibri" w:cs="Calibri"/>
          <w:bCs/>
          <w:sz w:val="24"/>
        </w:rPr>
        <w:t>rozmezí od 740</w:t>
      </w:r>
      <w:r w:rsidR="00214020">
        <w:rPr>
          <w:rFonts w:ascii="Calibri" w:hAnsi="Calibri" w:cs="Calibri"/>
          <w:bCs/>
          <w:sz w:val="24"/>
        </w:rPr>
        <w:t> tis. </w:t>
      </w:r>
      <w:r w:rsidR="00FA380B" w:rsidRPr="00626B6D">
        <w:rPr>
          <w:rFonts w:ascii="Calibri" w:hAnsi="Calibri" w:cs="Calibri"/>
          <w:bCs/>
          <w:sz w:val="24"/>
        </w:rPr>
        <w:t>Kč do 1,6 mil. Kč. Rozdíly byly způsobeny</w:t>
      </w:r>
      <w:r w:rsidR="00214020" w:rsidRPr="00214020">
        <w:rPr>
          <w:rFonts w:ascii="Calibri" w:hAnsi="Calibri" w:cs="Calibri"/>
          <w:bCs/>
          <w:sz w:val="24"/>
        </w:rPr>
        <w:t xml:space="preserve"> </w:t>
      </w:r>
      <w:r w:rsidR="00214020" w:rsidRPr="00626B6D">
        <w:rPr>
          <w:rFonts w:ascii="Calibri" w:hAnsi="Calibri" w:cs="Calibri"/>
          <w:bCs/>
          <w:sz w:val="24"/>
        </w:rPr>
        <w:t>převážně</w:t>
      </w:r>
      <w:r w:rsidR="00FA380B" w:rsidRPr="00626B6D">
        <w:rPr>
          <w:rFonts w:ascii="Calibri" w:hAnsi="Calibri" w:cs="Calibri"/>
          <w:bCs/>
          <w:sz w:val="24"/>
        </w:rPr>
        <w:t xml:space="preserve"> </w:t>
      </w:r>
      <w:r w:rsidR="005A0FC0" w:rsidRPr="00626B6D">
        <w:rPr>
          <w:rFonts w:ascii="Calibri" w:hAnsi="Calibri" w:cs="Calibri"/>
          <w:bCs/>
          <w:sz w:val="24"/>
        </w:rPr>
        <w:t>projektovým a</w:t>
      </w:r>
      <w:r w:rsidR="00214020">
        <w:rPr>
          <w:rFonts w:ascii="Calibri" w:hAnsi="Calibri" w:cs="Calibri"/>
          <w:bCs/>
          <w:sz w:val="24"/>
        </w:rPr>
        <w:t> </w:t>
      </w:r>
      <w:r w:rsidR="00FA380B" w:rsidRPr="00626B6D">
        <w:rPr>
          <w:rFonts w:ascii="Calibri" w:hAnsi="Calibri" w:cs="Calibri"/>
          <w:bCs/>
          <w:sz w:val="24"/>
        </w:rPr>
        <w:t>technickým řešením</w:t>
      </w:r>
      <w:r w:rsidR="005A0FC0" w:rsidRPr="00626B6D">
        <w:rPr>
          <w:rFonts w:ascii="Calibri" w:hAnsi="Calibri" w:cs="Calibri"/>
          <w:bCs/>
          <w:sz w:val="24"/>
        </w:rPr>
        <w:t>.</w:t>
      </w:r>
      <w:r w:rsidR="00FA380B" w:rsidRPr="00626B6D">
        <w:rPr>
          <w:rFonts w:ascii="Calibri" w:hAnsi="Calibri" w:cs="Calibri"/>
          <w:bCs/>
          <w:sz w:val="24"/>
        </w:rPr>
        <w:t xml:space="preserve"> </w:t>
      </w:r>
      <w:r w:rsidR="00997EC3" w:rsidRPr="00626B6D">
        <w:rPr>
          <w:rFonts w:asciiTheme="minorHAnsi" w:hAnsiTheme="minorHAnsi" w:cstheme="minorHAnsi"/>
          <w:sz w:val="24"/>
        </w:rPr>
        <w:t xml:space="preserve">Přehled kontrolovaných </w:t>
      </w:r>
      <w:r w:rsidR="00A43602" w:rsidRPr="00626B6D">
        <w:rPr>
          <w:rFonts w:asciiTheme="minorHAnsi" w:hAnsiTheme="minorHAnsi" w:cstheme="minorHAnsi"/>
          <w:sz w:val="24"/>
        </w:rPr>
        <w:t>akcí</w:t>
      </w:r>
      <w:r w:rsidR="00997EC3" w:rsidRPr="00626B6D">
        <w:rPr>
          <w:rFonts w:asciiTheme="minorHAnsi" w:hAnsiTheme="minorHAnsi" w:cstheme="minorHAnsi"/>
          <w:sz w:val="24"/>
        </w:rPr>
        <w:t xml:space="preserve"> je uveden v</w:t>
      </w:r>
      <w:r w:rsidR="006C0225">
        <w:rPr>
          <w:rFonts w:asciiTheme="minorHAnsi" w:hAnsiTheme="minorHAnsi" w:cstheme="minorHAnsi"/>
          <w:sz w:val="24"/>
        </w:rPr>
        <w:t xml:space="preserve"> </w:t>
      </w:r>
      <w:r w:rsidR="00997EC3" w:rsidRPr="00626B6D">
        <w:rPr>
          <w:rFonts w:asciiTheme="minorHAnsi" w:hAnsiTheme="minorHAnsi" w:cstheme="minorHAnsi"/>
          <w:sz w:val="24"/>
        </w:rPr>
        <w:t xml:space="preserve">příloze </w:t>
      </w:r>
      <w:r w:rsidR="00763FAD" w:rsidRPr="00626B6D">
        <w:rPr>
          <w:rFonts w:asciiTheme="minorHAnsi" w:hAnsiTheme="minorHAnsi" w:cstheme="minorHAnsi"/>
          <w:sz w:val="24"/>
        </w:rPr>
        <w:t xml:space="preserve">tohoto </w:t>
      </w:r>
      <w:r w:rsidR="00997EC3" w:rsidRPr="00626B6D">
        <w:rPr>
          <w:rFonts w:asciiTheme="minorHAnsi" w:hAnsiTheme="minorHAnsi" w:cstheme="minorHAnsi"/>
          <w:sz w:val="24"/>
        </w:rPr>
        <w:t>kontrolního závěru.</w:t>
      </w:r>
      <w:r w:rsidR="002811E2" w:rsidRPr="00626B6D">
        <w:rPr>
          <w:rFonts w:asciiTheme="minorHAnsi" w:hAnsiTheme="minorHAnsi" w:cstheme="minorHAnsi"/>
          <w:sz w:val="24"/>
        </w:rPr>
        <w:t xml:space="preserve"> </w:t>
      </w:r>
      <w:r w:rsidR="002845C2" w:rsidRPr="00626B6D">
        <w:rPr>
          <w:rFonts w:asciiTheme="minorHAnsi" w:hAnsiTheme="minorHAnsi" w:cstheme="minorHAnsi"/>
          <w:sz w:val="24"/>
        </w:rPr>
        <w:t xml:space="preserve">Kontrolou u příjemců podpory </w:t>
      </w:r>
      <w:r w:rsidR="00214020">
        <w:rPr>
          <w:rFonts w:asciiTheme="minorHAnsi" w:hAnsiTheme="minorHAnsi" w:cstheme="minorHAnsi"/>
          <w:sz w:val="24"/>
        </w:rPr>
        <w:t>byly zjištěny</w:t>
      </w:r>
      <w:r w:rsidR="002845C2" w:rsidRPr="00626B6D">
        <w:rPr>
          <w:rFonts w:asciiTheme="minorHAnsi" w:hAnsiTheme="minorHAnsi" w:cstheme="minorHAnsi"/>
          <w:sz w:val="24"/>
        </w:rPr>
        <w:t xml:space="preserve"> zejména </w:t>
      </w:r>
      <w:r w:rsidR="00214020">
        <w:rPr>
          <w:rFonts w:asciiTheme="minorHAnsi" w:hAnsiTheme="minorHAnsi" w:cstheme="minorHAnsi"/>
          <w:sz w:val="24"/>
        </w:rPr>
        <w:t>tyto skutečnosti</w:t>
      </w:r>
      <w:r w:rsidR="002845C2" w:rsidRPr="00626B6D">
        <w:rPr>
          <w:rFonts w:asciiTheme="minorHAnsi" w:hAnsiTheme="minorHAnsi" w:cstheme="minorHAnsi"/>
          <w:sz w:val="24"/>
        </w:rPr>
        <w:t xml:space="preserve">: </w:t>
      </w:r>
    </w:p>
    <w:p w14:paraId="7E089C6D" w14:textId="5FEA841B" w:rsidR="00986E88" w:rsidRPr="00E819ED" w:rsidRDefault="00CA0E1F" w:rsidP="00E819ED">
      <w:pPr>
        <w:pStyle w:val="Odstavecseseznamem"/>
        <w:numPr>
          <w:ilvl w:val="0"/>
          <w:numId w:val="7"/>
        </w:numPr>
        <w:tabs>
          <w:tab w:val="left" w:pos="284"/>
        </w:tabs>
        <w:autoSpaceDE w:val="0"/>
        <w:autoSpaceDN w:val="0"/>
        <w:adjustRightInd w:val="0"/>
        <w:spacing w:after="0" w:line="240" w:lineRule="auto"/>
        <w:ind w:left="284" w:hanging="284"/>
        <w:contextualSpacing w:val="0"/>
        <w:jc w:val="both"/>
        <w:rPr>
          <w:rFonts w:asciiTheme="minorHAnsi" w:hAnsiTheme="minorHAnsi" w:cstheme="minorHAnsi"/>
          <w:sz w:val="24"/>
        </w:rPr>
      </w:pPr>
      <w:r w:rsidRPr="00E819ED">
        <w:rPr>
          <w:rFonts w:asciiTheme="minorHAnsi" w:hAnsiTheme="minorHAnsi" w:cstheme="minorHAnsi"/>
          <w:sz w:val="24"/>
        </w:rPr>
        <w:t>ARCHI</w:t>
      </w:r>
      <w:r w:rsidR="003E2364" w:rsidRPr="00E819ED">
        <w:rPr>
          <w:rFonts w:asciiTheme="minorHAnsi" w:hAnsiTheme="minorHAnsi" w:cstheme="minorHAnsi"/>
          <w:sz w:val="24"/>
        </w:rPr>
        <w:t>KA s.r.o.</w:t>
      </w:r>
      <w:r w:rsidR="00A5004F" w:rsidRPr="00E819ED">
        <w:rPr>
          <w:rFonts w:asciiTheme="minorHAnsi" w:hAnsiTheme="minorHAnsi" w:cstheme="minorHAnsi"/>
          <w:sz w:val="24"/>
        </w:rPr>
        <w:t xml:space="preserve"> </w:t>
      </w:r>
      <w:r w:rsidR="00F44B2E" w:rsidRPr="00E819ED">
        <w:rPr>
          <w:rFonts w:asciiTheme="minorHAnsi" w:hAnsiTheme="minorHAnsi" w:cstheme="minorHAnsi"/>
          <w:sz w:val="24"/>
        </w:rPr>
        <w:t>uvedla</w:t>
      </w:r>
      <w:r w:rsidR="00331111" w:rsidRPr="00E819ED">
        <w:rPr>
          <w:rFonts w:asciiTheme="minorHAnsi" w:hAnsiTheme="minorHAnsi" w:cstheme="minorHAnsi"/>
          <w:sz w:val="24"/>
        </w:rPr>
        <w:t xml:space="preserve"> při řízení o závěrečném vyhodnocení akce na MMR</w:t>
      </w:r>
      <w:r w:rsidR="007F78C2" w:rsidRPr="00E819ED">
        <w:rPr>
          <w:rFonts w:asciiTheme="minorHAnsi" w:hAnsiTheme="minorHAnsi" w:cstheme="minorHAnsi"/>
          <w:sz w:val="24"/>
        </w:rPr>
        <w:t>, že na stavbu domu s</w:t>
      </w:r>
      <w:r w:rsidR="006C0225" w:rsidRPr="00E819ED">
        <w:rPr>
          <w:rFonts w:asciiTheme="minorHAnsi" w:hAnsiTheme="minorHAnsi" w:cstheme="minorHAnsi"/>
          <w:sz w:val="24"/>
        </w:rPr>
        <w:t xml:space="preserve"> </w:t>
      </w:r>
      <w:r w:rsidR="00F44B2E" w:rsidRPr="00E819ED">
        <w:rPr>
          <w:rFonts w:asciiTheme="minorHAnsi" w:hAnsiTheme="minorHAnsi" w:cstheme="minorHAnsi"/>
          <w:sz w:val="24"/>
        </w:rPr>
        <w:t>osmi pečovatelskými byty vynaložila</w:t>
      </w:r>
      <w:r w:rsidR="00331111" w:rsidRPr="00E819ED">
        <w:rPr>
          <w:rFonts w:asciiTheme="minorHAnsi" w:eastAsia="SimSun" w:hAnsiTheme="minorHAnsi" w:cstheme="minorHAnsi"/>
          <w:sz w:val="24"/>
        </w:rPr>
        <w:t xml:space="preserve"> </w:t>
      </w:r>
      <w:r w:rsidR="00660A35" w:rsidRPr="00E819ED">
        <w:rPr>
          <w:rFonts w:asciiTheme="minorHAnsi" w:eastAsia="SimSun" w:hAnsiTheme="minorHAnsi" w:cstheme="minorHAnsi"/>
          <w:sz w:val="24"/>
        </w:rPr>
        <w:t>8</w:t>
      </w:r>
      <w:r w:rsidR="006C0225" w:rsidRPr="00E819ED">
        <w:rPr>
          <w:rFonts w:asciiTheme="minorHAnsi" w:eastAsia="SimSun" w:hAnsiTheme="minorHAnsi" w:cstheme="minorHAnsi"/>
          <w:sz w:val="24"/>
        </w:rPr>
        <w:t xml:space="preserve"> </w:t>
      </w:r>
      <w:r w:rsidR="00660A35" w:rsidRPr="00E819ED">
        <w:rPr>
          <w:rFonts w:asciiTheme="minorHAnsi" w:eastAsia="SimSun" w:hAnsiTheme="minorHAnsi" w:cstheme="minorHAnsi"/>
          <w:sz w:val="24"/>
        </w:rPr>
        <w:t>381</w:t>
      </w:r>
      <w:r w:rsidR="006C0225" w:rsidRPr="00E819ED">
        <w:rPr>
          <w:rFonts w:asciiTheme="minorHAnsi" w:eastAsia="SimSun" w:hAnsiTheme="minorHAnsi" w:cstheme="minorHAnsi"/>
          <w:sz w:val="24"/>
        </w:rPr>
        <w:t xml:space="preserve"> </w:t>
      </w:r>
      <w:r w:rsidR="00660A35" w:rsidRPr="00E819ED">
        <w:rPr>
          <w:rFonts w:asciiTheme="minorHAnsi" w:eastAsia="SimSun" w:hAnsiTheme="minorHAnsi" w:cstheme="minorHAnsi"/>
          <w:sz w:val="24"/>
        </w:rPr>
        <w:t>765</w:t>
      </w:r>
      <w:r w:rsidR="00F44B2E" w:rsidRPr="00E819ED">
        <w:rPr>
          <w:rFonts w:asciiTheme="minorHAnsi" w:eastAsia="SimSun" w:hAnsiTheme="minorHAnsi" w:cstheme="minorHAnsi"/>
          <w:sz w:val="24"/>
        </w:rPr>
        <w:t xml:space="preserve"> Kč, což doložila výkazem výměr s</w:t>
      </w:r>
      <w:r w:rsidR="00490608" w:rsidRPr="00E819ED">
        <w:rPr>
          <w:rFonts w:asciiTheme="minorHAnsi" w:eastAsia="SimSun" w:hAnsiTheme="minorHAnsi" w:cstheme="minorHAnsi"/>
          <w:sz w:val="24"/>
        </w:rPr>
        <w:t> </w:t>
      </w:r>
      <w:r w:rsidR="00F44B2E" w:rsidRPr="00E819ED">
        <w:rPr>
          <w:rFonts w:asciiTheme="minorHAnsi" w:eastAsia="SimSun" w:hAnsiTheme="minorHAnsi" w:cstheme="minorHAnsi"/>
          <w:sz w:val="24"/>
        </w:rPr>
        <w:t>cenami podle projektové dokumentace. Ve skutečnosti</w:t>
      </w:r>
      <w:r w:rsidR="00660A35" w:rsidRPr="00E819ED">
        <w:rPr>
          <w:rFonts w:asciiTheme="minorHAnsi" w:eastAsia="SimSun" w:hAnsiTheme="minorHAnsi" w:cstheme="minorHAnsi"/>
          <w:sz w:val="24"/>
        </w:rPr>
        <w:t xml:space="preserve"> </w:t>
      </w:r>
      <w:r w:rsidR="00DA74AC" w:rsidRPr="00E819ED">
        <w:rPr>
          <w:rFonts w:asciiTheme="minorHAnsi" w:eastAsia="SimSun" w:hAnsiTheme="minorHAnsi" w:cstheme="minorHAnsi"/>
          <w:sz w:val="24"/>
        </w:rPr>
        <w:t xml:space="preserve">podle účetních dokladů </w:t>
      </w:r>
      <w:r w:rsidR="00660A35" w:rsidRPr="00E819ED">
        <w:rPr>
          <w:rFonts w:asciiTheme="minorHAnsi" w:eastAsia="SimSun" w:hAnsiTheme="minorHAnsi" w:cstheme="minorHAnsi"/>
          <w:sz w:val="24"/>
        </w:rPr>
        <w:t>ale vynaložila jen 4</w:t>
      </w:r>
      <w:r w:rsidR="006C0225" w:rsidRPr="00E819ED">
        <w:rPr>
          <w:rFonts w:asciiTheme="minorHAnsi" w:eastAsia="SimSun" w:hAnsiTheme="minorHAnsi" w:cstheme="minorHAnsi"/>
          <w:sz w:val="24"/>
        </w:rPr>
        <w:t xml:space="preserve"> </w:t>
      </w:r>
      <w:r w:rsidR="00660A35" w:rsidRPr="00E819ED">
        <w:rPr>
          <w:rFonts w:asciiTheme="minorHAnsi" w:eastAsia="SimSun" w:hAnsiTheme="minorHAnsi" w:cstheme="minorHAnsi"/>
          <w:sz w:val="24"/>
        </w:rPr>
        <w:t>788</w:t>
      </w:r>
      <w:r w:rsidR="006C0225" w:rsidRPr="00E819ED">
        <w:rPr>
          <w:rFonts w:asciiTheme="minorHAnsi" w:eastAsia="SimSun" w:hAnsiTheme="minorHAnsi" w:cstheme="minorHAnsi"/>
          <w:sz w:val="24"/>
        </w:rPr>
        <w:t xml:space="preserve"> </w:t>
      </w:r>
      <w:r w:rsidR="00660A35" w:rsidRPr="00E819ED">
        <w:rPr>
          <w:rFonts w:asciiTheme="minorHAnsi" w:eastAsia="SimSun" w:hAnsiTheme="minorHAnsi" w:cstheme="minorHAnsi"/>
          <w:sz w:val="24"/>
        </w:rPr>
        <w:t>007</w:t>
      </w:r>
      <w:r w:rsidR="006C0225" w:rsidRPr="00E819ED">
        <w:rPr>
          <w:rFonts w:asciiTheme="minorHAnsi" w:eastAsia="SimSun" w:hAnsiTheme="minorHAnsi" w:cstheme="minorHAnsi"/>
          <w:sz w:val="24"/>
        </w:rPr>
        <w:t xml:space="preserve"> </w:t>
      </w:r>
      <w:r w:rsidR="00F44B2E" w:rsidRPr="00E819ED">
        <w:rPr>
          <w:rFonts w:asciiTheme="minorHAnsi" w:eastAsia="SimSun" w:hAnsiTheme="minorHAnsi" w:cstheme="minorHAnsi"/>
          <w:sz w:val="24"/>
        </w:rPr>
        <w:t>Kč.</w:t>
      </w:r>
      <w:r w:rsidR="00331111" w:rsidRPr="00E819ED">
        <w:rPr>
          <w:rFonts w:asciiTheme="minorHAnsi" w:eastAsia="SimSun" w:hAnsiTheme="minorHAnsi" w:cstheme="minorHAnsi"/>
          <w:sz w:val="24"/>
        </w:rPr>
        <w:t xml:space="preserve"> MMR jí na tuto stavbu poskytlo dotaci ve výši 4</w:t>
      </w:r>
      <w:r w:rsidR="006C0225" w:rsidRPr="00E819ED">
        <w:rPr>
          <w:rFonts w:asciiTheme="minorHAnsi" w:eastAsia="SimSun" w:hAnsiTheme="minorHAnsi" w:cstheme="minorHAnsi"/>
          <w:sz w:val="24"/>
        </w:rPr>
        <w:t xml:space="preserve"> </w:t>
      </w:r>
      <w:r w:rsidR="00331111" w:rsidRPr="00E819ED">
        <w:rPr>
          <w:rFonts w:asciiTheme="minorHAnsi" w:eastAsia="SimSun" w:hAnsiTheme="minorHAnsi" w:cstheme="minorHAnsi"/>
          <w:sz w:val="24"/>
        </w:rPr>
        <w:t>892</w:t>
      </w:r>
      <w:r w:rsidR="006C0225" w:rsidRPr="00E819ED">
        <w:rPr>
          <w:rFonts w:asciiTheme="minorHAnsi" w:eastAsia="SimSun" w:hAnsiTheme="minorHAnsi" w:cstheme="minorHAnsi"/>
          <w:sz w:val="24"/>
        </w:rPr>
        <w:t xml:space="preserve"> </w:t>
      </w:r>
      <w:r w:rsidR="00331111" w:rsidRPr="00E819ED">
        <w:rPr>
          <w:rFonts w:asciiTheme="minorHAnsi" w:eastAsia="SimSun" w:hAnsiTheme="minorHAnsi" w:cstheme="minorHAnsi"/>
          <w:sz w:val="24"/>
        </w:rPr>
        <w:t xml:space="preserve">400 Kč, která </w:t>
      </w:r>
      <w:r w:rsidR="006C0225" w:rsidRPr="00E819ED">
        <w:rPr>
          <w:rFonts w:asciiTheme="minorHAnsi" w:eastAsia="SimSun" w:hAnsiTheme="minorHAnsi" w:cstheme="minorHAnsi"/>
          <w:sz w:val="24"/>
        </w:rPr>
        <w:t xml:space="preserve">převýšila </w:t>
      </w:r>
      <w:r w:rsidR="00331111" w:rsidRPr="00E819ED">
        <w:rPr>
          <w:rFonts w:asciiTheme="minorHAnsi" w:eastAsia="SimSun" w:hAnsiTheme="minorHAnsi" w:cstheme="minorHAnsi"/>
          <w:sz w:val="24"/>
        </w:rPr>
        <w:t>skutečně vynaložené p</w:t>
      </w:r>
      <w:r w:rsidR="00660A35" w:rsidRPr="00E819ED">
        <w:rPr>
          <w:rFonts w:asciiTheme="minorHAnsi" w:eastAsia="SimSun" w:hAnsiTheme="minorHAnsi" w:cstheme="minorHAnsi"/>
          <w:sz w:val="24"/>
        </w:rPr>
        <w:t>rostředky o 104</w:t>
      </w:r>
      <w:r w:rsidR="006C0225" w:rsidRPr="00E819ED">
        <w:rPr>
          <w:rFonts w:asciiTheme="minorHAnsi" w:eastAsia="SimSun" w:hAnsiTheme="minorHAnsi" w:cstheme="minorHAnsi"/>
          <w:sz w:val="24"/>
        </w:rPr>
        <w:t xml:space="preserve"> </w:t>
      </w:r>
      <w:r w:rsidR="00660A35" w:rsidRPr="00E819ED">
        <w:rPr>
          <w:rFonts w:asciiTheme="minorHAnsi" w:eastAsia="SimSun" w:hAnsiTheme="minorHAnsi" w:cstheme="minorHAnsi"/>
          <w:sz w:val="24"/>
        </w:rPr>
        <w:t>393</w:t>
      </w:r>
      <w:r w:rsidR="006C0225" w:rsidRPr="00E819ED">
        <w:rPr>
          <w:rFonts w:asciiTheme="minorHAnsi" w:eastAsia="SimSun" w:hAnsiTheme="minorHAnsi" w:cstheme="minorHAnsi"/>
          <w:sz w:val="24"/>
        </w:rPr>
        <w:t xml:space="preserve"> </w:t>
      </w:r>
      <w:r w:rsidR="00331111" w:rsidRPr="00E819ED">
        <w:rPr>
          <w:rFonts w:asciiTheme="minorHAnsi" w:eastAsia="SimSun" w:hAnsiTheme="minorHAnsi" w:cstheme="minorHAnsi"/>
          <w:sz w:val="24"/>
        </w:rPr>
        <w:t>Kč</w:t>
      </w:r>
      <w:r w:rsidR="006C0225" w:rsidRPr="00E819ED">
        <w:rPr>
          <w:rFonts w:asciiTheme="minorHAnsi" w:eastAsia="SimSun" w:hAnsiTheme="minorHAnsi" w:cstheme="minorHAnsi"/>
          <w:sz w:val="24"/>
        </w:rPr>
        <w:t xml:space="preserve">. </w:t>
      </w:r>
      <w:r w:rsidR="00627778" w:rsidRPr="00E819ED">
        <w:rPr>
          <w:rFonts w:asciiTheme="minorHAnsi" w:eastAsia="SimSun" w:hAnsiTheme="minorHAnsi" w:cstheme="minorHAnsi"/>
          <w:sz w:val="24"/>
        </w:rPr>
        <w:t>Dotaci navíc neoprávněně použila i</w:t>
      </w:r>
      <w:r w:rsidR="00490608" w:rsidRPr="00E819ED">
        <w:rPr>
          <w:rFonts w:asciiTheme="minorHAnsi" w:eastAsia="SimSun" w:hAnsiTheme="minorHAnsi" w:cstheme="minorHAnsi"/>
          <w:sz w:val="24"/>
        </w:rPr>
        <w:t> </w:t>
      </w:r>
      <w:r w:rsidR="00627778" w:rsidRPr="00E819ED">
        <w:rPr>
          <w:rFonts w:asciiTheme="minorHAnsi" w:eastAsia="SimSun" w:hAnsiTheme="minorHAnsi" w:cstheme="minorHAnsi"/>
          <w:sz w:val="24"/>
        </w:rPr>
        <w:t>na stavbu komunikace a zpevněné plochy.</w:t>
      </w:r>
      <w:r w:rsidR="002845C2" w:rsidRPr="00E819ED">
        <w:rPr>
          <w:rFonts w:asciiTheme="minorHAnsi" w:hAnsiTheme="minorHAnsi" w:cstheme="minorHAnsi"/>
          <w:sz w:val="24"/>
        </w:rPr>
        <w:t xml:space="preserve"> </w:t>
      </w:r>
      <w:r w:rsidR="00627778" w:rsidRPr="00E819ED">
        <w:rPr>
          <w:rFonts w:asciiTheme="minorHAnsi" w:hAnsiTheme="minorHAnsi" w:cstheme="minorHAnsi"/>
          <w:sz w:val="24"/>
        </w:rPr>
        <w:t>ARCHIKA s.r.o. rovněž</w:t>
      </w:r>
      <w:r w:rsidR="00F44B2E" w:rsidRPr="00E819ED">
        <w:rPr>
          <w:rFonts w:asciiTheme="minorHAnsi" w:hAnsiTheme="minorHAnsi" w:cstheme="minorHAnsi"/>
          <w:sz w:val="24"/>
        </w:rPr>
        <w:t xml:space="preserve"> </w:t>
      </w:r>
      <w:r w:rsidR="00A5004F" w:rsidRPr="00E819ED">
        <w:rPr>
          <w:rFonts w:asciiTheme="minorHAnsi" w:hAnsiTheme="minorHAnsi" w:cstheme="minorHAnsi"/>
          <w:sz w:val="24"/>
        </w:rPr>
        <w:t>neměla k</w:t>
      </w:r>
      <w:r w:rsidR="00214020">
        <w:rPr>
          <w:rFonts w:asciiTheme="minorHAnsi" w:hAnsiTheme="minorHAnsi" w:cstheme="minorHAnsi"/>
          <w:sz w:val="24"/>
        </w:rPr>
        <w:t> </w:t>
      </w:r>
      <w:r w:rsidR="00A5004F" w:rsidRPr="00E819ED">
        <w:rPr>
          <w:rFonts w:asciiTheme="minorHAnsi" w:hAnsiTheme="minorHAnsi" w:cstheme="minorHAnsi"/>
          <w:sz w:val="24"/>
        </w:rPr>
        <w:t>dispozici stavební deník, přestože jí to stavební zákon</w:t>
      </w:r>
      <w:r w:rsidR="00166910" w:rsidRPr="00626B6D">
        <w:rPr>
          <w:rStyle w:val="Znakapoznpodarou"/>
          <w:rFonts w:asciiTheme="minorHAnsi" w:hAnsiTheme="minorHAnsi" w:cstheme="minorHAnsi"/>
          <w:sz w:val="24"/>
        </w:rPr>
        <w:footnoteReference w:id="8"/>
      </w:r>
      <w:r w:rsidR="00A5004F" w:rsidRPr="00E819ED">
        <w:rPr>
          <w:rFonts w:asciiTheme="minorHAnsi" w:hAnsiTheme="minorHAnsi" w:cstheme="minorHAnsi"/>
          <w:sz w:val="24"/>
        </w:rPr>
        <w:t xml:space="preserve"> ukládal. Vzhledem k</w:t>
      </w:r>
      <w:r w:rsidR="006C0225" w:rsidRPr="00E819ED">
        <w:rPr>
          <w:rFonts w:asciiTheme="minorHAnsi" w:hAnsiTheme="minorHAnsi" w:cstheme="minorHAnsi"/>
          <w:sz w:val="24"/>
        </w:rPr>
        <w:t xml:space="preserve"> </w:t>
      </w:r>
      <w:r w:rsidR="00A5004F" w:rsidRPr="00E819ED">
        <w:rPr>
          <w:rFonts w:asciiTheme="minorHAnsi" w:hAnsiTheme="minorHAnsi" w:cstheme="minorHAnsi"/>
          <w:sz w:val="24"/>
        </w:rPr>
        <w:t xml:space="preserve">tomu, že </w:t>
      </w:r>
      <w:r w:rsidR="00FD1DC5" w:rsidRPr="00E819ED">
        <w:rPr>
          <w:rFonts w:asciiTheme="minorHAnsi" w:hAnsiTheme="minorHAnsi" w:cstheme="minorHAnsi"/>
          <w:sz w:val="24"/>
        </w:rPr>
        <w:t xml:space="preserve">jakožto stavební firma </w:t>
      </w:r>
      <w:r w:rsidR="00A5004F" w:rsidRPr="00E819ED">
        <w:rPr>
          <w:rFonts w:asciiTheme="minorHAnsi" w:hAnsiTheme="minorHAnsi" w:cstheme="minorHAnsi"/>
          <w:sz w:val="24"/>
        </w:rPr>
        <w:t>prováděla výstavbu osmi pečovatelských bytů sama bez dodavatele, nebylo možn</w:t>
      </w:r>
      <w:r w:rsidR="00214020">
        <w:rPr>
          <w:rFonts w:asciiTheme="minorHAnsi" w:hAnsiTheme="minorHAnsi" w:cstheme="minorHAnsi"/>
          <w:sz w:val="24"/>
        </w:rPr>
        <w:t>é</w:t>
      </w:r>
      <w:r w:rsidR="00A5004F" w:rsidRPr="00E819ED">
        <w:rPr>
          <w:rFonts w:asciiTheme="minorHAnsi" w:hAnsiTheme="minorHAnsi" w:cstheme="minorHAnsi"/>
          <w:sz w:val="24"/>
        </w:rPr>
        <w:t xml:space="preserve"> kontrolou řádně prověřit skutečný rozsah a postup realizovaných prací</w:t>
      </w:r>
      <w:r w:rsidR="00627778" w:rsidRPr="00E819ED">
        <w:rPr>
          <w:rFonts w:asciiTheme="minorHAnsi" w:hAnsiTheme="minorHAnsi" w:cstheme="minorHAnsi"/>
          <w:sz w:val="24"/>
        </w:rPr>
        <w:t>.</w:t>
      </w:r>
      <w:r w:rsidR="002845C2" w:rsidRPr="00E819ED">
        <w:rPr>
          <w:rFonts w:asciiTheme="minorHAnsi" w:eastAsia="SimSun" w:hAnsiTheme="minorHAnsi" w:cstheme="minorHAnsi"/>
          <w:sz w:val="24"/>
        </w:rPr>
        <w:t xml:space="preserve"> Uvedeným jednáním </w:t>
      </w:r>
      <w:r w:rsidR="002845C2" w:rsidRPr="00E819ED">
        <w:rPr>
          <w:rFonts w:asciiTheme="minorHAnsi" w:hAnsiTheme="minorHAnsi" w:cstheme="minorHAnsi"/>
          <w:sz w:val="24"/>
        </w:rPr>
        <w:t>se dopustila porušení rozpočtové kázně ve smyslu ustanovení § 44 odst. 1 písm. b) zákona č.</w:t>
      </w:r>
      <w:r w:rsidR="00490608" w:rsidRPr="00E819ED">
        <w:rPr>
          <w:rFonts w:asciiTheme="minorHAnsi" w:hAnsiTheme="minorHAnsi" w:cstheme="minorHAnsi"/>
          <w:sz w:val="24"/>
        </w:rPr>
        <w:t> </w:t>
      </w:r>
      <w:r w:rsidR="002845C2" w:rsidRPr="00E819ED">
        <w:rPr>
          <w:rFonts w:asciiTheme="minorHAnsi" w:hAnsiTheme="minorHAnsi" w:cstheme="minorHAnsi"/>
          <w:sz w:val="24"/>
        </w:rPr>
        <w:t>218/2000 Sb.</w:t>
      </w:r>
      <w:r w:rsidR="002845C2" w:rsidRPr="00626B6D">
        <w:rPr>
          <w:rStyle w:val="Znakapoznpodarou"/>
          <w:rFonts w:asciiTheme="minorHAnsi" w:hAnsiTheme="minorHAnsi" w:cstheme="minorHAnsi"/>
          <w:sz w:val="24"/>
        </w:rPr>
        <w:footnoteReference w:id="9"/>
      </w:r>
    </w:p>
    <w:p w14:paraId="007D2889" w14:textId="450B9EE8" w:rsidR="00636339" w:rsidRDefault="00166910" w:rsidP="00E819ED">
      <w:pPr>
        <w:pStyle w:val="Odstavecseseznamem"/>
        <w:numPr>
          <w:ilvl w:val="0"/>
          <w:numId w:val="7"/>
        </w:numPr>
        <w:tabs>
          <w:tab w:val="left" w:pos="284"/>
        </w:tabs>
        <w:spacing w:after="0" w:line="240" w:lineRule="auto"/>
        <w:ind w:left="284" w:hanging="284"/>
        <w:contextualSpacing w:val="0"/>
        <w:jc w:val="both"/>
        <w:rPr>
          <w:rFonts w:asciiTheme="minorHAnsi" w:hAnsiTheme="minorHAnsi" w:cstheme="minorHAnsi"/>
          <w:sz w:val="24"/>
        </w:rPr>
      </w:pPr>
      <w:r w:rsidRPr="00E819ED">
        <w:rPr>
          <w:rFonts w:asciiTheme="minorHAnsi" w:hAnsiTheme="minorHAnsi" w:cstheme="minorHAnsi"/>
          <w:sz w:val="24"/>
        </w:rPr>
        <w:t>RÝPAR</w:t>
      </w:r>
      <w:r w:rsidR="00214020">
        <w:rPr>
          <w:rFonts w:asciiTheme="minorHAnsi" w:hAnsiTheme="minorHAnsi" w:cstheme="minorHAnsi"/>
          <w:sz w:val="24"/>
        </w:rPr>
        <w:t>-</w:t>
      </w:r>
      <w:r w:rsidRPr="00E819ED">
        <w:rPr>
          <w:rFonts w:asciiTheme="minorHAnsi" w:hAnsiTheme="minorHAnsi" w:cstheme="minorHAnsi"/>
          <w:sz w:val="24"/>
        </w:rPr>
        <w:t>STAV s.r.o.</w:t>
      </w:r>
      <w:r w:rsidR="00635B83" w:rsidRPr="00E819ED">
        <w:rPr>
          <w:rFonts w:asciiTheme="minorHAnsi" w:hAnsiTheme="minorHAnsi" w:cstheme="minorHAnsi"/>
          <w:sz w:val="24"/>
        </w:rPr>
        <w:t>, která získala dotaci ve výši 4</w:t>
      </w:r>
      <w:r w:rsidR="006C0225" w:rsidRPr="00E819ED">
        <w:rPr>
          <w:rFonts w:asciiTheme="minorHAnsi" w:hAnsiTheme="minorHAnsi" w:cstheme="minorHAnsi"/>
          <w:sz w:val="24"/>
        </w:rPr>
        <w:t xml:space="preserve"> </w:t>
      </w:r>
      <w:r w:rsidR="00635B83" w:rsidRPr="00E819ED">
        <w:rPr>
          <w:rFonts w:asciiTheme="minorHAnsi" w:hAnsiTheme="minorHAnsi" w:cstheme="minorHAnsi"/>
          <w:sz w:val="24"/>
        </w:rPr>
        <w:t>950</w:t>
      </w:r>
      <w:r w:rsidR="006C0225" w:rsidRPr="00E819ED">
        <w:rPr>
          <w:rFonts w:asciiTheme="minorHAnsi" w:hAnsiTheme="minorHAnsi" w:cstheme="minorHAnsi"/>
          <w:sz w:val="24"/>
        </w:rPr>
        <w:t xml:space="preserve"> </w:t>
      </w:r>
      <w:r w:rsidR="00635B83" w:rsidRPr="00E819ED">
        <w:rPr>
          <w:rFonts w:asciiTheme="minorHAnsi" w:hAnsiTheme="minorHAnsi" w:cstheme="minorHAnsi"/>
          <w:sz w:val="24"/>
        </w:rPr>
        <w:t xml:space="preserve">000 Kč, </w:t>
      </w:r>
      <w:r w:rsidR="00FC5713" w:rsidRPr="00E819ED">
        <w:rPr>
          <w:rFonts w:asciiTheme="minorHAnsi" w:hAnsiTheme="minorHAnsi" w:cstheme="minorHAnsi"/>
          <w:sz w:val="24"/>
        </w:rPr>
        <w:t>neodeslala oznámení o</w:t>
      </w:r>
      <w:r w:rsidR="00490608" w:rsidRPr="00E819ED">
        <w:rPr>
          <w:rFonts w:asciiTheme="minorHAnsi" w:hAnsiTheme="minorHAnsi" w:cstheme="minorHAnsi"/>
          <w:sz w:val="24"/>
        </w:rPr>
        <w:t> </w:t>
      </w:r>
      <w:r w:rsidRPr="00E819ED">
        <w:rPr>
          <w:rFonts w:asciiTheme="minorHAnsi" w:hAnsiTheme="minorHAnsi" w:cstheme="minorHAnsi"/>
          <w:sz w:val="24"/>
        </w:rPr>
        <w:t>výsledku zadávacího řízení k</w:t>
      </w:r>
      <w:r w:rsidR="006C0225" w:rsidRPr="00E819ED">
        <w:rPr>
          <w:rFonts w:asciiTheme="minorHAnsi" w:hAnsiTheme="minorHAnsi" w:cstheme="minorHAnsi"/>
          <w:sz w:val="24"/>
        </w:rPr>
        <w:t xml:space="preserve"> </w:t>
      </w:r>
      <w:r w:rsidRPr="00E819ED">
        <w:rPr>
          <w:rFonts w:asciiTheme="minorHAnsi" w:hAnsiTheme="minorHAnsi" w:cstheme="minorHAnsi"/>
          <w:sz w:val="24"/>
        </w:rPr>
        <w:t>uveřejnění a neuveřejnila písemnou zprávu na svém profilu ve lhůtě stanovené zákonem o veřejných zakázkách</w:t>
      </w:r>
      <w:r w:rsidRPr="00626B6D">
        <w:rPr>
          <w:rStyle w:val="Znakapoznpodarou"/>
          <w:rFonts w:asciiTheme="minorHAnsi" w:hAnsiTheme="minorHAnsi" w:cstheme="minorHAnsi"/>
          <w:sz w:val="24"/>
        </w:rPr>
        <w:footnoteReference w:id="10"/>
      </w:r>
      <w:r w:rsidRPr="00E819ED">
        <w:rPr>
          <w:rFonts w:asciiTheme="minorHAnsi" w:hAnsiTheme="minorHAnsi" w:cstheme="minorHAnsi"/>
          <w:sz w:val="24"/>
        </w:rPr>
        <w:t>, ale až na základě upozornění kontrolní skupiny, což bylo cca po dvou letech.</w:t>
      </w:r>
      <w:r w:rsidR="0097568D" w:rsidRPr="00E819ED">
        <w:rPr>
          <w:rFonts w:asciiTheme="minorHAnsi" w:hAnsiTheme="minorHAnsi" w:cstheme="minorHAnsi"/>
          <w:sz w:val="24"/>
        </w:rPr>
        <w:t xml:space="preserve"> Dále porušila </w:t>
      </w:r>
      <w:r w:rsidR="001C6BFA" w:rsidRPr="00E819ED">
        <w:rPr>
          <w:rFonts w:asciiTheme="minorHAnsi" w:hAnsiTheme="minorHAnsi" w:cstheme="minorHAnsi"/>
          <w:sz w:val="24"/>
        </w:rPr>
        <w:t>zákon</w:t>
      </w:r>
      <w:r w:rsidR="005A79BA" w:rsidRPr="00E819ED">
        <w:rPr>
          <w:rFonts w:asciiTheme="minorHAnsi" w:hAnsiTheme="minorHAnsi" w:cstheme="minorHAnsi"/>
          <w:sz w:val="24"/>
        </w:rPr>
        <w:t xml:space="preserve"> o dani z</w:t>
      </w:r>
      <w:r w:rsidR="006C0225" w:rsidRPr="00E819ED">
        <w:rPr>
          <w:rFonts w:asciiTheme="minorHAnsi" w:hAnsiTheme="minorHAnsi" w:cstheme="minorHAnsi"/>
          <w:sz w:val="24"/>
        </w:rPr>
        <w:t xml:space="preserve"> </w:t>
      </w:r>
      <w:r w:rsidR="005A79BA" w:rsidRPr="00E819ED">
        <w:rPr>
          <w:rFonts w:asciiTheme="minorHAnsi" w:hAnsiTheme="minorHAnsi" w:cstheme="minorHAnsi"/>
          <w:sz w:val="24"/>
        </w:rPr>
        <w:t>přidané hodnoty</w:t>
      </w:r>
      <w:r w:rsidR="001C6BFA" w:rsidRPr="00626B6D">
        <w:rPr>
          <w:rStyle w:val="Znakapoznpodarou"/>
          <w:rFonts w:asciiTheme="minorHAnsi" w:hAnsiTheme="minorHAnsi" w:cstheme="minorHAnsi"/>
          <w:sz w:val="24"/>
        </w:rPr>
        <w:footnoteReference w:id="11"/>
      </w:r>
      <w:r w:rsidR="00214020">
        <w:rPr>
          <w:rFonts w:asciiTheme="minorHAnsi" w:hAnsiTheme="minorHAnsi" w:cstheme="minorHAnsi"/>
          <w:sz w:val="24"/>
        </w:rPr>
        <w:t>, neboť</w:t>
      </w:r>
      <w:r w:rsidR="008D2CF5" w:rsidRPr="00E819ED">
        <w:rPr>
          <w:rFonts w:asciiTheme="minorHAnsi" w:hAnsiTheme="minorHAnsi" w:cstheme="minorHAnsi"/>
          <w:sz w:val="24"/>
        </w:rPr>
        <w:t xml:space="preserve"> </w:t>
      </w:r>
      <w:r w:rsidR="0097568D" w:rsidRPr="00E819ED">
        <w:rPr>
          <w:rFonts w:asciiTheme="minorHAnsi" w:hAnsiTheme="minorHAnsi" w:cstheme="minorHAnsi"/>
          <w:sz w:val="24"/>
        </w:rPr>
        <w:t>prostředky státního rozpočtu v</w:t>
      </w:r>
      <w:r w:rsidR="006C0225" w:rsidRPr="00E819ED">
        <w:rPr>
          <w:rFonts w:asciiTheme="minorHAnsi" w:hAnsiTheme="minorHAnsi" w:cstheme="minorHAnsi"/>
          <w:sz w:val="24"/>
        </w:rPr>
        <w:t xml:space="preserve"> </w:t>
      </w:r>
      <w:r w:rsidR="0097568D" w:rsidRPr="00E819ED">
        <w:rPr>
          <w:rFonts w:asciiTheme="minorHAnsi" w:hAnsiTheme="minorHAnsi" w:cstheme="minorHAnsi"/>
          <w:sz w:val="24"/>
        </w:rPr>
        <w:t>celkové výši 439</w:t>
      </w:r>
      <w:r w:rsidR="006C0225" w:rsidRPr="00E819ED">
        <w:rPr>
          <w:rFonts w:asciiTheme="minorHAnsi" w:hAnsiTheme="minorHAnsi" w:cstheme="minorHAnsi"/>
          <w:sz w:val="24"/>
        </w:rPr>
        <w:t xml:space="preserve"> </w:t>
      </w:r>
      <w:r w:rsidR="0097568D" w:rsidRPr="00E819ED">
        <w:rPr>
          <w:rFonts w:asciiTheme="minorHAnsi" w:hAnsiTheme="minorHAnsi" w:cstheme="minorHAnsi"/>
          <w:sz w:val="24"/>
        </w:rPr>
        <w:t>755</w:t>
      </w:r>
      <w:r w:rsidR="006C0225" w:rsidRPr="00E819ED">
        <w:rPr>
          <w:rFonts w:asciiTheme="minorHAnsi" w:hAnsiTheme="minorHAnsi" w:cstheme="minorHAnsi"/>
          <w:sz w:val="24"/>
        </w:rPr>
        <w:t xml:space="preserve"> </w:t>
      </w:r>
      <w:r w:rsidR="0097568D" w:rsidRPr="00E819ED">
        <w:rPr>
          <w:rFonts w:asciiTheme="minorHAnsi" w:hAnsiTheme="minorHAnsi" w:cstheme="minorHAnsi"/>
          <w:sz w:val="24"/>
        </w:rPr>
        <w:t xml:space="preserve">Kč, které obdržela na úhradu DPH, na účet </w:t>
      </w:r>
      <w:r w:rsidR="00214020">
        <w:rPr>
          <w:rFonts w:asciiTheme="minorHAnsi" w:hAnsiTheme="minorHAnsi" w:cstheme="minorHAnsi"/>
          <w:sz w:val="24"/>
        </w:rPr>
        <w:t>f</w:t>
      </w:r>
      <w:r w:rsidR="0097568D" w:rsidRPr="00E819ED">
        <w:rPr>
          <w:rFonts w:asciiTheme="minorHAnsi" w:hAnsiTheme="minorHAnsi" w:cstheme="minorHAnsi"/>
          <w:sz w:val="24"/>
        </w:rPr>
        <w:t xml:space="preserve">inančního úřadu </w:t>
      </w:r>
      <w:r w:rsidR="00214020">
        <w:rPr>
          <w:rFonts w:asciiTheme="minorHAnsi" w:hAnsiTheme="minorHAnsi" w:cstheme="minorHAnsi"/>
          <w:sz w:val="24"/>
        </w:rPr>
        <w:t>neodeslala</w:t>
      </w:r>
      <w:r w:rsidR="0097568D" w:rsidRPr="00E819ED">
        <w:rPr>
          <w:rFonts w:asciiTheme="minorHAnsi" w:hAnsiTheme="minorHAnsi" w:cstheme="minorHAnsi"/>
          <w:sz w:val="24"/>
        </w:rPr>
        <w:t xml:space="preserve"> v</w:t>
      </w:r>
      <w:r w:rsidR="006C0225" w:rsidRPr="00E819ED">
        <w:rPr>
          <w:rFonts w:asciiTheme="minorHAnsi" w:hAnsiTheme="minorHAnsi" w:cstheme="minorHAnsi"/>
          <w:sz w:val="24"/>
        </w:rPr>
        <w:t xml:space="preserve"> </w:t>
      </w:r>
      <w:r w:rsidR="0097568D" w:rsidRPr="00E819ED">
        <w:rPr>
          <w:rFonts w:asciiTheme="minorHAnsi" w:hAnsiTheme="minorHAnsi" w:cstheme="minorHAnsi"/>
          <w:sz w:val="24"/>
        </w:rPr>
        <w:t>termínu splatnosti DPH, ale se zpožděním jednoho až tří měsíců.</w:t>
      </w:r>
      <w:r w:rsidR="00174A94" w:rsidRPr="00E819ED">
        <w:rPr>
          <w:rFonts w:asciiTheme="minorHAnsi" w:hAnsiTheme="minorHAnsi" w:cstheme="minorHAnsi"/>
          <w:sz w:val="24"/>
        </w:rPr>
        <w:t xml:space="preserve"> </w:t>
      </w:r>
      <w:r w:rsidR="00451F8B" w:rsidRPr="00E819ED">
        <w:rPr>
          <w:rFonts w:asciiTheme="minorHAnsi" w:hAnsiTheme="minorHAnsi" w:cstheme="minorHAnsi"/>
          <w:sz w:val="24"/>
        </w:rPr>
        <w:t>Dále v</w:t>
      </w:r>
      <w:r w:rsidR="00174A94" w:rsidRPr="00E819ED">
        <w:rPr>
          <w:rFonts w:asciiTheme="minorHAnsi" w:hAnsiTheme="minorHAnsi" w:cstheme="minorHAnsi"/>
          <w:sz w:val="24"/>
        </w:rPr>
        <w:t>e zprávě pro závěrečné vyhodnocení akce nepravdivě uvedl</w:t>
      </w:r>
      <w:r w:rsidR="00451F8B" w:rsidRPr="00E819ED">
        <w:rPr>
          <w:rFonts w:asciiTheme="minorHAnsi" w:hAnsiTheme="minorHAnsi" w:cstheme="minorHAnsi"/>
          <w:sz w:val="24"/>
        </w:rPr>
        <w:t>a</w:t>
      </w:r>
      <w:r w:rsidR="00174A94" w:rsidRPr="00E819ED">
        <w:rPr>
          <w:rFonts w:asciiTheme="minorHAnsi" w:hAnsiTheme="minorHAnsi" w:cstheme="minorHAnsi"/>
          <w:sz w:val="24"/>
        </w:rPr>
        <w:t>, že všech devět vstupních bytů je pronajato osobám z</w:t>
      </w:r>
      <w:r w:rsidR="006C0225" w:rsidRPr="00E819ED">
        <w:rPr>
          <w:rFonts w:asciiTheme="minorHAnsi" w:hAnsiTheme="minorHAnsi" w:cstheme="minorHAnsi"/>
          <w:sz w:val="24"/>
        </w:rPr>
        <w:t xml:space="preserve"> </w:t>
      </w:r>
      <w:r w:rsidR="00174A94" w:rsidRPr="00E819ED">
        <w:rPr>
          <w:rFonts w:asciiTheme="minorHAnsi" w:hAnsiTheme="minorHAnsi" w:cstheme="minorHAnsi"/>
          <w:sz w:val="24"/>
        </w:rPr>
        <w:t xml:space="preserve">cílové skupiny, </w:t>
      </w:r>
      <w:r w:rsidR="00245847" w:rsidRPr="00E819ED">
        <w:rPr>
          <w:rFonts w:asciiTheme="minorHAnsi" w:hAnsiTheme="minorHAnsi" w:cstheme="minorHAnsi"/>
          <w:sz w:val="24"/>
        </w:rPr>
        <w:t xml:space="preserve">ale </w:t>
      </w:r>
      <w:r w:rsidR="00FC5713" w:rsidRPr="00E819ED">
        <w:rPr>
          <w:rFonts w:asciiTheme="minorHAnsi" w:hAnsiTheme="minorHAnsi" w:cstheme="minorHAnsi"/>
          <w:sz w:val="24"/>
        </w:rPr>
        <w:t>tuto podmínku naplnila jen u</w:t>
      </w:r>
      <w:r w:rsidR="00490608" w:rsidRPr="00E819ED">
        <w:rPr>
          <w:rFonts w:asciiTheme="minorHAnsi" w:hAnsiTheme="minorHAnsi" w:cstheme="minorHAnsi"/>
          <w:sz w:val="24"/>
        </w:rPr>
        <w:t> </w:t>
      </w:r>
      <w:r w:rsidR="00060950" w:rsidRPr="00E819ED">
        <w:rPr>
          <w:rFonts w:asciiTheme="minorHAnsi" w:hAnsiTheme="minorHAnsi" w:cstheme="minorHAnsi"/>
          <w:sz w:val="24"/>
        </w:rPr>
        <w:t>jednoho bytu.</w:t>
      </w:r>
      <w:r w:rsidR="00174A94" w:rsidRPr="00E819ED">
        <w:rPr>
          <w:rFonts w:asciiTheme="minorHAnsi" w:hAnsiTheme="minorHAnsi" w:cstheme="minorHAnsi"/>
          <w:sz w:val="24"/>
        </w:rPr>
        <w:t xml:space="preserve"> MMR </w:t>
      </w:r>
      <w:r w:rsidR="00174A94" w:rsidRPr="00E819ED">
        <w:rPr>
          <w:rFonts w:asciiTheme="minorHAnsi" w:eastAsiaTheme="minorHAnsi" w:hAnsiTheme="minorHAnsi" w:cstheme="minorHAnsi"/>
          <w:bCs/>
          <w:sz w:val="24"/>
        </w:rPr>
        <w:t xml:space="preserve">ukončilo závěrečné vyhodnocení této akce, přestože </w:t>
      </w:r>
      <w:r w:rsidR="0043488B">
        <w:rPr>
          <w:rFonts w:asciiTheme="minorHAnsi" w:eastAsiaTheme="minorHAnsi" w:hAnsiTheme="minorHAnsi" w:cstheme="minorHAnsi"/>
          <w:bCs/>
          <w:sz w:val="24"/>
        </w:rPr>
        <w:t>její</w:t>
      </w:r>
      <w:r w:rsidR="005C4056" w:rsidRPr="00E819ED">
        <w:rPr>
          <w:rFonts w:asciiTheme="minorHAnsi" w:eastAsiaTheme="minorHAnsi" w:hAnsiTheme="minorHAnsi" w:cstheme="minorHAnsi"/>
          <w:bCs/>
          <w:sz w:val="24"/>
        </w:rPr>
        <w:t xml:space="preserve"> dokumentace obsahovala vzorovou nájemní smlouvu obsahující ustanovení, která</w:t>
      </w:r>
      <w:r w:rsidR="00174A94" w:rsidRPr="00E819ED">
        <w:rPr>
          <w:rFonts w:asciiTheme="minorHAnsi" w:eastAsiaTheme="minorHAnsi" w:hAnsiTheme="minorHAnsi" w:cstheme="minorHAnsi"/>
          <w:bCs/>
          <w:sz w:val="24"/>
        </w:rPr>
        <w:t xml:space="preserve"> byl</w:t>
      </w:r>
      <w:r w:rsidR="005C4056" w:rsidRPr="00E819ED">
        <w:rPr>
          <w:rFonts w:asciiTheme="minorHAnsi" w:eastAsiaTheme="minorHAnsi" w:hAnsiTheme="minorHAnsi" w:cstheme="minorHAnsi"/>
          <w:bCs/>
          <w:sz w:val="24"/>
        </w:rPr>
        <w:t>a</w:t>
      </w:r>
      <w:r w:rsidR="00174A94" w:rsidRPr="00E819ED">
        <w:rPr>
          <w:rFonts w:asciiTheme="minorHAnsi" w:eastAsiaTheme="minorHAnsi" w:hAnsiTheme="minorHAnsi" w:cstheme="minorHAnsi"/>
          <w:bCs/>
          <w:sz w:val="24"/>
        </w:rPr>
        <w:t xml:space="preserve"> v</w:t>
      </w:r>
      <w:r w:rsidR="00490608" w:rsidRPr="00E819ED">
        <w:rPr>
          <w:rFonts w:asciiTheme="minorHAnsi" w:eastAsiaTheme="minorHAnsi" w:hAnsiTheme="minorHAnsi" w:cstheme="minorHAnsi"/>
          <w:bCs/>
          <w:sz w:val="24"/>
        </w:rPr>
        <w:t> </w:t>
      </w:r>
      <w:r w:rsidR="00174A94" w:rsidRPr="00E819ED">
        <w:rPr>
          <w:rFonts w:asciiTheme="minorHAnsi" w:eastAsiaTheme="minorHAnsi" w:hAnsiTheme="minorHAnsi" w:cstheme="minorHAnsi"/>
          <w:bCs/>
          <w:sz w:val="24"/>
        </w:rPr>
        <w:t>rozporu s</w:t>
      </w:r>
      <w:r w:rsidR="006C0225" w:rsidRPr="00E819ED">
        <w:rPr>
          <w:rFonts w:asciiTheme="minorHAnsi" w:eastAsiaTheme="minorHAnsi" w:hAnsiTheme="minorHAnsi" w:cstheme="minorHAnsi"/>
          <w:bCs/>
          <w:sz w:val="24"/>
        </w:rPr>
        <w:t xml:space="preserve"> </w:t>
      </w:r>
      <w:r w:rsidR="00174A94" w:rsidRPr="00E819ED">
        <w:rPr>
          <w:rFonts w:asciiTheme="minorHAnsi" w:eastAsiaTheme="minorHAnsi" w:hAnsiTheme="minorHAnsi" w:cstheme="minorHAnsi"/>
          <w:bCs/>
          <w:sz w:val="24"/>
        </w:rPr>
        <w:t xml:space="preserve">podmínkami programu. </w:t>
      </w:r>
      <w:r w:rsidR="00214020">
        <w:rPr>
          <w:rFonts w:asciiTheme="minorHAnsi" w:eastAsiaTheme="minorHAnsi" w:hAnsiTheme="minorHAnsi" w:cstheme="minorHAnsi"/>
          <w:bCs/>
          <w:sz w:val="24"/>
        </w:rPr>
        <w:t xml:space="preserve">Společnost </w:t>
      </w:r>
      <w:r w:rsidR="005C4056" w:rsidRPr="00E819ED">
        <w:rPr>
          <w:rFonts w:asciiTheme="minorHAnsi" w:hAnsiTheme="minorHAnsi" w:cstheme="minorHAnsi"/>
          <w:sz w:val="24"/>
        </w:rPr>
        <w:t>RÝPAR</w:t>
      </w:r>
      <w:r w:rsidR="00214020">
        <w:rPr>
          <w:rFonts w:asciiTheme="minorHAnsi" w:hAnsiTheme="minorHAnsi" w:cstheme="minorHAnsi"/>
          <w:sz w:val="24"/>
        </w:rPr>
        <w:t>-</w:t>
      </w:r>
      <w:r w:rsidR="005C4056" w:rsidRPr="00E819ED">
        <w:rPr>
          <w:rFonts w:asciiTheme="minorHAnsi" w:hAnsiTheme="minorHAnsi" w:cstheme="minorHAnsi"/>
          <w:sz w:val="24"/>
        </w:rPr>
        <w:t xml:space="preserve">STAV s.r.o. tuto </w:t>
      </w:r>
      <w:r w:rsidR="00451F8B" w:rsidRPr="00E819ED">
        <w:rPr>
          <w:rFonts w:asciiTheme="minorHAnsi" w:hAnsiTheme="minorHAnsi" w:cstheme="minorHAnsi"/>
          <w:sz w:val="24"/>
        </w:rPr>
        <w:t xml:space="preserve">nájemní </w:t>
      </w:r>
      <w:r w:rsidR="005C4056" w:rsidRPr="00E819ED">
        <w:rPr>
          <w:rFonts w:asciiTheme="minorHAnsi" w:hAnsiTheme="minorHAnsi" w:cstheme="minorHAnsi"/>
          <w:sz w:val="24"/>
        </w:rPr>
        <w:t>smlouvu použil</w:t>
      </w:r>
      <w:r w:rsidR="00451F8B" w:rsidRPr="00E819ED">
        <w:rPr>
          <w:rFonts w:asciiTheme="minorHAnsi" w:hAnsiTheme="minorHAnsi" w:cstheme="minorHAnsi"/>
          <w:sz w:val="24"/>
        </w:rPr>
        <w:t>a</w:t>
      </w:r>
      <w:r w:rsidR="00FC5713" w:rsidRPr="00E819ED">
        <w:rPr>
          <w:rFonts w:asciiTheme="minorHAnsi" w:hAnsiTheme="minorHAnsi" w:cstheme="minorHAnsi"/>
          <w:sz w:val="24"/>
        </w:rPr>
        <w:t xml:space="preserve"> a</w:t>
      </w:r>
      <w:r w:rsidR="00490608" w:rsidRPr="00E819ED">
        <w:rPr>
          <w:rFonts w:asciiTheme="minorHAnsi" w:hAnsiTheme="minorHAnsi" w:cstheme="minorHAnsi"/>
          <w:sz w:val="24"/>
        </w:rPr>
        <w:t> </w:t>
      </w:r>
      <w:r w:rsidR="00003698" w:rsidRPr="00E819ED">
        <w:rPr>
          <w:rFonts w:asciiTheme="minorHAnsi" w:hAnsiTheme="minorHAnsi" w:cstheme="minorHAnsi"/>
          <w:sz w:val="24"/>
        </w:rPr>
        <w:t>vybral</w:t>
      </w:r>
      <w:r w:rsidR="00451F8B" w:rsidRPr="00E819ED">
        <w:rPr>
          <w:rFonts w:asciiTheme="minorHAnsi" w:hAnsiTheme="minorHAnsi" w:cstheme="minorHAnsi"/>
          <w:sz w:val="24"/>
        </w:rPr>
        <w:t>a</w:t>
      </w:r>
      <w:r w:rsidR="00003698" w:rsidRPr="00E819ED">
        <w:rPr>
          <w:rFonts w:asciiTheme="minorHAnsi" w:hAnsiTheme="minorHAnsi" w:cstheme="minorHAnsi"/>
          <w:sz w:val="24"/>
        </w:rPr>
        <w:t xml:space="preserve"> od nájemníků</w:t>
      </w:r>
      <w:r w:rsidR="005C4056" w:rsidRPr="00E819ED">
        <w:rPr>
          <w:rFonts w:asciiTheme="minorHAnsi" w:hAnsiTheme="minorHAnsi" w:cstheme="minorHAnsi"/>
          <w:sz w:val="24"/>
        </w:rPr>
        <w:t xml:space="preserve"> bytů jistotu na zajištění svých budoucích pohl</w:t>
      </w:r>
      <w:r w:rsidR="00003698" w:rsidRPr="00E819ED">
        <w:rPr>
          <w:rFonts w:asciiTheme="minorHAnsi" w:hAnsiTheme="minorHAnsi" w:cstheme="minorHAnsi"/>
          <w:sz w:val="24"/>
        </w:rPr>
        <w:t>edávek</w:t>
      </w:r>
      <w:r w:rsidR="00451F8B" w:rsidRPr="00E819ED">
        <w:rPr>
          <w:rFonts w:asciiTheme="minorHAnsi" w:hAnsiTheme="minorHAnsi" w:cstheme="minorHAnsi"/>
          <w:sz w:val="24"/>
        </w:rPr>
        <w:t xml:space="preserve"> a</w:t>
      </w:r>
      <w:r w:rsidR="006C0225" w:rsidRPr="00E819ED">
        <w:rPr>
          <w:rFonts w:asciiTheme="minorHAnsi" w:hAnsiTheme="minorHAnsi" w:cstheme="minorHAnsi"/>
          <w:sz w:val="24"/>
        </w:rPr>
        <w:t xml:space="preserve"> </w:t>
      </w:r>
      <w:r w:rsidR="00003698" w:rsidRPr="00E819ED">
        <w:rPr>
          <w:rFonts w:asciiTheme="minorHAnsi" w:hAnsiTheme="minorHAnsi" w:cstheme="minorHAnsi"/>
          <w:sz w:val="24"/>
        </w:rPr>
        <w:t>zálohy na správu domu a</w:t>
      </w:r>
      <w:r w:rsidR="00214020">
        <w:rPr>
          <w:rFonts w:asciiTheme="minorHAnsi" w:hAnsiTheme="minorHAnsi" w:cstheme="minorHAnsi"/>
          <w:sz w:val="24"/>
        </w:rPr>
        <w:t> do</w:t>
      </w:r>
      <w:r w:rsidR="00003698" w:rsidRPr="00E819ED">
        <w:rPr>
          <w:rFonts w:asciiTheme="minorHAnsi" w:hAnsiTheme="minorHAnsi" w:cstheme="minorHAnsi"/>
          <w:sz w:val="24"/>
        </w:rPr>
        <w:t xml:space="preserve"> fond</w:t>
      </w:r>
      <w:r w:rsidR="00451F8B" w:rsidRPr="00E819ED">
        <w:rPr>
          <w:rFonts w:asciiTheme="minorHAnsi" w:hAnsiTheme="minorHAnsi" w:cstheme="minorHAnsi"/>
          <w:sz w:val="24"/>
        </w:rPr>
        <w:t>u</w:t>
      </w:r>
      <w:r w:rsidR="00003698" w:rsidRPr="00E819ED">
        <w:rPr>
          <w:rFonts w:asciiTheme="minorHAnsi" w:hAnsiTheme="minorHAnsi" w:cstheme="minorHAnsi"/>
          <w:sz w:val="24"/>
        </w:rPr>
        <w:t xml:space="preserve"> oprav. Uvedeným jednáním </w:t>
      </w:r>
      <w:r w:rsidR="00214020">
        <w:rPr>
          <w:rFonts w:asciiTheme="minorHAnsi" w:hAnsiTheme="minorHAnsi" w:cstheme="minorHAnsi"/>
          <w:sz w:val="24"/>
        </w:rPr>
        <w:t xml:space="preserve">společnost </w:t>
      </w:r>
      <w:r w:rsidR="00003698" w:rsidRPr="00E819ED">
        <w:rPr>
          <w:rFonts w:asciiTheme="minorHAnsi" w:hAnsiTheme="minorHAnsi" w:cstheme="minorHAnsi"/>
          <w:sz w:val="24"/>
        </w:rPr>
        <w:t>RÝPAR</w:t>
      </w:r>
      <w:r w:rsidR="00214020">
        <w:rPr>
          <w:rFonts w:asciiTheme="minorHAnsi" w:hAnsiTheme="minorHAnsi" w:cstheme="minorHAnsi"/>
          <w:sz w:val="24"/>
        </w:rPr>
        <w:t>-</w:t>
      </w:r>
      <w:r w:rsidR="00003698" w:rsidRPr="00E819ED">
        <w:rPr>
          <w:rFonts w:asciiTheme="minorHAnsi" w:hAnsiTheme="minorHAnsi" w:cstheme="minorHAnsi"/>
          <w:sz w:val="24"/>
        </w:rPr>
        <w:t xml:space="preserve">STAV s.r.o. </w:t>
      </w:r>
      <w:r w:rsidR="00451F8B" w:rsidRPr="00E819ED">
        <w:rPr>
          <w:rFonts w:asciiTheme="minorHAnsi" w:hAnsiTheme="minorHAnsi" w:cstheme="minorHAnsi"/>
          <w:sz w:val="24"/>
        </w:rPr>
        <w:t xml:space="preserve">porušila podmínky dané </w:t>
      </w:r>
      <w:r w:rsidR="0043488B">
        <w:rPr>
          <w:rFonts w:asciiTheme="minorHAnsi" w:hAnsiTheme="minorHAnsi" w:cstheme="minorHAnsi"/>
          <w:sz w:val="24"/>
        </w:rPr>
        <w:t>r</w:t>
      </w:r>
      <w:r w:rsidR="00003698" w:rsidRPr="00E819ED">
        <w:rPr>
          <w:rFonts w:asciiTheme="minorHAnsi" w:hAnsiTheme="minorHAnsi" w:cstheme="minorHAnsi"/>
          <w:sz w:val="24"/>
        </w:rPr>
        <w:t>ozhodnutí</w:t>
      </w:r>
      <w:r w:rsidR="00E1725D" w:rsidRPr="00E819ED">
        <w:rPr>
          <w:rFonts w:asciiTheme="minorHAnsi" w:hAnsiTheme="minorHAnsi" w:cstheme="minorHAnsi"/>
          <w:sz w:val="24"/>
        </w:rPr>
        <w:t>m</w:t>
      </w:r>
      <w:r w:rsidR="00003698" w:rsidRPr="00E819ED">
        <w:rPr>
          <w:rFonts w:asciiTheme="minorHAnsi" w:hAnsiTheme="minorHAnsi" w:cstheme="minorHAnsi"/>
          <w:sz w:val="24"/>
        </w:rPr>
        <w:t xml:space="preserve"> o</w:t>
      </w:r>
      <w:r w:rsidR="00214020">
        <w:rPr>
          <w:rFonts w:asciiTheme="minorHAnsi" w:hAnsiTheme="minorHAnsi" w:cstheme="minorHAnsi"/>
          <w:sz w:val="24"/>
        </w:rPr>
        <w:t> </w:t>
      </w:r>
      <w:r w:rsidR="00003698" w:rsidRPr="00E819ED">
        <w:rPr>
          <w:rFonts w:asciiTheme="minorHAnsi" w:hAnsiTheme="minorHAnsi" w:cstheme="minorHAnsi"/>
          <w:sz w:val="24"/>
        </w:rPr>
        <w:t>poskytnutí dotace</w:t>
      </w:r>
      <w:r w:rsidR="00763FAD" w:rsidRPr="00E819ED">
        <w:rPr>
          <w:rFonts w:asciiTheme="minorHAnsi" w:hAnsiTheme="minorHAnsi" w:cstheme="minorHAnsi"/>
          <w:sz w:val="24"/>
        </w:rPr>
        <w:t xml:space="preserve"> a</w:t>
      </w:r>
      <w:r w:rsidR="0051464E">
        <w:rPr>
          <w:rFonts w:asciiTheme="minorHAnsi" w:hAnsiTheme="minorHAnsi" w:cstheme="minorHAnsi"/>
          <w:sz w:val="24"/>
        </w:rPr>
        <w:t> </w:t>
      </w:r>
      <w:r w:rsidR="00763FAD" w:rsidRPr="00E819ED">
        <w:rPr>
          <w:rFonts w:asciiTheme="minorHAnsi" w:hAnsiTheme="minorHAnsi" w:cstheme="minorHAnsi"/>
          <w:sz w:val="24"/>
        </w:rPr>
        <w:t xml:space="preserve">zároveň </w:t>
      </w:r>
      <w:r w:rsidR="000F08CE" w:rsidRPr="00E819ED">
        <w:rPr>
          <w:rFonts w:asciiTheme="minorHAnsi" w:hAnsiTheme="minorHAnsi" w:cstheme="minorHAnsi"/>
          <w:sz w:val="24"/>
        </w:rPr>
        <w:t>rozpočtovou kázeň</w:t>
      </w:r>
      <w:r w:rsidR="00003698" w:rsidRPr="00E819ED">
        <w:rPr>
          <w:rFonts w:asciiTheme="minorHAnsi" w:hAnsiTheme="minorHAnsi" w:cstheme="minorHAnsi"/>
          <w:sz w:val="24"/>
        </w:rPr>
        <w:t xml:space="preserve"> ve smyslu ustanovení §</w:t>
      </w:r>
      <w:r w:rsidR="00490608" w:rsidRPr="00E819ED">
        <w:rPr>
          <w:rFonts w:asciiTheme="minorHAnsi" w:hAnsiTheme="minorHAnsi" w:cstheme="minorHAnsi"/>
          <w:sz w:val="24"/>
        </w:rPr>
        <w:t> </w:t>
      </w:r>
      <w:r w:rsidR="00003698" w:rsidRPr="00E819ED">
        <w:rPr>
          <w:rFonts w:asciiTheme="minorHAnsi" w:hAnsiTheme="minorHAnsi" w:cstheme="minorHAnsi"/>
          <w:sz w:val="24"/>
        </w:rPr>
        <w:t>44</w:t>
      </w:r>
      <w:r w:rsidR="006C0225" w:rsidRPr="00E819ED">
        <w:rPr>
          <w:rFonts w:asciiTheme="minorHAnsi" w:hAnsiTheme="minorHAnsi" w:cstheme="minorHAnsi"/>
          <w:sz w:val="24"/>
        </w:rPr>
        <w:t xml:space="preserve"> </w:t>
      </w:r>
      <w:r w:rsidR="00003698" w:rsidRPr="00E819ED">
        <w:rPr>
          <w:rFonts w:asciiTheme="minorHAnsi" w:hAnsiTheme="minorHAnsi" w:cstheme="minorHAnsi"/>
          <w:sz w:val="24"/>
        </w:rPr>
        <w:t>odst. 1 písm. b) zákona č.</w:t>
      </w:r>
      <w:r w:rsidR="0051464E">
        <w:rPr>
          <w:rFonts w:asciiTheme="minorHAnsi" w:hAnsiTheme="minorHAnsi" w:cstheme="minorHAnsi"/>
          <w:sz w:val="24"/>
        </w:rPr>
        <w:t> </w:t>
      </w:r>
      <w:r w:rsidR="00003698" w:rsidRPr="00E819ED">
        <w:rPr>
          <w:rFonts w:asciiTheme="minorHAnsi" w:hAnsiTheme="minorHAnsi" w:cstheme="minorHAnsi"/>
          <w:sz w:val="24"/>
        </w:rPr>
        <w:t>218/2000</w:t>
      </w:r>
      <w:r w:rsidR="006C0225" w:rsidRPr="00E819ED">
        <w:rPr>
          <w:rFonts w:asciiTheme="minorHAnsi" w:hAnsiTheme="minorHAnsi" w:cstheme="minorHAnsi"/>
          <w:sz w:val="24"/>
        </w:rPr>
        <w:t xml:space="preserve"> </w:t>
      </w:r>
      <w:r w:rsidR="00003698" w:rsidRPr="00E819ED">
        <w:rPr>
          <w:rFonts w:asciiTheme="minorHAnsi" w:hAnsiTheme="minorHAnsi" w:cstheme="minorHAnsi"/>
          <w:sz w:val="24"/>
        </w:rPr>
        <w:t>Sb.</w:t>
      </w:r>
    </w:p>
    <w:p w14:paraId="528E44DB" w14:textId="77777777" w:rsidR="00FC6D82" w:rsidRPr="00FC6D82" w:rsidRDefault="00FC6D82" w:rsidP="00FC6D82">
      <w:pPr>
        <w:tabs>
          <w:tab w:val="left" w:pos="284"/>
        </w:tabs>
        <w:rPr>
          <w:rFonts w:asciiTheme="minorHAnsi" w:hAnsiTheme="minorHAnsi" w:cstheme="minorHAnsi"/>
          <w:sz w:val="24"/>
        </w:rPr>
      </w:pPr>
    </w:p>
    <w:p w14:paraId="057ABC48" w14:textId="528CBA21" w:rsidR="007E7409" w:rsidRPr="00E819ED" w:rsidRDefault="007E7409" w:rsidP="00E819ED">
      <w:pPr>
        <w:pStyle w:val="Odstavecseseznamem"/>
        <w:widowControl w:val="0"/>
        <w:numPr>
          <w:ilvl w:val="0"/>
          <w:numId w:val="7"/>
        </w:numPr>
        <w:tabs>
          <w:tab w:val="left" w:pos="284"/>
        </w:tabs>
        <w:spacing w:after="0" w:line="240" w:lineRule="auto"/>
        <w:ind w:left="284" w:hanging="284"/>
        <w:contextualSpacing w:val="0"/>
        <w:jc w:val="both"/>
        <w:rPr>
          <w:rFonts w:asciiTheme="minorHAnsi" w:hAnsiTheme="minorHAnsi" w:cstheme="minorHAnsi"/>
          <w:sz w:val="24"/>
        </w:rPr>
      </w:pPr>
      <w:r w:rsidRPr="00E819ED">
        <w:rPr>
          <w:rFonts w:asciiTheme="minorHAnsi" w:hAnsiTheme="minorHAnsi" w:cstheme="minorHAnsi"/>
          <w:bCs/>
          <w:sz w:val="24"/>
        </w:rPr>
        <w:lastRenderedPageBreak/>
        <w:t>Městys Mohelno</w:t>
      </w:r>
      <w:r w:rsidR="00635B83" w:rsidRPr="00E819ED">
        <w:rPr>
          <w:rFonts w:asciiTheme="minorHAnsi" w:hAnsiTheme="minorHAnsi" w:cstheme="minorHAnsi"/>
          <w:bCs/>
          <w:sz w:val="24"/>
        </w:rPr>
        <w:t>, který získal dotaci ve výši 3</w:t>
      </w:r>
      <w:r w:rsidR="006C0225" w:rsidRPr="00E819ED">
        <w:rPr>
          <w:rFonts w:asciiTheme="minorHAnsi" w:hAnsiTheme="minorHAnsi" w:cstheme="minorHAnsi"/>
          <w:bCs/>
          <w:sz w:val="24"/>
        </w:rPr>
        <w:t xml:space="preserve"> </w:t>
      </w:r>
      <w:r w:rsidR="00635B83" w:rsidRPr="00E819ED">
        <w:rPr>
          <w:rFonts w:asciiTheme="minorHAnsi" w:hAnsiTheme="minorHAnsi" w:cstheme="minorHAnsi"/>
          <w:bCs/>
          <w:sz w:val="24"/>
        </w:rPr>
        <w:t>500 000</w:t>
      </w:r>
      <w:r w:rsidRPr="00E819ED">
        <w:rPr>
          <w:rFonts w:asciiTheme="minorHAnsi" w:hAnsiTheme="minorHAnsi" w:cstheme="minorHAnsi"/>
          <w:bCs/>
          <w:sz w:val="24"/>
        </w:rPr>
        <w:t xml:space="preserve"> </w:t>
      </w:r>
      <w:r w:rsidR="00635B83" w:rsidRPr="00E819ED">
        <w:rPr>
          <w:rFonts w:asciiTheme="minorHAnsi" w:hAnsiTheme="minorHAnsi" w:cstheme="minorHAnsi"/>
          <w:bCs/>
          <w:sz w:val="24"/>
        </w:rPr>
        <w:t xml:space="preserve">Kč, </w:t>
      </w:r>
      <w:r w:rsidR="00636339" w:rsidRPr="00E819ED">
        <w:rPr>
          <w:rFonts w:asciiTheme="minorHAnsi" w:hAnsiTheme="minorHAnsi" w:cstheme="minorHAnsi"/>
          <w:bCs/>
          <w:sz w:val="24"/>
        </w:rPr>
        <w:t>v</w:t>
      </w:r>
      <w:r w:rsidR="006C0225" w:rsidRPr="00E819ED">
        <w:rPr>
          <w:rFonts w:asciiTheme="minorHAnsi" w:hAnsiTheme="minorHAnsi" w:cstheme="minorHAnsi"/>
          <w:bCs/>
          <w:sz w:val="24"/>
        </w:rPr>
        <w:t xml:space="preserve"> </w:t>
      </w:r>
      <w:r w:rsidR="00636339" w:rsidRPr="00E819ED">
        <w:rPr>
          <w:rFonts w:asciiTheme="minorHAnsi" w:hAnsiTheme="minorHAnsi" w:cstheme="minorHAnsi"/>
          <w:bCs/>
          <w:sz w:val="24"/>
        </w:rPr>
        <w:t xml:space="preserve">rámci zadávacího řízení na veřejnou zakázku </w:t>
      </w:r>
      <w:r w:rsidR="00636339" w:rsidRPr="00E819ED">
        <w:rPr>
          <w:rFonts w:asciiTheme="minorHAnsi" w:hAnsiTheme="minorHAnsi" w:cstheme="minorHAnsi"/>
          <w:bCs/>
          <w:i/>
          <w:sz w:val="24"/>
        </w:rPr>
        <w:t>Přestavba budovy na byty pro seniory</w:t>
      </w:r>
      <w:r w:rsidR="00636339" w:rsidRPr="00E819ED">
        <w:rPr>
          <w:rFonts w:asciiTheme="minorHAnsi" w:hAnsiTheme="minorHAnsi" w:cstheme="minorHAnsi"/>
          <w:bCs/>
          <w:sz w:val="24"/>
        </w:rPr>
        <w:t xml:space="preserve"> </w:t>
      </w:r>
      <w:r w:rsidRPr="00E819ED">
        <w:rPr>
          <w:rFonts w:asciiTheme="minorHAnsi" w:hAnsiTheme="minorHAnsi" w:cstheme="minorHAnsi"/>
          <w:bCs/>
          <w:sz w:val="24"/>
        </w:rPr>
        <w:t>přijal a posuzoval nabídky, které obsahovaly některé dokumenty s</w:t>
      </w:r>
      <w:r w:rsidR="006C0225" w:rsidRPr="00E819ED">
        <w:rPr>
          <w:rFonts w:asciiTheme="minorHAnsi" w:hAnsiTheme="minorHAnsi" w:cstheme="minorHAnsi"/>
          <w:bCs/>
          <w:sz w:val="24"/>
        </w:rPr>
        <w:t xml:space="preserve"> </w:t>
      </w:r>
      <w:r w:rsidRPr="00E819ED">
        <w:rPr>
          <w:rFonts w:asciiTheme="minorHAnsi" w:hAnsiTheme="minorHAnsi" w:cstheme="minorHAnsi"/>
          <w:bCs/>
          <w:sz w:val="24"/>
        </w:rPr>
        <w:t xml:space="preserve">datem pozdějším, než </w:t>
      </w:r>
      <w:r w:rsidR="00636339" w:rsidRPr="00E819ED">
        <w:rPr>
          <w:rFonts w:asciiTheme="minorHAnsi" w:hAnsiTheme="minorHAnsi" w:cstheme="minorHAnsi"/>
          <w:bCs/>
          <w:sz w:val="24"/>
        </w:rPr>
        <w:t xml:space="preserve">bylo datum přijetí nabídky. </w:t>
      </w:r>
      <w:r w:rsidR="00574668" w:rsidRPr="00E819ED">
        <w:rPr>
          <w:rFonts w:asciiTheme="minorHAnsi" w:hAnsiTheme="minorHAnsi" w:cstheme="minorHAnsi"/>
          <w:sz w:val="24"/>
        </w:rPr>
        <w:t>Jeden z</w:t>
      </w:r>
      <w:r w:rsidR="00490608" w:rsidRPr="00E819ED">
        <w:rPr>
          <w:rFonts w:asciiTheme="minorHAnsi" w:hAnsiTheme="minorHAnsi" w:cstheme="minorHAnsi"/>
          <w:sz w:val="24"/>
        </w:rPr>
        <w:t> </w:t>
      </w:r>
      <w:r w:rsidR="00574668" w:rsidRPr="00E819ED">
        <w:rPr>
          <w:rFonts w:asciiTheme="minorHAnsi" w:hAnsiTheme="minorHAnsi" w:cstheme="minorHAnsi"/>
          <w:sz w:val="24"/>
        </w:rPr>
        <w:t xml:space="preserve">uchazečů dokonce podal nabídku dříve, než si vyzvedl zadávací dokumentaci. Městys Mohelno tak </w:t>
      </w:r>
      <w:r w:rsidRPr="00E819ED">
        <w:rPr>
          <w:rFonts w:asciiTheme="minorHAnsi" w:hAnsiTheme="minorHAnsi" w:cstheme="minorHAnsi"/>
          <w:bCs/>
          <w:sz w:val="24"/>
        </w:rPr>
        <w:t>nedodržel zásadu transparentnosti</w:t>
      </w:r>
      <w:r w:rsidR="00214020">
        <w:rPr>
          <w:rFonts w:asciiTheme="minorHAnsi" w:hAnsiTheme="minorHAnsi" w:cstheme="minorHAnsi"/>
          <w:bCs/>
          <w:sz w:val="24"/>
        </w:rPr>
        <w:t>, čímž</w:t>
      </w:r>
      <w:r w:rsidRPr="00E819ED">
        <w:rPr>
          <w:rFonts w:asciiTheme="minorHAnsi" w:hAnsiTheme="minorHAnsi" w:cstheme="minorHAnsi"/>
          <w:bCs/>
          <w:sz w:val="24"/>
        </w:rPr>
        <w:t xml:space="preserve"> porušil ustanovení § 18 odst.</w:t>
      </w:r>
      <w:r w:rsidR="00214020">
        <w:rPr>
          <w:rFonts w:asciiTheme="minorHAnsi" w:hAnsiTheme="minorHAnsi" w:cstheme="minorHAnsi"/>
          <w:bCs/>
          <w:sz w:val="24"/>
        </w:rPr>
        <w:t> </w:t>
      </w:r>
      <w:r w:rsidRPr="00E819ED">
        <w:rPr>
          <w:rFonts w:asciiTheme="minorHAnsi" w:hAnsiTheme="minorHAnsi" w:cstheme="minorHAnsi"/>
          <w:bCs/>
          <w:sz w:val="24"/>
        </w:rPr>
        <w:t xml:space="preserve">5 zákona </w:t>
      </w:r>
      <w:r w:rsidR="00636339" w:rsidRPr="00E819ED">
        <w:rPr>
          <w:rFonts w:asciiTheme="minorHAnsi" w:hAnsiTheme="minorHAnsi" w:cstheme="minorHAnsi"/>
          <w:bCs/>
          <w:sz w:val="24"/>
        </w:rPr>
        <w:t>o</w:t>
      </w:r>
      <w:r w:rsidR="0004659F" w:rsidRPr="00E819ED">
        <w:rPr>
          <w:rFonts w:asciiTheme="minorHAnsi" w:hAnsiTheme="minorHAnsi" w:cstheme="minorHAnsi"/>
          <w:bCs/>
          <w:sz w:val="24"/>
        </w:rPr>
        <w:t xml:space="preserve"> veřejných zakázkách, </w:t>
      </w:r>
      <w:r w:rsidR="0004659F" w:rsidRPr="00E819ED">
        <w:rPr>
          <w:rFonts w:asciiTheme="minorHAnsi" w:hAnsiTheme="minorHAnsi" w:cstheme="minorHAnsi"/>
          <w:sz w:val="24"/>
        </w:rPr>
        <w:t xml:space="preserve">podmínky dané </w:t>
      </w:r>
      <w:r w:rsidR="0051464E">
        <w:rPr>
          <w:rFonts w:asciiTheme="minorHAnsi" w:hAnsiTheme="minorHAnsi" w:cstheme="minorHAnsi"/>
          <w:sz w:val="24"/>
        </w:rPr>
        <w:t>r</w:t>
      </w:r>
      <w:r w:rsidR="0004659F" w:rsidRPr="00E819ED">
        <w:rPr>
          <w:rFonts w:asciiTheme="minorHAnsi" w:hAnsiTheme="minorHAnsi" w:cstheme="minorHAnsi"/>
          <w:sz w:val="24"/>
        </w:rPr>
        <w:t>ozhodnutím o</w:t>
      </w:r>
      <w:r w:rsidR="006C0225" w:rsidRPr="00E819ED">
        <w:rPr>
          <w:rFonts w:asciiTheme="minorHAnsi" w:hAnsiTheme="minorHAnsi" w:cstheme="minorHAnsi"/>
          <w:sz w:val="24"/>
        </w:rPr>
        <w:t xml:space="preserve"> </w:t>
      </w:r>
      <w:r w:rsidR="0004659F" w:rsidRPr="00E819ED">
        <w:rPr>
          <w:rFonts w:asciiTheme="minorHAnsi" w:hAnsiTheme="minorHAnsi" w:cstheme="minorHAnsi"/>
          <w:sz w:val="24"/>
        </w:rPr>
        <w:t>poskytnutí dotace</w:t>
      </w:r>
      <w:r w:rsidR="0004659F" w:rsidRPr="00E819ED">
        <w:rPr>
          <w:rFonts w:asciiTheme="minorHAnsi" w:hAnsiTheme="minorHAnsi" w:cstheme="minorHAnsi"/>
          <w:bCs/>
          <w:sz w:val="24"/>
        </w:rPr>
        <w:t xml:space="preserve"> a</w:t>
      </w:r>
      <w:r w:rsidR="00FC6D82">
        <w:rPr>
          <w:rFonts w:asciiTheme="minorHAnsi" w:hAnsiTheme="minorHAnsi" w:cstheme="minorHAnsi"/>
          <w:bCs/>
          <w:sz w:val="24"/>
        </w:rPr>
        <w:t> </w:t>
      </w:r>
      <w:r w:rsidR="0004659F" w:rsidRPr="00E819ED">
        <w:rPr>
          <w:rFonts w:asciiTheme="minorHAnsi" w:hAnsiTheme="minorHAnsi" w:cstheme="minorHAnsi"/>
          <w:bCs/>
          <w:sz w:val="24"/>
        </w:rPr>
        <w:t>zároveň</w:t>
      </w:r>
      <w:r w:rsidR="00636339" w:rsidRPr="00E819ED">
        <w:rPr>
          <w:rFonts w:asciiTheme="minorHAnsi" w:hAnsiTheme="minorHAnsi" w:cstheme="minorHAnsi"/>
          <w:bCs/>
          <w:sz w:val="24"/>
        </w:rPr>
        <w:t xml:space="preserve"> </w:t>
      </w:r>
      <w:r w:rsidRPr="00E819ED">
        <w:rPr>
          <w:rFonts w:asciiTheme="minorHAnsi" w:hAnsiTheme="minorHAnsi" w:cstheme="minorHAnsi"/>
          <w:bCs/>
          <w:sz w:val="24"/>
        </w:rPr>
        <w:t xml:space="preserve">rozpočtovou kázeň podle § </w:t>
      </w:r>
      <w:r w:rsidR="002845C2" w:rsidRPr="00E819ED">
        <w:rPr>
          <w:rFonts w:asciiTheme="minorHAnsi" w:hAnsiTheme="minorHAnsi" w:cstheme="minorHAnsi"/>
          <w:bCs/>
          <w:sz w:val="24"/>
        </w:rPr>
        <w:t xml:space="preserve">44 odst. 1 písm. b) </w:t>
      </w:r>
      <w:r w:rsidR="002845C2" w:rsidRPr="00E819ED">
        <w:rPr>
          <w:rFonts w:asciiTheme="minorHAnsi" w:hAnsiTheme="minorHAnsi" w:cstheme="minorHAnsi"/>
          <w:sz w:val="24"/>
        </w:rPr>
        <w:t>zákona č.</w:t>
      </w:r>
      <w:r w:rsidR="006C0225" w:rsidRPr="00E819ED">
        <w:rPr>
          <w:rFonts w:asciiTheme="minorHAnsi" w:hAnsiTheme="minorHAnsi" w:cstheme="minorHAnsi"/>
          <w:sz w:val="24"/>
        </w:rPr>
        <w:t xml:space="preserve"> </w:t>
      </w:r>
      <w:r w:rsidR="002845C2" w:rsidRPr="00E819ED">
        <w:rPr>
          <w:rFonts w:asciiTheme="minorHAnsi" w:hAnsiTheme="minorHAnsi" w:cstheme="minorHAnsi"/>
          <w:sz w:val="24"/>
        </w:rPr>
        <w:t>218/2000</w:t>
      </w:r>
      <w:r w:rsidR="006C0225" w:rsidRPr="00E819ED">
        <w:rPr>
          <w:rFonts w:asciiTheme="minorHAnsi" w:hAnsiTheme="minorHAnsi" w:cstheme="minorHAnsi"/>
          <w:sz w:val="24"/>
        </w:rPr>
        <w:t xml:space="preserve"> </w:t>
      </w:r>
      <w:r w:rsidR="002845C2" w:rsidRPr="00E819ED">
        <w:rPr>
          <w:rFonts w:asciiTheme="minorHAnsi" w:hAnsiTheme="minorHAnsi" w:cstheme="minorHAnsi"/>
          <w:sz w:val="24"/>
        </w:rPr>
        <w:t>Sb.</w:t>
      </w:r>
      <w:r w:rsidRPr="00E819ED">
        <w:rPr>
          <w:rFonts w:asciiTheme="minorHAnsi" w:hAnsiTheme="minorHAnsi" w:cstheme="minorHAnsi"/>
          <w:bCs/>
          <w:sz w:val="24"/>
        </w:rPr>
        <w:t xml:space="preserve"> </w:t>
      </w:r>
    </w:p>
    <w:p w14:paraId="5095B819" w14:textId="77777777" w:rsidR="00627778" w:rsidRPr="00626B6D" w:rsidRDefault="00627778" w:rsidP="00214020">
      <w:pPr>
        <w:autoSpaceDE w:val="0"/>
        <w:autoSpaceDN w:val="0"/>
        <w:adjustRightInd w:val="0"/>
        <w:rPr>
          <w:rFonts w:asciiTheme="minorHAnsi" w:hAnsiTheme="minorHAnsi" w:cstheme="minorHAnsi"/>
          <w:sz w:val="24"/>
        </w:rPr>
      </w:pPr>
    </w:p>
    <w:p w14:paraId="5355F6EE" w14:textId="77777777" w:rsidR="00205B34" w:rsidRDefault="00205B34" w:rsidP="00214020">
      <w:pPr>
        <w:jc w:val="left"/>
        <w:rPr>
          <w:rFonts w:asciiTheme="minorHAnsi" w:hAnsiTheme="minorHAnsi" w:cstheme="minorHAnsi"/>
          <w:b/>
          <w:sz w:val="24"/>
        </w:rPr>
      </w:pPr>
      <w:r>
        <w:rPr>
          <w:rFonts w:asciiTheme="minorHAnsi" w:hAnsiTheme="minorHAnsi" w:cstheme="minorHAnsi"/>
          <w:b/>
          <w:sz w:val="24"/>
        </w:rPr>
        <w:br w:type="page"/>
      </w:r>
    </w:p>
    <w:p w14:paraId="62A78AF1" w14:textId="0EAE6499" w:rsidR="000532AC" w:rsidRPr="00626B6D" w:rsidRDefault="00875C7B" w:rsidP="00490608">
      <w:pPr>
        <w:autoSpaceDE w:val="0"/>
        <w:autoSpaceDN w:val="0"/>
        <w:adjustRightInd w:val="0"/>
        <w:jc w:val="right"/>
        <w:rPr>
          <w:rFonts w:asciiTheme="minorHAnsi" w:hAnsiTheme="minorHAnsi" w:cstheme="minorHAnsi"/>
          <w:b/>
          <w:sz w:val="24"/>
        </w:rPr>
      </w:pPr>
      <w:r w:rsidRPr="00626B6D">
        <w:rPr>
          <w:rFonts w:asciiTheme="minorHAnsi" w:hAnsiTheme="minorHAnsi" w:cstheme="minorHAnsi"/>
          <w:b/>
          <w:sz w:val="24"/>
        </w:rPr>
        <w:lastRenderedPageBreak/>
        <w:t>P</w:t>
      </w:r>
      <w:r w:rsidR="00621EB3" w:rsidRPr="00626B6D">
        <w:rPr>
          <w:rFonts w:asciiTheme="minorHAnsi" w:hAnsiTheme="minorHAnsi" w:cstheme="minorHAnsi"/>
          <w:b/>
          <w:sz w:val="24"/>
        </w:rPr>
        <w:t>říloha</w:t>
      </w:r>
    </w:p>
    <w:p w14:paraId="508A1E56" w14:textId="77777777" w:rsidR="00CA0E1F" w:rsidRDefault="00CA0E1F">
      <w:pPr>
        <w:autoSpaceDE w:val="0"/>
        <w:autoSpaceDN w:val="0"/>
        <w:adjustRightInd w:val="0"/>
        <w:rPr>
          <w:rFonts w:asciiTheme="minorHAnsi" w:hAnsiTheme="minorHAnsi" w:cstheme="minorHAnsi"/>
          <w:szCs w:val="22"/>
        </w:rPr>
      </w:pPr>
    </w:p>
    <w:p w14:paraId="5DBA9A77" w14:textId="139E472B" w:rsidR="00621EB3" w:rsidRPr="00490608" w:rsidRDefault="00CA0E1F" w:rsidP="00684E94">
      <w:pPr>
        <w:tabs>
          <w:tab w:val="right" w:pos="9072"/>
        </w:tabs>
        <w:autoSpaceDE w:val="0"/>
        <w:autoSpaceDN w:val="0"/>
        <w:adjustRightInd w:val="0"/>
        <w:spacing w:after="40"/>
        <w:rPr>
          <w:rFonts w:asciiTheme="minorHAnsi" w:hAnsiTheme="minorHAnsi" w:cstheme="minorHAnsi"/>
          <w:b/>
          <w:sz w:val="24"/>
        </w:rPr>
      </w:pPr>
      <w:r w:rsidRPr="00490608">
        <w:rPr>
          <w:rFonts w:asciiTheme="minorHAnsi" w:hAnsiTheme="minorHAnsi" w:cstheme="minorHAnsi"/>
          <w:b/>
          <w:sz w:val="24"/>
        </w:rPr>
        <w:t xml:space="preserve">Přehled kontrolovaných akcí </w:t>
      </w:r>
      <w:r w:rsidRPr="00490608">
        <w:rPr>
          <w:rFonts w:asciiTheme="minorHAnsi" w:hAnsiTheme="minorHAnsi" w:cstheme="minorHAnsi"/>
          <w:b/>
          <w:sz w:val="24"/>
        </w:rPr>
        <w:tab/>
      </w:r>
      <w:r w:rsidR="00490608" w:rsidRPr="00490608">
        <w:rPr>
          <w:rFonts w:asciiTheme="minorHAnsi" w:hAnsiTheme="minorHAnsi" w:cstheme="minorHAnsi"/>
          <w:b/>
          <w:sz w:val="24"/>
        </w:rPr>
        <w:t>(</w:t>
      </w:r>
      <w:r w:rsidRPr="00490608">
        <w:rPr>
          <w:rFonts w:asciiTheme="minorHAnsi" w:hAnsiTheme="minorHAnsi" w:cstheme="minorHAnsi"/>
          <w:b/>
          <w:sz w:val="24"/>
        </w:rPr>
        <w:t>v</w:t>
      </w:r>
      <w:r w:rsidR="006C0225" w:rsidRPr="00490608">
        <w:rPr>
          <w:rFonts w:asciiTheme="minorHAnsi" w:hAnsiTheme="minorHAnsi" w:cstheme="minorHAnsi"/>
          <w:b/>
          <w:sz w:val="24"/>
        </w:rPr>
        <w:t xml:space="preserve"> </w:t>
      </w:r>
      <w:r w:rsidRPr="00490608">
        <w:rPr>
          <w:rFonts w:asciiTheme="minorHAnsi" w:hAnsiTheme="minorHAnsi" w:cstheme="minorHAnsi"/>
          <w:b/>
          <w:sz w:val="24"/>
        </w:rPr>
        <w:t>mil. Kč</w:t>
      </w:r>
      <w:r w:rsidR="00490608" w:rsidRPr="00490608">
        <w:rPr>
          <w:rFonts w:asciiTheme="minorHAnsi" w:hAnsiTheme="minorHAnsi" w:cstheme="minorHAnsi"/>
          <w:b/>
          <w:sz w:val="24"/>
        </w:rPr>
        <w:t>)</w:t>
      </w:r>
    </w:p>
    <w:tbl>
      <w:tblPr>
        <w:tblW w:w="95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6"/>
        <w:gridCol w:w="1641"/>
        <w:gridCol w:w="2083"/>
        <w:gridCol w:w="1027"/>
        <w:gridCol w:w="976"/>
        <w:gridCol w:w="961"/>
        <w:gridCol w:w="1285"/>
        <w:gridCol w:w="1249"/>
      </w:tblGrid>
      <w:tr w:rsidR="00106A7F" w:rsidRPr="00205B34" w14:paraId="25FE9342" w14:textId="77777777" w:rsidTr="009D1068">
        <w:trPr>
          <w:trHeight w:val="227"/>
          <w:jc w:val="center"/>
        </w:trPr>
        <w:tc>
          <w:tcPr>
            <w:tcW w:w="326" w:type="dxa"/>
            <w:tcBorders>
              <w:top w:val="single" w:sz="12" w:space="0" w:color="auto"/>
            </w:tcBorders>
            <w:shd w:val="clear" w:color="auto" w:fill="auto"/>
            <w:vAlign w:val="center"/>
          </w:tcPr>
          <w:p w14:paraId="5AC49D2C" w14:textId="77777777" w:rsidR="00106A7F" w:rsidRPr="00205B34" w:rsidRDefault="00106A7F" w:rsidP="006C0225">
            <w:pPr>
              <w:jc w:val="center"/>
              <w:rPr>
                <w:rFonts w:ascii="Calibri" w:hAnsi="Calibri" w:cs="Calibri"/>
                <w:b/>
                <w:sz w:val="20"/>
                <w:szCs w:val="20"/>
              </w:rPr>
            </w:pPr>
          </w:p>
        </w:tc>
        <w:tc>
          <w:tcPr>
            <w:tcW w:w="1641" w:type="dxa"/>
            <w:tcBorders>
              <w:top w:val="single" w:sz="12" w:space="0" w:color="auto"/>
            </w:tcBorders>
            <w:shd w:val="clear" w:color="auto" w:fill="auto"/>
            <w:vAlign w:val="center"/>
          </w:tcPr>
          <w:p w14:paraId="43CE87F0" w14:textId="77777777" w:rsidR="00106A7F" w:rsidRPr="00205B34" w:rsidRDefault="00106A7F" w:rsidP="006C0225">
            <w:pPr>
              <w:jc w:val="center"/>
              <w:rPr>
                <w:rFonts w:ascii="Calibri" w:hAnsi="Calibri" w:cs="Calibri"/>
                <w:b/>
                <w:sz w:val="20"/>
                <w:szCs w:val="20"/>
              </w:rPr>
            </w:pPr>
            <w:r w:rsidRPr="00205B34">
              <w:rPr>
                <w:rFonts w:ascii="Calibri" w:hAnsi="Calibri" w:cs="Calibri"/>
                <w:b/>
                <w:sz w:val="20"/>
                <w:szCs w:val="20"/>
              </w:rPr>
              <w:t>Evidenční číslo akce</w:t>
            </w:r>
          </w:p>
        </w:tc>
        <w:tc>
          <w:tcPr>
            <w:tcW w:w="2083" w:type="dxa"/>
            <w:tcBorders>
              <w:top w:val="single" w:sz="12" w:space="0" w:color="auto"/>
            </w:tcBorders>
            <w:shd w:val="clear" w:color="auto" w:fill="auto"/>
            <w:vAlign w:val="center"/>
          </w:tcPr>
          <w:p w14:paraId="6541CBB1" w14:textId="77777777" w:rsidR="00106A7F" w:rsidRPr="00205B34" w:rsidRDefault="00106A7F" w:rsidP="006C0225">
            <w:pPr>
              <w:jc w:val="center"/>
              <w:rPr>
                <w:rFonts w:ascii="Calibri" w:hAnsi="Calibri" w:cs="Calibri"/>
                <w:b/>
                <w:sz w:val="20"/>
                <w:szCs w:val="20"/>
              </w:rPr>
            </w:pPr>
            <w:r w:rsidRPr="00205B34">
              <w:rPr>
                <w:rFonts w:ascii="Calibri" w:hAnsi="Calibri" w:cs="Calibri"/>
                <w:b/>
                <w:sz w:val="20"/>
                <w:szCs w:val="20"/>
              </w:rPr>
              <w:t>Příjemce dotace</w:t>
            </w:r>
          </w:p>
        </w:tc>
        <w:tc>
          <w:tcPr>
            <w:tcW w:w="1027" w:type="dxa"/>
            <w:tcBorders>
              <w:top w:val="single" w:sz="12" w:space="0" w:color="auto"/>
            </w:tcBorders>
            <w:shd w:val="clear" w:color="auto" w:fill="auto"/>
            <w:vAlign w:val="center"/>
          </w:tcPr>
          <w:p w14:paraId="28302669" w14:textId="77777777" w:rsidR="00106A7F" w:rsidRPr="00205B34" w:rsidRDefault="00106A7F" w:rsidP="006C0225">
            <w:pPr>
              <w:jc w:val="center"/>
              <w:rPr>
                <w:rFonts w:ascii="Calibri" w:hAnsi="Calibri" w:cs="Calibri"/>
                <w:b/>
                <w:sz w:val="20"/>
                <w:szCs w:val="20"/>
              </w:rPr>
            </w:pPr>
            <w:r w:rsidRPr="00205B34">
              <w:rPr>
                <w:rFonts w:ascii="Calibri" w:hAnsi="Calibri" w:cs="Calibri"/>
                <w:b/>
                <w:sz w:val="20"/>
                <w:szCs w:val="20"/>
              </w:rPr>
              <w:t>IČO příjemce</w:t>
            </w:r>
          </w:p>
        </w:tc>
        <w:tc>
          <w:tcPr>
            <w:tcW w:w="976" w:type="dxa"/>
            <w:tcBorders>
              <w:top w:val="single" w:sz="12" w:space="0" w:color="auto"/>
            </w:tcBorders>
            <w:vAlign w:val="center"/>
          </w:tcPr>
          <w:p w14:paraId="5A3E4D34" w14:textId="77777777" w:rsidR="00106A7F" w:rsidRPr="00205B34" w:rsidRDefault="00106A7F" w:rsidP="00106A7F">
            <w:pPr>
              <w:jc w:val="center"/>
              <w:rPr>
                <w:rFonts w:ascii="Calibri" w:hAnsi="Calibri" w:cs="Calibri"/>
                <w:b/>
                <w:sz w:val="20"/>
                <w:szCs w:val="20"/>
              </w:rPr>
            </w:pPr>
            <w:r w:rsidRPr="00205B34">
              <w:rPr>
                <w:rFonts w:ascii="Calibri" w:hAnsi="Calibri" w:cs="Calibri"/>
                <w:b/>
                <w:sz w:val="20"/>
                <w:szCs w:val="20"/>
              </w:rPr>
              <w:t>Počet bytových jednotek</w:t>
            </w:r>
          </w:p>
        </w:tc>
        <w:tc>
          <w:tcPr>
            <w:tcW w:w="961" w:type="dxa"/>
            <w:tcBorders>
              <w:top w:val="single" w:sz="12" w:space="0" w:color="auto"/>
            </w:tcBorders>
            <w:shd w:val="clear" w:color="auto" w:fill="auto"/>
            <w:vAlign w:val="center"/>
          </w:tcPr>
          <w:p w14:paraId="2324B389" w14:textId="77777777" w:rsidR="00106A7F" w:rsidRPr="00205B34" w:rsidRDefault="00106A7F" w:rsidP="006C0225">
            <w:pPr>
              <w:jc w:val="center"/>
              <w:rPr>
                <w:rFonts w:ascii="Calibri" w:hAnsi="Calibri" w:cs="Calibri"/>
                <w:b/>
                <w:sz w:val="20"/>
                <w:szCs w:val="20"/>
              </w:rPr>
            </w:pPr>
            <w:r w:rsidRPr="00205B34">
              <w:rPr>
                <w:rFonts w:ascii="Calibri" w:hAnsi="Calibri" w:cs="Calibri"/>
                <w:b/>
                <w:sz w:val="20"/>
                <w:szCs w:val="20"/>
              </w:rPr>
              <w:t>Celkové skutečné výdaje*</w:t>
            </w:r>
          </w:p>
        </w:tc>
        <w:tc>
          <w:tcPr>
            <w:tcW w:w="1285" w:type="dxa"/>
            <w:tcBorders>
              <w:top w:val="single" w:sz="12" w:space="0" w:color="auto"/>
            </w:tcBorders>
            <w:vAlign w:val="center"/>
          </w:tcPr>
          <w:p w14:paraId="52085AF9" w14:textId="6868090A" w:rsidR="00106A7F" w:rsidRPr="00205B34" w:rsidRDefault="00106A7F" w:rsidP="009D1068">
            <w:pPr>
              <w:jc w:val="center"/>
              <w:rPr>
                <w:rFonts w:ascii="Calibri" w:hAnsi="Calibri" w:cs="Calibri"/>
                <w:b/>
                <w:sz w:val="20"/>
                <w:szCs w:val="20"/>
              </w:rPr>
            </w:pPr>
            <w:r w:rsidRPr="00205B34">
              <w:rPr>
                <w:rFonts w:ascii="Calibri" w:hAnsi="Calibri" w:cs="Calibri"/>
                <w:b/>
                <w:sz w:val="20"/>
                <w:szCs w:val="20"/>
              </w:rPr>
              <w:t>Dotace ze státn</w:t>
            </w:r>
            <w:r w:rsidR="00205B34">
              <w:rPr>
                <w:rFonts w:ascii="Calibri" w:hAnsi="Calibri" w:cs="Calibri"/>
                <w:b/>
                <w:sz w:val="20"/>
                <w:szCs w:val="20"/>
              </w:rPr>
              <w:t xml:space="preserve">ího rozpočtu podle </w:t>
            </w:r>
            <w:r w:rsidR="009D1068">
              <w:rPr>
                <w:rFonts w:ascii="Calibri" w:hAnsi="Calibri" w:cs="Calibri"/>
                <w:b/>
                <w:sz w:val="20"/>
                <w:szCs w:val="20"/>
              </w:rPr>
              <w:t>r</w:t>
            </w:r>
            <w:r w:rsidR="00205B34">
              <w:rPr>
                <w:rFonts w:ascii="Calibri" w:hAnsi="Calibri" w:cs="Calibri"/>
                <w:b/>
                <w:sz w:val="20"/>
                <w:szCs w:val="20"/>
              </w:rPr>
              <w:t>ozhodnutí o </w:t>
            </w:r>
            <w:r w:rsidRPr="00205B34">
              <w:rPr>
                <w:rFonts w:ascii="Calibri" w:hAnsi="Calibri" w:cs="Calibri"/>
                <w:b/>
                <w:sz w:val="20"/>
                <w:szCs w:val="20"/>
              </w:rPr>
              <w:t>poskytnutí dotace</w:t>
            </w:r>
          </w:p>
        </w:tc>
        <w:tc>
          <w:tcPr>
            <w:tcW w:w="1249" w:type="dxa"/>
            <w:tcBorders>
              <w:top w:val="single" w:sz="12" w:space="0" w:color="auto"/>
            </w:tcBorders>
            <w:shd w:val="clear" w:color="auto" w:fill="auto"/>
            <w:vAlign w:val="center"/>
          </w:tcPr>
          <w:p w14:paraId="2596D1E2" w14:textId="7A2FBC5D" w:rsidR="00106A7F" w:rsidRPr="00205B34" w:rsidRDefault="00106A7F" w:rsidP="009D1068">
            <w:pPr>
              <w:jc w:val="center"/>
              <w:rPr>
                <w:rFonts w:ascii="Calibri" w:hAnsi="Calibri" w:cs="Calibri"/>
                <w:b/>
                <w:sz w:val="20"/>
                <w:szCs w:val="20"/>
                <w:vertAlign w:val="superscript"/>
              </w:rPr>
            </w:pPr>
            <w:r w:rsidRPr="00205B34">
              <w:rPr>
                <w:rFonts w:ascii="Calibri" w:hAnsi="Calibri" w:cs="Calibri"/>
                <w:b/>
                <w:sz w:val="20"/>
                <w:szCs w:val="20"/>
              </w:rPr>
              <w:t>Dotace ze státního rozpočtu skutečně vyčerpaná*</w:t>
            </w:r>
          </w:p>
        </w:tc>
      </w:tr>
      <w:tr w:rsidR="00106A7F" w:rsidRPr="00205B34" w14:paraId="52DE763B" w14:textId="77777777" w:rsidTr="009D1068">
        <w:trPr>
          <w:trHeight w:val="227"/>
          <w:jc w:val="center"/>
        </w:trPr>
        <w:tc>
          <w:tcPr>
            <w:tcW w:w="326" w:type="dxa"/>
            <w:tcBorders>
              <w:top w:val="single" w:sz="12" w:space="0" w:color="auto"/>
            </w:tcBorders>
            <w:shd w:val="clear" w:color="auto" w:fill="auto"/>
            <w:vAlign w:val="center"/>
          </w:tcPr>
          <w:p w14:paraId="326421BF"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1</w:t>
            </w:r>
          </w:p>
        </w:tc>
        <w:tc>
          <w:tcPr>
            <w:tcW w:w="1641" w:type="dxa"/>
            <w:tcBorders>
              <w:top w:val="single" w:sz="12" w:space="0" w:color="auto"/>
            </w:tcBorders>
            <w:shd w:val="clear" w:color="auto" w:fill="auto"/>
            <w:vAlign w:val="center"/>
          </w:tcPr>
          <w:p w14:paraId="466F5CE6"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117D514000298</w:t>
            </w:r>
          </w:p>
        </w:tc>
        <w:tc>
          <w:tcPr>
            <w:tcW w:w="2083" w:type="dxa"/>
            <w:tcBorders>
              <w:top w:val="single" w:sz="12" w:space="0" w:color="auto"/>
            </w:tcBorders>
            <w:shd w:val="clear" w:color="auto" w:fill="auto"/>
            <w:vAlign w:val="center"/>
          </w:tcPr>
          <w:p w14:paraId="394BCC74" w14:textId="77777777" w:rsidR="00106A7F" w:rsidRPr="00205B34" w:rsidRDefault="00106A7F" w:rsidP="00684E94">
            <w:pPr>
              <w:spacing w:before="20" w:after="20"/>
              <w:jc w:val="left"/>
              <w:rPr>
                <w:rFonts w:ascii="Calibri" w:hAnsi="Calibri" w:cs="Calibri"/>
                <w:sz w:val="20"/>
                <w:szCs w:val="20"/>
              </w:rPr>
            </w:pPr>
            <w:r w:rsidRPr="00205B34">
              <w:rPr>
                <w:rFonts w:ascii="Calibri" w:hAnsi="Calibri" w:cs="Calibri"/>
                <w:sz w:val="20"/>
                <w:szCs w:val="20"/>
              </w:rPr>
              <w:t>Obec Horní Moštěnice</w:t>
            </w:r>
          </w:p>
        </w:tc>
        <w:tc>
          <w:tcPr>
            <w:tcW w:w="1027" w:type="dxa"/>
            <w:tcBorders>
              <w:top w:val="single" w:sz="12" w:space="0" w:color="auto"/>
            </w:tcBorders>
            <w:shd w:val="clear" w:color="auto" w:fill="auto"/>
            <w:vAlign w:val="center"/>
          </w:tcPr>
          <w:p w14:paraId="2BEF635F"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00301264</w:t>
            </w:r>
          </w:p>
        </w:tc>
        <w:tc>
          <w:tcPr>
            <w:tcW w:w="976" w:type="dxa"/>
            <w:tcBorders>
              <w:top w:val="single" w:sz="12" w:space="0" w:color="auto"/>
            </w:tcBorders>
            <w:vAlign w:val="center"/>
          </w:tcPr>
          <w:p w14:paraId="19C3F633"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7</w:t>
            </w:r>
          </w:p>
        </w:tc>
        <w:tc>
          <w:tcPr>
            <w:tcW w:w="961" w:type="dxa"/>
            <w:tcBorders>
              <w:top w:val="single" w:sz="12" w:space="0" w:color="auto"/>
            </w:tcBorders>
            <w:shd w:val="clear" w:color="auto" w:fill="auto"/>
            <w:vAlign w:val="center"/>
          </w:tcPr>
          <w:p w14:paraId="0DC8CF55" w14:textId="7C726881"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10,74</w:t>
            </w:r>
          </w:p>
        </w:tc>
        <w:tc>
          <w:tcPr>
            <w:tcW w:w="1285" w:type="dxa"/>
            <w:tcBorders>
              <w:top w:val="single" w:sz="12" w:space="0" w:color="auto"/>
            </w:tcBorders>
            <w:vAlign w:val="center"/>
          </w:tcPr>
          <w:p w14:paraId="6BC6AA52"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4,20</w:t>
            </w:r>
          </w:p>
        </w:tc>
        <w:tc>
          <w:tcPr>
            <w:tcW w:w="1249" w:type="dxa"/>
            <w:tcBorders>
              <w:top w:val="single" w:sz="12" w:space="0" w:color="auto"/>
            </w:tcBorders>
            <w:shd w:val="clear" w:color="auto" w:fill="auto"/>
            <w:vAlign w:val="center"/>
          </w:tcPr>
          <w:p w14:paraId="3F80FFB4"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4,20</w:t>
            </w:r>
          </w:p>
        </w:tc>
      </w:tr>
      <w:tr w:rsidR="00106A7F" w:rsidRPr="00205B34" w14:paraId="221F5D8D" w14:textId="77777777" w:rsidTr="009D1068">
        <w:trPr>
          <w:trHeight w:val="227"/>
          <w:jc w:val="center"/>
        </w:trPr>
        <w:tc>
          <w:tcPr>
            <w:tcW w:w="326" w:type="dxa"/>
            <w:shd w:val="clear" w:color="auto" w:fill="auto"/>
            <w:vAlign w:val="center"/>
          </w:tcPr>
          <w:p w14:paraId="3B6A871B"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2</w:t>
            </w:r>
          </w:p>
        </w:tc>
        <w:tc>
          <w:tcPr>
            <w:tcW w:w="1641" w:type="dxa"/>
            <w:shd w:val="clear" w:color="auto" w:fill="auto"/>
            <w:vAlign w:val="center"/>
          </w:tcPr>
          <w:p w14:paraId="00CDF034"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117D514000308</w:t>
            </w:r>
          </w:p>
        </w:tc>
        <w:tc>
          <w:tcPr>
            <w:tcW w:w="2083" w:type="dxa"/>
            <w:shd w:val="clear" w:color="auto" w:fill="auto"/>
            <w:vAlign w:val="center"/>
          </w:tcPr>
          <w:p w14:paraId="7784A2C0" w14:textId="77777777" w:rsidR="00106A7F" w:rsidRPr="00205B34" w:rsidRDefault="00106A7F" w:rsidP="00684E94">
            <w:pPr>
              <w:spacing w:before="20" w:after="20"/>
              <w:jc w:val="left"/>
              <w:rPr>
                <w:rFonts w:ascii="Calibri" w:hAnsi="Calibri" w:cs="Calibri"/>
                <w:sz w:val="20"/>
                <w:szCs w:val="20"/>
              </w:rPr>
            </w:pPr>
            <w:r w:rsidRPr="00205B34">
              <w:rPr>
                <w:rFonts w:ascii="Calibri" w:hAnsi="Calibri" w:cs="Calibri"/>
                <w:sz w:val="20"/>
                <w:szCs w:val="20"/>
              </w:rPr>
              <w:t>RÝPAR-STAV s.r.o.</w:t>
            </w:r>
          </w:p>
        </w:tc>
        <w:tc>
          <w:tcPr>
            <w:tcW w:w="1027" w:type="dxa"/>
            <w:shd w:val="clear" w:color="auto" w:fill="auto"/>
            <w:vAlign w:val="center"/>
          </w:tcPr>
          <w:p w14:paraId="366491DE"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29463718</w:t>
            </w:r>
          </w:p>
        </w:tc>
        <w:tc>
          <w:tcPr>
            <w:tcW w:w="976" w:type="dxa"/>
            <w:vAlign w:val="center"/>
          </w:tcPr>
          <w:p w14:paraId="4B3CC93D"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9</w:t>
            </w:r>
          </w:p>
        </w:tc>
        <w:tc>
          <w:tcPr>
            <w:tcW w:w="961" w:type="dxa"/>
            <w:shd w:val="clear" w:color="auto" w:fill="auto"/>
            <w:vAlign w:val="center"/>
          </w:tcPr>
          <w:p w14:paraId="76010FF5"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5,98</w:t>
            </w:r>
          </w:p>
        </w:tc>
        <w:tc>
          <w:tcPr>
            <w:tcW w:w="1285" w:type="dxa"/>
            <w:vAlign w:val="center"/>
          </w:tcPr>
          <w:p w14:paraId="21CE324D"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4,95</w:t>
            </w:r>
          </w:p>
        </w:tc>
        <w:tc>
          <w:tcPr>
            <w:tcW w:w="1249" w:type="dxa"/>
            <w:shd w:val="clear" w:color="auto" w:fill="auto"/>
            <w:vAlign w:val="center"/>
          </w:tcPr>
          <w:p w14:paraId="7E6C7708"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4,95</w:t>
            </w:r>
          </w:p>
        </w:tc>
      </w:tr>
      <w:tr w:rsidR="00106A7F" w:rsidRPr="00205B34" w14:paraId="4905FEE1" w14:textId="77777777" w:rsidTr="009D1068">
        <w:trPr>
          <w:trHeight w:val="227"/>
          <w:jc w:val="center"/>
        </w:trPr>
        <w:tc>
          <w:tcPr>
            <w:tcW w:w="326" w:type="dxa"/>
            <w:shd w:val="clear" w:color="auto" w:fill="auto"/>
            <w:vAlign w:val="center"/>
          </w:tcPr>
          <w:p w14:paraId="2854B694"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3</w:t>
            </w:r>
          </w:p>
        </w:tc>
        <w:tc>
          <w:tcPr>
            <w:tcW w:w="1641" w:type="dxa"/>
            <w:shd w:val="clear" w:color="auto" w:fill="auto"/>
            <w:vAlign w:val="center"/>
          </w:tcPr>
          <w:p w14:paraId="54ED02C3"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117D514000346</w:t>
            </w:r>
          </w:p>
        </w:tc>
        <w:tc>
          <w:tcPr>
            <w:tcW w:w="2083" w:type="dxa"/>
            <w:shd w:val="clear" w:color="auto" w:fill="auto"/>
            <w:vAlign w:val="center"/>
          </w:tcPr>
          <w:p w14:paraId="238FD91E" w14:textId="77777777" w:rsidR="00106A7F" w:rsidRPr="00205B34" w:rsidRDefault="00106A7F" w:rsidP="00684E94">
            <w:pPr>
              <w:spacing w:before="20" w:after="20"/>
              <w:jc w:val="left"/>
              <w:rPr>
                <w:rFonts w:ascii="Calibri" w:hAnsi="Calibri" w:cs="Calibri"/>
                <w:sz w:val="20"/>
                <w:szCs w:val="20"/>
              </w:rPr>
            </w:pPr>
            <w:r w:rsidRPr="00205B34">
              <w:rPr>
                <w:rFonts w:ascii="Calibri" w:hAnsi="Calibri" w:cs="Calibri"/>
                <w:sz w:val="20"/>
                <w:szCs w:val="20"/>
              </w:rPr>
              <w:t>Obec Mrsklesy</w:t>
            </w:r>
          </w:p>
        </w:tc>
        <w:tc>
          <w:tcPr>
            <w:tcW w:w="1027" w:type="dxa"/>
            <w:shd w:val="clear" w:color="auto" w:fill="auto"/>
            <w:vAlign w:val="center"/>
          </w:tcPr>
          <w:p w14:paraId="60892B6A"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64990940</w:t>
            </w:r>
          </w:p>
        </w:tc>
        <w:tc>
          <w:tcPr>
            <w:tcW w:w="976" w:type="dxa"/>
            <w:vAlign w:val="center"/>
          </w:tcPr>
          <w:p w14:paraId="09536158"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8</w:t>
            </w:r>
          </w:p>
        </w:tc>
        <w:tc>
          <w:tcPr>
            <w:tcW w:w="961" w:type="dxa"/>
            <w:shd w:val="clear" w:color="auto" w:fill="auto"/>
            <w:vAlign w:val="center"/>
          </w:tcPr>
          <w:p w14:paraId="5ECA2CA8"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12,73</w:t>
            </w:r>
          </w:p>
        </w:tc>
        <w:tc>
          <w:tcPr>
            <w:tcW w:w="1285" w:type="dxa"/>
            <w:vAlign w:val="center"/>
          </w:tcPr>
          <w:p w14:paraId="0D201202"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4,80</w:t>
            </w:r>
          </w:p>
        </w:tc>
        <w:tc>
          <w:tcPr>
            <w:tcW w:w="1249" w:type="dxa"/>
            <w:shd w:val="clear" w:color="auto" w:fill="auto"/>
            <w:vAlign w:val="center"/>
          </w:tcPr>
          <w:p w14:paraId="225F9C90"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4,80</w:t>
            </w:r>
          </w:p>
        </w:tc>
      </w:tr>
      <w:tr w:rsidR="00106A7F" w:rsidRPr="00205B34" w14:paraId="650684AB" w14:textId="77777777" w:rsidTr="009D1068">
        <w:trPr>
          <w:trHeight w:val="227"/>
          <w:jc w:val="center"/>
        </w:trPr>
        <w:tc>
          <w:tcPr>
            <w:tcW w:w="326" w:type="dxa"/>
            <w:shd w:val="clear" w:color="auto" w:fill="auto"/>
            <w:vAlign w:val="center"/>
          </w:tcPr>
          <w:p w14:paraId="060FCAEB"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4</w:t>
            </w:r>
          </w:p>
        </w:tc>
        <w:tc>
          <w:tcPr>
            <w:tcW w:w="1641" w:type="dxa"/>
            <w:shd w:val="clear" w:color="auto" w:fill="auto"/>
            <w:vAlign w:val="center"/>
          </w:tcPr>
          <w:p w14:paraId="26E8504C"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117D514000153</w:t>
            </w:r>
          </w:p>
        </w:tc>
        <w:tc>
          <w:tcPr>
            <w:tcW w:w="2083" w:type="dxa"/>
            <w:shd w:val="clear" w:color="auto" w:fill="auto"/>
            <w:vAlign w:val="center"/>
          </w:tcPr>
          <w:p w14:paraId="395D2C8E" w14:textId="77777777" w:rsidR="00106A7F" w:rsidRPr="00205B34" w:rsidRDefault="00106A7F" w:rsidP="00684E94">
            <w:pPr>
              <w:spacing w:before="20" w:after="20"/>
              <w:jc w:val="left"/>
              <w:rPr>
                <w:rFonts w:ascii="Calibri" w:hAnsi="Calibri" w:cs="Calibri"/>
                <w:sz w:val="20"/>
                <w:szCs w:val="20"/>
              </w:rPr>
            </w:pPr>
            <w:r w:rsidRPr="00205B34">
              <w:rPr>
                <w:rFonts w:ascii="Calibri" w:hAnsi="Calibri" w:cs="Calibri"/>
                <w:sz w:val="20"/>
                <w:szCs w:val="20"/>
              </w:rPr>
              <w:t>Obec Předklášteří</w:t>
            </w:r>
          </w:p>
        </w:tc>
        <w:tc>
          <w:tcPr>
            <w:tcW w:w="1027" w:type="dxa"/>
            <w:shd w:val="clear" w:color="auto" w:fill="auto"/>
            <w:vAlign w:val="center"/>
          </w:tcPr>
          <w:p w14:paraId="46831F39"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00365416</w:t>
            </w:r>
          </w:p>
        </w:tc>
        <w:tc>
          <w:tcPr>
            <w:tcW w:w="976" w:type="dxa"/>
            <w:vAlign w:val="center"/>
          </w:tcPr>
          <w:p w14:paraId="2F51AD2B"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7</w:t>
            </w:r>
          </w:p>
        </w:tc>
        <w:tc>
          <w:tcPr>
            <w:tcW w:w="961" w:type="dxa"/>
            <w:shd w:val="clear" w:color="auto" w:fill="auto"/>
            <w:vAlign w:val="center"/>
          </w:tcPr>
          <w:p w14:paraId="6B6D0DD4"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8,50</w:t>
            </w:r>
          </w:p>
        </w:tc>
        <w:tc>
          <w:tcPr>
            <w:tcW w:w="1285" w:type="dxa"/>
            <w:vAlign w:val="center"/>
          </w:tcPr>
          <w:p w14:paraId="51B87B98"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4,55</w:t>
            </w:r>
          </w:p>
        </w:tc>
        <w:tc>
          <w:tcPr>
            <w:tcW w:w="1249" w:type="dxa"/>
            <w:shd w:val="clear" w:color="auto" w:fill="auto"/>
            <w:vAlign w:val="center"/>
          </w:tcPr>
          <w:p w14:paraId="2D6A608B"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4,55</w:t>
            </w:r>
          </w:p>
        </w:tc>
      </w:tr>
      <w:tr w:rsidR="00106A7F" w:rsidRPr="00205B34" w14:paraId="5C912B8B" w14:textId="77777777" w:rsidTr="009D1068">
        <w:trPr>
          <w:trHeight w:val="227"/>
          <w:jc w:val="center"/>
        </w:trPr>
        <w:tc>
          <w:tcPr>
            <w:tcW w:w="326" w:type="dxa"/>
            <w:shd w:val="clear" w:color="auto" w:fill="auto"/>
            <w:vAlign w:val="center"/>
          </w:tcPr>
          <w:p w14:paraId="461C7B99"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5</w:t>
            </w:r>
          </w:p>
        </w:tc>
        <w:tc>
          <w:tcPr>
            <w:tcW w:w="1641" w:type="dxa"/>
            <w:shd w:val="clear" w:color="auto" w:fill="auto"/>
            <w:vAlign w:val="center"/>
          </w:tcPr>
          <w:p w14:paraId="4DBE7080"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117D514000159</w:t>
            </w:r>
          </w:p>
        </w:tc>
        <w:tc>
          <w:tcPr>
            <w:tcW w:w="2083" w:type="dxa"/>
            <w:shd w:val="clear" w:color="auto" w:fill="auto"/>
            <w:vAlign w:val="center"/>
          </w:tcPr>
          <w:p w14:paraId="1DEEC920" w14:textId="77777777" w:rsidR="00106A7F" w:rsidRPr="00205B34" w:rsidRDefault="00106A7F" w:rsidP="00684E94">
            <w:pPr>
              <w:spacing w:before="20" w:after="20"/>
              <w:jc w:val="left"/>
              <w:rPr>
                <w:rFonts w:ascii="Calibri" w:hAnsi="Calibri" w:cs="Calibri"/>
                <w:sz w:val="20"/>
                <w:szCs w:val="20"/>
              </w:rPr>
            </w:pPr>
            <w:r w:rsidRPr="00205B34">
              <w:rPr>
                <w:rFonts w:ascii="Calibri" w:hAnsi="Calibri" w:cs="Calibri"/>
                <w:sz w:val="20"/>
                <w:szCs w:val="20"/>
              </w:rPr>
              <w:t>ARCHIKA s.r.o.</w:t>
            </w:r>
          </w:p>
        </w:tc>
        <w:tc>
          <w:tcPr>
            <w:tcW w:w="1027" w:type="dxa"/>
            <w:shd w:val="clear" w:color="auto" w:fill="auto"/>
            <w:vAlign w:val="center"/>
          </w:tcPr>
          <w:p w14:paraId="6CA6964E"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27715795</w:t>
            </w:r>
          </w:p>
        </w:tc>
        <w:tc>
          <w:tcPr>
            <w:tcW w:w="976" w:type="dxa"/>
            <w:vAlign w:val="center"/>
          </w:tcPr>
          <w:p w14:paraId="4DE12BB1"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8</w:t>
            </w:r>
          </w:p>
        </w:tc>
        <w:tc>
          <w:tcPr>
            <w:tcW w:w="961" w:type="dxa"/>
            <w:shd w:val="clear" w:color="auto" w:fill="auto"/>
            <w:vAlign w:val="center"/>
          </w:tcPr>
          <w:p w14:paraId="5255FACB"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8,40</w:t>
            </w:r>
          </w:p>
        </w:tc>
        <w:tc>
          <w:tcPr>
            <w:tcW w:w="1285" w:type="dxa"/>
            <w:vAlign w:val="center"/>
          </w:tcPr>
          <w:p w14:paraId="47832140"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4,89</w:t>
            </w:r>
          </w:p>
        </w:tc>
        <w:tc>
          <w:tcPr>
            <w:tcW w:w="1249" w:type="dxa"/>
            <w:shd w:val="clear" w:color="auto" w:fill="auto"/>
            <w:vAlign w:val="center"/>
          </w:tcPr>
          <w:p w14:paraId="0C9F767C"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4,89</w:t>
            </w:r>
          </w:p>
        </w:tc>
      </w:tr>
      <w:tr w:rsidR="00106A7F" w:rsidRPr="00205B34" w14:paraId="653436F9" w14:textId="77777777" w:rsidTr="009D1068">
        <w:trPr>
          <w:trHeight w:val="227"/>
          <w:jc w:val="center"/>
        </w:trPr>
        <w:tc>
          <w:tcPr>
            <w:tcW w:w="326" w:type="dxa"/>
            <w:shd w:val="clear" w:color="auto" w:fill="auto"/>
            <w:vAlign w:val="center"/>
          </w:tcPr>
          <w:p w14:paraId="48404BB0"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6</w:t>
            </w:r>
          </w:p>
        </w:tc>
        <w:tc>
          <w:tcPr>
            <w:tcW w:w="1641" w:type="dxa"/>
            <w:shd w:val="clear" w:color="auto" w:fill="auto"/>
            <w:vAlign w:val="center"/>
          </w:tcPr>
          <w:p w14:paraId="65A470C2"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117D514000160</w:t>
            </w:r>
          </w:p>
        </w:tc>
        <w:tc>
          <w:tcPr>
            <w:tcW w:w="2083" w:type="dxa"/>
            <w:shd w:val="clear" w:color="auto" w:fill="auto"/>
            <w:vAlign w:val="center"/>
          </w:tcPr>
          <w:p w14:paraId="7086A9CD" w14:textId="77777777" w:rsidR="00106A7F" w:rsidRPr="00205B34" w:rsidRDefault="00106A7F" w:rsidP="00684E94">
            <w:pPr>
              <w:spacing w:before="20" w:after="20"/>
              <w:jc w:val="left"/>
              <w:rPr>
                <w:rFonts w:ascii="Calibri" w:hAnsi="Calibri" w:cs="Calibri"/>
                <w:sz w:val="20"/>
                <w:szCs w:val="20"/>
              </w:rPr>
            </w:pPr>
            <w:r w:rsidRPr="00205B34">
              <w:rPr>
                <w:rFonts w:ascii="Calibri" w:hAnsi="Calibri" w:cs="Calibri"/>
                <w:sz w:val="20"/>
                <w:szCs w:val="20"/>
              </w:rPr>
              <w:t>Obec Boršice</w:t>
            </w:r>
          </w:p>
        </w:tc>
        <w:tc>
          <w:tcPr>
            <w:tcW w:w="1027" w:type="dxa"/>
            <w:shd w:val="clear" w:color="auto" w:fill="auto"/>
            <w:vAlign w:val="center"/>
          </w:tcPr>
          <w:p w14:paraId="792D09D1"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00290823</w:t>
            </w:r>
          </w:p>
        </w:tc>
        <w:tc>
          <w:tcPr>
            <w:tcW w:w="976" w:type="dxa"/>
            <w:vAlign w:val="center"/>
          </w:tcPr>
          <w:p w14:paraId="4FDE89F1"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8</w:t>
            </w:r>
          </w:p>
        </w:tc>
        <w:tc>
          <w:tcPr>
            <w:tcW w:w="961" w:type="dxa"/>
            <w:shd w:val="clear" w:color="auto" w:fill="auto"/>
            <w:vAlign w:val="center"/>
          </w:tcPr>
          <w:p w14:paraId="275EB580"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5,90</w:t>
            </w:r>
          </w:p>
        </w:tc>
        <w:tc>
          <w:tcPr>
            <w:tcW w:w="1285" w:type="dxa"/>
            <w:vAlign w:val="center"/>
          </w:tcPr>
          <w:p w14:paraId="7765A5E5"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4,89</w:t>
            </w:r>
          </w:p>
        </w:tc>
        <w:tc>
          <w:tcPr>
            <w:tcW w:w="1249" w:type="dxa"/>
            <w:shd w:val="clear" w:color="auto" w:fill="auto"/>
            <w:vAlign w:val="center"/>
          </w:tcPr>
          <w:p w14:paraId="119A3D74"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4,89</w:t>
            </w:r>
          </w:p>
        </w:tc>
      </w:tr>
      <w:tr w:rsidR="00106A7F" w:rsidRPr="00205B34" w14:paraId="29853F69" w14:textId="77777777" w:rsidTr="009D1068">
        <w:trPr>
          <w:trHeight w:val="227"/>
          <w:jc w:val="center"/>
        </w:trPr>
        <w:tc>
          <w:tcPr>
            <w:tcW w:w="326" w:type="dxa"/>
            <w:shd w:val="clear" w:color="auto" w:fill="auto"/>
            <w:vAlign w:val="center"/>
          </w:tcPr>
          <w:p w14:paraId="1F2DD244"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7</w:t>
            </w:r>
          </w:p>
        </w:tc>
        <w:tc>
          <w:tcPr>
            <w:tcW w:w="1641" w:type="dxa"/>
            <w:shd w:val="clear" w:color="auto" w:fill="auto"/>
            <w:vAlign w:val="center"/>
          </w:tcPr>
          <w:p w14:paraId="3BE82C15"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117D514000217</w:t>
            </w:r>
          </w:p>
        </w:tc>
        <w:tc>
          <w:tcPr>
            <w:tcW w:w="2083" w:type="dxa"/>
            <w:shd w:val="clear" w:color="auto" w:fill="auto"/>
            <w:vAlign w:val="center"/>
          </w:tcPr>
          <w:p w14:paraId="54EFF001" w14:textId="77777777" w:rsidR="00106A7F" w:rsidRPr="00205B34" w:rsidRDefault="00106A7F" w:rsidP="00684E94">
            <w:pPr>
              <w:spacing w:before="20" w:after="20"/>
              <w:jc w:val="left"/>
              <w:rPr>
                <w:rFonts w:ascii="Calibri" w:hAnsi="Calibri" w:cs="Calibri"/>
                <w:sz w:val="20"/>
                <w:szCs w:val="20"/>
              </w:rPr>
            </w:pPr>
            <w:r w:rsidRPr="00205B34">
              <w:rPr>
                <w:rFonts w:ascii="Calibri" w:hAnsi="Calibri" w:cs="Calibri"/>
                <w:sz w:val="20"/>
                <w:szCs w:val="20"/>
              </w:rPr>
              <w:t>Město Svratka</w:t>
            </w:r>
          </w:p>
        </w:tc>
        <w:tc>
          <w:tcPr>
            <w:tcW w:w="1027" w:type="dxa"/>
            <w:shd w:val="clear" w:color="auto" w:fill="auto"/>
            <w:vAlign w:val="center"/>
          </w:tcPr>
          <w:p w14:paraId="13D7300E"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00295531</w:t>
            </w:r>
          </w:p>
        </w:tc>
        <w:tc>
          <w:tcPr>
            <w:tcW w:w="976" w:type="dxa"/>
            <w:vAlign w:val="center"/>
          </w:tcPr>
          <w:p w14:paraId="415B4CD2"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10</w:t>
            </w:r>
          </w:p>
        </w:tc>
        <w:tc>
          <w:tcPr>
            <w:tcW w:w="961" w:type="dxa"/>
            <w:shd w:val="clear" w:color="auto" w:fill="auto"/>
            <w:vAlign w:val="center"/>
          </w:tcPr>
          <w:p w14:paraId="669EF5EB"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6,87</w:t>
            </w:r>
          </w:p>
        </w:tc>
        <w:tc>
          <w:tcPr>
            <w:tcW w:w="1285" w:type="dxa"/>
            <w:vAlign w:val="center"/>
          </w:tcPr>
          <w:p w14:paraId="7B4D2C35"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4,90</w:t>
            </w:r>
          </w:p>
        </w:tc>
        <w:tc>
          <w:tcPr>
            <w:tcW w:w="1249" w:type="dxa"/>
            <w:shd w:val="clear" w:color="auto" w:fill="auto"/>
            <w:vAlign w:val="center"/>
          </w:tcPr>
          <w:p w14:paraId="5AA5E669"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4,90</w:t>
            </w:r>
          </w:p>
        </w:tc>
      </w:tr>
      <w:tr w:rsidR="00106A7F" w:rsidRPr="00205B34" w14:paraId="65A59CE0" w14:textId="77777777" w:rsidTr="009D1068">
        <w:trPr>
          <w:trHeight w:val="227"/>
          <w:jc w:val="center"/>
        </w:trPr>
        <w:tc>
          <w:tcPr>
            <w:tcW w:w="326" w:type="dxa"/>
            <w:shd w:val="clear" w:color="auto" w:fill="auto"/>
            <w:vAlign w:val="center"/>
          </w:tcPr>
          <w:p w14:paraId="77DE5CE2"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8</w:t>
            </w:r>
          </w:p>
        </w:tc>
        <w:tc>
          <w:tcPr>
            <w:tcW w:w="1641" w:type="dxa"/>
            <w:shd w:val="clear" w:color="auto" w:fill="auto"/>
            <w:vAlign w:val="center"/>
          </w:tcPr>
          <w:p w14:paraId="289E3DB8"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117D514000254</w:t>
            </w:r>
          </w:p>
        </w:tc>
        <w:tc>
          <w:tcPr>
            <w:tcW w:w="2083" w:type="dxa"/>
            <w:shd w:val="clear" w:color="auto" w:fill="auto"/>
            <w:vAlign w:val="center"/>
          </w:tcPr>
          <w:p w14:paraId="59B279CF" w14:textId="77777777" w:rsidR="00106A7F" w:rsidRPr="00205B34" w:rsidRDefault="00106A7F" w:rsidP="00684E94">
            <w:pPr>
              <w:spacing w:before="20" w:after="20"/>
              <w:jc w:val="left"/>
              <w:rPr>
                <w:rFonts w:ascii="Calibri" w:hAnsi="Calibri" w:cs="Calibri"/>
                <w:sz w:val="20"/>
                <w:szCs w:val="20"/>
              </w:rPr>
            </w:pPr>
            <w:r w:rsidRPr="00205B34">
              <w:rPr>
                <w:rFonts w:ascii="Calibri" w:hAnsi="Calibri" w:cs="Calibri"/>
                <w:sz w:val="20"/>
                <w:szCs w:val="20"/>
              </w:rPr>
              <w:t>Obec Střítež</w:t>
            </w:r>
          </w:p>
        </w:tc>
        <w:tc>
          <w:tcPr>
            <w:tcW w:w="1027" w:type="dxa"/>
            <w:shd w:val="clear" w:color="auto" w:fill="auto"/>
            <w:vAlign w:val="center"/>
          </w:tcPr>
          <w:p w14:paraId="2EF7DC5B"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60418559</w:t>
            </w:r>
          </w:p>
        </w:tc>
        <w:tc>
          <w:tcPr>
            <w:tcW w:w="976" w:type="dxa"/>
            <w:vAlign w:val="center"/>
          </w:tcPr>
          <w:p w14:paraId="75CD66F2"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8</w:t>
            </w:r>
          </w:p>
        </w:tc>
        <w:tc>
          <w:tcPr>
            <w:tcW w:w="961" w:type="dxa"/>
            <w:shd w:val="clear" w:color="auto" w:fill="auto"/>
            <w:vAlign w:val="center"/>
          </w:tcPr>
          <w:p w14:paraId="63F35496"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12,50</w:t>
            </w:r>
          </w:p>
        </w:tc>
        <w:tc>
          <w:tcPr>
            <w:tcW w:w="1285" w:type="dxa"/>
            <w:vAlign w:val="center"/>
          </w:tcPr>
          <w:p w14:paraId="0900F64E"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4,80</w:t>
            </w:r>
          </w:p>
        </w:tc>
        <w:tc>
          <w:tcPr>
            <w:tcW w:w="1249" w:type="dxa"/>
            <w:shd w:val="clear" w:color="auto" w:fill="auto"/>
            <w:vAlign w:val="center"/>
          </w:tcPr>
          <w:p w14:paraId="04F5D2D3"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4,80</w:t>
            </w:r>
          </w:p>
        </w:tc>
      </w:tr>
      <w:tr w:rsidR="00106A7F" w:rsidRPr="00205B34" w14:paraId="3270258B" w14:textId="77777777" w:rsidTr="009D1068">
        <w:trPr>
          <w:trHeight w:val="227"/>
          <w:jc w:val="center"/>
        </w:trPr>
        <w:tc>
          <w:tcPr>
            <w:tcW w:w="326" w:type="dxa"/>
            <w:shd w:val="clear" w:color="auto" w:fill="auto"/>
            <w:vAlign w:val="center"/>
          </w:tcPr>
          <w:p w14:paraId="1D802E5F"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9</w:t>
            </w:r>
          </w:p>
        </w:tc>
        <w:tc>
          <w:tcPr>
            <w:tcW w:w="1641" w:type="dxa"/>
            <w:shd w:val="clear" w:color="auto" w:fill="auto"/>
            <w:vAlign w:val="center"/>
          </w:tcPr>
          <w:p w14:paraId="597FA2B0"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117D514000268</w:t>
            </w:r>
          </w:p>
        </w:tc>
        <w:tc>
          <w:tcPr>
            <w:tcW w:w="2083" w:type="dxa"/>
            <w:shd w:val="clear" w:color="auto" w:fill="auto"/>
            <w:vAlign w:val="center"/>
          </w:tcPr>
          <w:p w14:paraId="10913247" w14:textId="77777777" w:rsidR="00106A7F" w:rsidRPr="00205B34" w:rsidRDefault="00106A7F" w:rsidP="00684E94">
            <w:pPr>
              <w:spacing w:before="20" w:after="20"/>
              <w:jc w:val="left"/>
              <w:rPr>
                <w:rFonts w:ascii="Calibri" w:hAnsi="Calibri" w:cs="Calibri"/>
                <w:sz w:val="20"/>
                <w:szCs w:val="20"/>
              </w:rPr>
            </w:pPr>
            <w:r w:rsidRPr="00205B34">
              <w:rPr>
                <w:rFonts w:ascii="Calibri" w:hAnsi="Calibri" w:cs="Calibri"/>
                <w:sz w:val="20"/>
                <w:szCs w:val="20"/>
              </w:rPr>
              <w:t>Městys Mohelno</w:t>
            </w:r>
          </w:p>
        </w:tc>
        <w:tc>
          <w:tcPr>
            <w:tcW w:w="1027" w:type="dxa"/>
            <w:shd w:val="clear" w:color="auto" w:fill="auto"/>
            <w:vAlign w:val="center"/>
          </w:tcPr>
          <w:p w14:paraId="2D427655"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00289922</w:t>
            </w:r>
          </w:p>
        </w:tc>
        <w:tc>
          <w:tcPr>
            <w:tcW w:w="976" w:type="dxa"/>
            <w:vAlign w:val="center"/>
          </w:tcPr>
          <w:p w14:paraId="69C2589E"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6</w:t>
            </w:r>
          </w:p>
        </w:tc>
        <w:tc>
          <w:tcPr>
            <w:tcW w:w="961" w:type="dxa"/>
            <w:shd w:val="clear" w:color="auto" w:fill="auto"/>
            <w:vAlign w:val="center"/>
          </w:tcPr>
          <w:p w14:paraId="5FCE9903"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7,20</w:t>
            </w:r>
          </w:p>
        </w:tc>
        <w:tc>
          <w:tcPr>
            <w:tcW w:w="1285" w:type="dxa"/>
            <w:vAlign w:val="center"/>
          </w:tcPr>
          <w:p w14:paraId="13D0EC59"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3,50</w:t>
            </w:r>
          </w:p>
        </w:tc>
        <w:tc>
          <w:tcPr>
            <w:tcW w:w="1249" w:type="dxa"/>
            <w:shd w:val="clear" w:color="auto" w:fill="auto"/>
            <w:vAlign w:val="center"/>
          </w:tcPr>
          <w:p w14:paraId="5107C728"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3,50</w:t>
            </w:r>
          </w:p>
        </w:tc>
      </w:tr>
      <w:tr w:rsidR="00106A7F" w:rsidRPr="00205B34" w14:paraId="297EDAE5" w14:textId="77777777" w:rsidTr="009D1068">
        <w:trPr>
          <w:trHeight w:val="227"/>
          <w:jc w:val="center"/>
        </w:trPr>
        <w:tc>
          <w:tcPr>
            <w:tcW w:w="5077" w:type="dxa"/>
            <w:gridSpan w:val="4"/>
            <w:shd w:val="clear" w:color="auto" w:fill="auto"/>
            <w:vAlign w:val="center"/>
          </w:tcPr>
          <w:p w14:paraId="135D2170" w14:textId="02761315"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Celkem</w:t>
            </w:r>
          </w:p>
        </w:tc>
        <w:tc>
          <w:tcPr>
            <w:tcW w:w="976" w:type="dxa"/>
            <w:vAlign w:val="center"/>
          </w:tcPr>
          <w:p w14:paraId="76D8744A" w14:textId="77777777" w:rsidR="00106A7F" w:rsidRPr="00205B34" w:rsidRDefault="00106A7F" w:rsidP="00684E94">
            <w:pPr>
              <w:spacing w:before="20" w:after="20"/>
              <w:jc w:val="center"/>
              <w:rPr>
                <w:rFonts w:ascii="Calibri" w:hAnsi="Calibri" w:cs="Calibri"/>
                <w:sz w:val="20"/>
                <w:szCs w:val="20"/>
              </w:rPr>
            </w:pPr>
            <w:r w:rsidRPr="00205B34">
              <w:rPr>
                <w:rFonts w:ascii="Calibri" w:hAnsi="Calibri" w:cs="Calibri"/>
                <w:sz w:val="20"/>
                <w:szCs w:val="20"/>
              </w:rPr>
              <w:t>71</w:t>
            </w:r>
          </w:p>
        </w:tc>
        <w:tc>
          <w:tcPr>
            <w:tcW w:w="961" w:type="dxa"/>
            <w:shd w:val="clear" w:color="auto" w:fill="auto"/>
            <w:vAlign w:val="center"/>
          </w:tcPr>
          <w:p w14:paraId="68F23A55" w14:textId="4C201845"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78,82</w:t>
            </w:r>
          </w:p>
        </w:tc>
        <w:tc>
          <w:tcPr>
            <w:tcW w:w="1285" w:type="dxa"/>
            <w:vAlign w:val="center"/>
          </w:tcPr>
          <w:p w14:paraId="2FB4CE09"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41,48</w:t>
            </w:r>
          </w:p>
        </w:tc>
        <w:tc>
          <w:tcPr>
            <w:tcW w:w="1249" w:type="dxa"/>
            <w:shd w:val="clear" w:color="auto" w:fill="auto"/>
            <w:vAlign w:val="center"/>
          </w:tcPr>
          <w:p w14:paraId="4650EC1C" w14:textId="77777777" w:rsidR="00106A7F" w:rsidRPr="00205B34" w:rsidRDefault="00106A7F" w:rsidP="00684E94">
            <w:pPr>
              <w:spacing w:before="20" w:after="20"/>
              <w:ind w:right="57"/>
              <w:jc w:val="right"/>
              <w:rPr>
                <w:rFonts w:ascii="Calibri" w:hAnsi="Calibri" w:cs="Calibri"/>
                <w:sz w:val="20"/>
                <w:szCs w:val="20"/>
              </w:rPr>
            </w:pPr>
            <w:r w:rsidRPr="00205B34">
              <w:rPr>
                <w:rFonts w:ascii="Calibri" w:hAnsi="Calibri" w:cs="Calibri"/>
                <w:sz w:val="20"/>
                <w:szCs w:val="20"/>
              </w:rPr>
              <w:t>41,48</w:t>
            </w:r>
          </w:p>
        </w:tc>
      </w:tr>
    </w:tbl>
    <w:p w14:paraId="02A04C2D" w14:textId="79D0184A" w:rsidR="00621EB3" w:rsidRPr="00626B6D" w:rsidRDefault="00B6690A" w:rsidP="00684E94">
      <w:pPr>
        <w:autoSpaceDE w:val="0"/>
        <w:autoSpaceDN w:val="0"/>
        <w:adjustRightInd w:val="0"/>
        <w:spacing w:before="40"/>
        <w:rPr>
          <w:rFonts w:asciiTheme="minorHAnsi" w:hAnsiTheme="minorHAnsi" w:cstheme="minorHAnsi"/>
          <w:sz w:val="20"/>
          <w:szCs w:val="20"/>
        </w:rPr>
      </w:pPr>
      <w:r w:rsidRPr="00626B6D">
        <w:rPr>
          <w:rFonts w:asciiTheme="minorHAnsi" w:hAnsiTheme="minorHAnsi" w:cstheme="minorHAnsi"/>
          <w:sz w:val="20"/>
          <w:szCs w:val="20"/>
        </w:rPr>
        <w:t xml:space="preserve">* </w:t>
      </w:r>
      <w:r w:rsidR="009D1068">
        <w:rPr>
          <w:rFonts w:asciiTheme="minorHAnsi" w:hAnsiTheme="minorHAnsi" w:cstheme="minorHAnsi"/>
          <w:sz w:val="20"/>
          <w:szCs w:val="20"/>
        </w:rPr>
        <w:t>Ú</w:t>
      </w:r>
      <w:r w:rsidRPr="00626B6D">
        <w:rPr>
          <w:rFonts w:asciiTheme="minorHAnsi" w:hAnsiTheme="minorHAnsi" w:cstheme="minorHAnsi"/>
          <w:sz w:val="20"/>
          <w:szCs w:val="20"/>
        </w:rPr>
        <w:t xml:space="preserve">daje </w:t>
      </w:r>
      <w:r w:rsidR="009D1068">
        <w:rPr>
          <w:rFonts w:asciiTheme="minorHAnsi" w:hAnsiTheme="minorHAnsi" w:cstheme="minorHAnsi"/>
          <w:sz w:val="20"/>
          <w:szCs w:val="20"/>
        </w:rPr>
        <w:t>byly převzaty z</w:t>
      </w:r>
      <w:r w:rsidRPr="00626B6D">
        <w:rPr>
          <w:rFonts w:asciiTheme="minorHAnsi" w:hAnsiTheme="minorHAnsi" w:cstheme="minorHAnsi"/>
          <w:sz w:val="20"/>
          <w:szCs w:val="20"/>
        </w:rPr>
        <w:t xml:space="preserve"> dokumentace závěrečných hodnocení akcí</w:t>
      </w:r>
      <w:r w:rsidR="00626B6D">
        <w:rPr>
          <w:rFonts w:asciiTheme="minorHAnsi" w:hAnsiTheme="minorHAnsi" w:cstheme="minorHAnsi"/>
          <w:sz w:val="20"/>
          <w:szCs w:val="20"/>
        </w:rPr>
        <w:t>.</w:t>
      </w:r>
    </w:p>
    <w:sectPr w:rsidR="00621EB3" w:rsidRPr="00626B6D" w:rsidSect="0065487A">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900A4" w14:textId="77777777" w:rsidR="00E819ED" w:rsidRDefault="00E819ED" w:rsidP="004F5D7D">
      <w:r>
        <w:separator/>
      </w:r>
    </w:p>
  </w:endnote>
  <w:endnote w:type="continuationSeparator" w:id="0">
    <w:p w14:paraId="488BB8F9" w14:textId="77777777" w:rsidR="00E819ED" w:rsidRDefault="00E819ED" w:rsidP="004F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KFCHLL+Verdana">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316670"/>
      <w:docPartObj>
        <w:docPartGallery w:val="Page Numbers (Bottom of Page)"/>
        <w:docPartUnique/>
      </w:docPartObj>
    </w:sdtPr>
    <w:sdtEndPr>
      <w:rPr>
        <w:rFonts w:ascii="Calibri" w:hAnsi="Calibri" w:cs="Calibri"/>
        <w:sz w:val="24"/>
      </w:rPr>
    </w:sdtEndPr>
    <w:sdtContent>
      <w:p w14:paraId="6CE6BDF4" w14:textId="77777777" w:rsidR="00E819ED" w:rsidRPr="00A01642" w:rsidRDefault="00E819ED">
        <w:pPr>
          <w:pStyle w:val="Zpat"/>
          <w:jc w:val="center"/>
          <w:rPr>
            <w:rFonts w:ascii="Calibri" w:hAnsi="Calibri" w:cs="Calibri"/>
            <w:sz w:val="24"/>
          </w:rPr>
        </w:pPr>
        <w:r w:rsidRPr="00A01642">
          <w:rPr>
            <w:rFonts w:ascii="Calibri" w:hAnsi="Calibri" w:cs="Calibri"/>
            <w:sz w:val="24"/>
          </w:rPr>
          <w:fldChar w:fldCharType="begin"/>
        </w:r>
        <w:r w:rsidRPr="00A01642">
          <w:rPr>
            <w:rFonts w:ascii="Calibri" w:hAnsi="Calibri" w:cs="Calibri"/>
            <w:sz w:val="24"/>
          </w:rPr>
          <w:instrText>PAGE   \* MERGEFORMAT</w:instrText>
        </w:r>
        <w:r w:rsidRPr="00A01642">
          <w:rPr>
            <w:rFonts w:ascii="Calibri" w:hAnsi="Calibri" w:cs="Calibri"/>
            <w:sz w:val="24"/>
          </w:rPr>
          <w:fldChar w:fldCharType="separate"/>
        </w:r>
        <w:r w:rsidR="001D378B">
          <w:rPr>
            <w:rFonts w:ascii="Calibri" w:hAnsi="Calibri" w:cs="Calibri"/>
            <w:noProof/>
            <w:sz w:val="24"/>
          </w:rPr>
          <w:t>3</w:t>
        </w:r>
        <w:r w:rsidRPr="00A01642">
          <w:rPr>
            <w:rFonts w:ascii="Calibri" w:hAnsi="Calibri" w:cs="Calibri"/>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EBD4F" w14:textId="77777777" w:rsidR="00E819ED" w:rsidRDefault="00E819ED" w:rsidP="004F5D7D">
      <w:r>
        <w:separator/>
      </w:r>
    </w:p>
  </w:footnote>
  <w:footnote w:type="continuationSeparator" w:id="0">
    <w:p w14:paraId="296CD8D5" w14:textId="77777777" w:rsidR="00E819ED" w:rsidRDefault="00E819ED" w:rsidP="004F5D7D">
      <w:r>
        <w:continuationSeparator/>
      </w:r>
    </w:p>
  </w:footnote>
  <w:footnote w:id="1">
    <w:p w14:paraId="0EA8D72E" w14:textId="6353E70E" w:rsidR="00E819ED" w:rsidRPr="00A01642" w:rsidRDefault="00E819ED" w:rsidP="00F352BD">
      <w:pPr>
        <w:pStyle w:val="Textpoznpodarou"/>
        <w:ind w:left="284" w:hanging="284"/>
        <w:jc w:val="both"/>
        <w:rPr>
          <w:rFonts w:ascii="Calibri" w:hAnsi="Calibri" w:cs="Calibri"/>
        </w:rPr>
      </w:pPr>
      <w:r w:rsidRPr="00A01642">
        <w:rPr>
          <w:rStyle w:val="Znakapoznpodarou"/>
          <w:rFonts w:ascii="Calibri" w:hAnsi="Calibri" w:cs="Calibri"/>
        </w:rPr>
        <w:footnoteRef/>
      </w:r>
      <w:r w:rsidRPr="00A01642">
        <w:rPr>
          <w:rFonts w:ascii="Calibri" w:hAnsi="Calibri" w:cs="Calibri"/>
        </w:rPr>
        <w:t xml:space="preserve"> </w:t>
      </w:r>
      <w:r w:rsidRPr="00A01642">
        <w:rPr>
          <w:rFonts w:ascii="Calibri" w:hAnsi="Calibri" w:cs="Calibri"/>
        </w:rPr>
        <w:tab/>
        <w:t xml:space="preserve">Usnesení vlády ČR ze dne 13. července 2011 č. 524, </w:t>
      </w:r>
      <w:r w:rsidRPr="00E819ED">
        <w:rPr>
          <w:rFonts w:ascii="Calibri" w:hAnsi="Calibri" w:cs="Calibri"/>
          <w:i/>
        </w:rPr>
        <w:t>o Koncepci bydlení České republiky do roku 2020</w:t>
      </w:r>
      <w:r w:rsidRPr="00A01642">
        <w:rPr>
          <w:rFonts w:ascii="Calibri" w:hAnsi="Calibri" w:cs="Calibri"/>
        </w:rPr>
        <w:t>.</w:t>
      </w:r>
    </w:p>
  </w:footnote>
  <w:footnote w:id="2">
    <w:p w14:paraId="7E53C16B" w14:textId="24D3FD8C" w:rsidR="00E819ED" w:rsidRPr="00A01642" w:rsidRDefault="00E819ED" w:rsidP="00F352BD">
      <w:pPr>
        <w:pStyle w:val="Textpoznpodarou"/>
        <w:ind w:left="284" w:hanging="284"/>
        <w:jc w:val="both"/>
        <w:rPr>
          <w:rFonts w:ascii="Calibri" w:hAnsi="Calibri" w:cs="Calibri"/>
        </w:rPr>
      </w:pPr>
      <w:r w:rsidRPr="00A01642">
        <w:rPr>
          <w:rStyle w:val="Znakapoznpodarou"/>
          <w:rFonts w:ascii="Calibri" w:hAnsi="Calibri" w:cs="Calibri"/>
        </w:rPr>
        <w:footnoteRef/>
      </w:r>
      <w:r w:rsidRPr="00A01642">
        <w:rPr>
          <w:rFonts w:ascii="Calibri" w:hAnsi="Calibri" w:cs="Calibri"/>
        </w:rPr>
        <w:t xml:space="preserve"> </w:t>
      </w:r>
      <w:r w:rsidRPr="00A01642">
        <w:rPr>
          <w:rFonts w:ascii="Calibri" w:hAnsi="Calibri" w:cs="Calibri"/>
        </w:rPr>
        <w:tab/>
        <w:t>Zákon č. 2/1969 Sb., o zřízení ministerstev a jiných ústředních orgánů státní správy České republiky.</w:t>
      </w:r>
    </w:p>
  </w:footnote>
  <w:footnote w:id="3">
    <w:p w14:paraId="6E303189" w14:textId="77777777" w:rsidR="00E819ED" w:rsidRPr="00A01642" w:rsidRDefault="00E819ED" w:rsidP="00F352BD">
      <w:pPr>
        <w:pStyle w:val="Textpoznpodarou"/>
        <w:ind w:left="284" w:hanging="284"/>
        <w:jc w:val="both"/>
        <w:rPr>
          <w:rFonts w:ascii="Calibri" w:hAnsi="Calibri" w:cs="Calibri"/>
        </w:rPr>
      </w:pPr>
      <w:r w:rsidRPr="00A01642">
        <w:rPr>
          <w:rStyle w:val="Znakapoznpodarou"/>
          <w:rFonts w:ascii="Calibri" w:hAnsi="Calibri" w:cs="Calibri"/>
        </w:rPr>
        <w:footnoteRef/>
      </w:r>
      <w:r w:rsidRPr="00A01642">
        <w:rPr>
          <w:rFonts w:ascii="Calibri" w:hAnsi="Calibri" w:cs="Calibri"/>
          <w:iCs/>
        </w:rPr>
        <w:tab/>
        <w:t>Zákon č. 211/2000 Sb., o Státním fondu rozvoje bydlení a o změně zákona č. 171/1991 Sb., o působnosti orgánů České republiky ve věcech převodů majetku státu na jiné osoby a o Fondu národního majetku České republiky, ve znění pozdějších předpisů.</w:t>
      </w:r>
    </w:p>
  </w:footnote>
  <w:footnote w:id="4">
    <w:p w14:paraId="49E944C9" w14:textId="5648347A" w:rsidR="00E819ED" w:rsidRPr="00205B34" w:rsidRDefault="00E819ED" w:rsidP="00490608">
      <w:pPr>
        <w:pStyle w:val="Textpoznpodarou"/>
        <w:ind w:left="284" w:hanging="284"/>
        <w:rPr>
          <w:rFonts w:ascii="Calibri" w:hAnsi="Calibri" w:cs="Calibri"/>
        </w:rPr>
      </w:pPr>
      <w:r w:rsidRPr="00205B34">
        <w:rPr>
          <w:rStyle w:val="Znakapoznpodarou"/>
          <w:rFonts w:ascii="Calibri" w:hAnsi="Calibri" w:cs="Calibri"/>
        </w:rPr>
        <w:footnoteRef/>
      </w:r>
      <w:r w:rsidRPr="00205B34">
        <w:rPr>
          <w:rFonts w:ascii="Calibri" w:hAnsi="Calibri" w:cs="Calibri"/>
        </w:rPr>
        <w:tab/>
        <w:t>Údaj nezahrnuje úvěry poskytnuté z IOP.</w:t>
      </w:r>
    </w:p>
  </w:footnote>
  <w:footnote w:id="5">
    <w:p w14:paraId="3BCDD649" w14:textId="045C2B88" w:rsidR="00E819ED" w:rsidRPr="00626B6D" w:rsidRDefault="00E819ED" w:rsidP="00045525">
      <w:pPr>
        <w:pStyle w:val="Textpoznpodarou"/>
        <w:ind w:left="284" w:hanging="284"/>
        <w:jc w:val="both"/>
        <w:rPr>
          <w:rFonts w:asciiTheme="minorHAnsi" w:hAnsiTheme="minorHAnsi" w:cstheme="minorHAnsi"/>
        </w:rPr>
      </w:pPr>
      <w:r w:rsidRPr="00626B6D">
        <w:rPr>
          <w:rStyle w:val="Znakapoznpodarou"/>
          <w:rFonts w:asciiTheme="minorHAnsi" w:hAnsiTheme="minorHAnsi" w:cstheme="minorHAnsi"/>
        </w:rPr>
        <w:footnoteRef/>
      </w:r>
      <w:r w:rsidRPr="00626B6D">
        <w:rPr>
          <w:rFonts w:asciiTheme="minorHAnsi" w:hAnsiTheme="minorHAnsi" w:cstheme="minorHAnsi"/>
        </w:rPr>
        <w:t xml:space="preserve"> </w:t>
      </w:r>
      <w:r>
        <w:rPr>
          <w:rFonts w:asciiTheme="minorHAnsi" w:hAnsiTheme="minorHAnsi" w:cstheme="minorHAnsi"/>
        </w:rPr>
        <w:tab/>
      </w:r>
      <w:r w:rsidRPr="00626B6D">
        <w:rPr>
          <w:rFonts w:asciiTheme="minorHAnsi" w:hAnsiTheme="minorHAnsi" w:cstheme="minorHAnsi"/>
        </w:rPr>
        <w:t xml:space="preserve">Prostředky </w:t>
      </w:r>
      <w:r w:rsidRPr="00E819ED">
        <w:rPr>
          <w:rFonts w:asciiTheme="minorHAnsi" w:hAnsiTheme="minorHAnsi" w:cstheme="minorHAnsi"/>
          <w:i/>
        </w:rPr>
        <w:t>Evropského fondu pro regionální rozvoj</w:t>
      </w:r>
      <w:r w:rsidRPr="00626B6D">
        <w:rPr>
          <w:rFonts w:asciiTheme="minorHAnsi" w:hAnsiTheme="minorHAnsi" w:cstheme="minorHAnsi"/>
        </w:rPr>
        <w:t xml:space="preserve"> a státního rozpočtu proplacené příjemcům podpory od začátku programového období 2007–2013 do října 2015 z</w:t>
      </w:r>
      <w:r>
        <w:rPr>
          <w:rFonts w:asciiTheme="minorHAnsi" w:hAnsiTheme="minorHAnsi" w:cstheme="minorHAnsi"/>
        </w:rPr>
        <w:t xml:space="preserve"> </w:t>
      </w:r>
      <w:r w:rsidRPr="00E819ED">
        <w:rPr>
          <w:rFonts w:asciiTheme="minorHAnsi" w:hAnsiTheme="minorHAnsi" w:cstheme="minorHAnsi"/>
          <w:i/>
        </w:rPr>
        <w:t>Integrovaného operačního programu</w:t>
      </w:r>
      <w:r w:rsidRPr="00626B6D">
        <w:rPr>
          <w:rFonts w:asciiTheme="minorHAnsi" w:hAnsiTheme="minorHAnsi" w:cstheme="minorHAnsi"/>
        </w:rPr>
        <w:t>.</w:t>
      </w:r>
    </w:p>
  </w:footnote>
  <w:footnote w:id="6">
    <w:p w14:paraId="62A28AFB" w14:textId="7F25CCBC" w:rsidR="00E819ED" w:rsidRPr="00626B6D" w:rsidRDefault="00E819ED" w:rsidP="00045525">
      <w:pPr>
        <w:pStyle w:val="Textpoznpodarou"/>
        <w:ind w:left="284" w:hanging="284"/>
        <w:jc w:val="both"/>
        <w:rPr>
          <w:rFonts w:asciiTheme="minorHAnsi" w:hAnsiTheme="minorHAnsi" w:cstheme="minorHAnsi"/>
        </w:rPr>
      </w:pPr>
      <w:r w:rsidRPr="00626B6D">
        <w:rPr>
          <w:rStyle w:val="Znakapoznpodarou"/>
          <w:rFonts w:asciiTheme="minorHAnsi" w:hAnsiTheme="minorHAnsi" w:cstheme="minorHAnsi"/>
        </w:rPr>
        <w:footnoteRef/>
      </w:r>
      <w:r w:rsidRPr="00626B6D">
        <w:rPr>
          <w:rFonts w:asciiTheme="minorHAnsi" w:hAnsiTheme="minorHAnsi" w:cstheme="minorHAnsi"/>
        </w:rPr>
        <w:t xml:space="preserve"> </w:t>
      </w:r>
      <w:r>
        <w:rPr>
          <w:rFonts w:asciiTheme="minorHAnsi" w:hAnsiTheme="minorHAnsi" w:cstheme="minorHAnsi"/>
        </w:rPr>
        <w:tab/>
      </w:r>
      <w:r w:rsidRPr="00626B6D">
        <w:rPr>
          <w:rFonts w:asciiTheme="minorHAnsi" w:hAnsiTheme="minorHAnsi" w:cstheme="minorHAnsi"/>
        </w:rPr>
        <w:t xml:space="preserve">Usnesení vlády ČR ze dne 1. prosince 2010 č. 856, </w:t>
      </w:r>
      <w:r w:rsidRPr="00E819ED">
        <w:rPr>
          <w:rFonts w:asciiTheme="minorHAnsi" w:hAnsiTheme="minorHAnsi" w:cstheme="minorHAnsi"/>
          <w:i/>
        </w:rPr>
        <w:t>ke Kontrolnímu závěru Nejvyššího kontrolního úřadu z kontrolní akce č. 09/24 Peněžní prostředky určené na podporu bydlení</w:t>
      </w:r>
      <w:r w:rsidRPr="00626B6D">
        <w:rPr>
          <w:rFonts w:asciiTheme="minorHAnsi" w:hAnsiTheme="minorHAnsi" w:cstheme="minorHAnsi"/>
        </w:rPr>
        <w:t>.</w:t>
      </w:r>
    </w:p>
  </w:footnote>
  <w:footnote w:id="7">
    <w:p w14:paraId="6D3C2A8E" w14:textId="72EB9572" w:rsidR="00E819ED" w:rsidRPr="00357A49" w:rsidRDefault="00E819ED" w:rsidP="00490608">
      <w:pPr>
        <w:pStyle w:val="Textpoznpodarou"/>
        <w:ind w:left="284" w:hanging="284"/>
        <w:jc w:val="both"/>
        <w:rPr>
          <w:rFonts w:ascii="Calibri" w:hAnsi="Calibri" w:cs="Calibri"/>
        </w:rPr>
      </w:pPr>
      <w:r w:rsidRPr="00E70849">
        <w:rPr>
          <w:rStyle w:val="Znakapoznpodarou"/>
          <w:rFonts w:asciiTheme="minorHAnsi" w:hAnsiTheme="minorHAnsi" w:cstheme="minorHAnsi"/>
        </w:rPr>
        <w:footnoteRef/>
      </w:r>
      <w:r>
        <w:rPr>
          <w:rFonts w:asciiTheme="minorHAnsi" w:hAnsiTheme="minorHAnsi" w:cstheme="minorHAnsi"/>
        </w:rPr>
        <w:tab/>
      </w:r>
      <w:r w:rsidRPr="00E70849">
        <w:rPr>
          <w:rFonts w:asciiTheme="minorHAnsi" w:hAnsiTheme="minorHAnsi" w:cstheme="minorHAnsi"/>
        </w:rPr>
        <w:t xml:space="preserve">Usnesení vlády ČR ze dne 12. října 2015 č. 810, </w:t>
      </w:r>
      <w:r w:rsidRPr="00E819ED">
        <w:rPr>
          <w:rFonts w:asciiTheme="minorHAnsi" w:hAnsiTheme="minorHAnsi" w:cstheme="minorHAnsi"/>
          <w:i/>
        </w:rPr>
        <w:t>o Koncepci sociálního bydlení České republiky na léta</w:t>
      </w:r>
      <w:r w:rsidRPr="00E819ED">
        <w:rPr>
          <w:rFonts w:asciiTheme="minorHAnsi" w:hAnsiTheme="minorHAnsi" w:cstheme="minorHAnsi"/>
          <w:i/>
        </w:rPr>
        <w:br/>
        <w:t>2015–2025</w:t>
      </w:r>
      <w:r w:rsidRPr="00E70849">
        <w:rPr>
          <w:rFonts w:asciiTheme="minorHAnsi" w:hAnsiTheme="minorHAnsi" w:cstheme="minorHAnsi"/>
        </w:rPr>
        <w:t>.</w:t>
      </w:r>
    </w:p>
  </w:footnote>
  <w:footnote w:id="8">
    <w:p w14:paraId="3839757C" w14:textId="51B12C02" w:rsidR="00E819ED" w:rsidRPr="00626B6D" w:rsidRDefault="00E819ED" w:rsidP="00490608">
      <w:pPr>
        <w:ind w:left="284" w:hanging="284"/>
        <w:rPr>
          <w:rFonts w:asciiTheme="minorHAnsi" w:hAnsiTheme="minorHAnsi" w:cstheme="minorHAnsi"/>
          <w:sz w:val="20"/>
          <w:szCs w:val="20"/>
        </w:rPr>
      </w:pPr>
      <w:r w:rsidRPr="00626B6D">
        <w:rPr>
          <w:rStyle w:val="Znakapoznpodarou"/>
          <w:rFonts w:asciiTheme="minorHAnsi" w:hAnsiTheme="minorHAnsi" w:cstheme="minorHAnsi"/>
          <w:sz w:val="20"/>
          <w:szCs w:val="20"/>
        </w:rPr>
        <w:footnoteRef/>
      </w:r>
      <w:r w:rsidRPr="00626B6D">
        <w:rPr>
          <w:rFonts w:asciiTheme="minorHAnsi" w:hAnsiTheme="minorHAnsi" w:cstheme="minorHAnsi"/>
          <w:sz w:val="20"/>
          <w:szCs w:val="20"/>
        </w:rPr>
        <w:t xml:space="preserve"> </w:t>
      </w:r>
      <w:r>
        <w:rPr>
          <w:rFonts w:asciiTheme="minorHAnsi" w:hAnsiTheme="minorHAnsi" w:cstheme="minorHAnsi"/>
          <w:sz w:val="20"/>
          <w:szCs w:val="20"/>
        </w:rPr>
        <w:tab/>
      </w:r>
      <w:r w:rsidRPr="00626B6D">
        <w:rPr>
          <w:rFonts w:asciiTheme="minorHAnsi" w:hAnsiTheme="minorHAnsi" w:cstheme="minorHAnsi"/>
          <w:sz w:val="20"/>
          <w:szCs w:val="20"/>
        </w:rPr>
        <w:t>Zákon č. 183/2006 Sb., o územním plánování a stavebním řádu (stavební zákon).</w:t>
      </w:r>
    </w:p>
  </w:footnote>
  <w:footnote w:id="9">
    <w:p w14:paraId="0F5CDF1B" w14:textId="14F230CE" w:rsidR="00E819ED" w:rsidRPr="00626B6D" w:rsidRDefault="00E819ED" w:rsidP="00490608">
      <w:pPr>
        <w:pStyle w:val="Textpoznpodarou"/>
        <w:ind w:left="284" w:hanging="284"/>
        <w:jc w:val="both"/>
        <w:rPr>
          <w:rFonts w:asciiTheme="minorHAnsi" w:hAnsiTheme="minorHAnsi" w:cstheme="minorHAnsi"/>
        </w:rPr>
      </w:pPr>
      <w:r w:rsidRPr="00626B6D">
        <w:rPr>
          <w:rStyle w:val="Znakapoznpodarou"/>
          <w:rFonts w:asciiTheme="minorHAnsi" w:hAnsiTheme="minorHAnsi" w:cstheme="minorHAnsi"/>
        </w:rPr>
        <w:footnoteRef/>
      </w:r>
      <w:r w:rsidRPr="00626B6D">
        <w:rPr>
          <w:rFonts w:asciiTheme="minorHAnsi" w:hAnsiTheme="minorHAnsi" w:cstheme="minorHAnsi"/>
        </w:rPr>
        <w:t xml:space="preserve"> </w:t>
      </w:r>
      <w:r>
        <w:rPr>
          <w:rFonts w:asciiTheme="minorHAnsi" w:hAnsiTheme="minorHAnsi" w:cstheme="minorHAnsi"/>
        </w:rPr>
        <w:tab/>
      </w:r>
      <w:r w:rsidRPr="00626B6D">
        <w:rPr>
          <w:rFonts w:asciiTheme="minorHAnsi" w:hAnsiTheme="minorHAnsi" w:cstheme="minorHAnsi"/>
        </w:rPr>
        <w:t>Zákon č. 218/2000 Sb., o rozpočtových pravidlech a o změně některých souvisejících zákonů (rozpočtová pravidla).</w:t>
      </w:r>
    </w:p>
  </w:footnote>
  <w:footnote w:id="10">
    <w:p w14:paraId="78E7C61A" w14:textId="2A470DC7" w:rsidR="00E819ED" w:rsidRPr="00626B6D" w:rsidRDefault="00E819ED" w:rsidP="00490608">
      <w:pPr>
        <w:pStyle w:val="Textpoznpodarou"/>
        <w:ind w:left="284" w:hanging="284"/>
        <w:rPr>
          <w:rFonts w:asciiTheme="minorHAnsi" w:hAnsiTheme="minorHAnsi" w:cstheme="minorHAnsi"/>
        </w:rPr>
      </w:pPr>
      <w:r w:rsidRPr="00626B6D">
        <w:rPr>
          <w:rStyle w:val="Znakapoznpodarou"/>
          <w:rFonts w:asciiTheme="minorHAnsi" w:hAnsiTheme="minorHAnsi" w:cstheme="minorHAnsi"/>
        </w:rPr>
        <w:footnoteRef/>
      </w:r>
      <w:r w:rsidRPr="00626B6D">
        <w:rPr>
          <w:rFonts w:asciiTheme="minorHAnsi" w:hAnsiTheme="minorHAnsi" w:cstheme="minorHAnsi"/>
        </w:rPr>
        <w:t xml:space="preserve"> </w:t>
      </w:r>
      <w:r>
        <w:rPr>
          <w:rFonts w:asciiTheme="minorHAnsi" w:hAnsiTheme="minorHAnsi" w:cstheme="minorHAnsi"/>
        </w:rPr>
        <w:tab/>
      </w:r>
      <w:r w:rsidRPr="00626B6D">
        <w:rPr>
          <w:rFonts w:asciiTheme="minorHAnsi" w:hAnsiTheme="minorHAnsi" w:cstheme="minorHAnsi"/>
        </w:rPr>
        <w:t>Zákon č. 137/2006 Sb., o veřejných zakázkách.</w:t>
      </w:r>
    </w:p>
  </w:footnote>
  <w:footnote w:id="11">
    <w:p w14:paraId="6EA7D598" w14:textId="02E854F4" w:rsidR="00E819ED" w:rsidRPr="00626B6D" w:rsidRDefault="00E819ED" w:rsidP="00490608">
      <w:pPr>
        <w:pStyle w:val="Textpoznpodarou"/>
        <w:ind w:left="284" w:hanging="284"/>
        <w:rPr>
          <w:rFonts w:asciiTheme="minorHAnsi" w:hAnsiTheme="minorHAnsi" w:cstheme="minorHAnsi"/>
        </w:rPr>
      </w:pPr>
      <w:r w:rsidRPr="00626B6D">
        <w:rPr>
          <w:rStyle w:val="Znakapoznpodarou"/>
          <w:rFonts w:asciiTheme="minorHAnsi" w:hAnsiTheme="minorHAnsi" w:cstheme="minorHAnsi"/>
        </w:rPr>
        <w:footnoteRef/>
      </w:r>
      <w:r w:rsidRPr="00626B6D">
        <w:rPr>
          <w:rFonts w:asciiTheme="minorHAnsi" w:hAnsiTheme="minorHAnsi" w:cstheme="minorHAnsi"/>
        </w:rPr>
        <w:t xml:space="preserve"> </w:t>
      </w:r>
      <w:r>
        <w:rPr>
          <w:rFonts w:asciiTheme="minorHAnsi" w:hAnsiTheme="minorHAnsi" w:cstheme="minorHAnsi"/>
        </w:rPr>
        <w:tab/>
      </w:r>
      <w:r w:rsidRPr="00626B6D">
        <w:rPr>
          <w:rFonts w:asciiTheme="minorHAnsi" w:hAnsiTheme="minorHAnsi" w:cstheme="minorHAnsi"/>
        </w:rPr>
        <w:t>Zákon č. 235/2004 Sb., o dani z přidané hodnoty.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A7E04"/>
    <w:multiLevelType w:val="hybridMultilevel"/>
    <w:tmpl w:val="293A01FE"/>
    <w:lvl w:ilvl="0" w:tplc="04050001">
      <w:start w:val="1"/>
      <w:numFmt w:val="bullet"/>
      <w:lvlText w:val=""/>
      <w:lvlJc w:val="left"/>
      <w:pPr>
        <w:ind w:left="720" w:hanging="360"/>
      </w:pPr>
      <w:rPr>
        <w:rFonts w:ascii="Symbol" w:hAnsi="Symbol" w:hint="default"/>
      </w:rPr>
    </w:lvl>
    <w:lvl w:ilvl="1" w:tplc="EEEC62F2">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C1C08E6"/>
    <w:multiLevelType w:val="hybridMultilevel"/>
    <w:tmpl w:val="1EB8CC78"/>
    <w:lvl w:ilvl="0" w:tplc="CAEC6B30">
      <w:start w:val="1"/>
      <w:numFmt w:val="bullet"/>
      <w:lvlText w:val="-"/>
      <w:lvlJc w:val="left"/>
      <w:pPr>
        <w:ind w:left="765" w:hanging="360"/>
      </w:pPr>
      <w:rPr>
        <w:rFonts w:ascii="Sylfaen" w:hAnsi="Sylfae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
    <w:nsid w:val="3C5D7976"/>
    <w:multiLevelType w:val="hybridMultilevel"/>
    <w:tmpl w:val="F13C3760"/>
    <w:lvl w:ilvl="0" w:tplc="2E2CC25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2307447"/>
    <w:multiLevelType w:val="hybridMultilevel"/>
    <w:tmpl w:val="9E5A54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360468D"/>
    <w:multiLevelType w:val="hybridMultilevel"/>
    <w:tmpl w:val="A7C84310"/>
    <w:lvl w:ilvl="0" w:tplc="5D08951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394243A"/>
    <w:multiLevelType w:val="hybridMultilevel"/>
    <w:tmpl w:val="1AF6A39C"/>
    <w:lvl w:ilvl="0" w:tplc="2BF242EA">
      <w:start w:val="1"/>
      <w:numFmt w:val="bullet"/>
      <w:lvlText w:val=""/>
      <w:lvlJc w:val="left"/>
      <w:pPr>
        <w:ind w:left="774" w:hanging="360"/>
      </w:pPr>
      <w:rPr>
        <w:rFonts w:ascii="Symbol" w:hAnsi="Symbol" w:hint="default"/>
        <w:color w:val="auto"/>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6">
    <w:nsid w:val="5C242E0F"/>
    <w:multiLevelType w:val="hybridMultilevel"/>
    <w:tmpl w:val="21227E0C"/>
    <w:lvl w:ilvl="0" w:tplc="D20ED8B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A853C92"/>
    <w:multiLevelType w:val="hybridMultilevel"/>
    <w:tmpl w:val="FF24CC74"/>
    <w:lvl w:ilvl="0" w:tplc="5D08951C">
      <w:start w:val="1"/>
      <w:numFmt w:val="bullet"/>
      <w:lvlText w:val=""/>
      <w:lvlJc w:val="left"/>
      <w:pPr>
        <w:ind w:left="765"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87D"/>
    <w:rsid w:val="00002C7F"/>
    <w:rsid w:val="00002DA7"/>
    <w:rsid w:val="00003698"/>
    <w:rsid w:val="00030196"/>
    <w:rsid w:val="0003387D"/>
    <w:rsid w:val="00045525"/>
    <w:rsid w:val="0004659F"/>
    <w:rsid w:val="000532AC"/>
    <w:rsid w:val="00060950"/>
    <w:rsid w:val="000659D4"/>
    <w:rsid w:val="000672EF"/>
    <w:rsid w:val="00074713"/>
    <w:rsid w:val="00092768"/>
    <w:rsid w:val="00093BF0"/>
    <w:rsid w:val="000A5825"/>
    <w:rsid w:val="000B5A4F"/>
    <w:rsid w:val="000C2C5E"/>
    <w:rsid w:val="000C6CAE"/>
    <w:rsid w:val="000D07BA"/>
    <w:rsid w:val="000E4A28"/>
    <w:rsid w:val="000F08CE"/>
    <w:rsid w:val="00103992"/>
    <w:rsid w:val="0010568C"/>
    <w:rsid w:val="0010694E"/>
    <w:rsid w:val="00106A7F"/>
    <w:rsid w:val="001106D3"/>
    <w:rsid w:val="001133F5"/>
    <w:rsid w:val="001160F1"/>
    <w:rsid w:val="00120CDD"/>
    <w:rsid w:val="00123D60"/>
    <w:rsid w:val="00125A0D"/>
    <w:rsid w:val="00126D44"/>
    <w:rsid w:val="00152417"/>
    <w:rsid w:val="00152C03"/>
    <w:rsid w:val="001609E0"/>
    <w:rsid w:val="001623A7"/>
    <w:rsid w:val="0016326A"/>
    <w:rsid w:val="00164802"/>
    <w:rsid w:val="00166910"/>
    <w:rsid w:val="001731A3"/>
    <w:rsid w:val="00174A94"/>
    <w:rsid w:val="00177117"/>
    <w:rsid w:val="00177BE0"/>
    <w:rsid w:val="00195844"/>
    <w:rsid w:val="001A36E2"/>
    <w:rsid w:val="001A7775"/>
    <w:rsid w:val="001B4993"/>
    <w:rsid w:val="001C175F"/>
    <w:rsid w:val="001C37E5"/>
    <w:rsid w:val="001C6BFA"/>
    <w:rsid w:val="001D2832"/>
    <w:rsid w:val="001D378B"/>
    <w:rsid w:val="001E066B"/>
    <w:rsid w:val="001E1289"/>
    <w:rsid w:val="001E2DA6"/>
    <w:rsid w:val="001F35A9"/>
    <w:rsid w:val="001F4635"/>
    <w:rsid w:val="00205B34"/>
    <w:rsid w:val="00210CBE"/>
    <w:rsid w:val="00214020"/>
    <w:rsid w:val="00230074"/>
    <w:rsid w:val="0023344E"/>
    <w:rsid w:val="00234ABB"/>
    <w:rsid w:val="00236E29"/>
    <w:rsid w:val="00245847"/>
    <w:rsid w:val="00261712"/>
    <w:rsid w:val="00273F6F"/>
    <w:rsid w:val="00274708"/>
    <w:rsid w:val="002811E2"/>
    <w:rsid w:val="00283E43"/>
    <w:rsid w:val="002845C2"/>
    <w:rsid w:val="002867C3"/>
    <w:rsid w:val="00286C6F"/>
    <w:rsid w:val="0028714F"/>
    <w:rsid w:val="00290FB4"/>
    <w:rsid w:val="00294348"/>
    <w:rsid w:val="002A1676"/>
    <w:rsid w:val="002B3FA1"/>
    <w:rsid w:val="002C1505"/>
    <w:rsid w:val="002C1C21"/>
    <w:rsid w:val="002C5098"/>
    <w:rsid w:val="002C6E11"/>
    <w:rsid w:val="002D7F29"/>
    <w:rsid w:val="002E00DB"/>
    <w:rsid w:val="002E08CD"/>
    <w:rsid w:val="002E4DAF"/>
    <w:rsid w:val="002E6B90"/>
    <w:rsid w:val="00303C1E"/>
    <w:rsid w:val="00310754"/>
    <w:rsid w:val="00315F15"/>
    <w:rsid w:val="00323CFB"/>
    <w:rsid w:val="00331111"/>
    <w:rsid w:val="00342081"/>
    <w:rsid w:val="00345F4D"/>
    <w:rsid w:val="0034642F"/>
    <w:rsid w:val="0035412F"/>
    <w:rsid w:val="00357A49"/>
    <w:rsid w:val="00370359"/>
    <w:rsid w:val="00377175"/>
    <w:rsid w:val="003970B8"/>
    <w:rsid w:val="00397FC7"/>
    <w:rsid w:val="003A234F"/>
    <w:rsid w:val="003E02C6"/>
    <w:rsid w:val="003E2364"/>
    <w:rsid w:val="003E4E34"/>
    <w:rsid w:val="003F30B7"/>
    <w:rsid w:val="004129A7"/>
    <w:rsid w:val="00412DED"/>
    <w:rsid w:val="0043072C"/>
    <w:rsid w:val="0043488B"/>
    <w:rsid w:val="00436E9B"/>
    <w:rsid w:val="00451F8B"/>
    <w:rsid w:val="00460A37"/>
    <w:rsid w:val="0046528A"/>
    <w:rsid w:val="004656E8"/>
    <w:rsid w:val="00467C75"/>
    <w:rsid w:val="00484A95"/>
    <w:rsid w:val="00490608"/>
    <w:rsid w:val="00492C48"/>
    <w:rsid w:val="00496B6F"/>
    <w:rsid w:val="004B44B9"/>
    <w:rsid w:val="004F1AC1"/>
    <w:rsid w:val="004F5D7D"/>
    <w:rsid w:val="00504109"/>
    <w:rsid w:val="00507219"/>
    <w:rsid w:val="0051464E"/>
    <w:rsid w:val="0051722F"/>
    <w:rsid w:val="00521184"/>
    <w:rsid w:val="00525424"/>
    <w:rsid w:val="0053452B"/>
    <w:rsid w:val="0053585F"/>
    <w:rsid w:val="005366AB"/>
    <w:rsid w:val="005522F1"/>
    <w:rsid w:val="00552342"/>
    <w:rsid w:val="00554677"/>
    <w:rsid w:val="00554E6F"/>
    <w:rsid w:val="0055698D"/>
    <w:rsid w:val="0057271B"/>
    <w:rsid w:val="00574668"/>
    <w:rsid w:val="0057772E"/>
    <w:rsid w:val="00582D9F"/>
    <w:rsid w:val="00597DFE"/>
    <w:rsid w:val="005A0FC0"/>
    <w:rsid w:val="005A46E1"/>
    <w:rsid w:val="005A79BA"/>
    <w:rsid w:val="005B3092"/>
    <w:rsid w:val="005B36A0"/>
    <w:rsid w:val="005C028F"/>
    <w:rsid w:val="005C1EDC"/>
    <w:rsid w:val="005C4056"/>
    <w:rsid w:val="005E1A03"/>
    <w:rsid w:val="005F63FF"/>
    <w:rsid w:val="006006D8"/>
    <w:rsid w:val="00600D23"/>
    <w:rsid w:val="006028C1"/>
    <w:rsid w:val="00620A70"/>
    <w:rsid w:val="00621EB3"/>
    <w:rsid w:val="0062430C"/>
    <w:rsid w:val="00626B6D"/>
    <w:rsid w:val="00627778"/>
    <w:rsid w:val="00630BEB"/>
    <w:rsid w:val="00633A17"/>
    <w:rsid w:val="00635B83"/>
    <w:rsid w:val="00636339"/>
    <w:rsid w:val="00642828"/>
    <w:rsid w:val="0065487A"/>
    <w:rsid w:val="006576C1"/>
    <w:rsid w:val="00660A35"/>
    <w:rsid w:val="00671937"/>
    <w:rsid w:val="00681E0B"/>
    <w:rsid w:val="00684E94"/>
    <w:rsid w:val="00685B2E"/>
    <w:rsid w:val="006864FA"/>
    <w:rsid w:val="00694756"/>
    <w:rsid w:val="00694B3A"/>
    <w:rsid w:val="00697666"/>
    <w:rsid w:val="00697EA4"/>
    <w:rsid w:val="006A3E5C"/>
    <w:rsid w:val="006A65F3"/>
    <w:rsid w:val="006B3797"/>
    <w:rsid w:val="006B5A9B"/>
    <w:rsid w:val="006B6FCA"/>
    <w:rsid w:val="006C0225"/>
    <w:rsid w:val="006E3060"/>
    <w:rsid w:val="006E4E11"/>
    <w:rsid w:val="0071381F"/>
    <w:rsid w:val="00715E6D"/>
    <w:rsid w:val="0072012B"/>
    <w:rsid w:val="007229B3"/>
    <w:rsid w:val="00724489"/>
    <w:rsid w:val="00726F35"/>
    <w:rsid w:val="00737F6D"/>
    <w:rsid w:val="00741633"/>
    <w:rsid w:val="00742928"/>
    <w:rsid w:val="007500A9"/>
    <w:rsid w:val="007545FE"/>
    <w:rsid w:val="00755CF1"/>
    <w:rsid w:val="00763FAD"/>
    <w:rsid w:val="007654CE"/>
    <w:rsid w:val="00771A5F"/>
    <w:rsid w:val="00773AED"/>
    <w:rsid w:val="00786A5B"/>
    <w:rsid w:val="007A03A5"/>
    <w:rsid w:val="007A5711"/>
    <w:rsid w:val="007A745B"/>
    <w:rsid w:val="007C5A64"/>
    <w:rsid w:val="007C77AB"/>
    <w:rsid w:val="007D4FD2"/>
    <w:rsid w:val="007D539D"/>
    <w:rsid w:val="007E7409"/>
    <w:rsid w:val="007F6037"/>
    <w:rsid w:val="007F78C2"/>
    <w:rsid w:val="00804CCC"/>
    <w:rsid w:val="00805AA7"/>
    <w:rsid w:val="0082589E"/>
    <w:rsid w:val="008347E1"/>
    <w:rsid w:val="00835D78"/>
    <w:rsid w:val="0084062D"/>
    <w:rsid w:val="00851B00"/>
    <w:rsid w:val="00853A42"/>
    <w:rsid w:val="00855E52"/>
    <w:rsid w:val="00866D9F"/>
    <w:rsid w:val="00875935"/>
    <w:rsid w:val="00875C7B"/>
    <w:rsid w:val="00882FC1"/>
    <w:rsid w:val="00896877"/>
    <w:rsid w:val="008A0294"/>
    <w:rsid w:val="008D29C8"/>
    <w:rsid w:val="008D2CF5"/>
    <w:rsid w:val="008E5DD4"/>
    <w:rsid w:val="008E7814"/>
    <w:rsid w:val="008F13DE"/>
    <w:rsid w:val="008F1E7C"/>
    <w:rsid w:val="008F21E8"/>
    <w:rsid w:val="00901754"/>
    <w:rsid w:val="0090666A"/>
    <w:rsid w:val="00916877"/>
    <w:rsid w:val="00921348"/>
    <w:rsid w:val="0092261C"/>
    <w:rsid w:val="009311D4"/>
    <w:rsid w:val="009348CE"/>
    <w:rsid w:val="00947F0A"/>
    <w:rsid w:val="00956E54"/>
    <w:rsid w:val="0096147E"/>
    <w:rsid w:val="00964FBC"/>
    <w:rsid w:val="0097568D"/>
    <w:rsid w:val="00975A7B"/>
    <w:rsid w:val="009802E4"/>
    <w:rsid w:val="009805E4"/>
    <w:rsid w:val="00981DDC"/>
    <w:rsid w:val="00986E88"/>
    <w:rsid w:val="00994880"/>
    <w:rsid w:val="0099565B"/>
    <w:rsid w:val="00997EC3"/>
    <w:rsid w:val="009B1781"/>
    <w:rsid w:val="009B7D7B"/>
    <w:rsid w:val="009C6E11"/>
    <w:rsid w:val="009D1068"/>
    <w:rsid w:val="009D3641"/>
    <w:rsid w:val="009D5AE7"/>
    <w:rsid w:val="009E0356"/>
    <w:rsid w:val="009E5D61"/>
    <w:rsid w:val="009E5E73"/>
    <w:rsid w:val="009E5F36"/>
    <w:rsid w:val="009F113E"/>
    <w:rsid w:val="009F596D"/>
    <w:rsid w:val="00A01642"/>
    <w:rsid w:val="00A024DD"/>
    <w:rsid w:val="00A0406A"/>
    <w:rsid w:val="00A22FC3"/>
    <w:rsid w:val="00A34D3E"/>
    <w:rsid w:val="00A43602"/>
    <w:rsid w:val="00A5004F"/>
    <w:rsid w:val="00A502CC"/>
    <w:rsid w:val="00A50E25"/>
    <w:rsid w:val="00A759E9"/>
    <w:rsid w:val="00A77C0C"/>
    <w:rsid w:val="00A82308"/>
    <w:rsid w:val="00AA515F"/>
    <w:rsid w:val="00AA51ED"/>
    <w:rsid w:val="00AB2676"/>
    <w:rsid w:val="00AC068F"/>
    <w:rsid w:val="00AC1147"/>
    <w:rsid w:val="00AC5C7D"/>
    <w:rsid w:val="00AD0DAE"/>
    <w:rsid w:val="00AD15C9"/>
    <w:rsid w:val="00AD378D"/>
    <w:rsid w:val="00AD4B30"/>
    <w:rsid w:val="00AE5B44"/>
    <w:rsid w:val="00AE651A"/>
    <w:rsid w:val="00B03696"/>
    <w:rsid w:val="00B11B13"/>
    <w:rsid w:val="00B20806"/>
    <w:rsid w:val="00B21820"/>
    <w:rsid w:val="00B30144"/>
    <w:rsid w:val="00B31DAF"/>
    <w:rsid w:val="00B32420"/>
    <w:rsid w:val="00B4403D"/>
    <w:rsid w:val="00B47FD6"/>
    <w:rsid w:val="00B57882"/>
    <w:rsid w:val="00B6690A"/>
    <w:rsid w:val="00B7144D"/>
    <w:rsid w:val="00B872CE"/>
    <w:rsid w:val="00B8795D"/>
    <w:rsid w:val="00B905BC"/>
    <w:rsid w:val="00BA7B2E"/>
    <w:rsid w:val="00BC1035"/>
    <w:rsid w:val="00BC2BC1"/>
    <w:rsid w:val="00BC3B43"/>
    <w:rsid w:val="00BC7DC0"/>
    <w:rsid w:val="00BD47F5"/>
    <w:rsid w:val="00BE2095"/>
    <w:rsid w:val="00C17D27"/>
    <w:rsid w:val="00C27E46"/>
    <w:rsid w:val="00C33975"/>
    <w:rsid w:val="00C4470F"/>
    <w:rsid w:val="00C51D15"/>
    <w:rsid w:val="00C54163"/>
    <w:rsid w:val="00C6201B"/>
    <w:rsid w:val="00C62C16"/>
    <w:rsid w:val="00C649A0"/>
    <w:rsid w:val="00C704A2"/>
    <w:rsid w:val="00C81120"/>
    <w:rsid w:val="00C813AA"/>
    <w:rsid w:val="00C90E43"/>
    <w:rsid w:val="00CA05CA"/>
    <w:rsid w:val="00CA0E1F"/>
    <w:rsid w:val="00CA3741"/>
    <w:rsid w:val="00CC1F8F"/>
    <w:rsid w:val="00CD3A87"/>
    <w:rsid w:val="00CD6C1A"/>
    <w:rsid w:val="00CE525B"/>
    <w:rsid w:val="00CF7055"/>
    <w:rsid w:val="00D02EF4"/>
    <w:rsid w:val="00D04342"/>
    <w:rsid w:val="00D25FE6"/>
    <w:rsid w:val="00D2640C"/>
    <w:rsid w:val="00D27394"/>
    <w:rsid w:val="00D42B0A"/>
    <w:rsid w:val="00D530EF"/>
    <w:rsid w:val="00D61E61"/>
    <w:rsid w:val="00D64204"/>
    <w:rsid w:val="00D940D4"/>
    <w:rsid w:val="00DA74AC"/>
    <w:rsid w:val="00DB72C9"/>
    <w:rsid w:val="00DC16BC"/>
    <w:rsid w:val="00DC5058"/>
    <w:rsid w:val="00DF2361"/>
    <w:rsid w:val="00DF79AE"/>
    <w:rsid w:val="00E04A73"/>
    <w:rsid w:val="00E16727"/>
    <w:rsid w:val="00E1725D"/>
    <w:rsid w:val="00E21318"/>
    <w:rsid w:val="00E24283"/>
    <w:rsid w:val="00E25933"/>
    <w:rsid w:val="00E35829"/>
    <w:rsid w:val="00E41916"/>
    <w:rsid w:val="00E5106A"/>
    <w:rsid w:val="00E62F5B"/>
    <w:rsid w:val="00E64BA9"/>
    <w:rsid w:val="00E65D1C"/>
    <w:rsid w:val="00E70849"/>
    <w:rsid w:val="00E80DE4"/>
    <w:rsid w:val="00E819ED"/>
    <w:rsid w:val="00E85286"/>
    <w:rsid w:val="00E929AE"/>
    <w:rsid w:val="00E93AB8"/>
    <w:rsid w:val="00EA1507"/>
    <w:rsid w:val="00EA40FE"/>
    <w:rsid w:val="00EB394C"/>
    <w:rsid w:val="00EC0E5D"/>
    <w:rsid w:val="00EE1E62"/>
    <w:rsid w:val="00EE26C9"/>
    <w:rsid w:val="00EF2C4A"/>
    <w:rsid w:val="00EF3D44"/>
    <w:rsid w:val="00EF6E00"/>
    <w:rsid w:val="00F01459"/>
    <w:rsid w:val="00F06607"/>
    <w:rsid w:val="00F1727E"/>
    <w:rsid w:val="00F3404C"/>
    <w:rsid w:val="00F352BD"/>
    <w:rsid w:val="00F3709C"/>
    <w:rsid w:val="00F37EA2"/>
    <w:rsid w:val="00F44B2E"/>
    <w:rsid w:val="00F618BF"/>
    <w:rsid w:val="00F63E68"/>
    <w:rsid w:val="00F657A3"/>
    <w:rsid w:val="00F67B4F"/>
    <w:rsid w:val="00F862D8"/>
    <w:rsid w:val="00FA1AAA"/>
    <w:rsid w:val="00FA380B"/>
    <w:rsid w:val="00FB0220"/>
    <w:rsid w:val="00FB3AC2"/>
    <w:rsid w:val="00FB682A"/>
    <w:rsid w:val="00FC5713"/>
    <w:rsid w:val="00FC6D82"/>
    <w:rsid w:val="00FD1C2F"/>
    <w:rsid w:val="00FD1DC5"/>
    <w:rsid w:val="00FD49C1"/>
    <w:rsid w:val="00FD5465"/>
    <w:rsid w:val="00FD68A6"/>
    <w:rsid w:val="00FE4EF6"/>
    <w:rsid w:val="00FE5C23"/>
    <w:rsid w:val="00FF62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7CE1"/>
  <w15:docId w15:val="{7D9225EB-CA01-44F7-AB16-719788D1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387D"/>
    <w:pPr>
      <w:spacing w:after="0" w:line="240" w:lineRule="auto"/>
      <w:jc w:val="both"/>
    </w:pPr>
    <w:rPr>
      <w:rFonts w:ascii="Arial" w:eastAsia="Times New Roman" w:hAnsi="Arial" w:cs="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03387D"/>
    <w:pPr>
      <w:jc w:val="center"/>
    </w:pPr>
    <w:rPr>
      <w:b/>
      <w:szCs w:val="20"/>
      <w:lang w:eastAsia="cs-CZ"/>
    </w:rPr>
  </w:style>
  <w:style w:type="character" w:customStyle="1" w:styleId="NzevChar">
    <w:name w:val="Název Char"/>
    <w:basedOn w:val="Standardnpsmoodstavce"/>
    <w:link w:val="Nzev"/>
    <w:rsid w:val="0003387D"/>
    <w:rPr>
      <w:rFonts w:ascii="Arial" w:eastAsia="Times New Roman" w:hAnsi="Arial" w:cs="Times New Roman"/>
      <w:b/>
      <w:szCs w:val="20"/>
      <w:lang w:eastAsia="cs-CZ"/>
    </w:rPr>
  </w:style>
  <w:style w:type="paragraph" w:customStyle="1" w:styleId="NormlnKZ">
    <w:name w:val="Normální KZ"/>
    <w:basedOn w:val="Normln"/>
    <w:rsid w:val="0003387D"/>
    <w:pPr>
      <w:spacing w:after="120"/>
      <w:ind w:firstLine="425"/>
    </w:pPr>
    <w:rPr>
      <w:lang w:eastAsia="cs-CZ"/>
    </w:rPr>
  </w:style>
  <w:style w:type="character" w:styleId="Znakapoznpodarou">
    <w:name w:val="footnote reference"/>
    <w:aliases w:val="PGI Fußnote Ziffer + Times New Roman,12 b.,Zúžené o ...,PGI Fußnote Ziffer"/>
    <w:basedOn w:val="Standardnpsmoodstavce"/>
    <w:uiPriority w:val="99"/>
    <w:rsid w:val="004F5D7D"/>
    <w:rPr>
      <w:vertAlign w:val="superscript"/>
    </w:rPr>
  </w:style>
  <w:style w:type="paragraph" w:styleId="Textpoznpodarou">
    <w:name w:val="footnote text"/>
    <w:aliases w:val="Schriftart: 9 pt,Schriftart: 10 pt,Schriftart: 8 pt"/>
    <w:basedOn w:val="Normln"/>
    <w:link w:val="TextpoznpodarouChar"/>
    <w:uiPriority w:val="99"/>
    <w:semiHidden/>
    <w:rsid w:val="004F5D7D"/>
    <w:pPr>
      <w:jc w:val="left"/>
    </w:pPr>
    <w:rPr>
      <w:rFonts w:ascii="Times New Roman" w:hAnsi="Times New Roman"/>
      <w:sz w:val="20"/>
      <w:szCs w:val="20"/>
      <w:lang w:eastAsia="cs-CZ"/>
    </w:rPr>
  </w:style>
  <w:style w:type="character" w:customStyle="1" w:styleId="TextpoznpodarouChar">
    <w:name w:val="Text pozn. pod čarou Char"/>
    <w:aliases w:val="Schriftart: 9 pt Char,Schriftart: 10 pt Char,Schriftart: 8 pt Char"/>
    <w:basedOn w:val="Standardnpsmoodstavce"/>
    <w:link w:val="Textpoznpodarou"/>
    <w:uiPriority w:val="99"/>
    <w:semiHidden/>
    <w:rsid w:val="004F5D7D"/>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AE5B44"/>
    <w:pPr>
      <w:spacing w:after="200" w:line="276" w:lineRule="auto"/>
      <w:ind w:left="720"/>
      <w:contextualSpacing/>
      <w:jc w:val="left"/>
    </w:pPr>
    <w:rPr>
      <w:rFonts w:ascii="Calibri" w:eastAsia="Calibri" w:hAnsi="Calibri"/>
      <w:szCs w:val="22"/>
    </w:rPr>
  </w:style>
  <w:style w:type="table" w:styleId="Mkatabulky">
    <w:name w:val="Table Grid"/>
    <w:basedOn w:val="Normlntabulka"/>
    <w:uiPriority w:val="59"/>
    <w:rsid w:val="00AC5C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cseseznamemChar">
    <w:name w:val="Odstavec se seznamem Char"/>
    <w:link w:val="Odstavecseseznamem"/>
    <w:uiPriority w:val="34"/>
    <w:locked/>
    <w:rsid w:val="004656E8"/>
    <w:rPr>
      <w:rFonts w:ascii="Calibri" w:eastAsia="Calibri" w:hAnsi="Calibri" w:cs="Times New Roman"/>
    </w:rPr>
  </w:style>
  <w:style w:type="paragraph" w:customStyle="1" w:styleId="Default">
    <w:name w:val="Default"/>
    <w:rsid w:val="000659D4"/>
    <w:pPr>
      <w:autoSpaceDE w:val="0"/>
      <w:autoSpaceDN w:val="0"/>
      <w:adjustRightInd w:val="0"/>
      <w:spacing w:after="0" w:line="240" w:lineRule="auto"/>
    </w:pPr>
    <w:rPr>
      <w:rFonts w:ascii="KFCHLL+Verdana" w:eastAsia="Times New Roman" w:hAnsi="KFCHLL+Verdana" w:cs="Times New Roman"/>
      <w:color w:val="000000"/>
      <w:sz w:val="24"/>
      <w:szCs w:val="24"/>
      <w:lang w:val="en-US"/>
    </w:rPr>
  </w:style>
  <w:style w:type="paragraph" w:styleId="Textbubliny">
    <w:name w:val="Balloon Text"/>
    <w:basedOn w:val="Normln"/>
    <w:link w:val="TextbublinyChar"/>
    <w:uiPriority w:val="99"/>
    <w:semiHidden/>
    <w:unhideWhenUsed/>
    <w:rsid w:val="008D2C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2CF5"/>
    <w:rPr>
      <w:rFonts w:ascii="Segoe UI" w:eastAsia="Times New Roman" w:hAnsi="Segoe UI" w:cs="Segoe UI"/>
      <w:sz w:val="18"/>
      <w:szCs w:val="18"/>
    </w:rPr>
  </w:style>
  <w:style w:type="paragraph" w:styleId="Zhlav">
    <w:name w:val="header"/>
    <w:basedOn w:val="Normln"/>
    <w:link w:val="ZhlavChar"/>
    <w:uiPriority w:val="99"/>
    <w:unhideWhenUsed/>
    <w:rsid w:val="00B32420"/>
    <w:pPr>
      <w:tabs>
        <w:tab w:val="center" w:pos="4536"/>
        <w:tab w:val="right" w:pos="9072"/>
      </w:tabs>
    </w:pPr>
  </w:style>
  <w:style w:type="character" w:customStyle="1" w:styleId="ZhlavChar">
    <w:name w:val="Záhlaví Char"/>
    <w:basedOn w:val="Standardnpsmoodstavce"/>
    <w:link w:val="Zhlav"/>
    <w:uiPriority w:val="99"/>
    <w:rsid w:val="00B32420"/>
    <w:rPr>
      <w:rFonts w:ascii="Arial" w:eastAsia="Times New Roman" w:hAnsi="Arial" w:cs="Times New Roman"/>
      <w:szCs w:val="24"/>
    </w:rPr>
  </w:style>
  <w:style w:type="paragraph" w:styleId="Zpat">
    <w:name w:val="footer"/>
    <w:basedOn w:val="Normln"/>
    <w:link w:val="ZpatChar"/>
    <w:uiPriority w:val="99"/>
    <w:unhideWhenUsed/>
    <w:rsid w:val="00B32420"/>
    <w:pPr>
      <w:tabs>
        <w:tab w:val="center" w:pos="4536"/>
        <w:tab w:val="right" w:pos="9072"/>
      </w:tabs>
    </w:pPr>
  </w:style>
  <w:style w:type="character" w:customStyle="1" w:styleId="ZpatChar">
    <w:name w:val="Zápatí Char"/>
    <w:basedOn w:val="Standardnpsmoodstavce"/>
    <w:link w:val="Zpat"/>
    <w:uiPriority w:val="99"/>
    <w:rsid w:val="00B32420"/>
    <w:rPr>
      <w:rFonts w:ascii="Arial" w:eastAsia="Times New Roman" w:hAnsi="Arial" w:cs="Times New Roman"/>
      <w:szCs w:val="24"/>
    </w:rPr>
  </w:style>
  <w:style w:type="character" w:styleId="Odkaznakoment">
    <w:name w:val="annotation reference"/>
    <w:basedOn w:val="Standardnpsmoodstavce"/>
    <w:uiPriority w:val="99"/>
    <w:semiHidden/>
    <w:unhideWhenUsed/>
    <w:rsid w:val="00F37EA2"/>
    <w:rPr>
      <w:sz w:val="16"/>
      <w:szCs w:val="16"/>
    </w:rPr>
  </w:style>
  <w:style w:type="paragraph" w:styleId="Textkomente">
    <w:name w:val="annotation text"/>
    <w:basedOn w:val="Normln"/>
    <w:link w:val="TextkomenteChar"/>
    <w:uiPriority w:val="99"/>
    <w:semiHidden/>
    <w:unhideWhenUsed/>
    <w:rsid w:val="00F37EA2"/>
    <w:rPr>
      <w:sz w:val="20"/>
      <w:szCs w:val="20"/>
    </w:rPr>
  </w:style>
  <w:style w:type="character" w:customStyle="1" w:styleId="TextkomenteChar">
    <w:name w:val="Text komentáře Char"/>
    <w:basedOn w:val="Standardnpsmoodstavce"/>
    <w:link w:val="Textkomente"/>
    <w:uiPriority w:val="99"/>
    <w:semiHidden/>
    <w:rsid w:val="00F37EA2"/>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F37EA2"/>
    <w:rPr>
      <w:b/>
      <w:bCs/>
    </w:rPr>
  </w:style>
  <w:style w:type="character" w:customStyle="1" w:styleId="PedmtkomenteChar">
    <w:name w:val="Předmět komentáře Char"/>
    <w:basedOn w:val="TextkomenteChar"/>
    <w:link w:val="Pedmtkomente"/>
    <w:uiPriority w:val="99"/>
    <w:semiHidden/>
    <w:rsid w:val="00F37EA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7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40D58-7B4C-4FA4-994D-0AA320C1DAD2}"/>
</file>

<file path=customXml/itemProps2.xml><?xml version="1.0" encoding="utf-8"?>
<ds:datastoreItem xmlns:ds="http://schemas.openxmlformats.org/officeDocument/2006/customXml" ds:itemID="{792ECB12-81DB-45B6-8B18-1962F7725D46}"/>
</file>

<file path=customXml/itemProps3.xml><?xml version="1.0" encoding="utf-8"?>
<ds:datastoreItem xmlns:ds="http://schemas.openxmlformats.org/officeDocument/2006/customXml" ds:itemID="{767200F0-DADF-4D24-82DD-CC47479862D8}"/>
</file>

<file path=customXml/itemProps4.xml><?xml version="1.0" encoding="utf-8"?>
<ds:datastoreItem xmlns:ds="http://schemas.openxmlformats.org/officeDocument/2006/customXml" ds:itemID="{4A29789E-5456-4D98-B4F8-B510C6144AAF}"/>
</file>

<file path=docProps/app.xml><?xml version="1.0" encoding="utf-8"?>
<Properties xmlns="http://schemas.openxmlformats.org/officeDocument/2006/extended-properties" xmlns:vt="http://schemas.openxmlformats.org/officeDocument/2006/docPropsVTypes">
  <Template>737A2B0B.dotm</Template>
  <TotalTime>0</TotalTime>
  <Pages>11</Pages>
  <Words>3940</Words>
  <Characters>23249</Characters>
  <Application>Microsoft Office Word</Application>
  <DocSecurity>4</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NKU</Company>
  <LinksUpToDate>false</LinksUpToDate>
  <CharactersWithSpaces>27135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15/18 - Peněžní prostředky určené na podporu bydlení</dc:title>
  <dc:subject>Kontrolní závěr z kontrolní akce NKÚ č. 15/18 - Peněžní prostředky určené na podporu bydlení</dc:subject>
  <dc:creator>Nejvyšší kontrolní úřad</dc:creator>
  <cp:keywords/>
  <dc:description/>
  <cp:lastModifiedBy>KOKRDA Daniel</cp:lastModifiedBy>
  <cp:revision>2</cp:revision>
  <cp:lastPrinted>2016-02-01T14:42:00Z</cp:lastPrinted>
  <dcterms:created xsi:type="dcterms:W3CDTF">2016-03-07T06:17:00Z</dcterms:created>
  <dcterms:modified xsi:type="dcterms:W3CDTF">2016-03-07T06:17:00Z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15/18-NKU30/65/16</vt:lpwstr>
  </property>
  <property fmtid="{D5CDD505-2E9C-101B-9397-08002B2CF9AE}" pid="3" name="Contact_PostaOdes_All">
    <vt:lpwstr>ROZDĚLOVNÍK...</vt:lpwstr>
  </property>
  <property fmtid="{D5CDD505-2E9C-101B-9397-08002B2CF9AE}" pid="4" name="SZ_Spis_Pisemnost">
    <vt:lpwstr>15/18</vt:lpwstr>
  </property>
  <property fmtid="{D5CDD505-2E9C-101B-9397-08002B2CF9AE}" pid="5" name="DisplayName_SpisovyUzel_PoziceZodpo_Pisemnost">
    <vt:lpwstr>30</vt:lpwstr>
  </property>
  <property fmtid="{D5CDD505-2E9C-101B-9397-08002B2CF9AE}" pid="6" name="Zkratka_SpisovyUzel_PoziceZodpo_Pisemnost">
    <vt:lpwstr>30</vt:lpwstr>
  </property>
  <property fmtid="{D5CDD505-2E9C-101B-9397-08002B2CF9AE}" pid="7" name="Key_BarCode_Pisemnost">
    <vt:lpwstr>*B000256607*</vt:lpwstr>
  </property>
  <property fmtid="{D5CDD505-2E9C-101B-9397-08002B2CF9AE}" pid="8" name="EC_Pisemnost">
    <vt:lpwstr>16-633/NKU</vt:lpwstr>
  </property>
  <property fmtid="{D5CDD505-2E9C-101B-9397-08002B2CF9AE}" pid="9" name="Odkaz">
    <vt:lpwstr>ODKAZ</vt:lpwstr>
  </property>
  <property fmtid="{D5CDD505-2E9C-101B-9397-08002B2CF9AE}" pid="10" name="SkartacniZnakLhuta_PisemnostZnak">
    <vt:lpwstr>?/?</vt:lpwstr>
  </property>
  <property fmtid="{D5CDD505-2E9C-101B-9397-08002B2CF9AE}" pid="11" name="CJ_Spis_Pisemnost">
    <vt:lpwstr>CJ/SPIS/ROK</vt:lpwstr>
  </property>
  <property fmtid="{D5CDD505-2E9C-101B-9397-08002B2CF9AE}" pid="12" name="UserName_PisemnostTypZpristupneniInformaciZOSZ_Pisemnost">
    <vt:lpwstr>ZOSZ_UserName</vt:lpwstr>
  </property>
  <property fmtid="{D5CDD505-2E9C-101B-9397-08002B2CF9AE}" pid="13" name="Password_PisemnostTypZpristupneniInformaciZOSZ_Pisemnost">
    <vt:lpwstr>ZOSZ_Password</vt:lpwstr>
  </property>
  <property fmtid="{D5CDD505-2E9C-101B-9397-08002B2CF9AE}" pid="14" name="DatumPlatnosti_PisemnostTypZpristupneniInformaciZOSZ_Pisemnost">
    <vt:lpwstr>ZOSZ_DatumPlatnosti</vt:lpwstr>
  </property>
  <property fmtid="{D5CDD505-2E9C-101B-9397-08002B2CF9AE}" pid="15" name="TEST">
    <vt:lpwstr>testovací pole</vt:lpwstr>
  </property>
  <property fmtid="{D5CDD505-2E9C-101B-9397-08002B2CF9AE}" pid="16" name="PocetListu_Pisemnost">
    <vt:lpwstr>1</vt:lpwstr>
  </property>
  <property fmtid="{D5CDD505-2E9C-101B-9397-08002B2CF9AE}" pid="17" name="Vec_Pisemnost">
    <vt:lpwstr>Návrh kontrolního závěru 15/18 do připomínek</vt:lpwstr>
  </property>
  <property fmtid="{D5CDD505-2E9C-101B-9397-08002B2CF9AE}" pid="18" name="DatumPoriz_Pisemnost">
    <vt:lpwstr>12.1.2016</vt:lpwstr>
  </property>
  <property fmtid="{D5CDD505-2E9C-101B-9397-08002B2CF9AE}" pid="19" name="KRukam">
    <vt:lpwstr>{KRukam}</vt:lpwstr>
  </property>
  <property fmtid="{D5CDD505-2E9C-101B-9397-08002B2CF9AE}" pid="20" name="PocetListuDokumentu_Pisemnost">
    <vt:lpwstr>1</vt:lpwstr>
  </property>
  <property fmtid="{D5CDD505-2E9C-101B-9397-08002B2CF9AE}" pid="21" name="PocetPriloh_Pisemnost">
    <vt:lpwstr>0</vt:lpwstr>
  </property>
  <property fmtid="{D5CDD505-2E9C-101B-9397-08002B2CF9AE}" pid="22" name="TypPrilohy_Pisemnost">
    <vt:lpwstr>TYP PŘÍLOHY</vt:lpwstr>
  </property>
  <property fmtid="{D5CDD505-2E9C-101B-9397-08002B2CF9AE}" pid="23" name="DisplayName_UserPoriz_Pisemnost">
    <vt:lpwstr>Bc. Jana Pokorná</vt:lpwstr>
  </property>
  <property fmtid="{D5CDD505-2E9C-101B-9397-08002B2CF9AE}" pid="24" name="Podpis">
    <vt:lpwstr/>
  </property>
  <property fmtid="{D5CDD505-2E9C-101B-9397-08002B2CF9AE}" pid="25" name="SmlouvaCislo">
    <vt:lpwstr>ČÍSLO SMLOUVY</vt:lpwstr>
  </property>
  <property fmtid="{D5CDD505-2E9C-101B-9397-08002B2CF9AE}" pid="26" name="ContentTypeId">
    <vt:lpwstr>0x0101002F7A625AE9F5AB4A939F92BCAA7FEC02</vt:lpwstr>
  </property>
</Properties>
</file>