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00B" w:rsidRDefault="005E53F7" w:rsidP="005E53F7">
      <w:pPr>
        <w:jc w:val="center"/>
        <w:rPr>
          <w:rFonts w:cstheme="minorHAnsi"/>
          <w:b/>
          <w:sz w:val="28"/>
          <w:szCs w:val="28"/>
        </w:rPr>
      </w:pPr>
      <w:r w:rsidRPr="001D17BD">
        <w:rPr>
          <w:b/>
          <w:noProof/>
          <w:szCs w:val="24"/>
          <w:lang w:eastAsia="cs-CZ"/>
        </w:rPr>
        <w:drawing>
          <wp:anchor distT="0" distB="0" distL="114935" distR="114935" simplePos="0" relativeHeight="251659264" behindDoc="0" locked="0" layoutInCell="1" allowOverlap="1" wp14:anchorId="1D3DDFC5" wp14:editId="69BE4C13">
            <wp:simplePos x="0" y="0"/>
            <wp:positionH relativeFrom="column">
              <wp:posOffset>2472055</wp:posOffset>
            </wp:positionH>
            <wp:positionV relativeFrom="paragraph">
              <wp:posOffset>31750</wp:posOffset>
            </wp:positionV>
            <wp:extent cx="790575" cy="558800"/>
            <wp:effectExtent l="0" t="0" r="9525"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558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E53F7" w:rsidRDefault="005E53F7" w:rsidP="005E53F7">
      <w:pPr>
        <w:tabs>
          <w:tab w:val="left" w:pos="5235"/>
        </w:tabs>
        <w:jc w:val="center"/>
        <w:rPr>
          <w:rFonts w:cstheme="minorHAnsi"/>
          <w:b/>
          <w:sz w:val="28"/>
          <w:szCs w:val="28"/>
        </w:rPr>
      </w:pPr>
    </w:p>
    <w:p w:rsidR="00F6199D" w:rsidRDefault="00F6199D" w:rsidP="005E53F7">
      <w:pPr>
        <w:tabs>
          <w:tab w:val="left" w:pos="5235"/>
        </w:tabs>
        <w:jc w:val="center"/>
        <w:rPr>
          <w:rFonts w:cstheme="minorHAnsi"/>
          <w:b/>
          <w:sz w:val="28"/>
          <w:szCs w:val="28"/>
        </w:rPr>
      </w:pPr>
    </w:p>
    <w:p w:rsidR="002B4F49" w:rsidRDefault="00525CA7" w:rsidP="005E53F7">
      <w:pPr>
        <w:pStyle w:val="Normlnweb"/>
        <w:tabs>
          <w:tab w:val="left" w:pos="5400"/>
        </w:tabs>
        <w:jc w:val="center"/>
        <w:rPr>
          <w:rFonts w:asciiTheme="minorHAnsi" w:hAnsiTheme="minorHAnsi" w:cstheme="minorHAnsi"/>
          <w:b/>
          <w:sz w:val="28"/>
          <w:szCs w:val="28"/>
        </w:rPr>
      </w:pPr>
      <w:bookmarkStart w:id="0" w:name="_GoBack"/>
      <w:r w:rsidRPr="00314EDF">
        <w:rPr>
          <w:rFonts w:asciiTheme="minorHAnsi" w:hAnsiTheme="minorHAnsi" w:cstheme="minorHAnsi"/>
          <w:b/>
          <w:sz w:val="28"/>
          <w:szCs w:val="28"/>
        </w:rPr>
        <w:t>Kontrolní závěr z</w:t>
      </w:r>
      <w:r w:rsidR="00256B81">
        <w:rPr>
          <w:rFonts w:asciiTheme="minorHAnsi" w:hAnsiTheme="minorHAnsi" w:cstheme="minorHAnsi"/>
          <w:b/>
          <w:sz w:val="28"/>
          <w:szCs w:val="28"/>
        </w:rPr>
        <w:t xml:space="preserve"> </w:t>
      </w:r>
      <w:r w:rsidRPr="00314EDF">
        <w:rPr>
          <w:rFonts w:asciiTheme="minorHAnsi" w:hAnsiTheme="minorHAnsi" w:cstheme="minorHAnsi"/>
          <w:b/>
          <w:sz w:val="28"/>
          <w:szCs w:val="28"/>
        </w:rPr>
        <w:t xml:space="preserve">kontrolní akce </w:t>
      </w:r>
    </w:p>
    <w:p w:rsidR="005E53F7" w:rsidRDefault="005E53F7" w:rsidP="005E53F7">
      <w:pPr>
        <w:pStyle w:val="Normlnweb"/>
        <w:tabs>
          <w:tab w:val="left" w:pos="5400"/>
        </w:tabs>
        <w:jc w:val="center"/>
        <w:rPr>
          <w:rFonts w:asciiTheme="minorHAnsi" w:hAnsiTheme="minorHAnsi" w:cstheme="minorHAnsi"/>
          <w:b/>
          <w:sz w:val="28"/>
          <w:szCs w:val="28"/>
        </w:rPr>
      </w:pPr>
    </w:p>
    <w:p w:rsidR="00525CA7" w:rsidRDefault="00525CA7" w:rsidP="005E53F7">
      <w:pPr>
        <w:pStyle w:val="Normlnweb"/>
        <w:tabs>
          <w:tab w:val="left" w:pos="5400"/>
        </w:tabs>
        <w:jc w:val="center"/>
        <w:rPr>
          <w:rFonts w:asciiTheme="minorHAnsi" w:hAnsiTheme="minorHAnsi" w:cstheme="minorHAnsi"/>
          <w:b/>
          <w:sz w:val="28"/>
          <w:szCs w:val="28"/>
        </w:rPr>
      </w:pPr>
      <w:r w:rsidRPr="00314EDF">
        <w:rPr>
          <w:rFonts w:asciiTheme="minorHAnsi" w:hAnsiTheme="minorHAnsi" w:cstheme="minorHAnsi"/>
          <w:b/>
          <w:sz w:val="28"/>
          <w:szCs w:val="28"/>
        </w:rPr>
        <w:t>14/</w:t>
      </w:r>
      <w:r w:rsidR="003F293D">
        <w:rPr>
          <w:rFonts w:asciiTheme="minorHAnsi" w:hAnsiTheme="minorHAnsi" w:cstheme="minorHAnsi"/>
          <w:b/>
          <w:sz w:val="28"/>
          <w:szCs w:val="28"/>
        </w:rPr>
        <w:t>34</w:t>
      </w:r>
    </w:p>
    <w:p w:rsidR="005E53F7" w:rsidRPr="00314EDF" w:rsidRDefault="005E53F7" w:rsidP="005E53F7">
      <w:pPr>
        <w:pStyle w:val="Normlnweb"/>
        <w:tabs>
          <w:tab w:val="left" w:pos="5400"/>
        </w:tabs>
        <w:jc w:val="center"/>
        <w:rPr>
          <w:rFonts w:asciiTheme="minorHAnsi" w:hAnsiTheme="minorHAnsi" w:cstheme="minorHAnsi"/>
          <w:b/>
          <w:sz w:val="28"/>
          <w:szCs w:val="28"/>
        </w:rPr>
      </w:pPr>
    </w:p>
    <w:p w:rsidR="00525CA7" w:rsidRDefault="003F293D" w:rsidP="005E53F7">
      <w:pPr>
        <w:pStyle w:val="Normlnweb"/>
        <w:tabs>
          <w:tab w:val="left" w:pos="5400"/>
        </w:tabs>
        <w:jc w:val="center"/>
        <w:rPr>
          <w:rFonts w:asciiTheme="minorHAnsi" w:hAnsiTheme="minorHAnsi" w:cstheme="minorHAnsi"/>
          <w:b/>
          <w:bCs/>
          <w:iCs/>
          <w:sz w:val="28"/>
          <w:szCs w:val="28"/>
        </w:rPr>
      </w:pPr>
      <w:r>
        <w:rPr>
          <w:rFonts w:asciiTheme="minorHAnsi" w:hAnsiTheme="minorHAnsi" w:cstheme="minorHAnsi"/>
          <w:b/>
          <w:bCs/>
          <w:iCs/>
          <w:sz w:val="28"/>
          <w:szCs w:val="28"/>
        </w:rPr>
        <w:t>Vznik Státního pozemkového úřadu na zá</w:t>
      </w:r>
      <w:r w:rsidR="00246552">
        <w:rPr>
          <w:rFonts w:asciiTheme="minorHAnsi" w:hAnsiTheme="minorHAnsi" w:cstheme="minorHAnsi"/>
          <w:b/>
          <w:bCs/>
          <w:iCs/>
          <w:sz w:val="28"/>
          <w:szCs w:val="28"/>
        </w:rPr>
        <w:t>kladě zákona č. 503/2012 Sb., o </w:t>
      </w:r>
      <w:r>
        <w:rPr>
          <w:rFonts w:asciiTheme="minorHAnsi" w:hAnsiTheme="minorHAnsi" w:cstheme="minorHAnsi"/>
          <w:b/>
          <w:bCs/>
          <w:iCs/>
          <w:sz w:val="28"/>
          <w:szCs w:val="28"/>
        </w:rPr>
        <w:t>Státním pozemkovém úřadu a o změně ně</w:t>
      </w:r>
      <w:r w:rsidR="002B4F49">
        <w:rPr>
          <w:rFonts w:asciiTheme="minorHAnsi" w:hAnsiTheme="minorHAnsi" w:cstheme="minorHAnsi"/>
          <w:b/>
          <w:bCs/>
          <w:iCs/>
          <w:sz w:val="28"/>
          <w:szCs w:val="28"/>
        </w:rPr>
        <w:t>kterých souvisejících zákonů, a </w:t>
      </w:r>
      <w:r>
        <w:rPr>
          <w:rFonts w:asciiTheme="minorHAnsi" w:hAnsiTheme="minorHAnsi" w:cstheme="minorHAnsi"/>
          <w:b/>
          <w:bCs/>
          <w:iCs/>
          <w:sz w:val="28"/>
          <w:szCs w:val="28"/>
        </w:rPr>
        <w:t>jeho hospodaření s</w:t>
      </w:r>
      <w:r w:rsidR="00256B81">
        <w:rPr>
          <w:rFonts w:asciiTheme="minorHAnsi" w:hAnsiTheme="minorHAnsi" w:cstheme="minorHAnsi"/>
          <w:b/>
          <w:bCs/>
          <w:iCs/>
          <w:sz w:val="28"/>
          <w:szCs w:val="28"/>
        </w:rPr>
        <w:t xml:space="preserve"> </w:t>
      </w:r>
      <w:r>
        <w:rPr>
          <w:rFonts w:asciiTheme="minorHAnsi" w:hAnsiTheme="minorHAnsi" w:cstheme="minorHAnsi"/>
          <w:b/>
          <w:bCs/>
          <w:iCs/>
          <w:sz w:val="28"/>
          <w:szCs w:val="28"/>
        </w:rPr>
        <w:t>majetkem a peněžními prostředky státu</w:t>
      </w:r>
    </w:p>
    <w:bookmarkEnd w:id="0"/>
    <w:p w:rsidR="006C2631" w:rsidRDefault="006C2631" w:rsidP="005E53F7">
      <w:pPr>
        <w:spacing w:line="264" w:lineRule="auto"/>
        <w:rPr>
          <w:rFonts w:cstheme="minorHAnsi"/>
          <w:szCs w:val="24"/>
        </w:rPr>
      </w:pPr>
    </w:p>
    <w:p w:rsidR="00F6199D" w:rsidRDefault="00F6199D" w:rsidP="005E53F7">
      <w:pPr>
        <w:spacing w:line="264" w:lineRule="auto"/>
        <w:rPr>
          <w:rFonts w:cstheme="minorHAnsi"/>
          <w:szCs w:val="24"/>
        </w:rPr>
      </w:pPr>
    </w:p>
    <w:p w:rsidR="00533C61" w:rsidRDefault="00533C61" w:rsidP="005E53F7">
      <w:pPr>
        <w:spacing w:line="264" w:lineRule="auto"/>
        <w:rPr>
          <w:rFonts w:cstheme="minorHAnsi"/>
          <w:szCs w:val="24"/>
        </w:rPr>
      </w:pPr>
      <w:r w:rsidRPr="00B96308">
        <w:rPr>
          <w:rFonts w:cstheme="minorHAnsi"/>
          <w:szCs w:val="24"/>
        </w:rPr>
        <w:t>Kontrolní akce byla zařazena do plánu kontrolní činnosti Nejvyššího kontrolního úřadu (dále jen „NKÚ“) na rok 2014 pod číslem 14/</w:t>
      </w:r>
      <w:r w:rsidR="006C2631">
        <w:rPr>
          <w:rFonts w:cstheme="minorHAnsi"/>
          <w:szCs w:val="24"/>
        </w:rPr>
        <w:t>3</w:t>
      </w:r>
      <w:r w:rsidRPr="00B96308">
        <w:rPr>
          <w:rFonts w:cstheme="minorHAnsi"/>
          <w:szCs w:val="24"/>
        </w:rPr>
        <w:t>4. Kontrolní akci řídila a</w:t>
      </w:r>
      <w:r w:rsidR="00256B81">
        <w:rPr>
          <w:rFonts w:cstheme="minorHAnsi"/>
          <w:szCs w:val="24"/>
        </w:rPr>
        <w:t xml:space="preserve"> </w:t>
      </w:r>
      <w:r w:rsidRPr="00B96308">
        <w:rPr>
          <w:rFonts w:cstheme="minorHAnsi"/>
          <w:szCs w:val="24"/>
        </w:rPr>
        <w:t>kontrolní závěr vypracovala členka</w:t>
      </w:r>
      <w:r w:rsidR="00256B81">
        <w:rPr>
          <w:rFonts w:cstheme="minorHAnsi"/>
          <w:szCs w:val="24"/>
        </w:rPr>
        <w:t xml:space="preserve"> </w:t>
      </w:r>
      <w:r w:rsidRPr="00B96308">
        <w:rPr>
          <w:rFonts w:cstheme="minorHAnsi"/>
          <w:szCs w:val="24"/>
        </w:rPr>
        <w:t>NKÚ Mgr. Zdeňka Profeldová.</w:t>
      </w:r>
    </w:p>
    <w:p w:rsidR="00F6199D" w:rsidRPr="00B96308" w:rsidRDefault="00F6199D" w:rsidP="005E53F7">
      <w:pPr>
        <w:spacing w:line="264" w:lineRule="auto"/>
        <w:rPr>
          <w:rFonts w:cstheme="minorHAnsi"/>
          <w:szCs w:val="24"/>
        </w:rPr>
      </w:pPr>
    </w:p>
    <w:p w:rsidR="00533C61" w:rsidRDefault="00533C61" w:rsidP="005E53F7">
      <w:pPr>
        <w:spacing w:line="264" w:lineRule="auto"/>
        <w:rPr>
          <w:szCs w:val="24"/>
        </w:rPr>
      </w:pPr>
      <w:r w:rsidRPr="00B96308">
        <w:rPr>
          <w:rFonts w:cstheme="minorHAnsi"/>
          <w:szCs w:val="24"/>
        </w:rPr>
        <w:t xml:space="preserve">Cílem kontroly bylo </w:t>
      </w:r>
      <w:r w:rsidR="006C2631">
        <w:rPr>
          <w:szCs w:val="24"/>
        </w:rPr>
        <w:t>prověřit náklady vzniku Státního pozemkového úřadu, který vznikl na základě zákona č. 503/2012 Sb.</w:t>
      </w:r>
      <w:r w:rsidR="008D075A">
        <w:rPr>
          <w:szCs w:val="24"/>
        </w:rPr>
        <w:t>,</w:t>
      </w:r>
      <w:r w:rsidR="00B60EB1">
        <w:rPr>
          <w:szCs w:val="24"/>
        </w:rPr>
        <w:t xml:space="preserve"> o Státním pozemkovém úřadu a o změně některých souvisejících zákonů,</w:t>
      </w:r>
      <w:r w:rsidR="006C2631">
        <w:rPr>
          <w:szCs w:val="24"/>
        </w:rPr>
        <w:t xml:space="preserve"> a prověřit jeho hospodaření s</w:t>
      </w:r>
      <w:r w:rsidR="00256B81">
        <w:rPr>
          <w:szCs w:val="24"/>
        </w:rPr>
        <w:t xml:space="preserve"> </w:t>
      </w:r>
      <w:r w:rsidR="006C2631">
        <w:rPr>
          <w:szCs w:val="24"/>
        </w:rPr>
        <w:t>majetkem a peněžním</w:t>
      </w:r>
      <w:r w:rsidR="002B4F49">
        <w:rPr>
          <w:szCs w:val="24"/>
        </w:rPr>
        <w:t>i prostředky státu a </w:t>
      </w:r>
      <w:r w:rsidR="006C2631">
        <w:rPr>
          <w:szCs w:val="24"/>
        </w:rPr>
        <w:t>plnění povinností na základě zákona č. 428/2012 Sb.</w:t>
      </w:r>
      <w:r w:rsidR="00B60EB1">
        <w:rPr>
          <w:szCs w:val="24"/>
        </w:rPr>
        <w:t>, o ma</w:t>
      </w:r>
      <w:r w:rsidR="002B4F49">
        <w:rPr>
          <w:szCs w:val="24"/>
        </w:rPr>
        <w:t>jetkovém vyrovnání s</w:t>
      </w:r>
      <w:r w:rsidR="00256B81">
        <w:rPr>
          <w:szCs w:val="24"/>
        </w:rPr>
        <w:t xml:space="preserve"> </w:t>
      </w:r>
      <w:r w:rsidR="002B4F49">
        <w:rPr>
          <w:szCs w:val="24"/>
        </w:rPr>
        <w:t>církvemi a </w:t>
      </w:r>
      <w:r w:rsidR="00B60EB1">
        <w:rPr>
          <w:szCs w:val="24"/>
        </w:rPr>
        <w:t>náboženskými společnostmi a o změně některých zákonů (zákon o majetkovém vyrovnání s církvemi a náboženskými společnostmi).</w:t>
      </w:r>
    </w:p>
    <w:p w:rsidR="00F6199D" w:rsidRPr="00B96308" w:rsidRDefault="00F6199D" w:rsidP="005E53F7">
      <w:pPr>
        <w:spacing w:line="264" w:lineRule="auto"/>
        <w:rPr>
          <w:rFonts w:cstheme="minorHAnsi"/>
          <w:szCs w:val="24"/>
        </w:rPr>
      </w:pPr>
    </w:p>
    <w:p w:rsidR="00533C61" w:rsidRDefault="00533C61" w:rsidP="005E53F7">
      <w:pPr>
        <w:spacing w:line="264" w:lineRule="auto"/>
        <w:rPr>
          <w:rFonts w:cstheme="minorHAnsi"/>
          <w:iCs/>
          <w:szCs w:val="24"/>
        </w:rPr>
      </w:pPr>
      <w:r w:rsidRPr="00B96308">
        <w:rPr>
          <w:rFonts w:cstheme="minorHAnsi"/>
          <w:szCs w:val="24"/>
        </w:rPr>
        <w:t xml:space="preserve">Kontrolovanou osobou bylo </w:t>
      </w:r>
      <w:r w:rsidRPr="00B96308">
        <w:rPr>
          <w:rFonts w:cstheme="minorHAnsi"/>
          <w:iCs/>
          <w:szCs w:val="24"/>
        </w:rPr>
        <w:t xml:space="preserve">Ministerstvo </w:t>
      </w:r>
      <w:r w:rsidR="006C2631">
        <w:rPr>
          <w:rFonts w:cstheme="minorHAnsi"/>
          <w:iCs/>
          <w:szCs w:val="24"/>
        </w:rPr>
        <w:t>zemědělství (dále také „MZe</w:t>
      </w:r>
      <w:r w:rsidRPr="00B96308">
        <w:rPr>
          <w:rFonts w:cstheme="minorHAnsi"/>
          <w:iCs/>
          <w:szCs w:val="24"/>
        </w:rPr>
        <w:t>“)</w:t>
      </w:r>
      <w:r w:rsidR="006C2631">
        <w:rPr>
          <w:rFonts w:cstheme="minorHAnsi"/>
          <w:iCs/>
          <w:szCs w:val="24"/>
        </w:rPr>
        <w:t xml:space="preserve"> a Státní pozemkový úřad</w:t>
      </w:r>
      <w:r w:rsidR="002B4F49">
        <w:rPr>
          <w:rFonts w:cstheme="minorHAnsi"/>
          <w:iCs/>
          <w:szCs w:val="24"/>
        </w:rPr>
        <w:t>, Praha</w:t>
      </w:r>
      <w:r w:rsidR="006C2631">
        <w:rPr>
          <w:rFonts w:cstheme="minorHAnsi"/>
          <w:iCs/>
          <w:szCs w:val="24"/>
        </w:rPr>
        <w:t xml:space="preserve"> (dále také „SPÚ“)</w:t>
      </w:r>
      <w:r w:rsidR="008D075A">
        <w:rPr>
          <w:rFonts w:cstheme="minorHAnsi"/>
          <w:iCs/>
          <w:szCs w:val="24"/>
        </w:rPr>
        <w:t>.</w:t>
      </w:r>
    </w:p>
    <w:p w:rsidR="00F6199D" w:rsidRPr="00B96308" w:rsidRDefault="00F6199D" w:rsidP="005E53F7">
      <w:pPr>
        <w:spacing w:line="264" w:lineRule="auto"/>
        <w:rPr>
          <w:rFonts w:cstheme="minorHAnsi"/>
          <w:szCs w:val="24"/>
        </w:rPr>
      </w:pPr>
    </w:p>
    <w:p w:rsidR="00533C61" w:rsidRDefault="00533C61" w:rsidP="005E53F7">
      <w:pPr>
        <w:spacing w:line="264" w:lineRule="auto"/>
        <w:rPr>
          <w:szCs w:val="24"/>
        </w:rPr>
      </w:pPr>
      <w:r w:rsidRPr="00B96308">
        <w:rPr>
          <w:rFonts w:cstheme="minorHAnsi"/>
          <w:szCs w:val="24"/>
        </w:rPr>
        <w:t>Kontrola byla prováděna</w:t>
      </w:r>
      <w:r w:rsidR="00CA4F51" w:rsidRPr="00CA4F51">
        <w:rPr>
          <w:rFonts w:cstheme="minorHAnsi"/>
          <w:b/>
          <w:i/>
        </w:rPr>
        <w:t xml:space="preserve"> </w:t>
      </w:r>
      <w:r w:rsidR="00CA4F51" w:rsidRPr="00CA4F51">
        <w:rPr>
          <w:rFonts w:cstheme="minorHAnsi"/>
        </w:rPr>
        <w:t>u kontrolovaných osob</w:t>
      </w:r>
      <w:r w:rsidRPr="00B96308">
        <w:rPr>
          <w:rFonts w:cstheme="minorHAnsi"/>
          <w:szCs w:val="24"/>
        </w:rPr>
        <w:t xml:space="preserve"> v době od </w:t>
      </w:r>
      <w:r w:rsidR="006C2631">
        <w:rPr>
          <w:rFonts w:cstheme="minorHAnsi"/>
          <w:szCs w:val="24"/>
        </w:rPr>
        <w:t>října 2014</w:t>
      </w:r>
      <w:r w:rsidRPr="00B96308">
        <w:rPr>
          <w:rFonts w:cstheme="minorHAnsi"/>
          <w:szCs w:val="24"/>
        </w:rPr>
        <w:t xml:space="preserve"> do </w:t>
      </w:r>
      <w:r w:rsidR="006C2631">
        <w:rPr>
          <w:rFonts w:cstheme="minorHAnsi"/>
          <w:szCs w:val="24"/>
        </w:rPr>
        <w:t>května 2015</w:t>
      </w:r>
      <w:r w:rsidRPr="00B96308">
        <w:rPr>
          <w:rFonts w:cstheme="minorHAnsi"/>
          <w:szCs w:val="24"/>
        </w:rPr>
        <w:t>. Kontrolovaným obdobím byl</w:t>
      </w:r>
      <w:r w:rsidR="006C2631">
        <w:rPr>
          <w:rFonts w:cstheme="minorHAnsi"/>
          <w:szCs w:val="24"/>
        </w:rPr>
        <w:t>y</w:t>
      </w:r>
      <w:r w:rsidRPr="00B96308">
        <w:rPr>
          <w:rFonts w:cstheme="minorHAnsi"/>
          <w:szCs w:val="24"/>
        </w:rPr>
        <w:t xml:space="preserve"> rok</w:t>
      </w:r>
      <w:r w:rsidR="006C2631">
        <w:rPr>
          <w:rFonts w:cstheme="minorHAnsi"/>
          <w:szCs w:val="24"/>
        </w:rPr>
        <w:t>y</w:t>
      </w:r>
      <w:r w:rsidRPr="00B96308">
        <w:rPr>
          <w:rFonts w:cstheme="minorHAnsi"/>
          <w:szCs w:val="24"/>
        </w:rPr>
        <w:t xml:space="preserve"> </w:t>
      </w:r>
      <w:r w:rsidRPr="002B4F49">
        <w:rPr>
          <w:rFonts w:cstheme="minorHAnsi"/>
          <w:szCs w:val="24"/>
        </w:rPr>
        <w:t>201</w:t>
      </w:r>
      <w:r w:rsidR="006C2631" w:rsidRPr="002B4F49">
        <w:rPr>
          <w:rFonts w:cstheme="minorHAnsi"/>
          <w:szCs w:val="24"/>
        </w:rPr>
        <w:t>2</w:t>
      </w:r>
      <w:r w:rsidR="002B4F49" w:rsidRPr="002B4F49">
        <w:rPr>
          <w:rFonts w:cstheme="minorHAnsi"/>
          <w:szCs w:val="24"/>
          <w:rtl/>
          <w:lang w:bidi="he-IL"/>
        </w:rPr>
        <w:t>–</w:t>
      </w:r>
      <w:r w:rsidR="006C2631" w:rsidRPr="002B4F49">
        <w:rPr>
          <w:rFonts w:cstheme="minorHAnsi"/>
          <w:szCs w:val="24"/>
        </w:rPr>
        <w:t>2014</w:t>
      </w:r>
      <w:r w:rsidRPr="00B96308">
        <w:rPr>
          <w:rFonts w:cstheme="minorHAnsi"/>
          <w:szCs w:val="24"/>
        </w:rPr>
        <w:t xml:space="preserve">, </w:t>
      </w:r>
      <w:r w:rsidR="006C2631">
        <w:rPr>
          <w:szCs w:val="24"/>
        </w:rPr>
        <w:t>v</w:t>
      </w:r>
      <w:r w:rsidR="00256B81">
        <w:rPr>
          <w:szCs w:val="24"/>
        </w:rPr>
        <w:t xml:space="preserve"> </w:t>
      </w:r>
      <w:r w:rsidR="006C2631">
        <w:rPr>
          <w:szCs w:val="24"/>
        </w:rPr>
        <w:t xml:space="preserve">případě věcných souvislostí </w:t>
      </w:r>
      <w:r w:rsidR="008A72AD">
        <w:rPr>
          <w:szCs w:val="24"/>
        </w:rPr>
        <w:t xml:space="preserve">také </w:t>
      </w:r>
      <w:r w:rsidR="006C2631">
        <w:rPr>
          <w:szCs w:val="24"/>
        </w:rPr>
        <w:t>období předcházející a</w:t>
      </w:r>
      <w:r w:rsidR="00256B81">
        <w:rPr>
          <w:szCs w:val="24"/>
        </w:rPr>
        <w:t xml:space="preserve"> </w:t>
      </w:r>
      <w:r w:rsidR="006C2631">
        <w:rPr>
          <w:szCs w:val="24"/>
        </w:rPr>
        <w:t>následující.</w:t>
      </w:r>
    </w:p>
    <w:p w:rsidR="00F6199D" w:rsidRPr="00B96308" w:rsidRDefault="00F6199D" w:rsidP="005E53F7">
      <w:pPr>
        <w:spacing w:line="264" w:lineRule="auto"/>
        <w:rPr>
          <w:rFonts w:cstheme="minorHAnsi"/>
          <w:szCs w:val="24"/>
        </w:rPr>
      </w:pPr>
    </w:p>
    <w:p w:rsidR="00525CA7" w:rsidRDefault="006C2631" w:rsidP="005E53F7">
      <w:pPr>
        <w:spacing w:line="264" w:lineRule="auto"/>
        <w:rPr>
          <w:b/>
        </w:rPr>
      </w:pPr>
      <w:r w:rsidRPr="0089008A">
        <w:rPr>
          <w:rFonts w:cstheme="minorHAnsi"/>
          <w:szCs w:val="24"/>
        </w:rPr>
        <w:t>Námitky proti kontrolnímu protokolu, které podal</w:t>
      </w:r>
      <w:r>
        <w:rPr>
          <w:rFonts w:cstheme="minorHAnsi"/>
          <w:szCs w:val="24"/>
        </w:rPr>
        <w:t>y</w:t>
      </w:r>
      <w:r w:rsidRPr="0089008A">
        <w:rPr>
          <w:rFonts w:cstheme="minorHAnsi"/>
          <w:szCs w:val="24"/>
        </w:rPr>
        <w:t xml:space="preserve"> MZe a SPÚ, vypořádal</w:t>
      </w:r>
      <w:r>
        <w:rPr>
          <w:rFonts w:cstheme="minorHAnsi"/>
          <w:szCs w:val="24"/>
        </w:rPr>
        <w:t>i</w:t>
      </w:r>
      <w:r w:rsidRPr="0089008A">
        <w:rPr>
          <w:rFonts w:cstheme="minorHAnsi"/>
          <w:szCs w:val="24"/>
        </w:rPr>
        <w:t xml:space="preserve"> vedoucí skupin kontrolujících rozhodnutím o</w:t>
      </w:r>
      <w:r w:rsidR="00256B81">
        <w:rPr>
          <w:rFonts w:cstheme="minorHAnsi"/>
          <w:szCs w:val="24"/>
        </w:rPr>
        <w:t xml:space="preserve"> </w:t>
      </w:r>
      <w:r w:rsidRPr="0089008A">
        <w:rPr>
          <w:rFonts w:cstheme="minorHAnsi"/>
          <w:szCs w:val="24"/>
        </w:rPr>
        <w:t>námitkách. Odvolání proti rozhodnutí o námitkách, které podal</w:t>
      </w:r>
      <w:r>
        <w:rPr>
          <w:rFonts w:cstheme="minorHAnsi"/>
          <w:szCs w:val="24"/>
        </w:rPr>
        <w:t>y</w:t>
      </w:r>
      <w:r w:rsidRPr="0089008A">
        <w:rPr>
          <w:rFonts w:cstheme="minorHAnsi"/>
          <w:szCs w:val="24"/>
        </w:rPr>
        <w:t xml:space="preserve"> MZe a SPÚ, vypořádalo </w:t>
      </w:r>
      <w:r w:rsidR="00256B81">
        <w:rPr>
          <w:rFonts w:cstheme="minorHAnsi"/>
          <w:szCs w:val="24"/>
        </w:rPr>
        <w:t>K</w:t>
      </w:r>
      <w:r w:rsidRPr="0089008A">
        <w:rPr>
          <w:rFonts w:cstheme="minorHAnsi"/>
          <w:szCs w:val="24"/>
        </w:rPr>
        <w:t>olegium NKÚ usnesením</w:t>
      </w:r>
      <w:r w:rsidR="00256B81">
        <w:rPr>
          <w:rFonts w:cstheme="minorHAnsi"/>
          <w:szCs w:val="24"/>
        </w:rPr>
        <w:t>i</w:t>
      </w:r>
      <w:r w:rsidRPr="0089008A">
        <w:rPr>
          <w:rFonts w:cstheme="minorHAnsi"/>
          <w:szCs w:val="24"/>
        </w:rPr>
        <w:t xml:space="preserve"> o odvolání.</w:t>
      </w:r>
    </w:p>
    <w:p w:rsidR="00CD0079" w:rsidRDefault="00CD0079" w:rsidP="005E53F7">
      <w:pPr>
        <w:spacing w:line="264" w:lineRule="auto"/>
        <w:rPr>
          <w:rFonts w:cstheme="minorHAnsi"/>
          <w:szCs w:val="24"/>
        </w:rPr>
      </w:pPr>
    </w:p>
    <w:p w:rsidR="00F6199D" w:rsidRPr="00B96308" w:rsidRDefault="00F6199D" w:rsidP="005E53F7">
      <w:pPr>
        <w:spacing w:line="264" w:lineRule="auto"/>
        <w:rPr>
          <w:rFonts w:cstheme="minorHAnsi"/>
          <w:szCs w:val="24"/>
        </w:rPr>
      </w:pPr>
    </w:p>
    <w:p w:rsidR="00525CA7" w:rsidRPr="00B96308" w:rsidRDefault="00525CA7" w:rsidP="005E53F7">
      <w:pPr>
        <w:spacing w:line="264" w:lineRule="auto"/>
        <w:rPr>
          <w:rFonts w:cstheme="minorHAnsi"/>
          <w:szCs w:val="24"/>
        </w:rPr>
      </w:pPr>
      <w:r>
        <w:rPr>
          <w:rFonts w:cstheme="minorHAnsi"/>
          <w:b/>
          <w:bCs/>
          <w:i/>
          <w:iCs/>
          <w:spacing w:val="20"/>
          <w:szCs w:val="24"/>
        </w:rPr>
        <w:t>Kolegium NK</w:t>
      </w:r>
      <w:r w:rsidRPr="000A3B01">
        <w:rPr>
          <w:rFonts w:cstheme="minorHAnsi"/>
          <w:b/>
          <w:bCs/>
          <w:i/>
          <w:iCs/>
          <w:spacing w:val="20"/>
          <w:szCs w:val="24"/>
        </w:rPr>
        <w:t>Ú</w:t>
      </w:r>
      <w:r w:rsidRPr="00B96308">
        <w:rPr>
          <w:rFonts w:cstheme="minorHAnsi"/>
          <w:szCs w:val="24"/>
        </w:rPr>
        <w:t xml:space="preserve"> na svém </w:t>
      </w:r>
      <w:r w:rsidR="00F6199D">
        <w:rPr>
          <w:rFonts w:cstheme="minorHAnsi"/>
          <w:szCs w:val="24"/>
        </w:rPr>
        <w:t xml:space="preserve">X. </w:t>
      </w:r>
      <w:r>
        <w:rPr>
          <w:rFonts w:cstheme="minorHAnsi"/>
          <w:szCs w:val="24"/>
        </w:rPr>
        <w:t>jednání</w:t>
      </w:r>
      <w:r w:rsidRPr="00B96308">
        <w:rPr>
          <w:rFonts w:cstheme="minorHAnsi"/>
          <w:szCs w:val="24"/>
        </w:rPr>
        <w:t xml:space="preserve">, </w:t>
      </w:r>
      <w:r w:rsidR="00B357E2">
        <w:rPr>
          <w:rFonts w:cstheme="minorHAnsi"/>
          <w:szCs w:val="24"/>
        </w:rPr>
        <w:t xml:space="preserve">které se konalo </w:t>
      </w:r>
      <w:r w:rsidRPr="00B96308">
        <w:rPr>
          <w:rFonts w:cstheme="minorHAnsi"/>
          <w:szCs w:val="24"/>
        </w:rPr>
        <w:t xml:space="preserve">dne </w:t>
      </w:r>
      <w:r w:rsidR="00F6199D">
        <w:rPr>
          <w:rFonts w:cstheme="minorHAnsi"/>
          <w:szCs w:val="24"/>
        </w:rPr>
        <w:t>27. července 2015</w:t>
      </w:r>
      <w:r w:rsidR="00B357E2">
        <w:rPr>
          <w:rFonts w:cstheme="minorHAnsi"/>
          <w:szCs w:val="24"/>
        </w:rPr>
        <w:t>,</w:t>
      </w:r>
    </w:p>
    <w:p w:rsidR="00525CA7" w:rsidRPr="00B96308" w:rsidRDefault="00525CA7" w:rsidP="005E53F7">
      <w:pPr>
        <w:spacing w:line="264" w:lineRule="auto"/>
        <w:rPr>
          <w:rFonts w:cstheme="minorHAnsi"/>
          <w:szCs w:val="24"/>
        </w:rPr>
      </w:pPr>
      <w:r w:rsidRPr="000A3B01">
        <w:rPr>
          <w:rFonts w:cstheme="minorHAnsi"/>
          <w:b/>
          <w:bCs/>
          <w:i/>
          <w:iCs/>
          <w:spacing w:val="20"/>
          <w:szCs w:val="24"/>
        </w:rPr>
        <w:t>schválilo</w:t>
      </w:r>
      <w:r w:rsidRPr="00B96308">
        <w:rPr>
          <w:rFonts w:cstheme="minorHAnsi"/>
          <w:szCs w:val="24"/>
        </w:rPr>
        <w:t xml:space="preserve"> usnesením č.</w:t>
      </w:r>
      <w:r w:rsidR="00256B81">
        <w:rPr>
          <w:rFonts w:cstheme="minorHAnsi"/>
          <w:szCs w:val="24"/>
        </w:rPr>
        <w:t xml:space="preserve"> </w:t>
      </w:r>
      <w:r w:rsidR="009C000B">
        <w:rPr>
          <w:rFonts w:cstheme="minorHAnsi"/>
          <w:szCs w:val="24"/>
        </w:rPr>
        <w:t>12</w:t>
      </w:r>
      <w:r w:rsidRPr="00B96308">
        <w:rPr>
          <w:rFonts w:cstheme="minorHAnsi"/>
          <w:szCs w:val="24"/>
        </w:rPr>
        <w:t>/</w:t>
      </w:r>
      <w:r w:rsidR="00F6199D">
        <w:rPr>
          <w:rFonts w:cstheme="minorHAnsi"/>
          <w:szCs w:val="24"/>
        </w:rPr>
        <w:t>X</w:t>
      </w:r>
      <w:r w:rsidRPr="00B96308">
        <w:rPr>
          <w:rFonts w:cstheme="minorHAnsi"/>
          <w:szCs w:val="24"/>
        </w:rPr>
        <w:t>/2015</w:t>
      </w:r>
    </w:p>
    <w:p w:rsidR="00525CA7" w:rsidRDefault="00525CA7" w:rsidP="005E53F7">
      <w:pPr>
        <w:spacing w:line="264" w:lineRule="auto"/>
        <w:rPr>
          <w:rFonts w:cstheme="minorHAnsi"/>
          <w:szCs w:val="24"/>
        </w:rPr>
      </w:pPr>
      <w:r w:rsidRPr="000A3B01">
        <w:rPr>
          <w:rFonts w:cstheme="minorHAnsi"/>
          <w:b/>
          <w:bCs/>
          <w:i/>
          <w:iCs/>
          <w:spacing w:val="20"/>
          <w:szCs w:val="24"/>
        </w:rPr>
        <w:t>kontrolní závěr</w:t>
      </w:r>
      <w:r w:rsidRPr="00B96308">
        <w:rPr>
          <w:rFonts w:cstheme="minorHAnsi"/>
          <w:szCs w:val="24"/>
        </w:rPr>
        <w:t xml:space="preserve"> v</w:t>
      </w:r>
      <w:r w:rsidR="00256B81">
        <w:rPr>
          <w:rFonts w:cstheme="minorHAnsi"/>
          <w:szCs w:val="24"/>
        </w:rPr>
        <w:t xml:space="preserve"> </w:t>
      </w:r>
      <w:r w:rsidRPr="00B96308">
        <w:rPr>
          <w:rFonts w:cstheme="minorHAnsi"/>
          <w:szCs w:val="24"/>
        </w:rPr>
        <w:t>tomto znění:</w:t>
      </w:r>
    </w:p>
    <w:p w:rsidR="009C000B" w:rsidRDefault="009C000B" w:rsidP="005E53F7">
      <w:pPr>
        <w:spacing w:line="264" w:lineRule="auto"/>
        <w:jc w:val="left"/>
        <w:rPr>
          <w:b/>
        </w:rPr>
      </w:pPr>
      <w:r>
        <w:rPr>
          <w:b/>
        </w:rPr>
        <w:br w:type="page"/>
      </w:r>
    </w:p>
    <w:p w:rsidR="00525CA7" w:rsidRDefault="005E53F7" w:rsidP="00CA6C58">
      <w:pPr>
        <w:pStyle w:val="Nadpis1"/>
        <w:numPr>
          <w:ilvl w:val="0"/>
          <w:numId w:val="0"/>
        </w:numPr>
        <w:spacing w:before="0"/>
        <w:jc w:val="center"/>
        <w:rPr>
          <w:sz w:val="28"/>
        </w:rPr>
      </w:pPr>
      <w:r>
        <w:rPr>
          <w:sz w:val="28"/>
        </w:rPr>
        <w:lastRenderedPageBreak/>
        <w:t xml:space="preserve">I. </w:t>
      </w:r>
      <w:r w:rsidR="00525CA7" w:rsidRPr="008F6E36">
        <w:rPr>
          <w:sz w:val="28"/>
        </w:rPr>
        <w:t>Úvod</w:t>
      </w:r>
    </w:p>
    <w:p w:rsidR="00F6199D" w:rsidRPr="005E53F7" w:rsidRDefault="00F6199D" w:rsidP="005E53F7">
      <w:pPr>
        <w:spacing w:line="264" w:lineRule="auto"/>
        <w:rPr>
          <w:szCs w:val="24"/>
        </w:rPr>
      </w:pPr>
    </w:p>
    <w:p w:rsidR="00413DDB" w:rsidRPr="005E53F7" w:rsidRDefault="00413DDB" w:rsidP="005E53F7">
      <w:pPr>
        <w:spacing w:line="264" w:lineRule="auto"/>
        <w:rPr>
          <w:szCs w:val="24"/>
        </w:rPr>
      </w:pPr>
      <w:r w:rsidRPr="005E53F7">
        <w:rPr>
          <w:szCs w:val="24"/>
        </w:rPr>
        <w:t>SPÚ byl zřízen z</w:t>
      </w:r>
      <w:r w:rsidR="00BF4188" w:rsidRPr="005E53F7">
        <w:rPr>
          <w:szCs w:val="24"/>
        </w:rPr>
        <w:t>ákonem č. 503/2012 Sb.</w:t>
      </w:r>
      <w:r w:rsidR="00BF4188" w:rsidRPr="005E53F7">
        <w:rPr>
          <w:rStyle w:val="Znakapoznpodarou"/>
          <w:rFonts w:eastAsia="Calibri"/>
          <w:szCs w:val="24"/>
        </w:rPr>
        <w:footnoteReference w:id="1"/>
      </w:r>
      <w:r w:rsidR="00BF4188" w:rsidRPr="005E53F7">
        <w:rPr>
          <w:szCs w:val="24"/>
        </w:rPr>
        <w:t xml:space="preserve">, který </w:t>
      </w:r>
      <w:r w:rsidRPr="005E53F7">
        <w:rPr>
          <w:szCs w:val="24"/>
        </w:rPr>
        <w:t>nabyl účinnosti dne 1. 1. 2013. J</w:t>
      </w:r>
      <w:r w:rsidR="00BF4188" w:rsidRPr="005E53F7">
        <w:rPr>
          <w:szCs w:val="24"/>
        </w:rPr>
        <w:t>e organizační složkou státu</w:t>
      </w:r>
      <w:r w:rsidRPr="005E53F7">
        <w:rPr>
          <w:szCs w:val="24"/>
        </w:rPr>
        <w:t xml:space="preserve"> (dále také „OSS“) a účetní jednotkou podle zákona</w:t>
      </w:r>
      <w:r w:rsidR="00256B81" w:rsidRPr="005E53F7">
        <w:rPr>
          <w:szCs w:val="24"/>
        </w:rPr>
        <w:t xml:space="preserve"> </w:t>
      </w:r>
      <w:r w:rsidRPr="005E53F7">
        <w:rPr>
          <w:szCs w:val="24"/>
        </w:rPr>
        <w:t>č.</w:t>
      </w:r>
      <w:r w:rsidR="00256B81" w:rsidRPr="005E53F7">
        <w:rPr>
          <w:szCs w:val="24"/>
        </w:rPr>
        <w:t xml:space="preserve"> </w:t>
      </w:r>
      <w:r w:rsidRPr="005E53F7">
        <w:rPr>
          <w:szCs w:val="24"/>
        </w:rPr>
        <w:t>563/1991 Sb.</w:t>
      </w:r>
      <w:r w:rsidRPr="005E53F7">
        <w:rPr>
          <w:rStyle w:val="Znakapoznpodarou"/>
          <w:szCs w:val="24"/>
        </w:rPr>
        <w:footnoteReference w:id="2"/>
      </w:r>
      <w:r w:rsidRPr="005E53F7">
        <w:rPr>
          <w:szCs w:val="24"/>
        </w:rPr>
        <w:t>.</w:t>
      </w:r>
      <w:r w:rsidR="00BF4188" w:rsidRPr="005E53F7">
        <w:rPr>
          <w:szCs w:val="24"/>
        </w:rPr>
        <w:t xml:space="preserve"> </w:t>
      </w:r>
    </w:p>
    <w:p w:rsidR="00F6199D" w:rsidRPr="005E53F7" w:rsidRDefault="00F6199D" w:rsidP="005E53F7">
      <w:pPr>
        <w:spacing w:line="264" w:lineRule="auto"/>
        <w:rPr>
          <w:szCs w:val="24"/>
        </w:rPr>
      </w:pPr>
    </w:p>
    <w:p w:rsidR="00D21B41" w:rsidRPr="005E53F7" w:rsidRDefault="00BF4188" w:rsidP="005E53F7">
      <w:pPr>
        <w:spacing w:line="264" w:lineRule="auto"/>
        <w:rPr>
          <w:szCs w:val="24"/>
        </w:rPr>
      </w:pPr>
      <w:r w:rsidRPr="005E53F7">
        <w:rPr>
          <w:szCs w:val="24"/>
        </w:rPr>
        <w:t xml:space="preserve">Dnem nabytí účinnosti zákona </w:t>
      </w:r>
      <w:r w:rsidR="008636AC" w:rsidRPr="005E53F7">
        <w:rPr>
          <w:szCs w:val="24"/>
        </w:rPr>
        <w:t>o SPÚ</w:t>
      </w:r>
      <w:r w:rsidRPr="005E53F7">
        <w:rPr>
          <w:szCs w:val="24"/>
        </w:rPr>
        <w:t xml:space="preserve"> vstoupil SPÚ (Č</w:t>
      </w:r>
      <w:r w:rsidR="00650ADD" w:rsidRPr="005E53F7">
        <w:rPr>
          <w:szCs w:val="24"/>
        </w:rPr>
        <w:t>eská republika) do všech práv a </w:t>
      </w:r>
      <w:r w:rsidRPr="005E53F7">
        <w:rPr>
          <w:szCs w:val="24"/>
        </w:rPr>
        <w:t xml:space="preserve">povinností Pozemkového fondu České republiky (dále také „PF“), včetně práv a povinností </w:t>
      </w:r>
      <w:r w:rsidR="008A72AD">
        <w:rPr>
          <w:szCs w:val="24"/>
        </w:rPr>
        <w:t xml:space="preserve">vyplývajících </w:t>
      </w:r>
      <w:r w:rsidRPr="005E53F7">
        <w:rPr>
          <w:szCs w:val="24"/>
        </w:rPr>
        <w:t xml:space="preserve">z pracovněprávních vztahů a ze správních nebo soudních řízení, jejichž účastníkem byl PF. Veškerý majetek PF přešel dnem nabytí účinnosti zákona </w:t>
      </w:r>
      <w:r w:rsidR="008636AC" w:rsidRPr="005E53F7">
        <w:rPr>
          <w:szCs w:val="24"/>
        </w:rPr>
        <w:t>o SPÚ</w:t>
      </w:r>
      <w:r w:rsidRPr="005E53F7">
        <w:rPr>
          <w:szCs w:val="24"/>
        </w:rPr>
        <w:t xml:space="preserve"> na Českou republiku</w:t>
      </w:r>
      <w:r w:rsidR="00413DDB" w:rsidRPr="005E53F7">
        <w:rPr>
          <w:szCs w:val="24"/>
        </w:rPr>
        <w:t xml:space="preserve">, </w:t>
      </w:r>
      <w:r w:rsidRPr="005E53F7">
        <w:rPr>
          <w:szCs w:val="24"/>
        </w:rPr>
        <w:t>příslušný</w:t>
      </w:r>
      <w:r w:rsidR="00413DDB" w:rsidRPr="005E53F7">
        <w:rPr>
          <w:szCs w:val="24"/>
        </w:rPr>
        <w:t xml:space="preserve"> s ním</w:t>
      </w:r>
      <w:r w:rsidRPr="005E53F7">
        <w:rPr>
          <w:szCs w:val="24"/>
        </w:rPr>
        <w:t xml:space="preserve"> hospodařit</w:t>
      </w:r>
      <w:r w:rsidR="00413DDB" w:rsidRPr="005E53F7">
        <w:rPr>
          <w:szCs w:val="24"/>
        </w:rPr>
        <w:t xml:space="preserve"> je</w:t>
      </w:r>
      <w:r w:rsidRPr="005E53F7">
        <w:rPr>
          <w:szCs w:val="24"/>
        </w:rPr>
        <w:t xml:space="preserve"> SPÚ. </w:t>
      </w:r>
      <w:r w:rsidR="00D21B41" w:rsidRPr="005E53F7">
        <w:rPr>
          <w:szCs w:val="24"/>
        </w:rPr>
        <w:t>K</w:t>
      </w:r>
      <w:r w:rsidR="00256B81" w:rsidRPr="005E53F7">
        <w:rPr>
          <w:szCs w:val="24"/>
        </w:rPr>
        <w:t xml:space="preserve"> </w:t>
      </w:r>
      <w:r w:rsidR="00D21B41" w:rsidRPr="005E53F7">
        <w:rPr>
          <w:szCs w:val="24"/>
        </w:rPr>
        <w:t>témuž datu přešla na SPÚ příslušnost hospodařit s majetkem České republiky, se kterým bylo příslušné hospodařit MZe v</w:t>
      </w:r>
      <w:r w:rsidR="008A72AD">
        <w:rPr>
          <w:szCs w:val="24"/>
        </w:rPr>
        <w:t> </w:t>
      </w:r>
      <w:r w:rsidR="00D21B41" w:rsidRPr="005E53F7">
        <w:rPr>
          <w:szCs w:val="24"/>
        </w:rPr>
        <w:t>rozsahu potřebném pro činnost</w:t>
      </w:r>
      <w:r w:rsidR="00CA4F51" w:rsidRPr="005E53F7">
        <w:rPr>
          <w:szCs w:val="24"/>
        </w:rPr>
        <w:t xml:space="preserve"> Ústředního pozemkového úřadu a</w:t>
      </w:r>
      <w:r w:rsidR="00D21B41" w:rsidRPr="005E53F7">
        <w:rPr>
          <w:szCs w:val="24"/>
        </w:rPr>
        <w:t xml:space="preserve"> </w:t>
      </w:r>
      <w:r w:rsidR="00CA4F51" w:rsidRPr="005E53F7">
        <w:rPr>
          <w:szCs w:val="24"/>
        </w:rPr>
        <w:t xml:space="preserve">jím řízených </w:t>
      </w:r>
      <w:r w:rsidR="00D21B41" w:rsidRPr="005E53F7">
        <w:rPr>
          <w:szCs w:val="24"/>
        </w:rPr>
        <w:t>pozemkových úřadů.</w:t>
      </w:r>
    </w:p>
    <w:p w:rsidR="00F6199D" w:rsidRPr="005E53F7" w:rsidRDefault="00F6199D" w:rsidP="005E53F7">
      <w:pPr>
        <w:spacing w:line="264" w:lineRule="auto"/>
        <w:rPr>
          <w:szCs w:val="24"/>
        </w:rPr>
      </w:pPr>
    </w:p>
    <w:p w:rsidR="00BF4188" w:rsidRPr="005E53F7" w:rsidRDefault="00BF4188" w:rsidP="005E53F7">
      <w:pPr>
        <w:spacing w:line="264" w:lineRule="auto"/>
        <w:rPr>
          <w:szCs w:val="24"/>
        </w:rPr>
      </w:pPr>
      <w:r w:rsidRPr="005E53F7">
        <w:rPr>
          <w:szCs w:val="24"/>
        </w:rPr>
        <w:t>SPÚ pokračuje ve vypořádávání restitučních nároků a s dalšími převody nemovitostí dle zákona č.</w:t>
      </w:r>
      <w:r w:rsidR="00256B81" w:rsidRPr="005E53F7">
        <w:rPr>
          <w:szCs w:val="24"/>
        </w:rPr>
        <w:t xml:space="preserve"> </w:t>
      </w:r>
      <w:r w:rsidRPr="005E53F7">
        <w:rPr>
          <w:szCs w:val="24"/>
        </w:rPr>
        <w:t>229/1991 Sb.</w:t>
      </w:r>
      <w:r w:rsidRPr="005E53F7">
        <w:rPr>
          <w:rStyle w:val="Znakapoznpodarou"/>
          <w:rFonts w:eastAsia="Calibri" w:cs="Arial"/>
          <w:szCs w:val="24"/>
        </w:rPr>
        <w:footnoteReference w:id="3"/>
      </w:r>
      <w:r w:rsidRPr="005E53F7">
        <w:rPr>
          <w:szCs w:val="24"/>
        </w:rPr>
        <w:t xml:space="preserve"> SPÚ rovněž vykonává působnost dle zákona č. 92/1991 Sb.</w:t>
      </w:r>
      <w:r w:rsidRPr="005E53F7">
        <w:rPr>
          <w:rStyle w:val="Znakapoznpodarou"/>
          <w:rFonts w:eastAsia="Calibri" w:cs="Arial"/>
          <w:szCs w:val="24"/>
        </w:rPr>
        <w:footnoteReference w:id="4"/>
      </w:r>
      <w:r w:rsidR="00861FF8" w:rsidRPr="005E53F7">
        <w:rPr>
          <w:szCs w:val="24"/>
        </w:rPr>
        <w:t xml:space="preserve"> a </w:t>
      </w:r>
      <w:r w:rsidRPr="005E53F7">
        <w:rPr>
          <w:szCs w:val="24"/>
        </w:rPr>
        <w:t>pokračuje v privatizaci majetku, se kterým je příslušný hospodařit. SPÚ pokračuje v činnosti zrušených pozemkových úřadů v oblasti pozemkových úprav dle zákona č. 139/2002 Sb.</w:t>
      </w:r>
      <w:r w:rsidRPr="005E53F7">
        <w:rPr>
          <w:rStyle w:val="Znakapoznpodarou"/>
          <w:rFonts w:eastAsia="Calibri"/>
          <w:szCs w:val="24"/>
        </w:rPr>
        <w:footnoteReference w:id="5"/>
      </w:r>
    </w:p>
    <w:p w:rsidR="00F6199D" w:rsidRPr="005E53F7" w:rsidRDefault="00F6199D" w:rsidP="005E53F7">
      <w:pPr>
        <w:spacing w:line="264" w:lineRule="auto"/>
        <w:rPr>
          <w:szCs w:val="24"/>
        </w:rPr>
      </w:pPr>
    </w:p>
    <w:p w:rsidR="00BF4188" w:rsidRPr="005E53F7" w:rsidRDefault="00BF4188" w:rsidP="005E53F7">
      <w:pPr>
        <w:spacing w:line="264" w:lineRule="auto"/>
        <w:rPr>
          <w:szCs w:val="24"/>
          <w:lang w:eastAsia="cs-CZ"/>
        </w:rPr>
      </w:pPr>
      <w:r w:rsidRPr="005E53F7">
        <w:rPr>
          <w:rFonts w:eastAsia="Calibri"/>
          <w:szCs w:val="24"/>
        </w:rPr>
        <w:t xml:space="preserve">Od 1. </w:t>
      </w:r>
      <w:r w:rsidR="00256B81" w:rsidRPr="005E53F7">
        <w:rPr>
          <w:rFonts w:eastAsia="Calibri"/>
          <w:szCs w:val="24"/>
        </w:rPr>
        <w:t xml:space="preserve">1. </w:t>
      </w:r>
      <w:r w:rsidRPr="005E53F7">
        <w:rPr>
          <w:rFonts w:eastAsia="Calibri"/>
          <w:szCs w:val="24"/>
        </w:rPr>
        <w:t>2013 vykonává SPÚ jako právní nástupce PF roli povinné osoby dle zákona č. 428/2012 Sb.</w:t>
      </w:r>
      <w:r w:rsidRPr="005E53F7">
        <w:rPr>
          <w:rStyle w:val="Znakapoznpodarou"/>
          <w:rFonts w:eastAsia="Calibri"/>
          <w:szCs w:val="24"/>
        </w:rPr>
        <w:footnoteReference w:id="6"/>
      </w:r>
      <w:r w:rsidR="00035D6D" w:rsidRPr="005E53F7">
        <w:rPr>
          <w:rFonts w:eastAsia="Calibri"/>
          <w:szCs w:val="24"/>
        </w:rPr>
        <w:t xml:space="preserve"> </w:t>
      </w:r>
      <w:r w:rsidR="00413DDB" w:rsidRPr="005E53F7">
        <w:rPr>
          <w:rFonts w:eastAsia="Calibri"/>
          <w:szCs w:val="24"/>
        </w:rPr>
        <w:t>P</w:t>
      </w:r>
      <w:r w:rsidRPr="005E53F7">
        <w:rPr>
          <w:rFonts w:eastAsia="Calibri"/>
          <w:szCs w:val="24"/>
        </w:rPr>
        <w:t>řijímá výzvy oprávněných osob k vydání zemědělských nemovitostí</w:t>
      </w:r>
      <w:r w:rsidR="00413DDB" w:rsidRPr="005E53F7">
        <w:rPr>
          <w:rFonts w:eastAsia="Calibri"/>
          <w:szCs w:val="24"/>
        </w:rPr>
        <w:t xml:space="preserve">, uzavírá dohody </w:t>
      </w:r>
      <w:r w:rsidR="005239FA" w:rsidRPr="005E53F7">
        <w:rPr>
          <w:rFonts w:eastAsia="Calibri"/>
          <w:szCs w:val="24"/>
        </w:rPr>
        <w:t>o</w:t>
      </w:r>
      <w:r w:rsidR="00256B81" w:rsidRPr="005E53F7">
        <w:rPr>
          <w:rFonts w:eastAsia="Calibri"/>
          <w:szCs w:val="24"/>
        </w:rPr>
        <w:t xml:space="preserve"> </w:t>
      </w:r>
      <w:r w:rsidR="00413DDB" w:rsidRPr="005E53F7">
        <w:rPr>
          <w:rFonts w:eastAsia="Calibri"/>
          <w:szCs w:val="24"/>
        </w:rPr>
        <w:t>jejich vydání a</w:t>
      </w:r>
      <w:r w:rsidRPr="005E53F7">
        <w:rPr>
          <w:rFonts w:eastAsia="Calibri"/>
          <w:szCs w:val="24"/>
        </w:rPr>
        <w:t xml:space="preserve"> </w:t>
      </w:r>
      <w:r w:rsidR="00413DDB" w:rsidRPr="005E53F7">
        <w:rPr>
          <w:rFonts w:eastAsia="Calibri"/>
          <w:szCs w:val="24"/>
        </w:rPr>
        <w:t>s</w:t>
      </w:r>
      <w:r w:rsidRPr="005E53F7">
        <w:rPr>
          <w:rFonts w:eastAsia="Calibri"/>
          <w:szCs w:val="24"/>
        </w:rPr>
        <w:t xml:space="preserve">oučasně </w:t>
      </w:r>
      <w:r w:rsidR="006E3189" w:rsidRPr="005E53F7">
        <w:rPr>
          <w:rFonts w:eastAsia="Calibri"/>
          <w:szCs w:val="24"/>
        </w:rPr>
        <w:t>SPÚ</w:t>
      </w:r>
      <w:r w:rsidRPr="005E53F7">
        <w:rPr>
          <w:rFonts w:eastAsia="Calibri"/>
          <w:szCs w:val="24"/>
        </w:rPr>
        <w:t xml:space="preserve"> </w:t>
      </w:r>
      <w:r w:rsidR="00870D2B" w:rsidRPr="005E53F7">
        <w:rPr>
          <w:rFonts w:eastAsia="Calibri"/>
          <w:szCs w:val="24"/>
        </w:rPr>
        <w:t xml:space="preserve">jako správní orgán </w:t>
      </w:r>
      <w:r w:rsidR="005239FA" w:rsidRPr="005E53F7">
        <w:rPr>
          <w:rFonts w:eastAsia="Calibri"/>
          <w:szCs w:val="24"/>
        </w:rPr>
        <w:t xml:space="preserve">tyto dohody </w:t>
      </w:r>
      <w:r w:rsidR="00870D2B" w:rsidRPr="005E53F7">
        <w:rPr>
          <w:rFonts w:eastAsia="Calibri"/>
          <w:szCs w:val="24"/>
        </w:rPr>
        <w:t>i schvaluje.</w:t>
      </w:r>
      <w:r w:rsidRPr="005E53F7">
        <w:rPr>
          <w:szCs w:val="24"/>
        </w:rPr>
        <w:t xml:space="preserve"> </w:t>
      </w:r>
    </w:p>
    <w:p w:rsidR="00D95780" w:rsidRPr="005E53F7" w:rsidRDefault="00D95780" w:rsidP="005E53F7">
      <w:pPr>
        <w:spacing w:line="264" w:lineRule="auto"/>
        <w:rPr>
          <w:rFonts w:cstheme="minorHAnsi"/>
          <w:szCs w:val="24"/>
        </w:rPr>
      </w:pPr>
    </w:p>
    <w:p w:rsidR="00663C04" w:rsidRPr="00D72A28" w:rsidRDefault="00663C04" w:rsidP="005E53F7">
      <w:pPr>
        <w:spacing w:line="264" w:lineRule="auto"/>
        <w:rPr>
          <w:rFonts w:cstheme="minorHAnsi"/>
          <w:sz w:val="20"/>
          <w:szCs w:val="20"/>
        </w:rPr>
      </w:pPr>
      <w:r w:rsidRPr="00CA6C58">
        <w:rPr>
          <w:rFonts w:cstheme="minorHAnsi"/>
          <w:b/>
          <w:sz w:val="20"/>
          <w:szCs w:val="20"/>
        </w:rPr>
        <w:t>Pozn.:</w:t>
      </w:r>
      <w:r w:rsidRPr="00D72A28">
        <w:rPr>
          <w:rFonts w:cstheme="minorHAnsi"/>
          <w:sz w:val="20"/>
          <w:szCs w:val="20"/>
        </w:rPr>
        <w:t xml:space="preserve"> Právní předpisy jsou uváděny ve znění účinném pro kontrolované období.</w:t>
      </w:r>
    </w:p>
    <w:p w:rsidR="005239FA" w:rsidRPr="005E53F7" w:rsidRDefault="005239FA" w:rsidP="005E53F7">
      <w:pPr>
        <w:spacing w:line="264" w:lineRule="auto"/>
        <w:rPr>
          <w:rFonts w:cstheme="minorHAnsi"/>
          <w:szCs w:val="24"/>
        </w:rPr>
      </w:pPr>
    </w:p>
    <w:p w:rsidR="00F6199D" w:rsidRPr="005E53F7" w:rsidRDefault="00F6199D" w:rsidP="005E53F7">
      <w:pPr>
        <w:spacing w:line="264" w:lineRule="auto"/>
        <w:rPr>
          <w:rFonts w:cstheme="minorHAnsi"/>
          <w:szCs w:val="24"/>
        </w:rPr>
      </w:pPr>
    </w:p>
    <w:p w:rsidR="006C2631" w:rsidRDefault="005E53F7" w:rsidP="00CA6C58">
      <w:pPr>
        <w:pStyle w:val="Nadpis1"/>
        <w:numPr>
          <w:ilvl w:val="0"/>
          <w:numId w:val="0"/>
        </w:numPr>
        <w:spacing w:before="0"/>
        <w:jc w:val="center"/>
        <w:rPr>
          <w:sz w:val="28"/>
        </w:rPr>
      </w:pPr>
      <w:r>
        <w:rPr>
          <w:sz w:val="28"/>
        </w:rPr>
        <w:t xml:space="preserve">II. </w:t>
      </w:r>
      <w:r w:rsidR="00C86BE0" w:rsidRPr="008F6E36">
        <w:rPr>
          <w:sz w:val="28"/>
        </w:rPr>
        <w:t>Shrnutí skutečností zjištěných při kontrole</w:t>
      </w:r>
    </w:p>
    <w:p w:rsidR="00F6199D" w:rsidRPr="005E53F7" w:rsidRDefault="00F6199D" w:rsidP="005E53F7">
      <w:pPr>
        <w:spacing w:line="264" w:lineRule="auto"/>
        <w:rPr>
          <w:rFonts w:ascii="Calibri" w:hAnsi="Calibri" w:cs="Calibri"/>
          <w:szCs w:val="24"/>
        </w:rPr>
      </w:pPr>
    </w:p>
    <w:p w:rsidR="005E53F7" w:rsidRDefault="006C2631" w:rsidP="001C5F4E">
      <w:pPr>
        <w:spacing w:line="264" w:lineRule="auto"/>
        <w:rPr>
          <w:rFonts w:ascii="Calibri" w:hAnsi="Calibri" w:cs="Calibri"/>
          <w:b/>
          <w:szCs w:val="24"/>
        </w:rPr>
      </w:pPr>
      <w:r w:rsidRPr="005E53F7">
        <w:rPr>
          <w:rFonts w:ascii="Calibri" w:hAnsi="Calibri" w:cs="Calibri"/>
          <w:b/>
          <w:szCs w:val="24"/>
        </w:rPr>
        <w:t>1.</w:t>
      </w:r>
      <w:r w:rsidR="005E53F7">
        <w:rPr>
          <w:rFonts w:ascii="Calibri" w:hAnsi="Calibri" w:cs="Calibri"/>
          <w:b/>
          <w:szCs w:val="24"/>
        </w:rPr>
        <w:t xml:space="preserve"> </w:t>
      </w:r>
      <w:r w:rsidRPr="005E53F7">
        <w:rPr>
          <w:rFonts w:ascii="Calibri" w:hAnsi="Calibri" w:cs="Calibri"/>
          <w:b/>
          <w:szCs w:val="24"/>
        </w:rPr>
        <w:t xml:space="preserve">SPÚ splnil všechny povinnosti stanovené zákonem o účetnictví pro vznik nové </w:t>
      </w:r>
      <w:r w:rsidR="00035D6D" w:rsidRPr="005E53F7">
        <w:rPr>
          <w:rFonts w:ascii="Calibri" w:hAnsi="Calibri" w:cs="Calibri"/>
          <w:b/>
          <w:szCs w:val="24"/>
        </w:rPr>
        <w:t>organizační složky státu</w:t>
      </w:r>
      <w:r w:rsidRPr="005E53F7">
        <w:rPr>
          <w:rFonts w:ascii="Calibri" w:hAnsi="Calibri" w:cs="Calibri"/>
          <w:b/>
          <w:szCs w:val="24"/>
        </w:rPr>
        <w:t>.</w:t>
      </w:r>
    </w:p>
    <w:p w:rsidR="005E53F7" w:rsidRDefault="005E53F7" w:rsidP="001C5F4E">
      <w:pPr>
        <w:spacing w:line="264" w:lineRule="auto"/>
        <w:rPr>
          <w:rFonts w:ascii="Calibri" w:hAnsi="Calibri" w:cs="Calibri"/>
          <w:b/>
          <w:szCs w:val="24"/>
        </w:rPr>
      </w:pPr>
    </w:p>
    <w:p w:rsidR="006C2631" w:rsidRDefault="006C2631" w:rsidP="001C5F4E">
      <w:pPr>
        <w:spacing w:line="264" w:lineRule="auto"/>
        <w:rPr>
          <w:rFonts w:ascii="Calibri" w:hAnsi="Calibri" w:cs="Calibri"/>
          <w:szCs w:val="24"/>
        </w:rPr>
      </w:pPr>
      <w:r w:rsidRPr="005E53F7">
        <w:rPr>
          <w:rFonts w:ascii="Calibri" w:hAnsi="Calibri" w:cs="Calibri"/>
          <w:b/>
          <w:szCs w:val="24"/>
        </w:rPr>
        <w:t>2.</w:t>
      </w:r>
      <w:r w:rsidR="005E53F7">
        <w:rPr>
          <w:rFonts w:ascii="Calibri" w:hAnsi="Calibri" w:cs="Calibri"/>
          <w:b/>
          <w:szCs w:val="24"/>
        </w:rPr>
        <w:t xml:space="preserve"> </w:t>
      </w:r>
      <w:r w:rsidR="00CA4F51" w:rsidRPr="005E53F7">
        <w:rPr>
          <w:rFonts w:ascii="Calibri" w:hAnsi="Calibri" w:cs="Calibri"/>
          <w:b/>
          <w:szCs w:val="24"/>
        </w:rPr>
        <w:t>Transformací PF, Ústředního pozemkového úřadu a pozemkových úřadů</w:t>
      </w:r>
      <w:r w:rsidR="005239FA" w:rsidRPr="005E53F7">
        <w:rPr>
          <w:rFonts w:ascii="Calibri" w:hAnsi="Calibri" w:cs="Calibri"/>
          <w:b/>
          <w:szCs w:val="24"/>
        </w:rPr>
        <w:t xml:space="preserve"> </w:t>
      </w:r>
      <w:r w:rsidRPr="005E53F7">
        <w:rPr>
          <w:rFonts w:ascii="Calibri" w:hAnsi="Calibri" w:cs="Calibri"/>
          <w:b/>
          <w:szCs w:val="24"/>
        </w:rPr>
        <w:t>na SPÚ byly</w:t>
      </w:r>
      <w:r w:rsidR="00035D6D" w:rsidRPr="005E53F7">
        <w:rPr>
          <w:rFonts w:ascii="Calibri" w:hAnsi="Calibri" w:cs="Calibri"/>
          <w:b/>
          <w:szCs w:val="24"/>
        </w:rPr>
        <w:t xml:space="preserve"> v roce 2013</w:t>
      </w:r>
      <w:r w:rsidRPr="005E53F7">
        <w:rPr>
          <w:rFonts w:ascii="Calibri" w:hAnsi="Calibri" w:cs="Calibri"/>
          <w:b/>
          <w:szCs w:val="24"/>
        </w:rPr>
        <w:t xml:space="preserve"> dosaženy plánované úspory</w:t>
      </w:r>
      <w:r w:rsidR="00334F78" w:rsidRPr="005E53F7">
        <w:rPr>
          <w:rFonts w:ascii="Calibri" w:hAnsi="Calibri" w:cs="Calibri"/>
          <w:b/>
          <w:szCs w:val="24"/>
        </w:rPr>
        <w:t xml:space="preserve"> výdajů</w:t>
      </w:r>
      <w:r w:rsidRPr="005E53F7">
        <w:rPr>
          <w:rFonts w:ascii="Calibri" w:hAnsi="Calibri" w:cs="Calibri"/>
          <w:b/>
          <w:szCs w:val="24"/>
        </w:rPr>
        <w:t xml:space="preserve"> státního rozpočtu </w:t>
      </w:r>
      <w:r w:rsidR="00B60EB1" w:rsidRPr="005E53F7">
        <w:rPr>
          <w:rFonts w:ascii="Calibri" w:hAnsi="Calibri" w:cs="Calibri"/>
          <w:szCs w:val="24"/>
        </w:rPr>
        <w:t>vyčíslené</w:t>
      </w:r>
      <w:r w:rsidRPr="005E53F7">
        <w:rPr>
          <w:rFonts w:ascii="Calibri" w:hAnsi="Calibri" w:cs="Calibri"/>
          <w:szCs w:val="24"/>
        </w:rPr>
        <w:t xml:space="preserve"> </w:t>
      </w:r>
      <w:r w:rsidR="00035D6D" w:rsidRPr="005E53F7">
        <w:rPr>
          <w:rFonts w:ascii="Calibri" w:hAnsi="Calibri" w:cs="Calibri"/>
          <w:szCs w:val="24"/>
        </w:rPr>
        <w:t>v</w:t>
      </w:r>
      <w:r w:rsidR="00256B81" w:rsidRPr="005E53F7">
        <w:rPr>
          <w:rFonts w:ascii="Calibri" w:hAnsi="Calibri" w:cs="Calibri"/>
          <w:szCs w:val="24"/>
        </w:rPr>
        <w:t xml:space="preserve"> </w:t>
      </w:r>
      <w:r w:rsidR="00035D6D" w:rsidRPr="005E53F7">
        <w:rPr>
          <w:rFonts w:ascii="Calibri" w:hAnsi="Calibri" w:cs="Calibri"/>
          <w:szCs w:val="24"/>
        </w:rPr>
        <w:t xml:space="preserve">důvodové zprávě </w:t>
      </w:r>
      <w:r w:rsidR="005239FA" w:rsidRPr="005E53F7">
        <w:rPr>
          <w:rFonts w:ascii="Calibri" w:hAnsi="Calibri" w:cs="Calibri"/>
          <w:szCs w:val="24"/>
        </w:rPr>
        <w:t xml:space="preserve">k </w:t>
      </w:r>
      <w:r w:rsidR="00035D6D" w:rsidRPr="005E53F7">
        <w:rPr>
          <w:rFonts w:ascii="Calibri" w:hAnsi="Calibri" w:cs="Calibri"/>
          <w:szCs w:val="24"/>
        </w:rPr>
        <w:t>zákon</w:t>
      </w:r>
      <w:r w:rsidR="005239FA" w:rsidRPr="005E53F7">
        <w:rPr>
          <w:rFonts w:ascii="Calibri" w:hAnsi="Calibri" w:cs="Calibri"/>
          <w:szCs w:val="24"/>
        </w:rPr>
        <w:t>u</w:t>
      </w:r>
      <w:r w:rsidR="00035D6D" w:rsidRPr="005E53F7">
        <w:rPr>
          <w:rFonts w:ascii="Calibri" w:hAnsi="Calibri" w:cs="Calibri"/>
          <w:szCs w:val="24"/>
        </w:rPr>
        <w:t xml:space="preserve"> o SPÚ ve výši 227</w:t>
      </w:r>
      <w:r w:rsidR="00256B81" w:rsidRPr="005E53F7">
        <w:rPr>
          <w:rFonts w:ascii="Calibri" w:hAnsi="Calibri" w:cs="Calibri"/>
          <w:szCs w:val="24"/>
        </w:rPr>
        <w:t xml:space="preserve"> </w:t>
      </w:r>
      <w:r w:rsidR="00035D6D" w:rsidRPr="005E53F7">
        <w:rPr>
          <w:rFonts w:ascii="Calibri" w:hAnsi="Calibri" w:cs="Calibri"/>
          <w:szCs w:val="24"/>
        </w:rPr>
        <w:t xml:space="preserve">593 tis. Kč. Na jednotlivých </w:t>
      </w:r>
      <w:r w:rsidR="00B60EB1" w:rsidRPr="005E53F7">
        <w:rPr>
          <w:rFonts w:ascii="Calibri" w:hAnsi="Calibri" w:cs="Calibri"/>
          <w:szCs w:val="24"/>
        </w:rPr>
        <w:t xml:space="preserve">rozpočtových </w:t>
      </w:r>
      <w:r w:rsidR="00035D6D" w:rsidRPr="005E53F7">
        <w:rPr>
          <w:rFonts w:ascii="Calibri" w:hAnsi="Calibri" w:cs="Calibri"/>
          <w:szCs w:val="24"/>
        </w:rPr>
        <w:t>položkách však došlo k</w:t>
      </w:r>
      <w:r w:rsidR="00256B81" w:rsidRPr="005E53F7">
        <w:rPr>
          <w:rFonts w:ascii="Calibri" w:hAnsi="Calibri" w:cs="Calibri"/>
          <w:szCs w:val="24"/>
        </w:rPr>
        <w:t xml:space="preserve"> </w:t>
      </w:r>
      <w:r w:rsidR="00035D6D" w:rsidRPr="005E53F7">
        <w:rPr>
          <w:rFonts w:ascii="Calibri" w:hAnsi="Calibri" w:cs="Calibri"/>
          <w:szCs w:val="24"/>
        </w:rPr>
        <w:t>úsporám v</w:t>
      </w:r>
      <w:r w:rsidR="00256B81" w:rsidRPr="005E53F7">
        <w:rPr>
          <w:rFonts w:ascii="Calibri" w:hAnsi="Calibri" w:cs="Calibri"/>
          <w:szCs w:val="24"/>
        </w:rPr>
        <w:t xml:space="preserve"> </w:t>
      </w:r>
      <w:r w:rsidR="00035D6D" w:rsidRPr="005E53F7">
        <w:rPr>
          <w:rFonts w:ascii="Calibri" w:hAnsi="Calibri" w:cs="Calibri"/>
          <w:szCs w:val="24"/>
        </w:rPr>
        <w:t>jiném rozsahu, než MZe v</w:t>
      </w:r>
      <w:r w:rsidR="00256B81" w:rsidRPr="005E53F7">
        <w:rPr>
          <w:rFonts w:ascii="Calibri" w:hAnsi="Calibri" w:cs="Calibri"/>
          <w:szCs w:val="24"/>
        </w:rPr>
        <w:t xml:space="preserve"> </w:t>
      </w:r>
      <w:r w:rsidR="00035D6D" w:rsidRPr="005E53F7">
        <w:rPr>
          <w:rFonts w:ascii="Calibri" w:hAnsi="Calibri" w:cs="Calibri"/>
          <w:szCs w:val="24"/>
        </w:rPr>
        <w:t xml:space="preserve">důvodové zprávě </w:t>
      </w:r>
      <w:r w:rsidR="005239FA" w:rsidRPr="005E53F7">
        <w:rPr>
          <w:rFonts w:ascii="Calibri" w:hAnsi="Calibri" w:cs="Calibri"/>
          <w:szCs w:val="24"/>
        </w:rPr>
        <w:t>deklarovalo</w:t>
      </w:r>
      <w:r w:rsidR="00035D6D" w:rsidRPr="005E53F7">
        <w:rPr>
          <w:rFonts w:ascii="Calibri" w:hAnsi="Calibri" w:cs="Calibri"/>
          <w:szCs w:val="24"/>
        </w:rPr>
        <w:t>.</w:t>
      </w:r>
    </w:p>
    <w:p w:rsidR="005E53F7" w:rsidRPr="005E53F7" w:rsidRDefault="005E53F7" w:rsidP="001C5F4E">
      <w:pPr>
        <w:spacing w:line="264" w:lineRule="auto"/>
        <w:rPr>
          <w:rFonts w:ascii="Calibri" w:hAnsi="Calibri" w:cs="Calibri"/>
          <w:szCs w:val="24"/>
        </w:rPr>
      </w:pPr>
    </w:p>
    <w:p w:rsidR="00035D6D" w:rsidRDefault="00035D6D" w:rsidP="001C5F4E">
      <w:pPr>
        <w:spacing w:line="264" w:lineRule="auto"/>
        <w:rPr>
          <w:rFonts w:ascii="Calibri" w:hAnsi="Calibri" w:cs="Calibri"/>
          <w:szCs w:val="24"/>
        </w:rPr>
      </w:pPr>
      <w:r w:rsidRPr="005E53F7">
        <w:rPr>
          <w:rFonts w:ascii="Calibri" w:hAnsi="Calibri" w:cs="Calibri"/>
          <w:b/>
          <w:szCs w:val="24"/>
        </w:rPr>
        <w:lastRenderedPageBreak/>
        <w:t>3.</w:t>
      </w:r>
      <w:r w:rsidR="005E53F7">
        <w:rPr>
          <w:rFonts w:ascii="Calibri" w:hAnsi="Calibri" w:cs="Calibri"/>
          <w:b/>
          <w:szCs w:val="24"/>
        </w:rPr>
        <w:t xml:space="preserve"> </w:t>
      </w:r>
      <w:r w:rsidR="00CA4F51" w:rsidRPr="005E53F7">
        <w:rPr>
          <w:rFonts w:ascii="Calibri" w:hAnsi="Calibri" w:cs="Calibri"/>
          <w:b/>
          <w:szCs w:val="24"/>
        </w:rPr>
        <w:t xml:space="preserve">Na činnosti SPÚ se po jeho vzniku negativně projevila absence přiměřeně dlouhé legisvakanční lhůty zákona o SPÚ, </w:t>
      </w:r>
      <w:r w:rsidR="00CA4F51" w:rsidRPr="005E53F7">
        <w:rPr>
          <w:rFonts w:ascii="Calibri" w:hAnsi="Calibri" w:cs="Calibri"/>
          <w:szCs w:val="24"/>
        </w:rPr>
        <w:t>která by umožnila dostatečnou přípravu na fungování nové organizační složky státu a kontinuální plnění všech převzatých činností.</w:t>
      </w:r>
    </w:p>
    <w:p w:rsidR="005E53F7" w:rsidRPr="005E53F7" w:rsidRDefault="005E53F7" w:rsidP="001C5F4E">
      <w:pPr>
        <w:spacing w:line="264" w:lineRule="auto"/>
        <w:rPr>
          <w:rFonts w:ascii="Calibri" w:hAnsi="Calibri" w:cs="Calibri"/>
          <w:szCs w:val="24"/>
        </w:rPr>
      </w:pPr>
    </w:p>
    <w:p w:rsidR="00035D6D" w:rsidRDefault="00035D6D" w:rsidP="001C5F4E">
      <w:pPr>
        <w:spacing w:line="264" w:lineRule="auto"/>
        <w:rPr>
          <w:rFonts w:ascii="Calibri" w:hAnsi="Calibri" w:cs="Calibri"/>
          <w:szCs w:val="24"/>
        </w:rPr>
      </w:pPr>
      <w:r w:rsidRPr="005E53F7">
        <w:rPr>
          <w:rFonts w:ascii="Calibri" w:hAnsi="Calibri" w:cs="Calibri"/>
          <w:b/>
          <w:szCs w:val="24"/>
        </w:rPr>
        <w:t>4.</w:t>
      </w:r>
      <w:r w:rsidR="005E53F7">
        <w:rPr>
          <w:rFonts w:ascii="Calibri" w:hAnsi="Calibri" w:cs="Calibri"/>
          <w:b/>
          <w:szCs w:val="24"/>
        </w:rPr>
        <w:t xml:space="preserve"> </w:t>
      </w:r>
      <w:r w:rsidRPr="005E53F7">
        <w:rPr>
          <w:rFonts w:ascii="Calibri" w:hAnsi="Calibri" w:cs="Calibri"/>
          <w:b/>
          <w:szCs w:val="24"/>
        </w:rPr>
        <w:t>Zákon o církevních restitucích stanovil povinným osobám (SPÚ) v</w:t>
      </w:r>
      <w:r w:rsidR="00256B81" w:rsidRPr="005E53F7">
        <w:rPr>
          <w:rFonts w:ascii="Calibri" w:hAnsi="Calibri" w:cs="Calibri"/>
          <w:b/>
          <w:szCs w:val="24"/>
        </w:rPr>
        <w:t xml:space="preserve"> </w:t>
      </w:r>
      <w:r w:rsidRPr="005E53F7">
        <w:rPr>
          <w:rFonts w:ascii="Calibri" w:hAnsi="Calibri" w:cs="Calibri"/>
          <w:b/>
          <w:szCs w:val="24"/>
        </w:rPr>
        <w:t xml:space="preserve">procesu posuzování výzev </w:t>
      </w:r>
      <w:r w:rsidR="00852BB5" w:rsidRPr="005E53F7">
        <w:rPr>
          <w:rFonts w:ascii="Calibri" w:hAnsi="Calibri" w:cs="Calibri"/>
          <w:b/>
          <w:szCs w:val="24"/>
        </w:rPr>
        <w:t>k</w:t>
      </w:r>
      <w:r w:rsidRPr="005E53F7">
        <w:rPr>
          <w:rFonts w:ascii="Calibri" w:hAnsi="Calibri" w:cs="Calibri"/>
          <w:b/>
          <w:szCs w:val="24"/>
        </w:rPr>
        <w:t xml:space="preserve"> vydání majetku značné povinnosti. Pro uzavření dohody o vydání majetku stanovil pouze šestiměsíční lhůtu. </w:t>
      </w:r>
      <w:r w:rsidR="00852BB5" w:rsidRPr="005E53F7">
        <w:rPr>
          <w:rFonts w:ascii="Calibri" w:hAnsi="Calibri" w:cs="Calibri"/>
          <w:szCs w:val="24"/>
        </w:rPr>
        <w:t>SPÚ k</w:t>
      </w:r>
      <w:r w:rsidRPr="005E53F7">
        <w:rPr>
          <w:rFonts w:ascii="Calibri" w:hAnsi="Calibri" w:cs="Calibri"/>
          <w:szCs w:val="24"/>
        </w:rPr>
        <w:t>e dni 3</w:t>
      </w:r>
      <w:r w:rsidR="00CA4F51" w:rsidRPr="005E53F7">
        <w:rPr>
          <w:rFonts w:ascii="Calibri" w:hAnsi="Calibri" w:cs="Calibri"/>
          <w:szCs w:val="24"/>
        </w:rPr>
        <w:t>0. 4. 2015</w:t>
      </w:r>
      <w:r w:rsidR="00852BB5" w:rsidRPr="005E53F7">
        <w:rPr>
          <w:rFonts w:ascii="Calibri" w:hAnsi="Calibri" w:cs="Calibri"/>
          <w:szCs w:val="24"/>
        </w:rPr>
        <w:t xml:space="preserve"> nedodržel tuto šestiměsíční lhůtu</w:t>
      </w:r>
      <w:r w:rsidRPr="005E53F7">
        <w:rPr>
          <w:rFonts w:ascii="Calibri" w:hAnsi="Calibri" w:cs="Calibri"/>
          <w:szCs w:val="24"/>
        </w:rPr>
        <w:t xml:space="preserve"> u celkem </w:t>
      </w:r>
      <w:r w:rsidR="00852BB5" w:rsidRPr="005E53F7">
        <w:rPr>
          <w:rFonts w:ascii="Calibri" w:hAnsi="Calibri" w:cs="Calibri"/>
          <w:szCs w:val="24"/>
        </w:rPr>
        <w:t>1</w:t>
      </w:r>
      <w:r w:rsidR="00256B81" w:rsidRPr="005E53F7">
        <w:rPr>
          <w:rFonts w:ascii="Calibri" w:hAnsi="Calibri" w:cs="Calibri"/>
          <w:szCs w:val="24"/>
        </w:rPr>
        <w:t xml:space="preserve"> </w:t>
      </w:r>
      <w:r w:rsidR="00852BB5" w:rsidRPr="005E53F7">
        <w:rPr>
          <w:rFonts w:ascii="Calibri" w:hAnsi="Calibri" w:cs="Calibri"/>
          <w:szCs w:val="24"/>
        </w:rPr>
        <w:t>424 z</w:t>
      </w:r>
      <w:r w:rsidR="00256B81" w:rsidRPr="005E53F7">
        <w:rPr>
          <w:rFonts w:ascii="Calibri" w:hAnsi="Calibri" w:cs="Calibri"/>
          <w:szCs w:val="24"/>
        </w:rPr>
        <w:t xml:space="preserve"> </w:t>
      </w:r>
      <w:r w:rsidR="00852BB5" w:rsidRPr="005E53F7">
        <w:rPr>
          <w:rFonts w:ascii="Calibri" w:hAnsi="Calibri" w:cs="Calibri"/>
          <w:szCs w:val="24"/>
        </w:rPr>
        <w:t>3</w:t>
      </w:r>
      <w:r w:rsidR="00256B81" w:rsidRPr="005E53F7">
        <w:rPr>
          <w:rFonts w:ascii="Calibri" w:hAnsi="Calibri" w:cs="Calibri"/>
          <w:szCs w:val="24"/>
        </w:rPr>
        <w:t xml:space="preserve"> </w:t>
      </w:r>
      <w:r w:rsidR="00852BB5" w:rsidRPr="005E53F7">
        <w:rPr>
          <w:rFonts w:ascii="Calibri" w:hAnsi="Calibri" w:cs="Calibri"/>
          <w:szCs w:val="24"/>
        </w:rPr>
        <w:t>404 výzev k</w:t>
      </w:r>
      <w:r w:rsidR="00256B81" w:rsidRPr="005E53F7">
        <w:rPr>
          <w:rFonts w:ascii="Calibri" w:hAnsi="Calibri" w:cs="Calibri"/>
          <w:szCs w:val="24"/>
        </w:rPr>
        <w:t xml:space="preserve"> </w:t>
      </w:r>
      <w:r w:rsidR="00852BB5" w:rsidRPr="005E53F7">
        <w:rPr>
          <w:rFonts w:ascii="Calibri" w:hAnsi="Calibri" w:cs="Calibri"/>
          <w:szCs w:val="24"/>
        </w:rPr>
        <w:t>vydání majetku</w:t>
      </w:r>
      <w:r w:rsidR="005239FA" w:rsidRPr="005E53F7">
        <w:rPr>
          <w:rFonts w:ascii="Calibri" w:hAnsi="Calibri" w:cs="Calibri"/>
          <w:szCs w:val="24"/>
        </w:rPr>
        <w:t>.</w:t>
      </w:r>
    </w:p>
    <w:p w:rsidR="005E53F7" w:rsidRPr="005E53F7" w:rsidRDefault="005E53F7" w:rsidP="001C5F4E">
      <w:pPr>
        <w:spacing w:line="264" w:lineRule="auto"/>
        <w:rPr>
          <w:rFonts w:ascii="Calibri" w:hAnsi="Calibri" w:cs="Calibri"/>
          <w:szCs w:val="24"/>
        </w:rPr>
      </w:pPr>
    </w:p>
    <w:p w:rsidR="00852BB5" w:rsidRDefault="00852BB5" w:rsidP="001C5F4E">
      <w:pPr>
        <w:spacing w:line="264" w:lineRule="auto"/>
        <w:rPr>
          <w:rFonts w:ascii="Calibri" w:hAnsi="Calibri" w:cs="Calibri"/>
          <w:szCs w:val="24"/>
        </w:rPr>
      </w:pPr>
      <w:r w:rsidRPr="005E53F7">
        <w:rPr>
          <w:rFonts w:ascii="Calibri" w:hAnsi="Calibri" w:cs="Calibri"/>
          <w:b/>
          <w:szCs w:val="24"/>
        </w:rPr>
        <w:t>5.</w:t>
      </w:r>
      <w:r w:rsidR="005E53F7">
        <w:rPr>
          <w:rFonts w:ascii="Calibri" w:hAnsi="Calibri" w:cs="Calibri"/>
          <w:b/>
          <w:szCs w:val="24"/>
        </w:rPr>
        <w:t xml:space="preserve"> </w:t>
      </w:r>
      <w:r w:rsidRPr="005E53F7">
        <w:rPr>
          <w:rFonts w:ascii="Calibri" w:hAnsi="Calibri" w:cs="Calibri"/>
          <w:szCs w:val="24"/>
        </w:rPr>
        <w:t>NKÚ prověřil hospodaření SPÚ s</w:t>
      </w:r>
      <w:r w:rsidR="00256B81" w:rsidRPr="005E53F7">
        <w:rPr>
          <w:rFonts w:ascii="Calibri" w:hAnsi="Calibri" w:cs="Calibri"/>
          <w:szCs w:val="24"/>
        </w:rPr>
        <w:t xml:space="preserve"> </w:t>
      </w:r>
      <w:r w:rsidRPr="005E53F7">
        <w:rPr>
          <w:rFonts w:ascii="Calibri" w:hAnsi="Calibri" w:cs="Calibri"/>
          <w:szCs w:val="24"/>
        </w:rPr>
        <w:t>majetkem státu v</w:t>
      </w:r>
      <w:r w:rsidR="00256B81" w:rsidRPr="005E53F7">
        <w:rPr>
          <w:rFonts w:ascii="Calibri" w:hAnsi="Calibri" w:cs="Calibri"/>
          <w:szCs w:val="24"/>
        </w:rPr>
        <w:t xml:space="preserve"> </w:t>
      </w:r>
      <w:r w:rsidRPr="005E53F7">
        <w:rPr>
          <w:rFonts w:ascii="Calibri" w:hAnsi="Calibri" w:cs="Calibri"/>
          <w:szCs w:val="24"/>
        </w:rPr>
        <w:t>oblasti nemovitého majetku, nákladů na software, ostatní služby, opravy a udržování a autoprovoz.</w:t>
      </w:r>
      <w:r w:rsidRPr="005E53F7">
        <w:rPr>
          <w:rFonts w:ascii="Calibri" w:hAnsi="Calibri" w:cs="Calibri"/>
          <w:b/>
          <w:szCs w:val="24"/>
        </w:rPr>
        <w:t xml:space="preserve"> Závažné nedostatky NKÚ shledal v</w:t>
      </w:r>
      <w:r w:rsidR="00256B81" w:rsidRPr="005E53F7">
        <w:rPr>
          <w:rFonts w:ascii="Calibri" w:hAnsi="Calibri" w:cs="Calibri"/>
          <w:b/>
          <w:szCs w:val="24"/>
        </w:rPr>
        <w:t xml:space="preserve"> </w:t>
      </w:r>
      <w:r w:rsidRPr="005E53F7">
        <w:rPr>
          <w:rFonts w:ascii="Calibri" w:hAnsi="Calibri" w:cs="Calibri"/>
          <w:b/>
          <w:szCs w:val="24"/>
        </w:rPr>
        <w:t>oblasti autoprovozu. SPÚ poskytoval zaměstnancům</w:t>
      </w:r>
      <w:r w:rsidR="001D5EAE" w:rsidRPr="005E53F7">
        <w:rPr>
          <w:rFonts w:ascii="Calibri" w:hAnsi="Calibri" w:cs="Calibri"/>
          <w:b/>
          <w:szCs w:val="24"/>
        </w:rPr>
        <w:t xml:space="preserve"> v</w:t>
      </w:r>
      <w:r w:rsidR="00256B81" w:rsidRPr="005E53F7">
        <w:rPr>
          <w:rFonts w:ascii="Calibri" w:hAnsi="Calibri" w:cs="Calibri"/>
          <w:b/>
          <w:szCs w:val="24"/>
        </w:rPr>
        <w:t xml:space="preserve"> </w:t>
      </w:r>
      <w:r w:rsidR="001D5EAE" w:rsidRPr="005E53F7">
        <w:rPr>
          <w:rFonts w:ascii="Calibri" w:hAnsi="Calibri" w:cs="Calibri"/>
          <w:b/>
          <w:szCs w:val="24"/>
        </w:rPr>
        <w:t>rozporu se zákonem č.</w:t>
      </w:r>
      <w:r w:rsidR="009C000B" w:rsidRPr="005E53F7">
        <w:rPr>
          <w:rFonts w:ascii="Calibri" w:hAnsi="Calibri" w:cs="Calibri"/>
          <w:b/>
          <w:szCs w:val="24"/>
        </w:rPr>
        <w:t> </w:t>
      </w:r>
      <w:r w:rsidR="001D5EAE" w:rsidRPr="005E53F7">
        <w:rPr>
          <w:rFonts w:ascii="Calibri" w:hAnsi="Calibri" w:cs="Calibri"/>
          <w:b/>
          <w:szCs w:val="24"/>
        </w:rPr>
        <w:t>219/2000 Sb.</w:t>
      </w:r>
      <w:r w:rsidR="001D5EAE" w:rsidRPr="005E53F7">
        <w:rPr>
          <w:rStyle w:val="Znakapoznpodarou"/>
          <w:rFonts w:ascii="Calibri" w:hAnsi="Calibri" w:cs="Calibri"/>
          <w:b/>
          <w:szCs w:val="24"/>
        </w:rPr>
        <w:footnoteReference w:id="7"/>
      </w:r>
      <w:r w:rsidRPr="005E53F7">
        <w:rPr>
          <w:rFonts w:ascii="Calibri" w:hAnsi="Calibri" w:cs="Calibri"/>
          <w:b/>
          <w:szCs w:val="24"/>
        </w:rPr>
        <w:t xml:space="preserve"> bezúplatně služební vozidla k</w:t>
      </w:r>
      <w:r w:rsidR="00256B81" w:rsidRPr="005E53F7">
        <w:rPr>
          <w:rFonts w:ascii="Calibri" w:hAnsi="Calibri" w:cs="Calibri"/>
          <w:b/>
          <w:szCs w:val="24"/>
        </w:rPr>
        <w:t xml:space="preserve"> </w:t>
      </w:r>
      <w:r w:rsidRPr="005E53F7">
        <w:rPr>
          <w:rFonts w:ascii="Calibri" w:hAnsi="Calibri" w:cs="Calibri"/>
          <w:b/>
          <w:szCs w:val="24"/>
        </w:rPr>
        <w:t xml:space="preserve">soukromým účelům a hradil v plné výši opravy a udržování kontrolovaného vzorku 43 služebních vozidel, ačkoliv </w:t>
      </w:r>
      <w:r w:rsidR="00650ADD" w:rsidRPr="005E53F7">
        <w:rPr>
          <w:rFonts w:ascii="Calibri" w:hAnsi="Calibri" w:cs="Calibri"/>
          <w:b/>
          <w:szCs w:val="24"/>
        </w:rPr>
        <w:t>zaměstnanci SPÚ v</w:t>
      </w:r>
      <w:r w:rsidR="00256B81" w:rsidRPr="005E53F7">
        <w:rPr>
          <w:rFonts w:ascii="Calibri" w:hAnsi="Calibri" w:cs="Calibri"/>
          <w:b/>
          <w:szCs w:val="24"/>
        </w:rPr>
        <w:t xml:space="preserve"> </w:t>
      </w:r>
      <w:r w:rsidR="00650ADD" w:rsidRPr="005E53F7">
        <w:rPr>
          <w:rFonts w:ascii="Calibri" w:hAnsi="Calibri" w:cs="Calibri"/>
          <w:b/>
          <w:szCs w:val="24"/>
        </w:rPr>
        <w:t>letech 2013 a</w:t>
      </w:r>
      <w:r w:rsidR="00256B81" w:rsidRPr="005E53F7">
        <w:rPr>
          <w:rFonts w:ascii="Calibri" w:hAnsi="Calibri" w:cs="Calibri"/>
          <w:b/>
          <w:szCs w:val="24"/>
        </w:rPr>
        <w:t xml:space="preserve"> </w:t>
      </w:r>
      <w:r w:rsidRPr="005E53F7">
        <w:rPr>
          <w:rFonts w:ascii="Calibri" w:hAnsi="Calibri" w:cs="Calibri"/>
          <w:b/>
          <w:szCs w:val="24"/>
        </w:rPr>
        <w:t>2014 využívali tato služební vozidla z</w:t>
      </w:r>
      <w:r w:rsidR="00256B81" w:rsidRPr="005E53F7">
        <w:rPr>
          <w:rFonts w:ascii="Calibri" w:hAnsi="Calibri" w:cs="Calibri"/>
          <w:b/>
          <w:szCs w:val="24"/>
        </w:rPr>
        <w:t xml:space="preserve"> </w:t>
      </w:r>
      <w:r w:rsidRPr="005E53F7">
        <w:rPr>
          <w:rFonts w:ascii="Calibri" w:hAnsi="Calibri" w:cs="Calibri"/>
          <w:b/>
          <w:szCs w:val="24"/>
        </w:rPr>
        <w:t xml:space="preserve">36 % pro soukromé účely. </w:t>
      </w:r>
      <w:r w:rsidRPr="005E53F7">
        <w:rPr>
          <w:rFonts w:ascii="Calibri" w:hAnsi="Calibri" w:cs="Calibri"/>
          <w:szCs w:val="24"/>
        </w:rPr>
        <w:t>SPÚ rovněž nezabránil tomu, aby jeho zaměstnanci vykazovali služební jízdy v</w:t>
      </w:r>
      <w:r w:rsidR="00256B81" w:rsidRPr="005E53F7">
        <w:rPr>
          <w:rFonts w:ascii="Calibri" w:hAnsi="Calibri" w:cs="Calibri"/>
          <w:szCs w:val="24"/>
        </w:rPr>
        <w:t xml:space="preserve"> </w:t>
      </w:r>
      <w:r w:rsidRPr="005E53F7">
        <w:rPr>
          <w:rFonts w:ascii="Calibri" w:hAnsi="Calibri" w:cs="Calibri"/>
          <w:szCs w:val="24"/>
        </w:rPr>
        <w:t>době, kdy čerpali řádnou dovolenou.</w:t>
      </w:r>
    </w:p>
    <w:p w:rsidR="005E53F7" w:rsidRPr="005E53F7" w:rsidRDefault="005E53F7" w:rsidP="001C5F4E">
      <w:pPr>
        <w:spacing w:line="264" w:lineRule="auto"/>
        <w:rPr>
          <w:rFonts w:ascii="Calibri" w:hAnsi="Calibri" w:cs="Calibri"/>
          <w:szCs w:val="24"/>
        </w:rPr>
      </w:pPr>
    </w:p>
    <w:p w:rsidR="00852BB5" w:rsidRPr="005E53F7" w:rsidRDefault="00852BB5" w:rsidP="001C5F4E">
      <w:pPr>
        <w:spacing w:line="264" w:lineRule="auto"/>
        <w:rPr>
          <w:rFonts w:ascii="Calibri" w:hAnsi="Calibri" w:cs="Calibri"/>
          <w:szCs w:val="24"/>
        </w:rPr>
      </w:pPr>
      <w:r w:rsidRPr="005E53F7">
        <w:rPr>
          <w:rFonts w:ascii="Calibri" w:hAnsi="Calibri" w:cs="Calibri"/>
          <w:b/>
          <w:szCs w:val="24"/>
        </w:rPr>
        <w:t>6.</w:t>
      </w:r>
      <w:r w:rsidR="005E53F7">
        <w:rPr>
          <w:rFonts w:ascii="Calibri" w:hAnsi="Calibri" w:cs="Calibri"/>
          <w:b/>
          <w:szCs w:val="24"/>
        </w:rPr>
        <w:t xml:space="preserve"> </w:t>
      </w:r>
      <w:r w:rsidR="00764C17" w:rsidRPr="005E53F7">
        <w:rPr>
          <w:rFonts w:ascii="Calibri" w:hAnsi="Calibri" w:cs="Calibri"/>
          <w:b/>
          <w:szCs w:val="24"/>
        </w:rPr>
        <w:t>PF</w:t>
      </w:r>
      <w:r w:rsidR="008A72AD">
        <w:rPr>
          <w:rFonts w:ascii="Calibri" w:hAnsi="Calibri" w:cs="Calibri"/>
          <w:b/>
          <w:szCs w:val="24"/>
        </w:rPr>
        <w:t>,</w:t>
      </w:r>
      <w:r w:rsidR="00764C17" w:rsidRPr="005E53F7">
        <w:rPr>
          <w:rFonts w:ascii="Calibri" w:hAnsi="Calibri" w:cs="Calibri"/>
          <w:b/>
          <w:szCs w:val="24"/>
        </w:rPr>
        <w:t xml:space="preserve"> resp. SPÚ</w:t>
      </w:r>
      <w:r w:rsidR="008A72AD">
        <w:rPr>
          <w:rFonts w:ascii="Calibri" w:hAnsi="Calibri" w:cs="Calibri"/>
          <w:b/>
          <w:szCs w:val="24"/>
        </w:rPr>
        <w:t>,</w:t>
      </w:r>
      <w:r w:rsidR="00764C17" w:rsidRPr="005E53F7">
        <w:rPr>
          <w:rFonts w:ascii="Calibri" w:hAnsi="Calibri" w:cs="Calibri"/>
          <w:b/>
          <w:szCs w:val="24"/>
        </w:rPr>
        <w:t xml:space="preserve"> převedl na třetí osoby podle zákona č. 95/1999 Sb.</w:t>
      </w:r>
      <w:r w:rsidR="00764C17" w:rsidRPr="005E53F7">
        <w:rPr>
          <w:rStyle w:val="Znakapoznpodarou"/>
          <w:rFonts w:ascii="Calibri" w:hAnsi="Calibri" w:cs="Calibri"/>
          <w:b/>
          <w:szCs w:val="24"/>
        </w:rPr>
        <w:footnoteReference w:id="8"/>
      </w:r>
      <w:r w:rsidR="00764C17" w:rsidRPr="005E53F7">
        <w:rPr>
          <w:rFonts w:ascii="Calibri" w:hAnsi="Calibri" w:cs="Calibri"/>
          <w:b/>
          <w:szCs w:val="24"/>
        </w:rPr>
        <w:t>, zákona č. 503/2012</w:t>
      </w:r>
      <w:r w:rsidR="00F6199D" w:rsidRPr="005E53F7">
        <w:rPr>
          <w:rFonts w:ascii="Calibri" w:hAnsi="Calibri" w:cs="Calibri"/>
          <w:b/>
          <w:szCs w:val="24"/>
        </w:rPr>
        <w:t> </w:t>
      </w:r>
      <w:r w:rsidR="00764C17" w:rsidRPr="005E53F7">
        <w:rPr>
          <w:rFonts w:ascii="Calibri" w:hAnsi="Calibri" w:cs="Calibri"/>
          <w:b/>
          <w:szCs w:val="24"/>
        </w:rPr>
        <w:t>Sb. a zákona č. 229/1991 Sb. v</w:t>
      </w:r>
      <w:r w:rsidR="00256B81" w:rsidRPr="005E53F7">
        <w:rPr>
          <w:rFonts w:ascii="Calibri" w:hAnsi="Calibri" w:cs="Calibri"/>
          <w:b/>
          <w:szCs w:val="24"/>
        </w:rPr>
        <w:t xml:space="preserve"> </w:t>
      </w:r>
      <w:r w:rsidR="00764C17" w:rsidRPr="005E53F7">
        <w:rPr>
          <w:rFonts w:ascii="Calibri" w:hAnsi="Calibri" w:cs="Calibri"/>
          <w:b/>
          <w:szCs w:val="24"/>
        </w:rPr>
        <w:t>letech 199</w:t>
      </w:r>
      <w:r w:rsidR="00CA4F51" w:rsidRPr="005E53F7">
        <w:rPr>
          <w:rFonts w:ascii="Calibri" w:hAnsi="Calibri" w:cs="Calibri"/>
          <w:b/>
          <w:szCs w:val="24"/>
        </w:rPr>
        <w:t>3</w:t>
      </w:r>
      <w:r w:rsidR="00764C17" w:rsidRPr="005E53F7">
        <w:rPr>
          <w:rFonts w:ascii="Calibri" w:hAnsi="Calibri" w:cs="Calibri"/>
          <w:b/>
          <w:szCs w:val="24"/>
        </w:rPr>
        <w:t xml:space="preserve"> až 2014 celkem 1 032</w:t>
      </w:r>
      <w:r w:rsidR="00F6199D" w:rsidRPr="005E53F7">
        <w:rPr>
          <w:rFonts w:ascii="Calibri" w:hAnsi="Calibri" w:cs="Calibri"/>
          <w:b/>
          <w:szCs w:val="24"/>
        </w:rPr>
        <w:t> </w:t>
      </w:r>
      <w:r w:rsidR="00764C17" w:rsidRPr="005E53F7">
        <w:rPr>
          <w:rFonts w:ascii="Calibri" w:hAnsi="Calibri" w:cs="Calibri"/>
          <w:b/>
          <w:szCs w:val="24"/>
        </w:rPr>
        <w:t>388</w:t>
      </w:r>
      <w:r w:rsidR="00F6199D" w:rsidRPr="005E53F7">
        <w:rPr>
          <w:rFonts w:ascii="Calibri" w:hAnsi="Calibri" w:cs="Calibri"/>
          <w:b/>
          <w:szCs w:val="24"/>
        </w:rPr>
        <w:t> </w:t>
      </w:r>
      <w:r w:rsidR="00764C17" w:rsidRPr="005E53F7">
        <w:rPr>
          <w:rFonts w:ascii="Calibri" w:hAnsi="Calibri" w:cs="Calibri"/>
          <w:b/>
          <w:szCs w:val="24"/>
        </w:rPr>
        <w:t>pozemků o celkové výměře 662</w:t>
      </w:r>
      <w:r w:rsidR="00256B81" w:rsidRPr="005E53F7">
        <w:rPr>
          <w:rFonts w:ascii="Calibri" w:hAnsi="Calibri" w:cs="Calibri"/>
          <w:b/>
          <w:szCs w:val="24"/>
        </w:rPr>
        <w:t xml:space="preserve"> </w:t>
      </w:r>
      <w:r w:rsidR="00764C17" w:rsidRPr="005E53F7">
        <w:rPr>
          <w:rFonts w:ascii="Calibri" w:hAnsi="Calibri" w:cs="Calibri"/>
          <w:b/>
          <w:szCs w:val="24"/>
        </w:rPr>
        <w:t xml:space="preserve">522 ha. </w:t>
      </w:r>
      <w:r w:rsidR="00764C17" w:rsidRPr="005E53F7">
        <w:rPr>
          <w:rFonts w:ascii="Calibri" w:hAnsi="Calibri" w:cs="Calibri"/>
          <w:szCs w:val="24"/>
        </w:rPr>
        <w:t>V</w:t>
      </w:r>
      <w:r w:rsidR="00256B81" w:rsidRPr="005E53F7">
        <w:rPr>
          <w:rFonts w:ascii="Calibri" w:hAnsi="Calibri" w:cs="Calibri"/>
          <w:szCs w:val="24"/>
        </w:rPr>
        <w:t xml:space="preserve"> </w:t>
      </w:r>
      <w:r w:rsidR="00764C17" w:rsidRPr="005E53F7">
        <w:rPr>
          <w:rFonts w:ascii="Calibri" w:hAnsi="Calibri" w:cs="Calibri"/>
          <w:szCs w:val="24"/>
        </w:rPr>
        <w:t>současnosti je podle nařízení vlády č.</w:t>
      </w:r>
      <w:r w:rsidR="00F6199D" w:rsidRPr="005E53F7">
        <w:rPr>
          <w:rFonts w:ascii="Calibri" w:hAnsi="Calibri" w:cs="Calibri"/>
          <w:szCs w:val="24"/>
        </w:rPr>
        <w:t> </w:t>
      </w:r>
      <w:r w:rsidR="00764C17" w:rsidRPr="005E53F7">
        <w:rPr>
          <w:rFonts w:ascii="Calibri" w:hAnsi="Calibri" w:cs="Calibri"/>
          <w:szCs w:val="24"/>
        </w:rPr>
        <w:t>218/2014 Sb.</w:t>
      </w:r>
      <w:r w:rsidR="00BC7503" w:rsidRPr="005E53F7">
        <w:rPr>
          <w:rStyle w:val="Znakapoznpodarou"/>
          <w:rFonts w:ascii="Calibri" w:hAnsi="Calibri" w:cs="Calibri"/>
          <w:szCs w:val="24"/>
        </w:rPr>
        <w:footnoteReference w:id="9"/>
      </w:r>
      <w:r w:rsidR="00764C17" w:rsidRPr="005E53F7">
        <w:rPr>
          <w:rFonts w:ascii="Calibri" w:hAnsi="Calibri" w:cs="Calibri"/>
          <w:szCs w:val="24"/>
        </w:rPr>
        <w:t xml:space="preserve"> v</w:t>
      </w:r>
      <w:r w:rsidR="008A72AD">
        <w:rPr>
          <w:rFonts w:ascii="Calibri" w:hAnsi="Calibri" w:cs="Calibri"/>
          <w:szCs w:val="24"/>
        </w:rPr>
        <w:t> </w:t>
      </w:r>
      <w:r w:rsidR="00764C17" w:rsidRPr="005E53F7">
        <w:rPr>
          <w:rFonts w:ascii="Calibri" w:hAnsi="Calibri" w:cs="Calibri"/>
          <w:szCs w:val="24"/>
        </w:rPr>
        <w:t>rezervě státní půdy k</w:t>
      </w:r>
      <w:r w:rsidR="00256B81" w:rsidRPr="005E53F7">
        <w:rPr>
          <w:rFonts w:ascii="Calibri" w:hAnsi="Calibri" w:cs="Calibri"/>
          <w:szCs w:val="24"/>
        </w:rPr>
        <w:t xml:space="preserve"> </w:t>
      </w:r>
      <w:r w:rsidR="00764C17" w:rsidRPr="005E53F7">
        <w:rPr>
          <w:rFonts w:ascii="Calibri" w:hAnsi="Calibri" w:cs="Calibri"/>
          <w:szCs w:val="24"/>
        </w:rPr>
        <w:t>31. 12. 2014 blokováno pro účely uskutečnění rozvojových programů státu celkem 550</w:t>
      </w:r>
      <w:r w:rsidR="00256B81" w:rsidRPr="005E53F7">
        <w:rPr>
          <w:rFonts w:ascii="Calibri" w:hAnsi="Calibri" w:cs="Calibri"/>
          <w:szCs w:val="24"/>
        </w:rPr>
        <w:t xml:space="preserve"> </w:t>
      </w:r>
      <w:r w:rsidR="00764C17" w:rsidRPr="005E53F7">
        <w:rPr>
          <w:rFonts w:ascii="Calibri" w:hAnsi="Calibri" w:cs="Calibri"/>
          <w:szCs w:val="24"/>
        </w:rPr>
        <w:t>pozemků o výměře 24</w:t>
      </w:r>
      <w:r w:rsidR="008D075A" w:rsidRPr="005E53F7">
        <w:rPr>
          <w:rFonts w:ascii="Calibri" w:hAnsi="Calibri" w:cs="Calibri"/>
          <w:szCs w:val="24"/>
        </w:rPr>
        <w:t>5</w:t>
      </w:r>
      <w:r w:rsidR="00764C17" w:rsidRPr="005E53F7">
        <w:rPr>
          <w:rFonts w:ascii="Calibri" w:hAnsi="Calibri" w:cs="Calibri"/>
          <w:szCs w:val="24"/>
        </w:rPr>
        <w:t xml:space="preserve"> ha. Dále SPÚ hospodaří s</w:t>
      </w:r>
      <w:r w:rsidR="00F6199D" w:rsidRPr="005E53F7">
        <w:rPr>
          <w:rFonts w:ascii="Calibri" w:hAnsi="Calibri" w:cs="Calibri"/>
          <w:szCs w:val="24"/>
        </w:rPr>
        <w:t> </w:t>
      </w:r>
      <w:r w:rsidR="00764C17" w:rsidRPr="005E53F7">
        <w:rPr>
          <w:rFonts w:ascii="Calibri" w:hAnsi="Calibri" w:cs="Calibri"/>
          <w:szCs w:val="24"/>
        </w:rPr>
        <w:t>celkem</w:t>
      </w:r>
      <w:r w:rsidR="00256B81" w:rsidRPr="005E53F7">
        <w:rPr>
          <w:rFonts w:ascii="Calibri" w:hAnsi="Calibri" w:cs="Calibri"/>
          <w:szCs w:val="24"/>
        </w:rPr>
        <w:t xml:space="preserve"> </w:t>
      </w:r>
      <w:r w:rsidR="00764C17" w:rsidRPr="005E53F7">
        <w:rPr>
          <w:rFonts w:ascii="Calibri" w:hAnsi="Calibri" w:cs="Calibri"/>
          <w:szCs w:val="24"/>
        </w:rPr>
        <w:t>345</w:t>
      </w:r>
      <w:r w:rsidR="00256B81" w:rsidRPr="005E53F7">
        <w:rPr>
          <w:rFonts w:ascii="Calibri" w:hAnsi="Calibri" w:cs="Calibri"/>
          <w:szCs w:val="24"/>
        </w:rPr>
        <w:t xml:space="preserve"> </w:t>
      </w:r>
      <w:r w:rsidR="00764C17" w:rsidRPr="005E53F7">
        <w:rPr>
          <w:rFonts w:ascii="Calibri" w:hAnsi="Calibri" w:cs="Calibri"/>
          <w:szCs w:val="24"/>
        </w:rPr>
        <w:t>513 pozemky o výměře 86</w:t>
      </w:r>
      <w:r w:rsidR="00256B81" w:rsidRPr="005E53F7">
        <w:rPr>
          <w:rFonts w:ascii="Calibri" w:hAnsi="Calibri" w:cs="Calibri"/>
          <w:szCs w:val="24"/>
        </w:rPr>
        <w:t xml:space="preserve"> </w:t>
      </w:r>
      <w:r w:rsidR="00764C17" w:rsidRPr="005E53F7">
        <w:rPr>
          <w:rFonts w:ascii="Calibri" w:hAnsi="Calibri" w:cs="Calibri"/>
          <w:szCs w:val="24"/>
        </w:rPr>
        <w:t>974 ha, které nejsou k</w:t>
      </w:r>
      <w:r w:rsidR="00256B81" w:rsidRPr="005E53F7">
        <w:rPr>
          <w:rFonts w:ascii="Calibri" w:hAnsi="Calibri" w:cs="Calibri"/>
          <w:szCs w:val="24"/>
        </w:rPr>
        <w:t xml:space="preserve"> </w:t>
      </w:r>
      <w:r w:rsidR="00764C17" w:rsidRPr="005E53F7">
        <w:rPr>
          <w:rFonts w:ascii="Calibri" w:hAnsi="Calibri" w:cs="Calibri"/>
          <w:szCs w:val="24"/>
        </w:rPr>
        <w:t>datu 31. 12. 2014 dotčeny žádnou restitucí nebo jinou blokací bránící převodu či přechodu pozemku.</w:t>
      </w:r>
    </w:p>
    <w:p w:rsidR="00F6199D" w:rsidRDefault="00F6199D" w:rsidP="005E53F7">
      <w:pPr>
        <w:spacing w:line="264" w:lineRule="auto"/>
        <w:rPr>
          <w:rFonts w:ascii="Calibri" w:hAnsi="Calibri" w:cs="Calibri"/>
          <w:szCs w:val="24"/>
        </w:rPr>
      </w:pPr>
    </w:p>
    <w:p w:rsidR="007D711D" w:rsidRPr="007D711D" w:rsidRDefault="007D711D" w:rsidP="005E53F7">
      <w:pPr>
        <w:spacing w:line="264" w:lineRule="auto"/>
        <w:rPr>
          <w:rFonts w:ascii="Calibri" w:hAnsi="Calibri" w:cs="Calibri"/>
          <w:szCs w:val="24"/>
        </w:rPr>
      </w:pPr>
    </w:p>
    <w:p w:rsidR="00C86BE0" w:rsidRDefault="005E53F7" w:rsidP="00CA6C58">
      <w:pPr>
        <w:pStyle w:val="Nadpis1"/>
        <w:numPr>
          <w:ilvl w:val="0"/>
          <w:numId w:val="0"/>
        </w:numPr>
        <w:spacing w:before="0"/>
        <w:jc w:val="center"/>
        <w:rPr>
          <w:sz w:val="28"/>
        </w:rPr>
      </w:pPr>
      <w:r>
        <w:rPr>
          <w:sz w:val="28"/>
        </w:rPr>
        <w:t xml:space="preserve">III. </w:t>
      </w:r>
      <w:r w:rsidR="00C86BE0" w:rsidRPr="008F6E36">
        <w:rPr>
          <w:sz w:val="28"/>
        </w:rPr>
        <w:t>Vyhodnocení</w:t>
      </w:r>
    </w:p>
    <w:p w:rsidR="00F6199D" w:rsidRPr="00F6199D" w:rsidRDefault="00F6199D" w:rsidP="00F6199D"/>
    <w:p w:rsidR="008F6E36" w:rsidRDefault="008F6E36" w:rsidP="00F6199D">
      <w:r>
        <w:t>V</w:t>
      </w:r>
      <w:r w:rsidR="00256B81">
        <w:t xml:space="preserve"> </w:t>
      </w:r>
      <w:r>
        <w:t>rámci této kontrolní akce nezjistil NKÚ s</w:t>
      </w:r>
      <w:r w:rsidR="00256B81">
        <w:t xml:space="preserve"> </w:t>
      </w:r>
      <w:r>
        <w:t>výjimkou autoprovozu SPÚ žádná významná pochybení kontrolovaných osob. Skutečnosti nasvědčující</w:t>
      </w:r>
      <w:r w:rsidR="00256B81">
        <w:t xml:space="preserve"> </w:t>
      </w:r>
      <w:r>
        <w:t>porušení rozpočtové kázně SPÚ oznámil NKÚ místně příslušnému finančnímu úřadu.</w:t>
      </w:r>
    </w:p>
    <w:p w:rsidR="008A72AD" w:rsidRDefault="008A72AD" w:rsidP="00F6199D"/>
    <w:p w:rsidR="008F6E36" w:rsidRPr="00CA4F51" w:rsidRDefault="00CA4F51" w:rsidP="00F6199D">
      <w:r w:rsidRPr="00CA4F51">
        <w:rPr>
          <w:rFonts w:cstheme="minorHAnsi"/>
        </w:rPr>
        <w:t>NKÚ ve svých kontrolních závěrech opakovaně upozorňuje na negativní dopady stanovení krátké nebo dokonce žádné legisvakanční lhůty v</w:t>
      </w:r>
      <w:r w:rsidR="00256B81">
        <w:rPr>
          <w:rFonts w:cstheme="minorHAnsi"/>
        </w:rPr>
        <w:t xml:space="preserve"> </w:t>
      </w:r>
      <w:r w:rsidR="00343719">
        <w:rPr>
          <w:rFonts w:cstheme="minorHAnsi"/>
        </w:rPr>
        <w:t>legislativním</w:t>
      </w:r>
      <w:r w:rsidRPr="00CA4F51">
        <w:rPr>
          <w:rFonts w:cstheme="minorHAnsi"/>
        </w:rPr>
        <w:t xml:space="preserve"> procesu.</w:t>
      </w:r>
    </w:p>
    <w:p w:rsidR="005239FA" w:rsidRDefault="005239FA" w:rsidP="00F6199D"/>
    <w:p w:rsidR="005E53F7" w:rsidRDefault="005E53F7">
      <w:pPr>
        <w:spacing w:after="200" w:line="276" w:lineRule="auto"/>
        <w:jc w:val="left"/>
        <w:rPr>
          <w:rFonts w:eastAsiaTheme="majorEastAsia" w:cstheme="majorBidi"/>
          <w:b/>
          <w:bCs/>
          <w:sz w:val="28"/>
          <w:szCs w:val="28"/>
        </w:rPr>
      </w:pPr>
      <w:r>
        <w:rPr>
          <w:sz w:val="28"/>
        </w:rPr>
        <w:br w:type="page"/>
      </w:r>
    </w:p>
    <w:p w:rsidR="00126F93" w:rsidRDefault="005E53F7" w:rsidP="00CA6C58">
      <w:pPr>
        <w:pStyle w:val="Nadpis1"/>
        <w:numPr>
          <w:ilvl w:val="0"/>
          <w:numId w:val="0"/>
        </w:numPr>
        <w:spacing w:before="0"/>
        <w:jc w:val="center"/>
        <w:rPr>
          <w:sz w:val="28"/>
        </w:rPr>
      </w:pPr>
      <w:r>
        <w:rPr>
          <w:sz w:val="28"/>
        </w:rPr>
        <w:lastRenderedPageBreak/>
        <w:t xml:space="preserve">IV. </w:t>
      </w:r>
      <w:r w:rsidR="00126F93" w:rsidRPr="008F6E36">
        <w:rPr>
          <w:sz w:val="28"/>
        </w:rPr>
        <w:t>Podrobné informace ke skutečnostem zjištěným při kontrole</w:t>
      </w:r>
    </w:p>
    <w:p w:rsidR="00F6199D" w:rsidRPr="005E53F7" w:rsidRDefault="00F6199D" w:rsidP="005E53F7">
      <w:pPr>
        <w:spacing w:line="264" w:lineRule="auto"/>
        <w:rPr>
          <w:rFonts w:ascii="Calibri" w:hAnsi="Calibri" w:cs="Calibri"/>
          <w:szCs w:val="24"/>
        </w:rPr>
      </w:pPr>
    </w:p>
    <w:p w:rsidR="00C86BE0" w:rsidRPr="005E53F7" w:rsidRDefault="005E53F7" w:rsidP="005E53F7">
      <w:pPr>
        <w:pStyle w:val="Nadpis2"/>
        <w:numPr>
          <w:ilvl w:val="0"/>
          <w:numId w:val="0"/>
        </w:numPr>
        <w:spacing w:before="0" w:line="264" w:lineRule="auto"/>
        <w:rPr>
          <w:rFonts w:ascii="Calibri" w:hAnsi="Calibri" w:cs="Calibri"/>
          <w:sz w:val="24"/>
          <w:szCs w:val="24"/>
        </w:rPr>
      </w:pPr>
      <w:r>
        <w:rPr>
          <w:rFonts w:ascii="Calibri" w:hAnsi="Calibri" w:cs="Calibri"/>
          <w:sz w:val="24"/>
          <w:szCs w:val="24"/>
        </w:rPr>
        <w:t xml:space="preserve">1. </w:t>
      </w:r>
      <w:r w:rsidR="00852D8B" w:rsidRPr="005E53F7">
        <w:rPr>
          <w:rFonts w:ascii="Calibri" w:hAnsi="Calibri" w:cs="Calibri"/>
          <w:sz w:val="24"/>
          <w:szCs w:val="24"/>
        </w:rPr>
        <w:t>N</w:t>
      </w:r>
      <w:r w:rsidR="00764C17" w:rsidRPr="005E53F7">
        <w:rPr>
          <w:rFonts w:ascii="Calibri" w:hAnsi="Calibri" w:cs="Calibri"/>
          <w:sz w:val="24"/>
          <w:szCs w:val="24"/>
        </w:rPr>
        <w:t>áležitosti vzniku nové organizační složky státu</w:t>
      </w:r>
      <w:r w:rsidR="007B0B1F" w:rsidRPr="005E53F7">
        <w:rPr>
          <w:rFonts w:ascii="Calibri" w:hAnsi="Calibri" w:cs="Calibri"/>
          <w:sz w:val="24"/>
          <w:szCs w:val="24"/>
        </w:rPr>
        <w:t xml:space="preserve"> (SPÚ)</w:t>
      </w:r>
    </w:p>
    <w:p w:rsidR="00F6199D" w:rsidRPr="005E53F7" w:rsidRDefault="00F6199D" w:rsidP="005E53F7">
      <w:pPr>
        <w:spacing w:line="264" w:lineRule="auto"/>
        <w:rPr>
          <w:rFonts w:ascii="Calibri" w:hAnsi="Calibri" w:cs="Calibri"/>
          <w:szCs w:val="24"/>
        </w:rPr>
      </w:pPr>
    </w:p>
    <w:p w:rsidR="007B0B1F" w:rsidRPr="005E53F7" w:rsidRDefault="004C7112" w:rsidP="005E53F7">
      <w:pPr>
        <w:spacing w:line="264" w:lineRule="auto"/>
        <w:rPr>
          <w:rFonts w:ascii="Calibri" w:hAnsi="Calibri" w:cs="Calibri"/>
          <w:szCs w:val="24"/>
        </w:rPr>
      </w:pPr>
      <w:r w:rsidRPr="005E53F7">
        <w:rPr>
          <w:rFonts w:ascii="Calibri" w:hAnsi="Calibri" w:cs="Calibri"/>
          <w:szCs w:val="24"/>
        </w:rPr>
        <w:t>SPÚ splnil všechny povinnosti stanovené zákonem o účetnictví pro vznik nové organizační složky státu.</w:t>
      </w:r>
      <w:r w:rsidR="005239FA" w:rsidRPr="005E53F7">
        <w:rPr>
          <w:rFonts w:ascii="Calibri" w:hAnsi="Calibri" w:cs="Calibri"/>
          <w:szCs w:val="24"/>
        </w:rPr>
        <w:t xml:space="preserve"> S</w:t>
      </w:r>
      <w:r w:rsidRPr="005E53F7">
        <w:rPr>
          <w:rFonts w:ascii="Calibri" w:hAnsi="Calibri" w:cs="Calibri"/>
          <w:szCs w:val="24"/>
        </w:rPr>
        <w:t>estavil zahajovací rozvahu, otevřel účetní knihy a vedl účetnictví ode dne svého vzniku.</w:t>
      </w:r>
    </w:p>
    <w:p w:rsidR="00F6199D" w:rsidRPr="005E53F7" w:rsidRDefault="00F6199D" w:rsidP="005E53F7">
      <w:pPr>
        <w:spacing w:line="264" w:lineRule="auto"/>
        <w:rPr>
          <w:rFonts w:ascii="Calibri" w:hAnsi="Calibri" w:cs="Calibri"/>
          <w:szCs w:val="24"/>
        </w:rPr>
      </w:pPr>
    </w:p>
    <w:p w:rsidR="004C7112" w:rsidRPr="005E53F7" w:rsidRDefault="004C7112" w:rsidP="005E53F7">
      <w:pPr>
        <w:pStyle w:val="rove1"/>
        <w:numPr>
          <w:ilvl w:val="0"/>
          <w:numId w:val="0"/>
        </w:numPr>
        <w:spacing w:after="0" w:line="264" w:lineRule="auto"/>
        <w:rPr>
          <w:rFonts w:ascii="Calibri" w:hAnsi="Calibri" w:cs="Calibri"/>
          <w:b w:val="0"/>
        </w:rPr>
      </w:pPr>
      <w:r w:rsidRPr="005E53F7">
        <w:rPr>
          <w:rFonts w:ascii="Calibri" w:hAnsi="Calibri" w:cs="Calibri"/>
          <w:b w:val="0"/>
        </w:rPr>
        <w:t>V</w:t>
      </w:r>
      <w:r w:rsidR="00256B81" w:rsidRPr="005E53F7">
        <w:rPr>
          <w:rFonts w:ascii="Calibri" w:hAnsi="Calibri" w:cs="Calibri"/>
          <w:b w:val="0"/>
        </w:rPr>
        <w:t xml:space="preserve"> </w:t>
      </w:r>
      <w:r w:rsidRPr="005E53F7">
        <w:rPr>
          <w:rFonts w:ascii="Calibri" w:hAnsi="Calibri" w:cs="Calibri"/>
          <w:b w:val="0"/>
        </w:rPr>
        <w:t>souvislosti s</w:t>
      </w:r>
      <w:r w:rsidR="00256B81" w:rsidRPr="005E53F7">
        <w:rPr>
          <w:rFonts w:ascii="Calibri" w:hAnsi="Calibri" w:cs="Calibri"/>
          <w:b w:val="0"/>
        </w:rPr>
        <w:t xml:space="preserve"> </w:t>
      </w:r>
      <w:r w:rsidRPr="005E53F7">
        <w:rPr>
          <w:rFonts w:ascii="Calibri" w:hAnsi="Calibri" w:cs="Calibri"/>
          <w:b w:val="0"/>
        </w:rPr>
        <w:t>transformací PF</w:t>
      </w:r>
      <w:r w:rsidR="00256B81" w:rsidRPr="005E53F7">
        <w:rPr>
          <w:rFonts w:ascii="Calibri" w:hAnsi="Calibri" w:cs="Calibri"/>
          <w:b w:val="0"/>
        </w:rPr>
        <w:t xml:space="preserve"> </w:t>
      </w:r>
      <w:r w:rsidRPr="005E53F7">
        <w:rPr>
          <w:rFonts w:ascii="Calibri" w:hAnsi="Calibri" w:cs="Calibri"/>
          <w:b w:val="0"/>
        </w:rPr>
        <w:t>na SPÚ došlo v</w:t>
      </w:r>
      <w:r w:rsidR="00256B81" w:rsidRPr="005E53F7">
        <w:rPr>
          <w:rFonts w:ascii="Calibri" w:hAnsi="Calibri" w:cs="Calibri"/>
          <w:b w:val="0"/>
        </w:rPr>
        <w:t xml:space="preserve"> </w:t>
      </w:r>
      <w:r w:rsidRPr="005E53F7">
        <w:rPr>
          <w:rFonts w:ascii="Calibri" w:hAnsi="Calibri" w:cs="Calibri"/>
          <w:b w:val="0"/>
        </w:rPr>
        <w:t>letech 2013 a 2014 ke změně příslušnosti hospodařit s</w:t>
      </w:r>
      <w:r w:rsidR="00256B81" w:rsidRPr="005E53F7">
        <w:rPr>
          <w:rFonts w:ascii="Calibri" w:hAnsi="Calibri" w:cs="Calibri"/>
          <w:b w:val="0"/>
        </w:rPr>
        <w:t xml:space="preserve"> </w:t>
      </w:r>
      <w:r w:rsidRPr="005E53F7">
        <w:rPr>
          <w:rFonts w:ascii="Calibri" w:hAnsi="Calibri" w:cs="Calibri"/>
          <w:b w:val="0"/>
        </w:rPr>
        <w:t>majetkem státu z</w:t>
      </w:r>
      <w:r w:rsidR="00256B81" w:rsidRPr="005E53F7">
        <w:rPr>
          <w:rFonts w:ascii="Calibri" w:hAnsi="Calibri" w:cs="Calibri"/>
          <w:b w:val="0"/>
        </w:rPr>
        <w:t xml:space="preserve"> </w:t>
      </w:r>
      <w:r w:rsidRPr="005E53F7">
        <w:rPr>
          <w:rFonts w:ascii="Calibri" w:hAnsi="Calibri" w:cs="Calibri"/>
          <w:b w:val="0"/>
        </w:rPr>
        <w:t>MZe na SPÚ u majetku v</w:t>
      </w:r>
      <w:r w:rsidR="00256B81" w:rsidRPr="005E53F7">
        <w:rPr>
          <w:rFonts w:ascii="Calibri" w:hAnsi="Calibri" w:cs="Calibri"/>
          <w:b w:val="0"/>
        </w:rPr>
        <w:t xml:space="preserve"> </w:t>
      </w:r>
      <w:r w:rsidRPr="005E53F7">
        <w:rPr>
          <w:rFonts w:ascii="Calibri" w:hAnsi="Calibri" w:cs="Calibri"/>
          <w:b w:val="0"/>
        </w:rPr>
        <w:t>celkové brutto hodnotě 1 252 088 123,02 Kč (867</w:t>
      </w:r>
      <w:r w:rsidR="00256B81" w:rsidRPr="005E53F7">
        <w:rPr>
          <w:rFonts w:ascii="Calibri" w:hAnsi="Calibri" w:cs="Calibri"/>
          <w:b w:val="0"/>
        </w:rPr>
        <w:t xml:space="preserve"> </w:t>
      </w:r>
      <w:r w:rsidRPr="005E53F7">
        <w:rPr>
          <w:rFonts w:ascii="Calibri" w:hAnsi="Calibri" w:cs="Calibri"/>
          <w:b w:val="0"/>
        </w:rPr>
        <w:t>855</w:t>
      </w:r>
      <w:r w:rsidR="00256B81" w:rsidRPr="005E53F7">
        <w:rPr>
          <w:rFonts w:ascii="Calibri" w:hAnsi="Calibri" w:cs="Calibri"/>
          <w:b w:val="0"/>
        </w:rPr>
        <w:t xml:space="preserve"> </w:t>
      </w:r>
      <w:r w:rsidRPr="005E53F7">
        <w:rPr>
          <w:rFonts w:ascii="Calibri" w:hAnsi="Calibri" w:cs="Calibri"/>
          <w:b w:val="0"/>
        </w:rPr>
        <w:t>876,58 Kč netto), z</w:t>
      </w:r>
      <w:r w:rsidR="00256B81" w:rsidRPr="005E53F7">
        <w:rPr>
          <w:rFonts w:ascii="Calibri" w:hAnsi="Calibri" w:cs="Calibri"/>
          <w:b w:val="0"/>
        </w:rPr>
        <w:t xml:space="preserve"> </w:t>
      </w:r>
      <w:r w:rsidRPr="005E53F7">
        <w:rPr>
          <w:rFonts w:ascii="Calibri" w:hAnsi="Calibri" w:cs="Calibri"/>
          <w:b w:val="0"/>
        </w:rPr>
        <w:t>toho:</w:t>
      </w:r>
    </w:p>
    <w:p w:rsidR="004C7112" w:rsidRPr="005E53F7" w:rsidRDefault="004C7112" w:rsidP="005E53F7">
      <w:pPr>
        <w:pStyle w:val="rove1"/>
        <w:numPr>
          <w:ilvl w:val="0"/>
          <w:numId w:val="34"/>
        </w:numPr>
        <w:spacing w:after="0" w:line="264" w:lineRule="auto"/>
        <w:ind w:left="284" w:hanging="284"/>
        <w:rPr>
          <w:rFonts w:ascii="Calibri" w:hAnsi="Calibri" w:cs="Calibri"/>
          <w:b w:val="0"/>
        </w:rPr>
      </w:pPr>
      <w:r w:rsidRPr="005E53F7">
        <w:rPr>
          <w:rFonts w:ascii="Calibri" w:hAnsi="Calibri" w:cs="Calibri"/>
          <w:b w:val="0"/>
        </w:rPr>
        <w:t>1</w:t>
      </w:r>
      <w:r w:rsidR="00256B81" w:rsidRPr="005E53F7">
        <w:rPr>
          <w:rFonts w:ascii="Calibri" w:hAnsi="Calibri" w:cs="Calibri"/>
          <w:b w:val="0"/>
        </w:rPr>
        <w:t xml:space="preserve"> </w:t>
      </w:r>
      <w:r w:rsidRPr="005E53F7">
        <w:rPr>
          <w:rFonts w:ascii="Calibri" w:hAnsi="Calibri" w:cs="Calibri"/>
          <w:b w:val="0"/>
        </w:rPr>
        <w:t>204</w:t>
      </w:r>
      <w:r w:rsidR="00256B81" w:rsidRPr="005E53F7">
        <w:rPr>
          <w:rFonts w:ascii="Calibri" w:hAnsi="Calibri" w:cs="Calibri"/>
          <w:b w:val="0"/>
        </w:rPr>
        <w:t xml:space="preserve"> </w:t>
      </w:r>
      <w:r w:rsidRPr="005E53F7">
        <w:rPr>
          <w:rFonts w:ascii="Calibri" w:hAnsi="Calibri" w:cs="Calibri"/>
          <w:b w:val="0"/>
        </w:rPr>
        <w:t>029</w:t>
      </w:r>
      <w:r w:rsidR="00256B81" w:rsidRPr="005E53F7">
        <w:rPr>
          <w:rFonts w:ascii="Calibri" w:hAnsi="Calibri" w:cs="Calibri"/>
          <w:b w:val="0"/>
        </w:rPr>
        <w:t xml:space="preserve"> </w:t>
      </w:r>
      <w:r w:rsidRPr="005E53F7">
        <w:rPr>
          <w:rFonts w:ascii="Calibri" w:hAnsi="Calibri" w:cs="Calibri"/>
          <w:b w:val="0"/>
        </w:rPr>
        <w:t>132,99 Kč (845 508</w:t>
      </w:r>
      <w:r w:rsidR="00256B81" w:rsidRPr="005E53F7">
        <w:rPr>
          <w:rFonts w:ascii="Calibri" w:hAnsi="Calibri" w:cs="Calibri"/>
          <w:b w:val="0"/>
        </w:rPr>
        <w:t xml:space="preserve"> </w:t>
      </w:r>
      <w:r w:rsidRPr="005E53F7">
        <w:rPr>
          <w:rFonts w:ascii="Calibri" w:hAnsi="Calibri" w:cs="Calibri"/>
          <w:b w:val="0"/>
        </w:rPr>
        <w:t>724,64 Kč netto) v</w:t>
      </w:r>
      <w:r w:rsidR="00256B81" w:rsidRPr="005E53F7">
        <w:rPr>
          <w:rFonts w:ascii="Calibri" w:hAnsi="Calibri" w:cs="Calibri"/>
          <w:b w:val="0"/>
        </w:rPr>
        <w:t xml:space="preserve"> </w:t>
      </w:r>
      <w:r w:rsidRPr="005E53F7">
        <w:rPr>
          <w:rFonts w:ascii="Calibri" w:hAnsi="Calibri" w:cs="Calibri"/>
          <w:b w:val="0"/>
        </w:rPr>
        <w:t>roce 2013,</w:t>
      </w:r>
    </w:p>
    <w:p w:rsidR="004C7112" w:rsidRPr="005E53F7" w:rsidRDefault="004C7112" w:rsidP="005E53F7">
      <w:pPr>
        <w:pStyle w:val="Odstavecseseznamem"/>
        <w:numPr>
          <w:ilvl w:val="0"/>
          <w:numId w:val="34"/>
        </w:numPr>
        <w:spacing w:line="264" w:lineRule="auto"/>
        <w:ind w:left="284" w:hanging="284"/>
        <w:rPr>
          <w:rFonts w:ascii="Calibri" w:hAnsi="Calibri" w:cs="Calibri"/>
          <w:szCs w:val="24"/>
        </w:rPr>
      </w:pPr>
      <w:r w:rsidRPr="005E53F7">
        <w:rPr>
          <w:rFonts w:ascii="Calibri" w:hAnsi="Calibri" w:cs="Calibri"/>
          <w:szCs w:val="24"/>
        </w:rPr>
        <w:t>48</w:t>
      </w:r>
      <w:r w:rsidR="00256B81" w:rsidRPr="005E53F7">
        <w:rPr>
          <w:rFonts w:ascii="Calibri" w:hAnsi="Calibri" w:cs="Calibri"/>
          <w:szCs w:val="24"/>
        </w:rPr>
        <w:t xml:space="preserve"> </w:t>
      </w:r>
      <w:r w:rsidRPr="005E53F7">
        <w:rPr>
          <w:rFonts w:ascii="Calibri" w:hAnsi="Calibri" w:cs="Calibri"/>
          <w:szCs w:val="24"/>
        </w:rPr>
        <w:t>058</w:t>
      </w:r>
      <w:r w:rsidR="00256B81" w:rsidRPr="005E53F7">
        <w:rPr>
          <w:rFonts w:ascii="Calibri" w:hAnsi="Calibri" w:cs="Calibri"/>
          <w:szCs w:val="24"/>
        </w:rPr>
        <w:t xml:space="preserve"> </w:t>
      </w:r>
      <w:r w:rsidRPr="005E53F7">
        <w:rPr>
          <w:rFonts w:ascii="Calibri" w:hAnsi="Calibri" w:cs="Calibri"/>
          <w:szCs w:val="24"/>
        </w:rPr>
        <w:t>990,03 Kč (22</w:t>
      </w:r>
      <w:r w:rsidR="00256B81" w:rsidRPr="005E53F7">
        <w:rPr>
          <w:rFonts w:ascii="Calibri" w:hAnsi="Calibri" w:cs="Calibri"/>
          <w:szCs w:val="24"/>
        </w:rPr>
        <w:t xml:space="preserve"> </w:t>
      </w:r>
      <w:r w:rsidRPr="005E53F7">
        <w:rPr>
          <w:rFonts w:ascii="Calibri" w:hAnsi="Calibri" w:cs="Calibri"/>
          <w:szCs w:val="24"/>
        </w:rPr>
        <w:t>347</w:t>
      </w:r>
      <w:r w:rsidR="00256B81" w:rsidRPr="005E53F7">
        <w:rPr>
          <w:rFonts w:ascii="Calibri" w:hAnsi="Calibri" w:cs="Calibri"/>
          <w:szCs w:val="24"/>
        </w:rPr>
        <w:t xml:space="preserve"> </w:t>
      </w:r>
      <w:r w:rsidRPr="005E53F7">
        <w:rPr>
          <w:rFonts w:ascii="Calibri" w:hAnsi="Calibri" w:cs="Calibri"/>
          <w:szCs w:val="24"/>
        </w:rPr>
        <w:t>151,94 Kč netto) v</w:t>
      </w:r>
      <w:r w:rsidR="00256B81" w:rsidRPr="005E53F7">
        <w:rPr>
          <w:rFonts w:ascii="Calibri" w:hAnsi="Calibri" w:cs="Calibri"/>
          <w:szCs w:val="24"/>
        </w:rPr>
        <w:t xml:space="preserve"> </w:t>
      </w:r>
      <w:r w:rsidRPr="005E53F7">
        <w:rPr>
          <w:rFonts w:ascii="Calibri" w:hAnsi="Calibri" w:cs="Calibri"/>
          <w:szCs w:val="24"/>
        </w:rPr>
        <w:t>roce 2014.</w:t>
      </w:r>
    </w:p>
    <w:p w:rsidR="004C7112" w:rsidRPr="005E53F7" w:rsidRDefault="004C7112" w:rsidP="005E53F7">
      <w:pPr>
        <w:spacing w:line="264" w:lineRule="auto"/>
        <w:rPr>
          <w:rFonts w:ascii="Calibri" w:hAnsi="Calibri" w:cs="Calibri"/>
          <w:szCs w:val="24"/>
        </w:rPr>
      </w:pPr>
    </w:p>
    <w:p w:rsidR="004C7112" w:rsidRPr="005E53F7" w:rsidRDefault="004C7112" w:rsidP="005E53F7">
      <w:pPr>
        <w:spacing w:line="264" w:lineRule="auto"/>
        <w:rPr>
          <w:rFonts w:ascii="Calibri" w:hAnsi="Calibri" w:cs="Calibri"/>
          <w:szCs w:val="24"/>
        </w:rPr>
      </w:pPr>
      <w:r w:rsidRPr="005E53F7">
        <w:rPr>
          <w:rFonts w:ascii="Calibri" w:hAnsi="Calibri" w:cs="Calibri"/>
          <w:szCs w:val="24"/>
        </w:rPr>
        <w:t>Kontrolou zápisů o změně příslušnosti hospodařit s</w:t>
      </w:r>
      <w:r w:rsidR="00256B81" w:rsidRPr="005E53F7">
        <w:rPr>
          <w:rFonts w:ascii="Calibri" w:hAnsi="Calibri" w:cs="Calibri"/>
          <w:szCs w:val="24"/>
        </w:rPr>
        <w:t xml:space="preserve"> </w:t>
      </w:r>
      <w:r w:rsidRPr="005E53F7">
        <w:rPr>
          <w:rFonts w:ascii="Calibri" w:hAnsi="Calibri" w:cs="Calibri"/>
          <w:szCs w:val="24"/>
        </w:rPr>
        <w:t>majetkem státu bylo zjištěno, že MZe nedodrželo ustanovení § 14 odst. 2 vyhlášky č. 62/2001 Sb.</w:t>
      </w:r>
      <w:r w:rsidRPr="005E53F7">
        <w:rPr>
          <w:rStyle w:val="Znakapoznpodarou"/>
          <w:rFonts w:ascii="Calibri" w:hAnsi="Calibri" w:cs="Calibri"/>
          <w:szCs w:val="24"/>
        </w:rPr>
        <w:footnoteReference w:id="10"/>
      </w:r>
      <w:r w:rsidRPr="005E53F7">
        <w:rPr>
          <w:rFonts w:ascii="Calibri" w:hAnsi="Calibri" w:cs="Calibri"/>
          <w:szCs w:val="24"/>
        </w:rPr>
        <w:t>, neboť:</w:t>
      </w:r>
    </w:p>
    <w:p w:rsidR="004C7112" w:rsidRPr="005E53F7" w:rsidRDefault="004C7112" w:rsidP="005E53F7">
      <w:pPr>
        <w:pStyle w:val="Odstavecseseznamem"/>
        <w:numPr>
          <w:ilvl w:val="0"/>
          <w:numId w:val="36"/>
        </w:numPr>
        <w:spacing w:line="264" w:lineRule="auto"/>
        <w:ind w:left="284" w:hanging="284"/>
        <w:contextualSpacing w:val="0"/>
        <w:rPr>
          <w:rFonts w:ascii="Calibri" w:hAnsi="Calibri" w:cs="Calibri"/>
          <w:szCs w:val="24"/>
        </w:rPr>
      </w:pPr>
      <w:r w:rsidRPr="005E53F7">
        <w:rPr>
          <w:rFonts w:ascii="Calibri" w:hAnsi="Calibri" w:cs="Calibri"/>
          <w:szCs w:val="24"/>
        </w:rPr>
        <w:t>v</w:t>
      </w:r>
      <w:r w:rsidR="00256B81" w:rsidRPr="005E53F7">
        <w:rPr>
          <w:rFonts w:ascii="Calibri" w:hAnsi="Calibri" w:cs="Calibri"/>
          <w:szCs w:val="24"/>
        </w:rPr>
        <w:t xml:space="preserve"> </w:t>
      </w:r>
      <w:r w:rsidR="00F066A9">
        <w:rPr>
          <w:rFonts w:ascii="Calibri" w:hAnsi="Calibri" w:cs="Calibri"/>
          <w:szCs w:val="24"/>
        </w:rPr>
        <w:t>z</w:t>
      </w:r>
      <w:r w:rsidRPr="005E53F7">
        <w:rPr>
          <w:rFonts w:ascii="Calibri" w:hAnsi="Calibri" w:cs="Calibri"/>
          <w:szCs w:val="24"/>
        </w:rPr>
        <w:t>ápisu o změně příslušnosti hospodařit s</w:t>
      </w:r>
      <w:r w:rsidR="00256B81" w:rsidRPr="005E53F7">
        <w:rPr>
          <w:rFonts w:ascii="Calibri" w:hAnsi="Calibri" w:cs="Calibri"/>
          <w:szCs w:val="24"/>
        </w:rPr>
        <w:t xml:space="preserve"> </w:t>
      </w:r>
      <w:r w:rsidRPr="005E53F7">
        <w:rPr>
          <w:rFonts w:ascii="Calibri" w:hAnsi="Calibri" w:cs="Calibri"/>
          <w:szCs w:val="24"/>
        </w:rPr>
        <w:t>movitým majetkem státu ev.</w:t>
      </w:r>
      <w:r w:rsidR="00D72A28">
        <w:rPr>
          <w:rFonts w:ascii="Calibri" w:hAnsi="Calibri" w:cs="Calibri"/>
          <w:szCs w:val="24"/>
        </w:rPr>
        <w:t> č. </w:t>
      </w:r>
      <w:r w:rsidRPr="005E53F7">
        <w:rPr>
          <w:rFonts w:ascii="Calibri" w:hAnsi="Calibri" w:cs="Calibri"/>
          <w:szCs w:val="24"/>
        </w:rPr>
        <w:t>MZe</w:t>
      </w:r>
      <w:r w:rsidR="00D72A28">
        <w:rPr>
          <w:rFonts w:ascii="Calibri" w:hAnsi="Calibri" w:cs="Calibri"/>
          <w:szCs w:val="24"/>
        </w:rPr>
        <w:t xml:space="preserve"> </w:t>
      </w:r>
      <w:r w:rsidRPr="005E53F7">
        <w:rPr>
          <w:rFonts w:ascii="Calibri" w:hAnsi="Calibri" w:cs="Calibri"/>
          <w:szCs w:val="24"/>
        </w:rPr>
        <w:t>O-38/2013 ze dne 29.</w:t>
      </w:r>
      <w:r w:rsidR="00256B81" w:rsidRPr="005E53F7">
        <w:rPr>
          <w:rFonts w:ascii="Calibri" w:hAnsi="Calibri" w:cs="Calibri"/>
          <w:szCs w:val="24"/>
        </w:rPr>
        <w:t xml:space="preserve"> </w:t>
      </w:r>
      <w:r w:rsidRPr="005E53F7">
        <w:rPr>
          <w:rFonts w:ascii="Calibri" w:hAnsi="Calibri" w:cs="Calibri"/>
          <w:szCs w:val="24"/>
        </w:rPr>
        <w:t>11.</w:t>
      </w:r>
      <w:r w:rsidR="00256B81" w:rsidRPr="005E53F7">
        <w:rPr>
          <w:rFonts w:ascii="Calibri" w:hAnsi="Calibri" w:cs="Calibri"/>
          <w:szCs w:val="24"/>
        </w:rPr>
        <w:t xml:space="preserve"> </w:t>
      </w:r>
      <w:r w:rsidRPr="005E53F7">
        <w:rPr>
          <w:rFonts w:ascii="Calibri" w:hAnsi="Calibri" w:cs="Calibri"/>
          <w:szCs w:val="24"/>
        </w:rPr>
        <w:t>2013 byla v</w:t>
      </w:r>
      <w:r w:rsidR="00256B81" w:rsidRPr="005E53F7">
        <w:rPr>
          <w:rFonts w:ascii="Calibri" w:hAnsi="Calibri" w:cs="Calibri"/>
          <w:szCs w:val="24"/>
        </w:rPr>
        <w:t xml:space="preserve"> </w:t>
      </w:r>
      <w:r w:rsidRPr="005E53F7">
        <w:rPr>
          <w:rFonts w:ascii="Calibri" w:hAnsi="Calibri" w:cs="Calibri"/>
          <w:szCs w:val="24"/>
        </w:rPr>
        <w:t xml:space="preserve">soupisu uvedena vyšší zůstatková hodnota </w:t>
      </w:r>
      <w:r w:rsidR="00343719" w:rsidRPr="005E53F7">
        <w:rPr>
          <w:rFonts w:ascii="Calibri" w:hAnsi="Calibri" w:cs="Calibri"/>
          <w:szCs w:val="24"/>
        </w:rPr>
        <w:t>tohoto</w:t>
      </w:r>
      <w:r w:rsidRPr="005E53F7">
        <w:rPr>
          <w:rFonts w:ascii="Calibri" w:hAnsi="Calibri" w:cs="Calibri"/>
          <w:szCs w:val="24"/>
        </w:rPr>
        <w:t xml:space="preserve"> majetku než v</w:t>
      </w:r>
      <w:r w:rsidR="00256B81" w:rsidRPr="005E53F7">
        <w:rPr>
          <w:rFonts w:ascii="Calibri" w:hAnsi="Calibri" w:cs="Calibri"/>
          <w:szCs w:val="24"/>
        </w:rPr>
        <w:t xml:space="preserve"> </w:t>
      </w:r>
      <w:r w:rsidRPr="005E53F7">
        <w:rPr>
          <w:rFonts w:ascii="Calibri" w:hAnsi="Calibri" w:cs="Calibri"/>
          <w:szCs w:val="24"/>
        </w:rPr>
        <w:t>účetnictví. Zůstatková cena majetku v</w:t>
      </w:r>
      <w:r w:rsidR="00256B81" w:rsidRPr="005E53F7">
        <w:rPr>
          <w:rFonts w:ascii="Calibri" w:hAnsi="Calibri" w:cs="Calibri"/>
          <w:szCs w:val="24"/>
        </w:rPr>
        <w:t xml:space="preserve"> </w:t>
      </w:r>
      <w:r w:rsidRPr="005E53F7">
        <w:rPr>
          <w:rFonts w:ascii="Calibri" w:hAnsi="Calibri" w:cs="Calibri"/>
          <w:szCs w:val="24"/>
        </w:rPr>
        <w:t>účetnictví činila 5</w:t>
      </w:r>
      <w:r w:rsidR="00256B81" w:rsidRPr="005E53F7">
        <w:rPr>
          <w:rFonts w:ascii="Calibri" w:hAnsi="Calibri" w:cs="Calibri"/>
          <w:szCs w:val="24"/>
        </w:rPr>
        <w:t xml:space="preserve"> </w:t>
      </w:r>
      <w:r w:rsidRPr="005E53F7">
        <w:rPr>
          <w:rFonts w:ascii="Calibri" w:hAnsi="Calibri" w:cs="Calibri"/>
          <w:szCs w:val="24"/>
        </w:rPr>
        <w:t>150</w:t>
      </w:r>
      <w:r w:rsidR="00256B81" w:rsidRPr="005E53F7">
        <w:rPr>
          <w:rFonts w:ascii="Calibri" w:hAnsi="Calibri" w:cs="Calibri"/>
          <w:szCs w:val="24"/>
        </w:rPr>
        <w:t xml:space="preserve"> </w:t>
      </w:r>
      <w:r w:rsidRPr="005E53F7">
        <w:rPr>
          <w:rFonts w:ascii="Calibri" w:hAnsi="Calibri" w:cs="Calibri"/>
          <w:szCs w:val="24"/>
        </w:rPr>
        <w:t xml:space="preserve">622,07 Kč, </w:t>
      </w:r>
      <w:r w:rsidR="001C5F4E">
        <w:rPr>
          <w:rFonts w:ascii="Calibri" w:hAnsi="Calibri" w:cs="Calibri"/>
          <w:szCs w:val="24"/>
        </w:rPr>
        <w:t xml:space="preserve">zatímco </w:t>
      </w:r>
      <w:r w:rsidRPr="005E53F7">
        <w:rPr>
          <w:rFonts w:ascii="Calibri" w:hAnsi="Calibri" w:cs="Calibri"/>
          <w:szCs w:val="24"/>
        </w:rPr>
        <w:t>v soupisu převáděného majetku byly uvedeny zůstatkové ceny v</w:t>
      </w:r>
      <w:r w:rsidR="00256B81" w:rsidRPr="005E53F7">
        <w:rPr>
          <w:rFonts w:ascii="Calibri" w:hAnsi="Calibri" w:cs="Calibri"/>
          <w:szCs w:val="24"/>
        </w:rPr>
        <w:t xml:space="preserve"> </w:t>
      </w:r>
      <w:r w:rsidRPr="005E53F7">
        <w:rPr>
          <w:rFonts w:ascii="Calibri" w:hAnsi="Calibri" w:cs="Calibri"/>
          <w:szCs w:val="24"/>
        </w:rPr>
        <w:t>celkové hodnotě 5 470 314,07 Kč. Rozdíl tedy činil 319</w:t>
      </w:r>
      <w:r w:rsidR="00256B81" w:rsidRPr="005E53F7">
        <w:rPr>
          <w:rFonts w:ascii="Calibri" w:hAnsi="Calibri" w:cs="Calibri"/>
          <w:szCs w:val="24"/>
        </w:rPr>
        <w:t xml:space="preserve"> </w:t>
      </w:r>
      <w:r w:rsidRPr="005E53F7">
        <w:rPr>
          <w:rFonts w:ascii="Calibri" w:hAnsi="Calibri" w:cs="Calibri"/>
          <w:szCs w:val="24"/>
        </w:rPr>
        <w:t>692 Kč;</w:t>
      </w:r>
    </w:p>
    <w:p w:rsidR="004C7112" w:rsidRPr="005E53F7" w:rsidRDefault="004C7112" w:rsidP="005E53F7">
      <w:pPr>
        <w:pStyle w:val="Odstavecseseznamem"/>
        <w:numPr>
          <w:ilvl w:val="0"/>
          <w:numId w:val="36"/>
        </w:numPr>
        <w:spacing w:line="264" w:lineRule="auto"/>
        <w:ind w:left="284"/>
        <w:rPr>
          <w:rFonts w:ascii="Calibri" w:hAnsi="Calibri" w:cs="Calibri"/>
          <w:szCs w:val="24"/>
        </w:rPr>
      </w:pPr>
      <w:r w:rsidRPr="005E53F7">
        <w:rPr>
          <w:rFonts w:ascii="Calibri" w:hAnsi="Calibri" w:cs="Calibri"/>
          <w:szCs w:val="24"/>
        </w:rPr>
        <w:t>u čtyř zápisů o změně příslušnosti hospodařit neuvedlo MZe v</w:t>
      </w:r>
      <w:r w:rsidR="00256B81" w:rsidRPr="005E53F7">
        <w:rPr>
          <w:rFonts w:ascii="Calibri" w:hAnsi="Calibri" w:cs="Calibri"/>
          <w:szCs w:val="24"/>
        </w:rPr>
        <w:t xml:space="preserve"> </w:t>
      </w:r>
      <w:r w:rsidRPr="005E53F7">
        <w:rPr>
          <w:rFonts w:ascii="Calibri" w:hAnsi="Calibri" w:cs="Calibri"/>
          <w:szCs w:val="24"/>
        </w:rPr>
        <w:t>soupisu majetku zůstatkovou cenu</w:t>
      </w:r>
      <w:r w:rsidR="001C5F4E">
        <w:rPr>
          <w:rFonts w:ascii="Calibri" w:hAnsi="Calibri" w:cs="Calibri"/>
          <w:szCs w:val="24"/>
        </w:rPr>
        <w:t>;</w:t>
      </w:r>
    </w:p>
    <w:p w:rsidR="004C7112" w:rsidRPr="005E53F7" w:rsidRDefault="004C7112" w:rsidP="005E53F7">
      <w:pPr>
        <w:pStyle w:val="Odstavecseseznamem"/>
        <w:numPr>
          <w:ilvl w:val="0"/>
          <w:numId w:val="36"/>
        </w:numPr>
        <w:spacing w:line="264" w:lineRule="auto"/>
        <w:ind w:left="284" w:hanging="357"/>
        <w:contextualSpacing w:val="0"/>
        <w:rPr>
          <w:rFonts w:ascii="Calibri" w:hAnsi="Calibri" w:cs="Calibri"/>
          <w:szCs w:val="24"/>
        </w:rPr>
      </w:pPr>
      <w:r w:rsidRPr="005E53F7">
        <w:rPr>
          <w:rFonts w:ascii="Calibri" w:hAnsi="Calibri" w:cs="Calibri"/>
          <w:szCs w:val="24"/>
        </w:rPr>
        <w:t xml:space="preserve">v </w:t>
      </w:r>
      <w:r w:rsidR="00F066A9">
        <w:rPr>
          <w:rFonts w:ascii="Calibri" w:hAnsi="Calibri" w:cs="Calibri"/>
          <w:szCs w:val="24"/>
        </w:rPr>
        <w:t>z</w:t>
      </w:r>
      <w:r w:rsidRPr="005E53F7">
        <w:rPr>
          <w:rFonts w:ascii="Calibri" w:hAnsi="Calibri" w:cs="Calibri"/>
          <w:szCs w:val="24"/>
        </w:rPr>
        <w:t>ápisu o změně příslušnosti hospodařit s</w:t>
      </w:r>
      <w:r w:rsidR="00256B81" w:rsidRPr="005E53F7">
        <w:rPr>
          <w:rFonts w:ascii="Calibri" w:hAnsi="Calibri" w:cs="Calibri"/>
          <w:szCs w:val="24"/>
        </w:rPr>
        <w:t xml:space="preserve"> </w:t>
      </w:r>
      <w:r w:rsidRPr="005E53F7">
        <w:rPr>
          <w:rFonts w:ascii="Calibri" w:hAnsi="Calibri" w:cs="Calibri"/>
          <w:szCs w:val="24"/>
        </w:rPr>
        <w:t>movitým majetkem státu ev.</w:t>
      </w:r>
      <w:r w:rsidR="00D72A28">
        <w:rPr>
          <w:rFonts w:ascii="Calibri" w:hAnsi="Calibri" w:cs="Calibri"/>
          <w:szCs w:val="24"/>
        </w:rPr>
        <w:t> č. </w:t>
      </w:r>
      <w:r w:rsidRPr="005E53F7">
        <w:rPr>
          <w:rFonts w:ascii="Calibri" w:hAnsi="Calibri" w:cs="Calibri"/>
          <w:szCs w:val="24"/>
        </w:rPr>
        <w:t>MZe</w:t>
      </w:r>
      <w:r w:rsidR="00256B81" w:rsidRPr="005E53F7">
        <w:rPr>
          <w:rFonts w:ascii="Calibri" w:hAnsi="Calibri" w:cs="Calibri"/>
          <w:szCs w:val="24"/>
        </w:rPr>
        <w:t xml:space="preserve"> </w:t>
      </w:r>
      <w:r w:rsidRPr="005E53F7">
        <w:rPr>
          <w:rFonts w:ascii="Calibri" w:hAnsi="Calibri" w:cs="Calibri"/>
          <w:szCs w:val="24"/>
        </w:rPr>
        <w:t>O-28/2013 ze dne 17.</w:t>
      </w:r>
      <w:r w:rsidR="00256B81" w:rsidRPr="005E53F7">
        <w:rPr>
          <w:rFonts w:ascii="Calibri" w:hAnsi="Calibri" w:cs="Calibri"/>
          <w:szCs w:val="24"/>
        </w:rPr>
        <w:t xml:space="preserve"> </w:t>
      </w:r>
      <w:r w:rsidRPr="005E53F7">
        <w:rPr>
          <w:rFonts w:ascii="Calibri" w:hAnsi="Calibri" w:cs="Calibri"/>
          <w:szCs w:val="24"/>
        </w:rPr>
        <w:t>10.</w:t>
      </w:r>
      <w:r w:rsidR="00256B81" w:rsidRPr="005E53F7">
        <w:rPr>
          <w:rFonts w:ascii="Calibri" w:hAnsi="Calibri" w:cs="Calibri"/>
          <w:szCs w:val="24"/>
        </w:rPr>
        <w:t xml:space="preserve"> </w:t>
      </w:r>
      <w:r w:rsidRPr="005E53F7">
        <w:rPr>
          <w:rFonts w:ascii="Calibri" w:hAnsi="Calibri" w:cs="Calibri"/>
          <w:szCs w:val="24"/>
        </w:rPr>
        <w:t>2013 nebyl uveden údaj o dni, kterým změna příslušnosti hospodařit nastává.</w:t>
      </w:r>
    </w:p>
    <w:p w:rsidR="00F6199D" w:rsidRPr="005E53F7" w:rsidRDefault="00F6199D" w:rsidP="005E53F7">
      <w:pPr>
        <w:spacing w:line="264" w:lineRule="auto"/>
        <w:rPr>
          <w:rFonts w:ascii="Calibri" w:hAnsi="Calibri" w:cs="Calibri"/>
          <w:szCs w:val="24"/>
        </w:rPr>
      </w:pPr>
    </w:p>
    <w:p w:rsidR="004C7112" w:rsidRPr="005E53F7" w:rsidRDefault="004C7112" w:rsidP="005E53F7">
      <w:pPr>
        <w:spacing w:line="264" w:lineRule="auto"/>
        <w:rPr>
          <w:rFonts w:ascii="Calibri" w:hAnsi="Calibri" w:cs="Calibri"/>
          <w:szCs w:val="24"/>
        </w:rPr>
      </w:pPr>
      <w:r w:rsidRPr="005E53F7">
        <w:rPr>
          <w:rFonts w:ascii="Calibri" w:hAnsi="Calibri" w:cs="Calibri"/>
          <w:szCs w:val="24"/>
        </w:rPr>
        <w:t>Kontrolou bylo dále zjištěno, že MZe nepostupovalo v</w:t>
      </w:r>
      <w:r w:rsidR="00256B81" w:rsidRPr="005E53F7">
        <w:rPr>
          <w:rFonts w:ascii="Calibri" w:hAnsi="Calibri" w:cs="Calibri"/>
          <w:szCs w:val="24"/>
        </w:rPr>
        <w:t xml:space="preserve"> </w:t>
      </w:r>
      <w:r w:rsidRPr="005E53F7">
        <w:rPr>
          <w:rFonts w:ascii="Calibri" w:hAnsi="Calibri" w:cs="Calibri"/>
          <w:szCs w:val="24"/>
        </w:rPr>
        <w:t>souladu s</w:t>
      </w:r>
      <w:r w:rsidR="00256B81" w:rsidRPr="005E53F7">
        <w:rPr>
          <w:rFonts w:ascii="Calibri" w:hAnsi="Calibri" w:cs="Calibri"/>
          <w:szCs w:val="24"/>
        </w:rPr>
        <w:t xml:space="preserve"> </w:t>
      </w:r>
      <w:r w:rsidRPr="005E53F7">
        <w:rPr>
          <w:rFonts w:ascii="Calibri" w:hAnsi="Calibri" w:cs="Calibri"/>
          <w:szCs w:val="24"/>
        </w:rPr>
        <w:t xml:space="preserve">ustanovením </w:t>
      </w:r>
      <w:r w:rsidR="008D02E3" w:rsidRPr="005E53F7">
        <w:rPr>
          <w:rFonts w:ascii="Calibri" w:hAnsi="Calibri" w:cs="Calibri"/>
          <w:szCs w:val="24"/>
        </w:rPr>
        <w:t>§</w:t>
      </w:r>
      <w:r w:rsidR="00256B81" w:rsidRPr="005E53F7">
        <w:rPr>
          <w:rFonts w:ascii="Calibri" w:hAnsi="Calibri" w:cs="Calibri"/>
          <w:szCs w:val="24"/>
        </w:rPr>
        <w:t xml:space="preserve"> </w:t>
      </w:r>
      <w:r w:rsidR="008D02E3" w:rsidRPr="005E53F7">
        <w:rPr>
          <w:rFonts w:ascii="Calibri" w:hAnsi="Calibri" w:cs="Calibri"/>
          <w:szCs w:val="24"/>
        </w:rPr>
        <w:t>3</w:t>
      </w:r>
      <w:r w:rsidR="00256B81" w:rsidRPr="005E53F7">
        <w:rPr>
          <w:rFonts w:ascii="Calibri" w:hAnsi="Calibri" w:cs="Calibri"/>
          <w:szCs w:val="24"/>
        </w:rPr>
        <w:t xml:space="preserve"> </w:t>
      </w:r>
      <w:r w:rsidR="00E4328D" w:rsidRPr="005E53F7">
        <w:rPr>
          <w:rFonts w:ascii="Calibri" w:hAnsi="Calibri" w:cs="Calibri"/>
          <w:szCs w:val="24"/>
        </w:rPr>
        <w:t>odst.</w:t>
      </w:r>
      <w:r w:rsidR="00D72A28">
        <w:rPr>
          <w:rFonts w:ascii="Calibri" w:hAnsi="Calibri" w:cs="Calibri"/>
          <w:szCs w:val="24"/>
        </w:rPr>
        <w:t> </w:t>
      </w:r>
      <w:r w:rsidRPr="005E53F7">
        <w:rPr>
          <w:rFonts w:ascii="Calibri" w:hAnsi="Calibri" w:cs="Calibri"/>
          <w:szCs w:val="24"/>
        </w:rPr>
        <w:t>1</w:t>
      </w:r>
      <w:r w:rsidR="00256B81" w:rsidRPr="005E53F7">
        <w:rPr>
          <w:rFonts w:ascii="Calibri" w:hAnsi="Calibri" w:cs="Calibri"/>
          <w:szCs w:val="24"/>
        </w:rPr>
        <w:t xml:space="preserve"> </w:t>
      </w:r>
      <w:r w:rsidRPr="005E53F7">
        <w:rPr>
          <w:rFonts w:ascii="Calibri" w:hAnsi="Calibri" w:cs="Calibri"/>
          <w:szCs w:val="24"/>
        </w:rPr>
        <w:t>zákona o účetnictví</w:t>
      </w:r>
      <w:r w:rsidR="00F066A9">
        <w:rPr>
          <w:rFonts w:ascii="Calibri" w:hAnsi="Calibri" w:cs="Calibri"/>
          <w:szCs w:val="24"/>
        </w:rPr>
        <w:t>, když</w:t>
      </w:r>
      <w:r w:rsidRPr="005E53F7">
        <w:rPr>
          <w:rFonts w:ascii="Calibri" w:hAnsi="Calibri" w:cs="Calibri"/>
          <w:szCs w:val="24"/>
        </w:rPr>
        <w:t xml:space="preserve"> neúčtovalo o převodu pozemků v</w:t>
      </w:r>
      <w:r w:rsidR="00256B81" w:rsidRPr="005E53F7">
        <w:rPr>
          <w:rFonts w:ascii="Calibri" w:hAnsi="Calibri" w:cs="Calibri"/>
          <w:szCs w:val="24"/>
        </w:rPr>
        <w:t xml:space="preserve"> </w:t>
      </w:r>
      <w:r w:rsidRPr="005E53F7">
        <w:rPr>
          <w:rFonts w:ascii="Calibri" w:hAnsi="Calibri" w:cs="Calibri"/>
          <w:szCs w:val="24"/>
        </w:rPr>
        <w:t>hodnotě 244</w:t>
      </w:r>
      <w:r w:rsidR="00256B81" w:rsidRPr="005E53F7">
        <w:rPr>
          <w:rFonts w:ascii="Calibri" w:hAnsi="Calibri" w:cs="Calibri"/>
          <w:szCs w:val="24"/>
        </w:rPr>
        <w:t xml:space="preserve"> </w:t>
      </w:r>
      <w:r w:rsidRPr="005E53F7">
        <w:rPr>
          <w:rFonts w:ascii="Calibri" w:hAnsi="Calibri" w:cs="Calibri"/>
          <w:szCs w:val="24"/>
        </w:rPr>
        <w:t>890 Kč na SPÚ v účetních knihách roku 2013, ačkoliv tyto pozemky byly převedeny k</w:t>
      </w:r>
      <w:r w:rsidR="00256B81" w:rsidRPr="005E53F7">
        <w:rPr>
          <w:rFonts w:ascii="Calibri" w:hAnsi="Calibri" w:cs="Calibri"/>
          <w:szCs w:val="24"/>
        </w:rPr>
        <w:t xml:space="preserve"> </w:t>
      </w:r>
      <w:r w:rsidRPr="005E53F7">
        <w:rPr>
          <w:rFonts w:ascii="Calibri" w:hAnsi="Calibri" w:cs="Calibri"/>
          <w:szCs w:val="24"/>
        </w:rPr>
        <w:t>1.</w:t>
      </w:r>
      <w:r w:rsidR="00256B81" w:rsidRPr="005E53F7">
        <w:rPr>
          <w:rFonts w:ascii="Calibri" w:hAnsi="Calibri" w:cs="Calibri"/>
          <w:szCs w:val="24"/>
        </w:rPr>
        <w:t xml:space="preserve"> </w:t>
      </w:r>
      <w:r w:rsidRPr="005E53F7">
        <w:rPr>
          <w:rFonts w:ascii="Calibri" w:hAnsi="Calibri" w:cs="Calibri"/>
          <w:szCs w:val="24"/>
        </w:rPr>
        <w:t>12.</w:t>
      </w:r>
      <w:r w:rsidR="00256B81" w:rsidRPr="005E53F7">
        <w:rPr>
          <w:rFonts w:ascii="Calibri" w:hAnsi="Calibri" w:cs="Calibri"/>
          <w:szCs w:val="24"/>
        </w:rPr>
        <w:t xml:space="preserve"> </w:t>
      </w:r>
      <w:r w:rsidRPr="005E53F7">
        <w:rPr>
          <w:rFonts w:ascii="Calibri" w:hAnsi="Calibri" w:cs="Calibri"/>
          <w:szCs w:val="24"/>
        </w:rPr>
        <w:t>2013.</w:t>
      </w:r>
    </w:p>
    <w:p w:rsidR="00F6199D" w:rsidRPr="005E53F7" w:rsidRDefault="00F6199D" w:rsidP="005E53F7">
      <w:pPr>
        <w:spacing w:line="264" w:lineRule="auto"/>
        <w:rPr>
          <w:rFonts w:ascii="Calibri" w:hAnsi="Calibri" w:cs="Calibri"/>
          <w:szCs w:val="24"/>
        </w:rPr>
      </w:pPr>
    </w:p>
    <w:p w:rsidR="004C7112" w:rsidRPr="005E53F7" w:rsidRDefault="004C7112" w:rsidP="005E53F7">
      <w:pPr>
        <w:spacing w:line="264" w:lineRule="auto"/>
        <w:rPr>
          <w:rFonts w:ascii="Calibri" w:hAnsi="Calibri" w:cs="Calibri"/>
          <w:szCs w:val="24"/>
        </w:rPr>
      </w:pPr>
      <w:r w:rsidRPr="005E53F7">
        <w:rPr>
          <w:rFonts w:ascii="Calibri" w:hAnsi="Calibri" w:cs="Calibri"/>
          <w:szCs w:val="24"/>
        </w:rPr>
        <w:t>MZe současně nepostupovalo v souladu s</w:t>
      </w:r>
      <w:r w:rsidR="00256B81" w:rsidRPr="005E53F7">
        <w:rPr>
          <w:rFonts w:ascii="Calibri" w:hAnsi="Calibri" w:cs="Calibri"/>
          <w:szCs w:val="24"/>
        </w:rPr>
        <w:t xml:space="preserve"> </w:t>
      </w:r>
      <w:r w:rsidRPr="005E53F7">
        <w:rPr>
          <w:rFonts w:ascii="Calibri" w:hAnsi="Calibri" w:cs="Calibri"/>
          <w:szCs w:val="24"/>
        </w:rPr>
        <w:t xml:space="preserve">ustanovením § 4 odst. 8 písm. b) zákona </w:t>
      </w:r>
      <w:r w:rsidR="00343719" w:rsidRPr="005E53F7">
        <w:rPr>
          <w:rFonts w:ascii="Calibri" w:hAnsi="Calibri" w:cs="Calibri"/>
          <w:szCs w:val="24"/>
        </w:rPr>
        <w:t>o</w:t>
      </w:r>
      <w:r w:rsidR="00F6199D" w:rsidRPr="005E53F7">
        <w:rPr>
          <w:rFonts w:ascii="Calibri" w:hAnsi="Calibri" w:cs="Calibri"/>
          <w:szCs w:val="24"/>
        </w:rPr>
        <w:t> </w:t>
      </w:r>
      <w:r w:rsidR="00343719" w:rsidRPr="005E53F7">
        <w:rPr>
          <w:rFonts w:ascii="Calibri" w:hAnsi="Calibri" w:cs="Calibri"/>
          <w:szCs w:val="24"/>
        </w:rPr>
        <w:t>účetnictví</w:t>
      </w:r>
      <w:r w:rsidR="00F066A9">
        <w:rPr>
          <w:rFonts w:ascii="Calibri" w:hAnsi="Calibri" w:cs="Calibri"/>
          <w:szCs w:val="24"/>
        </w:rPr>
        <w:t>, neboť</w:t>
      </w:r>
      <w:r w:rsidRPr="005E53F7">
        <w:rPr>
          <w:rFonts w:ascii="Calibri" w:hAnsi="Calibri" w:cs="Calibri"/>
          <w:szCs w:val="24"/>
        </w:rPr>
        <w:t xml:space="preserve"> v</w:t>
      </w:r>
      <w:r w:rsidR="00256B81" w:rsidRPr="005E53F7">
        <w:rPr>
          <w:rFonts w:ascii="Calibri" w:hAnsi="Calibri" w:cs="Calibri"/>
          <w:szCs w:val="24"/>
        </w:rPr>
        <w:t xml:space="preserve"> </w:t>
      </w:r>
      <w:r w:rsidRPr="005E53F7">
        <w:rPr>
          <w:rFonts w:ascii="Calibri" w:hAnsi="Calibri" w:cs="Calibri"/>
          <w:szCs w:val="24"/>
        </w:rPr>
        <w:t>rozvaze k</w:t>
      </w:r>
      <w:r w:rsidR="00256B81" w:rsidRPr="005E53F7">
        <w:rPr>
          <w:rFonts w:ascii="Calibri" w:hAnsi="Calibri" w:cs="Calibri"/>
          <w:szCs w:val="24"/>
        </w:rPr>
        <w:t xml:space="preserve"> </w:t>
      </w:r>
      <w:r w:rsidRPr="005E53F7">
        <w:rPr>
          <w:rFonts w:ascii="Calibri" w:hAnsi="Calibri" w:cs="Calibri"/>
          <w:szCs w:val="24"/>
        </w:rPr>
        <w:t>31.</w:t>
      </w:r>
      <w:r w:rsidR="00256B81" w:rsidRPr="005E53F7">
        <w:rPr>
          <w:rFonts w:ascii="Calibri" w:hAnsi="Calibri" w:cs="Calibri"/>
          <w:szCs w:val="24"/>
        </w:rPr>
        <w:t xml:space="preserve"> </w:t>
      </w:r>
      <w:r w:rsidRPr="005E53F7">
        <w:rPr>
          <w:rFonts w:ascii="Calibri" w:hAnsi="Calibri" w:cs="Calibri"/>
          <w:szCs w:val="24"/>
        </w:rPr>
        <w:t>12.</w:t>
      </w:r>
      <w:r w:rsidR="00256B81" w:rsidRPr="005E53F7">
        <w:rPr>
          <w:rFonts w:ascii="Calibri" w:hAnsi="Calibri" w:cs="Calibri"/>
          <w:szCs w:val="24"/>
        </w:rPr>
        <w:t xml:space="preserve"> </w:t>
      </w:r>
      <w:r w:rsidRPr="005E53F7">
        <w:rPr>
          <w:rFonts w:ascii="Calibri" w:hAnsi="Calibri" w:cs="Calibri"/>
          <w:szCs w:val="24"/>
        </w:rPr>
        <w:t xml:space="preserve">2013 nadhodnotilo položku </w:t>
      </w:r>
      <w:r w:rsidRPr="00CA6C58">
        <w:rPr>
          <w:rFonts w:ascii="Calibri" w:hAnsi="Calibri" w:cs="Calibri"/>
          <w:i/>
          <w:szCs w:val="24"/>
        </w:rPr>
        <w:t>A.II.1. Pozemky</w:t>
      </w:r>
      <w:r w:rsidRPr="005E53F7">
        <w:rPr>
          <w:rFonts w:ascii="Calibri" w:hAnsi="Calibri" w:cs="Calibri"/>
          <w:szCs w:val="24"/>
        </w:rPr>
        <w:t xml:space="preserve"> ve smyslu § 14 odst. 1 vyhlášky č. 410/2009 Sb.</w:t>
      </w:r>
      <w:r w:rsidR="008D075A" w:rsidRPr="005E53F7">
        <w:rPr>
          <w:rStyle w:val="Znakapoznpodarou"/>
          <w:rFonts w:ascii="Calibri" w:hAnsi="Calibri" w:cs="Calibri"/>
          <w:szCs w:val="24"/>
        </w:rPr>
        <w:footnoteReference w:id="11"/>
      </w:r>
      <w:r w:rsidRPr="005E53F7">
        <w:rPr>
          <w:rFonts w:ascii="Calibri" w:hAnsi="Calibri" w:cs="Calibri"/>
          <w:szCs w:val="24"/>
        </w:rPr>
        <w:t xml:space="preserve"> o částku 244</w:t>
      </w:r>
      <w:r w:rsidR="00256B81" w:rsidRPr="005E53F7">
        <w:rPr>
          <w:rFonts w:ascii="Calibri" w:hAnsi="Calibri" w:cs="Calibri"/>
          <w:szCs w:val="24"/>
        </w:rPr>
        <w:t xml:space="preserve"> </w:t>
      </w:r>
      <w:r w:rsidRPr="005E53F7">
        <w:rPr>
          <w:rFonts w:ascii="Calibri" w:hAnsi="Calibri" w:cs="Calibri"/>
          <w:szCs w:val="24"/>
        </w:rPr>
        <w:t xml:space="preserve">890 Kč a o stejnou částku nadhodnotilo položku </w:t>
      </w:r>
      <w:r w:rsidRPr="00CA6C58">
        <w:rPr>
          <w:rFonts w:ascii="Calibri" w:hAnsi="Calibri" w:cs="Calibri"/>
          <w:i/>
          <w:szCs w:val="24"/>
        </w:rPr>
        <w:t>C.II.1. Jmění účetní jednotky</w:t>
      </w:r>
      <w:r w:rsidRPr="005E53F7">
        <w:rPr>
          <w:rFonts w:ascii="Calibri" w:hAnsi="Calibri" w:cs="Calibri"/>
          <w:szCs w:val="24"/>
        </w:rPr>
        <w:t xml:space="preserve"> ve smyslu ustanovení § 26 odst. 1</w:t>
      </w:r>
      <w:r w:rsidR="00256B81" w:rsidRPr="005E53F7">
        <w:rPr>
          <w:rFonts w:ascii="Calibri" w:hAnsi="Calibri" w:cs="Calibri"/>
          <w:szCs w:val="24"/>
        </w:rPr>
        <w:t xml:space="preserve"> </w:t>
      </w:r>
      <w:r w:rsidRPr="005E53F7">
        <w:rPr>
          <w:rFonts w:ascii="Calibri" w:hAnsi="Calibri" w:cs="Calibri"/>
          <w:szCs w:val="24"/>
        </w:rPr>
        <w:t>vyhlášky č.</w:t>
      </w:r>
      <w:r w:rsidR="00256B81" w:rsidRPr="005E53F7">
        <w:rPr>
          <w:rFonts w:ascii="Calibri" w:hAnsi="Calibri" w:cs="Calibri"/>
          <w:szCs w:val="24"/>
        </w:rPr>
        <w:t xml:space="preserve"> </w:t>
      </w:r>
      <w:r w:rsidRPr="005E53F7">
        <w:rPr>
          <w:rFonts w:ascii="Calibri" w:hAnsi="Calibri" w:cs="Calibri"/>
          <w:szCs w:val="24"/>
        </w:rPr>
        <w:t>410/2009 Sb.</w:t>
      </w:r>
    </w:p>
    <w:p w:rsidR="00F6199D" w:rsidRPr="005E53F7" w:rsidRDefault="00F6199D" w:rsidP="005E53F7">
      <w:pPr>
        <w:spacing w:line="264" w:lineRule="auto"/>
        <w:rPr>
          <w:rFonts w:ascii="Calibri" w:hAnsi="Calibri" w:cs="Calibri"/>
          <w:szCs w:val="24"/>
        </w:rPr>
      </w:pPr>
    </w:p>
    <w:p w:rsidR="008A717F" w:rsidRPr="005E53F7" w:rsidRDefault="004C7112" w:rsidP="005E53F7">
      <w:pPr>
        <w:spacing w:line="264" w:lineRule="auto"/>
        <w:rPr>
          <w:rFonts w:ascii="Calibri" w:hAnsi="Calibri" w:cs="Calibri"/>
          <w:szCs w:val="24"/>
        </w:rPr>
      </w:pPr>
      <w:r w:rsidRPr="005E53F7">
        <w:rPr>
          <w:rFonts w:ascii="Calibri" w:hAnsi="Calibri" w:cs="Calibri"/>
          <w:szCs w:val="24"/>
        </w:rPr>
        <w:t>Účetnictví MZe nebylo v</w:t>
      </w:r>
      <w:r w:rsidR="00256B81" w:rsidRPr="005E53F7">
        <w:rPr>
          <w:rFonts w:ascii="Calibri" w:hAnsi="Calibri" w:cs="Calibri"/>
          <w:szCs w:val="24"/>
        </w:rPr>
        <w:t xml:space="preserve"> </w:t>
      </w:r>
      <w:r w:rsidRPr="005E53F7">
        <w:rPr>
          <w:rFonts w:ascii="Calibri" w:hAnsi="Calibri" w:cs="Calibri"/>
          <w:szCs w:val="24"/>
        </w:rPr>
        <w:t xml:space="preserve">účetním období roku 2013 správné a úplné ve smyslu ustanovení § 8 odst. 2 a 3 zákona </w:t>
      </w:r>
      <w:r w:rsidR="00343719" w:rsidRPr="005E53F7">
        <w:rPr>
          <w:rFonts w:ascii="Calibri" w:hAnsi="Calibri" w:cs="Calibri"/>
          <w:szCs w:val="24"/>
        </w:rPr>
        <w:t>o účetnictví</w:t>
      </w:r>
      <w:r w:rsidRPr="005E53F7">
        <w:rPr>
          <w:rFonts w:ascii="Calibri" w:hAnsi="Calibri" w:cs="Calibri"/>
          <w:szCs w:val="24"/>
        </w:rPr>
        <w:t>.</w:t>
      </w:r>
    </w:p>
    <w:p w:rsidR="005239FA" w:rsidRPr="005E53F7" w:rsidRDefault="005239FA" w:rsidP="005E53F7">
      <w:pPr>
        <w:spacing w:line="264" w:lineRule="auto"/>
        <w:rPr>
          <w:rFonts w:ascii="Calibri" w:hAnsi="Calibri" w:cs="Calibri"/>
          <w:szCs w:val="24"/>
        </w:rPr>
      </w:pPr>
    </w:p>
    <w:p w:rsidR="00AA659A" w:rsidRPr="005E53F7" w:rsidRDefault="005E53F7" w:rsidP="005E53F7">
      <w:pPr>
        <w:pStyle w:val="Nadpis2"/>
        <w:numPr>
          <w:ilvl w:val="0"/>
          <w:numId w:val="0"/>
        </w:numPr>
        <w:spacing w:before="0" w:line="264" w:lineRule="auto"/>
        <w:rPr>
          <w:rFonts w:ascii="Calibri" w:hAnsi="Calibri" w:cs="Calibri"/>
          <w:sz w:val="24"/>
          <w:szCs w:val="24"/>
        </w:rPr>
      </w:pPr>
      <w:r>
        <w:rPr>
          <w:rFonts w:ascii="Calibri" w:hAnsi="Calibri" w:cs="Calibri"/>
          <w:sz w:val="24"/>
          <w:szCs w:val="24"/>
        </w:rPr>
        <w:lastRenderedPageBreak/>
        <w:t xml:space="preserve">2. </w:t>
      </w:r>
      <w:r w:rsidR="007B0B1F" w:rsidRPr="005E53F7">
        <w:rPr>
          <w:rFonts w:ascii="Calibri" w:hAnsi="Calibri" w:cs="Calibri"/>
          <w:sz w:val="24"/>
          <w:szCs w:val="24"/>
        </w:rPr>
        <w:t>Úspora státního rozpočtu dosažená vznikem SPÚ</w:t>
      </w:r>
    </w:p>
    <w:p w:rsidR="00F6199D" w:rsidRPr="005E53F7" w:rsidRDefault="00F6199D" w:rsidP="005E53F7">
      <w:pPr>
        <w:spacing w:line="264" w:lineRule="auto"/>
        <w:rPr>
          <w:rFonts w:ascii="Calibri" w:hAnsi="Calibri" w:cs="Calibri"/>
          <w:szCs w:val="24"/>
        </w:rPr>
      </w:pPr>
    </w:p>
    <w:p w:rsidR="00F01CA5" w:rsidRPr="005E53F7" w:rsidRDefault="00F01CA5" w:rsidP="005E53F7">
      <w:pPr>
        <w:pStyle w:val="rove2"/>
        <w:numPr>
          <w:ilvl w:val="0"/>
          <w:numId w:val="0"/>
        </w:numPr>
        <w:spacing w:after="0" w:line="264" w:lineRule="auto"/>
        <w:rPr>
          <w:rFonts w:ascii="Calibri" w:hAnsi="Calibri" w:cs="Calibri"/>
          <w:i w:val="0"/>
        </w:rPr>
      </w:pPr>
      <w:r w:rsidRPr="005E53F7">
        <w:rPr>
          <w:rFonts w:ascii="Calibri" w:hAnsi="Calibri" w:cs="Calibri"/>
          <w:i w:val="0"/>
        </w:rPr>
        <w:t>Dne 11.</w:t>
      </w:r>
      <w:r w:rsidR="00256B81" w:rsidRPr="005E53F7">
        <w:rPr>
          <w:rFonts w:ascii="Calibri" w:hAnsi="Calibri" w:cs="Calibri"/>
          <w:i w:val="0"/>
        </w:rPr>
        <w:t xml:space="preserve"> </w:t>
      </w:r>
      <w:r w:rsidRPr="005E53F7">
        <w:rPr>
          <w:rFonts w:ascii="Calibri" w:hAnsi="Calibri" w:cs="Calibri"/>
          <w:i w:val="0"/>
        </w:rPr>
        <w:t>4.</w:t>
      </w:r>
      <w:r w:rsidR="00256B81" w:rsidRPr="005E53F7">
        <w:rPr>
          <w:rFonts w:ascii="Calibri" w:hAnsi="Calibri" w:cs="Calibri"/>
          <w:i w:val="0"/>
        </w:rPr>
        <w:t xml:space="preserve"> </w:t>
      </w:r>
      <w:r w:rsidRPr="005E53F7">
        <w:rPr>
          <w:rFonts w:ascii="Calibri" w:hAnsi="Calibri" w:cs="Calibri"/>
          <w:i w:val="0"/>
        </w:rPr>
        <w:t xml:space="preserve">2012 </w:t>
      </w:r>
      <w:r w:rsidR="004C7112" w:rsidRPr="005E53F7">
        <w:rPr>
          <w:rFonts w:ascii="Calibri" w:hAnsi="Calibri" w:cs="Calibri"/>
          <w:i w:val="0"/>
        </w:rPr>
        <w:t>předložilo MZe</w:t>
      </w:r>
      <w:r w:rsidRPr="005E53F7">
        <w:rPr>
          <w:rFonts w:ascii="Calibri" w:hAnsi="Calibri" w:cs="Calibri"/>
          <w:i w:val="0"/>
        </w:rPr>
        <w:t xml:space="preserve"> </w:t>
      </w:r>
      <w:r w:rsidR="001C5F4E" w:rsidRPr="005E53F7">
        <w:rPr>
          <w:rFonts w:ascii="Calibri" w:hAnsi="Calibri" w:cs="Calibri"/>
          <w:i w:val="0"/>
        </w:rPr>
        <w:t xml:space="preserve">vládě ČR k projednání </w:t>
      </w:r>
      <w:r w:rsidRPr="005E53F7">
        <w:rPr>
          <w:rFonts w:ascii="Calibri" w:hAnsi="Calibri" w:cs="Calibri"/>
          <w:i w:val="0"/>
        </w:rPr>
        <w:t>návrh zákona o SPÚ. Zákon byl Parlamentem České republiky schválen dne 19.</w:t>
      </w:r>
      <w:r w:rsidR="00256B81" w:rsidRPr="005E53F7">
        <w:rPr>
          <w:rFonts w:ascii="Calibri" w:hAnsi="Calibri" w:cs="Calibri"/>
          <w:i w:val="0"/>
        </w:rPr>
        <w:t xml:space="preserve"> </w:t>
      </w:r>
      <w:r w:rsidRPr="005E53F7">
        <w:rPr>
          <w:rFonts w:ascii="Calibri" w:hAnsi="Calibri" w:cs="Calibri"/>
          <w:i w:val="0"/>
        </w:rPr>
        <w:t>12.</w:t>
      </w:r>
      <w:r w:rsidR="00256B81" w:rsidRPr="005E53F7">
        <w:rPr>
          <w:rFonts w:ascii="Calibri" w:hAnsi="Calibri" w:cs="Calibri"/>
          <w:i w:val="0"/>
        </w:rPr>
        <w:t xml:space="preserve"> </w:t>
      </w:r>
      <w:r w:rsidRPr="005E53F7">
        <w:rPr>
          <w:rFonts w:ascii="Calibri" w:hAnsi="Calibri" w:cs="Calibri"/>
          <w:i w:val="0"/>
        </w:rPr>
        <w:t>2012, je platný od 31.</w:t>
      </w:r>
      <w:r w:rsidR="00256B81" w:rsidRPr="005E53F7">
        <w:rPr>
          <w:rFonts w:ascii="Calibri" w:hAnsi="Calibri" w:cs="Calibri"/>
          <w:i w:val="0"/>
        </w:rPr>
        <w:t xml:space="preserve"> </w:t>
      </w:r>
      <w:r w:rsidRPr="005E53F7">
        <w:rPr>
          <w:rFonts w:ascii="Calibri" w:hAnsi="Calibri" w:cs="Calibri"/>
          <w:i w:val="0"/>
        </w:rPr>
        <w:t>12.</w:t>
      </w:r>
      <w:r w:rsidR="00256B81" w:rsidRPr="005E53F7">
        <w:rPr>
          <w:rFonts w:ascii="Calibri" w:hAnsi="Calibri" w:cs="Calibri"/>
          <w:i w:val="0"/>
        </w:rPr>
        <w:t xml:space="preserve"> </w:t>
      </w:r>
      <w:r w:rsidRPr="005E53F7">
        <w:rPr>
          <w:rFonts w:ascii="Calibri" w:hAnsi="Calibri" w:cs="Calibri"/>
          <w:i w:val="0"/>
        </w:rPr>
        <w:t>2012 a účinný od 1.</w:t>
      </w:r>
      <w:r w:rsidR="00256B81" w:rsidRPr="005E53F7">
        <w:rPr>
          <w:rFonts w:ascii="Calibri" w:hAnsi="Calibri" w:cs="Calibri"/>
          <w:i w:val="0"/>
        </w:rPr>
        <w:t xml:space="preserve"> </w:t>
      </w:r>
      <w:r w:rsidRPr="005E53F7">
        <w:rPr>
          <w:rFonts w:ascii="Calibri" w:hAnsi="Calibri" w:cs="Calibri"/>
          <w:i w:val="0"/>
        </w:rPr>
        <w:t>1.</w:t>
      </w:r>
      <w:r w:rsidR="00256B81" w:rsidRPr="005E53F7">
        <w:rPr>
          <w:rFonts w:ascii="Calibri" w:hAnsi="Calibri" w:cs="Calibri"/>
          <w:i w:val="0"/>
        </w:rPr>
        <w:t xml:space="preserve"> </w:t>
      </w:r>
      <w:r w:rsidRPr="005E53F7">
        <w:rPr>
          <w:rFonts w:ascii="Calibri" w:hAnsi="Calibri" w:cs="Calibri"/>
          <w:i w:val="0"/>
        </w:rPr>
        <w:t>2013.</w:t>
      </w:r>
    </w:p>
    <w:p w:rsidR="00F6199D" w:rsidRPr="005E53F7" w:rsidRDefault="00F6199D" w:rsidP="005E53F7">
      <w:pPr>
        <w:pStyle w:val="rove2"/>
        <w:numPr>
          <w:ilvl w:val="0"/>
          <w:numId w:val="0"/>
        </w:numPr>
        <w:spacing w:after="0" w:line="264" w:lineRule="auto"/>
        <w:rPr>
          <w:rFonts w:ascii="Calibri" w:hAnsi="Calibri" w:cs="Calibri"/>
          <w:i w:val="0"/>
        </w:rPr>
      </w:pPr>
    </w:p>
    <w:p w:rsidR="00D00126" w:rsidRPr="005E53F7" w:rsidRDefault="004C7112" w:rsidP="005E53F7">
      <w:pPr>
        <w:pStyle w:val="rove2"/>
        <w:numPr>
          <w:ilvl w:val="0"/>
          <w:numId w:val="0"/>
        </w:numPr>
        <w:spacing w:after="0" w:line="264" w:lineRule="auto"/>
        <w:rPr>
          <w:rFonts w:ascii="Calibri" w:hAnsi="Calibri" w:cs="Calibri"/>
          <w:i w:val="0"/>
        </w:rPr>
      </w:pPr>
      <w:r w:rsidRPr="005E53F7">
        <w:rPr>
          <w:rFonts w:ascii="Calibri" w:hAnsi="Calibri" w:cs="Calibri"/>
          <w:i w:val="0"/>
        </w:rPr>
        <w:t>V</w:t>
      </w:r>
      <w:r w:rsidR="00256B81" w:rsidRPr="005E53F7">
        <w:rPr>
          <w:rFonts w:ascii="Calibri" w:hAnsi="Calibri" w:cs="Calibri"/>
          <w:i w:val="0"/>
        </w:rPr>
        <w:t xml:space="preserve"> </w:t>
      </w:r>
      <w:r w:rsidRPr="005E53F7">
        <w:rPr>
          <w:rFonts w:ascii="Calibri" w:hAnsi="Calibri" w:cs="Calibri"/>
          <w:i w:val="0"/>
        </w:rPr>
        <w:t>důvodové zprávě zákona o SPÚ je uvedeno</w:t>
      </w:r>
      <w:r w:rsidR="00F01CA5" w:rsidRPr="005E53F7">
        <w:rPr>
          <w:rFonts w:ascii="Calibri" w:hAnsi="Calibri" w:cs="Calibri"/>
          <w:i w:val="0"/>
        </w:rPr>
        <w:t xml:space="preserve">, že </w:t>
      </w:r>
      <w:r w:rsidR="001B2DD1">
        <w:rPr>
          <w:rFonts w:ascii="Calibri" w:hAnsi="Calibri" w:cs="Calibri"/>
          <w:i w:val="0"/>
        </w:rPr>
        <w:t>se</w:t>
      </w:r>
      <w:r w:rsidR="00F01CA5" w:rsidRPr="005E53F7">
        <w:rPr>
          <w:rFonts w:ascii="Calibri" w:hAnsi="Calibri" w:cs="Calibri"/>
          <w:i w:val="0"/>
        </w:rPr>
        <w:t xml:space="preserve"> v</w:t>
      </w:r>
      <w:r w:rsidR="00256B81" w:rsidRPr="005E53F7">
        <w:rPr>
          <w:rFonts w:ascii="Calibri" w:hAnsi="Calibri" w:cs="Calibri"/>
          <w:i w:val="0"/>
        </w:rPr>
        <w:t xml:space="preserve"> </w:t>
      </w:r>
      <w:r w:rsidR="00F01CA5" w:rsidRPr="005E53F7">
        <w:rPr>
          <w:rFonts w:ascii="Calibri" w:hAnsi="Calibri" w:cs="Calibri"/>
          <w:i w:val="0"/>
        </w:rPr>
        <w:t xml:space="preserve">roce 2013 </w:t>
      </w:r>
      <w:r w:rsidR="001B2DD1">
        <w:rPr>
          <w:rFonts w:ascii="Calibri" w:hAnsi="Calibri" w:cs="Calibri"/>
          <w:i w:val="0"/>
        </w:rPr>
        <w:t>očekává</w:t>
      </w:r>
      <w:r w:rsidR="00F01CA5" w:rsidRPr="005E53F7">
        <w:rPr>
          <w:rFonts w:ascii="Calibri" w:hAnsi="Calibri" w:cs="Calibri"/>
          <w:i w:val="0"/>
        </w:rPr>
        <w:t xml:space="preserve"> </w:t>
      </w:r>
      <w:r w:rsidR="005239FA" w:rsidRPr="005E53F7">
        <w:rPr>
          <w:rFonts w:ascii="Calibri" w:hAnsi="Calibri" w:cs="Calibri"/>
          <w:i w:val="0"/>
        </w:rPr>
        <w:t>v</w:t>
      </w:r>
      <w:r w:rsidR="001B2DD1">
        <w:rPr>
          <w:rFonts w:ascii="Calibri" w:hAnsi="Calibri" w:cs="Calibri"/>
          <w:i w:val="0"/>
        </w:rPr>
        <w:t> </w:t>
      </w:r>
      <w:r w:rsidR="005239FA" w:rsidRPr="005E53F7">
        <w:rPr>
          <w:rFonts w:ascii="Calibri" w:hAnsi="Calibri" w:cs="Calibri"/>
          <w:i w:val="0"/>
        </w:rPr>
        <w:t>porovnání s rokem 2012</w:t>
      </w:r>
      <w:r w:rsidR="00343719" w:rsidRPr="005E53F7">
        <w:rPr>
          <w:rFonts w:ascii="Calibri" w:hAnsi="Calibri" w:cs="Calibri"/>
          <w:i w:val="0"/>
        </w:rPr>
        <w:t xml:space="preserve"> </w:t>
      </w:r>
      <w:r w:rsidR="00F01CA5" w:rsidRPr="005E53F7">
        <w:rPr>
          <w:rFonts w:ascii="Calibri" w:hAnsi="Calibri" w:cs="Calibri"/>
          <w:i w:val="0"/>
        </w:rPr>
        <w:t>úspora</w:t>
      </w:r>
      <w:r w:rsidR="00343719" w:rsidRPr="005E53F7">
        <w:rPr>
          <w:rFonts w:ascii="Calibri" w:hAnsi="Calibri" w:cs="Calibri"/>
          <w:i w:val="0"/>
        </w:rPr>
        <w:t xml:space="preserve"> výdajů</w:t>
      </w:r>
      <w:r w:rsidR="00A84F57" w:rsidRPr="005E53F7">
        <w:rPr>
          <w:rFonts w:ascii="Calibri" w:hAnsi="Calibri" w:cs="Calibri"/>
          <w:i w:val="0"/>
        </w:rPr>
        <w:t xml:space="preserve"> státního rozpočtu</w:t>
      </w:r>
      <w:r w:rsidR="00F01CA5" w:rsidRPr="005E53F7">
        <w:rPr>
          <w:rFonts w:ascii="Calibri" w:hAnsi="Calibri" w:cs="Calibri"/>
          <w:i w:val="0"/>
        </w:rPr>
        <w:t xml:space="preserve"> ve výši 227</w:t>
      </w:r>
      <w:r w:rsidR="00256B81" w:rsidRPr="005E53F7">
        <w:rPr>
          <w:rFonts w:ascii="Calibri" w:hAnsi="Calibri" w:cs="Calibri"/>
          <w:i w:val="0"/>
        </w:rPr>
        <w:t xml:space="preserve"> </w:t>
      </w:r>
      <w:r w:rsidR="00F01CA5" w:rsidRPr="005E53F7">
        <w:rPr>
          <w:rFonts w:ascii="Calibri" w:hAnsi="Calibri" w:cs="Calibri"/>
          <w:i w:val="0"/>
        </w:rPr>
        <w:t>593 tis. Kč.</w:t>
      </w:r>
      <w:r w:rsidR="006C625A" w:rsidRPr="005E53F7">
        <w:rPr>
          <w:rFonts w:ascii="Calibri" w:hAnsi="Calibri" w:cs="Calibri"/>
          <w:i w:val="0"/>
        </w:rPr>
        <w:t xml:space="preserve"> Součtem odhadovaných výdajů za Ústřední pozemkový úřad a pozemkové úřady, a předpokládaných výdajů za PF</w:t>
      </w:r>
      <w:r w:rsidR="00256B81" w:rsidRPr="005E53F7">
        <w:rPr>
          <w:rFonts w:ascii="Calibri" w:hAnsi="Calibri" w:cs="Calibri"/>
          <w:i w:val="0"/>
        </w:rPr>
        <w:t xml:space="preserve"> </w:t>
      </w:r>
      <w:r w:rsidR="006C625A" w:rsidRPr="005E53F7">
        <w:rPr>
          <w:rFonts w:ascii="Calibri" w:hAnsi="Calibri" w:cs="Calibri"/>
          <w:i w:val="0"/>
        </w:rPr>
        <w:t>vypočítalo MZe předpokládané výdaje SPÚ v</w:t>
      </w:r>
      <w:r w:rsidR="00256B81" w:rsidRPr="005E53F7">
        <w:rPr>
          <w:rFonts w:ascii="Calibri" w:hAnsi="Calibri" w:cs="Calibri"/>
          <w:i w:val="0"/>
        </w:rPr>
        <w:t xml:space="preserve"> </w:t>
      </w:r>
      <w:r w:rsidR="006C625A" w:rsidRPr="005E53F7">
        <w:rPr>
          <w:rFonts w:ascii="Calibri" w:hAnsi="Calibri" w:cs="Calibri"/>
          <w:i w:val="0"/>
        </w:rPr>
        <w:t>roce 2013.</w:t>
      </w:r>
      <w:r w:rsidR="00F01CA5" w:rsidRPr="005E53F7">
        <w:rPr>
          <w:rFonts w:ascii="Calibri" w:hAnsi="Calibri" w:cs="Calibri"/>
          <w:i w:val="0"/>
        </w:rPr>
        <w:t xml:space="preserve"> </w:t>
      </w:r>
      <w:r w:rsidR="00D00126" w:rsidRPr="005E53F7">
        <w:rPr>
          <w:rFonts w:ascii="Calibri" w:hAnsi="Calibri" w:cs="Calibri"/>
          <w:i w:val="0"/>
        </w:rPr>
        <w:t>V položkách uvedených</w:t>
      </w:r>
      <w:r w:rsidRPr="005E53F7">
        <w:rPr>
          <w:rFonts w:ascii="Calibri" w:hAnsi="Calibri" w:cs="Calibri"/>
          <w:i w:val="0"/>
        </w:rPr>
        <w:t xml:space="preserve"> v</w:t>
      </w:r>
      <w:r w:rsidR="00256B81" w:rsidRPr="005E53F7">
        <w:rPr>
          <w:rFonts w:ascii="Calibri" w:hAnsi="Calibri" w:cs="Calibri"/>
          <w:i w:val="0"/>
        </w:rPr>
        <w:t xml:space="preserve"> </w:t>
      </w:r>
      <w:r w:rsidRPr="005E53F7">
        <w:rPr>
          <w:rFonts w:ascii="Calibri" w:hAnsi="Calibri" w:cs="Calibri"/>
          <w:i w:val="0"/>
        </w:rPr>
        <w:t>důvodové zprávě zákona o SPÚ</w:t>
      </w:r>
      <w:r w:rsidR="00D00126" w:rsidRPr="005E53F7">
        <w:rPr>
          <w:rFonts w:ascii="Calibri" w:hAnsi="Calibri" w:cs="Calibri"/>
          <w:i w:val="0"/>
        </w:rPr>
        <w:t xml:space="preserve"> u PF jako výdaje však MZe uvedlo náklady</w:t>
      </w:r>
      <w:r w:rsidR="00446E97" w:rsidRPr="005E53F7">
        <w:rPr>
          <w:rFonts w:ascii="Calibri" w:hAnsi="Calibri" w:cs="Calibri"/>
          <w:i w:val="0"/>
        </w:rPr>
        <w:t xml:space="preserve"> PF</w:t>
      </w:r>
      <w:r w:rsidR="00D00126" w:rsidRPr="005E53F7">
        <w:rPr>
          <w:rFonts w:ascii="Calibri" w:hAnsi="Calibri" w:cs="Calibri"/>
          <w:i w:val="0"/>
        </w:rPr>
        <w:t>.</w:t>
      </w:r>
      <w:r w:rsidR="006C625A" w:rsidRPr="005E53F7">
        <w:rPr>
          <w:rFonts w:ascii="Calibri" w:hAnsi="Calibri" w:cs="Calibri"/>
          <w:i w:val="0"/>
        </w:rPr>
        <w:t xml:space="preserve"> </w:t>
      </w:r>
    </w:p>
    <w:p w:rsidR="00F6199D" w:rsidRPr="005E53F7" w:rsidRDefault="00F6199D" w:rsidP="005E53F7">
      <w:pPr>
        <w:pStyle w:val="rove2"/>
        <w:numPr>
          <w:ilvl w:val="0"/>
          <w:numId w:val="0"/>
        </w:numPr>
        <w:spacing w:after="0" w:line="264" w:lineRule="auto"/>
        <w:rPr>
          <w:rFonts w:ascii="Calibri" w:hAnsi="Calibri" w:cs="Calibri"/>
          <w:i w:val="0"/>
        </w:rPr>
      </w:pPr>
    </w:p>
    <w:p w:rsidR="00BE3C4E" w:rsidRPr="005E53F7" w:rsidRDefault="00BE3C4E" w:rsidP="005E53F7">
      <w:pPr>
        <w:pStyle w:val="rove2"/>
        <w:numPr>
          <w:ilvl w:val="0"/>
          <w:numId w:val="0"/>
        </w:numPr>
        <w:spacing w:after="0" w:line="264" w:lineRule="auto"/>
        <w:rPr>
          <w:rFonts w:ascii="Calibri" w:hAnsi="Calibri" w:cs="Calibri"/>
          <w:i w:val="0"/>
        </w:rPr>
      </w:pPr>
      <w:r w:rsidRPr="005E53F7">
        <w:rPr>
          <w:rFonts w:ascii="Calibri" w:hAnsi="Calibri" w:cs="Calibri"/>
          <w:i w:val="0"/>
        </w:rPr>
        <w:t xml:space="preserve">MZe odhadlo </w:t>
      </w:r>
      <w:r w:rsidR="00AB4101" w:rsidRPr="005E53F7">
        <w:rPr>
          <w:rFonts w:ascii="Calibri" w:hAnsi="Calibri" w:cs="Calibri"/>
          <w:i w:val="0"/>
        </w:rPr>
        <w:t xml:space="preserve">pro rok 2013 </w:t>
      </w:r>
      <w:r w:rsidRPr="005E53F7">
        <w:rPr>
          <w:rFonts w:ascii="Calibri" w:hAnsi="Calibri" w:cs="Calibri"/>
          <w:i w:val="0"/>
        </w:rPr>
        <w:t>výdaje</w:t>
      </w:r>
      <w:r w:rsidR="00AB4101" w:rsidRPr="005E53F7">
        <w:rPr>
          <w:rFonts w:ascii="Calibri" w:hAnsi="Calibri" w:cs="Calibri"/>
          <w:i w:val="0"/>
        </w:rPr>
        <w:t xml:space="preserve"> SPÚ poměrovým způsobem podle předpokládaného cílového stavu zaměstnanců. </w:t>
      </w:r>
      <w:r w:rsidRPr="005E53F7">
        <w:rPr>
          <w:rFonts w:ascii="Calibri" w:hAnsi="Calibri" w:cs="Calibri"/>
          <w:i w:val="0"/>
        </w:rPr>
        <w:t>V</w:t>
      </w:r>
      <w:r w:rsidR="00AB4101" w:rsidRPr="005E53F7">
        <w:rPr>
          <w:rFonts w:ascii="Calibri" w:hAnsi="Calibri" w:cs="Calibri"/>
          <w:i w:val="0"/>
        </w:rPr>
        <w:t>yčísl</w:t>
      </w:r>
      <w:r w:rsidRPr="005E53F7">
        <w:rPr>
          <w:rFonts w:ascii="Calibri" w:hAnsi="Calibri" w:cs="Calibri"/>
          <w:i w:val="0"/>
        </w:rPr>
        <w:t>ilo</w:t>
      </w:r>
      <w:r w:rsidR="00AB4101" w:rsidRPr="005E53F7">
        <w:rPr>
          <w:rFonts w:ascii="Calibri" w:hAnsi="Calibri" w:cs="Calibri"/>
          <w:i w:val="0"/>
        </w:rPr>
        <w:t xml:space="preserve"> úspory mzdových prostředků ve výši 150</w:t>
      </w:r>
      <w:r w:rsidR="00256B81" w:rsidRPr="005E53F7">
        <w:rPr>
          <w:rFonts w:ascii="Calibri" w:hAnsi="Calibri" w:cs="Calibri"/>
          <w:i w:val="0"/>
        </w:rPr>
        <w:t xml:space="preserve"> </w:t>
      </w:r>
      <w:r w:rsidR="00AB4101" w:rsidRPr="005E53F7">
        <w:rPr>
          <w:rFonts w:ascii="Calibri" w:hAnsi="Calibri" w:cs="Calibri"/>
          <w:i w:val="0"/>
        </w:rPr>
        <w:t>043 tis. Kč, úspory investičních výdajů ve výši 9</w:t>
      </w:r>
      <w:r w:rsidR="00256B81" w:rsidRPr="005E53F7">
        <w:rPr>
          <w:rFonts w:ascii="Calibri" w:hAnsi="Calibri" w:cs="Calibri"/>
          <w:i w:val="0"/>
        </w:rPr>
        <w:t xml:space="preserve"> </w:t>
      </w:r>
      <w:r w:rsidR="00AB4101" w:rsidRPr="005E53F7">
        <w:rPr>
          <w:rFonts w:ascii="Calibri" w:hAnsi="Calibri" w:cs="Calibri"/>
          <w:i w:val="0"/>
        </w:rPr>
        <w:t>700 tis. Kč a úspo</w:t>
      </w:r>
      <w:r w:rsidRPr="005E53F7">
        <w:rPr>
          <w:rFonts w:ascii="Calibri" w:hAnsi="Calibri" w:cs="Calibri"/>
          <w:i w:val="0"/>
        </w:rPr>
        <w:t>ry</w:t>
      </w:r>
      <w:r w:rsidR="00AB4101" w:rsidRPr="005E53F7">
        <w:rPr>
          <w:rFonts w:ascii="Calibri" w:hAnsi="Calibri" w:cs="Calibri"/>
          <w:i w:val="0"/>
        </w:rPr>
        <w:t xml:space="preserve"> ostatních provozních výdajů ve výši 67 850 tis. Kč, celkem tedy 227</w:t>
      </w:r>
      <w:r w:rsidR="00256B81" w:rsidRPr="005E53F7">
        <w:rPr>
          <w:rFonts w:ascii="Calibri" w:hAnsi="Calibri" w:cs="Calibri"/>
          <w:i w:val="0"/>
        </w:rPr>
        <w:t xml:space="preserve"> </w:t>
      </w:r>
      <w:r w:rsidR="00AB4101" w:rsidRPr="005E53F7">
        <w:rPr>
          <w:rFonts w:ascii="Calibri" w:hAnsi="Calibri" w:cs="Calibri"/>
          <w:i w:val="0"/>
        </w:rPr>
        <w:t xml:space="preserve">593 tis. Kč. </w:t>
      </w:r>
    </w:p>
    <w:p w:rsidR="00F6199D" w:rsidRPr="005E53F7" w:rsidRDefault="00F6199D" w:rsidP="005E53F7">
      <w:pPr>
        <w:pStyle w:val="rove2"/>
        <w:numPr>
          <w:ilvl w:val="0"/>
          <w:numId w:val="0"/>
        </w:numPr>
        <w:spacing w:after="0" w:line="264" w:lineRule="auto"/>
        <w:rPr>
          <w:rFonts w:ascii="Calibri" w:hAnsi="Calibri" w:cs="Calibri"/>
          <w:i w:val="0"/>
        </w:rPr>
      </w:pPr>
    </w:p>
    <w:p w:rsidR="00DE6645" w:rsidRPr="005E53F7" w:rsidRDefault="007532D3" w:rsidP="005E53F7">
      <w:pPr>
        <w:pStyle w:val="rove2"/>
        <w:numPr>
          <w:ilvl w:val="0"/>
          <w:numId w:val="0"/>
        </w:numPr>
        <w:spacing w:after="0" w:line="264" w:lineRule="auto"/>
        <w:rPr>
          <w:rFonts w:ascii="Calibri" w:hAnsi="Calibri" w:cs="Calibri"/>
          <w:i w:val="0"/>
        </w:rPr>
      </w:pPr>
      <w:r w:rsidRPr="005E53F7">
        <w:rPr>
          <w:rFonts w:ascii="Calibri" w:hAnsi="Calibri" w:cs="Calibri"/>
          <w:i w:val="0"/>
        </w:rPr>
        <w:t>Dnem nabytí účinnosti zákona o SPÚ přešel výkon práv a povinností z pracovněprávních vztahů k</w:t>
      </w:r>
      <w:r w:rsidR="00256B81" w:rsidRPr="005E53F7">
        <w:rPr>
          <w:rFonts w:ascii="Calibri" w:hAnsi="Calibri" w:cs="Calibri"/>
          <w:i w:val="0"/>
        </w:rPr>
        <w:t xml:space="preserve"> </w:t>
      </w:r>
      <w:r w:rsidRPr="005E53F7">
        <w:rPr>
          <w:rFonts w:ascii="Calibri" w:hAnsi="Calibri" w:cs="Calibri"/>
          <w:i w:val="0"/>
        </w:rPr>
        <w:t>zaměstnancům PF a České republiky (MZe) zařazených v</w:t>
      </w:r>
      <w:r w:rsidR="00256B81" w:rsidRPr="005E53F7">
        <w:rPr>
          <w:rFonts w:ascii="Calibri" w:hAnsi="Calibri" w:cs="Calibri"/>
          <w:i w:val="0"/>
        </w:rPr>
        <w:t xml:space="preserve"> </w:t>
      </w:r>
      <w:r w:rsidRPr="005E53F7">
        <w:rPr>
          <w:rFonts w:ascii="Calibri" w:hAnsi="Calibri" w:cs="Calibri"/>
          <w:i w:val="0"/>
        </w:rPr>
        <w:t>pozemkových úřadech a</w:t>
      </w:r>
      <w:r w:rsidR="00F6199D" w:rsidRPr="005E53F7">
        <w:rPr>
          <w:rFonts w:ascii="Calibri" w:hAnsi="Calibri" w:cs="Calibri"/>
          <w:i w:val="0"/>
        </w:rPr>
        <w:t> </w:t>
      </w:r>
      <w:r w:rsidRPr="005E53F7">
        <w:rPr>
          <w:rFonts w:ascii="Calibri" w:hAnsi="Calibri" w:cs="Calibri"/>
          <w:i w:val="0"/>
        </w:rPr>
        <w:t>Ústředním pozemkovém úřadu na SPÚ</w:t>
      </w:r>
      <w:r w:rsidR="00983EC4" w:rsidRPr="005E53F7">
        <w:rPr>
          <w:rFonts w:ascii="Calibri" w:hAnsi="Calibri" w:cs="Calibri"/>
          <w:i w:val="0"/>
        </w:rPr>
        <w:t>. Počet zaměstnanc</w:t>
      </w:r>
      <w:r w:rsidR="00505ED3" w:rsidRPr="005E53F7">
        <w:rPr>
          <w:rFonts w:ascii="Calibri" w:hAnsi="Calibri" w:cs="Calibri"/>
          <w:i w:val="0"/>
        </w:rPr>
        <w:t>ů MZe zařazených k</w:t>
      </w:r>
      <w:r w:rsidR="00256B81" w:rsidRPr="005E53F7">
        <w:rPr>
          <w:rFonts w:ascii="Calibri" w:hAnsi="Calibri" w:cs="Calibri"/>
          <w:i w:val="0"/>
        </w:rPr>
        <w:t xml:space="preserve"> </w:t>
      </w:r>
      <w:r w:rsidR="00505ED3" w:rsidRPr="005E53F7">
        <w:rPr>
          <w:rFonts w:ascii="Calibri" w:hAnsi="Calibri" w:cs="Calibri"/>
          <w:i w:val="0"/>
        </w:rPr>
        <w:t>datu 31. 12. </w:t>
      </w:r>
      <w:r w:rsidR="00983EC4" w:rsidRPr="005E53F7">
        <w:rPr>
          <w:rFonts w:ascii="Calibri" w:hAnsi="Calibri" w:cs="Calibri"/>
          <w:i w:val="0"/>
        </w:rPr>
        <w:t>2012 v</w:t>
      </w:r>
      <w:r w:rsidR="00256B81" w:rsidRPr="005E53F7">
        <w:rPr>
          <w:rFonts w:ascii="Calibri" w:hAnsi="Calibri" w:cs="Calibri"/>
          <w:i w:val="0"/>
        </w:rPr>
        <w:t xml:space="preserve"> </w:t>
      </w:r>
      <w:r w:rsidR="00983EC4" w:rsidRPr="005E53F7">
        <w:rPr>
          <w:rFonts w:ascii="Calibri" w:hAnsi="Calibri" w:cs="Calibri"/>
          <w:i w:val="0"/>
        </w:rPr>
        <w:t>pozemkových úřadech a Ústředním pozemkovém úřadu činil 935. Vývoj počtu zaměstnanců na PF</w:t>
      </w:r>
      <w:r w:rsidR="001C5F4E">
        <w:rPr>
          <w:rFonts w:ascii="Calibri" w:hAnsi="Calibri" w:cs="Calibri"/>
          <w:i w:val="0"/>
        </w:rPr>
        <w:t>,</w:t>
      </w:r>
      <w:r w:rsidR="00983EC4" w:rsidRPr="005E53F7">
        <w:rPr>
          <w:rFonts w:ascii="Calibri" w:hAnsi="Calibri" w:cs="Calibri"/>
          <w:i w:val="0"/>
        </w:rPr>
        <w:t xml:space="preserve"> resp. na SPÚ</w:t>
      </w:r>
      <w:r w:rsidR="001C5F4E">
        <w:rPr>
          <w:rFonts w:ascii="Calibri" w:hAnsi="Calibri" w:cs="Calibri"/>
          <w:i w:val="0"/>
        </w:rPr>
        <w:t>,</w:t>
      </w:r>
      <w:r w:rsidR="00983EC4" w:rsidRPr="005E53F7">
        <w:rPr>
          <w:rFonts w:ascii="Calibri" w:hAnsi="Calibri" w:cs="Calibri"/>
          <w:i w:val="0"/>
        </w:rPr>
        <w:t xml:space="preserve"> je uveden v</w:t>
      </w:r>
      <w:r w:rsidR="00256B81" w:rsidRPr="005E53F7">
        <w:rPr>
          <w:rFonts w:ascii="Calibri" w:hAnsi="Calibri" w:cs="Calibri"/>
          <w:i w:val="0"/>
        </w:rPr>
        <w:t xml:space="preserve"> </w:t>
      </w:r>
      <w:r w:rsidR="00983EC4" w:rsidRPr="005E53F7">
        <w:rPr>
          <w:rFonts w:ascii="Calibri" w:hAnsi="Calibri" w:cs="Calibri"/>
          <w:i w:val="0"/>
        </w:rPr>
        <w:t>tabulce č.</w:t>
      </w:r>
      <w:r w:rsidR="00F9500E" w:rsidRPr="005E53F7">
        <w:rPr>
          <w:rFonts w:ascii="Calibri" w:hAnsi="Calibri" w:cs="Calibri"/>
          <w:i w:val="0"/>
        </w:rPr>
        <w:t xml:space="preserve"> </w:t>
      </w:r>
      <w:r w:rsidR="00BE3C4E" w:rsidRPr="005E53F7">
        <w:rPr>
          <w:rFonts w:ascii="Calibri" w:hAnsi="Calibri" w:cs="Calibri"/>
          <w:i w:val="0"/>
        </w:rPr>
        <w:t>1</w:t>
      </w:r>
      <w:r w:rsidR="00F9500E" w:rsidRPr="005E53F7">
        <w:rPr>
          <w:rFonts w:ascii="Calibri" w:hAnsi="Calibri" w:cs="Calibri"/>
          <w:i w:val="0"/>
        </w:rPr>
        <w:t>.</w:t>
      </w:r>
    </w:p>
    <w:p w:rsidR="00BE3C4E" w:rsidRPr="005E53F7" w:rsidRDefault="00BE3C4E" w:rsidP="005E53F7">
      <w:pPr>
        <w:spacing w:line="264" w:lineRule="auto"/>
        <w:rPr>
          <w:rFonts w:ascii="Calibri" w:eastAsia="Times New Roman" w:hAnsi="Calibri" w:cs="Calibri"/>
          <w:szCs w:val="24"/>
        </w:rPr>
      </w:pPr>
    </w:p>
    <w:p w:rsidR="00B17D83" w:rsidRPr="009C000B" w:rsidRDefault="00B17D83" w:rsidP="005E53F7">
      <w:pPr>
        <w:spacing w:after="40"/>
        <w:rPr>
          <w:rFonts w:eastAsia="Times New Roman" w:cs="Times New Roman"/>
          <w:b/>
          <w:szCs w:val="24"/>
        </w:rPr>
      </w:pPr>
      <w:r w:rsidRPr="009C000B">
        <w:rPr>
          <w:rFonts w:eastAsia="Times New Roman" w:cs="Times New Roman"/>
          <w:b/>
          <w:szCs w:val="24"/>
        </w:rPr>
        <w:t>Tabulka č.</w:t>
      </w:r>
      <w:r w:rsidR="00BE3C4E" w:rsidRPr="009C000B">
        <w:rPr>
          <w:rFonts w:eastAsia="Times New Roman" w:cs="Times New Roman"/>
          <w:b/>
          <w:szCs w:val="24"/>
        </w:rPr>
        <w:t xml:space="preserve"> 1</w:t>
      </w:r>
      <w:r w:rsidRPr="009C000B">
        <w:rPr>
          <w:rFonts w:eastAsia="Times New Roman" w:cs="Times New Roman"/>
          <w:b/>
          <w:szCs w:val="24"/>
        </w:rPr>
        <w:t xml:space="preserve"> </w:t>
      </w:r>
      <w:r w:rsidR="009C000B">
        <w:rPr>
          <w:rFonts w:eastAsia="Times New Roman" w:cs="Times New Roman"/>
          <w:b/>
          <w:szCs w:val="24"/>
        </w:rPr>
        <w:t>– Počty zaměstnanců</w:t>
      </w:r>
    </w:p>
    <w:tbl>
      <w:tblPr>
        <w:tblStyle w:val="Mkatabulky"/>
        <w:tblW w:w="9075" w:type="dxa"/>
        <w:jc w:val="center"/>
        <w:tblLook w:val="04A0" w:firstRow="1" w:lastRow="0" w:firstColumn="1" w:lastColumn="0" w:noHBand="0" w:noVBand="1"/>
      </w:tblPr>
      <w:tblGrid>
        <w:gridCol w:w="1645"/>
        <w:gridCol w:w="1100"/>
        <w:gridCol w:w="1072"/>
        <w:gridCol w:w="850"/>
        <w:gridCol w:w="985"/>
        <w:gridCol w:w="965"/>
        <w:gridCol w:w="1229"/>
        <w:gridCol w:w="1229"/>
      </w:tblGrid>
      <w:tr w:rsidR="005E53F7" w:rsidRPr="005E53F7" w:rsidTr="005E53F7">
        <w:trPr>
          <w:trHeight w:val="227"/>
          <w:jc w:val="center"/>
        </w:trPr>
        <w:tc>
          <w:tcPr>
            <w:tcW w:w="1645" w:type="dxa"/>
            <w:shd w:val="clear" w:color="auto" w:fill="F2F2F2" w:themeFill="background1" w:themeFillShade="F2"/>
            <w:vAlign w:val="center"/>
          </w:tcPr>
          <w:p w:rsidR="00BC7503" w:rsidRPr="005E53F7" w:rsidRDefault="00BC7503" w:rsidP="00F6199D">
            <w:pPr>
              <w:jc w:val="center"/>
              <w:rPr>
                <w:rFonts w:ascii="Calibri" w:eastAsia="Times New Roman" w:hAnsi="Calibri" w:cs="Calibri"/>
                <w:b/>
                <w:color w:val="000000" w:themeColor="text1"/>
                <w:sz w:val="18"/>
                <w:szCs w:val="18"/>
              </w:rPr>
            </w:pPr>
          </w:p>
        </w:tc>
        <w:tc>
          <w:tcPr>
            <w:tcW w:w="3022" w:type="dxa"/>
            <w:gridSpan w:val="3"/>
            <w:shd w:val="clear" w:color="auto" w:fill="F2F2F2" w:themeFill="background1" w:themeFillShade="F2"/>
            <w:vAlign w:val="center"/>
          </w:tcPr>
          <w:p w:rsidR="00BC7503" w:rsidRPr="005E53F7" w:rsidRDefault="00BC7503" w:rsidP="00F6199D">
            <w:pPr>
              <w:jc w:val="center"/>
              <w:rPr>
                <w:rFonts w:ascii="Calibri" w:eastAsia="Times New Roman" w:hAnsi="Calibri" w:cs="Calibri"/>
                <w:b/>
                <w:color w:val="000000" w:themeColor="text1"/>
                <w:sz w:val="18"/>
                <w:szCs w:val="18"/>
              </w:rPr>
            </w:pPr>
            <w:r w:rsidRPr="005E53F7">
              <w:rPr>
                <w:rFonts w:ascii="Calibri" w:eastAsia="Times New Roman" w:hAnsi="Calibri" w:cs="Calibri"/>
                <w:b/>
                <w:color w:val="000000" w:themeColor="text1"/>
                <w:sz w:val="18"/>
                <w:szCs w:val="18"/>
              </w:rPr>
              <w:t>PF</w:t>
            </w:r>
          </w:p>
        </w:tc>
        <w:tc>
          <w:tcPr>
            <w:tcW w:w="985" w:type="dxa"/>
            <w:shd w:val="clear" w:color="auto" w:fill="F2F2F2" w:themeFill="background1" w:themeFillShade="F2"/>
          </w:tcPr>
          <w:p w:rsidR="00BC7503" w:rsidRPr="005E53F7" w:rsidRDefault="00BC7503" w:rsidP="005E53F7">
            <w:pPr>
              <w:ind w:left="-142" w:right="-81"/>
              <w:jc w:val="center"/>
              <w:rPr>
                <w:rFonts w:ascii="Calibri" w:eastAsia="Times New Roman" w:hAnsi="Calibri" w:cs="Calibri"/>
                <w:b/>
                <w:color w:val="000000" w:themeColor="text1"/>
                <w:sz w:val="18"/>
                <w:szCs w:val="18"/>
              </w:rPr>
            </w:pPr>
            <w:r w:rsidRPr="005E53F7">
              <w:rPr>
                <w:rFonts w:ascii="Calibri" w:eastAsia="Times New Roman" w:hAnsi="Calibri" w:cs="Calibri"/>
                <w:b/>
                <w:color w:val="000000" w:themeColor="text1"/>
                <w:sz w:val="18"/>
                <w:szCs w:val="18"/>
              </w:rPr>
              <w:t>ÚPÚ a PÚ*</w:t>
            </w:r>
          </w:p>
        </w:tc>
        <w:tc>
          <w:tcPr>
            <w:tcW w:w="3423" w:type="dxa"/>
            <w:gridSpan w:val="3"/>
            <w:shd w:val="clear" w:color="auto" w:fill="F2F2F2" w:themeFill="background1" w:themeFillShade="F2"/>
            <w:vAlign w:val="center"/>
          </w:tcPr>
          <w:p w:rsidR="00BC7503" w:rsidRPr="005E53F7" w:rsidRDefault="00BC7503" w:rsidP="00F6199D">
            <w:pPr>
              <w:jc w:val="center"/>
              <w:rPr>
                <w:rFonts w:ascii="Calibri" w:eastAsia="Times New Roman" w:hAnsi="Calibri" w:cs="Calibri"/>
                <w:b/>
                <w:color w:val="000000" w:themeColor="text1"/>
                <w:sz w:val="18"/>
                <w:szCs w:val="18"/>
              </w:rPr>
            </w:pPr>
            <w:r w:rsidRPr="005E53F7">
              <w:rPr>
                <w:rFonts w:ascii="Calibri" w:eastAsia="Times New Roman" w:hAnsi="Calibri" w:cs="Calibri"/>
                <w:b/>
                <w:color w:val="000000" w:themeColor="text1"/>
                <w:sz w:val="18"/>
                <w:szCs w:val="18"/>
              </w:rPr>
              <w:t>SPÚ</w:t>
            </w:r>
          </w:p>
        </w:tc>
      </w:tr>
      <w:tr w:rsidR="005E53F7" w:rsidRPr="005E53F7" w:rsidTr="005E53F7">
        <w:trPr>
          <w:trHeight w:val="227"/>
          <w:jc w:val="center"/>
        </w:trPr>
        <w:tc>
          <w:tcPr>
            <w:tcW w:w="1645" w:type="dxa"/>
            <w:shd w:val="clear" w:color="auto" w:fill="F2F2F2" w:themeFill="background1" w:themeFillShade="F2"/>
            <w:vAlign w:val="center"/>
          </w:tcPr>
          <w:p w:rsidR="00BC7503" w:rsidRPr="005E53F7" w:rsidRDefault="00BC7503" w:rsidP="00F6199D">
            <w:pPr>
              <w:jc w:val="left"/>
              <w:rPr>
                <w:rFonts w:ascii="Calibri" w:eastAsia="Times New Roman" w:hAnsi="Calibri" w:cs="Calibri"/>
                <w:b/>
                <w:color w:val="000000" w:themeColor="text1"/>
                <w:sz w:val="18"/>
                <w:szCs w:val="18"/>
              </w:rPr>
            </w:pPr>
            <w:r w:rsidRPr="005E53F7">
              <w:rPr>
                <w:rFonts w:ascii="Calibri" w:eastAsia="Times New Roman" w:hAnsi="Calibri" w:cs="Calibri"/>
                <w:b/>
                <w:color w:val="000000" w:themeColor="text1"/>
                <w:sz w:val="18"/>
                <w:szCs w:val="18"/>
              </w:rPr>
              <w:t>K datu</w:t>
            </w:r>
          </w:p>
        </w:tc>
        <w:tc>
          <w:tcPr>
            <w:tcW w:w="1100" w:type="dxa"/>
            <w:shd w:val="clear" w:color="auto" w:fill="F2F2F2" w:themeFill="background1" w:themeFillShade="F2"/>
            <w:vAlign w:val="center"/>
          </w:tcPr>
          <w:p w:rsidR="00BC7503" w:rsidRPr="005E53F7" w:rsidRDefault="00BC7503" w:rsidP="005E53F7">
            <w:pPr>
              <w:ind w:left="-75" w:right="-33"/>
              <w:jc w:val="center"/>
              <w:rPr>
                <w:rFonts w:ascii="Calibri" w:eastAsia="Times New Roman" w:hAnsi="Calibri" w:cs="Calibri"/>
                <w:b/>
                <w:color w:val="000000" w:themeColor="text1"/>
                <w:sz w:val="18"/>
                <w:szCs w:val="18"/>
              </w:rPr>
            </w:pPr>
            <w:r w:rsidRPr="005E53F7">
              <w:rPr>
                <w:rFonts w:ascii="Calibri" w:eastAsia="Times New Roman" w:hAnsi="Calibri" w:cs="Calibri"/>
                <w:b/>
                <w:color w:val="000000" w:themeColor="text1"/>
                <w:sz w:val="18"/>
                <w:szCs w:val="18"/>
              </w:rPr>
              <w:t>31. 12. 2010</w:t>
            </w:r>
          </w:p>
        </w:tc>
        <w:tc>
          <w:tcPr>
            <w:tcW w:w="1072" w:type="dxa"/>
            <w:shd w:val="clear" w:color="auto" w:fill="F2F2F2" w:themeFill="background1" w:themeFillShade="F2"/>
            <w:vAlign w:val="center"/>
          </w:tcPr>
          <w:p w:rsidR="00BC7503" w:rsidRPr="005E53F7" w:rsidRDefault="00BC7503" w:rsidP="005E53F7">
            <w:pPr>
              <w:ind w:right="-147" w:hanging="131"/>
              <w:jc w:val="center"/>
              <w:rPr>
                <w:rFonts w:ascii="Calibri" w:eastAsia="Times New Roman" w:hAnsi="Calibri" w:cs="Calibri"/>
                <w:b/>
                <w:color w:val="000000" w:themeColor="text1"/>
                <w:sz w:val="18"/>
                <w:szCs w:val="18"/>
              </w:rPr>
            </w:pPr>
            <w:r w:rsidRPr="005E53F7">
              <w:rPr>
                <w:rFonts w:ascii="Calibri" w:eastAsia="Times New Roman" w:hAnsi="Calibri" w:cs="Calibri"/>
                <w:b/>
                <w:color w:val="000000" w:themeColor="text1"/>
                <w:sz w:val="18"/>
                <w:szCs w:val="18"/>
              </w:rPr>
              <w:t>31. 12. 2011</w:t>
            </w:r>
          </w:p>
        </w:tc>
        <w:tc>
          <w:tcPr>
            <w:tcW w:w="1835" w:type="dxa"/>
            <w:gridSpan w:val="2"/>
            <w:shd w:val="clear" w:color="auto" w:fill="F2F2F2" w:themeFill="background1" w:themeFillShade="F2"/>
            <w:vAlign w:val="center"/>
          </w:tcPr>
          <w:p w:rsidR="00BC7503" w:rsidRPr="005E53F7" w:rsidRDefault="00BC7503" w:rsidP="00F6199D">
            <w:pPr>
              <w:jc w:val="center"/>
              <w:rPr>
                <w:rFonts w:ascii="Calibri" w:eastAsia="Times New Roman" w:hAnsi="Calibri" w:cs="Calibri"/>
                <w:b/>
                <w:color w:val="000000" w:themeColor="text1"/>
                <w:sz w:val="18"/>
                <w:szCs w:val="18"/>
              </w:rPr>
            </w:pPr>
            <w:r w:rsidRPr="005E53F7">
              <w:rPr>
                <w:rFonts w:ascii="Calibri" w:eastAsia="Times New Roman" w:hAnsi="Calibri" w:cs="Calibri"/>
                <w:b/>
                <w:color w:val="000000" w:themeColor="text1"/>
                <w:sz w:val="18"/>
                <w:szCs w:val="18"/>
              </w:rPr>
              <w:t>31. 12. 2012</w:t>
            </w:r>
          </w:p>
        </w:tc>
        <w:tc>
          <w:tcPr>
            <w:tcW w:w="965" w:type="dxa"/>
            <w:shd w:val="clear" w:color="auto" w:fill="F2F2F2" w:themeFill="background1" w:themeFillShade="F2"/>
            <w:vAlign w:val="center"/>
          </w:tcPr>
          <w:p w:rsidR="00BC7503" w:rsidRPr="005E53F7" w:rsidRDefault="00BC7503" w:rsidP="00F6199D">
            <w:pPr>
              <w:jc w:val="center"/>
              <w:rPr>
                <w:rFonts w:ascii="Calibri" w:eastAsia="Times New Roman" w:hAnsi="Calibri" w:cs="Calibri"/>
                <w:b/>
                <w:color w:val="000000" w:themeColor="text1"/>
                <w:sz w:val="18"/>
                <w:szCs w:val="18"/>
              </w:rPr>
            </w:pPr>
            <w:r w:rsidRPr="005E53F7">
              <w:rPr>
                <w:rFonts w:ascii="Calibri" w:eastAsia="Times New Roman" w:hAnsi="Calibri" w:cs="Calibri"/>
                <w:b/>
                <w:color w:val="000000" w:themeColor="text1"/>
                <w:sz w:val="18"/>
                <w:szCs w:val="18"/>
              </w:rPr>
              <w:t>1. 1. 2013</w:t>
            </w:r>
          </w:p>
        </w:tc>
        <w:tc>
          <w:tcPr>
            <w:tcW w:w="1229" w:type="dxa"/>
            <w:shd w:val="clear" w:color="auto" w:fill="F2F2F2" w:themeFill="background1" w:themeFillShade="F2"/>
            <w:vAlign w:val="center"/>
          </w:tcPr>
          <w:p w:rsidR="00BC7503" w:rsidRPr="005E53F7" w:rsidRDefault="00BC7503" w:rsidP="00F6199D">
            <w:pPr>
              <w:jc w:val="center"/>
              <w:rPr>
                <w:rFonts w:ascii="Calibri" w:eastAsia="Times New Roman" w:hAnsi="Calibri" w:cs="Calibri"/>
                <w:b/>
                <w:color w:val="000000" w:themeColor="text1"/>
                <w:sz w:val="18"/>
                <w:szCs w:val="18"/>
              </w:rPr>
            </w:pPr>
            <w:r w:rsidRPr="005E53F7">
              <w:rPr>
                <w:rFonts w:ascii="Calibri" w:eastAsia="Times New Roman" w:hAnsi="Calibri" w:cs="Calibri"/>
                <w:b/>
                <w:color w:val="000000" w:themeColor="text1"/>
                <w:sz w:val="18"/>
                <w:szCs w:val="18"/>
              </w:rPr>
              <w:t>31. 12. 2013</w:t>
            </w:r>
          </w:p>
        </w:tc>
        <w:tc>
          <w:tcPr>
            <w:tcW w:w="1229" w:type="dxa"/>
            <w:shd w:val="clear" w:color="auto" w:fill="F2F2F2" w:themeFill="background1" w:themeFillShade="F2"/>
            <w:vAlign w:val="center"/>
          </w:tcPr>
          <w:p w:rsidR="00BC7503" w:rsidRPr="005E53F7" w:rsidRDefault="00BC7503" w:rsidP="00F6199D">
            <w:pPr>
              <w:jc w:val="center"/>
              <w:rPr>
                <w:rFonts w:ascii="Calibri" w:eastAsia="Times New Roman" w:hAnsi="Calibri" w:cs="Calibri"/>
                <w:b/>
                <w:color w:val="000000" w:themeColor="text1"/>
                <w:sz w:val="18"/>
                <w:szCs w:val="18"/>
              </w:rPr>
            </w:pPr>
            <w:r w:rsidRPr="005E53F7">
              <w:rPr>
                <w:rFonts w:ascii="Calibri" w:eastAsia="Times New Roman" w:hAnsi="Calibri" w:cs="Calibri"/>
                <w:b/>
                <w:color w:val="000000" w:themeColor="text1"/>
                <w:sz w:val="18"/>
                <w:szCs w:val="18"/>
              </w:rPr>
              <w:t>31. 12. 2014</w:t>
            </w:r>
          </w:p>
        </w:tc>
      </w:tr>
      <w:tr w:rsidR="005E53F7" w:rsidRPr="005E53F7" w:rsidTr="005E53F7">
        <w:trPr>
          <w:trHeight w:val="227"/>
          <w:jc w:val="center"/>
        </w:trPr>
        <w:tc>
          <w:tcPr>
            <w:tcW w:w="1645" w:type="dxa"/>
            <w:vAlign w:val="center"/>
          </w:tcPr>
          <w:p w:rsidR="00BC7503" w:rsidRPr="005E53F7" w:rsidRDefault="00BC7503" w:rsidP="00F6199D">
            <w:pPr>
              <w:rPr>
                <w:rFonts w:ascii="Calibri" w:eastAsia="Times New Roman" w:hAnsi="Calibri" w:cs="Calibri"/>
                <w:color w:val="000000" w:themeColor="text1"/>
                <w:sz w:val="18"/>
                <w:szCs w:val="18"/>
              </w:rPr>
            </w:pPr>
            <w:r w:rsidRPr="005E53F7">
              <w:rPr>
                <w:rFonts w:ascii="Calibri" w:eastAsia="Times New Roman" w:hAnsi="Calibri" w:cs="Calibri"/>
                <w:color w:val="000000" w:themeColor="text1"/>
                <w:sz w:val="18"/>
                <w:szCs w:val="18"/>
              </w:rPr>
              <w:t>Počet zaměstnanců</w:t>
            </w:r>
          </w:p>
        </w:tc>
        <w:tc>
          <w:tcPr>
            <w:tcW w:w="1100" w:type="dxa"/>
            <w:vAlign w:val="center"/>
          </w:tcPr>
          <w:p w:rsidR="00BC7503" w:rsidRPr="005E53F7" w:rsidRDefault="00BC7503" w:rsidP="00F6199D">
            <w:pPr>
              <w:jc w:val="center"/>
              <w:rPr>
                <w:rFonts w:ascii="Calibri" w:eastAsia="Times New Roman" w:hAnsi="Calibri" w:cs="Calibri"/>
                <w:color w:val="000000" w:themeColor="text1"/>
                <w:sz w:val="18"/>
                <w:szCs w:val="18"/>
              </w:rPr>
            </w:pPr>
            <w:r w:rsidRPr="005E53F7">
              <w:rPr>
                <w:rFonts w:ascii="Calibri" w:eastAsia="Times New Roman" w:hAnsi="Calibri" w:cs="Calibri"/>
                <w:color w:val="000000" w:themeColor="text1"/>
                <w:sz w:val="18"/>
                <w:szCs w:val="18"/>
              </w:rPr>
              <w:t>899</w:t>
            </w:r>
          </w:p>
        </w:tc>
        <w:tc>
          <w:tcPr>
            <w:tcW w:w="1072" w:type="dxa"/>
            <w:vAlign w:val="center"/>
          </w:tcPr>
          <w:p w:rsidR="00BC7503" w:rsidRPr="005E53F7" w:rsidRDefault="00BC7503" w:rsidP="00F6199D">
            <w:pPr>
              <w:jc w:val="center"/>
              <w:rPr>
                <w:rFonts w:ascii="Calibri" w:eastAsia="Times New Roman" w:hAnsi="Calibri" w:cs="Calibri"/>
                <w:color w:val="000000" w:themeColor="text1"/>
                <w:sz w:val="18"/>
                <w:szCs w:val="18"/>
              </w:rPr>
            </w:pPr>
            <w:r w:rsidRPr="005E53F7">
              <w:rPr>
                <w:rFonts w:ascii="Calibri" w:eastAsia="Times New Roman" w:hAnsi="Calibri" w:cs="Calibri"/>
                <w:color w:val="000000" w:themeColor="text1"/>
                <w:sz w:val="18"/>
                <w:szCs w:val="18"/>
              </w:rPr>
              <w:t>819</w:t>
            </w:r>
          </w:p>
        </w:tc>
        <w:tc>
          <w:tcPr>
            <w:tcW w:w="850" w:type="dxa"/>
            <w:vAlign w:val="center"/>
          </w:tcPr>
          <w:p w:rsidR="00BC7503" w:rsidRPr="005E53F7" w:rsidRDefault="00BC7503" w:rsidP="00F6199D">
            <w:pPr>
              <w:jc w:val="center"/>
              <w:rPr>
                <w:rFonts w:ascii="Calibri" w:eastAsia="Times New Roman" w:hAnsi="Calibri" w:cs="Calibri"/>
                <w:color w:val="000000" w:themeColor="text1"/>
                <w:sz w:val="18"/>
                <w:szCs w:val="18"/>
              </w:rPr>
            </w:pPr>
            <w:r w:rsidRPr="005E53F7">
              <w:rPr>
                <w:rFonts w:ascii="Calibri" w:eastAsia="Times New Roman" w:hAnsi="Calibri" w:cs="Calibri"/>
                <w:color w:val="000000" w:themeColor="text1"/>
                <w:sz w:val="18"/>
                <w:szCs w:val="18"/>
              </w:rPr>
              <w:t>721</w:t>
            </w:r>
          </w:p>
        </w:tc>
        <w:tc>
          <w:tcPr>
            <w:tcW w:w="985" w:type="dxa"/>
            <w:vAlign w:val="center"/>
          </w:tcPr>
          <w:p w:rsidR="00BC7503" w:rsidRPr="005E53F7" w:rsidRDefault="00BC7503" w:rsidP="00F6199D">
            <w:pPr>
              <w:jc w:val="center"/>
              <w:rPr>
                <w:rFonts w:ascii="Calibri" w:eastAsia="Times New Roman" w:hAnsi="Calibri" w:cs="Calibri"/>
                <w:color w:val="000000" w:themeColor="text1"/>
                <w:sz w:val="18"/>
                <w:szCs w:val="18"/>
              </w:rPr>
            </w:pPr>
            <w:r w:rsidRPr="005E53F7">
              <w:rPr>
                <w:rFonts w:ascii="Calibri" w:eastAsia="Times New Roman" w:hAnsi="Calibri" w:cs="Calibri"/>
                <w:color w:val="000000" w:themeColor="text1"/>
                <w:sz w:val="18"/>
                <w:szCs w:val="18"/>
              </w:rPr>
              <w:t>935</w:t>
            </w:r>
          </w:p>
        </w:tc>
        <w:tc>
          <w:tcPr>
            <w:tcW w:w="965" w:type="dxa"/>
            <w:vAlign w:val="center"/>
          </w:tcPr>
          <w:p w:rsidR="00BC7503" w:rsidRPr="005E53F7" w:rsidRDefault="00BC7503" w:rsidP="00F6199D">
            <w:pPr>
              <w:jc w:val="center"/>
              <w:rPr>
                <w:rFonts w:ascii="Calibri" w:eastAsia="Times New Roman" w:hAnsi="Calibri" w:cs="Calibri"/>
                <w:color w:val="000000" w:themeColor="text1"/>
                <w:sz w:val="18"/>
                <w:szCs w:val="18"/>
              </w:rPr>
            </w:pPr>
            <w:r w:rsidRPr="005E53F7">
              <w:rPr>
                <w:rFonts w:ascii="Calibri" w:eastAsia="Times New Roman" w:hAnsi="Calibri" w:cs="Calibri"/>
                <w:color w:val="000000" w:themeColor="text1"/>
                <w:sz w:val="18"/>
                <w:szCs w:val="18"/>
              </w:rPr>
              <w:t xml:space="preserve">1558 </w:t>
            </w:r>
          </w:p>
        </w:tc>
        <w:tc>
          <w:tcPr>
            <w:tcW w:w="1229" w:type="dxa"/>
            <w:vAlign w:val="center"/>
          </w:tcPr>
          <w:p w:rsidR="00BC7503" w:rsidRPr="005E53F7" w:rsidRDefault="00BC7503" w:rsidP="00F6199D">
            <w:pPr>
              <w:jc w:val="center"/>
              <w:rPr>
                <w:rFonts w:ascii="Calibri" w:eastAsia="Times New Roman" w:hAnsi="Calibri" w:cs="Calibri"/>
                <w:color w:val="000000" w:themeColor="text1"/>
                <w:sz w:val="18"/>
                <w:szCs w:val="18"/>
              </w:rPr>
            </w:pPr>
            <w:r w:rsidRPr="005E53F7">
              <w:rPr>
                <w:rFonts w:ascii="Calibri" w:eastAsia="Times New Roman" w:hAnsi="Calibri" w:cs="Calibri"/>
                <w:color w:val="000000" w:themeColor="text1"/>
                <w:sz w:val="18"/>
                <w:szCs w:val="18"/>
              </w:rPr>
              <w:t>1200</w:t>
            </w:r>
          </w:p>
        </w:tc>
        <w:tc>
          <w:tcPr>
            <w:tcW w:w="1229" w:type="dxa"/>
            <w:vAlign w:val="center"/>
          </w:tcPr>
          <w:p w:rsidR="00BC7503" w:rsidRPr="005E53F7" w:rsidRDefault="00BC7503" w:rsidP="00F6199D">
            <w:pPr>
              <w:jc w:val="center"/>
              <w:rPr>
                <w:rFonts w:ascii="Calibri" w:eastAsia="Times New Roman" w:hAnsi="Calibri" w:cs="Calibri"/>
                <w:color w:val="000000" w:themeColor="text1"/>
                <w:sz w:val="18"/>
                <w:szCs w:val="18"/>
              </w:rPr>
            </w:pPr>
            <w:r w:rsidRPr="005E53F7">
              <w:rPr>
                <w:rFonts w:ascii="Calibri" w:eastAsia="Times New Roman" w:hAnsi="Calibri" w:cs="Calibri"/>
                <w:color w:val="000000" w:themeColor="text1"/>
                <w:sz w:val="18"/>
                <w:szCs w:val="18"/>
              </w:rPr>
              <w:t>1415</w:t>
            </w:r>
          </w:p>
        </w:tc>
      </w:tr>
    </w:tbl>
    <w:p w:rsidR="00B17D83" w:rsidRDefault="00B17D83" w:rsidP="005E53F7">
      <w:pPr>
        <w:spacing w:before="40"/>
        <w:rPr>
          <w:rFonts w:eastAsia="Times New Roman" w:cs="Times New Roman"/>
          <w:sz w:val="20"/>
          <w:szCs w:val="20"/>
        </w:rPr>
      </w:pPr>
      <w:r w:rsidRPr="00E4328D">
        <w:rPr>
          <w:rFonts w:eastAsia="Times New Roman" w:cs="Times New Roman"/>
          <w:b/>
          <w:sz w:val="20"/>
          <w:szCs w:val="20"/>
        </w:rPr>
        <w:t>Zdroj:</w:t>
      </w:r>
      <w:r w:rsidRPr="00B17D83">
        <w:rPr>
          <w:rFonts w:eastAsia="Times New Roman" w:cs="Times New Roman"/>
          <w:sz w:val="20"/>
          <w:szCs w:val="20"/>
        </w:rPr>
        <w:t xml:space="preserve"> </w:t>
      </w:r>
      <w:r w:rsidR="001B2DD1">
        <w:rPr>
          <w:rFonts w:eastAsia="Times New Roman" w:cs="Times New Roman"/>
          <w:sz w:val="20"/>
          <w:szCs w:val="20"/>
        </w:rPr>
        <w:t>p</w:t>
      </w:r>
      <w:r w:rsidRPr="00B17D83">
        <w:rPr>
          <w:rFonts w:eastAsia="Times New Roman" w:cs="Times New Roman"/>
          <w:sz w:val="20"/>
          <w:szCs w:val="20"/>
        </w:rPr>
        <w:t>ředložená informace od SPÚ</w:t>
      </w:r>
      <w:r w:rsidR="00E4328D">
        <w:rPr>
          <w:rFonts w:eastAsia="Times New Roman" w:cs="Times New Roman"/>
          <w:sz w:val="20"/>
          <w:szCs w:val="20"/>
        </w:rPr>
        <w:t>.</w:t>
      </w:r>
    </w:p>
    <w:p w:rsidR="00BC7503" w:rsidRPr="00B17D83" w:rsidRDefault="00BC7503" w:rsidP="00F6199D">
      <w:pPr>
        <w:rPr>
          <w:rFonts w:eastAsia="Times New Roman" w:cs="Times New Roman"/>
          <w:sz w:val="20"/>
          <w:szCs w:val="20"/>
        </w:rPr>
      </w:pPr>
      <w:r>
        <w:rPr>
          <w:rFonts w:eastAsia="Times New Roman" w:cs="Times New Roman"/>
          <w:sz w:val="20"/>
          <w:szCs w:val="20"/>
        </w:rPr>
        <w:t>* Ústřední pozemkový úřad a pozemkové úřady na MZe</w:t>
      </w:r>
      <w:r w:rsidR="001B2DD1">
        <w:rPr>
          <w:rFonts w:eastAsia="Times New Roman" w:cs="Times New Roman"/>
          <w:sz w:val="20"/>
          <w:szCs w:val="20"/>
        </w:rPr>
        <w:t>.</w:t>
      </w:r>
    </w:p>
    <w:p w:rsidR="00A85CE9" w:rsidRPr="005E53F7" w:rsidRDefault="00A85CE9" w:rsidP="005E53F7">
      <w:pPr>
        <w:pStyle w:val="rove2"/>
        <w:numPr>
          <w:ilvl w:val="0"/>
          <w:numId w:val="0"/>
        </w:numPr>
        <w:spacing w:after="0" w:line="264" w:lineRule="auto"/>
        <w:rPr>
          <w:rFonts w:ascii="Calibri" w:hAnsi="Calibri" w:cs="Calibri"/>
          <w:i w:val="0"/>
        </w:rPr>
      </w:pPr>
    </w:p>
    <w:p w:rsidR="00F9500E" w:rsidRPr="005E53F7" w:rsidRDefault="00F9500E" w:rsidP="005E53F7">
      <w:pPr>
        <w:pStyle w:val="rove2"/>
        <w:numPr>
          <w:ilvl w:val="0"/>
          <w:numId w:val="0"/>
        </w:numPr>
        <w:spacing w:after="0" w:line="264" w:lineRule="auto"/>
        <w:rPr>
          <w:rFonts w:ascii="Calibri" w:hAnsi="Calibri" w:cs="Calibri"/>
          <w:i w:val="0"/>
        </w:rPr>
      </w:pPr>
      <w:r w:rsidRPr="005E53F7">
        <w:rPr>
          <w:rFonts w:ascii="Calibri" w:hAnsi="Calibri" w:cs="Calibri"/>
          <w:i w:val="0"/>
        </w:rPr>
        <w:t>V</w:t>
      </w:r>
      <w:r w:rsidR="00256B81" w:rsidRPr="005E53F7">
        <w:rPr>
          <w:rFonts w:ascii="Calibri" w:hAnsi="Calibri" w:cs="Calibri"/>
          <w:i w:val="0"/>
        </w:rPr>
        <w:t xml:space="preserve"> </w:t>
      </w:r>
      <w:r w:rsidRPr="005E53F7">
        <w:rPr>
          <w:rFonts w:ascii="Calibri" w:hAnsi="Calibri" w:cs="Calibri"/>
          <w:i w:val="0"/>
        </w:rPr>
        <w:t>roce 2013</w:t>
      </w:r>
      <w:r w:rsidR="00BE3C4E" w:rsidRPr="005E53F7">
        <w:rPr>
          <w:rFonts w:ascii="Calibri" w:hAnsi="Calibri" w:cs="Calibri"/>
          <w:i w:val="0"/>
        </w:rPr>
        <w:t xml:space="preserve"> snížil</w:t>
      </w:r>
      <w:r w:rsidRPr="005E53F7">
        <w:rPr>
          <w:rFonts w:ascii="Calibri" w:hAnsi="Calibri" w:cs="Calibri"/>
          <w:i w:val="0"/>
        </w:rPr>
        <w:t xml:space="preserve"> SPÚ </w:t>
      </w:r>
      <w:r w:rsidR="00BE3C4E" w:rsidRPr="005E53F7">
        <w:rPr>
          <w:rFonts w:ascii="Calibri" w:hAnsi="Calibri" w:cs="Calibri"/>
          <w:i w:val="0"/>
        </w:rPr>
        <w:t xml:space="preserve">počet zaměstnanců o </w:t>
      </w:r>
      <w:r w:rsidRPr="005E53F7">
        <w:rPr>
          <w:rFonts w:ascii="Calibri" w:hAnsi="Calibri" w:cs="Calibri"/>
          <w:i w:val="0"/>
        </w:rPr>
        <w:t>2</w:t>
      </w:r>
      <w:r w:rsidR="00BC7503" w:rsidRPr="005E53F7">
        <w:rPr>
          <w:rFonts w:ascii="Calibri" w:hAnsi="Calibri" w:cs="Calibri"/>
          <w:i w:val="0"/>
        </w:rPr>
        <w:t>3</w:t>
      </w:r>
      <w:r w:rsidRPr="005E53F7">
        <w:rPr>
          <w:rFonts w:ascii="Calibri" w:hAnsi="Calibri" w:cs="Calibri"/>
          <w:i w:val="0"/>
        </w:rPr>
        <w:t xml:space="preserve"> %. </w:t>
      </w:r>
      <w:r w:rsidR="002942F9" w:rsidRPr="005E53F7">
        <w:rPr>
          <w:rFonts w:ascii="Calibri" w:hAnsi="Calibri" w:cs="Calibri"/>
          <w:i w:val="0"/>
        </w:rPr>
        <w:t xml:space="preserve">Ke snížení počtu zaměstnanců SPÚ došlo dle informace SPÚ na základě výsledku jednání </w:t>
      </w:r>
      <w:r w:rsidR="001B2DD1">
        <w:rPr>
          <w:rFonts w:ascii="Calibri" w:hAnsi="Calibri" w:cs="Calibri"/>
          <w:i w:val="0"/>
        </w:rPr>
        <w:t>ř</w:t>
      </w:r>
      <w:r w:rsidR="002942F9" w:rsidRPr="005E53F7">
        <w:rPr>
          <w:rFonts w:ascii="Calibri" w:hAnsi="Calibri" w:cs="Calibri"/>
          <w:i w:val="0"/>
        </w:rPr>
        <w:t>íd</w:t>
      </w:r>
      <w:r w:rsidR="001B2DD1">
        <w:rPr>
          <w:rFonts w:ascii="Calibri" w:hAnsi="Calibri" w:cs="Calibri"/>
          <w:i w:val="0"/>
        </w:rPr>
        <w:t>i</w:t>
      </w:r>
      <w:r w:rsidR="002942F9" w:rsidRPr="005E53F7">
        <w:rPr>
          <w:rFonts w:ascii="Calibri" w:hAnsi="Calibri" w:cs="Calibri"/>
          <w:i w:val="0"/>
        </w:rPr>
        <w:t>cího výboru pro restrukturalizaci institucí resortu Ministerstva zemědělství č. 12/2013 ze dne 30. 5. 2013. MZe</w:t>
      </w:r>
      <w:r w:rsidR="00BE3C4E" w:rsidRPr="005E53F7">
        <w:rPr>
          <w:rFonts w:ascii="Calibri" w:hAnsi="Calibri" w:cs="Calibri"/>
          <w:i w:val="0"/>
        </w:rPr>
        <w:t xml:space="preserve"> naopak uvedlo</w:t>
      </w:r>
      <w:r w:rsidR="002942F9" w:rsidRPr="005E53F7">
        <w:rPr>
          <w:rFonts w:ascii="Calibri" w:hAnsi="Calibri" w:cs="Calibri"/>
          <w:i w:val="0"/>
        </w:rPr>
        <w:t>, že nemá k</w:t>
      </w:r>
      <w:r w:rsidR="00256B81" w:rsidRPr="005E53F7">
        <w:rPr>
          <w:rFonts w:ascii="Calibri" w:hAnsi="Calibri" w:cs="Calibri"/>
          <w:i w:val="0"/>
        </w:rPr>
        <w:t xml:space="preserve"> </w:t>
      </w:r>
      <w:r w:rsidR="002942F9" w:rsidRPr="005E53F7">
        <w:rPr>
          <w:rFonts w:ascii="Calibri" w:hAnsi="Calibri" w:cs="Calibri"/>
          <w:i w:val="0"/>
        </w:rPr>
        <w:t>dispozici informaci, z</w:t>
      </w:r>
      <w:r w:rsidR="00256B81" w:rsidRPr="005E53F7">
        <w:rPr>
          <w:rFonts w:ascii="Calibri" w:hAnsi="Calibri" w:cs="Calibri"/>
          <w:i w:val="0"/>
        </w:rPr>
        <w:t xml:space="preserve"> </w:t>
      </w:r>
      <w:r w:rsidR="002942F9" w:rsidRPr="005E53F7">
        <w:rPr>
          <w:rFonts w:ascii="Calibri" w:hAnsi="Calibri" w:cs="Calibri"/>
          <w:i w:val="0"/>
        </w:rPr>
        <w:t xml:space="preserve">jakého důvodu nebo na základě čeho </w:t>
      </w:r>
      <w:r w:rsidR="00BE3C4E" w:rsidRPr="005E53F7">
        <w:rPr>
          <w:rFonts w:ascii="Calibri" w:hAnsi="Calibri" w:cs="Calibri"/>
          <w:i w:val="0"/>
        </w:rPr>
        <w:t>snížil</w:t>
      </w:r>
      <w:r w:rsidR="002942F9" w:rsidRPr="005E53F7">
        <w:rPr>
          <w:rFonts w:ascii="Calibri" w:hAnsi="Calibri" w:cs="Calibri"/>
          <w:i w:val="0"/>
        </w:rPr>
        <w:t xml:space="preserve"> SPÚ v</w:t>
      </w:r>
      <w:r w:rsidR="00256B81" w:rsidRPr="005E53F7">
        <w:rPr>
          <w:rFonts w:ascii="Calibri" w:hAnsi="Calibri" w:cs="Calibri"/>
          <w:i w:val="0"/>
        </w:rPr>
        <w:t xml:space="preserve"> </w:t>
      </w:r>
      <w:r w:rsidR="002942F9" w:rsidRPr="005E53F7">
        <w:rPr>
          <w:rFonts w:ascii="Calibri" w:hAnsi="Calibri" w:cs="Calibri"/>
          <w:i w:val="0"/>
        </w:rPr>
        <w:t xml:space="preserve">roce 2013 </w:t>
      </w:r>
      <w:r w:rsidR="00BE3C4E" w:rsidRPr="005E53F7">
        <w:rPr>
          <w:rFonts w:ascii="Calibri" w:hAnsi="Calibri" w:cs="Calibri"/>
          <w:i w:val="0"/>
        </w:rPr>
        <w:t>počet</w:t>
      </w:r>
      <w:r w:rsidR="002942F9" w:rsidRPr="005E53F7">
        <w:rPr>
          <w:rFonts w:ascii="Calibri" w:hAnsi="Calibri" w:cs="Calibri"/>
          <w:i w:val="0"/>
        </w:rPr>
        <w:t xml:space="preserve"> zaměstnanců.</w:t>
      </w:r>
    </w:p>
    <w:p w:rsidR="00F6199D" w:rsidRPr="005E53F7" w:rsidRDefault="00F6199D" w:rsidP="005E53F7">
      <w:pPr>
        <w:pStyle w:val="rove2"/>
        <w:numPr>
          <w:ilvl w:val="0"/>
          <w:numId w:val="0"/>
        </w:numPr>
        <w:spacing w:after="0" w:line="264" w:lineRule="auto"/>
        <w:rPr>
          <w:rFonts w:ascii="Calibri" w:hAnsi="Calibri" w:cs="Calibri"/>
          <w:i w:val="0"/>
        </w:rPr>
      </w:pPr>
    </w:p>
    <w:p w:rsidR="002942F9" w:rsidRPr="005E53F7" w:rsidRDefault="00E27D22" w:rsidP="005E53F7">
      <w:pPr>
        <w:pStyle w:val="rove2"/>
        <w:numPr>
          <w:ilvl w:val="0"/>
          <w:numId w:val="0"/>
        </w:numPr>
        <w:spacing w:after="0" w:line="264" w:lineRule="auto"/>
        <w:rPr>
          <w:rFonts w:ascii="Calibri" w:hAnsi="Calibri" w:cs="Calibri"/>
          <w:i w:val="0"/>
        </w:rPr>
      </w:pPr>
      <w:r w:rsidRPr="005E53F7">
        <w:rPr>
          <w:rFonts w:ascii="Calibri" w:hAnsi="Calibri" w:cs="Calibri"/>
          <w:i w:val="0"/>
        </w:rPr>
        <w:t>Snížení počtu pracovníků ale nekorespondovalo s</w:t>
      </w:r>
      <w:r w:rsidR="00256B81" w:rsidRPr="005E53F7">
        <w:rPr>
          <w:rFonts w:ascii="Calibri" w:hAnsi="Calibri" w:cs="Calibri"/>
          <w:i w:val="0"/>
        </w:rPr>
        <w:t xml:space="preserve"> </w:t>
      </w:r>
      <w:r w:rsidRPr="005E53F7">
        <w:rPr>
          <w:rFonts w:ascii="Calibri" w:hAnsi="Calibri" w:cs="Calibri"/>
          <w:i w:val="0"/>
        </w:rPr>
        <w:t>nárůstem agendy vykonávané SPÚ, především na úseku majetkového vyrovnání s</w:t>
      </w:r>
      <w:r w:rsidR="00256B81" w:rsidRPr="005E53F7">
        <w:rPr>
          <w:rFonts w:ascii="Calibri" w:hAnsi="Calibri" w:cs="Calibri"/>
          <w:i w:val="0"/>
        </w:rPr>
        <w:t xml:space="preserve"> </w:t>
      </w:r>
      <w:r w:rsidRPr="005E53F7">
        <w:rPr>
          <w:rFonts w:ascii="Calibri" w:hAnsi="Calibri" w:cs="Calibri"/>
          <w:i w:val="0"/>
        </w:rPr>
        <w:t>církvemi a náboženskými organizacemi</w:t>
      </w:r>
      <w:r w:rsidR="001B2DD1">
        <w:rPr>
          <w:rFonts w:ascii="Calibri" w:hAnsi="Calibri" w:cs="Calibri"/>
          <w:i w:val="0"/>
        </w:rPr>
        <w:t>,</w:t>
      </w:r>
      <w:r w:rsidRPr="005E53F7">
        <w:rPr>
          <w:rFonts w:ascii="Calibri" w:hAnsi="Calibri" w:cs="Calibri"/>
          <w:i w:val="0"/>
        </w:rPr>
        <w:t xml:space="preserve"> a dále na úseku pozemkových úprav. </w:t>
      </w:r>
      <w:r w:rsidR="002942F9" w:rsidRPr="005E53F7">
        <w:rPr>
          <w:rFonts w:ascii="Calibri" w:hAnsi="Calibri" w:cs="Calibri"/>
          <w:i w:val="0"/>
        </w:rPr>
        <w:t>V</w:t>
      </w:r>
      <w:r w:rsidR="00256B81" w:rsidRPr="005E53F7">
        <w:rPr>
          <w:rFonts w:ascii="Calibri" w:hAnsi="Calibri" w:cs="Calibri"/>
          <w:i w:val="0"/>
        </w:rPr>
        <w:t xml:space="preserve"> </w:t>
      </w:r>
      <w:r w:rsidR="002942F9" w:rsidRPr="005E53F7">
        <w:rPr>
          <w:rFonts w:ascii="Calibri" w:hAnsi="Calibri" w:cs="Calibri"/>
          <w:i w:val="0"/>
        </w:rPr>
        <w:t xml:space="preserve">průběhu roku 2014 </w:t>
      </w:r>
      <w:r w:rsidRPr="005E53F7">
        <w:rPr>
          <w:rFonts w:ascii="Calibri" w:hAnsi="Calibri" w:cs="Calibri"/>
          <w:i w:val="0"/>
        </w:rPr>
        <w:t>se</w:t>
      </w:r>
      <w:r w:rsidR="002942F9" w:rsidRPr="005E53F7">
        <w:rPr>
          <w:rFonts w:ascii="Calibri" w:hAnsi="Calibri" w:cs="Calibri"/>
          <w:i w:val="0"/>
        </w:rPr>
        <w:t xml:space="preserve"> počet systemizovaných míst ve výši 1</w:t>
      </w:r>
      <w:r w:rsidR="00256B81" w:rsidRPr="005E53F7">
        <w:rPr>
          <w:rFonts w:ascii="Calibri" w:hAnsi="Calibri" w:cs="Calibri"/>
          <w:i w:val="0"/>
        </w:rPr>
        <w:t> </w:t>
      </w:r>
      <w:r w:rsidR="002942F9" w:rsidRPr="005E53F7">
        <w:rPr>
          <w:rFonts w:ascii="Calibri" w:hAnsi="Calibri" w:cs="Calibri"/>
          <w:i w:val="0"/>
        </w:rPr>
        <w:t xml:space="preserve">200 </w:t>
      </w:r>
      <w:r w:rsidRPr="005E53F7">
        <w:rPr>
          <w:rFonts w:ascii="Calibri" w:hAnsi="Calibri" w:cs="Calibri"/>
          <w:i w:val="0"/>
        </w:rPr>
        <w:t xml:space="preserve">ukázal </w:t>
      </w:r>
      <w:r w:rsidR="002942F9" w:rsidRPr="005E53F7">
        <w:rPr>
          <w:rFonts w:ascii="Calibri" w:hAnsi="Calibri" w:cs="Calibri"/>
          <w:i w:val="0"/>
        </w:rPr>
        <w:t>jako nedostatečný</w:t>
      </w:r>
      <w:r w:rsidR="001B2DD1">
        <w:rPr>
          <w:rFonts w:ascii="Calibri" w:hAnsi="Calibri" w:cs="Calibri"/>
          <w:i w:val="0"/>
        </w:rPr>
        <w:t>,</w:t>
      </w:r>
      <w:r w:rsidRPr="005E53F7">
        <w:rPr>
          <w:rFonts w:ascii="Calibri" w:hAnsi="Calibri" w:cs="Calibri"/>
          <w:i w:val="0"/>
        </w:rPr>
        <w:t xml:space="preserve"> a proto MZe</w:t>
      </w:r>
      <w:r w:rsidR="002942F9" w:rsidRPr="005E53F7">
        <w:rPr>
          <w:rFonts w:ascii="Calibri" w:hAnsi="Calibri" w:cs="Calibri"/>
          <w:i w:val="0"/>
        </w:rPr>
        <w:t xml:space="preserve"> </w:t>
      </w:r>
      <w:r w:rsidR="00A77E74" w:rsidRPr="005E53F7">
        <w:rPr>
          <w:rFonts w:ascii="Calibri" w:hAnsi="Calibri" w:cs="Calibri"/>
          <w:i w:val="0"/>
        </w:rPr>
        <w:t xml:space="preserve">schválilo </w:t>
      </w:r>
      <w:r w:rsidR="002942F9" w:rsidRPr="005E53F7">
        <w:rPr>
          <w:rFonts w:ascii="Calibri" w:hAnsi="Calibri" w:cs="Calibri"/>
          <w:i w:val="0"/>
        </w:rPr>
        <w:t>opatření směřující k</w:t>
      </w:r>
      <w:r w:rsidR="00256B81" w:rsidRPr="005E53F7">
        <w:rPr>
          <w:rFonts w:ascii="Calibri" w:hAnsi="Calibri" w:cs="Calibri"/>
          <w:i w:val="0"/>
        </w:rPr>
        <w:t xml:space="preserve"> </w:t>
      </w:r>
      <w:r w:rsidR="002942F9" w:rsidRPr="005E53F7">
        <w:rPr>
          <w:rFonts w:ascii="Calibri" w:hAnsi="Calibri" w:cs="Calibri"/>
          <w:i w:val="0"/>
        </w:rPr>
        <w:t>navýšení počtu systemizovaných míst na 1</w:t>
      </w:r>
      <w:r w:rsidR="00256B81" w:rsidRPr="005E53F7">
        <w:rPr>
          <w:rFonts w:ascii="Calibri" w:hAnsi="Calibri" w:cs="Calibri"/>
          <w:i w:val="0"/>
        </w:rPr>
        <w:t xml:space="preserve"> </w:t>
      </w:r>
      <w:r w:rsidR="002942F9" w:rsidRPr="005E53F7">
        <w:rPr>
          <w:rFonts w:ascii="Calibri" w:hAnsi="Calibri" w:cs="Calibri"/>
          <w:i w:val="0"/>
        </w:rPr>
        <w:t>415.</w:t>
      </w:r>
    </w:p>
    <w:p w:rsidR="00F6199D" w:rsidRPr="005E53F7" w:rsidRDefault="00F6199D" w:rsidP="005E53F7">
      <w:pPr>
        <w:pStyle w:val="rove2"/>
        <w:numPr>
          <w:ilvl w:val="0"/>
          <w:numId w:val="0"/>
        </w:numPr>
        <w:spacing w:after="0" w:line="264" w:lineRule="auto"/>
        <w:rPr>
          <w:rFonts w:ascii="Calibri" w:hAnsi="Calibri" w:cs="Calibri"/>
          <w:i w:val="0"/>
        </w:rPr>
      </w:pPr>
    </w:p>
    <w:p w:rsidR="00A77E74" w:rsidRPr="005E53F7" w:rsidRDefault="00A77E74" w:rsidP="005E53F7">
      <w:pPr>
        <w:pStyle w:val="rove2"/>
        <w:numPr>
          <w:ilvl w:val="0"/>
          <w:numId w:val="0"/>
        </w:numPr>
        <w:spacing w:after="0" w:line="264" w:lineRule="auto"/>
        <w:rPr>
          <w:rFonts w:ascii="Calibri" w:hAnsi="Calibri" w:cs="Calibri"/>
          <w:i w:val="0"/>
        </w:rPr>
      </w:pPr>
      <w:r w:rsidRPr="005E53F7">
        <w:rPr>
          <w:rFonts w:ascii="Calibri" w:hAnsi="Calibri" w:cs="Calibri"/>
          <w:i w:val="0"/>
        </w:rPr>
        <w:t>Kontrolou NKÚ bylo ověřováno, zda došlo k</w:t>
      </w:r>
      <w:r w:rsidR="00256B81" w:rsidRPr="005E53F7">
        <w:rPr>
          <w:rFonts w:ascii="Calibri" w:hAnsi="Calibri" w:cs="Calibri"/>
          <w:i w:val="0"/>
        </w:rPr>
        <w:t xml:space="preserve"> </w:t>
      </w:r>
      <w:r w:rsidRPr="005E53F7">
        <w:rPr>
          <w:rFonts w:ascii="Calibri" w:hAnsi="Calibri" w:cs="Calibri"/>
          <w:i w:val="0"/>
        </w:rPr>
        <w:t>úsporám deklarovaným v</w:t>
      </w:r>
      <w:r w:rsidR="00256B81" w:rsidRPr="005E53F7">
        <w:rPr>
          <w:rFonts w:ascii="Calibri" w:hAnsi="Calibri" w:cs="Calibri"/>
          <w:i w:val="0"/>
        </w:rPr>
        <w:t xml:space="preserve"> </w:t>
      </w:r>
      <w:r w:rsidRPr="005E53F7">
        <w:rPr>
          <w:rFonts w:ascii="Calibri" w:hAnsi="Calibri" w:cs="Calibri"/>
          <w:i w:val="0"/>
        </w:rPr>
        <w:t>důvodové zprávě k zákonu o SPÚ. Výsledek ověření je uveden v</w:t>
      </w:r>
      <w:r w:rsidR="00256B81" w:rsidRPr="005E53F7">
        <w:rPr>
          <w:rFonts w:ascii="Calibri" w:hAnsi="Calibri" w:cs="Calibri"/>
          <w:i w:val="0"/>
        </w:rPr>
        <w:t xml:space="preserve"> </w:t>
      </w:r>
      <w:r w:rsidR="006C625A" w:rsidRPr="005E53F7">
        <w:rPr>
          <w:rFonts w:ascii="Calibri" w:hAnsi="Calibri" w:cs="Calibri"/>
          <w:i w:val="0"/>
        </w:rPr>
        <w:t>přílo</w:t>
      </w:r>
      <w:r w:rsidR="00B97607" w:rsidRPr="005E53F7">
        <w:rPr>
          <w:rFonts w:ascii="Calibri" w:hAnsi="Calibri" w:cs="Calibri"/>
          <w:i w:val="0"/>
        </w:rPr>
        <w:t>ze</w:t>
      </w:r>
      <w:r w:rsidR="006C625A" w:rsidRPr="005E53F7">
        <w:rPr>
          <w:rFonts w:ascii="Calibri" w:hAnsi="Calibri" w:cs="Calibri"/>
          <w:i w:val="0"/>
        </w:rPr>
        <w:t xml:space="preserve"> č. 1 </w:t>
      </w:r>
      <w:r w:rsidR="001B2DD1">
        <w:rPr>
          <w:rFonts w:ascii="Calibri" w:hAnsi="Calibri" w:cs="Calibri"/>
          <w:i w:val="0"/>
        </w:rPr>
        <w:t xml:space="preserve">tohoto </w:t>
      </w:r>
      <w:r w:rsidR="00256B81" w:rsidRPr="005E53F7">
        <w:rPr>
          <w:rFonts w:ascii="Calibri" w:hAnsi="Calibri" w:cs="Calibri"/>
          <w:i w:val="0"/>
        </w:rPr>
        <w:t>k</w:t>
      </w:r>
      <w:r w:rsidR="006C625A" w:rsidRPr="005E53F7">
        <w:rPr>
          <w:rFonts w:ascii="Calibri" w:hAnsi="Calibri" w:cs="Calibri"/>
          <w:i w:val="0"/>
        </w:rPr>
        <w:t>ontrolního závěru.</w:t>
      </w:r>
    </w:p>
    <w:p w:rsidR="00F6199D" w:rsidRPr="005E53F7" w:rsidRDefault="00F6199D" w:rsidP="005E53F7">
      <w:pPr>
        <w:pStyle w:val="rove2"/>
        <w:numPr>
          <w:ilvl w:val="0"/>
          <w:numId w:val="0"/>
        </w:numPr>
        <w:spacing w:after="0" w:line="264" w:lineRule="auto"/>
        <w:rPr>
          <w:rFonts w:ascii="Calibri" w:hAnsi="Calibri" w:cs="Calibri"/>
          <w:i w:val="0"/>
        </w:rPr>
      </w:pPr>
    </w:p>
    <w:p w:rsidR="00A77E74" w:rsidRPr="005E53F7" w:rsidRDefault="00A77E74" w:rsidP="005E53F7">
      <w:pPr>
        <w:spacing w:line="264" w:lineRule="auto"/>
        <w:rPr>
          <w:rFonts w:ascii="Calibri" w:hAnsi="Calibri" w:cs="Calibri"/>
          <w:szCs w:val="24"/>
        </w:rPr>
      </w:pPr>
      <w:r w:rsidRPr="005E53F7">
        <w:rPr>
          <w:rFonts w:ascii="Calibri" w:hAnsi="Calibri" w:cs="Calibri"/>
          <w:szCs w:val="24"/>
        </w:rPr>
        <w:t>Předpokládaná výše výdajů byla v</w:t>
      </w:r>
      <w:r w:rsidR="00256B81" w:rsidRPr="005E53F7">
        <w:rPr>
          <w:rFonts w:ascii="Calibri" w:hAnsi="Calibri" w:cs="Calibri"/>
          <w:szCs w:val="24"/>
        </w:rPr>
        <w:t xml:space="preserve"> </w:t>
      </w:r>
      <w:r w:rsidRPr="005E53F7">
        <w:rPr>
          <w:rFonts w:ascii="Calibri" w:hAnsi="Calibri" w:cs="Calibri"/>
          <w:szCs w:val="24"/>
        </w:rPr>
        <w:t xml:space="preserve">případě režijních </w:t>
      </w:r>
      <w:r w:rsidR="00446E97" w:rsidRPr="005E53F7">
        <w:rPr>
          <w:rFonts w:ascii="Calibri" w:hAnsi="Calibri" w:cs="Calibri"/>
          <w:szCs w:val="24"/>
        </w:rPr>
        <w:t>výdajů</w:t>
      </w:r>
      <w:r w:rsidRPr="005E53F7">
        <w:rPr>
          <w:rFonts w:ascii="Calibri" w:hAnsi="Calibri" w:cs="Calibri"/>
          <w:szCs w:val="24"/>
        </w:rPr>
        <w:t xml:space="preserve"> výrazně nadhodnocena (skutečná výše režijních </w:t>
      </w:r>
      <w:r w:rsidR="00446E97" w:rsidRPr="005E53F7">
        <w:rPr>
          <w:rFonts w:ascii="Calibri" w:hAnsi="Calibri" w:cs="Calibri"/>
          <w:szCs w:val="24"/>
        </w:rPr>
        <w:t>výdajů</w:t>
      </w:r>
      <w:r w:rsidRPr="005E53F7">
        <w:rPr>
          <w:rFonts w:ascii="Calibri" w:hAnsi="Calibri" w:cs="Calibri"/>
          <w:szCs w:val="24"/>
        </w:rPr>
        <w:t xml:space="preserve"> v</w:t>
      </w:r>
      <w:r w:rsidR="00256B81" w:rsidRPr="005E53F7">
        <w:rPr>
          <w:rFonts w:ascii="Calibri" w:hAnsi="Calibri" w:cs="Calibri"/>
          <w:szCs w:val="24"/>
        </w:rPr>
        <w:t xml:space="preserve"> </w:t>
      </w:r>
      <w:r w:rsidRPr="005E53F7">
        <w:rPr>
          <w:rFonts w:ascii="Calibri" w:hAnsi="Calibri" w:cs="Calibri"/>
          <w:szCs w:val="24"/>
        </w:rPr>
        <w:t>roce 2013 dosáhla pouze 69</w:t>
      </w:r>
      <w:r w:rsidR="00256B81" w:rsidRPr="005E53F7">
        <w:rPr>
          <w:rFonts w:ascii="Calibri" w:hAnsi="Calibri" w:cs="Calibri"/>
          <w:szCs w:val="24"/>
        </w:rPr>
        <w:t xml:space="preserve"> </w:t>
      </w:r>
      <w:r w:rsidRPr="005E53F7">
        <w:rPr>
          <w:rFonts w:ascii="Calibri" w:hAnsi="Calibri" w:cs="Calibri"/>
          <w:szCs w:val="24"/>
        </w:rPr>
        <w:t>% a v</w:t>
      </w:r>
      <w:r w:rsidR="00256B81" w:rsidRPr="005E53F7">
        <w:rPr>
          <w:rFonts w:ascii="Calibri" w:hAnsi="Calibri" w:cs="Calibri"/>
          <w:szCs w:val="24"/>
        </w:rPr>
        <w:t xml:space="preserve"> </w:t>
      </w:r>
      <w:r w:rsidRPr="005E53F7">
        <w:rPr>
          <w:rFonts w:ascii="Calibri" w:hAnsi="Calibri" w:cs="Calibri"/>
          <w:szCs w:val="24"/>
        </w:rPr>
        <w:t>roce 2014 pak 80</w:t>
      </w:r>
      <w:r w:rsidR="007310FA" w:rsidRPr="005E53F7">
        <w:rPr>
          <w:rFonts w:ascii="Calibri" w:hAnsi="Calibri" w:cs="Calibri"/>
          <w:szCs w:val="24"/>
        </w:rPr>
        <w:t> </w:t>
      </w:r>
      <w:r w:rsidRPr="005E53F7">
        <w:rPr>
          <w:rFonts w:ascii="Calibri" w:hAnsi="Calibri" w:cs="Calibri"/>
          <w:szCs w:val="24"/>
        </w:rPr>
        <w:t>%</w:t>
      </w:r>
      <w:r w:rsidR="00256B81" w:rsidRPr="005E53F7">
        <w:rPr>
          <w:rFonts w:ascii="Calibri" w:hAnsi="Calibri" w:cs="Calibri"/>
          <w:szCs w:val="24"/>
        </w:rPr>
        <w:t xml:space="preserve"> </w:t>
      </w:r>
      <w:r w:rsidRPr="005E53F7">
        <w:rPr>
          <w:rFonts w:ascii="Calibri" w:hAnsi="Calibri" w:cs="Calibri"/>
          <w:szCs w:val="24"/>
        </w:rPr>
        <w:t>předpokládaných režijních výdajů za rok 2013). Naopak předpokládaná výše výdajů na platy byla značně podhodnocena</w:t>
      </w:r>
      <w:r w:rsidR="001B2DD1">
        <w:rPr>
          <w:rFonts w:ascii="Calibri" w:hAnsi="Calibri" w:cs="Calibri"/>
          <w:szCs w:val="24"/>
        </w:rPr>
        <w:t>.</w:t>
      </w:r>
      <w:r w:rsidRPr="005E53F7">
        <w:rPr>
          <w:rFonts w:ascii="Calibri" w:hAnsi="Calibri" w:cs="Calibri"/>
          <w:szCs w:val="24"/>
        </w:rPr>
        <w:t xml:space="preserve"> (</w:t>
      </w:r>
      <w:r w:rsidR="001B2DD1">
        <w:rPr>
          <w:rFonts w:ascii="Calibri" w:hAnsi="Calibri" w:cs="Calibri"/>
          <w:szCs w:val="24"/>
        </w:rPr>
        <w:t>S</w:t>
      </w:r>
      <w:r w:rsidRPr="005E53F7">
        <w:rPr>
          <w:rFonts w:ascii="Calibri" w:hAnsi="Calibri" w:cs="Calibri"/>
          <w:szCs w:val="24"/>
        </w:rPr>
        <w:t xml:space="preserve">kutečná výše </w:t>
      </w:r>
      <w:r w:rsidR="00446E97" w:rsidRPr="005E53F7">
        <w:rPr>
          <w:rFonts w:ascii="Calibri" w:hAnsi="Calibri" w:cs="Calibri"/>
          <w:szCs w:val="24"/>
        </w:rPr>
        <w:t>výdajů</w:t>
      </w:r>
      <w:r w:rsidRPr="005E53F7">
        <w:rPr>
          <w:rFonts w:ascii="Calibri" w:hAnsi="Calibri" w:cs="Calibri"/>
          <w:szCs w:val="24"/>
        </w:rPr>
        <w:t xml:space="preserve"> na platy v</w:t>
      </w:r>
      <w:r w:rsidR="00256B81" w:rsidRPr="005E53F7">
        <w:rPr>
          <w:rFonts w:ascii="Calibri" w:hAnsi="Calibri" w:cs="Calibri"/>
          <w:szCs w:val="24"/>
        </w:rPr>
        <w:t xml:space="preserve"> </w:t>
      </w:r>
      <w:r w:rsidRPr="005E53F7">
        <w:rPr>
          <w:rFonts w:ascii="Calibri" w:hAnsi="Calibri" w:cs="Calibri"/>
          <w:szCs w:val="24"/>
        </w:rPr>
        <w:t>roce 2013 dosáhla 119</w:t>
      </w:r>
      <w:r w:rsidR="00256B81" w:rsidRPr="005E53F7">
        <w:rPr>
          <w:rFonts w:ascii="Calibri" w:hAnsi="Calibri" w:cs="Calibri"/>
          <w:szCs w:val="24"/>
        </w:rPr>
        <w:t> </w:t>
      </w:r>
      <w:r w:rsidRPr="005E53F7">
        <w:rPr>
          <w:rFonts w:ascii="Calibri" w:hAnsi="Calibri" w:cs="Calibri"/>
          <w:szCs w:val="24"/>
        </w:rPr>
        <w:t>%</w:t>
      </w:r>
      <w:r w:rsidR="00256B81" w:rsidRPr="005E53F7">
        <w:rPr>
          <w:rFonts w:ascii="Calibri" w:hAnsi="Calibri" w:cs="Calibri"/>
          <w:szCs w:val="24"/>
        </w:rPr>
        <w:t xml:space="preserve"> </w:t>
      </w:r>
      <w:r w:rsidRPr="005E53F7">
        <w:rPr>
          <w:rFonts w:ascii="Calibri" w:hAnsi="Calibri" w:cs="Calibri"/>
          <w:szCs w:val="24"/>
        </w:rPr>
        <w:t>a</w:t>
      </w:r>
      <w:r w:rsidR="00F6199D" w:rsidRPr="005E53F7">
        <w:rPr>
          <w:rFonts w:ascii="Calibri" w:hAnsi="Calibri" w:cs="Calibri"/>
          <w:szCs w:val="24"/>
        </w:rPr>
        <w:t> </w:t>
      </w:r>
      <w:r w:rsidRPr="005E53F7">
        <w:rPr>
          <w:rFonts w:ascii="Calibri" w:hAnsi="Calibri" w:cs="Calibri"/>
          <w:szCs w:val="24"/>
        </w:rPr>
        <w:t>v roce 2014 dosáhla 108</w:t>
      </w:r>
      <w:r w:rsidR="00690B78" w:rsidRPr="005E53F7">
        <w:rPr>
          <w:rFonts w:ascii="Calibri" w:hAnsi="Calibri" w:cs="Calibri"/>
          <w:szCs w:val="24"/>
        </w:rPr>
        <w:t xml:space="preserve"> </w:t>
      </w:r>
      <w:r w:rsidRPr="005E53F7">
        <w:rPr>
          <w:rFonts w:ascii="Calibri" w:hAnsi="Calibri" w:cs="Calibri"/>
          <w:szCs w:val="24"/>
        </w:rPr>
        <w:t>% předpokládané výše výdajů na platy.</w:t>
      </w:r>
      <w:r w:rsidR="001B2DD1">
        <w:rPr>
          <w:rFonts w:ascii="Calibri" w:hAnsi="Calibri" w:cs="Calibri"/>
          <w:szCs w:val="24"/>
        </w:rPr>
        <w:t>)</w:t>
      </w:r>
      <w:r w:rsidRPr="005E53F7">
        <w:rPr>
          <w:rFonts w:ascii="Calibri" w:hAnsi="Calibri" w:cs="Calibri"/>
          <w:szCs w:val="24"/>
        </w:rPr>
        <w:t xml:space="preserve"> Snížení výdajů na platy v roce 2014 oproti roku 2013 bylo způsobeno zrušením 358 systemizovaných pracovních míst k</w:t>
      </w:r>
      <w:r w:rsidR="00256B81" w:rsidRPr="005E53F7">
        <w:rPr>
          <w:rFonts w:ascii="Calibri" w:hAnsi="Calibri" w:cs="Calibri"/>
          <w:szCs w:val="24"/>
        </w:rPr>
        <w:t xml:space="preserve"> </w:t>
      </w:r>
      <w:r w:rsidRPr="005E53F7">
        <w:rPr>
          <w:rFonts w:ascii="Calibri" w:hAnsi="Calibri" w:cs="Calibri"/>
          <w:szCs w:val="24"/>
        </w:rPr>
        <w:t>1.</w:t>
      </w:r>
      <w:r w:rsidR="00256B81" w:rsidRPr="005E53F7">
        <w:rPr>
          <w:rFonts w:ascii="Calibri" w:hAnsi="Calibri" w:cs="Calibri"/>
          <w:szCs w:val="24"/>
        </w:rPr>
        <w:t xml:space="preserve"> 10. </w:t>
      </w:r>
      <w:r w:rsidRPr="005E53F7">
        <w:rPr>
          <w:rFonts w:ascii="Calibri" w:hAnsi="Calibri" w:cs="Calibri"/>
          <w:szCs w:val="24"/>
        </w:rPr>
        <w:t>2013 (v roce 2014 se sice počet zaměstnanců SPÚ opět zvyšoval, k</w:t>
      </w:r>
      <w:r w:rsidR="00256B81" w:rsidRPr="005E53F7">
        <w:rPr>
          <w:rFonts w:ascii="Calibri" w:hAnsi="Calibri" w:cs="Calibri"/>
          <w:szCs w:val="24"/>
        </w:rPr>
        <w:t xml:space="preserve"> </w:t>
      </w:r>
      <w:r w:rsidRPr="005E53F7">
        <w:rPr>
          <w:rFonts w:ascii="Calibri" w:hAnsi="Calibri" w:cs="Calibri"/>
          <w:szCs w:val="24"/>
        </w:rPr>
        <w:t>1.</w:t>
      </w:r>
      <w:r w:rsidR="00256B81" w:rsidRPr="005E53F7">
        <w:rPr>
          <w:rFonts w:ascii="Calibri" w:hAnsi="Calibri" w:cs="Calibri"/>
          <w:szCs w:val="24"/>
        </w:rPr>
        <w:t xml:space="preserve"> 5. </w:t>
      </w:r>
      <w:r w:rsidRPr="005E53F7">
        <w:rPr>
          <w:rFonts w:ascii="Calibri" w:hAnsi="Calibri" w:cs="Calibri"/>
          <w:szCs w:val="24"/>
        </w:rPr>
        <w:t>2014 o</w:t>
      </w:r>
      <w:r w:rsidR="00256B81" w:rsidRPr="005E53F7">
        <w:rPr>
          <w:rFonts w:ascii="Calibri" w:hAnsi="Calibri" w:cs="Calibri"/>
          <w:szCs w:val="24"/>
        </w:rPr>
        <w:t> </w:t>
      </w:r>
      <w:r w:rsidRPr="005E53F7">
        <w:rPr>
          <w:rFonts w:ascii="Calibri" w:hAnsi="Calibri" w:cs="Calibri"/>
          <w:szCs w:val="24"/>
        </w:rPr>
        <w:t>130, k</w:t>
      </w:r>
      <w:r w:rsidR="00256B81" w:rsidRPr="005E53F7">
        <w:rPr>
          <w:rFonts w:ascii="Calibri" w:hAnsi="Calibri" w:cs="Calibri"/>
          <w:szCs w:val="24"/>
        </w:rPr>
        <w:t xml:space="preserve"> </w:t>
      </w:r>
      <w:r w:rsidRPr="005E53F7">
        <w:rPr>
          <w:rFonts w:ascii="Calibri" w:hAnsi="Calibri" w:cs="Calibri"/>
          <w:szCs w:val="24"/>
        </w:rPr>
        <w:t xml:space="preserve">1. </w:t>
      </w:r>
      <w:r w:rsidR="00256B81" w:rsidRPr="005E53F7">
        <w:rPr>
          <w:rFonts w:ascii="Calibri" w:hAnsi="Calibri" w:cs="Calibri"/>
          <w:szCs w:val="24"/>
        </w:rPr>
        <w:t xml:space="preserve">11. </w:t>
      </w:r>
      <w:r w:rsidRPr="005E53F7">
        <w:rPr>
          <w:rFonts w:ascii="Calibri" w:hAnsi="Calibri" w:cs="Calibri"/>
          <w:szCs w:val="24"/>
        </w:rPr>
        <w:t xml:space="preserve">2014 o 85, </w:t>
      </w:r>
      <w:r w:rsidR="001C5F4E">
        <w:rPr>
          <w:rFonts w:ascii="Calibri" w:hAnsi="Calibri" w:cs="Calibri"/>
          <w:szCs w:val="24"/>
        </w:rPr>
        <w:t xml:space="preserve">avšak </w:t>
      </w:r>
      <w:r w:rsidR="001C5F4E" w:rsidRPr="005E53F7">
        <w:rPr>
          <w:rFonts w:ascii="Calibri" w:hAnsi="Calibri" w:cs="Calibri"/>
          <w:szCs w:val="24"/>
        </w:rPr>
        <w:t xml:space="preserve">již </w:t>
      </w:r>
      <w:r w:rsidRPr="005E53F7">
        <w:rPr>
          <w:rFonts w:ascii="Calibri" w:hAnsi="Calibri" w:cs="Calibri"/>
          <w:szCs w:val="24"/>
        </w:rPr>
        <w:t xml:space="preserve">nedosáhl původní výše). </w:t>
      </w:r>
    </w:p>
    <w:p w:rsidR="00F6199D" w:rsidRPr="005E53F7" w:rsidRDefault="00F6199D" w:rsidP="005E53F7">
      <w:pPr>
        <w:spacing w:line="264" w:lineRule="auto"/>
        <w:rPr>
          <w:rFonts w:ascii="Calibri" w:hAnsi="Calibri" w:cs="Calibri"/>
          <w:szCs w:val="24"/>
        </w:rPr>
      </w:pPr>
    </w:p>
    <w:p w:rsidR="00A77E74" w:rsidRDefault="00A77E74" w:rsidP="005E53F7">
      <w:pPr>
        <w:pStyle w:val="rove2"/>
        <w:numPr>
          <w:ilvl w:val="0"/>
          <w:numId w:val="0"/>
        </w:numPr>
        <w:spacing w:after="0" w:line="264" w:lineRule="auto"/>
        <w:rPr>
          <w:rFonts w:ascii="Calibri" w:hAnsi="Calibri" w:cs="Calibri"/>
          <w:i w:val="0"/>
        </w:rPr>
      </w:pPr>
      <w:r w:rsidRPr="005E53F7">
        <w:rPr>
          <w:rFonts w:ascii="Calibri" w:hAnsi="Calibri" w:cs="Calibri"/>
          <w:i w:val="0"/>
        </w:rPr>
        <w:t>Za 1. čtvrtletí roku 2015 činily výdaje na platy cca 37,7 mil. Kč měsíčně</w:t>
      </w:r>
      <w:r w:rsidR="001C5F4E">
        <w:rPr>
          <w:rFonts w:ascii="Calibri" w:hAnsi="Calibri" w:cs="Calibri"/>
          <w:i w:val="0"/>
        </w:rPr>
        <w:t>.</w:t>
      </w:r>
      <w:r w:rsidRPr="005E53F7">
        <w:rPr>
          <w:rFonts w:ascii="Calibri" w:hAnsi="Calibri" w:cs="Calibri"/>
          <w:i w:val="0"/>
        </w:rPr>
        <w:t xml:space="preserve"> </w:t>
      </w:r>
      <w:r w:rsidR="001C5F4E">
        <w:rPr>
          <w:rFonts w:ascii="Calibri" w:hAnsi="Calibri" w:cs="Calibri"/>
          <w:i w:val="0"/>
        </w:rPr>
        <w:t>T</w:t>
      </w:r>
      <w:r w:rsidRPr="005E53F7">
        <w:rPr>
          <w:rFonts w:ascii="Calibri" w:hAnsi="Calibri" w:cs="Calibri"/>
          <w:i w:val="0"/>
        </w:rPr>
        <w:t>omu by odpovídaly roční výdaje na platy ve výši 452,4 mil. Kč</w:t>
      </w:r>
      <w:r w:rsidR="001C5F4E">
        <w:rPr>
          <w:rFonts w:ascii="Calibri" w:hAnsi="Calibri" w:cs="Calibri"/>
          <w:i w:val="0"/>
        </w:rPr>
        <w:t>. T</w:t>
      </w:r>
      <w:r w:rsidRPr="005E53F7">
        <w:rPr>
          <w:rFonts w:ascii="Calibri" w:hAnsi="Calibri" w:cs="Calibri"/>
          <w:i w:val="0"/>
        </w:rPr>
        <w:t>éto částky by bylo dosaženo, pokud by výdaje byly každý měsíc v</w:t>
      </w:r>
      <w:r w:rsidR="00256B81" w:rsidRPr="005E53F7">
        <w:rPr>
          <w:rFonts w:ascii="Calibri" w:hAnsi="Calibri" w:cs="Calibri"/>
          <w:i w:val="0"/>
        </w:rPr>
        <w:t xml:space="preserve"> </w:t>
      </w:r>
      <w:r w:rsidRPr="005E53F7">
        <w:rPr>
          <w:rFonts w:ascii="Calibri" w:hAnsi="Calibri" w:cs="Calibri"/>
          <w:i w:val="0"/>
        </w:rPr>
        <w:t>přibližně stejné výši jako dosud, tj. nebyly by na SPÚ vypláceny mimořádné odměny, které byly v</w:t>
      </w:r>
      <w:r w:rsidR="00256B81" w:rsidRPr="005E53F7">
        <w:rPr>
          <w:rFonts w:ascii="Calibri" w:hAnsi="Calibri" w:cs="Calibri"/>
          <w:i w:val="0"/>
        </w:rPr>
        <w:t xml:space="preserve"> </w:t>
      </w:r>
      <w:r w:rsidRPr="005E53F7">
        <w:rPr>
          <w:rFonts w:ascii="Calibri" w:hAnsi="Calibri" w:cs="Calibri"/>
          <w:i w:val="0"/>
        </w:rPr>
        <w:t>roce 2014 vyplá</w:t>
      </w:r>
      <w:r w:rsidR="007310FA" w:rsidRPr="005E53F7">
        <w:rPr>
          <w:rFonts w:ascii="Calibri" w:hAnsi="Calibri" w:cs="Calibri"/>
          <w:i w:val="0"/>
        </w:rPr>
        <w:t>ceny v</w:t>
      </w:r>
      <w:r w:rsidR="00256B81" w:rsidRPr="005E53F7">
        <w:rPr>
          <w:rFonts w:ascii="Calibri" w:hAnsi="Calibri" w:cs="Calibri"/>
          <w:i w:val="0"/>
        </w:rPr>
        <w:t xml:space="preserve"> </w:t>
      </w:r>
      <w:r w:rsidR="007310FA" w:rsidRPr="005E53F7">
        <w:rPr>
          <w:rFonts w:ascii="Calibri" w:hAnsi="Calibri" w:cs="Calibri"/>
          <w:i w:val="0"/>
        </w:rPr>
        <w:t>únoru, červenci, říjnu a</w:t>
      </w:r>
      <w:r w:rsidR="00256B81" w:rsidRPr="005E53F7">
        <w:rPr>
          <w:rFonts w:ascii="Calibri" w:hAnsi="Calibri" w:cs="Calibri"/>
          <w:i w:val="0"/>
        </w:rPr>
        <w:t xml:space="preserve"> </w:t>
      </w:r>
      <w:r w:rsidRPr="005E53F7">
        <w:rPr>
          <w:rFonts w:ascii="Calibri" w:hAnsi="Calibri" w:cs="Calibri"/>
          <w:i w:val="0"/>
        </w:rPr>
        <w:t>prosinci, kdy byly měsíční výdaje na platy o 5</w:t>
      </w:r>
      <w:r w:rsidR="001B2DD1">
        <w:rPr>
          <w:rFonts w:ascii="Calibri" w:hAnsi="Calibri" w:cs="Calibri"/>
          <w:i w:val="0"/>
        </w:rPr>
        <w:t>–</w:t>
      </w:r>
      <w:r w:rsidRPr="005E53F7">
        <w:rPr>
          <w:rFonts w:ascii="Calibri" w:hAnsi="Calibri" w:cs="Calibri"/>
          <w:i w:val="0"/>
        </w:rPr>
        <w:t>7 mil. Kč vyšší než v</w:t>
      </w:r>
      <w:r w:rsidR="00256B81" w:rsidRPr="005E53F7">
        <w:rPr>
          <w:rFonts w:ascii="Calibri" w:hAnsi="Calibri" w:cs="Calibri"/>
          <w:i w:val="0"/>
        </w:rPr>
        <w:t xml:space="preserve"> </w:t>
      </w:r>
      <w:r w:rsidRPr="005E53F7">
        <w:rPr>
          <w:rFonts w:ascii="Calibri" w:hAnsi="Calibri" w:cs="Calibri"/>
          <w:i w:val="0"/>
        </w:rPr>
        <w:t>ostatní měsíce.</w:t>
      </w:r>
    </w:p>
    <w:p w:rsidR="005E53F7" w:rsidRPr="005E53F7" w:rsidRDefault="005E53F7" w:rsidP="005E53F7">
      <w:pPr>
        <w:pStyle w:val="rove2"/>
        <w:numPr>
          <w:ilvl w:val="0"/>
          <w:numId w:val="0"/>
        </w:numPr>
        <w:spacing w:after="0" w:line="264" w:lineRule="auto"/>
        <w:rPr>
          <w:rFonts w:ascii="Calibri" w:hAnsi="Calibri" w:cs="Calibri"/>
          <w:i w:val="0"/>
        </w:rPr>
      </w:pPr>
    </w:p>
    <w:p w:rsidR="0013778E" w:rsidRPr="005E53F7" w:rsidRDefault="005E53F7" w:rsidP="005E53F7">
      <w:pPr>
        <w:pStyle w:val="Nadpis2"/>
        <w:numPr>
          <w:ilvl w:val="0"/>
          <w:numId w:val="0"/>
        </w:numPr>
        <w:spacing w:before="0" w:line="264" w:lineRule="auto"/>
        <w:rPr>
          <w:rFonts w:ascii="Calibri" w:hAnsi="Calibri" w:cs="Calibri"/>
          <w:sz w:val="24"/>
          <w:szCs w:val="24"/>
        </w:rPr>
      </w:pPr>
      <w:r>
        <w:rPr>
          <w:rFonts w:ascii="Calibri" w:hAnsi="Calibri" w:cs="Calibri"/>
          <w:sz w:val="24"/>
          <w:szCs w:val="24"/>
        </w:rPr>
        <w:t xml:space="preserve">3. </w:t>
      </w:r>
      <w:r w:rsidR="007B0B1F" w:rsidRPr="005E53F7">
        <w:rPr>
          <w:rFonts w:ascii="Calibri" w:hAnsi="Calibri" w:cs="Calibri"/>
          <w:sz w:val="24"/>
          <w:szCs w:val="24"/>
        </w:rPr>
        <w:t>Negativní dopady transformace PF na SPÚ</w:t>
      </w:r>
      <w:r w:rsidR="0013778E" w:rsidRPr="005E53F7">
        <w:rPr>
          <w:rFonts w:ascii="Calibri" w:hAnsi="Calibri" w:cs="Calibri"/>
          <w:sz w:val="24"/>
          <w:szCs w:val="24"/>
        </w:rPr>
        <w:t xml:space="preserve"> </w:t>
      </w:r>
    </w:p>
    <w:p w:rsidR="00F6199D" w:rsidRPr="005E53F7" w:rsidRDefault="00F6199D" w:rsidP="005E53F7">
      <w:pPr>
        <w:spacing w:line="264" w:lineRule="auto"/>
        <w:rPr>
          <w:rFonts w:ascii="Calibri" w:hAnsi="Calibri" w:cs="Calibri"/>
          <w:szCs w:val="24"/>
        </w:rPr>
      </w:pPr>
    </w:p>
    <w:p w:rsidR="007B0B1F" w:rsidRPr="005E53F7" w:rsidRDefault="007B0B1F" w:rsidP="005E53F7">
      <w:pPr>
        <w:spacing w:line="264" w:lineRule="auto"/>
        <w:rPr>
          <w:rFonts w:ascii="Calibri" w:hAnsi="Calibri" w:cs="Calibri"/>
          <w:szCs w:val="24"/>
        </w:rPr>
      </w:pPr>
      <w:r w:rsidRPr="005E53F7">
        <w:rPr>
          <w:rFonts w:ascii="Calibri" w:hAnsi="Calibri" w:cs="Calibri"/>
          <w:szCs w:val="24"/>
        </w:rPr>
        <w:t>Zákon o SPÚ byl schválen dne 19. 12. 2012</w:t>
      </w:r>
      <w:r w:rsidR="00D0533D" w:rsidRPr="005E53F7">
        <w:rPr>
          <w:rFonts w:ascii="Calibri" w:hAnsi="Calibri" w:cs="Calibri"/>
          <w:szCs w:val="24"/>
        </w:rPr>
        <w:t>, platnosti nabyl dne 31. 12. 2012 a účinnosti dne 1. 1. 2013</w:t>
      </w:r>
      <w:r w:rsidRPr="005E53F7">
        <w:rPr>
          <w:rFonts w:ascii="Calibri" w:hAnsi="Calibri" w:cs="Calibri"/>
          <w:szCs w:val="24"/>
        </w:rPr>
        <w:t xml:space="preserve">. Skutečnost, že zákon o SPÚ nestanovil legisvakanční lhůtu, </w:t>
      </w:r>
      <w:r w:rsidR="006056B9">
        <w:rPr>
          <w:rFonts w:ascii="Calibri" w:hAnsi="Calibri" w:cs="Calibri"/>
          <w:szCs w:val="24"/>
        </w:rPr>
        <w:t>měla následující dopady</w:t>
      </w:r>
      <w:r w:rsidRPr="005E53F7">
        <w:rPr>
          <w:rFonts w:ascii="Calibri" w:hAnsi="Calibri" w:cs="Calibri"/>
          <w:szCs w:val="24"/>
        </w:rPr>
        <w:t xml:space="preserve">: </w:t>
      </w:r>
    </w:p>
    <w:p w:rsidR="007B0B1F" w:rsidRPr="005E53F7" w:rsidRDefault="007B0B1F" w:rsidP="005E53F7">
      <w:pPr>
        <w:pStyle w:val="Odstavecseseznamem"/>
        <w:numPr>
          <w:ilvl w:val="0"/>
          <w:numId w:val="21"/>
        </w:numPr>
        <w:spacing w:line="264" w:lineRule="auto"/>
        <w:ind w:left="284" w:hanging="284"/>
        <w:rPr>
          <w:rFonts w:ascii="Calibri" w:hAnsi="Calibri" w:cs="Calibri"/>
          <w:szCs w:val="24"/>
        </w:rPr>
      </w:pPr>
      <w:r w:rsidRPr="005E53F7">
        <w:rPr>
          <w:rFonts w:ascii="Calibri" w:hAnsi="Calibri" w:cs="Calibri"/>
          <w:szCs w:val="24"/>
        </w:rPr>
        <w:t xml:space="preserve">Nebyl připraven ekonomický systém, organizační struktura, směrnice, metodické pokyny. </w:t>
      </w:r>
    </w:p>
    <w:p w:rsidR="007B0B1F" w:rsidRPr="005E53F7" w:rsidRDefault="007B0B1F" w:rsidP="005E53F7">
      <w:pPr>
        <w:pStyle w:val="Odstavecseseznamem"/>
        <w:numPr>
          <w:ilvl w:val="0"/>
          <w:numId w:val="21"/>
        </w:numPr>
        <w:spacing w:line="264" w:lineRule="auto"/>
        <w:ind w:left="284" w:hanging="284"/>
        <w:rPr>
          <w:rFonts w:ascii="Calibri" w:hAnsi="Calibri" w:cs="Calibri"/>
          <w:szCs w:val="24"/>
        </w:rPr>
      </w:pPr>
      <w:r w:rsidRPr="005E53F7">
        <w:rPr>
          <w:rFonts w:ascii="Calibri" w:hAnsi="Calibri" w:cs="Calibri"/>
          <w:szCs w:val="24"/>
        </w:rPr>
        <w:t>Dne 1. 2. 2013 vstoupil v</w:t>
      </w:r>
      <w:r w:rsidR="00256B81" w:rsidRPr="005E53F7">
        <w:rPr>
          <w:rFonts w:ascii="Calibri" w:hAnsi="Calibri" w:cs="Calibri"/>
          <w:szCs w:val="24"/>
        </w:rPr>
        <w:t xml:space="preserve"> </w:t>
      </w:r>
      <w:r w:rsidRPr="005E53F7">
        <w:rPr>
          <w:rFonts w:ascii="Calibri" w:hAnsi="Calibri" w:cs="Calibri"/>
          <w:szCs w:val="24"/>
        </w:rPr>
        <w:t>platnost nový organizační řád SPÚ. Teprve poté bylo možné vytvořit nový číselník středisek a implementovat ho do veškerých produkčních systémů. Čísla středisek jsou přitom mj. součástí var</w:t>
      </w:r>
      <w:r w:rsidR="007310FA" w:rsidRPr="005E53F7">
        <w:rPr>
          <w:rFonts w:ascii="Calibri" w:hAnsi="Calibri" w:cs="Calibri"/>
          <w:szCs w:val="24"/>
        </w:rPr>
        <w:t>iabilních symbolů prodejových i</w:t>
      </w:r>
      <w:r w:rsidR="00256B81" w:rsidRPr="005E53F7">
        <w:rPr>
          <w:rFonts w:ascii="Calibri" w:hAnsi="Calibri" w:cs="Calibri"/>
          <w:szCs w:val="24"/>
        </w:rPr>
        <w:t xml:space="preserve"> </w:t>
      </w:r>
      <w:r w:rsidRPr="005E53F7">
        <w:rPr>
          <w:rFonts w:ascii="Calibri" w:hAnsi="Calibri" w:cs="Calibri"/>
          <w:szCs w:val="24"/>
        </w:rPr>
        <w:t>nájemních smluv.</w:t>
      </w:r>
    </w:p>
    <w:p w:rsidR="007B0B1F" w:rsidRPr="005E53F7" w:rsidRDefault="007B0B1F" w:rsidP="005E53F7">
      <w:pPr>
        <w:pStyle w:val="Odstavecseseznamem"/>
        <w:numPr>
          <w:ilvl w:val="0"/>
          <w:numId w:val="21"/>
        </w:numPr>
        <w:spacing w:line="264" w:lineRule="auto"/>
        <w:ind w:left="284" w:hanging="284"/>
        <w:rPr>
          <w:rFonts w:ascii="Calibri" w:hAnsi="Calibri" w:cs="Calibri"/>
          <w:szCs w:val="24"/>
        </w:rPr>
      </w:pPr>
      <w:r w:rsidRPr="005E53F7">
        <w:rPr>
          <w:rFonts w:ascii="Calibri" w:hAnsi="Calibri" w:cs="Calibri"/>
          <w:szCs w:val="24"/>
        </w:rPr>
        <w:t>Nebylo možné s</w:t>
      </w:r>
      <w:r w:rsidR="00256B81" w:rsidRPr="005E53F7">
        <w:rPr>
          <w:rFonts w:ascii="Calibri" w:hAnsi="Calibri" w:cs="Calibri"/>
          <w:szCs w:val="24"/>
        </w:rPr>
        <w:t xml:space="preserve"> </w:t>
      </w:r>
      <w:r w:rsidRPr="005E53F7">
        <w:rPr>
          <w:rFonts w:ascii="Calibri" w:hAnsi="Calibri" w:cs="Calibri"/>
          <w:szCs w:val="24"/>
        </w:rPr>
        <w:t>předstihem založit bankovní účty v</w:t>
      </w:r>
      <w:r w:rsidR="00256B81" w:rsidRPr="005E53F7">
        <w:rPr>
          <w:rFonts w:ascii="Calibri" w:hAnsi="Calibri" w:cs="Calibri"/>
          <w:szCs w:val="24"/>
        </w:rPr>
        <w:t xml:space="preserve"> </w:t>
      </w:r>
      <w:r w:rsidRPr="005E53F7">
        <w:rPr>
          <w:rFonts w:ascii="Calibri" w:hAnsi="Calibri" w:cs="Calibri"/>
          <w:szCs w:val="24"/>
        </w:rPr>
        <w:t xml:space="preserve">ČNB a zabezpečit přístupy do </w:t>
      </w:r>
      <w:r w:rsidRPr="00CA6C58">
        <w:rPr>
          <w:rFonts w:ascii="Calibri" w:hAnsi="Calibri" w:cs="Calibri"/>
          <w:i/>
          <w:szCs w:val="24"/>
        </w:rPr>
        <w:t>Centrálního systému účetních informací státu</w:t>
      </w:r>
      <w:r w:rsidRPr="005E53F7">
        <w:rPr>
          <w:rFonts w:ascii="Calibri" w:hAnsi="Calibri" w:cs="Calibri"/>
          <w:szCs w:val="24"/>
        </w:rPr>
        <w:t xml:space="preserve"> a </w:t>
      </w:r>
      <w:r w:rsidRPr="00CA6C58">
        <w:rPr>
          <w:rFonts w:ascii="Calibri" w:hAnsi="Calibri" w:cs="Calibri"/>
          <w:i/>
          <w:szCs w:val="24"/>
        </w:rPr>
        <w:t>Integrovaného informačního systému Státní pokladny</w:t>
      </w:r>
      <w:r w:rsidR="001B2DD1">
        <w:rPr>
          <w:rFonts w:ascii="Calibri" w:hAnsi="Calibri" w:cs="Calibri"/>
          <w:szCs w:val="24"/>
        </w:rPr>
        <w:t xml:space="preserve"> (</w:t>
      </w:r>
      <w:r w:rsidR="007D711D">
        <w:rPr>
          <w:rFonts w:ascii="Calibri" w:hAnsi="Calibri" w:cs="Calibri"/>
          <w:szCs w:val="24"/>
        </w:rPr>
        <w:t>dále jen „</w:t>
      </w:r>
      <w:r w:rsidR="001B2DD1">
        <w:rPr>
          <w:rFonts w:ascii="Calibri" w:hAnsi="Calibri" w:cs="Calibri"/>
          <w:szCs w:val="24"/>
        </w:rPr>
        <w:t>IISSP</w:t>
      </w:r>
      <w:r w:rsidR="007D711D">
        <w:rPr>
          <w:rFonts w:ascii="Calibri" w:hAnsi="Calibri" w:cs="Calibri"/>
          <w:szCs w:val="24"/>
        </w:rPr>
        <w:t>“</w:t>
      </w:r>
      <w:r w:rsidR="001B2DD1">
        <w:rPr>
          <w:rFonts w:ascii="Calibri" w:hAnsi="Calibri" w:cs="Calibri"/>
          <w:szCs w:val="24"/>
        </w:rPr>
        <w:t>)</w:t>
      </w:r>
      <w:r w:rsidRPr="005E53F7">
        <w:rPr>
          <w:rFonts w:ascii="Calibri" w:hAnsi="Calibri" w:cs="Calibri"/>
          <w:szCs w:val="24"/>
        </w:rPr>
        <w:t>. Úhrada faktur SPÚ tak mohla být zahájena až v</w:t>
      </w:r>
      <w:r w:rsidR="00256B81" w:rsidRPr="005E53F7">
        <w:rPr>
          <w:rFonts w:ascii="Calibri" w:hAnsi="Calibri" w:cs="Calibri"/>
          <w:szCs w:val="24"/>
        </w:rPr>
        <w:t xml:space="preserve"> </w:t>
      </w:r>
      <w:r w:rsidRPr="005E53F7">
        <w:rPr>
          <w:rFonts w:ascii="Calibri" w:hAnsi="Calibri" w:cs="Calibri"/>
          <w:szCs w:val="24"/>
        </w:rPr>
        <w:t>průběhu února roku 2013 a až do konce května roku 2013 byl v</w:t>
      </w:r>
      <w:r w:rsidR="00256B81" w:rsidRPr="005E53F7">
        <w:rPr>
          <w:rFonts w:ascii="Calibri" w:hAnsi="Calibri" w:cs="Calibri"/>
          <w:szCs w:val="24"/>
        </w:rPr>
        <w:t xml:space="preserve"> </w:t>
      </w:r>
      <w:r w:rsidRPr="005E53F7">
        <w:rPr>
          <w:rFonts w:ascii="Calibri" w:hAnsi="Calibri" w:cs="Calibri"/>
          <w:szCs w:val="24"/>
        </w:rPr>
        <w:t>oblasti výdajů nastaven provizorní</w:t>
      </w:r>
      <w:r w:rsidR="00E16D0A">
        <w:rPr>
          <w:rFonts w:ascii="Calibri" w:hAnsi="Calibri" w:cs="Calibri"/>
          <w:szCs w:val="24"/>
        </w:rPr>
        <w:t xml:space="preserve"> systém</w:t>
      </w:r>
      <w:r w:rsidR="00523454">
        <w:rPr>
          <w:rFonts w:ascii="Calibri" w:hAnsi="Calibri" w:cs="Calibri"/>
          <w:szCs w:val="24"/>
        </w:rPr>
        <w:t>,</w:t>
      </w:r>
      <w:r w:rsidRPr="005E53F7">
        <w:rPr>
          <w:rFonts w:ascii="Calibri" w:hAnsi="Calibri" w:cs="Calibri"/>
          <w:szCs w:val="24"/>
        </w:rPr>
        <w:t xml:space="preserve"> tj. ruční způsob rezervací v</w:t>
      </w:r>
      <w:r w:rsidR="00256B81" w:rsidRPr="005E53F7">
        <w:rPr>
          <w:rFonts w:ascii="Calibri" w:hAnsi="Calibri" w:cs="Calibri"/>
          <w:szCs w:val="24"/>
        </w:rPr>
        <w:t xml:space="preserve"> </w:t>
      </w:r>
      <w:r w:rsidRPr="005E53F7">
        <w:rPr>
          <w:rFonts w:ascii="Calibri" w:hAnsi="Calibri" w:cs="Calibri"/>
          <w:szCs w:val="24"/>
        </w:rPr>
        <w:t>IISSP a placení v</w:t>
      </w:r>
      <w:r w:rsidR="00256B81" w:rsidRPr="005E53F7">
        <w:rPr>
          <w:rFonts w:ascii="Calibri" w:hAnsi="Calibri" w:cs="Calibri"/>
          <w:szCs w:val="24"/>
        </w:rPr>
        <w:t xml:space="preserve"> </w:t>
      </w:r>
      <w:r w:rsidRPr="005E53F7">
        <w:rPr>
          <w:rFonts w:ascii="Calibri" w:hAnsi="Calibri" w:cs="Calibri"/>
          <w:szCs w:val="24"/>
        </w:rPr>
        <w:t>ČNB. Dle informace SPÚ bylo od začátku roku 2013 do konce listopadu 2013 zpracováno cca 20 tisíc faktur.</w:t>
      </w:r>
    </w:p>
    <w:p w:rsidR="007B0B1F" w:rsidRPr="005E53F7" w:rsidRDefault="007B0B1F" w:rsidP="005E53F7">
      <w:pPr>
        <w:pStyle w:val="Odstavecseseznamem"/>
        <w:numPr>
          <w:ilvl w:val="0"/>
          <w:numId w:val="21"/>
        </w:numPr>
        <w:spacing w:line="264" w:lineRule="auto"/>
        <w:ind w:left="284" w:hanging="284"/>
        <w:rPr>
          <w:rFonts w:ascii="Calibri" w:hAnsi="Calibri" w:cs="Calibri"/>
          <w:szCs w:val="24"/>
        </w:rPr>
      </w:pPr>
      <w:r w:rsidRPr="005E53F7">
        <w:rPr>
          <w:rFonts w:ascii="Calibri" w:hAnsi="Calibri" w:cs="Calibri"/>
          <w:szCs w:val="24"/>
        </w:rPr>
        <w:t>Nebylo možné s</w:t>
      </w:r>
      <w:r w:rsidR="00256B81" w:rsidRPr="005E53F7">
        <w:rPr>
          <w:rFonts w:ascii="Calibri" w:hAnsi="Calibri" w:cs="Calibri"/>
          <w:szCs w:val="24"/>
        </w:rPr>
        <w:t xml:space="preserve"> </w:t>
      </w:r>
      <w:r w:rsidRPr="005E53F7">
        <w:rPr>
          <w:rFonts w:ascii="Calibri" w:hAnsi="Calibri" w:cs="Calibri"/>
          <w:szCs w:val="24"/>
        </w:rPr>
        <w:t>předstihem zahájit práce na přípravě smlouvy na dodání úprav softwaru pro SPÚ (např. na sjednocení spisové služby) a na návrhu migrace počátečních stavů z</w:t>
      </w:r>
      <w:r w:rsidR="00256B81" w:rsidRPr="005E53F7">
        <w:rPr>
          <w:rFonts w:ascii="Calibri" w:hAnsi="Calibri" w:cs="Calibri"/>
          <w:szCs w:val="24"/>
        </w:rPr>
        <w:t xml:space="preserve"> </w:t>
      </w:r>
      <w:r w:rsidRPr="005E53F7">
        <w:rPr>
          <w:rFonts w:ascii="Calibri" w:hAnsi="Calibri" w:cs="Calibri"/>
          <w:szCs w:val="24"/>
        </w:rPr>
        <w:t>PF a</w:t>
      </w:r>
      <w:r w:rsidR="00F6199D" w:rsidRPr="005E53F7">
        <w:rPr>
          <w:rFonts w:ascii="Calibri" w:hAnsi="Calibri" w:cs="Calibri"/>
          <w:szCs w:val="24"/>
        </w:rPr>
        <w:t> </w:t>
      </w:r>
      <w:r w:rsidRPr="005E53F7">
        <w:rPr>
          <w:rFonts w:ascii="Calibri" w:hAnsi="Calibri" w:cs="Calibri"/>
          <w:szCs w:val="24"/>
        </w:rPr>
        <w:t xml:space="preserve">z bývalých pozemkových úřadů. Dle informace SPÚ bylo </w:t>
      </w:r>
      <w:r w:rsidR="001B2DD1">
        <w:rPr>
          <w:rFonts w:ascii="Calibri" w:hAnsi="Calibri" w:cs="Calibri"/>
          <w:szCs w:val="24"/>
        </w:rPr>
        <w:t>převedeno</w:t>
      </w:r>
      <w:r w:rsidRPr="005E53F7">
        <w:rPr>
          <w:rFonts w:ascii="Calibri" w:hAnsi="Calibri" w:cs="Calibri"/>
          <w:szCs w:val="24"/>
        </w:rPr>
        <w:t xml:space="preserve"> přes 600</w:t>
      </w:r>
      <w:r w:rsidR="001B2DD1">
        <w:rPr>
          <w:rFonts w:ascii="Calibri" w:hAnsi="Calibri" w:cs="Calibri"/>
          <w:szCs w:val="24"/>
        </w:rPr>
        <w:t> </w:t>
      </w:r>
      <w:r w:rsidRPr="005E53F7">
        <w:rPr>
          <w:rFonts w:ascii="Calibri" w:hAnsi="Calibri" w:cs="Calibri"/>
          <w:szCs w:val="24"/>
        </w:rPr>
        <w:t>tisíc pozemků, 8,5 tisíce budov a staveb, 50 tisíc položek drobného majetku, 200 tisíc smluv z prodeje pozemků, z</w:t>
      </w:r>
      <w:r w:rsidR="00256B81" w:rsidRPr="005E53F7">
        <w:rPr>
          <w:rFonts w:ascii="Calibri" w:hAnsi="Calibri" w:cs="Calibri"/>
          <w:szCs w:val="24"/>
        </w:rPr>
        <w:t xml:space="preserve"> </w:t>
      </w:r>
      <w:r w:rsidRPr="005E53F7">
        <w:rPr>
          <w:rFonts w:ascii="Calibri" w:hAnsi="Calibri" w:cs="Calibri"/>
          <w:szCs w:val="24"/>
        </w:rPr>
        <w:t xml:space="preserve">nájemních vztahů, privatizace atd. </w:t>
      </w:r>
    </w:p>
    <w:p w:rsidR="007B0B1F" w:rsidRPr="005E53F7" w:rsidRDefault="007B0B1F" w:rsidP="005E53F7">
      <w:pPr>
        <w:pStyle w:val="Odstavecseseznamem"/>
        <w:numPr>
          <w:ilvl w:val="0"/>
          <w:numId w:val="21"/>
        </w:numPr>
        <w:spacing w:line="264" w:lineRule="auto"/>
        <w:ind w:left="284" w:hanging="284"/>
        <w:rPr>
          <w:rFonts w:ascii="Calibri" w:hAnsi="Calibri" w:cs="Calibri"/>
          <w:szCs w:val="24"/>
        </w:rPr>
      </w:pPr>
      <w:r w:rsidRPr="005E53F7">
        <w:rPr>
          <w:rFonts w:ascii="Calibri" w:hAnsi="Calibri" w:cs="Calibri"/>
          <w:szCs w:val="24"/>
        </w:rPr>
        <w:t>Účtování bankovních výpisů z</w:t>
      </w:r>
      <w:r w:rsidR="00256B81" w:rsidRPr="005E53F7">
        <w:rPr>
          <w:rFonts w:ascii="Calibri" w:hAnsi="Calibri" w:cs="Calibri"/>
          <w:szCs w:val="24"/>
        </w:rPr>
        <w:t xml:space="preserve"> </w:t>
      </w:r>
      <w:r w:rsidRPr="005E53F7">
        <w:rPr>
          <w:rFonts w:ascii="Calibri" w:hAnsi="Calibri" w:cs="Calibri"/>
          <w:szCs w:val="24"/>
        </w:rPr>
        <w:t>příjmových účtů mohlo být zahájeno až v</w:t>
      </w:r>
      <w:r w:rsidR="00256B81" w:rsidRPr="005E53F7">
        <w:rPr>
          <w:rFonts w:ascii="Calibri" w:hAnsi="Calibri" w:cs="Calibri"/>
          <w:szCs w:val="24"/>
        </w:rPr>
        <w:t xml:space="preserve"> </w:t>
      </w:r>
      <w:r w:rsidRPr="005E53F7">
        <w:rPr>
          <w:rFonts w:ascii="Calibri" w:hAnsi="Calibri" w:cs="Calibri"/>
          <w:szCs w:val="24"/>
        </w:rPr>
        <w:t>průběhu srpna 2013, kdy byla dokončena migrace počátečních stavů pohledávek. Nejprve byly zaúčtovány pohyby na 90 původních bankovních účtech, které musely být část roku zachovány kvůli příchozím platbám, teprve poté mohly být doúčtovány veškeré pohyby na bankovních účtech ČNB. Dle informace SP</w:t>
      </w:r>
      <w:r w:rsidR="000846BB" w:rsidRPr="005E53F7">
        <w:rPr>
          <w:rFonts w:ascii="Calibri" w:hAnsi="Calibri" w:cs="Calibri"/>
          <w:szCs w:val="24"/>
        </w:rPr>
        <w:t>Ú bylo od počátku roku do října</w:t>
      </w:r>
      <w:r w:rsidR="00256B81" w:rsidRPr="005E53F7">
        <w:rPr>
          <w:rFonts w:ascii="Calibri" w:hAnsi="Calibri" w:cs="Calibri"/>
          <w:szCs w:val="24"/>
        </w:rPr>
        <w:t xml:space="preserve"> </w:t>
      </w:r>
      <w:r w:rsidRPr="005E53F7">
        <w:rPr>
          <w:rFonts w:ascii="Calibri" w:hAnsi="Calibri" w:cs="Calibri"/>
          <w:szCs w:val="24"/>
        </w:rPr>
        <w:t xml:space="preserve">2013 na </w:t>
      </w:r>
      <w:r w:rsidRPr="005E53F7">
        <w:rPr>
          <w:rFonts w:ascii="Calibri" w:hAnsi="Calibri" w:cs="Calibri"/>
          <w:szCs w:val="24"/>
        </w:rPr>
        <w:lastRenderedPageBreak/>
        <w:t>výdajovém rozpočtovém účtu cca 20 tisíc položek, na mimorozpočtovém účtu 16 tisíc položek a na příjmových účtech 116 tisíc položek.</w:t>
      </w:r>
    </w:p>
    <w:p w:rsidR="007B0B1F" w:rsidRPr="005E53F7" w:rsidRDefault="00CA4F51" w:rsidP="005E53F7">
      <w:pPr>
        <w:pStyle w:val="Odstavecseseznamem"/>
        <w:numPr>
          <w:ilvl w:val="0"/>
          <w:numId w:val="21"/>
        </w:numPr>
        <w:spacing w:line="264" w:lineRule="auto"/>
        <w:ind w:left="284" w:hanging="284"/>
        <w:rPr>
          <w:rFonts w:ascii="Calibri" w:hAnsi="Calibri" w:cs="Calibri"/>
          <w:szCs w:val="24"/>
        </w:rPr>
      </w:pPr>
      <w:r w:rsidRPr="005E53F7">
        <w:rPr>
          <w:rFonts w:ascii="Calibri" w:hAnsi="Calibri" w:cs="Calibri"/>
          <w:szCs w:val="24"/>
        </w:rPr>
        <w:t>V</w:t>
      </w:r>
      <w:r w:rsidR="00256B81" w:rsidRPr="005E53F7">
        <w:rPr>
          <w:rFonts w:ascii="Calibri" w:hAnsi="Calibri" w:cs="Calibri"/>
          <w:szCs w:val="24"/>
        </w:rPr>
        <w:t xml:space="preserve"> </w:t>
      </w:r>
      <w:r w:rsidRPr="005E53F7">
        <w:rPr>
          <w:rFonts w:ascii="Calibri" w:hAnsi="Calibri" w:cs="Calibri"/>
          <w:szCs w:val="24"/>
        </w:rPr>
        <w:t>personální</w:t>
      </w:r>
      <w:r w:rsidR="001B2DD1" w:rsidRPr="001B2DD1">
        <w:rPr>
          <w:rFonts w:ascii="Calibri" w:hAnsi="Calibri" w:cs="Calibri"/>
          <w:szCs w:val="24"/>
        </w:rPr>
        <w:t xml:space="preserve"> </w:t>
      </w:r>
      <w:r w:rsidR="001B2DD1" w:rsidRPr="005E53F7">
        <w:rPr>
          <w:rFonts w:ascii="Calibri" w:hAnsi="Calibri" w:cs="Calibri"/>
          <w:szCs w:val="24"/>
        </w:rPr>
        <w:t>oblasti</w:t>
      </w:r>
      <w:r w:rsidRPr="005E53F7">
        <w:rPr>
          <w:rFonts w:ascii="Calibri" w:hAnsi="Calibri" w:cs="Calibri"/>
          <w:szCs w:val="24"/>
        </w:rPr>
        <w:t xml:space="preserve"> </w:t>
      </w:r>
      <w:r w:rsidR="001B2DD1" w:rsidRPr="005E53F7">
        <w:rPr>
          <w:rFonts w:ascii="Calibri" w:hAnsi="Calibri" w:cs="Calibri"/>
          <w:szCs w:val="24"/>
        </w:rPr>
        <w:t xml:space="preserve">musel </w:t>
      </w:r>
      <w:r w:rsidRPr="005E53F7">
        <w:rPr>
          <w:rFonts w:ascii="Calibri" w:hAnsi="Calibri" w:cs="Calibri"/>
          <w:szCs w:val="24"/>
        </w:rPr>
        <w:t>SPÚ reagovat ve velmi krátkém časovém horizontu na změnu právní formy z</w:t>
      </w:r>
      <w:r w:rsidR="00256B81" w:rsidRPr="005E53F7">
        <w:rPr>
          <w:rFonts w:ascii="Calibri" w:hAnsi="Calibri" w:cs="Calibri"/>
          <w:szCs w:val="24"/>
        </w:rPr>
        <w:t xml:space="preserve"> </w:t>
      </w:r>
      <w:r w:rsidRPr="005E53F7">
        <w:rPr>
          <w:rFonts w:ascii="Calibri" w:hAnsi="Calibri" w:cs="Calibri"/>
          <w:szCs w:val="24"/>
        </w:rPr>
        <w:t>právnické osoby na organizační složku státu a s</w:t>
      </w:r>
      <w:r w:rsidR="00256B81" w:rsidRPr="005E53F7">
        <w:rPr>
          <w:rFonts w:ascii="Calibri" w:hAnsi="Calibri" w:cs="Calibri"/>
          <w:szCs w:val="24"/>
        </w:rPr>
        <w:t xml:space="preserve"> </w:t>
      </w:r>
      <w:r w:rsidRPr="005E53F7">
        <w:rPr>
          <w:rFonts w:ascii="Calibri" w:hAnsi="Calibri" w:cs="Calibri"/>
          <w:szCs w:val="24"/>
        </w:rPr>
        <w:t>tím související nový způsob odměňování zaměstnanců, převzetí dat a osobních složek zaměstnanců zrušeného Pozemkového fondu, Ústředního pozemkového úřadu a</w:t>
      </w:r>
      <w:r w:rsidR="001B2DD1">
        <w:rPr>
          <w:rFonts w:ascii="Calibri" w:hAnsi="Calibri" w:cs="Calibri"/>
          <w:szCs w:val="24"/>
        </w:rPr>
        <w:t> </w:t>
      </w:r>
      <w:r w:rsidRPr="005E53F7">
        <w:rPr>
          <w:rFonts w:ascii="Calibri" w:hAnsi="Calibri" w:cs="Calibri"/>
          <w:szCs w:val="24"/>
        </w:rPr>
        <w:t>pozemkových úřadů a</w:t>
      </w:r>
      <w:r w:rsidR="001B2DD1">
        <w:rPr>
          <w:rFonts w:ascii="Calibri" w:hAnsi="Calibri" w:cs="Calibri"/>
          <w:szCs w:val="24"/>
        </w:rPr>
        <w:t> </w:t>
      </w:r>
      <w:r w:rsidRPr="005E53F7">
        <w:rPr>
          <w:rFonts w:ascii="Calibri" w:hAnsi="Calibri" w:cs="Calibri"/>
          <w:szCs w:val="24"/>
        </w:rPr>
        <w:t xml:space="preserve">na </w:t>
      </w:r>
      <w:r w:rsidR="001B2DD1">
        <w:rPr>
          <w:rFonts w:ascii="Calibri" w:hAnsi="Calibri" w:cs="Calibri"/>
          <w:szCs w:val="24"/>
        </w:rPr>
        <w:t>přijímání</w:t>
      </w:r>
      <w:r w:rsidRPr="005E53F7">
        <w:rPr>
          <w:rFonts w:ascii="Calibri" w:hAnsi="Calibri" w:cs="Calibri"/>
          <w:szCs w:val="24"/>
        </w:rPr>
        <w:t xml:space="preserve"> nových zaměstnanců.</w:t>
      </w:r>
    </w:p>
    <w:p w:rsidR="00F6199D" w:rsidRPr="005E53F7" w:rsidRDefault="00F6199D" w:rsidP="005E53F7">
      <w:pPr>
        <w:spacing w:line="264" w:lineRule="auto"/>
        <w:rPr>
          <w:rFonts w:ascii="Calibri" w:hAnsi="Calibri" w:cs="Calibri"/>
          <w:szCs w:val="24"/>
        </w:rPr>
      </w:pPr>
    </w:p>
    <w:p w:rsidR="005E53F7" w:rsidRDefault="007B0B1F" w:rsidP="005E53F7">
      <w:pPr>
        <w:shd w:val="clear" w:color="auto" w:fill="FFFFFF" w:themeFill="background1"/>
        <w:spacing w:line="264" w:lineRule="auto"/>
        <w:rPr>
          <w:rFonts w:ascii="Calibri" w:hAnsi="Calibri" w:cs="Calibri"/>
          <w:szCs w:val="24"/>
        </w:rPr>
      </w:pPr>
      <w:r w:rsidRPr="005E53F7">
        <w:rPr>
          <w:rFonts w:ascii="Calibri" w:hAnsi="Calibri" w:cs="Calibri"/>
          <w:szCs w:val="24"/>
        </w:rPr>
        <w:t>Dostatečná legisvakanční lhůta by umožnila výše uvedeným negativním dopadům předejít. První podstatný krok k</w:t>
      </w:r>
      <w:r w:rsidR="00256B81" w:rsidRPr="005E53F7">
        <w:rPr>
          <w:rFonts w:ascii="Calibri" w:hAnsi="Calibri" w:cs="Calibri"/>
          <w:szCs w:val="24"/>
        </w:rPr>
        <w:t xml:space="preserve"> </w:t>
      </w:r>
      <w:r w:rsidRPr="005E53F7">
        <w:rPr>
          <w:rFonts w:ascii="Calibri" w:hAnsi="Calibri" w:cs="Calibri"/>
          <w:szCs w:val="24"/>
        </w:rPr>
        <w:t xml:space="preserve">transformaci PF přitom vláda ČR učinila již dne 17. 3. 2008 usnesením č. 257, kterým vláda schválila </w:t>
      </w:r>
      <w:r w:rsidR="001B2DD1">
        <w:rPr>
          <w:rFonts w:ascii="Calibri" w:hAnsi="Calibri" w:cs="Calibri"/>
          <w:szCs w:val="24"/>
        </w:rPr>
        <w:t>z</w:t>
      </w:r>
      <w:r w:rsidRPr="005E53F7">
        <w:rPr>
          <w:rFonts w:ascii="Calibri" w:hAnsi="Calibri" w:cs="Calibri"/>
          <w:szCs w:val="24"/>
        </w:rPr>
        <w:t>ásady transformace PF. V</w:t>
      </w:r>
      <w:r w:rsidR="00256B81" w:rsidRPr="005E53F7">
        <w:rPr>
          <w:rFonts w:ascii="Calibri" w:hAnsi="Calibri" w:cs="Calibri"/>
          <w:szCs w:val="24"/>
        </w:rPr>
        <w:t xml:space="preserve"> </w:t>
      </w:r>
      <w:r w:rsidRPr="005E53F7">
        <w:rPr>
          <w:rFonts w:ascii="Calibri" w:hAnsi="Calibri" w:cs="Calibri"/>
          <w:szCs w:val="24"/>
        </w:rPr>
        <w:t>roce 2010 realizoval PF veřejnou zakázku „</w:t>
      </w:r>
      <w:r w:rsidRPr="005E53F7">
        <w:rPr>
          <w:rFonts w:ascii="Calibri" w:hAnsi="Calibri" w:cs="Calibri"/>
          <w:color w:val="000000"/>
          <w:szCs w:val="24"/>
          <w:lang w:eastAsia="cs-CZ"/>
        </w:rPr>
        <w:t>Personální, organizační a technický návrh transformace Pozemkového fondu České republiky a pozemkových úřadů na Pozemkový úřad České republiky“</w:t>
      </w:r>
      <w:r w:rsidR="007D711D" w:rsidRPr="007D711D">
        <w:rPr>
          <w:rFonts w:ascii="Calibri" w:hAnsi="Calibri" w:cs="Calibri"/>
          <w:szCs w:val="24"/>
        </w:rPr>
        <w:t xml:space="preserve"> </w:t>
      </w:r>
      <w:r w:rsidR="007D711D" w:rsidRPr="005E53F7">
        <w:rPr>
          <w:rFonts w:ascii="Calibri" w:hAnsi="Calibri" w:cs="Calibri"/>
          <w:szCs w:val="24"/>
        </w:rPr>
        <w:t>v hodnotě 1</w:t>
      </w:r>
      <w:r w:rsidR="004E6C41">
        <w:rPr>
          <w:rFonts w:ascii="Calibri" w:hAnsi="Calibri" w:cs="Calibri"/>
          <w:szCs w:val="24"/>
        </w:rPr>
        <w:t> </w:t>
      </w:r>
      <w:r w:rsidR="007D711D" w:rsidRPr="005E53F7">
        <w:rPr>
          <w:rFonts w:ascii="Calibri" w:hAnsi="Calibri" w:cs="Calibri"/>
          <w:szCs w:val="24"/>
        </w:rPr>
        <w:t>860</w:t>
      </w:r>
      <w:r w:rsidR="004E6C41">
        <w:rPr>
          <w:rFonts w:ascii="Calibri" w:hAnsi="Calibri" w:cs="Calibri"/>
          <w:szCs w:val="24"/>
        </w:rPr>
        <w:t> </w:t>
      </w:r>
      <w:r w:rsidR="007D711D" w:rsidRPr="005E53F7">
        <w:rPr>
          <w:rFonts w:ascii="Calibri" w:hAnsi="Calibri" w:cs="Calibri"/>
          <w:szCs w:val="24"/>
        </w:rPr>
        <w:t>000</w:t>
      </w:r>
      <w:r w:rsidR="004E6C41">
        <w:rPr>
          <w:rFonts w:ascii="Calibri" w:hAnsi="Calibri" w:cs="Calibri"/>
          <w:szCs w:val="24"/>
        </w:rPr>
        <w:t> </w:t>
      </w:r>
      <w:r w:rsidR="007D711D" w:rsidRPr="005E53F7">
        <w:rPr>
          <w:rFonts w:ascii="Calibri" w:hAnsi="Calibri" w:cs="Calibri"/>
          <w:szCs w:val="24"/>
        </w:rPr>
        <w:t>Kč bez DPH</w:t>
      </w:r>
      <w:r w:rsidRPr="005E53F7">
        <w:rPr>
          <w:rFonts w:ascii="Calibri" w:hAnsi="Calibri" w:cs="Calibri"/>
          <w:color w:val="000000"/>
          <w:szCs w:val="24"/>
          <w:lang w:eastAsia="cs-CZ"/>
        </w:rPr>
        <w:t>. Výstup z</w:t>
      </w:r>
      <w:r w:rsidR="00256B81" w:rsidRPr="005E53F7">
        <w:rPr>
          <w:rFonts w:ascii="Calibri" w:hAnsi="Calibri" w:cs="Calibri"/>
          <w:color w:val="000000"/>
          <w:szCs w:val="24"/>
          <w:lang w:eastAsia="cs-CZ"/>
        </w:rPr>
        <w:t xml:space="preserve"> </w:t>
      </w:r>
      <w:r w:rsidRPr="005E53F7">
        <w:rPr>
          <w:rFonts w:ascii="Calibri" w:hAnsi="Calibri" w:cs="Calibri"/>
          <w:color w:val="000000"/>
          <w:szCs w:val="24"/>
          <w:lang w:eastAsia="cs-CZ"/>
        </w:rPr>
        <w:t xml:space="preserve">této analýzy zpracované externí společností doporučoval </w:t>
      </w:r>
      <w:r w:rsidRPr="005E53F7">
        <w:rPr>
          <w:rFonts w:ascii="Calibri" w:hAnsi="Calibri" w:cs="Calibri"/>
          <w:szCs w:val="24"/>
        </w:rPr>
        <w:t>vznik jednoho subjektu s</w:t>
      </w:r>
      <w:r w:rsidR="00256B81" w:rsidRPr="005E53F7">
        <w:rPr>
          <w:rFonts w:ascii="Calibri" w:hAnsi="Calibri" w:cs="Calibri"/>
          <w:szCs w:val="24"/>
        </w:rPr>
        <w:t xml:space="preserve"> </w:t>
      </w:r>
      <w:r w:rsidRPr="005E53F7">
        <w:rPr>
          <w:rFonts w:ascii="Calibri" w:hAnsi="Calibri" w:cs="Calibri"/>
          <w:szCs w:val="24"/>
        </w:rPr>
        <w:t>tím, že odhadované úspory je možné dosáhnout za předpokladu, že nástupnická organizace bude právnickou osobou. Závěry této analýzy nebyly plně využity při přípravě návrhu zákona a důvodové zprávy, protože navrhovanou formou nástupnické organizace nakonec byla forma organizační složky státu.</w:t>
      </w:r>
    </w:p>
    <w:p w:rsidR="009C000B" w:rsidRPr="005E53F7" w:rsidRDefault="009C000B" w:rsidP="005E53F7">
      <w:pPr>
        <w:shd w:val="clear" w:color="auto" w:fill="FFFFFF" w:themeFill="background1"/>
        <w:spacing w:line="264" w:lineRule="auto"/>
        <w:rPr>
          <w:rFonts w:ascii="Calibri" w:hAnsi="Calibri" w:cs="Calibri"/>
          <w:szCs w:val="24"/>
        </w:rPr>
      </w:pPr>
    </w:p>
    <w:p w:rsidR="007B0B1F" w:rsidRPr="005E53F7" w:rsidRDefault="007B0B1F" w:rsidP="005E53F7">
      <w:pPr>
        <w:spacing w:line="264" w:lineRule="auto"/>
        <w:rPr>
          <w:rFonts w:ascii="Calibri" w:hAnsi="Calibri" w:cs="Calibri"/>
          <w:szCs w:val="24"/>
        </w:rPr>
      </w:pPr>
      <w:r w:rsidRPr="005E53F7">
        <w:rPr>
          <w:rFonts w:ascii="Calibri" w:hAnsi="Calibri" w:cs="Calibri"/>
          <w:szCs w:val="24"/>
        </w:rPr>
        <w:t>Mezi další potíže související s</w:t>
      </w:r>
      <w:r w:rsidR="00256B81" w:rsidRPr="005E53F7">
        <w:rPr>
          <w:rFonts w:ascii="Calibri" w:hAnsi="Calibri" w:cs="Calibri"/>
          <w:szCs w:val="24"/>
        </w:rPr>
        <w:t xml:space="preserve"> </w:t>
      </w:r>
      <w:r w:rsidRPr="005E53F7">
        <w:rPr>
          <w:rFonts w:ascii="Calibri" w:hAnsi="Calibri" w:cs="Calibri"/>
          <w:szCs w:val="24"/>
        </w:rPr>
        <w:t>transformací PF na SPÚ lze uvést následující</w:t>
      </w:r>
      <w:r w:rsidR="001B2DD1">
        <w:rPr>
          <w:rFonts w:ascii="Calibri" w:hAnsi="Calibri" w:cs="Calibri"/>
          <w:szCs w:val="24"/>
        </w:rPr>
        <w:t xml:space="preserve"> skutečnosti</w:t>
      </w:r>
      <w:r w:rsidRPr="005E53F7">
        <w:rPr>
          <w:rFonts w:ascii="Calibri" w:hAnsi="Calibri" w:cs="Calibri"/>
          <w:szCs w:val="24"/>
        </w:rPr>
        <w:t>:</w:t>
      </w:r>
    </w:p>
    <w:p w:rsidR="007B0B1F" w:rsidRPr="005E53F7" w:rsidRDefault="001B2DD1" w:rsidP="005E53F7">
      <w:pPr>
        <w:pStyle w:val="Odstavecseseznamem"/>
        <w:numPr>
          <w:ilvl w:val="0"/>
          <w:numId w:val="32"/>
        </w:numPr>
        <w:spacing w:line="264" w:lineRule="auto"/>
        <w:ind w:left="284" w:hanging="284"/>
        <w:rPr>
          <w:rFonts w:ascii="Calibri" w:hAnsi="Calibri" w:cs="Calibri"/>
          <w:szCs w:val="24"/>
        </w:rPr>
      </w:pPr>
      <w:r>
        <w:rPr>
          <w:rFonts w:ascii="Calibri" w:hAnsi="Calibri" w:cs="Calibri"/>
          <w:szCs w:val="24"/>
        </w:rPr>
        <w:t>Došlo k v</w:t>
      </w:r>
      <w:r w:rsidR="007B0B1F" w:rsidRPr="005E53F7">
        <w:rPr>
          <w:rFonts w:ascii="Calibri" w:hAnsi="Calibri" w:cs="Calibri"/>
          <w:szCs w:val="24"/>
        </w:rPr>
        <w:t>ýrazné</w:t>
      </w:r>
      <w:r>
        <w:rPr>
          <w:rFonts w:ascii="Calibri" w:hAnsi="Calibri" w:cs="Calibri"/>
          <w:szCs w:val="24"/>
        </w:rPr>
        <w:t>mu</w:t>
      </w:r>
      <w:r w:rsidR="007B0B1F" w:rsidRPr="005E53F7">
        <w:rPr>
          <w:rFonts w:ascii="Calibri" w:hAnsi="Calibri" w:cs="Calibri"/>
          <w:szCs w:val="24"/>
        </w:rPr>
        <w:t xml:space="preserve"> snížení počtu zaměstnanců vykonávající</w:t>
      </w:r>
      <w:r>
        <w:rPr>
          <w:rFonts w:ascii="Calibri" w:hAnsi="Calibri" w:cs="Calibri"/>
          <w:szCs w:val="24"/>
        </w:rPr>
        <w:t>ch</w:t>
      </w:r>
      <w:r w:rsidR="007B0B1F" w:rsidRPr="005E53F7">
        <w:rPr>
          <w:rFonts w:ascii="Calibri" w:hAnsi="Calibri" w:cs="Calibri"/>
          <w:szCs w:val="24"/>
        </w:rPr>
        <w:t xml:space="preserve"> agendu bývalého PF. </w:t>
      </w:r>
    </w:p>
    <w:p w:rsidR="007B0B1F" w:rsidRPr="005E53F7" w:rsidRDefault="007B0B1F" w:rsidP="005E53F7">
      <w:pPr>
        <w:pStyle w:val="Odstavecseseznamem"/>
        <w:numPr>
          <w:ilvl w:val="0"/>
          <w:numId w:val="32"/>
        </w:numPr>
        <w:spacing w:line="264" w:lineRule="auto"/>
        <w:ind w:left="284" w:hanging="284"/>
        <w:rPr>
          <w:rFonts w:ascii="Calibri" w:hAnsi="Calibri" w:cs="Calibri"/>
          <w:szCs w:val="24"/>
        </w:rPr>
      </w:pPr>
      <w:r w:rsidRPr="005E53F7">
        <w:rPr>
          <w:rFonts w:ascii="Calibri" w:hAnsi="Calibri" w:cs="Calibri"/>
          <w:szCs w:val="24"/>
        </w:rPr>
        <w:t>Nebyly systémově a metodicky provázány odborné činnosti celého nově vznik</w:t>
      </w:r>
      <w:r w:rsidR="00E832B1" w:rsidRPr="005E53F7">
        <w:rPr>
          <w:rFonts w:ascii="Calibri" w:hAnsi="Calibri" w:cs="Calibri"/>
          <w:szCs w:val="24"/>
        </w:rPr>
        <w:t>lého úřadu, vzájemná spolupráce a</w:t>
      </w:r>
      <w:r w:rsidRPr="005E53F7">
        <w:rPr>
          <w:rFonts w:ascii="Calibri" w:hAnsi="Calibri" w:cs="Calibri"/>
          <w:szCs w:val="24"/>
        </w:rPr>
        <w:t xml:space="preserve"> součinnost</w:t>
      </w:r>
      <w:r w:rsidR="00E832B1" w:rsidRPr="005E53F7">
        <w:rPr>
          <w:rFonts w:ascii="Calibri" w:hAnsi="Calibri" w:cs="Calibri"/>
          <w:szCs w:val="24"/>
        </w:rPr>
        <w:t>.</w:t>
      </w:r>
    </w:p>
    <w:p w:rsidR="00A93D8A" w:rsidRPr="005E53F7" w:rsidRDefault="00A93D8A" w:rsidP="005E53F7">
      <w:pPr>
        <w:pStyle w:val="Odstavecseseznamem"/>
        <w:numPr>
          <w:ilvl w:val="0"/>
          <w:numId w:val="0"/>
        </w:numPr>
        <w:spacing w:line="264" w:lineRule="auto"/>
        <w:rPr>
          <w:rFonts w:ascii="Calibri" w:hAnsi="Calibri" w:cs="Calibri"/>
          <w:szCs w:val="24"/>
        </w:rPr>
      </w:pPr>
    </w:p>
    <w:p w:rsidR="0013778E" w:rsidRPr="005E53F7" w:rsidRDefault="005E53F7" w:rsidP="00AB3BE4">
      <w:pPr>
        <w:pStyle w:val="Nadpis2"/>
        <w:numPr>
          <w:ilvl w:val="0"/>
          <w:numId w:val="0"/>
        </w:numPr>
        <w:tabs>
          <w:tab w:val="left" w:pos="284"/>
        </w:tabs>
        <w:spacing w:before="0" w:line="264" w:lineRule="auto"/>
        <w:ind w:left="284" w:hanging="284"/>
        <w:rPr>
          <w:rFonts w:ascii="Calibri" w:hAnsi="Calibri" w:cs="Calibri"/>
          <w:sz w:val="24"/>
          <w:szCs w:val="24"/>
        </w:rPr>
      </w:pPr>
      <w:r>
        <w:rPr>
          <w:rFonts w:ascii="Calibri" w:hAnsi="Calibri" w:cs="Calibri"/>
          <w:sz w:val="24"/>
          <w:szCs w:val="24"/>
        </w:rPr>
        <w:t xml:space="preserve">4. </w:t>
      </w:r>
      <w:r w:rsidR="00AB3BE4">
        <w:rPr>
          <w:rFonts w:ascii="Calibri" w:hAnsi="Calibri" w:cs="Calibri"/>
          <w:sz w:val="24"/>
          <w:szCs w:val="24"/>
        </w:rPr>
        <w:tab/>
      </w:r>
      <w:r w:rsidR="007B0B1F" w:rsidRPr="005E53F7">
        <w:rPr>
          <w:rFonts w:ascii="Calibri" w:hAnsi="Calibri" w:cs="Calibri"/>
          <w:sz w:val="24"/>
          <w:szCs w:val="24"/>
        </w:rPr>
        <w:t>Postup SPÚ jako povinné osoby při majetkovém vyrovnání s</w:t>
      </w:r>
      <w:r w:rsidR="00256B81" w:rsidRPr="005E53F7">
        <w:rPr>
          <w:rFonts w:ascii="Calibri" w:hAnsi="Calibri" w:cs="Calibri"/>
          <w:sz w:val="24"/>
          <w:szCs w:val="24"/>
        </w:rPr>
        <w:t xml:space="preserve"> </w:t>
      </w:r>
      <w:r w:rsidR="007B0B1F" w:rsidRPr="005E53F7">
        <w:rPr>
          <w:rFonts w:ascii="Calibri" w:hAnsi="Calibri" w:cs="Calibri"/>
          <w:sz w:val="24"/>
          <w:szCs w:val="24"/>
        </w:rPr>
        <w:t>církvemi a náboženskými společnostmi</w:t>
      </w:r>
      <w:r w:rsidR="0013778E" w:rsidRPr="005E53F7">
        <w:rPr>
          <w:rFonts w:ascii="Calibri" w:hAnsi="Calibri" w:cs="Calibri"/>
          <w:sz w:val="24"/>
          <w:szCs w:val="24"/>
        </w:rPr>
        <w:t xml:space="preserve"> </w:t>
      </w:r>
    </w:p>
    <w:p w:rsidR="00256B81" w:rsidRPr="005E53F7" w:rsidRDefault="00256B81" w:rsidP="005E53F7">
      <w:pPr>
        <w:spacing w:line="264" w:lineRule="auto"/>
        <w:rPr>
          <w:rFonts w:ascii="Calibri" w:hAnsi="Calibri" w:cs="Calibri"/>
          <w:szCs w:val="24"/>
        </w:rPr>
      </w:pPr>
    </w:p>
    <w:p w:rsidR="00446E97" w:rsidRPr="005E53F7" w:rsidRDefault="00446E97" w:rsidP="005E53F7">
      <w:pPr>
        <w:spacing w:line="264" w:lineRule="auto"/>
        <w:rPr>
          <w:rFonts w:ascii="Calibri" w:hAnsi="Calibri" w:cs="Calibri"/>
          <w:szCs w:val="24"/>
        </w:rPr>
      </w:pPr>
      <w:r w:rsidRPr="005E53F7">
        <w:rPr>
          <w:rFonts w:ascii="Calibri" w:hAnsi="Calibri" w:cs="Calibri"/>
          <w:szCs w:val="24"/>
        </w:rPr>
        <w:t>SPÚ evidoval ke dni 31. 12. 2014 celkem 6</w:t>
      </w:r>
      <w:r w:rsidR="00256B81" w:rsidRPr="005E53F7">
        <w:rPr>
          <w:rFonts w:ascii="Calibri" w:hAnsi="Calibri" w:cs="Calibri"/>
          <w:szCs w:val="24"/>
        </w:rPr>
        <w:t xml:space="preserve"> </w:t>
      </w:r>
      <w:r w:rsidRPr="005E53F7">
        <w:rPr>
          <w:rFonts w:ascii="Calibri" w:hAnsi="Calibri" w:cs="Calibri"/>
          <w:szCs w:val="24"/>
        </w:rPr>
        <w:t>513 výzev k</w:t>
      </w:r>
      <w:r w:rsidR="00256B81" w:rsidRPr="005E53F7">
        <w:rPr>
          <w:rFonts w:ascii="Calibri" w:hAnsi="Calibri" w:cs="Calibri"/>
          <w:szCs w:val="24"/>
        </w:rPr>
        <w:t xml:space="preserve"> </w:t>
      </w:r>
      <w:r w:rsidRPr="005E53F7">
        <w:rPr>
          <w:rFonts w:ascii="Calibri" w:hAnsi="Calibri" w:cs="Calibri"/>
          <w:szCs w:val="24"/>
        </w:rPr>
        <w:t>vydání zemědělských nemovitostí od všech povinných osob</w:t>
      </w:r>
      <w:r w:rsidR="00A93D8A" w:rsidRPr="005E53F7">
        <w:rPr>
          <w:rFonts w:ascii="Calibri" w:hAnsi="Calibri" w:cs="Calibri"/>
          <w:szCs w:val="24"/>
        </w:rPr>
        <w:t xml:space="preserve"> ve smyslu zákona o církevních restitucích.</w:t>
      </w:r>
      <w:r w:rsidRPr="005E53F7">
        <w:rPr>
          <w:rFonts w:ascii="Calibri" w:hAnsi="Calibri" w:cs="Calibri"/>
          <w:szCs w:val="24"/>
        </w:rPr>
        <w:t xml:space="preserve"> Těmito výzvami bylo požadováno vydání 121</w:t>
      </w:r>
      <w:r w:rsidR="00256B81" w:rsidRPr="005E53F7">
        <w:rPr>
          <w:rFonts w:ascii="Calibri" w:hAnsi="Calibri" w:cs="Calibri"/>
          <w:szCs w:val="24"/>
        </w:rPr>
        <w:t xml:space="preserve"> </w:t>
      </w:r>
      <w:r w:rsidRPr="005E53F7">
        <w:rPr>
          <w:rFonts w:ascii="Calibri" w:hAnsi="Calibri" w:cs="Calibri"/>
          <w:szCs w:val="24"/>
        </w:rPr>
        <w:t>329 pozemků a 1 909 staveb.</w:t>
      </w:r>
    </w:p>
    <w:p w:rsidR="00F6199D" w:rsidRPr="005E53F7" w:rsidRDefault="00F6199D" w:rsidP="005E53F7">
      <w:pPr>
        <w:spacing w:line="264" w:lineRule="auto"/>
        <w:rPr>
          <w:rFonts w:ascii="Calibri" w:hAnsi="Calibri" w:cs="Calibri"/>
          <w:szCs w:val="24"/>
        </w:rPr>
      </w:pPr>
    </w:p>
    <w:p w:rsidR="00AA2D08" w:rsidRPr="005E53F7" w:rsidRDefault="00446E97" w:rsidP="005E53F7">
      <w:pPr>
        <w:spacing w:line="264" w:lineRule="auto"/>
        <w:rPr>
          <w:rFonts w:ascii="Calibri" w:hAnsi="Calibri" w:cs="Calibri"/>
          <w:szCs w:val="24"/>
        </w:rPr>
      </w:pPr>
      <w:r w:rsidRPr="005E53F7">
        <w:rPr>
          <w:rFonts w:ascii="Calibri" w:hAnsi="Calibri" w:cs="Calibri"/>
          <w:szCs w:val="24"/>
        </w:rPr>
        <w:t>Z</w:t>
      </w:r>
      <w:r w:rsidR="00256B81" w:rsidRPr="005E53F7">
        <w:rPr>
          <w:rFonts w:ascii="Calibri" w:hAnsi="Calibri" w:cs="Calibri"/>
          <w:szCs w:val="24"/>
        </w:rPr>
        <w:t xml:space="preserve"> </w:t>
      </w:r>
      <w:r w:rsidRPr="005E53F7">
        <w:rPr>
          <w:rFonts w:ascii="Calibri" w:hAnsi="Calibri" w:cs="Calibri"/>
          <w:szCs w:val="24"/>
        </w:rPr>
        <w:t>uvedeného množství se přímo SPÚ jakožto povinné osoby týkalo 3</w:t>
      </w:r>
      <w:r w:rsidR="00256B81" w:rsidRPr="005E53F7">
        <w:rPr>
          <w:rFonts w:ascii="Calibri" w:hAnsi="Calibri" w:cs="Calibri"/>
          <w:szCs w:val="24"/>
        </w:rPr>
        <w:t xml:space="preserve"> </w:t>
      </w:r>
      <w:r w:rsidRPr="005E53F7">
        <w:rPr>
          <w:rFonts w:ascii="Calibri" w:hAnsi="Calibri" w:cs="Calibri"/>
          <w:szCs w:val="24"/>
        </w:rPr>
        <w:t>404 výzev k</w:t>
      </w:r>
      <w:r w:rsidR="00256B81" w:rsidRPr="005E53F7">
        <w:rPr>
          <w:rFonts w:ascii="Calibri" w:hAnsi="Calibri" w:cs="Calibri"/>
          <w:szCs w:val="24"/>
        </w:rPr>
        <w:t xml:space="preserve"> </w:t>
      </w:r>
      <w:r w:rsidRPr="005E53F7">
        <w:rPr>
          <w:rFonts w:ascii="Calibri" w:hAnsi="Calibri" w:cs="Calibri"/>
          <w:szCs w:val="24"/>
        </w:rPr>
        <w:t>vydání 68 012 pozemků a 462 staveb. K</w:t>
      </w:r>
      <w:r w:rsidR="00256B81" w:rsidRPr="005E53F7">
        <w:rPr>
          <w:rFonts w:ascii="Calibri" w:hAnsi="Calibri" w:cs="Calibri"/>
          <w:szCs w:val="24"/>
        </w:rPr>
        <w:t xml:space="preserve"> </w:t>
      </w:r>
      <w:r w:rsidRPr="005E53F7">
        <w:rPr>
          <w:rFonts w:ascii="Calibri" w:hAnsi="Calibri" w:cs="Calibri"/>
          <w:szCs w:val="24"/>
        </w:rPr>
        <w:t>datu 31. 12. 2014 uzavř</w:t>
      </w:r>
      <w:r w:rsidR="000846BB" w:rsidRPr="005E53F7">
        <w:rPr>
          <w:rFonts w:ascii="Calibri" w:hAnsi="Calibri" w:cs="Calibri"/>
          <w:szCs w:val="24"/>
        </w:rPr>
        <w:t>el SPÚ jako povinná osoba 1 502 </w:t>
      </w:r>
      <w:r w:rsidRPr="005E53F7">
        <w:rPr>
          <w:rFonts w:ascii="Calibri" w:hAnsi="Calibri" w:cs="Calibri"/>
          <w:szCs w:val="24"/>
        </w:rPr>
        <w:t>dohod o vydání zemědělských nemovitostí, který</w:t>
      </w:r>
      <w:r w:rsidR="000846BB" w:rsidRPr="005E53F7">
        <w:rPr>
          <w:rFonts w:ascii="Calibri" w:hAnsi="Calibri" w:cs="Calibri"/>
          <w:szCs w:val="24"/>
        </w:rPr>
        <w:t>mi bylo vydáno 18</w:t>
      </w:r>
      <w:r w:rsidR="00256B81" w:rsidRPr="005E53F7">
        <w:rPr>
          <w:rFonts w:ascii="Calibri" w:hAnsi="Calibri" w:cs="Calibri"/>
          <w:szCs w:val="24"/>
        </w:rPr>
        <w:t xml:space="preserve"> </w:t>
      </w:r>
      <w:r w:rsidR="000846BB" w:rsidRPr="005E53F7">
        <w:rPr>
          <w:rFonts w:ascii="Calibri" w:hAnsi="Calibri" w:cs="Calibri"/>
          <w:szCs w:val="24"/>
        </w:rPr>
        <w:t>078 pozemků o </w:t>
      </w:r>
      <w:r w:rsidRPr="005E53F7">
        <w:rPr>
          <w:rFonts w:ascii="Calibri" w:hAnsi="Calibri" w:cs="Calibri"/>
          <w:szCs w:val="24"/>
        </w:rPr>
        <w:t>výměře cca 12</w:t>
      </w:r>
      <w:r w:rsidR="00256B81" w:rsidRPr="005E53F7">
        <w:rPr>
          <w:rFonts w:ascii="Calibri" w:hAnsi="Calibri" w:cs="Calibri"/>
          <w:szCs w:val="24"/>
        </w:rPr>
        <w:t xml:space="preserve"> </w:t>
      </w:r>
      <w:r w:rsidRPr="005E53F7">
        <w:rPr>
          <w:rFonts w:ascii="Calibri" w:hAnsi="Calibri" w:cs="Calibri"/>
          <w:szCs w:val="24"/>
        </w:rPr>
        <w:t>655,3 ha a 37 staveb. Z</w:t>
      </w:r>
      <w:r w:rsidR="00256B81" w:rsidRPr="005E53F7">
        <w:rPr>
          <w:rFonts w:ascii="Calibri" w:hAnsi="Calibri" w:cs="Calibri"/>
          <w:szCs w:val="24"/>
        </w:rPr>
        <w:t xml:space="preserve"> </w:t>
      </w:r>
      <w:r w:rsidRPr="005E53F7">
        <w:rPr>
          <w:rFonts w:ascii="Calibri" w:hAnsi="Calibri" w:cs="Calibri"/>
          <w:szCs w:val="24"/>
        </w:rPr>
        <w:t xml:space="preserve">uvedeného počtu dohod bylo pravomocně </w:t>
      </w:r>
      <w:r w:rsidR="00CA10FD" w:rsidRPr="005E53F7">
        <w:rPr>
          <w:rFonts w:ascii="Calibri" w:hAnsi="Calibri" w:cs="Calibri"/>
          <w:szCs w:val="24"/>
        </w:rPr>
        <w:t xml:space="preserve">ve správním řízení SPÚ </w:t>
      </w:r>
      <w:r w:rsidRPr="005E53F7">
        <w:rPr>
          <w:rFonts w:ascii="Calibri" w:hAnsi="Calibri" w:cs="Calibri"/>
          <w:szCs w:val="24"/>
        </w:rPr>
        <w:t>schváleno 1</w:t>
      </w:r>
      <w:r w:rsidR="00256B81" w:rsidRPr="005E53F7">
        <w:rPr>
          <w:rFonts w:ascii="Calibri" w:hAnsi="Calibri" w:cs="Calibri"/>
          <w:szCs w:val="24"/>
        </w:rPr>
        <w:t xml:space="preserve"> </w:t>
      </w:r>
      <w:r w:rsidRPr="005E53F7">
        <w:rPr>
          <w:rFonts w:ascii="Calibri" w:hAnsi="Calibri" w:cs="Calibri"/>
          <w:szCs w:val="24"/>
        </w:rPr>
        <w:t>011 dohod o vydání 10</w:t>
      </w:r>
      <w:r w:rsidR="00256B81" w:rsidRPr="005E53F7">
        <w:rPr>
          <w:rFonts w:ascii="Calibri" w:hAnsi="Calibri" w:cs="Calibri"/>
          <w:szCs w:val="24"/>
        </w:rPr>
        <w:t xml:space="preserve"> </w:t>
      </w:r>
      <w:r w:rsidRPr="005E53F7">
        <w:rPr>
          <w:rFonts w:ascii="Calibri" w:hAnsi="Calibri" w:cs="Calibri"/>
          <w:szCs w:val="24"/>
        </w:rPr>
        <w:t>928 pozemků o výměře 8</w:t>
      </w:r>
      <w:r w:rsidR="00256B81" w:rsidRPr="005E53F7">
        <w:rPr>
          <w:rFonts w:ascii="Calibri" w:hAnsi="Calibri" w:cs="Calibri"/>
          <w:szCs w:val="24"/>
        </w:rPr>
        <w:t xml:space="preserve"> </w:t>
      </w:r>
      <w:r w:rsidRPr="005E53F7">
        <w:rPr>
          <w:rFonts w:ascii="Calibri" w:hAnsi="Calibri" w:cs="Calibri"/>
          <w:szCs w:val="24"/>
        </w:rPr>
        <w:t xml:space="preserve">378,43 ha a 34 staveb. </w:t>
      </w:r>
      <w:r w:rsidR="00CA10FD" w:rsidRPr="005E53F7">
        <w:rPr>
          <w:rFonts w:ascii="Calibri" w:hAnsi="Calibri" w:cs="Calibri"/>
          <w:szCs w:val="24"/>
        </w:rPr>
        <w:t xml:space="preserve">Bez uzavření dohody nebo </w:t>
      </w:r>
      <w:r w:rsidR="00AA2D08" w:rsidRPr="005E53F7">
        <w:rPr>
          <w:rFonts w:ascii="Calibri" w:hAnsi="Calibri" w:cs="Calibri"/>
          <w:szCs w:val="24"/>
        </w:rPr>
        <w:t xml:space="preserve">při </w:t>
      </w:r>
      <w:r w:rsidR="00CA10FD" w:rsidRPr="005E53F7">
        <w:rPr>
          <w:rFonts w:ascii="Calibri" w:hAnsi="Calibri" w:cs="Calibri"/>
          <w:szCs w:val="24"/>
        </w:rPr>
        <w:t xml:space="preserve">nesouladu </w:t>
      </w:r>
      <w:r w:rsidR="00AA2D08" w:rsidRPr="005E53F7">
        <w:rPr>
          <w:rFonts w:ascii="Calibri" w:hAnsi="Calibri" w:cs="Calibri"/>
          <w:szCs w:val="24"/>
        </w:rPr>
        <w:t xml:space="preserve">již uzavřené dohody </w:t>
      </w:r>
      <w:r w:rsidR="000846BB" w:rsidRPr="005E53F7">
        <w:rPr>
          <w:rFonts w:ascii="Calibri" w:hAnsi="Calibri" w:cs="Calibri"/>
          <w:szCs w:val="24"/>
        </w:rPr>
        <w:t>se zákonem o </w:t>
      </w:r>
      <w:r w:rsidR="00CA10FD" w:rsidRPr="005E53F7">
        <w:rPr>
          <w:rFonts w:ascii="Calibri" w:hAnsi="Calibri" w:cs="Calibri"/>
          <w:szCs w:val="24"/>
        </w:rPr>
        <w:t>církevních restitucích vydal SPÚ přímo ve správním řízení</w:t>
      </w:r>
      <w:r w:rsidRPr="005E53F7">
        <w:rPr>
          <w:rFonts w:ascii="Calibri" w:hAnsi="Calibri" w:cs="Calibri"/>
          <w:szCs w:val="24"/>
        </w:rPr>
        <w:t xml:space="preserve"> 368 pozemků o celkové výměře 312,5 ha a 18 staveb.</w:t>
      </w:r>
      <w:r w:rsidR="00A93D8A" w:rsidRPr="005E53F7">
        <w:rPr>
          <w:rFonts w:ascii="Calibri" w:hAnsi="Calibri" w:cs="Calibri"/>
          <w:szCs w:val="24"/>
        </w:rPr>
        <w:t xml:space="preserve"> </w:t>
      </w:r>
    </w:p>
    <w:p w:rsidR="00F6199D" w:rsidRPr="005E53F7" w:rsidRDefault="00F6199D" w:rsidP="005E53F7">
      <w:pPr>
        <w:spacing w:line="264" w:lineRule="auto"/>
        <w:rPr>
          <w:rFonts w:ascii="Calibri" w:hAnsi="Calibri" w:cs="Calibri"/>
          <w:szCs w:val="24"/>
        </w:rPr>
      </w:pPr>
    </w:p>
    <w:p w:rsidR="00446E97" w:rsidRPr="005E53F7" w:rsidRDefault="00446E97" w:rsidP="005E53F7">
      <w:pPr>
        <w:spacing w:line="264" w:lineRule="auto"/>
        <w:rPr>
          <w:rFonts w:ascii="Calibri" w:hAnsi="Calibri" w:cs="Calibri"/>
          <w:szCs w:val="24"/>
        </w:rPr>
      </w:pPr>
      <w:r w:rsidRPr="005E53F7">
        <w:rPr>
          <w:rFonts w:ascii="Calibri" w:hAnsi="Calibri" w:cs="Calibri"/>
          <w:szCs w:val="24"/>
        </w:rPr>
        <w:t>SPÚ jako správní orgán dále schválil 724 dohod o vydání zemědělské nemovitosti, které s oprávněnými osobami uzavřely Lesy České republiky, s.p. Těmito dohodami bylo vydáno 8 237 pozemků o celkové výměře 40</w:t>
      </w:r>
      <w:r w:rsidR="00256B81" w:rsidRPr="005E53F7">
        <w:rPr>
          <w:rFonts w:ascii="Calibri" w:hAnsi="Calibri" w:cs="Calibri"/>
          <w:szCs w:val="24"/>
        </w:rPr>
        <w:t xml:space="preserve"> </w:t>
      </w:r>
      <w:r w:rsidRPr="005E53F7">
        <w:rPr>
          <w:rFonts w:ascii="Calibri" w:hAnsi="Calibri" w:cs="Calibri"/>
          <w:szCs w:val="24"/>
        </w:rPr>
        <w:t>183,48 ha a 96 staveb. V</w:t>
      </w:r>
      <w:r w:rsidR="00256B81" w:rsidRPr="005E53F7">
        <w:rPr>
          <w:rFonts w:ascii="Calibri" w:hAnsi="Calibri" w:cs="Calibri"/>
          <w:szCs w:val="24"/>
        </w:rPr>
        <w:t xml:space="preserve"> </w:t>
      </w:r>
      <w:r w:rsidRPr="005E53F7">
        <w:rPr>
          <w:rFonts w:ascii="Calibri" w:hAnsi="Calibri" w:cs="Calibri"/>
          <w:szCs w:val="24"/>
        </w:rPr>
        <w:t xml:space="preserve">rámci řízení o vydání dle </w:t>
      </w:r>
      <w:r w:rsidRPr="005E53F7">
        <w:rPr>
          <w:rFonts w:ascii="Calibri" w:hAnsi="Calibri" w:cs="Calibri"/>
          <w:szCs w:val="24"/>
        </w:rPr>
        <w:lastRenderedPageBreak/>
        <w:t>ustanovení § 9 odst. 5 nebo 6 zákona č. 428/2012 Sb., které se rovněž týkalo povinné osoby Lesy České republiky, s.p., vydal SPÚ oprávněným oso</w:t>
      </w:r>
      <w:r w:rsidR="000846BB" w:rsidRPr="005E53F7">
        <w:rPr>
          <w:rFonts w:ascii="Calibri" w:hAnsi="Calibri" w:cs="Calibri"/>
          <w:szCs w:val="24"/>
        </w:rPr>
        <w:t>bám pravomocným rozhodnutím 181 </w:t>
      </w:r>
      <w:r w:rsidRPr="005E53F7">
        <w:rPr>
          <w:rFonts w:ascii="Calibri" w:hAnsi="Calibri" w:cs="Calibri"/>
          <w:szCs w:val="24"/>
        </w:rPr>
        <w:t>pozemků o celkové výměře 8</w:t>
      </w:r>
      <w:r w:rsidR="00256B81" w:rsidRPr="005E53F7">
        <w:rPr>
          <w:rFonts w:ascii="Calibri" w:hAnsi="Calibri" w:cs="Calibri"/>
          <w:szCs w:val="24"/>
        </w:rPr>
        <w:t xml:space="preserve"> </w:t>
      </w:r>
      <w:r w:rsidRPr="005E53F7">
        <w:rPr>
          <w:rFonts w:ascii="Calibri" w:hAnsi="Calibri" w:cs="Calibri"/>
          <w:szCs w:val="24"/>
        </w:rPr>
        <w:t xml:space="preserve">453 ha a </w:t>
      </w:r>
      <w:r w:rsidR="00804C5D">
        <w:rPr>
          <w:rFonts w:ascii="Calibri" w:hAnsi="Calibri" w:cs="Calibri"/>
          <w:szCs w:val="24"/>
        </w:rPr>
        <w:t>čtyři</w:t>
      </w:r>
      <w:r w:rsidRPr="005E53F7">
        <w:rPr>
          <w:rFonts w:ascii="Calibri" w:hAnsi="Calibri" w:cs="Calibri"/>
          <w:szCs w:val="24"/>
        </w:rPr>
        <w:t xml:space="preserve"> stavby.</w:t>
      </w:r>
    </w:p>
    <w:p w:rsidR="00F6199D" w:rsidRPr="005E53F7" w:rsidRDefault="00F6199D" w:rsidP="005E53F7">
      <w:pPr>
        <w:spacing w:line="264" w:lineRule="auto"/>
        <w:rPr>
          <w:rFonts w:ascii="Calibri" w:hAnsi="Calibri" w:cs="Calibri"/>
          <w:szCs w:val="24"/>
        </w:rPr>
      </w:pPr>
    </w:p>
    <w:p w:rsidR="00446E97" w:rsidRPr="005E53F7" w:rsidRDefault="00446E97" w:rsidP="005E53F7">
      <w:pPr>
        <w:spacing w:line="264" w:lineRule="auto"/>
        <w:rPr>
          <w:rFonts w:ascii="Calibri" w:hAnsi="Calibri" w:cs="Calibri"/>
          <w:szCs w:val="24"/>
        </w:rPr>
      </w:pPr>
      <w:r w:rsidRPr="005E53F7">
        <w:rPr>
          <w:rFonts w:ascii="Calibri" w:hAnsi="Calibri" w:cs="Calibri"/>
          <w:szCs w:val="24"/>
        </w:rPr>
        <w:t>SPÚ při realizaci majetkového vyrovnání s</w:t>
      </w:r>
      <w:r w:rsidR="00256B81" w:rsidRPr="005E53F7">
        <w:rPr>
          <w:rFonts w:ascii="Calibri" w:hAnsi="Calibri" w:cs="Calibri"/>
          <w:szCs w:val="24"/>
        </w:rPr>
        <w:t xml:space="preserve"> </w:t>
      </w:r>
      <w:r w:rsidRPr="005E53F7">
        <w:rPr>
          <w:rFonts w:ascii="Calibri" w:hAnsi="Calibri" w:cs="Calibri"/>
          <w:szCs w:val="24"/>
        </w:rPr>
        <w:t>církvemi a náboženskými společnostmi nedodržel k datu 30. 4. 2015 v případě 1424 výzev pro vydání zemědělské nemovitosti šestiměsíční lhůtu pro uzavření písemné dohody o vydání zemědělské nemovitosti.</w:t>
      </w:r>
      <w:r w:rsidRPr="00EA1701">
        <w:rPr>
          <w:rFonts w:ascii="Calibri" w:hAnsi="Calibri" w:cs="Calibri"/>
          <w:szCs w:val="24"/>
        </w:rPr>
        <w:t xml:space="preserve"> </w:t>
      </w:r>
      <w:r w:rsidRPr="005E53F7">
        <w:rPr>
          <w:rFonts w:ascii="Calibri" w:hAnsi="Calibri" w:cs="Calibri"/>
          <w:szCs w:val="24"/>
        </w:rPr>
        <w:t>Šestiměsíční lhůta stanovená zákonem č. 428/2012 Sb. pro proces vedoucí k</w:t>
      </w:r>
      <w:r w:rsidR="00256B81" w:rsidRPr="005E53F7">
        <w:rPr>
          <w:rFonts w:ascii="Calibri" w:hAnsi="Calibri" w:cs="Calibri"/>
          <w:szCs w:val="24"/>
        </w:rPr>
        <w:t xml:space="preserve"> </w:t>
      </w:r>
      <w:r w:rsidRPr="005E53F7">
        <w:rPr>
          <w:rFonts w:ascii="Calibri" w:hAnsi="Calibri" w:cs="Calibri"/>
          <w:szCs w:val="24"/>
        </w:rPr>
        <w:t>uzavření dohody mezi povinnou a</w:t>
      </w:r>
      <w:r w:rsidR="00F6199D" w:rsidRPr="005E53F7">
        <w:rPr>
          <w:rFonts w:ascii="Calibri" w:hAnsi="Calibri" w:cs="Calibri"/>
          <w:szCs w:val="24"/>
        </w:rPr>
        <w:t> </w:t>
      </w:r>
      <w:r w:rsidRPr="005E53F7">
        <w:rPr>
          <w:rFonts w:ascii="Calibri" w:hAnsi="Calibri" w:cs="Calibri"/>
          <w:szCs w:val="24"/>
        </w:rPr>
        <w:t xml:space="preserve">oprávněnou osobou není </w:t>
      </w:r>
      <w:r w:rsidR="00AA2D08" w:rsidRPr="005E53F7">
        <w:rPr>
          <w:rFonts w:ascii="Calibri" w:hAnsi="Calibri" w:cs="Calibri"/>
          <w:szCs w:val="24"/>
        </w:rPr>
        <w:t>z</w:t>
      </w:r>
      <w:r w:rsidR="00256B81" w:rsidRPr="005E53F7">
        <w:rPr>
          <w:rFonts w:ascii="Calibri" w:hAnsi="Calibri" w:cs="Calibri"/>
          <w:szCs w:val="24"/>
        </w:rPr>
        <w:t xml:space="preserve"> </w:t>
      </w:r>
      <w:r w:rsidR="00AA2D08" w:rsidRPr="005E53F7">
        <w:rPr>
          <w:rFonts w:ascii="Calibri" w:hAnsi="Calibri" w:cs="Calibri"/>
          <w:szCs w:val="24"/>
        </w:rPr>
        <w:t xml:space="preserve">následujících důvodů </w:t>
      </w:r>
      <w:r w:rsidRPr="005E53F7">
        <w:rPr>
          <w:rFonts w:ascii="Calibri" w:hAnsi="Calibri" w:cs="Calibri"/>
          <w:szCs w:val="24"/>
        </w:rPr>
        <w:t>dostatečná.</w:t>
      </w:r>
    </w:p>
    <w:p w:rsidR="00F6199D" w:rsidRPr="005E53F7" w:rsidRDefault="00F6199D" w:rsidP="005E53F7">
      <w:pPr>
        <w:spacing w:line="264" w:lineRule="auto"/>
        <w:rPr>
          <w:rFonts w:ascii="Calibri" w:hAnsi="Calibri" w:cs="Calibri"/>
          <w:szCs w:val="24"/>
        </w:rPr>
      </w:pPr>
    </w:p>
    <w:p w:rsidR="00446E97" w:rsidRPr="005E53F7" w:rsidRDefault="00446E97" w:rsidP="005E53F7">
      <w:pPr>
        <w:spacing w:line="264" w:lineRule="auto"/>
        <w:rPr>
          <w:rFonts w:ascii="Calibri" w:hAnsi="Calibri" w:cs="Calibri"/>
          <w:szCs w:val="24"/>
        </w:rPr>
      </w:pPr>
      <w:r w:rsidRPr="005E53F7">
        <w:rPr>
          <w:rFonts w:ascii="Calibri" w:hAnsi="Calibri" w:cs="Calibri"/>
          <w:szCs w:val="24"/>
        </w:rPr>
        <w:t>Zákon umožnil oprávněným osobám identifikovat požadovaný majetek dle evidence platné v době, kdy došlo k</w:t>
      </w:r>
      <w:r w:rsidR="00256B81" w:rsidRPr="005E53F7">
        <w:rPr>
          <w:rFonts w:ascii="Calibri" w:hAnsi="Calibri" w:cs="Calibri"/>
          <w:szCs w:val="24"/>
        </w:rPr>
        <w:t xml:space="preserve"> </w:t>
      </w:r>
      <w:r w:rsidRPr="005E53F7">
        <w:rPr>
          <w:rFonts w:ascii="Calibri" w:hAnsi="Calibri" w:cs="Calibri"/>
          <w:szCs w:val="24"/>
        </w:rPr>
        <w:t>majetkové křivdě, což znamená, že většina výzev obsahovala historická označení dnes neexistujících parcel, které byly jednoduše přepsány z</w:t>
      </w:r>
      <w:r w:rsidR="00256B81" w:rsidRPr="005E53F7">
        <w:rPr>
          <w:rFonts w:ascii="Calibri" w:hAnsi="Calibri" w:cs="Calibri"/>
          <w:szCs w:val="24"/>
        </w:rPr>
        <w:t xml:space="preserve"> </w:t>
      </w:r>
      <w:r w:rsidRPr="005E53F7">
        <w:rPr>
          <w:rFonts w:ascii="Calibri" w:hAnsi="Calibri" w:cs="Calibri"/>
          <w:szCs w:val="24"/>
        </w:rPr>
        <w:t>pozemkových knih a</w:t>
      </w:r>
      <w:r w:rsidR="00F6199D" w:rsidRPr="005E53F7">
        <w:rPr>
          <w:rFonts w:ascii="Calibri" w:hAnsi="Calibri" w:cs="Calibri"/>
          <w:szCs w:val="24"/>
        </w:rPr>
        <w:t> </w:t>
      </w:r>
      <w:r w:rsidRPr="005E53F7">
        <w:rPr>
          <w:rFonts w:ascii="Calibri" w:hAnsi="Calibri" w:cs="Calibri"/>
          <w:szCs w:val="24"/>
        </w:rPr>
        <w:t>zemských desek. Výzva tak obsahovala pozemky, které v</w:t>
      </w:r>
      <w:r w:rsidR="00256B81" w:rsidRPr="005E53F7">
        <w:rPr>
          <w:rFonts w:ascii="Calibri" w:hAnsi="Calibri" w:cs="Calibri"/>
          <w:szCs w:val="24"/>
        </w:rPr>
        <w:t xml:space="preserve"> </w:t>
      </w:r>
      <w:r w:rsidRPr="005E53F7">
        <w:rPr>
          <w:rFonts w:ascii="Calibri" w:hAnsi="Calibri" w:cs="Calibri"/>
          <w:szCs w:val="24"/>
        </w:rPr>
        <w:t>řadě případů již nejsou ve vlastnictví státu, v</w:t>
      </w:r>
      <w:r w:rsidR="00256B81" w:rsidRPr="005E53F7">
        <w:rPr>
          <w:rFonts w:ascii="Calibri" w:hAnsi="Calibri" w:cs="Calibri"/>
          <w:szCs w:val="24"/>
        </w:rPr>
        <w:t xml:space="preserve"> </w:t>
      </w:r>
      <w:r w:rsidRPr="005E53F7">
        <w:rPr>
          <w:rFonts w:ascii="Calibri" w:hAnsi="Calibri" w:cs="Calibri"/>
          <w:szCs w:val="24"/>
        </w:rPr>
        <w:t>řadě případů i pozemky, ke kterým oprávněná osoba své vlastnictví nepozbyla. V</w:t>
      </w:r>
      <w:r w:rsidR="00256B81" w:rsidRPr="005E53F7">
        <w:rPr>
          <w:rFonts w:ascii="Calibri" w:hAnsi="Calibri" w:cs="Calibri"/>
          <w:szCs w:val="24"/>
        </w:rPr>
        <w:t xml:space="preserve"> </w:t>
      </w:r>
      <w:r w:rsidRPr="005E53F7">
        <w:rPr>
          <w:rFonts w:ascii="Calibri" w:hAnsi="Calibri" w:cs="Calibri"/>
          <w:szCs w:val="24"/>
        </w:rPr>
        <w:t>některých výzvách nebyla uvedena ani tato historická parcelní čísla, ale pouze odkazy na čísla knihovních vložek. Tyto nedostatky</w:t>
      </w:r>
      <w:r w:rsidR="00F23155" w:rsidRPr="005E53F7">
        <w:rPr>
          <w:rFonts w:ascii="Calibri" w:hAnsi="Calibri" w:cs="Calibri"/>
          <w:szCs w:val="24"/>
        </w:rPr>
        <w:t xml:space="preserve"> výzev nejsou</w:t>
      </w:r>
      <w:r w:rsidRPr="005E53F7">
        <w:rPr>
          <w:rFonts w:ascii="Calibri" w:hAnsi="Calibri" w:cs="Calibri"/>
          <w:szCs w:val="24"/>
        </w:rPr>
        <w:t xml:space="preserve"> </w:t>
      </w:r>
      <w:r w:rsidR="00F23155" w:rsidRPr="005E53F7">
        <w:rPr>
          <w:rFonts w:ascii="Calibri" w:hAnsi="Calibri" w:cs="Calibri"/>
          <w:szCs w:val="24"/>
        </w:rPr>
        <w:t xml:space="preserve">zákonem o církevních restitucích postihovány sankcí </w:t>
      </w:r>
      <w:r w:rsidRPr="005E53F7">
        <w:rPr>
          <w:rFonts w:ascii="Calibri" w:hAnsi="Calibri" w:cs="Calibri"/>
          <w:szCs w:val="24"/>
        </w:rPr>
        <w:t>neplatnost</w:t>
      </w:r>
      <w:r w:rsidR="00AC552B" w:rsidRPr="005E53F7">
        <w:rPr>
          <w:rFonts w:ascii="Calibri" w:hAnsi="Calibri" w:cs="Calibri"/>
          <w:szCs w:val="24"/>
        </w:rPr>
        <w:t xml:space="preserve">i </w:t>
      </w:r>
      <w:r w:rsidRPr="005E53F7">
        <w:rPr>
          <w:rFonts w:ascii="Calibri" w:hAnsi="Calibri" w:cs="Calibri"/>
          <w:szCs w:val="24"/>
        </w:rPr>
        <w:t>výzvy</w:t>
      </w:r>
      <w:r w:rsidR="00AC552B" w:rsidRPr="005E53F7">
        <w:rPr>
          <w:rFonts w:ascii="Calibri" w:hAnsi="Calibri" w:cs="Calibri"/>
          <w:szCs w:val="24"/>
        </w:rPr>
        <w:t xml:space="preserve"> či povinností výzvu doplnit</w:t>
      </w:r>
      <w:r w:rsidRPr="005E53F7">
        <w:rPr>
          <w:rFonts w:ascii="Calibri" w:hAnsi="Calibri" w:cs="Calibri"/>
          <w:szCs w:val="24"/>
        </w:rPr>
        <w:t>. Zákon rovněž oprávněným osobám umožnil podat výzvu i nepříslušným povinným osobám s</w:t>
      </w:r>
      <w:r w:rsidR="00256B81" w:rsidRPr="005E53F7">
        <w:rPr>
          <w:rFonts w:ascii="Calibri" w:hAnsi="Calibri" w:cs="Calibri"/>
          <w:szCs w:val="24"/>
        </w:rPr>
        <w:t xml:space="preserve"> </w:t>
      </w:r>
      <w:r w:rsidRPr="005E53F7">
        <w:rPr>
          <w:rFonts w:ascii="Calibri" w:hAnsi="Calibri" w:cs="Calibri"/>
          <w:szCs w:val="24"/>
        </w:rPr>
        <w:t xml:space="preserve">tím, že </w:t>
      </w:r>
      <w:r w:rsidR="00746D43" w:rsidRPr="005E53F7">
        <w:rPr>
          <w:rFonts w:ascii="Calibri" w:hAnsi="Calibri" w:cs="Calibri"/>
          <w:szCs w:val="24"/>
        </w:rPr>
        <w:t>povinnost</w:t>
      </w:r>
      <w:r w:rsidRPr="005E53F7">
        <w:rPr>
          <w:rFonts w:ascii="Calibri" w:hAnsi="Calibri" w:cs="Calibri"/>
          <w:szCs w:val="24"/>
        </w:rPr>
        <w:t xml:space="preserve"> správného určení povinn</w:t>
      </w:r>
      <w:r w:rsidR="00746D43" w:rsidRPr="005E53F7">
        <w:rPr>
          <w:rFonts w:ascii="Calibri" w:hAnsi="Calibri" w:cs="Calibri"/>
          <w:szCs w:val="24"/>
        </w:rPr>
        <w:t>é</w:t>
      </w:r>
      <w:r w:rsidRPr="005E53F7">
        <w:rPr>
          <w:rFonts w:ascii="Calibri" w:hAnsi="Calibri" w:cs="Calibri"/>
          <w:szCs w:val="24"/>
        </w:rPr>
        <w:t xml:space="preserve"> osob</w:t>
      </w:r>
      <w:r w:rsidR="00746D43" w:rsidRPr="005E53F7">
        <w:rPr>
          <w:rFonts w:ascii="Calibri" w:hAnsi="Calibri" w:cs="Calibri"/>
          <w:szCs w:val="24"/>
        </w:rPr>
        <w:t>y</w:t>
      </w:r>
      <w:r w:rsidRPr="005E53F7">
        <w:rPr>
          <w:rFonts w:ascii="Calibri" w:hAnsi="Calibri" w:cs="Calibri"/>
          <w:szCs w:val="24"/>
        </w:rPr>
        <w:t xml:space="preserve"> určil přímo těmto povinným osobám.</w:t>
      </w:r>
    </w:p>
    <w:p w:rsidR="005E53F7" w:rsidRDefault="005E53F7" w:rsidP="005E53F7">
      <w:pPr>
        <w:spacing w:line="264" w:lineRule="auto"/>
        <w:jc w:val="left"/>
        <w:rPr>
          <w:rFonts w:ascii="Calibri" w:hAnsi="Calibri" w:cs="Calibri"/>
          <w:szCs w:val="24"/>
        </w:rPr>
      </w:pPr>
    </w:p>
    <w:p w:rsidR="00446E97" w:rsidRPr="005E53F7" w:rsidRDefault="00446E97" w:rsidP="005E53F7">
      <w:pPr>
        <w:spacing w:line="264" w:lineRule="auto"/>
        <w:rPr>
          <w:rFonts w:ascii="Calibri" w:hAnsi="Calibri" w:cs="Calibri"/>
          <w:szCs w:val="24"/>
        </w:rPr>
      </w:pPr>
      <w:r w:rsidRPr="005E53F7">
        <w:rPr>
          <w:rFonts w:ascii="Calibri" w:hAnsi="Calibri" w:cs="Calibri"/>
          <w:szCs w:val="24"/>
        </w:rPr>
        <w:t>Povinné osoby měly v</w:t>
      </w:r>
      <w:r w:rsidR="00256B81" w:rsidRPr="005E53F7">
        <w:rPr>
          <w:rFonts w:ascii="Calibri" w:hAnsi="Calibri" w:cs="Calibri"/>
          <w:szCs w:val="24"/>
        </w:rPr>
        <w:t xml:space="preserve"> </w:t>
      </w:r>
      <w:r w:rsidRPr="005E53F7">
        <w:rPr>
          <w:rFonts w:ascii="Calibri" w:hAnsi="Calibri" w:cs="Calibri"/>
          <w:szCs w:val="24"/>
        </w:rPr>
        <w:t>půlroční lhůtě:</w:t>
      </w:r>
    </w:p>
    <w:p w:rsidR="00446E97" w:rsidRPr="005E53F7" w:rsidRDefault="00446E97" w:rsidP="005E53F7">
      <w:pPr>
        <w:pStyle w:val="Odstavecseseznamem"/>
        <w:numPr>
          <w:ilvl w:val="0"/>
          <w:numId w:val="28"/>
        </w:numPr>
        <w:spacing w:line="264" w:lineRule="auto"/>
        <w:ind w:left="284" w:hanging="284"/>
        <w:rPr>
          <w:rFonts w:ascii="Calibri" w:hAnsi="Calibri" w:cs="Calibri"/>
          <w:szCs w:val="24"/>
        </w:rPr>
      </w:pPr>
      <w:r w:rsidRPr="005E53F7">
        <w:rPr>
          <w:rFonts w:ascii="Calibri" w:hAnsi="Calibri" w:cs="Calibri"/>
          <w:szCs w:val="24"/>
        </w:rPr>
        <w:t xml:space="preserve">provést identifikaci požadovaného majetku, tj. </w:t>
      </w:r>
      <w:r w:rsidR="00804C5D">
        <w:rPr>
          <w:rFonts w:ascii="Calibri" w:hAnsi="Calibri" w:cs="Calibri"/>
          <w:szCs w:val="24"/>
        </w:rPr>
        <w:t>porovnat historický stav s platným stavem v</w:t>
      </w:r>
      <w:r w:rsidRPr="005E53F7">
        <w:rPr>
          <w:rFonts w:ascii="Calibri" w:hAnsi="Calibri" w:cs="Calibri"/>
          <w:szCs w:val="24"/>
        </w:rPr>
        <w:t xml:space="preserve"> katastru nemovitostí,</w:t>
      </w:r>
    </w:p>
    <w:p w:rsidR="00446E97" w:rsidRPr="005E53F7" w:rsidRDefault="00446E97" w:rsidP="005E53F7">
      <w:pPr>
        <w:pStyle w:val="Odstavecseseznamem"/>
        <w:numPr>
          <w:ilvl w:val="0"/>
          <w:numId w:val="28"/>
        </w:numPr>
        <w:spacing w:line="264" w:lineRule="auto"/>
        <w:ind w:left="284" w:hanging="284"/>
        <w:rPr>
          <w:rFonts w:ascii="Calibri" w:hAnsi="Calibri" w:cs="Calibri"/>
          <w:szCs w:val="24"/>
        </w:rPr>
      </w:pPr>
      <w:r w:rsidRPr="005E53F7">
        <w:rPr>
          <w:rFonts w:ascii="Calibri" w:hAnsi="Calibri" w:cs="Calibri"/>
          <w:szCs w:val="24"/>
        </w:rPr>
        <w:t>přeposlat jim nepříslušné výzvy příslušným osobám,</w:t>
      </w:r>
    </w:p>
    <w:p w:rsidR="00446E97" w:rsidRPr="005E53F7" w:rsidRDefault="00446E97" w:rsidP="005E53F7">
      <w:pPr>
        <w:pStyle w:val="Odstavecseseznamem"/>
        <w:numPr>
          <w:ilvl w:val="0"/>
          <w:numId w:val="28"/>
        </w:numPr>
        <w:spacing w:line="264" w:lineRule="auto"/>
        <w:ind w:left="284" w:hanging="284"/>
        <w:rPr>
          <w:rFonts w:ascii="Calibri" w:hAnsi="Calibri" w:cs="Calibri"/>
          <w:szCs w:val="24"/>
        </w:rPr>
      </w:pPr>
      <w:r w:rsidRPr="005E53F7">
        <w:rPr>
          <w:rFonts w:ascii="Calibri" w:hAnsi="Calibri" w:cs="Calibri"/>
          <w:szCs w:val="24"/>
        </w:rPr>
        <w:t>geometricky obnovit neexistující hranice požadovaných pozemků,</w:t>
      </w:r>
    </w:p>
    <w:p w:rsidR="00446E97" w:rsidRPr="005E53F7" w:rsidRDefault="00446E97" w:rsidP="005E53F7">
      <w:pPr>
        <w:pStyle w:val="Odstavecseseznamem"/>
        <w:numPr>
          <w:ilvl w:val="0"/>
          <w:numId w:val="28"/>
        </w:numPr>
        <w:spacing w:line="264" w:lineRule="auto"/>
        <w:ind w:left="284" w:hanging="284"/>
        <w:rPr>
          <w:rFonts w:ascii="Calibri" w:hAnsi="Calibri" w:cs="Calibri"/>
          <w:szCs w:val="24"/>
        </w:rPr>
      </w:pPr>
      <w:r w:rsidRPr="005E53F7">
        <w:rPr>
          <w:rFonts w:ascii="Calibri" w:hAnsi="Calibri" w:cs="Calibri"/>
          <w:szCs w:val="24"/>
        </w:rPr>
        <w:t>zjistit, často ve spolupráci s</w:t>
      </w:r>
      <w:r w:rsidR="00256B81" w:rsidRPr="005E53F7">
        <w:rPr>
          <w:rFonts w:ascii="Calibri" w:hAnsi="Calibri" w:cs="Calibri"/>
          <w:szCs w:val="24"/>
        </w:rPr>
        <w:t xml:space="preserve"> </w:t>
      </w:r>
      <w:r w:rsidRPr="005E53F7">
        <w:rPr>
          <w:rFonts w:ascii="Calibri" w:hAnsi="Calibri" w:cs="Calibri"/>
          <w:szCs w:val="24"/>
        </w:rPr>
        <w:t>ostatními orgány veřejné správy, zda vydání pozemků nebrání zákonem stanovené překážky,</w:t>
      </w:r>
    </w:p>
    <w:p w:rsidR="00446E97" w:rsidRPr="005E53F7" w:rsidRDefault="00446E97" w:rsidP="005E53F7">
      <w:pPr>
        <w:pStyle w:val="Odstavecseseznamem"/>
        <w:numPr>
          <w:ilvl w:val="0"/>
          <w:numId w:val="28"/>
        </w:numPr>
        <w:spacing w:line="264" w:lineRule="auto"/>
        <w:ind w:left="284" w:hanging="284"/>
        <w:rPr>
          <w:rFonts w:ascii="Calibri" w:hAnsi="Calibri" w:cs="Calibri"/>
          <w:szCs w:val="24"/>
        </w:rPr>
      </w:pPr>
      <w:r w:rsidRPr="005E53F7">
        <w:rPr>
          <w:rFonts w:ascii="Calibri" w:hAnsi="Calibri" w:cs="Calibri"/>
          <w:szCs w:val="24"/>
        </w:rPr>
        <w:t>ověřit v</w:t>
      </w:r>
      <w:r w:rsidR="00256B81" w:rsidRPr="005E53F7">
        <w:rPr>
          <w:rFonts w:ascii="Calibri" w:hAnsi="Calibri" w:cs="Calibri"/>
          <w:szCs w:val="24"/>
        </w:rPr>
        <w:t xml:space="preserve"> </w:t>
      </w:r>
      <w:r w:rsidRPr="005E53F7">
        <w:rPr>
          <w:rFonts w:ascii="Calibri" w:hAnsi="Calibri" w:cs="Calibri"/>
          <w:szCs w:val="24"/>
        </w:rPr>
        <w:t>archivech, zda</w:t>
      </w:r>
      <w:r w:rsidR="00804C5D" w:rsidRPr="00804C5D">
        <w:rPr>
          <w:rFonts w:ascii="Calibri" w:hAnsi="Calibri" w:cs="Calibri"/>
          <w:szCs w:val="24"/>
        </w:rPr>
        <w:t xml:space="preserve"> </w:t>
      </w:r>
      <w:r w:rsidR="00804C5D" w:rsidRPr="005E53F7">
        <w:rPr>
          <w:rFonts w:ascii="Calibri" w:hAnsi="Calibri" w:cs="Calibri"/>
          <w:szCs w:val="24"/>
        </w:rPr>
        <w:t>se</w:t>
      </w:r>
      <w:r w:rsidRPr="005E53F7">
        <w:rPr>
          <w:rFonts w:ascii="Calibri" w:hAnsi="Calibri" w:cs="Calibri"/>
          <w:szCs w:val="24"/>
        </w:rPr>
        <w:t xml:space="preserve"> tvrzení oprávněné osoby o tom, že je její právní nárok nezpochybnitelný, zakládá na pravdě,</w:t>
      </w:r>
    </w:p>
    <w:p w:rsidR="00446E97" w:rsidRPr="005E53F7" w:rsidRDefault="00446E97" w:rsidP="005E53F7">
      <w:pPr>
        <w:pStyle w:val="Odstavecseseznamem"/>
        <w:numPr>
          <w:ilvl w:val="0"/>
          <w:numId w:val="28"/>
        </w:numPr>
        <w:spacing w:line="264" w:lineRule="auto"/>
        <w:ind w:left="284" w:hanging="284"/>
        <w:rPr>
          <w:rFonts w:ascii="Calibri" w:hAnsi="Calibri" w:cs="Calibri"/>
          <w:szCs w:val="24"/>
        </w:rPr>
      </w:pPr>
      <w:r w:rsidRPr="005E53F7">
        <w:rPr>
          <w:rFonts w:ascii="Calibri" w:hAnsi="Calibri" w:cs="Calibri"/>
          <w:szCs w:val="24"/>
        </w:rPr>
        <w:t>geometricky rozdělit pozemky na část vydávanou a část nevydávanou,</w:t>
      </w:r>
    </w:p>
    <w:p w:rsidR="00446E97" w:rsidRPr="005E53F7" w:rsidRDefault="00446E97" w:rsidP="005E53F7">
      <w:pPr>
        <w:pStyle w:val="Odstavecseseznamem"/>
        <w:numPr>
          <w:ilvl w:val="0"/>
          <w:numId w:val="28"/>
        </w:numPr>
        <w:spacing w:line="264" w:lineRule="auto"/>
        <w:ind w:left="284" w:hanging="284"/>
        <w:rPr>
          <w:rFonts w:ascii="Calibri" w:hAnsi="Calibri" w:cs="Calibri"/>
          <w:szCs w:val="24"/>
        </w:rPr>
      </w:pPr>
      <w:r w:rsidRPr="005E53F7">
        <w:rPr>
          <w:rFonts w:ascii="Calibri" w:hAnsi="Calibri" w:cs="Calibri"/>
          <w:szCs w:val="24"/>
        </w:rPr>
        <w:t>připravit dohodu k</w:t>
      </w:r>
      <w:r w:rsidR="00256B81" w:rsidRPr="005E53F7">
        <w:rPr>
          <w:rFonts w:ascii="Calibri" w:hAnsi="Calibri" w:cs="Calibri"/>
          <w:szCs w:val="24"/>
        </w:rPr>
        <w:t xml:space="preserve"> </w:t>
      </w:r>
      <w:r w:rsidRPr="005E53F7">
        <w:rPr>
          <w:rFonts w:ascii="Calibri" w:hAnsi="Calibri" w:cs="Calibri"/>
          <w:szCs w:val="24"/>
        </w:rPr>
        <w:t>vydání pozemků, u nichž je doložen právní nárok, byly vyloučeny překážky ve vydání, bylo u nich zjištěno, že jsou aktuálně ve vlastnictví státu</w:t>
      </w:r>
      <w:r w:rsidR="00CB6DAE">
        <w:rPr>
          <w:rFonts w:ascii="Calibri" w:hAnsi="Calibri" w:cs="Calibri"/>
          <w:szCs w:val="24"/>
        </w:rPr>
        <w:t>,</w:t>
      </w:r>
      <w:r w:rsidRPr="005E53F7">
        <w:rPr>
          <w:rFonts w:ascii="Calibri" w:hAnsi="Calibri" w:cs="Calibri"/>
          <w:szCs w:val="24"/>
        </w:rPr>
        <w:t xml:space="preserve"> a </w:t>
      </w:r>
      <w:r w:rsidR="00CB6DAE">
        <w:rPr>
          <w:rFonts w:ascii="Calibri" w:hAnsi="Calibri" w:cs="Calibri"/>
          <w:szCs w:val="24"/>
        </w:rPr>
        <w:t xml:space="preserve">které </w:t>
      </w:r>
      <w:r w:rsidRPr="005E53F7">
        <w:rPr>
          <w:rFonts w:ascii="Calibri" w:hAnsi="Calibri" w:cs="Calibri"/>
          <w:szCs w:val="24"/>
        </w:rPr>
        <w:t>existují ve stavu zapsatelném do katastru nemovitostí.</w:t>
      </w:r>
    </w:p>
    <w:p w:rsidR="00F6199D" w:rsidRPr="005E53F7" w:rsidRDefault="00F6199D" w:rsidP="005E53F7">
      <w:pPr>
        <w:spacing w:line="264" w:lineRule="auto"/>
        <w:rPr>
          <w:rFonts w:ascii="Calibri" w:hAnsi="Calibri" w:cs="Calibri"/>
          <w:szCs w:val="24"/>
        </w:rPr>
      </w:pPr>
    </w:p>
    <w:p w:rsidR="00A93D8A" w:rsidRPr="005E53F7" w:rsidRDefault="00AA2D08" w:rsidP="005E53F7">
      <w:pPr>
        <w:spacing w:line="264" w:lineRule="auto"/>
        <w:rPr>
          <w:rFonts w:ascii="Calibri" w:hAnsi="Calibri" w:cs="Calibri"/>
          <w:szCs w:val="24"/>
        </w:rPr>
      </w:pPr>
      <w:r w:rsidRPr="005E53F7">
        <w:rPr>
          <w:rFonts w:ascii="Calibri" w:hAnsi="Calibri" w:cs="Calibri"/>
          <w:szCs w:val="24"/>
        </w:rPr>
        <w:t>Podle</w:t>
      </w:r>
      <w:r w:rsidR="00A93D8A" w:rsidRPr="005E53F7">
        <w:rPr>
          <w:rFonts w:ascii="Calibri" w:hAnsi="Calibri" w:cs="Calibri"/>
          <w:szCs w:val="24"/>
        </w:rPr>
        <w:t xml:space="preserve"> zákona </w:t>
      </w:r>
      <w:r w:rsidR="00746D43" w:rsidRPr="005E53F7">
        <w:rPr>
          <w:rFonts w:ascii="Calibri" w:hAnsi="Calibri" w:cs="Calibri"/>
          <w:szCs w:val="24"/>
        </w:rPr>
        <w:t xml:space="preserve">o církevních restitucích </w:t>
      </w:r>
      <w:r w:rsidRPr="005E53F7">
        <w:rPr>
          <w:rFonts w:ascii="Calibri" w:hAnsi="Calibri" w:cs="Calibri"/>
          <w:szCs w:val="24"/>
        </w:rPr>
        <w:t>měl dohody o vydání majetku uzavírat PF jako povinná osoba a ve správním řízení je měly schvalovat pozemkové úřady.</w:t>
      </w:r>
      <w:r w:rsidR="00620386" w:rsidRPr="005E53F7">
        <w:rPr>
          <w:rFonts w:ascii="Calibri" w:hAnsi="Calibri" w:cs="Calibri"/>
          <w:szCs w:val="24"/>
        </w:rPr>
        <w:t xml:space="preserve"> </w:t>
      </w:r>
      <w:r w:rsidRPr="005E53F7">
        <w:rPr>
          <w:rFonts w:ascii="Calibri" w:hAnsi="Calibri" w:cs="Calibri"/>
          <w:szCs w:val="24"/>
        </w:rPr>
        <w:t>T</w:t>
      </w:r>
      <w:r w:rsidR="00620386" w:rsidRPr="005E53F7">
        <w:rPr>
          <w:rFonts w:ascii="Calibri" w:hAnsi="Calibri" w:cs="Calibri"/>
          <w:szCs w:val="24"/>
        </w:rPr>
        <w:t>ransformací PF na SPÚ</w:t>
      </w:r>
      <w:r w:rsidR="00746D43" w:rsidRPr="005E53F7">
        <w:rPr>
          <w:rFonts w:ascii="Calibri" w:hAnsi="Calibri" w:cs="Calibri"/>
          <w:szCs w:val="24"/>
        </w:rPr>
        <w:t xml:space="preserve"> </w:t>
      </w:r>
      <w:r w:rsidRPr="005E53F7">
        <w:rPr>
          <w:rFonts w:ascii="Calibri" w:hAnsi="Calibri" w:cs="Calibri"/>
          <w:szCs w:val="24"/>
        </w:rPr>
        <w:t xml:space="preserve">došlo </w:t>
      </w:r>
      <w:r w:rsidR="00A93D8A" w:rsidRPr="005E53F7">
        <w:rPr>
          <w:rFonts w:ascii="Calibri" w:hAnsi="Calibri" w:cs="Calibri"/>
          <w:szCs w:val="24"/>
        </w:rPr>
        <w:t xml:space="preserve">ke spojení subjektu, který </w:t>
      </w:r>
      <w:r w:rsidR="00746D43" w:rsidRPr="005E53F7">
        <w:rPr>
          <w:rFonts w:ascii="Calibri" w:hAnsi="Calibri" w:cs="Calibri"/>
          <w:szCs w:val="24"/>
        </w:rPr>
        <w:t xml:space="preserve">jako osoba </w:t>
      </w:r>
      <w:r w:rsidR="00A93D8A" w:rsidRPr="005E53F7">
        <w:rPr>
          <w:rFonts w:ascii="Calibri" w:hAnsi="Calibri" w:cs="Calibri"/>
          <w:szCs w:val="24"/>
        </w:rPr>
        <w:t>povinn</w:t>
      </w:r>
      <w:r w:rsidR="00746D43" w:rsidRPr="005E53F7">
        <w:rPr>
          <w:rFonts w:ascii="Calibri" w:hAnsi="Calibri" w:cs="Calibri"/>
          <w:szCs w:val="24"/>
        </w:rPr>
        <w:t>á u</w:t>
      </w:r>
      <w:r w:rsidRPr="005E53F7">
        <w:rPr>
          <w:rFonts w:ascii="Calibri" w:hAnsi="Calibri" w:cs="Calibri"/>
          <w:szCs w:val="24"/>
        </w:rPr>
        <w:t>zavírá dohodu o vydání majetku</w:t>
      </w:r>
      <w:r w:rsidR="00B0244E">
        <w:rPr>
          <w:rFonts w:ascii="Calibri" w:hAnsi="Calibri" w:cs="Calibri"/>
          <w:szCs w:val="24"/>
        </w:rPr>
        <w:t>,</w:t>
      </w:r>
      <w:r w:rsidR="00A93D8A" w:rsidRPr="005E53F7">
        <w:rPr>
          <w:rFonts w:ascii="Calibri" w:hAnsi="Calibri" w:cs="Calibri"/>
          <w:szCs w:val="24"/>
        </w:rPr>
        <w:t xml:space="preserve"> a</w:t>
      </w:r>
      <w:r w:rsidR="00F6199D" w:rsidRPr="005E53F7">
        <w:rPr>
          <w:rFonts w:ascii="Calibri" w:hAnsi="Calibri" w:cs="Calibri"/>
          <w:szCs w:val="24"/>
        </w:rPr>
        <w:t> </w:t>
      </w:r>
      <w:r w:rsidR="00A93D8A" w:rsidRPr="005E53F7">
        <w:rPr>
          <w:rFonts w:ascii="Calibri" w:hAnsi="Calibri" w:cs="Calibri"/>
          <w:szCs w:val="24"/>
        </w:rPr>
        <w:t>subjektu, který jako správní orgán schvaluje úkony učiněné povinnou osobou</w:t>
      </w:r>
      <w:r w:rsidR="00746D43" w:rsidRPr="005E53F7">
        <w:rPr>
          <w:rFonts w:ascii="Calibri" w:hAnsi="Calibri" w:cs="Calibri"/>
          <w:szCs w:val="24"/>
        </w:rPr>
        <w:t>.</w:t>
      </w:r>
      <w:r w:rsidR="00A93D8A" w:rsidRPr="005E53F7">
        <w:rPr>
          <w:rFonts w:ascii="Calibri" w:hAnsi="Calibri" w:cs="Calibri"/>
          <w:szCs w:val="24"/>
        </w:rPr>
        <w:t xml:space="preserve"> </w:t>
      </w:r>
      <w:r w:rsidR="00746D43" w:rsidRPr="005E53F7">
        <w:rPr>
          <w:rFonts w:ascii="Calibri" w:hAnsi="Calibri" w:cs="Calibri"/>
          <w:szCs w:val="24"/>
        </w:rPr>
        <w:t>P</w:t>
      </w:r>
      <w:r w:rsidR="00A93D8A" w:rsidRPr="005E53F7">
        <w:rPr>
          <w:rFonts w:ascii="Calibri" w:hAnsi="Calibri" w:cs="Calibri"/>
          <w:szCs w:val="24"/>
        </w:rPr>
        <w:t xml:space="preserve">ostup, kdy stejná organizace </w:t>
      </w:r>
      <w:r w:rsidR="00334F78" w:rsidRPr="005E53F7">
        <w:rPr>
          <w:rFonts w:ascii="Calibri" w:hAnsi="Calibri" w:cs="Calibri"/>
          <w:szCs w:val="24"/>
        </w:rPr>
        <w:t>uzavírá</w:t>
      </w:r>
      <w:r w:rsidR="00A93D8A" w:rsidRPr="005E53F7">
        <w:rPr>
          <w:rFonts w:ascii="Calibri" w:hAnsi="Calibri" w:cs="Calibri"/>
          <w:szCs w:val="24"/>
        </w:rPr>
        <w:t xml:space="preserve"> dohody o vydání majetku</w:t>
      </w:r>
      <w:r w:rsidR="00746D43" w:rsidRPr="005E53F7">
        <w:rPr>
          <w:rFonts w:ascii="Calibri" w:hAnsi="Calibri" w:cs="Calibri"/>
          <w:szCs w:val="24"/>
        </w:rPr>
        <w:t xml:space="preserve"> a zároveň je</w:t>
      </w:r>
      <w:r w:rsidR="00A93D8A" w:rsidRPr="005E53F7">
        <w:rPr>
          <w:rFonts w:ascii="Calibri" w:hAnsi="Calibri" w:cs="Calibri"/>
          <w:szCs w:val="24"/>
        </w:rPr>
        <w:t xml:space="preserve"> ve správním řízení schvaluje, </w:t>
      </w:r>
      <w:r w:rsidR="00746D43" w:rsidRPr="005E53F7">
        <w:rPr>
          <w:rFonts w:ascii="Calibri" w:hAnsi="Calibri" w:cs="Calibri"/>
          <w:szCs w:val="24"/>
        </w:rPr>
        <w:t>nepovažuje NKÚ za vhodný.</w:t>
      </w:r>
    </w:p>
    <w:p w:rsidR="00A93D8A" w:rsidRPr="005E53F7" w:rsidRDefault="00A93D8A" w:rsidP="005E53F7">
      <w:pPr>
        <w:pStyle w:val="Odstavecseseznamem"/>
        <w:numPr>
          <w:ilvl w:val="0"/>
          <w:numId w:val="0"/>
        </w:numPr>
        <w:spacing w:line="264" w:lineRule="auto"/>
        <w:rPr>
          <w:rFonts w:ascii="Calibri" w:hAnsi="Calibri" w:cs="Calibri"/>
          <w:szCs w:val="24"/>
        </w:rPr>
      </w:pPr>
    </w:p>
    <w:p w:rsidR="00183232" w:rsidRPr="005E53F7" w:rsidRDefault="005E53F7" w:rsidP="005E53F7">
      <w:pPr>
        <w:pStyle w:val="Nadpis2"/>
        <w:numPr>
          <w:ilvl w:val="0"/>
          <w:numId w:val="0"/>
        </w:numPr>
        <w:spacing w:before="0" w:line="264" w:lineRule="auto"/>
        <w:rPr>
          <w:rFonts w:ascii="Calibri" w:hAnsi="Calibri" w:cs="Calibri"/>
          <w:sz w:val="24"/>
          <w:szCs w:val="24"/>
        </w:rPr>
      </w:pPr>
      <w:r>
        <w:rPr>
          <w:rFonts w:ascii="Calibri" w:hAnsi="Calibri" w:cs="Calibri"/>
          <w:sz w:val="24"/>
          <w:szCs w:val="24"/>
        </w:rPr>
        <w:lastRenderedPageBreak/>
        <w:t xml:space="preserve">5. </w:t>
      </w:r>
      <w:r w:rsidR="007B0B1F" w:rsidRPr="005E53F7">
        <w:rPr>
          <w:rFonts w:ascii="Calibri" w:hAnsi="Calibri" w:cs="Calibri"/>
          <w:sz w:val="24"/>
          <w:szCs w:val="24"/>
        </w:rPr>
        <w:t>Hospodaření SPÚ s</w:t>
      </w:r>
      <w:r w:rsidR="00256B81" w:rsidRPr="005E53F7">
        <w:rPr>
          <w:rFonts w:ascii="Calibri" w:hAnsi="Calibri" w:cs="Calibri"/>
          <w:sz w:val="24"/>
          <w:szCs w:val="24"/>
        </w:rPr>
        <w:t xml:space="preserve"> </w:t>
      </w:r>
      <w:r w:rsidR="007B0B1F" w:rsidRPr="005E53F7">
        <w:rPr>
          <w:rFonts w:ascii="Calibri" w:hAnsi="Calibri" w:cs="Calibri"/>
          <w:sz w:val="24"/>
          <w:szCs w:val="24"/>
        </w:rPr>
        <w:t>majetkem státu</w:t>
      </w:r>
      <w:r w:rsidR="00183232" w:rsidRPr="005E53F7">
        <w:rPr>
          <w:rFonts w:ascii="Calibri" w:hAnsi="Calibri" w:cs="Calibri"/>
          <w:sz w:val="24"/>
          <w:szCs w:val="24"/>
        </w:rPr>
        <w:t xml:space="preserve"> </w:t>
      </w:r>
    </w:p>
    <w:p w:rsidR="00F6199D" w:rsidRPr="005E53F7" w:rsidRDefault="00F6199D" w:rsidP="005E53F7">
      <w:pPr>
        <w:spacing w:line="264" w:lineRule="auto"/>
        <w:rPr>
          <w:rFonts w:ascii="Calibri" w:hAnsi="Calibri" w:cs="Calibri"/>
          <w:szCs w:val="24"/>
        </w:rPr>
      </w:pPr>
    </w:p>
    <w:p w:rsidR="00446E97" w:rsidRPr="005E53F7" w:rsidRDefault="00446E97" w:rsidP="005E53F7">
      <w:pPr>
        <w:spacing w:line="264" w:lineRule="auto"/>
        <w:rPr>
          <w:rFonts w:ascii="Calibri" w:hAnsi="Calibri" w:cs="Calibri"/>
          <w:szCs w:val="24"/>
        </w:rPr>
      </w:pPr>
      <w:r w:rsidRPr="005E53F7">
        <w:rPr>
          <w:rFonts w:ascii="Calibri" w:hAnsi="Calibri" w:cs="Calibri"/>
          <w:szCs w:val="24"/>
        </w:rPr>
        <w:t>SPÚ hospodařil v</w:t>
      </w:r>
      <w:r w:rsidR="00256B81" w:rsidRPr="005E53F7">
        <w:rPr>
          <w:rFonts w:ascii="Calibri" w:hAnsi="Calibri" w:cs="Calibri"/>
          <w:szCs w:val="24"/>
        </w:rPr>
        <w:t xml:space="preserve"> </w:t>
      </w:r>
      <w:r w:rsidRPr="005E53F7">
        <w:rPr>
          <w:rFonts w:ascii="Calibri" w:hAnsi="Calibri" w:cs="Calibri"/>
          <w:szCs w:val="24"/>
        </w:rPr>
        <w:t>kontrolovaném období s</w:t>
      </w:r>
      <w:r w:rsidR="00256B81" w:rsidRPr="005E53F7">
        <w:rPr>
          <w:rFonts w:ascii="Calibri" w:hAnsi="Calibri" w:cs="Calibri"/>
          <w:szCs w:val="24"/>
        </w:rPr>
        <w:t xml:space="preserve"> </w:t>
      </w:r>
      <w:r w:rsidRPr="005E53F7">
        <w:rPr>
          <w:rFonts w:ascii="Calibri" w:hAnsi="Calibri" w:cs="Calibri"/>
          <w:szCs w:val="24"/>
        </w:rPr>
        <w:t>294 motorovými vozidly. Jejich celková pořizovací hodnota činila 113</w:t>
      </w:r>
      <w:r w:rsidR="00256B81" w:rsidRPr="005E53F7">
        <w:rPr>
          <w:rFonts w:ascii="Calibri" w:hAnsi="Calibri" w:cs="Calibri"/>
          <w:szCs w:val="24"/>
        </w:rPr>
        <w:t xml:space="preserve"> </w:t>
      </w:r>
      <w:r w:rsidRPr="005E53F7">
        <w:rPr>
          <w:rFonts w:ascii="Calibri" w:hAnsi="Calibri" w:cs="Calibri"/>
          <w:szCs w:val="24"/>
        </w:rPr>
        <w:t>926</w:t>
      </w:r>
      <w:r w:rsidR="00256B81" w:rsidRPr="005E53F7">
        <w:rPr>
          <w:rFonts w:ascii="Calibri" w:hAnsi="Calibri" w:cs="Calibri"/>
          <w:szCs w:val="24"/>
        </w:rPr>
        <w:t xml:space="preserve"> </w:t>
      </w:r>
      <w:r w:rsidRPr="005E53F7">
        <w:rPr>
          <w:rFonts w:ascii="Calibri" w:hAnsi="Calibri" w:cs="Calibri"/>
          <w:szCs w:val="24"/>
        </w:rPr>
        <w:t>762,52 Kč. Jako kontrolní vzorek bylo vybráno 43 motorových vozidel SPÚ, u nichž byla mezi SPÚ a příslušným zaměstnancem uzavřena dohoda o přenechání motorového vozidla k</w:t>
      </w:r>
      <w:r w:rsidR="00256B81" w:rsidRPr="005E53F7">
        <w:rPr>
          <w:rFonts w:ascii="Calibri" w:hAnsi="Calibri" w:cs="Calibri"/>
          <w:szCs w:val="24"/>
        </w:rPr>
        <w:t xml:space="preserve"> </w:t>
      </w:r>
      <w:r w:rsidRPr="005E53F7">
        <w:rPr>
          <w:rFonts w:ascii="Calibri" w:hAnsi="Calibri" w:cs="Calibri"/>
          <w:szCs w:val="24"/>
        </w:rPr>
        <w:t>používání pro služební i soukromé účely (dále též „</w:t>
      </w:r>
      <w:r w:rsidR="00DF7AC4">
        <w:rPr>
          <w:rFonts w:ascii="Calibri" w:hAnsi="Calibri" w:cs="Calibri"/>
          <w:szCs w:val="24"/>
        </w:rPr>
        <w:t>d</w:t>
      </w:r>
      <w:r w:rsidRPr="005E53F7">
        <w:rPr>
          <w:rFonts w:ascii="Calibri" w:hAnsi="Calibri" w:cs="Calibri"/>
          <w:szCs w:val="24"/>
        </w:rPr>
        <w:t>ohoda</w:t>
      </w:r>
      <w:r w:rsidR="00DF7AC4" w:rsidRPr="00DF7AC4">
        <w:rPr>
          <w:rFonts w:ascii="Calibri" w:hAnsi="Calibri" w:cs="Calibri"/>
          <w:szCs w:val="24"/>
        </w:rPr>
        <w:t xml:space="preserve"> </w:t>
      </w:r>
      <w:r w:rsidR="00DF7AC4" w:rsidRPr="005E53F7">
        <w:rPr>
          <w:rFonts w:ascii="Calibri" w:hAnsi="Calibri" w:cs="Calibri"/>
          <w:szCs w:val="24"/>
        </w:rPr>
        <w:t>o</w:t>
      </w:r>
      <w:r w:rsidR="00DF7AC4">
        <w:rPr>
          <w:rFonts w:ascii="Calibri" w:hAnsi="Calibri" w:cs="Calibri"/>
          <w:szCs w:val="24"/>
        </w:rPr>
        <w:t> </w:t>
      </w:r>
      <w:r w:rsidR="00DF7AC4" w:rsidRPr="005E53F7">
        <w:rPr>
          <w:rFonts w:ascii="Calibri" w:hAnsi="Calibri" w:cs="Calibri"/>
          <w:szCs w:val="24"/>
        </w:rPr>
        <w:t>přenechání motorového vozidla</w:t>
      </w:r>
      <w:r w:rsidRPr="005E53F7">
        <w:rPr>
          <w:rFonts w:ascii="Calibri" w:hAnsi="Calibri" w:cs="Calibri"/>
          <w:szCs w:val="24"/>
        </w:rPr>
        <w:t>“). Pořizovací hodnota kontrolovaného vzorku 43 motorových vozidel činila celkem 22 278 920 Kč. Kontrolovaný objem oprav a udržování všech motorových vozidel SPÚ v kontrolovaném období 2013 až 2014 činil 2 236 376,86</w:t>
      </w:r>
      <w:r w:rsidRPr="005E53F7">
        <w:rPr>
          <w:rFonts w:ascii="Calibri" w:hAnsi="Calibri" w:cs="Calibri"/>
          <w:color w:val="000000"/>
          <w:szCs w:val="24"/>
          <w:lang w:eastAsia="cs-CZ"/>
        </w:rPr>
        <w:t xml:space="preserve"> </w:t>
      </w:r>
      <w:r w:rsidRPr="005E53F7">
        <w:rPr>
          <w:rFonts w:ascii="Calibri" w:hAnsi="Calibri" w:cs="Calibri"/>
          <w:szCs w:val="24"/>
        </w:rPr>
        <w:t>Kč.</w:t>
      </w:r>
    </w:p>
    <w:p w:rsidR="00F6199D" w:rsidRPr="005E53F7" w:rsidRDefault="00F6199D" w:rsidP="005E53F7">
      <w:pPr>
        <w:spacing w:line="264" w:lineRule="auto"/>
        <w:rPr>
          <w:rFonts w:ascii="Calibri" w:hAnsi="Calibri" w:cs="Calibri"/>
          <w:szCs w:val="24"/>
        </w:rPr>
      </w:pPr>
    </w:p>
    <w:p w:rsidR="00446E97" w:rsidRPr="005E53F7" w:rsidRDefault="00446E97" w:rsidP="005E53F7">
      <w:pPr>
        <w:spacing w:line="264" w:lineRule="auto"/>
        <w:rPr>
          <w:rFonts w:ascii="Calibri" w:hAnsi="Calibri" w:cs="Calibri"/>
          <w:szCs w:val="24"/>
        </w:rPr>
      </w:pPr>
      <w:r w:rsidRPr="005E53F7">
        <w:rPr>
          <w:rFonts w:ascii="Calibri" w:hAnsi="Calibri" w:cs="Calibri"/>
          <w:szCs w:val="24"/>
        </w:rPr>
        <w:t xml:space="preserve">Kontrolou NKÚ bylo zjištěno, že SPÚ umožňoval zaměstnancům bezúplatně užívat motorová vozidla poskytnutá na základě </w:t>
      </w:r>
      <w:r w:rsidR="00DF7AC4">
        <w:rPr>
          <w:rFonts w:ascii="Calibri" w:hAnsi="Calibri" w:cs="Calibri"/>
          <w:szCs w:val="24"/>
        </w:rPr>
        <w:t>d</w:t>
      </w:r>
      <w:r w:rsidRPr="005E53F7">
        <w:rPr>
          <w:rFonts w:ascii="Calibri" w:hAnsi="Calibri" w:cs="Calibri"/>
          <w:szCs w:val="24"/>
        </w:rPr>
        <w:t>ohody</w:t>
      </w:r>
      <w:r w:rsidR="00DF7AC4" w:rsidRPr="00DF7AC4">
        <w:rPr>
          <w:rFonts w:ascii="Calibri" w:hAnsi="Calibri" w:cs="Calibri"/>
          <w:szCs w:val="24"/>
        </w:rPr>
        <w:t xml:space="preserve"> </w:t>
      </w:r>
      <w:r w:rsidR="00DF7AC4" w:rsidRPr="005E53F7">
        <w:rPr>
          <w:rFonts w:ascii="Calibri" w:hAnsi="Calibri" w:cs="Calibri"/>
          <w:szCs w:val="24"/>
        </w:rPr>
        <w:t>o</w:t>
      </w:r>
      <w:r w:rsidR="00DF7AC4">
        <w:rPr>
          <w:rFonts w:ascii="Calibri" w:hAnsi="Calibri" w:cs="Calibri"/>
          <w:szCs w:val="24"/>
        </w:rPr>
        <w:t> </w:t>
      </w:r>
      <w:r w:rsidR="00DF7AC4" w:rsidRPr="005E53F7">
        <w:rPr>
          <w:rFonts w:ascii="Calibri" w:hAnsi="Calibri" w:cs="Calibri"/>
          <w:szCs w:val="24"/>
        </w:rPr>
        <w:t>přenechání motorového vozidla</w:t>
      </w:r>
      <w:r w:rsidRPr="005E53F7">
        <w:rPr>
          <w:rFonts w:ascii="Calibri" w:hAnsi="Calibri" w:cs="Calibri"/>
          <w:szCs w:val="24"/>
        </w:rPr>
        <w:t xml:space="preserve"> i pro soukromé účely. Pohonné hmoty spotřebované při soukromých cestách v</w:t>
      </w:r>
      <w:r w:rsidR="00256B81" w:rsidRPr="005E53F7">
        <w:rPr>
          <w:rFonts w:ascii="Calibri" w:hAnsi="Calibri" w:cs="Calibri"/>
          <w:szCs w:val="24"/>
        </w:rPr>
        <w:t xml:space="preserve"> </w:t>
      </w:r>
      <w:r w:rsidRPr="005E53F7">
        <w:rPr>
          <w:rFonts w:ascii="Calibri" w:hAnsi="Calibri" w:cs="Calibri"/>
          <w:szCs w:val="24"/>
        </w:rPr>
        <w:t>rámci České republiky hradili zaměstnanci v</w:t>
      </w:r>
      <w:r w:rsidR="00256B81" w:rsidRPr="005E53F7">
        <w:rPr>
          <w:rFonts w:ascii="Calibri" w:hAnsi="Calibri" w:cs="Calibri"/>
          <w:szCs w:val="24"/>
        </w:rPr>
        <w:t xml:space="preserve"> </w:t>
      </w:r>
      <w:r w:rsidRPr="005E53F7">
        <w:rPr>
          <w:rFonts w:ascii="Calibri" w:hAnsi="Calibri" w:cs="Calibri"/>
          <w:szCs w:val="24"/>
        </w:rPr>
        <w:t>plném rozsahu formou srážek ze mzdy. V</w:t>
      </w:r>
      <w:r w:rsidR="00256B81" w:rsidRPr="005E53F7">
        <w:rPr>
          <w:rFonts w:ascii="Calibri" w:hAnsi="Calibri" w:cs="Calibri"/>
          <w:szCs w:val="24"/>
        </w:rPr>
        <w:t xml:space="preserve"> </w:t>
      </w:r>
      <w:r w:rsidRPr="005E53F7">
        <w:rPr>
          <w:rFonts w:ascii="Calibri" w:hAnsi="Calibri" w:cs="Calibri"/>
          <w:szCs w:val="24"/>
        </w:rPr>
        <w:t>tabulce č.</w:t>
      </w:r>
      <w:r w:rsidR="00620386" w:rsidRPr="005E53F7">
        <w:rPr>
          <w:rFonts w:ascii="Calibri" w:hAnsi="Calibri" w:cs="Calibri"/>
          <w:szCs w:val="24"/>
        </w:rPr>
        <w:t xml:space="preserve"> 2</w:t>
      </w:r>
      <w:r w:rsidRPr="005E53F7">
        <w:rPr>
          <w:rFonts w:ascii="Calibri" w:hAnsi="Calibri" w:cs="Calibri"/>
          <w:szCs w:val="24"/>
        </w:rPr>
        <w:t xml:space="preserve"> je uveden celkový rozsah kilometrů vykázaných zaměstnanci SPÚ u kontrolovaného vzorku motorových vozidel v</w:t>
      </w:r>
      <w:r w:rsidR="00256B81" w:rsidRPr="005E53F7">
        <w:rPr>
          <w:rFonts w:ascii="Calibri" w:hAnsi="Calibri" w:cs="Calibri"/>
          <w:szCs w:val="24"/>
        </w:rPr>
        <w:t xml:space="preserve"> </w:t>
      </w:r>
      <w:r w:rsidRPr="005E53F7">
        <w:rPr>
          <w:rFonts w:ascii="Calibri" w:hAnsi="Calibri" w:cs="Calibri"/>
          <w:szCs w:val="24"/>
        </w:rPr>
        <w:t>letech 2013 a 2014 jako soukromé jízdy a služební jízdy.</w:t>
      </w:r>
    </w:p>
    <w:p w:rsidR="00F6199D" w:rsidRPr="005E53F7" w:rsidRDefault="00F6199D" w:rsidP="005E53F7">
      <w:pPr>
        <w:spacing w:line="264" w:lineRule="auto"/>
        <w:rPr>
          <w:rFonts w:ascii="Calibri" w:hAnsi="Calibri" w:cs="Calibri"/>
          <w:szCs w:val="24"/>
        </w:rPr>
      </w:pPr>
    </w:p>
    <w:p w:rsidR="00446E97" w:rsidRPr="009C000B" w:rsidRDefault="00446E97" w:rsidP="005E53F7">
      <w:pPr>
        <w:spacing w:after="40"/>
        <w:rPr>
          <w:rFonts w:ascii="Calibri" w:hAnsi="Calibri" w:cs="Calibri"/>
          <w:b/>
        </w:rPr>
      </w:pPr>
      <w:r w:rsidRPr="009C000B">
        <w:rPr>
          <w:rFonts w:ascii="Calibri" w:hAnsi="Calibri" w:cs="Calibri"/>
          <w:b/>
        </w:rPr>
        <w:t xml:space="preserve">Tabulka č. </w:t>
      </w:r>
      <w:r w:rsidR="00620386" w:rsidRPr="009C000B">
        <w:rPr>
          <w:rFonts w:ascii="Calibri" w:hAnsi="Calibri" w:cs="Calibri"/>
          <w:b/>
        </w:rPr>
        <w:t>2</w:t>
      </w:r>
      <w:r w:rsidR="009C000B">
        <w:rPr>
          <w:rFonts w:ascii="Calibri" w:hAnsi="Calibri" w:cs="Calibri"/>
          <w:b/>
        </w:rPr>
        <w:t xml:space="preserve"> – Kilometry ujeté služebně a soukromě</w:t>
      </w:r>
    </w:p>
    <w:tbl>
      <w:tblPr>
        <w:tblStyle w:val="Mkatabulky"/>
        <w:tblW w:w="9072" w:type="dxa"/>
        <w:jc w:val="center"/>
        <w:tblLook w:val="04A0" w:firstRow="1" w:lastRow="0" w:firstColumn="1" w:lastColumn="0" w:noHBand="0" w:noVBand="1"/>
      </w:tblPr>
      <w:tblGrid>
        <w:gridCol w:w="1412"/>
        <w:gridCol w:w="2621"/>
        <w:gridCol w:w="2620"/>
        <w:gridCol w:w="2419"/>
      </w:tblGrid>
      <w:tr w:rsidR="00446E97" w:rsidRPr="00AB3BE4" w:rsidTr="00AB3BE4">
        <w:trPr>
          <w:trHeight w:val="227"/>
          <w:jc w:val="center"/>
        </w:trPr>
        <w:tc>
          <w:tcPr>
            <w:tcW w:w="993" w:type="dxa"/>
            <w:shd w:val="clear" w:color="auto" w:fill="F2F2F2" w:themeFill="background1" w:themeFillShade="F2"/>
            <w:vAlign w:val="center"/>
            <w:hideMark/>
          </w:tcPr>
          <w:p w:rsidR="00446E97" w:rsidRPr="00AB3BE4" w:rsidRDefault="00446E97" w:rsidP="00F6199D">
            <w:pPr>
              <w:jc w:val="center"/>
              <w:rPr>
                <w:rFonts w:ascii="Calibri" w:hAnsi="Calibri" w:cs="Calibri"/>
                <w:sz w:val="20"/>
                <w:szCs w:val="20"/>
              </w:rPr>
            </w:pPr>
            <w:r w:rsidRPr="00AB3BE4">
              <w:rPr>
                <w:rFonts w:ascii="Calibri" w:hAnsi="Calibri" w:cs="Calibri"/>
                <w:b/>
                <w:bCs/>
                <w:sz w:val="20"/>
                <w:szCs w:val="20"/>
              </w:rPr>
              <w:t>Rok</w:t>
            </w:r>
          </w:p>
        </w:tc>
        <w:tc>
          <w:tcPr>
            <w:tcW w:w="1843" w:type="dxa"/>
            <w:shd w:val="clear" w:color="auto" w:fill="F2F2F2" w:themeFill="background1" w:themeFillShade="F2"/>
            <w:vAlign w:val="center"/>
            <w:hideMark/>
          </w:tcPr>
          <w:p w:rsidR="00446E97" w:rsidRPr="00AB3BE4" w:rsidRDefault="00446E97" w:rsidP="00F6199D">
            <w:pPr>
              <w:jc w:val="center"/>
              <w:rPr>
                <w:rFonts w:ascii="Calibri" w:hAnsi="Calibri" w:cs="Calibri"/>
                <w:b/>
                <w:bCs/>
                <w:sz w:val="20"/>
                <w:szCs w:val="20"/>
              </w:rPr>
            </w:pPr>
            <w:r w:rsidRPr="00AB3BE4">
              <w:rPr>
                <w:rFonts w:ascii="Calibri" w:hAnsi="Calibri" w:cs="Calibri"/>
                <w:b/>
                <w:bCs/>
                <w:sz w:val="20"/>
                <w:szCs w:val="20"/>
              </w:rPr>
              <w:t>Ujeté km služebně</w:t>
            </w:r>
          </w:p>
        </w:tc>
        <w:tc>
          <w:tcPr>
            <w:tcW w:w="1842" w:type="dxa"/>
            <w:shd w:val="clear" w:color="auto" w:fill="F2F2F2" w:themeFill="background1" w:themeFillShade="F2"/>
            <w:vAlign w:val="center"/>
            <w:hideMark/>
          </w:tcPr>
          <w:p w:rsidR="00446E97" w:rsidRPr="00AB3BE4" w:rsidRDefault="00446E97" w:rsidP="00F6199D">
            <w:pPr>
              <w:jc w:val="center"/>
              <w:rPr>
                <w:rFonts w:ascii="Calibri" w:hAnsi="Calibri" w:cs="Calibri"/>
                <w:b/>
                <w:bCs/>
                <w:sz w:val="20"/>
                <w:szCs w:val="20"/>
              </w:rPr>
            </w:pPr>
            <w:r w:rsidRPr="00AB3BE4">
              <w:rPr>
                <w:rFonts w:ascii="Calibri" w:hAnsi="Calibri" w:cs="Calibri"/>
                <w:b/>
                <w:bCs/>
                <w:sz w:val="20"/>
                <w:szCs w:val="20"/>
              </w:rPr>
              <w:t>Ujeté km soukromě</w:t>
            </w:r>
          </w:p>
        </w:tc>
        <w:tc>
          <w:tcPr>
            <w:tcW w:w="1701" w:type="dxa"/>
            <w:shd w:val="clear" w:color="auto" w:fill="F2F2F2" w:themeFill="background1" w:themeFillShade="F2"/>
            <w:vAlign w:val="center"/>
            <w:hideMark/>
          </w:tcPr>
          <w:p w:rsidR="00446E97" w:rsidRPr="00AB3BE4" w:rsidRDefault="00446E97" w:rsidP="00F6199D">
            <w:pPr>
              <w:jc w:val="center"/>
              <w:rPr>
                <w:rFonts w:ascii="Calibri" w:hAnsi="Calibri" w:cs="Calibri"/>
                <w:b/>
                <w:bCs/>
                <w:sz w:val="20"/>
                <w:szCs w:val="20"/>
              </w:rPr>
            </w:pPr>
            <w:r w:rsidRPr="00AB3BE4">
              <w:rPr>
                <w:rFonts w:ascii="Calibri" w:hAnsi="Calibri" w:cs="Calibri"/>
                <w:b/>
                <w:bCs/>
                <w:sz w:val="20"/>
                <w:szCs w:val="20"/>
              </w:rPr>
              <w:t>Ujeto soukromě v %</w:t>
            </w:r>
          </w:p>
        </w:tc>
      </w:tr>
      <w:tr w:rsidR="00446E97" w:rsidRPr="00AB3BE4" w:rsidTr="00AB3BE4">
        <w:trPr>
          <w:trHeight w:val="227"/>
          <w:jc w:val="center"/>
        </w:trPr>
        <w:tc>
          <w:tcPr>
            <w:tcW w:w="993" w:type="dxa"/>
            <w:vAlign w:val="center"/>
            <w:hideMark/>
          </w:tcPr>
          <w:p w:rsidR="00446E97" w:rsidRPr="00AB3BE4" w:rsidRDefault="00446E97" w:rsidP="00AB3BE4">
            <w:pPr>
              <w:jc w:val="left"/>
              <w:rPr>
                <w:rFonts w:ascii="Calibri" w:hAnsi="Calibri" w:cs="Calibri"/>
                <w:b/>
                <w:bCs/>
                <w:sz w:val="20"/>
                <w:szCs w:val="20"/>
              </w:rPr>
            </w:pPr>
            <w:r w:rsidRPr="00AB3BE4">
              <w:rPr>
                <w:rFonts w:ascii="Calibri" w:hAnsi="Calibri" w:cs="Calibri"/>
                <w:b/>
                <w:bCs/>
                <w:sz w:val="20"/>
                <w:szCs w:val="20"/>
              </w:rPr>
              <w:t>2013</w:t>
            </w:r>
          </w:p>
        </w:tc>
        <w:tc>
          <w:tcPr>
            <w:tcW w:w="1843" w:type="dxa"/>
            <w:noWrap/>
            <w:vAlign w:val="center"/>
            <w:hideMark/>
          </w:tcPr>
          <w:p w:rsidR="00446E97" w:rsidRPr="00AB3BE4" w:rsidRDefault="00446E97" w:rsidP="00AB3BE4">
            <w:pPr>
              <w:ind w:right="380"/>
              <w:jc w:val="right"/>
              <w:rPr>
                <w:rFonts w:ascii="Calibri" w:hAnsi="Calibri" w:cs="Calibri"/>
                <w:sz w:val="20"/>
                <w:szCs w:val="20"/>
              </w:rPr>
            </w:pPr>
            <w:r w:rsidRPr="00AB3BE4">
              <w:rPr>
                <w:rFonts w:ascii="Calibri" w:hAnsi="Calibri" w:cs="Calibri"/>
                <w:sz w:val="20"/>
                <w:szCs w:val="20"/>
              </w:rPr>
              <w:t>223 918,20</w:t>
            </w:r>
          </w:p>
        </w:tc>
        <w:tc>
          <w:tcPr>
            <w:tcW w:w="1842" w:type="dxa"/>
            <w:noWrap/>
            <w:vAlign w:val="center"/>
            <w:hideMark/>
          </w:tcPr>
          <w:p w:rsidR="00446E97" w:rsidRPr="00AB3BE4" w:rsidRDefault="00446E97" w:rsidP="00AB3BE4">
            <w:pPr>
              <w:ind w:right="380"/>
              <w:jc w:val="right"/>
              <w:rPr>
                <w:rFonts w:ascii="Calibri" w:hAnsi="Calibri" w:cs="Calibri"/>
                <w:sz w:val="20"/>
                <w:szCs w:val="20"/>
              </w:rPr>
            </w:pPr>
            <w:r w:rsidRPr="00AB3BE4">
              <w:rPr>
                <w:rFonts w:ascii="Calibri" w:hAnsi="Calibri" w:cs="Calibri"/>
                <w:sz w:val="20"/>
                <w:szCs w:val="20"/>
              </w:rPr>
              <w:t>94 872,00</w:t>
            </w:r>
          </w:p>
        </w:tc>
        <w:tc>
          <w:tcPr>
            <w:tcW w:w="1701" w:type="dxa"/>
            <w:noWrap/>
            <w:vAlign w:val="center"/>
            <w:hideMark/>
          </w:tcPr>
          <w:p w:rsidR="00446E97" w:rsidRPr="00AB3BE4" w:rsidRDefault="00446E97" w:rsidP="00AB3BE4">
            <w:pPr>
              <w:ind w:right="380"/>
              <w:jc w:val="right"/>
              <w:rPr>
                <w:rFonts w:ascii="Calibri" w:hAnsi="Calibri" w:cs="Calibri"/>
                <w:sz w:val="20"/>
                <w:szCs w:val="20"/>
              </w:rPr>
            </w:pPr>
            <w:r w:rsidRPr="00AB3BE4">
              <w:rPr>
                <w:rFonts w:ascii="Calibri" w:hAnsi="Calibri" w:cs="Calibri"/>
                <w:sz w:val="20"/>
                <w:szCs w:val="20"/>
              </w:rPr>
              <w:t>30</w:t>
            </w:r>
          </w:p>
        </w:tc>
      </w:tr>
      <w:tr w:rsidR="00446E97" w:rsidRPr="00AB3BE4" w:rsidTr="00AB3BE4">
        <w:trPr>
          <w:trHeight w:val="227"/>
          <w:jc w:val="center"/>
        </w:trPr>
        <w:tc>
          <w:tcPr>
            <w:tcW w:w="993" w:type="dxa"/>
            <w:vAlign w:val="center"/>
            <w:hideMark/>
          </w:tcPr>
          <w:p w:rsidR="00446E97" w:rsidRPr="00AB3BE4" w:rsidRDefault="00446E97" w:rsidP="00AB3BE4">
            <w:pPr>
              <w:jc w:val="left"/>
              <w:rPr>
                <w:rFonts w:ascii="Calibri" w:hAnsi="Calibri" w:cs="Calibri"/>
                <w:b/>
                <w:bCs/>
                <w:sz w:val="20"/>
                <w:szCs w:val="20"/>
              </w:rPr>
            </w:pPr>
            <w:r w:rsidRPr="00AB3BE4">
              <w:rPr>
                <w:rFonts w:ascii="Calibri" w:hAnsi="Calibri" w:cs="Calibri"/>
                <w:b/>
                <w:bCs/>
                <w:sz w:val="20"/>
                <w:szCs w:val="20"/>
              </w:rPr>
              <w:t>2014</w:t>
            </w:r>
          </w:p>
        </w:tc>
        <w:tc>
          <w:tcPr>
            <w:tcW w:w="1843" w:type="dxa"/>
            <w:noWrap/>
            <w:vAlign w:val="center"/>
            <w:hideMark/>
          </w:tcPr>
          <w:p w:rsidR="00446E97" w:rsidRPr="00AB3BE4" w:rsidRDefault="00446E97" w:rsidP="00AB3BE4">
            <w:pPr>
              <w:ind w:right="380"/>
              <w:jc w:val="right"/>
              <w:rPr>
                <w:rFonts w:ascii="Calibri" w:hAnsi="Calibri" w:cs="Calibri"/>
                <w:sz w:val="20"/>
                <w:szCs w:val="20"/>
              </w:rPr>
            </w:pPr>
            <w:r w:rsidRPr="00AB3BE4">
              <w:rPr>
                <w:rFonts w:ascii="Calibri" w:hAnsi="Calibri" w:cs="Calibri"/>
                <w:sz w:val="20"/>
                <w:szCs w:val="20"/>
              </w:rPr>
              <w:t>571 909,56</w:t>
            </w:r>
          </w:p>
        </w:tc>
        <w:tc>
          <w:tcPr>
            <w:tcW w:w="1842" w:type="dxa"/>
            <w:noWrap/>
            <w:vAlign w:val="center"/>
            <w:hideMark/>
          </w:tcPr>
          <w:p w:rsidR="00446E97" w:rsidRPr="00AB3BE4" w:rsidRDefault="00446E97" w:rsidP="00AB3BE4">
            <w:pPr>
              <w:ind w:right="380"/>
              <w:jc w:val="right"/>
              <w:rPr>
                <w:rFonts w:ascii="Calibri" w:hAnsi="Calibri" w:cs="Calibri"/>
                <w:sz w:val="20"/>
                <w:szCs w:val="20"/>
              </w:rPr>
            </w:pPr>
            <w:r w:rsidRPr="00AB3BE4">
              <w:rPr>
                <w:rFonts w:ascii="Calibri" w:hAnsi="Calibri" w:cs="Calibri"/>
                <w:sz w:val="20"/>
                <w:szCs w:val="20"/>
              </w:rPr>
              <w:t>356 928,84</w:t>
            </w:r>
          </w:p>
        </w:tc>
        <w:tc>
          <w:tcPr>
            <w:tcW w:w="1701" w:type="dxa"/>
            <w:noWrap/>
            <w:vAlign w:val="center"/>
            <w:hideMark/>
          </w:tcPr>
          <w:p w:rsidR="00446E97" w:rsidRPr="00AB3BE4" w:rsidRDefault="00446E97" w:rsidP="00AB3BE4">
            <w:pPr>
              <w:ind w:right="380"/>
              <w:jc w:val="right"/>
              <w:rPr>
                <w:rFonts w:ascii="Calibri" w:hAnsi="Calibri" w:cs="Calibri"/>
                <w:sz w:val="20"/>
                <w:szCs w:val="20"/>
              </w:rPr>
            </w:pPr>
            <w:r w:rsidRPr="00AB3BE4">
              <w:rPr>
                <w:rFonts w:ascii="Calibri" w:hAnsi="Calibri" w:cs="Calibri"/>
                <w:sz w:val="20"/>
                <w:szCs w:val="20"/>
              </w:rPr>
              <w:t>38</w:t>
            </w:r>
          </w:p>
        </w:tc>
      </w:tr>
      <w:tr w:rsidR="00446E97" w:rsidRPr="00AB3BE4" w:rsidTr="00AB3BE4">
        <w:trPr>
          <w:trHeight w:val="227"/>
          <w:jc w:val="center"/>
        </w:trPr>
        <w:tc>
          <w:tcPr>
            <w:tcW w:w="993" w:type="dxa"/>
            <w:vAlign w:val="center"/>
          </w:tcPr>
          <w:p w:rsidR="00446E97" w:rsidRPr="00AB3BE4" w:rsidRDefault="00DF7AC4" w:rsidP="00AB3BE4">
            <w:pPr>
              <w:jc w:val="left"/>
              <w:rPr>
                <w:rFonts w:ascii="Calibri" w:hAnsi="Calibri" w:cs="Calibri"/>
                <w:b/>
                <w:bCs/>
                <w:sz w:val="20"/>
                <w:szCs w:val="20"/>
              </w:rPr>
            </w:pPr>
            <w:r>
              <w:rPr>
                <w:rFonts w:ascii="Calibri" w:hAnsi="Calibri" w:cs="Calibri"/>
                <w:b/>
                <w:bCs/>
                <w:sz w:val="20"/>
                <w:szCs w:val="20"/>
              </w:rPr>
              <w:t>C</w:t>
            </w:r>
            <w:r w:rsidR="00446E97" w:rsidRPr="00AB3BE4">
              <w:rPr>
                <w:rFonts w:ascii="Calibri" w:hAnsi="Calibri" w:cs="Calibri"/>
                <w:b/>
                <w:bCs/>
                <w:sz w:val="20"/>
                <w:szCs w:val="20"/>
              </w:rPr>
              <w:t>elkem</w:t>
            </w:r>
          </w:p>
        </w:tc>
        <w:tc>
          <w:tcPr>
            <w:tcW w:w="1843" w:type="dxa"/>
            <w:noWrap/>
            <w:vAlign w:val="center"/>
          </w:tcPr>
          <w:p w:rsidR="00446E97" w:rsidRPr="00AB3BE4" w:rsidRDefault="00446E97" w:rsidP="00AB3BE4">
            <w:pPr>
              <w:ind w:right="380"/>
              <w:jc w:val="right"/>
              <w:rPr>
                <w:rFonts w:ascii="Calibri" w:hAnsi="Calibri" w:cs="Calibri"/>
                <w:sz w:val="20"/>
                <w:szCs w:val="20"/>
              </w:rPr>
            </w:pPr>
            <w:r w:rsidRPr="00AB3BE4">
              <w:rPr>
                <w:rFonts w:ascii="Calibri" w:hAnsi="Calibri" w:cs="Calibri"/>
                <w:sz w:val="20"/>
                <w:szCs w:val="20"/>
              </w:rPr>
              <w:t>795</w:t>
            </w:r>
            <w:r w:rsidR="00256B81" w:rsidRPr="00AB3BE4">
              <w:rPr>
                <w:rFonts w:ascii="Calibri" w:hAnsi="Calibri" w:cs="Calibri"/>
                <w:sz w:val="20"/>
                <w:szCs w:val="20"/>
              </w:rPr>
              <w:t xml:space="preserve"> </w:t>
            </w:r>
            <w:r w:rsidRPr="00AB3BE4">
              <w:rPr>
                <w:rFonts w:ascii="Calibri" w:hAnsi="Calibri" w:cs="Calibri"/>
                <w:sz w:val="20"/>
                <w:szCs w:val="20"/>
              </w:rPr>
              <w:t>827,76</w:t>
            </w:r>
          </w:p>
        </w:tc>
        <w:tc>
          <w:tcPr>
            <w:tcW w:w="1842" w:type="dxa"/>
            <w:noWrap/>
            <w:vAlign w:val="center"/>
          </w:tcPr>
          <w:p w:rsidR="00446E97" w:rsidRPr="00AB3BE4" w:rsidRDefault="00446E97" w:rsidP="00AB3BE4">
            <w:pPr>
              <w:ind w:right="380"/>
              <w:jc w:val="right"/>
              <w:rPr>
                <w:rFonts w:ascii="Calibri" w:hAnsi="Calibri" w:cs="Calibri"/>
                <w:sz w:val="20"/>
                <w:szCs w:val="20"/>
              </w:rPr>
            </w:pPr>
            <w:r w:rsidRPr="00AB3BE4">
              <w:rPr>
                <w:rFonts w:ascii="Calibri" w:hAnsi="Calibri" w:cs="Calibri"/>
                <w:sz w:val="20"/>
                <w:szCs w:val="20"/>
              </w:rPr>
              <w:t>451</w:t>
            </w:r>
            <w:r w:rsidR="00256B81" w:rsidRPr="00AB3BE4">
              <w:rPr>
                <w:rFonts w:ascii="Calibri" w:hAnsi="Calibri" w:cs="Calibri"/>
                <w:sz w:val="20"/>
                <w:szCs w:val="20"/>
              </w:rPr>
              <w:t xml:space="preserve"> </w:t>
            </w:r>
            <w:r w:rsidRPr="00AB3BE4">
              <w:rPr>
                <w:rFonts w:ascii="Calibri" w:hAnsi="Calibri" w:cs="Calibri"/>
                <w:sz w:val="20"/>
                <w:szCs w:val="20"/>
              </w:rPr>
              <w:t>800,84</w:t>
            </w:r>
          </w:p>
        </w:tc>
        <w:tc>
          <w:tcPr>
            <w:tcW w:w="1701" w:type="dxa"/>
            <w:noWrap/>
            <w:vAlign w:val="center"/>
          </w:tcPr>
          <w:p w:rsidR="00446E97" w:rsidRPr="00AB3BE4" w:rsidRDefault="00446E97" w:rsidP="00AB3BE4">
            <w:pPr>
              <w:ind w:right="380"/>
              <w:jc w:val="right"/>
              <w:rPr>
                <w:rFonts w:ascii="Calibri" w:hAnsi="Calibri" w:cs="Calibri"/>
                <w:sz w:val="20"/>
                <w:szCs w:val="20"/>
              </w:rPr>
            </w:pPr>
            <w:r w:rsidRPr="00AB3BE4">
              <w:rPr>
                <w:rFonts w:ascii="Calibri" w:hAnsi="Calibri" w:cs="Calibri"/>
                <w:sz w:val="20"/>
                <w:szCs w:val="20"/>
              </w:rPr>
              <w:t>36</w:t>
            </w:r>
          </w:p>
        </w:tc>
      </w:tr>
    </w:tbl>
    <w:p w:rsidR="000846BB" w:rsidRDefault="00446E97" w:rsidP="00AB3BE4">
      <w:pPr>
        <w:spacing w:before="40"/>
        <w:rPr>
          <w:rFonts w:ascii="Calibri" w:hAnsi="Calibri" w:cs="Calibri"/>
          <w:sz w:val="20"/>
          <w:szCs w:val="20"/>
        </w:rPr>
      </w:pPr>
      <w:r w:rsidRPr="000846BB">
        <w:rPr>
          <w:rFonts w:ascii="Calibri" w:hAnsi="Calibri" w:cs="Calibri"/>
          <w:b/>
          <w:sz w:val="20"/>
          <w:szCs w:val="20"/>
        </w:rPr>
        <w:t>Zdroj:</w:t>
      </w:r>
      <w:r w:rsidRPr="00620386">
        <w:rPr>
          <w:rFonts w:ascii="Calibri" w:hAnsi="Calibri" w:cs="Calibri"/>
          <w:sz w:val="20"/>
          <w:szCs w:val="20"/>
        </w:rPr>
        <w:t xml:space="preserve"> doklady SPÚ předložené ke kontrole</w:t>
      </w:r>
      <w:r w:rsidR="000846BB">
        <w:rPr>
          <w:rFonts w:ascii="Calibri" w:hAnsi="Calibri" w:cs="Calibri"/>
          <w:sz w:val="20"/>
          <w:szCs w:val="20"/>
        </w:rPr>
        <w:t>.</w:t>
      </w:r>
    </w:p>
    <w:p w:rsidR="009C000B" w:rsidRPr="00AB3BE4" w:rsidRDefault="009C000B" w:rsidP="00AB3BE4">
      <w:pPr>
        <w:spacing w:line="264" w:lineRule="auto"/>
        <w:rPr>
          <w:rFonts w:ascii="Calibri" w:hAnsi="Calibri" w:cs="Calibri"/>
          <w:szCs w:val="24"/>
        </w:rPr>
      </w:pPr>
    </w:p>
    <w:p w:rsidR="00446E97" w:rsidRPr="00AB3BE4" w:rsidRDefault="00446E97" w:rsidP="00AB3BE4">
      <w:pPr>
        <w:spacing w:line="264" w:lineRule="auto"/>
        <w:rPr>
          <w:rFonts w:ascii="Calibri" w:hAnsi="Calibri" w:cs="Calibri"/>
          <w:szCs w:val="24"/>
        </w:rPr>
      </w:pPr>
      <w:r w:rsidRPr="00AB3BE4">
        <w:rPr>
          <w:rFonts w:ascii="Calibri" w:hAnsi="Calibri" w:cs="Calibri"/>
          <w:szCs w:val="24"/>
        </w:rPr>
        <w:t xml:space="preserve">Kontrolou bylo dále zjištěno, že zaměstnanci SPÚ vykazovali služební jízdy </w:t>
      </w:r>
      <w:r w:rsidR="006A3E0A" w:rsidRPr="00AB3BE4">
        <w:rPr>
          <w:rFonts w:ascii="Calibri" w:hAnsi="Calibri" w:cs="Calibri"/>
          <w:szCs w:val="24"/>
        </w:rPr>
        <w:t xml:space="preserve">i </w:t>
      </w:r>
      <w:r w:rsidRPr="00AB3BE4">
        <w:rPr>
          <w:rFonts w:ascii="Calibri" w:hAnsi="Calibri" w:cs="Calibri"/>
          <w:szCs w:val="24"/>
        </w:rPr>
        <w:t>v</w:t>
      </w:r>
      <w:r w:rsidR="00256B81" w:rsidRPr="00AB3BE4">
        <w:rPr>
          <w:rFonts w:ascii="Calibri" w:hAnsi="Calibri" w:cs="Calibri"/>
          <w:szCs w:val="24"/>
        </w:rPr>
        <w:t xml:space="preserve"> </w:t>
      </w:r>
      <w:r w:rsidRPr="00AB3BE4">
        <w:rPr>
          <w:rFonts w:ascii="Calibri" w:hAnsi="Calibri" w:cs="Calibri"/>
          <w:szCs w:val="24"/>
        </w:rPr>
        <w:t>době, kdy čerpali řádnou dovolenou. Počet těchto případů a ujetých kilometrů je uveden v</w:t>
      </w:r>
      <w:r w:rsidR="00256B81" w:rsidRPr="00AB3BE4">
        <w:rPr>
          <w:rFonts w:ascii="Calibri" w:hAnsi="Calibri" w:cs="Calibri"/>
          <w:szCs w:val="24"/>
        </w:rPr>
        <w:t xml:space="preserve"> </w:t>
      </w:r>
      <w:r w:rsidRPr="00AB3BE4">
        <w:rPr>
          <w:rFonts w:ascii="Calibri" w:hAnsi="Calibri" w:cs="Calibri"/>
          <w:szCs w:val="24"/>
        </w:rPr>
        <w:t>tabulce č</w:t>
      </w:r>
      <w:r w:rsidR="00620386" w:rsidRPr="00AB3BE4">
        <w:rPr>
          <w:rFonts w:ascii="Calibri" w:hAnsi="Calibri" w:cs="Calibri"/>
          <w:szCs w:val="24"/>
        </w:rPr>
        <w:t xml:space="preserve"> 3</w:t>
      </w:r>
      <w:r w:rsidRPr="00AB3BE4">
        <w:rPr>
          <w:rFonts w:ascii="Calibri" w:hAnsi="Calibri" w:cs="Calibri"/>
          <w:szCs w:val="24"/>
        </w:rPr>
        <w:t>.</w:t>
      </w:r>
    </w:p>
    <w:p w:rsidR="009C000B" w:rsidRPr="00AB3BE4" w:rsidRDefault="009C000B" w:rsidP="00AB3BE4">
      <w:pPr>
        <w:spacing w:line="264" w:lineRule="auto"/>
        <w:rPr>
          <w:rFonts w:ascii="Calibri" w:hAnsi="Calibri" w:cs="Calibri"/>
          <w:szCs w:val="24"/>
        </w:rPr>
      </w:pPr>
    </w:p>
    <w:p w:rsidR="00446E97" w:rsidRPr="009C000B" w:rsidRDefault="00446E97" w:rsidP="00AB3BE4">
      <w:pPr>
        <w:spacing w:after="40"/>
        <w:jc w:val="left"/>
        <w:rPr>
          <w:rFonts w:cstheme="minorHAnsi"/>
          <w:b/>
          <w:szCs w:val="24"/>
        </w:rPr>
      </w:pPr>
      <w:r w:rsidRPr="009C000B">
        <w:rPr>
          <w:rFonts w:cstheme="minorHAnsi"/>
          <w:b/>
          <w:szCs w:val="24"/>
        </w:rPr>
        <w:t>Tabulka č.</w:t>
      </w:r>
      <w:r w:rsidR="00620386" w:rsidRPr="009C000B">
        <w:rPr>
          <w:rFonts w:cstheme="minorHAnsi"/>
          <w:b/>
          <w:szCs w:val="24"/>
        </w:rPr>
        <w:t xml:space="preserve"> 3</w:t>
      </w:r>
      <w:r w:rsidR="009C000B" w:rsidRPr="009C000B">
        <w:rPr>
          <w:rFonts w:cstheme="minorHAnsi"/>
          <w:b/>
          <w:color w:val="000000"/>
          <w:szCs w:val="24"/>
        </w:rPr>
        <w:t xml:space="preserve"> – Případy vykazování služebních cest během dovolené</w:t>
      </w:r>
    </w:p>
    <w:tbl>
      <w:tblPr>
        <w:tblStyle w:val="Mkatabulky"/>
        <w:tblW w:w="0" w:type="auto"/>
        <w:tblInd w:w="108" w:type="dxa"/>
        <w:tblLook w:val="04A0" w:firstRow="1" w:lastRow="0" w:firstColumn="1" w:lastColumn="0" w:noHBand="0" w:noVBand="1"/>
      </w:tblPr>
      <w:tblGrid>
        <w:gridCol w:w="6663"/>
        <w:gridCol w:w="2441"/>
      </w:tblGrid>
      <w:tr w:rsidR="00446E97" w:rsidRPr="00AB3BE4" w:rsidTr="00AB3BE4">
        <w:trPr>
          <w:trHeight w:val="227"/>
        </w:trPr>
        <w:tc>
          <w:tcPr>
            <w:tcW w:w="6663" w:type="dxa"/>
            <w:vAlign w:val="center"/>
          </w:tcPr>
          <w:p w:rsidR="00446E97" w:rsidRPr="00AB3BE4" w:rsidRDefault="00DF7AC4" w:rsidP="00AB3BE4">
            <w:pPr>
              <w:shd w:val="clear" w:color="auto" w:fill="FFFFFF"/>
              <w:ind w:left="22"/>
              <w:jc w:val="left"/>
              <w:rPr>
                <w:rFonts w:ascii="Calibri" w:hAnsi="Calibri" w:cs="Calibri"/>
                <w:b/>
                <w:sz w:val="20"/>
                <w:szCs w:val="20"/>
              </w:rPr>
            </w:pPr>
            <w:r>
              <w:rPr>
                <w:rFonts w:ascii="Calibri" w:hAnsi="Calibri" w:cs="Calibri"/>
                <w:color w:val="000000"/>
                <w:sz w:val="20"/>
                <w:szCs w:val="20"/>
              </w:rPr>
              <w:t>P</w:t>
            </w:r>
            <w:r w:rsidR="00446E97" w:rsidRPr="00AB3BE4">
              <w:rPr>
                <w:rFonts w:ascii="Calibri" w:hAnsi="Calibri" w:cs="Calibri"/>
                <w:color w:val="000000"/>
                <w:sz w:val="20"/>
                <w:szCs w:val="20"/>
              </w:rPr>
              <w:t>očet případů</w:t>
            </w:r>
          </w:p>
        </w:tc>
        <w:tc>
          <w:tcPr>
            <w:tcW w:w="2441" w:type="dxa"/>
            <w:vAlign w:val="center"/>
          </w:tcPr>
          <w:p w:rsidR="00446E97" w:rsidRPr="00AB3BE4" w:rsidRDefault="00446E97" w:rsidP="00AB3BE4">
            <w:pPr>
              <w:shd w:val="clear" w:color="auto" w:fill="FFFFFF"/>
              <w:ind w:right="349"/>
              <w:jc w:val="right"/>
              <w:rPr>
                <w:rFonts w:ascii="Calibri" w:hAnsi="Calibri" w:cs="Calibri"/>
                <w:b/>
                <w:sz w:val="20"/>
                <w:szCs w:val="20"/>
              </w:rPr>
            </w:pPr>
            <w:r w:rsidRPr="00AB3BE4">
              <w:rPr>
                <w:rFonts w:ascii="Calibri" w:hAnsi="Calibri" w:cs="Calibri"/>
                <w:color w:val="000000"/>
                <w:sz w:val="20"/>
                <w:szCs w:val="20"/>
              </w:rPr>
              <w:t>29</w:t>
            </w:r>
          </w:p>
        </w:tc>
      </w:tr>
      <w:tr w:rsidR="00446E97" w:rsidRPr="00AB3BE4" w:rsidTr="00AB3BE4">
        <w:trPr>
          <w:trHeight w:val="227"/>
        </w:trPr>
        <w:tc>
          <w:tcPr>
            <w:tcW w:w="6663" w:type="dxa"/>
            <w:vAlign w:val="center"/>
          </w:tcPr>
          <w:p w:rsidR="00446E97" w:rsidRPr="00AB3BE4" w:rsidRDefault="00DF7AC4" w:rsidP="00AB3BE4">
            <w:pPr>
              <w:shd w:val="clear" w:color="auto" w:fill="FFFFFF"/>
              <w:ind w:left="22"/>
              <w:jc w:val="left"/>
              <w:rPr>
                <w:rFonts w:ascii="Calibri" w:hAnsi="Calibri" w:cs="Calibri"/>
                <w:b/>
                <w:sz w:val="20"/>
                <w:szCs w:val="20"/>
              </w:rPr>
            </w:pPr>
            <w:r>
              <w:rPr>
                <w:rFonts w:ascii="Calibri" w:hAnsi="Calibri" w:cs="Calibri"/>
                <w:color w:val="000000"/>
                <w:spacing w:val="-1"/>
                <w:sz w:val="20"/>
                <w:szCs w:val="20"/>
              </w:rPr>
              <w:t>P</w:t>
            </w:r>
            <w:r w:rsidR="00446E97" w:rsidRPr="00AB3BE4">
              <w:rPr>
                <w:rFonts w:ascii="Calibri" w:hAnsi="Calibri" w:cs="Calibri"/>
                <w:color w:val="000000"/>
                <w:spacing w:val="-1"/>
                <w:sz w:val="20"/>
                <w:szCs w:val="20"/>
              </w:rPr>
              <w:t>očet zaměstnanců, kteří vykázali služební jízdu v den dovolené</w:t>
            </w:r>
          </w:p>
        </w:tc>
        <w:tc>
          <w:tcPr>
            <w:tcW w:w="2441" w:type="dxa"/>
            <w:vAlign w:val="center"/>
          </w:tcPr>
          <w:p w:rsidR="00446E97" w:rsidRPr="00AB3BE4" w:rsidRDefault="00446E97" w:rsidP="00AB3BE4">
            <w:pPr>
              <w:shd w:val="clear" w:color="auto" w:fill="FFFFFF"/>
              <w:ind w:right="349"/>
              <w:jc w:val="right"/>
              <w:rPr>
                <w:rFonts w:ascii="Calibri" w:hAnsi="Calibri" w:cs="Calibri"/>
                <w:b/>
                <w:sz w:val="20"/>
                <w:szCs w:val="20"/>
              </w:rPr>
            </w:pPr>
            <w:r w:rsidRPr="00AB3BE4">
              <w:rPr>
                <w:rFonts w:ascii="Calibri" w:hAnsi="Calibri" w:cs="Calibri"/>
                <w:color w:val="000000"/>
                <w:sz w:val="20"/>
                <w:szCs w:val="20"/>
              </w:rPr>
              <w:t>9</w:t>
            </w:r>
          </w:p>
        </w:tc>
      </w:tr>
      <w:tr w:rsidR="00446E97" w:rsidRPr="00AB3BE4" w:rsidTr="00AB3BE4">
        <w:trPr>
          <w:trHeight w:val="227"/>
        </w:trPr>
        <w:tc>
          <w:tcPr>
            <w:tcW w:w="6663" w:type="dxa"/>
            <w:vAlign w:val="center"/>
          </w:tcPr>
          <w:p w:rsidR="00446E97" w:rsidRPr="00AB3BE4" w:rsidRDefault="00DF7AC4" w:rsidP="00AB3BE4">
            <w:pPr>
              <w:shd w:val="clear" w:color="auto" w:fill="FFFFFF"/>
              <w:ind w:left="14"/>
              <w:jc w:val="left"/>
              <w:rPr>
                <w:rFonts w:ascii="Calibri" w:hAnsi="Calibri" w:cs="Calibri"/>
                <w:b/>
                <w:sz w:val="20"/>
                <w:szCs w:val="20"/>
              </w:rPr>
            </w:pPr>
            <w:r>
              <w:rPr>
                <w:rFonts w:ascii="Calibri" w:hAnsi="Calibri" w:cs="Calibri"/>
                <w:color w:val="000000"/>
                <w:sz w:val="20"/>
                <w:szCs w:val="20"/>
              </w:rPr>
              <w:t>S</w:t>
            </w:r>
            <w:r w:rsidR="00446E97" w:rsidRPr="00AB3BE4">
              <w:rPr>
                <w:rFonts w:ascii="Calibri" w:hAnsi="Calibri" w:cs="Calibri"/>
                <w:color w:val="000000"/>
                <w:sz w:val="20"/>
                <w:szCs w:val="20"/>
              </w:rPr>
              <w:t>lužebně ujeto během dovolené (km)</w:t>
            </w:r>
          </w:p>
        </w:tc>
        <w:tc>
          <w:tcPr>
            <w:tcW w:w="2441" w:type="dxa"/>
            <w:vAlign w:val="center"/>
          </w:tcPr>
          <w:p w:rsidR="00446E97" w:rsidRPr="00AB3BE4" w:rsidRDefault="00446E97" w:rsidP="00AB3BE4">
            <w:pPr>
              <w:shd w:val="clear" w:color="auto" w:fill="FFFFFF"/>
              <w:ind w:right="349"/>
              <w:jc w:val="right"/>
              <w:rPr>
                <w:rFonts w:ascii="Calibri" w:hAnsi="Calibri" w:cs="Calibri"/>
                <w:b/>
                <w:sz w:val="20"/>
                <w:szCs w:val="20"/>
              </w:rPr>
            </w:pPr>
            <w:r w:rsidRPr="00AB3BE4">
              <w:rPr>
                <w:rFonts w:ascii="Calibri" w:hAnsi="Calibri" w:cs="Calibri"/>
                <w:color w:val="000000"/>
                <w:sz w:val="20"/>
                <w:szCs w:val="20"/>
              </w:rPr>
              <w:t>4 676</w:t>
            </w:r>
          </w:p>
        </w:tc>
      </w:tr>
    </w:tbl>
    <w:p w:rsidR="00446E97" w:rsidRPr="00AB3BE4" w:rsidRDefault="00446E97" w:rsidP="00AB3BE4">
      <w:pPr>
        <w:spacing w:before="40"/>
        <w:rPr>
          <w:rFonts w:cstheme="minorHAnsi"/>
          <w:sz w:val="20"/>
          <w:szCs w:val="20"/>
        </w:rPr>
      </w:pPr>
      <w:r w:rsidRPr="00A1257C">
        <w:rPr>
          <w:rFonts w:cstheme="minorHAnsi"/>
          <w:b/>
          <w:sz w:val="20"/>
          <w:szCs w:val="20"/>
        </w:rPr>
        <w:t>Zdroj:</w:t>
      </w:r>
      <w:r w:rsidRPr="00B20D83">
        <w:rPr>
          <w:rFonts w:cstheme="minorHAnsi"/>
          <w:i/>
          <w:sz w:val="20"/>
          <w:szCs w:val="20"/>
        </w:rPr>
        <w:t xml:space="preserve"> </w:t>
      </w:r>
      <w:r w:rsidR="002B4522">
        <w:rPr>
          <w:rFonts w:cstheme="minorHAnsi"/>
          <w:sz w:val="20"/>
          <w:szCs w:val="20"/>
        </w:rPr>
        <w:t>v</w:t>
      </w:r>
      <w:r w:rsidRPr="00B20D83">
        <w:rPr>
          <w:rFonts w:cstheme="minorHAnsi"/>
          <w:sz w:val="20"/>
          <w:szCs w:val="20"/>
        </w:rPr>
        <w:t>ýkazy SPÚ</w:t>
      </w:r>
      <w:r w:rsidR="000846BB">
        <w:rPr>
          <w:rFonts w:cstheme="minorHAnsi"/>
          <w:sz w:val="20"/>
          <w:szCs w:val="20"/>
        </w:rPr>
        <w:t>.</w:t>
      </w:r>
    </w:p>
    <w:p w:rsidR="00446E97" w:rsidRPr="00AB3BE4" w:rsidRDefault="00446E97" w:rsidP="00AB3BE4">
      <w:pPr>
        <w:spacing w:line="264" w:lineRule="auto"/>
        <w:rPr>
          <w:rFonts w:ascii="Calibri" w:hAnsi="Calibri" w:cs="Calibri"/>
          <w:szCs w:val="24"/>
        </w:rPr>
      </w:pPr>
    </w:p>
    <w:p w:rsidR="00201B9D" w:rsidRPr="00AB3BE4" w:rsidRDefault="00201B9D" w:rsidP="00AB3BE4">
      <w:pPr>
        <w:spacing w:line="264" w:lineRule="auto"/>
        <w:rPr>
          <w:rFonts w:ascii="Calibri" w:hAnsi="Calibri" w:cs="Calibri"/>
          <w:bCs/>
          <w:szCs w:val="24"/>
        </w:rPr>
      </w:pPr>
      <w:r w:rsidRPr="00AB3BE4">
        <w:rPr>
          <w:rFonts w:ascii="Calibri" w:hAnsi="Calibri" w:cs="Calibri"/>
          <w:bCs/>
          <w:szCs w:val="24"/>
        </w:rPr>
        <w:t>SPÚ nepostupoval při přenechání 43 motorových vozidel do užívání zaměstnancům v souladu s ustanovením § 27 odst. 3 a § 27 odst. 4 zákona č. 219/2000 Sb.</w:t>
      </w:r>
      <w:r w:rsidR="00DF7AC4">
        <w:rPr>
          <w:rFonts w:ascii="Calibri" w:hAnsi="Calibri" w:cs="Calibri"/>
          <w:bCs/>
          <w:szCs w:val="24"/>
        </w:rPr>
        <w:t>, když</w:t>
      </w:r>
      <w:r w:rsidRPr="00AB3BE4">
        <w:rPr>
          <w:rFonts w:ascii="Calibri" w:hAnsi="Calibri" w:cs="Calibri"/>
          <w:bCs/>
          <w:szCs w:val="24"/>
        </w:rPr>
        <w:t xml:space="preserve"> bezúplatně poskytoval svým zaměstnancům služební vozidla k soukromým účelům, přestože nebyla SPÚ udělena výjimka MF podle ustanovení § 27 odst. 4 zákona č.</w:t>
      </w:r>
      <w:r w:rsidR="00256B81" w:rsidRPr="00AB3BE4">
        <w:rPr>
          <w:rFonts w:ascii="Calibri" w:hAnsi="Calibri" w:cs="Calibri"/>
          <w:bCs/>
          <w:szCs w:val="24"/>
        </w:rPr>
        <w:t xml:space="preserve"> </w:t>
      </w:r>
      <w:r w:rsidRPr="00AB3BE4">
        <w:rPr>
          <w:rFonts w:ascii="Calibri" w:hAnsi="Calibri" w:cs="Calibri"/>
          <w:bCs/>
          <w:szCs w:val="24"/>
        </w:rPr>
        <w:t>219/2000 Sb.</w:t>
      </w:r>
    </w:p>
    <w:p w:rsidR="00F6199D" w:rsidRPr="00AB3BE4" w:rsidRDefault="00F6199D" w:rsidP="00AB3BE4">
      <w:pPr>
        <w:spacing w:line="264" w:lineRule="auto"/>
        <w:rPr>
          <w:rFonts w:ascii="Calibri" w:hAnsi="Calibri" w:cs="Calibri"/>
          <w:szCs w:val="24"/>
        </w:rPr>
      </w:pPr>
    </w:p>
    <w:p w:rsidR="00446E97" w:rsidRPr="00AB3BE4" w:rsidRDefault="00446E97" w:rsidP="00AB3BE4">
      <w:pPr>
        <w:spacing w:line="264" w:lineRule="auto"/>
        <w:rPr>
          <w:rFonts w:ascii="Calibri" w:hAnsi="Calibri" w:cs="Calibri"/>
          <w:szCs w:val="24"/>
        </w:rPr>
      </w:pPr>
      <w:r w:rsidRPr="00AB3BE4">
        <w:rPr>
          <w:rFonts w:ascii="Calibri" w:hAnsi="Calibri" w:cs="Calibri"/>
          <w:szCs w:val="24"/>
        </w:rPr>
        <w:t>SPÚ nepostupoval v</w:t>
      </w:r>
      <w:r w:rsidR="00256B81" w:rsidRPr="00AB3BE4">
        <w:rPr>
          <w:rFonts w:ascii="Calibri" w:hAnsi="Calibri" w:cs="Calibri"/>
          <w:szCs w:val="24"/>
        </w:rPr>
        <w:t xml:space="preserve"> </w:t>
      </w:r>
      <w:r w:rsidRPr="00AB3BE4">
        <w:rPr>
          <w:rFonts w:ascii="Calibri" w:hAnsi="Calibri" w:cs="Calibri"/>
          <w:szCs w:val="24"/>
        </w:rPr>
        <w:t>souladu s</w:t>
      </w:r>
      <w:r w:rsidR="00256B81" w:rsidRPr="00AB3BE4">
        <w:rPr>
          <w:rFonts w:ascii="Calibri" w:hAnsi="Calibri" w:cs="Calibri"/>
          <w:szCs w:val="24"/>
        </w:rPr>
        <w:t xml:space="preserve"> </w:t>
      </w:r>
      <w:r w:rsidRPr="00AB3BE4">
        <w:rPr>
          <w:rFonts w:ascii="Calibri" w:hAnsi="Calibri" w:cs="Calibri"/>
          <w:szCs w:val="24"/>
        </w:rPr>
        <w:t>ustanovením § 25 odst. 1 písm. b) zákona č. 320/2001 Sb.</w:t>
      </w:r>
      <w:r w:rsidRPr="00AB3BE4">
        <w:rPr>
          <w:rStyle w:val="Znakapoznpodarou"/>
          <w:rFonts w:ascii="Calibri" w:hAnsi="Calibri" w:cs="Calibri"/>
          <w:szCs w:val="24"/>
          <w:lang w:eastAsia="cs-CZ"/>
        </w:rPr>
        <w:footnoteReference w:id="12"/>
      </w:r>
      <w:r w:rsidRPr="00AB3BE4">
        <w:rPr>
          <w:rFonts w:ascii="Calibri" w:hAnsi="Calibri" w:cs="Calibri"/>
          <w:szCs w:val="24"/>
        </w:rPr>
        <w:t>, neboť nezavedl vnitřní kontrolní systém, který by byl v</w:t>
      </w:r>
      <w:r w:rsidR="00256B81" w:rsidRPr="00AB3BE4">
        <w:rPr>
          <w:rFonts w:ascii="Calibri" w:hAnsi="Calibri" w:cs="Calibri"/>
          <w:szCs w:val="24"/>
        </w:rPr>
        <w:t xml:space="preserve"> </w:t>
      </w:r>
      <w:r w:rsidRPr="00AB3BE4">
        <w:rPr>
          <w:rFonts w:ascii="Calibri" w:hAnsi="Calibri" w:cs="Calibri"/>
          <w:szCs w:val="24"/>
        </w:rPr>
        <w:t>kontrolovaném období způsobilý zjišťovat, vyhodnocovat a minimalizovat provozní rizika SPÚ plynoucí z</w:t>
      </w:r>
      <w:r w:rsidR="00256B81" w:rsidRPr="00AB3BE4">
        <w:rPr>
          <w:rFonts w:ascii="Calibri" w:hAnsi="Calibri" w:cs="Calibri"/>
          <w:szCs w:val="24"/>
        </w:rPr>
        <w:t xml:space="preserve"> </w:t>
      </w:r>
      <w:r w:rsidRPr="00AB3BE4">
        <w:rPr>
          <w:rFonts w:ascii="Calibri" w:hAnsi="Calibri" w:cs="Calibri"/>
          <w:szCs w:val="24"/>
        </w:rPr>
        <w:t xml:space="preserve">využívání motorových vozidel zaměstnanci SPÚ </w:t>
      </w:r>
      <w:r w:rsidR="00EA1701">
        <w:rPr>
          <w:rFonts w:ascii="Calibri" w:hAnsi="Calibri" w:cs="Calibri"/>
          <w:szCs w:val="24"/>
        </w:rPr>
        <w:t>i </w:t>
      </w:r>
      <w:r w:rsidRPr="00AB3BE4">
        <w:rPr>
          <w:rFonts w:ascii="Calibri" w:hAnsi="Calibri" w:cs="Calibri"/>
          <w:szCs w:val="24"/>
        </w:rPr>
        <w:t xml:space="preserve">pro soukromé účely. Vnitřní kontrolní systém SPÚ tak nezjistil </w:t>
      </w:r>
      <w:r w:rsidRPr="00AB3BE4">
        <w:rPr>
          <w:rFonts w:ascii="Calibri" w:hAnsi="Calibri" w:cs="Calibri"/>
          <w:szCs w:val="24"/>
        </w:rPr>
        <w:lastRenderedPageBreak/>
        <w:t>skutečnost, že ve výše uvedených případech vykazovali zaměstnanci SPÚ služební jízdy v době čerpání řádné dovolené.</w:t>
      </w:r>
    </w:p>
    <w:p w:rsidR="00F6199D" w:rsidRPr="00AB3BE4" w:rsidRDefault="00F6199D" w:rsidP="00AB3BE4">
      <w:pPr>
        <w:spacing w:line="264" w:lineRule="auto"/>
        <w:rPr>
          <w:rFonts w:ascii="Calibri" w:hAnsi="Calibri" w:cs="Calibri"/>
          <w:bCs/>
          <w:szCs w:val="24"/>
        </w:rPr>
      </w:pPr>
    </w:p>
    <w:p w:rsidR="00446E97" w:rsidRPr="00AB3BE4" w:rsidRDefault="00446E97" w:rsidP="00AB3BE4">
      <w:pPr>
        <w:spacing w:line="264" w:lineRule="auto"/>
        <w:rPr>
          <w:rFonts w:ascii="Calibri" w:hAnsi="Calibri" w:cs="Calibri"/>
          <w:bCs/>
          <w:szCs w:val="24"/>
        </w:rPr>
      </w:pPr>
      <w:r w:rsidRPr="00AB3BE4">
        <w:rPr>
          <w:rFonts w:ascii="Calibri" w:hAnsi="Calibri" w:cs="Calibri"/>
          <w:bCs/>
          <w:szCs w:val="24"/>
        </w:rPr>
        <w:t>SPÚ nepostupoval v</w:t>
      </w:r>
      <w:r w:rsidR="00256B81" w:rsidRPr="00AB3BE4">
        <w:rPr>
          <w:rFonts w:ascii="Calibri" w:hAnsi="Calibri" w:cs="Calibri"/>
          <w:bCs/>
          <w:szCs w:val="24"/>
        </w:rPr>
        <w:t xml:space="preserve"> </w:t>
      </w:r>
      <w:r w:rsidRPr="00AB3BE4">
        <w:rPr>
          <w:rFonts w:ascii="Calibri" w:hAnsi="Calibri" w:cs="Calibri"/>
          <w:bCs/>
          <w:szCs w:val="24"/>
        </w:rPr>
        <w:t>souladu s</w:t>
      </w:r>
      <w:r w:rsidR="00256B81" w:rsidRPr="00AB3BE4">
        <w:rPr>
          <w:rFonts w:ascii="Calibri" w:hAnsi="Calibri" w:cs="Calibri"/>
          <w:bCs/>
          <w:szCs w:val="24"/>
        </w:rPr>
        <w:t xml:space="preserve"> </w:t>
      </w:r>
      <w:r w:rsidRPr="00AB3BE4">
        <w:rPr>
          <w:rFonts w:ascii="Calibri" w:hAnsi="Calibri" w:cs="Calibri"/>
          <w:bCs/>
          <w:szCs w:val="24"/>
        </w:rPr>
        <w:t>ustanovením § 14 odst. 1 zákona č. 219/2000 Sb., neboť neodůvodněně snížil výnos z</w:t>
      </w:r>
      <w:r w:rsidR="00256B81" w:rsidRPr="00AB3BE4">
        <w:rPr>
          <w:rFonts w:ascii="Calibri" w:hAnsi="Calibri" w:cs="Calibri"/>
          <w:bCs/>
          <w:szCs w:val="24"/>
        </w:rPr>
        <w:t xml:space="preserve"> </w:t>
      </w:r>
      <w:r w:rsidRPr="00AB3BE4">
        <w:rPr>
          <w:rFonts w:ascii="Calibri" w:hAnsi="Calibri" w:cs="Calibri"/>
          <w:bCs/>
          <w:szCs w:val="24"/>
        </w:rPr>
        <w:t>majetku tím, že bezúplatně poskytoval svým zaměstnancům služební vozidla k soukromým účelům.</w:t>
      </w:r>
    </w:p>
    <w:p w:rsidR="00F6199D" w:rsidRPr="00AB3BE4" w:rsidRDefault="00F6199D" w:rsidP="00AB3BE4">
      <w:pPr>
        <w:spacing w:line="264" w:lineRule="auto"/>
        <w:rPr>
          <w:rFonts w:ascii="Calibri" w:hAnsi="Calibri" w:cs="Calibri"/>
          <w:bCs/>
          <w:szCs w:val="24"/>
        </w:rPr>
      </w:pPr>
    </w:p>
    <w:p w:rsidR="00446E97" w:rsidRPr="00AB3BE4" w:rsidRDefault="00446E97" w:rsidP="00AB3BE4">
      <w:pPr>
        <w:spacing w:line="264" w:lineRule="auto"/>
        <w:rPr>
          <w:rFonts w:ascii="Calibri" w:hAnsi="Calibri" w:cs="Calibri"/>
          <w:szCs w:val="24"/>
        </w:rPr>
      </w:pPr>
      <w:r w:rsidRPr="00AB3BE4">
        <w:rPr>
          <w:rFonts w:ascii="Calibri" w:hAnsi="Calibri" w:cs="Calibri"/>
          <w:bCs/>
          <w:szCs w:val="24"/>
        </w:rPr>
        <w:t>SPÚ výše uvedeným postupem dále porušil ustanovení § 45 odst. 2 zákona č. 218/2000 Sb.</w:t>
      </w:r>
      <w:r w:rsidRPr="00AB3BE4">
        <w:rPr>
          <w:rStyle w:val="Znakapoznpodarou"/>
          <w:rFonts w:ascii="Calibri" w:hAnsi="Calibri" w:cs="Calibri"/>
          <w:bCs/>
          <w:szCs w:val="24"/>
        </w:rPr>
        <w:footnoteReference w:id="13"/>
      </w:r>
      <w:r w:rsidRPr="00AB3BE4">
        <w:rPr>
          <w:rFonts w:ascii="Calibri" w:hAnsi="Calibri" w:cs="Calibri"/>
          <w:bCs/>
          <w:szCs w:val="24"/>
        </w:rPr>
        <w:t>, neboť nedbal, aby plnil určené úkoly nejhospodárnějším způsobem</w:t>
      </w:r>
      <w:r w:rsidRPr="00AB3BE4">
        <w:rPr>
          <w:rFonts w:ascii="Calibri" w:hAnsi="Calibri" w:cs="Calibri"/>
          <w:szCs w:val="24"/>
        </w:rPr>
        <w:t xml:space="preserve"> a peněžní prostředky, kterými disponuje, použil k</w:t>
      </w:r>
      <w:r w:rsidR="00256B81" w:rsidRPr="00AB3BE4">
        <w:rPr>
          <w:rFonts w:ascii="Calibri" w:hAnsi="Calibri" w:cs="Calibri"/>
          <w:szCs w:val="24"/>
        </w:rPr>
        <w:t xml:space="preserve"> </w:t>
      </w:r>
      <w:r w:rsidRPr="00AB3BE4">
        <w:rPr>
          <w:rFonts w:ascii="Calibri" w:hAnsi="Calibri" w:cs="Calibri"/>
          <w:szCs w:val="24"/>
        </w:rPr>
        <w:t>účelům, na které nejsou určeny</w:t>
      </w:r>
      <w:r w:rsidR="00DF7AC4">
        <w:rPr>
          <w:rFonts w:ascii="Calibri" w:hAnsi="Calibri" w:cs="Calibri"/>
          <w:szCs w:val="24"/>
        </w:rPr>
        <w:t>,</w:t>
      </w:r>
      <w:r w:rsidRPr="00AB3BE4">
        <w:rPr>
          <w:rFonts w:ascii="Calibri" w:hAnsi="Calibri" w:cs="Calibri"/>
          <w:szCs w:val="24"/>
        </w:rPr>
        <w:t xml:space="preserve"> tím, že hradil v</w:t>
      </w:r>
      <w:r w:rsidR="00256B81" w:rsidRPr="00AB3BE4">
        <w:rPr>
          <w:rFonts w:ascii="Calibri" w:hAnsi="Calibri" w:cs="Calibri"/>
          <w:szCs w:val="24"/>
        </w:rPr>
        <w:t xml:space="preserve"> </w:t>
      </w:r>
      <w:r w:rsidRPr="00AB3BE4">
        <w:rPr>
          <w:rFonts w:ascii="Calibri" w:hAnsi="Calibri" w:cs="Calibri"/>
          <w:szCs w:val="24"/>
        </w:rPr>
        <w:t>plné výši náklady na opravy a udržování motorových vozidel, která byla v</w:t>
      </w:r>
      <w:r w:rsidR="00256B81" w:rsidRPr="00AB3BE4">
        <w:rPr>
          <w:rFonts w:ascii="Calibri" w:hAnsi="Calibri" w:cs="Calibri"/>
          <w:szCs w:val="24"/>
        </w:rPr>
        <w:t xml:space="preserve"> </w:t>
      </w:r>
      <w:r w:rsidRPr="00AB3BE4">
        <w:rPr>
          <w:rFonts w:ascii="Calibri" w:hAnsi="Calibri" w:cs="Calibri"/>
          <w:szCs w:val="24"/>
        </w:rPr>
        <w:t>kontrolovaném období z</w:t>
      </w:r>
      <w:r w:rsidR="00256B81" w:rsidRPr="00AB3BE4">
        <w:rPr>
          <w:rFonts w:ascii="Calibri" w:hAnsi="Calibri" w:cs="Calibri"/>
          <w:szCs w:val="24"/>
        </w:rPr>
        <w:t xml:space="preserve"> </w:t>
      </w:r>
      <w:r w:rsidRPr="00AB3BE4">
        <w:rPr>
          <w:rFonts w:ascii="Calibri" w:hAnsi="Calibri" w:cs="Calibri"/>
          <w:szCs w:val="24"/>
        </w:rPr>
        <w:t>36 % využívána pro soukromé potřeby zaměstnanců, a</w:t>
      </w:r>
      <w:r w:rsidR="00DF7AC4">
        <w:rPr>
          <w:rFonts w:ascii="Calibri" w:hAnsi="Calibri" w:cs="Calibri"/>
          <w:szCs w:val="24"/>
        </w:rPr>
        <w:t> dále</w:t>
      </w:r>
      <w:r w:rsidRPr="00AB3BE4">
        <w:rPr>
          <w:rFonts w:ascii="Calibri" w:hAnsi="Calibri" w:cs="Calibri"/>
          <w:szCs w:val="24"/>
        </w:rPr>
        <w:t xml:space="preserve"> tím, že za zaměstnance uhradil pohonné hmoty ve výše uvedených případech, ve kterých zaměstnanci vykazovali služební jízdy v rozsahu 4 676 km v</w:t>
      </w:r>
      <w:r w:rsidR="00256B81" w:rsidRPr="00AB3BE4">
        <w:rPr>
          <w:rFonts w:ascii="Calibri" w:hAnsi="Calibri" w:cs="Calibri"/>
          <w:szCs w:val="24"/>
        </w:rPr>
        <w:t xml:space="preserve"> </w:t>
      </w:r>
      <w:r w:rsidRPr="00AB3BE4">
        <w:rPr>
          <w:rFonts w:ascii="Calibri" w:hAnsi="Calibri" w:cs="Calibri"/>
          <w:szCs w:val="24"/>
        </w:rPr>
        <w:t xml:space="preserve">době, kdy čerpali řádnou dovolenou. </w:t>
      </w:r>
      <w:r w:rsidR="006A3E0A" w:rsidRPr="00AB3BE4">
        <w:rPr>
          <w:rFonts w:ascii="Calibri" w:hAnsi="Calibri" w:cs="Calibri"/>
          <w:szCs w:val="24"/>
        </w:rPr>
        <w:t xml:space="preserve">Výše uvedené skutečnosti naznačují, že </w:t>
      </w:r>
      <w:r w:rsidRPr="00AB3BE4">
        <w:rPr>
          <w:rFonts w:ascii="Calibri" w:hAnsi="Calibri" w:cs="Calibri"/>
          <w:szCs w:val="24"/>
        </w:rPr>
        <w:t xml:space="preserve">SPÚ </w:t>
      </w:r>
      <w:r w:rsidR="006A3E0A" w:rsidRPr="00AB3BE4">
        <w:rPr>
          <w:rFonts w:ascii="Calibri" w:hAnsi="Calibri" w:cs="Calibri"/>
          <w:szCs w:val="24"/>
        </w:rPr>
        <w:t xml:space="preserve">se mohl dopustit </w:t>
      </w:r>
      <w:r w:rsidRPr="00AB3BE4">
        <w:rPr>
          <w:rFonts w:ascii="Calibri" w:hAnsi="Calibri" w:cs="Calibri"/>
          <w:szCs w:val="24"/>
        </w:rPr>
        <w:t>poruš</w:t>
      </w:r>
      <w:r w:rsidR="006A3E0A" w:rsidRPr="00AB3BE4">
        <w:rPr>
          <w:rFonts w:ascii="Calibri" w:hAnsi="Calibri" w:cs="Calibri"/>
          <w:szCs w:val="24"/>
        </w:rPr>
        <w:t>ení</w:t>
      </w:r>
      <w:r w:rsidRPr="00AB3BE4">
        <w:rPr>
          <w:rFonts w:ascii="Calibri" w:hAnsi="Calibri" w:cs="Calibri"/>
          <w:szCs w:val="24"/>
        </w:rPr>
        <w:t xml:space="preserve"> rozpočtov</w:t>
      </w:r>
      <w:r w:rsidR="006A3E0A" w:rsidRPr="00AB3BE4">
        <w:rPr>
          <w:rFonts w:ascii="Calibri" w:hAnsi="Calibri" w:cs="Calibri"/>
          <w:szCs w:val="24"/>
        </w:rPr>
        <w:t>é</w:t>
      </w:r>
      <w:r w:rsidRPr="00AB3BE4">
        <w:rPr>
          <w:rFonts w:ascii="Calibri" w:hAnsi="Calibri" w:cs="Calibri"/>
          <w:szCs w:val="24"/>
        </w:rPr>
        <w:t xml:space="preserve"> káz</w:t>
      </w:r>
      <w:r w:rsidR="006A3E0A" w:rsidRPr="00AB3BE4">
        <w:rPr>
          <w:rFonts w:ascii="Calibri" w:hAnsi="Calibri" w:cs="Calibri"/>
          <w:szCs w:val="24"/>
        </w:rPr>
        <w:t>ně</w:t>
      </w:r>
      <w:r w:rsidR="002A1009" w:rsidRPr="00AB3BE4">
        <w:rPr>
          <w:rFonts w:ascii="Calibri" w:hAnsi="Calibri" w:cs="Calibri"/>
          <w:szCs w:val="24"/>
        </w:rPr>
        <w:t>.</w:t>
      </w:r>
      <w:r w:rsidR="006A3E0A" w:rsidRPr="00AB3BE4">
        <w:rPr>
          <w:rFonts w:ascii="Calibri" w:hAnsi="Calibri" w:cs="Calibri"/>
          <w:szCs w:val="24"/>
        </w:rPr>
        <w:t xml:space="preserve"> </w:t>
      </w:r>
    </w:p>
    <w:p w:rsidR="006A3E0A" w:rsidRPr="00AB3BE4" w:rsidRDefault="006A3E0A" w:rsidP="00AB3BE4">
      <w:pPr>
        <w:spacing w:line="264" w:lineRule="auto"/>
        <w:rPr>
          <w:rFonts w:ascii="Calibri" w:hAnsi="Calibri" w:cs="Calibri"/>
          <w:szCs w:val="24"/>
        </w:rPr>
      </w:pPr>
    </w:p>
    <w:p w:rsidR="007B0B1F" w:rsidRPr="00AB3BE4" w:rsidRDefault="00AB3BE4" w:rsidP="00AB3BE4">
      <w:pPr>
        <w:pStyle w:val="Nadpis2"/>
        <w:numPr>
          <w:ilvl w:val="0"/>
          <w:numId w:val="0"/>
        </w:numPr>
        <w:spacing w:before="0" w:line="264" w:lineRule="auto"/>
        <w:rPr>
          <w:rFonts w:ascii="Calibri" w:hAnsi="Calibri" w:cs="Calibri"/>
          <w:sz w:val="24"/>
          <w:szCs w:val="24"/>
        </w:rPr>
      </w:pPr>
      <w:r>
        <w:rPr>
          <w:rFonts w:ascii="Calibri" w:hAnsi="Calibri" w:cs="Calibri"/>
          <w:sz w:val="24"/>
          <w:szCs w:val="24"/>
        </w:rPr>
        <w:t xml:space="preserve">6. </w:t>
      </w:r>
      <w:r w:rsidR="007B0B1F" w:rsidRPr="00AB3BE4">
        <w:rPr>
          <w:rFonts w:ascii="Calibri" w:hAnsi="Calibri" w:cs="Calibri"/>
          <w:sz w:val="24"/>
          <w:szCs w:val="24"/>
        </w:rPr>
        <w:t>Rezerva státní půdy</w:t>
      </w:r>
    </w:p>
    <w:p w:rsidR="00F6199D" w:rsidRPr="00AB3BE4" w:rsidRDefault="00F6199D" w:rsidP="00AB3BE4">
      <w:pPr>
        <w:spacing w:line="264" w:lineRule="auto"/>
        <w:rPr>
          <w:rFonts w:ascii="Calibri" w:hAnsi="Calibri" w:cs="Calibri"/>
          <w:szCs w:val="24"/>
        </w:rPr>
      </w:pPr>
    </w:p>
    <w:p w:rsidR="00F23475" w:rsidRPr="00AB3BE4" w:rsidRDefault="00F23475" w:rsidP="00AB3BE4">
      <w:pPr>
        <w:spacing w:line="264" w:lineRule="auto"/>
        <w:rPr>
          <w:rFonts w:ascii="Calibri" w:hAnsi="Calibri" w:cs="Calibri"/>
          <w:szCs w:val="24"/>
        </w:rPr>
      </w:pPr>
      <w:r w:rsidRPr="00AB3BE4">
        <w:rPr>
          <w:rFonts w:ascii="Calibri" w:hAnsi="Calibri" w:cs="Calibri"/>
          <w:szCs w:val="24"/>
        </w:rPr>
        <w:t>PF</w:t>
      </w:r>
      <w:r w:rsidR="00DF7AC4">
        <w:rPr>
          <w:rFonts w:ascii="Calibri" w:hAnsi="Calibri" w:cs="Calibri"/>
          <w:szCs w:val="24"/>
        </w:rPr>
        <w:t>,</w:t>
      </w:r>
      <w:r w:rsidRPr="00AB3BE4">
        <w:rPr>
          <w:rFonts w:ascii="Calibri" w:hAnsi="Calibri" w:cs="Calibri"/>
          <w:szCs w:val="24"/>
        </w:rPr>
        <w:t xml:space="preserve"> resp. SPÚ</w:t>
      </w:r>
      <w:r w:rsidR="00DF7AC4">
        <w:rPr>
          <w:rFonts w:ascii="Calibri" w:hAnsi="Calibri" w:cs="Calibri"/>
          <w:szCs w:val="24"/>
        </w:rPr>
        <w:t>,</w:t>
      </w:r>
      <w:r w:rsidRPr="00AB3BE4">
        <w:rPr>
          <w:rFonts w:ascii="Calibri" w:hAnsi="Calibri" w:cs="Calibri"/>
          <w:szCs w:val="24"/>
        </w:rPr>
        <w:t xml:space="preserve"> přev</w:t>
      </w:r>
      <w:r w:rsidR="00334F78" w:rsidRPr="00AB3BE4">
        <w:rPr>
          <w:rFonts w:ascii="Calibri" w:hAnsi="Calibri" w:cs="Calibri"/>
          <w:szCs w:val="24"/>
        </w:rPr>
        <w:t>edl podle zákona č. 95/1999 Sb.</w:t>
      </w:r>
      <w:r w:rsidRPr="00AB3BE4">
        <w:rPr>
          <w:rFonts w:ascii="Calibri" w:hAnsi="Calibri" w:cs="Calibri"/>
          <w:szCs w:val="24"/>
        </w:rPr>
        <w:t xml:space="preserve"> a zákona č.</w:t>
      </w:r>
      <w:r w:rsidR="00256B81" w:rsidRPr="00AB3BE4">
        <w:rPr>
          <w:rFonts w:ascii="Calibri" w:hAnsi="Calibri" w:cs="Calibri"/>
          <w:szCs w:val="24"/>
        </w:rPr>
        <w:t xml:space="preserve"> </w:t>
      </w:r>
      <w:r w:rsidRPr="00AB3BE4">
        <w:rPr>
          <w:rFonts w:ascii="Calibri" w:hAnsi="Calibri" w:cs="Calibri"/>
          <w:szCs w:val="24"/>
        </w:rPr>
        <w:t>503/2012 Sb. v</w:t>
      </w:r>
      <w:r w:rsidR="00256B81" w:rsidRPr="00AB3BE4">
        <w:rPr>
          <w:rFonts w:ascii="Calibri" w:hAnsi="Calibri" w:cs="Calibri"/>
          <w:szCs w:val="24"/>
        </w:rPr>
        <w:t xml:space="preserve"> </w:t>
      </w:r>
      <w:r w:rsidRPr="00AB3BE4">
        <w:rPr>
          <w:rFonts w:ascii="Calibri" w:hAnsi="Calibri" w:cs="Calibri"/>
          <w:szCs w:val="24"/>
        </w:rPr>
        <w:t>letech 1999 až 2014 celkem 844</w:t>
      </w:r>
      <w:r w:rsidR="00256B81" w:rsidRPr="00AB3BE4">
        <w:rPr>
          <w:rFonts w:ascii="Calibri" w:hAnsi="Calibri" w:cs="Calibri"/>
          <w:szCs w:val="24"/>
        </w:rPr>
        <w:t xml:space="preserve"> </w:t>
      </w:r>
      <w:r w:rsidRPr="00AB3BE4">
        <w:rPr>
          <w:rFonts w:ascii="Calibri" w:hAnsi="Calibri" w:cs="Calibri"/>
          <w:szCs w:val="24"/>
        </w:rPr>
        <w:t>884 pozemků o celkové výměře 580</w:t>
      </w:r>
      <w:r w:rsidR="00256B81" w:rsidRPr="00AB3BE4">
        <w:rPr>
          <w:rFonts w:ascii="Calibri" w:hAnsi="Calibri" w:cs="Calibri"/>
          <w:szCs w:val="24"/>
        </w:rPr>
        <w:t xml:space="preserve"> </w:t>
      </w:r>
      <w:r w:rsidRPr="00AB3BE4">
        <w:rPr>
          <w:rFonts w:ascii="Calibri" w:hAnsi="Calibri" w:cs="Calibri"/>
          <w:szCs w:val="24"/>
        </w:rPr>
        <w:t>757,08 ha. V</w:t>
      </w:r>
      <w:r w:rsidR="00256B81" w:rsidRPr="00AB3BE4">
        <w:rPr>
          <w:rFonts w:ascii="Calibri" w:hAnsi="Calibri" w:cs="Calibri"/>
          <w:szCs w:val="24"/>
        </w:rPr>
        <w:t xml:space="preserve"> </w:t>
      </w:r>
      <w:r w:rsidRPr="00AB3BE4">
        <w:rPr>
          <w:rFonts w:ascii="Calibri" w:hAnsi="Calibri" w:cs="Calibri"/>
          <w:szCs w:val="24"/>
        </w:rPr>
        <w:t>rámci vypořádání restitučních nároků podle zákona č. 229/1991 Sb. převedl PF</w:t>
      </w:r>
      <w:r w:rsidR="00DF7AC4">
        <w:rPr>
          <w:rFonts w:ascii="Calibri" w:hAnsi="Calibri" w:cs="Calibri"/>
          <w:szCs w:val="24"/>
        </w:rPr>
        <w:t>,</w:t>
      </w:r>
      <w:r w:rsidRPr="00AB3BE4">
        <w:rPr>
          <w:rFonts w:ascii="Calibri" w:hAnsi="Calibri" w:cs="Calibri"/>
          <w:szCs w:val="24"/>
        </w:rPr>
        <w:t xml:space="preserve"> resp. SPÚ</w:t>
      </w:r>
      <w:r w:rsidR="00DF7AC4">
        <w:rPr>
          <w:rFonts w:ascii="Calibri" w:hAnsi="Calibri" w:cs="Calibri"/>
          <w:szCs w:val="24"/>
        </w:rPr>
        <w:t>,</w:t>
      </w:r>
      <w:r w:rsidRPr="00AB3BE4">
        <w:rPr>
          <w:rFonts w:ascii="Calibri" w:hAnsi="Calibri" w:cs="Calibri"/>
          <w:szCs w:val="24"/>
        </w:rPr>
        <w:t xml:space="preserve"> v</w:t>
      </w:r>
      <w:r w:rsidR="00256B81" w:rsidRPr="00AB3BE4">
        <w:rPr>
          <w:rFonts w:ascii="Calibri" w:hAnsi="Calibri" w:cs="Calibri"/>
          <w:szCs w:val="24"/>
        </w:rPr>
        <w:t xml:space="preserve"> </w:t>
      </w:r>
      <w:r w:rsidRPr="00AB3BE4">
        <w:rPr>
          <w:rFonts w:ascii="Calibri" w:hAnsi="Calibri" w:cs="Calibri"/>
          <w:szCs w:val="24"/>
        </w:rPr>
        <w:t>letech 1993 až 2014 celkem 187</w:t>
      </w:r>
      <w:r w:rsidR="00256B81" w:rsidRPr="00AB3BE4">
        <w:rPr>
          <w:rFonts w:ascii="Calibri" w:hAnsi="Calibri" w:cs="Calibri"/>
          <w:szCs w:val="24"/>
        </w:rPr>
        <w:t xml:space="preserve"> </w:t>
      </w:r>
      <w:r w:rsidRPr="00AB3BE4">
        <w:rPr>
          <w:rFonts w:ascii="Calibri" w:hAnsi="Calibri" w:cs="Calibri"/>
          <w:szCs w:val="24"/>
        </w:rPr>
        <w:t>504 pozemků o výměře 81</w:t>
      </w:r>
      <w:r w:rsidR="00256B81" w:rsidRPr="00AB3BE4">
        <w:rPr>
          <w:rFonts w:ascii="Calibri" w:hAnsi="Calibri" w:cs="Calibri"/>
          <w:szCs w:val="24"/>
        </w:rPr>
        <w:t xml:space="preserve"> </w:t>
      </w:r>
      <w:r w:rsidRPr="00AB3BE4">
        <w:rPr>
          <w:rFonts w:ascii="Calibri" w:hAnsi="Calibri" w:cs="Calibri"/>
          <w:szCs w:val="24"/>
        </w:rPr>
        <w:t xml:space="preserve">765,40 ha. </w:t>
      </w:r>
    </w:p>
    <w:p w:rsidR="00F6199D" w:rsidRPr="00AB3BE4" w:rsidRDefault="00F6199D" w:rsidP="00AB3BE4">
      <w:pPr>
        <w:spacing w:line="264" w:lineRule="auto"/>
        <w:rPr>
          <w:rFonts w:ascii="Calibri" w:hAnsi="Calibri" w:cs="Calibri"/>
          <w:szCs w:val="24"/>
        </w:rPr>
      </w:pPr>
    </w:p>
    <w:p w:rsidR="006C625A" w:rsidRPr="00AB3BE4" w:rsidRDefault="00F23475" w:rsidP="00AB3BE4">
      <w:pPr>
        <w:spacing w:line="264" w:lineRule="auto"/>
        <w:rPr>
          <w:rFonts w:ascii="Calibri" w:hAnsi="Calibri" w:cs="Calibri"/>
          <w:szCs w:val="24"/>
        </w:rPr>
      </w:pPr>
      <w:r w:rsidRPr="00AB3BE4">
        <w:rPr>
          <w:rFonts w:ascii="Calibri" w:hAnsi="Calibri" w:cs="Calibri"/>
          <w:szCs w:val="24"/>
        </w:rPr>
        <w:t>V</w:t>
      </w:r>
      <w:r w:rsidR="00256B81" w:rsidRPr="00AB3BE4">
        <w:rPr>
          <w:rFonts w:ascii="Calibri" w:hAnsi="Calibri" w:cs="Calibri"/>
          <w:szCs w:val="24"/>
        </w:rPr>
        <w:t xml:space="preserve"> </w:t>
      </w:r>
      <w:r w:rsidRPr="00AB3BE4">
        <w:rPr>
          <w:rFonts w:ascii="Calibri" w:hAnsi="Calibri" w:cs="Calibri"/>
          <w:szCs w:val="24"/>
        </w:rPr>
        <w:t>současnosti je podle nařízení vlády č. 218/2014 Sb. v</w:t>
      </w:r>
      <w:r w:rsidR="00256B81" w:rsidRPr="00AB3BE4">
        <w:rPr>
          <w:rFonts w:ascii="Calibri" w:hAnsi="Calibri" w:cs="Calibri"/>
          <w:szCs w:val="24"/>
        </w:rPr>
        <w:t xml:space="preserve"> </w:t>
      </w:r>
      <w:r w:rsidRPr="00AB3BE4">
        <w:rPr>
          <w:rFonts w:ascii="Calibri" w:hAnsi="Calibri" w:cs="Calibri"/>
          <w:szCs w:val="24"/>
        </w:rPr>
        <w:t>rezervě státní půdy k</w:t>
      </w:r>
      <w:r w:rsidR="00256B81" w:rsidRPr="00AB3BE4">
        <w:rPr>
          <w:rFonts w:ascii="Calibri" w:hAnsi="Calibri" w:cs="Calibri"/>
          <w:szCs w:val="24"/>
        </w:rPr>
        <w:t xml:space="preserve"> </w:t>
      </w:r>
      <w:r w:rsidRPr="00AB3BE4">
        <w:rPr>
          <w:rFonts w:ascii="Calibri" w:hAnsi="Calibri" w:cs="Calibri"/>
          <w:szCs w:val="24"/>
        </w:rPr>
        <w:t>31. 12. 2014 blokováno pro účely uskutečnění rozvojových programů státu celkem 550</w:t>
      </w:r>
      <w:r w:rsidR="00256B81" w:rsidRPr="00AB3BE4">
        <w:rPr>
          <w:rFonts w:ascii="Calibri" w:hAnsi="Calibri" w:cs="Calibri"/>
          <w:szCs w:val="24"/>
        </w:rPr>
        <w:t xml:space="preserve"> </w:t>
      </w:r>
      <w:r w:rsidR="00220C0C" w:rsidRPr="00AB3BE4">
        <w:rPr>
          <w:rFonts w:ascii="Calibri" w:hAnsi="Calibri" w:cs="Calibri"/>
          <w:szCs w:val="24"/>
        </w:rPr>
        <w:t>pozemků o </w:t>
      </w:r>
      <w:r w:rsidRPr="00AB3BE4">
        <w:rPr>
          <w:rFonts w:ascii="Calibri" w:hAnsi="Calibri" w:cs="Calibri"/>
          <w:szCs w:val="24"/>
        </w:rPr>
        <w:t>výměře 244,6</w:t>
      </w:r>
      <w:r w:rsidR="008D075A" w:rsidRPr="00AB3BE4">
        <w:rPr>
          <w:rFonts w:ascii="Calibri" w:hAnsi="Calibri" w:cs="Calibri"/>
          <w:szCs w:val="24"/>
        </w:rPr>
        <w:t>0</w:t>
      </w:r>
      <w:r w:rsidRPr="00AB3BE4">
        <w:rPr>
          <w:rFonts w:ascii="Calibri" w:hAnsi="Calibri" w:cs="Calibri"/>
          <w:szCs w:val="24"/>
        </w:rPr>
        <w:t xml:space="preserve"> ha. Dále SPÚ hospodaří s celkem</w:t>
      </w:r>
      <w:r w:rsidR="00256B81" w:rsidRPr="00AB3BE4">
        <w:rPr>
          <w:rFonts w:ascii="Calibri" w:hAnsi="Calibri" w:cs="Calibri"/>
          <w:szCs w:val="24"/>
        </w:rPr>
        <w:t xml:space="preserve"> </w:t>
      </w:r>
      <w:r w:rsidRPr="00AB3BE4">
        <w:rPr>
          <w:rFonts w:ascii="Calibri" w:hAnsi="Calibri" w:cs="Calibri"/>
          <w:szCs w:val="24"/>
        </w:rPr>
        <w:t>345</w:t>
      </w:r>
      <w:r w:rsidR="00256B81" w:rsidRPr="00AB3BE4">
        <w:rPr>
          <w:rFonts w:ascii="Calibri" w:hAnsi="Calibri" w:cs="Calibri"/>
          <w:szCs w:val="24"/>
        </w:rPr>
        <w:t xml:space="preserve"> </w:t>
      </w:r>
      <w:r w:rsidRPr="00AB3BE4">
        <w:rPr>
          <w:rFonts w:ascii="Calibri" w:hAnsi="Calibri" w:cs="Calibri"/>
          <w:szCs w:val="24"/>
        </w:rPr>
        <w:t>513 pozemk</w:t>
      </w:r>
      <w:r w:rsidR="00764C17" w:rsidRPr="00AB3BE4">
        <w:rPr>
          <w:rFonts w:ascii="Calibri" w:hAnsi="Calibri" w:cs="Calibri"/>
          <w:szCs w:val="24"/>
        </w:rPr>
        <w:t>y</w:t>
      </w:r>
      <w:r w:rsidRPr="00AB3BE4">
        <w:rPr>
          <w:rFonts w:ascii="Calibri" w:hAnsi="Calibri" w:cs="Calibri"/>
          <w:szCs w:val="24"/>
        </w:rPr>
        <w:t xml:space="preserve"> o výměře 86</w:t>
      </w:r>
      <w:r w:rsidR="00256B81" w:rsidRPr="00AB3BE4">
        <w:rPr>
          <w:rFonts w:ascii="Calibri" w:hAnsi="Calibri" w:cs="Calibri"/>
          <w:szCs w:val="24"/>
        </w:rPr>
        <w:t xml:space="preserve"> </w:t>
      </w:r>
      <w:r w:rsidRPr="00AB3BE4">
        <w:rPr>
          <w:rFonts w:ascii="Calibri" w:hAnsi="Calibri" w:cs="Calibri"/>
          <w:szCs w:val="24"/>
        </w:rPr>
        <w:t>974</w:t>
      </w:r>
      <w:r w:rsidR="008D075A" w:rsidRPr="00AB3BE4">
        <w:rPr>
          <w:rFonts w:ascii="Calibri" w:hAnsi="Calibri" w:cs="Calibri"/>
          <w:szCs w:val="24"/>
        </w:rPr>
        <w:t>,00</w:t>
      </w:r>
      <w:r w:rsidRPr="00AB3BE4">
        <w:rPr>
          <w:rFonts w:ascii="Calibri" w:hAnsi="Calibri" w:cs="Calibri"/>
          <w:szCs w:val="24"/>
        </w:rPr>
        <w:t xml:space="preserve"> ha, které nejsou k</w:t>
      </w:r>
      <w:r w:rsidR="00256B81" w:rsidRPr="00AB3BE4">
        <w:rPr>
          <w:rFonts w:ascii="Calibri" w:hAnsi="Calibri" w:cs="Calibri"/>
          <w:szCs w:val="24"/>
        </w:rPr>
        <w:t xml:space="preserve"> </w:t>
      </w:r>
      <w:r w:rsidRPr="00AB3BE4">
        <w:rPr>
          <w:rFonts w:ascii="Calibri" w:hAnsi="Calibri" w:cs="Calibri"/>
          <w:szCs w:val="24"/>
        </w:rPr>
        <w:t>datu 31. 12. 2014 dotčeny žádnou restitucí nebo jinou blokací bránící převodu či přechodu pozemku. Aktuální výše tohoto výčtu pozemků se mění, neboť je závislá zejména na stavu církevních restitucí, průběhu pozemkových úprav, probíhajících soudních sporech a</w:t>
      </w:r>
      <w:r w:rsidR="00F6199D" w:rsidRPr="00AB3BE4">
        <w:rPr>
          <w:rFonts w:ascii="Calibri" w:hAnsi="Calibri" w:cs="Calibri"/>
          <w:szCs w:val="24"/>
        </w:rPr>
        <w:t> </w:t>
      </w:r>
      <w:r w:rsidRPr="00AB3BE4">
        <w:rPr>
          <w:rFonts w:ascii="Calibri" w:hAnsi="Calibri" w:cs="Calibri"/>
          <w:szCs w:val="24"/>
        </w:rPr>
        <w:t>správních řízeních ohledně vydání pozemků odňatých oprávněným osobám, ale také na výsledcích nakládání SPÚ s majetkem.</w:t>
      </w:r>
    </w:p>
    <w:p w:rsidR="00620386" w:rsidRPr="00AB3BE4" w:rsidRDefault="00620386" w:rsidP="00AB3BE4">
      <w:pPr>
        <w:spacing w:line="264" w:lineRule="auto"/>
        <w:rPr>
          <w:rFonts w:ascii="Calibri" w:hAnsi="Calibri" w:cs="Calibri"/>
          <w:szCs w:val="24"/>
        </w:rPr>
      </w:pPr>
    </w:p>
    <w:p w:rsidR="00AB3BE4" w:rsidRDefault="00AB3BE4">
      <w:pPr>
        <w:spacing w:after="200" w:line="276" w:lineRule="auto"/>
        <w:jc w:val="left"/>
      </w:pPr>
      <w:r>
        <w:br w:type="page"/>
      </w:r>
    </w:p>
    <w:p w:rsidR="00620386" w:rsidRPr="00CA6C58" w:rsidRDefault="00620386" w:rsidP="00F6199D">
      <w:pPr>
        <w:jc w:val="right"/>
        <w:rPr>
          <w:b/>
        </w:rPr>
      </w:pPr>
      <w:r w:rsidRPr="00CA6C58">
        <w:rPr>
          <w:b/>
        </w:rPr>
        <w:lastRenderedPageBreak/>
        <w:t xml:space="preserve">Příloha </w:t>
      </w:r>
      <w:r w:rsidR="00F6199D" w:rsidRPr="00CA6C58">
        <w:rPr>
          <w:b/>
        </w:rPr>
        <w:t>č. 1</w:t>
      </w:r>
    </w:p>
    <w:p w:rsidR="00620386" w:rsidRPr="00DF7AC4" w:rsidRDefault="00620386" w:rsidP="00F6199D"/>
    <w:p w:rsidR="006C625A" w:rsidRPr="00DF7AC4" w:rsidRDefault="009C000B" w:rsidP="00AB3BE4">
      <w:pPr>
        <w:tabs>
          <w:tab w:val="right" w:pos="9072"/>
        </w:tabs>
        <w:spacing w:after="40"/>
        <w:rPr>
          <w:b/>
        </w:rPr>
      </w:pPr>
      <w:r w:rsidRPr="00DF7AC4">
        <w:rPr>
          <w:b/>
        </w:rPr>
        <w:t>Porovnání plánovaných a dosažených úspor</w:t>
      </w:r>
      <w:r w:rsidR="00A1257C" w:rsidRPr="00DF7AC4">
        <w:rPr>
          <w:b/>
        </w:rPr>
        <w:tab/>
      </w:r>
      <w:r w:rsidR="00F6199D" w:rsidRPr="00DF7AC4">
        <w:rPr>
          <w:b/>
        </w:rPr>
        <w:t>(</w:t>
      </w:r>
      <w:r w:rsidR="00303301" w:rsidRPr="00DF7AC4">
        <w:rPr>
          <w:b/>
        </w:rPr>
        <w:t>v</w:t>
      </w:r>
      <w:r w:rsidR="00256B81" w:rsidRPr="00DF7AC4">
        <w:rPr>
          <w:b/>
        </w:rPr>
        <w:t xml:space="preserve"> </w:t>
      </w:r>
      <w:r w:rsidR="00303301" w:rsidRPr="00DF7AC4">
        <w:rPr>
          <w:b/>
        </w:rPr>
        <w:t>tis. Kč</w:t>
      </w:r>
      <w:r w:rsidR="00F6199D" w:rsidRPr="00DF7AC4">
        <w:rPr>
          <w:b/>
        </w:rPr>
        <w:t>)</w:t>
      </w:r>
    </w:p>
    <w:tbl>
      <w:tblPr>
        <w:tblStyle w:val="Mkatabulky"/>
        <w:tblW w:w="9072" w:type="dxa"/>
        <w:tblInd w:w="108" w:type="dxa"/>
        <w:tblLook w:val="04A0" w:firstRow="1" w:lastRow="0" w:firstColumn="1" w:lastColumn="0" w:noHBand="0" w:noVBand="1"/>
      </w:tblPr>
      <w:tblGrid>
        <w:gridCol w:w="2875"/>
        <w:gridCol w:w="1239"/>
        <w:gridCol w:w="1239"/>
        <w:gridCol w:w="1310"/>
        <w:gridCol w:w="1169"/>
        <w:gridCol w:w="1240"/>
      </w:tblGrid>
      <w:tr w:rsidR="006C625A" w:rsidRPr="00DF7AC4" w:rsidTr="00AB3BE4">
        <w:trPr>
          <w:trHeight w:val="227"/>
        </w:trPr>
        <w:tc>
          <w:tcPr>
            <w:tcW w:w="2875" w:type="dxa"/>
            <w:shd w:val="clear" w:color="auto" w:fill="F2F2F2" w:themeFill="background1" w:themeFillShade="F2"/>
            <w:vAlign w:val="center"/>
            <w:hideMark/>
          </w:tcPr>
          <w:p w:rsidR="006C625A" w:rsidRPr="00DF7AC4" w:rsidRDefault="006C625A" w:rsidP="00AB3BE4">
            <w:pPr>
              <w:spacing w:before="20" w:after="20"/>
              <w:jc w:val="left"/>
              <w:rPr>
                <w:rFonts w:ascii="Calibri" w:hAnsi="Calibri" w:cs="Calibri"/>
                <w:b/>
                <w:bCs/>
                <w:sz w:val="20"/>
                <w:szCs w:val="20"/>
              </w:rPr>
            </w:pPr>
          </w:p>
        </w:tc>
        <w:tc>
          <w:tcPr>
            <w:tcW w:w="3788" w:type="dxa"/>
            <w:gridSpan w:val="3"/>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 xml:space="preserve">Data </w:t>
            </w:r>
            <w:r w:rsidR="00DF7AC4" w:rsidRPr="00DF7AC4">
              <w:rPr>
                <w:rFonts w:ascii="Calibri" w:hAnsi="Calibri" w:cs="Calibri"/>
                <w:b/>
                <w:bCs/>
                <w:sz w:val="20"/>
                <w:szCs w:val="20"/>
              </w:rPr>
              <w:br/>
            </w:r>
            <w:r w:rsidRPr="00DF7AC4">
              <w:rPr>
                <w:rFonts w:ascii="Calibri" w:hAnsi="Calibri" w:cs="Calibri"/>
                <w:b/>
                <w:bCs/>
                <w:sz w:val="20"/>
                <w:szCs w:val="20"/>
              </w:rPr>
              <w:t>dle důvodové zprávy k</w:t>
            </w:r>
            <w:r w:rsidR="00256B81" w:rsidRPr="00DF7AC4">
              <w:rPr>
                <w:rFonts w:ascii="Calibri" w:hAnsi="Calibri" w:cs="Calibri"/>
                <w:b/>
                <w:bCs/>
                <w:sz w:val="20"/>
                <w:szCs w:val="20"/>
              </w:rPr>
              <w:t xml:space="preserve"> </w:t>
            </w:r>
            <w:r w:rsidRPr="00DF7AC4">
              <w:rPr>
                <w:rFonts w:ascii="Calibri" w:hAnsi="Calibri" w:cs="Calibri"/>
                <w:b/>
                <w:bCs/>
                <w:sz w:val="20"/>
                <w:szCs w:val="20"/>
              </w:rPr>
              <w:t>zákonu o SPÚ</w:t>
            </w:r>
          </w:p>
        </w:tc>
        <w:tc>
          <w:tcPr>
            <w:tcW w:w="2409" w:type="dxa"/>
            <w:gridSpan w:val="2"/>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 xml:space="preserve">Skutečnost </w:t>
            </w:r>
            <w:r w:rsidR="00DF7AC4" w:rsidRPr="00DF7AC4">
              <w:rPr>
                <w:rFonts w:ascii="Calibri" w:hAnsi="Calibri" w:cs="Calibri"/>
                <w:b/>
                <w:bCs/>
                <w:sz w:val="20"/>
                <w:szCs w:val="20"/>
              </w:rPr>
              <w:br/>
            </w:r>
            <w:r w:rsidRPr="00DF7AC4">
              <w:rPr>
                <w:rFonts w:ascii="Calibri" w:hAnsi="Calibri" w:cs="Calibri"/>
                <w:b/>
                <w:bCs/>
                <w:sz w:val="20"/>
                <w:szCs w:val="20"/>
              </w:rPr>
              <w:t>dle účetnictví SPÚ</w:t>
            </w:r>
            <w:r w:rsidRPr="00DF7AC4">
              <w:rPr>
                <w:rFonts w:ascii="Calibri" w:hAnsi="Calibri" w:cs="Calibri"/>
                <w:sz w:val="20"/>
                <w:szCs w:val="20"/>
              </w:rPr>
              <w:t>*</w:t>
            </w:r>
          </w:p>
        </w:tc>
      </w:tr>
      <w:tr w:rsidR="006C625A" w:rsidRPr="00DF7AC4" w:rsidTr="00AB3BE4">
        <w:trPr>
          <w:trHeight w:val="227"/>
        </w:trPr>
        <w:tc>
          <w:tcPr>
            <w:tcW w:w="2875" w:type="dxa"/>
            <w:shd w:val="clear" w:color="auto" w:fill="F2F2F2" w:themeFill="background1" w:themeFillShade="F2"/>
            <w:vAlign w:val="center"/>
            <w:hideMark/>
          </w:tcPr>
          <w:p w:rsidR="006C625A" w:rsidRPr="00DF7AC4" w:rsidRDefault="006C625A" w:rsidP="00AB3BE4">
            <w:pPr>
              <w:spacing w:before="20" w:after="20"/>
              <w:jc w:val="left"/>
              <w:rPr>
                <w:rFonts w:ascii="Calibri" w:hAnsi="Calibri" w:cs="Calibri"/>
                <w:b/>
                <w:sz w:val="20"/>
                <w:szCs w:val="20"/>
              </w:rPr>
            </w:pPr>
            <w:r w:rsidRPr="00DF7AC4">
              <w:rPr>
                <w:rFonts w:ascii="Calibri" w:hAnsi="Calibri" w:cs="Calibri"/>
                <w:b/>
                <w:sz w:val="20"/>
                <w:szCs w:val="20"/>
              </w:rPr>
              <w:t>Rok</w:t>
            </w:r>
          </w:p>
        </w:tc>
        <w:tc>
          <w:tcPr>
            <w:tcW w:w="1239" w:type="dxa"/>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2011</w:t>
            </w:r>
          </w:p>
        </w:tc>
        <w:tc>
          <w:tcPr>
            <w:tcW w:w="1239" w:type="dxa"/>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2012</w:t>
            </w:r>
          </w:p>
        </w:tc>
        <w:tc>
          <w:tcPr>
            <w:tcW w:w="1310" w:type="dxa"/>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2013</w:t>
            </w:r>
          </w:p>
        </w:tc>
        <w:tc>
          <w:tcPr>
            <w:tcW w:w="1169" w:type="dxa"/>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2013</w:t>
            </w:r>
          </w:p>
        </w:tc>
        <w:tc>
          <w:tcPr>
            <w:tcW w:w="1240" w:type="dxa"/>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2014</w:t>
            </w:r>
          </w:p>
        </w:tc>
      </w:tr>
      <w:tr w:rsidR="006C625A" w:rsidRPr="00DF7AC4" w:rsidTr="00AB3BE4">
        <w:trPr>
          <w:trHeight w:val="227"/>
        </w:trPr>
        <w:tc>
          <w:tcPr>
            <w:tcW w:w="2875" w:type="dxa"/>
            <w:shd w:val="clear" w:color="auto" w:fill="F2F2F2" w:themeFill="background1" w:themeFillShade="F2"/>
            <w:vAlign w:val="center"/>
            <w:hideMark/>
          </w:tcPr>
          <w:p w:rsidR="006C625A" w:rsidRPr="00DF7AC4" w:rsidRDefault="006C625A" w:rsidP="00AB3BE4">
            <w:pPr>
              <w:spacing w:before="20" w:after="20"/>
              <w:jc w:val="left"/>
              <w:rPr>
                <w:rFonts w:ascii="Calibri" w:hAnsi="Calibri" w:cs="Calibri"/>
                <w:b/>
                <w:sz w:val="20"/>
                <w:szCs w:val="20"/>
              </w:rPr>
            </w:pPr>
            <w:r w:rsidRPr="00DF7AC4">
              <w:rPr>
                <w:rFonts w:ascii="Calibri" w:hAnsi="Calibri" w:cs="Calibri"/>
                <w:b/>
                <w:sz w:val="20"/>
                <w:szCs w:val="20"/>
              </w:rPr>
              <w:t>Organizace</w:t>
            </w:r>
          </w:p>
        </w:tc>
        <w:tc>
          <w:tcPr>
            <w:tcW w:w="1239" w:type="dxa"/>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ÚPÚ+PÚ+PF</w:t>
            </w:r>
          </w:p>
        </w:tc>
        <w:tc>
          <w:tcPr>
            <w:tcW w:w="1239" w:type="dxa"/>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ÚPÚ+PÚ+PF</w:t>
            </w:r>
          </w:p>
        </w:tc>
        <w:tc>
          <w:tcPr>
            <w:tcW w:w="1310" w:type="dxa"/>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SPÚ</w:t>
            </w:r>
          </w:p>
        </w:tc>
        <w:tc>
          <w:tcPr>
            <w:tcW w:w="1169" w:type="dxa"/>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SPÚ</w:t>
            </w:r>
          </w:p>
        </w:tc>
        <w:tc>
          <w:tcPr>
            <w:tcW w:w="1240" w:type="dxa"/>
            <w:shd w:val="clear" w:color="auto" w:fill="F2F2F2" w:themeFill="background1" w:themeFillShade="F2"/>
            <w:vAlign w:val="center"/>
            <w:hideMark/>
          </w:tcPr>
          <w:p w:rsidR="006C625A" w:rsidRPr="00DF7AC4" w:rsidRDefault="006C625A" w:rsidP="00AB3BE4">
            <w:pPr>
              <w:spacing w:before="20" w:after="20"/>
              <w:jc w:val="center"/>
              <w:rPr>
                <w:rFonts w:ascii="Calibri" w:hAnsi="Calibri" w:cs="Calibri"/>
                <w:b/>
                <w:bCs/>
                <w:sz w:val="20"/>
                <w:szCs w:val="20"/>
              </w:rPr>
            </w:pPr>
            <w:r w:rsidRPr="00DF7AC4">
              <w:rPr>
                <w:rFonts w:ascii="Calibri" w:hAnsi="Calibri" w:cs="Calibri"/>
                <w:b/>
                <w:bCs/>
                <w:sz w:val="20"/>
                <w:szCs w:val="20"/>
              </w:rPr>
              <w:t>SPÚ</w:t>
            </w:r>
          </w:p>
        </w:tc>
      </w:tr>
      <w:tr w:rsidR="006C625A" w:rsidRPr="00DF7AC4" w:rsidTr="00AB3BE4">
        <w:trPr>
          <w:trHeight w:val="227"/>
        </w:trPr>
        <w:tc>
          <w:tcPr>
            <w:tcW w:w="2875" w:type="dxa"/>
            <w:vAlign w:val="center"/>
            <w:hideMark/>
          </w:tcPr>
          <w:p w:rsidR="006C625A" w:rsidRPr="00DF7AC4" w:rsidRDefault="006C625A" w:rsidP="002B4522">
            <w:pPr>
              <w:spacing w:before="20" w:after="20"/>
              <w:jc w:val="left"/>
              <w:rPr>
                <w:rFonts w:ascii="Calibri" w:hAnsi="Calibri" w:cs="Calibri"/>
                <w:sz w:val="20"/>
                <w:szCs w:val="20"/>
              </w:rPr>
            </w:pPr>
            <w:r w:rsidRPr="00DF7AC4">
              <w:rPr>
                <w:rFonts w:ascii="Calibri" w:hAnsi="Calibri" w:cs="Calibri"/>
                <w:sz w:val="20"/>
                <w:szCs w:val="20"/>
              </w:rPr>
              <w:t>Režijní výdaje (materiál, energie, spoje, služby, opravy)*</w:t>
            </w:r>
          </w:p>
        </w:tc>
        <w:tc>
          <w:tcPr>
            <w:tcW w:w="123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321 926</w:t>
            </w:r>
          </w:p>
        </w:tc>
        <w:tc>
          <w:tcPr>
            <w:tcW w:w="123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308 250</w:t>
            </w:r>
          </w:p>
        </w:tc>
        <w:tc>
          <w:tcPr>
            <w:tcW w:w="1310"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240 400</w:t>
            </w:r>
          </w:p>
        </w:tc>
        <w:tc>
          <w:tcPr>
            <w:tcW w:w="116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165 171</w:t>
            </w:r>
          </w:p>
        </w:tc>
        <w:tc>
          <w:tcPr>
            <w:tcW w:w="1240"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191 897</w:t>
            </w:r>
          </w:p>
        </w:tc>
      </w:tr>
      <w:tr w:rsidR="006C625A" w:rsidRPr="00DF7AC4" w:rsidTr="00AB3BE4">
        <w:trPr>
          <w:trHeight w:val="227"/>
        </w:trPr>
        <w:tc>
          <w:tcPr>
            <w:tcW w:w="2875" w:type="dxa"/>
            <w:vAlign w:val="center"/>
            <w:hideMark/>
          </w:tcPr>
          <w:p w:rsidR="006C625A" w:rsidRPr="00DF7AC4" w:rsidRDefault="006C625A" w:rsidP="00AB3BE4">
            <w:pPr>
              <w:spacing w:before="20" w:after="20"/>
              <w:jc w:val="left"/>
              <w:rPr>
                <w:rFonts w:ascii="Calibri" w:hAnsi="Calibri" w:cs="Calibri"/>
                <w:sz w:val="20"/>
                <w:szCs w:val="20"/>
              </w:rPr>
            </w:pPr>
            <w:r w:rsidRPr="00DF7AC4">
              <w:rPr>
                <w:rFonts w:ascii="Calibri" w:hAnsi="Calibri" w:cs="Calibri"/>
                <w:sz w:val="20"/>
                <w:szCs w:val="20"/>
              </w:rPr>
              <w:t>Mzdy/platy</w:t>
            </w:r>
          </w:p>
        </w:tc>
        <w:tc>
          <w:tcPr>
            <w:tcW w:w="123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592 399</w:t>
            </w:r>
          </w:p>
        </w:tc>
        <w:tc>
          <w:tcPr>
            <w:tcW w:w="123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534 336</w:t>
            </w:r>
          </w:p>
        </w:tc>
        <w:tc>
          <w:tcPr>
            <w:tcW w:w="1310"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424 946</w:t>
            </w:r>
          </w:p>
        </w:tc>
        <w:tc>
          <w:tcPr>
            <w:tcW w:w="116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506</w:t>
            </w:r>
            <w:r w:rsidR="00256B81" w:rsidRPr="00DF7AC4">
              <w:rPr>
                <w:rFonts w:ascii="Calibri" w:hAnsi="Calibri" w:cs="Calibri"/>
                <w:sz w:val="20"/>
                <w:szCs w:val="20"/>
              </w:rPr>
              <w:t xml:space="preserve"> </w:t>
            </w:r>
            <w:r w:rsidRPr="00DF7AC4">
              <w:rPr>
                <w:rFonts w:ascii="Calibri" w:hAnsi="Calibri" w:cs="Calibri"/>
                <w:sz w:val="20"/>
                <w:szCs w:val="20"/>
              </w:rPr>
              <w:t>174</w:t>
            </w:r>
          </w:p>
        </w:tc>
        <w:tc>
          <w:tcPr>
            <w:tcW w:w="1240"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457 082</w:t>
            </w:r>
          </w:p>
        </w:tc>
      </w:tr>
      <w:tr w:rsidR="006C625A" w:rsidRPr="00DF7AC4" w:rsidTr="00AB3BE4">
        <w:trPr>
          <w:trHeight w:val="227"/>
        </w:trPr>
        <w:tc>
          <w:tcPr>
            <w:tcW w:w="2875" w:type="dxa"/>
            <w:vAlign w:val="center"/>
            <w:hideMark/>
          </w:tcPr>
          <w:p w:rsidR="006C625A" w:rsidRPr="00DF7AC4" w:rsidRDefault="006C625A" w:rsidP="00AB3BE4">
            <w:pPr>
              <w:spacing w:before="20" w:after="20"/>
              <w:jc w:val="left"/>
              <w:rPr>
                <w:rFonts w:ascii="Calibri" w:hAnsi="Calibri" w:cs="Calibri"/>
                <w:sz w:val="20"/>
                <w:szCs w:val="20"/>
              </w:rPr>
            </w:pPr>
            <w:r w:rsidRPr="00DF7AC4">
              <w:rPr>
                <w:rFonts w:ascii="Calibri" w:hAnsi="Calibri" w:cs="Calibri"/>
                <w:sz w:val="20"/>
                <w:szCs w:val="20"/>
              </w:rPr>
              <w:t>Pojištění + FKSP</w:t>
            </w:r>
          </w:p>
        </w:tc>
        <w:tc>
          <w:tcPr>
            <w:tcW w:w="123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211 307</w:t>
            </w:r>
          </w:p>
        </w:tc>
        <w:tc>
          <w:tcPr>
            <w:tcW w:w="123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192 934</w:t>
            </w:r>
          </w:p>
        </w:tc>
        <w:tc>
          <w:tcPr>
            <w:tcW w:w="1310"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152 281</w:t>
            </w:r>
          </w:p>
        </w:tc>
        <w:tc>
          <w:tcPr>
            <w:tcW w:w="116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168 624</w:t>
            </w:r>
          </w:p>
        </w:tc>
        <w:tc>
          <w:tcPr>
            <w:tcW w:w="1240"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159 153</w:t>
            </w:r>
          </w:p>
        </w:tc>
      </w:tr>
      <w:tr w:rsidR="006C625A" w:rsidRPr="00DF7AC4" w:rsidTr="00AB3BE4">
        <w:trPr>
          <w:trHeight w:val="227"/>
        </w:trPr>
        <w:tc>
          <w:tcPr>
            <w:tcW w:w="2875" w:type="dxa"/>
            <w:vAlign w:val="center"/>
            <w:hideMark/>
          </w:tcPr>
          <w:p w:rsidR="006C625A" w:rsidRPr="00DF7AC4" w:rsidRDefault="006C625A" w:rsidP="00AB3BE4">
            <w:pPr>
              <w:spacing w:before="20" w:after="20"/>
              <w:jc w:val="left"/>
              <w:rPr>
                <w:rFonts w:ascii="Calibri" w:hAnsi="Calibri" w:cs="Calibri"/>
                <w:sz w:val="20"/>
                <w:szCs w:val="20"/>
              </w:rPr>
            </w:pPr>
            <w:r w:rsidRPr="00DF7AC4">
              <w:rPr>
                <w:rFonts w:ascii="Calibri" w:hAnsi="Calibri" w:cs="Calibri"/>
                <w:sz w:val="20"/>
                <w:szCs w:val="20"/>
              </w:rPr>
              <w:t>Daně a poplatky**</w:t>
            </w:r>
          </w:p>
        </w:tc>
        <w:tc>
          <w:tcPr>
            <w:tcW w:w="123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6 372</w:t>
            </w:r>
          </w:p>
        </w:tc>
        <w:tc>
          <w:tcPr>
            <w:tcW w:w="123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7 668</w:t>
            </w:r>
          </w:p>
        </w:tc>
        <w:tc>
          <w:tcPr>
            <w:tcW w:w="1310"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7 668</w:t>
            </w:r>
          </w:p>
        </w:tc>
        <w:tc>
          <w:tcPr>
            <w:tcW w:w="116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8 692</w:t>
            </w:r>
          </w:p>
        </w:tc>
        <w:tc>
          <w:tcPr>
            <w:tcW w:w="1240"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8 935</w:t>
            </w:r>
          </w:p>
        </w:tc>
      </w:tr>
      <w:tr w:rsidR="006C625A" w:rsidRPr="00DF7AC4" w:rsidTr="00AB3BE4">
        <w:trPr>
          <w:trHeight w:val="227"/>
        </w:trPr>
        <w:tc>
          <w:tcPr>
            <w:tcW w:w="2875" w:type="dxa"/>
            <w:vAlign w:val="center"/>
            <w:hideMark/>
          </w:tcPr>
          <w:p w:rsidR="006C625A" w:rsidRPr="00DF7AC4" w:rsidRDefault="006C625A" w:rsidP="00AB3BE4">
            <w:pPr>
              <w:spacing w:before="20" w:after="20"/>
              <w:jc w:val="left"/>
              <w:rPr>
                <w:rFonts w:ascii="Calibri" w:hAnsi="Calibri" w:cs="Calibri"/>
                <w:sz w:val="20"/>
                <w:szCs w:val="20"/>
              </w:rPr>
            </w:pPr>
            <w:r w:rsidRPr="00DF7AC4">
              <w:rPr>
                <w:rFonts w:ascii="Calibri" w:hAnsi="Calibri" w:cs="Calibri"/>
                <w:sz w:val="20"/>
                <w:szCs w:val="20"/>
              </w:rPr>
              <w:t>Investiční výdaje***</w:t>
            </w:r>
          </w:p>
        </w:tc>
        <w:tc>
          <w:tcPr>
            <w:tcW w:w="123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72 397</w:t>
            </w:r>
          </w:p>
        </w:tc>
        <w:tc>
          <w:tcPr>
            <w:tcW w:w="123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67 700</w:t>
            </w:r>
          </w:p>
        </w:tc>
        <w:tc>
          <w:tcPr>
            <w:tcW w:w="1310"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58 000</w:t>
            </w:r>
          </w:p>
        </w:tc>
        <w:tc>
          <w:tcPr>
            <w:tcW w:w="1169"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34 578</w:t>
            </w:r>
          </w:p>
        </w:tc>
        <w:tc>
          <w:tcPr>
            <w:tcW w:w="1240" w:type="dxa"/>
            <w:vAlign w:val="center"/>
            <w:hideMark/>
          </w:tcPr>
          <w:p w:rsidR="006C625A" w:rsidRPr="00DF7AC4" w:rsidRDefault="006C625A" w:rsidP="00AB3BE4">
            <w:pPr>
              <w:spacing w:before="20" w:after="20"/>
              <w:ind w:right="37"/>
              <w:jc w:val="right"/>
              <w:rPr>
                <w:rFonts w:ascii="Calibri" w:hAnsi="Calibri" w:cs="Calibri"/>
                <w:sz w:val="20"/>
                <w:szCs w:val="20"/>
              </w:rPr>
            </w:pPr>
            <w:r w:rsidRPr="00DF7AC4">
              <w:rPr>
                <w:rFonts w:ascii="Calibri" w:hAnsi="Calibri" w:cs="Calibri"/>
                <w:sz w:val="20"/>
                <w:szCs w:val="20"/>
              </w:rPr>
              <w:t>44 874</w:t>
            </w:r>
          </w:p>
        </w:tc>
      </w:tr>
      <w:tr w:rsidR="006C625A" w:rsidRPr="00DF7AC4" w:rsidTr="00AB3BE4">
        <w:trPr>
          <w:trHeight w:val="227"/>
        </w:trPr>
        <w:tc>
          <w:tcPr>
            <w:tcW w:w="2875" w:type="dxa"/>
            <w:vAlign w:val="center"/>
            <w:hideMark/>
          </w:tcPr>
          <w:p w:rsidR="006C625A" w:rsidRPr="00DF7AC4" w:rsidRDefault="006C625A" w:rsidP="00AB3BE4">
            <w:pPr>
              <w:spacing w:before="20" w:after="20"/>
              <w:jc w:val="left"/>
              <w:rPr>
                <w:rFonts w:ascii="Calibri" w:hAnsi="Calibri" w:cs="Calibri"/>
                <w:b/>
                <w:bCs/>
                <w:sz w:val="20"/>
                <w:szCs w:val="20"/>
              </w:rPr>
            </w:pPr>
            <w:r w:rsidRPr="00DF7AC4">
              <w:rPr>
                <w:rFonts w:ascii="Calibri" w:hAnsi="Calibri" w:cs="Calibri"/>
                <w:b/>
                <w:bCs/>
                <w:sz w:val="20"/>
                <w:szCs w:val="20"/>
              </w:rPr>
              <w:t>Provozní a investiční výdaje celkem</w:t>
            </w:r>
          </w:p>
        </w:tc>
        <w:tc>
          <w:tcPr>
            <w:tcW w:w="1239" w:type="dxa"/>
            <w:vAlign w:val="center"/>
            <w:hideMark/>
          </w:tcPr>
          <w:p w:rsidR="006C625A" w:rsidRPr="00DF7AC4" w:rsidRDefault="006C625A" w:rsidP="00AB3BE4">
            <w:pPr>
              <w:spacing w:before="20" w:after="20"/>
              <w:ind w:right="37"/>
              <w:jc w:val="right"/>
              <w:rPr>
                <w:rFonts w:ascii="Calibri" w:hAnsi="Calibri" w:cs="Calibri"/>
                <w:b/>
                <w:bCs/>
                <w:sz w:val="20"/>
                <w:szCs w:val="20"/>
              </w:rPr>
            </w:pPr>
            <w:r w:rsidRPr="00DF7AC4">
              <w:rPr>
                <w:rFonts w:ascii="Calibri" w:hAnsi="Calibri" w:cs="Calibri"/>
                <w:b/>
                <w:bCs/>
                <w:sz w:val="20"/>
                <w:szCs w:val="20"/>
              </w:rPr>
              <w:t>1</w:t>
            </w:r>
            <w:r w:rsidR="00256B81" w:rsidRPr="00DF7AC4">
              <w:rPr>
                <w:rFonts w:ascii="Calibri" w:hAnsi="Calibri" w:cs="Calibri"/>
                <w:b/>
                <w:bCs/>
                <w:sz w:val="20"/>
                <w:szCs w:val="20"/>
              </w:rPr>
              <w:t xml:space="preserve"> </w:t>
            </w:r>
            <w:r w:rsidRPr="00DF7AC4">
              <w:rPr>
                <w:rFonts w:ascii="Calibri" w:hAnsi="Calibri" w:cs="Calibri"/>
                <w:b/>
                <w:bCs/>
                <w:sz w:val="20"/>
                <w:szCs w:val="20"/>
              </w:rPr>
              <w:t>204 401</w:t>
            </w:r>
          </w:p>
        </w:tc>
        <w:tc>
          <w:tcPr>
            <w:tcW w:w="1239" w:type="dxa"/>
            <w:vAlign w:val="center"/>
            <w:hideMark/>
          </w:tcPr>
          <w:p w:rsidR="006C625A" w:rsidRPr="00DF7AC4" w:rsidRDefault="006C625A" w:rsidP="00AB3BE4">
            <w:pPr>
              <w:spacing w:before="20" w:after="20"/>
              <w:ind w:right="37"/>
              <w:jc w:val="right"/>
              <w:rPr>
                <w:rFonts w:ascii="Calibri" w:hAnsi="Calibri" w:cs="Calibri"/>
                <w:b/>
                <w:bCs/>
                <w:sz w:val="20"/>
                <w:szCs w:val="20"/>
              </w:rPr>
            </w:pPr>
            <w:r w:rsidRPr="00DF7AC4">
              <w:rPr>
                <w:rFonts w:ascii="Calibri" w:hAnsi="Calibri" w:cs="Calibri"/>
                <w:b/>
                <w:bCs/>
                <w:sz w:val="20"/>
                <w:szCs w:val="20"/>
              </w:rPr>
              <w:t>1</w:t>
            </w:r>
            <w:r w:rsidR="00256B81" w:rsidRPr="00DF7AC4">
              <w:rPr>
                <w:rFonts w:ascii="Calibri" w:hAnsi="Calibri" w:cs="Calibri"/>
                <w:b/>
                <w:bCs/>
                <w:sz w:val="20"/>
                <w:szCs w:val="20"/>
              </w:rPr>
              <w:t xml:space="preserve"> </w:t>
            </w:r>
            <w:r w:rsidRPr="00DF7AC4">
              <w:rPr>
                <w:rFonts w:ascii="Calibri" w:hAnsi="Calibri" w:cs="Calibri"/>
                <w:b/>
                <w:bCs/>
                <w:sz w:val="20"/>
                <w:szCs w:val="20"/>
              </w:rPr>
              <w:t>110 888</w:t>
            </w:r>
          </w:p>
        </w:tc>
        <w:tc>
          <w:tcPr>
            <w:tcW w:w="1310" w:type="dxa"/>
            <w:vAlign w:val="center"/>
            <w:hideMark/>
          </w:tcPr>
          <w:p w:rsidR="006C625A" w:rsidRPr="00DF7AC4" w:rsidRDefault="006C625A" w:rsidP="00AB3BE4">
            <w:pPr>
              <w:spacing w:before="20" w:after="20"/>
              <w:ind w:right="37"/>
              <w:jc w:val="right"/>
              <w:rPr>
                <w:rFonts w:ascii="Calibri" w:hAnsi="Calibri" w:cs="Calibri"/>
                <w:b/>
                <w:bCs/>
                <w:sz w:val="20"/>
                <w:szCs w:val="20"/>
              </w:rPr>
            </w:pPr>
            <w:r w:rsidRPr="00DF7AC4">
              <w:rPr>
                <w:rFonts w:ascii="Calibri" w:hAnsi="Calibri" w:cs="Calibri"/>
                <w:b/>
                <w:bCs/>
                <w:sz w:val="20"/>
                <w:szCs w:val="20"/>
              </w:rPr>
              <w:t>883 295</w:t>
            </w:r>
          </w:p>
        </w:tc>
        <w:tc>
          <w:tcPr>
            <w:tcW w:w="1169" w:type="dxa"/>
            <w:vAlign w:val="center"/>
            <w:hideMark/>
          </w:tcPr>
          <w:p w:rsidR="006C625A" w:rsidRPr="00DF7AC4" w:rsidRDefault="006C625A" w:rsidP="00AB3BE4">
            <w:pPr>
              <w:spacing w:before="20" w:after="20"/>
              <w:ind w:right="37"/>
              <w:jc w:val="right"/>
              <w:rPr>
                <w:rFonts w:ascii="Calibri" w:hAnsi="Calibri" w:cs="Calibri"/>
                <w:b/>
                <w:bCs/>
                <w:sz w:val="20"/>
                <w:szCs w:val="20"/>
              </w:rPr>
            </w:pPr>
            <w:r w:rsidRPr="00DF7AC4">
              <w:rPr>
                <w:rFonts w:ascii="Calibri" w:hAnsi="Calibri" w:cs="Calibri"/>
                <w:b/>
                <w:bCs/>
                <w:sz w:val="20"/>
                <w:szCs w:val="20"/>
              </w:rPr>
              <w:t>883 239</w:t>
            </w:r>
          </w:p>
        </w:tc>
        <w:tc>
          <w:tcPr>
            <w:tcW w:w="1240" w:type="dxa"/>
            <w:vAlign w:val="center"/>
            <w:hideMark/>
          </w:tcPr>
          <w:p w:rsidR="006C625A" w:rsidRPr="00DF7AC4" w:rsidRDefault="006C625A" w:rsidP="00AB3BE4">
            <w:pPr>
              <w:spacing w:before="20" w:after="20"/>
              <w:ind w:right="37"/>
              <w:jc w:val="right"/>
              <w:rPr>
                <w:rFonts w:ascii="Calibri" w:hAnsi="Calibri" w:cs="Calibri"/>
                <w:b/>
                <w:bCs/>
                <w:sz w:val="20"/>
                <w:szCs w:val="20"/>
              </w:rPr>
            </w:pPr>
            <w:r w:rsidRPr="00DF7AC4">
              <w:rPr>
                <w:rFonts w:ascii="Calibri" w:hAnsi="Calibri" w:cs="Calibri"/>
                <w:b/>
                <w:bCs/>
                <w:sz w:val="20"/>
                <w:szCs w:val="20"/>
              </w:rPr>
              <w:t>861 941</w:t>
            </w:r>
          </w:p>
        </w:tc>
      </w:tr>
      <w:tr w:rsidR="006C625A" w:rsidRPr="00DF7AC4" w:rsidTr="00AB3BE4">
        <w:trPr>
          <w:trHeight w:val="227"/>
        </w:trPr>
        <w:tc>
          <w:tcPr>
            <w:tcW w:w="2875" w:type="dxa"/>
            <w:vAlign w:val="center"/>
            <w:hideMark/>
          </w:tcPr>
          <w:p w:rsidR="006C625A" w:rsidRPr="00DF7AC4" w:rsidRDefault="006C625A" w:rsidP="00AB3BE4">
            <w:pPr>
              <w:spacing w:before="20" w:after="20"/>
              <w:jc w:val="left"/>
              <w:rPr>
                <w:rFonts w:ascii="Calibri" w:hAnsi="Calibri" w:cs="Calibri"/>
                <w:b/>
                <w:bCs/>
                <w:sz w:val="20"/>
                <w:szCs w:val="20"/>
              </w:rPr>
            </w:pPr>
            <w:r w:rsidRPr="00DF7AC4">
              <w:rPr>
                <w:rFonts w:ascii="Calibri" w:hAnsi="Calibri" w:cs="Calibri"/>
                <w:b/>
                <w:bCs/>
                <w:sz w:val="20"/>
                <w:szCs w:val="20"/>
              </w:rPr>
              <w:t>Předpokládaný počet zaměstnanců</w:t>
            </w:r>
          </w:p>
        </w:tc>
        <w:tc>
          <w:tcPr>
            <w:tcW w:w="1239" w:type="dxa"/>
            <w:vAlign w:val="center"/>
            <w:hideMark/>
          </w:tcPr>
          <w:p w:rsidR="006C625A" w:rsidRPr="00DF7AC4" w:rsidRDefault="006C625A" w:rsidP="00AB3BE4">
            <w:pPr>
              <w:spacing w:before="20" w:after="20"/>
              <w:ind w:right="37"/>
              <w:jc w:val="right"/>
              <w:rPr>
                <w:rFonts w:ascii="Calibri" w:hAnsi="Calibri" w:cs="Calibri"/>
                <w:b/>
                <w:bCs/>
                <w:sz w:val="20"/>
                <w:szCs w:val="20"/>
              </w:rPr>
            </w:pPr>
            <w:r w:rsidRPr="00DF7AC4">
              <w:rPr>
                <w:rFonts w:ascii="Calibri" w:hAnsi="Calibri" w:cs="Calibri"/>
                <w:b/>
                <w:bCs/>
                <w:sz w:val="20"/>
                <w:szCs w:val="20"/>
              </w:rPr>
              <w:t>1770</w:t>
            </w:r>
          </w:p>
        </w:tc>
        <w:tc>
          <w:tcPr>
            <w:tcW w:w="1239" w:type="dxa"/>
            <w:vAlign w:val="center"/>
            <w:hideMark/>
          </w:tcPr>
          <w:p w:rsidR="006C625A" w:rsidRPr="00DF7AC4" w:rsidRDefault="006C625A" w:rsidP="00AB3BE4">
            <w:pPr>
              <w:spacing w:before="20" w:after="20"/>
              <w:ind w:right="37"/>
              <w:jc w:val="right"/>
              <w:rPr>
                <w:rFonts w:ascii="Calibri" w:hAnsi="Calibri" w:cs="Calibri"/>
                <w:b/>
                <w:bCs/>
                <w:sz w:val="20"/>
                <w:szCs w:val="20"/>
              </w:rPr>
            </w:pPr>
            <w:r w:rsidRPr="00DF7AC4">
              <w:rPr>
                <w:rFonts w:ascii="Calibri" w:hAnsi="Calibri" w:cs="Calibri"/>
                <w:b/>
                <w:bCs/>
                <w:sz w:val="20"/>
                <w:szCs w:val="20"/>
              </w:rPr>
              <w:t>1695</w:t>
            </w:r>
          </w:p>
        </w:tc>
        <w:tc>
          <w:tcPr>
            <w:tcW w:w="1310" w:type="dxa"/>
            <w:vAlign w:val="center"/>
            <w:hideMark/>
          </w:tcPr>
          <w:p w:rsidR="006C625A" w:rsidRPr="00DF7AC4" w:rsidRDefault="006C625A" w:rsidP="00AB3BE4">
            <w:pPr>
              <w:spacing w:before="20" w:after="20"/>
              <w:ind w:right="37"/>
              <w:jc w:val="right"/>
              <w:rPr>
                <w:rFonts w:ascii="Calibri" w:hAnsi="Calibri" w:cs="Calibri"/>
                <w:b/>
                <w:bCs/>
                <w:sz w:val="20"/>
                <w:szCs w:val="20"/>
              </w:rPr>
            </w:pPr>
            <w:r w:rsidRPr="00DF7AC4">
              <w:rPr>
                <w:rFonts w:ascii="Calibri" w:hAnsi="Calibri" w:cs="Calibri"/>
                <w:b/>
                <w:bCs/>
                <w:sz w:val="20"/>
                <w:szCs w:val="20"/>
              </w:rPr>
              <w:t>1346</w:t>
            </w:r>
          </w:p>
        </w:tc>
        <w:tc>
          <w:tcPr>
            <w:tcW w:w="1169" w:type="dxa"/>
            <w:vAlign w:val="center"/>
            <w:hideMark/>
          </w:tcPr>
          <w:p w:rsidR="006C625A" w:rsidRPr="00DF7AC4" w:rsidRDefault="006C625A" w:rsidP="00AB3BE4">
            <w:pPr>
              <w:spacing w:before="20" w:after="20"/>
              <w:ind w:right="37"/>
              <w:jc w:val="right"/>
              <w:rPr>
                <w:rFonts w:ascii="Calibri" w:hAnsi="Calibri" w:cs="Calibri"/>
                <w:b/>
                <w:bCs/>
                <w:sz w:val="20"/>
                <w:szCs w:val="20"/>
              </w:rPr>
            </w:pPr>
            <w:r w:rsidRPr="00DF7AC4">
              <w:rPr>
                <w:rFonts w:ascii="Calibri" w:hAnsi="Calibri" w:cs="Calibri"/>
                <w:b/>
                <w:bCs/>
                <w:sz w:val="20"/>
                <w:szCs w:val="20"/>
              </w:rPr>
              <w:t>1200</w:t>
            </w:r>
          </w:p>
        </w:tc>
        <w:tc>
          <w:tcPr>
            <w:tcW w:w="1240" w:type="dxa"/>
            <w:vAlign w:val="center"/>
            <w:hideMark/>
          </w:tcPr>
          <w:p w:rsidR="006C625A" w:rsidRPr="00DF7AC4" w:rsidRDefault="006C625A" w:rsidP="00AB3BE4">
            <w:pPr>
              <w:spacing w:before="20" w:after="20"/>
              <w:ind w:right="37"/>
              <w:jc w:val="right"/>
              <w:rPr>
                <w:rFonts w:ascii="Calibri" w:hAnsi="Calibri" w:cs="Calibri"/>
                <w:b/>
                <w:bCs/>
                <w:sz w:val="20"/>
                <w:szCs w:val="20"/>
              </w:rPr>
            </w:pPr>
            <w:r w:rsidRPr="00DF7AC4">
              <w:rPr>
                <w:rFonts w:ascii="Calibri" w:hAnsi="Calibri" w:cs="Calibri"/>
                <w:b/>
                <w:bCs/>
                <w:sz w:val="20"/>
                <w:szCs w:val="20"/>
              </w:rPr>
              <w:t>1415</w:t>
            </w:r>
          </w:p>
        </w:tc>
      </w:tr>
    </w:tbl>
    <w:p w:rsidR="006C625A" w:rsidRPr="00DF7AC4" w:rsidRDefault="006C625A" w:rsidP="00AB3BE4">
      <w:pPr>
        <w:spacing w:before="40" w:line="264" w:lineRule="auto"/>
        <w:ind w:left="567" w:hanging="567"/>
        <w:rPr>
          <w:rFonts w:cstheme="minorHAnsi"/>
          <w:bCs/>
          <w:iCs/>
          <w:sz w:val="20"/>
          <w:szCs w:val="20"/>
        </w:rPr>
      </w:pPr>
      <w:r w:rsidRPr="00CA6C58">
        <w:rPr>
          <w:b/>
          <w:sz w:val="20"/>
          <w:szCs w:val="20"/>
        </w:rPr>
        <w:t>Zdroj</w:t>
      </w:r>
      <w:r w:rsidRPr="00DF7AC4">
        <w:rPr>
          <w:b/>
          <w:sz w:val="20"/>
          <w:szCs w:val="20"/>
        </w:rPr>
        <w:t>:</w:t>
      </w:r>
      <w:r w:rsidRPr="00DF7AC4">
        <w:rPr>
          <w:sz w:val="20"/>
          <w:szCs w:val="20"/>
        </w:rPr>
        <w:t xml:space="preserve"> </w:t>
      </w:r>
      <w:r w:rsidR="00AB3BE4" w:rsidRPr="00DF7AC4">
        <w:rPr>
          <w:sz w:val="20"/>
          <w:szCs w:val="20"/>
        </w:rPr>
        <w:tab/>
      </w:r>
      <w:r w:rsidR="00DF7AC4">
        <w:rPr>
          <w:sz w:val="20"/>
          <w:szCs w:val="20"/>
        </w:rPr>
        <w:t>d</w:t>
      </w:r>
      <w:r w:rsidRPr="00DF7AC4">
        <w:rPr>
          <w:sz w:val="20"/>
          <w:szCs w:val="20"/>
        </w:rPr>
        <w:t>ůvodová zpráva k</w:t>
      </w:r>
      <w:r w:rsidR="00256B81" w:rsidRPr="00DF7AC4">
        <w:rPr>
          <w:sz w:val="20"/>
          <w:szCs w:val="20"/>
        </w:rPr>
        <w:t xml:space="preserve"> </w:t>
      </w:r>
      <w:r w:rsidRPr="00DF7AC4">
        <w:rPr>
          <w:sz w:val="20"/>
          <w:szCs w:val="20"/>
        </w:rPr>
        <w:t xml:space="preserve">zákonu </w:t>
      </w:r>
      <w:r w:rsidRPr="00DF7AC4">
        <w:rPr>
          <w:rFonts w:cstheme="minorHAnsi"/>
          <w:sz w:val="20"/>
          <w:szCs w:val="20"/>
        </w:rPr>
        <w:t>č. 503/2012 Sb.</w:t>
      </w:r>
      <w:r w:rsidRPr="00DF7AC4">
        <w:rPr>
          <w:sz w:val="20"/>
          <w:szCs w:val="20"/>
        </w:rPr>
        <w:t xml:space="preserve">, </w:t>
      </w:r>
      <w:r w:rsidRPr="00DF7AC4">
        <w:rPr>
          <w:rFonts w:cstheme="minorHAnsi"/>
          <w:bCs/>
          <w:iCs/>
          <w:sz w:val="20"/>
          <w:szCs w:val="20"/>
        </w:rPr>
        <w:t>sdělení SPÚ čj. SPU</w:t>
      </w:r>
      <w:r w:rsidR="00DF7AC4">
        <w:rPr>
          <w:rFonts w:cstheme="minorHAnsi"/>
          <w:bCs/>
          <w:iCs/>
          <w:sz w:val="20"/>
          <w:szCs w:val="20"/>
        </w:rPr>
        <w:t> </w:t>
      </w:r>
      <w:r w:rsidRPr="00DF7AC4">
        <w:rPr>
          <w:rFonts w:cstheme="minorHAnsi"/>
          <w:bCs/>
          <w:iCs/>
          <w:sz w:val="20"/>
          <w:szCs w:val="20"/>
        </w:rPr>
        <w:t>189935/2015 ze dne 10. 4. 2015,</w:t>
      </w:r>
      <w:r w:rsidRPr="00DF7AC4">
        <w:rPr>
          <w:sz w:val="20"/>
          <w:szCs w:val="20"/>
        </w:rPr>
        <w:t xml:space="preserve"> </w:t>
      </w:r>
      <w:r w:rsidRPr="00DF7AC4">
        <w:rPr>
          <w:rFonts w:cstheme="minorHAnsi"/>
          <w:bCs/>
          <w:iCs/>
          <w:sz w:val="20"/>
          <w:szCs w:val="20"/>
        </w:rPr>
        <w:t xml:space="preserve">informační systém </w:t>
      </w:r>
      <w:r w:rsidRPr="00CA6C58">
        <w:rPr>
          <w:rFonts w:cstheme="minorHAnsi"/>
          <w:bCs/>
          <w:i/>
          <w:iCs/>
          <w:sz w:val="20"/>
          <w:szCs w:val="20"/>
        </w:rPr>
        <w:t>Microsoft Dynamics NAV</w:t>
      </w:r>
      <w:r w:rsidR="002B4522" w:rsidRPr="00DF7AC4">
        <w:rPr>
          <w:rFonts w:cstheme="minorHAnsi"/>
          <w:bCs/>
          <w:iCs/>
          <w:sz w:val="20"/>
          <w:szCs w:val="20"/>
        </w:rPr>
        <w:t>.</w:t>
      </w:r>
    </w:p>
    <w:p w:rsidR="006C625A" w:rsidRPr="00CA6C58" w:rsidRDefault="006C625A" w:rsidP="00AB3BE4">
      <w:pPr>
        <w:tabs>
          <w:tab w:val="left" w:pos="1134"/>
        </w:tabs>
        <w:spacing w:line="264" w:lineRule="auto"/>
        <w:rPr>
          <w:rFonts w:ascii="Calibri" w:hAnsi="Calibri" w:cs="Calibri"/>
          <w:b/>
          <w:bCs/>
          <w:iCs/>
          <w:sz w:val="20"/>
          <w:szCs w:val="20"/>
        </w:rPr>
      </w:pPr>
      <w:r w:rsidRPr="00CA6C58">
        <w:rPr>
          <w:rFonts w:ascii="Calibri" w:hAnsi="Calibri" w:cs="Calibri"/>
          <w:b/>
          <w:bCs/>
          <w:iCs/>
          <w:sz w:val="20"/>
          <w:szCs w:val="20"/>
        </w:rPr>
        <w:t>Poznámky:</w:t>
      </w:r>
    </w:p>
    <w:p w:rsidR="006C625A" w:rsidRPr="00DF7AC4" w:rsidRDefault="006C625A" w:rsidP="00D72A28">
      <w:pPr>
        <w:tabs>
          <w:tab w:val="left" w:pos="1134"/>
        </w:tabs>
        <w:spacing w:line="264" w:lineRule="auto"/>
        <w:ind w:left="454" w:hanging="454"/>
        <w:rPr>
          <w:rFonts w:ascii="Calibri" w:hAnsi="Calibri" w:cs="Calibri"/>
          <w:bCs/>
          <w:iCs/>
          <w:sz w:val="20"/>
          <w:szCs w:val="20"/>
        </w:rPr>
      </w:pPr>
      <w:r w:rsidRPr="00DF7AC4">
        <w:rPr>
          <w:rFonts w:ascii="Calibri" w:hAnsi="Calibri" w:cs="Calibri"/>
          <w:bCs/>
          <w:iCs/>
          <w:sz w:val="20"/>
          <w:szCs w:val="20"/>
        </w:rPr>
        <w:t>*</w:t>
      </w:r>
      <w:r w:rsidR="00D72A28" w:rsidRPr="00DF7AC4">
        <w:rPr>
          <w:rFonts w:ascii="Calibri" w:hAnsi="Calibri" w:cs="Calibri"/>
          <w:bCs/>
          <w:iCs/>
          <w:sz w:val="20"/>
          <w:szCs w:val="20"/>
        </w:rPr>
        <w:tab/>
      </w:r>
      <w:r w:rsidRPr="00DF7AC4">
        <w:rPr>
          <w:rFonts w:ascii="Calibri" w:hAnsi="Calibri" w:cs="Calibri"/>
          <w:bCs/>
          <w:iCs/>
          <w:sz w:val="20"/>
          <w:szCs w:val="20"/>
        </w:rPr>
        <w:t>Sloupce „Skutečnost dle účetnictví SPÚ“ obsahují skutečné náklady SPÚ v</w:t>
      </w:r>
      <w:r w:rsidR="00256B81" w:rsidRPr="00DF7AC4">
        <w:rPr>
          <w:rFonts w:ascii="Calibri" w:hAnsi="Calibri" w:cs="Calibri"/>
          <w:bCs/>
          <w:iCs/>
          <w:sz w:val="20"/>
          <w:szCs w:val="20"/>
        </w:rPr>
        <w:t xml:space="preserve"> </w:t>
      </w:r>
      <w:r w:rsidRPr="00DF7AC4">
        <w:rPr>
          <w:rFonts w:ascii="Calibri" w:hAnsi="Calibri" w:cs="Calibri"/>
          <w:bCs/>
          <w:iCs/>
          <w:sz w:val="20"/>
          <w:szCs w:val="20"/>
        </w:rPr>
        <w:t>letech 2013 a 2014. Nebylo možné vyčíslit příslušné výdaje za SPÚ dle položek rozpočtové skladby, neboť tyto výdaje zahrnují i výdaje týkající se nemovitostí, které byly do 31. 12. 2012 ve správě PF ČR nebo pozemkových úprav (které nebyly zahrnuty</w:t>
      </w:r>
      <w:r w:rsidR="00DE618E" w:rsidRPr="00DF7AC4">
        <w:rPr>
          <w:rFonts w:ascii="Calibri" w:hAnsi="Calibri" w:cs="Calibri"/>
          <w:bCs/>
          <w:iCs/>
          <w:sz w:val="20"/>
          <w:szCs w:val="20"/>
        </w:rPr>
        <w:t xml:space="preserve"> v</w:t>
      </w:r>
      <w:r w:rsidR="00256B81" w:rsidRPr="00DF7AC4">
        <w:rPr>
          <w:rFonts w:ascii="Calibri" w:hAnsi="Calibri" w:cs="Calibri"/>
          <w:bCs/>
          <w:iCs/>
          <w:sz w:val="20"/>
          <w:szCs w:val="20"/>
        </w:rPr>
        <w:t> </w:t>
      </w:r>
      <w:r w:rsidR="00DE618E" w:rsidRPr="00DF7AC4">
        <w:rPr>
          <w:rFonts w:ascii="Calibri" w:hAnsi="Calibri" w:cs="Calibri"/>
          <w:bCs/>
          <w:iCs/>
          <w:sz w:val="20"/>
          <w:szCs w:val="20"/>
        </w:rPr>
        <w:t xml:space="preserve">položkách „Režijní výdaje“ </w:t>
      </w:r>
      <w:r w:rsidR="002B4522" w:rsidRPr="00DF7AC4">
        <w:rPr>
          <w:rFonts w:ascii="Calibri" w:hAnsi="Calibri" w:cs="Calibri"/>
          <w:bCs/>
          <w:iCs/>
          <w:sz w:val="20"/>
          <w:szCs w:val="20"/>
        </w:rPr>
        <w:t>nebo</w:t>
      </w:r>
      <w:r w:rsidR="00256B81" w:rsidRPr="00DF7AC4">
        <w:rPr>
          <w:rFonts w:ascii="Calibri" w:hAnsi="Calibri" w:cs="Calibri"/>
          <w:bCs/>
          <w:iCs/>
          <w:sz w:val="20"/>
          <w:szCs w:val="20"/>
        </w:rPr>
        <w:t xml:space="preserve"> </w:t>
      </w:r>
      <w:r w:rsidRPr="00DF7AC4">
        <w:rPr>
          <w:rFonts w:ascii="Calibri" w:hAnsi="Calibri" w:cs="Calibri"/>
          <w:bCs/>
          <w:iCs/>
          <w:sz w:val="20"/>
          <w:szCs w:val="20"/>
        </w:rPr>
        <w:t xml:space="preserve">„Investiční výdaje“).  </w:t>
      </w:r>
    </w:p>
    <w:p w:rsidR="006C625A" w:rsidRPr="00DF7AC4" w:rsidRDefault="006C625A" w:rsidP="00D72A28">
      <w:pPr>
        <w:tabs>
          <w:tab w:val="left" w:pos="1134"/>
        </w:tabs>
        <w:spacing w:line="264" w:lineRule="auto"/>
        <w:ind w:left="454" w:hanging="454"/>
        <w:rPr>
          <w:rFonts w:ascii="Calibri" w:hAnsi="Calibri" w:cs="Calibri"/>
          <w:bCs/>
          <w:iCs/>
          <w:sz w:val="20"/>
          <w:szCs w:val="20"/>
        </w:rPr>
      </w:pPr>
      <w:r w:rsidRPr="00DF7AC4">
        <w:rPr>
          <w:rFonts w:ascii="Calibri" w:hAnsi="Calibri" w:cs="Calibri"/>
          <w:bCs/>
          <w:iCs/>
          <w:sz w:val="20"/>
          <w:szCs w:val="20"/>
        </w:rPr>
        <w:t>**</w:t>
      </w:r>
      <w:r w:rsidR="00D72A28" w:rsidRPr="00DF7AC4">
        <w:rPr>
          <w:rFonts w:ascii="Calibri" w:hAnsi="Calibri" w:cs="Calibri"/>
          <w:bCs/>
          <w:iCs/>
          <w:sz w:val="20"/>
          <w:szCs w:val="20"/>
        </w:rPr>
        <w:tab/>
      </w:r>
      <w:r w:rsidRPr="00DF7AC4">
        <w:rPr>
          <w:rFonts w:ascii="Calibri" w:hAnsi="Calibri" w:cs="Calibri"/>
          <w:bCs/>
          <w:iCs/>
          <w:sz w:val="20"/>
          <w:szCs w:val="20"/>
        </w:rPr>
        <w:t>Uvedené režijní náklady nezahrnují režijní náklady za celý SPÚ (resp. v</w:t>
      </w:r>
      <w:r w:rsidR="00256B81" w:rsidRPr="00DF7AC4">
        <w:rPr>
          <w:rFonts w:ascii="Calibri" w:hAnsi="Calibri" w:cs="Calibri"/>
          <w:bCs/>
          <w:iCs/>
          <w:sz w:val="20"/>
          <w:szCs w:val="20"/>
        </w:rPr>
        <w:t xml:space="preserve"> </w:t>
      </w:r>
      <w:r w:rsidRPr="00DF7AC4">
        <w:rPr>
          <w:rFonts w:ascii="Calibri" w:hAnsi="Calibri" w:cs="Calibri"/>
          <w:bCs/>
          <w:iCs/>
          <w:sz w:val="20"/>
          <w:szCs w:val="20"/>
        </w:rPr>
        <w:t>letech 2011 a 2012 za PF), ale jen jejich část vztahující se k</w:t>
      </w:r>
      <w:r w:rsidR="00256B81" w:rsidRPr="00DF7AC4">
        <w:rPr>
          <w:rFonts w:ascii="Calibri" w:hAnsi="Calibri" w:cs="Calibri"/>
          <w:bCs/>
          <w:iCs/>
          <w:sz w:val="20"/>
          <w:szCs w:val="20"/>
        </w:rPr>
        <w:t xml:space="preserve"> </w:t>
      </w:r>
      <w:r w:rsidRPr="00DF7AC4">
        <w:rPr>
          <w:rFonts w:ascii="Calibri" w:hAnsi="Calibri" w:cs="Calibri"/>
          <w:bCs/>
          <w:iCs/>
          <w:sz w:val="20"/>
          <w:szCs w:val="20"/>
        </w:rPr>
        <w:t>fungování samotného SPÚ (resp. PF) a vykazované v „typu činnosti“ 01</w:t>
      </w:r>
      <w:r w:rsidR="002B4522" w:rsidRPr="00DF7AC4">
        <w:rPr>
          <w:rFonts w:ascii="Calibri" w:hAnsi="Calibri" w:cs="Calibri"/>
          <w:bCs/>
          <w:iCs/>
          <w:sz w:val="20"/>
          <w:szCs w:val="20"/>
        </w:rPr>
        <w:t> –</w:t>
      </w:r>
      <w:r w:rsidRPr="00DF7AC4">
        <w:rPr>
          <w:rFonts w:ascii="Calibri" w:hAnsi="Calibri" w:cs="Calibri"/>
          <w:bCs/>
          <w:iCs/>
          <w:sz w:val="20"/>
          <w:szCs w:val="20"/>
        </w:rPr>
        <w:t xml:space="preserve"> </w:t>
      </w:r>
      <w:r w:rsidRPr="00CA6C58">
        <w:rPr>
          <w:rFonts w:ascii="Calibri" w:hAnsi="Calibri" w:cs="Calibri"/>
          <w:bCs/>
          <w:i/>
          <w:iCs/>
          <w:sz w:val="20"/>
          <w:szCs w:val="20"/>
        </w:rPr>
        <w:t>Režijní náklady</w:t>
      </w:r>
      <w:r w:rsidRPr="00DF7AC4">
        <w:rPr>
          <w:rFonts w:ascii="Calibri" w:hAnsi="Calibri" w:cs="Calibri"/>
          <w:bCs/>
          <w:iCs/>
          <w:sz w:val="20"/>
          <w:szCs w:val="20"/>
        </w:rPr>
        <w:t xml:space="preserve"> (nezahrnuje např. režijní náklady týkající se nemovitostí, které by</w:t>
      </w:r>
      <w:r w:rsidR="00D72A28" w:rsidRPr="00DF7AC4">
        <w:rPr>
          <w:rFonts w:ascii="Calibri" w:hAnsi="Calibri" w:cs="Calibri"/>
          <w:bCs/>
          <w:iCs/>
          <w:sz w:val="20"/>
          <w:szCs w:val="20"/>
        </w:rPr>
        <w:t>ly do 31. 12. 2012 ve správě PF </w:t>
      </w:r>
      <w:r w:rsidRPr="00DF7AC4">
        <w:rPr>
          <w:rFonts w:ascii="Calibri" w:hAnsi="Calibri" w:cs="Calibri"/>
          <w:bCs/>
          <w:iCs/>
          <w:sz w:val="20"/>
          <w:szCs w:val="20"/>
        </w:rPr>
        <w:t>ČR nebo pozemkových úprav). Vzhledem k</w:t>
      </w:r>
      <w:r w:rsidR="00256B81" w:rsidRPr="00DF7AC4">
        <w:rPr>
          <w:rFonts w:ascii="Calibri" w:hAnsi="Calibri" w:cs="Calibri"/>
          <w:bCs/>
          <w:iCs/>
          <w:sz w:val="20"/>
          <w:szCs w:val="20"/>
        </w:rPr>
        <w:t xml:space="preserve"> </w:t>
      </w:r>
      <w:r w:rsidRPr="00DF7AC4">
        <w:rPr>
          <w:rFonts w:ascii="Calibri" w:hAnsi="Calibri" w:cs="Calibri"/>
          <w:bCs/>
          <w:iCs/>
          <w:sz w:val="20"/>
          <w:szCs w:val="20"/>
        </w:rPr>
        <w:t xml:space="preserve">tomu, že toto členění není používáno </w:t>
      </w:r>
      <w:r w:rsidR="002B4522" w:rsidRPr="00DF7AC4">
        <w:rPr>
          <w:rFonts w:ascii="Calibri" w:hAnsi="Calibri" w:cs="Calibri"/>
          <w:bCs/>
          <w:iCs/>
          <w:sz w:val="20"/>
          <w:szCs w:val="20"/>
        </w:rPr>
        <w:t>také</w:t>
      </w:r>
      <w:r w:rsidRPr="00DF7AC4">
        <w:rPr>
          <w:rFonts w:ascii="Calibri" w:hAnsi="Calibri" w:cs="Calibri"/>
          <w:bCs/>
          <w:iCs/>
          <w:sz w:val="20"/>
          <w:szCs w:val="20"/>
        </w:rPr>
        <w:t xml:space="preserve"> při tří</w:t>
      </w:r>
      <w:r w:rsidR="002B4522" w:rsidRPr="00DF7AC4">
        <w:rPr>
          <w:rFonts w:ascii="Calibri" w:hAnsi="Calibri" w:cs="Calibri"/>
          <w:bCs/>
          <w:iCs/>
          <w:sz w:val="20"/>
          <w:szCs w:val="20"/>
        </w:rPr>
        <w:t>dě</w:t>
      </w:r>
      <w:r w:rsidRPr="00DF7AC4">
        <w:rPr>
          <w:rFonts w:ascii="Calibri" w:hAnsi="Calibri" w:cs="Calibri"/>
          <w:bCs/>
          <w:iCs/>
          <w:sz w:val="20"/>
          <w:szCs w:val="20"/>
        </w:rPr>
        <w:t>ní výdajů, není možné stanovit režijní výdaje SPÚ za roky 2013 a 2014.</w:t>
      </w:r>
    </w:p>
    <w:p w:rsidR="006C625A" w:rsidRPr="00DF7AC4" w:rsidRDefault="00D72A28" w:rsidP="00D72A28">
      <w:pPr>
        <w:tabs>
          <w:tab w:val="left" w:pos="0"/>
        </w:tabs>
        <w:spacing w:line="264" w:lineRule="auto"/>
        <w:ind w:left="454" w:hanging="454"/>
        <w:rPr>
          <w:rFonts w:ascii="Calibri" w:hAnsi="Calibri" w:cs="Calibri"/>
          <w:bCs/>
          <w:iCs/>
          <w:sz w:val="20"/>
          <w:szCs w:val="20"/>
        </w:rPr>
      </w:pPr>
      <w:r w:rsidRPr="00DF7AC4">
        <w:rPr>
          <w:rFonts w:ascii="Calibri" w:hAnsi="Calibri" w:cs="Calibri"/>
          <w:bCs/>
          <w:iCs/>
          <w:sz w:val="20"/>
          <w:szCs w:val="20"/>
        </w:rPr>
        <w:t>***</w:t>
      </w:r>
      <w:r w:rsidRPr="00DF7AC4">
        <w:rPr>
          <w:rFonts w:ascii="Calibri" w:hAnsi="Calibri" w:cs="Calibri"/>
          <w:bCs/>
          <w:iCs/>
          <w:sz w:val="20"/>
          <w:szCs w:val="20"/>
        </w:rPr>
        <w:tab/>
      </w:r>
      <w:r w:rsidR="006C625A" w:rsidRPr="00DF7AC4">
        <w:rPr>
          <w:rFonts w:ascii="Calibri" w:hAnsi="Calibri" w:cs="Calibri"/>
          <w:bCs/>
          <w:iCs/>
          <w:sz w:val="20"/>
          <w:szCs w:val="20"/>
        </w:rPr>
        <w:t>Položka označená v</w:t>
      </w:r>
      <w:r w:rsidR="00256B81" w:rsidRPr="00DF7AC4">
        <w:rPr>
          <w:rFonts w:ascii="Calibri" w:hAnsi="Calibri" w:cs="Calibri"/>
          <w:bCs/>
          <w:iCs/>
          <w:sz w:val="20"/>
          <w:szCs w:val="20"/>
        </w:rPr>
        <w:t xml:space="preserve"> </w:t>
      </w:r>
      <w:r w:rsidR="006C625A" w:rsidRPr="00DF7AC4">
        <w:rPr>
          <w:rFonts w:ascii="Calibri" w:hAnsi="Calibri" w:cs="Calibri"/>
          <w:bCs/>
          <w:iCs/>
          <w:sz w:val="20"/>
          <w:szCs w:val="20"/>
        </w:rPr>
        <w:t>důvodové zprávě k</w:t>
      </w:r>
      <w:r w:rsidR="00256B81" w:rsidRPr="00DF7AC4">
        <w:rPr>
          <w:rFonts w:ascii="Calibri" w:hAnsi="Calibri" w:cs="Calibri"/>
          <w:bCs/>
          <w:iCs/>
          <w:sz w:val="20"/>
          <w:szCs w:val="20"/>
        </w:rPr>
        <w:t xml:space="preserve"> </w:t>
      </w:r>
      <w:r w:rsidR="006C625A" w:rsidRPr="00DF7AC4">
        <w:rPr>
          <w:rFonts w:ascii="Calibri" w:hAnsi="Calibri" w:cs="Calibri"/>
          <w:bCs/>
          <w:iCs/>
          <w:sz w:val="20"/>
          <w:szCs w:val="20"/>
        </w:rPr>
        <w:t>zákonu č. 503/2012 Sb. „Daně a poplatky“ byla v</w:t>
      </w:r>
      <w:r w:rsidR="00256B81" w:rsidRPr="00DF7AC4">
        <w:rPr>
          <w:rFonts w:ascii="Calibri" w:hAnsi="Calibri" w:cs="Calibri"/>
          <w:bCs/>
          <w:iCs/>
          <w:sz w:val="20"/>
          <w:szCs w:val="20"/>
        </w:rPr>
        <w:t xml:space="preserve"> </w:t>
      </w:r>
      <w:r w:rsidR="006C625A" w:rsidRPr="00DF7AC4">
        <w:rPr>
          <w:rFonts w:ascii="Calibri" w:hAnsi="Calibri" w:cs="Calibri"/>
          <w:bCs/>
          <w:iCs/>
          <w:sz w:val="20"/>
          <w:szCs w:val="20"/>
        </w:rPr>
        <w:t xml:space="preserve">účetním schématu PF ČR </w:t>
      </w:r>
      <w:r w:rsidR="006C625A" w:rsidRPr="00CA6C58">
        <w:rPr>
          <w:rFonts w:ascii="Calibri" w:hAnsi="Calibri" w:cs="Calibri"/>
          <w:bCs/>
          <w:i/>
          <w:iCs/>
          <w:sz w:val="20"/>
          <w:szCs w:val="20"/>
        </w:rPr>
        <w:t>Provozní náklady PF ČR</w:t>
      </w:r>
      <w:r w:rsidR="006C625A" w:rsidRPr="00DF7AC4">
        <w:rPr>
          <w:rFonts w:ascii="Calibri" w:hAnsi="Calibri" w:cs="Calibri"/>
          <w:bCs/>
          <w:iCs/>
          <w:sz w:val="20"/>
          <w:szCs w:val="20"/>
        </w:rPr>
        <w:t xml:space="preserve"> označena „Finanční náklady celkem“ (zahrnovala náklady na vybran</w:t>
      </w:r>
      <w:r w:rsidR="00DE618E" w:rsidRPr="00DF7AC4">
        <w:rPr>
          <w:rFonts w:ascii="Calibri" w:hAnsi="Calibri" w:cs="Calibri"/>
          <w:bCs/>
          <w:iCs/>
          <w:sz w:val="20"/>
          <w:szCs w:val="20"/>
        </w:rPr>
        <w:t>ých účtech za „typ činnosti“ 01</w:t>
      </w:r>
      <w:r w:rsidR="002B4522" w:rsidRPr="00DF7AC4">
        <w:rPr>
          <w:rFonts w:ascii="Calibri" w:hAnsi="Calibri" w:cs="Calibri"/>
          <w:bCs/>
          <w:iCs/>
          <w:sz w:val="20"/>
          <w:szCs w:val="20"/>
        </w:rPr>
        <w:t> –</w:t>
      </w:r>
      <w:r w:rsidR="00256B81" w:rsidRPr="00DF7AC4">
        <w:rPr>
          <w:rFonts w:ascii="Calibri" w:hAnsi="Calibri" w:cs="Calibri"/>
          <w:bCs/>
          <w:iCs/>
          <w:sz w:val="20"/>
          <w:szCs w:val="20"/>
        </w:rPr>
        <w:t xml:space="preserve"> </w:t>
      </w:r>
      <w:r w:rsidR="006C625A" w:rsidRPr="00CA6C58">
        <w:rPr>
          <w:rFonts w:ascii="Calibri" w:hAnsi="Calibri" w:cs="Calibri"/>
          <w:bCs/>
          <w:i/>
          <w:iCs/>
          <w:sz w:val="20"/>
          <w:szCs w:val="20"/>
        </w:rPr>
        <w:t>Režijní náklady</w:t>
      </w:r>
      <w:r w:rsidR="006C625A" w:rsidRPr="00DF7AC4">
        <w:rPr>
          <w:rFonts w:ascii="Calibri" w:hAnsi="Calibri" w:cs="Calibri"/>
          <w:bCs/>
          <w:iCs/>
          <w:sz w:val="20"/>
          <w:szCs w:val="20"/>
        </w:rPr>
        <w:t>) a kromě daní a poplatků v</w:t>
      </w:r>
      <w:r w:rsidR="00256B81" w:rsidRPr="00DF7AC4">
        <w:rPr>
          <w:rFonts w:ascii="Calibri" w:hAnsi="Calibri" w:cs="Calibri"/>
          <w:bCs/>
          <w:iCs/>
          <w:sz w:val="20"/>
          <w:szCs w:val="20"/>
        </w:rPr>
        <w:t xml:space="preserve"> </w:t>
      </w:r>
      <w:r w:rsidR="006C625A" w:rsidRPr="00DF7AC4">
        <w:rPr>
          <w:rFonts w:ascii="Calibri" w:hAnsi="Calibri" w:cs="Calibri"/>
          <w:bCs/>
          <w:iCs/>
          <w:sz w:val="20"/>
          <w:szCs w:val="20"/>
        </w:rPr>
        <w:t>ní byly obsaženy též náklady na kolky, pojištění majetku, bankovní výlohy apod. Stejně nazvané účetní schéma v</w:t>
      </w:r>
      <w:r w:rsidR="00256B81" w:rsidRPr="00DF7AC4">
        <w:rPr>
          <w:rFonts w:ascii="Calibri" w:hAnsi="Calibri" w:cs="Calibri"/>
          <w:bCs/>
          <w:iCs/>
          <w:sz w:val="20"/>
          <w:szCs w:val="20"/>
        </w:rPr>
        <w:t xml:space="preserve"> </w:t>
      </w:r>
      <w:r w:rsidR="006C625A" w:rsidRPr="00DF7AC4">
        <w:rPr>
          <w:rFonts w:ascii="Calibri" w:hAnsi="Calibri" w:cs="Calibri"/>
          <w:bCs/>
          <w:iCs/>
          <w:sz w:val="20"/>
          <w:szCs w:val="20"/>
        </w:rPr>
        <w:t xml:space="preserve">účetním schématu SPÚ generuje jiné položky v jiném rozsahu, proto byla výše nákladů na „daně a poplatky“ určena analogicky dle obsahu položky </w:t>
      </w:r>
      <w:r w:rsidR="006C625A" w:rsidRPr="00CA6C58">
        <w:rPr>
          <w:rFonts w:ascii="Calibri" w:hAnsi="Calibri" w:cs="Calibri"/>
          <w:bCs/>
          <w:i/>
          <w:iCs/>
          <w:sz w:val="20"/>
          <w:szCs w:val="20"/>
        </w:rPr>
        <w:t>Finanční náklady celkem</w:t>
      </w:r>
      <w:r w:rsidR="006C625A" w:rsidRPr="00DF7AC4">
        <w:rPr>
          <w:rFonts w:ascii="Calibri" w:hAnsi="Calibri" w:cs="Calibri"/>
          <w:bCs/>
          <w:iCs/>
          <w:sz w:val="20"/>
          <w:szCs w:val="20"/>
        </w:rPr>
        <w:t xml:space="preserve"> v</w:t>
      </w:r>
      <w:r w:rsidR="00256B81" w:rsidRPr="00DF7AC4">
        <w:rPr>
          <w:rFonts w:ascii="Calibri" w:hAnsi="Calibri" w:cs="Calibri"/>
          <w:bCs/>
          <w:iCs/>
          <w:sz w:val="20"/>
          <w:szCs w:val="20"/>
        </w:rPr>
        <w:t xml:space="preserve"> </w:t>
      </w:r>
      <w:r w:rsidR="006C625A" w:rsidRPr="00DF7AC4">
        <w:rPr>
          <w:rFonts w:ascii="Calibri" w:hAnsi="Calibri" w:cs="Calibri"/>
          <w:bCs/>
          <w:iCs/>
          <w:sz w:val="20"/>
          <w:szCs w:val="20"/>
        </w:rPr>
        <w:t xml:space="preserve">účetním schématu PF ČR </w:t>
      </w:r>
      <w:r w:rsidR="006C625A" w:rsidRPr="00CA6C58">
        <w:rPr>
          <w:rFonts w:ascii="Calibri" w:hAnsi="Calibri" w:cs="Calibri"/>
          <w:bCs/>
          <w:i/>
          <w:iCs/>
          <w:sz w:val="20"/>
          <w:szCs w:val="20"/>
        </w:rPr>
        <w:t>Provozní náklady PF ČR</w:t>
      </w:r>
      <w:r w:rsidR="006C625A" w:rsidRPr="00DF7AC4">
        <w:rPr>
          <w:rFonts w:ascii="Calibri" w:hAnsi="Calibri" w:cs="Calibri"/>
          <w:bCs/>
          <w:iCs/>
          <w:sz w:val="20"/>
          <w:szCs w:val="20"/>
        </w:rPr>
        <w:t>. Vzhledem k</w:t>
      </w:r>
      <w:r w:rsidR="00256B81" w:rsidRPr="00DF7AC4">
        <w:rPr>
          <w:rFonts w:ascii="Calibri" w:hAnsi="Calibri" w:cs="Calibri"/>
          <w:bCs/>
          <w:iCs/>
          <w:sz w:val="20"/>
          <w:szCs w:val="20"/>
        </w:rPr>
        <w:t xml:space="preserve"> </w:t>
      </w:r>
      <w:r w:rsidR="006C625A" w:rsidRPr="00DF7AC4">
        <w:rPr>
          <w:rFonts w:ascii="Calibri" w:hAnsi="Calibri" w:cs="Calibri"/>
          <w:bCs/>
          <w:iCs/>
          <w:sz w:val="20"/>
          <w:szCs w:val="20"/>
        </w:rPr>
        <w:t>tomu, že položka zahrnovala pouze náklady vykazované v „typu čin</w:t>
      </w:r>
      <w:r w:rsidRPr="00DF7AC4">
        <w:rPr>
          <w:rFonts w:ascii="Calibri" w:hAnsi="Calibri" w:cs="Calibri"/>
          <w:bCs/>
          <w:iCs/>
          <w:sz w:val="20"/>
          <w:szCs w:val="20"/>
        </w:rPr>
        <w:t xml:space="preserve">nosti“ </w:t>
      </w:r>
      <w:r w:rsidR="001A449C">
        <w:rPr>
          <w:rFonts w:ascii="Calibri" w:hAnsi="Calibri" w:cs="Calibri"/>
          <w:bCs/>
          <w:iCs/>
          <w:sz w:val="20"/>
          <w:szCs w:val="20"/>
        </w:rPr>
        <w:br/>
      </w:r>
      <w:r w:rsidRPr="00DF7AC4">
        <w:rPr>
          <w:rFonts w:ascii="Calibri" w:hAnsi="Calibri" w:cs="Calibri"/>
          <w:bCs/>
          <w:iCs/>
          <w:sz w:val="20"/>
          <w:szCs w:val="20"/>
        </w:rPr>
        <w:t>01 </w:t>
      </w:r>
      <w:r w:rsidR="002B4522" w:rsidRPr="00DF7AC4">
        <w:rPr>
          <w:rFonts w:ascii="Calibri" w:hAnsi="Calibri" w:cs="Calibri"/>
          <w:bCs/>
          <w:iCs/>
          <w:sz w:val="20"/>
          <w:szCs w:val="20"/>
        </w:rPr>
        <w:t xml:space="preserve">– </w:t>
      </w:r>
      <w:r w:rsidR="00DE618E" w:rsidRPr="00CA6C58">
        <w:rPr>
          <w:rFonts w:ascii="Calibri" w:hAnsi="Calibri" w:cs="Calibri"/>
          <w:bCs/>
          <w:i/>
          <w:iCs/>
          <w:sz w:val="20"/>
          <w:szCs w:val="20"/>
        </w:rPr>
        <w:t>Režijní náklady</w:t>
      </w:r>
      <w:r w:rsidR="00DE618E" w:rsidRPr="00DF7AC4">
        <w:rPr>
          <w:rFonts w:ascii="Calibri" w:hAnsi="Calibri" w:cs="Calibri"/>
          <w:bCs/>
          <w:iCs/>
          <w:sz w:val="20"/>
          <w:szCs w:val="20"/>
        </w:rPr>
        <w:t xml:space="preserve"> a</w:t>
      </w:r>
      <w:r w:rsidR="00256B81" w:rsidRPr="00DF7AC4">
        <w:rPr>
          <w:rFonts w:ascii="Calibri" w:hAnsi="Calibri" w:cs="Calibri"/>
          <w:bCs/>
          <w:iCs/>
          <w:sz w:val="20"/>
          <w:szCs w:val="20"/>
        </w:rPr>
        <w:t xml:space="preserve"> </w:t>
      </w:r>
      <w:r w:rsidR="006C625A" w:rsidRPr="00DF7AC4">
        <w:rPr>
          <w:rFonts w:ascii="Calibri" w:hAnsi="Calibri" w:cs="Calibri"/>
          <w:bCs/>
          <w:iCs/>
          <w:sz w:val="20"/>
          <w:szCs w:val="20"/>
        </w:rPr>
        <w:t xml:space="preserve">toto členění není používáno </w:t>
      </w:r>
      <w:r w:rsidR="002B4522" w:rsidRPr="00DF7AC4">
        <w:rPr>
          <w:rFonts w:ascii="Calibri" w:hAnsi="Calibri" w:cs="Calibri"/>
          <w:bCs/>
          <w:iCs/>
          <w:sz w:val="20"/>
          <w:szCs w:val="20"/>
        </w:rPr>
        <w:t>také</w:t>
      </w:r>
      <w:r w:rsidR="006C625A" w:rsidRPr="00DF7AC4">
        <w:rPr>
          <w:rFonts w:ascii="Calibri" w:hAnsi="Calibri" w:cs="Calibri"/>
          <w:bCs/>
          <w:iCs/>
          <w:sz w:val="20"/>
          <w:szCs w:val="20"/>
        </w:rPr>
        <w:t xml:space="preserve"> při tří</w:t>
      </w:r>
      <w:r w:rsidR="002B4522" w:rsidRPr="00DF7AC4">
        <w:rPr>
          <w:rFonts w:ascii="Calibri" w:hAnsi="Calibri" w:cs="Calibri"/>
          <w:bCs/>
          <w:iCs/>
          <w:sz w:val="20"/>
          <w:szCs w:val="20"/>
        </w:rPr>
        <w:t>dě</w:t>
      </w:r>
      <w:r w:rsidR="006C625A" w:rsidRPr="00DF7AC4">
        <w:rPr>
          <w:rFonts w:ascii="Calibri" w:hAnsi="Calibri" w:cs="Calibri"/>
          <w:bCs/>
          <w:iCs/>
          <w:sz w:val="20"/>
          <w:szCs w:val="20"/>
        </w:rPr>
        <w:t>ní výdajů, není možné stanovit výši této položky za roky 2013 a 2014.</w:t>
      </w:r>
    </w:p>
    <w:p w:rsidR="006C625A" w:rsidRPr="00DF7AC4" w:rsidRDefault="006C625A" w:rsidP="00D72A28">
      <w:pPr>
        <w:pStyle w:val="Textpoznpodarou"/>
        <w:spacing w:line="264" w:lineRule="auto"/>
        <w:ind w:left="454" w:hanging="454"/>
        <w:rPr>
          <w:rFonts w:ascii="Calibri" w:hAnsi="Calibri" w:cs="Calibri"/>
        </w:rPr>
      </w:pPr>
      <w:r w:rsidRPr="00DF7AC4">
        <w:rPr>
          <w:rFonts w:ascii="Calibri" w:hAnsi="Calibri" w:cs="Calibri"/>
          <w:spacing w:val="-20"/>
        </w:rPr>
        <w:t>***</w:t>
      </w:r>
      <w:r w:rsidRPr="00DF7AC4">
        <w:rPr>
          <w:rFonts w:ascii="Calibri" w:hAnsi="Calibri" w:cs="Calibri"/>
          <w:bCs/>
          <w:iCs/>
        </w:rPr>
        <w:t>*</w:t>
      </w:r>
      <w:r w:rsidR="00D72A28" w:rsidRPr="00DF7AC4">
        <w:rPr>
          <w:rFonts w:ascii="Calibri" w:hAnsi="Calibri" w:cs="Calibri"/>
          <w:bCs/>
          <w:iCs/>
        </w:rPr>
        <w:tab/>
      </w:r>
      <w:r w:rsidRPr="00DF7AC4">
        <w:rPr>
          <w:rFonts w:ascii="Calibri" w:hAnsi="Calibri" w:cs="Calibri"/>
        </w:rPr>
        <w:t>Ve sloupcích „Skutečné náklady dle účetnictví SPÚ“ jsou v</w:t>
      </w:r>
      <w:r w:rsidR="00256B81" w:rsidRPr="00DF7AC4">
        <w:rPr>
          <w:rFonts w:ascii="Calibri" w:hAnsi="Calibri" w:cs="Calibri"/>
        </w:rPr>
        <w:t xml:space="preserve"> </w:t>
      </w:r>
      <w:r w:rsidRPr="00DF7AC4">
        <w:rPr>
          <w:rFonts w:ascii="Calibri" w:hAnsi="Calibri" w:cs="Calibri"/>
        </w:rPr>
        <w:t>jednotlivých letech uvedeny obraty MD na účtu 041</w:t>
      </w:r>
      <w:r w:rsidR="002B4522" w:rsidRPr="00DF7AC4">
        <w:rPr>
          <w:rFonts w:ascii="Calibri" w:hAnsi="Calibri" w:cs="Calibri"/>
        </w:rPr>
        <w:t> –</w:t>
      </w:r>
      <w:r w:rsidRPr="00DF7AC4">
        <w:rPr>
          <w:rFonts w:ascii="Calibri" w:hAnsi="Calibri" w:cs="Calibri"/>
        </w:rPr>
        <w:t xml:space="preserve"> </w:t>
      </w:r>
      <w:r w:rsidRPr="00CA6C58">
        <w:rPr>
          <w:rFonts w:ascii="Calibri" w:hAnsi="Calibri" w:cs="Calibri"/>
          <w:i/>
        </w:rPr>
        <w:t>Nedokončený dlouhodobý nehmotný majetek</w:t>
      </w:r>
      <w:r w:rsidRPr="00DF7AC4">
        <w:rPr>
          <w:rFonts w:ascii="Calibri" w:hAnsi="Calibri" w:cs="Calibri"/>
        </w:rPr>
        <w:t xml:space="preserve"> a na analytických účtech 042</w:t>
      </w:r>
      <w:r w:rsidR="002B4522" w:rsidRPr="00DF7AC4">
        <w:rPr>
          <w:rFonts w:ascii="Calibri" w:hAnsi="Calibri" w:cs="Calibri"/>
        </w:rPr>
        <w:t> –</w:t>
      </w:r>
      <w:r w:rsidRPr="00DF7AC4">
        <w:rPr>
          <w:rFonts w:ascii="Calibri" w:hAnsi="Calibri" w:cs="Calibri"/>
        </w:rPr>
        <w:t xml:space="preserve"> </w:t>
      </w:r>
      <w:r w:rsidRPr="00CA6C58">
        <w:rPr>
          <w:rFonts w:ascii="Calibri" w:hAnsi="Calibri" w:cs="Calibri"/>
          <w:i/>
        </w:rPr>
        <w:t>Nedokončený dlouhodobý hmotný majetek</w:t>
      </w:r>
      <w:r w:rsidRPr="00DF7AC4">
        <w:rPr>
          <w:rFonts w:ascii="Calibri" w:hAnsi="Calibri" w:cs="Calibri"/>
        </w:rPr>
        <w:t>, na kterých byl účtován vlastní majetek SPÚ (nebyly zahrnuty analytické účty, kde byl účtová</w:t>
      </w:r>
      <w:r w:rsidR="00DE618E" w:rsidRPr="00DF7AC4">
        <w:rPr>
          <w:rFonts w:ascii="Calibri" w:hAnsi="Calibri" w:cs="Calibri"/>
        </w:rPr>
        <w:t>n majetek, který měl do</w:t>
      </w:r>
      <w:r w:rsidR="00256B81" w:rsidRPr="00DF7AC4">
        <w:rPr>
          <w:rFonts w:ascii="Calibri" w:hAnsi="Calibri" w:cs="Calibri"/>
        </w:rPr>
        <w:t xml:space="preserve"> </w:t>
      </w:r>
      <w:r w:rsidR="00DE618E" w:rsidRPr="00DF7AC4">
        <w:rPr>
          <w:rFonts w:ascii="Calibri" w:hAnsi="Calibri" w:cs="Calibri"/>
        </w:rPr>
        <w:t>31.</w:t>
      </w:r>
      <w:r w:rsidR="00256B81" w:rsidRPr="00DF7AC4">
        <w:rPr>
          <w:rFonts w:ascii="Calibri" w:hAnsi="Calibri" w:cs="Calibri"/>
        </w:rPr>
        <w:t xml:space="preserve"> </w:t>
      </w:r>
      <w:r w:rsidR="00DE618E" w:rsidRPr="00DF7AC4">
        <w:rPr>
          <w:rFonts w:ascii="Calibri" w:hAnsi="Calibri" w:cs="Calibri"/>
        </w:rPr>
        <w:t>12.</w:t>
      </w:r>
      <w:r w:rsidR="00256B81" w:rsidRPr="00DF7AC4">
        <w:rPr>
          <w:rFonts w:ascii="Calibri" w:hAnsi="Calibri" w:cs="Calibri"/>
        </w:rPr>
        <w:t xml:space="preserve"> </w:t>
      </w:r>
      <w:r w:rsidRPr="00DF7AC4">
        <w:rPr>
          <w:rFonts w:ascii="Calibri" w:hAnsi="Calibri" w:cs="Calibri"/>
        </w:rPr>
        <w:t>2012 ve správě PF ČR</w:t>
      </w:r>
      <w:r w:rsidR="002B4522" w:rsidRPr="00DF7AC4">
        <w:rPr>
          <w:rFonts w:ascii="Calibri" w:hAnsi="Calibri" w:cs="Calibri"/>
        </w:rPr>
        <w:t>,</w:t>
      </w:r>
      <w:r w:rsidRPr="00DF7AC4">
        <w:rPr>
          <w:rFonts w:ascii="Calibri" w:hAnsi="Calibri" w:cs="Calibri"/>
        </w:rPr>
        <w:t xml:space="preserve"> a</w:t>
      </w:r>
      <w:r w:rsidR="002B4522" w:rsidRPr="00DF7AC4">
        <w:rPr>
          <w:rFonts w:ascii="Calibri" w:hAnsi="Calibri" w:cs="Calibri"/>
        </w:rPr>
        <w:t>ni</w:t>
      </w:r>
      <w:r w:rsidRPr="00DF7AC4">
        <w:rPr>
          <w:rFonts w:ascii="Calibri" w:hAnsi="Calibri" w:cs="Calibri"/>
        </w:rPr>
        <w:t xml:space="preserve"> analytické účty, kde bylo účtováno o pozemkových úpravách, neboť investiční náklady/výdaje na tento majetek nebyly vyčísleny v</w:t>
      </w:r>
      <w:r w:rsidR="00D72A28" w:rsidRPr="00DF7AC4">
        <w:rPr>
          <w:rFonts w:ascii="Calibri" w:hAnsi="Calibri" w:cs="Calibri"/>
        </w:rPr>
        <w:t> </w:t>
      </w:r>
      <w:r w:rsidRPr="00DF7AC4">
        <w:rPr>
          <w:rFonts w:ascii="Calibri" w:hAnsi="Calibri" w:cs="Calibri"/>
        </w:rPr>
        <w:t>důvodové zprávě k</w:t>
      </w:r>
      <w:r w:rsidR="00256B81" w:rsidRPr="00DF7AC4">
        <w:rPr>
          <w:rFonts w:ascii="Calibri" w:hAnsi="Calibri" w:cs="Calibri"/>
        </w:rPr>
        <w:t xml:space="preserve"> </w:t>
      </w:r>
      <w:r w:rsidRPr="00DF7AC4">
        <w:rPr>
          <w:rFonts w:ascii="Calibri" w:hAnsi="Calibri" w:cs="Calibri"/>
        </w:rPr>
        <w:t>zákonu č.</w:t>
      </w:r>
      <w:r w:rsidR="00205DC9" w:rsidRPr="00DF7AC4">
        <w:rPr>
          <w:rFonts w:ascii="Calibri" w:hAnsi="Calibri" w:cs="Calibri"/>
        </w:rPr>
        <w:t> </w:t>
      </w:r>
      <w:r w:rsidRPr="00DF7AC4">
        <w:rPr>
          <w:rFonts w:ascii="Calibri" w:hAnsi="Calibri" w:cs="Calibri"/>
        </w:rPr>
        <w:t>503/2012 Sb.).</w:t>
      </w:r>
    </w:p>
    <w:sectPr w:rsidR="006C625A" w:rsidRPr="00DF7AC4" w:rsidSect="005E53F7">
      <w:footerReference w:type="defaul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B81" w:rsidRDefault="00256B81" w:rsidP="00525CA7">
      <w:r>
        <w:separator/>
      </w:r>
    </w:p>
  </w:endnote>
  <w:endnote w:type="continuationSeparator" w:id="0">
    <w:p w:rsidR="00256B81" w:rsidRDefault="00256B81" w:rsidP="0052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123609"/>
      <w:docPartObj>
        <w:docPartGallery w:val="Page Numbers (Bottom of Page)"/>
        <w:docPartUnique/>
      </w:docPartObj>
    </w:sdtPr>
    <w:sdtEndPr/>
    <w:sdtContent>
      <w:p w:rsidR="009C000B" w:rsidRDefault="009C000B">
        <w:pPr>
          <w:pStyle w:val="Zpat"/>
          <w:jc w:val="center"/>
        </w:pPr>
        <w:r>
          <w:fldChar w:fldCharType="begin"/>
        </w:r>
        <w:r>
          <w:instrText>PAGE   \* MERGEFORMAT</w:instrText>
        </w:r>
        <w:r>
          <w:fldChar w:fldCharType="separate"/>
        </w:r>
        <w:r w:rsidR="0000530B">
          <w:rPr>
            <w:noProof/>
          </w:rPr>
          <w:t>11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B81" w:rsidRDefault="00256B81">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B81" w:rsidRDefault="00256B81" w:rsidP="00525CA7">
      <w:r>
        <w:separator/>
      </w:r>
    </w:p>
  </w:footnote>
  <w:footnote w:type="continuationSeparator" w:id="0">
    <w:p w:rsidR="00256B81" w:rsidRDefault="00256B81" w:rsidP="00525CA7">
      <w:r>
        <w:continuationSeparator/>
      </w:r>
    </w:p>
  </w:footnote>
  <w:footnote w:id="1">
    <w:p w:rsidR="00256B81" w:rsidRPr="005E53F7" w:rsidRDefault="00256B81" w:rsidP="00F6199D">
      <w:pPr>
        <w:pStyle w:val="Textpoznpodarou"/>
        <w:ind w:left="284" w:hanging="284"/>
        <w:rPr>
          <w:rFonts w:ascii="Calibri" w:hAnsi="Calibri" w:cs="Calibri"/>
        </w:rPr>
      </w:pPr>
      <w:r w:rsidRPr="005E53F7">
        <w:rPr>
          <w:rStyle w:val="Znakapoznpodarou"/>
          <w:rFonts w:ascii="Calibri" w:hAnsi="Calibri" w:cs="Calibri"/>
        </w:rPr>
        <w:footnoteRef/>
      </w:r>
      <w:r w:rsidRPr="005E53F7">
        <w:rPr>
          <w:rFonts w:ascii="Calibri" w:hAnsi="Calibri" w:cs="Calibri"/>
        </w:rPr>
        <w:tab/>
      </w:r>
      <w:r w:rsidRPr="005E53F7">
        <w:rPr>
          <w:rFonts w:ascii="Calibri" w:eastAsia="Calibri" w:hAnsi="Calibri" w:cs="Calibri"/>
        </w:rPr>
        <w:t xml:space="preserve">Zákon č. 503/2012 Sb., o Státním pozemkovém úřadu a o změně některých souvisejících zákonů </w:t>
      </w:r>
      <w:r w:rsidRPr="005E53F7">
        <w:rPr>
          <w:rFonts w:ascii="Calibri" w:hAnsi="Calibri" w:cs="Calibri"/>
        </w:rPr>
        <w:t>(dále také „zákon o SPÚ“).</w:t>
      </w:r>
    </w:p>
  </w:footnote>
  <w:footnote w:id="2">
    <w:p w:rsidR="00256B81" w:rsidRPr="005E53F7" w:rsidRDefault="00256B81" w:rsidP="00F6199D">
      <w:pPr>
        <w:pStyle w:val="Textpoznpodarou"/>
        <w:ind w:left="284" w:hanging="284"/>
        <w:rPr>
          <w:rFonts w:ascii="Calibri" w:hAnsi="Calibri" w:cs="Calibri"/>
        </w:rPr>
      </w:pPr>
      <w:r w:rsidRPr="005E53F7">
        <w:rPr>
          <w:rStyle w:val="Znakapoznpodarou"/>
          <w:rFonts w:ascii="Calibri" w:hAnsi="Calibri" w:cs="Calibri"/>
        </w:rPr>
        <w:footnoteRef/>
      </w:r>
      <w:r w:rsidRPr="005E53F7">
        <w:rPr>
          <w:rFonts w:ascii="Calibri" w:hAnsi="Calibri" w:cs="Calibri"/>
        </w:rPr>
        <w:tab/>
      </w:r>
      <w:r w:rsidRPr="005E53F7">
        <w:rPr>
          <w:rFonts w:ascii="Calibri" w:eastAsia="Calibri" w:hAnsi="Calibri" w:cs="Calibri"/>
        </w:rPr>
        <w:t>Zákon č. 563/1991 Sb., o účetnictví</w:t>
      </w:r>
      <w:r w:rsidRPr="005E53F7">
        <w:rPr>
          <w:rFonts w:ascii="Calibri" w:hAnsi="Calibri" w:cs="Calibri"/>
        </w:rPr>
        <w:t>.</w:t>
      </w:r>
    </w:p>
  </w:footnote>
  <w:footnote w:id="3">
    <w:p w:rsidR="00256B81" w:rsidRPr="005E53F7" w:rsidRDefault="00256B81" w:rsidP="00F6199D">
      <w:pPr>
        <w:pStyle w:val="Textpoznpodarou"/>
        <w:ind w:left="284" w:hanging="284"/>
        <w:rPr>
          <w:rFonts w:ascii="Calibri" w:eastAsia="Calibri" w:hAnsi="Calibri" w:cs="Calibri"/>
        </w:rPr>
      </w:pPr>
      <w:r w:rsidRPr="005E53F7">
        <w:rPr>
          <w:rFonts w:ascii="Calibri" w:eastAsia="Calibri" w:hAnsi="Calibri" w:cs="Calibri"/>
          <w:vertAlign w:val="superscript"/>
        </w:rPr>
        <w:footnoteRef/>
      </w:r>
      <w:r w:rsidRPr="005E53F7">
        <w:rPr>
          <w:rFonts w:ascii="Calibri" w:eastAsia="Calibri" w:hAnsi="Calibri" w:cs="Calibri"/>
        </w:rPr>
        <w:tab/>
        <w:t>Zákon č. 229/1991 Sb., o úpravě vlastnických vztahů k půdě a jinému zemědělskému majetku.</w:t>
      </w:r>
    </w:p>
  </w:footnote>
  <w:footnote w:id="4">
    <w:p w:rsidR="00256B81" w:rsidRPr="005E53F7" w:rsidRDefault="00256B81" w:rsidP="00F6199D">
      <w:pPr>
        <w:pStyle w:val="Textpoznpodarou"/>
        <w:ind w:left="284" w:hanging="284"/>
        <w:rPr>
          <w:rFonts w:ascii="Calibri" w:hAnsi="Calibri" w:cs="Calibri"/>
        </w:rPr>
      </w:pPr>
      <w:r w:rsidRPr="005E53F7">
        <w:rPr>
          <w:rFonts w:ascii="Calibri" w:eastAsia="Calibri" w:hAnsi="Calibri" w:cs="Calibri"/>
          <w:vertAlign w:val="superscript"/>
        </w:rPr>
        <w:footnoteRef/>
      </w:r>
      <w:r w:rsidRPr="005E53F7">
        <w:rPr>
          <w:rFonts w:ascii="Calibri" w:hAnsi="Calibri" w:cs="Calibri"/>
          <w:vertAlign w:val="superscript"/>
        </w:rPr>
        <w:t xml:space="preserve"> </w:t>
      </w:r>
      <w:r w:rsidRPr="005E53F7">
        <w:rPr>
          <w:rFonts w:ascii="Calibri" w:hAnsi="Calibri" w:cs="Calibri"/>
        </w:rPr>
        <w:tab/>
      </w:r>
      <w:r w:rsidRPr="005E53F7">
        <w:rPr>
          <w:rFonts w:ascii="Calibri" w:eastAsia="Calibri" w:hAnsi="Calibri" w:cs="Calibri"/>
        </w:rPr>
        <w:t>Zákon č. 92/1991 Sb., o podmínkách převodu majetku státu na jiné osoby.</w:t>
      </w:r>
    </w:p>
  </w:footnote>
  <w:footnote w:id="5">
    <w:p w:rsidR="00256B81" w:rsidRPr="005E53F7" w:rsidRDefault="00256B81" w:rsidP="00F6199D">
      <w:pPr>
        <w:pStyle w:val="Textpoznpodarou"/>
        <w:ind w:left="284" w:hanging="284"/>
        <w:rPr>
          <w:rFonts w:ascii="Calibri" w:hAnsi="Calibri" w:cs="Calibri"/>
        </w:rPr>
      </w:pPr>
      <w:r w:rsidRPr="005E53F7">
        <w:rPr>
          <w:rStyle w:val="Znakapoznpodarou"/>
          <w:rFonts w:ascii="Calibri" w:hAnsi="Calibri" w:cs="Calibri"/>
        </w:rPr>
        <w:footnoteRef/>
      </w:r>
      <w:r w:rsidRPr="005E53F7">
        <w:rPr>
          <w:rFonts w:ascii="Calibri" w:hAnsi="Calibri" w:cs="Calibri"/>
        </w:rPr>
        <w:tab/>
        <w:t>Zákon č. 139/2002 Sb., o pozemkových úpravách a pozemkových úřadech a o změně zákona č. 229/1991 Sb., o úpravě vlastnických vztahů k půdě a jinému zemědělskému majetku, ve znění pozdějších předpisů.</w:t>
      </w:r>
    </w:p>
  </w:footnote>
  <w:footnote w:id="6">
    <w:p w:rsidR="00256B81" w:rsidRPr="005E53F7" w:rsidRDefault="00256B81" w:rsidP="00F6199D">
      <w:pPr>
        <w:pStyle w:val="Textpoznpodarou"/>
        <w:ind w:left="284" w:hanging="284"/>
        <w:rPr>
          <w:rFonts w:ascii="Calibri" w:hAnsi="Calibri" w:cs="Calibri"/>
        </w:rPr>
      </w:pPr>
      <w:r w:rsidRPr="005E53F7">
        <w:rPr>
          <w:rStyle w:val="Znakapoznpodarou"/>
          <w:rFonts w:ascii="Calibri" w:hAnsi="Calibri" w:cs="Calibri"/>
        </w:rPr>
        <w:footnoteRef/>
      </w:r>
      <w:r w:rsidRPr="005E53F7">
        <w:rPr>
          <w:rFonts w:ascii="Calibri" w:hAnsi="Calibri" w:cs="Calibri"/>
        </w:rPr>
        <w:tab/>
        <w:t xml:space="preserve">Zákon č. 428/2012 Sb., o majetkovém vyrovnání s církvemi a náboženskými společnostmi a o změně některých zákonů </w:t>
      </w:r>
      <w:r w:rsidRPr="005E53F7">
        <w:rPr>
          <w:rFonts w:ascii="Calibri" w:eastAsia="Calibri" w:hAnsi="Calibri" w:cs="Calibri"/>
        </w:rPr>
        <w:t>(dále také „zákon o církevních restitucích“)</w:t>
      </w:r>
      <w:r w:rsidRPr="005E53F7">
        <w:rPr>
          <w:rFonts w:ascii="Calibri" w:hAnsi="Calibri" w:cs="Calibri"/>
        </w:rPr>
        <w:t>.</w:t>
      </w:r>
    </w:p>
  </w:footnote>
  <w:footnote w:id="7">
    <w:p w:rsidR="00256B81" w:rsidRPr="00F6199D" w:rsidRDefault="00256B81" w:rsidP="00F6199D">
      <w:pPr>
        <w:pStyle w:val="Textpoznpodarou"/>
        <w:ind w:left="284" w:hanging="284"/>
      </w:pPr>
      <w:r w:rsidRPr="00F6199D">
        <w:rPr>
          <w:rStyle w:val="Znakapoznpodarou"/>
        </w:rPr>
        <w:footnoteRef/>
      </w:r>
      <w:r>
        <w:tab/>
      </w:r>
      <w:r w:rsidRPr="00F6199D">
        <w:rPr>
          <w:rFonts w:cstheme="minorHAnsi"/>
        </w:rPr>
        <w:t>Zákon č. 219/2000 Sb., o majetku České republiky a jejím vystupování v právních vztazích.</w:t>
      </w:r>
    </w:p>
  </w:footnote>
  <w:footnote w:id="8">
    <w:p w:rsidR="00256B81" w:rsidRPr="00F6199D" w:rsidRDefault="00256B81" w:rsidP="00F6199D">
      <w:pPr>
        <w:pStyle w:val="Textpoznpodarou"/>
        <w:ind w:left="284" w:hanging="284"/>
        <w:rPr>
          <w:rFonts w:cstheme="minorHAnsi"/>
        </w:rPr>
      </w:pPr>
      <w:r w:rsidRPr="00F6199D">
        <w:rPr>
          <w:rStyle w:val="Znakapoznpodarou"/>
          <w:rFonts w:cstheme="minorHAnsi"/>
        </w:rPr>
        <w:footnoteRef/>
      </w:r>
      <w:r>
        <w:rPr>
          <w:rFonts w:cstheme="minorHAnsi"/>
        </w:rPr>
        <w:tab/>
      </w:r>
      <w:r w:rsidRPr="00F6199D">
        <w:rPr>
          <w:rFonts w:cstheme="minorHAnsi"/>
        </w:rPr>
        <w:t>Zákon č. 95/1999 Sb., o podmínkách převodu zemědělských a lesních pozemků z vlastnictví státu na jiné osoby a o změně zákona č. 569/1991 Sb., o Pozemkovém fondu České republiky, ve znění pozdějších předpisů, a zákona č. 357/1992 Sb., o dani dědické, dani darovací a dani z převodu nemovitostí, ve znění pozdějších předpisů.</w:t>
      </w:r>
    </w:p>
  </w:footnote>
  <w:footnote w:id="9">
    <w:p w:rsidR="00256B81" w:rsidRPr="00F6199D" w:rsidRDefault="00256B81" w:rsidP="00F6199D">
      <w:pPr>
        <w:pStyle w:val="Textpoznpodarou"/>
        <w:ind w:left="284" w:hanging="284"/>
        <w:rPr>
          <w:rFonts w:cstheme="minorHAnsi"/>
        </w:rPr>
      </w:pPr>
      <w:r w:rsidRPr="00F6199D">
        <w:rPr>
          <w:rStyle w:val="Znakapoznpodarou"/>
        </w:rPr>
        <w:footnoteRef/>
      </w:r>
      <w:r>
        <w:tab/>
      </w:r>
      <w:r w:rsidRPr="00F6199D">
        <w:t>Nařízení č. 218/2014 Sb., o stanovení rezervy státních pozemků pro uskutečňování rozvojových programů státu</w:t>
      </w:r>
      <w:r>
        <w:t>.</w:t>
      </w:r>
    </w:p>
  </w:footnote>
  <w:footnote w:id="10">
    <w:p w:rsidR="00256B81" w:rsidRPr="00F6199D" w:rsidRDefault="00256B81" w:rsidP="00F6199D">
      <w:pPr>
        <w:pStyle w:val="Textpoznpodarou"/>
        <w:ind w:left="284" w:hanging="284"/>
      </w:pPr>
      <w:r w:rsidRPr="00F6199D">
        <w:rPr>
          <w:rStyle w:val="Znakapoznpodarou"/>
        </w:rPr>
        <w:footnoteRef/>
      </w:r>
      <w:r w:rsidRPr="00F6199D">
        <w:tab/>
        <w:t>Vyhláška č. 62/2001 Sb., o hospodaření organizačních složek státu a státních organizací s majetkem státu.</w:t>
      </w:r>
    </w:p>
  </w:footnote>
  <w:footnote w:id="11">
    <w:p w:rsidR="00256B81" w:rsidRPr="00F6199D" w:rsidRDefault="00256B81" w:rsidP="00F6199D">
      <w:pPr>
        <w:pStyle w:val="Textpoznpodarou"/>
        <w:ind w:left="284" w:hanging="284"/>
      </w:pPr>
      <w:r w:rsidRPr="00F6199D">
        <w:rPr>
          <w:rStyle w:val="Znakapoznpodarou"/>
        </w:rPr>
        <w:footnoteRef/>
      </w:r>
      <w:r w:rsidRPr="00F6199D">
        <w:tab/>
        <w:t>Vyhláška č. 410/2009 Sb., kterou se provádějí některá ustanovení zákona č. 563/1991 Sb., o účetnictví, ve znění pozdějších předpisů, pro některé vybrané účetní jednotky.</w:t>
      </w:r>
    </w:p>
  </w:footnote>
  <w:footnote w:id="12">
    <w:p w:rsidR="00256B81" w:rsidRPr="00F6199D" w:rsidRDefault="00256B81" w:rsidP="00F6199D">
      <w:pPr>
        <w:pStyle w:val="Textpoznpodarou"/>
        <w:ind w:left="284" w:hanging="284"/>
        <w:rPr>
          <w:rFonts w:cstheme="minorHAnsi"/>
        </w:rPr>
      </w:pPr>
      <w:r w:rsidRPr="00F6199D">
        <w:rPr>
          <w:rStyle w:val="Znakapoznpodarou"/>
          <w:rFonts w:cstheme="minorHAnsi"/>
        </w:rPr>
        <w:footnoteRef/>
      </w:r>
      <w:r>
        <w:rPr>
          <w:rFonts w:cstheme="minorHAnsi"/>
        </w:rPr>
        <w:tab/>
      </w:r>
      <w:r w:rsidRPr="00F6199D">
        <w:rPr>
          <w:rFonts w:cstheme="minorHAnsi"/>
        </w:rPr>
        <w:t>Zákon č. 320/2001 Sb., o finanční kontrole.</w:t>
      </w:r>
    </w:p>
  </w:footnote>
  <w:footnote w:id="13">
    <w:p w:rsidR="00256B81" w:rsidRPr="00F6199D" w:rsidRDefault="00256B81" w:rsidP="00F6199D">
      <w:pPr>
        <w:pStyle w:val="Textpoznpodarou"/>
        <w:ind w:left="284" w:hanging="284"/>
      </w:pPr>
      <w:r w:rsidRPr="00F6199D">
        <w:rPr>
          <w:rStyle w:val="Znakapoznpodarou"/>
        </w:rPr>
        <w:footnoteRef/>
      </w:r>
      <w:r>
        <w:tab/>
      </w:r>
      <w:r w:rsidRPr="00F6199D">
        <w:rPr>
          <w:rFonts w:cstheme="minorHAnsi"/>
        </w:rPr>
        <w:t>Zákon č. 218/2000 Sb., o rozpočtových pravidlech a o změně některých souvisejících zákonů (rozpočtová pravidla).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773A"/>
    <w:multiLevelType w:val="hybridMultilevel"/>
    <w:tmpl w:val="79E6E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4F810E8"/>
    <w:multiLevelType w:val="hybridMultilevel"/>
    <w:tmpl w:val="9DA8D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635173C"/>
    <w:multiLevelType w:val="hybridMultilevel"/>
    <w:tmpl w:val="69266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6643F6B"/>
    <w:multiLevelType w:val="hybridMultilevel"/>
    <w:tmpl w:val="8BDC1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774005C"/>
    <w:multiLevelType w:val="multilevel"/>
    <w:tmpl w:val="B64E7D86"/>
    <w:lvl w:ilvl="0">
      <w:start w:val="1"/>
      <w:numFmt w:val="decimal"/>
      <w:pStyle w:val="rove1"/>
      <w:lvlText w:val="%1."/>
      <w:lvlJc w:val="left"/>
      <w:pPr>
        <w:ind w:left="720" w:hanging="360"/>
      </w:pPr>
      <w:rPr>
        <w:rFonts w:hint="default"/>
      </w:rPr>
    </w:lvl>
    <w:lvl w:ilvl="1">
      <w:start w:val="1"/>
      <w:numFmt w:val="decimal"/>
      <w:pStyle w:val="rove2"/>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C291710"/>
    <w:multiLevelType w:val="hybridMultilevel"/>
    <w:tmpl w:val="D53AA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C587970"/>
    <w:multiLevelType w:val="hybridMultilevel"/>
    <w:tmpl w:val="245C55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730899"/>
    <w:multiLevelType w:val="hybridMultilevel"/>
    <w:tmpl w:val="B4887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767070"/>
    <w:multiLevelType w:val="hybridMultilevel"/>
    <w:tmpl w:val="49163C3E"/>
    <w:lvl w:ilvl="0" w:tplc="C344C3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073450B"/>
    <w:multiLevelType w:val="hybridMultilevel"/>
    <w:tmpl w:val="D4E26F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52079C"/>
    <w:multiLevelType w:val="hybridMultilevel"/>
    <w:tmpl w:val="7258FFC4"/>
    <w:lvl w:ilvl="0" w:tplc="11B471A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A055644"/>
    <w:multiLevelType w:val="hybridMultilevel"/>
    <w:tmpl w:val="5342A184"/>
    <w:lvl w:ilvl="0" w:tplc="F670E3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E584357"/>
    <w:multiLevelType w:val="hybridMultilevel"/>
    <w:tmpl w:val="53B23E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B82CC0"/>
    <w:multiLevelType w:val="hybridMultilevel"/>
    <w:tmpl w:val="F022D100"/>
    <w:lvl w:ilvl="0" w:tplc="EC647784">
      <w:start w:val="1"/>
      <w:numFmt w:val="decimal"/>
      <w:pStyle w:val="TabulkaKZ"/>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556700"/>
    <w:multiLevelType w:val="hybridMultilevel"/>
    <w:tmpl w:val="3C8C5184"/>
    <w:lvl w:ilvl="0" w:tplc="FB884D3A">
      <w:start w:val="1"/>
      <w:numFmt w:val="decimal"/>
      <w:pStyle w:val="Nadpis2"/>
      <w:lvlText w:val="%1."/>
      <w:lvlJc w:val="left"/>
      <w:pPr>
        <w:ind w:left="720" w:hanging="360"/>
      </w:pPr>
      <w:rPr>
        <w:rFonts w:hint="default"/>
      </w:rPr>
    </w:lvl>
    <w:lvl w:ilvl="1" w:tplc="AF5C05E6">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29C030D"/>
    <w:multiLevelType w:val="hybridMultilevel"/>
    <w:tmpl w:val="74D81CE0"/>
    <w:lvl w:ilvl="0" w:tplc="1F9E5B82">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2F1065D"/>
    <w:multiLevelType w:val="hybridMultilevel"/>
    <w:tmpl w:val="76FE8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445032A"/>
    <w:multiLevelType w:val="hybridMultilevel"/>
    <w:tmpl w:val="3AB6D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4CB7E2C"/>
    <w:multiLevelType w:val="hybridMultilevel"/>
    <w:tmpl w:val="4B1AB09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5646DCA"/>
    <w:multiLevelType w:val="hybridMultilevel"/>
    <w:tmpl w:val="3D88130E"/>
    <w:lvl w:ilvl="0" w:tplc="F3E2E63A">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7C54BE0"/>
    <w:multiLevelType w:val="hybridMultilevel"/>
    <w:tmpl w:val="B14C58E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8652639"/>
    <w:multiLevelType w:val="hybridMultilevel"/>
    <w:tmpl w:val="11404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C5131AE"/>
    <w:multiLevelType w:val="hybridMultilevel"/>
    <w:tmpl w:val="468CB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F6D6BFE"/>
    <w:multiLevelType w:val="hybridMultilevel"/>
    <w:tmpl w:val="56568B8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FE32C35"/>
    <w:multiLevelType w:val="hybridMultilevel"/>
    <w:tmpl w:val="74D80A46"/>
    <w:lvl w:ilvl="0" w:tplc="FB884D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1B33248"/>
    <w:multiLevelType w:val="hybridMultilevel"/>
    <w:tmpl w:val="5DC6CF98"/>
    <w:lvl w:ilvl="0" w:tplc="6D40CB78">
      <w:start w:val="2"/>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6B26E4C"/>
    <w:multiLevelType w:val="hybridMultilevel"/>
    <w:tmpl w:val="5EF07984"/>
    <w:lvl w:ilvl="0" w:tplc="A5DA22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91732B5"/>
    <w:multiLevelType w:val="hybridMultilevel"/>
    <w:tmpl w:val="66EABE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9"/>
  </w:num>
  <w:num w:numId="3">
    <w:abstractNumId w:val="27"/>
  </w:num>
  <w:num w:numId="4">
    <w:abstractNumId w:val="22"/>
  </w:num>
  <w:num w:numId="5">
    <w:abstractNumId w:val="25"/>
  </w:num>
  <w:num w:numId="6">
    <w:abstractNumId w:val="24"/>
  </w:num>
  <w:num w:numId="7">
    <w:abstractNumId w:val="24"/>
    <w:lvlOverride w:ilvl="0">
      <w:startOverride w:val="1"/>
    </w:lvlOverride>
  </w:num>
  <w:num w:numId="8">
    <w:abstractNumId w:val="14"/>
  </w:num>
  <w:num w:numId="9">
    <w:abstractNumId w:val="11"/>
  </w:num>
  <w:num w:numId="10">
    <w:abstractNumId w:val="15"/>
  </w:num>
  <w:num w:numId="11">
    <w:abstractNumId w:val="5"/>
  </w:num>
  <w:num w:numId="12">
    <w:abstractNumId w:val="2"/>
  </w:num>
  <w:num w:numId="13">
    <w:abstractNumId w:val="20"/>
  </w:num>
  <w:num w:numId="14">
    <w:abstractNumId w:val="21"/>
  </w:num>
  <w:num w:numId="15">
    <w:abstractNumId w:val="12"/>
  </w:num>
  <w:num w:numId="16">
    <w:abstractNumId w:val="23"/>
  </w:num>
  <w:num w:numId="17">
    <w:abstractNumId w:val="18"/>
  </w:num>
  <w:num w:numId="18">
    <w:abstractNumId w:val="0"/>
  </w:num>
  <w:num w:numId="19">
    <w:abstractNumId w:val="16"/>
  </w:num>
  <w:num w:numId="20">
    <w:abstractNumId w:val="13"/>
  </w:num>
  <w:num w:numId="21">
    <w:abstractNumId w:val="7"/>
  </w:num>
  <w:num w:numId="22">
    <w:abstractNumId w:val="14"/>
  </w:num>
  <w:num w:numId="23">
    <w:abstractNumId w:val="14"/>
  </w:num>
  <w:num w:numId="24">
    <w:abstractNumId w:val="14"/>
  </w:num>
  <w:num w:numId="25">
    <w:abstractNumId w:val="14"/>
  </w:num>
  <w:num w:numId="26">
    <w:abstractNumId w:val="14"/>
  </w:num>
  <w:num w:numId="27">
    <w:abstractNumId w:val="19"/>
  </w:num>
  <w:num w:numId="28">
    <w:abstractNumId w:val="6"/>
  </w:num>
  <w:num w:numId="29">
    <w:abstractNumId w:val="13"/>
  </w:num>
  <w:num w:numId="30">
    <w:abstractNumId w:val="13"/>
    <w:lvlOverride w:ilvl="0">
      <w:startOverride w:val="1"/>
    </w:lvlOverride>
  </w:num>
  <w:num w:numId="31">
    <w:abstractNumId w:val="19"/>
  </w:num>
  <w:num w:numId="32">
    <w:abstractNumId w:val="1"/>
  </w:num>
  <w:num w:numId="33">
    <w:abstractNumId w:val="4"/>
  </w:num>
  <w:num w:numId="34">
    <w:abstractNumId w:val="3"/>
  </w:num>
  <w:num w:numId="35">
    <w:abstractNumId w:val="10"/>
  </w:num>
  <w:num w:numId="36">
    <w:abstractNumId w:val="17"/>
  </w:num>
  <w:num w:numId="37">
    <w:abstractNumId w:val="26"/>
  </w:num>
  <w:num w:numId="38">
    <w:abstractNumId w:val="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A7"/>
    <w:rsid w:val="0000273F"/>
    <w:rsid w:val="0000530B"/>
    <w:rsid w:val="000178E5"/>
    <w:rsid w:val="0002051A"/>
    <w:rsid w:val="00035D6D"/>
    <w:rsid w:val="000533A2"/>
    <w:rsid w:val="00067567"/>
    <w:rsid w:val="000846BB"/>
    <w:rsid w:val="00094DC3"/>
    <w:rsid w:val="000A631A"/>
    <w:rsid w:val="000F389A"/>
    <w:rsid w:val="00124C46"/>
    <w:rsid w:val="00126F93"/>
    <w:rsid w:val="0013258A"/>
    <w:rsid w:val="0013778E"/>
    <w:rsid w:val="00172DFE"/>
    <w:rsid w:val="00183232"/>
    <w:rsid w:val="001A449C"/>
    <w:rsid w:val="001A72D6"/>
    <w:rsid w:val="001A785E"/>
    <w:rsid w:val="001B2DD1"/>
    <w:rsid w:val="001C5F4E"/>
    <w:rsid w:val="001D035E"/>
    <w:rsid w:val="001D5EAE"/>
    <w:rsid w:val="001E2B36"/>
    <w:rsid w:val="00201B9D"/>
    <w:rsid w:val="00203F6A"/>
    <w:rsid w:val="00205DC9"/>
    <w:rsid w:val="00220C0C"/>
    <w:rsid w:val="00246552"/>
    <w:rsid w:val="00256B81"/>
    <w:rsid w:val="0026216A"/>
    <w:rsid w:val="002635E9"/>
    <w:rsid w:val="00267348"/>
    <w:rsid w:val="002942F9"/>
    <w:rsid w:val="002A1009"/>
    <w:rsid w:val="002B4522"/>
    <w:rsid w:val="002B4F49"/>
    <w:rsid w:val="002B584F"/>
    <w:rsid w:val="002B709E"/>
    <w:rsid w:val="0030277B"/>
    <w:rsid w:val="00303301"/>
    <w:rsid w:val="00312FB6"/>
    <w:rsid w:val="00323BD8"/>
    <w:rsid w:val="00334F78"/>
    <w:rsid w:val="00343719"/>
    <w:rsid w:val="00350863"/>
    <w:rsid w:val="0036143A"/>
    <w:rsid w:val="003719E6"/>
    <w:rsid w:val="00374CCE"/>
    <w:rsid w:val="003771C8"/>
    <w:rsid w:val="003A5A8A"/>
    <w:rsid w:val="003C28DE"/>
    <w:rsid w:val="003E579F"/>
    <w:rsid w:val="003F293D"/>
    <w:rsid w:val="00407CB6"/>
    <w:rsid w:val="00413DDB"/>
    <w:rsid w:val="0043771B"/>
    <w:rsid w:val="00446E97"/>
    <w:rsid w:val="00465BD2"/>
    <w:rsid w:val="004731A3"/>
    <w:rsid w:val="004807CA"/>
    <w:rsid w:val="004968B8"/>
    <w:rsid w:val="004C7112"/>
    <w:rsid w:val="004D11CF"/>
    <w:rsid w:val="004E2978"/>
    <w:rsid w:val="004E6C41"/>
    <w:rsid w:val="005036E1"/>
    <w:rsid w:val="00505ED3"/>
    <w:rsid w:val="00523454"/>
    <w:rsid w:val="005239FA"/>
    <w:rsid w:val="00525CA7"/>
    <w:rsid w:val="00530587"/>
    <w:rsid w:val="00533C61"/>
    <w:rsid w:val="0054744C"/>
    <w:rsid w:val="005E53F7"/>
    <w:rsid w:val="006010BA"/>
    <w:rsid w:val="006056B9"/>
    <w:rsid w:val="00620386"/>
    <w:rsid w:val="00624DB6"/>
    <w:rsid w:val="0064065F"/>
    <w:rsid w:val="00650ADD"/>
    <w:rsid w:val="00663C04"/>
    <w:rsid w:val="00690764"/>
    <w:rsid w:val="00690B78"/>
    <w:rsid w:val="00696124"/>
    <w:rsid w:val="006A3E0A"/>
    <w:rsid w:val="006C2631"/>
    <w:rsid w:val="006C625A"/>
    <w:rsid w:val="006E3189"/>
    <w:rsid w:val="006F125B"/>
    <w:rsid w:val="007131F5"/>
    <w:rsid w:val="00727642"/>
    <w:rsid w:val="007310FA"/>
    <w:rsid w:val="00746D43"/>
    <w:rsid w:val="007532D3"/>
    <w:rsid w:val="00757F8E"/>
    <w:rsid w:val="0076185E"/>
    <w:rsid w:val="00764C17"/>
    <w:rsid w:val="007773D1"/>
    <w:rsid w:val="007940DD"/>
    <w:rsid w:val="007B0B1F"/>
    <w:rsid w:val="007D711D"/>
    <w:rsid w:val="007E1EE8"/>
    <w:rsid w:val="00804C5D"/>
    <w:rsid w:val="00826DBF"/>
    <w:rsid w:val="00833CD0"/>
    <w:rsid w:val="00834B0E"/>
    <w:rsid w:val="00841CC8"/>
    <w:rsid w:val="00842DE6"/>
    <w:rsid w:val="00852BB5"/>
    <w:rsid w:val="00852D8B"/>
    <w:rsid w:val="00861FF8"/>
    <w:rsid w:val="008636AC"/>
    <w:rsid w:val="00863E4F"/>
    <w:rsid w:val="008659F8"/>
    <w:rsid w:val="00870D2B"/>
    <w:rsid w:val="008749B3"/>
    <w:rsid w:val="00883FBB"/>
    <w:rsid w:val="0089008A"/>
    <w:rsid w:val="008A5C72"/>
    <w:rsid w:val="008A717F"/>
    <w:rsid w:val="008A72AD"/>
    <w:rsid w:val="008D02E3"/>
    <w:rsid w:val="008D075A"/>
    <w:rsid w:val="008D0AEC"/>
    <w:rsid w:val="008D22FA"/>
    <w:rsid w:val="008D7D24"/>
    <w:rsid w:val="008F6E36"/>
    <w:rsid w:val="00961CDC"/>
    <w:rsid w:val="00967D7E"/>
    <w:rsid w:val="00983EC4"/>
    <w:rsid w:val="00991575"/>
    <w:rsid w:val="009A4FF2"/>
    <w:rsid w:val="009B6683"/>
    <w:rsid w:val="009C000B"/>
    <w:rsid w:val="00A02BA2"/>
    <w:rsid w:val="00A043E3"/>
    <w:rsid w:val="00A07119"/>
    <w:rsid w:val="00A1257C"/>
    <w:rsid w:val="00A24149"/>
    <w:rsid w:val="00A33A5E"/>
    <w:rsid w:val="00A77E74"/>
    <w:rsid w:val="00A84F57"/>
    <w:rsid w:val="00A85CE9"/>
    <w:rsid w:val="00A93D8A"/>
    <w:rsid w:val="00AA2D08"/>
    <w:rsid w:val="00AA659A"/>
    <w:rsid w:val="00AB3BE4"/>
    <w:rsid w:val="00AB4101"/>
    <w:rsid w:val="00AC552B"/>
    <w:rsid w:val="00AD1D1D"/>
    <w:rsid w:val="00AD4720"/>
    <w:rsid w:val="00AE3F57"/>
    <w:rsid w:val="00B0244E"/>
    <w:rsid w:val="00B17D83"/>
    <w:rsid w:val="00B24C5E"/>
    <w:rsid w:val="00B26533"/>
    <w:rsid w:val="00B357E2"/>
    <w:rsid w:val="00B47A65"/>
    <w:rsid w:val="00B53113"/>
    <w:rsid w:val="00B60EB1"/>
    <w:rsid w:val="00B635AE"/>
    <w:rsid w:val="00B66E52"/>
    <w:rsid w:val="00B753DC"/>
    <w:rsid w:val="00B83448"/>
    <w:rsid w:val="00B97607"/>
    <w:rsid w:val="00BC7503"/>
    <w:rsid w:val="00BE14CD"/>
    <w:rsid w:val="00BE3C4E"/>
    <w:rsid w:val="00BF0407"/>
    <w:rsid w:val="00BF4188"/>
    <w:rsid w:val="00C107DE"/>
    <w:rsid w:val="00C2457E"/>
    <w:rsid w:val="00C54391"/>
    <w:rsid w:val="00C86BE0"/>
    <w:rsid w:val="00CA10FD"/>
    <w:rsid w:val="00CA4F51"/>
    <w:rsid w:val="00CA6C58"/>
    <w:rsid w:val="00CB2904"/>
    <w:rsid w:val="00CB6DAE"/>
    <w:rsid w:val="00CB7422"/>
    <w:rsid w:val="00CC0DB2"/>
    <w:rsid w:val="00CD0079"/>
    <w:rsid w:val="00D00126"/>
    <w:rsid w:val="00D02BBE"/>
    <w:rsid w:val="00D0533D"/>
    <w:rsid w:val="00D15F32"/>
    <w:rsid w:val="00D21B41"/>
    <w:rsid w:val="00D24E8E"/>
    <w:rsid w:val="00D253AB"/>
    <w:rsid w:val="00D30E44"/>
    <w:rsid w:val="00D425C5"/>
    <w:rsid w:val="00D52FCC"/>
    <w:rsid w:val="00D547F0"/>
    <w:rsid w:val="00D72A28"/>
    <w:rsid w:val="00D95780"/>
    <w:rsid w:val="00DA4D2F"/>
    <w:rsid w:val="00DE618E"/>
    <w:rsid w:val="00DE6645"/>
    <w:rsid w:val="00DF1789"/>
    <w:rsid w:val="00DF7AC4"/>
    <w:rsid w:val="00E02B6D"/>
    <w:rsid w:val="00E1537C"/>
    <w:rsid w:val="00E16D0A"/>
    <w:rsid w:val="00E2478F"/>
    <w:rsid w:val="00E27D22"/>
    <w:rsid w:val="00E4328D"/>
    <w:rsid w:val="00E567F9"/>
    <w:rsid w:val="00E57CFF"/>
    <w:rsid w:val="00E818E1"/>
    <w:rsid w:val="00E832B1"/>
    <w:rsid w:val="00E85210"/>
    <w:rsid w:val="00E9179F"/>
    <w:rsid w:val="00E934D4"/>
    <w:rsid w:val="00EA1701"/>
    <w:rsid w:val="00EA734E"/>
    <w:rsid w:val="00F01CA5"/>
    <w:rsid w:val="00F0356B"/>
    <w:rsid w:val="00F066A9"/>
    <w:rsid w:val="00F141D6"/>
    <w:rsid w:val="00F23155"/>
    <w:rsid w:val="00F23475"/>
    <w:rsid w:val="00F3125B"/>
    <w:rsid w:val="00F31A95"/>
    <w:rsid w:val="00F31CEE"/>
    <w:rsid w:val="00F34446"/>
    <w:rsid w:val="00F47E63"/>
    <w:rsid w:val="00F53E4D"/>
    <w:rsid w:val="00F54E34"/>
    <w:rsid w:val="00F6199D"/>
    <w:rsid w:val="00F9500E"/>
    <w:rsid w:val="00FB75F7"/>
    <w:rsid w:val="00FC6D23"/>
    <w:rsid w:val="00FC7C29"/>
    <w:rsid w:val="00FD6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Normální KZ"/>
    <w:qFormat/>
    <w:rsid w:val="00BF4188"/>
    <w:pPr>
      <w:spacing w:after="0" w:line="240" w:lineRule="auto"/>
      <w:jc w:val="both"/>
    </w:pPr>
    <w:rPr>
      <w:sz w:val="24"/>
    </w:rPr>
  </w:style>
  <w:style w:type="paragraph" w:styleId="Nadpis1">
    <w:name w:val="heading 1"/>
    <w:basedOn w:val="Normln"/>
    <w:next w:val="Normln"/>
    <w:link w:val="Nadpis1Char"/>
    <w:uiPriority w:val="9"/>
    <w:qFormat/>
    <w:rsid w:val="00525CA7"/>
    <w:pPr>
      <w:keepNext/>
      <w:keepLines/>
      <w:numPr>
        <w:numId w:val="2"/>
      </w:numPr>
      <w:spacing w:before="60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86BE0"/>
    <w:pPr>
      <w:keepNext/>
      <w:keepLines/>
      <w:numPr>
        <w:numId w:val="8"/>
      </w:numPr>
      <w:spacing w:before="36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5CA7"/>
    <w:pPr>
      <w:tabs>
        <w:tab w:val="center" w:pos="4536"/>
        <w:tab w:val="right" w:pos="9072"/>
      </w:tabs>
    </w:pPr>
  </w:style>
  <w:style w:type="character" w:customStyle="1" w:styleId="ZhlavChar">
    <w:name w:val="Záhlaví Char"/>
    <w:basedOn w:val="Standardnpsmoodstavce"/>
    <w:link w:val="Zhlav"/>
    <w:uiPriority w:val="99"/>
    <w:rsid w:val="00525CA7"/>
  </w:style>
  <w:style w:type="paragraph" w:styleId="Zpat">
    <w:name w:val="footer"/>
    <w:basedOn w:val="Normln"/>
    <w:link w:val="ZpatChar"/>
    <w:uiPriority w:val="99"/>
    <w:unhideWhenUsed/>
    <w:rsid w:val="00525CA7"/>
    <w:pPr>
      <w:tabs>
        <w:tab w:val="center" w:pos="4536"/>
        <w:tab w:val="right" w:pos="9072"/>
      </w:tabs>
    </w:pPr>
  </w:style>
  <w:style w:type="character" w:customStyle="1" w:styleId="ZpatChar">
    <w:name w:val="Zápatí Char"/>
    <w:basedOn w:val="Standardnpsmoodstavce"/>
    <w:link w:val="Zpat"/>
    <w:uiPriority w:val="99"/>
    <w:rsid w:val="00525CA7"/>
  </w:style>
  <w:style w:type="paragraph" w:styleId="Textbubliny">
    <w:name w:val="Balloon Text"/>
    <w:basedOn w:val="Normln"/>
    <w:link w:val="TextbublinyChar"/>
    <w:uiPriority w:val="99"/>
    <w:semiHidden/>
    <w:unhideWhenUsed/>
    <w:rsid w:val="00525CA7"/>
    <w:rPr>
      <w:rFonts w:ascii="Tahoma" w:hAnsi="Tahoma" w:cs="Tahoma"/>
      <w:sz w:val="16"/>
      <w:szCs w:val="16"/>
    </w:rPr>
  </w:style>
  <w:style w:type="character" w:customStyle="1" w:styleId="TextbublinyChar">
    <w:name w:val="Text bubliny Char"/>
    <w:basedOn w:val="Standardnpsmoodstavce"/>
    <w:link w:val="Textbubliny"/>
    <w:uiPriority w:val="99"/>
    <w:semiHidden/>
    <w:rsid w:val="00525CA7"/>
    <w:rPr>
      <w:rFonts w:ascii="Tahoma" w:hAnsi="Tahoma" w:cs="Tahoma"/>
      <w:sz w:val="16"/>
      <w:szCs w:val="16"/>
    </w:rPr>
  </w:style>
  <w:style w:type="paragraph" w:styleId="Normlnweb">
    <w:name w:val="Normal (Web)"/>
    <w:basedOn w:val="Normln"/>
    <w:uiPriority w:val="99"/>
    <w:semiHidden/>
    <w:rsid w:val="00525CA7"/>
    <w:rPr>
      <w:rFonts w:ascii="Times New Roman" w:eastAsia="Times New Roman" w:hAnsi="Times New Roman" w:cs="Times New Roman"/>
      <w:szCs w:val="24"/>
    </w:rPr>
  </w:style>
  <w:style w:type="table" w:styleId="Mkatabulky">
    <w:name w:val="Table Grid"/>
    <w:basedOn w:val="Normlntabulka"/>
    <w:uiPriority w:val="59"/>
    <w:rsid w:val="00525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aliases w:val="odrážky"/>
    <w:basedOn w:val="Normln"/>
    <w:link w:val="OdstavecseseznamemChar"/>
    <w:uiPriority w:val="34"/>
    <w:qFormat/>
    <w:rsid w:val="00CB7422"/>
    <w:pPr>
      <w:numPr>
        <w:numId w:val="10"/>
      </w:numPr>
      <w:ind w:left="426" w:hanging="426"/>
      <w:contextualSpacing/>
    </w:pPr>
    <w:rPr>
      <w:rFonts w:eastAsia="Times New Roman" w:cs="Times New Roman"/>
    </w:rPr>
  </w:style>
  <w:style w:type="character" w:customStyle="1" w:styleId="OdstavecseseznamemChar">
    <w:name w:val="Odstavec se seznamem Char"/>
    <w:aliases w:val="odrážky Char"/>
    <w:link w:val="Odstavecseseznamem"/>
    <w:uiPriority w:val="34"/>
    <w:locked/>
    <w:rsid w:val="00CB7422"/>
    <w:rPr>
      <w:rFonts w:eastAsia="Times New Roman" w:cs="Times New Roman"/>
      <w:sz w:val="24"/>
    </w:rPr>
  </w:style>
  <w:style w:type="character" w:customStyle="1" w:styleId="Nadpis1Char">
    <w:name w:val="Nadpis 1 Char"/>
    <w:basedOn w:val="Standardnpsmoodstavce"/>
    <w:link w:val="Nadpis1"/>
    <w:uiPriority w:val="9"/>
    <w:rsid w:val="00525CA7"/>
    <w:rPr>
      <w:rFonts w:eastAsiaTheme="majorEastAsia" w:cstheme="majorBidi"/>
      <w:b/>
      <w:bCs/>
      <w:sz w:val="32"/>
      <w:szCs w:val="28"/>
    </w:rPr>
  </w:style>
  <w:style w:type="character" w:customStyle="1" w:styleId="Nadpis2Char">
    <w:name w:val="Nadpis 2 Char"/>
    <w:basedOn w:val="Standardnpsmoodstavce"/>
    <w:link w:val="Nadpis2"/>
    <w:uiPriority w:val="9"/>
    <w:rsid w:val="00C86BE0"/>
    <w:rPr>
      <w:rFonts w:eastAsiaTheme="majorEastAsia" w:cstheme="majorBidi"/>
      <w:b/>
      <w:bCs/>
      <w:sz w:val="28"/>
      <w:szCs w:val="26"/>
    </w:rPr>
  </w:style>
  <w:style w:type="paragraph" w:styleId="Textpoznpodarou">
    <w:name w:val="footnote text"/>
    <w:basedOn w:val="Normln"/>
    <w:link w:val="TextpoznpodarouChar"/>
    <w:uiPriority w:val="99"/>
    <w:unhideWhenUsed/>
    <w:rsid w:val="00C86BE0"/>
    <w:rPr>
      <w:rFonts w:eastAsia="Times New Roman" w:cs="Times New Roman"/>
      <w:sz w:val="20"/>
      <w:szCs w:val="20"/>
    </w:rPr>
  </w:style>
  <w:style w:type="character" w:customStyle="1" w:styleId="TextpoznpodarouChar">
    <w:name w:val="Text pozn. pod čarou Char"/>
    <w:basedOn w:val="Standardnpsmoodstavce"/>
    <w:link w:val="Textpoznpodarou"/>
    <w:uiPriority w:val="99"/>
    <w:rsid w:val="00C86BE0"/>
    <w:rPr>
      <w:rFonts w:eastAsia="Times New Roman" w:cs="Times New Roman"/>
      <w:sz w:val="20"/>
      <w:szCs w:val="20"/>
    </w:rPr>
  </w:style>
  <w:style w:type="character" w:styleId="Znakapoznpodarou">
    <w:name w:val="footnote reference"/>
    <w:basedOn w:val="Standardnpsmoodstavce"/>
    <w:uiPriority w:val="99"/>
    <w:semiHidden/>
    <w:unhideWhenUsed/>
    <w:rsid w:val="00C86BE0"/>
    <w:rPr>
      <w:vertAlign w:val="superscript"/>
    </w:rPr>
  </w:style>
  <w:style w:type="paragraph" w:customStyle="1" w:styleId="Styl1">
    <w:name w:val="Styl1"/>
    <w:basedOn w:val="Normln"/>
    <w:link w:val="Styl1Char"/>
    <w:qFormat/>
    <w:rsid w:val="00D30E44"/>
    <w:pPr>
      <w:spacing w:line="276" w:lineRule="auto"/>
    </w:pPr>
    <w:rPr>
      <w:rFonts w:ascii="Arial" w:eastAsia="Times New Roman" w:hAnsi="Arial" w:cs="Arial"/>
      <w:sz w:val="22"/>
      <w:szCs w:val="24"/>
    </w:rPr>
  </w:style>
  <w:style w:type="character" w:customStyle="1" w:styleId="Styl1Char">
    <w:name w:val="Styl1 Char"/>
    <w:link w:val="Styl1"/>
    <w:rsid w:val="00D30E44"/>
    <w:rPr>
      <w:rFonts w:ascii="Arial" w:eastAsia="Times New Roman" w:hAnsi="Arial" w:cs="Arial"/>
      <w:szCs w:val="24"/>
    </w:rPr>
  </w:style>
  <w:style w:type="paragraph" w:customStyle="1" w:styleId="Bezodstavcovhostylu">
    <w:name w:val="[Bez odstavcového stylu]"/>
    <w:rsid w:val="00D30E44"/>
    <w:pPr>
      <w:autoSpaceDE w:val="0"/>
      <w:autoSpaceDN w:val="0"/>
      <w:adjustRightInd w:val="0"/>
      <w:spacing w:after="0" w:line="288" w:lineRule="auto"/>
      <w:textAlignment w:val="center"/>
    </w:pPr>
    <w:rPr>
      <w:rFonts w:ascii="Calibri" w:hAnsi="Calibri" w:cs="Times New Roman"/>
      <w:color w:val="000000"/>
      <w:sz w:val="24"/>
      <w:szCs w:val="24"/>
    </w:rPr>
  </w:style>
  <w:style w:type="paragraph" w:customStyle="1" w:styleId="Tabulka">
    <w:name w:val="Tabulka"/>
    <w:basedOn w:val="Normln"/>
    <w:uiPriority w:val="99"/>
    <w:rsid w:val="00D30E44"/>
    <w:pPr>
      <w:suppressAutoHyphens/>
      <w:autoSpaceDE w:val="0"/>
      <w:autoSpaceDN w:val="0"/>
      <w:adjustRightInd w:val="0"/>
      <w:spacing w:after="85" w:line="288" w:lineRule="auto"/>
      <w:jc w:val="left"/>
      <w:textAlignment w:val="center"/>
    </w:pPr>
    <w:rPr>
      <w:rFonts w:ascii="Calibri" w:hAnsi="Calibri" w:cs="Calibri"/>
      <w:color w:val="000000"/>
      <w:sz w:val="18"/>
      <w:szCs w:val="18"/>
    </w:rPr>
  </w:style>
  <w:style w:type="paragraph" w:customStyle="1" w:styleId="TabulkaKZ">
    <w:name w:val="TabulkaKZ"/>
    <w:basedOn w:val="Normln"/>
    <w:qFormat/>
    <w:rsid w:val="000F389A"/>
    <w:pPr>
      <w:numPr>
        <w:numId w:val="20"/>
      </w:numPr>
      <w:spacing w:after="240"/>
    </w:pPr>
    <w:rPr>
      <w:rFonts w:cstheme="minorHAnsi"/>
      <w:b/>
      <w:szCs w:val="24"/>
    </w:rPr>
  </w:style>
  <w:style w:type="paragraph" w:customStyle="1" w:styleId="rove1">
    <w:name w:val="úroveň 1"/>
    <w:basedOn w:val="Odstavecseseznamem"/>
    <w:link w:val="rove1Char"/>
    <w:rsid w:val="008636AC"/>
    <w:pPr>
      <w:numPr>
        <w:numId w:val="33"/>
      </w:numPr>
      <w:spacing w:after="200"/>
      <w:ind w:left="284" w:hanging="284"/>
      <w:contextualSpacing w:val="0"/>
    </w:pPr>
    <w:rPr>
      <w:rFonts w:cstheme="minorHAnsi"/>
      <w:b/>
      <w:szCs w:val="24"/>
    </w:rPr>
  </w:style>
  <w:style w:type="paragraph" w:customStyle="1" w:styleId="rove2">
    <w:name w:val="úroveň 2"/>
    <w:basedOn w:val="Odstavecseseznamem"/>
    <w:link w:val="rove2Char"/>
    <w:rsid w:val="008636AC"/>
    <w:pPr>
      <w:numPr>
        <w:ilvl w:val="1"/>
        <w:numId w:val="33"/>
      </w:numPr>
      <w:spacing w:after="120"/>
      <w:ind w:left="709" w:hanging="709"/>
      <w:contextualSpacing w:val="0"/>
    </w:pPr>
    <w:rPr>
      <w:rFonts w:cstheme="minorHAnsi"/>
      <w:i/>
      <w:szCs w:val="24"/>
    </w:rPr>
  </w:style>
  <w:style w:type="character" w:customStyle="1" w:styleId="rove2Char">
    <w:name w:val="úroveň 2 Char"/>
    <w:basedOn w:val="Standardnpsmoodstavce"/>
    <w:link w:val="rove2"/>
    <w:rsid w:val="008636AC"/>
    <w:rPr>
      <w:rFonts w:eastAsia="Times New Roman" w:cstheme="minorHAnsi"/>
      <w:i/>
      <w:sz w:val="24"/>
      <w:szCs w:val="24"/>
    </w:rPr>
  </w:style>
  <w:style w:type="table" w:customStyle="1" w:styleId="Mkatabulky1">
    <w:name w:val="Mřížka tabulky1"/>
    <w:basedOn w:val="Normlntabulka"/>
    <w:next w:val="Mkatabulky"/>
    <w:uiPriority w:val="59"/>
    <w:rsid w:val="00A77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ve1Char">
    <w:name w:val="úroveň 1 Char"/>
    <w:basedOn w:val="Standardnpsmoodstavce"/>
    <w:link w:val="rove1"/>
    <w:rsid w:val="000178E5"/>
    <w:rPr>
      <w:rFonts w:eastAsia="Times New Roman" w:cstheme="minorHAns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Normální KZ"/>
    <w:qFormat/>
    <w:rsid w:val="00BF4188"/>
    <w:pPr>
      <w:spacing w:after="0" w:line="240" w:lineRule="auto"/>
      <w:jc w:val="both"/>
    </w:pPr>
    <w:rPr>
      <w:sz w:val="24"/>
    </w:rPr>
  </w:style>
  <w:style w:type="paragraph" w:styleId="Nadpis1">
    <w:name w:val="heading 1"/>
    <w:basedOn w:val="Normln"/>
    <w:next w:val="Normln"/>
    <w:link w:val="Nadpis1Char"/>
    <w:uiPriority w:val="9"/>
    <w:qFormat/>
    <w:rsid w:val="00525CA7"/>
    <w:pPr>
      <w:keepNext/>
      <w:keepLines/>
      <w:numPr>
        <w:numId w:val="2"/>
      </w:numPr>
      <w:spacing w:before="60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86BE0"/>
    <w:pPr>
      <w:keepNext/>
      <w:keepLines/>
      <w:numPr>
        <w:numId w:val="8"/>
      </w:numPr>
      <w:spacing w:before="36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5CA7"/>
    <w:pPr>
      <w:tabs>
        <w:tab w:val="center" w:pos="4536"/>
        <w:tab w:val="right" w:pos="9072"/>
      </w:tabs>
    </w:pPr>
  </w:style>
  <w:style w:type="character" w:customStyle="1" w:styleId="ZhlavChar">
    <w:name w:val="Záhlaví Char"/>
    <w:basedOn w:val="Standardnpsmoodstavce"/>
    <w:link w:val="Zhlav"/>
    <w:uiPriority w:val="99"/>
    <w:rsid w:val="00525CA7"/>
  </w:style>
  <w:style w:type="paragraph" w:styleId="Zpat">
    <w:name w:val="footer"/>
    <w:basedOn w:val="Normln"/>
    <w:link w:val="ZpatChar"/>
    <w:uiPriority w:val="99"/>
    <w:unhideWhenUsed/>
    <w:rsid w:val="00525CA7"/>
    <w:pPr>
      <w:tabs>
        <w:tab w:val="center" w:pos="4536"/>
        <w:tab w:val="right" w:pos="9072"/>
      </w:tabs>
    </w:pPr>
  </w:style>
  <w:style w:type="character" w:customStyle="1" w:styleId="ZpatChar">
    <w:name w:val="Zápatí Char"/>
    <w:basedOn w:val="Standardnpsmoodstavce"/>
    <w:link w:val="Zpat"/>
    <w:uiPriority w:val="99"/>
    <w:rsid w:val="00525CA7"/>
  </w:style>
  <w:style w:type="paragraph" w:styleId="Textbubliny">
    <w:name w:val="Balloon Text"/>
    <w:basedOn w:val="Normln"/>
    <w:link w:val="TextbublinyChar"/>
    <w:uiPriority w:val="99"/>
    <w:semiHidden/>
    <w:unhideWhenUsed/>
    <w:rsid w:val="00525CA7"/>
    <w:rPr>
      <w:rFonts w:ascii="Tahoma" w:hAnsi="Tahoma" w:cs="Tahoma"/>
      <w:sz w:val="16"/>
      <w:szCs w:val="16"/>
    </w:rPr>
  </w:style>
  <w:style w:type="character" w:customStyle="1" w:styleId="TextbublinyChar">
    <w:name w:val="Text bubliny Char"/>
    <w:basedOn w:val="Standardnpsmoodstavce"/>
    <w:link w:val="Textbubliny"/>
    <w:uiPriority w:val="99"/>
    <w:semiHidden/>
    <w:rsid w:val="00525CA7"/>
    <w:rPr>
      <w:rFonts w:ascii="Tahoma" w:hAnsi="Tahoma" w:cs="Tahoma"/>
      <w:sz w:val="16"/>
      <w:szCs w:val="16"/>
    </w:rPr>
  </w:style>
  <w:style w:type="paragraph" w:styleId="Normlnweb">
    <w:name w:val="Normal (Web)"/>
    <w:basedOn w:val="Normln"/>
    <w:uiPriority w:val="99"/>
    <w:semiHidden/>
    <w:rsid w:val="00525CA7"/>
    <w:rPr>
      <w:rFonts w:ascii="Times New Roman" w:eastAsia="Times New Roman" w:hAnsi="Times New Roman" w:cs="Times New Roman"/>
      <w:szCs w:val="24"/>
    </w:rPr>
  </w:style>
  <w:style w:type="table" w:styleId="Mkatabulky">
    <w:name w:val="Table Grid"/>
    <w:basedOn w:val="Normlntabulka"/>
    <w:uiPriority w:val="59"/>
    <w:rsid w:val="00525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aliases w:val="odrážky"/>
    <w:basedOn w:val="Normln"/>
    <w:link w:val="OdstavecseseznamemChar"/>
    <w:uiPriority w:val="34"/>
    <w:qFormat/>
    <w:rsid w:val="00CB7422"/>
    <w:pPr>
      <w:numPr>
        <w:numId w:val="10"/>
      </w:numPr>
      <w:ind w:left="426" w:hanging="426"/>
      <w:contextualSpacing/>
    </w:pPr>
    <w:rPr>
      <w:rFonts w:eastAsia="Times New Roman" w:cs="Times New Roman"/>
    </w:rPr>
  </w:style>
  <w:style w:type="character" w:customStyle="1" w:styleId="OdstavecseseznamemChar">
    <w:name w:val="Odstavec se seznamem Char"/>
    <w:aliases w:val="odrážky Char"/>
    <w:link w:val="Odstavecseseznamem"/>
    <w:uiPriority w:val="34"/>
    <w:locked/>
    <w:rsid w:val="00CB7422"/>
    <w:rPr>
      <w:rFonts w:eastAsia="Times New Roman" w:cs="Times New Roman"/>
      <w:sz w:val="24"/>
    </w:rPr>
  </w:style>
  <w:style w:type="character" w:customStyle="1" w:styleId="Nadpis1Char">
    <w:name w:val="Nadpis 1 Char"/>
    <w:basedOn w:val="Standardnpsmoodstavce"/>
    <w:link w:val="Nadpis1"/>
    <w:uiPriority w:val="9"/>
    <w:rsid w:val="00525CA7"/>
    <w:rPr>
      <w:rFonts w:eastAsiaTheme="majorEastAsia" w:cstheme="majorBidi"/>
      <w:b/>
      <w:bCs/>
      <w:sz w:val="32"/>
      <w:szCs w:val="28"/>
    </w:rPr>
  </w:style>
  <w:style w:type="character" w:customStyle="1" w:styleId="Nadpis2Char">
    <w:name w:val="Nadpis 2 Char"/>
    <w:basedOn w:val="Standardnpsmoodstavce"/>
    <w:link w:val="Nadpis2"/>
    <w:uiPriority w:val="9"/>
    <w:rsid w:val="00C86BE0"/>
    <w:rPr>
      <w:rFonts w:eastAsiaTheme="majorEastAsia" w:cstheme="majorBidi"/>
      <w:b/>
      <w:bCs/>
      <w:sz w:val="28"/>
      <w:szCs w:val="26"/>
    </w:rPr>
  </w:style>
  <w:style w:type="paragraph" w:styleId="Textpoznpodarou">
    <w:name w:val="footnote text"/>
    <w:basedOn w:val="Normln"/>
    <w:link w:val="TextpoznpodarouChar"/>
    <w:uiPriority w:val="99"/>
    <w:unhideWhenUsed/>
    <w:rsid w:val="00C86BE0"/>
    <w:rPr>
      <w:rFonts w:eastAsia="Times New Roman" w:cs="Times New Roman"/>
      <w:sz w:val="20"/>
      <w:szCs w:val="20"/>
    </w:rPr>
  </w:style>
  <w:style w:type="character" w:customStyle="1" w:styleId="TextpoznpodarouChar">
    <w:name w:val="Text pozn. pod čarou Char"/>
    <w:basedOn w:val="Standardnpsmoodstavce"/>
    <w:link w:val="Textpoznpodarou"/>
    <w:uiPriority w:val="99"/>
    <w:rsid w:val="00C86BE0"/>
    <w:rPr>
      <w:rFonts w:eastAsia="Times New Roman" w:cs="Times New Roman"/>
      <w:sz w:val="20"/>
      <w:szCs w:val="20"/>
    </w:rPr>
  </w:style>
  <w:style w:type="character" w:styleId="Znakapoznpodarou">
    <w:name w:val="footnote reference"/>
    <w:basedOn w:val="Standardnpsmoodstavce"/>
    <w:uiPriority w:val="99"/>
    <w:semiHidden/>
    <w:unhideWhenUsed/>
    <w:rsid w:val="00C86BE0"/>
    <w:rPr>
      <w:vertAlign w:val="superscript"/>
    </w:rPr>
  </w:style>
  <w:style w:type="paragraph" w:customStyle="1" w:styleId="Styl1">
    <w:name w:val="Styl1"/>
    <w:basedOn w:val="Normln"/>
    <w:link w:val="Styl1Char"/>
    <w:qFormat/>
    <w:rsid w:val="00D30E44"/>
    <w:pPr>
      <w:spacing w:line="276" w:lineRule="auto"/>
    </w:pPr>
    <w:rPr>
      <w:rFonts w:ascii="Arial" w:eastAsia="Times New Roman" w:hAnsi="Arial" w:cs="Arial"/>
      <w:sz w:val="22"/>
      <w:szCs w:val="24"/>
    </w:rPr>
  </w:style>
  <w:style w:type="character" w:customStyle="1" w:styleId="Styl1Char">
    <w:name w:val="Styl1 Char"/>
    <w:link w:val="Styl1"/>
    <w:rsid w:val="00D30E44"/>
    <w:rPr>
      <w:rFonts w:ascii="Arial" w:eastAsia="Times New Roman" w:hAnsi="Arial" w:cs="Arial"/>
      <w:szCs w:val="24"/>
    </w:rPr>
  </w:style>
  <w:style w:type="paragraph" w:customStyle="1" w:styleId="Bezodstavcovhostylu">
    <w:name w:val="[Bez odstavcového stylu]"/>
    <w:rsid w:val="00D30E44"/>
    <w:pPr>
      <w:autoSpaceDE w:val="0"/>
      <w:autoSpaceDN w:val="0"/>
      <w:adjustRightInd w:val="0"/>
      <w:spacing w:after="0" w:line="288" w:lineRule="auto"/>
      <w:textAlignment w:val="center"/>
    </w:pPr>
    <w:rPr>
      <w:rFonts w:ascii="Calibri" w:hAnsi="Calibri" w:cs="Times New Roman"/>
      <w:color w:val="000000"/>
      <w:sz w:val="24"/>
      <w:szCs w:val="24"/>
    </w:rPr>
  </w:style>
  <w:style w:type="paragraph" w:customStyle="1" w:styleId="Tabulka">
    <w:name w:val="Tabulka"/>
    <w:basedOn w:val="Normln"/>
    <w:uiPriority w:val="99"/>
    <w:rsid w:val="00D30E44"/>
    <w:pPr>
      <w:suppressAutoHyphens/>
      <w:autoSpaceDE w:val="0"/>
      <w:autoSpaceDN w:val="0"/>
      <w:adjustRightInd w:val="0"/>
      <w:spacing w:after="85" w:line="288" w:lineRule="auto"/>
      <w:jc w:val="left"/>
      <w:textAlignment w:val="center"/>
    </w:pPr>
    <w:rPr>
      <w:rFonts w:ascii="Calibri" w:hAnsi="Calibri" w:cs="Calibri"/>
      <w:color w:val="000000"/>
      <w:sz w:val="18"/>
      <w:szCs w:val="18"/>
    </w:rPr>
  </w:style>
  <w:style w:type="paragraph" w:customStyle="1" w:styleId="TabulkaKZ">
    <w:name w:val="TabulkaKZ"/>
    <w:basedOn w:val="Normln"/>
    <w:qFormat/>
    <w:rsid w:val="000F389A"/>
    <w:pPr>
      <w:numPr>
        <w:numId w:val="20"/>
      </w:numPr>
      <w:spacing w:after="240"/>
    </w:pPr>
    <w:rPr>
      <w:rFonts w:cstheme="minorHAnsi"/>
      <w:b/>
      <w:szCs w:val="24"/>
    </w:rPr>
  </w:style>
  <w:style w:type="paragraph" w:customStyle="1" w:styleId="rove1">
    <w:name w:val="úroveň 1"/>
    <w:basedOn w:val="Odstavecseseznamem"/>
    <w:link w:val="rove1Char"/>
    <w:rsid w:val="008636AC"/>
    <w:pPr>
      <w:numPr>
        <w:numId w:val="33"/>
      </w:numPr>
      <w:spacing w:after="200"/>
      <w:ind w:left="284" w:hanging="284"/>
      <w:contextualSpacing w:val="0"/>
    </w:pPr>
    <w:rPr>
      <w:rFonts w:cstheme="minorHAnsi"/>
      <w:b/>
      <w:szCs w:val="24"/>
    </w:rPr>
  </w:style>
  <w:style w:type="paragraph" w:customStyle="1" w:styleId="rove2">
    <w:name w:val="úroveň 2"/>
    <w:basedOn w:val="Odstavecseseznamem"/>
    <w:link w:val="rove2Char"/>
    <w:rsid w:val="008636AC"/>
    <w:pPr>
      <w:numPr>
        <w:ilvl w:val="1"/>
        <w:numId w:val="33"/>
      </w:numPr>
      <w:spacing w:after="120"/>
      <w:ind w:left="709" w:hanging="709"/>
      <w:contextualSpacing w:val="0"/>
    </w:pPr>
    <w:rPr>
      <w:rFonts w:cstheme="minorHAnsi"/>
      <w:i/>
      <w:szCs w:val="24"/>
    </w:rPr>
  </w:style>
  <w:style w:type="character" w:customStyle="1" w:styleId="rove2Char">
    <w:name w:val="úroveň 2 Char"/>
    <w:basedOn w:val="Standardnpsmoodstavce"/>
    <w:link w:val="rove2"/>
    <w:rsid w:val="008636AC"/>
    <w:rPr>
      <w:rFonts w:eastAsia="Times New Roman" w:cstheme="minorHAnsi"/>
      <w:i/>
      <w:sz w:val="24"/>
      <w:szCs w:val="24"/>
    </w:rPr>
  </w:style>
  <w:style w:type="table" w:customStyle="1" w:styleId="Mkatabulky1">
    <w:name w:val="Mřížka tabulky1"/>
    <w:basedOn w:val="Normlntabulka"/>
    <w:next w:val="Mkatabulky"/>
    <w:uiPriority w:val="59"/>
    <w:rsid w:val="00A77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ve1Char">
    <w:name w:val="úroveň 1 Char"/>
    <w:basedOn w:val="Standardnpsmoodstavce"/>
    <w:link w:val="rove1"/>
    <w:rsid w:val="000178E5"/>
    <w:rPr>
      <w:rFonts w:eastAsia="Times New Roman"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15022">
      <w:bodyDiv w:val="1"/>
      <w:marLeft w:val="0"/>
      <w:marRight w:val="0"/>
      <w:marTop w:val="0"/>
      <w:marBottom w:val="0"/>
      <w:divBdr>
        <w:top w:val="none" w:sz="0" w:space="0" w:color="auto"/>
        <w:left w:val="none" w:sz="0" w:space="0" w:color="auto"/>
        <w:bottom w:val="none" w:sz="0" w:space="0" w:color="auto"/>
        <w:right w:val="none" w:sz="0" w:space="0" w:color="auto"/>
      </w:divBdr>
    </w:div>
    <w:div w:id="1077676578">
      <w:bodyDiv w:val="1"/>
      <w:marLeft w:val="0"/>
      <w:marRight w:val="0"/>
      <w:marTop w:val="0"/>
      <w:marBottom w:val="0"/>
      <w:divBdr>
        <w:top w:val="none" w:sz="0" w:space="0" w:color="auto"/>
        <w:left w:val="none" w:sz="0" w:space="0" w:color="auto"/>
        <w:bottom w:val="none" w:sz="0" w:space="0" w:color="auto"/>
        <w:right w:val="none" w:sz="0" w:space="0" w:color="auto"/>
      </w:divBdr>
    </w:div>
    <w:div w:id="1191338703">
      <w:bodyDiv w:val="1"/>
      <w:marLeft w:val="0"/>
      <w:marRight w:val="0"/>
      <w:marTop w:val="0"/>
      <w:marBottom w:val="0"/>
      <w:divBdr>
        <w:top w:val="none" w:sz="0" w:space="0" w:color="auto"/>
        <w:left w:val="none" w:sz="0" w:space="0" w:color="auto"/>
        <w:bottom w:val="none" w:sz="0" w:space="0" w:color="auto"/>
        <w:right w:val="none" w:sz="0" w:space="0" w:color="auto"/>
      </w:divBdr>
    </w:div>
    <w:div w:id="17270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AA5F7B-1ED9-4575-89BF-4EFEB6909763}"/>
</file>

<file path=customXml/itemProps2.xml><?xml version="1.0" encoding="utf-8"?>
<ds:datastoreItem xmlns:ds="http://schemas.openxmlformats.org/officeDocument/2006/customXml" ds:itemID="{6C04A534-647D-4A31-954F-DFFBE293EA7D}"/>
</file>

<file path=customXml/itemProps3.xml><?xml version="1.0" encoding="utf-8"?>
<ds:datastoreItem xmlns:ds="http://schemas.openxmlformats.org/officeDocument/2006/customXml" ds:itemID="{771DB6C9-0159-4EB4-AEA0-640E6EC24F39}"/>
</file>

<file path=customXml/itemProps4.xml><?xml version="1.0" encoding="utf-8"?>
<ds:datastoreItem xmlns:ds="http://schemas.openxmlformats.org/officeDocument/2006/customXml" ds:itemID="{A218F137-6ACE-48D2-B2B8-E911EC80DBB0}"/>
</file>

<file path=docProps/app.xml><?xml version="1.0" encoding="utf-8"?>
<Properties xmlns="http://schemas.openxmlformats.org/officeDocument/2006/extended-properties" xmlns:vt="http://schemas.openxmlformats.org/officeDocument/2006/docPropsVTypes">
  <Template>75E7BF8D.dotm</Template>
  <TotalTime>0</TotalTime>
  <Pages>11</Pages>
  <Words>3839</Words>
  <Characters>22656</Characters>
  <Application>Microsoft Office Word</Application>
  <DocSecurity>4</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26443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14/34</dc:title>
  <dc:creator>Nejvyšší kontrolní úřad</dc:creator>
  <cp:keywords>státní pozemkový úřad, spú</cp:keywords>
  <cp:lastModifiedBy>KOKRDA Daniel</cp:lastModifiedBy>
  <cp:revision>2</cp:revision>
  <cp:lastPrinted>2015-07-21T11:28:00Z</cp:lastPrinted>
  <dcterms:created xsi:type="dcterms:W3CDTF">2015-08-04T11:00:00Z</dcterms:created>
  <dcterms:modified xsi:type="dcterms:W3CDTF">2015-08-04T11:00:00Z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0x0101002F7A625AE9F5AB4A939F92BCAA7FEC02</vt:lpwstr>
  </property>
</Properties>
</file>