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rawings/drawing2.xml" ContentType="application/vnd.openxmlformats-officedocument.drawingml.chartshapes+xml"/>
  <Override PartName="/word/drawings/drawing1.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A7" w:rsidRDefault="00313385" w:rsidP="00525CA7">
      <w:r w:rsidRPr="00B33461">
        <w:rPr>
          <w:rFonts w:ascii="Calibri" w:hAnsi="Calibri" w:cs="Calibri"/>
          <w:b/>
          <w:noProof/>
          <w:szCs w:val="24"/>
          <w:lang w:eastAsia="cs-CZ"/>
        </w:rPr>
        <w:drawing>
          <wp:anchor distT="0" distB="0" distL="114935" distR="114935" simplePos="0" relativeHeight="251675648" behindDoc="0" locked="0" layoutInCell="1" allowOverlap="1" wp14:anchorId="50765AAC" wp14:editId="67815CE3">
            <wp:simplePos x="0" y="0"/>
            <wp:positionH relativeFrom="column">
              <wp:posOffset>2518410</wp:posOffset>
            </wp:positionH>
            <wp:positionV relativeFrom="paragraph">
              <wp:posOffset>230505</wp:posOffset>
            </wp:positionV>
            <wp:extent cx="763905" cy="539750"/>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905" cy="539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25CA7" w:rsidRDefault="00525CA7" w:rsidP="00525CA7">
      <w:bookmarkStart w:id="0" w:name="_GoBack"/>
      <w:bookmarkEnd w:id="0"/>
    </w:p>
    <w:p w:rsidR="00967341" w:rsidRDefault="00525CA7" w:rsidP="00967341">
      <w:pPr>
        <w:pStyle w:val="Normlnweb"/>
        <w:tabs>
          <w:tab w:val="left" w:pos="5400"/>
        </w:tabs>
        <w:spacing w:line="276" w:lineRule="auto"/>
        <w:jc w:val="center"/>
        <w:rPr>
          <w:rFonts w:asciiTheme="minorHAnsi" w:hAnsiTheme="minorHAnsi" w:cstheme="minorHAnsi"/>
          <w:b/>
          <w:sz w:val="28"/>
          <w:szCs w:val="28"/>
        </w:rPr>
      </w:pPr>
      <w:r w:rsidRPr="00314EDF">
        <w:rPr>
          <w:rFonts w:asciiTheme="minorHAnsi" w:hAnsiTheme="minorHAnsi" w:cstheme="minorHAnsi"/>
          <w:b/>
          <w:sz w:val="28"/>
          <w:szCs w:val="28"/>
        </w:rPr>
        <w:t>Kontrolní závěr z</w:t>
      </w:r>
      <w:r w:rsidR="00967341">
        <w:rPr>
          <w:rFonts w:asciiTheme="minorHAnsi" w:hAnsiTheme="minorHAnsi" w:cstheme="minorHAnsi"/>
          <w:b/>
          <w:sz w:val="28"/>
          <w:szCs w:val="28"/>
        </w:rPr>
        <w:t xml:space="preserve"> </w:t>
      </w:r>
      <w:r w:rsidRPr="00314EDF">
        <w:rPr>
          <w:rFonts w:asciiTheme="minorHAnsi" w:hAnsiTheme="minorHAnsi" w:cstheme="minorHAnsi"/>
          <w:b/>
          <w:sz w:val="28"/>
          <w:szCs w:val="28"/>
        </w:rPr>
        <w:t xml:space="preserve">kontrolní akce </w:t>
      </w:r>
    </w:p>
    <w:p w:rsidR="00525CA7" w:rsidRPr="00314EDF" w:rsidRDefault="00525CA7" w:rsidP="00967341">
      <w:pPr>
        <w:pStyle w:val="Normlnweb"/>
        <w:tabs>
          <w:tab w:val="left" w:pos="5400"/>
        </w:tabs>
        <w:spacing w:line="276" w:lineRule="auto"/>
        <w:jc w:val="center"/>
        <w:rPr>
          <w:rFonts w:asciiTheme="minorHAnsi" w:hAnsiTheme="minorHAnsi" w:cstheme="minorHAnsi"/>
          <w:b/>
          <w:sz w:val="28"/>
          <w:szCs w:val="28"/>
        </w:rPr>
      </w:pPr>
      <w:r w:rsidRPr="00314EDF">
        <w:rPr>
          <w:rFonts w:asciiTheme="minorHAnsi" w:hAnsiTheme="minorHAnsi" w:cstheme="minorHAnsi"/>
          <w:b/>
          <w:sz w:val="28"/>
          <w:szCs w:val="28"/>
        </w:rPr>
        <w:t>14/17</w:t>
      </w:r>
    </w:p>
    <w:p w:rsidR="00967341" w:rsidRDefault="00525CA7" w:rsidP="00967341">
      <w:pPr>
        <w:pStyle w:val="Normlnweb"/>
        <w:tabs>
          <w:tab w:val="left" w:pos="5400"/>
        </w:tabs>
        <w:spacing w:line="276" w:lineRule="auto"/>
        <w:jc w:val="center"/>
        <w:rPr>
          <w:rFonts w:asciiTheme="minorHAnsi" w:hAnsiTheme="minorHAnsi" w:cstheme="minorHAnsi"/>
          <w:b/>
          <w:bCs/>
          <w:iCs/>
          <w:sz w:val="28"/>
          <w:szCs w:val="28"/>
        </w:rPr>
      </w:pPr>
      <w:r w:rsidRPr="00314EDF">
        <w:rPr>
          <w:rFonts w:asciiTheme="minorHAnsi" w:hAnsiTheme="minorHAnsi" w:cstheme="minorHAnsi"/>
          <w:b/>
          <w:bCs/>
          <w:iCs/>
          <w:sz w:val="28"/>
          <w:szCs w:val="28"/>
        </w:rPr>
        <w:t xml:space="preserve">Správa daně </w:t>
      </w:r>
      <w:r w:rsidR="000869AC">
        <w:rPr>
          <w:rFonts w:asciiTheme="minorHAnsi" w:hAnsiTheme="minorHAnsi" w:cstheme="minorHAnsi"/>
          <w:b/>
          <w:bCs/>
          <w:iCs/>
          <w:sz w:val="28"/>
          <w:szCs w:val="28"/>
        </w:rPr>
        <w:t>z </w:t>
      </w:r>
      <w:r w:rsidRPr="00314EDF">
        <w:rPr>
          <w:rFonts w:asciiTheme="minorHAnsi" w:hAnsiTheme="minorHAnsi" w:cstheme="minorHAnsi"/>
          <w:b/>
          <w:bCs/>
          <w:iCs/>
          <w:sz w:val="28"/>
          <w:szCs w:val="28"/>
        </w:rPr>
        <w:t xml:space="preserve">přidané hodnoty a dopady legislativních změn </w:t>
      </w:r>
    </w:p>
    <w:p w:rsidR="00525CA7" w:rsidRDefault="00525CA7" w:rsidP="00967341">
      <w:pPr>
        <w:pStyle w:val="Normlnweb"/>
        <w:tabs>
          <w:tab w:val="left" w:pos="5400"/>
        </w:tabs>
        <w:spacing w:line="276" w:lineRule="auto"/>
        <w:jc w:val="center"/>
        <w:rPr>
          <w:rFonts w:asciiTheme="minorHAnsi" w:hAnsiTheme="minorHAnsi" w:cstheme="minorHAnsi"/>
          <w:b/>
          <w:bCs/>
          <w:iCs/>
          <w:sz w:val="28"/>
          <w:szCs w:val="28"/>
        </w:rPr>
      </w:pPr>
      <w:r w:rsidRPr="00314EDF">
        <w:rPr>
          <w:rFonts w:asciiTheme="minorHAnsi" w:hAnsiTheme="minorHAnsi" w:cstheme="minorHAnsi"/>
          <w:b/>
          <w:bCs/>
          <w:iCs/>
          <w:sz w:val="28"/>
          <w:szCs w:val="28"/>
        </w:rPr>
        <w:t>na příjmy státního rozpočtu</w:t>
      </w:r>
    </w:p>
    <w:p w:rsidR="007B3236" w:rsidRDefault="007B3236" w:rsidP="00967341">
      <w:pPr>
        <w:pStyle w:val="Normlnweb"/>
        <w:tabs>
          <w:tab w:val="left" w:pos="5400"/>
        </w:tabs>
        <w:spacing w:line="276" w:lineRule="auto"/>
        <w:jc w:val="center"/>
        <w:rPr>
          <w:rFonts w:asciiTheme="minorHAnsi" w:hAnsiTheme="minorHAnsi" w:cstheme="minorHAnsi"/>
          <w:b/>
          <w:bCs/>
          <w:iCs/>
          <w:sz w:val="28"/>
          <w:szCs w:val="28"/>
        </w:rPr>
      </w:pPr>
    </w:p>
    <w:p w:rsidR="007B3236" w:rsidRDefault="007B3236" w:rsidP="00967341">
      <w:pPr>
        <w:pStyle w:val="Normlnweb"/>
        <w:tabs>
          <w:tab w:val="left" w:pos="5400"/>
        </w:tabs>
        <w:spacing w:line="276" w:lineRule="auto"/>
        <w:jc w:val="center"/>
        <w:rPr>
          <w:rFonts w:asciiTheme="minorHAnsi" w:hAnsiTheme="minorHAnsi" w:cstheme="minorHAnsi"/>
          <w:b/>
          <w:bCs/>
          <w:iCs/>
          <w:sz w:val="28"/>
          <w:szCs w:val="28"/>
        </w:rPr>
      </w:pPr>
    </w:p>
    <w:p w:rsidR="0041562E" w:rsidRDefault="0041562E" w:rsidP="00967341">
      <w:pPr>
        <w:pStyle w:val="Normlnweb"/>
        <w:tabs>
          <w:tab w:val="left" w:pos="5400"/>
        </w:tabs>
        <w:spacing w:line="276" w:lineRule="auto"/>
        <w:jc w:val="center"/>
        <w:rPr>
          <w:rFonts w:asciiTheme="minorHAnsi" w:hAnsiTheme="minorHAnsi" w:cstheme="minorHAnsi"/>
          <w:b/>
          <w:bCs/>
          <w:iCs/>
          <w:sz w:val="28"/>
          <w:szCs w:val="28"/>
        </w:rPr>
      </w:pPr>
    </w:p>
    <w:p w:rsidR="007B3236" w:rsidRDefault="007B3236" w:rsidP="006D75F0">
      <w:pPr>
        <w:spacing w:after="0"/>
      </w:pPr>
      <w:r w:rsidRPr="007B3236">
        <w:t>Kontrolní akce byla zařazena do plánu kontrolní činnosti Nejvyššího kontrolního úřadu (dále jen „NKÚ“) na rok 2014 pod číslem 14/1</w:t>
      </w:r>
      <w:r>
        <w:t>7</w:t>
      </w:r>
      <w:r w:rsidRPr="007B3236">
        <w:t>. Kontrolní akci řídila a kontrolní závěr vypracovala členka NKÚ Mgr. Zdeňka Profeldová.</w:t>
      </w:r>
    </w:p>
    <w:p w:rsidR="006D75F0" w:rsidRPr="007B3236" w:rsidRDefault="006D75F0" w:rsidP="006D75F0">
      <w:pPr>
        <w:spacing w:after="0"/>
      </w:pPr>
    </w:p>
    <w:p w:rsidR="007B3236" w:rsidRDefault="007B3236" w:rsidP="006D75F0">
      <w:pPr>
        <w:spacing w:after="0"/>
      </w:pPr>
      <w:r w:rsidRPr="007B3236">
        <w:t xml:space="preserve">Cílem kontroly bylo </w:t>
      </w:r>
      <w:r>
        <w:t>p</w:t>
      </w:r>
      <w:r w:rsidRPr="007B3236">
        <w:t xml:space="preserve">rověřit postup finančních orgánů při správě daně </w:t>
      </w:r>
      <w:r w:rsidR="000869AC">
        <w:t>z </w:t>
      </w:r>
      <w:r w:rsidRPr="007B3236">
        <w:t>přidané hodnoty v</w:t>
      </w:r>
      <w:r>
        <w:t> </w:t>
      </w:r>
      <w:r w:rsidRPr="007B3236">
        <w:t xml:space="preserve">souvislosti se zavedením nových mechanismů do zákona č. 235/2004 Sb., o dani </w:t>
      </w:r>
      <w:r w:rsidR="000869AC">
        <w:t>z </w:t>
      </w:r>
      <w:r w:rsidRPr="007B3236">
        <w:t>přidané hodnoty, a ověřit jejich dopady do příjmů státního rozpočtu</w:t>
      </w:r>
      <w:r>
        <w:t>.</w:t>
      </w:r>
    </w:p>
    <w:p w:rsidR="006D75F0" w:rsidRDefault="006D75F0" w:rsidP="006D75F0">
      <w:pPr>
        <w:spacing w:after="0"/>
      </w:pPr>
    </w:p>
    <w:p w:rsidR="00432AF5" w:rsidRDefault="007B3236" w:rsidP="006D75F0">
      <w:pPr>
        <w:spacing w:after="0"/>
      </w:pPr>
      <w:r w:rsidRPr="007B3236">
        <w:t>Kontrolovan</w:t>
      </w:r>
      <w:r w:rsidR="00432AF5">
        <w:t>é</w:t>
      </w:r>
      <w:r>
        <w:t xml:space="preserve"> osob</w:t>
      </w:r>
      <w:r w:rsidR="00432AF5">
        <w:t>y:</w:t>
      </w:r>
      <w:r w:rsidRPr="007B3236">
        <w:t xml:space="preserve"> </w:t>
      </w:r>
    </w:p>
    <w:p w:rsidR="007B3236" w:rsidRDefault="007B3236" w:rsidP="006D75F0">
      <w:pPr>
        <w:spacing w:after="0"/>
      </w:pPr>
      <w:r w:rsidRPr="007B3236">
        <w:t>Generální finanční ředitelství (dále jen „GFŘ“), Finanční úřad pro hlavní město Prahu, Finanční úřad pro Jihočeský kraj, Finanční úřad pro Kraj Vysočina, Finanční úřad pro Jihomoravský kraj, Finanční úřad pro Moravskoslezský kraj, Finanční úřad pro Pardubický kraj (dále také „FÚ“).</w:t>
      </w:r>
    </w:p>
    <w:p w:rsidR="006D75F0" w:rsidRPr="007B3236" w:rsidRDefault="006D75F0" w:rsidP="006D75F0">
      <w:pPr>
        <w:spacing w:after="0"/>
      </w:pPr>
    </w:p>
    <w:p w:rsidR="007B3236" w:rsidRDefault="007B3236" w:rsidP="006D75F0">
      <w:pPr>
        <w:spacing w:after="0"/>
      </w:pPr>
      <w:r w:rsidRPr="007B3236">
        <w:t xml:space="preserve">Kontrola byla prováděna </w:t>
      </w:r>
      <w:r w:rsidR="000869AC">
        <w:t>v </w:t>
      </w:r>
      <w:r w:rsidRPr="007B3236">
        <w:t xml:space="preserve">době od </w:t>
      </w:r>
      <w:r>
        <w:t xml:space="preserve">května 2014 do února </w:t>
      </w:r>
      <w:r w:rsidRPr="007B3236">
        <w:t>201</w:t>
      </w:r>
      <w:r>
        <w:t>5</w:t>
      </w:r>
      <w:r w:rsidRPr="007B3236">
        <w:t xml:space="preserve">. Kontrolováno bylo období </w:t>
      </w:r>
      <w:r>
        <w:t>let 2011–2013</w:t>
      </w:r>
      <w:r w:rsidRPr="007B3236">
        <w:t xml:space="preserve">, </w:t>
      </w:r>
      <w:r w:rsidR="000869AC">
        <w:t>v </w:t>
      </w:r>
      <w:r w:rsidRPr="007B3236">
        <w:t xml:space="preserve">případě </w:t>
      </w:r>
      <w:r>
        <w:t xml:space="preserve">věcných </w:t>
      </w:r>
      <w:r w:rsidRPr="007B3236">
        <w:t>souvis</w:t>
      </w:r>
      <w:r>
        <w:t xml:space="preserve">lostí </w:t>
      </w:r>
      <w:r w:rsidR="00432AF5">
        <w:t xml:space="preserve">i </w:t>
      </w:r>
      <w:r>
        <w:t>období předcházející a následující</w:t>
      </w:r>
      <w:r w:rsidRPr="007B3236">
        <w:t>.</w:t>
      </w:r>
    </w:p>
    <w:p w:rsidR="006D75F0" w:rsidRPr="007B3236" w:rsidRDefault="006D75F0" w:rsidP="006D75F0">
      <w:pPr>
        <w:spacing w:after="0"/>
      </w:pPr>
    </w:p>
    <w:p w:rsidR="007B3236" w:rsidRPr="007B3236" w:rsidRDefault="007B3236" w:rsidP="006D75F0">
      <w:pPr>
        <w:spacing w:after="0"/>
      </w:pPr>
      <w:r w:rsidRPr="007B3236">
        <w:t>Námitky proti kontrolnímu protokolu, které podalo</w:t>
      </w:r>
      <w:r>
        <w:t xml:space="preserve"> GFŘ</w:t>
      </w:r>
      <w:r w:rsidRPr="007B3236">
        <w:t>, vypořádala vedoucí skupiny kontrolujících rozhodnutím o námitkách. Odvolání proti rozhodnutí o námitkách pod</w:t>
      </w:r>
      <w:r>
        <w:t xml:space="preserve">áno nebylo. </w:t>
      </w:r>
    </w:p>
    <w:p w:rsidR="00525CA7" w:rsidRDefault="00525CA7" w:rsidP="006D75F0">
      <w:pPr>
        <w:spacing w:after="0"/>
        <w:rPr>
          <w:rFonts w:cstheme="minorHAnsi"/>
          <w:szCs w:val="24"/>
        </w:rPr>
      </w:pPr>
    </w:p>
    <w:p w:rsidR="006D75F0" w:rsidRPr="00B96308" w:rsidRDefault="006D75F0" w:rsidP="006D75F0">
      <w:pPr>
        <w:spacing w:after="0"/>
        <w:rPr>
          <w:rFonts w:cstheme="minorHAnsi"/>
          <w:szCs w:val="24"/>
        </w:rPr>
      </w:pPr>
    </w:p>
    <w:p w:rsidR="00525CA7" w:rsidRPr="00B96308" w:rsidRDefault="00525CA7" w:rsidP="00525CA7">
      <w:pPr>
        <w:rPr>
          <w:rFonts w:cstheme="minorHAnsi"/>
          <w:szCs w:val="24"/>
        </w:rPr>
      </w:pPr>
      <w:r>
        <w:rPr>
          <w:rFonts w:cstheme="minorHAnsi"/>
          <w:b/>
          <w:bCs/>
          <w:i/>
          <w:iCs/>
          <w:spacing w:val="20"/>
          <w:szCs w:val="24"/>
        </w:rPr>
        <w:t>Kolegium NK</w:t>
      </w:r>
      <w:r w:rsidRPr="000A3B01">
        <w:rPr>
          <w:rFonts w:cstheme="minorHAnsi"/>
          <w:b/>
          <w:bCs/>
          <w:i/>
          <w:iCs/>
          <w:spacing w:val="20"/>
          <w:szCs w:val="24"/>
        </w:rPr>
        <w:t>Ú</w:t>
      </w:r>
      <w:r w:rsidRPr="00B96308">
        <w:rPr>
          <w:rFonts w:cstheme="minorHAnsi"/>
          <w:szCs w:val="24"/>
        </w:rPr>
        <w:t xml:space="preserve"> na svém </w:t>
      </w:r>
      <w:r>
        <w:rPr>
          <w:rFonts w:cstheme="minorHAnsi"/>
          <w:szCs w:val="24"/>
        </w:rPr>
        <w:t>V. jednání</w:t>
      </w:r>
      <w:r w:rsidRPr="00B96308">
        <w:rPr>
          <w:rFonts w:cstheme="minorHAnsi"/>
          <w:szCs w:val="24"/>
        </w:rPr>
        <w:t xml:space="preserve">, </w:t>
      </w:r>
      <w:r w:rsidR="00432AF5">
        <w:rPr>
          <w:rFonts w:cstheme="minorHAnsi"/>
          <w:szCs w:val="24"/>
        </w:rPr>
        <w:t>které se konalo</w:t>
      </w:r>
      <w:r w:rsidRPr="00B96308">
        <w:rPr>
          <w:rFonts w:cstheme="minorHAnsi"/>
          <w:szCs w:val="24"/>
        </w:rPr>
        <w:t xml:space="preserve"> dne </w:t>
      </w:r>
      <w:r>
        <w:rPr>
          <w:rFonts w:cstheme="minorHAnsi"/>
          <w:szCs w:val="24"/>
        </w:rPr>
        <w:t xml:space="preserve">30. března </w:t>
      </w:r>
      <w:r w:rsidRPr="00B96308">
        <w:rPr>
          <w:rFonts w:cstheme="minorHAnsi"/>
          <w:szCs w:val="24"/>
        </w:rPr>
        <w:t>2015,</w:t>
      </w:r>
    </w:p>
    <w:p w:rsidR="00525CA7" w:rsidRPr="00B96308" w:rsidRDefault="00525CA7" w:rsidP="00525CA7">
      <w:pPr>
        <w:rPr>
          <w:rFonts w:cstheme="minorHAnsi"/>
          <w:szCs w:val="24"/>
        </w:rPr>
      </w:pPr>
      <w:r w:rsidRPr="000A3B01">
        <w:rPr>
          <w:rFonts w:cstheme="minorHAnsi"/>
          <w:b/>
          <w:bCs/>
          <w:i/>
          <w:iCs/>
          <w:spacing w:val="20"/>
          <w:szCs w:val="24"/>
        </w:rPr>
        <w:t>schválilo</w:t>
      </w:r>
      <w:r w:rsidRPr="00B96308">
        <w:rPr>
          <w:rFonts w:cstheme="minorHAnsi"/>
          <w:szCs w:val="24"/>
        </w:rPr>
        <w:t xml:space="preserve"> usnesením č.</w:t>
      </w:r>
      <w:r w:rsidR="00967341">
        <w:rPr>
          <w:rFonts w:cstheme="minorHAnsi"/>
          <w:szCs w:val="24"/>
        </w:rPr>
        <w:t xml:space="preserve"> </w:t>
      </w:r>
      <w:r w:rsidR="009826CE">
        <w:rPr>
          <w:rFonts w:cstheme="minorHAnsi"/>
          <w:szCs w:val="24"/>
        </w:rPr>
        <w:t>10</w:t>
      </w:r>
      <w:r w:rsidRPr="00B96308">
        <w:rPr>
          <w:rFonts w:cstheme="minorHAnsi"/>
          <w:szCs w:val="24"/>
        </w:rPr>
        <w:t>/</w:t>
      </w:r>
      <w:r>
        <w:rPr>
          <w:rFonts w:cstheme="minorHAnsi"/>
          <w:szCs w:val="24"/>
        </w:rPr>
        <w:t>V</w:t>
      </w:r>
      <w:r w:rsidRPr="00B96308">
        <w:rPr>
          <w:rFonts w:cstheme="minorHAnsi"/>
          <w:szCs w:val="24"/>
        </w:rPr>
        <w:t>/2015</w:t>
      </w:r>
    </w:p>
    <w:p w:rsidR="00525CA7" w:rsidRDefault="00525CA7" w:rsidP="00525CA7">
      <w:pPr>
        <w:rPr>
          <w:rFonts w:cstheme="minorHAnsi"/>
          <w:szCs w:val="24"/>
        </w:rPr>
      </w:pPr>
      <w:r w:rsidRPr="000A3B01">
        <w:rPr>
          <w:rFonts w:cstheme="minorHAnsi"/>
          <w:b/>
          <w:bCs/>
          <w:i/>
          <w:iCs/>
          <w:spacing w:val="20"/>
          <w:szCs w:val="24"/>
        </w:rPr>
        <w:t>kontrolní závěr</w:t>
      </w:r>
      <w:r w:rsidRPr="00B96308">
        <w:rPr>
          <w:rFonts w:cstheme="minorHAnsi"/>
          <w:szCs w:val="24"/>
        </w:rPr>
        <w:t xml:space="preserve"> </w:t>
      </w:r>
      <w:r w:rsidR="000869AC">
        <w:rPr>
          <w:rFonts w:cstheme="minorHAnsi"/>
          <w:szCs w:val="24"/>
        </w:rPr>
        <w:t>v </w:t>
      </w:r>
      <w:r w:rsidRPr="00B96308">
        <w:rPr>
          <w:rFonts w:cstheme="minorHAnsi"/>
          <w:szCs w:val="24"/>
        </w:rPr>
        <w:t>tomto znění:</w:t>
      </w:r>
    </w:p>
    <w:p w:rsidR="00525CA7" w:rsidRDefault="00525CA7" w:rsidP="00525CA7">
      <w:pPr>
        <w:rPr>
          <w:b/>
        </w:rPr>
        <w:sectPr w:rsidR="00525CA7" w:rsidSect="00663C04">
          <w:headerReference w:type="default" r:id="rId10"/>
          <w:footerReference w:type="default" r:id="rId11"/>
          <w:footerReference w:type="first" r:id="rId12"/>
          <w:pgSz w:w="11906" w:h="16838"/>
          <w:pgMar w:top="1417" w:right="1417" w:bottom="1417" w:left="1417" w:header="708" w:footer="708" w:gutter="0"/>
          <w:cols w:space="708"/>
          <w:titlePg/>
          <w:docGrid w:linePitch="360"/>
        </w:sectPr>
      </w:pPr>
    </w:p>
    <w:p w:rsidR="00525CA7" w:rsidRPr="00BC522D" w:rsidRDefault="00525CA7" w:rsidP="00FC2101">
      <w:pPr>
        <w:pStyle w:val="Nadpis1"/>
        <w:spacing w:after="0"/>
        <w:ind w:left="227" w:hanging="227"/>
        <w:rPr>
          <w:sz w:val="28"/>
        </w:rPr>
      </w:pPr>
      <w:r w:rsidRPr="00BC522D">
        <w:rPr>
          <w:sz w:val="28"/>
        </w:rPr>
        <w:lastRenderedPageBreak/>
        <w:t>Úvod</w:t>
      </w:r>
    </w:p>
    <w:p w:rsidR="006D75F0" w:rsidRDefault="006D75F0" w:rsidP="00FC2101">
      <w:pPr>
        <w:spacing w:after="0"/>
        <w:rPr>
          <w:rFonts w:cstheme="minorHAnsi"/>
          <w:szCs w:val="24"/>
        </w:rPr>
      </w:pPr>
    </w:p>
    <w:p w:rsidR="00525CA7" w:rsidRDefault="00525CA7" w:rsidP="00FC2101">
      <w:pPr>
        <w:spacing w:after="0"/>
        <w:rPr>
          <w:rFonts w:cstheme="minorHAnsi"/>
          <w:szCs w:val="24"/>
        </w:rPr>
      </w:pPr>
      <w:r w:rsidRPr="001863B7">
        <w:rPr>
          <w:rFonts w:cstheme="minorHAnsi"/>
          <w:szCs w:val="24"/>
        </w:rPr>
        <w:t xml:space="preserve">Daň </w:t>
      </w:r>
      <w:r w:rsidR="000869AC">
        <w:rPr>
          <w:rFonts w:cstheme="minorHAnsi"/>
          <w:szCs w:val="24"/>
        </w:rPr>
        <w:t>z </w:t>
      </w:r>
      <w:r w:rsidRPr="001863B7">
        <w:rPr>
          <w:rFonts w:cstheme="minorHAnsi"/>
          <w:szCs w:val="24"/>
        </w:rPr>
        <w:t xml:space="preserve">přidané hodnoty </w:t>
      </w:r>
      <w:r>
        <w:rPr>
          <w:rFonts w:cstheme="minorHAnsi"/>
          <w:szCs w:val="24"/>
        </w:rPr>
        <w:t xml:space="preserve">(dále jen „DPH“) </w:t>
      </w:r>
      <w:r w:rsidRPr="001863B7">
        <w:rPr>
          <w:rFonts w:cstheme="minorHAnsi"/>
          <w:szCs w:val="24"/>
        </w:rPr>
        <w:t xml:space="preserve">je </w:t>
      </w:r>
      <w:r w:rsidR="000869AC">
        <w:rPr>
          <w:rFonts w:cstheme="minorHAnsi"/>
          <w:szCs w:val="24"/>
        </w:rPr>
        <w:t>z </w:t>
      </w:r>
      <w:r w:rsidRPr="001863B7">
        <w:rPr>
          <w:rFonts w:cstheme="minorHAnsi"/>
          <w:szCs w:val="24"/>
        </w:rPr>
        <w:t xml:space="preserve">hlediska </w:t>
      </w:r>
      <w:r w:rsidR="003C28DE">
        <w:rPr>
          <w:rFonts w:cstheme="minorHAnsi"/>
          <w:szCs w:val="24"/>
        </w:rPr>
        <w:t>příjmů státního rozpočtu</w:t>
      </w:r>
      <w:r w:rsidRPr="001863B7">
        <w:rPr>
          <w:rFonts w:cstheme="minorHAnsi"/>
          <w:szCs w:val="24"/>
        </w:rPr>
        <w:t xml:space="preserve"> nejvýznamnější daní. Na vývoj inkasa DPH má vliv makroekonomický vývoj, změna sazeb daně a efektivnost výběru daně. </w:t>
      </w:r>
      <w:r w:rsidRPr="006124BD">
        <w:rPr>
          <w:rFonts w:cstheme="minorHAnsi"/>
          <w:szCs w:val="24"/>
        </w:rPr>
        <w:t>U</w:t>
      </w:r>
      <w:r w:rsidR="00967341">
        <w:rPr>
          <w:rFonts w:cstheme="minorHAnsi"/>
          <w:szCs w:val="24"/>
        </w:rPr>
        <w:t xml:space="preserve"> </w:t>
      </w:r>
      <w:r w:rsidRPr="006124BD">
        <w:rPr>
          <w:rFonts w:cstheme="minorHAnsi"/>
          <w:szCs w:val="24"/>
        </w:rPr>
        <w:t xml:space="preserve">DPH dlouhodobě roste objem nedoplatků, </w:t>
      </w:r>
      <w:r w:rsidR="000869AC">
        <w:rPr>
          <w:rFonts w:cstheme="minorHAnsi"/>
          <w:szCs w:val="24"/>
        </w:rPr>
        <w:t>k </w:t>
      </w:r>
      <w:r w:rsidRPr="006124BD">
        <w:rPr>
          <w:rFonts w:cstheme="minorHAnsi"/>
          <w:szCs w:val="24"/>
        </w:rPr>
        <w:t xml:space="preserve">jehož snižování dochází </w:t>
      </w:r>
      <w:r w:rsidR="000869AC">
        <w:rPr>
          <w:rFonts w:cstheme="minorHAnsi"/>
          <w:szCs w:val="24"/>
        </w:rPr>
        <w:t>z </w:t>
      </w:r>
      <w:r w:rsidRPr="006124BD">
        <w:rPr>
          <w:rFonts w:cstheme="minorHAnsi"/>
          <w:szCs w:val="24"/>
        </w:rPr>
        <w:t xml:space="preserve">velké míry </w:t>
      </w:r>
      <w:r>
        <w:rPr>
          <w:rFonts w:cstheme="minorHAnsi"/>
          <w:szCs w:val="24"/>
        </w:rPr>
        <w:t>odpis</w:t>
      </w:r>
      <w:r w:rsidR="0070788F">
        <w:rPr>
          <w:rFonts w:cstheme="minorHAnsi"/>
          <w:szCs w:val="24"/>
        </w:rPr>
        <w:t>em, nikoliv uhrazením.</w:t>
      </w:r>
    </w:p>
    <w:p w:rsidR="006D75F0" w:rsidRDefault="006D75F0" w:rsidP="00FC2101">
      <w:pPr>
        <w:spacing w:after="0"/>
        <w:rPr>
          <w:rFonts w:cstheme="minorHAnsi"/>
          <w:szCs w:val="24"/>
        </w:rPr>
      </w:pPr>
    </w:p>
    <w:p w:rsidR="003E579F" w:rsidRDefault="003E579F" w:rsidP="00C763C5">
      <w:pPr>
        <w:tabs>
          <w:tab w:val="left" w:pos="4536"/>
        </w:tabs>
        <w:spacing w:after="40"/>
        <w:rPr>
          <w:rFonts w:cstheme="minorHAnsi"/>
          <w:szCs w:val="24"/>
        </w:rPr>
      </w:pPr>
      <w:r w:rsidRPr="007136ED">
        <w:rPr>
          <w:rFonts w:cstheme="minorHAnsi"/>
          <w:b/>
          <w:szCs w:val="24"/>
        </w:rPr>
        <w:t>Graf č. 1</w:t>
      </w:r>
      <w:r w:rsidR="00745C5F">
        <w:rPr>
          <w:rFonts w:cstheme="minorHAnsi"/>
          <w:b/>
          <w:szCs w:val="24"/>
        </w:rPr>
        <w:t xml:space="preserve"> –</w:t>
      </w:r>
      <w:r>
        <w:rPr>
          <w:rFonts w:cstheme="minorHAnsi"/>
          <w:b/>
          <w:szCs w:val="24"/>
        </w:rPr>
        <w:t xml:space="preserve"> Inkaso DPH</w:t>
      </w:r>
      <w:r w:rsidR="00BA5E75">
        <w:rPr>
          <w:rFonts w:cstheme="minorHAnsi"/>
          <w:b/>
          <w:szCs w:val="24"/>
        </w:rPr>
        <w:t xml:space="preserve"> (</w:t>
      </w:r>
      <w:r w:rsidR="000869AC">
        <w:rPr>
          <w:rFonts w:cstheme="minorHAnsi"/>
          <w:b/>
          <w:szCs w:val="24"/>
        </w:rPr>
        <w:t>v </w:t>
      </w:r>
      <w:r w:rsidR="00BA5E75">
        <w:rPr>
          <w:rFonts w:cstheme="minorHAnsi"/>
          <w:b/>
          <w:szCs w:val="24"/>
        </w:rPr>
        <w:t>mld. Kč)</w:t>
      </w:r>
      <w:r>
        <w:rPr>
          <w:rFonts w:cstheme="minorHAnsi"/>
          <w:szCs w:val="24"/>
        </w:rPr>
        <w:tab/>
      </w:r>
      <w:r w:rsidRPr="007136ED">
        <w:rPr>
          <w:rFonts w:cstheme="minorHAnsi"/>
          <w:b/>
          <w:szCs w:val="24"/>
        </w:rPr>
        <w:t>Graf č. 2</w:t>
      </w:r>
      <w:r>
        <w:rPr>
          <w:rFonts w:cstheme="minorHAnsi"/>
          <w:b/>
          <w:szCs w:val="24"/>
        </w:rPr>
        <w:t xml:space="preserve"> </w:t>
      </w:r>
      <w:r w:rsidR="00745C5F">
        <w:rPr>
          <w:rFonts w:cstheme="minorHAnsi"/>
          <w:b/>
          <w:szCs w:val="24"/>
        </w:rPr>
        <w:t xml:space="preserve">– </w:t>
      </w:r>
      <w:r>
        <w:rPr>
          <w:rFonts w:cstheme="minorHAnsi"/>
          <w:b/>
          <w:szCs w:val="24"/>
        </w:rPr>
        <w:t xml:space="preserve">Nedoplatky na DPH </w:t>
      </w:r>
      <w:r w:rsidR="004073A5">
        <w:rPr>
          <w:rFonts w:cstheme="minorHAnsi"/>
          <w:b/>
          <w:szCs w:val="24"/>
        </w:rPr>
        <w:t>(</w:t>
      </w:r>
      <w:r w:rsidR="000869AC">
        <w:rPr>
          <w:rFonts w:cstheme="minorHAnsi"/>
          <w:b/>
          <w:szCs w:val="24"/>
        </w:rPr>
        <w:t>v </w:t>
      </w:r>
      <w:r>
        <w:rPr>
          <w:rFonts w:cstheme="minorHAnsi"/>
          <w:b/>
          <w:szCs w:val="24"/>
        </w:rPr>
        <w:t>mld. Kč</w:t>
      </w:r>
      <w:r w:rsidR="004073A5">
        <w:rPr>
          <w:rFonts w:cstheme="minorHAnsi"/>
          <w:b/>
          <w:szCs w:val="24"/>
        </w:rPr>
        <w:t>)</w:t>
      </w:r>
    </w:p>
    <w:p w:rsidR="00663C04" w:rsidRPr="00FC2101" w:rsidRDefault="00C763C5" w:rsidP="00C763C5">
      <w:pPr>
        <w:spacing w:after="0"/>
        <w:ind w:left="-57"/>
        <w:rPr>
          <w:rFonts w:cstheme="minorHAnsi"/>
          <w:sz w:val="20"/>
          <w:szCs w:val="20"/>
        </w:rPr>
      </w:pPr>
      <w:r>
        <w:rPr>
          <w:noProof/>
          <w:lang w:eastAsia="cs-CZ"/>
        </w:rPr>
        <w:drawing>
          <wp:inline distT="0" distB="0" distL="0" distR="0" wp14:anchorId="10DB2325" wp14:editId="41DFF3BF">
            <wp:extent cx="5832000" cy="2354242"/>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32000" cy="2354242"/>
                    </a:xfrm>
                    <a:prstGeom prst="rect">
                      <a:avLst/>
                    </a:prstGeom>
                  </pic:spPr>
                </pic:pic>
              </a:graphicData>
            </a:graphic>
          </wp:inline>
        </w:drawing>
      </w:r>
    </w:p>
    <w:p w:rsidR="00663C04" w:rsidRPr="00FC2101" w:rsidRDefault="00663C04" w:rsidP="00FC2101">
      <w:pPr>
        <w:spacing w:after="0"/>
        <w:rPr>
          <w:rFonts w:cstheme="minorHAnsi"/>
          <w:b/>
          <w:sz w:val="20"/>
          <w:szCs w:val="20"/>
        </w:rPr>
      </w:pPr>
      <w:r w:rsidRPr="00FC2101">
        <w:rPr>
          <w:rFonts w:cstheme="minorHAnsi"/>
          <w:b/>
          <w:sz w:val="20"/>
          <w:szCs w:val="20"/>
        </w:rPr>
        <w:t>Ze zdroje GFŘ zpracoval NKÚ.</w:t>
      </w:r>
    </w:p>
    <w:p w:rsidR="0013778E" w:rsidRDefault="0013778E" w:rsidP="00FC2101">
      <w:pPr>
        <w:spacing w:after="0"/>
        <w:rPr>
          <w:rFonts w:cstheme="minorHAnsi"/>
          <w:szCs w:val="24"/>
        </w:rPr>
      </w:pPr>
    </w:p>
    <w:p w:rsidR="00663C04" w:rsidRDefault="000869AC" w:rsidP="00FC2101">
      <w:pPr>
        <w:spacing w:after="0"/>
        <w:rPr>
          <w:noProof/>
          <w:lang w:eastAsia="cs-CZ"/>
        </w:rPr>
      </w:pPr>
      <w:r>
        <w:rPr>
          <w:rFonts w:cstheme="minorHAnsi"/>
          <w:szCs w:val="24"/>
        </w:rPr>
        <w:t>V </w:t>
      </w:r>
      <w:r w:rsidR="00663C04">
        <w:rPr>
          <w:rFonts w:cstheme="minorHAnsi"/>
          <w:szCs w:val="24"/>
        </w:rPr>
        <w:t>letech 2011</w:t>
      </w:r>
      <w:r w:rsidR="00663C04" w:rsidRPr="00DA4476">
        <w:rPr>
          <w:rFonts w:cstheme="minorHAnsi"/>
          <w:szCs w:val="24"/>
        </w:rPr>
        <w:t xml:space="preserve"> a</w:t>
      </w:r>
      <w:r w:rsidR="00663C04">
        <w:rPr>
          <w:rFonts w:cstheme="minorHAnsi"/>
          <w:szCs w:val="24"/>
        </w:rPr>
        <w:t>ž</w:t>
      </w:r>
      <w:r w:rsidR="00663C04" w:rsidRPr="00DA4476">
        <w:rPr>
          <w:rFonts w:cstheme="minorHAnsi"/>
          <w:szCs w:val="24"/>
        </w:rPr>
        <w:t xml:space="preserve"> 2013 byly do zákona </w:t>
      </w:r>
      <w:r w:rsidR="00663C04">
        <w:rPr>
          <w:rFonts w:cstheme="minorHAnsi"/>
          <w:szCs w:val="24"/>
        </w:rPr>
        <w:t>o DPH</w:t>
      </w:r>
      <w:r w:rsidR="00663C04" w:rsidRPr="00DA4476">
        <w:rPr>
          <w:rFonts w:cstheme="minorHAnsi"/>
          <w:szCs w:val="24"/>
        </w:rPr>
        <w:t xml:space="preserve"> </w:t>
      </w:r>
      <w:r w:rsidR="00663C04">
        <w:rPr>
          <w:rFonts w:cstheme="minorHAnsi"/>
          <w:szCs w:val="24"/>
        </w:rPr>
        <w:t xml:space="preserve">doplněny </w:t>
      </w:r>
      <w:r w:rsidR="00663C04" w:rsidRPr="00DA4476">
        <w:rPr>
          <w:rFonts w:cstheme="minorHAnsi"/>
          <w:szCs w:val="24"/>
        </w:rPr>
        <w:t>nové instituty,</w:t>
      </w:r>
      <w:r w:rsidR="00E818E1">
        <w:rPr>
          <w:rFonts w:cstheme="minorHAnsi"/>
          <w:szCs w:val="24"/>
        </w:rPr>
        <w:t xml:space="preserve"> po</w:t>
      </w:r>
      <w:r w:rsidR="00663C04" w:rsidRPr="00DA4476">
        <w:rPr>
          <w:rFonts w:cstheme="minorHAnsi"/>
          <w:szCs w:val="24"/>
        </w:rPr>
        <w:t xml:space="preserve"> </w:t>
      </w:r>
      <w:r w:rsidR="00663C04">
        <w:rPr>
          <w:rFonts w:cstheme="minorHAnsi"/>
          <w:szCs w:val="24"/>
        </w:rPr>
        <w:t>jejichž</w:t>
      </w:r>
      <w:r w:rsidR="00663C04" w:rsidRPr="00DA4476">
        <w:rPr>
          <w:rFonts w:cstheme="minorHAnsi"/>
          <w:szCs w:val="24"/>
        </w:rPr>
        <w:t xml:space="preserve"> </w:t>
      </w:r>
      <w:r w:rsidR="00663C04">
        <w:rPr>
          <w:rFonts w:cstheme="minorHAnsi"/>
          <w:szCs w:val="24"/>
        </w:rPr>
        <w:t xml:space="preserve">zavedení do praxe </w:t>
      </w:r>
      <w:r w:rsidR="00E818E1">
        <w:rPr>
          <w:rFonts w:cstheme="minorHAnsi"/>
          <w:szCs w:val="24"/>
        </w:rPr>
        <w:t xml:space="preserve">byly </w:t>
      </w:r>
      <w:r w:rsidR="00663C04">
        <w:rPr>
          <w:rFonts w:cstheme="minorHAnsi"/>
          <w:szCs w:val="24"/>
        </w:rPr>
        <w:t>předpoklád</w:t>
      </w:r>
      <w:r w:rsidR="00E818E1">
        <w:rPr>
          <w:rFonts w:cstheme="minorHAnsi"/>
          <w:szCs w:val="24"/>
        </w:rPr>
        <w:t>ány</w:t>
      </w:r>
      <w:r w:rsidR="00663C04">
        <w:rPr>
          <w:rFonts w:cstheme="minorHAnsi"/>
          <w:szCs w:val="24"/>
        </w:rPr>
        <w:t xml:space="preserve"> dopady na příjmy </w:t>
      </w:r>
      <w:r>
        <w:rPr>
          <w:rFonts w:cstheme="minorHAnsi"/>
          <w:szCs w:val="24"/>
        </w:rPr>
        <w:t>z </w:t>
      </w:r>
      <w:r w:rsidR="00663C04">
        <w:rPr>
          <w:rFonts w:cstheme="minorHAnsi"/>
          <w:szCs w:val="24"/>
        </w:rPr>
        <w:t xml:space="preserve">DPH. </w:t>
      </w:r>
      <w:r w:rsidR="00663C04" w:rsidRPr="0067139A">
        <w:rPr>
          <w:rFonts w:cstheme="minorHAnsi"/>
          <w:szCs w:val="24"/>
        </w:rPr>
        <w:t>Efektivnější boj proti daňovým únikům a</w:t>
      </w:r>
      <w:r w:rsidR="000F389A">
        <w:rPr>
          <w:rFonts w:cstheme="minorHAnsi"/>
          <w:szCs w:val="24"/>
        </w:rPr>
        <w:t> </w:t>
      </w:r>
      <w:r w:rsidR="00663C04" w:rsidRPr="0067139A">
        <w:rPr>
          <w:rFonts w:cstheme="minorHAnsi"/>
          <w:szCs w:val="24"/>
        </w:rPr>
        <w:t>zvýšení inkasa DPH měly přinést tyto instituty:</w:t>
      </w:r>
    </w:p>
    <w:p w:rsidR="006D75F0" w:rsidRDefault="006D75F0" w:rsidP="00FC2101">
      <w:pPr>
        <w:spacing w:after="0"/>
        <w:rPr>
          <w:noProof/>
          <w:lang w:eastAsia="cs-CZ"/>
        </w:rPr>
      </w:pPr>
    </w:p>
    <w:p w:rsidR="00663C04" w:rsidRDefault="00F47E63" w:rsidP="00FC2101">
      <w:pPr>
        <w:spacing w:after="0"/>
        <w:rPr>
          <w:b/>
        </w:rPr>
      </w:pPr>
      <w:r>
        <w:rPr>
          <w:b/>
          <w:noProof/>
          <w:lang w:eastAsia="cs-CZ"/>
        </w:rPr>
        <w:drawing>
          <wp:anchor distT="0" distB="0" distL="114300" distR="114300" simplePos="0" relativeHeight="251671552" behindDoc="1" locked="0" layoutInCell="1" allowOverlap="1" wp14:anchorId="7C799E1D" wp14:editId="60B3ABA1">
            <wp:simplePos x="0" y="0"/>
            <wp:positionH relativeFrom="column">
              <wp:posOffset>-36195</wp:posOffset>
            </wp:positionH>
            <wp:positionV relativeFrom="paragraph">
              <wp:posOffset>194310</wp:posOffset>
            </wp:positionV>
            <wp:extent cx="5644515" cy="3359150"/>
            <wp:effectExtent l="0" t="0" r="0" b="0"/>
            <wp:wrapTight wrapText="bothSides">
              <wp:wrapPolygon edited="0">
                <wp:start x="0" y="0"/>
                <wp:lineTo x="0" y="21437"/>
                <wp:lineTo x="21505" y="21437"/>
                <wp:lineTo x="21505" y="0"/>
                <wp:lineTo x="0" y="0"/>
              </wp:wrapPolygon>
            </wp:wrapTight>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éma3.png"/>
                    <pic:cNvPicPr/>
                  </pic:nvPicPr>
                  <pic:blipFill>
                    <a:blip r:embed="rId14">
                      <a:extLst>
                        <a:ext uri="{28A0092B-C50C-407E-A947-70E740481C1C}">
                          <a14:useLocalDpi xmlns:a14="http://schemas.microsoft.com/office/drawing/2010/main" val="0"/>
                        </a:ext>
                      </a:extLst>
                    </a:blip>
                    <a:stretch>
                      <a:fillRect/>
                    </a:stretch>
                  </pic:blipFill>
                  <pic:spPr>
                    <a:xfrm>
                      <a:off x="0" y="0"/>
                      <a:ext cx="5644515" cy="3359150"/>
                    </a:xfrm>
                    <a:prstGeom prst="rect">
                      <a:avLst/>
                    </a:prstGeom>
                  </pic:spPr>
                </pic:pic>
              </a:graphicData>
            </a:graphic>
            <wp14:sizeRelH relativeFrom="page">
              <wp14:pctWidth>0</wp14:pctWidth>
            </wp14:sizeRelH>
            <wp14:sizeRelV relativeFrom="page">
              <wp14:pctHeight>0</wp14:pctHeight>
            </wp14:sizeRelV>
          </wp:anchor>
        </w:drawing>
      </w:r>
      <w:r w:rsidR="00663C04" w:rsidRPr="007136ED">
        <w:rPr>
          <w:b/>
          <w:noProof/>
          <w:szCs w:val="24"/>
          <w:lang w:eastAsia="cs-CZ"/>
        </w:rPr>
        <w:t>Obrázek č. 1</w:t>
      </w:r>
      <w:r w:rsidR="00663C04">
        <w:rPr>
          <w:b/>
        </w:rPr>
        <w:br w:type="page"/>
      </w:r>
    </w:p>
    <w:p w:rsidR="00A031BC" w:rsidRDefault="00A031BC" w:rsidP="00FC2101">
      <w:pPr>
        <w:spacing w:after="0"/>
        <w:rPr>
          <w:rFonts w:cstheme="minorHAnsi"/>
          <w:b/>
          <w:szCs w:val="24"/>
        </w:rPr>
      </w:pPr>
    </w:p>
    <w:p w:rsidR="00663C04" w:rsidRDefault="00663C04" w:rsidP="00FC2101">
      <w:pPr>
        <w:spacing w:after="0"/>
        <w:rPr>
          <w:rFonts w:cstheme="minorHAnsi"/>
          <w:szCs w:val="24"/>
        </w:rPr>
      </w:pPr>
      <w:r w:rsidRPr="006124BD">
        <w:rPr>
          <w:rFonts w:cstheme="minorHAnsi"/>
          <w:b/>
          <w:szCs w:val="24"/>
        </w:rPr>
        <w:t xml:space="preserve">Zveřejnění bankovních účtů </w:t>
      </w:r>
      <w:r w:rsidRPr="00314EDF">
        <w:rPr>
          <w:rFonts w:cstheme="minorHAnsi"/>
          <w:szCs w:val="24"/>
        </w:rPr>
        <w:t>–</w:t>
      </w:r>
      <w:r w:rsidRPr="006124BD">
        <w:rPr>
          <w:rFonts w:cstheme="minorHAnsi"/>
          <w:b/>
          <w:szCs w:val="24"/>
        </w:rPr>
        <w:t xml:space="preserve"> </w:t>
      </w:r>
      <w:r w:rsidRPr="006124BD">
        <w:rPr>
          <w:rFonts w:cstheme="minorHAnsi"/>
          <w:szCs w:val="24"/>
        </w:rPr>
        <w:t>je účinné od 1. 1. 2013 a ukládá správcům daně zveřejnit čísla bankovních účtů používanýc</w:t>
      </w:r>
      <w:r>
        <w:rPr>
          <w:rFonts w:cstheme="minorHAnsi"/>
          <w:szCs w:val="24"/>
        </w:rPr>
        <w:t>h pro ekonomickou činnost a určených</w:t>
      </w:r>
      <w:r w:rsidRPr="006124BD">
        <w:rPr>
          <w:rFonts w:cstheme="minorHAnsi"/>
          <w:szCs w:val="24"/>
        </w:rPr>
        <w:t xml:space="preserve"> </w:t>
      </w:r>
      <w:r>
        <w:rPr>
          <w:rFonts w:cstheme="minorHAnsi"/>
          <w:szCs w:val="24"/>
        </w:rPr>
        <w:t>plátci</w:t>
      </w:r>
      <w:r w:rsidRPr="006124BD">
        <w:rPr>
          <w:rFonts w:cstheme="minorHAnsi"/>
          <w:szCs w:val="24"/>
        </w:rPr>
        <w:t xml:space="preserve"> ke zveřejnění.</w:t>
      </w:r>
    </w:p>
    <w:p w:rsidR="00A031BC" w:rsidRDefault="00A031BC" w:rsidP="00FC2101">
      <w:pPr>
        <w:spacing w:after="0"/>
        <w:rPr>
          <w:rFonts w:cstheme="minorHAnsi"/>
          <w:szCs w:val="24"/>
        </w:rPr>
      </w:pPr>
    </w:p>
    <w:p w:rsidR="00663C04" w:rsidRDefault="00663C04" w:rsidP="00FC2101">
      <w:pPr>
        <w:spacing w:after="0"/>
        <w:rPr>
          <w:rFonts w:cs="Calibri"/>
          <w:szCs w:val="24"/>
        </w:rPr>
      </w:pPr>
      <w:r w:rsidRPr="00AC25DB">
        <w:rPr>
          <w:rFonts w:cstheme="minorHAnsi"/>
          <w:b/>
          <w:szCs w:val="24"/>
        </w:rPr>
        <w:t>Přenesení daňové povinnosti</w:t>
      </w:r>
      <w:r>
        <w:rPr>
          <w:rFonts w:cstheme="minorHAnsi"/>
          <w:szCs w:val="24"/>
        </w:rPr>
        <w:t xml:space="preserve"> – </w:t>
      </w:r>
      <w:r w:rsidRPr="00A223D3">
        <w:rPr>
          <w:rFonts w:cstheme="minorHAnsi"/>
          <w:szCs w:val="24"/>
        </w:rPr>
        <w:t xml:space="preserve">nabývalo </w:t>
      </w:r>
      <w:r w:rsidRPr="00B17629">
        <w:rPr>
          <w:rFonts w:cstheme="minorHAnsi"/>
          <w:szCs w:val="24"/>
        </w:rPr>
        <w:t xml:space="preserve">účinnosti podle jednotlivých komodit </w:t>
      </w:r>
      <w:r w:rsidR="000869AC">
        <w:rPr>
          <w:rFonts w:cstheme="minorHAnsi"/>
          <w:szCs w:val="24"/>
        </w:rPr>
        <w:t>v </w:t>
      </w:r>
      <w:r w:rsidRPr="00B17629">
        <w:rPr>
          <w:rFonts w:cstheme="minorHAnsi"/>
          <w:szCs w:val="24"/>
        </w:rPr>
        <w:t>letech</w:t>
      </w:r>
      <w:r>
        <w:rPr>
          <w:rFonts w:cstheme="minorHAnsi"/>
          <w:szCs w:val="24"/>
        </w:rPr>
        <w:br/>
      </w:r>
      <w:r w:rsidRPr="00B17629">
        <w:rPr>
          <w:rFonts w:cstheme="minorHAnsi"/>
          <w:szCs w:val="24"/>
        </w:rPr>
        <w:t>2006</w:t>
      </w:r>
      <w:r>
        <w:rPr>
          <w:rFonts w:cstheme="minorHAnsi"/>
          <w:szCs w:val="24"/>
        </w:rPr>
        <w:t>–</w:t>
      </w:r>
      <w:r w:rsidRPr="00B17629">
        <w:rPr>
          <w:rFonts w:cstheme="minorHAnsi"/>
          <w:szCs w:val="24"/>
        </w:rPr>
        <w:t>2012</w:t>
      </w:r>
      <w:r w:rsidRPr="004073A5">
        <w:rPr>
          <w:rFonts w:cstheme="minorHAnsi"/>
          <w:szCs w:val="24"/>
        </w:rPr>
        <w:t xml:space="preserve">. </w:t>
      </w:r>
      <w:r w:rsidRPr="00B17629">
        <w:rPr>
          <w:rFonts w:cstheme="minorHAnsi"/>
          <w:szCs w:val="24"/>
        </w:rPr>
        <w:t>Jde o</w:t>
      </w:r>
      <w:r w:rsidRPr="00B17629">
        <w:rPr>
          <w:rFonts w:cs="Calibri"/>
          <w:szCs w:val="24"/>
        </w:rPr>
        <w:t xml:space="preserve"> </w:t>
      </w:r>
      <w:r w:rsidRPr="006124BD">
        <w:rPr>
          <w:rFonts w:cs="Calibri"/>
          <w:szCs w:val="24"/>
        </w:rPr>
        <w:t>specifický režim, který znamená, že u poskytnutí vybraných zdanitelných plnění je povinen přiznat daň příjemce tohoto plnění.</w:t>
      </w:r>
      <w:r>
        <w:rPr>
          <w:rFonts w:cs="Calibri"/>
          <w:szCs w:val="24"/>
        </w:rPr>
        <w:t xml:space="preserve"> </w:t>
      </w:r>
    </w:p>
    <w:p w:rsidR="00A031BC" w:rsidRDefault="00A031BC" w:rsidP="00FC2101">
      <w:pPr>
        <w:spacing w:after="0"/>
        <w:rPr>
          <w:rFonts w:cstheme="minorHAnsi"/>
          <w:szCs w:val="24"/>
        </w:rPr>
      </w:pPr>
    </w:p>
    <w:p w:rsidR="00663C04" w:rsidRDefault="00663C04" w:rsidP="00FC2101">
      <w:pPr>
        <w:spacing w:after="0"/>
        <w:rPr>
          <w:rFonts w:cstheme="minorHAnsi"/>
          <w:b/>
          <w:color w:val="92D050"/>
          <w:szCs w:val="24"/>
        </w:rPr>
      </w:pPr>
      <w:r w:rsidRPr="00AC25DB">
        <w:rPr>
          <w:rFonts w:cstheme="minorHAnsi"/>
          <w:b/>
          <w:szCs w:val="24"/>
        </w:rPr>
        <w:t>Nespolehlivý plátce</w:t>
      </w:r>
      <w:r>
        <w:rPr>
          <w:rFonts w:cstheme="minorHAnsi"/>
          <w:b/>
          <w:szCs w:val="24"/>
        </w:rPr>
        <w:t xml:space="preserve"> </w:t>
      </w:r>
      <w:r>
        <w:rPr>
          <w:rFonts w:cstheme="minorHAnsi"/>
          <w:szCs w:val="24"/>
        </w:rPr>
        <w:t xml:space="preserve">– </w:t>
      </w:r>
      <w:r w:rsidRPr="00B17629">
        <w:rPr>
          <w:rFonts w:cstheme="minorHAnsi"/>
          <w:szCs w:val="24"/>
        </w:rPr>
        <w:t>institut je účinný od 1</w:t>
      </w:r>
      <w:r w:rsidRPr="004073A5">
        <w:rPr>
          <w:rFonts w:cstheme="minorHAnsi"/>
          <w:szCs w:val="24"/>
        </w:rPr>
        <w:t>.</w:t>
      </w:r>
      <w:r w:rsidRPr="00474B34">
        <w:rPr>
          <w:rFonts w:cstheme="minorHAnsi"/>
          <w:color w:val="92D050"/>
          <w:szCs w:val="24"/>
        </w:rPr>
        <w:t xml:space="preserve"> </w:t>
      </w:r>
      <w:r w:rsidRPr="00B17629">
        <w:rPr>
          <w:rFonts w:cstheme="minorHAnsi"/>
          <w:szCs w:val="24"/>
        </w:rPr>
        <w:t>1. 2013</w:t>
      </w:r>
      <w:r w:rsidRPr="00FC2101">
        <w:rPr>
          <w:rFonts w:cstheme="minorHAnsi"/>
          <w:szCs w:val="24"/>
        </w:rPr>
        <w:t xml:space="preserve">. </w:t>
      </w:r>
      <w:r w:rsidRPr="00B17629">
        <w:rPr>
          <w:rFonts w:cstheme="minorHAnsi"/>
          <w:szCs w:val="24"/>
        </w:rPr>
        <w:t>Nespolehlivým se stane daňový subjekt</w:t>
      </w:r>
      <w:r w:rsidRPr="00B73D2A">
        <w:rPr>
          <w:rFonts w:cstheme="minorHAnsi"/>
          <w:szCs w:val="24"/>
        </w:rPr>
        <w:t>,</w:t>
      </w:r>
      <w:r w:rsidRPr="00474B34">
        <w:rPr>
          <w:rFonts w:cstheme="minorHAnsi"/>
          <w:color w:val="92D050"/>
          <w:szCs w:val="24"/>
        </w:rPr>
        <w:t xml:space="preserve"> </w:t>
      </w:r>
      <w:r w:rsidRPr="00B17629">
        <w:rPr>
          <w:rFonts w:cstheme="minorHAnsi"/>
          <w:szCs w:val="24"/>
        </w:rPr>
        <w:t>který závažným způsobem porušil povinnosti vztahující se ke správě daně a o jehož nespolehlivosti rozhodl správce daně</w:t>
      </w:r>
      <w:r w:rsidRPr="00FC2101">
        <w:rPr>
          <w:rFonts w:cstheme="minorHAnsi"/>
          <w:szCs w:val="24"/>
        </w:rPr>
        <w:t xml:space="preserve">. </w:t>
      </w:r>
    </w:p>
    <w:p w:rsidR="00A031BC" w:rsidRDefault="00A031BC" w:rsidP="00FC2101">
      <w:pPr>
        <w:spacing w:after="0"/>
        <w:rPr>
          <w:rFonts w:cstheme="minorHAnsi"/>
          <w:b/>
          <w:szCs w:val="24"/>
        </w:rPr>
      </w:pPr>
    </w:p>
    <w:p w:rsidR="00663C04" w:rsidRDefault="00663C04" w:rsidP="00FC2101">
      <w:pPr>
        <w:spacing w:after="0"/>
        <w:rPr>
          <w:rFonts w:cstheme="minorHAnsi"/>
          <w:szCs w:val="24"/>
        </w:rPr>
      </w:pPr>
      <w:r w:rsidRPr="007B1484">
        <w:rPr>
          <w:rFonts w:cstheme="minorHAnsi"/>
          <w:b/>
          <w:szCs w:val="24"/>
        </w:rPr>
        <w:t xml:space="preserve">Ručení </w:t>
      </w:r>
      <w:r>
        <w:rPr>
          <w:rFonts w:cstheme="minorHAnsi"/>
          <w:b/>
          <w:szCs w:val="24"/>
        </w:rPr>
        <w:t>příjemce zdanitelného plnění</w:t>
      </w:r>
      <w:r>
        <w:rPr>
          <w:rFonts w:cstheme="minorHAnsi"/>
          <w:szCs w:val="24"/>
        </w:rPr>
        <w:t xml:space="preserve"> – </w:t>
      </w:r>
      <w:r w:rsidRPr="00684CCC">
        <w:rPr>
          <w:rFonts w:cstheme="minorHAnsi"/>
          <w:szCs w:val="24"/>
        </w:rPr>
        <w:t xml:space="preserve">tento institut nabýval účinnosti </w:t>
      </w:r>
      <w:r w:rsidR="000869AC">
        <w:rPr>
          <w:rFonts w:cstheme="minorHAnsi"/>
          <w:szCs w:val="24"/>
        </w:rPr>
        <w:t>v </w:t>
      </w:r>
      <w:r w:rsidRPr="00684CCC">
        <w:rPr>
          <w:rFonts w:cstheme="minorHAnsi"/>
          <w:szCs w:val="24"/>
        </w:rPr>
        <w:t>letech 2011</w:t>
      </w:r>
      <w:r>
        <w:rPr>
          <w:rFonts w:cstheme="minorHAnsi"/>
          <w:szCs w:val="24"/>
        </w:rPr>
        <w:t xml:space="preserve">–2013 podle typů ručení a </w:t>
      </w:r>
      <w:r w:rsidR="00432AF5">
        <w:rPr>
          <w:rFonts w:cstheme="minorHAnsi"/>
          <w:szCs w:val="24"/>
        </w:rPr>
        <w:t>spočívá v tom</w:t>
      </w:r>
      <w:r>
        <w:rPr>
          <w:rFonts w:cstheme="minorHAnsi"/>
          <w:szCs w:val="24"/>
        </w:rPr>
        <w:t xml:space="preserve">, že </w:t>
      </w:r>
      <w:r w:rsidRPr="00DC07FD">
        <w:rPr>
          <w:rFonts w:cstheme="minorHAnsi"/>
          <w:szCs w:val="24"/>
        </w:rPr>
        <w:t>za</w:t>
      </w:r>
      <w:r>
        <w:rPr>
          <w:rFonts w:cstheme="minorHAnsi"/>
          <w:szCs w:val="24"/>
        </w:rPr>
        <w:t xml:space="preserve"> zákonem stanovených podmínek ručí příjemce zdanitelného plnění za daň nezaplacenou poskytovatelem plnění.</w:t>
      </w:r>
      <w:r w:rsidR="00967341">
        <w:rPr>
          <w:rFonts w:cstheme="minorHAnsi"/>
          <w:szCs w:val="24"/>
        </w:rPr>
        <w:t xml:space="preserve"> </w:t>
      </w:r>
    </w:p>
    <w:p w:rsidR="00A031BC" w:rsidRDefault="00A031BC" w:rsidP="00FC2101">
      <w:pPr>
        <w:spacing w:after="0"/>
        <w:rPr>
          <w:rFonts w:cstheme="minorHAnsi"/>
          <w:szCs w:val="24"/>
        </w:rPr>
      </w:pPr>
    </w:p>
    <w:p w:rsidR="00663C04" w:rsidRDefault="00663C04" w:rsidP="00FC2101">
      <w:pPr>
        <w:spacing w:after="0"/>
        <w:rPr>
          <w:rFonts w:cstheme="minorHAnsi"/>
          <w:szCs w:val="24"/>
        </w:rPr>
      </w:pPr>
      <w:r>
        <w:rPr>
          <w:rFonts w:cstheme="minorHAnsi"/>
          <w:b/>
          <w:szCs w:val="24"/>
        </w:rPr>
        <w:t xml:space="preserve">Zvláštní způsob zajištění daně </w:t>
      </w:r>
      <w:r>
        <w:rPr>
          <w:rFonts w:cstheme="minorHAnsi"/>
          <w:szCs w:val="24"/>
        </w:rPr>
        <w:t xml:space="preserve">– </w:t>
      </w:r>
      <w:r w:rsidR="00432AF5">
        <w:rPr>
          <w:rFonts w:cstheme="minorHAnsi"/>
          <w:szCs w:val="24"/>
        </w:rPr>
        <w:t xml:space="preserve">je </w:t>
      </w:r>
      <w:r>
        <w:rPr>
          <w:rFonts w:cstheme="minorHAnsi"/>
          <w:szCs w:val="24"/>
        </w:rPr>
        <w:t xml:space="preserve">účinný od 1. 4. 2011 a umožňuje příjemci zdanitelného plnění uhradit daň za poskytovatele plnění přímo finančnímu úřadu. </w:t>
      </w:r>
    </w:p>
    <w:p w:rsidR="00A031BC" w:rsidRDefault="00A031BC" w:rsidP="00FC2101">
      <w:pPr>
        <w:spacing w:after="0"/>
        <w:rPr>
          <w:rFonts w:cstheme="minorHAnsi"/>
          <w:szCs w:val="24"/>
        </w:rPr>
      </w:pPr>
    </w:p>
    <w:p w:rsidR="00663C04" w:rsidRDefault="00663C04" w:rsidP="00FC2101">
      <w:pPr>
        <w:spacing w:after="0"/>
        <w:rPr>
          <w:rFonts w:cstheme="minorHAnsi"/>
          <w:szCs w:val="24"/>
        </w:rPr>
      </w:pPr>
      <w:r w:rsidRPr="0067139A">
        <w:rPr>
          <w:rFonts w:cstheme="minorHAnsi"/>
          <w:b/>
          <w:szCs w:val="24"/>
        </w:rPr>
        <w:t>Zajištění úhrady na nesplatnou nebo dosud nestanovenou daň</w:t>
      </w:r>
      <w:r w:rsidRPr="0067139A">
        <w:rPr>
          <w:rFonts w:cstheme="minorHAnsi"/>
          <w:szCs w:val="24"/>
        </w:rPr>
        <w:t xml:space="preserve"> – </w:t>
      </w:r>
      <w:r w:rsidR="00432AF5">
        <w:rPr>
          <w:rFonts w:cstheme="minorHAnsi"/>
          <w:szCs w:val="24"/>
        </w:rPr>
        <w:t xml:space="preserve">tento mechanismus </w:t>
      </w:r>
      <w:r>
        <w:rPr>
          <w:rFonts w:cstheme="minorHAnsi"/>
          <w:szCs w:val="24"/>
        </w:rPr>
        <w:t>je účinn</w:t>
      </w:r>
      <w:r w:rsidR="00432AF5">
        <w:rPr>
          <w:rFonts w:cstheme="minorHAnsi"/>
          <w:szCs w:val="24"/>
        </w:rPr>
        <w:t>ý</w:t>
      </w:r>
      <w:r>
        <w:rPr>
          <w:rFonts w:cstheme="minorHAnsi"/>
          <w:szCs w:val="24"/>
        </w:rPr>
        <w:t xml:space="preserve"> od 1. 1. 2012 a umožňuje</w:t>
      </w:r>
      <w:r w:rsidRPr="0067139A">
        <w:rPr>
          <w:rFonts w:cstheme="minorHAnsi"/>
          <w:szCs w:val="24"/>
        </w:rPr>
        <w:t xml:space="preserve"> zaji</w:t>
      </w:r>
      <w:r>
        <w:rPr>
          <w:rFonts w:cstheme="minorHAnsi"/>
          <w:szCs w:val="24"/>
        </w:rPr>
        <w:t>stit daň vydáním</w:t>
      </w:r>
      <w:r w:rsidRPr="0067139A">
        <w:rPr>
          <w:rFonts w:cstheme="minorHAnsi"/>
          <w:szCs w:val="24"/>
        </w:rPr>
        <w:t xml:space="preserve"> zajišťovací</w:t>
      </w:r>
      <w:r>
        <w:rPr>
          <w:rFonts w:cstheme="minorHAnsi"/>
          <w:szCs w:val="24"/>
        </w:rPr>
        <w:t>ho</w:t>
      </w:r>
      <w:r w:rsidRPr="0067139A">
        <w:rPr>
          <w:rFonts w:cstheme="minorHAnsi"/>
          <w:szCs w:val="24"/>
        </w:rPr>
        <w:t xml:space="preserve"> příkaz</w:t>
      </w:r>
      <w:r>
        <w:rPr>
          <w:rFonts w:cstheme="minorHAnsi"/>
          <w:szCs w:val="24"/>
        </w:rPr>
        <w:t>u</w:t>
      </w:r>
      <w:r w:rsidRPr="0067139A">
        <w:rPr>
          <w:rFonts w:cstheme="minorHAnsi"/>
          <w:szCs w:val="24"/>
        </w:rPr>
        <w:t xml:space="preserve">, jehož vykonatelnost nastává již okamžikem jeho vydání. </w:t>
      </w:r>
    </w:p>
    <w:p w:rsidR="00A031BC" w:rsidRPr="0067139A" w:rsidRDefault="00A031BC" w:rsidP="00FC2101">
      <w:pPr>
        <w:spacing w:after="0"/>
        <w:rPr>
          <w:rFonts w:cstheme="minorHAnsi"/>
          <w:szCs w:val="24"/>
        </w:rPr>
      </w:pPr>
    </w:p>
    <w:p w:rsidR="00663C04" w:rsidRDefault="00E818E1" w:rsidP="00FC2101">
      <w:pPr>
        <w:spacing w:after="0"/>
        <w:rPr>
          <w:rFonts w:cstheme="minorHAnsi"/>
          <w:szCs w:val="24"/>
        </w:rPr>
      </w:pPr>
      <w:r>
        <w:rPr>
          <w:rFonts w:cstheme="minorHAnsi"/>
          <w:b/>
          <w:szCs w:val="24"/>
        </w:rPr>
        <w:t>O</w:t>
      </w:r>
      <w:r w:rsidRPr="0067139A">
        <w:rPr>
          <w:rFonts w:cstheme="minorHAnsi"/>
          <w:b/>
          <w:szCs w:val="24"/>
        </w:rPr>
        <w:t>prav</w:t>
      </w:r>
      <w:r>
        <w:rPr>
          <w:rFonts w:cstheme="minorHAnsi"/>
          <w:b/>
          <w:szCs w:val="24"/>
        </w:rPr>
        <w:t>a</w:t>
      </w:r>
      <w:r w:rsidRPr="0067139A">
        <w:rPr>
          <w:rFonts w:cstheme="minorHAnsi"/>
          <w:b/>
          <w:szCs w:val="24"/>
        </w:rPr>
        <w:t xml:space="preserve"> daně za dlužníky </w:t>
      </w:r>
      <w:r w:rsidR="000869AC">
        <w:rPr>
          <w:rFonts w:cstheme="minorHAnsi"/>
          <w:b/>
          <w:szCs w:val="24"/>
        </w:rPr>
        <w:t>v </w:t>
      </w:r>
      <w:r w:rsidRPr="0067139A">
        <w:rPr>
          <w:rFonts w:cstheme="minorHAnsi"/>
          <w:b/>
          <w:szCs w:val="24"/>
        </w:rPr>
        <w:t>insolvenčním řízení</w:t>
      </w:r>
      <w:r>
        <w:rPr>
          <w:rFonts w:cstheme="minorHAnsi"/>
          <w:b/>
          <w:szCs w:val="24"/>
        </w:rPr>
        <w:t xml:space="preserve"> </w:t>
      </w:r>
      <w:r w:rsidR="00432AF5" w:rsidRPr="00FC2101">
        <w:rPr>
          <w:rFonts w:cstheme="minorHAnsi"/>
          <w:szCs w:val="24"/>
        </w:rPr>
        <w:t>– opatření je</w:t>
      </w:r>
      <w:r w:rsidR="00432AF5">
        <w:rPr>
          <w:rFonts w:cstheme="minorHAnsi"/>
          <w:b/>
          <w:szCs w:val="24"/>
        </w:rPr>
        <w:t xml:space="preserve"> </w:t>
      </w:r>
      <w:r>
        <w:rPr>
          <w:rFonts w:cstheme="minorHAnsi"/>
          <w:szCs w:val="24"/>
        </w:rPr>
        <w:t>účinn</w:t>
      </w:r>
      <w:r w:rsidR="00432AF5">
        <w:rPr>
          <w:rFonts w:cstheme="minorHAnsi"/>
          <w:szCs w:val="24"/>
        </w:rPr>
        <w:t>é</w:t>
      </w:r>
      <w:r>
        <w:rPr>
          <w:rFonts w:cstheme="minorHAnsi"/>
          <w:szCs w:val="24"/>
        </w:rPr>
        <w:t xml:space="preserve"> od 1. 4. 2011</w:t>
      </w:r>
      <w:r w:rsidR="008659F8">
        <w:rPr>
          <w:rFonts w:cstheme="minorHAnsi"/>
          <w:szCs w:val="24"/>
        </w:rPr>
        <w:t xml:space="preserve"> </w:t>
      </w:r>
      <w:r w:rsidR="00432AF5">
        <w:rPr>
          <w:rFonts w:cstheme="minorHAnsi"/>
          <w:szCs w:val="24"/>
        </w:rPr>
        <w:t xml:space="preserve">a </w:t>
      </w:r>
      <w:r w:rsidR="008659F8">
        <w:rPr>
          <w:rFonts w:cstheme="minorHAnsi"/>
          <w:szCs w:val="24"/>
        </w:rPr>
        <w:t>měl</w:t>
      </w:r>
      <w:r w:rsidR="00432AF5">
        <w:rPr>
          <w:rFonts w:cstheme="minorHAnsi"/>
          <w:szCs w:val="24"/>
        </w:rPr>
        <w:t>o</w:t>
      </w:r>
      <w:r w:rsidR="008659F8">
        <w:rPr>
          <w:rFonts w:cstheme="minorHAnsi"/>
          <w:szCs w:val="24"/>
        </w:rPr>
        <w:t xml:space="preserve"> n</w:t>
      </w:r>
      <w:r w:rsidR="00663C04" w:rsidRPr="0067139A">
        <w:rPr>
          <w:rFonts w:cstheme="minorHAnsi"/>
          <w:szCs w:val="24"/>
        </w:rPr>
        <w:t xml:space="preserve">aopak </w:t>
      </w:r>
      <w:r w:rsidR="008659F8">
        <w:rPr>
          <w:rFonts w:cstheme="minorHAnsi"/>
          <w:szCs w:val="24"/>
        </w:rPr>
        <w:t xml:space="preserve">přinést </w:t>
      </w:r>
      <w:r w:rsidR="00663C04" w:rsidRPr="0067139A">
        <w:rPr>
          <w:rFonts w:cstheme="minorHAnsi"/>
          <w:szCs w:val="24"/>
        </w:rPr>
        <w:t>snížení inkasa DPH</w:t>
      </w:r>
      <w:r w:rsidR="008659F8">
        <w:rPr>
          <w:rFonts w:cstheme="minorHAnsi"/>
          <w:szCs w:val="24"/>
        </w:rPr>
        <w:t>.</w:t>
      </w:r>
      <w:r w:rsidR="00663C04" w:rsidRPr="0067139A">
        <w:rPr>
          <w:rFonts w:cstheme="minorHAnsi"/>
          <w:szCs w:val="24"/>
        </w:rPr>
        <w:t xml:space="preserve"> </w:t>
      </w:r>
      <w:r w:rsidR="0028531F">
        <w:rPr>
          <w:rFonts w:cstheme="minorHAnsi"/>
          <w:szCs w:val="24"/>
        </w:rPr>
        <w:t>Tento i</w:t>
      </w:r>
      <w:r w:rsidR="008659F8">
        <w:rPr>
          <w:rFonts w:cstheme="minorHAnsi"/>
          <w:szCs w:val="24"/>
        </w:rPr>
        <w:t xml:space="preserve">nstitut </w:t>
      </w:r>
      <w:r w:rsidR="00663C04" w:rsidRPr="0067139A">
        <w:rPr>
          <w:rFonts w:cstheme="minorHAnsi"/>
          <w:szCs w:val="24"/>
        </w:rPr>
        <w:t xml:space="preserve">zvýšil ochranu věřitelů tím, že jim umožnil uplatnit nárok na vrácení daně neuhrazené dlužníkem </w:t>
      </w:r>
      <w:r w:rsidR="000869AC">
        <w:rPr>
          <w:rFonts w:cstheme="minorHAnsi"/>
          <w:szCs w:val="24"/>
        </w:rPr>
        <w:t>v </w:t>
      </w:r>
      <w:r w:rsidR="00663C04" w:rsidRPr="0067139A">
        <w:rPr>
          <w:rFonts w:cstheme="minorHAnsi"/>
          <w:szCs w:val="24"/>
        </w:rPr>
        <w:t>insolvenčním řízení.</w:t>
      </w:r>
      <w:r w:rsidR="008659F8">
        <w:rPr>
          <w:rFonts w:cstheme="minorHAnsi"/>
          <w:szCs w:val="24"/>
        </w:rPr>
        <w:t xml:space="preserve"> Jeho cílem bylo</w:t>
      </w:r>
      <w:r w:rsidR="008659F8" w:rsidRPr="0067139A">
        <w:rPr>
          <w:rFonts w:cstheme="minorHAnsi"/>
          <w:szCs w:val="24"/>
        </w:rPr>
        <w:t xml:space="preserve"> podpo</w:t>
      </w:r>
      <w:r w:rsidR="008659F8">
        <w:rPr>
          <w:rFonts w:cstheme="minorHAnsi"/>
          <w:szCs w:val="24"/>
        </w:rPr>
        <w:t>řit</w:t>
      </w:r>
      <w:r w:rsidR="008659F8" w:rsidRPr="0067139A">
        <w:rPr>
          <w:rFonts w:cstheme="minorHAnsi"/>
          <w:szCs w:val="24"/>
        </w:rPr>
        <w:t xml:space="preserve"> podnikání </w:t>
      </w:r>
      <w:r w:rsidR="000869AC">
        <w:rPr>
          <w:rFonts w:cstheme="minorHAnsi"/>
          <w:szCs w:val="24"/>
        </w:rPr>
        <w:t>v </w:t>
      </w:r>
      <w:r w:rsidR="008659F8" w:rsidRPr="0067139A">
        <w:rPr>
          <w:rFonts w:cstheme="minorHAnsi"/>
          <w:szCs w:val="24"/>
        </w:rPr>
        <w:t>rámci protikrizových opatření</w:t>
      </w:r>
      <w:r w:rsidR="008659F8">
        <w:rPr>
          <w:rFonts w:cstheme="minorHAnsi"/>
          <w:szCs w:val="24"/>
        </w:rPr>
        <w:t>.</w:t>
      </w:r>
    </w:p>
    <w:p w:rsidR="00A031BC" w:rsidRDefault="00A031BC" w:rsidP="00FC2101">
      <w:pPr>
        <w:spacing w:after="0"/>
        <w:rPr>
          <w:rFonts w:cstheme="minorHAnsi"/>
          <w:szCs w:val="24"/>
        </w:rPr>
      </w:pPr>
    </w:p>
    <w:p w:rsidR="00663C04" w:rsidRDefault="00663C04" w:rsidP="00FC2101">
      <w:pPr>
        <w:spacing w:after="0"/>
        <w:rPr>
          <w:rFonts w:cstheme="minorHAnsi"/>
          <w:szCs w:val="24"/>
        </w:rPr>
      </w:pPr>
      <w:r w:rsidRPr="003B124A">
        <w:rPr>
          <w:rFonts w:cstheme="minorHAnsi"/>
          <w:szCs w:val="24"/>
        </w:rPr>
        <w:t xml:space="preserve">Jednou </w:t>
      </w:r>
      <w:r w:rsidR="000869AC">
        <w:rPr>
          <w:rFonts w:cstheme="minorHAnsi"/>
          <w:szCs w:val="24"/>
        </w:rPr>
        <w:t>z </w:t>
      </w:r>
      <w:r w:rsidRPr="003B124A">
        <w:rPr>
          <w:rFonts w:cstheme="minorHAnsi"/>
          <w:szCs w:val="24"/>
        </w:rPr>
        <w:t>metod, které umožňují</w:t>
      </w:r>
      <w:r w:rsidR="00967341">
        <w:rPr>
          <w:rFonts w:cstheme="minorHAnsi"/>
          <w:szCs w:val="24"/>
        </w:rPr>
        <w:t xml:space="preserve"> </w:t>
      </w:r>
      <w:r w:rsidRPr="003B124A">
        <w:rPr>
          <w:rFonts w:cstheme="minorHAnsi"/>
          <w:szCs w:val="24"/>
        </w:rPr>
        <w:t>posou</w:t>
      </w:r>
      <w:r w:rsidR="0028531F">
        <w:rPr>
          <w:rFonts w:cstheme="minorHAnsi"/>
          <w:szCs w:val="24"/>
        </w:rPr>
        <w:t>dit</w:t>
      </w:r>
      <w:r w:rsidRPr="003B124A">
        <w:rPr>
          <w:rFonts w:cstheme="minorHAnsi"/>
          <w:szCs w:val="24"/>
        </w:rPr>
        <w:t xml:space="preserve"> </w:t>
      </w:r>
      <w:r>
        <w:rPr>
          <w:rFonts w:cstheme="minorHAnsi"/>
          <w:szCs w:val="24"/>
        </w:rPr>
        <w:t>efektivnost výběru DPH a mír</w:t>
      </w:r>
      <w:r w:rsidR="0028531F">
        <w:rPr>
          <w:rFonts w:cstheme="minorHAnsi"/>
          <w:szCs w:val="24"/>
        </w:rPr>
        <w:t>u</w:t>
      </w:r>
      <w:r>
        <w:rPr>
          <w:rFonts w:cstheme="minorHAnsi"/>
          <w:szCs w:val="24"/>
        </w:rPr>
        <w:t xml:space="preserve"> daňových úniků</w:t>
      </w:r>
      <w:r w:rsidR="0028531F">
        <w:rPr>
          <w:rFonts w:cstheme="minorHAnsi"/>
          <w:szCs w:val="24"/>
        </w:rPr>
        <w:t>,</w:t>
      </w:r>
      <w:r>
        <w:rPr>
          <w:rFonts w:cstheme="minorHAnsi"/>
          <w:szCs w:val="24"/>
        </w:rPr>
        <w:t xml:space="preserve"> je metoda měření „mezery“ DPH, která představuje rozdíl mezi teoretickým </w:t>
      </w:r>
      <w:r w:rsidR="0028531F">
        <w:rPr>
          <w:rFonts w:cstheme="minorHAnsi"/>
          <w:szCs w:val="24"/>
        </w:rPr>
        <w:t xml:space="preserve">inkasem </w:t>
      </w:r>
      <w:r>
        <w:rPr>
          <w:rFonts w:cstheme="minorHAnsi"/>
          <w:szCs w:val="24"/>
        </w:rPr>
        <w:t>(za předpokladu splnění všech daňových povinností všemi subjekty) a skutečným inkasem DPH.</w:t>
      </w:r>
    </w:p>
    <w:p w:rsidR="00A031BC" w:rsidRDefault="00A031BC" w:rsidP="00FC2101">
      <w:pPr>
        <w:spacing w:after="0"/>
        <w:rPr>
          <w:rFonts w:cstheme="minorHAnsi"/>
          <w:szCs w:val="24"/>
        </w:rPr>
      </w:pPr>
    </w:p>
    <w:p w:rsidR="00663C04" w:rsidRDefault="00663C04" w:rsidP="00FC2101">
      <w:pPr>
        <w:spacing w:after="0"/>
        <w:rPr>
          <w:b/>
        </w:rPr>
      </w:pPr>
      <w:r w:rsidRPr="00A33A5E">
        <w:rPr>
          <w:b/>
        </w:rPr>
        <w:t>Základní právní předpisy:</w:t>
      </w:r>
    </w:p>
    <w:p w:rsidR="00A031BC" w:rsidRPr="00A33A5E" w:rsidRDefault="00A031BC" w:rsidP="00FC2101">
      <w:pPr>
        <w:spacing w:after="0"/>
        <w:rPr>
          <w:b/>
        </w:rPr>
      </w:pPr>
    </w:p>
    <w:p w:rsidR="00663C04" w:rsidRPr="000869AC" w:rsidRDefault="00663C04" w:rsidP="00FC2101">
      <w:pPr>
        <w:pStyle w:val="Odstavecseseznamem"/>
        <w:numPr>
          <w:ilvl w:val="0"/>
          <w:numId w:val="21"/>
        </w:numPr>
        <w:spacing w:after="0"/>
        <w:ind w:left="284" w:hanging="284"/>
        <w:rPr>
          <w:rFonts w:cstheme="minorHAnsi"/>
          <w:szCs w:val="24"/>
        </w:rPr>
      </w:pPr>
      <w:r w:rsidRPr="00A031BC">
        <w:rPr>
          <w:rFonts w:cstheme="minorHAnsi"/>
          <w:szCs w:val="24"/>
        </w:rPr>
        <w:t xml:space="preserve">zákon č. 235/2004 Sb., o dani </w:t>
      </w:r>
      <w:r w:rsidR="000869AC">
        <w:rPr>
          <w:rFonts w:cstheme="minorHAnsi"/>
          <w:szCs w:val="24"/>
        </w:rPr>
        <w:t>z </w:t>
      </w:r>
      <w:r w:rsidRPr="000869AC">
        <w:rPr>
          <w:rFonts w:cstheme="minorHAnsi"/>
          <w:szCs w:val="24"/>
        </w:rPr>
        <w:t>přidané hodnoty (dále jen „zákon o DPH“)</w:t>
      </w:r>
      <w:r w:rsidR="00A031BC" w:rsidRPr="000869AC">
        <w:rPr>
          <w:rFonts w:cstheme="minorHAnsi"/>
          <w:szCs w:val="24"/>
        </w:rPr>
        <w:t>;</w:t>
      </w:r>
    </w:p>
    <w:p w:rsidR="00663C04" w:rsidRPr="00405D1F" w:rsidRDefault="00663C04" w:rsidP="00FC2101">
      <w:pPr>
        <w:pStyle w:val="Odstavecseseznamem"/>
        <w:numPr>
          <w:ilvl w:val="0"/>
          <w:numId w:val="21"/>
        </w:numPr>
        <w:spacing w:after="0"/>
        <w:ind w:left="284" w:hanging="284"/>
        <w:rPr>
          <w:rFonts w:cstheme="minorHAnsi"/>
          <w:bCs/>
          <w:szCs w:val="24"/>
        </w:rPr>
      </w:pPr>
      <w:r w:rsidRPr="000869AC">
        <w:rPr>
          <w:rFonts w:cstheme="minorHAnsi"/>
          <w:bCs/>
          <w:szCs w:val="24"/>
        </w:rPr>
        <w:t xml:space="preserve">zákon č. 47/2011 Sb., kterým se mění zákon č. 235/2004 Sb., o dani </w:t>
      </w:r>
      <w:r w:rsidR="000869AC">
        <w:rPr>
          <w:rFonts w:cstheme="minorHAnsi"/>
          <w:bCs/>
          <w:szCs w:val="24"/>
        </w:rPr>
        <w:t>z </w:t>
      </w:r>
      <w:r w:rsidRPr="000869AC">
        <w:rPr>
          <w:rFonts w:cstheme="minorHAnsi"/>
          <w:bCs/>
          <w:szCs w:val="24"/>
        </w:rPr>
        <w:t>přidané hodnoty, ve znění pozdějších předpisů (schválen 9. 2. 2011, platný od 8. 3. 2011</w:t>
      </w:r>
      <w:r w:rsidR="00D253AB" w:rsidRPr="00405D1F">
        <w:rPr>
          <w:rFonts w:cstheme="minorHAnsi"/>
          <w:bCs/>
          <w:szCs w:val="24"/>
        </w:rPr>
        <w:t xml:space="preserve"> a účinný od 1.</w:t>
      </w:r>
      <w:r w:rsidR="006523CD" w:rsidRPr="00405D1F">
        <w:rPr>
          <w:rFonts w:cstheme="minorHAnsi"/>
          <w:bCs/>
          <w:szCs w:val="24"/>
        </w:rPr>
        <w:t xml:space="preserve"> </w:t>
      </w:r>
      <w:r w:rsidR="00D253AB" w:rsidRPr="0041562E">
        <w:rPr>
          <w:rFonts w:cstheme="minorHAnsi"/>
          <w:bCs/>
          <w:szCs w:val="24"/>
        </w:rPr>
        <w:t>4.</w:t>
      </w:r>
      <w:r w:rsidR="006523CD" w:rsidRPr="0041562E">
        <w:rPr>
          <w:rFonts w:cstheme="minorHAnsi"/>
          <w:bCs/>
          <w:szCs w:val="24"/>
        </w:rPr>
        <w:t xml:space="preserve"> </w:t>
      </w:r>
      <w:r w:rsidR="00D253AB" w:rsidRPr="00FB4C8A">
        <w:rPr>
          <w:rFonts w:cstheme="minorHAnsi"/>
          <w:bCs/>
          <w:szCs w:val="24"/>
        </w:rPr>
        <w:t xml:space="preserve">2011 s výjimkami uvedenými </w:t>
      </w:r>
      <w:r w:rsidR="000869AC">
        <w:rPr>
          <w:rFonts w:cstheme="minorHAnsi"/>
          <w:bCs/>
          <w:szCs w:val="24"/>
        </w:rPr>
        <w:t>v </w:t>
      </w:r>
      <w:r w:rsidR="00D253AB" w:rsidRPr="000869AC">
        <w:rPr>
          <w:rFonts w:cstheme="minorHAnsi"/>
          <w:bCs/>
          <w:szCs w:val="24"/>
        </w:rPr>
        <w:t>zákoně</w:t>
      </w:r>
      <w:r w:rsidRPr="000869AC">
        <w:rPr>
          <w:rFonts w:cstheme="minorHAnsi"/>
          <w:bCs/>
          <w:szCs w:val="24"/>
        </w:rPr>
        <w:t>)</w:t>
      </w:r>
      <w:r w:rsidR="00A031BC" w:rsidRPr="000869AC">
        <w:rPr>
          <w:rFonts w:cstheme="minorHAnsi"/>
          <w:bCs/>
          <w:szCs w:val="24"/>
        </w:rPr>
        <w:t>;</w:t>
      </w:r>
    </w:p>
    <w:p w:rsidR="00663C04" w:rsidRPr="00FB4C8A" w:rsidRDefault="00663C04" w:rsidP="00FC2101">
      <w:pPr>
        <w:pStyle w:val="Odstavecseseznamem"/>
        <w:numPr>
          <w:ilvl w:val="0"/>
          <w:numId w:val="21"/>
        </w:numPr>
        <w:spacing w:after="0"/>
        <w:ind w:left="284" w:hanging="284"/>
        <w:rPr>
          <w:rFonts w:cstheme="minorHAnsi"/>
          <w:bCs/>
          <w:szCs w:val="24"/>
        </w:rPr>
      </w:pPr>
      <w:r w:rsidRPr="0041562E">
        <w:rPr>
          <w:rFonts w:cstheme="minorHAnsi"/>
          <w:bCs/>
          <w:szCs w:val="24"/>
        </w:rPr>
        <w:t xml:space="preserve">zákon č. 370/2011 Sb., kterým se mění zákon č. 235/2004 Sb., o dani </w:t>
      </w:r>
      <w:r w:rsidR="000869AC">
        <w:rPr>
          <w:rFonts w:cstheme="minorHAnsi"/>
          <w:bCs/>
          <w:szCs w:val="24"/>
        </w:rPr>
        <w:t>z </w:t>
      </w:r>
      <w:r w:rsidRPr="000869AC">
        <w:rPr>
          <w:rFonts w:cstheme="minorHAnsi"/>
          <w:bCs/>
          <w:szCs w:val="24"/>
        </w:rPr>
        <w:t>přidané hodnoty, ve znění pozdějších předpisů, a další související zákony (schválen 6. 11. 2011, platný od 6.</w:t>
      </w:r>
      <w:r w:rsidR="006523CD" w:rsidRPr="00405D1F">
        <w:rPr>
          <w:rFonts w:cstheme="minorHAnsi"/>
          <w:bCs/>
          <w:szCs w:val="24"/>
        </w:rPr>
        <w:t> </w:t>
      </w:r>
      <w:r w:rsidRPr="00405D1F">
        <w:rPr>
          <w:rFonts w:cstheme="minorHAnsi"/>
          <w:bCs/>
          <w:szCs w:val="24"/>
        </w:rPr>
        <w:t>12.</w:t>
      </w:r>
      <w:r w:rsidR="006523CD" w:rsidRPr="0041562E">
        <w:rPr>
          <w:rFonts w:cstheme="minorHAnsi"/>
          <w:bCs/>
          <w:szCs w:val="24"/>
        </w:rPr>
        <w:t> </w:t>
      </w:r>
      <w:r w:rsidRPr="0041562E">
        <w:rPr>
          <w:rFonts w:cstheme="minorHAnsi"/>
          <w:bCs/>
          <w:szCs w:val="24"/>
        </w:rPr>
        <w:t>2011, účinný od 1. 1. 2012)</w:t>
      </w:r>
      <w:r w:rsidR="00A031BC" w:rsidRPr="00FB4C8A">
        <w:rPr>
          <w:rFonts w:cstheme="minorHAnsi"/>
          <w:bCs/>
          <w:szCs w:val="24"/>
        </w:rPr>
        <w:t>;</w:t>
      </w:r>
    </w:p>
    <w:p w:rsidR="00663C04" w:rsidRPr="000869AC" w:rsidRDefault="00663C04" w:rsidP="00FC2101">
      <w:pPr>
        <w:pStyle w:val="Odstavecseseznamem"/>
        <w:numPr>
          <w:ilvl w:val="0"/>
          <w:numId w:val="21"/>
        </w:numPr>
        <w:spacing w:after="0"/>
        <w:ind w:left="284" w:hanging="284"/>
        <w:rPr>
          <w:rFonts w:cstheme="minorHAnsi"/>
          <w:szCs w:val="24"/>
        </w:rPr>
      </w:pPr>
      <w:r w:rsidRPr="0059467C">
        <w:rPr>
          <w:rFonts w:cstheme="minorHAnsi"/>
          <w:bCs/>
          <w:szCs w:val="24"/>
        </w:rPr>
        <w:t xml:space="preserve">zákon č. 502/2012 Sb., kterým se mění zákon č. 235/2004 Sb., o dani </w:t>
      </w:r>
      <w:r w:rsidR="000869AC">
        <w:rPr>
          <w:rFonts w:cstheme="minorHAnsi"/>
          <w:bCs/>
          <w:szCs w:val="24"/>
        </w:rPr>
        <w:t>z </w:t>
      </w:r>
      <w:r w:rsidRPr="000869AC">
        <w:rPr>
          <w:rFonts w:cstheme="minorHAnsi"/>
          <w:bCs/>
          <w:szCs w:val="24"/>
        </w:rPr>
        <w:t>přidané hodnoty, ve znění pozdějších předpisů, a další související zákony</w:t>
      </w:r>
      <w:r w:rsidRPr="00405D1F">
        <w:rPr>
          <w:rFonts w:cstheme="minorHAnsi"/>
          <w:szCs w:val="24"/>
        </w:rPr>
        <w:t xml:space="preserve"> (schválen 19. 12. 2012, platný od 31. 12. 2012, účinný od 1. 1. 2013</w:t>
      </w:r>
      <w:r w:rsidR="00D253AB" w:rsidRPr="0041562E">
        <w:rPr>
          <w:rFonts w:cstheme="minorHAnsi"/>
          <w:szCs w:val="24"/>
        </w:rPr>
        <w:t xml:space="preserve"> </w:t>
      </w:r>
      <w:r w:rsidR="000869AC">
        <w:rPr>
          <w:rFonts w:cstheme="minorHAnsi"/>
          <w:szCs w:val="24"/>
        </w:rPr>
        <w:t>s </w:t>
      </w:r>
      <w:r w:rsidR="00D253AB" w:rsidRPr="000869AC">
        <w:rPr>
          <w:rFonts w:cstheme="minorHAnsi"/>
          <w:szCs w:val="24"/>
        </w:rPr>
        <w:t xml:space="preserve">výjimkami uvedenými </w:t>
      </w:r>
      <w:r w:rsidR="000869AC">
        <w:rPr>
          <w:rFonts w:cstheme="minorHAnsi"/>
          <w:szCs w:val="24"/>
        </w:rPr>
        <w:t>v </w:t>
      </w:r>
      <w:r w:rsidR="00D253AB" w:rsidRPr="000869AC">
        <w:rPr>
          <w:rFonts w:cstheme="minorHAnsi"/>
          <w:szCs w:val="24"/>
        </w:rPr>
        <w:t>zákoně</w:t>
      </w:r>
      <w:r w:rsidRPr="000869AC">
        <w:rPr>
          <w:rFonts w:cstheme="minorHAnsi"/>
          <w:szCs w:val="24"/>
        </w:rPr>
        <w:t>)</w:t>
      </w:r>
      <w:r w:rsidR="00A031BC" w:rsidRPr="000869AC">
        <w:rPr>
          <w:rFonts w:cstheme="minorHAnsi"/>
          <w:szCs w:val="24"/>
        </w:rPr>
        <w:t>;</w:t>
      </w:r>
    </w:p>
    <w:p w:rsidR="00663C04" w:rsidRPr="00745C5F" w:rsidRDefault="00663C04" w:rsidP="00FC2101">
      <w:pPr>
        <w:pStyle w:val="Odstavecseseznamem"/>
        <w:numPr>
          <w:ilvl w:val="0"/>
          <w:numId w:val="21"/>
        </w:numPr>
        <w:spacing w:after="0"/>
        <w:ind w:left="284" w:hanging="284"/>
        <w:rPr>
          <w:rFonts w:cstheme="minorHAnsi"/>
          <w:szCs w:val="24"/>
        </w:rPr>
      </w:pPr>
      <w:r w:rsidRPr="000869AC">
        <w:rPr>
          <w:rFonts w:cstheme="minorHAnsi"/>
          <w:szCs w:val="24"/>
        </w:rPr>
        <w:t xml:space="preserve">zákonné opatření Senátu č. 344/2013 Sb., o změně daňových zákonů </w:t>
      </w:r>
      <w:r w:rsidR="000869AC">
        <w:rPr>
          <w:rFonts w:cstheme="minorHAnsi"/>
          <w:szCs w:val="24"/>
        </w:rPr>
        <w:t>v </w:t>
      </w:r>
      <w:r w:rsidRPr="000869AC">
        <w:rPr>
          <w:rFonts w:cstheme="minorHAnsi"/>
          <w:szCs w:val="24"/>
        </w:rPr>
        <w:t xml:space="preserve">souvislosti s rekodifikací soukromého práva a o změně některých zákonů (schváleno 10. 10. 2013, platné od 5. 11. 2013, účinné </w:t>
      </w:r>
      <w:r w:rsidR="00D253AB" w:rsidRPr="00405D1F">
        <w:rPr>
          <w:rFonts w:cstheme="minorHAnsi"/>
          <w:szCs w:val="24"/>
        </w:rPr>
        <w:t xml:space="preserve">pro DPH </w:t>
      </w:r>
      <w:r w:rsidRPr="00405D1F">
        <w:rPr>
          <w:rFonts w:cstheme="minorHAnsi"/>
          <w:szCs w:val="24"/>
        </w:rPr>
        <w:t>od 1. 1</w:t>
      </w:r>
      <w:r w:rsidR="00D253AB" w:rsidRPr="0041562E">
        <w:rPr>
          <w:rFonts w:cstheme="minorHAnsi"/>
          <w:szCs w:val="24"/>
        </w:rPr>
        <w:t>2</w:t>
      </w:r>
      <w:r w:rsidRPr="0041562E">
        <w:rPr>
          <w:rFonts w:cstheme="minorHAnsi"/>
          <w:szCs w:val="24"/>
        </w:rPr>
        <w:t>. 201</w:t>
      </w:r>
      <w:r w:rsidR="00D253AB" w:rsidRPr="00FB4C8A">
        <w:rPr>
          <w:rFonts w:cstheme="minorHAnsi"/>
          <w:szCs w:val="24"/>
        </w:rPr>
        <w:t>3</w:t>
      </w:r>
      <w:r w:rsidRPr="00FB4C8A">
        <w:rPr>
          <w:rFonts w:cstheme="minorHAnsi"/>
          <w:szCs w:val="24"/>
        </w:rPr>
        <w:t>)</w:t>
      </w:r>
      <w:r w:rsidR="00A031BC" w:rsidRPr="00FB4C8A">
        <w:rPr>
          <w:rFonts w:cstheme="minorHAnsi"/>
          <w:szCs w:val="24"/>
        </w:rPr>
        <w:t>;</w:t>
      </w:r>
      <w:r w:rsidRPr="0059467C">
        <w:rPr>
          <w:rFonts w:cstheme="minorHAnsi"/>
          <w:szCs w:val="24"/>
        </w:rPr>
        <w:t xml:space="preserve"> </w:t>
      </w:r>
    </w:p>
    <w:p w:rsidR="00663C04" w:rsidRPr="004A29B4" w:rsidRDefault="00663C04" w:rsidP="00FC2101">
      <w:pPr>
        <w:pStyle w:val="Odstavecseseznamem"/>
        <w:numPr>
          <w:ilvl w:val="0"/>
          <w:numId w:val="21"/>
        </w:numPr>
        <w:spacing w:after="0"/>
        <w:ind w:left="284" w:hanging="284"/>
        <w:rPr>
          <w:rFonts w:cstheme="minorHAnsi"/>
          <w:bCs/>
          <w:szCs w:val="24"/>
        </w:rPr>
      </w:pPr>
      <w:r w:rsidRPr="00745C5F">
        <w:rPr>
          <w:rFonts w:cstheme="minorHAnsi"/>
          <w:bCs/>
          <w:szCs w:val="24"/>
        </w:rPr>
        <w:lastRenderedPageBreak/>
        <w:t>zákon č. 280/2009 Sb., daňový řád</w:t>
      </w:r>
      <w:r w:rsidR="00A031BC" w:rsidRPr="00745C5F">
        <w:rPr>
          <w:rFonts w:cstheme="minorHAnsi"/>
          <w:bCs/>
          <w:szCs w:val="24"/>
        </w:rPr>
        <w:t>;</w:t>
      </w:r>
    </w:p>
    <w:p w:rsidR="00663C04" w:rsidRPr="0028531F" w:rsidRDefault="00663C04" w:rsidP="00FC2101">
      <w:pPr>
        <w:pStyle w:val="Odstavecseseznamem"/>
        <w:numPr>
          <w:ilvl w:val="0"/>
          <w:numId w:val="21"/>
        </w:numPr>
        <w:spacing w:after="0"/>
        <w:ind w:left="284" w:hanging="284"/>
        <w:rPr>
          <w:rFonts w:cstheme="minorHAnsi"/>
          <w:bCs/>
          <w:szCs w:val="24"/>
        </w:rPr>
      </w:pPr>
      <w:r w:rsidRPr="00432AF5">
        <w:rPr>
          <w:rFonts w:cstheme="minorHAnsi"/>
          <w:szCs w:val="24"/>
        </w:rPr>
        <w:t>zákon č. 456/2011 Sb., o Finanční správě České republiky (účinnost od 1. 1. 2013)</w:t>
      </w:r>
      <w:r w:rsidR="00A031BC" w:rsidRPr="0028531F">
        <w:rPr>
          <w:rFonts w:cstheme="minorHAnsi"/>
          <w:szCs w:val="24"/>
        </w:rPr>
        <w:t>;</w:t>
      </w:r>
    </w:p>
    <w:p w:rsidR="00663C04" w:rsidRPr="00E402BC" w:rsidRDefault="00663C04" w:rsidP="00FC2101">
      <w:pPr>
        <w:pStyle w:val="Odstavecseseznamem"/>
        <w:numPr>
          <w:ilvl w:val="0"/>
          <w:numId w:val="21"/>
        </w:numPr>
        <w:spacing w:after="0"/>
        <w:ind w:left="284" w:hanging="284"/>
        <w:rPr>
          <w:rFonts w:cstheme="minorHAnsi"/>
          <w:bCs/>
          <w:szCs w:val="24"/>
        </w:rPr>
      </w:pPr>
      <w:r w:rsidRPr="004174C2">
        <w:rPr>
          <w:rFonts w:cstheme="minorHAnsi"/>
          <w:szCs w:val="24"/>
        </w:rPr>
        <w:t>zákon č. 182/2006 Sb., o úpadku a způsobech jeho řešení (insolvenční zákon)</w:t>
      </w:r>
      <w:r w:rsidR="00A031BC" w:rsidRPr="00673EE7">
        <w:rPr>
          <w:rFonts w:cstheme="minorHAnsi"/>
          <w:szCs w:val="24"/>
        </w:rPr>
        <w:t>;</w:t>
      </w:r>
    </w:p>
    <w:p w:rsidR="00663C04" w:rsidRPr="000869AC" w:rsidRDefault="00663C04" w:rsidP="00FC2101">
      <w:pPr>
        <w:pStyle w:val="Odstavecseseznamem"/>
        <w:numPr>
          <w:ilvl w:val="0"/>
          <w:numId w:val="21"/>
        </w:numPr>
        <w:spacing w:after="0"/>
        <w:ind w:left="284" w:hanging="284"/>
        <w:rPr>
          <w:rFonts w:cstheme="minorHAnsi"/>
          <w:szCs w:val="24"/>
        </w:rPr>
      </w:pPr>
      <w:r w:rsidRPr="00E402BC">
        <w:rPr>
          <w:rFonts w:cstheme="minorHAnsi"/>
          <w:szCs w:val="24"/>
        </w:rPr>
        <w:t xml:space="preserve">rozhodnutí Komise 98/527/ES, o zohlednění neodvedené DPH </w:t>
      </w:r>
      <w:r w:rsidR="004A29B4">
        <w:rPr>
          <w:rFonts w:cstheme="minorHAnsi"/>
          <w:szCs w:val="24"/>
        </w:rPr>
        <w:t>(</w:t>
      </w:r>
      <w:r w:rsidR="004A29B4" w:rsidRPr="004A29B4">
        <w:rPr>
          <w:rFonts w:cstheme="minorHAnsi"/>
          <w:szCs w:val="24"/>
        </w:rPr>
        <w:t>rozdílu mezi teoretickým a</w:t>
      </w:r>
      <w:r w:rsidR="00B04162">
        <w:rPr>
          <w:rFonts w:cstheme="minorHAnsi"/>
          <w:szCs w:val="24"/>
        </w:rPr>
        <w:t> </w:t>
      </w:r>
      <w:r w:rsidR="004A29B4" w:rsidRPr="004A29B4">
        <w:rPr>
          <w:rFonts w:cstheme="minorHAnsi"/>
          <w:szCs w:val="24"/>
        </w:rPr>
        <w:t>skutečným příjmem z DPH)</w:t>
      </w:r>
      <w:r w:rsidR="004A29B4">
        <w:rPr>
          <w:rFonts w:cstheme="minorHAnsi"/>
          <w:szCs w:val="24"/>
        </w:rPr>
        <w:t xml:space="preserve"> </w:t>
      </w:r>
      <w:r w:rsidR="000869AC">
        <w:rPr>
          <w:rFonts w:cstheme="minorHAnsi"/>
          <w:szCs w:val="24"/>
        </w:rPr>
        <w:t>v </w:t>
      </w:r>
      <w:r w:rsidRPr="000869AC">
        <w:rPr>
          <w:rFonts w:cstheme="minorHAnsi"/>
          <w:szCs w:val="24"/>
        </w:rPr>
        <w:t>národních účtech.</w:t>
      </w:r>
    </w:p>
    <w:p w:rsidR="00A031BC" w:rsidRPr="00FC2101" w:rsidRDefault="00A031BC" w:rsidP="00FC2101">
      <w:pPr>
        <w:spacing w:after="0"/>
        <w:rPr>
          <w:rFonts w:cstheme="minorHAnsi"/>
          <w:szCs w:val="24"/>
        </w:rPr>
      </w:pPr>
    </w:p>
    <w:p w:rsidR="00663C04" w:rsidRDefault="00663C04" w:rsidP="00FC2101">
      <w:pPr>
        <w:spacing w:after="0"/>
        <w:rPr>
          <w:rFonts w:cstheme="minorHAnsi"/>
          <w:sz w:val="20"/>
          <w:szCs w:val="20"/>
        </w:rPr>
      </w:pPr>
      <w:r w:rsidRPr="00FC2101">
        <w:rPr>
          <w:rFonts w:cstheme="minorHAnsi"/>
          <w:b/>
          <w:sz w:val="20"/>
          <w:szCs w:val="20"/>
        </w:rPr>
        <w:t>Pozn.:</w:t>
      </w:r>
      <w:r w:rsidRPr="00B73D2A">
        <w:rPr>
          <w:rFonts w:cstheme="minorHAnsi"/>
          <w:sz w:val="20"/>
          <w:szCs w:val="20"/>
        </w:rPr>
        <w:t xml:space="preserve"> Právní předpisy jsou </w:t>
      </w:r>
      <w:r w:rsidR="0028531F">
        <w:rPr>
          <w:rFonts w:cstheme="minorHAnsi"/>
          <w:sz w:val="20"/>
          <w:szCs w:val="20"/>
        </w:rPr>
        <w:t>aplikovány</w:t>
      </w:r>
      <w:r w:rsidRPr="00B73D2A">
        <w:rPr>
          <w:rFonts w:cstheme="minorHAnsi"/>
          <w:sz w:val="20"/>
          <w:szCs w:val="20"/>
        </w:rPr>
        <w:t xml:space="preserve"> ve znění účinném pro kontrolované období.</w:t>
      </w:r>
    </w:p>
    <w:p w:rsidR="00A031BC" w:rsidRPr="00FC2101" w:rsidRDefault="00A031BC" w:rsidP="00FC2101">
      <w:pPr>
        <w:spacing w:after="0"/>
        <w:rPr>
          <w:rFonts w:cstheme="minorHAnsi"/>
          <w:szCs w:val="24"/>
        </w:rPr>
      </w:pPr>
    </w:p>
    <w:p w:rsidR="00A031BC" w:rsidRPr="00FC2101" w:rsidRDefault="00A031BC" w:rsidP="00FC2101">
      <w:pPr>
        <w:spacing w:after="0"/>
        <w:rPr>
          <w:rFonts w:cstheme="minorHAnsi"/>
          <w:szCs w:val="24"/>
        </w:rPr>
      </w:pPr>
    </w:p>
    <w:p w:rsidR="00C86BE0" w:rsidRDefault="00C86BE0" w:rsidP="00FC2101">
      <w:pPr>
        <w:pStyle w:val="Nadpis1"/>
        <w:spacing w:before="0" w:after="0"/>
        <w:ind w:left="295" w:hanging="295"/>
        <w:rPr>
          <w:sz w:val="28"/>
        </w:rPr>
      </w:pPr>
      <w:r w:rsidRPr="00BC522D">
        <w:rPr>
          <w:sz w:val="28"/>
        </w:rPr>
        <w:t>Shrnutí skutečností zjištěných při kontrole</w:t>
      </w:r>
    </w:p>
    <w:p w:rsidR="00005629" w:rsidRPr="00005629" w:rsidRDefault="00005629" w:rsidP="00005629">
      <w:pPr>
        <w:spacing w:after="0"/>
      </w:pPr>
    </w:p>
    <w:p w:rsidR="00A031BC" w:rsidRDefault="00A031BC" w:rsidP="00A031BC">
      <w:pPr>
        <w:spacing w:after="0"/>
        <w:ind w:left="284" w:hanging="284"/>
      </w:pPr>
      <w:r w:rsidRPr="00A031BC">
        <w:rPr>
          <w:b/>
        </w:rPr>
        <w:t>1.</w:t>
      </w:r>
      <w:r>
        <w:t xml:space="preserve"> </w:t>
      </w:r>
      <w:r>
        <w:tab/>
      </w:r>
      <w:r w:rsidRPr="00A031BC">
        <w:rPr>
          <w:b/>
        </w:rPr>
        <w:t>Finanční úřady</w:t>
      </w:r>
      <w:r w:rsidRPr="00A031BC">
        <w:rPr>
          <w:b/>
          <w:color w:val="92D050"/>
        </w:rPr>
        <w:t xml:space="preserve"> </w:t>
      </w:r>
      <w:r w:rsidRPr="00A031BC">
        <w:rPr>
          <w:b/>
        </w:rPr>
        <w:t>měly ve lhůtě od 1. 1. 2013 do 1. 4. 2013 ověřit a následně zveřejnit v </w:t>
      </w:r>
      <w:r w:rsidR="0028531F">
        <w:rPr>
          <w:b/>
        </w:rPr>
        <w:t>r</w:t>
      </w:r>
      <w:r w:rsidRPr="00A031BC">
        <w:rPr>
          <w:b/>
        </w:rPr>
        <w:t>egistru plátců DPH cca 518 tis. bankovních účtů.</w:t>
      </w:r>
      <w:r w:rsidRPr="00C86BE0">
        <w:t xml:space="preserve"> </w:t>
      </w:r>
      <w:r w:rsidRPr="00A031BC">
        <w:t xml:space="preserve">GFŘ uvedlo, že deset </w:t>
      </w:r>
      <w:r w:rsidR="000869AC">
        <w:t>z </w:t>
      </w:r>
      <w:r w:rsidRPr="00A031BC">
        <w:t xml:space="preserve">patnácti FÚ bylo </w:t>
      </w:r>
      <w:r w:rsidR="000869AC">
        <w:t>v </w:t>
      </w:r>
      <w:r w:rsidRPr="00A031BC">
        <w:t>této lhůtě schopno ověřit pouze 73–99,5 % bankovních účtů. Zákonem stanovený termín pro ověření a zveřejnění účtů finanční správa nesplnila.</w:t>
      </w:r>
      <w:r w:rsidRPr="00C86BE0">
        <w:t xml:space="preserve"> </w:t>
      </w:r>
    </w:p>
    <w:p w:rsidR="00A031BC" w:rsidRDefault="00A031BC" w:rsidP="00A031BC">
      <w:pPr>
        <w:ind w:left="284" w:hanging="284"/>
      </w:pPr>
      <w:r w:rsidRPr="00A031BC">
        <w:rPr>
          <w:b/>
        </w:rPr>
        <w:t>2.</w:t>
      </w:r>
      <w:r>
        <w:t xml:space="preserve"> </w:t>
      </w:r>
      <w:r>
        <w:tab/>
      </w:r>
      <w:r w:rsidRPr="00A031BC">
        <w:rPr>
          <w:b/>
        </w:rPr>
        <w:t>Zavedení režimu přenesení daňové povinnosti</w:t>
      </w:r>
      <w:r w:rsidRPr="00C86BE0">
        <w:t xml:space="preserve"> </w:t>
      </w:r>
      <w:r w:rsidRPr="00A031BC">
        <w:t xml:space="preserve">odstranilo u plnění, která příjemci vykázali za období 1. 4. 2011 až 30. 6. 2014 </w:t>
      </w:r>
      <w:r w:rsidR="000869AC">
        <w:t>v </w:t>
      </w:r>
      <w:r w:rsidRPr="00A031BC">
        <w:t xml:space="preserve">hodnotě 1 503 mld. Kč, riziko negativních dopadů do příjmů státního rozpočtu, které by mohly nastat </w:t>
      </w:r>
      <w:r w:rsidR="000869AC">
        <w:t>v </w:t>
      </w:r>
      <w:r w:rsidRPr="00A031BC">
        <w:t xml:space="preserve">případech, pokud by poskytovatel daň nepřiznal nebo neuhradil a příjemce uplatnil nárok na odpočet daně. Finanční dopad na příjmy státního rozpočtu nelze vyčíslit, protože nelze předjímat výši daně neuhrazené poskytovateli. Jak zjistil NKÚ, při obchodování s vybranými komoditami může stále docházet </w:t>
      </w:r>
      <w:r w:rsidR="000869AC">
        <w:t>k </w:t>
      </w:r>
      <w:r w:rsidRPr="00A031BC">
        <w:t>daňovým únikům, neboť ve stejném období poskytovatelé vykázali plnění o</w:t>
      </w:r>
      <w:r>
        <w:t> </w:t>
      </w:r>
      <w:r w:rsidRPr="00A031BC">
        <w:t>14</w:t>
      </w:r>
      <w:r>
        <w:t> </w:t>
      </w:r>
      <w:r w:rsidRPr="00A031BC">
        <w:t>mld. Kč vyšší než příjemci a i finanční správa, která kontrolovala rok 2012, doměřila daň minimálně ve výši 69,5 mil. Kč.</w:t>
      </w:r>
    </w:p>
    <w:p w:rsidR="00A031BC" w:rsidRDefault="00A031BC" w:rsidP="00A031BC">
      <w:pPr>
        <w:ind w:left="284"/>
      </w:pPr>
      <w:r w:rsidRPr="00A031BC">
        <w:t xml:space="preserve">Funkční automatizovaný kontrolní systém do ADIS zavedlo GFŘ až koncem roku 2013 a do ukončení kontroly NKÚ </w:t>
      </w:r>
      <w:r w:rsidR="000869AC">
        <w:t>v </w:t>
      </w:r>
      <w:r w:rsidRPr="00A031BC">
        <w:t xml:space="preserve">lednu roku 2015 jej většina kontrolovaných FÚ ke kontrole režimu přenesení daňové povinnosti nevyužívala. </w:t>
      </w:r>
    </w:p>
    <w:p w:rsidR="00A031BC" w:rsidRDefault="00A031BC" w:rsidP="00FC2101">
      <w:pPr>
        <w:spacing w:after="0"/>
        <w:ind w:left="284" w:hanging="284"/>
      </w:pPr>
      <w:r>
        <w:rPr>
          <w:b/>
        </w:rPr>
        <w:t xml:space="preserve">3. </w:t>
      </w:r>
      <w:r>
        <w:rPr>
          <w:b/>
        </w:rPr>
        <w:tab/>
      </w:r>
      <w:r w:rsidRPr="00A031BC">
        <w:rPr>
          <w:b/>
        </w:rPr>
        <w:t>Do konce roku 2014 nebyly dosaženy cíle zavedení institutu nespolehlivého plátce.</w:t>
      </w:r>
      <w:r w:rsidRPr="00C86BE0">
        <w:t xml:space="preserve"> </w:t>
      </w:r>
      <w:r w:rsidRPr="00A031BC">
        <w:t xml:space="preserve">Počet zrušených registrací </w:t>
      </w:r>
      <w:r w:rsidR="000869AC">
        <w:t>k </w:t>
      </w:r>
      <w:r w:rsidRPr="00A031BC">
        <w:t>DPH se sice po 1. 1. 2013 vý</w:t>
      </w:r>
      <w:r w:rsidR="005C1C95">
        <w:t>razně</w:t>
      </w:r>
      <w:r w:rsidRPr="00A031BC">
        <w:t xml:space="preserve"> snížil, přesto</w:t>
      </w:r>
      <w:r w:rsidRPr="00A031BC">
        <w:rPr>
          <w:color w:val="92D050"/>
        </w:rPr>
        <w:t xml:space="preserve"> </w:t>
      </w:r>
      <w:r w:rsidRPr="00A031BC">
        <w:t xml:space="preserve">do 2. 1. 2015 zveřejnila finanční správa </w:t>
      </w:r>
      <w:r w:rsidR="000869AC">
        <w:t>v </w:t>
      </w:r>
      <w:r w:rsidR="005C1C95">
        <w:t>r</w:t>
      </w:r>
      <w:r w:rsidRPr="00A031BC">
        <w:t>egistru plátců DPH pouze 156 nespolehlivých plátců. Podle původních kritérií, která nastavilo GFŘ pro posuzování nespolehlivosti plátce, nebylo možné postihnout rizikové jednání plátce před vznikem nedoplatku na dani. Podle zpřísněných kritérií bude možné postihnout i porušení povinností nepeněžité povahy.</w:t>
      </w:r>
    </w:p>
    <w:p w:rsidR="00A031BC" w:rsidRDefault="00A031BC" w:rsidP="00FC2101">
      <w:pPr>
        <w:spacing w:after="0"/>
        <w:ind w:left="284" w:hanging="284"/>
      </w:pPr>
      <w:r w:rsidRPr="00A031BC">
        <w:rPr>
          <w:b/>
        </w:rPr>
        <w:t xml:space="preserve">4. </w:t>
      </w:r>
      <w:r w:rsidRPr="00A031BC">
        <w:rPr>
          <w:b/>
        </w:rPr>
        <w:tab/>
        <w:t xml:space="preserve">Předpokládaný dopad zavedení institutu ručení příjemce zdanitelného plnění </w:t>
      </w:r>
      <w:r w:rsidR="000869AC">
        <w:rPr>
          <w:b/>
        </w:rPr>
        <w:t>v </w:t>
      </w:r>
      <w:r w:rsidRPr="00A031BC">
        <w:rPr>
          <w:b/>
        </w:rPr>
        <w:t>období 2011–2013 ve výši 1,5 mld. Kč nebyl naplněn.</w:t>
      </w:r>
      <w:r w:rsidRPr="00C86BE0">
        <w:t xml:space="preserve"> </w:t>
      </w:r>
      <w:r w:rsidRPr="00A031BC">
        <w:t xml:space="preserve">Podle vyjádření GFŘ tento institut FÚ využily pouze </w:t>
      </w:r>
      <w:r w:rsidR="000869AC">
        <w:t>v </w:t>
      </w:r>
      <w:r w:rsidRPr="00A031BC">
        <w:t xml:space="preserve">16 případech, ve kterých byla uhrazena daň ve výši 15,3 mil. Kč, a to zejména </w:t>
      </w:r>
      <w:r w:rsidR="000869AC">
        <w:t>z </w:t>
      </w:r>
      <w:r w:rsidRPr="00A031BC">
        <w:t>důvodu náročnosti prokazování znalostního testu</w:t>
      </w:r>
      <w:r w:rsidRPr="00A031BC">
        <w:rPr>
          <w:rStyle w:val="Znakapoznpodarou"/>
        </w:rPr>
        <w:footnoteReference w:id="1"/>
      </w:r>
      <w:r w:rsidRPr="00A031BC">
        <w:t xml:space="preserve">. Pro širší využití tohoto institutu </w:t>
      </w:r>
      <w:r w:rsidR="000869AC">
        <w:t>v </w:t>
      </w:r>
      <w:r w:rsidRPr="00A031BC">
        <w:t>ostatních případech</w:t>
      </w:r>
      <w:r w:rsidRPr="00A031BC">
        <w:rPr>
          <w:color w:val="92D050"/>
        </w:rPr>
        <w:t xml:space="preserve"> </w:t>
      </w:r>
      <w:r w:rsidRPr="00A031BC">
        <w:t>nevytvořilo GFŘ předpoklady, protože např. jeho použití při platbě na jiný než zveřejněný bankovní účet dvakrát odložilo až do konce roku 2013</w:t>
      </w:r>
      <w:r>
        <w:t>.</w:t>
      </w:r>
    </w:p>
    <w:p w:rsidR="00A031BC" w:rsidRPr="00005629" w:rsidRDefault="00005629" w:rsidP="00005629">
      <w:pPr>
        <w:spacing w:after="0"/>
        <w:ind w:left="284" w:hanging="284"/>
      </w:pPr>
      <w:r w:rsidRPr="00005629">
        <w:rPr>
          <w:b/>
        </w:rPr>
        <w:t>5.</w:t>
      </w:r>
      <w:r>
        <w:t xml:space="preserve"> </w:t>
      </w:r>
      <w:r>
        <w:tab/>
      </w:r>
      <w:r w:rsidRPr="00005629">
        <w:rPr>
          <w:b/>
        </w:rPr>
        <w:t xml:space="preserve">Zvláštního způsobu zajištění daně využili příjemci </w:t>
      </w:r>
      <w:r w:rsidR="000869AC">
        <w:rPr>
          <w:b/>
        </w:rPr>
        <w:t>v </w:t>
      </w:r>
      <w:r w:rsidRPr="00005629">
        <w:rPr>
          <w:b/>
        </w:rPr>
        <w:t>2 153 případech a hodnota takto uhrazené daně činila 303,7 mil. Kč,</w:t>
      </w:r>
      <w:r w:rsidRPr="00C86BE0">
        <w:t xml:space="preserve"> </w:t>
      </w:r>
      <w:r w:rsidRPr="00005629">
        <w:t>což potvrzuje preventivní účinek zavedení ručení příjemce zdanitelného plnění za nezaplacenou daň. Daňové subjekty tím, že využily zvláštního způsobu zajištění daně, vyloučily případné dopady ručitelského závazku a riziko vzniku daňového úniku.</w:t>
      </w:r>
    </w:p>
    <w:p w:rsidR="00005629" w:rsidRDefault="00005629" w:rsidP="00005629">
      <w:pPr>
        <w:spacing w:after="0"/>
        <w:ind w:left="284" w:hanging="284"/>
      </w:pPr>
      <w:r w:rsidRPr="00005629">
        <w:rPr>
          <w:b/>
        </w:rPr>
        <w:lastRenderedPageBreak/>
        <w:t>6.</w:t>
      </w:r>
      <w:r>
        <w:t xml:space="preserve"> </w:t>
      </w:r>
      <w:r>
        <w:tab/>
      </w:r>
      <w:r w:rsidRPr="00005629">
        <w:rPr>
          <w:b/>
        </w:rPr>
        <w:t>Zvláštní ustanovení o zajištění úhrady na nesplatnou nebo dosud nestanovenou daň</w:t>
      </w:r>
      <w:r w:rsidRPr="00C86BE0">
        <w:t xml:space="preserve"> </w:t>
      </w:r>
      <w:r w:rsidRPr="00005629">
        <w:t xml:space="preserve">formou zajišťovacího příkazu upraveného zákonem o DPH přineslo finanční správě efektivnější nástroj </w:t>
      </w:r>
      <w:r w:rsidR="000869AC">
        <w:t>v </w:t>
      </w:r>
      <w:r w:rsidRPr="00005629">
        <w:t xml:space="preserve">boji proti daňovým únikům. Oproti zajišťovacímu příkazu obsaženému </w:t>
      </w:r>
      <w:r w:rsidR="000869AC">
        <w:t>v </w:t>
      </w:r>
      <w:r w:rsidRPr="00005629">
        <w:t xml:space="preserve">daňovém řádu úprava </w:t>
      </w:r>
      <w:r w:rsidR="000869AC">
        <w:t>v </w:t>
      </w:r>
      <w:r w:rsidRPr="00005629">
        <w:t>zákoně o DPH do značné míry odstraňuje riziko prodlení při vymáhání. Úspěšnost vymáhání byla o cca 13 % vyšší než u zajišťovacích příkazů vydaných podle daňového řádu.</w:t>
      </w:r>
    </w:p>
    <w:p w:rsidR="00005629" w:rsidRDefault="00005629" w:rsidP="00005629">
      <w:pPr>
        <w:spacing w:after="0"/>
        <w:ind w:left="284" w:hanging="284"/>
      </w:pPr>
      <w:r w:rsidRPr="00005629">
        <w:rPr>
          <w:b/>
        </w:rPr>
        <w:t>7.</w:t>
      </w:r>
      <w:r>
        <w:t xml:space="preserve"> </w:t>
      </w:r>
      <w:r>
        <w:tab/>
      </w:r>
      <w:r w:rsidRPr="00005629">
        <w:rPr>
          <w:b/>
        </w:rPr>
        <w:t xml:space="preserve">Negativní dopad oprav výše daně u pohledávek za dlužníky </w:t>
      </w:r>
      <w:r w:rsidR="000869AC">
        <w:rPr>
          <w:b/>
        </w:rPr>
        <w:t>v </w:t>
      </w:r>
      <w:r w:rsidRPr="00005629">
        <w:rPr>
          <w:b/>
        </w:rPr>
        <w:t xml:space="preserve">insolvenčním řízení </w:t>
      </w:r>
      <w:r w:rsidR="000869AC">
        <w:rPr>
          <w:b/>
        </w:rPr>
        <w:t>v </w:t>
      </w:r>
      <w:r w:rsidRPr="00005629">
        <w:rPr>
          <w:b/>
        </w:rPr>
        <w:t xml:space="preserve">letech 2011 až 2013 do veřejných rozpočtů nedosáhl předpokládané výše 5 mld. Kč, </w:t>
      </w:r>
      <w:r w:rsidR="005C1C95">
        <w:rPr>
          <w:b/>
        </w:rPr>
        <w:t>objem</w:t>
      </w:r>
      <w:r w:rsidRPr="00005629">
        <w:rPr>
          <w:b/>
        </w:rPr>
        <w:t xml:space="preserve"> oprav provedených ve sledovaném období </w:t>
      </w:r>
      <w:r w:rsidR="005C1C95">
        <w:rPr>
          <w:b/>
        </w:rPr>
        <w:t xml:space="preserve">ze strany </w:t>
      </w:r>
      <w:r w:rsidRPr="00005629">
        <w:rPr>
          <w:b/>
        </w:rPr>
        <w:t>3 471 věřitel</w:t>
      </w:r>
      <w:r w:rsidR="005C1C95">
        <w:rPr>
          <w:b/>
        </w:rPr>
        <w:t>ů</w:t>
      </w:r>
      <w:r w:rsidRPr="00005629">
        <w:rPr>
          <w:b/>
        </w:rPr>
        <w:t xml:space="preserve"> činil max.</w:t>
      </w:r>
      <w:r w:rsidR="00A23E1B">
        <w:rPr>
          <w:b/>
        </w:rPr>
        <w:t> </w:t>
      </w:r>
      <w:r w:rsidRPr="00005629">
        <w:rPr>
          <w:b/>
        </w:rPr>
        <w:t>1,2 mld.</w:t>
      </w:r>
      <w:r w:rsidR="00A23E1B">
        <w:rPr>
          <w:b/>
        </w:rPr>
        <w:t> </w:t>
      </w:r>
      <w:r w:rsidRPr="00005629">
        <w:rPr>
          <w:b/>
        </w:rPr>
        <w:t>Kč.</w:t>
      </w:r>
      <w:r w:rsidRPr="000F389A">
        <w:rPr>
          <w:b/>
        </w:rPr>
        <w:t xml:space="preserve"> </w:t>
      </w:r>
      <w:r w:rsidRPr="00005629">
        <w:t xml:space="preserve">Přesné údaje o využívání tohoto institutu GFŘ nepředložilo, protože je nemá </w:t>
      </w:r>
      <w:r w:rsidR="000869AC">
        <w:t>k </w:t>
      </w:r>
      <w:r w:rsidRPr="00005629">
        <w:t>dispozici. Rozdíl mezi výší oprav uplatněných věřiteli a hodnotou oprav vykázanou dlužníky se pohyboval mezi 193 mil. Kč a 559 mil. Kč. Do rozdílu se promítla nedostatečná kontrola a</w:t>
      </w:r>
      <w:r>
        <w:t> </w:t>
      </w:r>
      <w:r w:rsidRPr="00005629">
        <w:t>rozdílná právní stanoviska uplatňovaná správci daně a insolvenčními správci.</w:t>
      </w:r>
      <w:r w:rsidRPr="000F389A">
        <w:rPr>
          <w:b/>
        </w:rPr>
        <w:t xml:space="preserve"> </w:t>
      </w:r>
    </w:p>
    <w:p w:rsidR="00005629" w:rsidRPr="00005629" w:rsidRDefault="00005629" w:rsidP="00005629">
      <w:pPr>
        <w:spacing w:before="120"/>
        <w:ind w:left="284"/>
      </w:pPr>
      <w:r w:rsidRPr="00005629">
        <w:t xml:space="preserve">Právní úprava oprav daně u pohledávek za dlužníky </w:t>
      </w:r>
      <w:r w:rsidR="000869AC">
        <w:t>v </w:t>
      </w:r>
      <w:r w:rsidRPr="00005629">
        <w:t>insolvenčním řízení obsažená v zákoně o DPH vyvolávala od nabytí účinnosti řadu významných rozporů mezi výkladem a</w:t>
      </w:r>
      <w:r>
        <w:t> </w:t>
      </w:r>
      <w:r w:rsidRPr="00005629">
        <w:t>praxí finanční správy a výkladem a postupy insolvenční</w:t>
      </w:r>
      <w:r w:rsidR="005C1C95">
        <w:t>ch</w:t>
      </w:r>
      <w:r w:rsidRPr="00005629">
        <w:t xml:space="preserve"> správců, případně soudů. </w:t>
      </w:r>
    </w:p>
    <w:p w:rsidR="00A031BC" w:rsidRDefault="00005629" w:rsidP="00005629">
      <w:pPr>
        <w:spacing w:after="0"/>
        <w:ind w:left="284" w:hanging="284"/>
      </w:pPr>
      <w:r w:rsidRPr="00005629">
        <w:rPr>
          <w:b/>
        </w:rPr>
        <w:t>8.</w:t>
      </w:r>
      <w:r>
        <w:t xml:space="preserve"> </w:t>
      </w:r>
      <w:r>
        <w:tab/>
      </w:r>
      <w:r w:rsidRPr="00005629">
        <w:rPr>
          <w:b/>
        </w:rPr>
        <w:t xml:space="preserve">Účinnost nových institutů zaměřených na boj </w:t>
      </w:r>
      <w:r w:rsidR="000869AC">
        <w:rPr>
          <w:b/>
        </w:rPr>
        <w:t>s </w:t>
      </w:r>
      <w:r w:rsidRPr="00005629">
        <w:rPr>
          <w:b/>
        </w:rPr>
        <w:t xml:space="preserve">daňovými úniky se </w:t>
      </w:r>
      <w:r w:rsidR="000869AC">
        <w:rPr>
          <w:b/>
        </w:rPr>
        <w:t>v </w:t>
      </w:r>
      <w:r w:rsidRPr="00005629">
        <w:rPr>
          <w:b/>
        </w:rPr>
        <w:t>roce 2013 neprojevila do takové míry, aby se snížila mezera DPH.</w:t>
      </w:r>
      <w:r w:rsidRPr="00C86BE0">
        <w:t xml:space="preserve"> </w:t>
      </w:r>
      <w:r w:rsidRPr="00005629">
        <w:t xml:space="preserve">Naopak </w:t>
      </w:r>
      <w:r w:rsidR="000869AC">
        <w:t>v </w:t>
      </w:r>
      <w:r w:rsidRPr="00005629">
        <w:t>absolutních číslech se zv</w:t>
      </w:r>
      <w:r w:rsidR="005C1C95">
        <w:t>yšovala</w:t>
      </w:r>
      <w:r w:rsidRPr="00005629">
        <w:t xml:space="preserve"> </w:t>
      </w:r>
      <w:r w:rsidR="000869AC">
        <w:t>z </w:t>
      </w:r>
      <w:r w:rsidRPr="00005629">
        <w:t xml:space="preserve">92 mld. Kč </w:t>
      </w:r>
      <w:r w:rsidR="000869AC">
        <w:t>v </w:t>
      </w:r>
      <w:r w:rsidRPr="00005629">
        <w:t xml:space="preserve">roce 2011 přes 101 mld. Kč </w:t>
      </w:r>
      <w:r w:rsidR="000869AC">
        <w:t>v </w:t>
      </w:r>
      <w:r w:rsidRPr="00005629">
        <w:t xml:space="preserve">roce 2012 na 105 mld. Kč </w:t>
      </w:r>
      <w:r w:rsidR="000869AC">
        <w:t>v </w:t>
      </w:r>
      <w:r w:rsidRPr="00005629">
        <w:t xml:space="preserve">roce 2013. NKÚ vypočítal mezeru DPH za rok 2013 ve výši 25,7 %. Podle údajů Evropské komise zveřejněných </w:t>
      </w:r>
      <w:r w:rsidR="000869AC">
        <w:t>v </w:t>
      </w:r>
      <w:r w:rsidRPr="00005629">
        <w:t xml:space="preserve">roce 2013 činila mezera DPH za rok 2011 </w:t>
      </w:r>
      <w:r w:rsidR="000869AC">
        <w:t>v </w:t>
      </w:r>
      <w:r w:rsidRPr="00005629">
        <w:t xml:space="preserve">ČR 28 %, zatímco průměr </w:t>
      </w:r>
      <w:r w:rsidR="000869AC">
        <w:t>v</w:t>
      </w:r>
      <w:r w:rsidR="0033427C">
        <w:t> Evropské unii (dále též „</w:t>
      </w:r>
      <w:r w:rsidRPr="00005629">
        <w:t>EU</w:t>
      </w:r>
      <w:r w:rsidR="0033427C">
        <w:t>“)</w:t>
      </w:r>
      <w:r w:rsidRPr="00005629">
        <w:t xml:space="preserve"> činil 18 %. </w:t>
      </w:r>
    </w:p>
    <w:p w:rsidR="00005629" w:rsidRDefault="00005629" w:rsidP="00005629">
      <w:pPr>
        <w:spacing w:after="0"/>
        <w:ind w:left="284" w:hanging="284"/>
      </w:pPr>
    </w:p>
    <w:p w:rsidR="00005629" w:rsidRPr="00005629" w:rsidRDefault="00005629" w:rsidP="00005629">
      <w:pPr>
        <w:spacing w:after="0"/>
        <w:ind w:left="284" w:hanging="284"/>
      </w:pPr>
    </w:p>
    <w:p w:rsidR="00C86BE0" w:rsidRPr="00BC522D" w:rsidRDefault="00C86BE0" w:rsidP="00005629">
      <w:pPr>
        <w:pStyle w:val="Nadpis1"/>
        <w:spacing w:before="0" w:after="0"/>
        <w:rPr>
          <w:sz w:val="28"/>
        </w:rPr>
      </w:pPr>
      <w:r w:rsidRPr="00BC522D">
        <w:rPr>
          <w:sz w:val="28"/>
        </w:rPr>
        <w:t>Vyhodnocení</w:t>
      </w:r>
    </w:p>
    <w:p w:rsidR="00005629" w:rsidRDefault="00005629" w:rsidP="00005629">
      <w:pPr>
        <w:spacing w:after="0"/>
        <w:rPr>
          <w:rFonts w:cstheme="minorHAnsi"/>
          <w:szCs w:val="24"/>
        </w:rPr>
      </w:pPr>
    </w:p>
    <w:p w:rsidR="00C86BE0" w:rsidRDefault="00C86BE0" w:rsidP="00FC2101">
      <w:pPr>
        <w:spacing w:after="0"/>
        <w:rPr>
          <w:rFonts w:cstheme="minorHAnsi"/>
          <w:szCs w:val="24"/>
        </w:rPr>
      </w:pPr>
      <w:r>
        <w:rPr>
          <w:rFonts w:cstheme="minorHAnsi"/>
          <w:szCs w:val="24"/>
        </w:rPr>
        <w:t xml:space="preserve">Kontrolované instituty nepřinesly </w:t>
      </w:r>
      <w:r w:rsidR="000869AC">
        <w:rPr>
          <w:rFonts w:cstheme="minorHAnsi"/>
          <w:szCs w:val="24"/>
        </w:rPr>
        <w:t>v </w:t>
      </w:r>
      <w:r w:rsidR="0026216A">
        <w:rPr>
          <w:rFonts w:cstheme="minorHAnsi"/>
          <w:szCs w:val="24"/>
        </w:rPr>
        <w:t xml:space="preserve">kontrolovaném období </w:t>
      </w:r>
      <w:r>
        <w:rPr>
          <w:rFonts w:cstheme="minorHAnsi"/>
          <w:szCs w:val="24"/>
        </w:rPr>
        <w:t>očekávané efekty ve vyšším výběru DPH, snížení daňových úniků</w:t>
      </w:r>
      <w:r w:rsidR="0033427C">
        <w:rPr>
          <w:rFonts w:cstheme="minorHAnsi"/>
          <w:szCs w:val="24"/>
        </w:rPr>
        <w:t>,</w:t>
      </w:r>
      <w:r>
        <w:rPr>
          <w:rFonts w:cstheme="minorHAnsi"/>
          <w:szCs w:val="24"/>
        </w:rPr>
        <w:t xml:space="preserve"> a </w:t>
      </w:r>
      <w:r w:rsidR="0033427C">
        <w:rPr>
          <w:rFonts w:cstheme="minorHAnsi"/>
          <w:szCs w:val="24"/>
        </w:rPr>
        <w:t>tedy</w:t>
      </w:r>
      <w:r>
        <w:rPr>
          <w:rFonts w:cstheme="minorHAnsi"/>
          <w:szCs w:val="24"/>
        </w:rPr>
        <w:t xml:space="preserve"> i snížení mezery DPH. Příčiny spatřuje NKÚ ve vnějších vlivech i vlastní činnosti Finanční správy ČR. </w:t>
      </w:r>
    </w:p>
    <w:p w:rsidR="00005629" w:rsidRDefault="00005629" w:rsidP="00FC2101">
      <w:pPr>
        <w:spacing w:after="0"/>
        <w:rPr>
          <w:rFonts w:cstheme="minorHAnsi"/>
          <w:szCs w:val="24"/>
        </w:rPr>
      </w:pPr>
    </w:p>
    <w:p w:rsidR="00C86BE0" w:rsidRDefault="00C86BE0" w:rsidP="00FC2101">
      <w:pPr>
        <w:spacing w:after="0"/>
        <w:rPr>
          <w:rFonts w:cstheme="minorHAnsi"/>
          <w:szCs w:val="24"/>
        </w:rPr>
      </w:pPr>
      <w:r>
        <w:rPr>
          <w:rFonts w:cstheme="minorHAnsi"/>
          <w:szCs w:val="24"/>
        </w:rPr>
        <w:t>Negativní dopad m</w:t>
      </w:r>
      <w:r w:rsidR="0026216A">
        <w:rPr>
          <w:rFonts w:cstheme="minorHAnsi"/>
          <w:szCs w:val="24"/>
        </w:rPr>
        <w:t>ěla</w:t>
      </w:r>
      <w:r>
        <w:rPr>
          <w:rFonts w:cstheme="minorHAnsi"/>
          <w:szCs w:val="24"/>
        </w:rPr>
        <w:t xml:space="preserve"> skutečnost, že změny zákona o DPH nabýva</w:t>
      </w:r>
      <w:r w:rsidR="0026216A">
        <w:rPr>
          <w:rFonts w:cstheme="minorHAnsi"/>
          <w:szCs w:val="24"/>
        </w:rPr>
        <w:t>ly</w:t>
      </w:r>
      <w:r>
        <w:rPr>
          <w:rFonts w:cstheme="minorHAnsi"/>
          <w:szCs w:val="24"/>
        </w:rPr>
        <w:t xml:space="preserve"> účinnosti několik dní po </w:t>
      </w:r>
      <w:r w:rsidR="0008212B">
        <w:rPr>
          <w:rFonts w:cstheme="minorHAnsi"/>
          <w:szCs w:val="24"/>
        </w:rPr>
        <w:t>svém</w:t>
      </w:r>
      <w:r>
        <w:rPr>
          <w:rFonts w:cstheme="minorHAnsi"/>
          <w:szCs w:val="24"/>
        </w:rPr>
        <w:t xml:space="preserve"> schválení a zveřejnění. To neumož</w:t>
      </w:r>
      <w:r w:rsidR="0026216A">
        <w:rPr>
          <w:rFonts w:cstheme="minorHAnsi"/>
          <w:szCs w:val="24"/>
        </w:rPr>
        <w:t>nilo</w:t>
      </w:r>
      <w:r>
        <w:rPr>
          <w:rFonts w:cstheme="minorHAnsi"/>
          <w:szCs w:val="24"/>
        </w:rPr>
        <w:t xml:space="preserve"> řádnou metodickou a technickou přípravu pro zvládnutí administrativně náročnějších postupů. </w:t>
      </w:r>
    </w:p>
    <w:p w:rsidR="00005629" w:rsidRDefault="00005629" w:rsidP="00FC2101">
      <w:pPr>
        <w:spacing w:after="0"/>
        <w:rPr>
          <w:rFonts w:cstheme="minorHAnsi"/>
          <w:szCs w:val="24"/>
        </w:rPr>
      </w:pPr>
    </w:p>
    <w:p w:rsidR="00C86BE0" w:rsidRDefault="00C86BE0" w:rsidP="00FC2101">
      <w:pPr>
        <w:spacing w:after="0"/>
        <w:rPr>
          <w:rFonts w:cstheme="minorHAnsi"/>
          <w:szCs w:val="24"/>
        </w:rPr>
      </w:pPr>
      <w:r>
        <w:rPr>
          <w:rFonts w:cstheme="minorHAnsi"/>
          <w:szCs w:val="24"/>
        </w:rPr>
        <w:t>Stejný negativní dopad m</w:t>
      </w:r>
      <w:r w:rsidR="0026216A">
        <w:rPr>
          <w:rFonts w:cstheme="minorHAnsi"/>
          <w:szCs w:val="24"/>
        </w:rPr>
        <w:t>ěla</w:t>
      </w:r>
      <w:r>
        <w:rPr>
          <w:rFonts w:cstheme="minorHAnsi"/>
          <w:szCs w:val="24"/>
        </w:rPr>
        <w:t xml:space="preserve"> i </w:t>
      </w:r>
      <w:r w:rsidR="00172DFE">
        <w:rPr>
          <w:rFonts w:cstheme="minorHAnsi"/>
          <w:szCs w:val="24"/>
        </w:rPr>
        <w:t>právní úprava umožňující různý výklad</w:t>
      </w:r>
      <w:r>
        <w:rPr>
          <w:rFonts w:cstheme="minorHAnsi"/>
          <w:szCs w:val="24"/>
        </w:rPr>
        <w:t xml:space="preserve">. U opravy výše daně za dlužníky </w:t>
      </w:r>
      <w:r w:rsidR="000869AC">
        <w:rPr>
          <w:rFonts w:cstheme="minorHAnsi"/>
          <w:szCs w:val="24"/>
        </w:rPr>
        <w:t>v </w:t>
      </w:r>
      <w:r>
        <w:rPr>
          <w:rFonts w:cstheme="minorHAnsi"/>
          <w:szCs w:val="24"/>
        </w:rPr>
        <w:t xml:space="preserve">insolvenčním řízení nebylo zřejmé, kterých pohledávek </w:t>
      </w:r>
      <w:r w:rsidR="000869AC">
        <w:rPr>
          <w:rFonts w:cstheme="minorHAnsi"/>
          <w:szCs w:val="24"/>
        </w:rPr>
        <w:t>z </w:t>
      </w:r>
      <w:r>
        <w:rPr>
          <w:rFonts w:cstheme="minorHAnsi"/>
          <w:szCs w:val="24"/>
        </w:rPr>
        <w:t>hlediska jejich vzniku se ustanovení týk</w:t>
      </w:r>
      <w:r w:rsidR="0026216A">
        <w:rPr>
          <w:rFonts w:cstheme="minorHAnsi"/>
          <w:szCs w:val="24"/>
        </w:rPr>
        <w:t>alo</w:t>
      </w:r>
      <w:r>
        <w:rPr>
          <w:rFonts w:cstheme="minorHAnsi"/>
          <w:szCs w:val="24"/>
        </w:rPr>
        <w:t xml:space="preserve"> a jaké </w:t>
      </w:r>
      <w:r w:rsidR="0026216A">
        <w:rPr>
          <w:rFonts w:cstheme="minorHAnsi"/>
          <w:szCs w:val="24"/>
        </w:rPr>
        <w:t>bylo</w:t>
      </w:r>
      <w:r>
        <w:rPr>
          <w:rFonts w:cstheme="minorHAnsi"/>
          <w:szCs w:val="24"/>
        </w:rPr>
        <w:t xml:space="preserve"> postavení pohledávky </w:t>
      </w:r>
      <w:r w:rsidR="000869AC">
        <w:rPr>
          <w:rFonts w:cstheme="minorHAnsi"/>
          <w:szCs w:val="24"/>
        </w:rPr>
        <w:t>v </w:t>
      </w:r>
      <w:r>
        <w:rPr>
          <w:rFonts w:cstheme="minorHAnsi"/>
          <w:szCs w:val="24"/>
        </w:rPr>
        <w:t>insolvenčním řízení. Množství vedených soudních sporů finanční správu zatěžovalo.</w:t>
      </w:r>
    </w:p>
    <w:p w:rsidR="00005629" w:rsidRDefault="00005629" w:rsidP="00FC2101">
      <w:pPr>
        <w:spacing w:after="0"/>
        <w:rPr>
          <w:rFonts w:cstheme="minorHAnsi"/>
          <w:szCs w:val="24"/>
        </w:rPr>
      </w:pPr>
    </w:p>
    <w:p w:rsidR="00067567" w:rsidRDefault="00C86BE0" w:rsidP="00FC2101">
      <w:pPr>
        <w:spacing w:after="0"/>
        <w:rPr>
          <w:rFonts w:cstheme="minorHAnsi"/>
          <w:szCs w:val="24"/>
        </w:rPr>
      </w:pPr>
      <w:r>
        <w:rPr>
          <w:rFonts w:cstheme="minorHAnsi"/>
          <w:szCs w:val="24"/>
        </w:rPr>
        <w:t>Nastavení krátk</w:t>
      </w:r>
      <w:r w:rsidR="0098325F">
        <w:rPr>
          <w:rFonts w:cstheme="minorHAnsi"/>
          <w:szCs w:val="24"/>
        </w:rPr>
        <w:t>é</w:t>
      </w:r>
      <w:r>
        <w:rPr>
          <w:rFonts w:cstheme="minorHAnsi"/>
          <w:szCs w:val="24"/>
        </w:rPr>
        <w:t xml:space="preserve"> lhůt</w:t>
      </w:r>
      <w:r w:rsidR="0098325F">
        <w:rPr>
          <w:rFonts w:cstheme="minorHAnsi"/>
          <w:szCs w:val="24"/>
        </w:rPr>
        <w:t>y</w:t>
      </w:r>
      <w:r>
        <w:rPr>
          <w:rFonts w:cstheme="minorHAnsi"/>
          <w:szCs w:val="24"/>
        </w:rPr>
        <w:t xml:space="preserve"> pro ověření bankovních účtů plátců způsobilo, že </w:t>
      </w:r>
      <w:r w:rsidR="000869AC">
        <w:rPr>
          <w:rFonts w:cstheme="minorHAnsi"/>
          <w:szCs w:val="24"/>
        </w:rPr>
        <w:t>v </w:t>
      </w:r>
      <w:r>
        <w:rPr>
          <w:rFonts w:cstheme="minorHAnsi"/>
          <w:szCs w:val="24"/>
        </w:rPr>
        <w:t xml:space="preserve">zákonem stanoveném termínu nebyly všechny účty zveřejněny. Pro režim přenesení daňové povinnosti, </w:t>
      </w:r>
      <w:r w:rsidR="007E1EE8">
        <w:rPr>
          <w:rFonts w:cstheme="minorHAnsi"/>
          <w:szCs w:val="24"/>
        </w:rPr>
        <w:t>který byl pro</w:t>
      </w:r>
      <w:r w:rsidR="00967341">
        <w:rPr>
          <w:rFonts w:cstheme="minorHAnsi"/>
          <w:szCs w:val="24"/>
        </w:rPr>
        <w:t xml:space="preserve"> </w:t>
      </w:r>
      <w:r>
        <w:rPr>
          <w:rFonts w:cstheme="minorHAnsi"/>
          <w:szCs w:val="24"/>
        </w:rPr>
        <w:t>jedn</w:t>
      </w:r>
      <w:r w:rsidR="007E1EE8">
        <w:rPr>
          <w:rFonts w:cstheme="minorHAnsi"/>
          <w:szCs w:val="24"/>
        </w:rPr>
        <w:t>u</w:t>
      </w:r>
      <w:r>
        <w:rPr>
          <w:rFonts w:cstheme="minorHAnsi"/>
          <w:szCs w:val="24"/>
        </w:rPr>
        <w:t xml:space="preserve"> komodit</w:t>
      </w:r>
      <w:r w:rsidR="007E1EE8">
        <w:rPr>
          <w:rFonts w:cstheme="minorHAnsi"/>
          <w:szCs w:val="24"/>
        </w:rPr>
        <w:t>u</w:t>
      </w:r>
      <w:r>
        <w:rPr>
          <w:rFonts w:cstheme="minorHAnsi"/>
          <w:szCs w:val="24"/>
        </w:rPr>
        <w:t xml:space="preserve"> zaveden již </w:t>
      </w:r>
      <w:r w:rsidR="000869AC">
        <w:rPr>
          <w:rFonts w:cstheme="minorHAnsi"/>
          <w:szCs w:val="24"/>
        </w:rPr>
        <w:t>v </w:t>
      </w:r>
      <w:r>
        <w:rPr>
          <w:rFonts w:cstheme="minorHAnsi"/>
          <w:szCs w:val="24"/>
        </w:rPr>
        <w:t xml:space="preserve">roce 2006, GFŘ </w:t>
      </w:r>
      <w:r w:rsidR="007E1EE8">
        <w:rPr>
          <w:rFonts w:cstheme="minorHAnsi"/>
          <w:szCs w:val="24"/>
        </w:rPr>
        <w:t>instalovalo</w:t>
      </w:r>
      <w:r>
        <w:rPr>
          <w:rFonts w:cstheme="minorHAnsi"/>
          <w:szCs w:val="24"/>
        </w:rPr>
        <w:t xml:space="preserve"> do ADIS automatizovaný systém pro porovnávání údajů </w:t>
      </w:r>
      <w:r w:rsidR="000869AC">
        <w:rPr>
          <w:rFonts w:cstheme="minorHAnsi"/>
          <w:szCs w:val="24"/>
        </w:rPr>
        <w:t>z </w:t>
      </w:r>
      <w:r>
        <w:rPr>
          <w:rFonts w:cstheme="minorHAnsi"/>
          <w:szCs w:val="24"/>
        </w:rPr>
        <w:t xml:space="preserve">výpisů </w:t>
      </w:r>
      <w:r w:rsidR="000869AC">
        <w:rPr>
          <w:rFonts w:cstheme="minorHAnsi"/>
          <w:szCs w:val="24"/>
        </w:rPr>
        <w:t>z </w:t>
      </w:r>
      <w:r>
        <w:rPr>
          <w:rFonts w:cstheme="minorHAnsi"/>
          <w:szCs w:val="24"/>
        </w:rPr>
        <w:t xml:space="preserve">evidence </w:t>
      </w:r>
      <w:r w:rsidR="00F3125B">
        <w:rPr>
          <w:rFonts w:cstheme="minorHAnsi"/>
          <w:szCs w:val="24"/>
        </w:rPr>
        <w:t xml:space="preserve">teprve </w:t>
      </w:r>
      <w:r w:rsidR="000869AC">
        <w:rPr>
          <w:rFonts w:cstheme="minorHAnsi"/>
          <w:szCs w:val="24"/>
        </w:rPr>
        <w:t>v </w:t>
      </w:r>
      <w:r w:rsidR="00F3125B">
        <w:rPr>
          <w:rFonts w:cstheme="minorHAnsi"/>
          <w:szCs w:val="24"/>
        </w:rPr>
        <w:t xml:space="preserve">roce 2013 </w:t>
      </w:r>
      <w:r>
        <w:rPr>
          <w:rFonts w:cstheme="minorHAnsi"/>
          <w:szCs w:val="24"/>
        </w:rPr>
        <w:t>a</w:t>
      </w:r>
      <w:r w:rsidR="006523CD">
        <w:rPr>
          <w:rFonts w:cstheme="minorHAnsi"/>
          <w:szCs w:val="24"/>
        </w:rPr>
        <w:t> </w:t>
      </w:r>
      <w:r>
        <w:rPr>
          <w:rFonts w:cstheme="minorHAnsi"/>
          <w:szCs w:val="24"/>
        </w:rPr>
        <w:t>nezajistilo, aby systém FÚ využívaly. Neověření a nezveřejnění všech bankovních účtů a</w:t>
      </w:r>
      <w:r w:rsidR="00967341">
        <w:rPr>
          <w:rFonts w:cstheme="minorHAnsi"/>
          <w:szCs w:val="24"/>
        </w:rPr>
        <w:t> </w:t>
      </w:r>
      <w:r w:rsidR="00067567">
        <w:rPr>
          <w:rFonts w:cstheme="minorHAnsi"/>
          <w:szCs w:val="24"/>
        </w:rPr>
        <w:t>nízký počet</w:t>
      </w:r>
      <w:r>
        <w:rPr>
          <w:rFonts w:cstheme="minorHAnsi"/>
          <w:szCs w:val="24"/>
        </w:rPr>
        <w:t xml:space="preserve"> </w:t>
      </w:r>
      <w:r w:rsidR="00D64C20">
        <w:rPr>
          <w:rFonts w:cstheme="minorHAnsi"/>
          <w:szCs w:val="24"/>
        </w:rPr>
        <w:t xml:space="preserve">uveřejněných </w:t>
      </w:r>
      <w:r>
        <w:rPr>
          <w:rFonts w:cstheme="minorHAnsi"/>
          <w:szCs w:val="24"/>
        </w:rPr>
        <w:t>nespolehliv</w:t>
      </w:r>
      <w:r w:rsidR="00067567">
        <w:rPr>
          <w:rFonts w:cstheme="minorHAnsi"/>
          <w:szCs w:val="24"/>
        </w:rPr>
        <w:t>ých</w:t>
      </w:r>
      <w:r>
        <w:rPr>
          <w:rFonts w:cstheme="minorHAnsi"/>
          <w:szCs w:val="24"/>
        </w:rPr>
        <w:t xml:space="preserve"> plátc</w:t>
      </w:r>
      <w:r w:rsidR="00067567">
        <w:rPr>
          <w:rFonts w:cstheme="minorHAnsi"/>
          <w:szCs w:val="24"/>
        </w:rPr>
        <w:t>ů</w:t>
      </w:r>
      <w:r>
        <w:rPr>
          <w:rFonts w:cstheme="minorHAnsi"/>
          <w:szCs w:val="24"/>
        </w:rPr>
        <w:t xml:space="preserve"> se projevil</w:t>
      </w:r>
      <w:r w:rsidR="00067567">
        <w:rPr>
          <w:rFonts w:cstheme="minorHAnsi"/>
          <w:szCs w:val="24"/>
        </w:rPr>
        <w:t>y</w:t>
      </w:r>
      <w:r>
        <w:rPr>
          <w:rFonts w:cstheme="minorHAnsi"/>
          <w:szCs w:val="24"/>
        </w:rPr>
        <w:t xml:space="preserve"> i </w:t>
      </w:r>
      <w:r w:rsidR="000869AC">
        <w:rPr>
          <w:rFonts w:cstheme="minorHAnsi"/>
          <w:szCs w:val="24"/>
        </w:rPr>
        <w:t>v </w:t>
      </w:r>
      <w:r>
        <w:rPr>
          <w:rFonts w:cstheme="minorHAnsi"/>
          <w:szCs w:val="24"/>
        </w:rPr>
        <w:t xml:space="preserve">minimálním využití institutu ručení příjemce zdanitelného plnění. </w:t>
      </w:r>
    </w:p>
    <w:p w:rsidR="00C86BE0" w:rsidRDefault="00C86BE0" w:rsidP="002F2322">
      <w:pPr>
        <w:spacing w:after="0"/>
        <w:rPr>
          <w:rFonts w:cstheme="minorHAnsi"/>
          <w:szCs w:val="24"/>
        </w:rPr>
      </w:pPr>
      <w:r>
        <w:rPr>
          <w:rFonts w:cstheme="minorHAnsi"/>
          <w:szCs w:val="24"/>
        </w:rPr>
        <w:lastRenderedPageBreak/>
        <w:t xml:space="preserve">Za zásadní považuje NKÚ skutečnost, že GFŘ neprovádělo analýzy účinnosti </w:t>
      </w:r>
      <w:r w:rsidRPr="00CC0532">
        <w:rPr>
          <w:rFonts w:cstheme="minorHAnsi"/>
          <w:szCs w:val="24"/>
        </w:rPr>
        <w:t xml:space="preserve">nových institutů a </w:t>
      </w:r>
      <w:r w:rsidRPr="000F36C2">
        <w:rPr>
          <w:rFonts w:cstheme="minorHAnsi"/>
          <w:szCs w:val="24"/>
        </w:rPr>
        <w:t>nevyhodnocovalo</w:t>
      </w:r>
      <w:r w:rsidR="00D64C20">
        <w:rPr>
          <w:rFonts w:cstheme="minorHAnsi"/>
          <w:szCs w:val="24"/>
        </w:rPr>
        <w:t xml:space="preserve"> ani</w:t>
      </w:r>
      <w:r w:rsidRPr="000F36C2">
        <w:rPr>
          <w:rFonts w:cstheme="minorHAnsi"/>
          <w:szCs w:val="24"/>
        </w:rPr>
        <w:t xml:space="preserve"> jejich využívání při správě daně. </w:t>
      </w:r>
      <w:r w:rsidR="000869AC">
        <w:rPr>
          <w:rFonts w:cstheme="minorHAnsi"/>
          <w:szCs w:val="24"/>
        </w:rPr>
        <w:t>V </w:t>
      </w:r>
      <w:r w:rsidRPr="00CC0532">
        <w:rPr>
          <w:rFonts w:cstheme="minorHAnsi"/>
          <w:szCs w:val="24"/>
        </w:rPr>
        <w:t xml:space="preserve">ročních zprávách o činnosti Finanční správy ČR </w:t>
      </w:r>
      <w:r w:rsidRPr="000F36C2">
        <w:rPr>
          <w:rFonts w:cstheme="minorHAnsi"/>
          <w:szCs w:val="24"/>
        </w:rPr>
        <w:t xml:space="preserve">nebo </w:t>
      </w:r>
      <w:r w:rsidR="000869AC">
        <w:rPr>
          <w:rFonts w:cstheme="minorHAnsi"/>
          <w:szCs w:val="24"/>
        </w:rPr>
        <w:t>v </w:t>
      </w:r>
      <w:r w:rsidRPr="000F36C2">
        <w:rPr>
          <w:rFonts w:cstheme="minorHAnsi"/>
          <w:szCs w:val="24"/>
        </w:rPr>
        <w:t xml:space="preserve">komentářích </w:t>
      </w:r>
      <w:r w:rsidR="000869AC">
        <w:rPr>
          <w:rFonts w:cstheme="minorHAnsi"/>
          <w:szCs w:val="24"/>
        </w:rPr>
        <w:t>k</w:t>
      </w:r>
      <w:r w:rsidR="00D64C20">
        <w:rPr>
          <w:rFonts w:cstheme="minorHAnsi"/>
          <w:szCs w:val="24"/>
        </w:rPr>
        <w:t xml:space="preserve">e </w:t>
      </w:r>
      <w:r w:rsidRPr="000F36C2">
        <w:rPr>
          <w:rFonts w:cstheme="minorHAnsi"/>
          <w:szCs w:val="24"/>
        </w:rPr>
        <w:t>státnímu závěrečnému účtu zveřejňovalo pouze informaci o</w:t>
      </w:r>
      <w:r w:rsidR="006523CD">
        <w:rPr>
          <w:rFonts w:cstheme="minorHAnsi"/>
          <w:szCs w:val="24"/>
        </w:rPr>
        <w:t> </w:t>
      </w:r>
      <w:r w:rsidRPr="000F36C2">
        <w:rPr>
          <w:rFonts w:cstheme="minorHAnsi"/>
          <w:szCs w:val="24"/>
        </w:rPr>
        <w:t>pozitivním dopadu zavedených institutů nepodepřenou žádnými údaji. Vládě a</w:t>
      </w:r>
      <w:r>
        <w:rPr>
          <w:rFonts w:cstheme="minorHAnsi"/>
          <w:szCs w:val="24"/>
        </w:rPr>
        <w:t> </w:t>
      </w:r>
      <w:r w:rsidRPr="000F36C2">
        <w:rPr>
          <w:rFonts w:cstheme="minorHAnsi"/>
          <w:szCs w:val="24"/>
        </w:rPr>
        <w:t>zákono</w:t>
      </w:r>
      <w:r>
        <w:rPr>
          <w:rFonts w:cstheme="minorHAnsi"/>
          <w:szCs w:val="24"/>
        </w:rPr>
        <w:t>dárnému sboru tak chybí zpětná vazba, která by jim umožnila adekvátní a včasnou reakci.</w:t>
      </w:r>
    </w:p>
    <w:p w:rsidR="002F2322" w:rsidRDefault="002F2322" w:rsidP="002F2322">
      <w:pPr>
        <w:spacing w:after="0"/>
        <w:rPr>
          <w:rFonts w:cstheme="minorHAnsi"/>
          <w:szCs w:val="24"/>
        </w:rPr>
      </w:pPr>
    </w:p>
    <w:p w:rsidR="00005629" w:rsidRPr="00DE43F5" w:rsidRDefault="00005629" w:rsidP="002F2322">
      <w:pPr>
        <w:spacing w:after="0"/>
        <w:rPr>
          <w:rFonts w:cstheme="minorHAnsi"/>
          <w:szCs w:val="24"/>
        </w:rPr>
      </w:pPr>
    </w:p>
    <w:p w:rsidR="00C86BE0" w:rsidRDefault="00C86BE0" w:rsidP="00FC2101">
      <w:pPr>
        <w:pStyle w:val="Nadpis1"/>
        <w:spacing w:before="0" w:after="0"/>
        <w:ind w:left="397" w:hanging="397"/>
        <w:rPr>
          <w:sz w:val="28"/>
        </w:rPr>
      </w:pPr>
      <w:r w:rsidRPr="00BC522D">
        <w:rPr>
          <w:sz w:val="28"/>
        </w:rPr>
        <w:t>Podrobné informace ke skutečnostem zjištěným při kontrole</w:t>
      </w:r>
    </w:p>
    <w:p w:rsidR="00005629" w:rsidRPr="00005629" w:rsidRDefault="00005629" w:rsidP="00005629">
      <w:pPr>
        <w:spacing w:after="0"/>
      </w:pPr>
    </w:p>
    <w:p w:rsidR="00C86BE0" w:rsidRPr="00BC522D" w:rsidRDefault="00725BDC" w:rsidP="00FC2101">
      <w:pPr>
        <w:pStyle w:val="Nadpis2"/>
        <w:numPr>
          <w:ilvl w:val="0"/>
          <w:numId w:val="0"/>
        </w:numPr>
        <w:spacing w:before="0"/>
        <w:rPr>
          <w:sz w:val="24"/>
          <w:szCs w:val="24"/>
        </w:rPr>
      </w:pPr>
      <w:r>
        <w:rPr>
          <w:sz w:val="24"/>
          <w:szCs w:val="24"/>
        </w:rPr>
        <w:t xml:space="preserve">1. </w:t>
      </w:r>
      <w:r w:rsidR="00C86BE0" w:rsidRPr="00BC522D">
        <w:rPr>
          <w:sz w:val="24"/>
          <w:szCs w:val="24"/>
        </w:rPr>
        <w:t>Zveřejnění bankovních účtů</w:t>
      </w:r>
    </w:p>
    <w:p w:rsidR="00C86BE0" w:rsidRDefault="00C86BE0" w:rsidP="00FC2101">
      <w:pPr>
        <w:spacing w:after="0"/>
        <w:rPr>
          <w:szCs w:val="24"/>
        </w:rPr>
      </w:pPr>
      <w:r w:rsidRPr="00374DB7">
        <w:rPr>
          <w:szCs w:val="24"/>
        </w:rPr>
        <w:t xml:space="preserve">Daňové subjekty, které se po 1. 1. 2013 registrovaly </w:t>
      </w:r>
      <w:r w:rsidR="000869AC">
        <w:rPr>
          <w:szCs w:val="24"/>
        </w:rPr>
        <w:t>k </w:t>
      </w:r>
      <w:r w:rsidRPr="00374DB7">
        <w:rPr>
          <w:szCs w:val="24"/>
        </w:rPr>
        <w:t>DPH, byl</w:t>
      </w:r>
      <w:r>
        <w:rPr>
          <w:szCs w:val="24"/>
        </w:rPr>
        <w:t>y</w:t>
      </w:r>
      <w:r w:rsidRPr="00374DB7">
        <w:rPr>
          <w:szCs w:val="24"/>
        </w:rPr>
        <w:t xml:space="preserve"> povinny nahlásit </w:t>
      </w:r>
      <w:r w:rsidR="000869AC">
        <w:rPr>
          <w:szCs w:val="24"/>
        </w:rPr>
        <w:t>v </w:t>
      </w:r>
      <w:r w:rsidRPr="00374DB7">
        <w:rPr>
          <w:szCs w:val="24"/>
        </w:rPr>
        <w:t>přihlášce k</w:t>
      </w:r>
      <w:r>
        <w:rPr>
          <w:szCs w:val="24"/>
        </w:rPr>
        <w:t> </w:t>
      </w:r>
      <w:r w:rsidRPr="00374DB7">
        <w:rPr>
          <w:szCs w:val="24"/>
        </w:rPr>
        <w:t xml:space="preserve">registraci čísla všech </w:t>
      </w:r>
      <w:r w:rsidR="00ED7693">
        <w:rPr>
          <w:szCs w:val="24"/>
        </w:rPr>
        <w:t xml:space="preserve">svých </w:t>
      </w:r>
      <w:r w:rsidRPr="00374DB7">
        <w:rPr>
          <w:szCs w:val="24"/>
        </w:rPr>
        <w:t xml:space="preserve">bankovních účtů používaných pro ekonomickou činnost. </w:t>
      </w:r>
      <w:r w:rsidR="000869AC">
        <w:rPr>
          <w:szCs w:val="24"/>
        </w:rPr>
        <w:t>Z </w:t>
      </w:r>
      <w:r w:rsidRPr="00374DB7">
        <w:rPr>
          <w:szCs w:val="24"/>
        </w:rPr>
        <w:t xml:space="preserve">těchto bankovních účtů měly možnost označit ty, které správce daně zveřejní. Plátcům registrovaným před </w:t>
      </w:r>
      <w:r>
        <w:rPr>
          <w:szCs w:val="24"/>
        </w:rPr>
        <w:t>1. 1. 2013 stanovil zákon o DPH</w:t>
      </w:r>
      <w:r w:rsidRPr="00374DB7">
        <w:rPr>
          <w:szCs w:val="24"/>
        </w:rPr>
        <w:t xml:space="preserve"> termín pro oznámení a u</w:t>
      </w:r>
      <w:r>
        <w:rPr>
          <w:szCs w:val="24"/>
        </w:rPr>
        <w:t>rčení účtů ke zveřejnění datum 1</w:t>
      </w:r>
      <w:r w:rsidRPr="00374DB7">
        <w:rPr>
          <w:szCs w:val="24"/>
        </w:rPr>
        <w:t>.</w:t>
      </w:r>
      <w:r w:rsidR="00967341">
        <w:rPr>
          <w:szCs w:val="24"/>
        </w:rPr>
        <w:t xml:space="preserve"> </w:t>
      </w:r>
      <w:r w:rsidRPr="00374DB7">
        <w:rPr>
          <w:szCs w:val="24"/>
        </w:rPr>
        <w:t>3. 2013.</w:t>
      </w:r>
    </w:p>
    <w:p w:rsidR="00005629" w:rsidRPr="00374DB7" w:rsidRDefault="00005629" w:rsidP="00FC2101">
      <w:pPr>
        <w:spacing w:after="0"/>
        <w:rPr>
          <w:szCs w:val="24"/>
        </w:rPr>
      </w:pPr>
    </w:p>
    <w:p w:rsidR="00C86BE0" w:rsidRDefault="00465BD2" w:rsidP="00FC2101">
      <w:pPr>
        <w:spacing w:after="0"/>
      </w:pPr>
      <w:r>
        <w:t xml:space="preserve">Finanční </w:t>
      </w:r>
      <w:r w:rsidR="00D253AB">
        <w:t>úřady</w:t>
      </w:r>
      <w:r w:rsidR="00C86BE0" w:rsidRPr="00880167">
        <w:rPr>
          <w:color w:val="92D050"/>
        </w:rPr>
        <w:t xml:space="preserve"> </w:t>
      </w:r>
      <w:r w:rsidR="00C86BE0" w:rsidRPr="00374DB7">
        <w:t>měl</w:t>
      </w:r>
      <w:r w:rsidR="00D253AB">
        <w:t>y</w:t>
      </w:r>
      <w:r w:rsidR="00C86BE0" w:rsidRPr="00374DB7">
        <w:t xml:space="preserve"> ve lhůtě od 1. 1. 2013 do 1. 4. 2013 ověřit a následně zveřejnit v</w:t>
      </w:r>
      <w:r w:rsidR="00C86BE0">
        <w:t> </w:t>
      </w:r>
      <w:r w:rsidR="00D64C20">
        <w:t>r</w:t>
      </w:r>
      <w:r w:rsidR="00C86BE0" w:rsidRPr="00374DB7">
        <w:t xml:space="preserve">egistru plátců DPH </w:t>
      </w:r>
      <w:r w:rsidR="00C86BE0">
        <w:t xml:space="preserve">cca </w:t>
      </w:r>
      <w:r w:rsidR="00C86BE0" w:rsidRPr="00374DB7">
        <w:t xml:space="preserve">518 tis. bankovních účtů. Deset FÚ </w:t>
      </w:r>
      <w:r w:rsidR="007131F5">
        <w:t>odhad</w:t>
      </w:r>
      <w:r w:rsidR="00C86BE0" w:rsidRPr="00374DB7">
        <w:t>lo, že ve stanovené lhůtě ověří pouze 73–99,5 % účtů, pět FÚ odhadlo, že ověří všechny bankovní účty</w:t>
      </w:r>
      <w:r w:rsidR="00C86BE0">
        <w:t xml:space="preserve">. Finanční správě se nepodařilo zákonem stanovené termíny dodržet. Jako důvody uvedla </w:t>
      </w:r>
      <w:r w:rsidR="00C86BE0" w:rsidRPr="00374DB7">
        <w:t>neplnění oznamovací povinnosti ze strany plátců, časté změny již nahlášených čísel bankovních účtů a</w:t>
      </w:r>
      <w:r w:rsidR="00C86BE0">
        <w:t> </w:t>
      </w:r>
      <w:r w:rsidR="00C86BE0" w:rsidRPr="00374DB7">
        <w:t>zpoždění odpovědí od zprostředkovatelů platebních služeb.</w:t>
      </w:r>
    </w:p>
    <w:p w:rsidR="00005629" w:rsidRDefault="00005629" w:rsidP="00FC2101">
      <w:pPr>
        <w:spacing w:after="0"/>
      </w:pPr>
    </w:p>
    <w:p w:rsidR="00A043E3" w:rsidRDefault="00A043E3" w:rsidP="00FC2101">
      <w:pPr>
        <w:spacing w:after="0"/>
        <w:rPr>
          <w:color w:val="92D050"/>
          <w:szCs w:val="24"/>
        </w:rPr>
      </w:pPr>
      <w:r w:rsidRPr="00374DB7">
        <w:t xml:space="preserve">Podle důvodové zprávy </w:t>
      </w:r>
      <w:r w:rsidR="000869AC">
        <w:t>k </w:t>
      </w:r>
      <w:r>
        <w:t xml:space="preserve">návrhu </w:t>
      </w:r>
      <w:r w:rsidRPr="00374DB7">
        <w:t>zákon</w:t>
      </w:r>
      <w:r>
        <w:t>a</w:t>
      </w:r>
      <w:r w:rsidRPr="00374DB7">
        <w:t xml:space="preserve"> č. 502/2012 Sb. mělo být použití jiných než zveřejněných účtů </w:t>
      </w:r>
      <w:r>
        <w:t xml:space="preserve">pro ekonomickou činnost </w:t>
      </w:r>
      <w:r w:rsidRPr="00374DB7">
        <w:t>důvodem pro ručení příjemce zdanitelného plnění za daň nezaplacenou poskytovatelem plnění</w:t>
      </w:r>
      <w:r w:rsidR="0098325F">
        <w:t>.</w:t>
      </w:r>
      <w:r w:rsidRPr="00FC2101">
        <w:t xml:space="preserve"> </w:t>
      </w:r>
      <w:r>
        <w:t>Smyslem opatření bylo zamezení daňovým únikům, u</w:t>
      </w:r>
      <w:r w:rsidR="00967341">
        <w:t xml:space="preserve"> </w:t>
      </w:r>
      <w:r>
        <w:t xml:space="preserve">nichž se </w:t>
      </w:r>
      <w:r w:rsidR="000869AC">
        <w:t>k </w:t>
      </w:r>
      <w:r>
        <w:t>přijetí platby využívají účty třetích osob.</w:t>
      </w:r>
      <w:r w:rsidRPr="00880167">
        <w:rPr>
          <w:color w:val="92D050"/>
          <w:szCs w:val="24"/>
        </w:rPr>
        <w:t xml:space="preserve"> </w:t>
      </w:r>
    </w:p>
    <w:p w:rsidR="00005629" w:rsidRPr="00A043E3" w:rsidRDefault="00005629" w:rsidP="00FC2101">
      <w:pPr>
        <w:spacing w:after="0"/>
        <w:rPr>
          <w:szCs w:val="24"/>
        </w:rPr>
      </w:pPr>
    </w:p>
    <w:p w:rsidR="00C86BE0" w:rsidRPr="00BC522D" w:rsidRDefault="004073A5" w:rsidP="00FC2101">
      <w:pPr>
        <w:pStyle w:val="Nadpis2"/>
        <w:numPr>
          <w:ilvl w:val="0"/>
          <w:numId w:val="0"/>
        </w:numPr>
        <w:spacing w:before="0"/>
        <w:ind w:left="567" w:hanging="567"/>
        <w:rPr>
          <w:sz w:val="24"/>
          <w:szCs w:val="24"/>
        </w:rPr>
      </w:pPr>
      <w:r w:rsidRPr="00BC522D">
        <w:rPr>
          <w:sz w:val="24"/>
          <w:szCs w:val="24"/>
        </w:rPr>
        <w:t xml:space="preserve">2. </w:t>
      </w:r>
      <w:r w:rsidR="00C86BE0" w:rsidRPr="00BC522D">
        <w:rPr>
          <w:sz w:val="24"/>
          <w:szCs w:val="24"/>
        </w:rPr>
        <w:t>Režim přenesení daňové povinnosti</w:t>
      </w:r>
    </w:p>
    <w:p w:rsidR="00C86BE0" w:rsidRDefault="000869AC" w:rsidP="00FC2101">
      <w:pPr>
        <w:spacing w:after="0"/>
        <w:rPr>
          <w:rFonts w:eastAsia="Calibri" w:cstheme="minorHAnsi"/>
          <w:strike/>
          <w:sz w:val="20"/>
          <w:szCs w:val="20"/>
        </w:rPr>
      </w:pPr>
      <w:r>
        <w:rPr>
          <w:rFonts w:eastAsia="Calibri" w:cstheme="minorHAnsi"/>
          <w:szCs w:val="24"/>
        </w:rPr>
        <w:t>V </w:t>
      </w:r>
      <w:r w:rsidR="00C86BE0">
        <w:rPr>
          <w:rFonts w:eastAsia="Calibri" w:cstheme="minorHAnsi"/>
          <w:szCs w:val="24"/>
        </w:rPr>
        <w:t>ČR byl režim přenesení daňové povinnosti postupně zaveden na obchodování se zlatem (od</w:t>
      </w:r>
      <w:r w:rsidR="00967341">
        <w:rPr>
          <w:rFonts w:eastAsia="Calibri" w:cstheme="minorHAnsi"/>
          <w:szCs w:val="24"/>
        </w:rPr>
        <w:t xml:space="preserve"> </w:t>
      </w:r>
      <w:r w:rsidR="00C86BE0">
        <w:rPr>
          <w:rFonts w:eastAsia="Calibri" w:cstheme="minorHAnsi"/>
          <w:szCs w:val="24"/>
        </w:rPr>
        <w:t>1.</w:t>
      </w:r>
      <w:r w:rsidR="00967341">
        <w:rPr>
          <w:rFonts w:eastAsia="Calibri" w:cstheme="minorHAnsi"/>
          <w:szCs w:val="24"/>
        </w:rPr>
        <w:t xml:space="preserve"> </w:t>
      </w:r>
      <w:r w:rsidR="00C86BE0">
        <w:rPr>
          <w:rFonts w:eastAsia="Calibri" w:cstheme="minorHAnsi"/>
          <w:szCs w:val="24"/>
        </w:rPr>
        <w:t>1. 2006), šrotem</w:t>
      </w:r>
      <w:r w:rsidR="00162A7C">
        <w:rPr>
          <w:rFonts w:eastAsia="Calibri" w:cstheme="minorHAnsi"/>
          <w:szCs w:val="24"/>
        </w:rPr>
        <w:t>,</w:t>
      </w:r>
      <w:r w:rsidR="00C86BE0">
        <w:rPr>
          <w:rFonts w:eastAsia="Calibri" w:cstheme="minorHAnsi"/>
          <w:szCs w:val="24"/>
        </w:rPr>
        <w:t xml:space="preserve"> odpady</w:t>
      </w:r>
      <w:r w:rsidR="00162A7C">
        <w:rPr>
          <w:rFonts w:eastAsia="Calibri" w:cstheme="minorHAnsi"/>
          <w:szCs w:val="24"/>
        </w:rPr>
        <w:t>,</w:t>
      </w:r>
      <w:r w:rsidR="00967341">
        <w:rPr>
          <w:rFonts w:eastAsia="Calibri" w:cstheme="minorHAnsi"/>
          <w:szCs w:val="24"/>
        </w:rPr>
        <w:t xml:space="preserve"> </w:t>
      </w:r>
      <w:r w:rsidR="00C86BE0">
        <w:rPr>
          <w:rFonts w:eastAsia="Calibri" w:cstheme="minorHAnsi"/>
          <w:szCs w:val="24"/>
        </w:rPr>
        <w:t>povolenkami na emise skleníkových plynů (od 1. 4. 2011) a při poskytnutí stavebních a montážních prací (od 1. 1. 2012).</w:t>
      </w:r>
    </w:p>
    <w:p w:rsidR="00005629" w:rsidRPr="00FC2101" w:rsidRDefault="00005629" w:rsidP="00FC2101">
      <w:pPr>
        <w:spacing w:after="0"/>
        <w:rPr>
          <w:rFonts w:eastAsia="Calibri" w:cstheme="minorHAnsi"/>
          <w:strike/>
          <w:szCs w:val="24"/>
        </w:rPr>
      </w:pPr>
    </w:p>
    <w:p w:rsidR="00C86BE0" w:rsidRDefault="000869AC" w:rsidP="00FC2101">
      <w:pPr>
        <w:spacing w:after="0"/>
        <w:rPr>
          <w:rFonts w:cstheme="minorHAnsi"/>
          <w:szCs w:val="24"/>
        </w:rPr>
      </w:pPr>
      <w:r>
        <w:rPr>
          <w:rFonts w:eastAsia="Calibri" w:cstheme="minorHAnsi"/>
          <w:szCs w:val="24"/>
        </w:rPr>
        <w:t>V </w:t>
      </w:r>
      <w:r w:rsidR="00C86BE0" w:rsidRPr="001B50F9">
        <w:rPr>
          <w:rFonts w:eastAsia="Calibri" w:cstheme="minorHAnsi"/>
          <w:szCs w:val="24"/>
        </w:rPr>
        <w:t xml:space="preserve">režimu přenesení daňové povinnosti </w:t>
      </w:r>
      <w:r w:rsidR="00C86BE0">
        <w:rPr>
          <w:rFonts w:eastAsia="Calibri" w:cstheme="minorHAnsi"/>
          <w:szCs w:val="24"/>
        </w:rPr>
        <w:t xml:space="preserve">jsou příjemci i poskytovatelé plnění povinni podávat výpis </w:t>
      </w:r>
      <w:r>
        <w:rPr>
          <w:rFonts w:eastAsia="Calibri" w:cstheme="minorHAnsi"/>
          <w:szCs w:val="24"/>
        </w:rPr>
        <w:t>z </w:t>
      </w:r>
      <w:r w:rsidR="00C86BE0">
        <w:rPr>
          <w:rFonts w:eastAsia="Calibri" w:cstheme="minorHAnsi"/>
          <w:szCs w:val="24"/>
        </w:rPr>
        <w:t xml:space="preserve">evidence. </w:t>
      </w:r>
      <w:r>
        <w:rPr>
          <w:rFonts w:eastAsia="Calibri" w:cstheme="minorHAnsi"/>
          <w:szCs w:val="24"/>
        </w:rPr>
        <w:t>V </w:t>
      </w:r>
      <w:r w:rsidR="00162A7C">
        <w:rPr>
          <w:rFonts w:eastAsia="Calibri" w:cstheme="minorHAnsi"/>
          <w:szCs w:val="24"/>
        </w:rPr>
        <w:t>období</w:t>
      </w:r>
      <w:r w:rsidR="00C86BE0" w:rsidRPr="001B50F9">
        <w:rPr>
          <w:rFonts w:eastAsia="Calibri" w:cstheme="minorHAnsi"/>
          <w:szCs w:val="24"/>
        </w:rPr>
        <w:t xml:space="preserve"> 2011 </w:t>
      </w:r>
      <w:r w:rsidR="00162A7C">
        <w:rPr>
          <w:rFonts w:eastAsia="Calibri" w:cstheme="minorHAnsi"/>
          <w:szCs w:val="24"/>
        </w:rPr>
        <w:t>až</w:t>
      </w:r>
      <w:r w:rsidR="00C86BE0" w:rsidRPr="001B50F9">
        <w:rPr>
          <w:rFonts w:eastAsia="Calibri" w:cstheme="minorHAnsi"/>
          <w:szCs w:val="24"/>
        </w:rPr>
        <w:t xml:space="preserve"> 1. pol. 2014 </w:t>
      </w:r>
      <w:r w:rsidR="00C86BE0">
        <w:rPr>
          <w:rFonts w:eastAsia="Calibri" w:cstheme="minorHAnsi"/>
          <w:szCs w:val="24"/>
        </w:rPr>
        <w:t xml:space="preserve">ve výpisech </w:t>
      </w:r>
      <w:r>
        <w:rPr>
          <w:rFonts w:eastAsia="Calibri" w:cstheme="minorHAnsi"/>
          <w:szCs w:val="24"/>
        </w:rPr>
        <w:t>z </w:t>
      </w:r>
      <w:r w:rsidR="00C86BE0">
        <w:rPr>
          <w:rFonts w:eastAsia="Calibri" w:cstheme="minorHAnsi"/>
          <w:szCs w:val="24"/>
        </w:rPr>
        <w:t xml:space="preserve">evidence </w:t>
      </w:r>
      <w:r w:rsidR="00C86BE0" w:rsidRPr="001B50F9">
        <w:rPr>
          <w:rFonts w:eastAsia="Calibri" w:cstheme="minorHAnsi"/>
          <w:szCs w:val="24"/>
        </w:rPr>
        <w:t xml:space="preserve">poskytovatelé vykázali plnění </w:t>
      </w:r>
      <w:r>
        <w:rPr>
          <w:rFonts w:eastAsia="Calibri" w:cstheme="minorHAnsi"/>
          <w:szCs w:val="24"/>
        </w:rPr>
        <w:t>v </w:t>
      </w:r>
      <w:r w:rsidR="00C86BE0" w:rsidRPr="001B50F9">
        <w:rPr>
          <w:rFonts w:eastAsia="Calibri" w:cstheme="minorHAnsi"/>
          <w:szCs w:val="24"/>
        </w:rPr>
        <w:t xml:space="preserve">hodnotě </w:t>
      </w:r>
      <w:r w:rsidR="00C86BE0" w:rsidRPr="00DA1EA4">
        <w:rPr>
          <w:rFonts w:eastAsia="Calibri" w:cstheme="minorHAnsi"/>
          <w:szCs w:val="24"/>
        </w:rPr>
        <w:t>1</w:t>
      </w:r>
      <w:r w:rsidR="00967341">
        <w:rPr>
          <w:rFonts w:eastAsia="Calibri" w:cstheme="minorHAnsi"/>
          <w:szCs w:val="24"/>
        </w:rPr>
        <w:t xml:space="preserve"> </w:t>
      </w:r>
      <w:r w:rsidR="00C86BE0" w:rsidRPr="00DA1EA4">
        <w:rPr>
          <w:rFonts w:eastAsia="Calibri" w:cstheme="minorHAnsi"/>
          <w:szCs w:val="24"/>
        </w:rPr>
        <w:t>51</w:t>
      </w:r>
      <w:r w:rsidR="00C86BE0">
        <w:rPr>
          <w:rFonts w:eastAsia="Calibri" w:cstheme="minorHAnsi"/>
          <w:szCs w:val="24"/>
        </w:rPr>
        <w:t>7 mld.</w:t>
      </w:r>
      <w:r w:rsidR="00C86BE0" w:rsidRPr="00DA1EA4">
        <w:rPr>
          <w:rFonts w:eastAsia="Calibri" w:cstheme="minorHAnsi"/>
          <w:szCs w:val="24"/>
        </w:rPr>
        <w:t xml:space="preserve"> Kč</w:t>
      </w:r>
      <w:r w:rsidR="00C86BE0" w:rsidRPr="001B50F9">
        <w:rPr>
          <w:rFonts w:eastAsia="Calibri" w:cstheme="minorHAnsi"/>
          <w:szCs w:val="24"/>
        </w:rPr>
        <w:t xml:space="preserve">, příjemci vykázali přijatá plnění </w:t>
      </w:r>
      <w:r>
        <w:rPr>
          <w:rFonts w:eastAsia="Calibri" w:cstheme="minorHAnsi"/>
          <w:szCs w:val="24"/>
        </w:rPr>
        <w:t>v </w:t>
      </w:r>
      <w:r w:rsidR="00C86BE0" w:rsidRPr="001B50F9">
        <w:rPr>
          <w:rFonts w:eastAsia="Calibri" w:cstheme="minorHAnsi"/>
          <w:szCs w:val="24"/>
        </w:rPr>
        <w:t xml:space="preserve">hodnotě </w:t>
      </w:r>
      <w:r w:rsidR="00C86BE0" w:rsidRPr="00DA1EA4">
        <w:rPr>
          <w:rFonts w:eastAsia="Calibri" w:cstheme="minorHAnsi"/>
          <w:szCs w:val="24"/>
        </w:rPr>
        <w:t xml:space="preserve">1 503 </w:t>
      </w:r>
      <w:r w:rsidR="00C86BE0">
        <w:rPr>
          <w:rFonts w:eastAsia="Calibri" w:cstheme="minorHAnsi"/>
          <w:szCs w:val="24"/>
        </w:rPr>
        <w:t>mld.</w:t>
      </w:r>
      <w:r w:rsidR="00C86BE0" w:rsidRPr="00DA1EA4">
        <w:rPr>
          <w:rFonts w:eastAsia="Calibri" w:cstheme="minorHAnsi"/>
          <w:szCs w:val="24"/>
        </w:rPr>
        <w:t xml:space="preserve"> </w:t>
      </w:r>
      <w:r w:rsidR="00C86BE0" w:rsidRPr="001B50F9">
        <w:rPr>
          <w:rFonts w:eastAsia="Calibri" w:cstheme="minorHAnsi"/>
          <w:szCs w:val="24"/>
        </w:rPr>
        <w:t xml:space="preserve">Kč. </w:t>
      </w:r>
      <w:r w:rsidR="00C86BE0">
        <w:rPr>
          <w:rFonts w:cstheme="minorHAnsi"/>
          <w:szCs w:val="24"/>
        </w:rPr>
        <w:t xml:space="preserve">Pro rozdíly mezi hodnotou plnění vykázanou ve výpisech </w:t>
      </w:r>
      <w:r>
        <w:rPr>
          <w:rFonts w:cstheme="minorHAnsi"/>
          <w:szCs w:val="24"/>
        </w:rPr>
        <w:t>z </w:t>
      </w:r>
      <w:r w:rsidR="00C86BE0">
        <w:rPr>
          <w:rFonts w:cstheme="minorHAnsi"/>
          <w:szCs w:val="24"/>
        </w:rPr>
        <w:t xml:space="preserve">evidence poskytovateli a příjemci je dále používán výraz </w:t>
      </w:r>
      <w:r w:rsidR="00C86BE0" w:rsidRPr="00FC2101">
        <w:rPr>
          <w:rFonts w:cstheme="minorHAnsi"/>
          <w:b/>
          <w:szCs w:val="24"/>
        </w:rPr>
        <w:t>neshoda.</w:t>
      </w:r>
    </w:p>
    <w:p w:rsidR="00005629" w:rsidRPr="00BD40C9" w:rsidRDefault="00005629" w:rsidP="00FC2101">
      <w:pPr>
        <w:spacing w:after="0"/>
        <w:rPr>
          <w:rFonts w:eastAsia="Calibri" w:cstheme="minorHAnsi"/>
          <w:szCs w:val="24"/>
        </w:rPr>
      </w:pPr>
    </w:p>
    <w:p w:rsidR="00C86BE0" w:rsidRDefault="00C86BE0" w:rsidP="00FC2101">
      <w:pPr>
        <w:spacing w:after="0"/>
        <w:rPr>
          <w:rFonts w:eastAsia="Calibri" w:cstheme="minorHAnsi"/>
          <w:szCs w:val="24"/>
        </w:rPr>
      </w:pPr>
      <w:r>
        <w:rPr>
          <w:rFonts w:eastAsia="Calibri" w:cstheme="minorHAnsi"/>
          <w:szCs w:val="24"/>
        </w:rPr>
        <w:t xml:space="preserve">NKÚ na kontrolovaných FÚ zjistil, že povinnost podávat výpisy </w:t>
      </w:r>
      <w:r w:rsidR="000869AC">
        <w:rPr>
          <w:rFonts w:eastAsia="Calibri" w:cstheme="minorHAnsi"/>
          <w:szCs w:val="24"/>
        </w:rPr>
        <w:t>z </w:t>
      </w:r>
      <w:r>
        <w:rPr>
          <w:rFonts w:eastAsia="Calibri" w:cstheme="minorHAnsi"/>
          <w:szCs w:val="24"/>
        </w:rPr>
        <w:t>evidence daňové subjekty neplní.</w:t>
      </w:r>
      <w:r w:rsidRPr="001B50F9">
        <w:rPr>
          <w:rFonts w:eastAsia="Calibri" w:cstheme="minorHAnsi"/>
          <w:szCs w:val="24"/>
        </w:rPr>
        <w:t xml:space="preserve"> </w:t>
      </w:r>
      <w:r w:rsidR="000869AC">
        <w:rPr>
          <w:rFonts w:eastAsia="Calibri" w:cstheme="minorHAnsi"/>
          <w:szCs w:val="24"/>
        </w:rPr>
        <w:t>V </w:t>
      </w:r>
      <w:r w:rsidR="00162A7C">
        <w:rPr>
          <w:rFonts w:eastAsia="Calibri" w:cstheme="minorHAnsi"/>
          <w:szCs w:val="24"/>
        </w:rPr>
        <w:t>letech</w:t>
      </w:r>
      <w:r w:rsidRPr="001B50F9">
        <w:rPr>
          <w:rFonts w:eastAsia="Calibri" w:cstheme="minorHAnsi"/>
          <w:szCs w:val="24"/>
        </w:rPr>
        <w:t xml:space="preserve"> 2011</w:t>
      </w:r>
      <w:r>
        <w:rPr>
          <w:rFonts w:eastAsia="Calibri" w:cstheme="minorHAnsi"/>
          <w:szCs w:val="24"/>
        </w:rPr>
        <w:t>–</w:t>
      </w:r>
      <w:r w:rsidRPr="001B50F9">
        <w:rPr>
          <w:rFonts w:eastAsia="Calibri" w:cstheme="minorHAnsi"/>
          <w:szCs w:val="24"/>
        </w:rPr>
        <w:t>2013</w:t>
      </w:r>
      <w:r>
        <w:rPr>
          <w:rFonts w:eastAsia="Calibri" w:cstheme="minorHAnsi"/>
          <w:szCs w:val="24"/>
        </w:rPr>
        <w:t xml:space="preserve"> celkem 3 529</w:t>
      </w:r>
      <w:r w:rsidRPr="001B50F9">
        <w:rPr>
          <w:rFonts w:eastAsia="Calibri" w:cstheme="minorHAnsi"/>
          <w:szCs w:val="24"/>
        </w:rPr>
        <w:t xml:space="preserve"> poskytovatel</w:t>
      </w:r>
      <w:r>
        <w:rPr>
          <w:rFonts w:eastAsia="Calibri" w:cstheme="minorHAnsi"/>
          <w:szCs w:val="24"/>
        </w:rPr>
        <w:t>ů</w:t>
      </w:r>
      <w:r w:rsidRPr="001B50F9">
        <w:rPr>
          <w:rFonts w:eastAsia="Calibri" w:cstheme="minorHAnsi"/>
          <w:szCs w:val="24"/>
        </w:rPr>
        <w:t xml:space="preserve"> nepodal</w:t>
      </w:r>
      <w:r>
        <w:rPr>
          <w:rFonts w:eastAsia="Calibri" w:cstheme="minorHAnsi"/>
          <w:szCs w:val="24"/>
        </w:rPr>
        <w:t>o</w:t>
      </w:r>
      <w:r w:rsidRPr="001B50F9">
        <w:rPr>
          <w:rFonts w:eastAsia="Calibri" w:cstheme="minorHAnsi"/>
          <w:szCs w:val="24"/>
        </w:rPr>
        <w:t xml:space="preserve"> 8</w:t>
      </w:r>
      <w:r w:rsidR="00967341">
        <w:rPr>
          <w:rFonts w:eastAsia="Calibri" w:cstheme="minorHAnsi"/>
          <w:szCs w:val="24"/>
        </w:rPr>
        <w:t xml:space="preserve"> </w:t>
      </w:r>
      <w:r w:rsidRPr="001B50F9">
        <w:rPr>
          <w:rFonts w:eastAsia="Calibri" w:cstheme="minorHAnsi"/>
          <w:szCs w:val="24"/>
        </w:rPr>
        <w:t xml:space="preserve">390 výpisů </w:t>
      </w:r>
      <w:r w:rsidR="000869AC">
        <w:rPr>
          <w:rFonts w:eastAsia="Calibri" w:cstheme="minorHAnsi"/>
          <w:szCs w:val="24"/>
        </w:rPr>
        <w:t>z </w:t>
      </w:r>
      <w:r w:rsidRPr="001B50F9">
        <w:rPr>
          <w:rFonts w:eastAsia="Calibri" w:cstheme="minorHAnsi"/>
          <w:szCs w:val="24"/>
        </w:rPr>
        <w:t>evidence a</w:t>
      </w:r>
      <w:r>
        <w:rPr>
          <w:rFonts w:eastAsia="Calibri" w:cstheme="minorHAnsi"/>
          <w:szCs w:val="24"/>
        </w:rPr>
        <w:t xml:space="preserve"> 4 995 </w:t>
      </w:r>
      <w:r w:rsidRPr="001B50F9">
        <w:rPr>
          <w:rFonts w:eastAsia="Calibri" w:cstheme="minorHAnsi"/>
          <w:szCs w:val="24"/>
        </w:rPr>
        <w:t>příjemc</w:t>
      </w:r>
      <w:r>
        <w:rPr>
          <w:rFonts w:eastAsia="Calibri" w:cstheme="minorHAnsi"/>
          <w:szCs w:val="24"/>
        </w:rPr>
        <w:t>ů</w:t>
      </w:r>
      <w:r w:rsidRPr="001B50F9">
        <w:rPr>
          <w:rFonts w:eastAsia="Calibri" w:cstheme="minorHAnsi"/>
          <w:szCs w:val="24"/>
        </w:rPr>
        <w:t xml:space="preserve"> nepodal</w:t>
      </w:r>
      <w:r>
        <w:rPr>
          <w:rFonts w:eastAsia="Calibri" w:cstheme="minorHAnsi"/>
          <w:szCs w:val="24"/>
        </w:rPr>
        <w:t>o</w:t>
      </w:r>
      <w:r w:rsidRPr="001B50F9">
        <w:rPr>
          <w:rFonts w:eastAsia="Calibri" w:cstheme="minorHAnsi"/>
          <w:szCs w:val="24"/>
        </w:rPr>
        <w:t xml:space="preserve"> celkem 9</w:t>
      </w:r>
      <w:r w:rsidR="00967341">
        <w:rPr>
          <w:rFonts w:eastAsia="Calibri" w:cstheme="minorHAnsi"/>
          <w:szCs w:val="24"/>
        </w:rPr>
        <w:t xml:space="preserve"> </w:t>
      </w:r>
      <w:r w:rsidRPr="001B50F9">
        <w:rPr>
          <w:rFonts w:eastAsia="Calibri" w:cstheme="minorHAnsi"/>
          <w:szCs w:val="24"/>
        </w:rPr>
        <w:t xml:space="preserve">970 výpisů </w:t>
      </w:r>
      <w:r w:rsidR="000869AC">
        <w:rPr>
          <w:rFonts w:eastAsia="Calibri" w:cstheme="minorHAnsi"/>
          <w:szCs w:val="24"/>
        </w:rPr>
        <w:t>z </w:t>
      </w:r>
      <w:r w:rsidRPr="001B50F9">
        <w:rPr>
          <w:rFonts w:eastAsia="Calibri" w:cstheme="minorHAnsi"/>
          <w:szCs w:val="24"/>
        </w:rPr>
        <w:t xml:space="preserve">evidence. </w:t>
      </w:r>
    </w:p>
    <w:p w:rsidR="00005629" w:rsidRDefault="00005629" w:rsidP="00FC2101">
      <w:pPr>
        <w:spacing w:after="0"/>
        <w:rPr>
          <w:rFonts w:eastAsia="Calibri" w:cstheme="minorHAnsi"/>
          <w:szCs w:val="24"/>
        </w:rPr>
      </w:pPr>
    </w:p>
    <w:p w:rsidR="009B6683" w:rsidRDefault="00C86BE0" w:rsidP="00FC2101">
      <w:pPr>
        <w:spacing w:after="0"/>
        <w:rPr>
          <w:rFonts w:cstheme="minorHAnsi"/>
          <w:szCs w:val="24"/>
        </w:rPr>
      </w:pPr>
      <w:r>
        <w:rPr>
          <w:rFonts w:cstheme="minorHAnsi"/>
          <w:szCs w:val="24"/>
        </w:rPr>
        <w:t xml:space="preserve">Nepodání výpisu </w:t>
      </w:r>
      <w:r w:rsidR="000869AC">
        <w:rPr>
          <w:rFonts w:cstheme="minorHAnsi"/>
          <w:szCs w:val="24"/>
        </w:rPr>
        <w:t>z </w:t>
      </w:r>
      <w:r w:rsidRPr="00FC3BD9">
        <w:rPr>
          <w:rFonts w:cstheme="minorHAnsi"/>
          <w:szCs w:val="24"/>
        </w:rPr>
        <w:t xml:space="preserve">evidence </w:t>
      </w:r>
      <w:r>
        <w:rPr>
          <w:rFonts w:cstheme="minorHAnsi"/>
          <w:szCs w:val="24"/>
        </w:rPr>
        <w:t>ovlivňuje</w:t>
      </w:r>
      <w:r w:rsidRPr="00243EE1">
        <w:rPr>
          <w:rFonts w:cstheme="minorHAnsi"/>
          <w:szCs w:val="24"/>
        </w:rPr>
        <w:t xml:space="preserve"> </w:t>
      </w:r>
      <w:r w:rsidRPr="00FC3BD9">
        <w:rPr>
          <w:rFonts w:cstheme="minorHAnsi"/>
          <w:szCs w:val="24"/>
        </w:rPr>
        <w:t xml:space="preserve">správné vyměření daně a </w:t>
      </w:r>
      <w:r>
        <w:rPr>
          <w:rFonts w:cstheme="minorHAnsi"/>
          <w:szCs w:val="24"/>
        </w:rPr>
        <w:t>signalizuje možný</w:t>
      </w:r>
      <w:r w:rsidRPr="00880167">
        <w:rPr>
          <w:rFonts w:cstheme="minorHAnsi"/>
          <w:color w:val="00B050"/>
          <w:szCs w:val="24"/>
        </w:rPr>
        <w:t xml:space="preserve"> </w:t>
      </w:r>
      <w:r>
        <w:rPr>
          <w:rFonts w:cstheme="minorHAnsi"/>
          <w:szCs w:val="24"/>
        </w:rPr>
        <w:t>daňový</w:t>
      </w:r>
      <w:r w:rsidRPr="00FC3BD9">
        <w:rPr>
          <w:rFonts w:cstheme="minorHAnsi"/>
          <w:szCs w:val="24"/>
        </w:rPr>
        <w:t xml:space="preserve"> únik</w:t>
      </w:r>
      <w:r>
        <w:rPr>
          <w:rFonts w:cstheme="minorHAnsi"/>
          <w:szCs w:val="24"/>
        </w:rPr>
        <w:t xml:space="preserve">. </w:t>
      </w:r>
      <w:r w:rsidR="009B6683">
        <w:rPr>
          <w:rFonts w:cstheme="minorHAnsi"/>
          <w:szCs w:val="24"/>
        </w:rPr>
        <w:t xml:space="preserve">Vynutit plnění povinnosti podávat výpisy </w:t>
      </w:r>
      <w:r w:rsidR="000869AC">
        <w:rPr>
          <w:rFonts w:cstheme="minorHAnsi"/>
          <w:szCs w:val="24"/>
        </w:rPr>
        <w:t>z </w:t>
      </w:r>
      <w:r w:rsidR="009B6683">
        <w:rPr>
          <w:rFonts w:cstheme="minorHAnsi"/>
          <w:szCs w:val="24"/>
        </w:rPr>
        <w:t xml:space="preserve">evidence by mohla zlepšit pravomoc FÚ </w:t>
      </w:r>
      <w:r>
        <w:rPr>
          <w:rFonts w:cstheme="minorHAnsi"/>
          <w:szCs w:val="24"/>
        </w:rPr>
        <w:lastRenderedPageBreak/>
        <w:t xml:space="preserve">rozhodnout o nespolehlivosti plátce, který </w:t>
      </w:r>
      <w:r w:rsidRPr="00BC67C4">
        <w:rPr>
          <w:rFonts w:cstheme="minorHAnsi"/>
          <w:szCs w:val="24"/>
        </w:rPr>
        <w:t xml:space="preserve">dvakrát </w:t>
      </w:r>
      <w:r w:rsidR="000869AC">
        <w:rPr>
          <w:rFonts w:cstheme="minorHAnsi"/>
          <w:szCs w:val="24"/>
        </w:rPr>
        <w:t>v </w:t>
      </w:r>
      <w:r w:rsidRPr="00BC67C4">
        <w:rPr>
          <w:rFonts w:cstheme="minorHAnsi"/>
          <w:szCs w:val="24"/>
        </w:rPr>
        <w:t>období dvanácti po sobě jdoucích kalendářních měsíců</w:t>
      </w:r>
      <w:r>
        <w:rPr>
          <w:rFonts w:cstheme="minorHAnsi"/>
          <w:szCs w:val="24"/>
        </w:rPr>
        <w:t xml:space="preserve"> nepodal</w:t>
      </w:r>
      <w:r w:rsidRPr="00BC67C4">
        <w:rPr>
          <w:rFonts w:cstheme="minorHAnsi"/>
          <w:szCs w:val="24"/>
        </w:rPr>
        <w:t xml:space="preserve"> výpis </w:t>
      </w:r>
      <w:r w:rsidR="000869AC">
        <w:rPr>
          <w:rFonts w:cstheme="minorHAnsi"/>
          <w:szCs w:val="24"/>
        </w:rPr>
        <w:t>z </w:t>
      </w:r>
      <w:r w:rsidRPr="00BC67C4">
        <w:rPr>
          <w:rFonts w:cstheme="minorHAnsi"/>
          <w:szCs w:val="24"/>
        </w:rPr>
        <w:t xml:space="preserve">evidence ve lhůtě stanovené </w:t>
      </w:r>
      <w:r>
        <w:rPr>
          <w:rFonts w:cstheme="minorHAnsi"/>
          <w:szCs w:val="24"/>
        </w:rPr>
        <w:t xml:space="preserve">zákonem nebo ve </w:t>
      </w:r>
      <w:r w:rsidR="00162A7C">
        <w:rPr>
          <w:rFonts w:cstheme="minorHAnsi"/>
          <w:szCs w:val="24"/>
        </w:rPr>
        <w:t xml:space="preserve">lhůtě dle </w:t>
      </w:r>
      <w:r>
        <w:rPr>
          <w:rFonts w:cstheme="minorHAnsi"/>
          <w:szCs w:val="24"/>
        </w:rPr>
        <w:t>výzv</w:t>
      </w:r>
      <w:r w:rsidR="00162A7C">
        <w:rPr>
          <w:rFonts w:cstheme="minorHAnsi"/>
          <w:szCs w:val="24"/>
        </w:rPr>
        <w:t>y</w:t>
      </w:r>
      <w:r>
        <w:rPr>
          <w:rFonts w:cstheme="minorHAnsi"/>
          <w:szCs w:val="24"/>
        </w:rPr>
        <w:t xml:space="preserve"> správce daně</w:t>
      </w:r>
      <w:r w:rsidR="0098325F">
        <w:rPr>
          <w:rFonts w:cstheme="minorHAnsi"/>
          <w:szCs w:val="24"/>
        </w:rPr>
        <w:t>.</w:t>
      </w:r>
      <w:r>
        <w:rPr>
          <w:rFonts w:cstheme="minorHAnsi"/>
          <w:szCs w:val="24"/>
        </w:rPr>
        <w:t xml:space="preserve"> </w:t>
      </w:r>
      <w:bookmarkStart w:id="1" w:name="_MON_1485865420"/>
      <w:bookmarkEnd w:id="1"/>
    </w:p>
    <w:p w:rsidR="00005629" w:rsidRDefault="00005629" w:rsidP="00FC2101">
      <w:pPr>
        <w:spacing w:after="0"/>
        <w:rPr>
          <w:rFonts w:cstheme="minorHAnsi"/>
          <w:szCs w:val="24"/>
        </w:rPr>
      </w:pPr>
    </w:p>
    <w:p w:rsidR="00C86BE0" w:rsidRDefault="000869AC" w:rsidP="00FC2101">
      <w:pPr>
        <w:spacing w:after="0"/>
        <w:rPr>
          <w:rFonts w:cstheme="minorHAnsi"/>
          <w:szCs w:val="24"/>
        </w:rPr>
      </w:pPr>
      <w:r>
        <w:rPr>
          <w:rFonts w:cstheme="minorHAnsi"/>
          <w:szCs w:val="24"/>
        </w:rPr>
        <w:t>K </w:t>
      </w:r>
      <w:r w:rsidR="00C86BE0">
        <w:rPr>
          <w:rFonts w:cstheme="minorHAnsi"/>
          <w:szCs w:val="24"/>
        </w:rPr>
        <w:t xml:space="preserve">plnění povinnosti podat výpis </w:t>
      </w:r>
      <w:r>
        <w:rPr>
          <w:rFonts w:cstheme="minorHAnsi"/>
          <w:szCs w:val="24"/>
        </w:rPr>
        <w:t>z </w:t>
      </w:r>
      <w:r w:rsidR="00C86BE0">
        <w:rPr>
          <w:rFonts w:cstheme="minorHAnsi"/>
          <w:szCs w:val="24"/>
        </w:rPr>
        <w:t>evidence na kontrolovaných FÚ na vzorku 60 plátců NKÚ zjistil, že p</w:t>
      </w:r>
      <w:r w:rsidR="00C86BE0" w:rsidRPr="00A41819">
        <w:rPr>
          <w:rFonts w:cstheme="minorHAnsi"/>
          <w:szCs w:val="24"/>
        </w:rPr>
        <w:t xml:space="preserve">ět kontrolovaných FÚ nepostupovalo </w:t>
      </w:r>
      <w:r>
        <w:rPr>
          <w:rFonts w:cstheme="minorHAnsi"/>
          <w:szCs w:val="24"/>
        </w:rPr>
        <w:t>v </w:t>
      </w:r>
      <w:r w:rsidR="00C86BE0" w:rsidRPr="00A41819">
        <w:rPr>
          <w:rFonts w:cstheme="minorHAnsi"/>
          <w:szCs w:val="24"/>
        </w:rPr>
        <w:t xml:space="preserve">daňovém řízení tak, aby správně zjistilo výši daně, neboť 29 plátců, kteří nepodali výpisy </w:t>
      </w:r>
      <w:r>
        <w:rPr>
          <w:rFonts w:cstheme="minorHAnsi"/>
          <w:szCs w:val="24"/>
        </w:rPr>
        <w:t>z </w:t>
      </w:r>
      <w:r w:rsidR="00C86BE0" w:rsidRPr="00A41819">
        <w:rPr>
          <w:rFonts w:cstheme="minorHAnsi"/>
          <w:szCs w:val="24"/>
        </w:rPr>
        <w:t xml:space="preserve">evidence za některá zdaňovací období let 2011 až 2013, nevyzvalo </w:t>
      </w:r>
      <w:r>
        <w:rPr>
          <w:rFonts w:cstheme="minorHAnsi"/>
          <w:szCs w:val="24"/>
        </w:rPr>
        <w:t>k </w:t>
      </w:r>
      <w:r w:rsidR="00C86BE0" w:rsidRPr="00A41819">
        <w:rPr>
          <w:rFonts w:cstheme="minorHAnsi"/>
          <w:szCs w:val="24"/>
        </w:rPr>
        <w:t>odstranění pochybností a</w:t>
      </w:r>
      <w:r w:rsidR="00162A7C">
        <w:rPr>
          <w:rFonts w:cstheme="minorHAnsi"/>
          <w:szCs w:val="24"/>
        </w:rPr>
        <w:t> </w:t>
      </w:r>
      <w:r w:rsidR="00C86BE0" w:rsidRPr="00A41819">
        <w:rPr>
          <w:rFonts w:cstheme="minorHAnsi"/>
          <w:szCs w:val="24"/>
        </w:rPr>
        <w:t xml:space="preserve">vyměřilo daň ve výši vykázané </w:t>
      </w:r>
      <w:r>
        <w:rPr>
          <w:rFonts w:cstheme="minorHAnsi"/>
          <w:szCs w:val="24"/>
        </w:rPr>
        <w:t>v </w:t>
      </w:r>
      <w:r w:rsidR="00C86BE0" w:rsidRPr="00A41819">
        <w:rPr>
          <w:rFonts w:cstheme="minorHAnsi"/>
          <w:szCs w:val="24"/>
        </w:rPr>
        <w:t>daňovém přiznání.</w:t>
      </w:r>
      <w:r w:rsidR="00C86BE0">
        <w:rPr>
          <w:rFonts w:cstheme="minorHAnsi"/>
          <w:szCs w:val="24"/>
        </w:rPr>
        <w:t xml:space="preserve"> </w:t>
      </w:r>
      <w:r w:rsidR="00C86BE0" w:rsidRPr="00B95FD6">
        <w:rPr>
          <w:rFonts w:cstheme="minorHAnsi"/>
          <w:szCs w:val="24"/>
        </w:rPr>
        <w:t>Např. u tří FÚ nepodalo 16</w:t>
      </w:r>
      <w:r w:rsidR="002D02E4">
        <w:rPr>
          <w:rFonts w:cstheme="minorHAnsi"/>
          <w:szCs w:val="24"/>
        </w:rPr>
        <w:t xml:space="preserve"> </w:t>
      </w:r>
      <w:r w:rsidR="00C86BE0" w:rsidRPr="00B95FD6">
        <w:rPr>
          <w:rFonts w:cstheme="minorHAnsi"/>
          <w:szCs w:val="24"/>
        </w:rPr>
        <w:t xml:space="preserve">daňových subjektů výpisy </w:t>
      </w:r>
      <w:r>
        <w:rPr>
          <w:rFonts w:cstheme="minorHAnsi"/>
          <w:szCs w:val="24"/>
        </w:rPr>
        <w:t>z </w:t>
      </w:r>
      <w:r w:rsidR="00C86BE0" w:rsidRPr="00B95FD6">
        <w:rPr>
          <w:rFonts w:cstheme="minorHAnsi"/>
          <w:szCs w:val="24"/>
        </w:rPr>
        <w:t xml:space="preserve">evidence a přitom vykázalo </w:t>
      </w:r>
      <w:r>
        <w:rPr>
          <w:rFonts w:cstheme="minorHAnsi"/>
          <w:szCs w:val="24"/>
        </w:rPr>
        <w:t>v </w:t>
      </w:r>
      <w:r w:rsidR="0098325F">
        <w:rPr>
          <w:rFonts w:cstheme="minorHAnsi"/>
          <w:szCs w:val="24"/>
        </w:rPr>
        <w:t>daňovém přiznání (dále také</w:t>
      </w:r>
      <w:r w:rsidR="002D02E4">
        <w:rPr>
          <w:rFonts w:cstheme="minorHAnsi"/>
          <w:szCs w:val="24"/>
        </w:rPr>
        <w:t xml:space="preserve"> </w:t>
      </w:r>
      <w:r w:rsidR="0098325F">
        <w:rPr>
          <w:rFonts w:cstheme="minorHAnsi"/>
          <w:szCs w:val="24"/>
        </w:rPr>
        <w:t>„</w:t>
      </w:r>
      <w:r w:rsidR="00C86BE0" w:rsidRPr="00B95FD6">
        <w:rPr>
          <w:rFonts w:cstheme="minorHAnsi"/>
          <w:szCs w:val="24"/>
        </w:rPr>
        <w:t>DAP</w:t>
      </w:r>
      <w:r w:rsidR="0098325F">
        <w:rPr>
          <w:rFonts w:cstheme="minorHAnsi"/>
          <w:szCs w:val="24"/>
        </w:rPr>
        <w:t>“)</w:t>
      </w:r>
      <w:r w:rsidR="00C86BE0" w:rsidRPr="00B95FD6">
        <w:rPr>
          <w:rFonts w:cstheme="minorHAnsi"/>
          <w:szCs w:val="24"/>
        </w:rPr>
        <w:t xml:space="preserve"> poskytnutí plnění </w:t>
      </w:r>
      <w:r>
        <w:rPr>
          <w:rFonts w:cstheme="minorHAnsi"/>
          <w:szCs w:val="24"/>
        </w:rPr>
        <w:t>v </w:t>
      </w:r>
      <w:r w:rsidR="00C86BE0" w:rsidRPr="00B95FD6">
        <w:rPr>
          <w:rFonts w:cstheme="minorHAnsi"/>
          <w:szCs w:val="24"/>
        </w:rPr>
        <w:t>režimu přenesení daňové povinnosti ve výši 147 mil. Kč.</w:t>
      </w:r>
    </w:p>
    <w:p w:rsidR="00005629" w:rsidRPr="00B95FD6" w:rsidRDefault="00005629" w:rsidP="00FC2101">
      <w:pPr>
        <w:spacing w:after="0"/>
        <w:rPr>
          <w:rFonts w:cstheme="minorHAnsi"/>
          <w:szCs w:val="24"/>
        </w:rPr>
      </w:pPr>
    </w:p>
    <w:p w:rsidR="00C86BE0" w:rsidRDefault="00C86BE0" w:rsidP="00FC2101">
      <w:pPr>
        <w:spacing w:after="0"/>
        <w:rPr>
          <w:rFonts w:cstheme="minorHAnsi"/>
          <w:szCs w:val="24"/>
        </w:rPr>
      </w:pPr>
      <w:r>
        <w:rPr>
          <w:rFonts w:cstheme="minorHAnsi"/>
          <w:szCs w:val="24"/>
        </w:rPr>
        <w:t xml:space="preserve">Výpisy </w:t>
      </w:r>
      <w:r w:rsidR="000869AC">
        <w:rPr>
          <w:rFonts w:cstheme="minorHAnsi"/>
          <w:szCs w:val="24"/>
        </w:rPr>
        <w:t>z </w:t>
      </w:r>
      <w:r>
        <w:rPr>
          <w:rFonts w:cstheme="minorHAnsi"/>
          <w:szCs w:val="24"/>
        </w:rPr>
        <w:t xml:space="preserve">evidence umožňují správcům daně kontrolovat uplatňování režimu přenesení daňové povinnosti. </w:t>
      </w:r>
      <w:r w:rsidR="000869AC">
        <w:rPr>
          <w:rFonts w:cstheme="minorHAnsi"/>
          <w:szCs w:val="24"/>
        </w:rPr>
        <w:t>V </w:t>
      </w:r>
      <w:r>
        <w:rPr>
          <w:rFonts w:cstheme="minorHAnsi"/>
          <w:szCs w:val="24"/>
        </w:rPr>
        <w:t xml:space="preserve">roce 2012 a 2013 GFŘ iniciovalo dvě kontrolní akce </w:t>
      </w:r>
      <w:r w:rsidR="000869AC">
        <w:rPr>
          <w:rFonts w:cstheme="minorHAnsi"/>
          <w:szCs w:val="24"/>
        </w:rPr>
        <w:t>k </w:t>
      </w:r>
      <w:r>
        <w:rPr>
          <w:rFonts w:cstheme="minorHAnsi"/>
          <w:szCs w:val="24"/>
        </w:rPr>
        <w:t>prověření neshod za</w:t>
      </w:r>
      <w:r w:rsidR="00967341">
        <w:rPr>
          <w:rFonts w:cstheme="minorHAnsi"/>
          <w:szCs w:val="24"/>
        </w:rPr>
        <w:t xml:space="preserve"> </w:t>
      </w:r>
      <w:r>
        <w:rPr>
          <w:rFonts w:cstheme="minorHAnsi"/>
          <w:szCs w:val="24"/>
        </w:rPr>
        <w:t>1.</w:t>
      </w:r>
      <w:r w:rsidR="00967341">
        <w:rPr>
          <w:rFonts w:cstheme="minorHAnsi"/>
          <w:szCs w:val="24"/>
        </w:rPr>
        <w:t xml:space="preserve"> </w:t>
      </w:r>
      <w:r>
        <w:rPr>
          <w:rFonts w:cstheme="minorHAnsi"/>
          <w:szCs w:val="24"/>
        </w:rPr>
        <w:t xml:space="preserve">čtvrtletí a 2.–4. čtvrtletí 2012. </w:t>
      </w:r>
    </w:p>
    <w:p w:rsidR="00751F05" w:rsidRDefault="00751F05" w:rsidP="00FC2101">
      <w:pPr>
        <w:spacing w:after="0"/>
        <w:rPr>
          <w:rFonts w:cstheme="minorHAnsi"/>
          <w:szCs w:val="24"/>
        </w:rPr>
      </w:pPr>
    </w:p>
    <w:p w:rsidR="00C86BE0" w:rsidRDefault="00C86BE0" w:rsidP="00FC2101">
      <w:pPr>
        <w:spacing w:after="0"/>
        <w:rPr>
          <w:rFonts w:cstheme="minorHAnsi"/>
          <w:szCs w:val="24"/>
        </w:rPr>
      </w:pPr>
      <w:r w:rsidRPr="00CB7422">
        <w:rPr>
          <w:rFonts w:cstheme="minorHAnsi"/>
          <w:szCs w:val="24"/>
        </w:rPr>
        <w:t xml:space="preserve">NKÚ </w:t>
      </w:r>
      <w:r w:rsidR="000869AC">
        <w:rPr>
          <w:rFonts w:cstheme="minorHAnsi"/>
          <w:szCs w:val="24"/>
        </w:rPr>
        <w:t>z </w:t>
      </w:r>
      <w:r w:rsidRPr="00CB7422">
        <w:rPr>
          <w:rFonts w:cstheme="minorHAnsi"/>
          <w:szCs w:val="24"/>
        </w:rPr>
        <w:t>výstupů GFŘ za 1. čtvrtletí roku 2012 zjistil celkem 67</w:t>
      </w:r>
      <w:r w:rsidR="00967341">
        <w:rPr>
          <w:rFonts w:cstheme="minorHAnsi"/>
          <w:szCs w:val="24"/>
        </w:rPr>
        <w:t xml:space="preserve"> </w:t>
      </w:r>
      <w:r w:rsidRPr="00CB7422">
        <w:rPr>
          <w:rFonts w:cstheme="minorHAnsi"/>
          <w:szCs w:val="24"/>
        </w:rPr>
        <w:t xml:space="preserve">647 neshod, </w:t>
      </w:r>
      <w:r w:rsidR="000869AC">
        <w:rPr>
          <w:rFonts w:cstheme="minorHAnsi"/>
          <w:szCs w:val="24"/>
        </w:rPr>
        <w:t>z </w:t>
      </w:r>
      <w:r w:rsidRPr="00CB7422">
        <w:rPr>
          <w:rFonts w:cstheme="minorHAnsi"/>
          <w:szCs w:val="24"/>
        </w:rPr>
        <w:t>nichž celková kladná hodnota</w:t>
      </w:r>
      <w:r w:rsidRPr="00CB7422">
        <w:rPr>
          <w:rStyle w:val="Znakapoznpodarou"/>
          <w:rFonts w:cstheme="minorHAnsi"/>
          <w:szCs w:val="24"/>
        </w:rPr>
        <w:footnoteReference w:id="2"/>
      </w:r>
      <w:r w:rsidRPr="00CB7422">
        <w:rPr>
          <w:rFonts w:cstheme="minorHAnsi"/>
          <w:szCs w:val="24"/>
        </w:rPr>
        <w:t xml:space="preserve"> činila 17,9 mld. Kč. FÚ prověřily 33,9 % neshod a doměřily daň ve výši 44,2</w:t>
      </w:r>
      <w:r w:rsidR="006523CD">
        <w:rPr>
          <w:rFonts w:cstheme="minorHAnsi"/>
          <w:szCs w:val="24"/>
        </w:rPr>
        <w:t> </w:t>
      </w:r>
      <w:r w:rsidRPr="00CB7422">
        <w:rPr>
          <w:rFonts w:cstheme="minorHAnsi"/>
          <w:szCs w:val="24"/>
        </w:rPr>
        <w:t>mil</w:t>
      </w:r>
      <w:r w:rsidR="00C028FF">
        <w:rPr>
          <w:rFonts w:cstheme="minorHAnsi"/>
          <w:szCs w:val="24"/>
        </w:rPr>
        <w:t>.</w:t>
      </w:r>
      <w:r w:rsidRPr="00CB7422">
        <w:rPr>
          <w:rFonts w:cstheme="minorHAnsi"/>
          <w:szCs w:val="24"/>
        </w:rPr>
        <w:t xml:space="preserve"> Kč. NKÚ zjistil za 2.–4. čtvrtletí roku 2012 celkem 83</w:t>
      </w:r>
      <w:r w:rsidR="00967341">
        <w:rPr>
          <w:rFonts w:cstheme="minorHAnsi"/>
          <w:szCs w:val="24"/>
        </w:rPr>
        <w:t xml:space="preserve"> </w:t>
      </w:r>
      <w:r w:rsidRPr="00CB7422">
        <w:rPr>
          <w:rFonts w:cstheme="minorHAnsi"/>
          <w:szCs w:val="24"/>
        </w:rPr>
        <w:t xml:space="preserve">174 neshod, </w:t>
      </w:r>
      <w:r w:rsidR="000869AC">
        <w:rPr>
          <w:rFonts w:cstheme="minorHAnsi"/>
          <w:szCs w:val="24"/>
        </w:rPr>
        <w:t>z </w:t>
      </w:r>
      <w:r w:rsidRPr="00CB7422">
        <w:rPr>
          <w:rFonts w:cstheme="minorHAnsi"/>
          <w:szCs w:val="24"/>
        </w:rPr>
        <w:t>nichž celková kladná hodnota</w:t>
      </w:r>
      <w:r w:rsidRPr="00CB7422">
        <w:rPr>
          <w:rFonts w:cstheme="minorHAnsi"/>
          <w:szCs w:val="24"/>
          <w:vertAlign w:val="superscript"/>
        </w:rPr>
        <w:t>2</w:t>
      </w:r>
      <w:r w:rsidRPr="00CB7422">
        <w:rPr>
          <w:rFonts w:cstheme="minorHAnsi"/>
          <w:szCs w:val="24"/>
        </w:rPr>
        <w:t xml:space="preserve"> činila 16,3 mld. Kč. FÚ za 2.–4. čtvrtletí 2012 prověřily 21 % neshod a</w:t>
      </w:r>
      <w:r w:rsidR="006523CD">
        <w:rPr>
          <w:rFonts w:cstheme="minorHAnsi"/>
          <w:szCs w:val="24"/>
        </w:rPr>
        <w:t> </w:t>
      </w:r>
      <w:r w:rsidRPr="00CB7422">
        <w:rPr>
          <w:rFonts w:cstheme="minorHAnsi"/>
          <w:szCs w:val="24"/>
        </w:rPr>
        <w:t xml:space="preserve">doměřily daň minimálně ve výši 25,3 mil. Kč. </w:t>
      </w:r>
    </w:p>
    <w:p w:rsidR="00751F05" w:rsidRPr="00CB7422" w:rsidRDefault="00751F05" w:rsidP="00FC2101">
      <w:pPr>
        <w:spacing w:after="0"/>
        <w:rPr>
          <w:rFonts w:cstheme="minorHAnsi"/>
          <w:strike/>
          <w:szCs w:val="24"/>
        </w:rPr>
      </w:pPr>
    </w:p>
    <w:p w:rsidR="00C86BE0" w:rsidRDefault="00C86BE0" w:rsidP="00FC2101">
      <w:pPr>
        <w:spacing w:after="0"/>
        <w:rPr>
          <w:rFonts w:cstheme="minorHAnsi"/>
          <w:szCs w:val="24"/>
        </w:rPr>
      </w:pPr>
      <w:r w:rsidRPr="00CB7422">
        <w:rPr>
          <w:rFonts w:cstheme="minorHAnsi"/>
          <w:szCs w:val="24"/>
        </w:rPr>
        <w:t xml:space="preserve">GFŘ </w:t>
      </w:r>
      <w:r w:rsidR="000869AC">
        <w:rPr>
          <w:rFonts w:cstheme="minorHAnsi"/>
          <w:szCs w:val="24"/>
        </w:rPr>
        <w:t>v </w:t>
      </w:r>
      <w:r w:rsidRPr="00CB7422">
        <w:rPr>
          <w:rFonts w:cstheme="minorHAnsi"/>
          <w:szCs w:val="24"/>
        </w:rPr>
        <w:t>prosinci 2013 zavedlo do</w:t>
      </w:r>
      <w:r w:rsidR="00967341">
        <w:rPr>
          <w:rFonts w:cstheme="minorHAnsi"/>
          <w:szCs w:val="24"/>
        </w:rPr>
        <w:t xml:space="preserve"> </w:t>
      </w:r>
      <w:r w:rsidRPr="00CB7422">
        <w:rPr>
          <w:rFonts w:cstheme="minorHAnsi"/>
          <w:szCs w:val="24"/>
        </w:rPr>
        <w:t xml:space="preserve">ADIS automatizovaný systém </w:t>
      </w:r>
      <w:r w:rsidR="00C028FF">
        <w:rPr>
          <w:rFonts w:cstheme="minorHAnsi"/>
          <w:szCs w:val="24"/>
        </w:rPr>
        <w:t xml:space="preserve">pro </w:t>
      </w:r>
      <w:r w:rsidRPr="00CB7422">
        <w:rPr>
          <w:rFonts w:cstheme="minorHAnsi"/>
          <w:szCs w:val="24"/>
        </w:rPr>
        <w:t xml:space="preserve">porovnávání údajů ve </w:t>
      </w:r>
      <w:r>
        <w:rPr>
          <w:rFonts w:cstheme="minorHAnsi"/>
          <w:szCs w:val="24"/>
        </w:rPr>
        <w:t xml:space="preserve">výpisech </w:t>
      </w:r>
      <w:r w:rsidR="000869AC">
        <w:rPr>
          <w:rFonts w:cstheme="minorHAnsi"/>
          <w:szCs w:val="24"/>
        </w:rPr>
        <w:t>z </w:t>
      </w:r>
      <w:r>
        <w:rPr>
          <w:rFonts w:cstheme="minorHAnsi"/>
          <w:szCs w:val="24"/>
        </w:rPr>
        <w:t xml:space="preserve">evidence na centrální úrovni. </w:t>
      </w:r>
      <w:r w:rsidR="000869AC">
        <w:rPr>
          <w:rFonts w:cstheme="minorHAnsi"/>
          <w:szCs w:val="24"/>
        </w:rPr>
        <w:t>Z </w:t>
      </w:r>
      <w:r>
        <w:rPr>
          <w:rFonts w:cstheme="minorHAnsi"/>
          <w:szCs w:val="24"/>
        </w:rPr>
        <w:t xml:space="preserve">prvního automatizovaného porovnávání, které proběhlo </w:t>
      </w:r>
      <w:r w:rsidR="000869AC">
        <w:rPr>
          <w:rFonts w:cstheme="minorHAnsi"/>
          <w:szCs w:val="24"/>
        </w:rPr>
        <w:t>v </w:t>
      </w:r>
      <w:r>
        <w:rPr>
          <w:rFonts w:cstheme="minorHAnsi"/>
          <w:szCs w:val="24"/>
        </w:rPr>
        <w:t xml:space="preserve">lednu 2014, měly FÚ </w:t>
      </w:r>
      <w:r w:rsidR="000869AC">
        <w:rPr>
          <w:rFonts w:cstheme="minorHAnsi"/>
          <w:szCs w:val="24"/>
        </w:rPr>
        <w:t>k </w:t>
      </w:r>
      <w:r>
        <w:rPr>
          <w:rFonts w:cstheme="minorHAnsi"/>
          <w:szCs w:val="24"/>
        </w:rPr>
        <w:t xml:space="preserve">dispozici informace o neshodách za rok 2013. </w:t>
      </w:r>
    </w:p>
    <w:p w:rsidR="00751F05" w:rsidRDefault="00751F05" w:rsidP="00FC2101">
      <w:pPr>
        <w:spacing w:after="0"/>
        <w:rPr>
          <w:rFonts w:cstheme="minorHAnsi"/>
          <w:szCs w:val="24"/>
        </w:rPr>
      </w:pPr>
    </w:p>
    <w:p w:rsidR="00C86BE0" w:rsidRDefault="00C86BE0" w:rsidP="00FC2101">
      <w:pPr>
        <w:spacing w:after="0"/>
        <w:rPr>
          <w:rFonts w:cstheme="minorHAnsi"/>
          <w:szCs w:val="24"/>
        </w:rPr>
      </w:pPr>
      <w:r>
        <w:rPr>
          <w:rFonts w:cstheme="minorHAnsi"/>
          <w:szCs w:val="24"/>
        </w:rPr>
        <w:t>NKÚ zjistil, že za 1. čtvrtletí 2014</w:t>
      </w:r>
      <w:r>
        <w:rPr>
          <w:rStyle w:val="Znakapoznpodarou"/>
          <w:rFonts w:cstheme="minorHAnsi"/>
          <w:szCs w:val="24"/>
        </w:rPr>
        <w:footnoteReference w:id="3"/>
      </w:r>
      <w:r>
        <w:rPr>
          <w:rFonts w:cstheme="minorHAnsi"/>
          <w:szCs w:val="24"/>
        </w:rPr>
        <w:t xml:space="preserve"> bylo </w:t>
      </w:r>
      <w:r w:rsidR="000869AC">
        <w:rPr>
          <w:rFonts w:cstheme="minorHAnsi"/>
          <w:szCs w:val="24"/>
        </w:rPr>
        <w:t>v </w:t>
      </w:r>
      <w:r>
        <w:rPr>
          <w:rFonts w:cstheme="minorHAnsi"/>
          <w:szCs w:val="24"/>
        </w:rPr>
        <w:t>systému ADIS vedeno celkem 44</w:t>
      </w:r>
      <w:r w:rsidR="00967341">
        <w:rPr>
          <w:rFonts w:cstheme="minorHAnsi"/>
          <w:szCs w:val="24"/>
        </w:rPr>
        <w:t xml:space="preserve"> </w:t>
      </w:r>
      <w:r>
        <w:rPr>
          <w:rFonts w:cstheme="minorHAnsi"/>
          <w:szCs w:val="24"/>
        </w:rPr>
        <w:t xml:space="preserve">505 neshod </w:t>
      </w:r>
      <w:r w:rsidRPr="00222116">
        <w:rPr>
          <w:rFonts w:cstheme="minorHAnsi"/>
          <w:szCs w:val="24"/>
        </w:rPr>
        <w:t>v celkové kladné hodnotě 9</w:t>
      </w:r>
      <w:r>
        <w:rPr>
          <w:rFonts w:cstheme="minorHAnsi"/>
          <w:szCs w:val="24"/>
        </w:rPr>
        <w:t>,</w:t>
      </w:r>
      <w:r w:rsidRPr="00222116">
        <w:rPr>
          <w:rFonts w:cstheme="minorHAnsi"/>
          <w:szCs w:val="24"/>
        </w:rPr>
        <w:t>7</w:t>
      </w:r>
      <w:r w:rsidR="00967341">
        <w:rPr>
          <w:rFonts w:cstheme="minorHAnsi"/>
          <w:szCs w:val="24"/>
        </w:rPr>
        <w:t xml:space="preserve"> </w:t>
      </w:r>
      <w:r>
        <w:rPr>
          <w:rFonts w:cstheme="minorHAnsi"/>
          <w:szCs w:val="24"/>
        </w:rPr>
        <w:t>mld.</w:t>
      </w:r>
      <w:r w:rsidRPr="00222116">
        <w:rPr>
          <w:rFonts w:cstheme="minorHAnsi"/>
          <w:szCs w:val="24"/>
        </w:rPr>
        <w:t xml:space="preserve"> Kč.</w:t>
      </w:r>
      <w:r>
        <w:rPr>
          <w:rFonts w:cstheme="minorHAnsi"/>
          <w:szCs w:val="24"/>
        </w:rPr>
        <w:t xml:space="preserve"> Pouze FÚ pro Moravskoslezský kraj prověřil 1</w:t>
      </w:r>
      <w:r w:rsidR="006523CD">
        <w:rPr>
          <w:rFonts w:cstheme="minorHAnsi"/>
          <w:szCs w:val="24"/>
        </w:rPr>
        <w:t> </w:t>
      </w:r>
      <w:r>
        <w:rPr>
          <w:rFonts w:cstheme="minorHAnsi"/>
          <w:szCs w:val="24"/>
        </w:rPr>
        <w:t>014</w:t>
      </w:r>
      <w:r w:rsidR="006523CD">
        <w:rPr>
          <w:rFonts w:cstheme="minorHAnsi"/>
          <w:szCs w:val="24"/>
        </w:rPr>
        <w:t> </w:t>
      </w:r>
      <w:r>
        <w:rPr>
          <w:rFonts w:cstheme="minorHAnsi"/>
          <w:szCs w:val="24"/>
        </w:rPr>
        <w:t>neshod za 2.</w:t>
      </w:r>
      <w:r w:rsidR="00967341">
        <w:rPr>
          <w:rFonts w:cstheme="minorHAnsi"/>
          <w:szCs w:val="24"/>
        </w:rPr>
        <w:t xml:space="preserve"> </w:t>
      </w:r>
      <w:r>
        <w:rPr>
          <w:rFonts w:cstheme="minorHAnsi"/>
          <w:szCs w:val="24"/>
        </w:rPr>
        <w:t>čtvrtletí 2013 až 1. čtvrtletí 2014 a doměřil daň ve výši 1,5 mil. Kč.</w:t>
      </w:r>
      <w:r w:rsidRPr="00880167">
        <w:rPr>
          <w:rFonts w:cstheme="minorHAnsi"/>
          <w:color w:val="00B050"/>
          <w:szCs w:val="24"/>
        </w:rPr>
        <w:t xml:space="preserve"> </w:t>
      </w:r>
      <w:r>
        <w:rPr>
          <w:rFonts w:cstheme="minorHAnsi"/>
          <w:szCs w:val="24"/>
        </w:rPr>
        <w:t xml:space="preserve">Ostatní FÚ úlohu ADIS nevyužívaly vůbec nebo jen minimálně. GFŘ žádná opatření </w:t>
      </w:r>
      <w:r w:rsidR="000869AC">
        <w:rPr>
          <w:rFonts w:cstheme="minorHAnsi"/>
          <w:szCs w:val="24"/>
        </w:rPr>
        <w:t>k </w:t>
      </w:r>
      <w:r>
        <w:rPr>
          <w:rFonts w:cstheme="minorHAnsi"/>
          <w:szCs w:val="24"/>
        </w:rPr>
        <w:t>většímu využití nepřijalo a ani nestanovilo minimální rozsah prověřování neshod.</w:t>
      </w:r>
    </w:p>
    <w:p w:rsidR="00751F05" w:rsidRDefault="00751F05" w:rsidP="00FC2101">
      <w:pPr>
        <w:spacing w:after="0"/>
        <w:rPr>
          <w:rFonts w:cstheme="minorHAnsi"/>
          <w:szCs w:val="24"/>
        </w:rPr>
      </w:pPr>
    </w:p>
    <w:p w:rsidR="009826CE" w:rsidRDefault="00C86BE0" w:rsidP="00FC2101">
      <w:pPr>
        <w:spacing w:after="0"/>
        <w:rPr>
          <w:rFonts w:cstheme="minorHAnsi"/>
          <w:szCs w:val="24"/>
        </w:rPr>
      </w:pPr>
      <w:r w:rsidRPr="005D4A3D">
        <w:rPr>
          <w:rFonts w:cstheme="minorHAnsi"/>
          <w:szCs w:val="24"/>
        </w:rPr>
        <w:t>Ačkoliv finanční správa odhaduje, že 80 % neshod bylo způsobeno časovým posunem</w:t>
      </w:r>
      <w:r w:rsidR="00A043E3">
        <w:rPr>
          <w:rFonts w:cstheme="minorHAnsi"/>
          <w:szCs w:val="24"/>
        </w:rPr>
        <w:t xml:space="preserve"> ve vykázání plnění poskytovateli a příjemci</w:t>
      </w:r>
      <w:r w:rsidRPr="005D4A3D">
        <w:rPr>
          <w:rFonts w:cstheme="minorHAnsi"/>
          <w:szCs w:val="24"/>
        </w:rPr>
        <w:t xml:space="preserve">, NKÚ pouze na malém vzorku 92 daňových subjektů zjistil, že časový posun byl důvodem </w:t>
      </w:r>
      <w:r w:rsidR="000869AC">
        <w:rPr>
          <w:rFonts w:cstheme="minorHAnsi"/>
          <w:szCs w:val="24"/>
        </w:rPr>
        <w:t>v </w:t>
      </w:r>
      <w:r w:rsidRPr="005D4A3D">
        <w:rPr>
          <w:rFonts w:cstheme="minorHAnsi"/>
          <w:szCs w:val="24"/>
        </w:rPr>
        <w:t>34</w:t>
      </w:r>
      <w:r>
        <w:rPr>
          <w:rFonts w:cstheme="minorHAnsi"/>
          <w:szCs w:val="24"/>
        </w:rPr>
        <w:t xml:space="preserve"> % případů. </w:t>
      </w:r>
      <w:r w:rsidR="009826CE" w:rsidRPr="009826CE">
        <w:rPr>
          <w:rFonts w:cstheme="minorHAnsi"/>
          <w:szCs w:val="24"/>
        </w:rPr>
        <w:t xml:space="preserve">Nicméně ve </w:t>
      </w:r>
      <w:r w:rsidR="009826CE">
        <w:rPr>
          <w:rFonts w:cstheme="minorHAnsi"/>
          <w:szCs w:val="24"/>
        </w:rPr>
        <w:t xml:space="preserve">čtyřech </w:t>
      </w:r>
      <w:r w:rsidR="009826CE" w:rsidRPr="009826CE">
        <w:rPr>
          <w:rFonts w:cstheme="minorHAnsi"/>
          <w:szCs w:val="24"/>
        </w:rPr>
        <w:t>případech NKÚ zjistil, že FÚ neprověřily všechny skutečnosti rozhodné pro správné stanovení daně a</w:t>
      </w:r>
      <w:r w:rsidR="009826CE">
        <w:rPr>
          <w:rFonts w:cstheme="minorHAnsi"/>
          <w:szCs w:val="24"/>
        </w:rPr>
        <w:t> </w:t>
      </w:r>
      <w:r w:rsidR="009826CE" w:rsidRPr="009826CE">
        <w:rPr>
          <w:rFonts w:cstheme="minorHAnsi"/>
          <w:szCs w:val="24"/>
        </w:rPr>
        <w:t xml:space="preserve">nedoměřily DPH ze zdanitelných plnění </w:t>
      </w:r>
      <w:r w:rsidR="000869AC">
        <w:rPr>
          <w:rFonts w:cstheme="minorHAnsi"/>
          <w:szCs w:val="24"/>
        </w:rPr>
        <w:t>v </w:t>
      </w:r>
      <w:r w:rsidR="00FC2101">
        <w:rPr>
          <w:rFonts w:cstheme="minorHAnsi"/>
          <w:szCs w:val="24"/>
        </w:rPr>
        <w:t xml:space="preserve">objemu </w:t>
      </w:r>
      <w:r w:rsidR="009826CE" w:rsidRPr="009826CE">
        <w:rPr>
          <w:rFonts w:cstheme="minorHAnsi"/>
          <w:szCs w:val="24"/>
        </w:rPr>
        <w:t>6 mil. Kč.</w:t>
      </w:r>
    </w:p>
    <w:p w:rsidR="00751F05" w:rsidRDefault="00751F05" w:rsidP="00FC2101">
      <w:pPr>
        <w:spacing w:after="0"/>
        <w:rPr>
          <w:rFonts w:cstheme="minorHAnsi"/>
          <w:szCs w:val="24"/>
        </w:rPr>
      </w:pPr>
    </w:p>
    <w:p w:rsidR="00C86BE0" w:rsidRPr="00617280" w:rsidRDefault="00C86BE0" w:rsidP="00FC2101">
      <w:pPr>
        <w:keepNext/>
        <w:spacing w:after="0"/>
        <w:rPr>
          <w:rFonts w:cstheme="minorHAnsi"/>
          <w:szCs w:val="24"/>
        </w:rPr>
      </w:pPr>
      <w:r w:rsidRPr="00617280">
        <w:rPr>
          <w:rFonts w:cstheme="minorHAnsi"/>
          <w:szCs w:val="24"/>
        </w:rPr>
        <w:t xml:space="preserve">GFŘ </w:t>
      </w:r>
      <w:r w:rsidR="000869AC">
        <w:rPr>
          <w:rFonts w:cstheme="minorHAnsi"/>
          <w:szCs w:val="24"/>
        </w:rPr>
        <w:t>v </w:t>
      </w:r>
      <w:r w:rsidRPr="00617280">
        <w:rPr>
          <w:rFonts w:cstheme="minorHAnsi"/>
          <w:szCs w:val="24"/>
        </w:rPr>
        <w:t xml:space="preserve">únoru 2014 zjišťovalo zkušenosti FÚ se zavedením režimu přenesení daňové povinnosti, ze kterých vyplynuly </w:t>
      </w:r>
      <w:r w:rsidR="002C0205">
        <w:rPr>
          <w:rFonts w:cstheme="minorHAnsi"/>
          <w:szCs w:val="24"/>
        </w:rPr>
        <w:t xml:space="preserve">tyto </w:t>
      </w:r>
      <w:r w:rsidRPr="00617280">
        <w:rPr>
          <w:rFonts w:cstheme="minorHAnsi"/>
          <w:szCs w:val="24"/>
        </w:rPr>
        <w:t>přetrvávající problémy při aplikaci režimu:</w:t>
      </w:r>
    </w:p>
    <w:p w:rsidR="00C86BE0" w:rsidRPr="00CB7422" w:rsidRDefault="000D1B21" w:rsidP="00CB7422">
      <w:pPr>
        <w:pStyle w:val="Odstavecseseznamem"/>
      </w:pPr>
      <w:r>
        <w:t>S</w:t>
      </w:r>
      <w:r w:rsidR="00C86BE0" w:rsidRPr="00CB7422">
        <w:t xml:space="preserve">nahy daňových subjektů vykazovat plnění podléhající režimu přenesení daňové povinnosti jako plnění, na která se tento režim nevztahuje. NKÚ např. zjistil, že </w:t>
      </w:r>
      <w:r w:rsidR="00C86BE0" w:rsidRPr="00CB7422">
        <w:lastRenderedPageBreak/>
        <w:t>u</w:t>
      </w:r>
      <w:r w:rsidR="006523CD">
        <w:t> </w:t>
      </w:r>
      <w:r w:rsidR="00C86BE0" w:rsidRPr="00CB7422">
        <w:t>jednoho FÚ daňové subjekty v</w:t>
      </w:r>
      <w:r w:rsidR="001A785E">
        <w:t>e</w:t>
      </w:r>
      <w:r w:rsidR="00C86BE0" w:rsidRPr="00CB7422">
        <w:t xml:space="preserve"> 172</w:t>
      </w:r>
      <w:r w:rsidR="00967341">
        <w:t xml:space="preserve"> </w:t>
      </w:r>
      <w:r w:rsidR="00C86BE0" w:rsidRPr="00CB7422">
        <w:t xml:space="preserve">případech vykázaly plnění </w:t>
      </w:r>
      <w:r w:rsidR="000869AC">
        <w:t>v </w:t>
      </w:r>
      <w:r w:rsidR="00C86BE0" w:rsidRPr="00CB7422">
        <w:t>režimu přenesení daňové povinnosti na neplátce a FÚ doměřil daň ve výši 1,2 mil. Kč</w:t>
      </w:r>
      <w:r>
        <w:t>.</w:t>
      </w:r>
    </w:p>
    <w:p w:rsidR="00C86BE0" w:rsidRPr="00CB7422" w:rsidRDefault="000D1B21" w:rsidP="00CB7422">
      <w:pPr>
        <w:pStyle w:val="Odstavecseseznamem"/>
      </w:pPr>
      <w:r>
        <w:t>V</w:t>
      </w:r>
      <w:r w:rsidR="00C86BE0" w:rsidRPr="00CB7422">
        <w:t xml:space="preserve">znik nových podvodů, kdy příjemce plnění </w:t>
      </w:r>
      <w:r w:rsidR="000869AC">
        <w:t>v </w:t>
      </w:r>
      <w:r w:rsidR="00C86BE0" w:rsidRPr="00CB7422">
        <w:t>režimu přenesení daňové povinnosti je</w:t>
      </w:r>
      <w:r w:rsidR="00967341">
        <w:t xml:space="preserve"> </w:t>
      </w:r>
      <w:r w:rsidR="00C86BE0" w:rsidRPr="00CB7422">
        <w:t xml:space="preserve">nekontaktní nebo příjemce </w:t>
      </w:r>
      <w:r w:rsidRPr="00CB7422">
        <w:t>popírá</w:t>
      </w:r>
      <w:r>
        <w:t xml:space="preserve"> </w:t>
      </w:r>
      <w:r w:rsidR="00C86BE0" w:rsidRPr="00CB7422">
        <w:t>uskutečnění tohoto plnění. NKÚ např. zjistil, že u</w:t>
      </w:r>
      <w:r w:rsidR="00B23C66">
        <w:t> </w:t>
      </w:r>
      <w:r w:rsidR="00C86BE0" w:rsidRPr="00CB7422">
        <w:t>jednoho FÚ byly ve třech případech daňové subjekty nekontaktní, přičemž rozdíl mezi plněním vykázaným poskytovateli a příjemci činil 4,6 mil. Kč</w:t>
      </w:r>
      <w:r>
        <w:t>.</w:t>
      </w:r>
    </w:p>
    <w:p w:rsidR="00C86BE0" w:rsidRPr="00CB7422" w:rsidRDefault="000D1B21" w:rsidP="00CB7422">
      <w:pPr>
        <w:pStyle w:val="Odstavecseseznamem"/>
      </w:pPr>
      <w:r>
        <w:t>P</w:t>
      </w:r>
      <w:r w:rsidR="00C86BE0" w:rsidRPr="00CB7422">
        <w:t xml:space="preserve">řesun daňových podvodů do oblastí obchodu </w:t>
      </w:r>
      <w:r w:rsidR="000869AC">
        <w:t>s </w:t>
      </w:r>
      <w:r w:rsidR="00C86BE0" w:rsidRPr="00CB7422">
        <w:t>komoditami, na které se tento režim nevztahuje</w:t>
      </w:r>
      <w:r>
        <w:t>.</w:t>
      </w:r>
    </w:p>
    <w:p w:rsidR="00C86BE0" w:rsidRPr="00617280" w:rsidRDefault="000D1B21" w:rsidP="00FC2101">
      <w:pPr>
        <w:pStyle w:val="Odstavecseseznamem"/>
        <w:spacing w:after="0"/>
      </w:pPr>
      <w:r>
        <w:t>A</w:t>
      </w:r>
      <w:r w:rsidR="00C86BE0" w:rsidRPr="00CB7422">
        <w:t xml:space="preserve">dministrativní náročnost kontrol tohoto režimu (vysoký počet nepodaných výpisů </w:t>
      </w:r>
      <w:r w:rsidR="000869AC">
        <w:t>z </w:t>
      </w:r>
      <w:r w:rsidR="00C86BE0" w:rsidRPr="00CB7422">
        <w:t xml:space="preserve">evidence a </w:t>
      </w:r>
      <w:r>
        <w:t xml:space="preserve">mnoho </w:t>
      </w:r>
      <w:r w:rsidR="00C86BE0" w:rsidRPr="00617280">
        <w:t>neshod mezi plněními poskytovatelů a příjemců)</w:t>
      </w:r>
      <w:r w:rsidR="00C86BE0">
        <w:t>.</w:t>
      </w:r>
    </w:p>
    <w:p w:rsidR="00751F05" w:rsidRDefault="00751F05" w:rsidP="00FC2101">
      <w:pPr>
        <w:spacing w:after="0"/>
        <w:rPr>
          <w:rFonts w:eastAsia="Calibri" w:cstheme="minorHAnsi"/>
          <w:szCs w:val="24"/>
        </w:rPr>
      </w:pPr>
    </w:p>
    <w:p w:rsidR="00C86BE0" w:rsidRDefault="00C86BE0" w:rsidP="00FC2101">
      <w:pPr>
        <w:spacing w:after="0"/>
        <w:rPr>
          <w:rFonts w:eastAsia="Calibri" w:cstheme="minorHAnsi"/>
          <w:szCs w:val="24"/>
        </w:rPr>
      </w:pPr>
      <w:r w:rsidRPr="00CB7422">
        <w:rPr>
          <w:rFonts w:eastAsia="Calibri" w:cstheme="minorHAnsi"/>
          <w:szCs w:val="24"/>
        </w:rPr>
        <w:t xml:space="preserve">Důvodová zpráva </w:t>
      </w:r>
      <w:r w:rsidR="000869AC">
        <w:rPr>
          <w:rFonts w:eastAsia="Calibri" w:cstheme="minorHAnsi"/>
          <w:szCs w:val="24"/>
        </w:rPr>
        <w:t>k </w:t>
      </w:r>
      <w:r w:rsidRPr="00CB7422">
        <w:rPr>
          <w:rFonts w:eastAsia="Calibri" w:cstheme="minorHAnsi"/>
          <w:szCs w:val="24"/>
        </w:rPr>
        <w:t>zákonu č. 47/2011 Sb. pře</w:t>
      </w:r>
      <w:r w:rsidR="000D1B21">
        <w:rPr>
          <w:rFonts w:eastAsia="Calibri" w:cstheme="minorHAnsi"/>
          <w:szCs w:val="24"/>
        </w:rPr>
        <w:t>d</w:t>
      </w:r>
      <w:r w:rsidRPr="00CB7422">
        <w:rPr>
          <w:rFonts w:eastAsia="Calibri" w:cstheme="minorHAnsi"/>
          <w:szCs w:val="24"/>
        </w:rPr>
        <w:t xml:space="preserve">pokládala, že zavedení režimu přenesení daňové povinnosti bude mít pozitivní dopad </w:t>
      </w:r>
      <w:r w:rsidR="00E9412F">
        <w:rPr>
          <w:rFonts w:eastAsia="Calibri" w:cstheme="minorHAnsi"/>
          <w:szCs w:val="24"/>
        </w:rPr>
        <w:t>na</w:t>
      </w:r>
      <w:r w:rsidRPr="00CB7422">
        <w:rPr>
          <w:rFonts w:eastAsia="Calibri" w:cstheme="minorHAnsi"/>
          <w:szCs w:val="24"/>
        </w:rPr>
        <w:t xml:space="preserve"> veřejn</w:t>
      </w:r>
      <w:r w:rsidR="00E9412F">
        <w:rPr>
          <w:rFonts w:eastAsia="Calibri" w:cstheme="minorHAnsi"/>
          <w:szCs w:val="24"/>
        </w:rPr>
        <w:t>é</w:t>
      </w:r>
      <w:r w:rsidRPr="00CB7422">
        <w:rPr>
          <w:rFonts w:eastAsia="Calibri" w:cstheme="minorHAnsi"/>
          <w:szCs w:val="24"/>
        </w:rPr>
        <w:t xml:space="preserve"> rozpočt</w:t>
      </w:r>
      <w:r w:rsidR="00E9412F">
        <w:rPr>
          <w:rFonts w:eastAsia="Calibri" w:cstheme="minorHAnsi"/>
          <w:szCs w:val="24"/>
        </w:rPr>
        <w:t>y</w:t>
      </w:r>
      <w:r w:rsidRPr="00CB7422">
        <w:rPr>
          <w:rFonts w:eastAsia="Calibri" w:cstheme="minorHAnsi"/>
          <w:szCs w:val="24"/>
        </w:rPr>
        <w:t xml:space="preserve"> </w:t>
      </w:r>
      <w:r w:rsidR="000869AC">
        <w:rPr>
          <w:rFonts w:eastAsia="Calibri" w:cstheme="minorHAnsi"/>
          <w:szCs w:val="24"/>
        </w:rPr>
        <w:t>v </w:t>
      </w:r>
      <w:r w:rsidRPr="00CB7422">
        <w:rPr>
          <w:rFonts w:eastAsia="Calibri" w:cstheme="minorHAnsi"/>
          <w:szCs w:val="24"/>
        </w:rPr>
        <w:t>letech 2011–2013 každoročně ve výši</w:t>
      </w:r>
      <w:r w:rsidR="00967341">
        <w:rPr>
          <w:rFonts w:eastAsia="Calibri" w:cstheme="minorHAnsi"/>
          <w:szCs w:val="24"/>
        </w:rPr>
        <w:t xml:space="preserve"> </w:t>
      </w:r>
      <w:r w:rsidRPr="00CB7422">
        <w:rPr>
          <w:rFonts w:eastAsia="Calibri" w:cstheme="minorHAnsi"/>
          <w:szCs w:val="24"/>
        </w:rPr>
        <w:t>2,7</w:t>
      </w:r>
      <w:r w:rsidR="00967341">
        <w:rPr>
          <w:rFonts w:eastAsia="Calibri" w:cstheme="minorHAnsi"/>
          <w:szCs w:val="24"/>
        </w:rPr>
        <w:t xml:space="preserve"> </w:t>
      </w:r>
      <w:r w:rsidRPr="00CB7422">
        <w:rPr>
          <w:rFonts w:eastAsia="Calibri" w:cstheme="minorHAnsi"/>
          <w:szCs w:val="24"/>
        </w:rPr>
        <w:t xml:space="preserve">mld. Kč. GFŘ při posuzování dopadů vycházelo </w:t>
      </w:r>
      <w:r w:rsidR="000869AC">
        <w:rPr>
          <w:rFonts w:eastAsia="Calibri" w:cstheme="minorHAnsi"/>
          <w:szCs w:val="24"/>
        </w:rPr>
        <w:t>z </w:t>
      </w:r>
      <w:r w:rsidRPr="00CB7422">
        <w:rPr>
          <w:rFonts w:eastAsia="Calibri" w:cstheme="minorHAnsi"/>
          <w:szCs w:val="24"/>
        </w:rPr>
        <w:t xml:space="preserve">předpokladu, že režim přenesení daňové povinnosti vyloučí vznik ztrát u vybraných komodit, a odhadlo roční fiskální efekt ve výši daňových úniků před zavedením tohoto opatření: </w:t>
      </w:r>
    </w:p>
    <w:p w:rsidR="00751F05" w:rsidRPr="00CB7422" w:rsidRDefault="00751F05" w:rsidP="00FC2101">
      <w:pPr>
        <w:spacing w:after="0"/>
        <w:rPr>
          <w:rFonts w:eastAsia="Calibri" w:cstheme="minorHAnsi"/>
          <w:szCs w:val="24"/>
        </w:rPr>
      </w:pPr>
    </w:p>
    <w:p w:rsidR="00663C04" w:rsidRDefault="00CB7422" w:rsidP="00FC2101">
      <w:pPr>
        <w:tabs>
          <w:tab w:val="right" w:pos="9072"/>
        </w:tabs>
        <w:spacing w:after="0"/>
        <w:rPr>
          <w:rFonts w:cstheme="minorHAnsi"/>
          <w:b/>
        </w:rPr>
      </w:pPr>
      <w:r w:rsidRPr="001E0593">
        <w:rPr>
          <w:rFonts w:cstheme="minorHAnsi"/>
          <w:b/>
        </w:rPr>
        <w:t xml:space="preserve">Tabulka č. </w:t>
      </w:r>
      <w:r w:rsidRPr="00552CC0">
        <w:rPr>
          <w:rFonts w:cstheme="minorHAnsi"/>
          <w:b/>
        </w:rPr>
        <w:t xml:space="preserve">1 </w:t>
      </w:r>
      <w:r>
        <w:rPr>
          <w:rFonts w:cstheme="minorHAnsi"/>
          <w:b/>
        </w:rPr>
        <w:t>–</w:t>
      </w:r>
      <w:r w:rsidRPr="00552CC0">
        <w:rPr>
          <w:rFonts w:cstheme="minorHAnsi"/>
          <w:b/>
        </w:rPr>
        <w:t xml:space="preserve"> Skladba daňových úniků podle předpokladu GFŘ</w:t>
      </w:r>
      <w:r>
        <w:rPr>
          <w:rFonts w:cstheme="minorHAnsi"/>
          <w:b/>
        </w:rPr>
        <w:tab/>
      </w:r>
      <w:r w:rsidRPr="00552CC0">
        <w:rPr>
          <w:rFonts w:cstheme="minorHAnsi"/>
          <w:b/>
        </w:rPr>
        <w:t>(</w:t>
      </w:r>
      <w:r w:rsidR="000869AC">
        <w:rPr>
          <w:rFonts w:cstheme="minorHAnsi"/>
          <w:b/>
        </w:rPr>
        <w:t>v </w:t>
      </w:r>
      <w:r w:rsidRPr="00552CC0">
        <w:rPr>
          <w:rFonts w:cstheme="minorHAnsi"/>
          <w:b/>
        </w:rPr>
        <w:t>mld. Kč)</w:t>
      </w:r>
    </w:p>
    <w:tbl>
      <w:tblPr>
        <w:tblStyle w:val="Mkatabulky"/>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30"/>
        <w:gridCol w:w="1530"/>
        <w:gridCol w:w="1530"/>
        <w:gridCol w:w="1530"/>
        <w:gridCol w:w="1530"/>
        <w:gridCol w:w="1422"/>
      </w:tblGrid>
      <w:tr w:rsidR="00CB7422" w:rsidRPr="002D1024" w:rsidTr="00FC2101">
        <w:tc>
          <w:tcPr>
            <w:tcW w:w="1530" w:type="dxa"/>
            <w:shd w:val="clear" w:color="auto" w:fill="E3EBF3"/>
            <w:vAlign w:val="center"/>
          </w:tcPr>
          <w:p w:rsidR="00CB7422" w:rsidRPr="002D1024" w:rsidRDefault="00CB7422" w:rsidP="002D1024">
            <w:pPr>
              <w:spacing w:after="0"/>
              <w:jc w:val="center"/>
              <w:rPr>
                <w:rFonts w:ascii="Calibri" w:hAnsi="Calibri" w:cs="Calibri"/>
                <w:b/>
                <w:bCs/>
                <w:color w:val="000000"/>
                <w:sz w:val="20"/>
                <w:szCs w:val="20"/>
              </w:rPr>
            </w:pPr>
            <w:r w:rsidRPr="002D1024">
              <w:rPr>
                <w:rFonts w:ascii="Calibri" w:hAnsi="Calibri" w:cs="Calibri"/>
                <w:b/>
                <w:bCs/>
                <w:color w:val="000000"/>
                <w:sz w:val="20"/>
                <w:szCs w:val="20"/>
              </w:rPr>
              <w:t>Komodita</w:t>
            </w:r>
          </w:p>
        </w:tc>
        <w:tc>
          <w:tcPr>
            <w:tcW w:w="1530" w:type="dxa"/>
            <w:shd w:val="clear" w:color="auto" w:fill="E3EBF3"/>
            <w:vAlign w:val="center"/>
          </w:tcPr>
          <w:p w:rsidR="008472C1" w:rsidRDefault="00E914EF" w:rsidP="008472C1">
            <w:pPr>
              <w:spacing w:after="0"/>
              <w:jc w:val="center"/>
              <w:rPr>
                <w:rFonts w:ascii="Calibri" w:hAnsi="Calibri" w:cs="Calibri"/>
                <w:color w:val="000000"/>
                <w:sz w:val="20"/>
                <w:szCs w:val="20"/>
              </w:rPr>
            </w:pPr>
            <w:r>
              <w:rPr>
                <w:rFonts w:ascii="Calibri" w:hAnsi="Calibri" w:cs="Calibri"/>
                <w:color w:val="000000"/>
                <w:sz w:val="20"/>
                <w:szCs w:val="20"/>
              </w:rPr>
              <w:t>Z</w:t>
            </w:r>
            <w:r w:rsidRPr="002D1024">
              <w:rPr>
                <w:rFonts w:ascii="Calibri" w:hAnsi="Calibri" w:cs="Calibri"/>
                <w:color w:val="000000"/>
                <w:sz w:val="20"/>
                <w:szCs w:val="20"/>
              </w:rPr>
              <w:t>lato</w:t>
            </w:r>
          </w:p>
          <w:p w:rsidR="00CB7422" w:rsidRPr="002D1024" w:rsidRDefault="00E914EF" w:rsidP="004174C2">
            <w:pPr>
              <w:spacing w:after="0"/>
              <w:jc w:val="center"/>
              <w:rPr>
                <w:rFonts w:ascii="Calibri" w:hAnsi="Calibri" w:cs="Calibri"/>
                <w:color w:val="000000"/>
                <w:sz w:val="20"/>
                <w:szCs w:val="20"/>
              </w:rPr>
            </w:pPr>
            <w:r>
              <w:rPr>
                <w:rFonts w:ascii="Calibri" w:hAnsi="Calibri" w:cs="Calibri"/>
                <w:color w:val="000000"/>
                <w:sz w:val="20"/>
                <w:szCs w:val="20"/>
              </w:rPr>
              <w:t>(</w:t>
            </w:r>
            <w:r w:rsidR="00CB7422" w:rsidRPr="002D1024">
              <w:rPr>
                <w:rFonts w:ascii="Calibri" w:hAnsi="Calibri" w:cs="Calibri"/>
                <w:color w:val="000000"/>
                <w:sz w:val="20"/>
                <w:szCs w:val="20"/>
              </w:rPr>
              <w:t>§ 92b</w:t>
            </w:r>
            <w:r>
              <w:rPr>
                <w:rFonts w:ascii="Calibri" w:hAnsi="Calibri" w:cs="Calibri"/>
                <w:color w:val="000000"/>
                <w:sz w:val="20"/>
                <w:szCs w:val="20"/>
              </w:rPr>
              <w:t>)</w:t>
            </w:r>
          </w:p>
        </w:tc>
        <w:tc>
          <w:tcPr>
            <w:tcW w:w="1530" w:type="dxa"/>
            <w:shd w:val="clear" w:color="auto" w:fill="E3EBF3"/>
            <w:vAlign w:val="center"/>
          </w:tcPr>
          <w:p w:rsidR="008472C1" w:rsidRDefault="00E914EF">
            <w:pPr>
              <w:spacing w:after="0"/>
              <w:jc w:val="center"/>
              <w:rPr>
                <w:rFonts w:ascii="Calibri" w:hAnsi="Calibri" w:cs="Calibri"/>
                <w:color w:val="000000"/>
                <w:sz w:val="20"/>
                <w:szCs w:val="20"/>
              </w:rPr>
            </w:pPr>
            <w:r>
              <w:rPr>
                <w:rFonts w:ascii="Calibri" w:hAnsi="Calibri" w:cs="Calibri"/>
                <w:color w:val="000000"/>
                <w:sz w:val="20"/>
                <w:szCs w:val="20"/>
              </w:rPr>
              <w:t>O</w:t>
            </w:r>
            <w:r w:rsidRPr="002D1024">
              <w:rPr>
                <w:rFonts w:ascii="Calibri" w:hAnsi="Calibri" w:cs="Calibri"/>
                <w:color w:val="000000"/>
                <w:sz w:val="20"/>
                <w:szCs w:val="20"/>
              </w:rPr>
              <w:t>dpad</w:t>
            </w:r>
          </w:p>
          <w:p w:rsidR="00CB7422" w:rsidRPr="002D1024" w:rsidRDefault="00E914EF">
            <w:pPr>
              <w:spacing w:after="0"/>
              <w:jc w:val="center"/>
              <w:rPr>
                <w:rFonts w:ascii="Calibri" w:hAnsi="Calibri" w:cs="Calibri"/>
                <w:color w:val="000000"/>
                <w:sz w:val="20"/>
                <w:szCs w:val="20"/>
              </w:rPr>
            </w:pPr>
            <w:r>
              <w:rPr>
                <w:rFonts w:ascii="Calibri" w:hAnsi="Calibri" w:cs="Calibri"/>
                <w:color w:val="000000"/>
                <w:sz w:val="20"/>
                <w:szCs w:val="20"/>
              </w:rPr>
              <w:t>(</w:t>
            </w:r>
            <w:r w:rsidR="00CB7422" w:rsidRPr="002D1024">
              <w:rPr>
                <w:rFonts w:ascii="Calibri" w:hAnsi="Calibri" w:cs="Calibri"/>
                <w:color w:val="000000"/>
                <w:sz w:val="20"/>
                <w:szCs w:val="20"/>
              </w:rPr>
              <w:t>§92c</w:t>
            </w:r>
            <w:r>
              <w:rPr>
                <w:rFonts w:ascii="Calibri" w:hAnsi="Calibri" w:cs="Calibri"/>
                <w:color w:val="000000"/>
                <w:sz w:val="20"/>
                <w:szCs w:val="20"/>
              </w:rPr>
              <w:t>)</w:t>
            </w:r>
          </w:p>
        </w:tc>
        <w:tc>
          <w:tcPr>
            <w:tcW w:w="1530" w:type="dxa"/>
            <w:shd w:val="clear" w:color="auto" w:fill="E3EBF3"/>
            <w:vAlign w:val="center"/>
          </w:tcPr>
          <w:p w:rsidR="00CB7422" w:rsidRPr="002D1024" w:rsidRDefault="00E914EF">
            <w:pPr>
              <w:spacing w:after="0"/>
              <w:jc w:val="center"/>
              <w:rPr>
                <w:rFonts w:ascii="Calibri" w:hAnsi="Calibri" w:cs="Calibri"/>
                <w:color w:val="000000"/>
                <w:sz w:val="20"/>
                <w:szCs w:val="20"/>
              </w:rPr>
            </w:pPr>
            <w:r>
              <w:rPr>
                <w:rFonts w:ascii="Calibri" w:hAnsi="Calibri" w:cs="Calibri"/>
                <w:color w:val="000000"/>
                <w:sz w:val="20"/>
                <w:szCs w:val="20"/>
              </w:rPr>
              <w:t>P</w:t>
            </w:r>
            <w:r w:rsidRPr="002D1024">
              <w:rPr>
                <w:rFonts w:ascii="Calibri" w:hAnsi="Calibri" w:cs="Calibri"/>
                <w:color w:val="000000"/>
                <w:sz w:val="20"/>
                <w:szCs w:val="20"/>
              </w:rPr>
              <w:t>ovolenky</w:t>
            </w:r>
            <w:r>
              <w:rPr>
                <w:rFonts w:ascii="Calibri" w:hAnsi="Calibri" w:cs="Calibri"/>
                <w:color w:val="000000"/>
                <w:sz w:val="20"/>
                <w:szCs w:val="20"/>
              </w:rPr>
              <w:t xml:space="preserve"> </w:t>
            </w:r>
            <w:r w:rsidR="008472C1">
              <w:rPr>
                <w:rFonts w:ascii="Calibri" w:hAnsi="Calibri" w:cs="Calibri"/>
                <w:color w:val="000000"/>
                <w:sz w:val="20"/>
                <w:szCs w:val="20"/>
              </w:rPr>
              <w:t>(</w:t>
            </w:r>
            <w:r w:rsidR="00CB7422" w:rsidRPr="002D1024">
              <w:rPr>
                <w:rFonts w:ascii="Calibri" w:hAnsi="Calibri" w:cs="Calibri"/>
                <w:color w:val="000000"/>
                <w:sz w:val="20"/>
                <w:szCs w:val="20"/>
              </w:rPr>
              <w:t>§92d</w:t>
            </w:r>
            <w:r w:rsidR="008472C1">
              <w:rPr>
                <w:rFonts w:ascii="Calibri" w:hAnsi="Calibri" w:cs="Calibri"/>
                <w:color w:val="000000"/>
                <w:sz w:val="20"/>
                <w:szCs w:val="20"/>
              </w:rPr>
              <w:t>)</w:t>
            </w:r>
          </w:p>
        </w:tc>
        <w:tc>
          <w:tcPr>
            <w:tcW w:w="1530" w:type="dxa"/>
            <w:shd w:val="clear" w:color="auto" w:fill="E3EBF3"/>
            <w:vAlign w:val="center"/>
          </w:tcPr>
          <w:p w:rsidR="00CB7422" w:rsidRPr="002D1024" w:rsidRDefault="00E914EF">
            <w:pPr>
              <w:spacing w:after="0"/>
              <w:jc w:val="center"/>
              <w:rPr>
                <w:rFonts w:ascii="Calibri" w:hAnsi="Calibri" w:cs="Calibri"/>
                <w:color w:val="000000"/>
                <w:sz w:val="20"/>
                <w:szCs w:val="20"/>
              </w:rPr>
            </w:pPr>
            <w:r>
              <w:rPr>
                <w:rFonts w:ascii="Calibri" w:hAnsi="Calibri" w:cs="Calibri"/>
                <w:color w:val="000000"/>
                <w:sz w:val="20"/>
                <w:szCs w:val="20"/>
              </w:rPr>
              <w:t>S</w:t>
            </w:r>
            <w:r w:rsidRPr="002D1024">
              <w:rPr>
                <w:rFonts w:ascii="Calibri" w:hAnsi="Calibri" w:cs="Calibri"/>
                <w:color w:val="000000"/>
                <w:sz w:val="20"/>
                <w:szCs w:val="20"/>
              </w:rPr>
              <w:t>tavebnictví</w:t>
            </w:r>
            <w:r>
              <w:rPr>
                <w:rFonts w:ascii="Calibri" w:hAnsi="Calibri" w:cs="Calibri"/>
                <w:color w:val="000000"/>
                <w:sz w:val="20"/>
                <w:szCs w:val="20"/>
              </w:rPr>
              <w:t xml:space="preserve"> (</w:t>
            </w:r>
            <w:r w:rsidR="00CB7422" w:rsidRPr="002D1024">
              <w:rPr>
                <w:rFonts w:ascii="Calibri" w:hAnsi="Calibri" w:cs="Calibri"/>
                <w:color w:val="000000"/>
                <w:sz w:val="20"/>
                <w:szCs w:val="20"/>
              </w:rPr>
              <w:t>§</w:t>
            </w:r>
            <w:r w:rsidR="008472C1">
              <w:rPr>
                <w:rFonts w:ascii="Calibri" w:hAnsi="Calibri" w:cs="Calibri"/>
                <w:color w:val="000000"/>
                <w:sz w:val="20"/>
                <w:szCs w:val="20"/>
              </w:rPr>
              <w:t> </w:t>
            </w:r>
            <w:r w:rsidR="00CB7422" w:rsidRPr="002D1024">
              <w:rPr>
                <w:rFonts w:ascii="Calibri" w:hAnsi="Calibri" w:cs="Calibri"/>
                <w:color w:val="000000"/>
                <w:sz w:val="20"/>
                <w:szCs w:val="20"/>
              </w:rPr>
              <w:t>92e</w:t>
            </w:r>
            <w:r>
              <w:rPr>
                <w:rFonts w:ascii="Calibri" w:hAnsi="Calibri" w:cs="Calibri"/>
                <w:color w:val="000000"/>
                <w:sz w:val="20"/>
                <w:szCs w:val="20"/>
              </w:rPr>
              <w:t>)</w:t>
            </w:r>
          </w:p>
        </w:tc>
        <w:tc>
          <w:tcPr>
            <w:tcW w:w="1422" w:type="dxa"/>
            <w:shd w:val="clear" w:color="auto" w:fill="E3EBF3"/>
            <w:vAlign w:val="center"/>
          </w:tcPr>
          <w:p w:rsidR="00CB7422" w:rsidRPr="00FC2101" w:rsidRDefault="00CB7422" w:rsidP="002D1024">
            <w:pPr>
              <w:spacing w:after="0"/>
              <w:jc w:val="center"/>
              <w:rPr>
                <w:rFonts w:ascii="Calibri" w:hAnsi="Calibri" w:cs="Calibri"/>
                <w:b/>
                <w:color w:val="000000"/>
                <w:sz w:val="20"/>
                <w:szCs w:val="20"/>
              </w:rPr>
            </w:pPr>
            <w:r w:rsidRPr="00FC2101">
              <w:rPr>
                <w:rFonts w:ascii="Calibri" w:hAnsi="Calibri" w:cs="Calibri"/>
                <w:b/>
                <w:color w:val="000000"/>
                <w:sz w:val="20"/>
                <w:szCs w:val="20"/>
              </w:rPr>
              <w:t>Celkem</w:t>
            </w:r>
          </w:p>
        </w:tc>
      </w:tr>
      <w:tr w:rsidR="00CB7422" w:rsidRPr="002D1024" w:rsidTr="00FC2101">
        <w:trPr>
          <w:trHeight w:val="322"/>
        </w:trPr>
        <w:tc>
          <w:tcPr>
            <w:tcW w:w="1530" w:type="dxa"/>
            <w:vAlign w:val="center"/>
          </w:tcPr>
          <w:p w:rsidR="00CB7422" w:rsidRPr="002D1024" w:rsidRDefault="00CB7422" w:rsidP="002D1024">
            <w:pPr>
              <w:spacing w:after="0"/>
              <w:jc w:val="left"/>
              <w:rPr>
                <w:rFonts w:ascii="Calibri" w:hAnsi="Calibri" w:cs="Calibri"/>
                <w:b/>
                <w:bCs/>
                <w:color w:val="000000"/>
                <w:sz w:val="20"/>
                <w:szCs w:val="20"/>
              </w:rPr>
            </w:pPr>
            <w:r w:rsidRPr="002D1024">
              <w:rPr>
                <w:rFonts w:ascii="Calibri" w:hAnsi="Calibri" w:cs="Calibri"/>
                <w:b/>
                <w:bCs/>
                <w:color w:val="000000"/>
                <w:sz w:val="20"/>
                <w:szCs w:val="20"/>
              </w:rPr>
              <w:t>Odhad úniků</w:t>
            </w:r>
          </w:p>
        </w:tc>
        <w:tc>
          <w:tcPr>
            <w:tcW w:w="1530" w:type="dxa"/>
            <w:vAlign w:val="center"/>
          </w:tcPr>
          <w:p w:rsidR="00CB7422" w:rsidRPr="002D1024" w:rsidRDefault="00CB7422" w:rsidP="002D1024">
            <w:pPr>
              <w:spacing w:after="0"/>
              <w:jc w:val="center"/>
              <w:rPr>
                <w:rFonts w:ascii="Calibri" w:hAnsi="Calibri" w:cs="Calibri"/>
                <w:color w:val="000000"/>
                <w:sz w:val="20"/>
                <w:szCs w:val="20"/>
              </w:rPr>
            </w:pPr>
            <w:r w:rsidRPr="002D1024">
              <w:rPr>
                <w:rFonts w:ascii="Calibri" w:hAnsi="Calibri" w:cs="Calibri"/>
                <w:color w:val="000000"/>
                <w:sz w:val="20"/>
                <w:szCs w:val="20"/>
              </w:rPr>
              <w:t>4,5</w:t>
            </w:r>
          </w:p>
        </w:tc>
        <w:tc>
          <w:tcPr>
            <w:tcW w:w="1530" w:type="dxa"/>
            <w:vAlign w:val="center"/>
          </w:tcPr>
          <w:p w:rsidR="00CB7422" w:rsidRPr="002D1024" w:rsidRDefault="00CB7422" w:rsidP="002D1024">
            <w:pPr>
              <w:spacing w:after="0"/>
              <w:jc w:val="center"/>
              <w:rPr>
                <w:rFonts w:ascii="Calibri" w:hAnsi="Calibri" w:cs="Calibri"/>
                <w:color w:val="000000"/>
                <w:sz w:val="20"/>
                <w:szCs w:val="20"/>
              </w:rPr>
            </w:pPr>
            <w:r w:rsidRPr="002D1024">
              <w:rPr>
                <w:rFonts w:ascii="Calibri" w:hAnsi="Calibri" w:cs="Calibri"/>
                <w:color w:val="000000"/>
                <w:sz w:val="20"/>
                <w:szCs w:val="20"/>
              </w:rPr>
              <w:t>2,9</w:t>
            </w:r>
          </w:p>
        </w:tc>
        <w:tc>
          <w:tcPr>
            <w:tcW w:w="1530" w:type="dxa"/>
            <w:vAlign w:val="center"/>
          </w:tcPr>
          <w:p w:rsidR="00CB7422" w:rsidRPr="002D1024" w:rsidRDefault="00CB7422" w:rsidP="002D1024">
            <w:pPr>
              <w:spacing w:after="0"/>
              <w:jc w:val="center"/>
              <w:rPr>
                <w:rFonts w:ascii="Calibri" w:hAnsi="Calibri" w:cs="Calibri"/>
                <w:color w:val="000000"/>
                <w:sz w:val="20"/>
                <w:szCs w:val="20"/>
              </w:rPr>
            </w:pPr>
            <w:r w:rsidRPr="002D1024">
              <w:rPr>
                <w:rFonts w:ascii="Calibri" w:hAnsi="Calibri" w:cs="Calibri"/>
                <w:color w:val="000000"/>
                <w:sz w:val="20"/>
                <w:szCs w:val="20"/>
              </w:rPr>
              <w:t>2</w:t>
            </w:r>
          </w:p>
        </w:tc>
        <w:tc>
          <w:tcPr>
            <w:tcW w:w="1530" w:type="dxa"/>
            <w:vAlign w:val="center"/>
          </w:tcPr>
          <w:p w:rsidR="00CB7422" w:rsidRPr="002D1024" w:rsidRDefault="00CB7422" w:rsidP="002D1024">
            <w:pPr>
              <w:spacing w:after="0"/>
              <w:jc w:val="center"/>
              <w:rPr>
                <w:rFonts w:ascii="Calibri" w:hAnsi="Calibri" w:cs="Calibri"/>
                <w:color w:val="000000"/>
                <w:sz w:val="20"/>
                <w:szCs w:val="20"/>
              </w:rPr>
            </w:pPr>
            <w:r w:rsidRPr="002D1024">
              <w:rPr>
                <w:rFonts w:ascii="Calibri" w:hAnsi="Calibri" w:cs="Calibri"/>
                <w:color w:val="000000"/>
                <w:sz w:val="20"/>
                <w:szCs w:val="20"/>
              </w:rPr>
              <w:t>2,3</w:t>
            </w:r>
          </w:p>
        </w:tc>
        <w:tc>
          <w:tcPr>
            <w:tcW w:w="1422" w:type="dxa"/>
            <w:vAlign w:val="center"/>
          </w:tcPr>
          <w:p w:rsidR="00CB7422" w:rsidRPr="00FC2101" w:rsidRDefault="00CB7422" w:rsidP="002D1024">
            <w:pPr>
              <w:spacing w:after="0"/>
              <w:jc w:val="center"/>
              <w:rPr>
                <w:rFonts w:ascii="Calibri" w:hAnsi="Calibri" w:cs="Calibri"/>
                <w:b/>
                <w:color w:val="000000"/>
                <w:sz w:val="20"/>
                <w:szCs w:val="20"/>
              </w:rPr>
            </w:pPr>
            <w:r w:rsidRPr="00FC2101">
              <w:rPr>
                <w:rFonts w:ascii="Calibri" w:hAnsi="Calibri" w:cs="Calibri"/>
                <w:b/>
                <w:color w:val="000000"/>
                <w:sz w:val="20"/>
                <w:szCs w:val="20"/>
              </w:rPr>
              <w:t>11,7</w:t>
            </w:r>
          </w:p>
        </w:tc>
      </w:tr>
    </w:tbl>
    <w:p w:rsidR="00CB7422" w:rsidRPr="002F2322" w:rsidRDefault="00CB7422" w:rsidP="00CB7422">
      <w:pPr>
        <w:spacing w:after="0"/>
        <w:rPr>
          <w:rFonts w:eastAsia="Calibri" w:cstheme="minorHAnsi"/>
          <w:sz w:val="20"/>
          <w:szCs w:val="20"/>
        </w:rPr>
      </w:pPr>
      <w:r w:rsidRPr="00FC2101">
        <w:rPr>
          <w:rFonts w:eastAsia="Calibri" w:cstheme="minorHAnsi"/>
          <w:b/>
          <w:sz w:val="20"/>
          <w:szCs w:val="20"/>
        </w:rPr>
        <w:t>Zdroj:</w:t>
      </w:r>
      <w:r w:rsidRPr="002F2322">
        <w:rPr>
          <w:rFonts w:eastAsia="Calibri" w:cstheme="minorHAnsi"/>
          <w:sz w:val="20"/>
          <w:szCs w:val="20"/>
        </w:rPr>
        <w:t xml:space="preserve"> GFŘ.</w:t>
      </w:r>
    </w:p>
    <w:p w:rsidR="00AA659A" w:rsidRDefault="00AA659A" w:rsidP="00FC2101">
      <w:pPr>
        <w:spacing w:after="0"/>
        <w:rPr>
          <w:rFonts w:cstheme="minorHAnsi"/>
          <w:szCs w:val="24"/>
        </w:rPr>
      </w:pPr>
    </w:p>
    <w:p w:rsidR="00AA659A" w:rsidRDefault="00AA659A" w:rsidP="00FC2101">
      <w:pPr>
        <w:spacing w:after="0"/>
        <w:rPr>
          <w:rFonts w:cstheme="minorHAnsi"/>
          <w:szCs w:val="24"/>
        </w:rPr>
      </w:pPr>
      <w:r>
        <w:rPr>
          <w:rFonts w:cstheme="minorHAnsi"/>
          <w:szCs w:val="24"/>
        </w:rPr>
        <w:t xml:space="preserve">NKÚ </w:t>
      </w:r>
      <w:r w:rsidR="000869AC">
        <w:rPr>
          <w:rFonts w:cstheme="minorHAnsi"/>
          <w:szCs w:val="24"/>
        </w:rPr>
        <w:t>z </w:t>
      </w:r>
      <w:r>
        <w:rPr>
          <w:rFonts w:cstheme="minorHAnsi"/>
          <w:szCs w:val="24"/>
        </w:rPr>
        <w:t>dat GFŘ</w:t>
      </w:r>
      <w:r w:rsidRPr="006F41FD">
        <w:rPr>
          <w:rFonts w:cstheme="minorHAnsi"/>
          <w:color w:val="92D050"/>
          <w:szCs w:val="24"/>
        </w:rPr>
        <w:t xml:space="preserve"> </w:t>
      </w:r>
      <w:r>
        <w:rPr>
          <w:rFonts w:cstheme="minorHAnsi"/>
          <w:szCs w:val="24"/>
        </w:rPr>
        <w:t xml:space="preserve">vypočítal, že </w:t>
      </w:r>
      <w:r w:rsidR="000869AC">
        <w:rPr>
          <w:rFonts w:cstheme="minorHAnsi"/>
          <w:szCs w:val="24"/>
        </w:rPr>
        <w:t>v </w:t>
      </w:r>
      <w:r w:rsidRPr="00222C11">
        <w:rPr>
          <w:rFonts w:cstheme="minorHAnsi"/>
          <w:szCs w:val="24"/>
        </w:rPr>
        <w:t xml:space="preserve">důsledku </w:t>
      </w:r>
      <w:r w:rsidRPr="00286633">
        <w:rPr>
          <w:rFonts w:cstheme="minorHAnsi"/>
          <w:szCs w:val="24"/>
        </w:rPr>
        <w:t xml:space="preserve">zavedení </w:t>
      </w:r>
      <w:r>
        <w:rPr>
          <w:rFonts w:cstheme="minorHAnsi"/>
          <w:szCs w:val="24"/>
        </w:rPr>
        <w:t>režimu přenesení daňové povinnosti došlo k výraznému čerpání nadměrných odpočtů u plátců podnikajících ve stavebnictví</w:t>
      </w:r>
      <w:r>
        <w:rPr>
          <w:rStyle w:val="Znakapoznpodarou"/>
          <w:rFonts w:cstheme="minorHAnsi"/>
          <w:szCs w:val="24"/>
        </w:rPr>
        <w:footnoteReference w:id="4"/>
      </w:r>
      <w:r>
        <w:rPr>
          <w:rFonts w:cstheme="minorHAnsi"/>
          <w:szCs w:val="24"/>
        </w:rPr>
        <w:t xml:space="preserve">, přičemž čerpání nadměrných odpočtů převýšilo daňovou povinnost o více než 7 mld. Kč. Zároveň u společností podnikajících ve stavebnictví došlo </w:t>
      </w:r>
      <w:r w:rsidR="000869AC">
        <w:rPr>
          <w:rFonts w:cstheme="minorHAnsi"/>
          <w:szCs w:val="24"/>
        </w:rPr>
        <w:t>v </w:t>
      </w:r>
      <w:r w:rsidR="004968B8">
        <w:rPr>
          <w:rFonts w:cstheme="minorHAnsi"/>
          <w:szCs w:val="24"/>
        </w:rPr>
        <w:t>roce 2013 oproti</w:t>
      </w:r>
      <w:r>
        <w:rPr>
          <w:rFonts w:cstheme="minorHAnsi"/>
          <w:szCs w:val="24"/>
        </w:rPr>
        <w:t xml:space="preserve"> rok</w:t>
      </w:r>
      <w:r w:rsidR="004968B8">
        <w:rPr>
          <w:rFonts w:cstheme="minorHAnsi"/>
          <w:szCs w:val="24"/>
        </w:rPr>
        <w:t>u</w:t>
      </w:r>
      <w:r>
        <w:rPr>
          <w:rFonts w:cstheme="minorHAnsi"/>
          <w:szCs w:val="24"/>
        </w:rPr>
        <w:t xml:space="preserve"> 2011 </w:t>
      </w:r>
      <w:r w:rsidR="000869AC">
        <w:rPr>
          <w:rFonts w:cstheme="minorHAnsi"/>
          <w:szCs w:val="24"/>
        </w:rPr>
        <w:t>k </w:t>
      </w:r>
      <w:r>
        <w:rPr>
          <w:rFonts w:cstheme="minorHAnsi"/>
          <w:szCs w:val="24"/>
        </w:rPr>
        <w:t>poklesu nových</w:t>
      </w:r>
      <w:r w:rsidRPr="00F341D6">
        <w:rPr>
          <w:rStyle w:val="Znakapoznpodarou"/>
          <w:rFonts w:cstheme="minorHAnsi"/>
          <w:szCs w:val="24"/>
        </w:rPr>
        <w:footnoteReference w:id="5"/>
      </w:r>
      <w:r w:rsidRPr="00F341D6">
        <w:rPr>
          <w:rFonts w:cstheme="minorHAnsi"/>
          <w:szCs w:val="24"/>
        </w:rPr>
        <w:t xml:space="preserve"> </w:t>
      </w:r>
      <w:r>
        <w:rPr>
          <w:rFonts w:cstheme="minorHAnsi"/>
          <w:szCs w:val="24"/>
        </w:rPr>
        <w:t xml:space="preserve">nedoplatků o 35 %, zatímco </w:t>
      </w:r>
      <w:r w:rsidR="000869AC">
        <w:rPr>
          <w:rFonts w:cstheme="minorHAnsi"/>
          <w:szCs w:val="24"/>
        </w:rPr>
        <w:t>v </w:t>
      </w:r>
      <w:r>
        <w:rPr>
          <w:rFonts w:cstheme="minorHAnsi"/>
          <w:szCs w:val="24"/>
        </w:rPr>
        <w:t>ostatních odvětvích nové nedoplatky poklesly pouze o</w:t>
      </w:r>
      <w:r w:rsidR="006523CD">
        <w:rPr>
          <w:rFonts w:cstheme="minorHAnsi"/>
          <w:szCs w:val="24"/>
        </w:rPr>
        <w:t> </w:t>
      </w:r>
      <w:r>
        <w:rPr>
          <w:rFonts w:cstheme="minorHAnsi"/>
          <w:szCs w:val="24"/>
        </w:rPr>
        <w:t xml:space="preserve">16 %. Vyšší pokles nových nedoplatků ve stavebnictví potvrzuje pozitivní vliv zavedení režimu přenesení daňové </w:t>
      </w:r>
      <w:r w:rsidRPr="00AA659A">
        <w:rPr>
          <w:rFonts w:cstheme="minorHAnsi"/>
          <w:szCs w:val="24"/>
        </w:rPr>
        <w:t xml:space="preserve">povinnosti, i když vykázání nadměrných odpočtů zvyšuje nároky na kontrolní činnost správců daně. </w:t>
      </w:r>
    </w:p>
    <w:p w:rsidR="00332B26" w:rsidRPr="00AA659A" w:rsidRDefault="00332B26" w:rsidP="00FC2101">
      <w:pPr>
        <w:spacing w:after="0"/>
        <w:rPr>
          <w:rFonts w:cstheme="minorHAnsi"/>
          <w:szCs w:val="24"/>
        </w:rPr>
      </w:pPr>
    </w:p>
    <w:p w:rsidR="00AA659A" w:rsidRPr="00BC522D" w:rsidRDefault="004073A5" w:rsidP="00FC2101">
      <w:pPr>
        <w:pStyle w:val="Nadpis2"/>
        <w:numPr>
          <w:ilvl w:val="0"/>
          <w:numId w:val="0"/>
        </w:numPr>
        <w:spacing w:before="0"/>
        <w:ind w:left="284" w:hanging="284"/>
        <w:rPr>
          <w:sz w:val="24"/>
          <w:szCs w:val="24"/>
        </w:rPr>
      </w:pPr>
      <w:r w:rsidRPr="00BC522D">
        <w:rPr>
          <w:sz w:val="24"/>
          <w:szCs w:val="24"/>
        </w:rPr>
        <w:t xml:space="preserve">3. </w:t>
      </w:r>
      <w:r w:rsidR="00AA659A" w:rsidRPr="00BC522D">
        <w:rPr>
          <w:sz w:val="24"/>
          <w:szCs w:val="24"/>
        </w:rPr>
        <w:t>Nespolehlivý plátce</w:t>
      </w:r>
    </w:p>
    <w:p w:rsidR="00AA659A" w:rsidRDefault="00AA659A" w:rsidP="00FC2101">
      <w:pPr>
        <w:spacing w:after="0"/>
        <w:rPr>
          <w:rFonts w:cstheme="minorHAnsi"/>
          <w:szCs w:val="24"/>
        </w:rPr>
      </w:pPr>
      <w:r>
        <w:rPr>
          <w:rFonts w:cstheme="minorHAnsi"/>
          <w:szCs w:val="24"/>
        </w:rPr>
        <w:t xml:space="preserve">Institut nespolehlivého plátce je účinný od 1. 1. 2013. </w:t>
      </w:r>
      <w:r w:rsidRPr="00DE69E5">
        <w:rPr>
          <w:rFonts w:cstheme="minorHAnsi"/>
          <w:szCs w:val="24"/>
        </w:rPr>
        <w:t>Po</w:t>
      </w:r>
      <w:r>
        <w:rPr>
          <w:rFonts w:cstheme="minorHAnsi"/>
          <w:szCs w:val="24"/>
        </w:rPr>
        <w:t xml:space="preserve">dle důvodové zprávy </w:t>
      </w:r>
      <w:r w:rsidR="000869AC">
        <w:rPr>
          <w:rFonts w:cstheme="minorHAnsi"/>
          <w:szCs w:val="24"/>
        </w:rPr>
        <w:t>k </w:t>
      </w:r>
      <w:r w:rsidR="00E9179F">
        <w:rPr>
          <w:rFonts w:cstheme="minorHAnsi"/>
          <w:szCs w:val="24"/>
        </w:rPr>
        <w:t xml:space="preserve">návrhu </w:t>
      </w:r>
      <w:r>
        <w:rPr>
          <w:rFonts w:cstheme="minorHAnsi"/>
          <w:szCs w:val="24"/>
        </w:rPr>
        <w:t>zákon</w:t>
      </w:r>
      <w:r w:rsidR="00E9179F">
        <w:rPr>
          <w:rFonts w:cstheme="minorHAnsi"/>
          <w:szCs w:val="24"/>
        </w:rPr>
        <w:t>a</w:t>
      </w:r>
      <w:r>
        <w:rPr>
          <w:rFonts w:cstheme="minorHAnsi"/>
          <w:szCs w:val="24"/>
        </w:rPr>
        <w:t xml:space="preserve"> </w:t>
      </w:r>
      <w:r w:rsidRPr="00DE69E5">
        <w:rPr>
          <w:rFonts w:cstheme="minorHAnsi"/>
          <w:szCs w:val="24"/>
        </w:rPr>
        <w:t>byl</w:t>
      </w:r>
      <w:r>
        <w:rPr>
          <w:rFonts w:cstheme="minorHAnsi"/>
          <w:szCs w:val="24"/>
        </w:rPr>
        <w:t>a</w:t>
      </w:r>
      <w:r w:rsidRPr="00DE69E5">
        <w:rPr>
          <w:rFonts w:cstheme="minorHAnsi"/>
          <w:szCs w:val="24"/>
        </w:rPr>
        <w:t xml:space="preserve"> cílem zavedení institutu nespolehlivého plátce </w:t>
      </w:r>
      <w:r>
        <w:rPr>
          <w:rFonts w:cstheme="minorHAnsi"/>
          <w:szCs w:val="24"/>
        </w:rPr>
        <w:t xml:space="preserve">prevence a </w:t>
      </w:r>
      <w:r w:rsidRPr="00DE69E5">
        <w:rPr>
          <w:rFonts w:cstheme="minorHAnsi"/>
          <w:szCs w:val="24"/>
        </w:rPr>
        <w:t>omezení nelegáln</w:t>
      </w:r>
      <w:r>
        <w:rPr>
          <w:rFonts w:cstheme="minorHAnsi"/>
          <w:szCs w:val="24"/>
        </w:rPr>
        <w:t>í činnosti plátců DPH</w:t>
      </w:r>
      <w:r w:rsidRPr="00DE69E5">
        <w:rPr>
          <w:rFonts w:cstheme="minorHAnsi"/>
          <w:szCs w:val="24"/>
        </w:rPr>
        <w:t xml:space="preserve">. Identifikace a zveřejnění nespolehlivých plátců je </w:t>
      </w:r>
      <w:r>
        <w:rPr>
          <w:rFonts w:cstheme="minorHAnsi"/>
          <w:szCs w:val="24"/>
        </w:rPr>
        <w:t xml:space="preserve">i </w:t>
      </w:r>
      <w:r w:rsidRPr="00DE69E5">
        <w:rPr>
          <w:rFonts w:cstheme="minorHAnsi"/>
          <w:szCs w:val="24"/>
        </w:rPr>
        <w:t xml:space="preserve">upozorněním pro jejich obchodní partnery, že obchodují </w:t>
      </w:r>
      <w:r w:rsidR="000869AC">
        <w:rPr>
          <w:rFonts w:cstheme="minorHAnsi"/>
          <w:szCs w:val="24"/>
        </w:rPr>
        <w:t>s </w:t>
      </w:r>
      <w:r w:rsidRPr="00DE69E5">
        <w:rPr>
          <w:rFonts w:cstheme="minorHAnsi"/>
          <w:szCs w:val="24"/>
        </w:rPr>
        <w:t>rizikovými subjekty.</w:t>
      </w:r>
      <w:r w:rsidR="00967341">
        <w:rPr>
          <w:rFonts w:cstheme="minorHAnsi"/>
          <w:szCs w:val="24"/>
        </w:rPr>
        <w:t xml:space="preserve"> </w:t>
      </w:r>
    </w:p>
    <w:p w:rsidR="00332B26" w:rsidRPr="00DE69E5" w:rsidRDefault="00332B26" w:rsidP="00FC2101">
      <w:pPr>
        <w:spacing w:after="0"/>
        <w:rPr>
          <w:rFonts w:cs="Calibri"/>
          <w:szCs w:val="24"/>
        </w:rPr>
      </w:pPr>
    </w:p>
    <w:p w:rsidR="00AA659A" w:rsidRDefault="00AA659A" w:rsidP="00FC2101">
      <w:pPr>
        <w:spacing w:after="0"/>
        <w:rPr>
          <w:szCs w:val="24"/>
        </w:rPr>
      </w:pPr>
      <w:r>
        <w:rPr>
          <w:szCs w:val="24"/>
        </w:rPr>
        <w:t xml:space="preserve">Institut umožňuje správcům daně postihnout plátce, kteří sice závažným způsobem porušují povinnosti vztahující se ke správě daně, ale kterým od 1. 1. 2013 </w:t>
      </w:r>
      <w:r w:rsidR="008472C1">
        <w:rPr>
          <w:szCs w:val="24"/>
        </w:rPr>
        <w:t xml:space="preserve">nemohou finanční úřady </w:t>
      </w:r>
      <w:r w:rsidR="000869AC">
        <w:rPr>
          <w:szCs w:val="24"/>
        </w:rPr>
        <w:t>s </w:t>
      </w:r>
      <w:r>
        <w:rPr>
          <w:szCs w:val="24"/>
        </w:rPr>
        <w:t>ohledem na výši obratu zrušit registraci.</w:t>
      </w:r>
      <w:r w:rsidR="00967341">
        <w:rPr>
          <w:szCs w:val="24"/>
        </w:rPr>
        <w:t xml:space="preserve"> </w:t>
      </w:r>
    </w:p>
    <w:p w:rsidR="00332B26" w:rsidRDefault="00332B26" w:rsidP="00FC2101">
      <w:pPr>
        <w:spacing w:after="0"/>
        <w:rPr>
          <w:rFonts w:cstheme="minorHAnsi"/>
          <w:szCs w:val="24"/>
        </w:rPr>
      </w:pPr>
    </w:p>
    <w:p w:rsidR="00FC2101" w:rsidRDefault="00FC2101" w:rsidP="00FC2101">
      <w:pPr>
        <w:spacing w:after="0"/>
        <w:rPr>
          <w:rFonts w:cstheme="minorHAnsi"/>
          <w:szCs w:val="24"/>
        </w:rPr>
      </w:pPr>
    </w:p>
    <w:p w:rsidR="00AA659A" w:rsidRDefault="000869AC" w:rsidP="00FC2101">
      <w:pPr>
        <w:spacing w:after="0"/>
        <w:rPr>
          <w:rFonts w:cstheme="minorHAnsi"/>
          <w:szCs w:val="24"/>
        </w:rPr>
      </w:pPr>
      <w:r>
        <w:rPr>
          <w:rFonts w:cstheme="minorHAnsi"/>
          <w:szCs w:val="24"/>
        </w:rPr>
        <w:lastRenderedPageBreak/>
        <w:t>V </w:t>
      </w:r>
      <w:r w:rsidR="00FC2101">
        <w:rPr>
          <w:rFonts w:cstheme="minorHAnsi"/>
          <w:szCs w:val="24"/>
        </w:rPr>
        <w:t>letech 2</w:t>
      </w:r>
      <w:r w:rsidR="00AA659A">
        <w:rPr>
          <w:rFonts w:cstheme="minorHAnsi"/>
          <w:szCs w:val="24"/>
        </w:rPr>
        <w:t xml:space="preserve">011 a 2012 </w:t>
      </w:r>
      <w:r w:rsidR="00AA659A" w:rsidRPr="00141B88">
        <w:rPr>
          <w:rFonts w:cstheme="minorHAnsi"/>
          <w:szCs w:val="24"/>
        </w:rPr>
        <w:t xml:space="preserve">kontrolované FÚ zrušily </w:t>
      </w:r>
      <w:r w:rsidR="00AA659A">
        <w:rPr>
          <w:rFonts w:cstheme="minorHAnsi"/>
          <w:szCs w:val="24"/>
        </w:rPr>
        <w:t>pro neplnění povinností registraci 8</w:t>
      </w:r>
      <w:r w:rsidR="00FC2101">
        <w:rPr>
          <w:rFonts w:cstheme="minorHAnsi"/>
          <w:szCs w:val="24"/>
        </w:rPr>
        <w:t> </w:t>
      </w:r>
      <w:r w:rsidR="00AA659A">
        <w:rPr>
          <w:rFonts w:cstheme="minorHAnsi"/>
          <w:szCs w:val="24"/>
        </w:rPr>
        <w:t>770</w:t>
      </w:r>
      <w:r w:rsidR="00FC2101">
        <w:rPr>
          <w:rFonts w:cstheme="minorHAnsi"/>
          <w:szCs w:val="24"/>
        </w:rPr>
        <w:t> </w:t>
      </w:r>
      <w:r w:rsidR="00AA659A">
        <w:rPr>
          <w:rFonts w:cstheme="minorHAnsi"/>
          <w:szCs w:val="24"/>
        </w:rPr>
        <w:t xml:space="preserve">plátcům, zatímco </w:t>
      </w:r>
      <w:r>
        <w:rPr>
          <w:rFonts w:cstheme="minorHAnsi"/>
          <w:szCs w:val="24"/>
        </w:rPr>
        <w:t>v </w:t>
      </w:r>
      <w:r w:rsidR="00AA659A">
        <w:rPr>
          <w:rFonts w:cstheme="minorHAnsi"/>
          <w:szCs w:val="24"/>
        </w:rPr>
        <w:t>roce</w:t>
      </w:r>
      <w:r w:rsidR="00967341">
        <w:rPr>
          <w:rFonts w:cstheme="minorHAnsi"/>
          <w:szCs w:val="24"/>
        </w:rPr>
        <w:t xml:space="preserve"> </w:t>
      </w:r>
      <w:r w:rsidR="00AA659A" w:rsidRPr="004D4F22">
        <w:rPr>
          <w:rFonts w:cstheme="minorHAnsi"/>
          <w:szCs w:val="24"/>
        </w:rPr>
        <w:t xml:space="preserve">2013 a </w:t>
      </w:r>
      <w:r w:rsidR="00AA659A">
        <w:rPr>
          <w:rFonts w:cstheme="minorHAnsi"/>
          <w:szCs w:val="24"/>
        </w:rPr>
        <w:t>1.</w:t>
      </w:r>
      <w:r w:rsidR="00AA659A" w:rsidRPr="004D4F22">
        <w:rPr>
          <w:rFonts w:cstheme="minorHAnsi"/>
          <w:szCs w:val="24"/>
        </w:rPr>
        <w:t xml:space="preserve"> pololetí 2014 </w:t>
      </w:r>
      <w:r w:rsidR="00AA659A">
        <w:rPr>
          <w:rFonts w:cstheme="minorHAnsi"/>
          <w:szCs w:val="24"/>
        </w:rPr>
        <w:t xml:space="preserve">tento počet </w:t>
      </w:r>
      <w:r w:rsidR="00AA659A" w:rsidRPr="004D4F22">
        <w:rPr>
          <w:rFonts w:cstheme="minorHAnsi"/>
          <w:szCs w:val="24"/>
        </w:rPr>
        <w:t>poklesl na 1</w:t>
      </w:r>
      <w:r w:rsidR="00967341">
        <w:rPr>
          <w:rFonts w:cstheme="minorHAnsi"/>
          <w:szCs w:val="24"/>
        </w:rPr>
        <w:t xml:space="preserve"> </w:t>
      </w:r>
      <w:r w:rsidR="00AA659A">
        <w:rPr>
          <w:rFonts w:cstheme="minorHAnsi"/>
          <w:szCs w:val="24"/>
        </w:rPr>
        <w:t>980. Před označením plátce za nespolehlivého musí správce daně vždy přezkoumat, zda mu nemůže zrušit registraci.</w:t>
      </w:r>
      <w:r w:rsidR="00AA659A" w:rsidRPr="004D4F22">
        <w:rPr>
          <w:rFonts w:cstheme="minorHAnsi"/>
          <w:szCs w:val="24"/>
        </w:rPr>
        <w:t xml:space="preserve"> </w:t>
      </w:r>
    </w:p>
    <w:p w:rsidR="00332B26" w:rsidRDefault="00332B26" w:rsidP="00332B26">
      <w:pPr>
        <w:spacing w:after="0"/>
        <w:rPr>
          <w:rFonts w:cstheme="minorHAnsi"/>
          <w:szCs w:val="24"/>
        </w:rPr>
      </w:pPr>
    </w:p>
    <w:p w:rsidR="00AA659A" w:rsidRDefault="00AA659A" w:rsidP="00332B26">
      <w:pPr>
        <w:spacing w:after="0"/>
        <w:rPr>
          <w:rFonts w:cstheme="minorHAnsi"/>
          <w:b/>
          <w:szCs w:val="24"/>
        </w:rPr>
      </w:pPr>
      <w:r w:rsidRPr="001E0593">
        <w:rPr>
          <w:rFonts w:cstheme="minorHAnsi"/>
          <w:b/>
          <w:szCs w:val="24"/>
        </w:rPr>
        <w:t>Graf č. 3</w:t>
      </w:r>
      <w:r w:rsidR="008472C1">
        <w:rPr>
          <w:rFonts w:cstheme="minorHAnsi"/>
          <w:b/>
          <w:szCs w:val="24"/>
        </w:rPr>
        <w:t xml:space="preserve"> –</w:t>
      </w:r>
      <w:r w:rsidR="0013778E">
        <w:rPr>
          <w:rFonts w:cstheme="minorHAnsi"/>
          <w:b/>
          <w:szCs w:val="24"/>
        </w:rPr>
        <w:t xml:space="preserve"> Počet nespolehlivých plátců</w:t>
      </w:r>
    </w:p>
    <w:p w:rsidR="0013778E" w:rsidRPr="001E0593" w:rsidRDefault="00124C46" w:rsidP="00332B26">
      <w:pPr>
        <w:spacing w:after="60"/>
        <w:jc w:val="left"/>
        <w:rPr>
          <w:b/>
          <w:szCs w:val="24"/>
        </w:rPr>
      </w:pPr>
      <w:r>
        <w:rPr>
          <w:noProof/>
          <w:lang w:eastAsia="cs-CZ"/>
        </w:rPr>
        <w:drawing>
          <wp:inline distT="0" distB="0" distL="0" distR="0" wp14:anchorId="49D65185" wp14:editId="3E022B31">
            <wp:extent cx="4695825" cy="245745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778E" w:rsidRPr="002F2322" w:rsidRDefault="0013778E" w:rsidP="00332B26">
      <w:pPr>
        <w:spacing w:after="0"/>
        <w:rPr>
          <w:rFonts w:cstheme="minorHAnsi"/>
          <w:sz w:val="20"/>
          <w:szCs w:val="24"/>
        </w:rPr>
      </w:pPr>
      <w:r w:rsidRPr="00FC2101">
        <w:rPr>
          <w:rFonts w:cstheme="minorHAnsi"/>
          <w:b/>
          <w:sz w:val="20"/>
          <w:szCs w:val="24"/>
        </w:rPr>
        <w:t>Zdroj:</w:t>
      </w:r>
      <w:r w:rsidRPr="002F2322">
        <w:rPr>
          <w:rFonts w:cstheme="minorHAnsi"/>
          <w:sz w:val="20"/>
          <w:szCs w:val="24"/>
        </w:rPr>
        <w:t xml:space="preserve"> </w:t>
      </w:r>
      <w:r w:rsidR="008472C1">
        <w:rPr>
          <w:rFonts w:cstheme="minorHAnsi"/>
          <w:sz w:val="20"/>
          <w:szCs w:val="24"/>
        </w:rPr>
        <w:t>r</w:t>
      </w:r>
      <w:r w:rsidRPr="002F2322">
        <w:rPr>
          <w:rFonts w:cstheme="minorHAnsi"/>
          <w:sz w:val="20"/>
          <w:szCs w:val="24"/>
        </w:rPr>
        <w:t>egistr plátců DPH – stav k</w:t>
      </w:r>
      <w:r w:rsidR="00967341" w:rsidRPr="002F2322">
        <w:rPr>
          <w:rFonts w:cstheme="minorHAnsi"/>
          <w:sz w:val="20"/>
          <w:szCs w:val="24"/>
        </w:rPr>
        <w:t xml:space="preserve"> </w:t>
      </w:r>
      <w:r w:rsidRPr="002F2322">
        <w:rPr>
          <w:rFonts w:cstheme="minorHAnsi"/>
          <w:sz w:val="20"/>
          <w:szCs w:val="24"/>
        </w:rPr>
        <w:t>2. 1. 2015.</w:t>
      </w:r>
    </w:p>
    <w:p w:rsidR="0013778E" w:rsidRDefault="0013778E" w:rsidP="00332B26">
      <w:pPr>
        <w:spacing w:after="0"/>
        <w:rPr>
          <w:rFonts w:cstheme="minorHAnsi"/>
          <w:szCs w:val="24"/>
        </w:rPr>
      </w:pPr>
    </w:p>
    <w:p w:rsidR="0013778E" w:rsidRDefault="0013778E" w:rsidP="00FC2101">
      <w:pPr>
        <w:spacing w:after="0"/>
        <w:rPr>
          <w:rFonts w:cstheme="minorHAnsi"/>
          <w:szCs w:val="24"/>
        </w:rPr>
      </w:pPr>
      <w:r w:rsidRPr="00DE69E5">
        <w:rPr>
          <w:rFonts w:cstheme="minorHAnsi"/>
          <w:szCs w:val="24"/>
        </w:rPr>
        <w:t>Pro jednotné posuzování nespolehlivosti plátc</w:t>
      </w:r>
      <w:r>
        <w:rPr>
          <w:rFonts w:cstheme="minorHAnsi"/>
          <w:szCs w:val="24"/>
        </w:rPr>
        <w:t>e</w:t>
      </w:r>
      <w:r w:rsidRPr="00DE69E5">
        <w:rPr>
          <w:rFonts w:cstheme="minorHAnsi"/>
          <w:szCs w:val="24"/>
        </w:rPr>
        <w:t xml:space="preserve"> </w:t>
      </w:r>
      <w:r w:rsidR="000869AC">
        <w:rPr>
          <w:rFonts w:cstheme="minorHAnsi"/>
          <w:szCs w:val="24"/>
        </w:rPr>
        <w:t>v </w:t>
      </w:r>
      <w:r>
        <w:rPr>
          <w:rFonts w:cstheme="minorHAnsi"/>
          <w:szCs w:val="24"/>
        </w:rPr>
        <w:t xml:space="preserve">celé finanční správě nastavilo GFŘ kritéria, která </w:t>
      </w:r>
      <w:r w:rsidR="000869AC">
        <w:rPr>
          <w:rFonts w:cstheme="minorHAnsi"/>
          <w:szCs w:val="24"/>
        </w:rPr>
        <w:t>v </w:t>
      </w:r>
      <w:r>
        <w:rPr>
          <w:rFonts w:cstheme="minorHAnsi"/>
          <w:szCs w:val="24"/>
        </w:rPr>
        <w:t>letech 2013 a 2014</w:t>
      </w:r>
      <w:r w:rsidRPr="006F41FD">
        <w:rPr>
          <w:rFonts w:cstheme="minorHAnsi"/>
          <w:color w:val="00B050"/>
          <w:szCs w:val="24"/>
        </w:rPr>
        <w:t xml:space="preserve"> </w:t>
      </w:r>
      <w:r>
        <w:rPr>
          <w:rFonts w:cstheme="minorHAnsi"/>
          <w:szCs w:val="24"/>
        </w:rPr>
        <w:t xml:space="preserve">několikrát upravilo. </w:t>
      </w:r>
      <w:r w:rsidRPr="003911CA">
        <w:rPr>
          <w:rFonts w:cstheme="minorHAnsi"/>
          <w:szCs w:val="24"/>
        </w:rPr>
        <w:t xml:space="preserve">Původní kritéria byla nastavena </w:t>
      </w:r>
      <w:r>
        <w:rPr>
          <w:rFonts w:cstheme="minorHAnsi"/>
          <w:szCs w:val="24"/>
        </w:rPr>
        <w:t>mírně</w:t>
      </w:r>
      <w:r w:rsidR="00F0356B">
        <w:rPr>
          <w:rFonts w:cstheme="minorHAnsi"/>
          <w:szCs w:val="24"/>
        </w:rPr>
        <w:t xml:space="preserve"> a</w:t>
      </w:r>
      <w:r w:rsidR="006523CD">
        <w:rPr>
          <w:rFonts w:cstheme="minorHAnsi"/>
          <w:szCs w:val="24"/>
        </w:rPr>
        <w:t> </w:t>
      </w:r>
      <w:r w:rsidR="00F0356B">
        <w:rPr>
          <w:rFonts w:cstheme="minorHAnsi"/>
          <w:szCs w:val="24"/>
        </w:rPr>
        <w:t xml:space="preserve">teprve </w:t>
      </w:r>
      <w:r w:rsidR="000869AC">
        <w:rPr>
          <w:rFonts w:cstheme="minorHAnsi"/>
          <w:szCs w:val="24"/>
        </w:rPr>
        <w:t>v </w:t>
      </w:r>
      <w:r w:rsidR="00F0356B">
        <w:rPr>
          <w:rFonts w:cstheme="minorHAnsi"/>
          <w:szCs w:val="24"/>
        </w:rPr>
        <w:t>průběhu doby byla doplňována</w:t>
      </w:r>
      <w:r w:rsidR="00460507">
        <w:rPr>
          <w:rFonts w:cstheme="minorHAnsi"/>
          <w:szCs w:val="24"/>
        </w:rPr>
        <w:t>,</w:t>
      </w:r>
      <w:r w:rsidR="00F0356B">
        <w:rPr>
          <w:rFonts w:cstheme="minorHAnsi"/>
          <w:szCs w:val="24"/>
        </w:rPr>
        <w:t xml:space="preserve"> např. o porušení povinností nepeněžité povahy</w:t>
      </w:r>
      <w:r w:rsidR="00460507">
        <w:rPr>
          <w:rFonts w:cstheme="minorHAnsi"/>
          <w:szCs w:val="24"/>
        </w:rPr>
        <w:t>,</w:t>
      </w:r>
      <w:r w:rsidR="00F0356B">
        <w:rPr>
          <w:rFonts w:cstheme="minorHAnsi"/>
          <w:szCs w:val="24"/>
        </w:rPr>
        <w:t xml:space="preserve"> a</w:t>
      </w:r>
      <w:r w:rsidR="006523CD">
        <w:rPr>
          <w:rFonts w:cstheme="minorHAnsi"/>
          <w:szCs w:val="24"/>
        </w:rPr>
        <w:t> </w:t>
      </w:r>
      <w:r w:rsidR="00F0356B">
        <w:rPr>
          <w:rFonts w:cstheme="minorHAnsi"/>
          <w:szCs w:val="24"/>
        </w:rPr>
        <w:t>bylo zpřísněno kritérium pro výši nedoplatku evidovaného na osobním daňovém účtu nejméně po dobu tří kalendářních měsíců.</w:t>
      </w:r>
      <w:r w:rsidRPr="00E65F0F">
        <w:rPr>
          <w:rFonts w:cstheme="minorHAnsi"/>
          <w:color w:val="00B050"/>
          <w:szCs w:val="24"/>
        </w:rPr>
        <w:t xml:space="preserve"> </w:t>
      </w:r>
      <w:r w:rsidRPr="00AD6925">
        <w:rPr>
          <w:rFonts w:cstheme="minorHAnsi"/>
          <w:szCs w:val="24"/>
        </w:rPr>
        <w:t xml:space="preserve">Výrazný pokles </w:t>
      </w:r>
      <w:r w:rsidR="008472C1">
        <w:rPr>
          <w:rFonts w:cstheme="minorHAnsi"/>
          <w:szCs w:val="24"/>
        </w:rPr>
        <w:t xml:space="preserve">počtu </w:t>
      </w:r>
      <w:r w:rsidRPr="00AD6925">
        <w:rPr>
          <w:rFonts w:cstheme="minorHAnsi"/>
          <w:szCs w:val="24"/>
        </w:rPr>
        <w:t xml:space="preserve">zrušených registrací se měl projevit na nárůstu </w:t>
      </w:r>
      <w:r w:rsidR="008472C1">
        <w:rPr>
          <w:rFonts w:cstheme="minorHAnsi"/>
          <w:szCs w:val="24"/>
        </w:rPr>
        <w:t xml:space="preserve">počtu </w:t>
      </w:r>
      <w:r w:rsidRPr="00AD6925">
        <w:rPr>
          <w:rFonts w:cstheme="minorHAnsi"/>
          <w:szCs w:val="24"/>
        </w:rPr>
        <w:t xml:space="preserve">nespolehlivých plátců, ale </w:t>
      </w:r>
      <w:r w:rsidR="000869AC">
        <w:rPr>
          <w:rFonts w:cstheme="minorHAnsi"/>
          <w:szCs w:val="24"/>
        </w:rPr>
        <w:t>k </w:t>
      </w:r>
      <w:r w:rsidRPr="00AD6925">
        <w:rPr>
          <w:rFonts w:cstheme="minorHAnsi"/>
          <w:szCs w:val="24"/>
        </w:rPr>
        <w:t>tomu nedošlo.</w:t>
      </w:r>
      <w:r w:rsidR="00F0356B">
        <w:rPr>
          <w:rFonts w:cstheme="minorHAnsi"/>
          <w:szCs w:val="24"/>
        </w:rPr>
        <w:t xml:space="preserve"> </w:t>
      </w:r>
      <w:r w:rsidR="000869AC">
        <w:rPr>
          <w:rFonts w:cstheme="minorHAnsi"/>
          <w:szCs w:val="24"/>
        </w:rPr>
        <w:t>K </w:t>
      </w:r>
      <w:r w:rsidR="00F0356B">
        <w:rPr>
          <w:rFonts w:cstheme="minorHAnsi"/>
          <w:szCs w:val="24"/>
        </w:rPr>
        <w:t xml:space="preserve">31. 12. 2014 bylo </w:t>
      </w:r>
      <w:r w:rsidR="000869AC">
        <w:rPr>
          <w:rFonts w:cstheme="minorHAnsi"/>
          <w:szCs w:val="24"/>
        </w:rPr>
        <w:t>v </w:t>
      </w:r>
      <w:r w:rsidR="008472C1">
        <w:rPr>
          <w:rFonts w:cstheme="minorHAnsi"/>
          <w:szCs w:val="24"/>
        </w:rPr>
        <w:t>r</w:t>
      </w:r>
      <w:r w:rsidR="00A926CF">
        <w:rPr>
          <w:rFonts w:cstheme="minorHAnsi"/>
          <w:szCs w:val="24"/>
        </w:rPr>
        <w:t>egistru plátců DPH zveřejněno</w:t>
      </w:r>
      <w:r w:rsidR="00F0356B">
        <w:rPr>
          <w:rFonts w:cstheme="minorHAnsi"/>
          <w:szCs w:val="24"/>
        </w:rPr>
        <w:t xml:space="preserve"> pouze 156 nespolehlivých plátců.</w:t>
      </w:r>
    </w:p>
    <w:p w:rsidR="00332B26" w:rsidRPr="00AD6925" w:rsidRDefault="00332B26" w:rsidP="00FC2101">
      <w:pPr>
        <w:spacing w:after="0"/>
        <w:rPr>
          <w:rFonts w:cstheme="minorHAnsi"/>
          <w:strike/>
          <w:szCs w:val="24"/>
        </w:rPr>
      </w:pPr>
    </w:p>
    <w:p w:rsidR="0013778E" w:rsidRDefault="000869AC" w:rsidP="00FC2101">
      <w:pPr>
        <w:spacing w:after="0"/>
        <w:rPr>
          <w:szCs w:val="24"/>
        </w:rPr>
      </w:pPr>
      <w:r>
        <w:rPr>
          <w:szCs w:val="24"/>
        </w:rPr>
        <w:t>V </w:t>
      </w:r>
      <w:r w:rsidR="0013778E">
        <w:rPr>
          <w:szCs w:val="24"/>
        </w:rPr>
        <w:t xml:space="preserve">období od ledna do srpna 2014 poklesl počet dlužníků </w:t>
      </w:r>
      <w:r>
        <w:rPr>
          <w:szCs w:val="24"/>
        </w:rPr>
        <w:t>z </w:t>
      </w:r>
      <w:r w:rsidR="0013778E">
        <w:rPr>
          <w:szCs w:val="24"/>
        </w:rPr>
        <w:t xml:space="preserve">88 </w:t>
      </w:r>
      <w:r>
        <w:rPr>
          <w:szCs w:val="24"/>
        </w:rPr>
        <w:t>s </w:t>
      </w:r>
      <w:r w:rsidR="0013778E">
        <w:rPr>
          <w:szCs w:val="24"/>
        </w:rPr>
        <w:t>nedoplatkem ve výši 30 243 mil.</w:t>
      </w:r>
      <w:r w:rsidR="0013778E">
        <w:t> </w:t>
      </w:r>
      <w:r w:rsidR="0013778E">
        <w:rPr>
          <w:szCs w:val="24"/>
        </w:rPr>
        <w:t xml:space="preserve">Kč na 62 </w:t>
      </w:r>
      <w:r>
        <w:rPr>
          <w:szCs w:val="24"/>
        </w:rPr>
        <w:t>s </w:t>
      </w:r>
      <w:r w:rsidR="0013778E">
        <w:rPr>
          <w:szCs w:val="24"/>
        </w:rPr>
        <w:t>nedoplatkem ve výši 18</w:t>
      </w:r>
      <w:r w:rsidR="00967341">
        <w:rPr>
          <w:szCs w:val="24"/>
        </w:rPr>
        <w:t xml:space="preserve"> </w:t>
      </w:r>
      <w:r w:rsidR="0013778E">
        <w:rPr>
          <w:szCs w:val="24"/>
        </w:rPr>
        <w:t xml:space="preserve">914 mil. Kč. Pokles koresponduje </w:t>
      </w:r>
      <w:r>
        <w:rPr>
          <w:szCs w:val="24"/>
        </w:rPr>
        <w:t>s </w:t>
      </w:r>
      <w:r w:rsidR="0013778E">
        <w:rPr>
          <w:szCs w:val="24"/>
        </w:rPr>
        <w:t>objemem odepsaných nedoplatků ve výši 12</w:t>
      </w:r>
      <w:r w:rsidR="006010BA">
        <w:rPr>
          <w:szCs w:val="24"/>
        </w:rPr>
        <w:t xml:space="preserve"> </w:t>
      </w:r>
      <w:r w:rsidR="0013778E">
        <w:rPr>
          <w:szCs w:val="24"/>
        </w:rPr>
        <w:t>8</w:t>
      </w:r>
      <w:r w:rsidR="001E2B36">
        <w:rPr>
          <w:szCs w:val="24"/>
        </w:rPr>
        <w:t>17</w:t>
      </w:r>
      <w:r w:rsidR="0013778E">
        <w:rPr>
          <w:szCs w:val="24"/>
        </w:rPr>
        <w:t xml:space="preserve"> m</w:t>
      </w:r>
      <w:r w:rsidR="006010BA">
        <w:rPr>
          <w:szCs w:val="24"/>
        </w:rPr>
        <w:t>il</w:t>
      </w:r>
      <w:r w:rsidR="0013778E">
        <w:rPr>
          <w:szCs w:val="24"/>
        </w:rPr>
        <w:t xml:space="preserve">. Kč. </w:t>
      </w:r>
    </w:p>
    <w:p w:rsidR="00332B26" w:rsidRDefault="00332B26" w:rsidP="00FC2101">
      <w:pPr>
        <w:spacing w:after="0"/>
        <w:rPr>
          <w:szCs w:val="24"/>
        </w:rPr>
      </w:pPr>
    </w:p>
    <w:p w:rsidR="0013778E" w:rsidRDefault="0013778E" w:rsidP="00FC2101">
      <w:pPr>
        <w:spacing w:after="0"/>
        <w:rPr>
          <w:szCs w:val="24"/>
        </w:rPr>
      </w:pPr>
      <w:r>
        <w:rPr>
          <w:szCs w:val="24"/>
        </w:rPr>
        <w:t xml:space="preserve">Jedním </w:t>
      </w:r>
      <w:r w:rsidR="000869AC">
        <w:rPr>
          <w:szCs w:val="24"/>
        </w:rPr>
        <w:t>z </w:t>
      </w:r>
      <w:r>
        <w:rPr>
          <w:szCs w:val="24"/>
        </w:rPr>
        <w:t xml:space="preserve">nových kritérií, kdy správce daně rozhodne o nespolehlivosti plátce, je opakované nepodání daňového přiznání, hlášení nebo výpisu </w:t>
      </w:r>
      <w:r w:rsidR="000869AC">
        <w:rPr>
          <w:szCs w:val="24"/>
        </w:rPr>
        <w:t>z </w:t>
      </w:r>
      <w:r>
        <w:rPr>
          <w:szCs w:val="24"/>
        </w:rPr>
        <w:t>evidence.</w:t>
      </w:r>
      <w:r w:rsidRPr="00ED004F">
        <w:rPr>
          <w:color w:val="92D050"/>
          <w:szCs w:val="24"/>
        </w:rPr>
        <w:t xml:space="preserve"> </w:t>
      </w:r>
      <w:r w:rsidR="000869AC">
        <w:rPr>
          <w:szCs w:val="24"/>
        </w:rPr>
        <w:t>V </w:t>
      </w:r>
      <w:r w:rsidRPr="0072036B">
        <w:rPr>
          <w:szCs w:val="24"/>
        </w:rPr>
        <w:t>období od 1. 4. 2011 do 31.</w:t>
      </w:r>
      <w:r>
        <w:rPr>
          <w:szCs w:val="24"/>
        </w:rPr>
        <w:t> </w:t>
      </w:r>
      <w:r w:rsidRPr="0072036B">
        <w:rPr>
          <w:szCs w:val="24"/>
        </w:rPr>
        <w:t>12.</w:t>
      </w:r>
      <w:r>
        <w:rPr>
          <w:szCs w:val="24"/>
        </w:rPr>
        <w:t> </w:t>
      </w:r>
      <w:r w:rsidRPr="0072036B">
        <w:rPr>
          <w:szCs w:val="24"/>
        </w:rPr>
        <w:t xml:space="preserve">2013 nepodalo pouze na kontrolovaných FÚ </w:t>
      </w:r>
      <w:r>
        <w:rPr>
          <w:szCs w:val="24"/>
        </w:rPr>
        <w:t>8</w:t>
      </w:r>
      <w:r w:rsidR="00357A5B">
        <w:rPr>
          <w:szCs w:val="24"/>
        </w:rPr>
        <w:t> </w:t>
      </w:r>
      <w:r w:rsidRPr="00187C71">
        <w:rPr>
          <w:szCs w:val="24"/>
        </w:rPr>
        <w:t xml:space="preserve">524 </w:t>
      </w:r>
      <w:r w:rsidRPr="0072036B">
        <w:rPr>
          <w:szCs w:val="24"/>
        </w:rPr>
        <w:t xml:space="preserve">plátců poskytujících nebo přijímajících zdanitelná plnění </w:t>
      </w:r>
      <w:r w:rsidR="000869AC">
        <w:rPr>
          <w:szCs w:val="24"/>
        </w:rPr>
        <w:t>v </w:t>
      </w:r>
      <w:r w:rsidRPr="0072036B">
        <w:rPr>
          <w:szCs w:val="24"/>
        </w:rPr>
        <w:t xml:space="preserve">režimu přenesení daňové povinnosti výpisy </w:t>
      </w:r>
      <w:r w:rsidR="000869AC">
        <w:rPr>
          <w:szCs w:val="24"/>
        </w:rPr>
        <w:t>z </w:t>
      </w:r>
      <w:r w:rsidRPr="0072036B">
        <w:rPr>
          <w:szCs w:val="24"/>
        </w:rPr>
        <w:t>evidence.</w:t>
      </w:r>
      <w:r>
        <w:rPr>
          <w:szCs w:val="24"/>
        </w:rPr>
        <w:t xml:space="preserve"> </w:t>
      </w:r>
    </w:p>
    <w:p w:rsidR="00332B26" w:rsidRDefault="00332B26" w:rsidP="00FC2101">
      <w:pPr>
        <w:spacing w:after="0"/>
        <w:rPr>
          <w:szCs w:val="24"/>
        </w:rPr>
      </w:pPr>
    </w:p>
    <w:p w:rsidR="0013778E" w:rsidRDefault="0013778E" w:rsidP="00FC2101">
      <w:pPr>
        <w:spacing w:after="0"/>
        <w:rPr>
          <w:rFonts w:cstheme="minorHAnsi"/>
          <w:szCs w:val="24"/>
        </w:rPr>
      </w:pPr>
      <w:r w:rsidRPr="0088506B">
        <w:rPr>
          <w:rFonts w:cstheme="minorHAnsi"/>
          <w:szCs w:val="24"/>
        </w:rPr>
        <w:t xml:space="preserve">NKÚ zjistil, že čtyři kontrolované FÚ na základě požadavku GFŘ </w:t>
      </w:r>
      <w:r w:rsidR="000869AC">
        <w:rPr>
          <w:rFonts w:cstheme="minorHAnsi"/>
          <w:szCs w:val="24"/>
        </w:rPr>
        <w:t>v </w:t>
      </w:r>
      <w:r w:rsidRPr="0088506B">
        <w:rPr>
          <w:rFonts w:cstheme="minorHAnsi"/>
          <w:szCs w:val="24"/>
        </w:rPr>
        <w:t>březnu a dubnu 2014 prověřily 1 035 plátců, kterým byly vydány po</w:t>
      </w:r>
      <w:r w:rsidR="00967341">
        <w:rPr>
          <w:rFonts w:cstheme="minorHAnsi"/>
          <w:szCs w:val="24"/>
        </w:rPr>
        <w:t xml:space="preserve"> </w:t>
      </w:r>
      <w:r w:rsidRPr="0088506B">
        <w:rPr>
          <w:rFonts w:cstheme="minorHAnsi"/>
          <w:szCs w:val="24"/>
        </w:rPr>
        <w:t>1.</w:t>
      </w:r>
      <w:r w:rsidR="00967341">
        <w:rPr>
          <w:rFonts w:cstheme="minorHAnsi"/>
          <w:szCs w:val="24"/>
        </w:rPr>
        <w:t xml:space="preserve"> </w:t>
      </w:r>
      <w:r w:rsidRPr="0088506B">
        <w:rPr>
          <w:rFonts w:cstheme="minorHAnsi"/>
          <w:szCs w:val="24"/>
        </w:rPr>
        <w:t>1.</w:t>
      </w:r>
      <w:r w:rsidR="00967341">
        <w:rPr>
          <w:rFonts w:cstheme="minorHAnsi"/>
          <w:szCs w:val="24"/>
        </w:rPr>
        <w:t xml:space="preserve"> </w:t>
      </w:r>
      <w:r w:rsidRPr="0088506B">
        <w:rPr>
          <w:rFonts w:cstheme="minorHAnsi"/>
          <w:szCs w:val="24"/>
        </w:rPr>
        <w:t>2013 zajišťovací příkazy nebo u nich byly evidovány nedoplatky na DPH nad</w:t>
      </w:r>
      <w:r w:rsidR="00967341">
        <w:rPr>
          <w:rFonts w:cstheme="minorHAnsi"/>
          <w:szCs w:val="24"/>
        </w:rPr>
        <w:t xml:space="preserve"> </w:t>
      </w:r>
      <w:r w:rsidRPr="0088506B">
        <w:rPr>
          <w:rFonts w:cstheme="minorHAnsi"/>
          <w:szCs w:val="24"/>
        </w:rPr>
        <w:t>10</w:t>
      </w:r>
      <w:r w:rsidR="00967341">
        <w:rPr>
          <w:rFonts w:cstheme="minorHAnsi"/>
          <w:szCs w:val="24"/>
        </w:rPr>
        <w:t xml:space="preserve"> </w:t>
      </w:r>
      <w:r w:rsidRPr="0088506B">
        <w:rPr>
          <w:rFonts w:cstheme="minorHAnsi"/>
          <w:szCs w:val="24"/>
        </w:rPr>
        <w:t xml:space="preserve">mil. Kč. </w:t>
      </w:r>
      <w:r w:rsidR="000869AC">
        <w:rPr>
          <w:rFonts w:cstheme="minorHAnsi"/>
          <w:szCs w:val="24"/>
        </w:rPr>
        <w:t>Z</w:t>
      </w:r>
      <w:r w:rsidR="008472C1">
        <w:rPr>
          <w:rFonts w:cstheme="minorHAnsi"/>
          <w:szCs w:val="24"/>
        </w:rPr>
        <w:t> tohoto počtu</w:t>
      </w:r>
      <w:r w:rsidRPr="0088506B">
        <w:rPr>
          <w:rFonts w:cstheme="minorHAnsi"/>
          <w:szCs w:val="24"/>
        </w:rPr>
        <w:t xml:space="preserve"> plátců zrušili správci daně registraci 520 subjektů</w:t>
      </w:r>
      <w:r w:rsidR="008472C1">
        <w:rPr>
          <w:rFonts w:cstheme="minorHAnsi"/>
          <w:szCs w:val="24"/>
        </w:rPr>
        <w:t>m</w:t>
      </w:r>
      <w:r w:rsidRPr="0088506B">
        <w:rPr>
          <w:rFonts w:cstheme="minorHAnsi"/>
          <w:szCs w:val="24"/>
        </w:rPr>
        <w:t xml:space="preserve"> a</w:t>
      </w:r>
      <w:r w:rsidR="00967341">
        <w:rPr>
          <w:rFonts w:cstheme="minorHAnsi"/>
          <w:szCs w:val="24"/>
        </w:rPr>
        <w:t xml:space="preserve"> </w:t>
      </w:r>
      <w:r w:rsidR="000869AC">
        <w:rPr>
          <w:rFonts w:cstheme="minorHAnsi"/>
          <w:szCs w:val="24"/>
        </w:rPr>
        <w:t>s</w:t>
      </w:r>
      <w:r w:rsidR="008472C1">
        <w:rPr>
          <w:rFonts w:cstheme="minorHAnsi"/>
          <w:szCs w:val="24"/>
        </w:rPr>
        <w:t xml:space="preserve"> </w:t>
      </w:r>
      <w:r w:rsidRPr="0088506B">
        <w:rPr>
          <w:rFonts w:cstheme="minorHAnsi"/>
          <w:szCs w:val="24"/>
        </w:rPr>
        <w:t>59 daňovými subjekty zahájili řízení o nespolehlivosti. Ve zbývajících případech nebyly splněny podmínky pro rozhodnutí o nespolehlivosti plátce, neboť se jednalo o nedoplatky, které vznikly před 1. 1. 2013</w:t>
      </w:r>
      <w:r w:rsidR="008472C1">
        <w:rPr>
          <w:rFonts w:cstheme="minorHAnsi"/>
          <w:szCs w:val="24"/>
        </w:rPr>
        <w:t>,</w:t>
      </w:r>
      <w:r w:rsidRPr="0088506B">
        <w:rPr>
          <w:rFonts w:cstheme="minorHAnsi"/>
          <w:szCs w:val="24"/>
        </w:rPr>
        <w:t xml:space="preserve"> nebo nedoplatky na DPH po odečtení nedoplatků na příslušenství nedosáhly 10 mil. Kč, případně bylo proti zajišťovacímu příkazu podáno odvolání.</w:t>
      </w:r>
      <w:r w:rsidRPr="00DE69E5">
        <w:rPr>
          <w:rFonts w:cstheme="minorHAnsi"/>
          <w:szCs w:val="24"/>
        </w:rPr>
        <w:t xml:space="preserve"> </w:t>
      </w:r>
    </w:p>
    <w:p w:rsidR="0013778E" w:rsidRDefault="0013778E" w:rsidP="00332B26">
      <w:pPr>
        <w:spacing w:after="0"/>
      </w:pPr>
    </w:p>
    <w:p w:rsidR="0013778E" w:rsidRPr="008E06E0" w:rsidRDefault="0013778E" w:rsidP="00332B26">
      <w:pPr>
        <w:spacing w:after="0"/>
      </w:pPr>
      <w:r w:rsidRPr="00DE69E5">
        <w:lastRenderedPageBreak/>
        <w:t xml:space="preserve">Na kontrolovaných FÚ bylo prověřeno 116 řízení o nespolehlivosti plátce, </w:t>
      </w:r>
      <w:r w:rsidR="000869AC">
        <w:t>z </w:t>
      </w:r>
      <w:r w:rsidRPr="00DE69E5">
        <w:t xml:space="preserve">nichž 109 bylo ukončeno vydáním pravomocného rozhodnutí. Důvodem </w:t>
      </w:r>
      <w:r w:rsidR="000869AC">
        <w:t>k </w:t>
      </w:r>
      <w:r w:rsidRPr="00DE69E5">
        <w:t>zahájení řízení bylo:</w:t>
      </w:r>
      <w:r w:rsidR="00967341">
        <w:t xml:space="preserve"> </w:t>
      </w:r>
    </w:p>
    <w:p w:rsidR="0013778E" w:rsidRPr="00B97362" w:rsidRDefault="0013778E" w:rsidP="0013778E">
      <w:pPr>
        <w:pStyle w:val="Odstavecseseznamem"/>
      </w:pPr>
      <w:r w:rsidRPr="00B97362">
        <w:t>u</w:t>
      </w:r>
      <w:r w:rsidR="00967341">
        <w:t xml:space="preserve"> </w:t>
      </w:r>
      <w:r w:rsidRPr="00A10DB7">
        <w:t xml:space="preserve">19 </w:t>
      </w:r>
      <w:r w:rsidRPr="00B97362">
        <w:t>plátců vyměření nebo doměření DPH podle pomůcek ve výši 500 tis. Kč a více</w:t>
      </w:r>
      <w:r w:rsidR="00A926CF">
        <w:t>;</w:t>
      </w:r>
    </w:p>
    <w:p w:rsidR="0013778E" w:rsidRPr="00B97362" w:rsidRDefault="0013778E" w:rsidP="0013778E">
      <w:pPr>
        <w:pStyle w:val="Odstavecseseznamem"/>
      </w:pPr>
      <w:r w:rsidRPr="004D4F22">
        <w:t xml:space="preserve">u </w:t>
      </w:r>
      <w:r w:rsidRPr="00A10DB7">
        <w:t>73</w:t>
      </w:r>
      <w:r w:rsidRPr="00B97362">
        <w:t xml:space="preserve"> plátců vydání zajišťovacího příkazu, který nebyl ve lhůtě splatnosti uhrazen</w:t>
      </w:r>
      <w:r w:rsidR="00A926CF">
        <w:t>;</w:t>
      </w:r>
    </w:p>
    <w:p w:rsidR="0013778E" w:rsidRPr="00B97362" w:rsidRDefault="0013778E" w:rsidP="0013778E">
      <w:pPr>
        <w:pStyle w:val="Odstavecseseznamem"/>
      </w:pPr>
      <w:r w:rsidRPr="00B97362">
        <w:t xml:space="preserve">u </w:t>
      </w:r>
      <w:r w:rsidRPr="00A10DB7">
        <w:t>18</w:t>
      </w:r>
      <w:r w:rsidRPr="00B97362">
        <w:t xml:space="preserve"> plátců evidov</w:t>
      </w:r>
      <w:r w:rsidR="008472C1">
        <w:t>ání</w:t>
      </w:r>
      <w:r w:rsidRPr="00B97362">
        <w:t xml:space="preserve"> nedoplat</w:t>
      </w:r>
      <w:r w:rsidR="008472C1">
        <w:t>ku</w:t>
      </w:r>
      <w:r w:rsidRPr="00B97362">
        <w:t xml:space="preserve"> minimálně ve výši 10 mil. Kč</w:t>
      </w:r>
      <w:r w:rsidR="004968B8">
        <w:t xml:space="preserve"> po dobu tří měsíců</w:t>
      </w:r>
      <w:r w:rsidR="00A926CF">
        <w:t>;</w:t>
      </w:r>
    </w:p>
    <w:p w:rsidR="0013778E" w:rsidRPr="00DE69E5" w:rsidRDefault="004968B8" w:rsidP="00FC2101">
      <w:pPr>
        <w:pStyle w:val="Odstavecseseznamem"/>
        <w:spacing w:after="0"/>
      </w:pPr>
      <w:r>
        <w:t xml:space="preserve">u </w:t>
      </w:r>
      <w:r w:rsidR="0013778E" w:rsidRPr="00BA010A">
        <w:t>6 plátců snížen</w:t>
      </w:r>
      <w:r>
        <w:t>í</w:t>
      </w:r>
      <w:r w:rsidR="0013778E" w:rsidRPr="00BA010A">
        <w:t xml:space="preserve"> uplatněn</w:t>
      </w:r>
      <w:r>
        <w:t>ého</w:t>
      </w:r>
      <w:r w:rsidR="0013778E" w:rsidRPr="00BA010A">
        <w:t xml:space="preserve"> </w:t>
      </w:r>
      <w:r w:rsidR="0013778E" w:rsidRPr="00DE69E5">
        <w:t>nárok</w:t>
      </w:r>
      <w:r>
        <w:t>u</w:t>
      </w:r>
      <w:r w:rsidR="0013778E" w:rsidRPr="00DE69E5">
        <w:t xml:space="preserve"> na odpočet daně minimálně o 500 </w:t>
      </w:r>
      <w:r w:rsidR="0013778E">
        <w:t>tis.</w:t>
      </w:r>
      <w:r w:rsidR="0013778E" w:rsidRPr="00DE69E5">
        <w:t xml:space="preserve"> Kč</w:t>
      </w:r>
      <w:r w:rsidR="008472C1">
        <w:t>,</w:t>
      </w:r>
      <w:r w:rsidR="0013778E" w:rsidRPr="00DE69E5">
        <w:t xml:space="preserve"> </w:t>
      </w:r>
      <w:r>
        <w:t>přičemž</w:t>
      </w:r>
      <w:r w:rsidR="00967341">
        <w:t xml:space="preserve"> </w:t>
      </w:r>
      <w:r w:rsidR="0013778E" w:rsidRPr="00DE69E5">
        <w:t xml:space="preserve">související doměrek nebyl zcela uhrazen </w:t>
      </w:r>
      <w:r w:rsidR="000869AC">
        <w:t>v </w:t>
      </w:r>
      <w:r w:rsidR="0013778E" w:rsidRPr="00DE69E5">
        <w:t>náhradní lhůtě splatnosti.</w:t>
      </w:r>
    </w:p>
    <w:p w:rsidR="00332B26" w:rsidRDefault="00332B26" w:rsidP="00FC2101">
      <w:pPr>
        <w:spacing w:after="0"/>
      </w:pPr>
    </w:p>
    <w:p w:rsidR="0013778E" w:rsidRDefault="0013778E" w:rsidP="00FC2101">
      <w:pPr>
        <w:spacing w:after="0"/>
      </w:pPr>
      <w:r>
        <w:t xml:space="preserve">NKÚ zjistil, že </w:t>
      </w:r>
      <w:r w:rsidR="009826CE">
        <w:t xml:space="preserve">jeden </w:t>
      </w:r>
      <w:r>
        <w:t xml:space="preserve">FÚ nezrušil registraci </w:t>
      </w:r>
      <w:r w:rsidR="000869AC">
        <w:t>k </w:t>
      </w:r>
      <w:r>
        <w:t xml:space="preserve">DPH ani nezahájil řízení o nespolehlivosti </w:t>
      </w:r>
    </w:p>
    <w:p w:rsidR="0013778E" w:rsidRDefault="0013778E" w:rsidP="0013778E">
      <w:pPr>
        <w:pStyle w:val="Odstavecseseznamem"/>
      </w:pPr>
      <w:r>
        <w:t>u pěti plátců, kterým správce doměřil po</w:t>
      </w:r>
      <w:r w:rsidR="00967341">
        <w:t xml:space="preserve"> </w:t>
      </w:r>
      <w:r>
        <w:t>1.</w:t>
      </w:r>
      <w:r w:rsidR="00967341">
        <w:t xml:space="preserve"> </w:t>
      </w:r>
      <w:r>
        <w:t>1.</w:t>
      </w:r>
      <w:r w:rsidR="00967341">
        <w:t xml:space="preserve"> </w:t>
      </w:r>
      <w:r>
        <w:t xml:space="preserve">2013 DPH podle pomůcek </w:t>
      </w:r>
      <w:r w:rsidR="000869AC">
        <w:t>v </w:t>
      </w:r>
      <w:r>
        <w:t xml:space="preserve">min. výši 500 000 Kč, </w:t>
      </w:r>
      <w:r w:rsidR="006F5197">
        <w:t>přitom</w:t>
      </w:r>
      <w:r>
        <w:t xml:space="preserve"> se jednalo o plátce, kteří dlouhodobě nepodávali DAP a nehradili daňové povinnosti;</w:t>
      </w:r>
    </w:p>
    <w:p w:rsidR="0013778E" w:rsidRDefault="0013778E" w:rsidP="00FC2101">
      <w:pPr>
        <w:pStyle w:val="Odstavecseseznamem"/>
        <w:spacing w:after="0"/>
      </w:pPr>
      <w:r>
        <w:t xml:space="preserve">u sedmi plátců, jejichž evidované nedoplatky na DPH </w:t>
      </w:r>
      <w:r w:rsidR="000869AC">
        <w:t>v </w:t>
      </w:r>
      <w:r>
        <w:t xml:space="preserve">minimální výši 10 mil. Kč vznikly po 1. 1. 2013 a trvaly déle než tři kalendářní měsíce, </w:t>
      </w:r>
      <w:r w:rsidR="006F5197">
        <w:t>navíc</w:t>
      </w:r>
      <w:r>
        <w:t xml:space="preserve"> se jednalo o plátce, kteří dlouhodobě nepodávali DAP a nehradili daňové povinnosti.</w:t>
      </w:r>
    </w:p>
    <w:p w:rsidR="00332B26" w:rsidRDefault="00332B26" w:rsidP="00FC2101">
      <w:pPr>
        <w:spacing w:after="0"/>
        <w:rPr>
          <w:rFonts w:cstheme="minorHAnsi"/>
          <w:color w:val="000000" w:themeColor="text1"/>
          <w:szCs w:val="24"/>
        </w:rPr>
      </w:pPr>
    </w:p>
    <w:p w:rsidR="0013778E" w:rsidRDefault="0013778E" w:rsidP="00FC2101">
      <w:pPr>
        <w:spacing w:after="0"/>
        <w:rPr>
          <w:rFonts w:cstheme="minorHAnsi"/>
          <w:color w:val="000000" w:themeColor="text1"/>
          <w:szCs w:val="24"/>
        </w:rPr>
      </w:pPr>
      <w:r w:rsidRPr="00E74265">
        <w:rPr>
          <w:rFonts w:cstheme="minorHAnsi"/>
          <w:color w:val="000000" w:themeColor="text1"/>
          <w:szCs w:val="24"/>
        </w:rPr>
        <w:t xml:space="preserve">Ze 109 nespolehlivých plátců cca 90 % následně nepodávalo DAP, případně </w:t>
      </w:r>
      <w:r w:rsidR="000869AC">
        <w:rPr>
          <w:rFonts w:cstheme="minorHAnsi"/>
          <w:color w:val="000000" w:themeColor="text1"/>
          <w:szCs w:val="24"/>
        </w:rPr>
        <w:t>v </w:t>
      </w:r>
      <w:r w:rsidRPr="00E74265">
        <w:rPr>
          <w:rFonts w:cstheme="minorHAnsi"/>
          <w:color w:val="000000" w:themeColor="text1"/>
          <w:szCs w:val="24"/>
        </w:rPr>
        <w:t xml:space="preserve">DAP vykazovali nadměrný odpočet nebo vykázanou daňovou povinnost nehradili. </w:t>
      </w:r>
      <w:r w:rsidR="000869AC">
        <w:rPr>
          <w:rFonts w:cstheme="minorHAnsi"/>
          <w:color w:val="000000" w:themeColor="text1"/>
          <w:szCs w:val="24"/>
        </w:rPr>
        <w:t>Z </w:t>
      </w:r>
      <w:r w:rsidRPr="00E74265">
        <w:rPr>
          <w:rFonts w:cstheme="minorHAnsi"/>
          <w:color w:val="000000" w:themeColor="text1"/>
          <w:szCs w:val="24"/>
        </w:rPr>
        <w:t xml:space="preserve">59 nespolehlivých plátců </w:t>
      </w:r>
      <w:r>
        <w:rPr>
          <w:rFonts w:cstheme="minorHAnsi"/>
          <w:color w:val="000000" w:themeColor="text1"/>
          <w:szCs w:val="24"/>
        </w:rPr>
        <w:t>registrovaných u</w:t>
      </w:r>
      <w:r w:rsidRPr="00E74265">
        <w:rPr>
          <w:rFonts w:cstheme="minorHAnsi"/>
          <w:color w:val="000000" w:themeColor="text1"/>
          <w:szCs w:val="24"/>
        </w:rPr>
        <w:t xml:space="preserve"> FÚ pro hlavní město Prahu mělo 55 sídlo na virtuální adrese a 34 </w:t>
      </w:r>
      <w:r w:rsidR="000869AC">
        <w:rPr>
          <w:rFonts w:cstheme="minorHAnsi"/>
          <w:color w:val="000000" w:themeColor="text1"/>
          <w:szCs w:val="24"/>
        </w:rPr>
        <w:t>z </w:t>
      </w:r>
      <w:r w:rsidRPr="00E74265">
        <w:rPr>
          <w:rFonts w:cstheme="minorHAnsi"/>
          <w:color w:val="000000" w:themeColor="text1"/>
          <w:szCs w:val="24"/>
        </w:rPr>
        <w:t xml:space="preserve">nich se zabývalo obchodováním </w:t>
      </w:r>
      <w:r w:rsidR="000869AC">
        <w:rPr>
          <w:rFonts w:cstheme="minorHAnsi"/>
          <w:color w:val="000000" w:themeColor="text1"/>
          <w:szCs w:val="24"/>
        </w:rPr>
        <w:t>s </w:t>
      </w:r>
      <w:r w:rsidRPr="00E74265">
        <w:rPr>
          <w:rFonts w:cstheme="minorHAnsi"/>
          <w:color w:val="000000" w:themeColor="text1"/>
          <w:szCs w:val="24"/>
        </w:rPr>
        <w:t>rizikovou komoditou (pohonné hmoty, mobilní telefony, železo, elektronika a drahé kovy).</w:t>
      </w:r>
    </w:p>
    <w:p w:rsidR="00332B26" w:rsidRPr="00E74265" w:rsidRDefault="00332B26" w:rsidP="00FC2101">
      <w:pPr>
        <w:spacing w:after="0"/>
        <w:rPr>
          <w:rFonts w:cstheme="minorHAnsi"/>
          <w:color w:val="000000" w:themeColor="text1"/>
          <w:szCs w:val="24"/>
        </w:rPr>
      </w:pPr>
    </w:p>
    <w:p w:rsidR="0013778E" w:rsidRDefault="0013778E" w:rsidP="00FC2101">
      <w:pPr>
        <w:spacing w:after="0"/>
        <w:rPr>
          <w:rFonts w:cstheme="minorHAnsi"/>
          <w:szCs w:val="24"/>
        </w:rPr>
      </w:pPr>
      <w:r>
        <w:rPr>
          <w:rFonts w:cstheme="minorHAnsi"/>
          <w:szCs w:val="24"/>
        </w:rPr>
        <w:t xml:space="preserve">Pouze tři ze 109 nespolehlivých plátců registrovaných u kontrolovaných FÚ byli kontaktní, ale nevznikl u nich nedoplatek na DPH. </w:t>
      </w:r>
    </w:p>
    <w:p w:rsidR="00332B26" w:rsidRDefault="00332B26" w:rsidP="00FC2101">
      <w:pPr>
        <w:spacing w:after="0"/>
        <w:rPr>
          <w:rFonts w:cstheme="minorHAnsi"/>
          <w:szCs w:val="24"/>
        </w:rPr>
      </w:pPr>
    </w:p>
    <w:p w:rsidR="0013778E" w:rsidRDefault="0013778E" w:rsidP="00FC2101">
      <w:pPr>
        <w:spacing w:after="0"/>
        <w:rPr>
          <w:szCs w:val="24"/>
        </w:rPr>
      </w:pPr>
      <w:r>
        <w:rPr>
          <w:szCs w:val="24"/>
        </w:rPr>
        <w:t xml:space="preserve">Vzhledem </w:t>
      </w:r>
      <w:r w:rsidR="000869AC">
        <w:rPr>
          <w:szCs w:val="24"/>
        </w:rPr>
        <w:t>k </w:t>
      </w:r>
      <w:r>
        <w:rPr>
          <w:szCs w:val="24"/>
        </w:rPr>
        <w:t xml:space="preserve">významnému snížení počtu zrušených registrací, výši nedoplatků a počtu subjektů, které neplní své povinnosti (např. nepodávají výpisy </w:t>
      </w:r>
      <w:r w:rsidR="000869AC">
        <w:rPr>
          <w:szCs w:val="24"/>
        </w:rPr>
        <w:t>z </w:t>
      </w:r>
      <w:r>
        <w:rPr>
          <w:szCs w:val="24"/>
        </w:rPr>
        <w:t>evidence)</w:t>
      </w:r>
      <w:r w:rsidR="006F5197">
        <w:rPr>
          <w:szCs w:val="24"/>
        </w:rPr>
        <w:t>,</w:t>
      </w:r>
      <w:r>
        <w:rPr>
          <w:szCs w:val="24"/>
        </w:rPr>
        <w:t xml:space="preserve"> je počet 156</w:t>
      </w:r>
      <w:r w:rsidR="006523CD">
        <w:rPr>
          <w:szCs w:val="24"/>
        </w:rPr>
        <w:t> </w:t>
      </w:r>
      <w:r>
        <w:rPr>
          <w:szCs w:val="24"/>
        </w:rPr>
        <w:t xml:space="preserve">nespolehlivých plátců </w:t>
      </w:r>
      <w:r w:rsidR="000869AC">
        <w:rPr>
          <w:szCs w:val="24"/>
        </w:rPr>
        <w:t>k </w:t>
      </w:r>
      <w:r>
        <w:rPr>
          <w:szCs w:val="24"/>
        </w:rPr>
        <w:t xml:space="preserve">31. 12. 2014 zcela nedostatečný a nezobrazuje realitu. Nízký počet nespolehlivých plátců má i negativní dopad </w:t>
      </w:r>
      <w:r w:rsidR="006F5197">
        <w:rPr>
          <w:szCs w:val="24"/>
        </w:rPr>
        <w:t>na</w:t>
      </w:r>
      <w:r>
        <w:rPr>
          <w:szCs w:val="24"/>
        </w:rPr>
        <w:t xml:space="preserve"> možnost širšího uplatnění ručení příjemce zdanitelného plnění.</w:t>
      </w:r>
    </w:p>
    <w:p w:rsidR="00332B26" w:rsidRPr="00C128BA" w:rsidRDefault="00332B26" w:rsidP="00FC2101">
      <w:pPr>
        <w:spacing w:after="0"/>
        <w:rPr>
          <w:szCs w:val="24"/>
        </w:rPr>
      </w:pPr>
    </w:p>
    <w:p w:rsidR="0013778E" w:rsidRPr="00BC522D" w:rsidRDefault="004073A5" w:rsidP="00FC2101">
      <w:pPr>
        <w:pStyle w:val="Nadpis2"/>
        <w:numPr>
          <w:ilvl w:val="0"/>
          <w:numId w:val="0"/>
        </w:numPr>
        <w:tabs>
          <w:tab w:val="left" w:pos="5340"/>
        </w:tabs>
        <w:spacing w:before="0"/>
        <w:ind w:left="284" w:hanging="284"/>
        <w:rPr>
          <w:sz w:val="24"/>
          <w:szCs w:val="24"/>
        </w:rPr>
      </w:pPr>
      <w:r w:rsidRPr="00BC522D">
        <w:rPr>
          <w:sz w:val="24"/>
          <w:szCs w:val="24"/>
        </w:rPr>
        <w:t xml:space="preserve">4. </w:t>
      </w:r>
      <w:r w:rsidR="0013778E" w:rsidRPr="00BC522D">
        <w:rPr>
          <w:sz w:val="24"/>
          <w:szCs w:val="24"/>
        </w:rPr>
        <w:t>Ručení</w:t>
      </w:r>
      <w:r w:rsidR="0013778E" w:rsidRPr="00BC522D">
        <w:rPr>
          <w:rStyle w:val="Nadpis2Char"/>
          <w:sz w:val="24"/>
          <w:szCs w:val="24"/>
        </w:rPr>
        <w:t xml:space="preserve"> </w:t>
      </w:r>
      <w:r w:rsidR="0013778E" w:rsidRPr="00BC522D">
        <w:rPr>
          <w:sz w:val="24"/>
          <w:szCs w:val="24"/>
        </w:rPr>
        <w:t xml:space="preserve">příjemce zdanitelného plnění </w:t>
      </w:r>
    </w:p>
    <w:p w:rsidR="0013778E" w:rsidRPr="00546273" w:rsidRDefault="0013778E" w:rsidP="00FC2101">
      <w:pPr>
        <w:spacing w:after="0"/>
      </w:pPr>
      <w:r w:rsidRPr="00A875F2">
        <w:t>Institut ručení příjemce zdanitelného plnění je účinný od dubna 2011, postupně byl</w:t>
      </w:r>
      <w:r>
        <w:t xml:space="preserve"> třikrát</w:t>
      </w:r>
      <w:r w:rsidRPr="00A875F2">
        <w:t xml:space="preserve"> rozšířen.</w:t>
      </w:r>
      <w:r>
        <w:t xml:space="preserve"> </w:t>
      </w:r>
      <w:r w:rsidRPr="00546273">
        <w:t xml:space="preserve">Ručení se uplatní, pokud: </w:t>
      </w:r>
    </w:p>
    <w:p w:rsidR="0013778E" w:rsidRPr="0013778E" w:rsidRDefault="0013778E" w:rsidP="00FC2101">
      <w:pPr>
        <w:pStyle w:val="Odstavecseseznamem"/>
        <w:numPr>
          <w:ilvl w:val="1"/>
          <w:numId w:val="13"/>
        </w:numPr>
        <w:ind w:left="426" w:hanging="426"/>
        <w:rPr>
          <w:rFonts w:cstheme="minorHAnsi"/>
          <w:szCs w:val="24"/>
        </w:rPr>
      </w:pPr>
      <w:r w:rsidRPr="0013778E">
        <w:rPr>
          <w:rFonts w:cstheme="minorHAnsi"/>
          <w:szCs w:val="24"/>
        </w:rPr>
        <w:t>příjemce zdanitelného plnění věděl nebo vědět měl a mohl, že daň uvedená na daňovém dokladu nebude úmyslně zaplacena, poskytovatel zdanitelného plnění se úmyslně dostal nebo dostane do postavení, kdy nemůže daň zaplatit</w:t>
      </w:r>
      <w:r w:rsidR="006F5197">
        <w:rPr>
          <w:rFonts w:cstheme="minorHAnsi"/>
          <w:szCs w:val="24"/>
        </w:rPr>
        <w:t>,</w:t>
      </w:r>
      <w:r w:rsidRPr="0013778E">
        <w:rPr>
          <w:rFonts w:cstheme="minorHAnsi"/>
          <w:szCs w:val="24"/>
        </w:rPr>
        <w:t xml:space="preserve"> nebo dojde ke zkrácení daně nebo vylákání daňové výhody („znalostní test“); </w:t>
      </w:r>
    </w:p>
    <w:p w:rsidR="0013778E" w:rsidRPr="00546273" w:rsidRDefault="0013778E" w:rsidP="00FC2101">
      <w:pPr>
        <w:spacing w:after="0"/>
        <w:rPr>
          <w:rFonts w:cstheme="minorHAnsi"/>
          <w:szCs w:val="24"/>
        </w:rPr>
      </w:pPr>
      <w:r w:rsidRPr="00546273">
        <w:rPr>
          <w:rFonts w:cstheme="minorHAnsi"/>
          <w:szCs w:val="24"/>
        </w:rPr>
        <w:t xml:space="preserve">nebo </w:t>
      </w:r>
      <w:r w:rsidR="006F5197">
        <w:rPr>
          <w:rFonts w:cstheme="minorHAnsi"/>
          <w:szCs w:val="24"/>
        </w:rPr>
        <w:t xml:space="preserve">pokud </w:t>
      </w:r>
      <w:r w:rsidRPr="00546273">
        <w:rPr>
          <w:rFonts w:cstheme="minorHAnsi"/>
          <w:szCs w:val="24"/>
        </w:rPr>
        <w:t>úplata</w:t>
      </w:r>
      <w:r>
        <w:rPr>
          <w:rFonts w:cstheme="minorHAnsi"/>
          <w:szCs w:val="24"/>
        </w:rPr>
        <w:t xml:space="preserve"> </w:t>
      </w:r>
      <w:r w:rsidRPr="00546273">
        <w:rPr>
          <w:rFonts w:cstheme="minorHAnsi"/>
          <w:szCs w:val="24"/>
        </w:rPr>
        <w:t>za plnění</w:t>
      </w:r>
      <w:r>
        <w:rPr>
          <w:rFonts w:cstheme="minorHAnsi"/>
          <w:szCs w:val="24"/>
        </w:rPr>
        <w:t xml:space="preserve"> je</w:t>
      </w:r>
      <w:r w:rsidRPr="00546273">
        <w:rPr>
          <w:rFonts w:cstheme="minorHAnsi"/>
          <w:szCs w:val="24"/>
        </w:rPr>
        <w:t xml:space="preserve">: </w:t>
      </w:r>
    </w:p>
    <w:p w:rsidR="0013778E" w:rsidRPr="0013778E" w:rsidRDefault="0013778E" w:rsidP="0013778E">
      <w:pPr>
        <w:pStyle w:val="Odstavecseseznamem"/>
        <w:numPr>
          <w:ilvl w:val="1"/>
          <w:numId w:val="13"/>
        </w:numPr>
        <w:spacing w:after="60"/>
        <w:ind w:left="426" w:hanging="426"/>
        <w:rPr>
          <w:rFonts w:cstheme="minorHAnsi"/>
          <w:szCs w:val="24"/>
        </w:rPr>
      </w:pPr>
      <w:r w:rsidRPr="0013778E">
        <w:rPr>
          <w:rFonts w:cstheme="minorHAnsi"/>
          <w:szCs w:val="24"/>
        </w:rPr>
        <w:t xml:space="preserve">bez ekonomického opodstatnění zcela zjevně odchylná od obvyklé ceny; </w:t>
      </w:r>
    </w:p>
    <w:p w:rsidR="0013778E" w:rsidRPr="0013778E" w:rsidRDefault="0013778E" w:rsidP="0013778E">
      <w:pPr>
        <w:pStyle w:val="Odstavecseseznamem"/>
        <w:numPr>
          <w:ilvl w:val="1"/>
          <w:numId w:val="13"/>
        </w:numPr>
        <w:spacing w:after="60"/>
        <w:ind w:left="426" w:hanging="426"/>
        <w:rPr>
          <w:szCs w:val="24"/>
        </w:rPr>
      </w:pPr>
      <w:r w:rsidRPr="0013778E">
        <w:rPr>
          <w:szCs w:val="24"/>
        </w:rPr>
        <w:t>poskytnuta zcela nebo zčásti bezhotovostním převodem na účet mimo tuzemsko;</w:t>
      </w:r>
    </w:p>
    <w:p w:rsidR="0013778E" w:rsidRPr="0013778E" w:rsidRDefault="0013778E" w:rsidP="00FC2101">
      <w:pPr>
        <w:pStyle w:val="Odstavecseseznamem"/>
        <w:numPr>
          <w:ilvl w:val="1"/>
          <w:numId w:val="13"/>
        </w:numPr>
        <w:spacing w:after="0"/>
        <w:ind w:left="426" w:hanging="426"/>
        <w:rPr>
          <w:szCs w:val="24"/>
        </w:rPr>
      </w:pPr>
      <w:r w:rsidRPr="0013778E">
        <w:rPr>
          <w:szCs w:val="24"/>
        </w:rPr>
        <w:t>poskytnuta zcela nebo zčásti bezhotovostním převodem na jiný účet</w:t>
      </w:r>
      <w:r w:rsidR="00BA1EC3">
        <w:rPr>
          <w:szCs w:val="24"/>
        </w:rPr>
        <w:t>, než je účet</w:t>
      </w:r>
      <w:r w:rsidRPr="0013778E">
        <w:rPr>
          <w:szCs w:val="24"/>
        </w:rPr>
        <w:t xml:space="preserve"> poskytovatele zveřejněný správcem daně</w:t>
      </w:r>
      <w:r w:rsidR="00BA1EC3">
        <w:rPr>
          <w:szCs w:val="24"/>
        </w:rPr>
        <w:t>,</w:t>
      </w:r>
      <w:r w:rsidRPr="0013778E">
        <w:rPr>
          <w:szCs w:val="24"/>
        </w:rPr>
        <w:t xml:space="preserve"> a </w:t>
      </w:r>
      <w:r w:rsidR="00B47A65">
        <w:rPr>
          <w:szCs w:val="24"/>
        </w:rPr>
        <w:t xml:space="preserve">přitom </w:t>
      </w:r>
      <w:r w:rsidR="00BA1EC3">
        <w:rPr>
          <w:szCs w:val="24"/>
        </w:rPr>
        <w:t xml:space="preserve">tato úplata </w:t>
      </w:r>
      <w:r w:rsidRPr="0013778E">
        <w:rPr>
          <w:szCs w:val="24"/>
        </w:rPr>
        <w:t xml:space="preserve">překročí </w:t>
      </w:r>
      <w:r w:rsidR="00B47A65">
        <w:rPr>
          <w:szCs w:val="24"/>
        </w:rPr>
        <w:t xml:space="preserve">dvojnásobek částky stanovené zákonem o omezení plateb </w:t>
      </w:r>
      <w:r w:rsidR="000869AC">
        <w:rPr>
          <w:szCs w:val="24"/>
        </w:rPr>
        <w:t>v </w:t>
      </w:r>
      <w:r w:rsidR="00B47A65">
        <w:rPr>
          <w:szCs w:val="24"/>
        </w:rPr>
        <w:t>hotovosti;</w:t>
      </w:r>
    </w:p>
    <w:p w:rsidR="0013778E" w:rsidRDefault="0013778E" w:rsidP="004455E9">
      <w:pPr>
        <w:keepNext/>
        <w:spacing w:before="120" w:after="60"/>
        <w:rPr>
          <w:rFonts w:cstheme="minorHAnsi"/>
          <w:szCs w:val="24"/>
        </w:rPr>
      </w:pPr>
      <w:r>
        <w:rPr>
          <w:rFonts w:cstheme="minorHAnsi"/>
          <w:szCs w:val="24"/>
        </w:rPr>
        <w:lastRenderedPageBreak/>
        <w:t>nebo pokud:</w:t>
      </w:r>
    </w:p>
    <w:p w:rsidR="0013778E" w:rsidRPr="0013778E" w:rsidRDefault="0013778E" w:rsidP="0013778E">
      <w:pPr>
        <w:pStyle w:val="Odstavecseseznamem"/>
        <w:numPr>
          <w:ilvl w:val="1"/>
          <w:numId w:val="13"/>
        </w:numPr>
        <w:spacing w:after="60"/>
        <w:ind w:left="426" w:hanging="426"/>
        <w:rPr>
          <w:rFonts w:cstheme="minorHAnsi"/>
          <w:szCs w:val="24"/>
        </w:rPr>
      </w:pPr>
      <w:r w:rsidRPr="0013778E">
        <w:rPr>
          <w:rFonts w:cstheme="minorHAnsi"/>
          <w:szCs w:val="24"/>
        </w:rPr>
        <w:t xml:space="preserve">je </w:t>
      </w:r>
      <w:r w:rsidR="000869AC">
        <w:rPr>
          <w:rFonts w:cstheme="minorHAnsi"/>
          <w:szCs w:val="24"/>
        </w:rPr>
        <w:t>v </w:t>
      </w:r>
      <w:r w:rsidRPr="0013778E">
        <w:rPr>
          <w:rFonts w:cstheme="minorHAnsi"/>
          <w:szCs w:val="24"/>
        </w:rPr>
        <w:t>okamžiku uskutečnění plnění o poskytovateli zdanitelného plnění zveřejněno, že je nespolehlivým plátcem;</w:t>
      </w:r>
    </w:p>
    <w:p w:rsidR="0013778E" w:rsidRPr="0013778E" w:rsidRDefault="000869AC" w:rsidP="00FC2101">
      <w:pPr>
        <w:pStyle w:val="Odstavecseseznamem"/>
        <w:numPr>
          <w:ilvl w:val="1"/>
          <w:numId w:val="13"/>
        </w:numPr>
        <w:spacing w:after="0"/>
        <w:ind w:left="426" w:hanging="426"/>
        <w:rPr>
          <w:rFonts w:cstheme="minorHAnsi"/>
          <w:szCs w:val="24"/>
        </w:rPr>
      </w:pPr>
      <w:r>
        <w:rPr>
          <w:rFonts w:cstheme="minorHAnsi"/>
          <w:szCs w:val="24"/>
        </w:rPr>
        <w:t>v </w:t>
      </w:r>
      <w:r w:rsidR="0013778E" w:rsidRPr="0013778E">
        <w:rPr>
          <w:rFonts w:cstheme="minorHAnsi"/>
          <w:szCs w:val="24"/>
        </w:rPr>
        <w:t xml:space="preserve">okamžiku dodání pohonných hmot nebo poskytnutí úplaty za toto dodání není o poskytovateli plnění zveřejněno, že je registrován jako distributor pohonných hmot podle zákona </w:t>
      </w:r>
      <w:r w:rsidR="00D24E8E">
        <w:rPr>
          <w:rFonts w:cstheme="minorHAnsi"/>
          <w:szCs w:val="24"/>
        </w:rPr>
        <w:t xml:space="preserve">o </w:t>
      </w:r>
      <w:r w:rsidR="0013778E" w:rsidRPr="0013778E">
        <w:rPr>
          <w:rFonts w:cstheme="minorHAnsi"/>
          <w:szCs w:val="24"/>
        </w:rPr>
        <w:t>pohonn</w:t>
      </w:r>
      <w:r w:rsidR="00D24E8E">
        <w:rPr>
          <w:rFonts w:cstheme="minorHAnsi"/>
          <w:szCs w:val="24"/>
        </w:rPr>
        <w:t>ých</w:t>
      </w:r>
      <w:r w:rsidR="0013778E" w:rsidRPr="0013778E">
        <w:rPr>
          <w:rFonts w:cstheme="minorHAnsi"/>
          <w:szCs w:val="24"/>
        </w:rPr>
        <w:t xml:space="preserve"> hmot</w:t>
      </w:r>
      <w:r w:rsidR="00D24E8E">
        <w:rPr>
          <w:rFonts w:cstheme="minorHAnsi"/>
          <w:szCs w:val="24"/>
        </w:rPr>
        <w:t>ách</w:t>
      </w:r>
      <w:r w:rsidR="0013778E" w:rsidRPr="0013778E">
        <w:rPr>
          <w:rFonts w:cstheme="minorHAnsi"/>
          <w:szCs w:val="24"/>
        </w:rPr>
        <w:t>.</w:t>
      </w:r>
    </w:p>
    <w:p w:rsidR="007F7D1A" w:rsidRDefault="007F7D1A" w:rsidP="00FC2101">
      <w:pPr>
        <w:spacing w:after="0"/>
      </w:pPr>
    </w:p>
    <w:p w:rsidR="003A5A8A" w:rsidRDefault="0013778E" w:rsidP="00FC2101">
      <w:pPr>
        <w:spacing w:after="0"/>
      </w:pPr>
      <w:r w:rsidRPr="0002685A">
        <w:t xml:space="preserve">Důvodová zpráva </w:t>
      </w:r>
      <w:r w:rsidR="000869AC">
        <w:t>k </w:t>
      </w:r>
      <w:r w:rsidR="00E9179F">
        <w:t xml:space="preserve">návrhu </w:t>
      </w:r>
      <w:r w:rsidRPr="0002685A">
        <w:t>zákon</w:t>
      </w:r>
      <w:r w:rsidR="00E9179F">
        <w:t>a</w:t>
      </w:r>
      <w:r w:rsidRPr="0002685A">
        <w:t xml:space="preserve"> č. 47/2011 Sb. předpokládala</w:t>
      </w:r>
      <w:r w:rsidR="00BA1EC3">
        <w:t>, že</w:t>
      </w:r>
      <w:r w:rsidRPr="0002685A">
        <w:t xml:space="preserve"> zavedení institutu ručení příjemce zdanitelného plnění </w:t>
      </w:r>
      <w:r w:rsidR="00BA1EC3">
        <w:t xml:space="preserve">bude mít na </w:t>
      </w:r>
      <w:r w:rsidR="00B47A65">
        <w:t>veřejn</w:t>
      </w:r>
      <w:r w:rsidR="00BA1EC3">
        <w:t>é</w:t>
      </w:r>
      <w:r w:rsidR="00B47A65">
        <w:t xml:space="preserve"> příjm</w:t>
      </w:r>
      <w:r w:rsidR="00BA1EC3">
        <w:t>y</w:t>
      </w:r>
      <w:r w:rsidR="00B47A65">
        <w:t xml:space="preserve"> </w:t>
      </w:r>
      <w:r w:rsidR="00BA1EC3">
        <w:t xml:space="preserve">pozitivní dopad </w:t>
      </w:r>
      <w:r w:rsidRPr="0002685A">
        <w:t>ve výši 1,5</w:t>
      </w:r>
      <w:r w:rsidR="00BA1EC3">
        <w:t> </w:t>
      </w:r>
      <w:r w:rsidRPr="0002685A">
        <w:t>mld.</w:t>
      </w:r>
      <w:r w:rsidR="00BA1EC3">
        <w:t> </w:t>
      </w:r>
      <w:r w:rsidRPr="0002685A">
        <w:t>Kč za období 2011–2013</w:t>
      </w:r>
      <w:r w:rsidR="00BA1EC3">
        <w:t>, a předpokládala také</w:t>
      </w:r>
      <w:r w:rsidRPr="0002685A">
        <w:t xml:space="preserve"> preventivní efekt</w:t>
      </w:r>
      <w:r w:rsidR="003A5A8A">
        <w:t xml:space="preserve"> tohoto institutu</w:t>
      </w:r>
      <w:r w:rsidRPr="0002685A">
        <w:t>.</w:t>
      </w:r>
    </w:p>
    <w:p w:rsidR="007F7D1A" w:rsidRDefault="007F7D1A" w:rsidP="00FC2101">
      <w:pPr>
        <w:spacing w:after="0"/>
      </w:pPr>
    </w:p>
    <w:p w:rsidR="0013778E" w:rsidRDefault="003A5A8A" w:rsidP="00FC2101">
      <w:pPr>
        <w:spacing w:after="0"/>
      </w:pPr>
      <w:r>
        <w:t xml:space="preserve">Podle údajů, které </w:t>
      </w:r>
      <w:r w:rsidR="00BA1EC3">
        <w:t xml:space="preserve">NKÚ obdržel od </w:t>
      </w:r>
      <w:r>
        <w:t>GFŘ, využily finanční úřady</w:t>
      </w:r>
      <w:r w:rsidR="0013778E" w:rsidRPr="0002685A">
        <w:t xml:space="preserve"> institut ručení </w:t>
      </w:r>
      <w:r w:rsidR="000869AC">
        <w:t>v </w:t>
      </w:r>
      <w:r w:rsidR="0013778E" w:rsidRPr="0002685A">
        <w:t xml:space="preserve">období </w:t>
      </w:r>
      <w:r w:rsidR="00841CC8">
        <w:t>od 1.</w:t>
      </w:r>
      <w:r w:rsidR="006523CD">
        <w:t> </w:t>
      </w:r>
      <w:r w:rsidR="00841CC8">
        <w:t>4.</w:t>
      </w:r>
      <w:r w:rsidR="006523CD">
        <w:t> </w:t>
      </w:r>
      <w:r w:rsidR="00841CC8">
        <w:t>2011 do 16. 6. 2014</w:t>
      </w:r>
      <w:r>
        <w:t xml:space="preserve"> </w:t>
      </w:r>
      <w:r w:rsidR="000869AC">
        <w:t>v </w:t>
      </w:r>
      <w:r>
        <w:t>16 případech a</w:t>
      </w:r>
      <w:r w:rsidR="0013778E" w:rsidRPr="0002685A">
        <w:t xml:space="preserve"> daň byla uhrazena ve výši cca 15,3 mil. Kč. </w:t>
      </w:r>
      <w:r w:rsidR="0013778E" w:rsidRPr="00F27FAB">
        <w:t>NKÚ prověřil 14 případů, ve kterých kontrolované FÚ využily institut ručení příjemce zdanitelného plnění</w:t>
      </w:r>
      <w:r w:rsidR="004455E9">
        <w:t>,</w:t>
      </w:r>
      <w:r w:rsidR="00FC2101">
        <w:t xml:space="preserve"> a prokázal</w:t>
      </w:r>
      <w:r w:rsidR="00CC0DB2">
        <w:t>, že údaje GFŘ nejsou správné. Ve 14 kontrolovaných výzvách požadovaly FÚ uhradit</w:t>
      </w:r>
      <w:r w:rsidR="0013778E" w:rsidRPr="00F27FAB">
        <w:t xml:space="preserve"> 81,2 mil. Kč</w:t>
      </w:r>
      <w:r w:rsidR="00CC0DB2">
        <w:t>.</w:t>
      </w:r>
      <w:r w:rsidR="0013778E" w:rsidRPr="00F27FAB">
        <w:t xml:space="preserve"> </w:t>
      </w:r>
      <w:r w:rsidR="000869AC">
        <w:t>Z </w:t>
      </w:r>
      <w:r w:rsidR="0013778E" w:rsidRPr="00F27FAB">
        <w:t>této částky ručitelé uhradili 55,6 mil. Kč, přičemž</w:t>
      </w:r>
      <w:r w:rsidR="00967341">
        <w:t xml:space="preserve"> </w:t>
      </w:r>
      <w:r w:rsidR="0013778E" w:rsidRPr="00F27FAB">
        <w:t>68</w:t>
      </w:r>
      <w:r w:rsidR="00967341">
        <w:t xml:space="preserve"> </w:t>
      </w:r>
      <w:r w:rsidR="0013778E" w:rsidRPr="00F27FAB">
        <w:t xml:space="preserve">% </w:t>
      </w:r>
      <w:r w:rsidR="000869AC">
        <w:t>z </w:t>
      </w:r>
      <w:r w:rsidR="0013778E" w:rsidRPr="00F27FAB">
        <w:t xml:space="preserve">dlužné částky bylo uhrazeno </w:t>
      </w:r>
      <w:r w:rsidR="000869AC">
        <w:t>z </w:t>
      </w:r>
      <w:r w:rsidR="0013778E">
        <w:t xml:space="preserve">nadměrných odpočtů ručitelů. </w:t>
      </w:r>
    </w:p>
    <w:p w:rsidR="007F7D1A" w:rsidRPr="001E0593" w:rsidRDefault="007F7D1A" w:rsidP="00FC2101">
      <w:pPr>
        <w:spacing w:after="0"/>
      </w:pPr>
    </w:p>
    <w:p w:rsidR="0013778E" w:rsidRDefault="0013778E" w:rsidP="00FC2101">
      <w:pPr>
        <w:spacing w:after="0"/>
      </w:pPr>
      <w:r w:rsidRPr="0092482A">
        <w:t xml:space="preserve">Malé využití ručení bylo ovlivněno </w:t>
      </w:r>
      <w:r w:rsidR="00BA1EC3">
        <w:t>mj.</w:t>
      </w:r>
      <w:r w:rsidRPr="0092482A">
        <w:t xml:space="preserve"> znalostní</w:t>
      </w:r>
      <w:r w:rsidR="00BA1EC3">
        <w:t>m</w:t>
      </w:r>
      <w:r w:rsidRPr="0092482A">
        <w:t xml:space="preserve"> test</w:t>
      </w:r>
      <w:r w:rsidR="00BA1EC3">
        <w:t>em, konkrétně</w:t>
      </w:r>
      <w:r w:rsidRPr="0092482A">
        <w:t xml:space="preserve"> obtížností prokazování zákonných podmínek pro vznik ručitelského závazku, zejména prokazování úmyslného jednání na straně poskytovatele. </w:t>
      </w:r>
      <w:r w:rsidR="000869AC">
        <w:t>V </w:t>
      </w:r>
      <w:r w:rsidRPr="0092482A">
        <w:t xml:space="preserve">11 případech, kdy byla výzva vydána na základě znalostního testu, byli poskytovatel a příjemce spojenými osobami, u nichž je prokazování znalostního testu jednodušší. </w:t>
      </w:r>
    </w:p>
    <w:p w:rsidR="007F7D1A" w:rsidRPr="0092482A" w:rsidRDefault="007F7D1A" w:rsidP="00FC2101">
      <w:pPr>
        <w:spacing w:after="0"/>
      </w:pPr>
    </w:p>
    <w:p w:rsidR="0013778E" w:rsidRPr="000B268A" w:rsidRDefault="0013778E" w:rsidP="00FC2101">
      <w:pPr>
        <w:spacing w:after="0"/>
        <w:rPr>
          <w:rFonts w:ascii="Calibri" w:hAnsi="Calibri" w:cs="Calibri"/>
        </w:rPr>
      </w:pPr>
      <w:r w:rsidRPr="000B268A">
        <w:rPr>
          <w:rFonts w:ascii="Calibri" w:hAnsi="Calibri" w:cs="Calibri"/>
        </w:rPr>
        <w:t xml:space="preserve">Negativně se na </w:t>
      </w:r>
      <w:r w:rsidR="008A40F9">
        <w:rPr>
          <w:rFonts w:ascii="Calibri" w:hAnsi="Calibri" w:cs="Calibri"/>
        </w:rPr>
        <w:t xml:space="preserve">nízkém </w:t>
      </w:r>
      <w:r w:rsidRPr="000B268A">
        <w:rPr>
          <w:rFonts w:ascii="Calibri" w:hAnsi="Calibri" w:cs="Calibri"/>
        </w:rPr>
        <w:t xml:space="preserve">využití ručení příjemce zdanitelného plnění </w:t>
      </w:r>
      <w:r w:rsidR="00BA1EC3">
        <w:rPr>
          <w:rFonts w:ascii="Calibri" w:hAnsi="Calibri" w:cs="Calibri"/>
        </w:rPr>
        <w:t xml:space="preserve">podílely i </w:t>
      </w:r>
      <w:r w:rsidRPr="000B268A">
        <w:rPr>
          <w:rFonts w:ascii="Calibri" w:hAnsi="Calibri" w:cs="Calibri"/>
        </w:rPr>
        <w:t>jiné důvod</w:t>
      </w:r>
      <w:r w:rsidR="00BA1EC3">
        <w:rPr>
          <w:rFonts w:ascii="Calibri" w:hAnsi="Calibri" w:cs="Calibri"/>
        </w:rPr>
        <w:t>y</w:t>
      </w:r>
      <w:r w:rsidRPr="000B268A">
        <w:rPr>
          <w:rFonts w:ascii="Calibri" w:hAnsi="Calibri" w:cs="Calibri"/>
        </w:rPr>
        <w:t xml:space="preserve"> než je</w:t>
      </w:r>
      <w:r w:rsidR="0066180A">
        <w:rPr>
          <w:rFonts w:ascii="Calibri" w:hAnsi="Calibri" w:cs="Calibri"/>
        </w:rPr>
        <w:t>n</w:t>
      </w:r>
      <w:r w:rsidRPr="000B268A">
        <w:rPr>
          <w:rFonts w:ascii="Calibri" w:hAnsi="Calibri" w:cs="Calibri"/>
        </w:rPr>
        <w:t xml:space="preserve"> znalostní test</w:t>
      </w:r>
      <w:r w:rsidR="0066180A">
        <w:rPr>
          <w:rFonts w:ascii="Calibri" w:hAnsi="Calibri" w:cs="Calibri"/>
        </w:rPr>
        <w:t>, např.</w:t>
      </w:r>
      <w:r w:rsidRPr="000B268A">
        <w:rPr>
          <w:rFonts w:ascii="Calibri" w:hAnsi="Calibri" w:cs="Calibri"/>
        </w:rPr>
        <w:t xml:space="preserve">: </w:t>
      </w:r>
    </w:p>
    <w:p w:rsidR="00E02B6D" w:rsidRDefault="0013778E" w:rsidP="0013778E">
      <w:pPr>
        <w:pStyle w:val="Odstavecseseznamem"/>
      </w:pPr>
      <w:r w:rsidRPr="0013778E">
        <w:t>nezveřejnění všech bankovních účtů</w:t>
      </w:r>
      <w:r w:rsidR="00E02B6D">
        <w:t>;</w:t>
      </w:r>
    </w:p>
    <w:p w:rsidR="0013778E" w:rsidRPr="000B268A" w:rsidRDefault="0013778E" w:rsidP="00FC2101">
      <w:pPr>
        <w:pStyle w:val="Odstavecseseznamem"/>
        <w:spacing w:after="0"/>
      </w:pPr>
      <w:r w:rsidRPr="0013778E">
        <w:t>nízký počet dosud zveřejněných nespolehlivých plátců a dále skutečnost, že většina nespolehlivých</w:t>
      </w:r>
      <w:r w:rsidRPr="000B268A">
        <w:t xml:space="preserve"> plátců je nekontaktní. Nekontaktnost plátce znemožňuje správci daně zjistit příjemce zdanitelného plnění, </w:t>
      </w:r>
      <w:r w:rsidR="000869AC">
        <w:t>z </w:t>
      </w:r>
      <w:r w:rsidRPr="000B268A">
        <w:t>kterého vznikl nedoplatek na dani. Z 65</w:t>
      </w:r>
      <w:r>
        <w:t> </w:t>
      </w:r>
      <w:r w:rsidRPr="000B268A">
        <w:t>nespolehlivých plátců registrovaných u tří kontrolovaných FÚ bylo 54</w:t>
      </w:r>
      <w:r>
        <w:t> </w:t>
      </w:r>
      <w:r w:rsidRPr="000B268A">
        <w:t xml:space="preserve">nekontaktních. </w:t>
      </w:r>
    </w:p>
    <w:p w:rsidR="007F7D1A" w:rsidRDefault="007F7D1A" w:rsidP="00FC2101">
      <w:pPr>
        <w:spacing w:after="0"/>
        <w:rPr>
          <w:rFonts w:cstheme="minorHAnsi"/>
          <w:szCs w:val="24"/>
        </w:rPr>
      </w:pPr>
    </w:p>
    <w:p w:rsidR="0013778E" w:rsidRDefault="0013778E" w:rsidP="00FC2101">
      <w:pPr>
        <w:spacing w:after="0"/>
        <w:rPr>
          <w:rFonts w:cstheme="minorHAnsi"/>
          <w:szCs w:val="24"/>
        </w:rPr>
      </w:pPr>
      <w:r>
        <w:rPr>
          <w:rFonts w:cstheme="minorHAnsi"/>
          <w:szCs w:val="24"/>
        </w:rPr>
        <w:t>NKÚ na kontrolovaných FÚ zjistil, že ve</w:t>
      </w:r>
      <w:r w:rsidR="00967341">
        <w:rPr>
          <w:rFonts w:cstheme="minorHAnsi"/>
          <w:szCs w:val="24"/>
        </w:rPr>
        <w:t xml:space="preserve"> </w:t>
      </w:r>
      <w:r>
        <w:rPr>
          <w:rFonts w:cstheme="minorHAnsi"/>
          <w:szCs w:val="24"/>
        </w:rPr>
        <w:t>14 případech trvalo FÚ vydání výzvy ručiteli 11 až 502 dnů (doba je počítána od splatnosti nedoplatku na DPH).</w:t>
      </w:r>
    </w:p>
    <w:p w:rsidR="007F7D1A" w:rsidRDefault="007F7D1A" w:rsidP="00FC2101">
      <w:pPr>
        <w:spacing w:after="0"/>
        <w:rPr>
          <w:rFonts w:cstheme="minorHAnsi"/>
          <w:szCs w:val="24"/>
        </w:rPr>
      </w:pPr>
    </w:p>
    <w:p w:rsidR="00A043E3" w:rsidRDefault="0066180A" w:rsidP="00FC2101">
      <w:pPr>
        <w:spacing w:after="0"/>
        <w:rPr>
          <w:szCs w:val="24"/>
        </w:rPr>
      </w:pPr>
      <w:r>
        <w:rPr>
          <w:szCs w:val="24"/>
        </w:rPr>
        <w:t>P</w:t>
      </w:r>
      <w:r w:rsidR="00A043E3">
        <w:rPr>
          <w:szCs w:val="24"/>
        </w:rPr>
        <w:t>ři platbě na jiný než zveřejněný účet měl být podle zákona o DPH použit od 1. 4. 2013</w:t>
      </w:r>
      <w:r>
        <w:rPr>
          <w:szCs w:val="24"/>
        </w:rPr>
        <w:t xml:space="preserve"> institut ručení příjemce zdanitelného plnění</w:t>
      </w:r>
      <w:r w:rsidR="00A043E3">
        <w:rPr>
          <w:szCs w:val="24"/>
        </w:rPr>
        <w:t xml:space="preserve">. </w:t>
      </w:r>
      <w:r w:rsidR="000869AC">
        <w:rPr>
          <w:szCs w:val="24"/>
        </w:rPr>
        <w:t>V </w:t>
      </w:r>
      <w:r w:rsidR="00A043E3">
        <w:rPr>
          <w:szCs w:val="24"/>
        </w:rPr>
        <w:t xml:space="preserve">rozporu </w:t>
      </w:r>
      <w:r w:rsidR="000869AC">
        <w:rPr>
          <w:szCs w:val="24"/>
        </w:rPr>
        <w:t>s </w:t>
      </w:r>
      <w:r w:rsidR="00A043E3">
        <w:rPr>
          <w:szCs w:val="24"/>
        </w:rPr>
        <w:t xml:space="preserve">tímto zákonným termínem GFŘ dvakrát aplikaci tohoto ustanovení odložilo, a to až do 31. 12. 2013. </w:t>
      </w:r>
    </w:p>
    <w:p w:rsidR="007F7D1A" w:rsidRDefault="007F7D1A" w:rsidP="00FC2101">
      <w:pPr>
        <w:spacing w:after="0"/>
        <w:rPr>
          <w:szCs w:val="24"/>
        </w:rPr>
      </w:pPr>
    </w:p>
    <w:p w:rsidR="0013778E" w:rsidRPr="00BC522D" w:rsidRDefault="004073A5" w:rsidP="00FC2101">
      <w:pPr>
        <w:pStyle w:val="Nadpis2"/>
        <w:numPr>
          <w:ilvl w:val="0"/>
          <w:numId w:val="0"/>
        </w:numPr>
        <w:spacing w:before="0"/>
        <w:ind w:left="426" w:hanging="426"/>
        <w:rPr>
          <w:sz w:val="24"/>
          <w:szCs w:val="24"/>
        </w:rPr>
      </w:pPr>
      <w:r w:rsidRPr="00BC522D">
        <w:rPr>
          <w:sz w:val="24"/>
          <w:szCs w:val="24"/>
        </w:rPr>
        <w:t xml:space="preserve">5. </w:t>
      </w:r>
      <w:r w:rsidR="0013778E" w:rsidRPr="00BC522D">
        <w:rPr>
          <w:sz w:val="24"/>
          <w:szCs w:val="24"/>
        </w:rPr>
        <w:t xml:space="preserve">Zvláštní způsob zajištění daně </w:t>
      </w:r>
    </w:p>
    <w:p w:rsidR="0013778E" w:rsidRDefault="0013778E" w:rsidP="00FC2101">
      <w:pPr>
        <w:spacing w:after="0"/>
        <w:rPr>
          <w:rFonts w:cstheme="minorHAnsi"/>
          <w:szCs w:val="24"/>
        </w:rPr>
      </w:pPr>
      <w:r w:rsidRPr="00F6775F">
        <w:rPr>
          <w:szCs w:val="24"/>
        </w:rPr>
        <w:t xml:space="preserve">Podle důvodové zprávy </w:t>
      </w:r>
      <w:r w:rsidR="000869AC">
        <w:rPr>
          <w:szCs w:val="24"/>
        </w:rPr>
        <w:t>k </w:t>
      </w:r>
      <w:r w:rsidR="00E9179F">
        <w:rPr>
          <w:szCs w:val="24"/>
        </w:rPr>
        <w:t xml:space="preserve">návrhu </w:t>
      </w:r>
      <w:r w:rsidRPr="00F6775F">
        <w:rPr>
          <w:szCs w:val="24"/>
        </w:rPr>
        <w:t>zákon</w:t>
      </w:r>
      <w:r w:rsidR="00E9179F">
        <w:rPr>
          <w:szCs w:val="24"/>
        </w:rPr>
        <w:t>a</w:t>
      </w:r>
      <w:r w:rsidRPr="00F6775F">
        <w:rPr>
          <w:szCs w:val="24"/>
        </w:rPr>
        <w:t xml:space="preserve"> č. 47/2011 Sb. umožňuje </w:t>
      </w:r>
      <w:r w:rsidR="00FC2101">
        <w:rPr>
          <w:szCs w:val="24"/>
        </w:rPr>
        <w:t xml:space="preserve">tento institut </w:t>
      </w:r>
      <w:r w:rsidRPr="00F6775F">
        <w:rPr>
          <w:szCs w:val="24"/>
        </w:rPr>
        <w:t xml:space="preserve">příjemcům zdanitelného plnění vyhnout se dopadům ručitelského závazku podle § 109 tím, že zaplatí dobrovolně za poskytovatele tohoto zdanitelného plnění daň přímo finančnímu úřadu. </w:t>
      </w:r>
      <w:r w:rsidRPr="00F6775F">
        <w:rPr>
          <w:rFonts w:cstheme="minorHAnsi"/>
          <w:szCs w:val="24"/>
        </w:rPr>
        <w:t>Institut je účinný od 1. 4. 2011.</w:t>
      </w:r>
      <w:r w:rsidR="00967341">
        <w:rPr>
          <w:rFonts w:cstheme="minorHAnsi"/>
          <w:szCs w:val="24"/>
        </w:rPr>
        <w:t xml:space="preserve"> </w:t>
      </w:r>
    </w:p>
    <w:p w:rsidR="007F7D1A" w:rsidRPr="00F6775F" w:rsidRDefault="007F7D1A" w:rsidP="00FC2101">
      <w:pPr>
        <w:spacing w:after="0"/>
        <w:rPr>
          <w:b/>
          <w:szCs w:val="24"/>
        </w:rPr>
      </w:pPr>
    </w:p>
    <w:p w:rsidR="0013778E" w:rsidRDefault="0013778E" w:rsidP="00FC2101">
      <w:pPr>
        <w:spacing w:after="0"/>
        <w:rPr>
          <w:rFonts w:cstheme="minorHAnsi"/>
          <w:szCs w:val="24"/>
        </w:rPr>
      </w:pPr>
      <w:r w:rsidRPr="0002685A">
        <w:rPr>
          <w:rFonts w:cstheme="minorHAnsi"/>
          <w:szCs w:val="24"/>
        </w:rPr>
        <w:lastRenderedPageBreak/>
        <w:t>Za období duben 2011</w:t>
      </w:r>
      <w:r w:rsidRPr="00C63791">
        <w:rPr>
          <w:rFonts w:cstheme="minorHAnsi"/>
          <w:szCs w:val="24"/>
        </w:rPr>
        <w:t xml:space="preserve"> </w:t>
      </w:r>
      <w:r w:rsidR="0066180A">
        <w:rPr>
          <w:rFonts w:cstheme="minorHAnsi"/>
          <w:szCs w:val="24"/>
        </w:rPr>
        <w:t>až</w:t>
      </w:r>
      <w:r w:rsidRPr="00C63791">
        <w:rPr>
          <w:rFonts w:cstheme="minorHAnsi"/>
          <w:szCs w:val="24"/>
        </w:rPr>
        <w:t xml:space="preserve"> květ</w:t>
      </w:r>
      <w:r w:rsidR="0066180A">
        <w:rPr>
          <w:rFonts w:cstheme="minorHAnsi"/>
          <w:szCs w:val="24"/>
        </w:rPr>
        <w:t>e</w:t>
      </w:r>
      <w:r w:rsidRPr="00C63791">
        <w:rPr>
          <w:rFonts w:cstheme="minorHAnsi"/>
          <w:szCs w:val="24"/>
        </w:rPr>
        <w:t>n 2014 plátci využili zvláštního způsobu zajištění daně v</w:t>
      </w:r>
      <w:r>
        <w:rPr>
          <w:rFonts w:cstheme="minorHAnsi"/>
          <w:szCs w:val="24"/>
        </w:rPr>
        <w:t> </w:t>
      </w:r>
      <w:r w:rsidRPr="00C63791">
        <w:rPr>
          <w:rFonts w:cstheme="minorHAnsi"/>
          <w:szCs w:val="24"/>
        </w:rPr>
        <w:t>2</w:t>
      </w:r>
      <w:r>
        <w:rPr>
          <w:rFonts w:cstheme="minorHAnsi"/>
          <w:szCs w:val="24"/>
        </w:rPr>
        <w:t> </w:t>
      </w:r>
      <w:r w:rsidRPr="00C63791">
        <w:rPr>
          <w:rFonts w:cstheme="minorHAnsi"/>
          <w:szCs w:val="24"/>
        </w:rPr>
        <w:t>153</w:t>
      </w:r>
      <w:r>
        <w:rPr>
          <w:rFonts w:cstheme="minorHAnsi"/>
          <w:szCs w:val="24"/>
        </w:rPr>
        <w:t> </w:t>
      </w:r>
      <w:r w:rsidRPr="00C63791">
        <w:rPr>
          <w:rFonts w:cstheme="minorHAnsi"/>
          <w:szCs w:val="24"/>
        </w:rPr>
        <w:t>případech a hodnota takto uhrazené daně činila 303,7 mil. Kč.</w:t>
      </w:r>
    </w:p>
    <w:p w:rsidR="000A7C9D" w:rsidRDefault="000A7C9D" w:rsidP="00FC2101">
      <w:pPr>
        <w:spacing w:after="0"/>
        <w:rPr>
          <w:rFonts w:cstheme="minorHAnsi"/>
          <w:szCs w:val="24"/>
        </w:rPr>
      </w:pPr>
    </w:p>
    <w:p w:rsidR="0013778E" w:rsidRPr="00BC522D" w:rsidRDefault="004073A5" w:rsidP="00FC2101">
      <w:pPr>
        <w:pStyle w:val="Nadpis2"/>
        <w:numPr>
          <w:ilvl w:val="0"/>
          <w:numId w:val="0"/>
        </w:numPr>
        <w:spacing w:before="0"/>
        <w:ind w:left="426" w:hanging="426"/>
        <w:rPr>
          <w:sz w:val="24"/>
          <w:szCs w:val="24"/>
        </w:rPr>
      </w:pPr>
      <w:r w:rsidRPr="00BC522D">
        <w:rPr>
          <w:sz w:val="24"/>
          <w:szCs w:val="24"/>
        </w:rPr>
        <w:t xml:space="preserve">6. </w:t>
      </w:r>
      <w:r w:rsidR="0013778E" w:rsidRPr="00BC522D">
        <w:rPr>
          <w:sz w:val="24"/>
          <w:szCs w:val="24"/>
        </w:rPr>
        <w:t>Zvláštní ustanovení o zajištění úhrady na nesplatnou nebo dosud nestanovenou daň</w:t>
      </w:r>
    </w:p>
    <w:p w:rsidR="0013778E" w:rsidRDefault="0013778E" w:rsidP="00FC2101">
      <w:pPr>
        <w:spacing w:after="0"/>
        <w:rPr>
          <w:szCs w:val="24"/>
        </w:rPr>
      </w:pPr>
      <w:r>
        <w:rPr>
          <w:szCs w:val="24"/>
        </w:rPr>
        <w:t xml:space="preserve">Institut zajišťovacího příkazu byl upraven již </w:t>
      </w:r>
      <w:r w:rsidR="000869AC">
        <w:rPr>
          <w:szCs w:val="24"/>
        </w:rPr>
        <w:t>v </w:t>
      </w:r>
      <w:r>
        <w:rPr>
          <w:szCs w:val="24"/>
        </w:rPr>
        <w:t>zákoně o správě daní a poplatků a je upraven i v daňovém řádu. Na rozdíl od těchto právních úprav vydání zajišťovacího příkazu podle zákona o DPH odstraňuje riziko prodlení, protože se</w:t>
      </w:r>
      <w:r w:rsidRPr="0085422B">
        <w:rPr>
          <w:szCs w:val="24"/>
        </w:rPr>
        <w:t xml:space="preserve"> zajišťovací příkaz stává účinným a</w:t>
      </w:r>
      <w:r w:rsidR="00D15F32">
        <w:rPr>
          <w:szCs w:val="24"/>
        </w:rPr>
        <w:t> </w:t>
      </w:r>
      <w:r w:rsidRPr="0085422B">
        <w:rPr>
          <w:szCs w:val="24"/>
        </w:rPr>
        <w:t>vykonatelným již okamžikem vydání.</w:t>
      </w:r>
    </w:p>
    <w:p w:rsidR="007F7D1A" w:rsidRDefault="007F7D1A" w:rsidP="00FC2101">
      <w:pPr>
        <w:spacing w:after="0"/>
        <w:rPr>
          <w:szCs w:val="24"/>
        </w:rPr>
      </w:pPr>
    </w:p>
    <w:p w:rsidR="00842DE6" w:rsidRPr="00552CC0" w:rsidRDefault="00842DE6" w:rsidP="00842DE6">
      <w:pPr>
        <w:tabs>
          <w:tab w:val="right" w:pos="9072"/>
        </w:tabs>
        <w:spacing w:after="0"/>
        <w:rPr>
          <w:rFonts w:cstheme="minorHAnsi"/>
          <w:b/>
          <w:szCs w:val="24"/>
        </w:rPr>
      </w:pPr>
      <w:r w:rsidRPr="001E0593">
        <w:rPr>
          <w:rFonts w:cstheme="minorHAnsi"/>
          <w:b/>
          <w:szCs w:val="24"/>
        </w:rPr>
        <w:t xml:space="preserve">Tabulka č. </w:t>
      </w:r>
      <w:r w:rsidRPr="00552CC0">
        <w:rPr>
          <w:rFonts w:cstheme="minorHAnsi"/>
          <w:b/>
          <w:szCs w:val="24"/>
        </w:rPr>
        <w:t xml:space="preserve">2 </w:t>
      </w:r>
      <w:r>
        <w:rPr>
          <w:rFonts w:cstheme="minorHAnsi"/>
          <w:b/>
          <w:szCs w:val="24"/>
        </w:rPr>
        <w:t>–</w:t>
      </w:r>
      <w:r w:rsidRPr="00552CC0">
        <w:rPr>
          <w:rFonts w:cstheme="minorHAnsi"/>
          <w:b/>
          <w:szCs w:val="24"/>
        </w:rPr>
        <w:t xml:space="preserve"> Zajišťovací příkazy podle § 103 zákona o DPH</w:t>
      </w:r>
      <w:r w:rsidR="007F7D1A">
        <w:rPr>
          <w:rFonts w:cstheme="minorHAnsi"/>
          <w:b/>
          <w:szCs w:val="24"/>
        </w:rPr>
        <w:t xml:space="preserve"> </w:t>
      </w:r>
      <w:r>
        <w:rPr>
          <w:rFonts w:cstheme="minorHAnsi"/>
          <w:b/>
          <w:szCs w:val="24"/>
        </w:rPr>
        <w:tab/>
      </w:r>
      <w:r w:rsidRPr="00552CC0">
        <w:rPr>
          <w:rFonts w:cstheme="minorHAnsi"/>
          <w:b/>
          <w:szCs w:val="24"/>
        </w:rPr>
        <w:t>(v</w:t>
      </w:r>
      <w:r>
        <w:rPr>
          <w:rFonts w:cstheme="minorHAnsi"/>
          <w:b/>
          <w:szCs w:val="24"/>
        </w:rPr>
        <w:t xml:space="preserve"> mil.</w:t>
      </w:r>
      <w:r w:rsidRPr="00552CC0">
        <w:rPr>
          <w:rFonts w:cstheme="minorHAnsi"/>
          <w:b/>
          <w:szCs w:val="24"/>
        </w:rPr>
        <w:t xml:space="preserve"> Kč)</w:t>
      </w:r>
    </w:p>
    <w:tbl>
      <w:tblPr>
        <w:tblStyle w:val="Mkatabulky"/>
        <w:tblW w:w="0" w:type="auto"/>
        <w:tblInd w:w="108" w:type="dxa"/>
        <w:tblBorders>
          <w:top w:val="single" w:sz="8" w:space="0" w:color="auto"/>
          <w:bottom w:val="single" w:sz="8" w:space="0" w:color="auto"/>
          <w:right w:val="single" w:sz="8" w:space="0" w:color="auto"/>
        </w:tblBorders>
        <w:tblLook w:val="04A0" w:firstRow="1" w:lastRow="0" w:firstColumn="1" w:lastColumn="0" w:noHBand="0" w:noVBand="1"/>
      </w:tblPr>
      <w:tblGrid>
        <w:gridCol w:w="3402"/>
        <w:gridCol w:w="1900"/>
        <w:gridCol w:w="1901"/>
        <w:gridCol w:w="1901"/>
      </w:tblGrid>
      <w:tr w:rsidR="00C54391" w:rsidTr="00FC2101">
        <w:trPr>
          <w:trHeight w:val="558"/>
        </w:trPr>
        <w:tc>
          <w:tcPr>
            <w:tcW w:w="3402" w:type="dxa"/>
            <w:tcBorders>
              <w:top w:val="single" w:sz="8" w:space="0" w:color="auto"/>
              <w:left w:val="single" w:sz="8" w:space="0" w:color="auto"/>
              <w:bottom w:val="single" w:sz="4" w:space="0" w:color="auto"/>
            </w:tcBorders>
            <w:shd w:val="clear" w:color="auto" w:fill="E3EBF3"/>
            <w:vAlign w:val="center"/>
          </w:tcPr>
          <w:p w:rsidR="00C54391" w:rsidRPr="002D1024" w:rsidRDefault="00C54391" w:rsidP="00FC2101">
            <w:pPr>
              <w:spacing w:after="0"/>
              <w:jc w:val="center"/>
              <w:rPr>
                <w:sz w:val="20"/>
                <w:szCs w:val="20"/>
              </w:rPr>
            </w:pPr>
          </w:p>
        </w:tc>
        <w:tc>
          <w:tcPr>
            <w:tcW w:w="1900" w:type="dxa"/>
            <w:shd w:val="clear" w:color="auto" w:fill="E3EBF3"/>
            <w:vAlign w:val="center"/>
          </w:tcPr>
          <w:p w:rsidR="00C54391" w:rsidRPr="002D1024" w:rsidRDefault="00C54391" w:rsidP="00FC2101">
            <w:pPr>
              <w:spacing w:after="0"/>
              <w:jc w:val="center"/>
              <w:rPr>
                <w:rFonts w:ascii="Calibri" w:hAnsi="Calibri" w:cs="Calibri"/>
                <w:b/>
                <w:bCs/>
                <w:color w:val="000000"/>
                <w:sz w:val="20"/>
                <w:szCs w:val="20"/>
              </w:rPr>
            </w:pPr>
            <w:r w:rsidRPr="002D1024">
              <w:rPr>
                <w:rFonts w:ascii="Calibri" w:hAnsi="Calibri" w:cs="Calibri"/>
                <w:b/>
                <w:bCs/>
                <w:color w:val="000000"/>
                <w:sz w:val="20"/>
                <w:szCs w:val="20"/>
              </w:rPr>
              <w:t>2012</w:t>
            </w:r>
          </w:p>
        </w:tc>
        <w:tc>
          <w:tcPr>
            <w:tcW w:w="1901" w:type="dxa"/>
            <w:shd w:val="clear" w:color="auto" w:fill="E3EBF3"/>
            <w:vAlign w:val="center"/>
          </w:tcPr>
          <w:p w:rsidR="00C54391" w:rsidRPr="002D1024" w:rsidRDefault="00C54391" w:rsidP="00FC2101">
            <w:pPr>
              <w:spacing w:after="0"/>
              <w:jc w:val="center"/>
              <w:rPr>
                <w:rFonts w:ascii="Calibri" w:hAnsi="Calibri" w:cs="Calibri"/>
                <w:b/>
                <w:bCs/>
                <w:color w:val="000000"/>
                <w:sz w:val="20"/>
                <w:szCs w:val="20"/>
              </w:rPr>
            </w:pPr>
            <w:r w:rsidRPr="002D1024">
              <w:rPr>
                <w:rFonts w:ascii="Calibri" w:hAnsi="Calibri" w:cs="Calibri"/>
                <w:b/>
                <w:bCs/>
                <w:color w:val="000000"/>
                <w:sz w:val="20"/>
                <w:szCs w:val="20"/>
              </w:rPr>
              <w:t>2013</w:t>
            </w:r>
          </w:p>
        </w:tc>
        <w:tc>
          <w:tcPr>
            <w:tcW w:w="1901" w:type="dxa"/>
            <w:shd w:val="clear" w:color="auto" w:fill="E3EBF3"/>
            <w:vAlign w:val="center"/>
          </w:tcPr>
          <w:p w:rsidR="00C54391" w:rsidRPr="002D1024" w:rsidRDefault="00C54391" w:rsidP="00FC2101">
            <w:pPr>
              <w:spacing w:after="0"/>
              <w:jc w:val="center"/>
              <w:rPr>
                <w:rFonts w:ascii="Calibri" w:hAnsi="Calibri" w:cs="Calibri"/>
                <w:b/>
                <w:bCs/>
                <w:color w:val="000000"/>
                <w:sz w:val="20"/>
                <w:szCs w:val="20"/>
              </w:rPr>
            </w:pPr>
            <w:r w:rsidRPr="002D1024">
              <w:rPr>
                <w:rFonts w:ascii="Calibri" w:hAnsi="Calibri" w:cs="Calibri"/>
                <w:b/>
                <w:bCs/>
                <w:color w:val="000000"/>
                <w:sz w:val="20"/>
                <w:szCs w:val="20"/>
              </w:rPr>
              <w:t>Do 30. 6. 2014</w:t>
            </w:r>
          </w:p>
        </w:tc>
      </w:tr>
      <w:tr w:rsidR="00842DE6" w:rsidTr="00FC2101">
        <w:trPr>
          <w:trHeight w:val="454"/>
        </w:trPr>
        <w:tc>
          <w:tcPr>
            <w:tcW w:w="3402" w:type="dxa"/>
            <w:tcBorders>
              <w:top w:val="single" w:sz="4" w:space="0" w:color="auto"/>
              <w:left w:val="single" w:sz="8" w:space="0" w:color="auto"/>
              <w:bottom w:val="single" w:sz="4" w:space="0" w:color="auto"/>
            </w:tcBorders>
            <w:vAlign w:val="center"/>
          </w:tcPr>
          <w:p w:rsidR="00842DE6" w:rsidRPr="002D1024" w:rsidRDefault="00842DE6" w:rsidP="0066180A">
            <w:pPr>
              <w:autoSpaceDE w:val="0"/>
              <w:autoSpaceDN w:val="0"/>
              <w:adjustRightInd w:val="0"/>
              <w:spacing w:after="0"/>
              <w:jc w:val="left"/>
              <w:rPr>
                <w:rFonts w:ascii="Calibri" w:hAnsi="Calibri" w:cs="Calibri"/>
                <w:color w:val="000000"/>
                <w:sz w:val="20"/>
                <w:szCs w:val="20"/>
              </w:rPr>
            </w:pPr>
            <w:r w:rsidRPr="002D1024">
              <w:rPr>
                <w:rFonts w:ascii="Calibri" w:hAnsi="Calibri" w:cs="Calibri"/>
                <w:color w:val="000000"/>
                <w:sz w:val="20"/>
                <w:szCs w:val="20"/>
              </w:rPr>
              <w:t xml:space="preserve">Celková hodnota vydaných </w:t>
            </w:r>
            <w:r w:rsidR="0066180A">
              <w:rPr>
                <w:rFonts w:ascii="Calibri" w:hAnsi="Calibri" w:cs="Calibri"/>
                <w:color w:val="000000"/>
                <w:sz w:val="20"/>
                <w:szCs w:val="20"/>
              </w:rPr>
              <w:t>zajišťovacích příkazů</w:t>
            </w:r>
          </w:p>
        </w:tc>
        <w:tc>
          <w:tcPr>
            <w:tcW w:w="1900"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2 231,9</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3 048,2</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939,3</w:t>
            </w:r>
          </w:p>
        </w:tc>
      </w:tr>
      <w:tr w:rsidR="00842DE6" w:rsidTr="00FC2101">
        <w:trPr>
          <w:trHeight w:val="454"/>
        </w:trPr>
        <w:tc>
          <w:tcPr>
            <w:tcW w:w="3402" w:type="dxa"/>
            <w:tcBorders>
              <w:top w:val="single" w:sz="4" w:space="0" w:color="auto"/>
              <w:left w:val="single" w:sz="8" w:space="0" w:color="auto"/>
              <w:bottom w:val="single" w:sz="4" w:space="0" w:color="auto"/>
            </w:tcBorders>
            <w:vAlign w:val="center"/>
          </w:tcPr>
          <w:p w:rsidR="00842DE6" w:rsidRPr="002D1024" w:rsidRDefault="00842DE6" w:rsidP="00A926CF">
            <w:pPr>
              <w:autoSpaceDE w:val="0"/>
              <w:autoSpaceDN w:val="0"/>
              <w:adjustRightInd w:val="0"/>
              <w:spacing w:after="0"/>
              <w:jc w:val="left"/>
              <w:rPr>
                <w:rFonts w:ascii="Calibri" w:hAnsi="Calibri" w:cs="Calibri"/>
                <w:color w:val="000000"/>
                <w:sz w:val="20"/>
                <w:szCs w:val="20"/>
              </w:rPr>
            </w:pPr>
            <w:r w:rsidRPr="002D1024">
              <w:rPr>
                <w:rFonts w:ascii="Calibri" w:hAnsi="Calibri" w:cs="Calibri"/>
                <w:color w:val="000000"/>
                <w:sz w:val="20"/>
                <w:szCs w:val="20"/>
              </w:rPr>
              <w:t xml:space="preserve">Celková vymožená částka </w:t>
            </w:r>
          </w:p>
        </w:tc>
        <w:tc>
          <w:tcPr>
            <w:tcW w:w="1900"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744,0</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552,0</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309,2</w:t>
            </w:r>
          </w:p>
        </w:tc>
      </w:tr>
      <w:tr w:rsidR="00842DE6" w:rsidTr="00FC2101">
        <w:trPr>
          <w:trHeight w:val="454"/>
        </w:trPr>
        <w:tc>
          <w:tcPr>
            <w:tcW w:w="3402" w:type="dxa"/>
            <w:tcBorders>
              <w:top w:val="single" w:sz="4" w:space="0" w:color="auto"/>
              <w:left w:val="single" w:sz="8" w:space="0" w:color="auto"/>
              <w:bottom w:val="single" w:sz="8" w:space="0" w:color="auto"/>
            </w:tcBorders>
            <w:vAlign w:val="center"/>
          </w:tcPr>
          <w:p w:rsidR="00842DE6" w:rsidRPr="002D1024" w:rsidRDefault="00842DE6" w:rsidP="00842DE6">
            <w:pPr>
              <w:autoSpaceDE w:val="0"/>
              <w:autoSpaceDN w:val="0"/>
              <w:adjustRightInd w:val="0"/>
              <w:spacing w:after="0"/>
              <w:jc w:val="left"/>
              <w:rPr>
                <w:rFonts w:ascii="Calibri" w:hAnsi="Calibri" w:cs="Calibri"/>
                <w:color w:val="000000"/>
                <w:sz w:val="20"/>
                <w:szCs w:val="20"/>
              </w:rPr>
            </w:pPr>
            <w:r w:rsidRPr="002D1024">
              <w:rPr>
                <w:rFonts w:ascii="Calibri" w:hAnsi="Calibri" w:cs="Calibri"/>
                <w:color w:val="000000"/>
                <w:sz w:val="20"/>
                <w:szCs w:val="20"/>
              </w:rPr>
              <w:t>Poměr vymožené částky</w:t>
            </w:r>
            <w:r w:rsidR="00A926CF">
              <w:rPr>
                <w:rFonts w:ascii="Calibri" w:hAnsi="Calibri" w:cs="Calibri"/>
                <w:color w:val="000000"/>
                <w:sz w:val="20"/>
                <w:szCs w:val="20"/>
              </w:rPr>
              <w:t xml:space="preserve"> v %</w:t>
            </w:r>
          </w:p>
        </w:tc>
        <w:tc>
          <w:tcPr>
            <w:tcW w:w="1900" w:type="dxa"/>
            <w:vAlign w:val="center"/>
          </w:tcPr>
          <w:p w:rsidR="00842DE6" w:rsidRPr="002D1024" w:rsidRDefault="00842DE6" w:rsidP="0066180A">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33,3</w:t>
            </w:r>
          </w:p>
        </w:tc>
        <w:tc>
          <w:tcPr>
            <w:tcW w:w="1901" w:type="dxa"/>
            <w:vAlign w:val="center"/>
          </w:tcPr>
          <w:p w:rsidR="00842DE6" w:rsidRPr="002D1024" w:rsidRDefault="00842DE6" w:rsidP="0066180A">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18,1</w:t>
            </w:r>
          </w:p>
        </w:tc>
        <w:tc>
          <w:tcPr>
            <w:tcW w:w="1901" w:type="dxa"/>
            <w:vAlign w:val="center"/>
          </w:tcPr>
          <w:p w:rsidR="00842DE6" w:rsidRPr="002D1024" w:rsidRDefault="00842DE6" w:rsidP="0066180A">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32,9</w:t>
            </w:r>
          </w:p>
        </w:tc>
      </w:tr>
    </w:tbl>
    <w:p w:rsidR="00C54391" w:rsidRPr="002F2322" w:rsidRDefault="00C54391" w:rsidP="00C54391">
      <w:pPr>
        <w:spacing w:after="0"/>
        <w:rPr>
          <w:rFonts w:cstheme="minorHAnsi"/>
          <w:sz w:val="20"/>
          <w:szCs w:val="20"/>
        </w:rPr>
      </w:pPr>
      <w:r w:rsidRPr="00FC2101">
        <w:rPr>
          <w:rFonts w:cstheme="minorHAnsi"/>
          <w:b/>
          <w:sz w:val="20"/>
          <w:szCs w:val="20"/>
        </w:rPr>
        <w:t>Zdroj:</w:t>
      </w:r>
      <w:r w:rsidRPr="002F2322">
        <w:rPr>
          <w:rFonts w:cstheme="minorHAnsi"/>
          <w:sz w:val="20"/>
          <w:szCs w:val="20"/>
        </w:rPr>
        <w:t xml:space="preserve"> GFŘ.</w:t>
      </w:r>
    </w:p>
    <w:p w:rsidR="00CB7422" w:rsidRDefault="00CB7422" w:rsidP="00FC2101">
      <w:pPr>
        <w:spacing w:after="0"/>
      </w:pPr>
    </w:p>
    <w:p w:rsidR="007F7D1A" w:rsidRDefault="007F7D1A" w:rsidP="00FC2101">
      <w:pPr>
        <w:spacing w:after="0"/>
      </w:pPr>
    </w:p>
    <w:p w:rsidR="00842DE6" w:rsidRDefault="00842DE6" w:rsidP="00842DE6">
      <w:pPr>
        <w:tabs>
          <w:tab w:val="right" w:pos="9072"/>
        </w:tabs>
        <w:spacing w:after="0"/>
        <w:rPr>
          <w:rFonts w:cstheme="minorHAnsi"/>
          <w:szCs w:val="24"/>
        </w:rPr>
      </w:pPr>
      <w:r w:rsidRPr="00552CC0">
        <w:rPr>
          <w:rFonts w:cstheme="minorHAnsi"/>
          <w:b/>
          <w:szCs w:val="24"/>
        </w:rPr>
        <w:t xml:space="preserve">Tabulka č. </w:t>
      </w:r>
      <w:r w:rsidRPr="002D1024">
        <w:rPr>
          <w:rFonts w:cstheme="minorHAnsi"/>
          <w:b/>
          <w:szCs w:val="24"/>
        </w:rPr>
        <w:t>3 –</w:t>
      </w:r>
      <w:r w:rsidRPr="00552CC0">
        <w:rPr>
          <w:rFonts w:cstheme="minorHAnsi"/>
          <w:b/>
          <w:szCs w:val="24"/>
        </w:rPr>
        <w:t xml:space="preserve"> Zajišťovací příkazy podle § 167 daňového řádu (pouze DPH)</w:t>
      </w:r>
      <w:r w:rsidR="007F7D1A">
        <w:rPr>
          <w:rFonts w:cstheme="minorHAnsi"/>
          <w:b/>
          <w:szCs w:val="24"/>
        </w:rPr>
        <w:t xml:space="preserve"> </w:t>
      </w:r>
      <w:r>
        <w:rPr>
          <w:rFonts w:cstheme="minorHAnsi"/>
          <w:b/>
          <w:szCs w:val="24"/>
        </w:rPr>
        <w:tab/>
      </w:r>
      <w:r w:rsidRPr="00552CC0">
        <w:rPr>
          <w:rFonts w:cstheme="minorHAnsi"/>
          <w:b/>
          <w:szCs w:val="24"/>
        </w:rPr>
        <w:t xml:space="preserve">(v </w:t>
      </w:r>
      <w:r>
        <w:rPr>
          <w:rFonts w:cstheme="minorHAnsi"/>
          <w:b/>
          <w:szCs w:val="24"/>
        </w:rPr>
        <w:t xml:space="preserve">mil. </w:t>
      </w:r>
      <w:r w:rsidRPr="00552CC0">
        <w:rPr>
          <w:rFonts w:cstheme="minorHAnsi"/>
          <w:b/>
          <w:szCs w:val="24"/>
        </w:rPr>
        <w:t>Kč)</w:t>
      </w:r>
    </w:p>
    <w:tbl>
      <w:tblPr>
        <w:tblStyle w:val="Mkatabulky"/>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402"/>
        <w:gridCol w:w="1900"/>
        <w:gridCol w:w="1901"/>
        <w:gridCol w:w="1901"/>
      </w:tblGrid>
      <w:tr w:rsidR="00842DE6" w:rsidTr="00FC2101">
        <w:trPr>
          <w:trHeight w:val="558"/>
        </w:trPr>
        <w:tc>
          <w:tcPr>
            <w:tcW w:w="3402" w:type="dxa"/>
            <w:shd w:val="clear" w:color="auto" w:fill="E3EBF3"/>
            <w:vAlign w:val="center"/>
          </w:tcPr>
          <w:p w:rsidR="00842DE6" w:rsidRPr="002D1024" w:rsidRDefault="00842DE6" w:rsidP="00FC2101">
            <w:pPr>
              <w:autoSpaceDE w:val="0"/>
              <w:autoSpaceDN w:val="0"/>
              <w:adjustRightInd w:val="0"/>
              <w:spacing w:after="0"/>
              <w:jc w:val="center"/>
              <w:rPr>
                <w:rFonts w:ascii="Calibri" w:hAnsi="Calibri" w:cs="Calibri"/>
                <w:color w:val="000000"/>
                <w:sz w:val="20"/>
                <w:szCs w:val="20"/>
              </w:rPr>
            </w:pPr>
          </w:p>
        </w:tc>
        <w:tc>
          <w:tcPr>
            <w:tcW w:w="1900" w:type="dxa"/>
            <w:shd w:val="clear" w:color="auto" w:fill="E3EBF3"/>
            <w:vAlign w:val="center"/>
          </w:tcPr>
          <w:p w:rsidR="00842DE6" w:rsidRPr="002D1024" w:rsidRDefault="00842DE6" w:rsidP="00842DE6">
            <w:pPr>
              <w:autoSpaceDE w:val="0"/>
              <w:autoSpaceDN w:val="0"/>
              <w:adjustRightInd w:val="0"/>
              <w:spacing w:after="0"/>
              <w:jc w:val="center"/>
              <w:rPr>
                <w:rFonts w:ascii="Calibri" w:hAnsi="Calibri" w:cs="Calibri"/>
                <w:b/>
                <w:bCs/>
                <w:color w:val="000000"/>
                <w:sz w:val="20"/>
                <w:szCs w:val="20"/>
              </w:rPr>
            </w:pPr>
            <w:r w:rsidRPr="002D1024">
              <w:rPr>
                <w:rFonts w:ascii="Calibri" w:hAnsi="Calibri" w:cs="Calibri"/>
                <w:b/>
                <w:bCs/>
                <w:color w:val="000000"/>
                <w:sz w:val="20"/>
                <w:szCs w:val="20"/>
              </w:rPr>
              <w:t>2012</w:t>
            </w:r>
          </w:p>
        </w:tc>
        <w:tc>
          <w:tcPr>
            <w:tcW w:w="1901" w:type="dxa"/>
            <w:shd w:val="clear" w:color="auto" w:fill="E3EBF3"/>
            <w:vAlign w:val="center"/>
          </w:tcPr>
          <w:p w:rsidR="00842DE6" w:rsidRPr="002D1024" w:rsidRDefault="00842DE6" w:rsidP="00842DE6">
            <w:pPr>
              <w:autoSpaceDE w:val="0"/>
              <w:autoSpaceDN w:val="0"/>
              <w:adjustRightInd w:val="0"/>
              <w:spacing w:after="0"/>
              <w:jc w:val="center"/>
              <w:rPr>
                <w:rFonts w:ascii="Calibri" w:hAnsi="Calibri" w:cs="Calibri"/>
                <w:b/>
                <w:bCs/>
                <w:color w:val="000000"/>
                <w:sz w:val="20"/>
                <w:szCs w:val="20"/>
              </w:rPr>
            </w:pPr>
            <w:r w:rsidRPr="002D1024">
              <w:rPr>
                <w:rFonts w:ascii="Calibri" w:hAnsi="Calibri" w:cs="Calibri"/>
                <w:b/>
                <w:bCs/>
                <w:color w:val="000000"/>
                <w:sz w:val="20"/>
                <w:szCs w:val="20"/>
              </w:rPr>
              <w:t>2013</w:t>
            </w:r>
          </w:p>
        </w:tc>
        <w:tc>
          <w:tcPr>
            <w:tcW w:w="1901" w:type="dxa"/>
            <w:shd w:val="clear" w:color="auto" w:fill="E3EBF3"/>
            <w:vAlign w:val="center"/>
          </w:tcPr>
          <w:p w:rsidR="00842DE6" w:rsidRPr="002D1024" w:rsidRDefault="00842DE6" w:rsidP="00842DE6">
            <w:pPr>
              <w:autoSpaceDE w:val="0"/>
              <w:autoSpaceDN w:val="0"/>
              <w:adjustRightInd w:val="0"/>
              <w:spacing w:after="0"/>
              <w:jc w:val="center"/>
              <w:rPr>
                <w:rFonts w:ascii="Calibri" w:hAnsi="Calibri" w:cs="Calibri"/>
                <w:b/>
                <w:bCs/>
                <w:color w:val="000000"/>
                <w:sz w:val="20"/>
                <w:szCs w:val="20"/>
              </w:rPr>
            </w:pPr>
            <w:r w:rsidRPr="002D1024">
              <w:rPr>
                <w:rFonts w:ascii="Calibri" w:hAnsi="Calibri" w:cs="Calibri"/>
                <w:b/>
                <w:bCs/>
                <w:color w:val="000000"/>
                <w:sz w:val="20"/>
                <w:szCs w:val="20"/>
              </w:rPr>
              <w:t>Do 30. 6. 2014</w:t>
            </w:r>
          </w:p>
        </w:tc>
      </w:tr>
      <w:tr w:rsidR="00842DE6" w:rsidTr="00FC2101">
        <w:trPr>
          <w:trHeight w:val="454"/>
        </w:trPr>
        <w:tc>
          <w:tcPr>
            <w:tcW w:w="3402" w:type="dxa"/>
            <w:vAlign w:val="center"/>
          </w:tcPr>
          <w:p w:rsidR="00842DE6" w:rsidRPr="002D1024" w:rsidRDefault="00842DE6" w:rsidP="0066180A">
            <w:pPr>
              <w:autoSpaceDE w:val="0"/>
              <w:autoSpaceDN w:val="0"/>
              <w:adjustRightInd w:val="0"/>
              <w:spacing w:after="0"/>
              <w:jc w:val="left"/>
              <w:rPr>
                <w:rFonts w:ascii="Calibri" w:hAnsi="Calibri" w:cs="Calibri"/>
                <w:color w:val="000000"/>
                <w:sz w:val="20"/>
                <w:szCs w:val="20"/>
              </w:rPr>
            </w:pPr>
            <w:r w:rsidRPr="002D1024">
              <w:rPr>
                <w:rFonts w:ascii="Calibri" w:hAnsi="Calibri" w:cs="Calibri"/>
                <w:color w:val="000000"/>
                <w:sz w:val="20"/>
                <w:szCs w:val="20"/>
              </w:rPr>
              <w:t xml:space="preserve">Celková hodnota vydaných </w:t>
            </w:r>
            <w:r w:rsidR="0066180A">
              <w:rPr>
                <w:rFonts w:ascii="Calibri" w:hAnsi="Calibri" w:cs="Calibri"/>
                <w:color w:val="000000"/>
                <w:sz w:val="20"/>
                <w:szCs w:val="20"/>
              </w:rPr>
              <w:t>zajišťovacích příkazů</w:t>
            </w:r>
          </w:p>
        </w:tc>
        <w:tc>
          <w:tcPr>
            <w:tcW w:w="1900"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2 587,4</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3 407,3</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1 871,3</w:t>
            </w:r>
          </w:p>
        </w:tc>
      </w:tr>
      <w:tr w:rsidR="00842DE6" w:rsidTr="00FC2101">
        <w:trPr>
          <w:trHeight w:val="454"/>
        </w:trPr>
        <w:tc>
          <w:tcPr>
            <w:tcW w:w="3402" w:type="dxa"/>
            <w:vAlign w:val="center"/>
          </w:tcPr>
          <w:p w:rsidR="00842DE6" w:rsidRPr="002D1024" w:rsidRDefault="00842DE6" w:rsidP="00A926CF">
            <w:pPr>
              <w:autoSpaceDE w:val="0"/>
              <w:autoSpaceDN w:val="0"/>
              <w:adjustRightInd w:val="0"/>
              <w:spacing w:after="0"/>
              <w:jc w:val="left"/>
              <w:rPr>
                <w:rFonts w:ascii="Calibri" w:hAnsi="Calibri" w:cs="Calibri"/>
                <w:color w:val="000000"/>
                <w:sz w:val="20"/>
                <w:szCs w:val="20"/>
              </w:rPr>
            </w:pPr>
            <w:r w:rsidRPr="002D1024">
              <w:rPr>
                <w:rFonts w:ascii="Calibri" w:hAnsi="Calibri" w:cs="Calibri"/>
                <w:color w:val="000000"/>
                <w:sz w:val="20"/>
                <w:szCs w:val="20"/>
              </w:rPr>
              <w:t xml:space="preserve">Celková vymožená částka </w:t>
            </w:r>
          </w:p>
        </w:tc>
        <w:tc>
          <w:tcPr>
            <w:tcW w:w="1900"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662,1</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117,4</w:t>
            </w:r>
          </w:p>
        </w:tc>
        <w:tc>
          <w:tcPr>
            <w:tcW w:w="1901" w:type="dxa"/>
            <w:vAlign w:val="center"/>
          </w:tcPr>
          <w:p w:rsidR="00842DE6" w:rsidRPr="002D1024" w:rsidRDefault="00842DE6" w:rsidP="00842DE6">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283,4</w:t>
            </w:r>
          </w:p>
        </w:tc>
      </w:tr>
      <w:tr w:rsidR="00842DE6" w:rsidTr="00FC2101">
        <w:trPr>
          <w:trHeight w:val="454"/>
        </w:trPr>
        <w:tc>
          <w:tcPr>
            <w:tcW w:w="3402" w:type="dxa"/>
            <w:vAlign w:val="center"/>
          </w:tcPr>
          <w:p w:rsidR="00842DE6" w:rsidRPr="002D1024" w:rsidRDefault="00842DE6" w:rsidP="00842DE6">
            <w:pPr>
              <w:autoSpaceDE w:val="0"/>
              <w:autoSpaceDN w:val="0"/>
              <w:adjustRightInd w:val="0"/>
              <w:spacing w:after="0"/>
              <w:jc w:val="left"/>
              <w:rPr>
                <w:rFonts w:ascii="Calibri" w:hAnsi="Calibri" w:cs="Calibri"/>
                <w:color w:val="000000"/>
                <w:sz w:val="20"/>
                <w:szCs w:val="20"/>
              </w:rPr>
            </w:pPr>
            <w:r w:rsidRPr="002D1024">
              <w:rPr>
                <w:rFonts w:ascii="Calibri" w:hAnsi="Calibri" w:cs="Calibri"/>
                <w:color w:val="000000"/>
                <w:sz w:val="20"/>
                <w:szCs w:val="20"/>
              </w:rPr>
              <w:t>Poměr vymožené částky</w:t>
            </w:r>
            <w:r w:rsidR="00A926CF">
              <w:rPr>
                <w:rFonts w:ascii="Calibri" w:hAnsi="Calibri" w:cs="Calibri"/>
                <w:color w:val="000000"/>
                <w:sz w:val="20"/>
                <w:szCs w:val="20"/>
              </w:rPr>
              <w:t xml:space="preserve"> v %</w:t>
            </w:r>
          </w:p>
        </w:tc>
        <w:tc>
          <w:tcPr>
            <w:tcW w:w="1900" w:type="dxa"/>
            <w:vAlign w:val="center"/>
          </w:tcPr>
          <w:p w:rsidR="00842DE6" w:rsidRPr="002D1024" w:rsidRDefault="00842DE6" w:rsidP="0066180A">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25,6</w:t>
            </w:r>
          </w:p>
        </w:tc>
        <w:tc>
          <w:tcPr>
            <w:tcW w:w="1901" w:type="dxa"/>
            <w:vAlign w:val="center"/>
          </w:tcPr>
          <w:p w:rsidR="00842DE6" w:rsidRPr="002D1024" w:rsidRDefault="00842DE6" w:rsidP="00EA4F05">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3,4</w:t>
            </w:r>
          </w:p>
        </w:tc>
        <w:tc>
          <w:tcPr>
            <w:tcW w:w="1901" w:type="dxa"/>
            <w:vAlign w:val="center"/>
          </w:tcPr>
          <w:p w:rsidR="00842DE6" w:rsidRPr="002D1024" w:rsidRDefault="00842DE6" w:rsidP="004174C2">
            <w:pPr>
              <w:autoSpaceDE w:val="0"/>
              <w:autoSpaceDN w:val="0"/>
              <w:adjustRightInd w:val="0"/>
              <w:spacing w:after="0"/>
              <w:jc w:val="right"/>
              <w:rPr>
                <w:rFonts w:ascii="Calibri" w:hAnsi="Calibri" w:cs="Calibri"/>
                <w:color w:val="000000"/>
                <w:sz w:val="20"/>
                <w:szCs w:val="20"/>
              </w:rPr>
            </w:pPr>
            <w:r w:rsidRPr="002D1024">
              <w:rPr>
                <w:rFonts w:ascii="Calibri" w:hAnsi="Calibri" w:cs="Calibri"/>
                <w:color w:val="000000"/>
                <w:sz w:val="20"/>
                <w:szCs w:val="20"/>
              </w:rPr>
              <w:t>15,1</w:t>
            </w:r>
          </w:p>
        </w:tc>
      </w:tr>
    </w:tbl>
    <w:p w:rsidR="00842DE6" w:rsidRPr="002F2322" w:rsidRDefault="00842DE6" w:rsidP="00FC2101">
      <w:pPr>
        <w:spacing w:after="0"/>
        <w:rPr>
          <w:rFonts w:cstheme="minorHAnsi"/>
          <w:sz w:val="20"/>
          <w:szCs w:val="20"/>
        </w:rPr>
      </w:pPr>
      <w:r w:rsidRPr="00FC2101">
        <w:rPr>
          <w:rFonts w:cstheme="minorHAnsi"/>
          <w:b/>
          <w:sz w:val="20"/>
          <w:szCs w:val="20"/>
        </w:rPr>
        <w:t>Zdroj:</w:t>
      </w:r>
      <w:r w:rsidRPr="002F2322">
        <w:rPr>
          <w:rFonts w:cstheme="minorHAnsi"/>
          <w:sz w:val="20"/>
          <w:szCs w:val="20"/>
        </w:rPr>
        <w:t xml:space="preserve"> GFŘ.</w:t>
      </w:r>
    </w:p>
    <w:p w:rsidR="00842DE6" w:rsidRDefault="00842DE6" w:rsidP="00FC2101">
      <w:pPr>
        <w:spacing w:after="0"/>
        <w:rPr>
          <w:rFonts w:cs="Calibri"/>
          <w:szCs w:val="24"/>
        </w:rPr>
      </w:pPr>
    </w:p>
    <w:p w:rsidR="00842DE6" w:rsidRDefault="00842DE6" w:rsidP="00FC2101">
      <w:pPr>
        <w:spacing w:after="0"/>
        <w:rPr>
          <w:rFonts w:cs="Calibri"/>
          <w:szCs w:val="24"/>
        </w:rPr>
      </w:pPr>
      <w:r w:rsidRPr="00033618">
        <w:rPr>
          <w:rFonts w:cs="Calibri"/>
          <w:szCs w:val="24"/>
        </w:rPr>
        <w:t>V</w:t>
      </w:r>
      <w:r>
        <w:rPr>
          <w:rFonts w:cs="Calibri"/>
          <w:szCs w:val="24"/>
        </w:rPr>
        <w:t xml:space="preserve">ydání zajišťovacího příkazu podle zákona o DPH bylo </w:t>
      </w:r>
      <w:r w:rsidR="000869AC">
        <w:rPr>
          <w:rFonts w:cs="Calibri"/>
          <w:szCs w:val="24"/>
        </w:rPr>
        <w:t>v </w:t>
      </w:r>
      <w:r>
        <w:rPr>
          <w:rFonts w:cs="Calibri"/>
          <w:szCs w:val="24"/>
        </w:rPr>
        <w:t>letech 2012–2014 ve srovnání se zajišťovacím příkazem podle daňového řádu efektivnější</w:t>
      </w:r>
      <w:r w:rsidRPr="00033618">
        <w:rPr>
          <w:rFonts w:cs="Calibri"/>
          <w:szCs w:val="24"/>
        </w:rPr>
        <w:t>, úspěšnost vymáhání</w:t>
      </w:r>
      <w:r w:rsidR="00A926CF">
        <w:rPr>
          <w:rFonts w:cs="Calibri"/>
          <w:szCs w:val="24"/>
        </w:rPr>
        <w:t xml:space="preserve"> na jeho základě</w:t>
      </w:r>
      <w:r w:rsidRPr="00033618">
        <w:rPr>
          <w:rFonts w:cs="Calibri"/>
          <w:szCs w:val="24"/>
        </w:rPr>
        <w:t xml:space="preserve"> byla</w:t>
      </w:r>
      <w:r>
        <w:rPr>
          <w:rFonts w:cs="Calibri"/>
          <w:szCs w:val="24"/>
        </w:rPr>
        <w:t xml:space="preserve"> o cca 13 </w:t>
      </w:r>
      <w:r w:rsidRPr="00033618">
        <w:rPr>
          <w:rFonts w:cs="Calibri"/>
          <w:szCs w:val="24"/>
        </w:rPr>
        <w:t>% vyšší.</w:t>
      </w:r>
      <w:r>
        <w:rPr>
          <w:rFonts w:cs="Calibri"/>
          <w:szCs w:val="24"/>
        </w:rPr>
        <w:t xml:space="preserve"> </w:t>
      </w:r>
    </w:p>
    <w:p w:rsidR="007F7D1A" w:rsidRPr="004A7FCC" w:rsidRDefault="007F7D1A" w:rsidP="00FC2101">
      <w:pPr>
        <w:spacing w:after="0"/>
        <w:rPr>
          <w:rFonts w:cs="Calibri"/>
          <w:szCs w:val="24"/>
        </w:rPr>
      </w:pPr>
    </w:p>
    <w:p w:rsidR="00842DE6" w:rsidRDefault="00465BD2" w:rsidP="00FC2101">
      <w:pPr>
        <w:spacing w:after="0"/>
        <w:rPr>
          <w:rFonts w:cs="Calibri"/>
          <w:szCs w:val="24"/>
        </w:rPr>
      </w:pPr>
      <w:r>
        <w:rPr>
          <w:rFonts w:cs="Calibri"/>
          <w:szCs w:val="24"/>
        </w:rPr>
        <w:t>Finanční správa</w:t>
      </w:r>
      <w:r w:rsidR="00842DE6">
        <w:rPr>
          <w:rFonts w:cs="Calibri"/>
          <w:szCs w:val="24"/>
        </w:rPr>
        <w:t xml:space="preserve"> </w:t>
      </w:r>
      <w:r w:rsidR="00842DE6" w:rsidRPr="00033618">
        <w:rPr>
          <w:rFonts w:cs="Calibri"/>
          <w:szCs w:val="24"/>
        </w:rPr>
        <w:t xml:space="preserve">získává </w:t>
      </w:r>
      <w:r w:rsidR="00842DE6" w:rsidRPr="002A74AF">
        <w:rPr>
          <w:rFonts w:cs="Calibri"/>
          <w:szCs w:val="24"/>
        </w:rPr>
        <w:t xml:space="preserve">signální </w:t>
      </w:r>
      <w:r w:rsidR="00842DE6" w:rsidRPr="00033618">
        <w:rPr>
          <w:rFonts w:cs="Calibri"/>
          <w:szCs w:val="24"/>
        </w:rPr>
        <w:t>informace</w:t>
      </w:r>
      <w:r w:rsidR="00842DE6">
        <w:rPr>
          <w:rFonts w:cs="Calibri"/>
          <w:szCs w:val="24"/>
        </w:rPr>
        <w:t xml:space="preserve"> </w:t>
      </w:r>
      <w:r w:rsidR="00842DE6" w:rsidRPr="00033618">
        <w:rPr>
          <w:rFonts w:cs="Calibri"/>
          <w:szCs w:val="24"/>
        </w:rPr>
        <w:t xml:space="preserve">o existenci podezřelého subjektu a </w:t>
      </w:r>
      <w:r w:rsidR="00842DE6" w:rsidRPr="00F23A00">
        <w:rPr>
          <w:rFonts w:cs="Calibri"/>
          <w:szCs w:val="24"/>
        </w:rPr>
        <w:t xml:space="preserve">jeho </w:t>
      </w:r>
      <w:r w:rsidR="00842DE6">
        <w:rPr>
          <w:rFonts w:cs="Calibri"/>
          <w:szCs w:val="24"/>
        </w:rPr>
        <w:t>m</w:t>
      </w:r>
      <w:r w:rsidR="00842DE6" w:rsidRPr="00033618">
        <w:rPr>
          <w:rFonts w:cs="Calibri"/>
          <w:szCs w:val="24"/>
        </w:rPr>
        <w:t>ajetku</w:t>
      </w:r>
      <w:r w:rsidR="00842DE6">
        <w:rPr>
          <w:rFonts w:cs="Calibri"/>
          <w:szCs w:val="24"/>
        </w:rPr>
        <w:t xml:space="preserve"> především od</w:t>
      </w:r>
      <w:r w:rsidR="00842DE6" w:rsidRPr="00033618">
        <w:rPr>
          <w:rFonts w:cs="Calibri"/>
          <w:szCs w:val="24"/>
        </w:rPr>
        <w:t xml:space="preserve"> Finančního analytického útvaru </w:t>
      </w:r>
      <w:r w:rsidR="0066180A">
        <w:rPr>
          <w:rFonts w:cs="Calibri"/>
          <w:szCs w:val="24"/>
        </w:rPr>
        <w:t>Ministerstva financí</w:t>
      </w:r>
      <w:r w:rsidR="00842DE6">
        <w:rPr>
          <w:rFonts w:cs="Calibri"/>
          <w:szCs w:val="24"/>
        </w:rPr>
        <w:t xml:space="preserve">. </w:t>
      </w:r>
      <w:r w:rsidR="00842DE6" w:rsidRPr="00595286">
        <w:rPr>
          <w:rFonts w:cs="Calibri"/>
          <w:szCs w:val="24"/>
        </w:rPr>
        <w:t xml:space="preserve">Tyto informace </w:t>
      </w:r>
      <w:r w:rsidR="00842DE6">
        <w:rPr>
          <w:rFonts w:cs="Calibri"/>
          <w:szCs w:val="24"/>
        </w:rPr>
        <w:t>vyžadují okamžitou reakci správce daně.</w:t>
      </w:r>
      <w:r w:rsidR="00842DE6" w:rsidRPr="000869AC">
        <w:rPr>
          <w:rFonts w:cs="Calibri"/>
          <w:szCs w:val="24"/>
        </w:rPr>
        <w:t xml:space="preserve"> </w:t>
      </w:r>
      <w:r w:rsidR="00842DE6" w:rsidRPr="00033618">
        <w:rPr>
          <w:rFonts w:cs="Calibri"/>
          <w:szCs w:val="24"/>
        </w:rPr>
        <w:t>Z</w:t>
      </w:r>
      <w:r w:rsidR="000869AC">
        <w:rPr>
          <w:rFonts w:cs="Calibri"/>
          <w:szCs w:val="24"/>
        </w:rPr>
        <w:t> </w:t>
      </w:r>
      <w:r w:rsidR="00842DE6" w:rsidRPr="00033618">
        <w:rPr>
          <w:rFonts w:cs="Calibri"/>
          <w:szCs w:val="24"/>
        </w:rPr>
        <w:t xml:space="preserve">celkového počtu 245 signálních informací vyhodnocených </w:t>
      </w:r>
      <w:r w:rsidR="00A926CF">
        <w:rPr>
          <w:rFonts w:cs="Calibri"/>
          <w:szCs w:val="24"/>
        </w:rPr>
        <w:t>f</w:t>
      </w:r>
      <w:r w:rsidR="00842DE6">
        <w:rPr>
          <w:rFonts w:cs="Calibri"/>
          <w:szCs w:val="24"/>
        </w:rPr>
        <w:t>inanční správou</w:t>
      </w:r>
      <w:r w:rsidR="00842DE6">
        <w:rPr>
          <w:rFonts w:cs="Calibri"/>
          <w:color w:val="92D050"/>
          <w:szCs w:val="24"/>
        </w:rPr>
        <w:t xml:space="preserve"> </w:t>
      </w:r>
      <w:r w:rsidR="00842DE6" w:rsidRPr="00033618">
        <w:rPr>
          <w:rFonts w:cs="Calibri"/>
          <w:szCs w:val="24"/>
        </w:rPr>
        <w:t xml:space="preserve">jako </w:t>
      </w:r>
      <w:r w:rsidR="00842DE6">
        <w:rPr>
          <w:rFonts w:cs="Calibri"/>
          <w:szCs w:val="24"/>
        </w:rPr>
        <w:t>možn</w:t>
      </w:r>
      <w:r w:rsidR="0066180A">
        <w:rPr>
          <w:rFonts w:cs="Calibri"/>
          <w:szCs w:val="24"/>
        </w:rPr>
        <w:t>é</w:t>
      </w:r>
      <w:r w:rsidR="00842DE6">
        <w:rPr>
          <w:rFonts w:cs="Calibri"/>
          <w:szCs w:val="24"/>
        </w:rPr>
        <w:t xml:space="preserve"> </w:t>
      </w:r>
      <w:r w:rsidR="00842DE6" w:rsidRPr="00033618">
        <w:rPr>
          <w:rFonts w:cs="Calibri"/>
          <w:szCs w:val="24"/>
        </w:rPr>
        <w:t>daňov</w:t>
      </w:r>
      <w:r w:rsidR="0066180A">
        <w:rPr>
          <w:rFonts w:cs="Calibri"/>
          <w:szCs w:val="24"/>
        </w:rPr>
        <w:t>é</w:t>
      </w:r>
      <w:r w:rsidR="00842DE6" w:rsidRPr="00033618">
        <w:rPr>
          <w:rFonts w:cs="Calibri"/>
          <w:szCs w:val="24"/>
        </w:rPr>
        <w:t xml:space="preserve"> únik</w:t>
      </w:r>
      <w:r w:rsidR="0066180A">
        <w:rPr>
          <w:rFonts w:cs="Calibri"/>
          <w:szCs w:val="24"/>
        </w:rPr>
        <w:t>y</w:t>
      </w:r>
      <w:r w:rsidR="00842DE6" w:rsidRPr="00033618">
        <w:rPr>
          <w:rFonts w:cs="Calibri"/>
          <w:szCs w:val="24"/>
        </w:rPr>
        <w:t xml:space="preserve"> </w:t>
      </w:r>
      <w:r w:rsidR="000869AC">
        <w:rPr>
          <w:rFonts w:cs="Calibri"/>
          <w:szCs w:val="24"/>
        </w:rPr>
        <w:t>v </w:t>
      </w:r>
      <w:r w:rsidR="00842DE6" w:rsidRPr="00033618">
        <w:rPr>
          <w:rFonts w:cs="Calibri"/>
          <w:szCs w:val="24"/>
        </w:rPr>
        <w:t>roce 2013 bylo ukončeno exekucí</w:t>
      </w:r>
      <w:r w:rsidR="00967341">
        <w:rPr>
          <w:rFonts w:cs="Calibri"/>
          <w:szCs w:val="24"/>
        </w:rPr>
        <w:t xml:space="preserve"> </w:t>
      </w:r>
      <w:r w:rsidR="00842DE6" w:rsidRPr="00033618">
        <w:rPr>
          <w:rFonts w:cs="Calibri"/>
          <w:szCs w:val="24"/>
        </w:rPr>
        <w:t>73,88</w:t>
      </w:r>
      <w:r w:rsidR="0066180A">
        <w:rPr>
          <w:rFonts w:cs="Calibri"/>
          <w:szCs w:val="24"/>
        </w:rPr>
        <w:t> </w:t>
      </w:r>
      <w:r w:rsidR="00842DE6" w:rsidRPr="00033618">
        <w:rPr>
          <w:rFonts w:cs="Calibri"/>
          <w:szCs w:val="24"/>
        </w:rPr>
        <w:t>%.</w:t>
      </w:r>
    </w:p>
    <w:p w:rsidR="007F7D1A" w:rsidRDefault="007F7D1A" w:rsidP="00FC2101">
      <w:pPr>
        <w:spacing w:after="0"/>
        <w:rPr>
          <w:rFonts w:cs="Calibri"/>
          <w:szCs w:val="24"/>
        </w:rPr>
      </w:pPr>
    </w:p>
    <w:p w:rsidR="00842DE6" w:rsidRDefault="00842DE6" w:rsidP="00FC2101">
      <w:pPr>
        <w:spacing w:after="0"/>
        <w:rPr>
          <w:rFonts w:cs="Calibri"/>
          <w:szCs w:val="24"/>
        </w:rPr>
      </w:pPr>
      <w:r w:rsidRPr="00EF5CC8">
        <w:rPr>
          <w:rFonts w:cs="Calibri"/>
          <w:szCs w:val="24"/>
        </w:rPr>
        <w:t xml:space="preserve">Nejčastějším důvodem </w:t>
      </w:r>
      <w:r>
        <w:rPr>
          <w:rFonts w:cs="Calibri"/>
          <w:szCs w:val="24"/>
        </w:rPr>
        <w:t>nevydání zajišťovacího příkazu byl</w:t>
      </w:r>
      <w:r w:rsidRPr="00EF5CC8">
        <w:rPr>
          <w:rFonts w:cs="Calibri"/>
          <w:szCs w:val="24"/>
        </w:rPr>
        <w:t xml:space="preserve"> nedostatek majetku zjištěného u</w:t>
      </w:r>
      <w:r>
        <w:rPr>
          <w:rFonts w:cs="Calibri"/>
          <w:szCs w:val="24"/>
        </w:rPr>
        <w:t> </w:t>
      </w:r>
      <w:r w:rsidRPr="00EF5CC8">
        <w:rPr>
          <w:rFonts w:cs="Calibri"/>
          <w:szCs w:val="24"/>
        </w:rPr>
        <w:t>rizikového subjektu</w:t>
      </w:r>
      <w:r>
        <w:rPr>
          <w:rFonts w:cs="Calibri"/>
          <w:szCs w:val="24"/>
        </w:rPr>
        <w:t>.</w:t>
      </w:r>
      <w:r w:rsidRPr="00EF5CC8">
        <w:rPr>
          <w:rFonts w:cs="Calibri"/>
          <w:szCs w:val="24"/>
        </w:rPr>
        <w:t xml:space="preserve"> </w:t>
      </w:r>
    </w:p>
    <w:p w:rsidR="007F7D1A" w:rsidRDefault="007F7D1A" w:rsidP="00FC2101">
      <w:pPr>
        <w:spacing w:after="0"/>
        <w:rPr>
          <w:rFonts w:cs="Calibri"/>
          <w:szCs w:val="24"/>
        </w:rPr>
      </w:pPr>
    </w:p>
    <w:p w:rsidR="00842DE6" w:rsidRPr="00BC522D" w:rsidRDefault="004073A5" w:rsidP="00FC2101">
      <w:pPr>
        <w:pStyle w:val="Nadpis2"/>
        <w:numPr>
          <w:ilvl w:val="0"/>
          <w:numId w:val="0"/>
        </w:numPr>
        <w:spacing w:before="0"/>
        <w:ind w:left="426" w:hanging="426"/>
        <w:rPr>
          <w:sz w:val="24"/>
          <w:szCs w:val="24"/>
        </w:rPr>
      </w:pPr>
      <w:r w:rsidRPr="00BC522D">
        <w:rPr>
          <w:sz w:val="24"/>
          <w:szCs w:val="24"/>
        </w:rPr>
        <w:t xml:space="preserve">7. </w:t>
      </w:r>
      <w:r w:rsidR="00842DE6" w:rsidRPr="00BC522D">
        <w:rPr>
          <w:sz w:val="24"/>
          <w:szCs w:val="24"/>
        </w:rPr>
        <w:t xml:space="preserve">Oprava výše daně u pohledávek za dlužníky </w:t>
      </w:r>
      <w:r w:rsidR="000869AC">
        <w:rPr>
          <w:sz w:val="24"/>
          <w:szCs w:val="24"/>
        </w:rPr>
        <w:t>v </w:t>
      </w:r>
      <w:r w:rsidR="00842DE6" w:rsidRPr="00BC522D">
        <w:rPr>
          <w:sz w:val="24"/>
          <w:szCs w:val="24"/>
        </w:rPr>
        <w:t>insolvenčním řízení</w:t>
      </w:r>
    </w:p>
    <w:p w:rsidR="00842DE6" w:rsidRDefault="00842DE6" w:rsidP="00FC2101">
      <w:pPr>
        <w:spacing w:after="0"/>
        <w:rPr>
          <w:rFonts w:cstheme="minorHAnsi"/>
          <w:szCs w:val="24"/>
        </w:rPr>
      </w:pPr>
      <w:r w:rsidRPr="00DE69E5">
        <w:rPr>
          <w:rFonts w:cstheme="minorHAnsi"/>
          <w:szCs w:val="24"/>
        </w:rPr>
        <w:t xml:space="preserve">Zákon č. 47/2011 Sb. umožňuje od 1. 4. 2011 věřitelům </w:t>
      </w:r>
      <w:r>
        <w:rPr>
          <w:rFonts w:cstheme="minorHAnsi"/>
          <w:szCs w:val="24"/>
        </w:rPr>
        <w:t>za zákonem stanovených podmínek</w:t>
      </w:r>
      <w:r w:rsidRPr="00DE69E5">
        <w:rPr>
          <w:rFonts w:cstheme="minorHAnsi"/>
          <w:szCs w:val="24"/>
        </w:rPr>
        <w:t xml:space="preserve"> uplatnit vrácení dlužníkem neuhrazené DPH. Oproti tomu dlužníci </w:t>
      </w:r>
      <w:r w:rsidR="000869AC">
        <w:rPr>
          <w:rFonts w:cstheme="minorHAnsi"/>
          <w:szCs w:val="24"/>
        </w:rPr>
        <w:t>v </w:t>
      </w:r>
      <w:r w:rsidRPr="00DE69E5">
        <w:rPr>
          <w:rFonts w:cstheme="minorHAnsi"/>
          <w:szCs w:val="24"/>
        </w:rPr>
        <w:t xml:space="preserve">insolvenčním řízení mají povinnost snížit odpočet DPH ve výši opravy provedené věřitelem. Podle důvodové zprávy </w:t>
      </w:r>
      <w:r w:rsidR="000869AC">
        <w:rPr>
          <w:rFonts w:cstheme="minorHAnsi"/>
          <w:szCs w:val="24"/>
        </w:rPr>
        <w:t>k </w:t>
      </w:r>
      <w:r w:rsidR="00E9179F">
        <w:rPr>
          <w:rFonts w:cstheme="minorHAnsi"/>
          <w:szCs w:val="24"/>
        </w:rPr>
        <w:t xml:space="preserve">návrhu </w:t>
      </w:r>
      <w:r w:rsidRPr="00DE69E5">
        <w:rPr>
          <w:rFonts w:cstheme="minorHAnsi"/>
          <w:szCs w:val="24"/>
        </w:rPr>
        <w:t>zákon</w:t>
      </w:r>
      <w:r w:rsidR="00E9179F">
        <w:rPr>
          <w:rFonts w:cstheme="minorHAnsi"/>
          <w:szCs w:val="24"/>
        </w:rPr>
        <w:t>a</w:t>
      </w:r>
      <w:r w:rsidRPr="00DE69E5">
        <w:rPr>
          <w:rFonts w:cstheme="minorHAnsi"/>
          <w:szCs w:val="24"/>
        </w:rPr>
        <w:t xml:space="preserve"> č. 47/2011 Sb. se jedná o protikrizové opatření provedené </w:t>
      </w:r>
      <w:r w:rsidR="000869AC">
        <w:rPr>
          <w:rFonts w:cstheme="minorHAnsi"/>
          <w:szCs w:val="24"/>
        </w:rPr>
        <w:t>v </w:t>
      </w:r>
      <w:r w:rsidRPr="00DE69E5">
        <w:rPr>
          <w:rFonts w:cstheme="minorHAnsi"/>
          <w:szCs w:val="24"/>
        </w:rPr>
        <w:t xml:space="preserve">souvislosti </w:t>
      </w:r>
      <w:r w:rsidR="000869AC">
        <w:rPr>
          <w:rFonts w:cstheme="minorHAnsi"/>
          <w:szCs w:val="24"/>
        </w:rPr>
        <w:lastRenderedPageBreak/>
        <w:t>s </w:t>
      </w:r>
      <w:r w:rsidRPr="00DE69E5">
        <w:rPr>
          <w:rFonts w:cstheme="minorHAnsi"/>
          <w:szCs w:val="24"/>
        </w:rPr>
        <w:t xml:space="preserve">negativním vývojem ekonomické situace </w:t>
      </w:r>
      <w:r w:rsidR="000869AC">
        <w:rPr>
          <w:rFonts w:cstheme="minorHAnsi"/>
          <w:szCs w:val="24"/>
        </w:rPr>
        <w:t>s </w:t>
      </w:r>
      <w:r w:rsidRPr="00DE69E5">
        <w:rPr>
          <w:rFonts w:cstheme="minorHAnsi"/>
          <w:szCs w:val="24"/>
        </w:rPr>
        <w:t xml:space="preserve">cílem pomoci firmám, jejichž cash-flow snižují nedobytné pohledávky za podniky </w:t>
      </w:r>
      <w:r w:rsidR="000869AC">
        <w:rPr>
          <w:rFonts w:cstheme="minorHAnsi"/>
          <w:szCs w:val="24"/>
        </w:rPr>
        <w:t>v </w:t>
      </w:r>
      <w:r w:rsidRPr="00DE69E5">
        <w:rPr>
          <w:rFonts w:cstheme="minorHAnsi"/>
          <w:szCs w:val="24"/>
        </w:rPr>
        <w:t xml:space="preserve">platební neschopnosti. </w:t>
      </w:r>
    </w:p>
    <w:p w:rsidR="007F7D1A" w:rsidRPr="00DE69E5" w:rsidRDefault="007F7D1A" w:rsidP="00FC2101">
      <w:pPr>
        <w:spacing w:after="0"/>
        <w:rPr>
          <w:rFonts w:cstheme="minorHAnsi"/>
          <w:szCs w:val="24"/>
        </w:rPr>
      </w:pPr>
    </w:p>
    <w:p w:rsidR="00842DE6" w:rsidRDefault="00842DE6" w:rsidP="00FC2101">
      <w:pPr>
        <w:spacing w:after="0"/>
        <w:rPr>
          <w:rFonts w:cstheme="minorHAnsi"/>
          <w:szCs w:val="24"/>
        </w:rPr>
      </w:pPr>
      <w:r w:rsidRPr="00DE69E5">
        <w:rPr>
          <w:rFonts w:cstheme="minorHAnsi"/>
          <w:szCs w:val="24"/>
        </w:rPr>
        <w:t>Důvodová zpráva pře</w:t>
      </w:r>
      <w:r w:rsidR="00EA4F05">
        <w:rPr>
          <w:rFonts w:cstheme="minorHAnsi"/>
          <w:szCs w:val="24"/>
        </w:rPr>
        <w:t>d</w:t>
      </w:r>
      <w:r w:rsidRPr="00DE69E5">
        <w:rPr>
          <w:rFonts w:cstheme="minorHAnsi"/>
          <w:szCs w:val="24"/>
        </w:rPr>
        <w:t xml:space="preserve">pokládala snížení příjmů veřejných rozpočtů </w:t>
      </w:r>
      <w:r w:rsidR="000869AC">
        <w:rPr>
          <w:rFonts w:cstheme="minorHAnsi"/>
          <w:szCs w:val="24"/>
        </w:rPr>
        <w:t>v </w:t>
      </w:r>
      <w:r w:rsidRPr="00DE69E5">
        <w:rPr>
          <w:rFonts w:cstheme="minorHAnsi"/>
          <w:szCs w:val="24"/>
        </w:rPr>
        <w:t xml:space="preserve">roce 2011 o 3 mld. Kč, </w:t>
      </w:r>
      <w:r w:rsidR="000869AC">
        <w:rPr>
          <w:rFonts w:cstheme="minorHAnsi"/>
          <w:szCs w:val="24"/>
        </w:rPr>
        <w:t>v </w:t>
      </w:r>
      <w:r w:rsidRPr="00DE69E5">
        <w:rPr>
          <w:rFonts w:cstheme="minorHAnsi"/>
          <w:szCs w:val="24"/>
        </w:rPr>
        <w:t xml:space="preserve">roce 2012 o 1 mld. Kč a </w:t>
      </w:r>
      <w:r w:rsidR="000869AC">
        <w:rPr>
          <w:rFonts w:cstheme="minorHAnsi"/>
          <w:szCs w:val="24"/>
        </w:rPr>
        <w:t>v </w:t>
      </w:r>
      <w:r w:rsidRPr="00DE69E5">
        <w:rPr>
          <w:rFonts w:cstheme="minorHAnsi"/>
          <w:szCs w:val="24"/>
        </w:rPr>
        <w:t>roce 2013 o 1 mld. Kč.</w:t>
      </w:r>
      <w:r>
        <w:rPr>
          <w:rFonts w:cstheme="minorHAnsi"/>
          <w:szCs w:val="24"/>
        </w:rPr>
        <w:t xml:space="preserve"> Podle důvodové zprávy vzhledem k možnosti využít toto opatření zpětně (až tři roky) bylo možné očekávat, že </w:t>
      </w:r>
      <w:r w:rsidRPr="005357AC">
        <w:rPr>
          <w:rFonts w:cstheme="minorHAnsi"/>
          <w:szCs w:val="24"/>
        </w:rPr>
        <w:t xml:space="preserve">většina plátců provede opravu </w:t>
      </w:r>
      <w:r w:rsidR="000869AC">
        <w:rPr>
          <w:rFonts w:cstheme="minorHAnsi"/>
          <w:szCs w:val="24"/>
        </w:rPr>
        <w:t>v </w:t>
      </w:r>
      <w:r w:rsidRPr="005357AC">
        <w:rPr>
          <w:rFonts w:cstheme="minorHAnsi"/>
          <w:szCs w:val="24"/>
        </w:rPr>
        <w:t>prvním roce.</w:t>
      </w:r>
    </w:p>
    <w:p w:rsidR="007F7D1A" w:rsidRPr="00DE69E5" w:rsidRDefault="007F7D1A" w:rsidP="00FC2101">
      <w:pPr>
        <w:spacing w:after="0"/>
        <w:rPr>
          <w:rFonts w:cstheme="minorHAnsi"/>
          <w:szCs w:val="24"/>
        </w:rPr>
      </w:pPr>
    </w:p>
    <w:p w:rsidR="00842DE6" w:rsidRDefault="000869AC" w:rsidP="00FC2101">
      <w:pPr>
        <w:spacing w:after="0"/>
        <w:rPr>
          <w:rFonts w:cstheme="minorHAnsi"/>
          <w:iCs/>
          <w:szCs w:val="24"/>
        </w:rPr>
      </w:pPr>
      <w:r>
        <w:rPr>
          <w:rFonts w:cstheme="minorHAnsi"/>
          <w:iCs/>
          <w:szCs w:val="24"/>
        </w:rPr>
        <w:t>V </w:t>
      </w:r>
      <w:r w:rsidR="00842DE6" w:rsidRPr="00DE69E5">
        <w:rPr>
          <w:rFonts w:cstheme="minorHAnsi"/>
          <w:iCs/>
          <w:szCs w:val="24"/>
        </w:rPr>
        <w:t>letech 2011 až 2014 využilo možnosti provést opravu</w:t>
      </w:r>
      <w:r w:rsidR="00842DE6">
        <w:rPr>
          <w:rFonts w:cstheme="minorHAnsi"/>
          <w:iCs/>
          <w:szCs w:val="24"/>
        </w:rPr>
        <w:t xml:space="preserve"> výše</w:t>
      </w:r>
      <w:r w:rsidR="00842DE6" w:rsidRPr="00DE69E5">
        <w:rPr>
          <w:rFonts w:cstheme="minorHAnsi"/>
          <w:iCs/>
          <w:szCs w:val="24"/>
        </w:rPr>
        <w:t xml:space="preserve"> daně 3</w:t>
      </w:r>
      <w:r w:rsidR="00967341">
        <w:rPr>
          <w:rFonts w:cstheme="minorHAnsi"/>
          <w:iCs/>
          <w:szCs w:val="24"/>
        </w:rPr>
        <w:t xml:space="preserve"> </w:t>
      </w:r>
      <w:r w:rsidR="00842DE6" w:rsidRPr="00DE69E5">
        <w:rPr>
          <w:rFonts w:cstheme="minorHAnsi"/>
          <w:iCs/>
          <w:szCs w:val="24"/>
        </w:rPr>
        <w:t xml:space="preserve">471 </w:t>
      </w:r>
      <w:r w:rsidR="00842DE6">
        <w:rPr>
          <w:rFonts w:cstheme="minorHAnsi"/>
          <w:iCs/>
          <w:szCs w:val="24"/>
        </w:rPr>
        <w:t>plátc</w:t>
      </w:r>
      <w:r w:rsidR="00EA4F05">
        <w:rPr>
          <w:rFonts w:cstheme="minorHAnsi"/>
          <w:iCs/>
          <w:szCs w:val="24"/>
        </w:rPr>
        <w:t>ů</w:t>
      </w:r>
      <w:r w:rsidR="00842DE6" w:rsidRPr="00DE69E5">
        <w:rPr>
          <w:rFonts w:cstheme="minorHAnsi"/>
          <w:iCs/>
          <w:szCs w:val="24"/>
        </w:rPr>
        <w:t xml:space="preserve"> (věřitel</w:t>
      </w:r>
      <w:r w:rsidR="00EA4F05">
        <w:rPr>
          <w:rFonts w:cstheme="minorHAnsi"/>
          <w:iCs/>
          <w:szCs w:val="24"/>
        </w:rPr>
        <w:t>ů</w:t>
      </w:r>
      <w:r w:rsidR="00842DE6" w:rsidRPr="00DE69E5">
        <w:rPr>
          <w:rFonts w:cstheme="minorHAnsi"/>
          <w:iCs/>
          <w:szCs w:val="24"/>
        </w:rPr>
        <w:t xml:space="preserve">). Počty </w:t>
      </w:r>
      <w:r w:rsidR="00842DE6">
        <w:rPr>
          <w:rFonts w:cstheme="minorHAnsi"/>
          <w:iCs/>
          <w:szCs w:val="24"/>
        </w:rPr>
        <w:t>plátců</w:t>
      </w:r>
      <w:r w:rsidR="00842DE6" w:rsidRPr="00DE69E5">
        <w:rPr>
          <w:rFonts w:cstheme="minorHAnsi"/>
          <w:iCs/>
          <w:szCs w:val="24"/>
        </w:rPr>
        <w:t xml:space="preserve"> využívajících možnosti provést opravu </w:t>
      </w:r>
      <w:r w:rsidR="00842DE6">
        <w:rPr>
          <w:rFonts w:cstheme="minorHAnsi"/>
          <w:iCs/>
          <w:szCs w:val="24"/>
        </w:rPr>
        <w:t xml:space="preserve">výše </w:t>
      </w:r>
      <w:r w:rsidR="00842DE6" w:rsidRPr="00DE69E5">
        <w:rPr>
          <w:rFonts w:cstheme="minorHAnsi"/>
          <w:iCs/>
          <w:szCs w:val="24"/>
        </w:rPr>
        <w:t>daně od roku 2011 do roku 2013 klesl</w:t>
      </w:r>
      <w:r w:rsidR="00842DE6">
        <w:rPr>
          <w:rFonts w:cstheme="minorHAnsi"/>
          <w:iCs/>
          <w:szCs w:val="24"/>
        </w:rPr>
        <w:t>y</w:t>
      </w:r>
      <w:r w:rsidR="00842DE6" w:rsidRPr="00DE69E5">
        <w:rPr>
          <w:rFonts w:cstheme="minorHAnsi"/>
          <w:iCs/>
          <w:szCs w:val="24"/>
        </w:rPr>
        <w:t xml:space="preserve"> </w:t>
      </w:r>
      <w:r>
        <w:rPr>
          <w:rFonts w:cstheme="minorHAnsi"/>
          <w:iCs/>
          <w:szCs w:val="24"/>
        </w:rPr>
        <w:t>z </w:t>
      </w:r>
      <w:r w:rsidR="00842DE6" w:rsidRPr="00DE69E5">
        <w:rPr>
          <w:rFonts w:cstheme="minorHAnsi"/>
          <w:iCs/>
          <w:szCs w:val="24"/>
        </w:rPr>
        <w:t>1</w:t>
      </w:r>
      <w:r w:rsidR="00967341">
        <w:rPr>
          <w:rFonts w:cstheme="minorHAnsi"/>
          <w:iCs/>
          <w:szCs w:val="24"/>
        </w:rPr>
        <w:t xml:space="preserve"> </w:t>
      </w:r>
      <w:r w:rsidR="00842DE6" w:rsidRPr="00DE69E5">
        <w:rPr>
          <w:rFonts w:cstheme="minorHAnsi"/>
          <w:iCs/>
          <w:szCs w:val="24"/>
        </w:rPr>
        <w:t xml:space="preserve">093 na 742. </w:t>
      </w:r>
    </w:p>
    <w:p w:rsidR="007F7D1A" w:rsidRPr="00DE69E5" w:rsidRDefault="007F7D1A" w:rsidP="00FC2101">
      <w:pPr>
        <w:spacing w:after="0"/>
        <w:rPr>
          <w:rFonts w:cstheme="minorHAnsi"/>
          <w:iCs/>
          <w:szCs w:val="24"/>
        </w:rPr>
      </w:pPr>
    </w:p>
    <w:p w:rsidR="00842DE6" w:rsidRDefault="00842DE6" w:rsidP="00FC2101">
      <w:pPr>
        <w:spacing w:after="0"/>
        <w:rPr>
          <w:rFonts w:cstheme="minorHAnsi"/>
          <w:b/>
          <w:iCs/>
          <w:szCs w:val="24"/>
        </w:rPr>
      </w:pPr>
      <w:r w:rsidRPr="00DE69E5">
        <w:rPr>
          <w:rFonts w:cstheme="minorHAnsi"/>
          <w:iCs/>
          <w:szCs w:val="24"/>
        </w:rPr>
        <w:t xml:space="preserve">Podle údajů </w:t>
      </w:r>
      <w:r w:rsidR="000869AC">
        <w:rPr>
          <w:rFonts w:cstheme="minorHAnsi"/>
          <w:iCs/>
          <w:szCs w:val="24"/>
        </w:rPr>
        <w:t>z </w:t>
      </w:r>
      <w:r w:rsidRPr="00DE69E5">
        <w:rPr>
          <w:rFonts w:cstheme="minorHAnsi"/>
          <w:iCs/>
          <w:szCs w:val="24"/>
        </w:rPr>
        <w:t>DAP věřitelé</w:t>
      </w:r>
      <w:r>
        <w:rPr>
          <w:rFonts w:cstheme="minorHAnsi"/>
          <w:iCs/>
          <w:szCs w:val="24"/>
        </w:rPr>
        <w:t xml:space="preserve"> na základě tohoto institutu opravili výši daně</w:t>
      </w:r>
      <w:r>
        <w:rPr>
          <w:rFonts w:cstheme="minorHAnsi"/>
          <w:iCs/>
          <w:color w:val="FF0000"/>
          <w:szCs w:val="24"/>
        </w:rPr>
        <w:t xml:space="preserve"> </w:t>
      </w:r>
      <w:r w:rsidR="000869AC">
        <w:rPr>
          <w:rFonts w:cstheme="minorHAnsi"/>
          <w:iCs/>
          <w:szCs w:val="24"/>
        </w:rPr>
        <w:t>v </w:t>
      </w:r>
      <w:r w:rsidRPr="00DE69E5">
        <w:rPr>
          <w:rFonts w:cstheme="minorHAnsi"/>
          <w:iCs/>
          <w:szCs w:val="24"/>
        </w:rPr>
        <w:t>období od 1.</w:t>
      </w:r>
      <w:r w:rsidR="00967341">
        <w:rPr>
          <w:rFonts w:cstheme="minorHAnsi"/>
          <w:iCs/>
          <w:szCs w:val="24"/>
        </w:rPr>
        <w:t> </w:t>
      </w:r>
      <w:r w:rsidRPr="00DE69E5">
        <w:rPr>
          <w:rFonts w:cstheme="minorHAnsi"/>
          <w:iCs/>
          <w:szCs w:val="24"/>
        </w:rPr>
        <w:t>4.</w:t>
      </w:r>
      <w:r w:rsidR="00967341">
        <w:rPr>
          <w:rFonts w:cstheme="minorHAnsi"/>
          <w:iCs/>
          <w:szCs w:val="24"/>
        </w:rPr>
        <w:t> </w:t>
      </w:r>
      <w:r w:rsidRPr="00DE69E5">
        <w:rPr>
          <w:rFonts w:cstheme="minorHAnsi"/>
          <w:iCs/>
          <w:szCs w:val="24"/>
        </w:rPr>
        <w:t xml:space="preserve">2011 do </w:t>
      </w:r>
      <w:r>
        <w:rPr>
          <w:rFonts w:cstheme="minorHAnsi"/>
          <w:iCs/>
          <w:szCs w:val="24"/>
        </w:rPr>
        <w:t>31. 10. 2014</w:t>
      </w:r>
      <w:r w:rsidRPr="00DE69E5">
        <w:rPr>
          <w:rFonts w:cstheme="minorHAnsi"/>
          <w:iCs/>
          <w:szCs w:val="24"/>
        </w:rPr>
        <w:t xml:space="preserve"> celkem o 564 mil. Kč, zatímco dlužníci snížili odpočet daně pouze o</w:t>
      </w:r>
      <w:r w:rsidR="00967341">
        <w:rPr>
          <w:rFonts w:cstheme="minorHAnsi"/>
          <w:iCs/>
          <w:szCs w:val="24"/>
        </w:rPr>
        <w:t> </w:t>
      </w:r>
      <w:r w:rsidRPr="00DE69E5">
        <w:rPr>
          <w:rFonts w:cstheme="minorHAnsi"/>
          <w:iCs/>
          <w:szCs w:val="24"/>
        </w:rPr>
        <w:t>cca 371</w:t>
      </w:r>
      <w:r w:rsidR="00967341">
        <w:rPr>
          <w:rFonts w:cstheme="minorHAnsi"/>
          <w:iCs/>
          <w:szCs w:val="24"/>
        </w:rPr>
        <w:t xml:space="preserve"> </w:t>
      </w:r>
      <w:r w:rsidRPr="00DE69E5">
        <w:rPr>
          <w:rFonts w:cstheme="minorHAnsi"/>
          <w:iCs/>
          <w:szCs w:val="24"/>
        </w:rPr>
        <w:t>mil.</w:t>
      </w:r>
      <w:r w:rsidR="00967341">
        <w:rPr>
          <w:rFonts w:cstheme="minorHAnsi"/>
          <w:iCs/>
          <w:szCs w:val="24"/>
        </w:rPr>
        <w:t xml:space="preserve"> </w:t>
      </w:r>
      <w:r w:rsidRPr="00DE69E5">
        <w:rPr>
          <w:rFonts w:cstheme="minorHAnsi"/>
          <w:iCs/>
          <w:szCs w:val="24"/>
        </w:rPr>
        <w:t xml:space="preserve">Kč, </w:t>
      </w:r>
      <w:r w:rsidR="00EA4F05">
        <w:rPr>
          <w:rFonts w:cstheme="minorHAnsi"/>
          <w:iCs/>
          <w:szCs w:val="24"/>
        </w:rPr>
        <w:t>což znamená</w:t>
      </w:r>
      <w:r>
        <w:rPr>
          <w:rFonts w:cstheme="minorHAnsi"/>
          <w:iCs/>
          <w:szCs w:val="24"/>
        </w:rPr>
        <w:t>,</w:t>
      </w:r>
      <w:r w:rsidRPr="00FC2101">
        <w:rPr>
          <w:rFonts w:cstheme="minorHAnsi"/>
          <w:iCs/>
          <w:szCs w:val="24"/>
        </w:rPr>
        <w:t xml:space="preserve"> </w:t>
      </w:r>
      <w:r w:rsidRPr="00685847">
        <w:rPr>
          <w:rFonts w:cstheme="minorHAnsi"/>
          <w:iCs/>
          <w:szCs w:val="24"/>
        </w:rPr>
        <w:t>že dlužníci nesnížili odpočet DPH o částku cca</w:t>
      </w:r>
      <w:r w:rsidR="00967341">
        <w:rPr>
          <w:rFonts w:cstheme="minorHAnsi"/>
          <w:iCs/>
          <w:szCs w:val="24"/>
        </w:rPr>
        <w:t xml:space="preserve"> </w:t>
      </w:r>
      <w:r w:rsidRPr="00685847">
        <w:rPr>
          <w:rFonts w:cstheme="minorHAnsi"/>
          <w:iCs/>
          <w:szCs w:val="24"/>
        </w:rPr>
        <w:t>193 mil. Kč.</w:t>
      </w:r>
      <w:r w:rsidR="00967341" w:rsidRPr="00FC2101">
        <w:rPr>
          <w:rFonts w:cstheme="minorHAnsi"/>
          <w:iCs/>
          <w:szCs w:val="24"/>
        </w:rPr>
        <w:t xml:space="preserve"> </w:t>
      </w:r>
    </w:p>
    <w:p w:rsidR="007F7D1A" w:rsidRPr="00DE69E5" w:rsidRDefault="007F7D1A" w:rsidP="00FC2101">
      <w:pPr>
        <w:spacing w:after="0"/>
        <w:rPr>
          <w:rFonts w:cstheme="minorHAnsi"/>
          <w:iCs/>
          <w:szCs w:val="24"/>
        </w:rPr>
      </w:pPr>
    </w:p>
    <w:p w:rsidR="00842DE6" w:rsidRPr="00DE69E5" w:rsidRDefault="00842DE6" w:rsidP="00842DE6">
      <w:pPr>
        <w:spacing w:after="0"/>
        <w:rPr>
          <w:rFonts w:cstheme="minorHAnsi"/>
          <w:iCs/>
          <w:szCs w:val="24"/>
        </w:rPr>
      </w:pPr>
      <w:r>
        <w:rPr>
          <w:rFonts w:cstheme="minorHAnsi"/>
          <w:iCs/>
          <w:szCs w:val="24"/>
        </w:rPr>
        <w:t>NKÚ zjistil</w:t>
      </w:r>
      <w:r w:rsidRPr="00DE69E5">
        <w:rPr>
          <w:rFonts w:cstheme="minorHAnsi"/>
          <w:iCs/>
          <w:szCs w:val="24"/>
        </w:rPr>
        <w:t xml:space="preserve"> dva důvody tohoto rozdílu</w:t>
      </w:r>
      <w:r w:rsidRPr="00DE69E5">
        <w:rPr>
          <w:rFonts w:cstheme="minorHAnsi"/>
          <w:bCs/>
          <w:szCs w:val="24"/>
        </w:rPr>
        <w:t xml:space="preserve">, který by za předpokladu, že </w:t>
      </w:r>
      <w:r>
        <w:rPr>
          <w:rFonts w:cstheme="minorHAnsi"/>
          <w:bCs/>
          <w:szCs w:val="24"/>
        </w:rPr>
        <w:t xml:space="preserve">by </w:t>
      </w:r>
      <w:r w:rsidRPr="00DE69E5">
        <w:rPr>
          <w:rFonts w:cstheme="minorHAnsi"/>
          <w:bCs/>
          <w:szCs w:val="24"/>
        </w:rPr>
        <w:t>všichni plátci post</w:t>
      </w:r>
      <w:r>
        <w:rPr>
          <w:rFonts w:cstheme="minorHAnsi"/>
          <w:bCs/>
          <w:szCs w:val="24"/>
        </w:rPr>
        <w:t>upovali</w:t>
      </w:r>
      <w:r w:rsidRPr="00DE69E5">
        <w:rPr>
          <w:rFonts w:cstheme="minorHAnsi"/>
          <w:bCs/>
          <w:szCs w:val="24"/>
        </w:rPr>
        <w:t xml:space="preserve"> </w:t>
      </w:r>
      <w:r w:rsidR="000869AC">
        <w:rPr>
          <w:rFonts w:cstheme="minorHAnsi"/>
          <w:bCs/>
          <w:szCs w:val="24"/>
        </w:rPr>
        <w:t>v </w:t>
      </w:r>
      <w:r w:rsidRPr="00DE69E5">
        <w:rPr>
          <w:rFonts w:cstheme="minorHAnsi"/>
          <w:bCs/>
          <w:szCs w:val="24"/>
        </w:rPr>
        <w:t>souladu se zákonem, neměl vůbec vzniknout</w:t>
      </w:r>
      <w:r w:rsidRPr="00DE69E5">
        <w:rPr>
          <w:rFonts w:cstheme="minorHAnsi"/>
          <w:iCs/>
          <w:szCs w:val="24"/>
        </w:rPr>
        <w:t>:</w:t>
      </w:r>
    </w:p>
    <w:p w:rsidR="00842DE6" w:rsidRPr="00B045F8" w:rsidRDefault="00EA4F05" w:rsidP="00FC2101">
      <w:pPr>
        <w:pStyle w:val="Odstavecseseznamem"/>
        <w:spacing w:after="0"/>
      </w:pPr>
      <w:r>
        <w:t xml:space="preserve">Plátci vykazovali </w:t>
      </w:r>
      <w:r w:rsidR="00842DE6" w:rsidRPr="00B045F8">
        <w:t>oprav</w:t>
      </w:r>
      <w:r>
        <w:t>y</w:t>
      </w:r>
      <w:r w:rsidR="00842DE6" w:rsidRPr="00B045F8">
        <w:t xml:space="preserve"> na ř</w:t>
      </w:r>
      <w:r w:rsidR="00357A5B">
        <w:t>ádku</w:t>
      </w:r>
      <w:r w:rsidR="00842DE6" w:rsidRPr="00B045F8">
        <w:t xml:space="preserve"> 33 a ř</w:t>
      </w:r>
      <w:r w:rsidR="00357A5B">
        <w:t xml:space="preserve">ádku </w:t>
      </w:r>
      <w:r w:rsidR="00842DE6" w:rsidRPr="00B045F8">
        <w:t xml:space="preserve">34 DAP </w:t>
      </w:r>
      <w:r>
        <w:t>nejednotně.</w:t>
      </w:r>
    </w:p>
    <w:p w:rsidR="00842DE6" w:rsidRDefault="00EA4F05" w:rsidP="00FC2101">
      <w:pPr>
        <w:pStyle w:val="Odstavecseseznamem"/>
        <w:spacing w:after="0"/>
      </w:pPr>
      <w:r>
        <w:t>P</w:t>
      </w:r>
      <w:r w:rsidR="00842DE6" w:rsidRPr="00DE69E5">
        <w:t xml:space="preserve">okyny pro vyplnění </w:t>
      </w:r>
      <w:r w:rsidR="00842DE6">
        <w:t>DAP pro roky 2011 a 2012</w:t>
      </w:r>
      <w:r w:rsidR="00842DE6" w:rsidRPr="00B045F8">
        <w:t xml:space="preserve"> </w:t>
      </w:r>
      <w:r w:rsidR="00842DE6" w:rsidRPr="00DE69E5">
        <w:t>neobsahovaly jednozna</w:t>
      </w:r>
      <w:r w:rsidR="00842DE6">
        <w:t>čný návod pro vyplňování řádků</w:t>
      </w:r>
      <w:r w:rsidR="00842DE6" w:rsidRPr="00DE69E5">
        <w:t xml:space="preserve"> 33 a 34</w:t>
      </w:r>
      <w:r>
        <w:t>, takže</w:t>
      </w:r>
      <w:r w:rsidR="00842DE6">
        <w:t xml:space="preserve"> </w:t>
      </w:r>
      <w:r w:rsidR="00842DE6" w:rsidRPr="00DE69E5">
        <w:t>plátci DPH výši oprav uváděli rozdílně buď jako plusové, nebo minusové hodnoty</w:t>
      </w:r>
      <w:r w:rsidR="00842DE6">
        <w:t>.</w:t>
      </w:r>
      <w:r w:rsidR="00842DE6" w:rsidRPr="00B045F8">
        <w:t xml:space="preserve"> </w:t>
      </w:r>
      <w:r w:rsidR="00842DE6" w:rsidRPr="00DE69E5">
        <w:t>Na kontrolním vzorku 76 plátců byly zjištěny chybně uvedené hodnoty ve výši 12</w:t>
      </w:r>
      <w:r w:rsidR="00357A5B">
        <w:t> </w:t>
      </w:r>
      <w:r w:rsidR="00842DE6" w:rsidRPr="00DE69E5">
        <w:t>779</w:t>
      </w:r>
      <w:r w:rsidR="00357A5B">
        <w:t> </w:t>
      </w:r>
      <w:r w:rsidR="00842DE6" w:rsidRPr="00DE69E5">
        <w:t>207</w:t>
      </w:r>
      <w:r w:rsidR="00357A5B">
        <w:t> </w:t>
      </w:r>
      <w:r w:rsidR="00842DE6" w:rsidRPr="00DE69E5">
        <w:t>Kč.</w:t>
      </w:r>
      <w:r w:rsidR="00842DE6" w:rsidRPr="00595286">
        <w:t xml:space="preserve"> </w:t>
      </w:r>
      <w:r w:rsidR="000869AC">
        <w:t>V </w:t>
      </w:r>
      <w:r w:rsidR="00842DE6">
        <w:t xml:space="preserve">tomto případě měla </w:t>
      </w:r>
      <w:r w:rsidR="005036E1">
        <w:t>f</w:t>
      </w:r>
      <w:r w:rsidR="00465BD2">
        <w:t>inanční správa</w:t>
      </w:r>
      <w:r w:rsidR="00842DE6">
        <w:t xml:space="preserve"> zareagovat okamžitě a problém odstranit, a</w:t>
      </w:r>
      <w:r w:rsidR="00A926CF">
        <w:t>le</w:t>
      </w:r>
      <w:r w:rsidR="00842DE6">
        <w:t xml:space="preserve"> nestalo se tak</w:t>
      </w:r>
      <w:r>
        <w:t>.</w:t>
      </w:r>
    </w:p>
    <w:p w:rsidR="00842DE6" w:rsidRDefault="00FC2101" w:rsidP="00FC2101">
      <w:pPr>
        <w:spacing w:after="0"/>
      </w:pPr>
      <w:r>
        <w:t>Navíc i</w:t>
      </w:r>
      <w:r w:rsidR="00EA4F05" w:rsidRPr="00B045F8">
        <w:t>nsolvenční správci</w:t>
      </w:r>
      <w:r w:rsidR="00EA4F05">
        <w:t xml:space="preserve"> </w:t>
      </w:r>
      <w:r w:rsidR="00842DE6" w:rsidRPr="00B045F8">
        <w:t>neuznáv</w:t>
      </w:r>
      <w:r w:rsidR="00EA4F05">
        <w:t>ali</w:t>
      </w:r>
      <w:r w:rsidR="00842DE6" w:rsidRPr="00B045F8">
        <w:t xml:space="preserve"> oprav</w:t>
      </w:r>
      <w:r w:rsidR="00EA4F05">
        <w:t>y</w:t>
      </w:r>
      <w:r w:rsidR="00842DE6">
        <w:t xml:space="preserve"> výše</w:t>
      </w:r>
      <w:r w:rsidR="00842DE6" w:rsidRPr="00B045F8">
        <w:t xml:space="preserve"> daně u pohledávek, které vznikly před 1.</w:t>
      </w:r>
      <w:r w:rsidR="00EA4F05">
        <w:t> </w:t>
      </w:r>
      <w:r w:rsidR="00842DE6" w:rsidRPr="00B045F8">
        <w:t>4.</w:t>
      </w:r>
      <w:r w:rsidR="00EA4F05">
        <w:t> </w:t>
      </w:r>
      <w:r w:rsidR="00842DE6" w:rsidRPr="00B045F8">
        <w:t>2011</w:t>
      </w:r>
      <w:r w:rsidR="00EA4F05">
        <w:t>.</w:t>
      </w:r>
      <w:r w:rsidR="00842DE6" w:rsidRPr="00B045F8">
        <w:t xml:space="preserve"> </w:t>
      </w:r>
    </w:p>
    <w:p w:rsidR="007F7D1A" w:rsidRDefault="007F7D1A" w:rsidP="00FC2101">
      <w:pPr>
        <w:spacing w:after="0"/>
        <w:rPr>
          <w:rFonts w:cstheme="minorHAnsi"/>
          <w:szCs w:val="24"/>
        </w:rPr>
      </w:pPr>
    </w:p>
    <w:p w:rsidR="00842DE6" w:rsidRDefault="00842DE6" w:rsidP="00FC2101">
      <w:pPr>
        <w:spacing w:after="0"/>
        <w:rPr>
          <w:rFonts w:cstheme="minorHAnsi"/>
          <w:szCs w:val="24"/>
        </w:rPr>
      </w:pPr>
      <w:r>
        <w:rPr>
          <w:rFonts w:cstheme="minorHAnsi"/>
          <w:szCs w:val="24"/>
        </w:rPr>
        <w:t>Při uplatňování tohoto institutu se projevily významné rozpory</w:t>
      </w:r>
      <w:r w:rsidRPr="00804E04">
        <w:rPr>
          <w:rFonts w:cstheme="minorHAnsi"/>
          <w:szCs w:val="24"/>
        </w:rPr>
        <w:t xml:space="preserve"> mezi výkladem a praxí </w:t>
      </w:r>
      <w:r>
        <w:rPr>
          <w:rFonts w:cstheme="minorHAnsi"/>
          <w:szCs w:val="24"/>
        </w:rPr>
        <w:t>f</w:t>
      </w:r>
      <w:r w:rsidRPr="00804E04">
        <w:rPr>
          <w:rFonts w:cstheme="minorHAnsi"/>
          <w:szCs w:val="24"/>
        </w:rPr>
        <w:t>inanční správy a výkladem a postupy insolvenční</w:t>
      </w:r>
      <w:r w:rsidR="00352591">
        <w:rPr>
          <w:rFonts w:cstheme="minorHAnsi"/>
          <w:szCs w:val="24"/>
        </w:rPr>
        <w:t>ch</w:t>
      </w:r>
      <w:r w:rsidRPr="00804E04">
        <w:rPr>
          <w:rFonts w:cstheme="minorHAnsi"/>
          <w:szCs w:val="24"/>
        </w:rPr>
        <w:t xml:space="preserve"> správců, případně soudů</w:t>
      </w:r>
      <w:r>
        <w:rPr>
          <w:rFonts w:cstheme="minorHAnsi"/>
          <w:szCs w:val="24"/>
        </w:rPr>
        <w:t>. Podle výkladu GFŘ bylo možné institut opravy výše daně použít</w:t>
      </w:r>
      <w:r w:rsidRPr="00DE69E5">
        <w:rPr>
          <w:rFonts w:cstheme="minorHAnsi"/>
          <w:szCs w:val="24"/>
        </w:rPr>
        <w:t xml:space="preserve"> i u pohledávek, které vznikly před 1.</w:t>
      </w:r>
      <w:r w:rsidR="00967341">
        <w:rPr>
          <w:rFonts w:cstheme="minorHAnsi"/>
          <w:szCs w:val="24"/>
        </w:rPr>
        <w:t> </w:t>
      </w:r>
      <w:r w:rsidRPr="00DE69E5">
        <w:rPr>
          <w:rFonts w:cstheme="minorHAnsi"/>
          <w:szCs w:val="24"/>
        </w:rPr>
        <w:t>4.</w:t>
      </w:r>
      <w:r w:rsidR="00967341">
        <w:rPr>
          <w:rFonts w:cstheme="minorHAnsi"/>
          <w:szCs w:val="24"/>
        </w:rPr>
        <w:t> </w:t>
      </w:r>
      <w:r w:rsidRPr="00DE69E5">
        <w:rPr>
          <w:rFonts w:cstheme="minorHAnsi"/>
          <w:szCs w:val="24"/>
        </w:rPr>
        <w:t>2011</w:t>
      </w:r>
      <w:r>
        <w:rPr>
          <w:rFonts w:cstheme="minorHAnsi"/>
          <w:szCs w:val="24"/>
        </w:rPr>
        <w:t xml:space="preserve">. Tento výklad </w:t>
      </w:r>
      <w:r w:rsidRPr="00DE69E5">
        <w:rPr>
          <w:rFonts w:cstheme="minorHAnsi"/>
          <w:szCs w:val="24"/>
        </w:rPr>
        <w:t>insolvenční správci</w:t>
      </w:r>
      <w:r>
        <w:rPr>
          <w:rFonts w:cstheme="minorHAnsi"/>
          <w:szCs w:val="24"/>
        </w:rPr>
        <w:t xml:space="preserve"> </w:t>
      </w:r>
      <w:r w:rsidR="00772DA9">
        <w:rPr>
          <w:rFonts w:cstheme="minorHAnsi"/>
          <w:szCs w:val="24"/>
        </w:rPr>
        <w:t>odmítli</w:t>
      </w:r>
      <w:r>
        <w:rPr>
          <w:rFonts w:cstheme="minorHAnsi"/>
          <w:szCs w:val="24"/>
        </w:rPr>
        <w:t xml:space="preserve"> a</w:t>
      </w:r>
      <w:r w:rsidRPr="00DE69E5">
        <w:rPr>
          <w:rFonts w:cstheme="minorHAnsi"/>
          <w:szCs w:val="24"/>
        </w:rPr>
        <w:t xml:space="preserve"> opravné daňové doklady </w:t>
      </w:r>
      <w:r w:rsidR="000869AC">
        <w:rPr>
          <w:rFonts w:cstheme="minorHAnsi"/>
          <w:szCs w:val="24"/>
        </w:rPr>
        <w:t>k </w:t>
      </w:r>
      <w:r w:rsidRPr="00DE69E5">
        <w:rPr>
          <w:rFonts w:cstheme="minorHAnsi"/>
          <w:szCs w:val="24"/>
        </w:rPr>
        <w:t>těmto pohledávkám</w:t>
      </w:r>
      <w:r>
        <w:rPr>
          <w:rFonts w:cstheme="minorHAnsi"/>
          <w:szCs w:val="24"/>
        </w:rPr>
        <w:t xml:space="preserve"> </w:t>
      </w:r>
      <w:r w:rsidR="000869AC">
        <w:rPr>
          <w:rFonts w:cstheme="minorHAnsi"/>
          <w:szCs w:val="24"/>
        </w:rPr>
        <w:t>v </w:t>
      </w:r>
      <w:r>
        <w:rPr>
          <w:rFonts w:cstheme="minorHAnsi"/>
          <w:szCs w:val="24"/>
        </w:rPr>
        <w:t>řadě případů neuznávali.</w:t>
      </w:r>
      <w:r w:rsidRPr="00DE69E5">
        <w:rPr>
          <w:rFonts w:cstheme="minorHAnsi"/>
          <w:szCs w:val="24"/>
        </w:rPr>
        <w:t xml:space="preserve"> Rozhodující výklad poskytl až Nejvyšší správní soud</w:t>
      </w:r>
      <w:r w:rsidR="00352591">
        <w:rPr>
          <w:rFonts w:cstheme="minorHAnsi"/>
          <w:szCs w:val="24"/>
        </w:rPr>
        <w:t xml:space="preserve"> (dále </w:t>
      </w:r>
      <w:r w:rsidR="00772DA9">
        <w:rPr>
          <w:rFonts w:cstheme="minorHAnsi"/>
          <w:szCs w:val="24"/>
        </w:rPr>
        <w:t>jen</w:t>
      </w:r>
      <w:r w:rsidR="00352591">
        <w:rPr>
          <w:rFonts w:cstheme="minorHAnsi"/>
          <w:szCs w:val="24"/>
        </w:rPr>
        <w:t xml:space="preserve"> „NSS“)</w:t>
      </w:r>
      <w:r w:rsidRPr="00DE69E5">
        <w:rPr>
          <w:rFonts w:cstheme="minorHAnsi"/>
          <w:szCs w:val="24"/>
        </w:rPr>
        <w:t>, podle něhož bylo možné uplatnit opravu</w:t>
      </w:r>
      <w:r>
        <w:rPr>
          <w:rFonts w:cstheme="minorHAnsi"/>
          <w:szCs w:val="24"/>
        </w:rPr>
        <w:t xml:space="preserve"> výše</w:t>
      </w:r>
      <w:r w:rsidRPr="00DE69E5">
        <w:rPr>
          <w:rFonts w:cstheme="minorHAnsi"/>
          <w:szCs w:val="24"/>
        </w:rPr>
        <w:t xml:space="preserve"> daně pouze u pohledávek, které vznikly po 1.</w:t>
      </w:r>
      <w:r w:rsidR="00967341">
        <w:rPr>
          <w:rFonts w:cstheme="minorHAnsi"/>
          <w:szCs w:val="24"/>
        </w:rPr>
        <w:t> </w:t>
      </w:r>
      <w:r w:rsidRPr="00DE69E5">
        <w:rPr>
          <w:rFonts w:cstheme="minorHAnsi"/>
          <w:szCs w:val="24"/>
        </w:rPr>
        <w:t xml:space="preserve">4. 2011. </w:t>
      </w:r>
    </w:p>
    <w:p w:rsidR="007F7D1A" w:rsidRPr="00DE69E5" w:rsidRDefault="007F7D1A" w:rsidP="00FC2101">
      <w:pPr>
        <w:spacing w:after="0"/>
        <w:rPr>
          <w:rFonts w:cstheme="minorHAnsi"/>
          <w:szCs w:val="24"/>
        </w:rPr>
      </w:pPr>
    </w:p>
    <w:p w:rsidR="00842DE6" w:rsidRDefault="000869AC" w:rsidP="00FC2101">
      <w:pPr>
        <w:spacing w:after="0"/>
        <w:rPr>
          <w:rFonts w:cstheme="minorHAnsi"/>
          <w:szCs w:val="24"/>
        </w:rPr>
      </w:pPr>
      <w:r>
        <w:rPr>
          <w:rFonts w:cstheme="minorHAnsi"/>
          <w:szCs w:val="24"/>
        </w:rPr>
        <w:t>V </w:t>
      </w:r>
      <w:r w:rsidR="00842DE6" w:rsidRPr="00166BC4">
        <w:rPr>
          <w:rFonts w:cstheme="minorHAnsi"/>
          <w:szCs w:val="24"/>
        </w:rPr>
        <w:t xml:space="preserve">období od 1. 4. 2011 do dubna 2013 uplatnili věřitelé </w:t>
      </w:r>
      <w:r>
        <w:rPr>
          <w:rFonts w:cstheme="minorHAnsi"/>
          <w:szCs w:val="24"/>
        </w:rPr>
        <w:t>k </w:t>
      </w:r>
      <w:r w:rsidR="00842DE6" w:rsidRPr="00166BC4">
        <w:rPr>
          <w:rFonts w:cstheme="minorHAnsi"/>
          <w:szCs w:val="24"/>
        </w:rPr>
        <w:t>pohledávkám vzniklým před 1.</w:t>
      </w:r>
      <w:r w:rsidR="00967341">
        <w:rPr>
          <w:rFonts w:cstheme="minorHAnsi"/>
          <w:szCs w:val="24"/>
        </w:rPr>
        <w:t> </w:t>
      </w:r>
      <w:r w:rsidR="00842DE6" w:rsidRPr="00166BC4">
        <w:rPr>
          <w:rFonts w:cstheme="minorHAnsi"/>
          <w:szCs w:val="24"/>
        </w:rPr>
        <w:t>4.</w:t>
      </w:r>
      <w:r w:rsidR="00967341">
        <w:rPr>
          <w:rFonts w:cstheme="minorHAnsi"/>
          <w:szCs w:val="24"/>
        </w:rPr>
        <w:t> </w:t>
      </w:r>
      <w:r w:rsidR="00842DE6" w:rsidRPr="00166BC4">
        <w:rPr>
          <w:rFonts w:cstheme="minorHAnsi"/>
          <w:szCs w:val="24"/>
        </w:rPr>
        <w:t xml:space="preserve">2011 opravy </w:t>
      </w:r>
      <w:r>
        <w:rPr>
          <w:rFonts w:cstheme="minorHAnsi"/>
          <w:szCs w:val="24"/>
        </w:rPr>
        <w:t>v </w:t>
      </w:r>
      <w:r w:rsidR="00842DE6" w:rsidRPr="00166BC4">
        <w:rPr>
          <w:rFonts w:cstheme="minorHAnsi"/>
          <w:szCs w:val="24"/>
        </w:rPr>
        <w:t>minimální výši cca</w:t>
      </w:r>
      <w:r w:rsidR="00967341">
        <w:rPr>
          <w:rFonts w:cstheme="minorHAnsi"/>
          <w:szCs w:val="24"/>
        </w:rPr>
        <w:t xml:space="preserve"> </w:t>
      </w:r>
      <w:r w:rsidR="00842DE6" w:rsidRPr="00166BC4">
        <w:rPr>
          <w:rFonts w:cstheme="minorHAnsi"/>
          <w:szCs w:val="24"/>
        </w:rPr>
        <w:t>144</w:t>
      </w:r>
      <w:r w:rsidR="00967341">
        <w:rPr>
          <w:rFonts w:cstheme="minorHAnsi"/>
          <w:szCs w:val="24"/>
        </w:rPr>
        <w:t xml:space="preserve"> </w:t>
      </w:r>
      <w:r w:rsidR="00842DE6" w:rsidRPr="00166BC4">
        <w:rPr>
          <w:rFonts w:cstheme="minorHAnsi"/>
          <w:szCs w:val="24"/>
        </w:rPr>
        <w:t>mil.</w:t>
      </w:r>
      <w:r w:rsidR="00967341">
        <w:rPr>
          <w:rFonts w:cstheme="minorHAnsi"/>
          <w:szCs w:val="24"/>
        </w:rPr>
        <w:t xml:space="preserve"> </w:t>
      </w:r>
      <w:r w:rsidR="00842DE6" w:rsidRPr="00166BC4">
        <w:rPr>
          <w:rFonts w:cstheme="minorHAnsi"/>
          <w:szCs w:val="24"/>
        </w:rPr>
        <w:t xml:space="preserve">Kč. </w:t>
      </w:r>
    </w:p>
    <w:p w:rsidR="007F7D1A" w:rsidRPr="00166BC4" w:rsidRDefault="007F7D1A" w:rsidP="00FC2101">
      <w:pPr>
        <w:spacing w:after="0"/>
        <w:rPr>
          <w:rFonts w:cstheme="minorHAnsi"/>
          <w:iCs/>
          <w:szCs w:val="24"/>
        </w:rPr>
      </w:pPr>
    </w:p>
    <w:p w:rsidR="009826CE" w:rsidRDefault="00842DE6" w:rsidP="00FC2101">
      <w:pPr>
        <w:spacing w:after="0"/>
        <w:rPr>
          <w:rFonts w:cstheme="minorHAnsi"/>
          <w:szCs w:val="24"/>
        </w:rPr>
      </w:pPr>
      <w:r>
        <w:rPr>
          <w:rFonts w:cstheme="minorHAnsi"/>
          <w:szCs w:val="24"/>
        </w:rPr>
        <w:t>Další rozpor mezi finanční správou a insolvenčními správci se týkal postavení pohledávky. Podle</w:t>
      </w:r>
      <w:r>
        <w:rPr>
          <w:rFonts w:cstheme="minorHAnsi"/>
          <w:color w:val="FF0000"/>
          <w:szCs w:val="24"/>
        </w:rPr>
        <w:t xml:space="preserve"> </w:t>
      </w:r>
      <w:r w:rsidRPr="00DE69E5">
        <w:rPr>
          <w:rFonts w:cstheme="minorHAnsi"/>
          <w:szCs w:val="24"/>
        </w:rPr>
        <w:t>GFŘ se jedn</w:t>
      </w:r>
      <w:r>
        <w:rPr>
          <w:rFonts w:cstheme="minorHAnsi"/>
          <w:szCs w:val="24"/>
        </w:rPr>
        <w:t>alo</w:t>
      </w:r>
      <w:r w:rsidRPr="00DE69E5">
        <w:rPr>
          <w:rFonts w:cstheme="minorHAnsi"/>
          <w:szCs w:val="24"/>
        </w:rPr>
        <w:t xml:space="preserve"> o pohledávku za majetkovou podstatou</w:t>
      </w:r>
      <w:r>
        <w:rPr>
          <w:rFonts w:cstheme="minorHAnsi"/>
          <w:szCs w:val="24"/>
        </w:rPr>
        <w:t xml:space="preserve">, zatímco někteří insolvenční správci ji za pohledávku </w:t>
      </w:r>
      <w:r w:rsidRPr="00DE69E5">
        <w:rPr>
          <w:rFonts w:cstheme="minorHAnsi"/>
          <w:szCs w:val="24"/>
        </w:rPr>
        <w:t xml:space="preserve">za majetkovou podstatou </w:t>
      </w:r>
      <w:r>
        <w:rPr>
          <w:rFonts w:cstheme="minorHAnsi"/>
          <w:szCs w:val="24"/>
        </w:rPr>
        <w:t>neuznávali a odmítali tyto pohledávky v</w:t>
      </w:r>
      <w:r w:rsidR="00967341">
        <w:rPr>
          <w:rFonts w:cstheme="minorHAnsi"/>
          <w:szCs w:val="24"/>
        </w:rPr>
        <w:t> </w:t>
      </w:r>
      <w:r w:rsidRPr="00DE69E5">
        <w:rPr>
          <w:rFonts w:cstheme="minorHAnsi"/>
          <w:szCs w:val="24"/>
        </w:rPr>
        <w:t>průběhu insolvenčního</w:t>
      </w:r>
      <w:r>
        <w:rPr>
          <w:rFonts w:cstheme="minorHAnsi"/>
          <w:szCs w:val="24"/>
        </w:rPr>
        <w:t xml:space="preserve"> řízení uspokojovat.</w:t>
      </w:r>
      <w:r w:rsidRPr="00DE69E5">
        <w:rPr>
          <w:rFonts w:cstheme="minorHAnsi"/>
          <w:szCs w:val="24"/>
        </w:rPr>
        <w:t xml:space="preserve"> </w:t>
      </w:r>
      <w:r>
        <w:rPr>
          <w:rFonts w:cstheme="minorHAnsi"/>
          <w:szCs w:val="24"/>
        </w:rPr>
        <w:t>Tento názor insolvenčních správců potvrdil i</w:t>
      </w:r>
      <w:r w:rsidR="00967341">
        <w:rPr>
          <w:rFonts w:cstheme="minorHAnsi"/>
          <w:szCs w:val="24"/>
        </w:rPr>
        <w:t> </w:t>
      </w:r>
      <w:r>
        <w:rPr>
          <w:rFonts w:cstheme="minorHAnsi"/>
          <w:szCs w:val="24"/>
        </w:rPr>
        <w:t>Krajský</w:t>
      </w:r>
      <w:r w:rsidRPr="00DE69E5">
        <w:rPr>
          <w:rFonts w:cstheme="minorHAnsi"/>
          <w:szCs w:val="24"/>
        </w:rPr>
        <w:t xml:space="preserve"> soud </w:t>
      </w:r>
      <w:r w:rsidR="000869AC">
        <w:rPr>
          <w:rFonts w:cstheme="minorHAnsi"/>
          <w:szCs w:val="24"/>
        </w:rPr>
        <w:t>v </w:t>
      </w:r>
      <w:r w:rsidRPr="00DE69E5">
        <w:rPr>
          <w:rFonts w:cstheme="minorHAnsi"/>
          <w:szCs w:val="24"/>
        </w:rPr>
        <w:t>Praze</w:t>
      </w:r>
      <w:r>
        <w:rPr>
          <w:rFonts w:cstheme="minorHAnsi"/>
          <w:szCs w:val="24"/>
        </w:rPr>
        <w:t>.</w:t>
      </w:r>
      <w:r w:rsidRPr="00DE69E5">
        <w:rPr>
          <w:rFonts w:cstheme="minorHAnsi"/>
          <w:szCs w:val="24"/>
        </w:rPr>
        <w:t xml:space="preserve"> </w:t>
      </w:r>
      <w:r w:rsidR="000869AC">
        <w:rPr>
          <w:rFonts w:cstheme="minorHAnsi"/>
          <w:szCs w:val="24"/>
        </w:rPr>
        <w:t>S </w:t>
      </w:r>
      <w:r w:rsidRPr="00DE69E5">
        <w:rPr>
          <w:rFonts w:cstheme="minorHAnsi"/>
          <w:szCs w:val="24"/>
        </w:rPr>
        <w:t xml:space="preserve">účinností od 1. 1. 2014 </w:t>
      </w:r>
      <w:r>
        <w:rPr>
          <w:rFonts w:cstheme="minorHAnsi"/>
          <w:szCs w:val="24"/>
        </w:rPr>
        <w:t xml:space="preserve">je </w:t>
      </w:r>
      <w:r w:rsidR="000869AC">
        <w:rPr>
          <w:rFonts w:cstheme="minorHAnsi"/>
          <w:szCs w:val="24"/>
        </w:rPr>
        <w:t>v </w:t>
      </w:r>
      <w:r>
        <w:rPr>
          <w:rFonts w:cstheme="minorHAnsi"/>
          <w:szCs w:val="24"/>
        </w:rPr>
        <w:t>zákoně</w:t>
      </w:r>
      <w:r w:rsidR="007E1EE8">
        <w:rPr>
          <w:rStyle w:val="Znakapoznpodarou"/>
          <w:rFonts w:cstheme="minorHAnsi"/>
          <w:szCs w:val="24"/>
        </w:rPr>
        <w:footnoteReference w:id="6"/>
      </w:r>
      <w:r>
        <w:rPr>
          <w:rFonts w:cstheme="minorHAnsi"/>
          <w:szCs w:val="24"/>
        </w:rPr>
        <w:t xml:space="preserve"> pohledávka </w:t>
      </w:r>
      <w:r w:rsidRPr="00DE69E5">
        <w:rPr>
          <w:rFonts w:cstheme="minorHAnsi"/>
          <w:szCs w:val="24"/>
        </w:rPr>
        <w:t>vzni</w:t>
      </w:r>
      <w:r>
        <w:rPr>
          <w:rFonts w:cstheme="minorHAnsi"/>
          <w:szCs w:val="24"/>
        </w:rPr>
        <w:t xml:space="preserve">klá </w:t>
      </w:r>
      <w:r w:rsidR="000869AC">
        <w:rPr>
          <w:rFonts w:cstheme="minorHAnsi"/>
          <w:szCs w:val="24"/>
        </w:rPr>
        <w:t>v </w:t>
      </w:r>
      <w:r>
        <w:rPr>
          <w:rFonts w:cstheme="minorHAnsi"/>
          <w:szCs w:val="24"/>
        </w:rPr>
        <w:t xml:space="preserve">důsledku opravy výše daně klasifikována jako pohledávka za podstatou. </w:t>
      </w:r>
    </w:p>
    <w:p w:rsidR="007F7D1A" w:rsidRDefault="007F7D1A" w:rsidP="00FC2101">
      <w:pPr>
        <w:spacing w:after="0"/>
        <w:rPr>
          <w:rFonts w:cstheme="minorHAnsi"/>
          <w:szCs w:val="24"/>
        </w:rPr>
      </w:pPr>
    </w:p>
    <w:p w:rsidR="00842DE6" w:rsidRDefault="00842DE6" w:rsidP="00FC2101">
      <w:pPr>
        <w:spacing w:after="0"/>
        <w:rPr>
          <w:rFonts w:cstheme="minorHAnsi"/>
          <w:szCs w:val="24"/>
        </w:rPr>
      </w:pPr>
      <w:r w:rsidRPr="00DE69E5">
        <w:rPr>
          <w:rFonts w:cstheme="minorHAnsi"/>
          <w:szCs w:val="24"/>
        </w:rPr>
        <w:lastRenderedPageBreak/>
        <w:t>GFŘ neeviduje počet a</w:t>
      </w:r>
      <w:r w:rsidR="00772DA9">
        <w:rPr>
          <w:rFonts w:cstheme="minorHAnsi"/>
          <w:szCs w:val="24"/>
        </w:rPr>
        <w:t>ni</w:t>
      </w:r>
      <w:r w:rsidRPr="00DE69E5">
        <w:rPr>
          <w:rFonts w:cstheme="minorHAnsi"/>
          <w:szCs w:val="24"/>
        </w:rPr>
        <w:t xml:space="preserve"> výši pohledávek, které insolvenční správci odmítli jako pohledávku za majetkovou podstatou, neboť tyto údaje nelze získat přímo </w:t>
      </w:r>
      <w:r w:rsidR="000869AC">
        <w:rPr>
          <w:rFonts w:cstheme="minorHAnsi"/>
          <w:szCs w:val="24"/>
        </w:rPr>
        <w:t>z </w:t>
      </w:r>
      <w:r w:rsidRPr="00DE69E5">
        <w:rPr>
          <w:rFonts w:cstheme="minorHAnsi"/>
          <w:szCs w:val="24"/>
        </w:rPr>
        <w:t xml:space="preserve">ADIS. </w:t>
      </w:r>
      <w:r w:rsidR="000869AC">
        <w:rPr>
          <w:rFonts w:cstheme="minorHAnsi"/>
          <w:szCs w:val="24"/>
        </w:rPr>
        <w:t>Z </w:t>
      </w:r>
      <w:r w:rsidRPr="00DE69E5">
        <w:rPr>
          <w:rFonts w:cstheme="minorHAnsi"/>
          <w:szCs w:val="24"/>
        </w:rPr>
        <w:t xml:space="preserve">informací </w:t>
      </w:r>
      <w:r>
        <w:rPr>
          <w:rFonts w:cstheme="minorHAnsi"/>
          <w:szCs w:val="24"/>
        </w:rPr>
        <w:t>dvou kontrolovaných</w:t>
      </w:r>
      <w:r w:rsidRPr="00DE69E5">
        <w:rPr>
          <w:rFonts w:cstheme="minorHAnsi"/>
          <w:szCs w:val="24"/>
        </w:rPr>
        <w:t xml:space="preserve"> FÚ vyplynulo, že </w:t>
      </w:r>
      <w:r w:rsidR="00772DA9">
        <w:rPr>
          <w:rFonts w:cstheme="minorHAnsi"/>
          <w:szCs w:val="24"/>
        </w:rPr>
        <w:t xml:space="preserve">FÚ </w:t>
      </w:r>
      <w:r w:rsidRPr="00DE69E5">
        <w:rPr>
          <w:rFonts w:cstheme="minorHAnsi"/>
          <w:szCs w:val="24"/>
        </w:rPr>
        <w:t>podaly 22</w:t>
      </w:r>
      <w:r w:rsidRPr="00E10274">
        <w:rPr>
          <w:rFonts w:cstheme="minorHAnsi"/>
          <w:szCs w:val="24"/>
        </w:rPr>
        <w:t xml:space="preserve"> </w:t>
      </w:r>
      <w:r w:rsidRPr="00DE69E5">
        <w:rPr>
          <w:rFonts w:cstheme="minorHAnsi"/>
          <w:szCs w:val="24"/>
        </w:rPr>
        <w:t>žalob</w:t>
      </w:r>
      <w:r>
        <w:rPr>
          <w:rFonts w:cstheme="minorHAnsi"/>
          <w:szCs w:val="24"/>
        </w:rPr>
        <w:t xml:space="preserve"> na uznání pohledávek</w:t>
      </w:r>
      <w:r w:rsidRPr="00DE69E5">
        <w:rPr>
          <w:rFonts w:cstheme="minorHAnsi"/>
          <w:szCs w:val="24"/>
        </w:rPr>
        <w:t xml:space="preserve">, </w:t>
      </w:r>
      <w:r w:rsidR="000869AC">
        <w:rPr>
          <w:rFonts w:cstheme="minorHAnsi"/>
          <w:szCs w:val="24"/>
        </w:rPr>
        <w:t>z </w:t>
      </w:r>
      <w:r w:rsidRPr="00DE69E5">
        <w:rPr>
          <w:rFonts w:cstheme="minorHAnsi"/>
          <w:szCs w:val="24"/>
        </w:rPr>
        <w:t>toho dvě žaloby byly zamítnuty a 20 vzato zpět. Jeden FÚ uvedl, že insolvenční správci výslovně popřeli 50</w:t>
      </w:r>
      <w:r>
        <w:rPr>
          <w:rFonts w:cstheme="minorHAnsi"/>
          <w:szCs w:val="24"/>
        </w:rPr>
        <w:t> </w:t>
      </w:r>
      <w:r w:rsidRPr="00DE69E5">
        <w:rPr>
          <w:rFonts w:cstheme="minorHAnsi"/>
          <w:szCs w:val="24"/>
        </w:rPr>
        <w:t xml:space="preserve">pohledávek za 38 dlužníky </w:t>
      </w:r>
      <w:r w:rsidR="000869AC">
        <w:rPr>
          <w:rFonts w:cstheme="minorHAnsi"/>
          <w:szCs w:val="24"/>
        </w:rPr>
        <w:t>v </w:t>
      </w:r>
      <w:r w:rsidRPr="00DE69E5">
        <w:rPr>
          <w:rFonts w:cstheme="minorHAnsi"/>
          <w:szCs w:val="24"/>
        </w:rPr>
        <w:t>celkové výši 26</w:t>
      </w:r>
      <w:r w:rsidR="00967341">
        <w:rPr>
          <w:rFonts w:cstheme="minorHAnsi"/>
          <w:szCs w:val="24"/>
        </w:rPr>
        <w:t xml:space="preserve"> </w:t>
      </w:r>
      <w:r w:rsidRPr="00DE69E5">
        <w:rPr>
          <w:rFonts w:cstheme="minorHAnsi"/>
          <w:szCs w:val="24"/>
        </w:rPr>
        <w:t>492</w:t>
      </w:r>
      <w:r w:rsidR="00967341">
        <w:rPr>
          <w:rFonts w:cstheme="minorHAnsi"/>
          <w:szCs w:val="24"/>
        </w:rPr>
        <w:t xml:space="preserve"> </w:t>
      </w:r>
      <w:r w:rsidRPr="00DE69E5">
        <w:rPr>
          <w:rFonts w:cstheme="minorHAnsi"/>
          <w:szCs w:val="24"/>
        </w:rPr>
        <w:t xml:space="preserve">622 Kč. </w:t>
      </w:r>
      <w:r w:rsidR="000869AC">
        <w:rPr>
          <w:rFonts w:cstheme="minorHAnsi"/>
          <w:szCs w:val="24"/>
        </w:rPr>
        <w:t>Z </w:t>
      </w:r>
      <w:r w:rsidRPr="00166BC4">
        <w:rPr>
          <w:rFonts w:cstheme="minorHAnsi"/>
          <w:szCs w:val="24"/>
        </w:rPr>
        <w:t xml:space="preserve">vyjádření FÚ nelze ve všech případech </w:t>
      </w:r>
      <w:r w:rsidRPr="00BC604D">
        <w:rPr>
          <w:rFonts w:cstheme="minorHAnsi"/>
          <w:szCs w:val="24"/>
        </w:rPr>
        <w:t>zjistit důvody, pro které insolvenční správci pohledávky popřeli nebo soudy zamítly žaloby</w:t>
      </w:r>
      <w:r>
        <w:rPr>
          <w:rFonts w:cstheme="minorHAnsi"/>
          <w:szCs w:val="24"/>
        </w:rPr>
        <w:t>, nicméně objem odmítnutých pohledávek je poměrně značný.</w:t>
      </w:r>
    </w:p>
    <w:p w:rsidR="007F7D1A" w:rsidRPr="005A656B" w:rsidRDefault="007F7D1A" w:rsidP="00FC2101">
      <w:pPr>
        <w:spacing w:after="0"/>
        <w:rPr>
          <w:rFonts w:cstheme="minorHAnsi"/>
          <w:szCs w:val="24"/>
        </w:rPr>
      </w:pPr>
    </w:p>
    <w:p w:rsidR="00842DE6" w:rsidRPr="007F7D1A" w:rsidRDefault="00842DE6" w:rsidP="00FC2101">
      <w:pPr>
        <w:spacing w:after="0"/>
        <w:rPr>
          <w:rFonts w:cstheme="minorHAnsi"/>
          <w:iCs/>
          <w:szCs w:val="24"/>
        </w:rPr>
      </w:pPr>
      <w:r w:rsidRPr="00AF565E">
        <w:rPr>
          <w:rFonts w:cstheme="minorHAnsi"/>
          <w:bCs/>
          <w:szCs w:val="24"/>
        </w:rPr>
        <w:t>Poslední odlišný</w:t>
      </w:r>
      <w:r>
        <w:rPr>
          <w:rFonts w:cstheme="minorHAnsi"/>
          <w:bCs/>
          <w:szCs w:val="24"/>
        </w:rPr>
        <w:t xml:space="preserve"> výklad obsažený </w:t>
      </w:r>
      <w:r w:rsidR="000869AC">
        <w:rPr>
          <w:rFonts w:cstheme="minorHAnsi"/>
          <w:bCs/>
          <w:szCs w:val="24"/>
        </w:rPr>
        <w:t>v </w:t>
      </w:r>
      <w:r>
        <w:rPr>
          <w:rFonts w:cstheme="minorHAnsi"/>
          <w:bCs/>
          <w:szCs w:val="24"/>
        </w:rPr>
        <w:t xml:space="preserve">rozsudku NSS </w:t>
      </w:r>
      <w:r w:rsidR="000869AC">
        <w:rPr>
          <w:rFonts w:cstheme="minorHAnsi"/>
          <w:bCs/>
          <w:szCs w:val="24"/>
        </w:rPr>
        <w:t>z </w:t>
      </w:r>
      <w:r>
        <w:rPr>
          <w:rFonts w:cstheme="minorHAnsi"/>
          <w:bCs/>
          <w:szCs w:val="24"/>
        </w:rPr>
        <w:t>prosince 2014 se týkal okamžiku vzniku pohledávky, u které lze provést opravu výše daně.</w:t>
      </w:r>
      <w:r w:rsidRPr="005B06F9">
        <w:rPr>
          <w:rFonts w:cstheme="minorHAnsi"/>
          <w:bCs/>
          <w:color w:val="92D050"/>
          <w:szCs w:val="24"/>
        </w:rPr>
        <w:t xml:space="preserve"> </w:t>
      </w:r>
      <w:r w:rsidRPr="005B06F9">
        <w:rPr>
          <w:rFonts w:cstheme="minorHAnsi"/>
          <w:bCs/>
          <w:szCs w:val="24"/>
        </w:rPr>
        <w:t xml:space="preserve">Podle </w:t>
      </w:r>
      <w:r w:rsidR="00FC2101">
        <w:rPr>
          <w:rFonts w:cstheme="minorHAnsi"/>
          <w:bCs/>
          <w:szCs w:val="24"/>
        </w:rPr>
        <w:t xml:space="preserve">dřívějšího </w:t>
      </w:r>
      <w:r>
        <w:rPr>
          <w:rFonts w:cstheme="minorHAnsi"/>
          <w:bCs/>
          <w:szCs w:val="24"/>
        </w:rPr>
        <w:t>výkladu</w:t>
      </w:r>
      <w:r w:rsidRPr="005B06F9">
        <w:rPr>
          <w:rFonts w:cstheme="minorHAnsi"/>
          <w:bCs/>
          <w:szCs w:val="24"/>
        </w:rPr>
        <w:t xml:space="preserve"> GFŘ mohl plátce daně provést opravu výše daně pouze u pohledávek, které vznikly 6 a více měsíců před rozhodnutím soudu o úpadku. </w:t>
      </w:r>
      <w:r w:rsidRPr="00DE69E5">
        <w:rPr>
          <w:rFonts w:cstheme="minorHAnsi"/>
          <w:bCs/>
          <w:szCs w:val="24"/>
        </w:rPr>
        <w:t>Podle NSS věřitel</w:t>
      </w:r>
      <w:r>
        <w:rPr>
          <w:rFonts w:cstheme="minorHAnsi"/>
          <w:bCs/>
          <w:szCs w:val="24"/>
        </w:rPr>
        <w:t>é</w:t>
      </w:r>
      <w:r w:rsidRPr="00DE69E5">
        <w:rPr>
          <w:rFonts w:cstheme="minorHAnsi"/>
          <w:bCs/>
          <w:szCs w:val="24"/>
        </w:rPr>
        <w:t xml:space="preserve"> </w:t>
      </w:r>
      <w:r>
        <w:rPr>
          <w:rFonts w:cstheme="minorHAnsi"/>
          <w:bCs/>
          <w:szCs w:val="24"/>
        </w:rPr>
        <w:t xml:space="preserve">mohou </w:t>
      </w:r>
      <w:r w:rsidRPr="00DE69E5">
        <w:rPr>
          <w:rFonts w:cstheme="minorHAnsi"/>
          <w:iCs/>
          <w:szCs w:val="24"/>
        </w:rPr>
        <w:t xml:space="preserve">uplatnit </w:t>
      </w:r>
      <w:r>
        <w:rPr>
          <w:rFonts w:cstheme="minorHAnsi"/>
          <w:iCs/>
          <w:szCs w:val="24"/>
        </w:rPr>
        <w:t xml:space="preserve">opravu </w:t>
      </w:r>
      <w:r w:rsidRPr="00DE69E5">
        <w:rPr>
          <w:rFonts w:cstheme="minorHAnsi"/>
          <w:iCs/>
          <w:szCs w:val="24"/>
        </w:rPr>
        <w:t>pouze u</w:t>
      </w:r>
      <w:r w:rsidR="00967341">
        <w:rPr>
          <w:rFonts w:cstheme="minorHAnsi"/>
          <w:iCs/>
          <w:szCs w:val="24"/>
        </w:rPr>
        <w:t> </w:t>
      </w:r>
      <w:r w:rsidRPr="00DE69E5">
        <w:rPr>
          <w:rFonts w:cstheme="minorHAnsi"/>
          <w:iCs/>
          <w:szCs w:val="24"/>
        </w:rPr>
        <w:t>pohledávek, které vznikly nejvýše 6 měsíců před rozhodnutím soudu o úpadku.</w:t>
      </w:r>
    </w:p>
    <w:p w:rsidR="007F7D1A" w:rsidRPr="00FC2101" w:rsidRDefault="007F7D1A" w:rsidP="00FC2101">
      <w:pPr>
        <w:spacing w:after="0"/>
        <w:rPr>
          <w:rFonts w:cstheme="minorHAnsi"/>
          <w:bCs/>
          <w:strike/>
          <w:szCs w:val="24"/>
        </w:rPr>
      </w:pPr>
    </w:p>
    <w:p w:rsidR="00842DE6" w:rsidRDefault="00842DE6" w:rsidP="00FC2101">
      <w:pPr>
        <w:spacing w:after="0"/>
        <w:rPr>
          <w:rFonts w:cstheme="minorHAnsi"/>
          <w:szCs w:val="24"/>
        </w:rPr>
      </w:pPr>
      <w:r>
        <w:rPr>
          <w:rFonts w:cstheme="minorHAnsi"/>
          <w:szCs w:val="24"/>
        </w:rPr>
        <w:t xml:space="preserve">Pro kontrolu plnění povinností věřitelů a dlužníků slouží správcům daně </w:t>
      </w:r>
      <w:r w:rsidRPr="00DE69E5">
        <w:rPr>
          <w:rFonts w:cstheme="minorHAnsi"/>
          <w:szCs w:val="24"/>
        </w:rPr>
        <w:t>samostatn</w:t>
      </w:r>
      <w:r>
        <w:rPr>
          <w:rFonts w:cstheme="minorHAnsi"/>
          <w:szCs w:val="24"/>
        </w:rPr>
        <w:t>é</w:t>
      </w:r>
      <w:r w:rsidRPr="00DE69E5">
        <w:rPr>
          <w:rFonts w:cstheme="minorHAnsi"/>
          <w:szCs w:val="24"/>
        </w:rPr>
        <w:t xml:space="preserve"> řád</w:t>
      </w:r>
      <w:r>
        <w:rPr>
          <w:rFonts w:cstheme="minorHAnsi"/>
          <w:szCs w:val="24"/>
        </w:rPr>
        <w:t>ky</w:t>
      </w:r>
      <w:r w:rsidRPr="00DE69E5">
        <w:rPr>
          <w:rFonts w:cstheme="minorHAnsi"/>
          <w:szCs w:val="24"/>
        </w:rPr>
        <w:t xml:space="preserve"> </w:t>
      </w:r>
      <w:r>
        <w:rPr>
          <w:rFonts w:cstheme="minorHAnsi"/>
          <w:szCs w:val="24"/>
        </w:rPr>
        <w:t>daňového přiznání</w:t>
      </w:r>
      <w:r w:rsidR="00772DA9">
        <w:rPr>
          <w:rFonts w:cstheme="minorHAnsi"/>
          <w:szCs w:val="24"/>
        </w:rPr>
        <w:t xml:space="preserve"> a jeho povinné přílohy tvořené</w:t>
      </w:r>
      <w:r>
        <w:rPr>
          <w:rFonts w:cstheme="minorHAnsi"/>
          <w:szCs w:val="24"/>
        </w:rPr>
        <w:t xml:space="preserve"> kopi</w:t>
      </w:r>
      <w:r w:rsidR="00772DA9">
        <w:rPr>
          <w:rFonts w:cstheme="minorHAnsi"/>
          <w:szCs w:val="24"/>
        </w:rPr>
        <w:t>emi</w:t>
      </w:r>
      <w:r>
        <w:rPr>
          <w:rFonts w:cstheme="minorHAnsi"/>
          <w:szCs w:val="24"/>
        </w:rPr>
        <w:t xml:space="preserve"> daňových dokladů, u kterých </w:t>
      </w:r>
      <w:r w:rsidR="00772DA9">
        <w:rPr>
          <w:rFonts w:cstheme="minorHAnsi"/>
          <w:szCs w:val="24"/>
        </w:rPr>
        <w:t>byla provedena</w:t>
      </w:r>
      <w:r>
        <w:rPr>
          <w:rFonts w:cstheme="minorHAnsi"/>
          <w:szCs w:val="24"/>
        </w:rPr>
        <w:t xml:space="preserve"> oprav</w:t>
      </w:r>
      <w:r w:rsidR="00772DA9">
        <w:rPr>
          <w:rFonts w:cstheme="minorHAnsi"/>
          <w:szCs w:val="24"/>
        </w:rPr>
        <w:t>a</w:t>
      </w:r>
      <w:r>
        <w:rPr>
          <w:rFonts w:cstheme="minorHAnsi"/>
          <w:szCs w:val="24"/>
        </w:rPr>
        <w:t xml:space="preserve"> výše daně, a </w:t>
      </w:r>
      <w:r w:rsidRPr="00DE69E5">
        <w:rPr>
          <w:rFonts w:cstheme="minorHAnsi"/>
          <w:szCs w:val="24"/>
        </w:rPr>
        <w:t>výpis</w:t>
      </w:r>
      <w:r w:rsidR="00AE7D77">
        <w:rPr>
          <w:rFonts w:cstheme="minorHAnsi"/>
          <w:szCs w:val="24"/>
        </w:rPr>
        <w:t>em</w:t>
      </w:r>
      <w:r w:rsidRPr="00DE69E5">
        <w:rPr>
          <w:rFonts w:cstheme="minorHAnsi"/>
          <w:szCs w:val="24"/>
        </w:rPr>
        <w:t xml:space="preserve"> </w:t>
      </w:r>
      <w:r w:rsidR="000869AC">
        <w:rPr>
          <w:rFonts w:cstheme="minorHAnsi"/>
          <w:szCs w:val="24"/>
        </w:rPr>
        <w:t>z </w:t>
      </w:r>
      <w:r w:rsidRPr="00DE69E5">
        <w:rPr>
          <w:rFonts w:cstheme="minorHAnsi"/>
          <w:szCs w:val="24"/>
        </w:rPr>
        <w:t>přehledu oprav pro daňové účely</w:t>
      </w:r>
      <w:r>
        <w:rPr>
          <w:rFonts w:cstheme="minorHAnsi"/>
          <w:szCs w:val="24"/>
        </w:rPr>
        <w:t>.</w:t>
      </w:r>
    </w:p>
    <w:p w:rsidR="007F7D1A" w:rsidRPr="00DE69E5" w:rsidRDefault="007F7D1A" w:rsidP="00FC2101">
      <w:pPr>
        <w:spacing w:after="0"/>
        <w:rPr>
          <w:rFonts w:cstheme="minorHAnsi"/>
          <w:szCs w:val="24"/>
        </w:rPr>
      </w:pPr>
    </w:p>
    <w:p w:rsidR="00842DE6" w:rsidRPr="00DE69E5" w:rsidRDefault="00AE7D77" w:rsidP="00842DE6">
      <w:pPr>
        <w:spacing w:after="0"/>
        <w:rPr>
          <w:rFonts w:cstheme="minorHAnsi"/>
          <w:szCs w:val="24"/>
        </w:rPr>
      </w:pPr>
      <w:r>
        <w:rPr>
          <w:rFonts w:cstheme="minorHAnsi"/>
          <w:szCs w:val="24"/>
        </w:rPr>
        <w:t>Pokud věřitel</w:t>
      </w:r>
      <w:r w:rsidR="00842DE6">
        <w:rPr>
          <w:rFonts w:cstheme="minorHAnsi"/>
          <w:szCs w:val="24"/>
        </w:rPr>
        <w:t xml:space="preserve"> uplatn</w:t>
      </w:r>
      <w:r>
        <w:rPr>
          <w:rFonts w:cstheme="minorHAnsi"/>
          <w:szCs w:val="24"/>
        </w:rPr>
        <w:t>í</w:t>
      </w:r>
      <w:r w:rsidR="00842DE6">
        <w:rPr>
          <w:rFonts w:cstheme="minorHAnsi"/>
          <w:szCs w:val="24"/>
        </w:rPr>
        <w:t xml:space="preserve"> oprav</w:t>
      </w:r>
      <w:r>
        <w:rPr>
          <w:rFonts w:cstheme="minorHAnsi"/>
          <w:szCs w:val="24"/>
        </w:rPr>
        <w:t>u</w:t>
      </w:r>
      <w:r w:rsidR="00842DE6">
        <w:rPr>
          <w:rFonts w:cstheme="minorHAnsi"/>
          <w:szCs w:val="24"/>
        </w:rPr>
        <w:t xml:space="preserve"> výše daně</w:t>
      </w:r>
      <w:r>
        <w:rPr>
          <w:rFonts w:cstheme="minorHAnsi"/>
          <w:szCs w:val="24"/>
        </w:rPr>
        <w:t xml:space="preserve">, pak </w:t>
      </w:r>
      <w:r w:rsidR="00842DE6">
        <w:rPr>
          <w:rFonts w:cstheme="minorHAnsi"/>
          <w:szCs w:val="24"/>
        </w:rPr>
        <w:t>správc</w:t>
      </w:r>
      <w:r>
        <w:rPr>
          <w:rFonts w:cstheme="minorHAnsi"/>
          <w:szCs w:val="24"/>
        </w:rPr>
        <w:t>e</w:t>
      </w:r>
      <w:r w:rsidR="00842DE6">
        <w:rPr>
          <w:rFonts w:cstheme="minorHAnsi"/>
          <w:szCs w:val="24"/>
        </w:rPr>
        <w:t xml:space="preserve"> daně:</w:t>
      </w:r>
    </w:p>
    <w:p w:rsidR="00842DE6" w:rsidRPr="00DE69E5" w:rsidRDefault="00842DE6" w:rsidP="00FC2101">
      <w:pPr>
        <w:pStyle w:val="Odstavecseseznamem"/>
        <w:spacing w:after="0"/>
      </w:pPr>
      <w:r>
        <w:t>prověří, zda plátce</w:t>
      </w:r>
      <w:r w:rsidRPr="00DE69E5">
        <w:t xml:space="preserve"> podal </w:t>
      </w:r>
      <w:r>
        <w:t>povinné</w:t>
      </w:r>
      <w:r w:rsidRPr="00DE69E5">
        <w:t xml:space="preserve"> přílohy</w:t>
      </w:r>
      <w:r w:rsidR="00AE7D77">
        <w:t>,</w:t>
      </w:r>
      <w:r w:rsidRPr="00DE69E5">
        <w:t xml:space="preserve"> </w:t>
      </w:r>
      <w:r>
        <w:t xml:space="preserve">a </w:t>
      </w:r>
      <w:r w:rsidR="000869AC">
        <w:t>v </w:t>
      </w:r>
      <w:r w:rsidRPr="00DE69E5">
        <w:t xml:space="preserve">případě nepodání zahájí řízení </w:t>
      </w:r>
      <w:r w:rsidR="000869AC">
        <w:t>k </w:t>
      </w:r>
      <w:r w:rsidRPr="00DE69E5">
        <w:t>odstranění pochybností;</w:t>
      </w:r>
    </w:p>
    <w:p w:rsidR="00842DE6" w:rsidRDefault="00842DE6" w:rsidP="00FC2101">
      <w:pPr>
        <w:pStyle w:val="Odstavecseseznamem"/>
        <w:spacing w:after="0"/>
      </w:pPr>
      <w:r>
        <w:t>prověří, zda jsou</w:t>
      </w:r>
      <w:r w:rsidRPr="00DE69E5">
        <w:t xml:space="preserve"> splněn</w:t>
      </w:r>
      <w:r>
        <w:t>y</w:t>
      </w:r>
      <w:r w:rsidRPr="00DE69E5">
        <w:t xml:space="preserve"> </w:t>
      </w:r>
      <w:r>
        <w:t xml:space="preserve">zákonné </w:t>
      </w:r>
      <w:r w:rsidRPr="00DE69E5">
        <w:t>podmínk</w:t>
      </w:r>
      <w:r w:rsidR="00AE7D77">
        <w:t>y</w:t>
      </w:r>
      <w:r>
        <w:t xml:space="preserve"> pro uplatnění opravy</w:t>
      </w:r>
      <w:r w:rsidR="00A926CF">
        <w:t>;</w:t>
      </w:r>
      <w:r w:rsidRPr="00DE69E5">
        <w:t xml:space="preserve"> </w:t>
      </w:r>
    </w:p>
    <w:p w:rsidR="00842DE6" w:rsidRPr="00DE69E5" w:rsidRDefault="00842DE6" w:rsidP="00FC2101">
      <w:pPr>
        <w:pStyle w:val="Odstavecseseznamem"/>
        <w:spacing w:after="0"/>
      </w:pPr>
      <w:r>
        <w:t xml:space="preserve">teprve následně </w:t>
      </w:r>
      <w:r w:rsidRPr="00DE69E5">
        <w:t>vyměří</w:t>
      </w:r>
      <w:r>
        <w:t xml:space="preserve"> daň</w:t>
      </w:r>
      <w:r w:rsidRPr="00DE69E5">
        <w:t xml:space="preserve">, popřípadě zahájí postup </w:t>
      </w:r>
      <w:r w:rsidR="000869AC">
        <w:t>k </w:t>
      </w:r>
      <w:r w:rsidRPr="00DE69E5">
        <w:t>odstranění pochybností</w:t>
      </w:r>
      <w:r>
        <w:t xml:space="preserve"> nebo</w:t>
      </w:r>
      <w:r w:rsidRPr="00DE69E5">
        <w:t xml:space="preserve"> daňov</w:t>
      </w:r>
      <w:r>
        <w:t>ou</w:t>
      </w:r>
      <w:r w:rsidRPr="00DE69E5">
        <w:t xml:space="preserve"> kontrol</w:t>
      </w:r>
      <w:r>
        <w:t>u</w:t>
      </w:r>
      <w:r w:rsidRPr="00DE69E5">
        <w:t>.</w:t>
      </w:r>
    </w:p>
    <w:p w:rsidR="007F7D1A" w:rsidRDefault="007F7D1A" w:rsidP="00FC2101">
      <w:pPr>
        <w:spacing w:after="0"/>
        <w:rPr>
          <w:rFonts w:cstheme="minorHAnsi"/>
          <w:szCs w:val="24"/>
        </w:rPr>
      </w:pPr>
    </w:p>
    <w:p w:rsidR="008D0AEC" w:rsidRDefault="008D0AEC" w:rsidP="00FC2101">
      <w:pPr>
        <w:spacing w:after="0"/>
        <w:rPr>
          <w:rFonts w:cstheme="minorHAnsi"/>
          <w:szCs w:val="24"/>
        </w:rPr>
      </w:pPr>
      <w:r w:rsidRPr="00B75CBF">
        <w:rPr>
          <w:rFonts w:cstheme="minorHAnsi"/>
          <w:szCs w:val="24"/>
        </w:rPr>
        <w:t xml:space="preserve">NKÚ zjistil, že </w:t>
      </w:r>
      <w:r>
        <w:rPr>
          <w:rFonts w:cstheme="minorHAnsi"/>
          <w:szCs w:val="24"/>
        </w:rPr>
        <w:t xml:space="preserve">kontrolované </w:t>
      </w:r>
      <w:r w:rsidRPr="00B75CBF">
        <w:rPr>
          <w:rFonts w:cstheme="minorHAnsi"/>
          <w:szCs w:val="24"/>
        </w:rPr>
        <w:t xml:space="preserve">FÚ </w:t>
      </w:r>
      <w:r w:rsidR="000869AC">
        <w:rPr>
          <w:rFonts w:cstheme="minorHAnsi"/>
          <w:szCs w:val="24"/>
        </w:rPr>
        <w:t>v </w:t>
      </w:r>
      <w:r w:rsidRPr="00B75CBF">
        <w:rPr>
          <w:rFonts w:cstheme="minorHAnsi"/>
          <w:szCs w:val="24"/>
        </w:rPr>
        <w:t xml:space="preserve">níže uvedených případech neučinily úkony ke správnému stanovení daňové povinnosti, případně stanovily daň </w:t>
      </w:r>
      <w:r w:rsidR="000869AC">
        <w:rPr>
          <w:rFonts w:cstheme="minorHAnsi"/>
          <w:szCs w:val="24"/>
        </w:rPr>
        <w:t>v </w:t>
      </w:r>
      <w:r>
        <w:rPr>
          <w:rFonts w:cstheme="minorHAnsi"/>
          <w:szCs w:val="24"/>
        </w:rPr>
        <w:t>ne</w:t>
      </w:r>
      <w:r w:rsidRPr="00B75CBF">
        <w:rPr>
          <w:rFonts w:cstheme="minorHAnsi"/>
          <w:szCs w:val="24"/>
        </w:rPr>
        <w:t xml:space="preserve">správné výši: </w:t>
      </w:r>
    </w:p>
    <w:p w:rsidR="008D0AEC" w:rsidRPr="00B75CBF" w:rsidRDefault="008D0AEC" w:rsidP="00FC2101">
      <w:pPr>
        <w:pStyle w:val="Odstavecseseznamem"/>
        <w:spacing w:after="0"/>
      </w:pPr>
      <w:r w:rsidRPr="00B75CBF">
        <w:t xml:space="preserve">FÚ </w:t>
      </w:r>
      <w:r w:rsidR="000869AC">
        <w:t>v </w:t>
      </w:r>
      <w:r w:rsidRPr="00B75CBF">
        <w:t>devíti případech uznal</w:t>
      </w:r>
      <w:r>
        <w:t>y</w:t>
      </w:r>
      <w:r w:rsidRPr="00B75CBF">
        <w:t xml:space="preserve"> opravy výše daně </w:t>
      </w:r>
      <w:r w:rsidR="000869AC">
        <w:t>v </w:t>
      </w:r>
      <w:r w:rsidRPr="00B75CBF">
        <w:t>celkové výši 16</w:t>
      </w:r>
      <w:r w:rsidR="00967341">
        <w:t xml:space="preserve"> </w:t>
      </w:r>
      <w:r w:rsidRPr="00B75CBF">
        <w:t>926 556 Kč, přestože věřitelé nepřiložili</w:t>
      </w:r>
      <w:r>
        <w:t xml:space="preserve"> </w:t>
      </w:r>
      <w:r w:rsidR="000869AC">
        <w:t>k </w:t>
      </w:r>
      <w:r w:rsidRPr="00B75CBF">
        <w:t>daňovému přiznání povinné přílohy;</w:t>
      </w:r>
    </w:p>
    <w:p w:rsidR="008D0AEC" w:rsidRDefault="008D0AEC" w:rsidP="00FC2101">
      <w:pPr>
        <w:pStyle w:val="Odstavecseseznamem"/>
        <w:spacing w:after="0"/>
      </w:pPr>
      <w:r>
        <w:t xml:space="preserve">FÚ </w:t>
      </w:r>
      <w:r w:rsidR="000869AC">
        <w:t>v </w:t>
      </w:r>
      <w:r>
        <w:t>19 případech</w:t>
      </w:r>
      <w:r w:rsidRPr="00B75CBF">
        <w:t xml:space="preserve"> </w:t>
      </w:r>
      <w:r w:rsidRPr="00AE3E56">
        <w:t>uznal</w:t>
      </w:r>
      <w:r>
        <w:t>y</w:t>
      </w:r>
      <w:r w:rsidRPr="00AE3E56">
        <w:t xml:space="preserve"> opravy výše daně </w:t>
      </w:r>
      <w:r w:rsidR="000869AC">
        <w:t>v </w:t>
      </w:r>
      <w:r w:rsidRPr="00AE3E56">
        <w:t xml:space="preserve">celkové výši </w:t>
      </w:r>
      <w:r w:rsidRPr="00DE69E5">
        <w:t>13 010 853 Kč</w:t>
      </w:r>
      <w:r>
        <w:t xml:space="preserve">, přestože </w:t>
      </w:r>
      <w:r w:rsidRPr="00DE69E5">
        <w:t>nebyly splněny</w:t>
      </w:r>
      <w:r>
        <w:t xml:space="preserve"> zákonné</w:t>
      </w:r>
      <w:r w:rsidRPr="00DE69E5">
        <w:t xml:space="preserve"> podmínky</w:t>
      </w:r>
      <w:r>
        <w:t>;</w:t>
      </w:r>
      <w:r w:rsidRPr="00DE69E5">
        <w:t xml:space="preserve"> </w:t>
      </w:r>
    </w:p>
    <w:p w:rsidR="008D0AEC" w:rsidRDefault="008D0AEC" w:rsidP="00FC2101">
      <w:pPr>
        <w:pStyle w:val="Odstavecseseznamem"/>
        <w:spacing w:after="0"/>
      </w:pPr>
      <w:r w:rsidRPr="004920C7">
        <w:t xml:space="preserve">FÚ ve dvou případech vyměřil daň ve výši uvedené </w:t>
      </w:r>
      <w:r w:rsidR="000869AC">
        <w:t>v </w:t>
      </w:r>
      <w:r w:rsidRPr="004920C7">
        <w:t xml:space="preserve">daňovém přiznání, přestože plátci se zrušenou registrací nezvýšili daňovou povinnost o provedené opravy </w:t>
      </w:r>
      <w:r w:rsidR="000869AC">
        <w:t>v </w:t>
      </w:r>
      <w:r w:rsidRPr="004920C7">
        <w:t>celkové výši</w:t>
      </w:r>
      <w:r w:rsidR="00967341">
        <w:t xml:space="preserve"> </w:t>
      </w:r>
      <w:r w:rsidRPr="004920C7">
        <w:t>224 720 Kč.</w:t>
      </w:r>
    </w:p>
    <w:p w:rsidR="007F7D1A" w:rsidRDefault="007F7D1A" w:rsidP="00FC2101">
      <w:pPr>
        <w:spacing w:after="0"/>
        <w:rPr>
          <w:rFonts w:cstheme="minorHAnsi"/>
          <w:szCs w:val="24"/>
        </w:rPr>
      </w:pPr>
    </w:p>
    <w:p w:rsidR="008D0AEC" w:rsidRDefault="008D0AEC" w:rsidP="00FC2101">
      <w:pPr>
        <w:spacing w:after="0"/>
        <w:rPr>
          <w:rFonts w:cstheme="minorHAnsi"/>
          <w:szCs w:val="24"/>
        </w:rPr>
      </w:pPr>
      <w:r w:rsidRPr="00DE69E5">
        <w:rPr>
          <w:rFonts w:cstheme="minorHAnsi"/>
          <w:szCs w:val="24"/>
        </w:rPr>
        <w:t>Kontrolu</w:t>
      </w:r>
      <w:r>
        <w:rPr>
          <w:rFonts w:cstheme="minorHAnsi"/>
          <w:szCs w:val="24"/>
        </w:rPr>
        <w:t xml:space="preserve"> plnění povinností na straně dlužníka může správce daně provést pouze na základě </w:t>
      </w:r>
      <w:r w:rsidRPr="00FC2101">
        <w:rPr>
          <w:rFonts w:cstheme="minorHAnsi"/>
          <w:szCs w:val="24"/>
        </w:rPr>
        <w:t>informace o provedené opravě</w:t>
      </w:r>
      <w:r>
        <w:rPr>
          <w:rFonts w:cstheme="minorHAnsi"/>
          <w:szCs w:val="24"/>
        </w:rPr>
        <w:t xml:space="preserve"> od </w:t>
      </w:r>
      <w:r w:rsidR="00AE7D77">
        <w:rPr>
          <w:rFonts w:cstheme="minorHAnsi"/>
          <w:szCs w:val="24"/>
        </w:rPr>
        <w:t xml:space="preserve">věřitelova </w:t>
      </w:r>
      <w:r>
        <w:rPr>
          <w:rFonts w:cstheme="minorHAnsi"/>
          <w:szCs w:val="24"/>
        </w:rPr>
        <w:t>správce daně.</w:t>
      </w:r>
      <w:r w:rsidRPr="00DE69E5">
        <w:rPr>
          <w:rFonts w:cstheme="minorHAnsi"/>
          <w:szCs w:val="24"/>
        </w:rPr>
        <w:t xml:space="preserve"> Komunikace </w:t>
      </w:r>
      <w:r w:rsidRPr="004920C7">
        <w:rPr>
          <w:rFonts w:cstheme="minorHAnsi"/>
          <w:szCs w:val="24"/>
        </w:rPr>
        <w:t xml:space="preserve">mezi správci daně probíhá neformální cestou, např. telefonicky, e-mailem, </w:t>
      </w:r>
      <w:r w:rsidR="000869AC">
        <w:rPr>
          <w:rFonts w:cstheme="minorHAnsi"/>
          <w:szCs w:val="24"/>
        </w:rPr>
        <w:t>v </w:t>
      </w:r>
      <w:r w:rsidRPr="004920C7">
        <w:rPr>
          <w:rFonts w:cstheme="minorHAnsi"/>
          <w:szCs w:val="24"/>
        </w:rPr>
        <w:t>některých případech písemným oznámením</w:t>
      </w:r>
      <w:r>
        <w:rPr>
          <w:rFonts w:cstheme="minorHAnsi"/>
          <w:szCs w:val="24"/>
        </w:rPr>
        <w:t>.</w:t>
      </w:r>
      <w:r w:rsidRPr="00DE69E5">
        <w:rPr>
          <w:rFonts w:cstheme="minorHAnsi"/>
          <w:szCs w:val="24"/>
        </w:rPr>
        <w:t xml:space="preserve"> Často</w:t>
      </w:r>
      <w:r w:rsidR="00AE7D77">
        <w:rPr>
          <w:rFonts w:cstheme="minorHAnsi"/>
          <w:szCs w:val="24"/>
        </w:rPr>
        <w:t xml:space="preserve"> je dlužníkův</w:t>
      </w:r>
      <w:r w:rsidRPr="00DE69E5">
        <w:rPr>
          <w:rFonts w:cstheme="minorHAnsi"/>
          <w:szCs w:val="24"/>
        </w:rPr>
        <w:t xml:space="preserve"> správc</w:t>
      </w:r>
      <w:r w:rsidR="00AE7D77">
        <w:rPr>
          <w:rFonts w:cstheme="minorHAnsi"/>
          <w:szCs w:val="24"/>
        </w:rPr>
        <w:t>e</w:t>
      </w:r>
      <w:r w:rsidRPr="00DE69E5">
        <w:rPr>
          <w:rFonts w:cstheme="minorHAnsi"/>
          <w:szCs w:val="24"/>
        </w:rPr>
        <w:t xml:space="preserve"> daně </w:t>
      </w:r>
      <w:r>
        <w:rPr>
          <w:rFonts w:cstheme="minorHAnsi"/>
          <w:szCs w:val="24"/>
        </w:rPr>
        <w:t xml:space="preserve">o uplatněné opravě </w:t>
      </w:r>
      <w:r w:rsidRPr="00DE69E5">
        <w:rPr>
          <w:rFonts w:cstheme="minorHAnsi"/>
          <w:szCs w:val="24"/>
        </w:rPr>
        <w:t xml:space="preserve">informován </w:t>
      </w:r>
      <w:r w:rsidR="00AE7D77">
        <w:rPr>
          <w:rFonts w:cstheme="minorHAnsi"/>
          <w:szCs w:val="24"/>
        </w:rPr>
        <w:t xml:space="preserve">až </w:t>
      </w:r>
      <w:r w:rsidRPr="00DE69E5">
        <w:rPr>
          <w:rFonts w:cstheme="minorHAnsi"/>
          <w:szCs w:val="24"/>
        </w:rPr>
        <w:t>insolvenčním správc</w:t>
      </w:r>
      <w:r w:rsidR="00AE7D77">
        <w:rPr>
          <w:rFonts w:cstheme="minorHAnsi"/>
          <w:szCs w:val="24"/>
        </w:rPr>
        <w:t>em</w:t>
      </w:r>
      <w:r w:rsidRPr="00DE69E5">
        <w:rPr>
          <w:rFonts w:cstheme="minorHAnsi"/>
          <w:szCs w:val="24"/>
        </w:rPr>
        <w:t>.</w:t>
      </w:r>
    </w:p>
    <w:p w:rsidR="007F7D1A" w:rsidRDefault="007F7D1A" w:rsidP="00FC2101">
      <w:pPr>
        <w:spacing w:after="0"/>
        <w:rPr>
          <w:rFonts w:cstheme="minorHAnsi"/>
          <w:szCs w:val="24"/>
        </w:rPr>
      </w:pPr>
    </w:p>
    <w:p w:rsidR="008D0AEC" w:rsidRDefault="008D0AEC" w:rsidP="00FC2101">
      <w:pPr>
        <w:spacing w:after="0"/>
        <w:rPr>
          <w:rFonts w:cstheme="minorHAnsi"/>
          <w:szCs w:val="24"/>
        </w:rPr>
      </w:pPr>
      <w:r>
        <w:rPr>
          <w:rFonts w:cstheme="minorHAnsi"/>
          <w:szCs w:val="24"/>
        </w:rPr>
        <w:t>Ve spisech 167 plátců, kteří uplatnili opravu výše daně u pohledávek za 205 dlužníky, nebyl ve</w:t>
      </w:r>
      <w:r w:rsidR="00967341">
        <w:rPr>
          <w:rFonts w:cstheme="minorHAnsi"/>
          <w:szCs w:val="24"/>
        </w:rPr>
        <w:t xml:space="preserve"> </w:t>
      </w:r>
      <w:r>
        <w:rPr>
          <w:rFonts w:cstheme="minorHAnsi"/>
          <w:szCs w:val="24"/>
        </w:rPr>
        <w:t xml:space="preserve">108 případech nalezen doklad o výměně informací mezi správci daně. </w:t>
      </w:r>
      <w:r w:rsidRPr="00DE69E5">
        <w:rPr>
          <w:rFonts w:cstheme="minorHAnsi"/>
          <w:szCs w:val="24"/>
        </w:rPr>
        <w:t>Porovnáním údajů</w:t>
      </w:r>
      <w:r w:rsidR="00AE7D77">
        <w:rPr>
          <w:rFonts w:cstheme="minorHAnsi"/>
          <w:szCs w:val="24"/>
        </w:rPr>
        <w:t> </w:t>
      </w:r>
      <w:r>
        <w:rPr>
          <w:rFonts w:cstheme="minorHAnsi"/>
          <w:szCs w:val="24"/>
        </w:rPr>
        <w:t xml:space="preserve">uvedených </w:t>
      </w:r>
      <w:r w:rsidR="000869AC">
        <w:rPr>
          <w:rFonts w:cstheme="minorHAnsi"/>
          <w:szCs w:val="24"/>
        </w:rPr>
        <w:t>v </w:t>
      </w:r>
      <w:r>
        <w:rPr>
          <w:rFonts w:cstheme="minorHAnsi"/>
          <w:szCs w:val="24"/>
        </w:rPr>
        <w:t xml:space="preserve">90 DAP věřitelů a DAP </w:t>
      </w:r>
      <w:r w:rsidRPr="00DE69E5">
        <w:rPr>
          <w:rFonts w:cstheme="minorHAnsi"/>
          <w:szCs w:val="24"/>
        </w:rPr>
        <w:t xml:space="preserve">dlužníků registrovaných u stejného správce daně </w:t>
      </w:r>
      <w:r>
        <w:rPr>
          <w:rFonts w:cstheme="minorHAnsi"/>
          <w:szCs w:val="24"/>
        </w:rPr>
        <w:t xml:space="preserve">bylo zjištěno </w:t>
      </w:r>
      <w:r w:rsidR="000869AC">
        <w:rPr>
          <w:rFonts w:cstheme="minorHAnsi"/>
          <w:szCs w:val="24"/>
        </w:rPr>
        <w:t>v </w:t>
      </w:r>
      <w:r>
        <w:rPr>
          <w:rFonts w:cstheme="minorHAnsi"/>
          <w:szCs w:val="24"/>
        </w:rPr>
        <w:t xml:space="preserve">33 případech, že dlužník </w:t>
      </w:r>
      <w:r w:rsidRPr="00DE69E5">
        <w:rPr>
          <w:rFonts w:cstheme="minorHAnsi"/>
          <w:szCs w:val="24"/>
        </w:rPr>
        <w:t>buď nesnížil uplatněný odpočet daně vůbec</w:t>
      </w:r>
      <w:r>
        <w:rPr>
          <w:rFonts w:cstheme="minorHAnsi"/>
          <w:szCs w:val="24"/>
        </w:rPr>
        <w:t>,</w:t>
      </w:r>
      <w:r w:rsidRPr="00DE69E5">
        <w:rPr>
          <w:rFonts w:cstheme="minorHAnsi"/>
          <w:szCs w:val="24"/>
        </w:rPr>
        <w:t xml:space="preserve"> nebo </w:t>
      </w:r>
      <w:r w:rsidR="00AE7D77">
        <w:rPr>
          <w:rFonts w:cstheme="minorHAnsi"/>
          <w:szCs w:val="24"/>
        </w:rPr>
        <w:t xml:space="preserve">jej snížil </w:t>
      </w:r>
      <w:r w:rsidRPr="00DE69E5">
        <w:rPr>
          <w:rFonts w:cstheme="minorHAnsi"/>
          <w:szCs w:val="24"/>
        </w:rPr>
        <w:t xml:space="preserve">o </w:t>
      </w:r>
      <w:r w:rsidR="00AE7D77">
        <w:rPr>
          <w:rFonts w:cstheme="minorHAnsi"/>
          <w:szCs w:val="24"/>
        </w:rPr>
        <w:t>menší</w:t>
      </w:r>
      <w:r w:rsidRPr="00DE69E5">
        <w:rPr>
          <w:rFonts w:cstheme="minorHAnsi"/>
          <w:szCs w:val="24"/>
        </w:rPr>
        <w:t xml:space="preserve"> částku. Věřitelé vykázali </w:t>
      </w:r>
      <w:r w:rsidR="000869AC">
        <w:rPr>
          <w:rFonts w:cstheme="minorHAnsi"/>
          <w:szCs w:val="24"/>
        </w:rPr>
        <w:t>v </w:t>
      </w:r>
      <w:r w:rsidRPr="00DE69E5">
        <w:rPr>
          <w:rFonts w:cstheme="minorHAnsi"/>
          <w:szCs w:val="24"/>
        </w:rPr>
        <w:t xml:space="preserve">DAP opravy </w:t>
      </w:r>
      <w:r w:rsidR="000869AC">
        <w:rPr>
          <w:rFonts w:cstheme="minorHAnsi"/>
          <w:szCs w:val="24"/>
        </w:rPr>
        <w:t>v </w:t>
      </w:r>
      <w:r w:rsidRPr="00DE69E5">
        <w:rPr>
          <w:rFonts w:cstheme="minorHAnsi"/>
          <w:szCs w:val="24"/>
        </w:rPr>
        <w:t xml:space="preserve">celkové výši </w:t>
      </w:r>
      <w:r>
        <w:rPr>
          <w:rFonts w:cstheme="minorHAnsi"/>
          <w:szCs w:val="24"/>
        </w:rPr>
        <w:t>11</w:t>
      </w:r>
      <w:r w:rsidR="00967341">
        <w:rPr>
          <w:rFonts w:cstheme="minorHAnsi"/>
          <w:szCs w:val="24"/>
        </w:rPr>
        <w:t xml:space="preserve"> </w:t>
      </w:r>
      <w:r>
        <w:rPr>
          <w:rFonts w:cstheme="minorHAnsi"/>
          <w:szCs w:val="24"/>
        </w:rPr>
        <w:t>390 804</w:t>
      </w:r>
      <w:r w:rsidRPr="00DE69E5">
        <w:rPr>
          <w:rFonts w:cstheme="minorHAnsi"/>
          <w:szCs w:val="24"/>
        </w:rPr>
        <w:t xml:space="preserve"> Kč</w:t>
      </w:r>
      <w:r w:rsidR="00AE7D77">
        <w:rPr>
          <w:rFonts w:cstheme="minorHAnsi"/>
          <w:szCs w:val="24"/>
        </w:rPr>
        <w:t>, zatímco</w:t>
      </w:r>
      <w:r>
        <w:rPr>
          <w:rFonts w:cstheme="minorHAnsi"/>
          <w:szCs w:val="24"/>
        </w:rPr>
        <w:t xml:space="preserve"> </w:t>
      </w:r>
      <w:r>
        <w:rPr>
          <w:rFonts w:cstheme="minorHAnsi"/>
          <w:szCs w:val="24"/>
        </w:rPr>
        <w:lastRenderedPageBreak/>
        <w:t>dlužníci snížili odpočet daně pouze o 30</w:t>
      </w:r>
      <w:r w:rsidR="00967341">
        <w:rPr>
          <w:rFonts w:cstheme="minorHAnsi"/>
          <w:szCs w:val="24"/>
        </w:rPr>
        <w:t xml:space="preserve"> </w:t>
      </w:r>
      <w:r>
        <w:rPr>
          <w:rFonts w:cstheme="minorHAnsi"/>
          <w:szCs w:val="24"/>
        </w:rPr>
        <w:t>849 Kč</w:t>
      </w:r>
      <w:r w:rsidRPr="00DE69E5">
        <w:rPr>
          <w:rFonts w:cstheme="minorHAnsi"/>
          <w:szCs w:val="24"/>
        </w:rPr>
        <w:t xml:space="preserve">, </w:t>
      </w:r>
      <w:r w:rsidR="00AE7D77">
        <w:rPr>
          <w:rFonts w:cstheme="minorHAnsi"/>
          <w:szCs w:val="24"/>
        </w:rPr>
        <w:t>což znamená</w:t>
      </w:r>
      <w:r>
        <w:rPr>
          <w:rFonts w:cstheme="minorHAnsi"/>
          <w:szCs w:val="24"/>
        </w:rPr>
        <w:t>,</w:t>
      </w:r>
      <w:r w:rsidRPr="00DE69E5">
        <w:rPr>
          <w:rFonts w:cstheme="minorHAnsi"/>
          <w:szCs w:val="24"/>
        </w:rPr>
        <w:t xml:space="preserve"> že nepřiznali daň ve výši </w:t>
      </w:r>
      <w:r>
        <w:rPr>
          <w:rFonts w:cstheme="minorHAnsi"/>
          <w:szCs w:val="24"/>
        </w:rPr>
        <w:t>11</w:t>
      </w:r>
      <w:r w:rsidR="00AE7D77">
        <w:rPr>
          <w:rFonts w:cstheme="minorHAnsi"/>
          <w:szCs w:val="24"/>
        </w:rPr>
        <w:t> </w:t>
      </w:r>
      <w:r>
        <w:rPr>
          <w:rFonts w:cstheme="minorHAnsi"/>
          <w:szCs w:val="24"/>
        </w:rPr>
        <w:t>359</w:t>
      </w:r>
      <w:r w:rsidR="00AE7D77">
        <w:rPr>
          <w:rFonts w:cstheme="minorHAnsi"/>
          <w:szCs w:val="24"/>
        </w:rPr>
        <w:t> </w:t>
      </w:r>
      <w:r>
        <w:rPr>
          <w:rFonts w:cstheme="minorHAnsi"/>
          <w:szCs w:val="24"/>
        </w:rPr>
        <w:t>955</w:t>
      </w:r>
      <w:r w:rsidR="00AE7D77">
        <w:rPr>
          <w:rFonts w:cstheme="minorHAnsi"/>
          <w:szCs w:val="24"/>
        </w:rPr>
        <w:t> </w:t>
      </w:r>
      <w:r w:rsidRPr="00DE69E5">
        <w:rPr>
          <w:rFonts w:cstheme="minorHAnsi"/>
          <w:szCs w:val="24"/>
        </w:rPr>
        <w:t xml:space="preserve">Kč. </w:t>
      </w:r>
    </w:p>
    <w:p w:rsidR="008B26E0" w:rsidRDefault="008B26E0" w:rsidP="00FC2101">
      <w:pPr>
        <w:spacing w:after="0"/>
        <w:rPr>
          <w:rFonts w:cstheme="minorHAnsi"/>
          <w:szCs w:val="24"/>
        </w:rPr>
      </w:pPr>
    </w:p>
    <w:p w:rsidR="008D0AEC" w:rsidRPr="00BC522D" w:rsidRDefault="004073A5" w:rsidP="00FC2101">
      <w:pPr>
        <w:pStyle w:val="Nadpis2"/>
        <w:numPr>
          <w:ilvl w:val="0"/>
          <w:numId w:val="0"/>
        </w:numPr>
        <w:spacing w:before="0"/>
        <w:ind w:left="567" w:hanging="567"/>
        <w:rPr>
          <w:sz w:val="24"/>
          <w:szCs w:val="24"/>
        </w:rPr>
      </w:pPr>
      <w:r w:rsidRPr="00BC522D">
        <w:rPr>
          <w:sz w:val="24"/>
          <w:szCs w:val="24"/>
        </w:rPr>
        <w:t xml:space="preserve">8. </w:t>
      </w:r>
      <w:r w:rsidR="008D0AEC" w:rsidRPr="00BC522D">
        <w:rPr>
          <w:sz w:val="24"/>
          <w:szCs w:val="24"/>
        </w:rPr>
        <w:t>Mezera DPH</w:t>
      </w:r>
    </w:p>
    <w:p w:rsidR="008D0AEC" w:rsidRDefault="008D0AEC" w:rsidP="00FC2101">
      <w:pPr>
        <w:spacing w:after="0"/>
        <w:rPr>
          <w:rFonts w:cstheme="minorHAnsi"/>
          <w:szCs w:val="24"/>
        </w:rPr>
      </w:pPr>
      <w:r w:rsidRPr="00423FA6">
        <w:rPr>
          <w:rFonts w:cstheme="minorHAnsi"/>
          <w:szCs w:val="24"/>
        </w:rPr>
        <w:t xml:space="preserve">Podle výpočtu NKÚ </w:t>
      </w:r>
      <w:r>
        <w:rPr>
          <w:rFonts w:cstheme="minorHAnsi"/>
          <w:szCs w:val="24"/>
        </w:rPr>
        <w:t>byla</w:t>
      </w:r>
      <w:r w:rsidRPr="00423FA6">
        <w:rPr>
          <w:rFonts w:cstheme="minorHAnsi"/>
          <w:szCs w:val="24"/>
        </w:rPr>
        <w:t xml:space="preserve"> míra daňových úniků </w:t>
      </w:r>
      <w:r w:rsidR="000869AC">
        <w:rPr>
          <w:rFonts w:cstheme="minorHAnsi"/>
          <w:szCs w:val="24"/>
        </w:rPr>
        <w:t>v </w:t>
      </w:r>
      <w:r w:rsidRPr="00423FA6">
        <w:rPr>
          <w:rFonts w:cstheme="minorHAnsi"/>
          <w:szCs w:val="24"/>
        </w:rPr>
        <w:t xml:space="preserve">ČR </w:t>
      </w:r>
      <w:r w:rsidR="000869AC">
        <w:rPr>
          <w:rFonts w:cstheme="minorHAnsi"/>
          <w:szCs w:val="24"/>
        </w:rPr>
        <w:t>v </w:t>
      </w:r>
      <w:r>
        <w:rPr>
          <w:rFonts w:cstheme="minorHAnsi"/>
          <w:szCs w:val="24"/>
        </w:rPr>
        <w:t xml:space="preserve">roce 2013 </w:t>
      </w:r>
      <w:r w:rsidRPr="00423FA6">
        <w:rPr>
          <w:rFonts w:cstheme="minorHAnsi"/>
          <w:szCs w:val="24"/>
        </w:rPr>
        <w:t xml:space="preserve">měřená mezerou DPH </w:t>
      </w:r>
      <w:r>
        <w:rPr>
          <w:rFonts w:cstheme="minorHAnsi"/>
          <w:szCs w:val="24"/>
        </w:rPr>
        <w:t>25,7</w:t>
      </w:r>
      <w:r w:rsidR="00624343">
        <w:rPr>
          <w:rFonts w:cstheme="minorHAnsi"/>
          <w:szCs w:val="24"/>
        </w:rPr>
        <w:t> </w:t>
      </w:r>
      <w:r>
        <w:rPr>
          <w:rFonts w:cstheme="minorHAnsi"/>
          <w:szCs w:val="24"/>
        </w:rPr>
        <w:t>%.</w:t>
      </w:r>
      <w:r w:rsidRPr="00223982">
        <w:rPr>
          <w:rFonts w:cstheme="minorHAnsi"/>
          <w:strike/>
          <w:color w:val="00B050"/>
          <w:szCs w:val="24"/>
        </w:rPr>
        <w:t xml:space="preserve"> </w:t>
      </w:r>
      <w:r>
        <w:rPr>
          <w:rFonts w:cstheme="minorHAnsi"/>
          <w:szCs w:val="24"/>
        </w:rPr>
        <w:t>V absolutních číslech se pohybovala kolem 100 mld. Kč ročně a</w:t>
      </w:r>
      <w:r>
        <w:rPr>
          <w:rFonts w:cstheme="minorHAnsi"/>
          <w:color w:val="92D050"/>
          <w:szCs w:val="24"/>
        </w:rPr>
        <w:t xml:space="preserve"> </w:t>
      </w:r>
      <w:r>
        <w:rPr>
          <w:rFonts w:cstheme="minorHAnsi"/>
          <w:szCs w:val="24"/>
        </w:rPr>
        <w:t>od roku 2011 stále</w:t>
      </w:r>
      <w:r w:rsidRPr="00423FA6">
        <w:rPr>
          <w:rFonts w:cstheme="minorHAnsi"/>
          <w:szCs w:val="24"/>
        </w:rPr>
        <w:t xml:space="preserve"> roste.</w:t>
      </w:r>
    </w:p>
    <w:p w:rsidR="008B26E0" w:rsidRPr="00423FA6" w:rsidRDefault="008B26E0" w:rsidP="00FC2101">
      <w:pPr>
        <w:spacing w:after="0"/>
        <w:rPr>
          <w:rFonts w:cstheme="minorHAnsi"/>
          <w:szCs w:val="24"/>
        </w:rPr>
      </w:pPr>
    </w:p>
    <w:p w:rsidR="00C54391" w:rsidRDefault="008D0AEC" w:rsidP="00FC2101">
      <w:pPr>
        <w:spacing w:after="0"/>
        <w:rPr>
          <w:rFonts w:cstheme="minorHAnsi"/>
          <w:szCs w:val="24"/>
        </w:rPr>
      </w:pPr>
      <w:r w:rsidRPr="00FE2AD5">
        <w:rPr>
          <w:rFonts w:cstheme="minorHAnsi"/>
          <w:szCs w:val="24"/>
        </w:rPr>
        <w:t xml:space="preserve">Pro výpočet mezery DPH použil NKÚ údaje Českého statistického úřadu </w:t>
      </w:r>
      <w:r>
        <w:rPr>
          <w:rFonts w:cstheme="minorHAnsi"/>
          <w:szCs w:val="24"/>
        </w:rPr>
        <w:t xml:space="preserve">(dále jen „ČSÚ“) </w:t>
      </w:r>
      <w:r w:rsidRPr="00FE2AD5">
        <w:rPr>
          <w:rFonts w:cstheme="minorHAnsi"/>
          <w:szCs w:val="24"/>
        </w:rPr>
        <w:t xml:space="preserve">za roky 2007–2013 aktualizované </w:t>
      </w:r>
      <w:r w:rsidR="000869AC">
        <w:rPr>
          <w:rFonts w:cstheme="minorHAnsi"/>
          <w:szCs w:val="24"/>
        </w:rPr>
        <w:t>v </w:t>
      </w:r>
      <w:r w:rsidRPr="00FE2AD5">
        <w:rPr>
          <w:rFonts w:cstheme="minorHAnsi"/>
          <w:szCs w:val="24"/>
        </w:rPr>
        <w:t>roce 2014. Evropská komise vypočítala pro ČR mezeru DPH za</w:t>
      </w:r>
      <w:r w:rsidR="00967341">
        <w:rPr>
          <w:rFonts w:cstheme="minorHAnsi"/>
          <w:szCs w:val="24"/>
        </w:rPr>
        <w:t xml:space="preserve"> </w:t>
      </w:r>
      <w:r w:rsidRPr="00FE2AD5">
        <w:rPr>
          <w:rFonts w:cstheme="minorHAnsi"/>
          <w:szCs w:val="24"/>
        </w:rPr>
        <w:t>rok 2011 ve výši 28</w:t>
      </w:r>
      <w:r>
        <w:rPr>
          <w:rFonts w:cstheme="minorHAnsi"/>
          <w:szCs w:val="24"/>
        </w:rPr>
        <w:t xml:space="preserve"> </w:t>
      </w:r>
      <w:r w:rsidRPr="00FE2AD5">
        <w:rPr>
          <w:rFonts w:cstheme="minorHAnsi"/>
          <w:szCs w:val="24"/>
        </w:rPr>
        <w:t xml:space="preserve">%. </w:t>
      </w:r>
      <w:r w:rsidR="000869AC">
        <w:rPr>
          <w:rFonts w:cstheme="minorHAnsi"/>
          <w:szCs w:val="24"/>
        </w:rPr>
        <w:t>V </w:t>
      </w:r>
      <w:r w:rsidRPr="00FE2AD5">
        <w:rPr>
          <w:rFonts w:cstheme="minorHAnsi"/>
          <w:szCs w:val="24"/>
        </w:rPr>
        <w:t xml:space="preserve">roce 2011 byl průměr </w:t>
      </w:r>
      <w:r w:rsidR="000869AC">
        <w:rPr>
          <w:rFonts w:cstheme="minorHAnsi"/>
          <w:szCs w:val="24"/>
        </w:rPr>
        <w:t>v </w:t>
      </w:r>
      <w:r w:rsidRPr="00FE2AD5">
        <w:rPr>
          <w:rFonts w:cstheme="minorHAnsi"/>
          <w:szCs w:val="24"/>
        </w:rPr>
        <w:t>EU 18</w:t>
      </w:r>
      <w:r>
        <w:rPr>
          <w:rFonts w:cstheme="minorHAnsi"/>
          <w:szCs w:val="24"/>
        </w:rPr>
        <w:t xml:space="preserve"> </w:t>
      </w:r>
      <w:r w:rsidRPr="00FE2AD5">
        <w:rPr>
          <w:rFonts w:cstheme="minorHAnsi"/>
          <w:szCs w:val="24"/>
        </w:rPr>
        <w:t>%</w:t>
      </w:r>
      <w:r w:rsidR="00D916C4">
        <w:rPr>
          <w:rFonts w:cstheme="minorHAnsi"/>
          <w:szCs w:val="24"/>
        </w:rPr>
        <w:t>,</w:t>
      </w:r>
      <w:r w:rsidRPr="00FE2AD5">
        <w:rPr>
          <w:rFonts w:cstheme="minorHAnsi"/>
          <w:szCs w:val="24"/>
        </w:rPr>
        <w:t xml:space="preserve"> a ČR se tak řadila </w:t>
      </w:r>
      <w:r w:rsidR="000869AC">
        <w:rPr>
          <w:rFonts w:cstheme="minorHAnsi"/>
          <w:szCs w:val="24"/>
        </w:rPr>
        <w:t>k </w:t>
      </w:r>
      <w:r w:rsidR="00AE7D77">
        <w:rPr>
          <w:rFonts w:cstheme="minorHAnsi"/>
          <w:szCs w:val="24"/>
        </w:rPr>
        <w:t>unijním</w:t>
      </w:r>
      <w:r w:rsidRPr="00FE2AD5">
        <w:rPr>
          <w:rFonts w:cstheme="minorHAnsi"/>
          <w:szCs w:val="24"/>
        </w:rPr>
        <w:t xml:space="preserve"> zemím </w:t>
      </w:r>
      <w:r w:rsidR="000869AC">
        <w:rPr>
          <w:rFonts w:cstheme="minorHAnsi"/>
          <w:szCs w:val="24"/>
        </w:rPr>
        <w:t>s </w:t>
      </w:r>
      <w:r w:rsidRPr="00FE2AD5">
        <w:rPr>
          <w:rFonts w:cstheme="minorHAnsi"/>
          <w:szCs w:val="24"/>
        </w:rPr>
        <w:t>nadprůměrnou mezerou DPH, která byla dva</w:t>
      </w:r>
      <w:r w:rsidR="00AE7D77">
        <w:rPr>
          <w:rFonts w:cstheme="minorHAnsi"/>
          <w:szCs w:val="24"/>
        </w:rPr>
        <w:t>krát</w:t>
      </w:r>
      <w:r w:rsidRPr="00FE2AD5">
        <w:rPr>
          <w:rFonts w:cstheme="minorHAnsi"/>
          <w:szCs w:val="24"/>
        </w:rPr>
        <w:t xml:space="preserve"> až třikrát vyšší než hodnoty úspěšnějších zemí EU (např. Nizozem</w:t>
      </w:r>
      <w:r w:rsidR="00AE7D77">
        <w:rPr>
          <w:rFonts w:cstheme="minorHAnsi"/>
          <w:szCs w:val="24"/>
        </w:rPr>
        <w:t>sko</w:t>
      </w:r>
      <w:r w:rsidRPr="00FE2AD5">
        <w:rPr>
          <w:rFonts w:cstheme="minorHAnsi"/>
          <w:szCs w:val="24"/>
        </w:rPr>
        <w:t>, Švédsko, Německo).</w:t>
      </w:r>
      <w:r>
        <w:rPr>
          <w:rFonts w:cstheme="minorHAnsi"/>
          <w:szCs w:val="24"/>
        </w:rPr>
        <w:t xml:space="preserve"> Hodnota mezery DPH svědčí o</w:t>
      </w:r>
      <w:r w:rsidR="00967341">
        <w:rPr>
          <w:rFonts w:cstheme="minorHAnsi"/>
          <w:szCs w:val="24"/>
        </w:rPr>
        <w:t> </w:t>
      </w:r>
      <w:r>
        <w:rPr>
          <w:rFonts w:cstheme="minorHAnsi"/>
          <w:szCs w:val="24"/>
        </w:rPr>
        <w:t xml:space="preserve">poměrně vysoké míře daňových úniků </w:t>
      </w:r>
      <w:r w:rsidR="000869AC">
        <w:rPr>
          <w:rFonts w:cstheme="minorHAnsi"/>
          <w:szCs w:val="24"/>
        </w:rPr>
        <w:t>v </w:t>
      </w:r>
      <w:r>
        <w:rPr>
          <w:rFonts w:cstheme="minorHAnsi"/>
          <w:szCs w:val="24"/>
        </w:rPr>
        <w:t>ČR.</w:t>
      </w:r>
    </w:p>
    <w:p w:rsidR="008B26E0" w:rsidRDefault="008B26E0" w:rsidP="00FC2101">
      <w:pPr>
        <w:spacing w:after="0"/>
        <w:rPr>
          <w:rFonts w:cstheme="minorHAnsi"/>
          <w:szCs w:val="24"/>
        </w:rPr>
      </w:pPr>
    </w:p>
    <w:p w:rsidR="008D0AEC" w:rsidRDefault="00D00E3B" w:rsidP="008D0AEC">
      <w:pPr>
        <w:tabs>
          <w:tab w:val="left" w:pos="4820"/>
        </w:tabs>
        <w:rPr>
          <w:rFonts w:cstheme="minorHAnsi"/>
          <w:b/>
          <w:szCs w:val="24"/>
        </w:rPr>
      </w:pPr>
      <w:r>
        <w:rPr>
          <w:noProof/>
          <w:lang w:eastAsia="cs-CZ"/>
        </w:rPr>
        <w:drawing>
          <wp:anchor distT="0" distB="0" distL="114300" distR="114300" simplePos="0" relativeHeight="251673600" behindDoc="1" locked="0" layoutInCell="1" allowOverlap="1" wp14:anchorId="31562710" wp14:editId="51255346">
            <wp:simplePos x="0" y="0"/>
            <wp:positionH relativeFrom="column">
              <wp:posOffset>-346710</wp:posOffset>
            </wp:positionH>
            <wp:positionV relativeFrom="paragraph">
              <wp:posOffset>259080</wp:posOffset>
            </wp:positionV>
            <wp:extent cx="3028315" cy="1950720"/>
            <wp:effectExtent l="0" t="0" r="635" b="0"/>
            <wp:wrapTight wrapText="bothSides">
              <wp:wrapPolygon edited="0">
                <wp:start x="0" y="0"/>
                <wp:lineTo x="0" y="3586"/>
                <wp:lineTo x="136" y="3797"/>
                <wp:lineTo x="2038" y="3797"/>
                <wp:lineTo x="0" y="5484"/>
                <wp:lineTo x="0" y="6328"/>
                <wp:lineTo x="2038" y="7172"/>
                <wp:lineTo x="544" y="7805"/>
                <wp:lineTo x="272" y="8438"/>
                <wp:lineTo x="136" y="13289"/>
                <wp:lineTo x="544" y="13922"/>
                <wp:lineTo x="2038" y="13922"/>
                <wp:lineTo x="408" y="15820"/>
                <wp:lineTo x="408" y="16453"/>
                <wp:lineTo x="2038" y="17297"/>
                <wp:lineTo x="951" y="18352"/>
                <wp:lineTo x="951" y="19195"/>
                <wp:lineTo x="2582" y="20672"/>
                <wp:lineTo x="2582" y="21094"/>
                <wp:lineTo x="21333" y="21094"/>
                <wp:lineTo x="21469" y="17297"/>
                <wp:lineTo x="21469" y="633"/>
                <wp:lineTo x="1766" y="0"/>
                <wp:lineTo x="0" y="0"/>
              </wp:wrapPolygon>
            </wp:wrapTight>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8D0AEC">
        <w:rPr>
          <w:rFonts w:cstheme="minorHAnsi"/>
          <w:b/>
          <w:szCs w:val="24"/>
        </w:rPr>
        <w:t>Graf č. 4</w:t>
      </w:r>
      <w:r w:rsidR="002007E2">
        <w:rPr>
          <w:rFonts w:cstheme="minorHAnsi"/>
          <w:b/>
          <w:szCs w:val="24"/>
        </w:rPr>
        <w:t xml:space="preserve"> –</w:t>
      </w:r>
      <w:r w:rsidR="008D0AEC">
        <w:rPr>
          <w:rFonts w:cstheme="minorHAnsi"/>
          <w:b/>
          <w:szCs w:val="24"/>
        </w:rPr>
        <w:t xml:space="preserve"> Mezera DPH </w:t>
      </w:r>
      <w:r w:rsidR="002F2322">
        <w:rPr>
          <w:rFonts w:cstheme="minorHAnsi"/>
          <w:b/>
          <w:szCs w:val="24"/>
        </w:rPr>
        <w:t>(</w:t>
      </w:r>
      <w:r w:rsidR="000869AC">
        <w:rPr>
          <w:rFonts w:cstheme="minorHAnsi"/>
          <w:b/>
          <w:szCs w:val="24"/>
        </w:rPr>
        <w:t>v </w:t>
      </w:r>
      <w:r w:rsidR="008D0AEC">
        <w:rPr>
          <w:rFonts w:cstheme="minorHAnsi"/>
          <w:b/>
          <w:szCs w:val="24"/>
        </w:rPr>
        <w:t>mld. Kč</w:t>
      </w:r>
      <w:r w:rsidR="002F2322">
        <w:rPr>
          <w:rFonts w:cstheme="minorHAnsi"/>
          <w:b/>
          <w:szCs w:val="24"/>
        </w:rPr>
        <w:t>)</w:t>
      </w:r>
      <w:r w:rsidR="008D0AEC">
        <w:rPr>
          <w:rFonts w:cstheme="minorHAnsi"/>
          <w:szCs w:val="24"/>
        </w:rPr>
        <w:tab/>
      </w:r>
      <w:r w:rsidR="008D0AEC" w:rsidRPr="00552CC0">
        <w:rPr>
          <w:rFonts w:cstheme="minorHAnsi"/>
          <w:b/>
          <w:szCs w:val="24"/>
        </w:rPr>
        <w:t>Graf č. 5</w:t>
      </w:r>
      <w:r w:rsidR="002007E2">
        <w:rPr>
          <w:rFonts w:cstheme="minorHAnsi"/>
          <w:b/>
          <w:szCs w:val="24"/>
        </w:rPr>
        <w:t xml:space="preserve"> –</w:t>
      </w:r>
      <w:r w:rsidR="008D0AEC">
        <w:rPr>
          <w:rFonts w:cstheme="minorHAnsi"/>
          <w:b/>
          <w:szCs w:val="24"/>
        </w:rPr>
        <w:t xml:space="preserve"> Mezera DPH </w:t>
      </w:r>
      <w:r w:rsidR="000869AC">
        <w:rPr>
          <w:rFonts w:cstheme="minorHAnsi"/>
          <w:b/>
          <w:szCs w:val="24"/>
        </w:rPr>
        <w:t>v </w:t>
      </w:r>
      <w:r w:rsidR="008D0AEC">
        <w:rPr>
          <w:rFonts w:cstheme="minorHAnsi"/>
          <w:b/>
          <w:szCs w:val="24"/>
        </w:rPr>
        <w:t>EU (2011)</w:t>
      </w:r>
    </w:p>
    <w:p w:rsidR="00D30E44" w:rsidRDefault="00D00E3B" w:rsidP="009637E5">
      <w:pPr>
        <w:tabs>
          <w:tab w:val="left" w:pos="4820"/>
        </w:tabs>
        <w:spacing w:after="0"/>
        <w:rPr>
          <w:rFonts w:cstheme="minorHAnsi"/>
          <w:szCs w:val="24"/>
        </w:rPr>
      </w:pPr>
      <w:r>
        <w:rPr>
          <w:noProof/>
          <w:lang w:eastAsia="cs-CZ"/>
        </w:rPr>
        <w:drawing>
          <wp:inline distT="0" distB="0" distL="0" distR="0" wp14:anchorId="2550B619" wp14:editId="2466AE88">
            <wp:extent cx="3197487" cy="2114186"/>
            <wp:effectExtent l="0" t="0" r="3175"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0E44" w:rsidRPr="00FC2101" w:rsidRDefault="00D30E44" w:rsidP="00D30E44">
      <w:pPr>
        <w:spacing w:after="0"/>
        <w:rPr>
          <w:rFonts w:cstheme="minorHAnsi"/>
          <w:b/>
          <w:sz w:val="20"/>
          <w:szCs w:val="20"/>
        </w:rPr>
      </w:pPr>
      <w:r w:rsidRPr="00FC2101">
        <w:rPr>
          <w:rFonts w:cstheme="minorHAnsi"/>
          <w:b/>
          <w:sz w:val="20"/>
          <w:szCs w:val="20"/>
        </w:rPr>
        <w:t>Ze zdroje ČSÚ zpracoval NKÚ.</w:t>
      </w:r>
    </w:p>
    <w:p w:rsidR="00CB2904" w:rsidRDefault="00CB2904" w:rsidP="00FC2101">
      <w:pPr>
        <w:tabs>
          <w:tab w:val="left" w:pos="4820"/>
        </w:tabs>
        <w:spacing w:after="0"/>
        <w:rPr>
          <w:rFonts w:cstheme="minorHAnsi"/>
          <w:szCs w:val="24"/>
        </w:rPr>
      </w:pPr>
    </w:p>
    <w:p w:rsidR="00D30E44" w:rsidRDefault="000869AC" w:rsidP="00FC2101">
      <w:pPr>
        <w:spacing w:after="0"/>
      </w:pPr>
      <w:r>
        <w:t>V </w:t>
      </w:r>
      <w:r w:rsidR="00D30E44" w:rsidRPr="008056A8">
        <w:t xml:space="preserve">říjnu 2014 </w:t>
      </w:r>
      <w:r w:rsidR="00D30E44">
        <w:t>Evropská k</w:t>
      </w:r>
      <w:r w:rsidR="00D30E44" w:rsidRPr="008056A8">
        <w:t xml:space="preserve">omise zveřejnila studii, ve které při výpočtu vycházela </w:t>
      </w:r>
      <w:r>
        <w:t>z </w:t>
      </w:r>
      <w:r w:rsidR="00D30E44" w:rsidRPr="008056A8">
        <w:t>aktualizovaných dat</w:t>
      </w:r>
      <w:r w:rsidR="00D30E44">
        <w:t>.</w:t>
      </w:r>
      <w:r w:rsidR="00D30E44" w:rsidRPr="008056A8">
        <w:t xml:space="preserve"> </w:t>
      </w:r>
      <w:r w:rsidR="00D30E44">
        <w:t>M</w:t>
      </w:r>
      <w:r w:rsidR="00D30E44" w:rsidRPr="008056A8">
        <w:t xml:space="preserve">ezeru DPH </w:t>
      </w:r>
      <w:r>
        <w:t>v </w:t>
      </w:r>
      <w:r w:rsidR="00D30E44" w:rsidRPr="008056A8">
        <w:t>ČR</w:t>
      </w:r>
      <w:r w:rsidR="00D30E44">
        <w:t xml:space="preserve"> za rok 2012</w:t>
      </w:r>
      <w:r w:rsidR="00D30E44" w:rsidRPr="00431C6B">
        <w:rPr>
          <w:color w:val="92D050"/>
        </w:rPr>
        <w:t xml:space="preserve"> </w:t>
      </w:r>
      <w:r w:rsidR="00D30E44" w:rsidRPr="008056A8">
        <w:t xml:space="preserve">stanovila na 22 % (průměr </w:t>
      </w:r>
      <w:r>
        <w:t>v </w:t>
      </w:r>
      <w:r w:rsidR="00D30E44" w:rsidRPr="008056A8">
        <w:t xml:space="preserve">EU </w:t>
      </w:r>
      <w:r w:rsidR="002007E2">
        <w:t xml:space="preserve">byl </w:t>
      </w:r>
      <w:r w:rsidR="00D30E44" w:rsidRPr="008056A8">
        <w:t>16</w:t>
      </w:r>
      <w:r w:rsidR="002007E2">
        <w:t> </w:t>
      </w:r>
      <w:r w:rsidR="00D30E44" w:rsidRPr="008056A8">
        <w:t>%).</w:t>
      </w:r>
    </w:p>
    <w:p w:rsidR="008B26E0" w:rsidRPr="00623440" w:rsidRDefault="008B26E0" w:rsidP="00FC2101">
      <w:pPr>
        <w:spacing w:after="0"/>
      </w:pPr>
    </w:p>
    <w:p w:rsidR="00D30E44" w:rsidRDefault="00D30E44" w:rsidP="00FC2101">
      <w:pPr>
        <w:spacing w:after="0"/>
        <w:rPr>
          <w:rFonts w:cstheme="minorHAnsi"/>
          <w:szCs w:val="24"/>
        </w:rPr>
      </w:pPr>
      <w:r w:rsidRPr="00C66688">
        <w:rPr>
          <w:rFonts w:cstheme="minorHAnsi"/>
          <w:color w:val="000000" w:themeColor="text1"/>
          <w:szCs w:val="24"/>
        </w:rPr>
        <w:t>N</w:t>
      </w:r>
      <w:r w:rsidRPr="002B6BA9">
        <w:rPr>
          <w:rFonts w:cstheme="minorHAnsi"/>
          <w:color w:val="000000" w:themeColor="text1"/>
          <w:szCs w:val="24"/>
        </w:rPr>
        <w:t xml:space="preserve">KÚ </w:t>
      </w:r>
      <w:r w:rsidRPr="002E4EEB">
        <w:rPr>
          <w:rFonts w:cstheme="minorHAnsi"/>
          <w:szCs w:val="24"/>
        </w:rPr>
        <w:t>při výpočtu mezery DPH postupoval podle metodiky vypracované M</w:t>
      </w:r>
      <w:r>
        <w:rPr>
          <w:rFonts w:cstheme="minorHAnsi"/>
          <w:szCs w:val="24"/>
        </w:rPr>
        <w:t>inisterstvem financí</w:t>
      </w:r>
      <w:r w:rsidRPr="002E4EEB">
        <w:rPr>
          <w:rFonts w:cstheme="minorHAnsi"/>
          <w:szCs w:val="24"/>
        </w:rPr>
        <w:t xml:space="preserve">. Základními datovými vstupy byly příjmy </w:t>
      </w:r>
      <w:r w:rsidR="002007E2">
        <w:rPr>
          <w:rFonts w:cstheme="minorHAnsi"/>
          <w:szCs w:val="24"/>
        </w:rPr>
        <w:t>z </w:t>
      </w:r>
      <w:r w:rsidRPr="002E4EEB">
        <w:rPr>
          <w:rFonts w:cstheme="minorHAnsi"/>
          <w:szCs w:val="24"/>
        </w:rPr>
        <w:t xml:space="preserve">DPH podle akruálního principu a roční národní účty </w:t>
      </w:r>
      <w:r>
        <w:rPr>
          <w:rFonts w:cstheme="minorHAnsi"/>
          <w:szCs w:val="24"/>
        </w:rPr>
        <w:t>ČSÚ. Rozdíl výpočtu NKÚ oproti starším výpočtům Ministerstva financí, příp.</w:t>
      </w:r>
      <w:r w:rsidR="003B3836">
        <w:rPr>
          <w:rFonts w:cstheme="minorHAnsi"/>
          <w:szCs w:val="24"/>
        </w:rPr>
        <w:t> </w:t>
      </w:r>
      <w:r>
        <w:rPr>
          <w:rFonts w:cstheme="minorHAnsi"/>
          <w:szCs w:val="24"/>
        </w:rPr>
        <w:t>Evropské komise</w:t>
      </w:r>
      <w:r w:rsidR="002007E2">
        <w:rPr>
          <w:rFonts w:cstheme="minorHAnsi"/>
          <w:szCs w:val="24"/>
        </w:rPr>
        <w:t>,</w:t>
      </w:r>
      <w:r>
        <w:rPr>
          <w:rFonts w:cstheme="minorHAnsi"/>
          <w:szCs w:val="24"/>
        </w:rPr>
        <w:t xml:space="preserve"> vyplývá </w:t>
      </w:r>
      <w:r w:rsidR="000869AC">
        <w:rPr>
          <w:rFonts w:cstheme="minorHAnsi"/>
          <w:szCs w:val="24"/>
        </w:rPr>
        <w:t>z </w:t>
      </w:r>
      <w:r>
        <w:rPr>
          <w:rFonts w:cstheme="minorHAnsi"/>
          <w:szCs w:val="24"/>
        </w:rPr>
        <w:t>faktu, že NKÚ použil pro výpočet data ČSÚ, která byla již aktualizov</w:t>
      </w:r>
      <w:r w:rsidR="00D916C4">
        <w:rPr>
          <w:rFonts w:cstheme="minorHAnsi"/>
          <w:szCs w:val="24"/>
        </w:rPr>
        <w:t>ána</w:t>
      </w:r>
      <w:r>
        <w:rPr>
          <w:rFonts w:cstheme="minorHAnsi"/>
          <w:szCs w:val="24"/>
        </w:rPr>
        <w:t xml:space="preserve"> podle metodiky ESA201</w:t>
      </w:r>
      <w:r w:rsidRPr="00C66688">
        <w:rPr>
          <w:rFonts w:cstheme="minorHAnsi"/>
          <w:szCs w:val="24"/>
        </w:rPr>
        <w:t>0</w:t>
      </w:r>
      <w:r w:rsidRPr="00C66688">
        <w:rPr>
          <w:rStyle w:val="Znakapoznpodarou"/>
          <w:rFonts w:cstheme="minorHAnsi"/>
          <w:szCs w:val="24"/>
        </w:rPr>
        <w:footnoteReference w:id="7"/>
      </w:r>
      <w:r w:rsidRPr="00C66688">
        <w:rPr>
          <w:rFonts w:cstheme="minorHAnsi"/>
          <w:szCs w:val="24"/>
        </w:rPr>
        <w:t>.</w:t>
      </w:r>
    </w:p>
    <w:p w:rsidR="00FC2101" w:rsidRDefault="00FC2101">
      <w:pPr>
        <w:spacing w:after="200" w:line="276" w:lineRule="auto"/>
        <w:jc w:val="left"/>
        <w:rPr>
          <w:rFonts w:cstheme="minorHAnsi"/>
          <w:szCs w:val="24"/>
        </w:rPr>
      </w:pPr>
      <w:r>
        <w:rPr>
          <w:rFonts w:cstheme="minorHAnsi"/>
          <w:szCs w:val="24"/>
        </w:rPr>
        <w:br w:type="page"/>
      </w:r>
    </w:p>
    <w:p w:rsidR="00D30E44" w:rsidRPr="002F2322" w:rsidRDefault="00D30E44" w:rsidP="00FC2101">
      <w:pPr>
        <w:pStyle w:val="Styl1"/>
        <w:keepNext/>
        <w:tabs>
          <w:tab w:val="right" w:pos="9072"/>
        </w:tabs>
        <w:spacing w:after="0"/>
        <w:rPr>
          <w:rFonts w:asciiTheme="minorHAnsi" w:hAnsiTheme="minorHAnsi" w:cstheme="minorHAnsi"/>
          <w:b/>
          <w:sz w:val="24"/>
        </w:rPr>
      </w:pPr>
      <w:bookmarkStart w:id="2" w:name="_Toc409683191"/>
      <w:bookmarkStart w:id="3" w:name="_Toc409683390"/>
      <w:r w:rsidRPr="00FE64F3">
        <w:rPr>
          <w:rFonts w:asciiTheme="minorHAnsi" w:hAnsiTheme="minorHAnsi" w:cstheme="minorHAnsi"/>
          <w:b/>
          <w:sz w:val="24"/>
        </w:rPr>
        <w:lastRenderedPageBreak/>
        <w:t xml:space="preserve">Tabulka č. </w:t>
      </w:r>
      <w:r>
        <w:rPr>
          <w:rFonts w:asciiTheme="minorHAnsi" w:hAnsiTheme="minorHAnsi" w:cstheme="minorHAnsi"/>
          <w:b/>
          <w:sz w:val="24"/>
        </w:rPr>
        <w:t>4</w:t>
      </w:r>
      <w:r w:rsidRPr="00FE64F3">
        <w:rPr>
          <w:rFonts w:asciiTheme="minorHAnsi" w:hAnsiTheme="minorHAnsi" w:cstheme="minorHAnsi"/>
          <w:b/>
          <w:sz w:val="24"/>
        </w:rPr>
        <w:t xml:space="preserve"> – Výpočet mezery DPH</w:t>
      </w:r>
      <w:bookmarkEnd w:id="2"/>
      <w:bookmarkEnd w:id="3"/>
      <w:r w:rsidRPr="00FE64F3">
        <w:rPr>
          <w:rFonts w:asciiTheme="minorHAnsi" w:hAnsiTheme="minorHAnsi" w:cstheme="minorHAnsi"/>
          <w:b/>
          <w:sz w:val="24"/>
        </w:rPr>
        <w:t xml:space="preserve"> </w:t>
      </w:r>
      <w:r>
        <w:rPr>
          <w:rFonts w:asciiTheme="minorHAnsi" w:hAnsiTheme="minorHAnsi" w:cstheme="minorHAnsi"/>
          <w:b/>
          <w:sz w:val="24"/>
        </w:rPr>
        <w:tab/>
      </w:r>
      <w:r w:rsidRPr="002F2322">
        <w:rPr>
          <w:rFonts w:asciiTheme="minorHAnsi" w:hAnsiTheme="minorHAnsi" w:cstheme="minorHAnsi"/>
          <w:b/>
          <w:sz w:val="24"/>
        </w:rPr>
        <w:t>(</w:t>
      </w:r>
      <w:r w:rsidR="000869AC">
        <w:rPr>
          <w:rFonts w:asciiTheme="minorHAnsi" w:hAnsiTheme="minorHAnsi" w:cstheme="minorHAnsi"/>
          <w:b/>
          <w:sz w:val="24"/>
        </w:rPr>
        <w:t>v </w:t>
      </w:r>
      <w:r w:rsidRPr="002F2322">
        <w:rPr>
          <w:rFonts w:asciiTheme="minorHAnsi" w:hAnsiTheme="minorHAnsi" w:cstheme="minorHAnsi"/>
          <w:b/>
          <w:sz w:val="24"/>
        </w:rPr>
        <w:t>mil. Kč)</w:t>
      </w:r>
    </w:p>
    <w:tbl>
      <w:tblPr>
        <w:tblW w:w="0" w:type="auto"/>
        <w:tblInd w:w="8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835"/>
        <w:gridCol w:w="891"/>
        <w:gridCol w:w="891"/>
        <w:gridCol w:w="891"/>
        <w:gridCol w:w="891"/>
        <w:gridCol w:w="891"/>
        <w:gridCol w:w="891"/>
        <w:gridCol w:w="891"/>
      </w:tblGrid>
      <w:tr w:rsidR="00D30E44" w:rsidRPr="00D30E44" w:rsidTr="00FC2101">
        <w:trPr>
          <w:trHeight w:hRule="exact" w:val="340"/>
        </w:trPr>
        <w:tc>
          <w:tcPr>
            <w:tcW w:w="2835" w:type="dxa"/>
            <w:tcMar>
              <w:top w:w="80" w:type="dxa"/>
              <w:left w:w="80" w:type="dxa"/>
              <w:bottom w:w="80" w:type="dxa"/>
              <w:right w:w="80" w:type="dxa"/>
            </w:tcMar>
          </w:tcPr>
          <w:p w:rsidR="00D30E44" w:rsidRPr="002D1024" w:rsidRDefault="00D30E44" w:rsidP="00FB4C8A">
            <w:pPr>
              <w:autoSpaceDE w:val="0"/>
              <w:autoSpaceDN w:val="0"/>
              <w:adjustRightInd w:val="0"/>
              <w:spacing w:after="0"/>
              <w:jc w:val="left"/>
              <w:rPr>
                <w:rFonts w:cstheme="minorHAnsi"/>
                <w:sz w:val="20"/>
                <w:szCs w:val="20"/>
              </w:rPr>
            </w:pPr>
          </w:p>
        </w:tc>
        <w:tc>
          <w:tcPr>
            <w:tcW w:w="891" w:type="dxa"/>
            <w:shd w:val="clear" w:color="004594" w:fill="E3EBF3"/>
            <w:tcMar>
              <w:top w:w="80" w:type="dxa"/>
              <w:left w:w="80" w:type="dxa"/>
              <w:bottom w:w="80" w:type="dxa"/>
              <w:right w:w="80" w:type="dxa"/>
            </w:tcMar>
          </w:tcPr>
          <w:p w:rsidR="00D30E44" w:rsidRPr="002D1024" w:rsidRDefault="00D30E44" w:rsidP="00FC2101">
            <w:pPr>
              <w:suppressAutoHyphens/>
              <w:autoSpaceDE w:val="0"/>
              <w:autoSpaceDN w:val="0"/>
              <w:adjustRightInd w:val="0"/>
              <w:spacing w:after="0"/>
              <w:ind w:left="-80" w:right="-80"/>
              <w:jc w:val="center"/>
              <w:textAlignment w:val="center"/>
              <w:rPr>
                <w:rFonts w:cstheme="minorHAnsi"/>
                <w:color w:val="000000"/>
                <w:sz w:val="20"/>
                <w:szCs w:val="20"/>
              </w:rPr>
            </w:pPr>
            <w:r w:rsidRPr="002D1024">
              <w:rPr>
                <w:rFonts w:cstheme="minorHAnsi"/>
                <w:b/>
                <w:bCs/>
                <w:color w:val="000000"/>
                <w:sz w:val="20"/>
                <w:szCs w:val="20"/>
              </w:rPr>
              <w:t>2007</w:t>
            </w:r>
          </w:p>
        </w:tc>
        <w:tc>
          <w:tcPr>
            <w:tcW w:w="891" w:type="dxa"/>
            <w:shd w:val="clear" w:color="004594" w:fill="E3EBF3"/>
            <w:tcMar>
              <w:top w:w="80" w:type="dxa"/>
              <w:left w:w="80" w:type="dxa"/>
              <w:bottom w:w="80" w:type="dxa"/>
              <w:right w:w="80" w:type="dxa"/>
            </w:tcMar>
          </w:tcPr>
          <w:p w:rsidR="00D30E44" w:rsidRPr="002D1024" w:rsidRDefault="00D30E44" w:rsidP="00FC2101">
            <w:pPr>
              <w:suppressAutoHyphens/>
              <w:autoSpaceDE w:val="0"/>
              <w:autoSpaceDN w:val="0"/>
              <w:adjustRightInd w:val="0"/>
              <w:spacing w:after="0"/>
              <w:jc w:val="center"/>
              <w:textAlignment w:val="center"/>
              <w:rPr>
                <w:rFonts w:cstheme="minorHAnsi"/>
                <w:color w:val="000000"/>
                <w:sz w:val="20"/>
                <w:szCs w:val="20"/>
              </w:rPr>
            </w:pPr>
            <w:r w:rsidRPr="002D1024">
              <w:rPr>
                <w:rFonts w:cstheme="minorHAnsi"/>
                <w:b/>
                <w:bCs/>
                <w:color w:val="000000"/>
                <w:sz w:val="20"/>
                <w:szCs w:val="20"/>
              </w:rPr>
              <w:t>2008</w:t>
            </w:r>
          </w:p>
        </w:tc>
        <w:tc>
          <w:tcPr>
            <w:tcW w:w="891" w:type="dxa"/>
            <w:shd w:val="clear" w:color="004594" w:fill="E3EBF3"/>
            <w:tcMar>
              <w:top w:w="80" w:type="dxa"/>
              <w:left w:w="80" w:type="dxa"/>
              <w:bottom w:w="80" w:type="dxa"/>
              <w:right w:w="80" w:type="dxa"/>
            </w:tcMar>
          </w:tcPr>
          <w:p w:rsidR="00D30E44" w:rsidRPr="002D1024" w:rsidRDefault="00D30E44" w:rsidP="00FC2101">
            <w:pPr>
              <w:suppressAutoHyphens/>
              <w:autoSpaceDE w:val="0"/>
              <w:autoSpaceDN w:val="0"/>
              <w:adjustRightInd w:val="0"/>
              <w:spacing w:after="0"/>
              <w:jc w:val="center"/>
              <w:textAlignment w:val="center"/>
              <w:rPr>
                <w:rFonts w:cstheme="minorHAnsi"/>
                <w:color w:val="000000"/>
                <w:sz w:val="20"/>
                <w:szCs w:val="20"/>
              </w:rPr>
            </w:pPr>
            <w:r w:rsidRPr="002D1024">
              <w:rPr>
                <w:rFonts w:cstheme="minorHAnsi"/>
                <w:b/>
                <w:bCs/>
                <w:color w:val="000000"/>
                <w:sz w:val="20"/>
                <w:szCs w:val="20"/>
              </w:rPr>
              <w:t>2009</w:t>
            </w:r>
          </w:p>
        </w:tc>
        <w:tc>
          <w:tcPr>
            <w:tcW w:w="891" w:type="dxa"/>
            <w:shd w:val="clear" w:color="004594" w:fill="E3EBF3"/>
            <w:tcMar>
              <w:top w:w="80" w:type="dxa"/>
              <w:left w:w="80" w:type="dxa"/>
              <w:bottom w:w="80" w:type="dxa"/>
              <w:right w:w="80" w:type="dxa"/>
            </w:tcMar>
          </w:tcPr>
          <w:p w:rsidR="00D30E44" w:rsidRPr="002D1024" w:rsidRDefault="00D30E44" w:rsidP="00FC2101">
            <w:pPr>
              <w:suppressAutoHyphens/>
              <w:autoSpaceDE w:val="0"/>
              <w:autoSpaceDN w:val="0"/>
              <w:adjustRightInd w:val="0"/>
              <w:spacing w:after="0"/>
              <w:jc w:val="center"/>
              <w:textAlignment w:val="center"/>
              <w:rPr>
                <w:rFonts w:cstheme="minorHAnsi"/>
                <w:color w:val="000000"/>
                <w:sz w:val="20"/>
                <w:szCs w:val="20"/>
              </w:rPr>
            </w:pPr>
            <w:r w:rsidRPr="002D1024">
              <w:rPr>
                <w:rFonts w:cstheme="minorHAnsi"/>
                <w:b/>
                <w:bCs/>
                <w:color w:val="000000"/>
                <w:sz w:val="20"/>
                <w:szCs w:val="20"/>
              </w:rPr>
              <w:t>2010</w:t>
            </w:r>
          </w:p>
        </w:tc>
        <w:tc>
          <w:tcPr>
            <w:tcW w:w="891" w:type="dxa"/>
            <w:shd w:val="clear" w:color="004594" w:fill="E3EBF3"/>
            <w:tcMar>
              <w:top w:w="80" w:type="dxa"/>
              <w:left w:w="80" w:type="dxa"/>
              <w:bottom w:w="80" w:type="dxa"/>
              <w:right w:w="80" w:type="dxa"/>
            </w:tcMar>
          </w:tcPr>
          <w:p w:rsidR="00D30E44" w:rsidRPr="002D1024" w:rsidRDefault="00D30E44" w:rsidP="00FC2101">
            <w:pPr>
              <w:suppressAutoHyphens/>
              <w:autoSpaceDE w:val="0"/>
              <w:autoSpaceDN w:val="0"/>
              <w:adjustRightInd w:val="0"/>
              <w:spacing w:after="0"/>
              <w:jc w:val="center"/>
              <w:textAlignment w:val="center"/>
              <w:rPr>
                <w:rFonts w:cstheme="minorHAnsi"/>
                <w:color w:val="000000"/>
                <w:sz w:val="20"/>
                <w:szCs w:val="20"/>
              </w:rPr>
            </w:pPr>
            <w:r w:rsidRPr="002D1024">
              <w:rPr>
                <w:rFonts w:cstheme="minorHAnsi"/>
                <w:b/>
                <w:bCs/>
                <w:color w:val="000000"/>
                <w:sz w:val="20"/>
                <w:szCs w:val="20"/>
              </w:rPr>
              <w:t>2011</w:t>
            </w:r>
          </w:p>
        </w:tc>
        <w:tc>
          <w:tcPr>
            <w:tcW w:w="891" w:type="dxa"/>
            <w:shd w:val="clear" w:color="004594" w:fill="E3EBF3"/>
            <w:tcMar>
              <w:top w:w="80" w:type="dxa"/>
              <w:left w:w="80" w:type="dxa"/>
              <w:bottom w:w="80" w:type="dxa"/>
              <w:right w:w="80" w:type="dxa"/>
            </w:tcMar>
          </w:tcPr>
          <w:p w:rsidR="00D30E44" w:rsidRPr="002D1024" w:rsidRDefault="00D30E44" w:rsidP="00FC2101">
            <w:pPr>
              <w:suppressAutoHyphens/>
              <w:autoSpaceDE w:val="0"/>
              <w:autoSpaceDN w:val="0"/>
              <w:adjustRightInd w:val="0"/>
              <w:spacing w:after="0"/>
              <w:jc w:val="center"/>
              <w:textAlignment w:val="center"/>
              <w:rPr>
                <w:rFonts w:cstheme="minorHAnsi"/>
                <w:color w:val="000000"/>
                <w:sz w:val="20"/>
                <w:szCs w:val="20"/>
              </w:rPr>
            </w:pPr>
            <w:r w:rsidRPr="002D1024">
              <w:rPr>
                <w:rFonts w:cstheme="minorHAnsi"/>
                <w:b/>
                <w:bCs/>
                <w:color w:val="000000"/>
                <w:sz w:val="20"/>
                <w:szCs w:val="20"/>
              </w:rPr>
              <w:t>2012</w:t>
            </w:r>
          </w:p>
        </w:tc>
        <w:tc>
          <w:tcPr>
            <w:tcW w:w="891" w:type="dxa"/>
            <w:shd w:val="clear" w:color="004594" w:fill="E3EBF3"/>
            <w:tcMar>
              <w:top w:w="80" w:type="dxa"/>
              <w:left w:w="80" w:type="dxa"/>
              <w:bottom w:w="80" w:type="dxa"/>
              <w:right w:w="80" w:type="dxa"/>
            </w:tcMar>
          </w:tcPr>
          <w:p w:rsidR="00D30E44" w:rsidRPr="002D1024" w:rsidRDefault="00D30E44" w:rsidP="00FC2101">
            <w:pPr>
              <w:suppressAutoHyphens/>
              <w:autoSpaceDE w:val="0"/>
              <w:autoSpaceDN w:val="0"/>
              <w:adjustRightInd w:val="0"/>
              <w:spacing w:after="0"/>
              <w:jc w:val="center"/>
              <w:textAlignment w:val="center"/>
              <w:rPr>
                <w:rFonts w:cstheme="minorHAnsi"/>
                <w:color w:val="000000"/>
                <w:sz w:val="20"/>
                <w:szCs w:val="20"/>
              </w:rPr>
            </w:pPr>
            <w:r w:rsidRPr="002D1024">
              <w:rPr>
                <w:rFonts w:cstheme="minorHAnsi"/>
                <w:b/>
                <w:bCs/>
                <w:color w:val="000000"/>
                <w:sz w:val="20"/>
                <w:szCs w:val="20"/>
              </w:rPr>
              <w:t>2013</w:t>
            </w:r>
          </w:p>
        </w:tc>
      </w:tr>
      <w:tr w:rsidR="00D30E44" w:rsidRPr="00D30E44" w:rsidTr="00FB4C8A">
        <w:trPr>
          <w:trHeight w:hRule="exact" w:val="284"/>
        </w:trPr>
        <w:tc>
          <w:tcPr>
            <w:tcW w:w="2835"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left"/>
              <w:textAlignment w:val="center"/>
              <w:rPr>
                <w:rFonts w:cstheme="minorHAnsi"/>
                <w:b/>
                <w:color w:val="000000"/>
                <w:sz w:val="20"/>
                <w:szCs w:val="20"/>
              </w:rPr>
            </w:pPr>
            <w:r w:rsidRPr="002D1024">
              <w:rPr>
                <w:rFonts w:cstheme="minorHAnsi"/>
                <w:b/>
                <w:color w:val="000000"/>
                <w:sz w:val="20"/>
                <w:szCs w:val="20"/>
              </w:rPr>
              <w:t>HDP</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113" w:right="28"/>
              <w:jc w:val="right"/>
              <w:textAlignment w:val="center"/>
              <w:rPr>
                <w:rFonts w:cstheme="minorHAnsi"/>
                <w:color w:val="000000"/>
                <w:sz w:val="18"/>
                <w:szCs w:val="18"/>
              </w:rPr>
            </w:pPr>
            <w:r w:rsidRPr="002D1024">
              <w:rPr>
                <w:rFonts w:cstheme="minorHAnsi"/>
                <w:color w:val="000000"/>
                <w:sz w:val="18"/>
                <w:szCs w:val="18"/>
              </w:rPr>
              <w:t>3 831 819</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80"/>
              <w:jc w:val="right"/>
              <w:textAlignment w:val="center"/>
              <w:rPr>
                <w:rFonts w:cstheme="minorHAnsi"/>
                <w:color w:val="000000"/>
                <w:sz w:val="18"/>
                <w:szCs w:val="18"/>
              </w:rPr>
            </w:pPr>
            <w:r w:rsidRPr="002D1024">
              <w:rPr>
                <w:rFonts w:cstheme="minorHAnsi"/>
                <w:color w:val="000000"/>
                <w:sz w:val="18"/>
                <w:szCs w:val="18"/>
              </w:rPr>
              <w:t>4 015 346</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3 921 827</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3 953 651</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4 022 410</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4 047 675</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4 086 260</w:t>
            </w:r>
          </w:p>
        </w:tc>
      </w:tr>
      <w:tr w:rsidR="00D30E44" w:rsidRPr="00D30E44" w:rsidTr="00FB4C8A">
        <w:trPr>
          <w:trHeight w:hRule="exact" w:val="284"/>
        </w:trPr>
        <w:tc>
          <w:tcPr>
            <w:tcW w:w="2835"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left"/>
              <w:textAlignment w:val="center"/>
              <w:rPr>
                <w:rFonts w:cstheme="minorHAnsi"/>
                <w:b/>
                <w:color w:val="000000"/>
                <w:sz w:val="20"/>
                <w:szCs w:val="20"/>
              </w:rPr>
            </w:pPr>
            <w:r w:rsidRPr="002D1024">
              <w:rPr>
                <w:rFonts w:cstheme="minorHAnsi"/>
                <w:b/>
                <w:color w:val="000000"/>
                <w:sz w:val="20"/>
                <w:szCs w:val="20"/>
              </w:rPr>
              <w:t>TEORETICKÝ ZÁKLAD DANĚ</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57" w:right="28"/>
              <w:jc w:val="right"/>
              <w:textAlignment w:val="center"/>
              <w:rPr>
                <w:rFonts w:cstheme="minorHAnsi"/>
                <w:color w:val="000000"/>
                <w:sz w:val="18"/>
                <w:szCs w:val="18"/>
              </w:rPr>
            </w:pPr>
            <w:r w:rsidRPr="002D1024">
              <w:rPr>
                <w:rFonts w:cstheme="minorHAnsi"/>
                <w:color w:val="000000"/>
                <w:sz w:val="18"/>
                <w:szCs w:val="18"/>
              </w:rPr>
              <w:t>2 214 260</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80"/>
              <w:jc w:val="right"/>
              <w:textAlignment w:val="center"/>
              <w:rPr>
                <w:rFonts w:cstheme="minorHAnsi"/>
                <w:color w:val="000000"/>
                <w:sz w:val="18"/>
                <w:szCs w:val="18"/>
              </w:rPr>
            </w:pPr>
            <w:r w:rsidRPr="002D1024">
              <w:rPr>
                <w:rFonts w:cstheme="minorHAnsi"/>
                <w:color w:val="000000"/>
                <w:sz w:val="18"/>
                <w:szCs w:val="18"/>
              </w:rPr>
              <w:t>2 280 238</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2 335 103</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2 315 458</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2 288 888</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2 202 449</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2 176 564</w:t>
            </w:r>
          </w:p>
        </w:tc>
      </w:tr>
      <w:tr w:rsidR="00D30E44" w:rsidRPr="00D30E44" w:rsidTr="00FB4C8A">
        <w:trPr>
          <w:trHeight w:hRule="exact" w:val="284"/>
        </w:trPr>
        <w:tc>
          <w:tcPr>
            <w:tcW w:w="2835"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left"/>
              <w:textAlignment w:val="center"/>
              <w:rPr>
                <w:rFonts w:cstheme="minorHAnsi"/>
                <w:b/>
                <w:color w:val="000000"/>
                <w:sz w:val="20"/>
                <w:szCs w:val="20"/>
              </w:rPr>
            </w:pPr>
            <w:r w:rsidRPr="002D1024">
              <w:rPr>
                <w:rFonts w:cstheme="minorHAnsi"/>
                <w:b/>
                <w:color w:val="000000"/>
                <w:sz w:val="20"/>
                <w:szCs w:val="20"/>
              </w:rPr>
              <w:t>Průměrná sazba DPH</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57" w:right="28"/>
              <w:jc w:val="right"/>
              <w:textAlignment w:val="center"/>
              <w:rPr>
                <w:rFonts w:cstheme="minorHAnsi"/>
                <w:color w:val="000000"/>
                <w:sz w:val="18"/>
                <w:szCs w:val="18"/>
              </w:rPr>
            </w:pPr>
            <w:r w:rsidRPr="002D1024">
              <w:rPr>
                <w:rFonts w:cstheme="minorHAnsi"/>
                <w:color w:val="000000"/>
                <w:sz w:val="18"/>
                <w:szCs w:val="18"/>
              </w:rPr>
              <w:t>13,07</w:t>
            </w:r>
            <w:r w:rsidR="002D1024">
              <w:rPr>
                <w:rFonts w:cstheme="minorHAnsi"/>
                <w:color w:val="000000"/>
                <w:sz w:val="18"/>
                <w:szCs w:val="18"/>
              </w:rPr>
              <w:t xml:space="preserve"> </w:t>
            </w:r>
            <w:r w:rsidRPr="002D1024">
              <w:rPr>
                <w:rFonts w:cstheme="minorHAnsi"/>
                <w:color w:val="000000"/>
                <w:sz w:val="18"/>
                <w:szCs w:val="18"/>
              </w:rPr>
              <w:t>%</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80"/>
              <w:jc w:val="right"/>
              <w:textAlignment w:val="center"/>
              <w:rPr>
                <w:rFonts w:cstheme="minorHAnsi"/>
                <w:color w:val="000000"/>
                <w:sz w:val="18"/>
                <w:szCs w:val="18"/>
              </w:rPr>
            </w:pPr>
            <w:r w:rsidRPr="002D1024">
              <w:rPr>
                <w:rFonts w:cstheme="minorHAnsi"/>
                <w:color w:val="000000"/>
                <w:sz w:val="18"/>
                <w:szCs w:val="18"/>
              </w:rPr>
              <w:t>15,13</w:t>
            </w:r>
            <w:r w:rsidR="002D1024">
              <w:rPr>
                <w:rFonts w:cstheme="minorHAnsi"/>
                <w:color w:val="000000"/>
                <w:sz w:val="18"/>
                <w:szCs w:val="18"/>
              </w:rPr>
              <w:t xml:space="preserve"> </w:t>
            </w:r>
            <w:r w:rsidRPr="002D1024">
              <w:rPr>
                <w:rFonts w:cstheme="minorHAnsi"/>
                <w:color w:val="000000"/>
                <w:sz w:val="18"/>
                <w:szCs w:val="18"/>
              </w:rPr>
              <w:t>%</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14,97</w:t>
            </w:r>
            <w:r w:rsidR="002D1024">
              <w:rPr>
                <w:rFonts w:cstheme="minorHAnsi"/>
                <w:color w:val="000000"/>
                <w:sz w:val="18"/>
                <w:szCs w:val="18"/>
              </w:rPr>
              <w:t xml:space="preserve"> </w:t>
            </w:r>
            <w:r w:rsidRPr="002D1024">
              <w:rPr>
                <w:rFonts w:cstheme="minorHAnsi"/>
                <w:color w:val="000000"/>
                <w:sz w:val="18"/>
                <w:szCs w:val="18"/>
              </w:rPr>
              <w:t>%</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15,82</w:t>
            </w:r>
            <w:r w:rsidR="002D1024">
              <w:rPr>
                <w:rFonts w:cstheme="minorHAnsi"/>
                <w:color w:val="000000"/>
                <w:sz w:val="18"/>
                <w:szCs w:val="18"/>
              </w:rPr>
              <w:t xml:space="preserve"> </w:t>
            </w:r>
            <w:r w:rsidRPr="002D1024">
              <w:rPr>
                <w:rFonts w:cstheme="minorHAnsi"/>
                <w:color w:val="000000"/>
                <w:sz w:val="18"/>
                <w:szCs w:val="18"/>
              </w:rPr>
              <w:t>%</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16,10</w:t>
            </w:r>
            <w:r w:rsidR="002D1024">
              <w:rPr>
                <w:rFonts w:cstheme="minorHAnsi"/>
                <w:color w:val="000000"/>
                <w:sz w:val="18"/>
                <w:szCs w:val="18"/>
              </w:rPr>
              <w:t xml:space="preserve"> </w:t>
            </w:r>
            <w:r w:rsidRPr="002D1024">
              <w:rPr>
                <w:rFonts w:cstheme="minorHAnsi"/>
                <w:color w:val="000000"/>
                <w:sz w:val="18"/>
                <w:szCs w:val="18"/>
              </w:rPr>
              <w:t>%</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17,56</w:t>
            </w:r>
            <w:r w:rsidR="002D1024">
              <w:rPr>
                <w:rFonts w:cstheme="minorHAnsi"/>
                <w:color w:val="000000"/>
                <w:sz w:val="18"/>
                <w:szCs w:val="18"/>
              </w:rPr>
              <w:t xml:space="preserve"> </w:t>
            </w:r>
            <w:r w:rsidRPr="002D1024">
              <w:rPr>
                <w:rFonts w:cstheme="minorHAnsi"/>
                <w:color w:val="000000"/>
                <w:sz w:val="18"/>
                <w:szCs w:val="18"/>
              </w:rPr>
              <w:t>%</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18,78</w:t>
            </w:r>
            <w:r w:rsidR="002D1024">
              <w:rPr>
                <w:rFonts w:cstheme="minorHAnsi"/>
                <w:color w:val="000000"/>
                <w:sz w:val="18"/>
                <w:szCs w:val="18"/>
              </w:rPr>
              <w:t xml:space="preserve"> </w:t>
            </w:r>
            <w:r w:rsidRPr="002D1024">
              <w:rPr>
                <w:rFonts w:cstheme="minorHAnsi"/>
                <w:color w:val="000000"/>
                <w:sz w:val="18"/>
                <w:szCs w:val="18"/>
              </w:rPr>
              <w:t>%</w:t>
            </w:r>
          </w:p>
        </w:tc>
      </w:tr>
      <w:tr w:rsidR="00D30E44" w:rsidRPr="00D30E44" w:rsidTr="00FB4C8A">
        <w:trPr>
          <w:trHeight w:hRule="exact" w:val="284"/>
        </w:trPr>
        <w:tc>
          <w:tcPr>
            <w:tcW w:w="2835"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left"/>
              <w:textAlignment w:val="center"/>
              <w:rPr>
                <w:rFonts w:cstheme="minorHAnsi"/>
                <w:b/>
                <w:color w:val="000000"/>
                <w:sz w:val="20"/>
                <w:szCs w:val="20"/>
              </w:rPr>
            </w:pPr>
            <w:r w:rsidRPr="002D1024">
              <w:rPr>
                <w:rFonts w:cstheme="minorHAnsi"/>
                <w:b/>
                <w:color w:val="000000"/>
                <w:sz w:val="20"/>
                <w:szCs w:val="20"/>
              </w:rPr>
              <w:t>TEORETICKÝ VÝBĚR DPH</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57" w:right="28"/>
              <w:jc w:val="right"/>
              <w:textAlignment w:val="center"/>
              <w:rPr>
                <w:rFonts w:cstheme="minorHAnsi"/>
                <w:color w:val="000000"/>
                <w:sz w:val="18"/>
                <w:szCs w:val="18"/>
              </w:rPr>
            </w:pPr>
            <w:r w:rsidRPr="002D1024">
              <w:rPr>
                <w:rFonts w:cstheme="minorHAnsi"/>
                <w:color w:val="000000"/>
                <w:sz w:val="18"/>
                <w:szCs w:val="18"/>
              </w:rPr>
              <w:t>289 404</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80"/>
              <w:jc w:val="right"/>
              <w:textAlignment w:val="center"/>
              <w:rPr>
                <w:rFonts w:cstheme="minorHAnsi"/>
                <w:color w:val="000000"/>
                <w:sz w:val="18"/>
                <w:szCs w:val="18"/>
              </w:rPr>
            </w:pPr>
            <w:r w:rsidRPr="002D1024">
              <w:rPr>
                <w:rFonts w:cstheme="minorHAnsi"/>
                <w:color w:val="000000"/>
                <w:sz w:val="18"/>
                <w:szCs w:val="18"/>
              </w:rPr>
              <w:t>345 000</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349 565</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366 306</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368 511</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386 750</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408 759</w:t>
            </w:r>
          </w:p>
        </w:tc>
      </w:tr>
      <w:tr w:rsidR="00D30E44" w:rsidRPr="00D30E44" w:rsidTr="00FB4C8A">
        <w:trPr>
          <w:trHeight w:hRule="exact" w:val="284"/>
        </w:trPr>
        <w:tc>
          <w:tcPr>
            <w:tcW w:w="2835" w:type="dxa"/>
            <w:tcMar>
              <w:top w:w="80" w:type="dxa"/>
              <w:left w:w="80" w:type="dxa"/>
              <w:bottom w:w="80" w:type="dxa"/>
              <w:right w:w="80" w:type="dxa"/>
            </w:tcMar>
          </w:tcPr>
          <w:p w:rsidR="00D30E44" w:rsidRPr="002D1024" w:rsidRDefault="00D30E44" w:rsidP="002007E2">
            <w:pPr>
              <w:suppressAutoHyphens/>
              <w:autoSpaceDE w:val="0"/>
              <w:autoSpaceDN w:val="0"/>
              <w:adjustRightInd w:val="0"/>
              <w:spacing w:after="0"/>
              <w:ind w:right="-80"/>
              <w:jc w:val="left"/>
              <w:textAlignment w:val="center"/>
              <w:rPr>
                <w:rFonts w:cstheme="minorHAnsi"/>
                <w:b/>
                <w:color w:val="000000"/>
                <w:sz w:val="20"/>
                <w:szCs w:val="20"/>
              </w:rPr>
            </w:pPr>
            <w:r w:rsidRPr="002D1024">
              <w:rPr>
                <w:rFonts w:cstheme="minorHAnsi"/>
                <w:b/>
                <w:color w:val="000000"/>
                <w:sz w:val="20"/>
                <w:szCs w:val="20"/>
              </w:rPr>
              <w:t>SKUTEČNĚ VYBRÁNO (akruálně)</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57" w:right="28"/>
              <w:jc w:val="right"/>
              <w:textAlignment w:val="center"/>
              <w:rPr>
                <w:rFonts w:cstheme="minorHAnsi"/>
                <w:color w:val="000000"/>
                <w:sz w:val="18"/>
                <w:szCs w:val="18"/>
              </w:rPr>
            </w:pPr>
            <w:r w:rsidRPr="002D1024">
              <w:rPr>
                <w:rFonts w:cstheme="minorHAnsi"/>
                <w:color w:val="000000"/>
                <w:sz w:val="18"/>
                <w:szCs w:val="18"/>
              </w:rPr>
              <w:t>232 288</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80"/>
              <w:jc w:val="right"/>
              <w:textAlignment w:val="center"/>
              <w:rPr>
                <w:rFonts w:cstheme="minorHAnsi"/>
                <w:color w:val="000000"/>
                <w:sz w:val="18"/>
                <w:szCs w:val="18"/>
              </w:rPr>
            </w:pPr>
            <w:r w:rsidRPr="002D1024">
              <w:rPr>
                <w:rFonts w:cstheme="minorHAnsi"/>
                <w:color w:val="000000"/>
                <w:sz w:val="18"/>
                <w:szCs w:val="18"/>
              </w:rPr>
              <w:t>260 366</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258 628</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263 457</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276 533</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286 116</w:t>
            </w:r>
          </w:p>
        </w:tc>
        <w:tc>
          <w:tcPr>
            <w:tcW w:w="891"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color w:val="000000"/>
                <w:sz w:val="18"/>
                <w:szCs w:val="18"/>
              </w:rPr>
              <w:t>303 823</w:t>
            </w:r>
          </w:p>
        </w:tc>
      </w:tr>
      <w:tr w:rsidR="00D30E44" w:rsidRPr="00D30E44" w:rsidTr="00FB4C8A">
        <w:trPr>
          <w:trHeight w:hRule="exact" w:val="284"/>
        </w:trPr>
        <w:tc>
          <w:tcPr>
            <w:tcW w:w="2835" w:type="dxa"/>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left"/>
              <w:textAlignment w:val="center"/>
              <w:rPr>
                <w:rFonts w:cstheme="minorHAnsi"/>
                <w:b/>
                <w:color w:val="000000"/>
                <w:sz w:val="20"/>
                <w:szCs w:val="20"/>
              </w:rPr>
            </w:pPr>
            <w:r w:rsidRPr="002D1024">
              <w:rPr>
                <w:rFonts w:cstheme="minorHAnsi"/>
                <w:b/>
                <w:color w:val="000000"/>
                <w:sz w:val="20"/>
                <w:szCs w:val="20"/>
              </w:rPr>
              <w:t>VAT GAP</w:t>
            </w:r>
          </w:p>
        </w:tc>
        <w:tc>
          <w:tcPr>
            <w:tcW w:w="891" w:type="dxa"/>
            <w:shd w:val="clear" w:color="004594" w:fill="E3EBF3"/>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57" w:right="28"/>
              <w:jc w:val="right"/>
              <w:textAlignment w:val="center"/>
              <w:rPr>
                <w:rFonts w:cstheme="minorHAnsi"/>
                <w:color w:val="000000"/>
                <w:sz w:val="18"/>
                <w:szCs w:val="18"/>
              </w:rPr>
            </w:pPr>
            <w:r w:rsidRPr="002D1024">
              <w:rPr>
                <w:rFonts w:cstheme="minorHAnsi"/>
                <w:b/>
                <w:bCs/>
                <w:color w:val="000000"/>
                <w:sz w:val="18"/>
                <w:szCs w:val="18"/>
              </w:rPr>
              <w:t>57 116</w:t>
            </w:r>
          </w:p>
        </w:tc>
        <w:tc>
          <w:tcPr>
            <w:tcW w:w="891" w:type="dxa"/>
            <w:shd w:val="clear" w:color="004594" w:fill="E3EBF3"/>
            <w:tcMar>
              <w:top w:w="80" w:type="dxa"/>
              <w:left w:w="80" w:type="dxa"/>
              <w:bottom w:w="80" w:type="dxa"/>
              <w:right w:w="80" w:type="dxa"/>
            </w:tcMar>
          </w:tcPr>
          <w:p w:rsidR="00D30E44" w:rsidRPr="002D1024" w:rsidRDefault="00D30E44" w:rsidP="00FB4C8A">
            <w:pPr>
              <w:suppressAutoHyphens/>
              <w:autoSpaceDE w:val="0"/>
              <w:autoSpaceDN w:val="0"/>
              <w:adjustRightInd w:val="0"/>
              <w:spacing w:after="0"/>
              <w:ind w:left="-80"/>
              <w:jc w:val="right"/>
              <w:textAlignment w:val="center"/>
              <w:rPr>
                <w:rFonts w:cstheme="minorHAnsi"/>
                <w:color w:val="000000"/>
                <w:sz w:val="18"/>
                <w:szCs w:val="18"/>
              </w:rPr>
            </w:pPr>
            <w:r w:rsidRPr="002D1024">
              <w:rPr>
                <w:rFonts w:cstheme="minorHAnsi"/>
                <w:b/>
                <w:bCs/>
                <w:color w:val="000000"/>
                <w:sz w:val="18"/>
                <w:szCs w:val="18"/>
              </w:rPr>
              <w:t>84 634</w:t>
            </w:r>
          </w:p>
        </w:tc>
        <w:tc>
          <w:tcPr>
            <w:tcW w:w="891" w:type="dxa"/>
            <w:shd w:val="clear" w:color="004594" w:fill="E3EBF3"/>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90 937</w:t>
            </w:r>
          </w:p>
        </w:tc>
        <w:tc>
          <w:tcPr>
            <w:tcW w:w="891" w:type="dxa"/>
            <w:shd w:val="clear" w:color="004594" w:fill="E3EBF3"/>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102 849</w:t>
            </w:r>
          </w:p>
        </w:tc>
        <w:tc>
          <w:tcPr>
            <w:tcW w:w="891" w:type="dxa"/>
            <w:shd w:val="clear" w:color="004594" w:fill="E3EBF3"/>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91 978</w:t>
            </w:r>
          </w:p>
        </w:tc>
        <w:tc>
          <w:tcPr>
            <w:tcW w:w="891" w:type="dxa"/>
            <w:shd w:val="clear" w:color="004594" w:fill="E3EBF3"/>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100 634</w:t>
            </w:r>
          </w:p>
        </w:tc>
        <w:tc>
          <w:tcPr>
            <w:tcW w:w="891" w:type="dxa"/>
            <w:shd w:val="clear" w:color="004594" w:fill="E3EBF3"/>
            <w:tcMar>
              <w:top w:w="80" w:type="dxa"/>
              <w:left w:w="80" w:type="dxa"/>
              <w:bottom w:w="80" w:type="dxa"/>
              <w:right w:w="80" w:type="dxa"/>
            </w:tcMar>
          </w:tcPr>
          <w:p w:rsidR="00D30E44" w:rsidRPr="002D1024" w:rsidRDefault="00D30E44" w:rsidP="00FB4C8A">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104 936</w:t>
            </w:r>
          </w:p>
        </w:tc>
      </w:tr>
      <w:tr w:rsidR="00D30E44" w:rsidRPr="00D30E44" w:rsidTr="00FC2101">
        <w:trPr>
          <w:trHeight w:hRule="exact" w:val="283"/>
        </w:trPr>
        <w:tc>
          <w:tcPr>
            <w:tcW w:w="2835" w:type="dxa"/>
            <w:tcMar>
              <w:top w:w="80" w:type="dxa"/>
              <w:left w:w="80" w:type="dxa"/>
              <w:bottom w:w="80" w:type="dxa"/>
              <w:right w:w="80" w:type="dxa"/>
            </w:tcMar>
          </w:tcPr>
          <w:p w:rsidR="00D30E44" w:rsidRPr="002D1024" w:rsidRDefault="00D30E44" w:rsidP="00A77357">
            <w:pPr>
              <w:suppressAutoHyphens/>
              <w:autoSpaceDE w:val="0"/>
              <w:autoSpaceDN w:val="0"/>
              <w:adjustRightInd w:val="0"/>
              <w:spacing w:after="0"/>
              <w:jc w:val="left"/>
              <w:textAlignment w:val="center"/>
              <w:rPr>
                <w:rFonts w:cstheme="minorHAnsi"/>
                <w:b/>
                <w:color w:val="000000"/>
                <w:sz w:val="20"/>
                <w:szCs w:val="20"/>
              </w:rPr>
            </w:pPr>
            <w:r w:rsidRPr="002D1024">
              <w:rPr>
                <w:rFonts w:cstheme="minorHAnsi"/>
                <w:b/>
                <w:color w:val="000000"/>
                <w:sz w:val="20"/>
                <w:szCs w:val="20"/>
              </w:rPr>
              <w:t xml:space="preserve">VAT </w:t>
            </w:r>
            <w:r w:rsidRPr="002007E2">
              <w:rPr>
                <w:rFonts w:cstheme="minorHAnsi"/>
                <w:b/>
                <w:color w:val="000000"/>
                <w:sz w:val="20"/>
                <w:szCs w:val="20"/>
              </w:rPr>
              <w:t xml:space="preserve">GAP </w:t>
            </w:r>
            <w:r w:rsidR="002007E2" w:rsidRPr="002007E2">
              <w:rPr>
                <w:rFonts w:cstheme="minorHAnsi"/>
                <w:b/>
                <w:color w:val="000000"/>
                <w:sz w:val="20"/>
                <w:szCs w:val="20"/>
              </w:rPr>
              <w:t xml:space="preserve">v </w:t>
            </w:r>
            <w:r w:rsidRPr="002007E2">
              <w:rPr>
                <w:rFonts w:cstheme="minorHAnsi"/>
                <w:b/>
                <w:color w:val="000000"/>
                <w:sz w:val="20"/>
                <w:szCs w:val="20"/>
              </w:rPr>
              <w:t>%</w:t>
            </w:r>
          </w:p>
        </w:tc>
        <w:tc>
          <w:tcPr>
            <w:tcW w:w="891" w:type="dxa"/>
            <w:shd w:val="clear" w:color="004594" w:fill="E3EBF3"/>
            <w:tcMar>
              <w:top w:w="80" w:type="dxa"/>
              <w:left w:w="80" w:type="dxa"/>
              <w:bottom w:w="80" w:type="dxa"/>
              <w:right w:w="80" w:type="dxa"/>
            </w:tcMar>
          </w:tcPr>
          <w:p w:rsidR="00D30E44" w:rsidRPr="002D1024" w:rsidRDefault="00D30E44" w:rsidP="00A77357">
            <w:pPr>
              <w:suppressAutoHyphens/>
              <w:autoSpaceDE w:val="0"/>
              <w:autoSpaceDN w:val="0"/>
              <w:adjustRightInd w:val="0"/>
              <w:spacing w:after="0"/>
              <w:ind w:left="-57" w:right="28"/>
              <w:jc w:val="right"/>
              <w:textAlignment w:val="center"/>
              <w:rPr>
                <w:rFonts w:cstheme="minorHAnsi"/>
                <w:color w:val="000000"/>
                <w:sz w:val="18"/>
                <w:szCs w:val="18"/>
              </w:rPr>
            </w:pPr>
            <w:r w:rsidRPr="002D1024">
              <w:rPr>
                <w:rFonts w:cstheme="minorHAnsi"/>
                <w:b/>
                <w:bCs/>
                <w:color w:val="000000"/>
                <w:sz w:val="18"/>
                <w:szCs w:val="18"/>
              </w:rPr>
              <w:t>19,7</w:t>
            </w:r>
            <w:r w:rsidR="002D1024" w:rsidRPr="002D1024">
              <w:rPr>
                <w:rFonts w:cstheme="minorHAnsi"/>
                <w:b/>
                <w:bCs/>
                <w:color w:val="000000"/>
                <w:sz w:val="18"/>
                <w:szCs w:val="18"/>
              </w:rPr>
              <w:t xml:space="preserve"> </w:t>
            </w:r>
            <w:r w:rsidRPr="002D1024">
              <w:rPr>
                <w:rFonts w:cstheme="minorHAnsi"/>
                <w:b/>
                <w:bCs/>
                <w:color w:val="000000"/>
                <w:sz w:val="18"/>
                <w:szCs w:val="18"/>
              </w:rPr>
              <w:t>%</w:t>
            </w:r>
          </w:p>
        </w:tc>
        <w:tc>
          <w:tcPr>
            <w:tcW w:w="891" w:type="dxa"/>
            <w:shd w:val="clear" w:color="004594" w:fill="E3EBF3"/>
            <w:tcMar>
              <w:top w:w="80" w:type="dxa"/>
              <w:left w:w="80" w:type="dxa"/>
              <w:bottom w:w="80" w:type="dxa"/>
              <w:right w:w="80" w:type="dxa"/>
            </w:tcMar>
          </w:tcPr>
          <w:p w:rsidR="00D30E44" w:rsidRPr="002D1024" w:rsidRDefault="00D30E44" w:rsidP="00A77357">
            <w:pPr>
              <w:suppressAutoHyphens/>
              <w:autoSpaceDE w:val="0"/>
              <w:autoSpaceDN w:val="0"/>
              <w:adjustRightInd w:val="0"/>
              <w:spacing w:after="0"/>
              <w:ind w:left="-80"/>
              <w:jc w:val="right"/>
              <w:textAlignment w:val="center"/>
              <w:rPr>
                <w:rFonts w:cstheme="minorHAnsi"/>
                <w:color w:val="000000"/>
                <w:sz w:val="18"/>
                <w:szCs w:val="18"/>
              </w:rPr>
            </w:pPr>
            <w:r w:rsidRPr="002D1024">
              <w:rPr>
                <w:rFonts w:cstheme="minorHAnsi"/>
                <w:b/>
                <w:bCs/>
                <w:color w:val="000000"/>
                <w:sz w:val="18"/>
                <w:szCs w:val="18"/>
              </w:rPr>
              <w:t>24,5</w:t>
            </w:r>
            <w:r w:rsidR="002D1024" w:rsidRPr="002D1024">
              <w:rPr>
                <w:rFonts w:cstheme="minorHAnsi"/>
                <w:b/>
                <w:bCs/>
                <w:color w:val="000000"/>
                <w:sz w:val="18"/>
                <w:szCs w:val="18"/>
              </w:rPr>
              <w:t xml:space="preserve"> </w:t>
            </w:r>
            <w:r w:rsidRPr="002D1024">
              <w:rPr>
                <w:rFonts w:cstheme="minorHAnsi"/>
                <w:b/>
                <w:bCs/>
                <w:color w:val="000000"/>
                <w:sz w:val="18"/>
                <w:szCs w:val="18"/>
              </w:rPr>
              <w:t>%</w:t>
            </w:r>
          </w:p>
        </w:tc>
        <w:tc>
          <w:tcPr>
            <w:tcW w:w="891" w:type="dxa"/>
            <w:shd w:val="clear" w:color="004594" w:fill="E3EBF3"/>
            <w:tcMar>
              <w:top w:w="80" w:type="dxa"/>
              <w:left w:w="80" w:type="dxa"/>
              <w:bottom w:w="80" w:type="dxa"/>
              <w:right w:w="80" w:type="dxa"/>
            </w:tcMar>
          </w:tcPr>
          <w:p w:rsidR="00D30E44" w:rsidRPr="002D1024" w:rsidRDefault="00D30E44">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26,0</w:t>
            </w:r>
            <w:r w:rsidR="002D1024" w:rsidRPr="002D1024">
              <w:rPr>
                <w:rFonts w:cstheme="minorHAnsi"/>
                <w:b/>
                <w:bCs/>
                <w:color w:val="000000"/>
                <w:sz w:val="18"/>
                <w:szCs w:val="18"/>
              </w:rPr>
              <w:t xml:space="preserve"> </w:t>
            </w:r>
            <w:r w:rsidRPr="002D1024">
              <w:rPr>
                <w:rFonts w:cstheme="minorHAnsi"/>
                <w:b/>
                <w:bCs/>
                <w:color w:val="000000"/>
                <w:sz w:val="18"/>
                <w:szCs w:val="18"/>
              </w:rPr>
              <w:t>%</w:t>
            </w:r>
          </w:p>
        </w:tc>
        <w:tc>
          <w:tcPr>
            <w:tcW w:w="891" w:type="dxa"/>
            <w:shd w:val="clear" w:color="004594" w:fill="E3EBF3"/>
            <w:tcMar>
              <w:top w:w="80" w:type="dxa"/>
              <w:left w:w="80" w:type="dxa"/>
              <w:bottom w:w="80" w:type="dxa"/>
              <w:right w:w="80" w:type="dxa"/>
            </w:tcMar>
          </w:tcPr>
          <w:p w:rsidR="00D30E44" w:rsidRPr="002D1024" w:rsidRDefault="00D30E44">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28,1</w:t>
            </w:r>
            <w:r w:rsidR="002D1024" w:rsidRPr="002D1024">
              <w:rPr>
                <w:rFonts w:cstheme="minorHAnsi"/>
                <w:b/>
                <w:bCs/>
                <w:color w:val="000000"/>
                <w:sz w:val="18"/>
                <w:szCs w:val="18"/>
              </w:rPr>
              <w:t xml:space="preserve"> </w:t>
            </w:r>
            <w:r w:rsidRPr="002D1024">
              <w:rPr>
                <w:rFonts w:cstheme="minorHAnsi"/>
                <w:b/>
                <w:bCs/>
                <w:color w:val="000000"/>
                <w:sz w:val="18"/>
                <w:szCs w:val="18"/>
              </w:rPr>
              <w:t>%</w:t>
            </w:r>
          </w:p>
        </w:tc>
        <w:tc>
          <w:tcPr>
            <w:tcW w:w="891" w:type="dxa"/>
            <w:shd w:val="clear" w:color="004594" w:fill="E3EBF3"/>
            <w:tcMar>
              <w:top w:w="80" w:type="dxa"/>
              <w:left w:w="80" w:type="dxa"/>
              <w:bottom w:w="80" w:type="dxa"/>
              <w:right w:w="80" w:type="dxa"/>
            </w:tcMar>
          </w:tcPr>
          <w:p w:rsidR="00D30E44" w:rsidRPr="002D1024" w:rsidRDefault="00D30E44">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25,0</w:t>
            </w:r>
            <w:r w:rsidR="002D1024" w:rsidRPr="002D1024">
              <w:rPr>
                <w:rFonts w:cstheme="minorHAnsi"/>
                <w:b/>
                <w:bCs/>
                <w:color w:val="000000"/>
                <w:sz w:val="18"/>
                <w:szCs w:val="18"/>
              </w:rPr>
              <w:t xml:space="preserve"> </w:t>
            </w:r>
            <w:r w:rsidRPr="002D1024">
              <w:rPr>
                <w:rFonts w:cstheme="minorHAnsi"/>
                <w:b/>
                <w:bCs/>
                <w:color w:val="000000"/>
                <w:sz w:val="18"/>
                <w:szCs w:val="18"/>
              </w:rPr>
              <w:t>%</w:t>
            </w:r>
          </w:p>
        </w:tc>
        <w:tc>
          <w:tcPr>
            <w:tcW w:w="891" w:type="dxa"/>
            <w:shd w:val="clear" w:color="004594" w:fill="E3EBF3"/>
            <w:tcMar>
              <w:top w:w="80" w:type="dxa"/>
              <w:left w:w="80" w:type="dxa"/>
              <w:bottom w:w="80" w:type="dxa"/>
              <w:right w:w="80" w:type="dxa"/>
            </w:tcMar>
          </w:tcPr>
          <w:p w:rsidR="00D30E44" w:rsidRPr="002D1024" w:rsidRDefault="00D30E44">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26,0</w:t>
            </w:r>
            <w:r w:rsidR="002D1024" w:rsidRPr="002D1024">
              <w:rPr>
                <w:rFonts w:cstheme="minorHAnsi"/>
                <w:b/>
                <w:bCs/>
                <w:color w:val="000000"/>
                <w:sz w:val="18"/>
                <w:szCs w:val="18"/>
              </w:rPr>
              <w:t xml:space="preserve"> </w:t>
            </w:r>
            <w:r w:rsidRPr="002D1024">
              <w:rPr>
                <w:rFonts w:cstheme="minorHAnsi"/>
                <w:b/>
                <w:bCs/>
                <w:color w:val="000000"/>
                <w:sz w:val="18"/>
                <w:szCs w:val="18"/>
              </w:rPr>
              <w:t>%</w:t>
            </w:r>
          </w:p>
        </w:tc>
        <w:tc>
          <w:tcPr>
            <w:tcW w:w="891" w:type="dxa"/>
            <w:shd w:val="clear" w:color="004594" w:fill="E3EBF3"/>
            <w:tcMar>
              <w:top w:w="80" w:type="dxa"/>
              <w:left w:w="80" w:type="dxa"/>
              <w:bottom w:w="80" w:type="dxa"/>
              <w:right w:w="80" w:type="dxa"/>
            </w:tcMar>
          </w:tcPr>
          <w:p w:rsidR="00D30E44" w:rsidRPr="002D1024" w:rsidRDefault="00D30E44">
            <w:pPr>
              <w:suppressAutoHyphens/>
              <w:autoSpaceDE w:val="0"/>
              <w:autoSpaceDN w:val="0"/>
              <w:adjustRightInd w:val="0"/>
              <w:spacing w:after="0"/>
              <w:jc w:val="right"/>
              <w:textAlignment w:val="center"/>
              <w:rPr>
                <w:rFonts w:cstheme="minorHAnsi"/>
                <w:color w:val="000000"/>
                <w:sz w:val="18"/>
                <w:szCs w:val="18"/>
              </w:rPr>
            </w:pPr>
            <w:r w:rsidRPr="002D1024">
              <w:rPr>
                <w:rFonts w:cstheme="minorHAnsi"/>
                <w:b/>
                <w:bCs/>
                <w:color w:val="000000"/>
                <w:sz w:val="18"/>
                <w:szCs w:val="18"/>
              </w:rPr>
              <w:t>25,7</w:t>
            </w:r>
            <w:r w:rsidR="002D1024" w:rsidRPr="002D1024">
              <w:rPr>
                <w:rFonts w:cstheme="minorHAnsi"/>
                <w:b/>
                <w:bCs/>
                <w:color w:val="000000"/>
                <w:sz w:val="18"/>
                <w:szCs w:val="18"/>
              </w:rPr>
              <w:t xml:space="preserve"> </w:t>
            </w:r>
            <w:r w:rsidRPr="002D1024">
              <w:rPr>
                <w:rFonts w:cstheme="minorHAnsi"/>
                <w:b/>
                <w:bCs/>
                <w:color w:val="000000"/>
                <w:sz w:val="18"/>
                <w:szCs w:val="18"/>
              </w:rPr>
              <w:t>%</w:t>
            </w:r>
          </w:p>
        </w:tc>
      </w:tr>
    </w:tbl>
    <w:p w:rsidR="00D30E44" w:rsidRPr="002F2322" w:rsidRDefault="00D30E44" w:rsidP="008B26E0">
      <w:pPr>
        <w:spacing w:after="0"/>
        <w:rPr>
          <w:rFonts w:cstheme="minorHAnsi"/>
          <w:b/>
          <w:sz w:val="20"/>
          <w:szCs w:val="24"/>
        </w:rPr>
      </w:pPr>
      <w:r w:rsidRPr="00FC2101">
        <w:rPr>
          <w:rFonts w:cstheme="minorHAnsi"/>
          <w:b/>
          <w:sz w:val="20"/>
          <w:szCs w:val="24"/>
        </w:rPr>
        <w:t>Zdroj:</w:t>
      </w:r>
      <w:r w:rsidRPr="002F2322">
        <w:rPr>
          <w:rFonts w:cstheme="minorHAnsi"/>
          <w:sz w:val="20"/>
          <w:szCs w:val="24"/>
        </w:rPr>
        <w:t xml:space="preserve"> vlastní zpracování NKÚ </w:t>
      </w:r>
      <w:r w:rsidR="000869AC">
        <w:rPr>
          <w:rFonts w:cstheme="minorHAnsi"/>
          <w:sz w:val="20"/>
          <w:szCs w:val="24"/>
        </w:rPr>
        <w:t>z </w:t>
      </w:r>
      <w:r w:rsidRPr="002F2322">
        <w:rPr>
          <w:rFonts w:cstheme="minorHAnsi"/>
          <w:sz w:val="20"/>
          <w:szCs w:val="24"/>
        </w:rPr>
        <w:t>dat ČSÚ</w:t>
      </w:r>
      <w:r w:rsidR="00357A5B">
        <w:rPr>
          <w:rFonts w:cstheme="minorHAnsi"/>
          <w:sz w:val="20"/>
          <w:szCs w:val="24"/>
        </w:rPr>
        <w:t>.</w:t>
      </w:r>
    </w:p>
    <w:p w:rsidR="00D30E44" w:rsidRDefault="00D30E44" w:rsidP="008B26E0">
      <w:pPr>
        <w:tabs>
          <w:tab w:val="left" w:pos="4820"/>
        </w:tabs>
        <w:spacing w:after="0"/>
        <w:rPr>
          <w:rFonts w:cstheme="minorHAnsi"/>
          <w:szCs w:val="24"/>
        </w:rPr>
      </w:pPr>
    </w:p>
    <w:p w:rsidR="00D30E44" w:rsidRDefault="00D30E44" w:rsidP="00D30E44">
      <w:pPr>
        <w:spacing w:after="0"/>
        <w:rPr>
          <w:rFonts w:cstheme="minorHAnsi"/>
          <w:szCs w:val="24"/>
        </w:rPr>
      </w:pPr>
      <w:r w:rsidRPr="008056A8">
        <w:rPr>
          <w:rFonts w:cstheme="minorHAnsi"/>
          <w:szCs w:val="24"/>
        </w:rPr>
        <w:t>Mezi roky 2011 a 2013 inkaso DPH vzrostlo.</w:t>
      </w:r>
      <w:r>
        <w:rPr>
          <w:rFonts w:cstheme="minorHAnsi"/>
          <w:szCs w:val="24"/>
        </w:rPr>
        <w:t xml:space="preserve"> NKÚ analyzoval vztah mezi mezerou DPH a nárůstem vybrané DPH</w:t>
      </w:r>
      <w:r w:rsidRPr="00C66688">
        <w:rPr>
          <w:rStyle w:val="Znakapoznpodarou"/>
          <w:rFonts w:cstheme="minorHAnsi"/>
          <w:szCs w:val="24"/>
        </w:rPr>
        <w:footnoteReference w:id="8"/>
      </w:r>
      <w:r w:rsidRPr="00C66688">
        <w:rPr>
          <w:rFonts w:cstheme="minorHAnsi"/>
          <w:szCs w:val="24"/>
        </w:rPr>
        <w:t>.</w:t>
      </w:r>
      <w:r>
        <w:rPr>
          <w:rFonts w:cstheme="minorHAnsi"/>
          <w:szCs w:val="24"/>
        </w:rPr>
        <w:t xml:space="preserve"> Pozitivní vliv na výši vybrané daně </w:t>
      </w:r>
      <w:r w:rsidR="000869AC">
        <w:rPr>
          <w:rFonts w:cstheme="minorHAnsi"/>
          <w:szCs w:val="24"/>
        </w:rPr>
        <w:t>v </w:t>
      </w:r>
      <w:r>
        <w:rPr>
          <w:rFonts w:cstheme="minorHAnsi"/>
          <w:szCs w:val="24"/>
        </w:rPr>
        <w:t>tomto období mělo zvýšení sazeb DPH,</w:t>
      </w:r>
      <w:r w:rsidRPr="00431C6B">
        <w:rPr>
          <w:rFonts w:cstheme="minorHAnsi"/>
          <w:color w:val="92D050"/>
          <w:szCs w:val="24"/>
        </w:rPr>
        <w:t xml:space="preserve"> </w:t>
      </w:r>
      <w:r w:rsidRPr="008056A8">
        <w:rPr>
          <w:rFonts w:cstheme="minorHAnsi"/>
          <w:szCs w:val="24"/>
        </w:rPr>
        <w:t xml:space="preserve">díky kterému se mělo za jinak nezměněných podmínek vybrat </w:t>
      </w:r>
      <w:r w:rsidR="000869AC">
        <w:rPr>
          <w:rFonts w:cstheme="minorHAnsi"/>
          <w:szCs w:val="24"/>
        </w:rPr>
        <w:t>v </w:t>
      </w:r>
      <w:r w:rsidRPr="008056A8">
        <w:rPr>
          <w:rFonts w:cstheme="minorHAnsi"/>
          <w:szCs w:val="24"/>
        </w:rPr>
        <w:t>roce 2013 na dani o</w:t>
      </w:r>
      <w:r w:rsidR="00967341">
        <w:rPr>
          <w:rFonts w:cstheme="minorHAnsi"/>
          <w:szCs w:val="24"/>
        </w:rPr>
        <w:t xml:space="preserve"> </w:t>
      </w:r>
      <w:r w:rsidRPr="00314EDF">
        <w:t>58</w:t>
      </w:r>
      <w:r w:rsidR="00967341">
        <w:t xml:space="preserve"> </w:t>
      </w:r>
      <w:r w:rsidRPr="00314EDF">
        <w:t>mld</w:t>
      </w:r>
      <w:r w:rsidRPr="008056A8">
        <w:rPr>
          <w:rFonts w:cstheme="minorHAnsi"/>
          <w:szCs w:val="24"/>
        </w:rPr>
        <w:t>. Kč více. Naopak negativní vliv měl makroekonomický vývoj (zejména ovlivněný hospodářskou krizí), který výběr daně snížil o 18 mld. Kč, a úspěšnost výběru daně vyjádřená mezerou DPH</w:t>
      </w:r>
      <w:r>
        <w:rPr>
          <w:rFonts w:cstheme="minorHAnsi"/>
          <w:szCs w:val="24"/>
        </w:rPr>
        <w:t>, která výběr snížila o</w:t>
      </w:r>
      <w:r w:rsidR="00967341">
        <w:rPr>
          <w:rFonts w:cstheme="minorHAnsi"/>
          <w:szCs w:val="24"/>
        </w:rPr>
        <w:t xml:space="preserve"> </w:t>
      </w:r>
      <w:r>
        <w:rPr>
          <w:rFonts w:cstheme="minorHAnsi"/>
          <w:szCs w:val="24"/>
        </w:rPr>
        <w:t>13</w:t>
      </w:r>
      <w:r w:rsidR="00967341">
        <w:rPr>
          <w:rFonts w:cstheme="minorHAnsi"/>
          <w:szCs w:val="24"/>
        </w:rPr>
        <w:t xml:space="preserve"> </w:t>
      </w:r>
      <w:r>
        <w:rPr>
          <w:rFonts w:cstheme="minorHAnsi"/>
          <w:szCs w:val="24"/>
        </w:rPr>
        <w:t>mld.</w:t>
      </w:r>
      <w:r w:rsidR="00967341">
        <w:t xml:space="preserve"> </w:t>
      </w:r>
      <w:r w:rsidRPr="008056A8">
        <w:rPr>
          <w:rFonts w:cstheme="minorHAnsi"/>
          <w:szCs w:val="24"/>
        </w:rPr>
        <w:t>Kč.</w:t>
      </w:r>
    </w:p>
    <w:p w:rsidR="00D30E44" w:rsidRDefault="00D30E44" w:rsidP="00D30E44">
      <w:pPr>
        <w:spacing w:after="0"/>
        <w:rPr>
          <w:rFonts w:cstheme="minorHAnsi"/>
          <w:szCs w:val="24"/>
        </w:rPr>
      </w:pPr>
    </w:p>
    <w:p w:rsidR="00B240C7" w:rsidRDefault="00D30E44" w:rsidP="00155A36">
      <w:pPr>
        <w:tabs>
          <w:tab w:val="left" w:pos="5103"/>
        </w:tabs>
        <w:rPr>
          <w:rFonts w:cstheme="minorHAnsi"/>
          <w:b/>
          <w:szCs w:val="24"/>
        </w:rPr>
      </w:pPr>
      <w:r w:rsidRPr="00552CC0">
        <w:rPr>
          <w:rFonts w:cstheme="minorHAnsi"/>
          <w:b/>
          <w:szCs w:val="24"/>
        </w:rPr>
        <w:t>Graf č. 6</w:t>
      </w:r>
      <w:r w:rsidR="00F52C64">
        <w:rPr>
          <w:rFonts w:cstheme="minorHAnsi"/>
          <w:b/>
          <w:szCs w:val="24"/>
        </w:rPr>
        <w:t xml:space="preserve"> –</w:t>
      </w:r>
      <w:r>
        <w:rPr>
          <w:rFonts w:cstheme="minorHAnsi"/>
          <w:b/>
          <w:szCs w:val="24"/>
        </w:rPr>
        <w:t xml:space="preserve"> Rozklad nárůstu vybrané DPH 2013/2011</w:t>
      </w:r>
      <w:r w:rsidR="00F52C64">
        <w:rPr>
          <w:rFonts w:cstheme="minorHAnsi"/>
          <w:b/>
          <w:szCs w:val="24"/>
        </w:rPr>
        <w:t xml:space="preserve"> </w:t>
      </w:r>
      <w:r w:rsidR="00F52C64">
        <w:rPr>
          <w:rFonts w:cstheme="minorHAnsi"/>
          <w:b/>
          <w:szCs w:val="24"/>
        </w:rPr>
        <w:tab/>
      </w:r>
      <w:r w:rsidRPr="00552CC0">
        <w:rPr>
          <w:rFonts w:cstheme="minorHAnsi"/>
          <w:b/>
          <w:szCs w:val="24"/>
        </w:rPr>
        <w:t>Graf č. 7</w:t>
      </w:r>
      <w:r w:rsidR="00F52C64">
        <w:rPr>
          <w:rFonts w:cstheme="minorHAnsi"/>
          <w:b/>
          <w:szCs w:val="24"/>
        </w:rPr>
        <w:t xml:space="preserve"> –</w:t>
      </w:r>
      <w:r>
        <w:rPr>
          <w:rFonts w:cstheme="minorHAnsi"/>
          <w:b/>
          <w:szCs w:val="24"/>
        </w:rPr>
        <w:t xml:space="preserve"> Rozklad mezery DPH</w:t>
      </w:r>
    </w:p>
    <w:p w:rsidR="00991575" w:rsidRDefault="00155A36" w:rsidP="00155A36">
      <w:pPr>
        <w:ind w:left="-284"/>
        <w:jc w:val="left"/>
        <w:rPr>
          <w:rFonts w:cstheme="minorHAnsi"/>
          <w:szCs w:val="24"/>
        </w:rPr>
      </w:pPr>
      <w:r>
        <w:rPr>
          <w:noProof/>
          <w:lang w:eastAsia="cs-CZ"/>
        </w:rPr>
        <w:drawing>
          <wp:inline distT="0" distB="0" distL="0" distR="0" wp14:anchorId="04E683EE" wp14:editId="1A5FFCE2">
            <wp:extent cx="6012000" cy="2266485"/>
            <wp:effectExtent l="0" t="0" r="8255" b="63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012000" cy="2266485"/>
                    </a:xfrm>
                    <a:prstGeom prst="rect">
                      <a:avLst/>
                    </a:prstGeom>
                  </pic:spPr>
                </pic:pic>
              </a:graphicData>
            </a:graphic>
          </wp:inline>
        </w:drawing>
      </w:r>
    </w:p>
    <w:p w:rsidR="00D30E44" w:rsidRPr="00FC2101" w:rsidRDefault="00991575" w:rsidP="008B26E0">
      <w:pPr>
        <w:spacing w:after="0"/>
        <w:jc w:val="left"/>
        <w:rPr>
          <w:rFonts w:cstheme="minorHAnsi"/>
          <w:b/>
          <w:sz w:val="20"/>
          <w:szCs w:val="20"/>
        </w:rPr>
      </w:pPr>
      <w:r w:rsidRPr="00FC2101">
        <w:rPr>
          <w:rFonts w:cstheme="minorHAnsi"/>
          <w:b/>
          <w:sz w:val="20"/>
          <w:szCs w:val="20"/>
        </w:rPr>
        <w:t>Ze</w:t>
      </w:r>
      <w:r w:rsidR="008B26E0" w:rsidRPr="00FC2101">
        <w:rPr>
          <w:rFonts w:cstheme="minorHAnsi"/>
          <w:b/>
          <w:sz w:val="20"/>
          <w:szCs w:val="20"/>
        </w:rPr>
        <w:t xml:space="preserve"> </w:t>
      </w:r>
      <w:r w:rsidRPr="00FC2101">
        <w:rPr>
          <w:rFonts w:cstheme="minorHAnsi"/>
          <w:b/>
          <w:sz w:val="20"/>
          <w:szCs w:val="20"/>
        </w:rPr>
        <w:t>zdrojů ČSÚ a GFŘ zpracoval NKÚ.</w:t>
      </w:r>
    </w:p>
    <w:p w:rsidR="00991575" w:rsidRPr="00436780" w:rsidRDefault="00991575" w:rsidP="00436780">
      <w:pPr>
        <w:spacing w:after="0"/>
        <w:jc w:val="left"/>
        <w:rPr>
          <w:rFonts w:cstheme="minorHAnsi"/>
          <w:szCs w:val="24"/>
        </w:rPr>
      </w:pPr>
    </w:p>
    <w:p w:rsidR="00991575" w:rsidRPr="00FE64F3" w:rsidRDefault="00991575" w:rsidP="008B26E0">
      <w:pPr>
        <w:spacing w:after="0"/>
        <w:rPr>
          <w:rFonts w:cstheme="minorHAnsi"/>
          <w:szCs w:val="24"/>
        </w:rPr>
      </w:pPr>
      <w:r>
        <w:rPr>
          <w:rFonts w:cstheme="minorHAnsi"/>
          <w:szCs w:val="24"/>
        </w:rPr>
        <w:t xml:space="preserve">NKÚ </w:t>
      </w:r>
      <w:r w:rsidR="00841CC8">
        <w:rPr>
          <w:rFonts w:cstheme="minorHAnsi"/>
          <w:szCs w:val="24"/>
        </w:rPr>
        <w:t>na základě odhadu ČSÚ vypočetl podíl jednotlivých faktorů na výši mezery DPH:</w:t>
      </w:r>
    </w:p>
    <w:p w:rsidR="00991575" w:rsidRPr="00991575" w:rsidRDefault="00991575" w:rsidP="008B26E0">
      <w:pPr>
        <w:pStyle w:val="Odstavecseseznamem"/>
        <w:spacing w:after="0"/>
      </w:pPr>
      <w:r w:rsidRPr="00991575">
        <w:t xml:space="preserve">Nelegální a stínová ekonomika (7,1 mld. Kč, 7 % mezery DPH) – produkce nelegální a stínové ekonomiky je zahrnuta </w:t>
      </w:r>
      <w:r w:rsidR="000869AC">
        <w:t>v </w:t>
      </w:r>
      <w:r w:rsidRPr="00991575">
        <w:t xml:space="preserve">národních účtech, </w:t>
      </w:r>
      <w:r w:rsidR="000869AC">
        <w:t>z </w:t>
      </w:r>
      <w:r w:rsidRPr="00991575">
        <w:t xml:space="preserve">transakcí </w:t>
      </w:r>
      <w:r w:rsidR="000869AC">
        <w:t>v </w:t>
      </w:r>
      <w:r w:rsidRPr="00991575">
        <w:t>této oblasti však daň vybír</w:t>
      </w:r>
      <w:r w:rsidR="00EF27ED">
        <w:t>ána</w:t>
      </w:r>
      <w:r w:rsidRPr="00991575">
        <w:t xml:space="preserve"> není. Tato část ekonomické aktivity je zachycena </w:t>
      </w:r>
      <w:r w:rsidR="000869AC">
        <w:t>v </w:t>
      </w:r>
      <w:r w:rsidRPr="00991575">
        <w:t>tzv. nezjištěné ekonomice.</w:t>
      </w:r>
    </w:p>
    <w:p w:rsidR="00991575" w:rsidRPr="00991575" w:rsidRDefault="00991575" w:rsidP="00436780">
      <w:pPr>
        <w:pStyle w:val="Odstavecseseznamem"/>
        <w:spacing w:after="0"/>
      </w:pPr>
      <w:r w:rsidRPr="00991575">
        <w:t xml:space="preserve">Podnikatelé úmyslně zkreslující údaje (42,2 mld. Kč, 40 % mezery DPH) – ČSÚ </w:t>
      </w:r>
      <w:r w:rsidR="000869AC">
        <w:t>v </w:t>
      </w:r>
      <w:r w:rsidRPr="00991575">
        <w:t xml:space="preserve">rámci sestavování národních účtů odhaduje rozdíl mezi vykazovanou a skutečnou aktivitou u ekonomických subjektů. Tento rozdíl je zahrnut </w:t>
      </w:r>
      <w:r w:rsidR="000869AC">
        <w:t>v </w:t>
      </w:r>
      <w:r w:rsidRPr="00991575">
        <w:t>národních účtech jako součást nezjištěné ekonomiky.</w:t>
      </w:r>
    </w:p>
    <w:p w:rsidR="00991575" w:rsidRPr="00991575" w:rsidRDefault="00991575" w:rsidP="00436780">
      <w:pPr>
        <w:pStyle w:val="Odstavecseseznamem"/>
        <w:spacing w:after="0"/>
      </w:pPr>
      <w:r w:rsidRPr="00991575">
        <w:lastRenderedPageBreak/>
        <w:t xml:space="preserve">Přírůstek nesplacených nedoplatků (26,3 mld. Kč, 25 % mezery DPH) – část dlouhodobě nesplacených nedoplatků vzniká doměřením daňové povinnosti </w:t>
      </w:r>
      <w:r w:rsidR="000869AC">
        <w:t>v </w:t>
      </w:r>
      <w:r w:rsidRPr="00991575">
        <w:t>souvislosti s</w:t>
      </w:r>
      <w:r w:rsidR="00967341">
        <w:t> </w:t>
      </w:r>
      <w:r w:rsidRPr="00991575">
        <w:t>odhalením daňových úniků a podvodů.</w:t>
      </w:r>
    </w:p>
    <w:p w:rsidR="00991575" w:rsidRPr="00991575" w:rsidRDefault="00991575" w:rsidP="00436780">
      <w:pPr>
        <w:pStyle w:val="Odstavecseseznamem"/>
        <w:spacing w:after="0"/>
      </w:pPr>
      <w:r w:rsidRPr="00991575">
        <w:t xml:space="preserve">Zbývající část mezery </w:t>
      </w:r>
      <w:r w:rsidR="00EF27ED">
        <w:t>(</w:t>
      </w:r>
      <w:r w:rsidRPr="00991575">
        <w:t>28 %</w:t>
      </w:r>
      <w:r w:rsidR="00EF27ED">
        <w:t>)</w:t>
      </w:r>
      <w:r w:rsidRPr="00991575">
        <w:t xml:space="preserve"> je kombinací několika faktorů, například zahrnuje neodhalené daňové úniky a podvody, chyby a omyly </w:t>
      </w:r>
      <w:r w:rsidR="000869AC">
        <w:t>v </w:t>
      </w:r>
      <w:r w:rsidRPr="00991575">
        <w:t xml:space="preserve">daňových přiznáních a rozdíly mezi statistickými a daňovými výkazy, které nejsou zachyceny </w:t>
      </w:r>
      <w:r w:rsidR="000869AC">
        <w:t>v </w:t>
      </w:r>
      <w:r w:rsidRPr="00991575">
        <w:t>nezjištěné ekonomice.</w:t>
      </w:r>
    </w:p>
    <w:p w:rsidR="00436780" w:rsidRDefault="00436780" w:rsidP="00436780">
      <w:pPr>
        <w:spacing w:after="0"/>
        <w:rPr>
          <w:rFonts w:cstheme="minorHAnsi"/>
          <w:szCs w:val="24"/>
        </w:rPr>
      </w:pPr>
    </w:p>
    <w:p w:rsidR="00991575" w:rsidRDefault="00991575" w:rsidP="00436780">
      <w:pPr>
        <w:spacing w:after="0"/>
        <w:rPr>
          <w:rFonts w:cstheme="minorHAnsi"/>
          <w:szCs w:val="24"/>
        </w:rPr>
      </w:pPr>
      <w:r w:rsidRPr="007E0D2A">
        <w:rPr>
          <w:rFonts w:cstheme="minorHAnsi"/>
          <w:szCs w:val="24"/>
        </w:rPr>
        <w:t xml:space="preserve">Největší podíl na nevybrané DPH </w:t>
      </w:r>
      <w:r w:rsidR="000869AC">
        <w:rPr>
          <w:rFonts w:cstheme="minorHAnsi"/>
          <w:szCs w:val="24"/>
        </w:rPr>
        <w:t>v </w:t>
      </w:r>
      <w:r w:rsidRPr="007E0D2A">
        <w:rPr>
          <w:rFonts w:cstheme="minorHAnsi"/>
          <w:szCs w:val="24"/>
        </w:rPr>
        <w:t xml:space="preserve">ČR má úmyslné zkreslování údajů podnikatelskými subjekty (cca 42 mld. Kč). O nízké efektivitě výběru DPH svědčí také objem nových nedoplatků na DPH za </w:t>
      </w:r>
      <w:r>
        <w:rPr>
          <w:rFonts w:cstheme="minorHAnsi"/>
          <w:szCs w:val="24"/>
        </w:rPr>
        <w:t>r</w:t>
      </w:r>
      <w:r w:rsidRPr="007E0D2A">
        <w:rPr>
          <w:rFonts w:cstheme="minorHAnsi"/>
          <w:szCs w:val="24"/>
        </w:rPr>
        <w:t>ok 2013 ve výši cca 26 mld. Kč</w:t>
      </w:r>
      <w:r w:rsidRPr="00991575">
        <w:rPr>
          <w:rFonts w:cstheme="minorHAnsi"/>
          <w:szCs w:val="24"/>
        </w:rPr>
        <w:t>.</w:t>
      </w:r>
    </w:p>
    <w:p w:rsidR="00436780" w:rsidRPr="00991575" w:rsidRDefault="00436780" w:rsidP="00436780">
      <w:pPr>
        <w:spacing w:after="0"/>
        <w:rPr>
          <w:rFonts w:cstheme="minorHAnsi"/>
          <w:strike/>
          <w:szCs w:val="24"/>
        </w:rPr>
      </w:pPr>
    </w:p>
    <w:p w:rsidR="00991575" w:rsidRDefault="00991575" w:rsidP="00436780">
      <w:pPr>
        <w:spacing w:after="0"/>
        <w:rPr>
          <w:rFonts w:cstheme="minorHAnsi"/>
          <w:szCs w:val="24"/>
        </w:rPr>
      </w:pPr>
      <w:r>
        <w:rPr>
          <w:rFonts w:cstheme="minorHAnsi"/>
          <w:szCs w:val="24"/>
        </w:rPr>
        <w:t>Podkladem pro zpracování r</w:t>
      </w:r>
      <w:r w:rsidRPr="00FE64F3">
        <w:rPr>
          <w:rFonts w:cstheme="minorHAnsi"/>
          <w:szCs w:val="24"/>
        </w:rPr>
        <w:t>ozklad</w:t>
      </w:r>
      <w:r>
        <w:rPr>
          <w:rFonts w:cstheme="minorHAnsi"/>
          <w:szCs w:val="24"/>
        </w:rPr>
        <w:t>u</w:t>
      </w:r>
      <w:r w:rsidRPr="00FE64F3">
        <w:rPr>
          <w:rFonts w:cstheme="minorHAnsi"/>
          <w:szCs w:val="24"/>
        </w:rPr>
        <w:t xml:space="preserve"> mezery </w:t>
      </w:r>
      <w:r>
        <w:rPr>
          <w:rFonts w:cstheme="minorHAnsi"/>
          <w:szCs w:val="24"/>
        </w:rPr>
        <w:t>DPH byla</w:t>
      </w:r>
      <w:r w:rsidR="00967341">
        <w:rPr>
          <w:rFonts w:cstheme="minorHAnsi"/>
          <w:szCs w:val="24"/>
        </w:rPr>
        <w:t xml:space="preserve"> </w:t>
      </w:r>
      <w:r w:rsidRPr="00FE64F3">
        <w:rPr>
          <w:rFonts w:cstheme="minorHAnsi"/>
          <w:szCs w:val="24"/>
        </w:rPr>
        <w:t>dat</w:t>
      </w:r>
      <w:r>
        <w:rPr>
          <w:rFonts w:cstheme="minorHAnsi"/>
          <w:szCs w:val="24"/>
        </w:rPr>
        <w:t>a</w:t>
      </w:r>
      <w:r w:rsidRPr="00FE64F3">
        <w:rPr>
          <w:rFonts w:cstheme="minorHAnsi"/>
          <w:szCs w:val="24"/>
        </w:rPr>
        <w:t xml:space="preserve"> o ne</w:t>
      </w:r>
      <w:r>
        <w:rPr>
          <w:rFonts w:cstheme="minorHAnsi"/>
          <w:szCs w:val="24"/>
        </w:rPr>
        <w:t xml:space="preserve">zjištěné ekonomice za rok 2012 uvedená </w:t>
      </w:r>
      <w:r w:rsidR="000869AC">
        <w:rPr>
          <w:rFonts w:cstheme="minorHAnsi"/>
          <w:szCs w:val="24"/>
        </w:rPr>
        <w:t>v </w:t>
      </w:r>
      <w:r>
        <w:rPr>
          <w:rFonts w:cstheme="minorHAnsi"/>
          <w:szCs w:val="24"/>
        </w:rPr>
        <w:t xml:space="preserve">tabulce </w:t>
      </w:r>
      <w:r w:rsidR="00EF27ED">
        <w:rPr>
          <w:rFonts w:cstheme="minorHAnsi"/>
          <w:szCs w:val="24"/>
        </w:rPr>
        <w:t xml:space="preserve">č. </w:t>
      </w:r>
      <w:r>
        <w:rPr>
          <w:rFonts w:cstheme="minorHAnsi"/>
          <w:szCs w:val="24"/>
        </w:rPr>
        <w:t xml:space="preserve">5 a údaje </w:t>
      </w:r>
      <w:r w:rsidR="00EF27ED">
        <w:rPr>
          <w:rFonts w:cstheme="minorHAnsi"/>
          <w:szCs w:val="24"/>
        </w:rPr>
        <w:t xml:space="preserve">GFŘ </w:t>
      </w:r>
      <w:r>
        <w:rPr>
          <w:rFonts w:cstheme="minorHAnsi"/>
          <w:szCs w:val="24"/>
        </w:rPr>
        <w:t xml:space="preserve">o stavu nedoplatků na DPH </w:t>
      </w:r>
      <w:r w:rsidR="000869AC">
        <w:rPr>
          <w:rFonts w:cstheme="minorHAnsi"/>
          <w:szCs w:val="24"/>
        </w:rPr>
        <w:t>v </w:t>
      </w:r>
      <w:r>
        <w:rPr>
          <w:rFonts w:cstheme="minorHAnsi"/>
          <w:szCs w:val="24"/>
        </w:rPr>
        <w:t>roce 2013.</w:t>
      </w:r>
    </w:p>
    <w:p w:rsidR="00436780" w:rsidRPr="00FE64F3" w:rsidRDefault="00436780" w:rsidP="00436780">
      <w:pPr>
        <w:spacing w:after="0"/>
        <w:rPr>
          <w:rFonts w:cstheme="minorHAnsi"/>
          <w:szCs w:val="24"/>
        </w:rPr>
      </w:pPr>
    </w:p>
    <w:p w:rsidR="00991575" w:rsidRPr="00991575" w:rsidRDefault="00991575" w:rsidP="00991575">
      <w:pPr>
        <w:pStyle w:val="Styl1"/>
        <w:keepNext/>
        <w:tabs>
          <w:tab w:val="right" w:pos="9072"/>
        </w:tabs>
        <w:spacing w:after="20"/>
        <w:rPr>
          <w:rFonts w:asciiTheme="minorHAnsi" w:hAnsiTheme="minorHAnsi" w:cstheme="minorHAnsi"/>
          <w:b/>
          <w:sz w:val="24"/>
        </w:rPr>
      </w:pPr>
      <w:bookmarkStart w:id="4" w:name="_Toc409683193"/>
      <w:bookmarkStart w:id="5" w:name="_Toc409683392"/>
      <w:r w:rsidRPr="00FE64F3">
        <w:rPr>
          <w:rFonts w:asciiTheme="minorHAnsi" w:hAnsiTheme="minorHAnsi" w:cstheme="minorHAnsi"/>
          <w:b/>
          <w:sz w:val="24"/>
        </w:rPr>
        <w:t xml:space="preserve">Tabulka č. </w:t>
      </w:r>
      <w:r>
        <w:rPr>
          <w:rFonts w:asciiTheme="minorHAnsi" w:hAnsiTheme="minorHAnsi" w:cstheme="minorHAnsi"/>
          <w:b/>
          <w:sz w:val="24"/>
        </w:rPr>
        <w:t>5</w:t>
      </w:r>
      <w:r w:rsidRPr="00FE64F3">
        <w:rPr>
          <w:rFonts w:asciiTheme="minorHAnsi" w:hAnsiTheme="minorHAnsi" w:cstheme="minorHAnsi"/>
          <w:b/>
          <w:sz w:val="24"/>
        </w:rPr>
        <w:t xml:space="preserve"> – Nezjištěná ekonomika</w:t>
      </w:r>
      <w:bookmarkEnd w:id="4"/>
      <w:bookmarkEnd w:id="5"/>
      <w:r>
        <w:rPr>
          <w:rFonts w:asciiTheme="minorHAnsi" w:hAnsiTheme="minorHAnsi" w:cstheme="minorHAnsi"/>
          <w:b/>
          <w:sz w:val="24"/>
        </w:rPr>
        <w:tab/>
      </w:r>
      <w:r w:rsidRPr="00991575">
        <w:rPr>
          <w:rFonts w:asciiTheme="minorHAnsi" w:hAnsiTheme="minorHAnsi" w:cstheme="minorHAnsi"/>
          <w:b/>
          <w:sz w:val="24"/>
        </w:rPr>
        <w:t>(</w:t>
      </w:r>
      <w:r w:rsidR="000869AC">
        <w:rPr>
          <w:rFonts w:asciiTheme="minorHAnsi" w:hAnsiTheme="minorHAnsi" w:cstheme="minorHAnsi"/>
          <w:b/>
          <w:sz w:val="24"/>
        </w:rPr>
        <w:t>v </w:t>
      </w:r>
      <w:r w:rsidRPr="00991575">
        <w:rPr>
          <w:rFonts w:asciiTheme="minorHAnsi" w:hAnsiTheme="minorHAnsi" w:cstheme="minorHAnsi"/>
          <w:b/>
          <w:sz w:val="24"/>
        </w:rPr>
        <w:t>mil. Kč)</w:t>
      </w:r>
    </w:p>
    <w:tbl>
      <w:tblPr>
        <w:tblW w:w="0" w:type="auto"/>
        <w:tblInd w:w="8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7"/>
        <w:gridCol w:w="1418"/>
        <w:gridCol w:w="1559"/>
        <w:gridCol w:w="1559"/>
        <w:gridCol w:w="1559"/>
      </w:tblGrid>
      <w:tr w:rsidR="00991575" w:rsidRPr="00991575" w:rsidTr="00FC2101">
        <w:trPr>
          <w:trHeight w:hRule="exact" w:val="340"/>
        </w:trPr>
        <w:tc>
          <w:tcPr>
            <w:tcW w:w="2977" w:type="dxa"/>
            <w:vMerge w:val="restart"/>
            <w:shd w:val="clear" w:color="auto" w:fill="E3EBF3"/>
            <w:tcMar>
              <w:top w:w="80" w:type="dxa"/>
              <w:left w:w="80" w:type="dxa"/>
              <w:bottom w:w="80" w:type="dxa"/>
              <w:right w:w="80" w:type="dxa"/>
            </w:tcMar>
            <w:vAlign w:val="center"/>
          </w:tcPr>
          <w:p w:rsidR="00991575" w:rsidRPr="002D1024" w:rsidRDefault="00357A5B" w:rsidP="002A6BAF">
            <w:pPr>
              <w:suppressAutoHyphens/>
              <w:autoSpaceDE w:val="0"/>
              <w:autoSpaceDN w:val="0"/>
              <w:adjustRightInd w:val="0"/>
              <w:spacing w:after="0"/>
              <w:jc w:val="center"/>
              <w:textAlignment w:val="center"/>
              <w:rPr>
                <w:rFonts w:ascii="Calibri" w:hAnsi="Calibri" w:cs="Calibri"/>
                <w:color w:val="000000"/>
                <w:sz w:val="20"/>
                <w:szCs w:val="20"/>
              </w:rPr>
            </w:pPr>
            <w:r w:rsidRPr="002D1024">
              <w:rPr>
                <w:rFonts w:ascii="Calibri" w:hAnsi="Calibri" w:cs="Calibri"/>
                <w:b/>
                <w:bCs/>
                <w:color w:val="000000"/>
                <w:sz w:val="20"/>
                <w:szCs w:val="20"/>
              </w:rPr>
              <w:t>R</w:t>
            </w:r>
            <w:r w:rsidR="00991575" w:rsidRPr="002D1024">
              <w:rPr>
                <w:rFonts w:ascii="Calibri" w:hAnsi="Calibri" w:cs="Calibri"/>
                <w:b/>
                <w:bCs/>
                <w:color w:val="000000"/>
                <w:sz w:val="20"/>
                <w:szCs w:val="20"/>
              </w:rPr>
              <w:t>ok 2012</w:t>
            </w:r>
          </w:p>
        </w:tc>
        <w:tc>
          <w:tcPr>
            <w:tcW w:w="6095" w:type="dxa"/>
            <w:gridSpan w:val="4"/>
            <w:shd w:val="clear" w:color="auto" w:fill="E3EBF3"/>
            <w:tcMar>
              <w:top w:w="80" w:type="dxa"/>
              <w:left w:w="80" w:type="dxa"/>
              <w:bottom w:w="80" w:type="dxa"/>
              <w:right w:w="80" w:type="dxa"/>
            </w:tcMar>
            <w:vAlign w:val="center"/>
          </w:tcPr>
          <w:p w:rsidR="00991575" w:rsidRPr="002D1024" w:rsidRDefault="00991575" w:rsidP="004174C2">
            <w:pPr>
              <w:suppressAutoHyphens/>
              <w:autoSpaceDE w:val="0"/>
              <w:autoSpaceDN w:val="0"/>
              <w:adjustRightInd w:val="0"/>
              <w:spacing w:after="0"/>
              <w:jc w:val="center"/>
              <w:textAlignment w:val="center"/>
              <w:rPr>
                <w:rFonts w:ascii="Calibri" w:hAnsi="Calibri" w:cs="Calibri"/>
                <w:color w:val="000000"/>
                <w:sz w:val="20"/>
                <w:szCs w:val="20"/>
              </w:rPr>
            </w:pPr>
            <w:r w:rsidRPr="002D1024">
              <w:rPr>
                <w:rFonts w:ascii="Calibri" w:hAnsi="Calibri" w:cs="Calibri"/>
                <w:b/>
                <w:bCs/>
                <w:color w:val="000000"/>
                <w:sz w:val="20"/>
                <w:szCs w:val="20"/>
              </w:rPr>
              <w:t>Základ daně</w:t>
            </w:r>
          </w:p>
        </w:tc>
      </w:tr>
      <w:tr w:rsidR="00991575" w:rsidRPr="00991575" w:rsidTr="002A6BAF">
        <w:trPr>
          <w:trHeight w:hRule="exact" w:val="284"/>
        </w:trPr>
        <w:tc>
          <w:tcPr>
            <w:tcW w:w="2977" w:type="dxa"/>
            <w:vMerge/>
            <w:shd w:val="clear" w:color="auto" w:fill="E3EBF3"/>
            <w:vAlign w:val="center"/>
          </w:tcPr>
          <w:p w:rsidR="00991575" w:rsidRPr="002D1024" w:rsidRDefault="00991575" w:rsidP="00357A5B">
            <w:pPr>
              <w:autoSpaceDE w:val="0"/>
              <w:autoSpaceDN w:val="0"/>
              <w:adjustRightInd w:val="0"/>
              <w:spacing w:after="0"/>
              <w:jc w:val="center"/>
              <w:rPr>
                <w:rFonts w:ascii="Calibri" w:hAnsi="Calibri" w:cs="Times New Roman"/>
                <w:sz w:val="20"/>
                <w:szCs w:val="20"/>
              </w:rPr>
            </w:pPr>
          </w:p>
        </w:tc>
        <w:tc>
          <w:tcPr>
            <w:tcW w:w="1418" w:type="dxa"/>
            <w:vMerge w:val="restart"/>
            <w:shd w:val="clear" w:color="auto" w:fill="E3EBF3"/>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center"/>
              <w:textAlignment w:val="center"/>
              <w:rPr>
                <w:rFonts w:ascii="Calibri" w:hAnsi="Calibri" w:cs="Calibri"/>
                <w:color w:val="000000"/>
                <w:sz w:val="20"/>
                <w:szCs w:val="20"/>
              </w:rPr>
            </w:pPr>
            <w:r w:rsidRPr="002D1024">
              <w:rPr>
                <w:rFonts w:ascii="Calibri" w:hAnsi="Calibri" w:cs="Calibri"/>
                <w:b/>
                <w:bCs/>
                <w:color w:val="000000"/>
                <w:sz w:val="20"/>
                <w:szCs w:val="20"/>
              </w:rPr>
              <w:t>Národní hospodářství celkem</w:t>
            </w:r>
          </w:p>
        </w:tc>
        <w:tc>
          <w:tcPr>
            <w:tcW w:w="4677" w:type="dxa"/>
            <w:gridSpan w:val="3"/>
            <w:shd w:val="clear" w:color="auto" w:fill="E3EBF3"/>
            <w:tcMar>
              <w:top w:w="80" w:type="dxa"/>
              <w:left w:w="80" w:type="dxa"/>
              <w:bottom w:w="80" w:type="dxa"/>
              <w:right w:w="80" w:type="dxa"/>
            </w:tcMar>
            <w:vAlign w:val="center"/>
          </w:tcPr>
          <w:p w:rsidR="00991575" w:rsidRPr="002D1024" w:rsidRDefault="000869AC" w:rsidP="002A6BAF">
            <w:pPr>
              <w:suppressAutoHyphens/>
              <w:autoSpaceDE w:val="0"/>
              <w:autoSpaceDN w:val="0"/>
              <w:adjustRightInd w:val="0"/>
              <w:spacing w:after="0"/>
              <w:jc w:val="center"/>
              <w:textAlignment w:val="center"/>
              <w:rPr>
                <w:rFonts w:ascii="Calibri" w:hAnsi="Calibri" w:cs="Calibri"/>
                <w:color w:val="000000"/>
                <w:sz w:val="20"/>
                <w:szCs w:val="20"/>
              </w:rPr>
            </w:pPr>
            <w:r>
              <w:rPr>
                <w:rFonts w:ascii="Calibri" w:hAnsi="Calibri" w:cs="Calibri"/>
                <w:b/>
                <w:bCs/>
                <w:color w:val="000000"/>
                <w:sz w:val="20"/>
                <w:szCs w:val="20"/>
              </w:rPr>
              <w:t>Z </w:t>
            </w:r>
            <w:r w:rsidR="00991575" w:rsidRPr="002D1024">
              <w:rPr>
                <w:rFonts w:ascii="Calibri" w:hAnsi="Calibri" w:cs="Calibri"/>
                <w:b/>
                <w:bCs/>
                <w:color w:val="000000"/>
                <w:sz w:val="20"/>
                <w:szCs w:val="20"/>
              </w:rPr>
              <w:t>toho:</w:t>
            </w:r>
          </w:p>
        </w:tc>
      </w:tr>
      <w:tr w:rsidR="00991575" w:rsidRPr="00991575" w:rsidTr="00FC2101">
        <w:trPr>
          <w:trHeight w:hRule="exact" w:val="794"/>
        </w:trPr>
        <w:tc>
          <w:tcPr>
            <w:tcW w:w="2977" w:type="dxa"/>
            <w:vMerge/>
            <w:shd w:val="clear" w:color="auto" w:fill="E3EBF3"/>
            <w:vAlign w:val="center"/>
          </w:tcPr>
          <w:p w:rsidR="00991575" w:rsidRPr="002D1024" w:rsidRDefault="00991575" w:rsidP="00357A5B">
            <w:pPr>
              <w:autoSpaceDE w:val="0"/>
              <w:autoSpaceDN w:val="0"/>
              <w:adjustRightInd w:val="0"/>
              <w:spacing w:after="0"/>
              <w:jc w:val="center"/>
              <w:rPr>
                <w:rFonts w:ascii="Calibri" w:hAnsi="Calibri" w:cs="Times New Roman"/>
                <w:sz w:val="20"/>
                <w:szCs w:val="20"/>
              </w:rPr>
            </w:pPr>
          </w:p>
        </w:tc>
        <w:tc>
          <w:tcPr>
            <w:tcW w:w="1418" w:type="dxa"/>
            <w:vMerge/>
            <w:shd w:val="clear" w:color="auto" w:fill="E3EBF3"/>
            <w:vAlign w:val="center"/>
          </w:tcPr>
          <w:p w:rsidR="00991575" w:rsidRPr="002D1024" w:rsidRDefault="00991575" w:rsidP="00357A5B">
            <w:pPr>
              <w:autoSpaceDE w:val="0"/>
              <w:autoSpaceDN w:val="0"/>
              <w:adjustRightInd w:val="0"/>
              <w:spacing w:after="0"/>
              <w:jc w:val="center"/>
              <w:rPr>
                <w:rFonts w:ascii="Calibri" w:hAnsi="Calibri" w:cs="Times New Roman"/>
                <w:sz w:val="20"/>
                <w:szCs w:val="20"/>
              </w:rPr>
            </w:pPr>
          </w:p>
        </w:tc>
        <w:tc>
          <w:tcPr>
            <w:tcW w:w="1559" w:type="dxa"/>
            <w:shd w:val="clear" w:color="auto" w:fill="E3EBF3"/>
            <w:tcMar>
              <w:top w:w="80" w:type="dxa"/>
              <w:left w:w="80" w:type="dxa"/>
              <w:bottom w:w="80" w:type="dxa"/>
              <w:right w:w="80" w:type="dxa"/>
            </w:tcMar>
          </w:tcPr>
          <w:p w:rsidR="00991575" w:rsidRPr="002D1024" w:rsidRDefault="00991575" w:rsidP="00FC2101">
            <w:pPr>
              <w:suppressAutoHyphens/>
              <w:autoSpaceDE w:val="0"/>
              <w:autoSpaceDN w:val="0"/>
              <w:adjustRightInd w:val="0"/>
              <w:spacing w:after="0"/>
              <w:ind w:left="-80" w:right="-80"/>
              <w:jc w:val="center"/>
              <w:textAlignment w:val="center"/>
              <w:rPr>
                <w:rFonts w:ascii="Calibri" w:hAnsi="Calibri" w:cs="Calibri"/>
                <w:color w:val="000000"/>
                <w:sz w:val="20"/>
                <w:szCs w:val="20"/>
              </w:rPr>
            </w:pPr>
            <w:r w:rsidRPr="002D1024">
              <w:rPr>
                <w:rFonts w:ascii="Calibri" w:hAnsi="Calibri" w:cs="Calibri"/>
                <w:b/>
                <w:bCs/>
                <w:color w:val="000000"/>
                <w:sz w:val="20"/>
                <w:szCs w:val="20"/>
              </w:rPr>
              <w:t>Sektor nefinančních podniků</w:t>
            </w:r>
          </w:p>
        </w:tc>
        <w:tc>
          <w:tcPr>
            <w:tcW w:w="1559" w:type="dxa"/>
            <w:shd w:val="clear" w:color="auto" w:fill="E3EBF3"/>
            <w:tcMar>
              <w:top w:w="80" w:type="dxa"/>
              <w:left w:w="80" w:type="dxa"/>
              <w:bottom w:w="80" w:type="dxa"/>
              <w:right w:w="80" w:type="dxa"/>
            </w:tcMar>
            <w:vAlign w:val="center"/>
          </w:tcPr>
          <w:p w:rsidR="00991575" w:rsidRPr="002D1024" w:rsidRDefault="00991575" w:rsidP="004174C2">
            <w:pPr>
              <w:suppressAutoHyphens/>
              <w:autoSpaceDE w:val="0"/>
              <w:autoSpaceDN w:val="0"/>
              <w:adjustRightInd w:val="0"/>
              <w:spacing w:after="0"/>
              <w:jc w:val="center"/>
              <w:textAlignment w:val="center"/>
              <w:rPr>
                <w:rFonts w:ascii="Calibri" w:hAnsi="Calibri" w:cs="Calibri"/>
                <w:color w:val="000000"/>
                <w:sz w:val="20"/>
                <w:szCs w:val="20"/>
              </w:rPr>
            </w:pPr>
            <w:r w:rsidRPr="002D1024">
              <w:rPr>
                <w:rFonts w:ascii="Calibri" w:hAnsi="Calibri" w:cs="Calibri"/>
                <w:b/>
                <w:bCs/>
                <w:color w:val="000000"/>
                <w:sz w:val="20"/>
                <w:szCs w:val="20"/>
              </w:rPr>
              <w:t>Sektor domácností</w:t>
            </w:r>
          </w:p>
        </w:tc>
        <w:tc>
          <w:tcPr>
            <w:tcW w:w="1559" w:type="dxa"/>
            <w:shd w:val="clear" w:color="auto" w:fill="E3EBF3"/>
            <w:tcMar>
              <w:top w:w="80" w:type="dxa"/>
              <w:left w:w="80" w:type="dxa"/>
              <w:bottom w:w="80" w:type="dxa"/>
              <w:right w:w="80" w:type="dxa"/>
            </w:tcMar>
            <w:vAlign w:val="center"/>
          </w:tcPr>
          <w:p w:rsidR="00991575" w:rsidRPr="002D1024" w:rsidRDefault="00991575" w:rsidP="004174C2">
            <w:pPr>
              <w:suppressAutoHyphens/>
              <w:autoSpaceDE w:val="0"/>
              <w:autoSpaceDN w:val="0"/>
              <w:adjustRightInd w:val="0"/>
              <w:spacing w:after="0"/>
              <w:jc w:val="center"/>
              <w:textAlignment w:val="center"/>
              <w:rPr>
                <w:rFonts w:ascii="Calibri" w:hAnsi="Calibri" w:cs="Calibri"/>
                <w:color w:val="000000"/>
                <w:sz w:val="20"/>
                <w:szCs w:val="20"/>
              </w:rPr>
            </w:pPr>
            <w:r w:rsidRPr="002D1024">
              <w:rPr>
                <w:rFonts w:ascii="Calibri" w:hAnsi="Calibri" w:cs="Calibri"/>
                <w:b/>
                <w:bCs/>
                <w:color w:val="000000"/>
                <w:sz w:val="20"/>
                <w:szCs w:val="20"/>
              </w:rPr>
              <w:t>Ostatní sektory</w:t>
            </w:r>
          </w:p>
        </w:tc>
      </w:tr>
      <w:tr w:rsidR="00991575" w:rsidRPr="00991575" w:rsidTr="002A6BAF">
        <w:trPr>
          <w:trHeight w:hRule="exact" w:val="284"/>
        </w:trPr>
        <w:tc>
          <w:tcPr>
            <w:tcW w:w="2977" w:type="dxa"/>
            <w:vMerge/>
            <w:vAlign w:val="center"/>
          </w:tcPr>
          <w:p w:rsidR="00991575" w:rsidRPr="002D1024" w:rsidRDefault="00991575" w:rsidP="00357A5B">
            <w:pPr>
              <w:autoSpaceDE w:val="0"/>
              <w:autoSpaceDN w:val="0"/>
              <w:adjustRightInd w:val="0"/>
              <w:spacing w:after="0"/>
              <w:jc w:val="center"/>
              <w:rPr>
                <w:rFonts w:ascii="Calibri" w:hAnsi="Calibri" w:cs="Times New Roman"/>
                <w:sz w:val="20"/>
                <w:szCs w:val="20"/>
              </w:rPr>
            </w:pPr>
          </w:p>
        </w:tc>
        <w:tc>
          <w:tcPr>
            <w:tcW w:w="1418" w:type="dxa"/>
            <w:shd w:val="clear" w:color="auto" w:fill="D9D9D9" w:themeFill="background1" w:themeFillShade="D9"/>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b/>
                <w:bCs/>
                <w:color w:val="000000"/>
                <w:sz w:val="20"/>
                <w:szCs w:val="20"/>
              </w:rPr>
              <w:t>337 368</w:t>
            </w:r>
          </w:p>
        </w:tc>
        <w:tc>
          <w:tcPr>
            <w:tcW w:w="1559" w:type="dxa"/>
            <w:shd w:val="clear" w:color="auto" w:fill="D9D9D9" w:themeFill="background1" w:themeFillShade="D9"/>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b/>
                <w:bCs/>
                <w:color w:val="000000"/>
                <w:sz w:val="20"/>
                <w:szCs w:val="20"/>
              </w:rPr>
              <w:t>102 503</w:t>
            </w:r>
          </w:p>
        </w:tc>
        <w:tc>
          <w:tcPr>
            <w:tcW w:w="1559" w:type="dxa"/>
            <w:shd w:val="clear" w:color="auto" w:fill="D9D9D9" w:themeFill="background1" w:themeFillShade="D9"/>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b/>
                <w:bCs/>
                <w:color w:val="000000"/>
                <w:sz w:val="20"/>
                <w:szCs w:val="20"/>
              </w:rPr>
              <w:t>230 738</w:t>
            </w:r>
          </w:p>
        </w:tc>
        <w:tc>
          <w:tcPr>
            <w:tcW w:w="1559" w:type="dxa"/>
            <w:shd w:val="clear" w:color="auto" w:fill="D9D9D9" w:themeFill="background1" w:themeFillShade="D9"/>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b/>
                <w:bCs/>
                <w:color w:val="000000"/>
                <w:sz w:val="20"/>
                <w:szCs w:val="20"/>
              </w:rPr>
              <w:t>4 127</w:t>
            </w:r>
          </w:p>
        </w:tc>
      </w:tr>
      <w:tr w:rsidR="00991575" w:rsidRPr="00991575" w:rsidTr="002A6BAF">
        <w:trPr>
          <w:trHeight w:val="170"/>
        </w:trPr>
        <w:tc>
          <w:tcPr>
            <w:tcW w:w="2977" w:type="dxa"/>
            <w:tcMar>
              <w:top w:w="80" w:type="dxa"/>
              <w:left w:w="80" w:type="dxa"/>
              <w:bottom w:w="80" w:type="dxa"/>
              <w:right w:w="80" w:type="dxa"/>
            </w:tcMar>
            <w:vAlign w:val="center"/>
          </w:tcPr>
          <w:p w:rsidR="00991575" w:rsidRPr="00FC2101" w:rsidRDefault="00EF27ED" w:rsidP="002A6BAF">
            <w:pPr>
              <w:suppressAutoHyphens/>
              <w:autoSpaceDE w:val="0"/>
              <w:autoSpaceDN w:val="0"/>
              <w:adjustRightInd w:val="0"/>
              <w:spacing w:after="0"/>
              <w:jc w:val="left"/>
              <w:textAlignment w:val="center"/>
              <w:rPr>
                <w:rFonts w:ascii="Calibri" w:hAnsi="Calibri" w:cs="Calibri"/>
                <w:color w:val="000000"/>
                <w:sz w:val="20"/>
                <w:szCs w:val="20"/>
              </w:rPr>
            </w:pPr>
            <w:r w:rsidRPr="00FC2101">
              <w:rPr>
                <w:rFonts w:ascii="Calibri" w:hAnsi="Calibri" w:cs="Calibri"/>
                <w:color w:val="000000"/>
                <w:sz w:val="20"/>
                <w:szCs w:val="20"/>
              </w:rPr>
              <w:t>S</w:t>
            </w:r>
            <w:r w:rsidR="00991575" w:rsidRPr="00FC2101">
              <w:rPr>
                <w:rFonts w:ascii="Calibri" w:hAnsi="Calibri" w:cs="Calibri"/>
                <w:color w:val="000000"/>
                <w:sz w:val="20"/>
                <w:szCs w:val="20"/>
              </w:rPr>
              <w:t>tínová ekonomika</w:t>
            </w:r>
          </w:p>
        </w:tc>
        <w:tc>
          <w:tcPr>
            <w:tcW w:w="1418"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13 764</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13 764</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r>
      <w:tr w:rsidR="00991575" w:rsidRPr="00991575" w:rsidTr="002A6BAF">
        <w:trPr>
          <w:trHeight w:val="170"/>
        </w:trPr>
        <w:tc>
          <w:tcPr>
            <w:tcW w:w="2977" w:type="dxa"/>
            <w:tcMar>
              <w:top w:w="80" w:type="dxa"/>
              <w:left w:w="80" w:type="dxa"/>
              <w:bottom w:w="80" w:type="dxa"/>
              <w:right w:w="80" w:type="dxa"/>
            </w:tcMar>
            <w:vAlign w:val="center"/>
          </w:tcPr>
          <w:p w:rsidR="00991575" w:rsidRPr="00FC2101" w:rsidRDefault="00EF27ED" w:rsidP="002A6BAF">
            <w:pPr>
              <w:suppressAutoHyphens/>
              <w:autoSpaceDE w:val="0"/>
              <w:autoSpaceDN w:val="0"/>
              <w:adjustRightInd w:val="0"/>
              <w:spacing w:after="0"/>
              <w:jc w:val="left"/>
              <w:textAlignment w:val="center"/>
              <w:rPr>
                <w:rFonts w:ascii="Calibri" w:hAnsi="Calibri" w:cs="Calibri"/>
                <w:color w:val="000000"/>
                <w:sz w:val="20"/>
                <w:szCs w:val="20"/>
              </w:rPr>
            </w:pPr>
            <w:r w:rsidRPr="00FC2101">
              <w:rPr>
                <w:rFonts w:ascii="Calibri" w:hAnsi="Calibri" w:cs="Calibri"/>
                <w:color w:val="000000"/>
                <w:sz w:val="20"/>
                <w:szCs w:val="20"/>
              </w:rPr>
              <w:t>N</w:t>
            </w:r>
            <w:r w:rsidR="00991575" w:rsidRPr="00FC2101">
              <w:rPr>
                <w:rFonts w:ascii="Calibri" w:hAnsi="Calibri" w:cs="Calibri"/>
                <w:color w:val="000000"/>
                <w:sz w:val="20"/>
                <w:szCs w:val="20"/>
              </w:rPr>
              <w:t>elegální ekonomika</w:t>
            </w:r>
          </w:p>
        </w:tc>
        <w:tc>
          <w:tcPr>
            <w:tcW w:w="1418"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24 107</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5 102</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19 005</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r>
      <w:tr w:rsidR="00991575" w:rsidRPr="00991575" w:rsidTr="002A6BAF">
        <w:trPr>
          <w:trHeight w:val="170"/>
        </w:trPr>
        <w:tc>
          <w:tcPr>
            <w:tcW w:w="2977" w:type="dxa"/>
            <w:tcMar>
              <w:top w:w="80" w:type="dxa"/>
              <w:left w:w="80" w:type="dxa"/>
              <w:bottom w:w="80" w:type="dxa"/>
              <w:right w:w="80" w:type="dxa"/>
            </w:tcMar>
            <w:vAlign w:val="center"/>
          </w:tcPr>
          <w:p w:rsidR="00991575" w:rsidRPr="00FC2101" w:rsidRDefault="00EF27ED" w:rsidP="002A6BAF">
            <w:pPr>
              <w:suppressAutoHyphens/>
              <w:autoSpaceDE w:val="0"/>
              <w:autoSpaceDN w:val="0"/>
              <w:adjustRightInd w:val="0"/>
              <w:spacing w:after="0"/>
              <w:jc w:val="left"/>
              <w:textAlignment w:val="center"/>
              <w:rPr>
                <w:rFonts w:ascii="Calibri" w:hAnsi="Calibri" w:cs="Calibri"/>
                <w:color w:val="000000"/>
                <w:sz w:val="20"/>
                <w:szCs w:val="20"/>
              </w:rPr>
            </w:pPr>
            <w:r w:rsidRPr="00FC2101">
              <w:rPr>
                <w:rFonts w:ascii="Calibri" w:hAnsi="Calibri" w:cs="Calibri"/>
                <w:color w:val="000000"/>
                <w:sz w:val="20"/>
                <w:szCs w:val="20"/>
              </w:rPr>
              <w:t>B</w:t>
            </w:r>
            <w:r w:rsidR="00991575" w:rsidRPr="00FC2101">
              <w:rPr>
                <w:rFonts w:ascii="Calibri" w:hAnsi="Calibri" w:cs="Calibri"/>
                <w:color w:val="000000"/>
                <w:sz w:val="20"/>
                <w:szCs w:val="20"/>
              </w:rPr>
              <w:t>ez povinnosti registrace</w:t>
            </w:r>
          </w:p>
        </w:tc>
        <w:tc>
          <w:tcPr>
            <w:tcW w:w="1418"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36 069</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36 069</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r>
      <w:tr w:rsidR="00991575" w:rsidRPr="00991575" w:rsidTr="002A6BAF">
        <w:trPr>
          <w:trHeight w:val="170"/>
        </w:trPr>
        <w:tc>
          <w:tcPr>
            <w:tcW w:w="2977" w:type="dxa"/>
            <w:tcMar>
              <w:top w:w="80" w:type="dxa"/>
              <w:left w:w="80" w:type="dxa"/>
              <w:bottom w:w="80" w:type="dxa"/>
              <w:right w:w="80" w:type="dxa"/>
            </w:tcMar>
            <w:vAlign w:val="center"/>
          </w:tcPr>
          <w:p w:rsidR="00991575" w:rsidRPr="00FC2101" w:rsidRDefault="00EF27ED" w:rsidP="002A6BAF">
            <w:pPr>
              <w:suppressAutoHyphens/>
              <w:autoSpaceDE w:val="0"/>
              <w:autoSpaceDN w:val="0"/>
              <w:adjustRightInd w:val="0"/>
              <w:spacing w:after="0"/>
              <w:jc w:val="left"/>
              <w:textAlignment w:val="center"/>
              <w:rPr>
                <w:rFonts w:ascii="Calibri" w:hAnsi="Calibri" w:cs="Calibri"/>
                <w:color w:val="000000"/>
                <w:sz w:val="20"/>
                <w:szCs w:val="20"/>
              </w:rPr>
            </w:pPr>
            <w:r w:rsidRPr="00FC2101">
              <w:rPr>
                <w:rFonts w:ascii="Calibri" w:hAnsi="Calibri" w:cs="Calibri"/>
                <w:color w:val="000000"/>
                <w:sz w:val="20"/>
                <w:szCs w:val="20"/>
              </w:rPr>
              <w:t>N</w:t>
            </w:r>
            <w:r w:rsidR="00991575" w:rsidRPr="00FC2101">
              <w:rPr>
                <w:rFonts w:ascii="Calibri" w:hAnsi="Calibri" w:cs="Calibri"/>
                <w:color w:val="000000"/>
                <w:sz w:val="20"/>
                <w:szCs w:val="20"/>
              </w:rPr>
              <w:t>eaktivní registr</w:t>
            </w:r>
          </w:p>
        </w:tc>
        <w:tc>
          <w:tcPr>
            <w:tcW w:w="1418"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r>
      <w:tr w:rsidR="00991575" w:rsidRPr="00991575" w:rsidTr="002A6BAF">
        <w:trPr>
          <w:trHeight w:val="170"/>
        </w:trPr>
        <w:tc>
          <w:tcPr>
            <w:tcW w:w="2977" w:type="dxa"/>
            <w:tcMar>
              <w:top w:w="80" w:type="dxa"/>
              <w:left w:w="80" w:type="dxa"/>
              <w:bottom w:w="80" w:type="dxa"/>
              <w:right w:w="80" w:type="dxa"/>
            </w:tcMar>
            <w:vAlign w:val="center"/>
          </w:tcPr>
          <w:p w:rsidR="00991575" w:rsidRPr="00FC2101" w:rsidRDefault="00EF27ED" w:rsidP="002A6BAF">
            <w:pPr>
              <w:suppressAutoHyphens/>
              <w:autoSpaceDE w:val="0"/>
              <w:autoSpaceDN w:val="0"/>
              <w:adjustRightInd w:val="0"/>
              <w:spacing w:after="0"/>
              <w:jc w:val="left"/>
              <w:textAlignment w:val="center"/>
              <w:rPr>
                <w:rFonts w:ascii="Calibri" w:hAnsi="Calibri" w:cs="Calibri"/>
                <w:color w:val="000000"/>
                <w:sz w:val="20"/>
                <w:szCs w:val="20"/>
              </w:rPr>
            </w:pPr>
            <w:r w:rsidRPr="00FC2101">
              <w:rPr>
                <w:rFonts w:ascii="Calibri" w:hAnsi="Calibri" w:cs="Calibri"/>
                <w:color w:val="000000"/>
                <w:sz w:val="20"/>
                <w:szCs w:val="20"/>
              </w:rPr>
              <w:t>N</w:t>
            </w:r>
            <w:r w:rsidR="00991575" w:rsidRPr="00FC2101">
              <w:rPr>
                <w:rFonts w:ascii="Calibri" w:hAnsi="Calibri" w:cs="Calibri"/>
                <w:color w:val="000000"/>
                <w:sz w:val="20"/>
                <w:szCs w:val="20"/>
              </w:rPr>
              <w:t>epodléhající zjišťování</w:t>
            </w:r>
          </w:p>
        </w:tc>
        <w:tc>
          <w:tcPr>
            <w:tcW w:w="1418"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25 166</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25 166</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r>
      <w:tr w:rsidR="00991575" w:rsidRPr="00991575" w:rsidTr="002A6BAF">
        <w:trPr>
          <w:trHeight w:val="170"/>
        </w:trPr>
        <w:tc>
          <w:tcPr>
            <w:tcW w:w="2977" w:type="dxa"/>
            <w:shd w:val="clear" w:color="auto" w:fill="FFFFFF" w:themeFill="background1"/>
            <w:tcMar>
              <w:top w:w="80" w:type="dxa"/>
              <w:left w:w="80" w:type="dxa"/>
              <w:bottom w:w="80" w:type="dxa"/>
              <w:right w:w="80" w:type="dxa"/>
            </w:tcMar>
            <w:vAlign w:val="center"/>
          </w:tcPr>
          <w:p w:rsidR="00991575" w:rsidRPr="00FC2101" w:rsidRDefault="00EF27ED" w:rsidP="00FC2101">
            <w:pPr>
              <w:suppressAutoHyphens/>
              <w:autoSpaceDE w:val="0"/>
              <w:autoSpaceDN w:val="0"/>
              <w:adjustRightInd w:val="0"/>
              <w:spacing w:after="0"/>
              <w:ind w:right="-80"/>
              <w:jc w:val="left"/>
              <w:textAlignment w:val="center"/>
              <w:rPr>
                <w:rFonts w:ascii="Calibri" w:hAnsi="Calibri" w:cs="Calibri"/>
                <w:color w:val="000000"/>
                <w:sz w:val="20"/>
                <w:szCs w:val="20"/>
              </w:rPr>
            </w:pPr>
            <w:r w:rsidRPr="00FC2101">
              <w:rPr>
                <w:rFonts w:ascii="Calibri" w:hAnsi="Calibri" w:cs="Calibri"/>
                <w:color w:val="000000"/>
                <w:sz w:val="20"/>
                <w:szCs w:val="20"/>
              </w:rPr>
              <w:t>V</w:t>
            </w:r>
            <w:r w:rsidR="000368E9" w:rsidRPr="00FC2101">
              <w:rPr>
                <w:rFonts w:ascii="Calibri" w:hAnsi="Calibri" w:cs="Calibri"/>
                <w:color w:val="000000"/>
                <w:sz w:val="20"/>
                <w:szCs w:val="20"/>
              </w:rPr>
              <w:t>ýrobci úmyslně zkreslující údaje</w:t>
            </w:r>
            <w:r w:rsidR="00991575" w:rsidRPr="00FC2101">
              <w:rPr>
                <w:rFonts w:ascii="Calibri" w:hAnsi="Calibri" w:cs="Calibri"/>
                <w:color w:val="000000"/>
                <w:sz w:val="20"/>
                <w:szCs w:val="20"/>
              </w:rPr>
              <w:t xml:space="preserve"> </w:t>
            </w:r>
          </w:p>
        </w:tc>
        <w:tc>
          <w:tcPr>
            <w:tcW w:w="1418"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224 665</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92 453</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132 212</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0</w:t>
            </w:r>
          </w:p>
        </w:tc>
      </w:tr>
      <w:tr w:rsidR="00991575" w:rsidRPr="00991575" w:rsidTr="002A6BAF">
        <w:trPr>
          <w:trHeight w:val="170"/>
        </w:trPr>
        <w:tc>
          <w:tcPr>
            <w:tcW w:w="2977" w:type="dxa"/>
            <w:tcMar>
              <w:top w:w="80" w:type="dxa"/>
              <w:left w:w="80" w:type="dxa"/>
              <w:bottom w:w="80" w:type="dxa"/>
              <w:right w:w="80" w:type="dxa"/>
            </w:tcMar>
            <w:vAlign w:val="center"/>
          </w:tcPr>
          <w:p w:rsidR="00991575" w:rsidRPr="00FC2101" w:rsidRDefault="00EF27ED" w:rsidP="002A6BAF">
            <w:pPr>
              <w:suppressAutoHyphens/>
              <w:autoSpaceDE w:val="0"/>
              <w:autoSpaceDN w:val="0"/>
              <w:adjustRightInd w:val="0"/>
              <w:spacing w:after="0"/>
              <w:jc w:val="left"/>
              <w:textAlignment w:val="center"/>
              <w:rPr>
                <w:rFonts w:ascii="Calibri" w:hAnsi="Calibri" w:cs="Calibri"/>
                <w:color w:val="000000"/>
                <w:sz w:val="20"/>
                <w:szCs w:val="20"/>
              </w:rPr>
            </w:pPr>
            <w:r w:rsidRPr="00FC2101">
              <w:rPr>
                <w:rFonts w:ascii="Calibri" w:hAnsi="Calibri" w:cs="Calibri"/>
                <w:color w:val="000000"/>
                <w:sz w:val="20"/>
                <w:szCs w:val="20"/>
              </w:rPr>
              <w:t>N</w:t>
            </w:r>
            <w:r w:rsidR="00991575" w:rsidRPr="00FC2101">
              <w:rPr>
                <w:rFonts w:ascii="Calibri" w:hAnsi="Calibri" w:cs="Calibri"/>
                <w:color w:val="000000"/>
                <w:sz w:val="20"/>
                <w:szCs w:val="20"/>
              </w:rPr>
              <w:t>aturální mzdy</w:t>
            </w:r>
          </w:p>
        </w:tc>
        <w:tc>
          <w:tcPr>
            <w:tcW w:w="1418"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13 597</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4 948</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4 522</w:t>
            </w:r>
          </w:p>
        </w:tc>
        <w:tc>
          <w:tcPr>
            <w:tcW w:w="1559" w:type="dxa"/>
            <w:tcMar>
              <w:top w:w="80" w:type="dxa"/>
              <w:left w:w="80" w:type="dxa"/>
              <w:bottom w:w="80" w:type="dxa"/>
              <w:right w:w="80" w:type="dxa"/>
            </w:tcMar>
            <w:vAlign w:val="center"/>
          </w:tcPr>
          <w:p w:rsidR="00991575" w:rsidRPr="002D1024" w:rsidRDefault="00991575" w:rsidP="002A6BAF">
            <w:pPr>
              <w:suppressAutoHyphens/>
              <w:autoSpaceDE w:val="0"/>
              <w:autoSpaceDN w:val="0"/>
              <w:adjustRightInd w:val="0"/>
              <w:spacing w:after="0"/>
              <w:jc w:val="right"/>
              <w:textAlignment w:val="center"/>
              <w:rPr>
                <w:rFonts w:ascii="Calibri" w:hAnsi="Calibri" w:cs="Calibri"/>
                <w:color w:val="000000"/>
                <w:sz w:val="20"/>
                <w:szCs w:val="20"/>
              </w:rPr>
            </w:pPr>
            <w:r w:rsidRPr="002D1024">
              <w:rPr>
                <w:rFonts w:ascii="Calibri" w:hAnsi="Calibri" w:cs="Calibri"/>
                <w:color w:val="000000"/>
                <w:sz w:val="20"/>
                <w:szCs w:val="20"/>
              </w:rPr>
              <w:t>4 127</w:t>
            </w:r>
          </w:p>
        </w:tc>
      </w:tr>
    </w:tbl>
    <w:p w:rsidR="00991575" w:rsidRDefault="00D547F0" w:rsidP="00061F55">
      <w:pPr>
        <w:spacing w:after="0"/>
        <w:rPr>
          <w:rFonts w:cstheme="minorHAnsi"/>
          <w:sz w:val="20"/>
          <w:szCs w:val="24"/>
        </w:rPr>
      </w:pPr>
      <w:r w:rsidRPr="00FC2101">
        <w:rPr>
          <w:rFonts w:cstheme="minorHAnsi"/>
          <w:b/>
          <w:sz w:val="20"/>
          <w:szCs w:val="24"/>
        </w:rPr>
        <w:t>Zdroj:</w:t>
      </w:r>
      <w:r w:rsidRPr="002F2322">
        <w:rPr>
          <w:rFonts w:cstheme="minorHAnsi"/>
          <w:sz w:val="20"/>
          <w:szCs w:val="24"/>
        </w:rPr>
        <w:t xml:space="preserve"> ČSÚ.</w:t>
      </w:r>
    </w:p>
    <w:p w:rsidR="00061F55" w:rsidRPr="00FC2101" w:rsidRDefault="00061F55" w:rsidP="00061F55">
      <w:pPr>
        <w:spacing w:after="0"/>
        <w:rPr>
          <w:rFonts w:cstheme="minorHAnsi"/>
          <w:b/>
          <w:sz w:val="20"/>
          <w:szCs w:val="24"/>
        </w:rPr>
      </w:pPr>
      <w:r w:rsidRPr="00FC2101">
        <w:rPr>
          <w:rFonts w:cstheme="minorHAnsi"/>
          <w:b/>
          <w:sz w:val="20"/>
          <w:szCs w:val="24"/>
        </w:rPr>
        <w:t xml:space="preserve">Poznámka: </w:t>
      </w:r>
    </w:p>
    <w:p w:rsidR="00061F55" w:rsidRPr="00061F55" w:rsidRDefault="00061F55" w:rsidP="00061F55">
      <w:pPr>
        <w:spacing w:after="0"/>
        <w:rPr>
          <w:rFonts w:cstheme="minorHAnsi"/>
          <w:sz w:val="20"/>
          <w:szCs w:val="24"/>
        </w:rPr>
      </w:pPr>
      <w:r w:rsidRPr="00061F55">
        <w:rPr>
          <w:rFonts w:cstheme="minorHAnsi"/>
          <w:sz w:val="20"/>
          <w:szCs w:val="24"/>
        </w:rPr>
        <w:t xml:space="preserve">Stínová ekonomika – ekonomickou činnost vykonávají podnikatelé, kteří se neregistrovali </w:t>
      </w:r>
      <w:r w:rsidR="000869AC">
        <w:rPr>
          <w:rFonts w:cstheme="minorHAnsi"/>
          <w:sz w:val="20"/>
          <w:szCs w:val="24"/>
        </w:rPr>
        <w:t>k </w:t>
      </w:r>
      <w:r w:rsidRPr="00061F55">
        <w:rPr>
          <w:rFonts w:cstheme="minorHAnsi"/>
          <w:sz w:val="20"/>
          <w:szCs w:val="24"/>
        </w:rPr>
        <w:t>dani</w:t>
      </w:r>
      <w:r>
        <w:rPr>
          <w:rFonts w:cstheme="minorHAnsi"/>
          <w:sz w:val="20"/>
          <w:szCs w:val="24"/>
        </w:rPr>
        <w:t>.</w:t>
      </w:r>
    </w:p>
    <w:p w:rsidR="00061F55" w:rsidRPr="00061F55" w:rsidRDefault="00061F55" w:rsidP="00061F55">
      <w:pPr>
        <w:spacing w:after="0"/>
        <w:rPr>
          <w:rFonts w:cstheme="minorHAnsi"/>
          <w:sz w:val="20"/>
          <w:szCs w:val="24"/>
        </w:rPr>
      </w:pPr>
      <w:r w:rsidRPr="00061F55">
        <w:rPr>
          <w:rFonts w:cstheme="minorHAnsi"/>
          <w:sz w:val="20"/>
          <w:szCs w:val="24"/>
        </w:rPr>
        <w:t>Nelegální ekonomika – drogy, prostituce, podvody</w:t>
      </w:r>
      <w:r>
        <w:rPr>
          <w:rFonts w:cstheme="minorHAnsi"/>
          <w:sz w:val="20"/>
          <w:szCs w:val="24"/>
        </w:rPr>
        <w:t>.</w:t>
      </w:r>
    </w:p>
    <w:p w:rsidR="00061F55" w:rsidRPr="00061F55" w:rsidRDefault="00061F55" w:rsidP="00061F55">
      <w:pPr>
        <w:spacing w:after="0"/>
        <w:rPr>
          <w:rFonts w:cstheme="minorHAnsi"/>
          <w:sz w:val="20"/>
          <w:szCs w:val="24"/>
        </w:rPr>
      </w:pPr>
      <w:r w:rsidRPr="00061F55">
        <w:rPr>
          <w:rFonts w:cstheme="minorHAnsi"/>
          <w:sz w:val="20"/>
          <w:szCs w:val="24"/>
        </w:rPr>
        <w:t xml:space="preserve">Bez povinnosti registrace – ekonomická činnost, u které podnikatel nemusí být registrován </w:t>
      </w:r>
      <w:r w:rsidR="000869AC">
        <w:rPr>
          <w:rFonts w:cstheme="minorHAnsi"/>
          <w:sz w:val="20"/>
          <w:szCs w:val="24"/>
        </w:rPr>
        <w:t>k </w:t>
      </w:r>
      <w:r w:rsidRPr="00061F55">
        <w:rPr>
          <w:rFonts w:cstheme="minorHAnsi"/>
          <w:sz w:val="20"/>
          <w:szCs w:val="24"/>
        </w:rPr>
        <w:t>dani</w:t>
      </w:r>
      <w:r>
        <w:rPr>
          <w:rFonts w:cstheme="minorHAnsi"/>
          <w:sz w:val="20"/>
          <w:szCs w:val="24"/>
        </w:rPr>
        <w:t>.</w:t>
      </w:r>
    </w:p>
    <w:p w:rsidR="00061F55" w:rsidRPr="00061F55" w:rsidRDefault="00061F55" w:rsidP="00061F55">
      <w:pPr>
        <w:spacing w:after="0"/>
        <w:rPr>
          <w:rFonts w:cstheme="minorHAnsi"/>
          <w:sz w:val="20"/>
          <w:szCs w:val="24"/>
        </w:rPr>
      </w:pPr>
      <w:r w:rsidRPr="00061F55">
        <w:rPr>
          <w:rFonts w:cstheme="minorHAnsi"/>
          <w:sz w:val="20"/>
          <w:szCs w:val="24"/>
        </w:rPr>
        <w:t xml:space="preserve">Nepodléhající zjišťování – </w:t>
      </w:r>
      <w:r w:rsidR="00EF27ED">
        <w:rPr>
          <w:rFonts w:cstheme="minorHAnsi"/>
          <w:sz w:val="20"/>
          <w:szCs w:val="24"/>
        </w:rPr>
        <w:t>jedná se o</w:t>
      </w:r>
      <w:r w:rsidRPr="00061F55">
        <w:rPr>
          <w:rFonts w:cstheme="minorHAnsi"/>
          <w:sz w:val="20"/>
          <w:szCs w:val="24"/>
        </w:rPr>
        <w:t xml:space="preserve"> případy pod hladinou významnosti zjišťování ČSÚ</w:t>
      </w:r>
      <w:r>
        <w:rPr>
          <w:rFonts w:cstheme="minorHAnsi"/>
          <w:sz w:val="20"/>
          <w:szCs w:val="24"/>
        </w:rPr>
        <w:t>.</w:t>
      </w:r>
    </w:p>
    <w:p w:rsidR="00061F55" w:rsidRPr="00061F55" w:rsidRDefault="00061F55" w:rsidP="00061F55">
      <w:pPr>
        <w:spacing w:after="0"/>
        <w:rPr>
          <w:rFonts w:cstheme="minorHAnsi"/>
          <w:sz w:val="20"/>
          <w:szCs w:val="24"/>
        </w:rPr>
      </w:pPr>
      <w:r w:rsidRPr="00061F55">
        <w:rPr>
          <w:rFonts w:cstheme="minorHAnsi"/>
          <w:sz w:val="20"/>
          <w:szCs w:val="24"/>
        </w:rPr>
        <w:t>Výrobci úmyslně zkreslující údaje – podnikatelé, kteří buď podhodnocují tržby</w:t>
      </w:r>
      <w:r>
        <w:rPr>
          <w:rFonts w:cstheme="minorHAnsi"/>
          <w:sz w:val="20"/>
          <w:szCs w:val="24"/>
        </w:rPr>
        <w:t>,</w:t>
      </w:r>
      <w:r w:rsidRPr="00061F55">
        <w:rPr>
          <w:rFonts w:cstheme="minorHAnsi"/>
          <w:sz w:val="20"/>
          <w:szCs w:val="24"/>
        </w:rPr>
        <w:t xml:space="preserve"> nebo nadhodnocují náklady</w:t>
      </w:r>
      <w:r>
        <w:rPr>
          <w:rFonts w:cstheme="minorHAnsi"/>
          <w:sz w:val="20"/>
          <w:szCs w:val="24"/>
        </w:rPr>
        <w:t>.</w:t>
      </w:r>
    </w:p>
    <w:p w:rsidR="00F26D73" w:rsidRDefault="00061F55" w:rsidP="00061F55">
      <w:pPr>
        <w:spacing w:after="0"/>
        <w:rPr>
          <w:rFonts w:cstheme="minorHAnsi"/>
          <w:sz w:val="20"/>
          <w:szCs w:val="24"/>
        </w:rPr>
      </w:pPr>
      <w:r w:rsidRPr="00061F55">
        <w:rPr>
          <w:rFonts w:cstheme="minorHAnsi"/>
          <w:sz w:val="20"/>
          <w:szCs w:val="24"/>
        </w:rPr>
        <w:t xml:space="preserve">Naturální mzdy – mzdy </w:t>
      </w:r>
      <w:r w:rsidR="000869AC">
        <w:rPr>
          <w:rFonts w:cstheme="minorHAnsi"/>
          <w:sz w:val="20"/>
          <w:szCs w:val="24"/>
        </w:rPr>
        <w:t>v </w:t>
      </w:r>
      <w:r w:rsidRPr="00061F55">
        <w:rPr>
          <w:rFonts w:cstheme="minorHAnsi"/>
          <w:sz w:val="20"/>
          <w:szCs w:val="24"/>
        </w:rPr>
        <w:t>jiném než finančním vyjádření</w:t>
      </w:r>
      <w:r>
        <w:rPr>
          <w:rFonts w:cstheme="minorHAnsi"/>
          <w:sz w:val="20"/>
          <w:szCs w:val="24"/>
        </w:rPr>
        <w:t>.</w:t>
      </w:r>
    </w:p>
    <w:p w:rsidR="00F26D73" w:rsidRPr="002F2322" w:rsidRDefault="00F26D73" w:rsidP="00D547F0">
      <w:pPr>
        <w:rPr>
          <w:rFonts w:cstheme="minorHAnsi"/>
          <w:szCs w:val="24"/>
        </w:rPr>
      </w:pPr>
    </w:p>
    <w:sectPr w:rsidR="00F26D73" w:rsidRPr="002F2322" w:rsidSect="00663C04">
      <w:head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C9D" w:rsidRDefault="000A7C9D" w:rsidP="00525CA7">
      <w:pPr>
        <w:spacing w:after="0"/>
      </w:pPr>
      <w:r>
        <w:separator/>
      </w:r>
    </w:p>
  </w:endnote>
  <w:endnote w:type="continuationSeparator" w:id="0">
    <w:p w:rsidR="000A7C9D" w:rsidRDefault="000A7C9D" w:rsidP="00525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725438"/>
      <w:docPartObj>
        <w:docPartGallery w:val="Page Numbers (Bottom of Page)"/>
        <w:docPartUnique/>
      </w:docPartObj>
    </w:sdtPr>
    <w:sdtEndPr/>
    <w:sdtContent>
      <w:p w:rsidR="000A7C9D" w:rsidRDefault="000A7C9D">
        <w:pPr>
          <w:pStyle w:val="Zpat"/>
          <w:jc w:val="center"/>
        </w:pPr>
        <w:r>
          <w:fldChar w:fldCharType="begin"/>
        </w:r>
        <w:r>
          <w:instrText>PAGE   \* MERGEFORMAT</w:instrText>
        </w:r>
        <w:r>
          <w:fldChar w:fldCharType="separate"/>
        </w:r>
        <w:r w:rsidR="00313385">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9D" w:rsidRDefault="000A7C9D">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221617"/>
      <w:docPartObj>
        <w:docPartGallery w:val="Page Numbers (Bottom of Page)"/>
        <w:docPartUnique/>
      </w:docPartObj>
    </w:sdtPr>
    <w:sdtEndPr/>
    <w:sdtContent>
      <w:p w:rsidR="000A7C9D" w:rsidRDefault="000A7C9D">
        <w:pPr>
          <w:pStyle w:val="Zpat"/>
          <w:jc w:val="center"/>
        </w:pPr>
        <w:r>
          <w:fldChar w:fldCharType="begin"/>
        </w:r>
        <w:r>
          <w:instrText>PAGE   \* MERGEFORMAT</w:instrText>
        </w:r>
        <w:r>
          <w:fldChar w:fldCharType="separate"/>
        </w:r>
        <w:r w:rsidR="00313385">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C9D" w:rsidRDefault="000A7C9D" w:rsidP="00525CA7">
      <w:pPr>
        <w:spacing w:after="0"/>
      </w:pPr>
      <w:r>
        <w:separator/>
      </w:r>
    </w:p>
  </w:footnote>
  <w:footnote w:type="continuationSeparator" w:id="0">
    <w:p w:rsidR="000A7C9D" w:rsidRDefault="000A7C9D" w:rsidP="00525CA7">
      <w:pPr>
        <w:spacing w:after="0"/>
      </w:pPr>
      <w:r>
        <w:continuationSeparator/>
      </w:r>
    </w:p>
  </w:footnote>
  <w:footnote w:id="1">
    <w:p w:rsidR="000A7C9D" w:rsidRPr="00620E8D" w:rsidRDefault="000A7C9D" w:rsidP="00FC2101">
      <w:pPr>
        <w:pStyle w:val="Textpoznpodarou"/>
        <w:ind w:left="284" w:hanging="284"/>
        <w:jc w:val="left"/>
      </w:pPr>
      <w:r>
        <w:rPr>
          <w:rStyle w:val="Znakapoznpodarou"/>
        </w:rPr>
        <w:footnoteRef/>
      </w:r>
      <w:r>
        <w:t xml:space="preserve"> </w:t>
      </w:r>
      <w:r>
        <w:tab/>
      </w:r>
      <w:r w:rsidRPr="00620E8D">
        <w:t>Znalostní test znamená, že plátce věděl, vědět měl a mohl, že poskytovatel zdanitelného plnění byl účastníkem podvodného jednání</w:t>
      </w:r>
      <w:r>
        <w:t>.</w:t>
      </w:r>
    </w:p>
  </w:footnote>
  <w:footnote w:id="2">
    <w:p w:rsidR="000A7C9D" w:rsidRDefault="000A7C9D" w:rsidP="00C86BE0">
      <w:pPr>
        <w:pStyle w:val="Textpoznpodarou"/>
        <w:ind w:left="284" w:hanging="284"/>
      </w:pPr>
      <w:r w:rsidRPr="00F36623">
        <w:rPr>
          <w:rStyle w:val="Znakapoznpodarou"/>
        </w:rPr>
        <w:footnoteRef/>
      </w:r>
      <w:r w:rsidRPr="00F36623">
        <w:t xml:space="preserve"> </w:t>
      </w:r>
      <w:r>
        <w:tab/>
      </w:r>
      <w:r w:rsidRPr="00F36623">
        <w:t>Celková kladná hodnota je rozdíl, o který hodnota plnění vykázaných poskytovateli převyšuje hodnotu vykázanou příjemci</w:t>
      </w:r>
      <w:r>
        <w:t>,</w:t>
      </w:r>
      <w:r w:rsidRPr="00F36623">
        <w:t xml:space="preserve"> a představuje riziko, že z uskutečněných zdanitelných plnění </w:t>
      </w:r>
      <w:r>
        <w:t>v </w:t>
      </w:r>
      <w:r w:rsidRPr="00F36623">
        <w:t>této výši nepřiznal daň ani poskytovatel, ani příjemce.</w:t>
      </w:r>
    </w:p>
  </w:footnote>
  <w:footnote w:id="3">
    <w:p w:rsidR="000A7C9D" w:rsidRDefault="000A7C9D" w:rsidP="00C86BE0">
      <w:pPr>
        <w:pStyle w:val="Textpoznpodarou"/>
        <w:ind w:left="284" w:hanging="284"/>
      </w:pPr>
      <w:r>
        <w:rPr>
          <w:rStyle w:val="Znakapoznpodarou"/>
        </w:rPr>
        <w:footnoteRef/>
      </w:r>
      <w:r>
        <w:t xml:space="preserve"> </w:t>
      </w:r>
      <w:r>
        <w:tab/>
        <w:t>Podkladové materiály k neshodám byly generovány od července 2014 do ledna 2015.</w:t>
      </w:r>
    </w:p>
  </w:footnote>
  <w:footnote w:id="4">
    <w:p w:rsidR="000A7C9D" w:rsidRDefault="000A7C9D" w:rsidP="00AA659A">
      <w:pPr>
        <w:pStyle w:val="Textpoznpodarou"/>
        <w:ind w:left="284" w:hanging="284"/>
      </w:pPr>
      <w:r>
        <w:rPr>
          <w:rStyle w:val="Znakapoznpodarou"/>
        </w:rPr>
        <w:footnoteRef/>
      </w:r>
      <w:r>
        <w:t xml:space="preserve"> </w:t>
      </w:r>
      <w:r>
        <w:tab/>
        <w:t>Výpočet byl proveden u právnických osob – plátců registrovaných u všech FÚ v ČR.</w:t>
      </w:r>
    </w:p>
  </w:footnote>
  <w:footnote w:id="5">
    <w:p w:rsidR="000A7C9D" w:rsidRDefault="000A7C9D" w:rsidP="00AA659A">
      <w:pPr>
        <w:pStyle w:val="Textpoznpodarou"/>
        <w:ind w:left="284" w:hanging="284"/>
      </w:pPr>
      <w:r>
        <w:rPr>
          <w:rStyle w:val="Znakapoznpodarou"/>
        </w:rPr>
        <w:footnoteRef/>
      </w:r>
      <w:r>
        <w:t xml:space="preserve"> </w:t>
      </w:r>
      <w:r>
        <w:tab/>
        <w:t>Nové nedoplatky = nedoplatky vzniklé v roce 2011 a v roce 2013.</w:t>
      </w:r>
    </w:p>
  </w:footnote>
  <w:footnote w:id="6">
    <w:p w:rsidR="000A7C9D" w:rsidRDefault="000A7C9D" w:rsidP="00357A5B">
      <w:pPr>
        <w:pStyle w:val="Textpoznpodarou"/>
        <w:ind w:left="284" w:hanging="284"/>
      </w:pPr>
      <w:r>
        <w:rPr>
          <w:rStyle w:val="Znakapoznpodarou"/>
        </w:rPr>
        <w:footnoteRef/>
      </w:r>
      <w:r>
        <w:tab/>
        <w:t>Zákon č. 182/2006 Sb., o úpadku a způsobech jeho řešení (insolvenční zákon).</w:t>
      </w:r>
    </w:p>
  </w:footnote>
  <w:footnote w:id="7">
    <w:p w:rsidR="000A7C9D" w:rsidRDefault="000A7C9D" w:rsidP="00D30E44">
      <w:pPr>
        <w:pStyle w:val="Textpoznpodarou"/>
        <w:ind w:left="284" w:hanging="284"/>
      </w:pPr>
      <w:r>
        <w:rPr>
          <w:rStyle w:val="Znakapoznpodarou"/>
        </w:rPr>
        <w:footnoteRef/>
      </w:r>
      <w:r>
        <w:t xml:space="preserve"> </w:t>
      </w:r>
      <w:r>
        <w:tab/>
        <w:t>Metodika ESA2010 je platná od roku 2014.</w:t>
      </w:r>
    </w:p>
  </w:footnote>
  <w:footnote w:id="8">
    <w:p w:rsidR="000A7C9D" w:rsidRDefault="000A7C9D" w:rsidP="00D30E44">
      <w:pPr>
        <w:pStyle w:val="Textpoznpodarou"/>
        <w:ind w:left="284" w:hanging="284"/>
      </w:pPr>
      <w:r>
        <w:rPr>
          <w:rStyle w:val="Znakapoznpodarou"/>
        </w:rPr>
        <w:footnoteRef/>
      </w:r>
      <w:r>
        <w:t xml:space="preserve"> </w:t>
      </w:r>
      <w:r>
        <w:tab/>
        <w:t>Jedná se o inkaso DPH na akruálním principu, tj. peněžní příjem se vykazuje v období, v němž vznikla daňová povinnost.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9D" w:rsidRDefault="000A7C9D">
    <w:pPr>
      <w:pStyle w:val="Zhlav"/>
    </w:pPr>
    <w:r>
      <w:rPr>
        <w:noProof/>
        <w:lang w:eastAsia="cs-CZ"/>
      </w:rPr>
      <w:drawing>
        <wp:inline distT="0" distB="0" distL="0" distR="0" wp14:anchorId="068621A2" wp14:editId="62C4EB1D">
          <wp:extent cx="2318996" cy="518400"/>
          <wp:effectExtent l="0" t="0" r="571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U_logoCZ-text01-transp-rgb72dpi.png"/>
                  <pic:cNvPicPr/>
                </pic:nvPicPr>
                <pic:blipFill>
                  <a:blip r:embed="rId1">
                    <a:extLst>
                      <a:ext uri="{28A0092B-C50C-407E-A947-70E740481C1C}">
                        <a14:useLocalDpi xmlns:a14="http://schemas.microsoft.com/office/drawing/2010/main" val="0"/>
                      </a:ext>
                    </a:extLst>
                  </a:blip>
                  <a:stretch>
                    <a:fillRect/>
                  </a:stretch>
                </pic:blipFill>
                <pic:spPr>
                  <a:xfrm>
                    <a:off x="0" y="0"/>
                    <a:ext cx="2318996" cy="5184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9D" w:rsidRPr="00842DE6" w:rsidRDefault="000A7C9D" w:rsidP="00842DE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9D" w:rsidRDefault="000A7C9D">
    <w:pPr>
      <w:pStyle w:val="Zhlav"/>
    </w:pPr>
  </w:p>
  <w:p w:rsidR="000A7C9D" w:rsidRDefault="000A7C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699"/>
    <w:multiLevelType w:val="hybridMultilevel"/>
    <w:tmpl w:val="8FCACF86"/>
    <w:lvl w:ilvl="0" w:tplc="7ED89D5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80773A"/>
    <w:multiLevelType w:val="hybridMultilevel"/>
    <w:tmpl w:val="79E6E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635173C"/>
    <w:multiLevelType w:val="hybridMultilevel"/>
    <w:tmpl w:val="69266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291710"/>
    <w:multiLevelType w:val="hybridMultilevel"/>
    <w:tmpl w:val="D53AA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E767070"/>
    <w:multiLevelType w:val="hybridMultilevel"/>
    <w:tmpl w:val="49163C3E"/>
    <w:lvl w:ilvl="0" w:tplc="C344C3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055644"/>
    <w:multiLevelType w:val="hybridMultilevel"/>
    <w:tmpl w:val="5342A184"/>
    <w:lvl w:ilvl="0" w:tplc="F670E3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E584357"/>
    <w:multiLevelType w:val="hybridMultilevel"/>
    <w:tmpl w:val="53B23E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EB82CC0"/>
    <w:multiLevelType w:val="hybridMultilevel"/>
    <w:tmpl w:val="F022D100"/>
    <w:lvl w:ilvl="0" w:tplc="EC647784">
      <w:start w:val="1"/>
      <w:numFmt w:val="decimal"/>
      <w:pStyle w:val="TabulkaKZ"/>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556700"/>
    <w:multiLevelType w:val="hybridMultilevel"/>
    <w:tmpl w:val="3C8C5184"/>
    <w:lvl w:ilvl="0" w:tplc="FB884D3A">
      <w:start w:val="1"/>
      <w:numFmt w:val="decimal"/>
      <w:pStyle w:val="Nadpis2"/>
      <w:lvlText w:val="%1."/>
      <w:lvlJc w:val="left"/>
      <w:pPr>
        <w:ind w:left="720" w:hanging="360"/>
      </w:pPr>
      <w:rPr>
        <w:rFonts w:hint="default"/>
      </w:rPr>
    </w:lvl>
    <w:lvl w:ilvl="1" w:tplc="AF5C05E6">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29C030D"/>
    <w:multiLevelType w:val="hybridMultilevel"/>
    <w:tmpl w:val="74D81CE0"/>
    <w:lvl w:ilvl="0" w:tplc="1F9E5B82">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2F1065D"/>
    <w:multiLevelType w:val="hybridMultilevel"/>
    <w:tmpl w:val="76FE8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4CB7E2C"/>
    <w:multiLevelType w:val="hybridMultilevel"/>
    <w:tmpl w:val="4B1AB09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5646DCA"/>
    <w:multiLevelType w:val="hybridMultilevel"/>
    <w:tmpl w:val="3D88130E"/>
    <w:lvl w:ilvl="0" w:tplc="F3E2E63A">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7C54BE0"/>
    <w:multiLevelType w:val="hybridMultilevel"/>
    <w:tmpl w:val="B14C58E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8652639"/>
    <w:multiLevelType w:val="hybridMultilevel"/>
    <w:tmpl w:val="11404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C5131AE"/>
    <w:multiLevelType w:val="hybridMultilevel"/>
    <w:tmpl w:val="468CBF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F6D6BFE"/>
    <w:multiLevelType w:val="hybridMultilevel"/>
    <w:tmpl w:val="56568B8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E32C35"/>
    <w:multiLevelType w:val="hybridMultilevel"/>
    <w:tmpl w:val="74D80A46"/>
    <w:lvl w:ilvl="0" w:tplc="FB884D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1B33248"/>
    <w:multiLevelType w:val="hybridMultilevel"/>
    <w:tmpl w:val="5DC6CF98"/>
    <w:lvl w:ilvl="0" w:tplc="6D40CB78">
      <w:start w:val="2"/>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91732B5"/>
    <w:multiLevelType w:val="hybridMultilevel"/>
    <w:tmpl w:val="66EAB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2"/>
  </w:num>
  <w:num w:numId="3">
    <w:abstractNumId w:val="19"/>
  </w:num>
  <w:num w:numId="4">
    <w:abstractNumId w:val="15"/>
  </w:num>
  <w:num w:numId="5">
    <w:abstractNumId w:val="18"/>
  </w:num>
  <w:num w:numId="6">
    <w:abstractNumId w:val="17"/>
  </w:num>
  <w:num w:numId="7">
    <w:abstractNumId w:val="17"/>
    <w:lvlOverride w:ilvl="0">
      <w:startOverride w:val="1"/>
    </w:lvlOverride>
  </w:num>
  <w:num w:numId="8">
    <w:abstractNumId w:val="8"/>
  </w:num>
  <w:num w:numId="9">
    <w:abstractNumId w:val="5"/>
  </w:num>
  <w:num w:numId="10">
    <w:abstractNumId w:val="9"/>
  </w:num>
  <w:num w:numId="11">
    <w:abstractNumId w:val="3"/>
  </w:num>
  <w:num w:numId="12">
    <w:abstractNumId w:val="2"/>
  </w:num>
  <w:num w:numId="13">
    <w:abstractNumId w:val="13"/>
  </w:num>
  <w:num w:numId="14">
    <w:abstractNumId w:val="14"/>
  </w:num>
  <w:num w:numId="15">
    <w:abstractNumId w:val="6"/>
  </w:num>
  <w:num w:numId="16">
    <w:abstractNumId w:val="16"/>
  </w:num>
  <w:num w:numId="17">
    <w:abstractNumId w:val="11"/>
  </w:num>
  <w:num w:numId="18">
    <w:abstractNumId w:val="1"/>
  </w:num>
  <w:num w:numId="19">
    <w:abstractNumId w:val="10"/>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A7"/>
    <w:rsid w:val="00005629"/>
    <w:rsid w:val="000368E9"/>
    <w:rsid w:val="00061F55"/>
    <w:rsid w:val="00065BB1"/>
    <w:rsid w:val="00067567"/>
    <w:rsid w:val="00073D00"/>
    <w:rsid w:val="0008212B"/>
    <w:rsid w:val="000869AC"/>
    <w:rsid w:val="000A7C9D"/>
    <w:rsid w:val="000D1B21"/>
    <w:rsid w:val="000F389A"/>
    <w:rsid w:val="000F4A98"/>
    <w:rsid w:val="00124C46"/>
    <w:rsid w:val="0013778E"/>
    <w:rsid w:val="00155A36"/>
    <w:rsid w:val="00162A7C"/>
    <w:rsid w:val="00172DFE"/>
    <w:rsid w:val="001A72D6"/>
    <w:rsid w:val="001A785E"/>
    <w:rsid w:val="001E2B36"/>
    <w:rsid w:val="002007E2"/>
    <w:rsid w:val="0026216A"/>
    <w:rsid w:val="00267348"/>
    <w:rsid w:val="0028531F"/>
    <w:rsid w:val="002A6BAF"/>
    <w:rsid w:val="002B709E"/>
    <w:rsid w:val="002C0205"/>
    <w:rsid w:val="002D02E4"/>
    <w:rsid w:val="002D1024"/>
    <w:rsid w:val="002E2770"/>
    <w:rsid w:val="002F2322"/>
    <w:rsid w:val="003032CF"/>
    <w:rsid w:val="00313385"/>
    <w:rsid w:val="00332B26"/>
    <w:rsid w:val="0033427C"/>
    <w:rsid w:val="00345277"/>
    <w:rsid w:val="00352591"/>
    <w:rsid w:val="00357A5B"/>
    <w:rsid w:val="003771C8"/>
    <w:rsid w:val="003A5A8A"/>
    <w:rsid w:val="003B3836"/>
    <w:rsid w:val="003C1D85"/>
    <w:rsid w:val="003C28DE"/>
    <w:rsid w:val="003E579F"/>
    <w:rsid w:val="00405D1F"/>
    <w:rsid w:val="004073A5"/>
    <w:rsid w:val="004130FB"/>
    <w:rsid w:val="0041562E"/>
    <w:rsid w:val="004174C2"/>
    <w:rsid w:val="00417897"/>
    <w:rsid w:val="00432AF5"/>
    <w:rsid w:val="00436780"/>
    <w:rsid w:val="004455E9"/>
    <w:rsid w:val="0045254D"/>
    <w:rsid w:val="00460507"/>
    <w:rsid w:val="00465BD2"/>
    <w:rsid w:val="004731A3"/>
    <w:rsid w:val="004968B8"/>
    <w:rsid w:val="004A29B4"/>
    <w:rsid w:val="005036E1"/>
    <w:rsid w:val="00525CA7"/>
    <w:rsid w:val="005414B9"/>
    <w:rsid w:val="0059467C"/>
    <w:rsid w:val="005C1C95"/>
    <w:rsid w:val="005C766B"/>
    <w:rsid w:val="006010BA"/>
    <w:rsid w:val="00624343"/>
    <w:rsid w:val="0064065F"/>
    <w:rsid w:val="00643E98"/>
    <w:rsid w:val="006523CD"/>
    <w:rsid w:val="0066180A"/>
    <w:rsid w:val="00663C04"/>
    <w:rsid w:val="00663CE4"/>
    <w:rsid w:val="00673EE7"/>
    <w:rsid w:val="0069308E"/>
    <w:rsid w:val="00696124"/>
    <w:rsid w:val="006D75F0"/>
    <w:rsid w:val="006F5197"/>
    <w:rsid w:val="0070788F"/>
    <w:rsid w:val="007131F5"/>
    <w:rsid w:val="00725BDC"/>
    <w:rsid w:val="00745C5F"/>
    <w:rsid w:val="00751F05"/>
    <w:rsid w:val="00756669"/>
    <w:rsid w:val="00772DA9"/>
    <w:rsid w:val="00780CE0"/>
    <w:rsid w:val="007837D6"/>
    <w:rsid w:val="007B3236"/>
    <w:rsid w:val="007E1EE8"/>
    <w:rsid w:val="007F7D1A"/>
    <w:rsid w:val="00821DE9"/>
    <w:rsid w:val="00826DBF"/>
    <w:rsid w:val="00833CD0"/>
    <w:rsid w:val="00834B0E"/>
    <w:rsid w:val="00841CC8"/>
    <w:rsid w:val="00842DE6"/>
    <w:rsid w:val="008472C1"/>
    <w:rsid w:val="008659F8"/>
    <w:rsid w:val="008917A6"/>
    <w:rsid w:val="008A40F9"/>
    <w:rsid w:val="008B26E0"/>
    <w:rsid w:val="008D0AEC"/>
    <w:rsid w:val="009127FD"/>
    <w:rsid w:val="0091588D"/>
    <w:rsid w:val="009637E5"/>
    <w:rsid w:val="00967341"/>
    <w:rsid w:val="00975E46"/>
    <w:rsid w:val="009826CE"/>
    <w:rsid w:val="0098325F"/>
    <w:rsid w:val="00985CEE"/>
    <w:rsid w:val="00991575"/>
    <w:rsid w:val="009A52DB"/>
    <w:rsid w:val="009B6683"/>
    <w:rsid w:val="00A02BA2"/>
    <w:rsid w:val="00A031BC"/>
    <w:rsid w:val="00A043E3"/>
    <w:rsid w:val="00A07119"/>
    <w:rsid w:val="00A23E1B"/>
    <w:rsid w:val="00A33A5E"/>
    <w:rsid w:val="00A36E64"/>
    <w:rsid w:val="00A77357"/>
    <w:rsid w:val="00A839DE"/>
    <w:rsid w:val="00A926CF"/>
    <w:rsid w:val="00AA659A"/>
    <w:rsid w:val="00AD1D1D"/>
    <w:rsid w:val="00AD290D"/>
    <w:rsid w:val="00AE7D77"/>
    <w:rsid w:val="00AF5AAA"/>
    <w:rsid w:val="00B04162"/>
    <w:rsid w:val="00B23C66"/>
    <w:rsid w:val="00B240C7"/>
    <w:rsid w:val="00B26533"/>
    <w:rsid w:val="00B4707C"/>
    <w:rsid w:val="00B47A65"/>
    <w:rsid w:val="00B753DC"/>
    <w:rsid w:val="00BA1EC3"/>
    <w:rsid w:val="00BA5E75"/>
    <w:rsid w:val="00BC522D"/>
    <w:rsid w:val="00BE14CD"/>
    <w:rsid w:val="00C028FF"/>
    <w:rsid w:val="00C54391"/>
    <w:rsid w:val="00C66C55"/>
    <w:rsid w:val="00C763C5"/>
    <w:rsid w:val="00C86BE0"/>
    <w:rsid w:val="00CB2904"/>
    <w:rsid w:val="00CB7284"/>
    <w:rsid w:val="00CB7422"/>
    <w:rsid w:val="00CC0DB2"/>
    <w:rsid w:val="00D00E3B"/>
    <w:rsid w:val="00D15F32"/>
    <w:rsid w:val="00D23554"/>
    <w:rsid w:val="00D24E8E"/>
    <w:rsid w:val="00D253AB"/>
    <w:rsid w:val="00D30E44"/>
    <w:rsid w:val="00D311E5"/>
    <w:rsid w:val="00D547F0"/>
    <w:rsid w:val="00D612BD"/>
    <w:rsid w:val="00D64C20"/>
    <w:rsid w:val="00D82711"/>
    <w:rsid w:val="00D916C4"/>
    <w:rsid w:val="00DA438E"/>
    <w:rsid w:val="00DF1789"/>
    <w:rsid w:val="00E02B6D"/>
    <w:rsid w:val="00E27AD2"/>
    <w:rsid w:val="00E402BC"/>
    <w:rsid w:val="00E424E5"/>
    <w:rsid w:val="00E57A64"/>
    <w:rsid w:val="00E818E1"/>
    <w:rsid w:val="00E914EF"/>
    <w:rsid w:val="00E9179F"/>
    <w:rsid w:val="00E9412F"/>
    <w:rsid w:val="00EA4F05"/>
    <w:rsid w:val="00ED7693"/>
    <w:rsid w:val="00EE32BC"/>
    <w:rsid w:val="00EF27ED"/>
    <w:rsid w:val="00F0356B"/>
    <w:rsid w:val="00F05F44"/>
    <w:rsid w:val="00F26D73"/>
    <w:rsid w:val="00F3125B"/>
    <w:rsid w:val="00F43F9B"/>
    <w:rsid w:val="00F47E63"/>
    <w:rsid w:val="00F52C64"/>
    <w:rsid w:val="00F85A37"/>
    <w:rsid w:val="00FA00AF"/>
    <w:rsid w:val="00FB4C8A"/>
    <w:rsid w:val="00FC2101"/>
    <w:rsid w:val="00FF3F3A"/>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Normální KZ"/>
    <w:qFormat/>
    <w:rsid w:val="0013778E"/>
    <w:pPr>
      <w:spacing w:after="120" w:line="240" w:lineRule="auto"/>
      <w:jc w:val="both"/>
    </w:pPr>
    <w:rPr>
      <w:sz w:val="24"/>
    </w:rPr>
  </w:style>
  <w:style w:type="paragraph" w:styleId="Nadpis1">
    <w:name w:val="heading 1"/>
    <w:basedOn w:val="Normln"/>
    <w:next w:val="Normln"/>
    <w:link w:val="Nadpis1Char"/>
    <w:uiPriority w:val="9"/>
    <w:qFormat/>
    <w:rsid w:val="00525CA7"/>
    <w:pPr>
      <w:keepNext/>
      <w:keepLines/>
      <w:numPr>
        <w:numId w:val="2"/>
      </w:numPr>
      <w:spacing w:before="600"/>
      <w:ind w:left="36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86BE0"/>
    <w:pPr>
      <w:keepNext/>
      <w:keepLines/>
      <w:numPr>
        <w:numId w:val="8"/>
      </w:numPr>
      <w:spacing w:before="36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CA7"/>
    <w:pPr>
      <w:tabs>
        <w:tab w:val="center" w:pos="4536"/>
        <w:tab w:val="right" w:pos="9072"/>
      </w:tabs>
      <w:spacing w:after="0"/>
    </w:pPr>
  </w:style>
  <w:style w:type="character" w:customStyle="1" w:styleId="ZhlavChar">
    <w:name w:val="Záhlaví Char"/>
    <w:basedOn w:val="Standardnpsmoodstavce"/>
    <w:link w:val="Zhlav"/>
    <w:uiPriority w:val="99"/>
    <w:rsid w:val="00525CA7"/>
  </w:style>
  <w:style w:type="paragraph" w:styleId="Zpat">
    <w:name w:val="footer"/>
    <w:basedOn w:val="Normln"/>
    <w:link w:val="ZpatChar"/>
    <w:uiPriority w:val="99"/>
    <w:unhideWhenUsed/>
    <w:rsid w:val="00525CA7"/>
    <w:pPr>
      <w:tabs>
        <w:tab w:val="center" w:pos="4536"/>
        <w:tab w:val="right" w:pos="9072"/>
      </w:tabs>
      <w:spacing w:after="0"/>
    </w:pPr>
  </w:style>
  <w:style w:type="character" w:customStyle="1" w:styleId="ZpatChar">
    <w:name w:val="Zápatí Char"/>
    <w:basedOn w:val="Standardnpsmoodstavce"/>
    <w:link w:val="Zpat"/>
    <w:uiPriority w:val="99"/>
    <w:rsid w:val="00525CA7"/>
  </w:style>
  <w:style w:type="paragraph" w:styleId="Textbubliny">
    <w:name w:val="Balloon Text"/>
    <w:basedOn w:val="Normln"/>
    <w:link w:val="TextbublinyChar"/>
    <w:uiPriority w:val="99"/>
    <w:semiHidden/>
    <w:unhideWhenUsed/>
    <w:rsid w:val="00525CA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CA7"/>
    <w:rPr>
      <w:rFonts w:ascii="Tahoma" w:hAnsi="Tahoma" w:cs="Tahoma"/>
      <w:sz w:val="16"/>
      <w:szCs w:val="16"/>
    </w:rPr>
  </w:style>
  <w:style w:type="paragraph" w:styleId="Normlnweb">
    <w:name w:val="Normal (Web)"/>
    <w:basedOn w:val="Normln"/>
    <w:uiPriority w:val="99"/>
    <w:semiHidden/>
    <w:rsid w:val="00525CA7"/>
    <w:pPr>
      <w:spacing w:after="0"/>
    </w:pPr>
    <w:rPr>
      <w:rFonts w:ascii="Times New Roman" w:eastAsia="Times New Roman" w:hAnsi="Times New Roman" w:cs="Times New Roman"/>
      <w:szCs w:val="24"/>
    </w:rPr>
  </w:style>
  <w:style w:type="table" w:styleId="Mkatabulky">
    <w:name w:val="Table Grid"/>
    <w:basedOn w:val="Normlntabulka"/>
    <w:uiPriority w:val="59"/>
    <w:rsid w:val="00525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CB7422"/>
    <w:pPr>
      <w:numPr>
        <w:numId w:val="10"/>
      </w:numPr>
      <w:ind w:left="426" w:hanging="426"/>
      <w:contextualSpacing/>
    </w:pPr>
    <w:rPr>
      <w:rFonts w:eastAsia="Times New Roman" w:cs="Times New Roman"/>
    </w:rPr>
  </w:style>
  <w:style w:type="character" w:customStyle="1" w:styleId="OdstavecseseznamemChar">
    <w:name w:val="Odstavec se seznamem Char"/>
    <w:link w:val="Odstavecseseznamem"/>
    <w:uiPriority w:val="34"/>
    <w:locked/>
    <w:rsid w:val="00CB7422"/>
    <w:rPr>
      <w:rFonts w:eastAsia="Times New Roman" w:cs="Times New Roman"/>
      <w:sz w:val="24"/>
    </w:rPr>
  </w:style>
  <w:style w:type="character" w:customStyle="1" w:styleId="Nadpis1Char">
    <w:name w:val="Nadpis 1 Char"/>
    <w:basedOn w:val="Standardnpsmoodstavce"/>
    <w:link w:val="Nadpis1"/>
    <w:uiPriority w:val="9"/>
    <w:rsid w:val="00525CA7"/>
    <w:rPr>
      <w:rFonts w:eastAsiaTheme="majorEastAsia" w:cstheme="majorBidi"/>
      <w:b/>
      <w:bCs/>
      <w:sz w:val="32"/>
      <w:szCs w:val="28"/>
    </w:rPr>
  </w:style>
  <w:style w:type="character" w:customStyle="1" w:styleId="Nadpis2Char">
    <w:name w:val="Nadpis 2 Char"/>
    <w:basedOn w:val="Standardnpsmoodstavce"/>
    <w:link w:val="Nadpis2"/>
    <w:uiPriority w:val="9"/>
    <w:rsid w:val="00C86BE0"/>
    <w:rPr>
      <w:rFonts w:eastAsiaTheme="majorEastAsia" w:cstheme="majorBidi"/>
      <w:b/>
      <w:bCs/>
      <w:sz w:val="28"/>
      <w:szCs w:val="26"/>
    </w:rPr>
  </w:style>
  <w:style w:type="paragraph" w:styleId="Textpoznpodarou">
    <w:name w:val="footnote text"/>
    <w:basedOn w:val="Normln"/>
    <w:link w:val="TextpoznpodarouChar"/>
    <w:uiPriority w:val="99"/>
    <w:semiHidden/>
    <w:unhideWhenUsed/>
    <w:rsid w:val="00C86BE0"/>
    <w:pPr>
      <w:spacing w:after="0"/>
    </w:pPr>
    <w:rPr>
      <w:rFonts w:eastAsia="Times New Roman" w:cs="Times New Roman"/>
      <w:sz w:val="20"/>
      <w:szCs w:val="20"/>
    </w:rPr>
  </w:style>
  <w:style w:type="character" w:customStyle="1" w:styleId="TextpoznpodarouChar">
    <w:name w:val="Text pozn. pod čarou Char"/>
    <w:basedOn w:val="Standardnpsmoodstavce"/>
    <w:link w:val="Textpoznpodarou"/>
    <w:uiPriority w:val="99"/>
    <w:semiHidden/>
    <w:rsid w:val="00C86BE0"/>
    <w:rPr>
      <w:rFonts w:eastAsia="Times New Roman" w:cs="Times New Roman"/>
      <w:sz w:val="20"/>
      <w:szCs w:val="20"/>
    </w:rPr>
  </w:style>
  <w:style w:type="character" w:styleId="Znakapoznpodarou">
    <w:name w:val="footnote reference"/>
    <w:basedOn w:val="Standardnpsmoodstavce"/>
    <w:uiPriority w:val="99"/>
    <w:semiHidden/>
    <w:unhideWhenUsed/>
    <w:rsid w:val="00C86BE0"/>
    <w:rPr>
      <w:vertAlign w:val="superscript"/>
    </w:rPr>
  </w:style>
  <w:style w:type="paragraph" w:customStyle="1" w:styleId="Styl1">
    <w:name w:val="Styl1"/>
    <w:basedOn w:val="Normln"/>
    <w:link w:val="Styl1Char"/>
    <w:qFormat/>
    <w:rsid w:val="00D30E44"/>
    <w:pPr>
      <w:spacing w:line="276" w:lineRule="auto"/>
    </w:pPr>
    <w:rPr>
      <w:rFonts w:ascii="Arial" w:eastAsia="Times New Roman" w:hAnsi="Arial" w:cs="Arial"/>
      <w:sz w:val="22"/>
      <w:szCs w:val="24"/>
    </w:rPr>
  </w:style>
  <w:style w:type="character" w:customStyle="1" w:styleId="Styl1Char">
    <w:name w:val="Styl1 Char"/>
    <w:link w:val="Styl1"/>
    <w:rsid w:val="00D30E44"/>
    <w:rPr>
      <w:rFonts w:ascii="Arial" w:eastAsia="Times New Roman" w:hAnsi="Arial" w:cs="Arial"/>
      <w:szCs w:val="24"/>
    </w:rPr>
  </w:style>
  <w:style w:type="paragraph" w:customStyle="1" w:styleId="Bezodstavcovhostylu">
    <w:name w:val="[Bez odstavcového stylu]"/>
    <w:rsid w:val="00D30E44"/>
    <w:pPr>
      <w:autoSpaceDE w:val="0"/>
      <w:autoSpaceDN w:val="0"/>
      <w:adjustRightInd w:val="0"/>
      <w:spacing w:after="0" w:line="288" w:lineRule="auto"/>
      <w:textAlignment w:val="center"/>
    </w:pPr>
    <w:rPr>
      <w:rFonts w:ascii="Calibri" w:hAnsi="Calibri" w:cs="Times New Roman"/>
      <w:color w:val="000000"/>
      <w:sz w:val="24"/>
      <w:szCs w:val="24"/>
    </w:rPr>
  </w:style>
  <w:style w:type="paragraph" w:customStyle="1" w:styleId="Tabulka">
    <w:name w:val="Tabulka"/>
    <w:basedOn w:val="Normln"/>
    <w:uiPriority w:val="99"/>
    <w:rsid w:val="00D30E44"/>
    <w:pPr>
      <w:suppressAutoHyphens/>
      <w:autoSpaceDE w:val="0"/>
      <w:autoSpaceDN w:val="0"/>
      <w:adjustRightInd w:val="0"/>
      <w:spacing w:after="85" w:line="288" w:lineRule="auto"/>
      <w:jc w:val="left"/>
      <w:textAlignment w:val="center"/>
    </w:pPr>
    <w:rPr>
      <w:rFonts w:ascii="Calibri" w:hAnsi="Calibri" w:cs="Calibri"/>
      <w:color w:val="000000"/>
      <w:sz w:val="18"/>
      <w:szCs w:val="18"/>
    </w:rPr>
  </w:style>
  <w:style w:type="paragraph" w:customStyle="1" w:styleId="TabulkaKZ">
    <w:name w:val="TabulkaKZ"/>
    <w:basedOn w:val="Normln"/>
    <w:qFormat/>
    <w:rsid w:val="000F389A"/>
    <w:pPr>
      <w:numPr>
        <w:numId w:val="20"/>
      </w:numPr>
      <w:spacing w:after="240"/>
    </w:pPr>
    <w:rPr>
      <w:rFonts w:cstheme="minorHAnsi"/>
      <w:b/>
      <w:szCs w:val="24"/>
    </w:rPr>
  </w:style>
  <w:style w:type="character" w:styleId="Odkaznakoment">
    <w:name w:val="annotation reference"/>
    <w:basedOn w:val="Standardnpsmoodstavce"/>
    <w:uiPriority w:val="99"/>
    <w:semiHidden/>
    <w:unhideWhenUsed/>
    <w:rsid w:val="00AD290D"/>
    <w:rPr>
      <w:sz w:val="16"/>
      <w:szCs w:val="16"/>
    </w:rPr>
  </w:style>
  <w:style w:type="paragraph" w:styleId="Textkomente">
    <w:name w:val="annotation text"/>
    <w:basedOn w:val="Normln"/>
    <w:link w:val="TextkomenteChar"/>
    <w:uiPriority w:val="99"/>
    <w:semiHidden/>
    <w:unhideWhenUsed/>
    <w:rsid w:val="00AD290D"/>
    <w:rPr>
      <w:sz w:val="20"/>
      <w:szCs w:val="20"/>
    </w:rPr>
  </w:style>
  <w:style w:type="character" w:customStyle="1" w:styleId="TextkomenteChar">
    <w:name w:val="Text komentáře Char"/>
    <w:basedOn w:val="Standardnpsmoodstavce"/>
    <w:link w:val="Textkomente"/>
    <w:uiPriority w:val="99"/>
    <w:semiHidden/>
    <w:rsid w:val="00AD290D"/>
    <w:rPr>
      <w:sz w:val="20"/>
      <w:szCs w:val="20"/>
    </w:rPr>
  </w:style>
  <w:style w:type="paragraph" w:styleId="Pedmtkomente">
    <w:name w:val="annotation subject"/>
    <w:basedOn w:val="Textkomente"/>
    <w:next w:val="Textkomente"/>
    <w:link w:val="PedmtkomenteChar"/>
    <w:uiPriority w:val="99"/>
    <w:semiHidden/>
    <w:unhideWhenUsed/>
    <w:rsid w:val="00AD290D"/>
    <w:rPr>
      <w:b/>
      <w:bCs/>
    </w:rPr>
  </w:style>
  <w:style w:type="character" w:customStyle="1" w:styleId="PedmtkomenteChar">
    <w:name w:val="Předmět komentáře Char"/>
    <w:basedOn w:val="TextkomenteChar"/>
    <w:link w:val="Pedmtkomente"/>
    <w:uiPriority w:val="99"/>
    <w:semiHidden/>
    <w:rsid w:val="00AD29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Normální KZ"/>
    <w:qFormat/>
    <w:rsid w:val="0013778E"/>
    <w:pPr>
      <w:spacing w:after="120" w:line="240" w:lineRule="auto"/>
      <w:jc w:val="both"/>
    </w:pPr>
    <w:rPr>
      <w:sz w:val="24"/>
    </w:rPr>
  </w:style>
  <w:style w:type="paragraph" w:styleId="Nadpis1">
    <w:name w:val="heading 1"/>
    <w:basedOn w:val="Normln"/>
    <w:next w:val="Normln"/>
    <w:link w:val="Nadpis1Char"/>
    <w:uiPriority w:val="9"/>
    <w:qFormat/>
    <w:rsid w:val="00525CA7"/>
    <w:pPr>
      <w:keepNext/>
      <w:keepLines/>
      <w:numPr>
        <w:numId w:val="2"/>
      </w:numPr>
      <w:spacing w:before="600"/>
      <w:ind w:left="36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86BE0"/>
    <w:pPr>
      <w:keepNext/>
      <w:keepLines/>
      <w:numPr>
        <w:numId w:val="8"/>
      </w:numPr>
      <w:spacing w:before="360"/>
      <w:outlineLvl w:val="1"/>
    </w:pPr>
    <w:rPr>
      <w:rFonts w:eastAsiaTheme="majorEastAsia"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5CA7"/>
    <w:pPr>
      <w:tabs>
        <w:tab w:val="center" w:pos="4536"/>
        <w:tab w:val="right" w:pos="9072"/>
      </w:tabs>
      <w:spacing w:after="0"/>
    </w:pPr>
  </w:style>
  <w:style w:type="character" w:customStyle="1" w:styleId="ZhlavChar">
    <w:name w:val="Záhlaví Char"/>
    <w:basedOn w:val="Standardnpsmoodstavce"/>
    <w:link w:val="Zhlav"/>
    <w:uiPriority w:val="99"/>
    <w:rsid w:val="00525CA7"/>
  </w:style>
  <w:style w:type="paragraph" w:styleId="Zpat">
    <w:name w:val="footer"/>
    <w:basedOn w:val="Normln"/>
    <w:link w:val="ZpatChar"/>
    <w:uiPriority w:val="99"/>
    <w:unhideWhenUsed/>
    <w:rsid w:val="00525CA7"/>
    <w:pPr>
      <w:tabs>
        <w:tab w:val="center" w:pos="4536"/>
        <w:tab w:val="right" w:pos="9072"/>
      </w:tabs>
      <w:spacing w:after="0"/>
    </w:pPr>
  </w:style>
  <w:style w:type="character" w:customStyle="1" w:styleId="ZpatChar">
    <w:name w:val="Zápatí Char"/>
    <w:basedOn w:val="Standardnpsmoodstavce"/>
    <w:link w:val="Zpat"/>
    <w:uiPriority w:val="99"/>
    <w:rsid w:val="00525CA7"/>
  </w:style>
  <w:style w:type="paragraph" w:styleId="Textbubliny">
    <w:name w:val="Balloon Text"/>
    <w:basedOn w:val="Normln"/>
    <w:link w:val="TextbublinyChar"/>
    <w:uiPriority w:val="99"/>
    <w:semiHidden/>
    <w:unhideWhenUsed/>
    <w:rsid w:val="00525CA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5CA7"/>
    <w:rPr>
      <w:rFonts w:ascii="Tahoma" w:hAnsi="Tahoma" w:cs="Tahoma"/>
      <w:sz w:val="16"/>
      <w:szCs w:val="16"/>
    </w:rPr>
  </w:style>
  <w:style w:type="paragraph" w:styleId="Normlnweb">
    <w:name w:val="Normal (Web)"/>
    <w:basedOn w:val="Normln"/>
    <w:uiPriority w:val="99"/>
    <w:semiHidden/>
    <w:rsid w:val="00525CA7"/>
    <w:pPr>
      <w:spacing w:after="0"/>
    </w:pPr>
    <w:rPr>
      <w:rFonts w:ascii="Times New Roman" w:eastAsia="Times New Roman" w:hAnsi="Times New Roman" w:cs="Times New Roman"/>
      <w:szCs w:val="24"/>
    </w:rPr>
  </w:style>
  <w:style w:type="table" w:styleId="Mkatabulky">
    <w:name w:val="Table Grid"/>
    <w:basedOn w:val="Normlntabulka"/>
    <w:uiPriority w:val="59"/>
    <w:rsid w:val="00525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link w:val="OdstavecseseznamemChar"/>
    <w:uiPriority w:val="34"/>
    <w:qFormat/>
    <w:rsid w:val="00CB7422"/>
    <w:pPr>
      <w:numPr>
        <w:numId w:val="10"/>
      </w:numPr>
      <w:ind w:left="426" w:hanging="426"/>
      <w:contextualSpacing/>
    </w:pPr>
    <w:rPr>
      <w:rFonts w:eastAsia="Times New Roman" w:cs="Times New Roman"/>
    </w:rPr>
  </w:style>
  <w:style w:type="character" w:customStyle="1" w:styleId="OdstavecseseznamemChar">
    <w:name w:val="Odstavec se seznamem Char"/>
    <w:link w:val="Odstavecseseznamem"/>
    <w:uiPriority w:val="34"/>
    <w:locked/>
    <w:rsid w:val="00CB7422"/>
    <w:rPr>
      <w:rFonts w:eastAsia="Times New Roman" w:cs="Times New Roman"/>
      <w:sz w:val="24"/>
    </w:rPr>
  </w:style>
  <w:style w:type="character" w:customStyle="1" w:styleId="Nadpis1Char">
    <w:name w:val="Nadpis 1 Char"/>
    <w:basedOn w:val="Standardnpsmoodstavce"/>
    <w:link w:val="Nadpis1"/>
    <w:uiPriority w:val="9"/>
    <w:rsid w:val="00525CA7"/>
    <w:rPr>
      <w:rFonts w:eastAsiaTheme="majorEastAsia" w:cstheme="majorBidi"/>
      <w:b/>
      <w:bCs/>
      <w:sz w:val="32"/>
      <w:szCs w:val="28"/>
    </w:rPr>
  </w:style>
  <w:style w:type="character" w:customStyle="1" w:styleId="Nadpis2Char">
    <w:name w:val="Nadpis 2 Char"/>
    <w:basedOn w:val="Standardnpsmoodstavce"/>
    <w:link w:val="Nadpis2"/>
    <w:uiPriority w:val="9"/>
    <w:rsid w:val="00C86BE0"/>
    <w:rPr>
      <w:rFonts w:eastAsiaTheme="majorEastAsia" w:cstheme="majorBidi"/>
      <w:b/>
      <w:bCs/>
      <w:sz w:val="28"/>
      <w:szCs w:val="26"/>
    </w:rPr>
  </w:style>
  <w:style w:type="paragraph" w:styleId="Textpoznpodarou">
    <w:name w:val="footnote text"/>
    <w:basedOn w:val="Normln"/>
    <w:link w:val="TextpoznpodarouChar"/>
    <w:uiPriority w:val="99"/>
    <w:semiHidden/>
    <w:unhideWhenUsed/>
    <w:rsid w:val="00C86BE0"/>
    <w:pPr>
      <w:spacing w:after="0"/>
    </w:pPr>
    <w:rPr>
      <w:rFonts w:eastAsia="Times New Roman" w:cs="Times New Roman"/>
      <w:sz w:val="20"/>
      <w:szCs w:val="20"/>
    </w:rPr>
  </w:style>
  <w:style w:type="character" w:customStyle="1" w:styleId="TextpoznpodarouChar">
    <w:name w:val="Text pozn. pod čarou Char"/>
    <w:basedOn w:val="Standardnpsmoodstavce"/>
    <w:link w:val="Textpoznpodarou"/>
    <w:uiPriority w:val="99"/>
    <w:semiHidden/>
    <w:rsid w:val="00C86BE0"/>
    <w:rPr>
      <w:rFonts w:eastAsia="Times New Roman" w:cs="Times New Roman"/>
      <w:sz w:val="20"/>
      <w:szCs w:val="20"/>
    </w:rPr>
  </w:style>
  <w:style w:type="character" w:styleId="Znakapoznpodarou">
    <w:name w:val="footnote reference"/>
    <w:basedOn w:val="Standardnpsmoodstavce"/>
    <w:uiPriority w:val="99"/>
    <w:semiHidden/>
    <w:unhideWhenUsed/>
    <w:rsid w:val="00C86BE0"/>
    <w:rPr>
      <w:vertAlign w:val="superscript"/>
    </w:rPr>
  </w:style>
  <w:style w:type="paragraph" w:customStyle="1" w:styleId="Styl1">
    <w:name w:val="Styl1"/>
    <w:basedOn w:val="Normln"/>
    <w:link w:val="Styl1Char"/>
    <w:qFormat/>
    <w:rsid w:val="00D30E44"/>
    <w:pPr>
      <w:spacing w:line="276" w:lineRule="auto"/>
    </w:pPr>
    <w:rPr>
      <w:rFonts w:ascii="Arial" w:eastAsia="Times New Roman" w:hAnsi="Arial" w:cs="Arial"/>
      <w:sz w:val="22"/>
      <w:szCs w:val="24"/>
    </w:rPr>
  </w:style>
  <w:style w:type="character" w:customStyle="1" w:styleId="Styl1Char">
    <w:name w:val="Styl1 Char"/>
    <w:link w:val="Styl1"/>
    <w:rsid w:val="00D30E44"/>
    <w:rPr>
      <w:rFonts w:ascii="Arial" w:eastAsia="Times New Roman" w:hAnsi="Arial" w:cs="Arial"/>
      <w:szCs w:val="24"/>
    </w:rPr>
  </w:style>
  <w:style w:type="paragraph" w:customStyle="1" w:styleId="Bezodstavcovhostylu">
    <w:name w:val="[Bez odstavcového stylu]"/>
    <w:rsid w:val="00D30E44"/>
    <w:pPr>
      <w:autoSpaceDE w:val="0"/>
      <w:autoSpaceDN w:val="0"/>
      <w:adjustRightInd w:val="0"/>
      <w:spacing w:after="0" w:line="288" w:lineRule="auto"/>
      <w:textAlignment w:val="center"/>
    </w:pPr>
    <w:rPr>
      <w:rFonts w:ascii="Calibri" w:hAnsi="Calibri" w:cs="Times New Roman"/>
      <w:color w:val="000000"/>
      <w:sz w:val="24"/>
      <w:szCs w:val="24"/>
    </w:rPr>
  </w:style>
  <w:style w:type="paragraph" w:customStyle="1" w:styleId="Tabulka">
    <w:name w:val="Tabulka"/>
    <w:basedOn w:val="Normln"/>
    <w:uiPriority w:val="99"/>
    <w:rsid w:val="00D30E44"/>
    <w:pPr>
      <w:suppressAutoHyphens/>
      <w:autoSpaceDE w:val="0"/>
      <w:autoSpaceDN w:val="0"/>
      <w:adjustRightInd w:val="0"/>
      <w:spacing w:after="85" w:line="288" w:lineRule="auto"/>
      <w:jc w:val="left"/>
      <w:textAlignment w:val="center"/>
    </w:pPr>
    <w:rPr>
      <w:rFonts w:ascii="Calibri" w:hAnsi="Calibri" w:cs="Calibri"/>
      <w:color w:val="000000"/>
      <w:sz w:val="18"/>
      <w:szCs w:val="18"/>
    </w:rPr>
  </w:style>
  <w:style w:type="paragraph" w:customStyle="1" w:styleId="TabulkaKZ">
    <w:name w:val="TabulkaKZ"/>
    <w:basedOn w:val="Normln"/>
    <w:qFormat/>
    <w:rsid w:val="000F389A"/>
    <w:pPr>
      <w:numPr>
        <w:numId w:val="20"/>
      </w:numPr>
      <w:spacing w:after="240"/>
    </w:pPr>
    <w:rPr>
      <w:rFonts w:cstheme="minorHAnsi"/>
      <w:b/>
      <w:szCs w:val="24"/>
    </w:rPr>
  </w:style>
  <w:style w:type="character" w:styleId="Odkaznakoment">
    <w:name w:val="annotation reference"/>
    <w:basedOn w:val="Standardnpsmoodstavce"/>
    <w:uiPriority w:val="99"/>
    <w:semiHidden/>
    <w:unhideWhenUsed/>
    <w:rsid w:val="00AD290D"/>
    <w:rPr>
      <w:sz w:val="16"/>
      <w:szCs w:val="16"/>
    </w:rPr>
  </w:style>
  <w:style w:type="paragraph" w:styleId="Textkomente">
    <w:name w:val="annotation text"/>
    <w:basedOn w:val="Normln"/>
    <w:link w:val="TextkomenteChar"/>
    <w:uiPriority w:val="99"/>
    <w:semiHidden/>
    <w:unhideWhenUsed/>
    <w:rsid w:val="00AD290D"/>
    <w:rPr>
      <w:sz w:val="20"/>
      <w:szCs w:val="20"/>
    </w:rPr>
  </w:style>
  <w:style w:type="character" w:customStyle="1" w:styleId="TextkomenteChar">
    <w:name w:val="Text komentáře Char"/>
    <w:basedOn w:val="Standardnpsmoodstavce"/>
    <w:link w:val="Textkomente"/>
    <w:uiPriority w:val="99"/>
    <w:semiHidden/>
    <w:rsid w:val="00AD290D"/>
    <w:rPr>
      <w:sz w:val="20"/>
      <w:szCs w:val="20"/>
    </w:rPr>
  </w:style>
  <w:style w:type="paragraph" w:styleId="Pedmtkomente">
    <w:name w:val="annotation subject"/>
    <w:basedOn w:val="Textkomente"/>
    <w:next w:val="Textkomente"/>
    <w:link w:val="PedmtkomenteChar"/>
    <w:uiPriority w:val="99"/>
    <w:semiHidden/>
    <w:unhideWhenUsed/>
    <w:rsid w:val="00AD290D"/>
    <w:rPr>
      <w:b/>
      <w:bCs/>
    </w:rPr>
  </w:style>
  <w:style w:type="character" w:customStyle="1" w:styleId="PedmtkomenteChar">
    <w:name w:val="Předmět komentáře Char"/>
    <w:basedOn w:val="TextkomenteChar"/>
    <w:link w:val="Pedmtkomente"/>
    <w:uiPriority w:val="99"/>
    <w:semiHidden/>
    <w:rsid w:val="00AD2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15022">
      <w:bodyDiv w:val="1"/>
      <w:marLeft w:val="0"/>
      <w:marRight w:val="0"/>
      <w:marTop w:val="0"/>
      <w:marBottom w:val="0"/>
      <w:divBdr>
        <w:top w:val="none" w:sz="0" w:space="0" w:color="auto"/>
        <w:left w:val="none" w:sz="0" w:space="0" w:color="auto"/>
        <w:bottom w:val="none" w:sz="0" w:space="0" w:color="auto"/>
        <w:right w:val="none" w:sz="0" w:space="0" w:color="auto"/>
      </w:divBdr>
    </w:div>
    <w:div w:id="1077676578">
      <w:bodyDiv w:val="1"/>
      <w:marLeft w:val="0"/>
      <w:marRight w:val="0"/>
      <w:marTop w:val="0"/>
      <w:marBottom w:val="0"/>
      <w:divBdr>
        <w:top w:val="none" w:sz="0" w:space="0" w:color="auto"/>
        <w:left w:val="none" w:sz="0" w:space="0" w:color="auto"/>
        <w:bottom w:val="none" w:sz="0" w:space="0" w:color="auto"/>
        <w:right w:val="none" w:sz="0" w:space="0" w:color="auto"/>
      </w:divBdr>
    </w:div>
    <w:div w:id="1191338703">
      <w:bodyDiv w:val="1"/>
      <w:marLeft w:val="0"/>
      <w:marRight w:val="0"/>
      <w:marTop w:val="0"/>
      <w:marBottom w:val="0"/>
      <w:divBdr>
        <w:top w:val="none" w:sz="0" w:space="0" w:color="auto"/>
        <w:left w:val="none" w:sz="0" w:space="0" w:color="auto"/>
        <w:bottom w:val="none" w:sz="0" w:space="0" w:color="auto"/>
        <w:right w:val="none" w:sz="0" w:space="0" w:color="auto"/>
      </w:divBdr>
    </w:div>
    <w:div w:id="17270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9.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F:\Users\PROFELDOVA\AppData\Local\Microsoft\Windows\Temporary%20Internet%20Files\Content.Outlook\LI9MI5YH\Kopie%20-%20Graf%203%20(2).xlsx" TargetMode="External"/><Relationship Id="rId1" Type="http://schemas.openxmlformats.org/officeDocument/2006/relationships/image" Target="../media/image5.png"/></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Agendy\NK&#218;\Kontroln&#237;%20z&#225;v&#283;ry%20-%20nov&#225;%20podoba\Graf%204.xlsx" TargetMode="External"/><Relationship Id="rId1" Type="http://schemas.openxmlformats.org/officeDocument/2006/relationships/image" Target="../media/image6.jpg"/></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Agendy\NK&#218;\Kontroln&#237;%20z&#225;v&#283;ry%20-%20nov&#225;%20podoba\Graf%20%20%20%205.xlsx" TargetMode="External"/><Relationship Id="rId1" Type="http://schemas.openxmlformats.org/officeDocument/2006/relationships/image" Target="../media/image7.pn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984411163223576E-2"/>
          <c:y val="0.13440023639429174"/>
          <c:w val="0.80847452434204481"/>
          <c:h val="0.74177058289999842"/>
        </c:manualLayout>
      </c:layout>
      <c:barChart>
        <c:barDir val="col"/>
        <c:grouping val="clustered"/>
        <c:varyColors val="0"/>
        <c:ser>
          <c:idx val="0"/>
          <c:order val="0"/>
          <c:tx>
            <c:strRef>
              <c:f>'Nespolehliví plátci - seznam k '!$B$1</c:f>
              <c:strCache>
                <c:ptCount val="1"/>
                <c:pt idx="0">
                  <c:v>Počet nespolehlivých plátců</c:v>
                </c:pt>
              </c:strCache>
            </c:strRef>
          </c:tx>
          <c:spPr>
            <a:solidFill>
              <a:srgbClr val="004595"/>
            </a:solidFill>
          </c:spPr>
          <c:invertIfNegative val="0"/>
          <c:dLbls>
            <c:dLbl>
              <c:idx val="0"/>
              <c:layout>
                <c:manualLayout>
                  <c:x val="1.8786098997561351E-3"/>
                  <c:y val="-2.2270454327829738E-2"/>
                </c:manualLayout>
              </c:layout>
              <c:showLegendKey val="0"/>
              <c:showVal val="1"/>
              <c:showCatName val="0"/>
              <c:showSerName val="0"/>
              <c:showPercent val="0"/>
              <c:showBubbleSize val="0"/>
            </c:dLbl>
            <c:txPr>
              <a:bodyPr/>
              <a:lstStyle/>
              <a:p>
                <a:pPr>
                  <a:defRPr sz="1200"/>
                </a:pPr>
                <a:endParaRPr lang="cs-CZ"/>
              </a:p>
            </c:txPr>
            <c:showLegendKey val="0"/>
            <c:showVal val="1"/>
            <c:showCatName val="0"/>
            <c:showSerName val="0"/>
            <c:showPercent val="0"/>
            <c:showBubbleSize val="0"/>
            <c:showLeaderLines val="0"/>
          </c:dLbls>
          <c:cat>
            <c:strRef>
              <c:f>'Nespolehliví plátci - seznam k '!$A$2:$A$5</c:f>
              <c:strCache>
                <c:ptCount val="4"/>
                <c:pt idx="0">
                  <c:v>k 30. 6. 2013</c:v>
                </c:pt>
                <c:pt idx="1">
                  <c:v>k 31. 12. 2013</c:v>
                </c:pt>
                <c:pt idx="2">
                  <c:v>k 30. 6. 2014</c:v>
                </c:pt>
                <c:pt idx="3">
                  <c:v>k 31. 12. 2014</c:v>
                </c:pt>
              </c:strCache>
            </c:strRef>
          </c:cat>
          <c:val>
            <c:numRef>
              <c:f>'Nespolehliví plátci - seznam k '!$B$2:$B$5</c:f>
              <c:numCache>
                <c:formatCode>General</c:formatCode>
                <c:ptCount val="4"/>
                <c:pt idx="0">
                  <c:v>3</c:v>
                </c:pt>
                <c:pt idx="1">
                  <c:v>27</c:v>
                </c:pt>
                <c:pt idx="2">
                  <c:v>76</c:v>
                </c:pt>
                <c:pt idx="3">
                  <c:v>156</c:v>
                </c:pt>
              </c:numCache>
            </c:numRef>
          </c:val>
        </c:ser>
        <c:dLbls>
          <c:showLegendKey val="0"/>
          <c:showVal val="0"/>
          <c:showCatName val="0"/>
          <c:showSerName val="0"/>
          <c:showPercent val="0"/>
          <c:showBubbleSize val="0"/>
        </c:dLbls>
        <c:gapWidth val="329"/>
        <c:axId val="51165056"/>
        <c:axId val="51166592"/>
      </c:barChart>
      <c:catAx>
        <c:axId val="51165056"/>
        <c:scaling>
          <c:orientation val="minMax"/>
        </c:scaling>
        <c:delete val="0"/>
        <c:axPos val="b"/>
        <c:majorTickMark val="out"/>
        <c:minorTickMark val="none"/>
        <c:tickLblPos val="nextTo"/>
        <c:txPr>
          <a:bodyPr/>
          <a:lstStyle/>
          <a:p>
            <a:pPr>
              <a:defRPr sz="1100"/>
            </a:pPr>
            <a:endParaRPr lang="cs-CZ"/>
          </a:p>
        </c:txPr>
        <c:crossAx val="51166592"/>
        <c:crosses val="autoZero"/>
        <c:auto val="1"/>
        <c:lblAlgn val="ctr"/>
        <c:lblOffset val="100"/>
        <c:noMultiLvlLbl val="0"/>
      </c:catAx>
      <c:valAx>
        <c:axId val="51166592"/>
        <c:scaling>
          <c:orientation val="minMax"/>
        </c:scaling>
        <c:delete val="0"/>
        <c:axPos val="l"/>
        <c:majorGridlines/>
        <c:numFmt formatCode="General" sourceLinked="1"/>
        <c:majorTickMark val="out"/>
        <c:minorTickMark val="none"/>
        <c:tickLblPos val="nextTo"/>
        <c:txPr>
          <a:bodyPr/>
          <a:lstStyle/>
          <a:p>
            <a:pPr>
              <a:defRPr sz="1100"/>
            </a:pPr>
            <a:endParaRPr lang="cs-CZ"/>
          </a:p>
        </c:txPr>
        <c:crossAx val="51165056"/>
        <c:crosses val="autoZero"/>
        <c:crossBetween val="between"/>
      </c:valAx>
      <c:spPr>
        <a:blipFill dpi="0" rotWithShape="1">
          <a:blip xmlns:r="http://schemas.openxmlformats.org/officeDocument/2006/relationships" r:embed="rId1">
            <a:alphaModFix amt="32000"/>
          </a:blip>
          <a:srcRect/>
          <a:stretch>
            <a:fillRect/>
          </a:stretch>
        </a:blipFill>
        <a:ln w="25400">
          <a:noFill/>
        </a:ln>
      </c:spPr>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8570647419073"/>
          <c:y val="4.1135960128340886E-2"/>
          <c:w val="0.96442901355991617"/>
          <c:h val="0.89332584896425105"/>
        </c:manualLayout>
      </c:layout>
      <c:barChart>
        <c:barDir val="col"/>
        <c:grouping val="clustered"/>
        <c:varyColors val="0"/>
        <c:ser>
          <c:idx val="0"/>
          <c:order val="0"/>
          <c:tx>
            <c:strRef>
              <c:f>'[VAT gap rozklad.xlsx]Mezera porovnání MF a NKU'!$A$3</c:f>
              <c:strCache>
                <c:ptCount val="1"/>
                <c:pt idx="0">
                  <c:v>NKÚ</c:v>
                </c:pt>
              </c:strCache>
            </c:strRef>
          </c:tx>
          <c:spPr>
            <a:solidFill>
              <a:srgbClr val="004595"/>
            </a:solidFill>
          </c:spPr>
          <c:invertIfNegative val="0"/>
          <c:cat>
            <c:numRef>
              <c:f>'[VAT gap rozklad.xlsx]Mezera porovnání MF a NKU'!$B$2:$H$2</c:f>
              <c:numCache>
                <c:formatCode>General</c:formatCode>
                <c:ptCount val="7"/>
                <c:pt idx="0">
                  <c:v>2007</c:v>
                </c:pt>
                <c:pt idx="1">
                  <c:v>2008</c:v>
                </c:pt>
                <c:pt idx="2">
                  <c:v>2009</c:v>
                </c:pt>
                <c:pt idx="3">
                  <c:v>2010</c:v>
                </c:pt>
                <c:pt idx="4">
                  <c:v>2011</c:v>
                </c:pt>
                <c:pt idx="5">
                  <c:v>2012</c:v>
                </c:pt>
                <c:pt idx="6">
                  <c:v>2013</c:v>
                </c:pt>
              </c:numCache>
            </c:numRef>
          </c:cat>
          <c:val>
            <c:numRef>
              <c:f>'[VAT gap rozklad.xlsx]Mezera porovnání MF a NKU'!$B$3:$H$3</c:f>
              <c:numCache>
                <c:formatCode>General</c:formatCode>
                <c:ptCount val="7"/>
                <c:pt idx="0">
                  <c:v>57.115831260969337</c:v>
                </c:pt>
                <c:pt idx="1">
                  <c:v>84.633959930044838</c:v>
                </c:pt>
                <c:pt idx="2">
                  <c:v>90.936932507037767</c:v>
                </c:pt>
                <c:pt idx="3">
                  <c:v>102.84851977435837</c:v>
                </c:pt>
                <c:pt idx="4">
                  <c:v>91.978004431783859</c:v>
                </c:pt>
                <c:pt idx="5">
                  <c:v>100.63412034908315</c:v>
                </c:pt>
                <c:pt idx="6">
                  <c:v>104.93575480486278</c:v>
                </c:pt>
              </c:numCache>
            </c:numRef>
          </c:val>
        </c:ser>
        <c:ser>
          <c:idx val="1"/>
          <c:order val="1"/>
          <c:tx>
            <c:strRef>
              <c:f>'[VAT gap rozklad.xlsx]Mezera porovnání MF a NKU'!$A$4</c:f>
              <c:strCache>
                <c:ptCount val="1"/>
                <c:pt idx="0">
                  <c:v>MF ČR</c:v>
                </c:pt>
              </c:strCache>
            </c:strRef>
          </c:tx>
          <c:spPr>
            <a:solidFill>
              <a:srgbClr val="C00000"/>
            </a:solidFill>
          </c:spPr>
          <c:invertIfNegative val="0"/>
          <c:cat>
            <c:numRef>
              <c:f>'[VAT gap rozklad.xlsx]Mezera porovnání MF a NKU'!$B$2:$H$2</c:f>
              <c:numCache>
                <c:formatCode>General</c:formatCode>
                <c:ptCount val="7"/>
                <c:pt idx="0">
                  <c:v>2007</c:v>
                </c:pt>
                <c:pt idx="1">
                  <c:v>2008</c:v>
                </c:pt>
                <c:pt idx="2">
                  <c:v>2009</c:v>
                </c:pt>
                <c:pt idx="3">
                  <c:v>2010</c:v>
                </c:pt>
                <c:pt idx="4">
                  <c:v>2011</c:v>
                </c:pt>
                <c:pt idx="5">
                  <c:v>2012</c:v>
                </c:pt>
                <c:pt idx="6">
                  <c:v>2013</c:v>
                </c:pt>
              </c:numCache>
            </c:numRef>
          </c:cat>
          <c:val>
            <c:numRef>
              <c:f>'[VAT gap rozklad.xlsx]Mezera porovnání MF a NKU'!$B$4:$H$4</c:f>
              <c:numCache>
                <c:formatCode>General</c:formatCode>
                <c:ptCount val="7"/>
                <c:pt idx="0">
                  <c:v>68</c:v>
                </c:pt>
                <c:pt idx="1">
                  <c:v>95</c:v>
                </c:pt>
                <c:pt idx="2">
                  <c:v>97</c:v>
                </c:pt>
                <c:pt idx="3">
                  <c:v>111</c:v>
                </c:pt>
                <c:pt idx="4">
                  <c:v>107</c:v>
                </c:pt>
                <c:pt idx="5">
                  <c:v>121</c:v>
                </c:pt>
              </c:numCache>
            </c:numRef>
          </c:val>
        </c:ser>
        <c:dLbls>
          <c:showLegendKey val="0"/>
          <c:showVal val="0"/>
          <c:showCatName val="0"/>
          <c:showSerName val="0"/>
          <c:showPercent val="0"/>
          <c:showBubbleSize val="0"/>
        </c:dLbls>
        <c:gapWidth val="150"/>
        <c:axId val="80870784"/>
        <c:axId val="124433920"/>
      </c:barChart>
      <c:catAx>
        <c:axId val="80870784"/>
        <c:scaling>
          <c:orientation val="minMax"/>
        </c:scaling>
        <c:delete val="0"/>
        <c:axPos val="b"/>
        <c:numFmt formatCode="General" sourceLinked="1"/>
        <c:majorTickMark val="none"/>
        <c:minorTickMark val="none"/>
        <c:tickLblPos val="nextTo"/>
        <c:txPr>
          <a:bodyPr/>
          <a:lstStyle/>
          <a:p>
            <a:pPr>
              <a:defRPr sz="1000"/>
            </a:pPr>
            <a:endParaRPr lang="cs-CZ"/>
          </a:p>
        </c:txPr>
        <c:crossAx val="124433920"/>
        <c:crosses val="autoZero"/>
        <c:auto val="1"/>
        <c:lblAlgn val="ctr"/>
        <c:lblOffset val="100"/>
        <c:noMultiLvlLbl val="0"/>
      </c:catAx>
      <c:valAx>
        <c:axId val="124433920"/>
        <c:scaling>
          <c:orientation val="minMax"/>
        </c:scaling>
        <c:delete val="0"/>
        <c:axPos val="l"/>
        <c:numFmt formatCode="General" sourceLinked="1"/>
        <c:majorTickMark val="none"/>
        <c:minorTickMark val="none"/>
        <c:tickLblPos val="nextTo"/>
        <c:txPr>
          <a:bodyPr/>
          <a:lstStyle/>
          <a:p>
            <a:pPr>
              <a:defRPr sz="1000"/>
            </a:pPr>
            <a:endParaRPr lang="cs-CZ"/>
          </a:p>
        </c:txPr>
        <c:crossAx val="80870784"/>
        <c:crosses val="autoZero"/>
        <c:crossBetween val="between"/>
      </c:valAx>
      <c:spPr>
        <a:blipFill dpi="0" rotWithShape="1">
          <a:blip xmlns:r="http://schemas.openxmlformats.org/officeDocument/2006/relationships" r:embed="rId1">
            <a:alphaModFix amt="7000"/>
          </a:blip>
          <a:srcRect/>
          <a:stretch>
            <a:fillRect/>
          </a:stretch>
        </a:blipFill>
        <a:ln w="25400">
          <a:noFill/>
        </a:ln>
      </c:spPr>
    </c:plotArea>
    <c:plotVisOnly val="1"/>
    <c:dispBlanksAs val="gap"/>
    <c:showDLblsOverMax val="0"/>
  </c:chart>
  <c:spPr>
    <a:noFill/>
    <a:ln>
      <a:no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020341207349076E-2"/>
          <c:y val="0.11825084269851915"/>
          <c:w val="0.91324321959755028"/>
          <c:h val="0.55717426310135476"/>
        </c:manualLayout>
      </c:layout>
      <c:barChart>
        <c:barDir val="col"/>
        <c:grouping val="clustered"/>
        <c:varyColors val="0"/>
        <c:ser>
          <c:idx val="0"/>
          <c:order val="0"/>
          <c:tx>
            <c:strRef>
              <c:f>infografika!$B$10</c:f>
              <c:strCache>
                <c:ptCount val="1"/>
                <c:pt idx="0">
                  <c:v>VAT GAP</c:v>
                </c:pt>
              </c:strCache>
            </c:strRef>
          </c:tx>
          <c:spPr>
            <a:solidFill>
              <a:srgbClr val="004595"/>
            </a:solidFill>
          </c:spPr>
          <c:invertIfNegative val="0"/>
          <c:dPt>
            <c:idx val="19"/>
            <c:invertIfNegative val="0"/>
            <c:bubble3D val="0"/>
            <c:spPr>
              <a:solidFill>
                <a:srgbClr val="00B0F0"/>
              </a:solidFill>
            </c:spPr>
          </c:dPt>
          <c:dPt>
            <c:idx val="20"/>
            <c:invertIfNegative val="0"/>
            <c:bubble3D val="0"/>
          </c:dPt>
          <c:dLbls>
            <c:dLbl>
              <c:idx val="20"/>
              <c:layout>
                <c:manualLayout>
                  <c:x val="-3.0733302104618495E-2"/>
                  <c:y val="1.181679160204324E-2"/>
                </c:manualLayout>
              </c:layout>
              <c:tx>
                <c:rich>
                  <a:bodyPr/>
                  <a:lstStyle/>
                  <a:p>
                    <a:r>
                      <a:rPr lang="en-US" sz="1200" b="1">
                        <a:solidFill>
                          <a:srgbClr val="00B0F0"/>
                        </a:solidFill>
                      </a:rPr>
                      <a:t>28</a:t>
                    </a:r>
                    <a:r>
                      <a:rPr lang="cs-CZ" sz="1200" b="1">
                        <a:solidFill>
                          <a:srgbClr val="00B0F0"/>
                        </a:solidFill>
                      </a:rPr>
                      <a:t> </a:t>
                    </a:r>
                    <a:r>
                      <a:rPr lang="en-US" sz="1200" b="1">
                        <a:solidFill>
                          <a:srgbClr val="00B0F0"/>
                        </a:solidFill>
                      </a:rPr>
                      <a:t>%</a:t>
                    </a:r>
                    <a:endParaRPr lang="en-US" sz="2000" b="1">
                      <a:solidFill>
                        <a:srgbClr val="92D050"/>
                      </a:solidFill>
                    </a:endParaRPr>
                  </a:p>
                </c:rich>
              </c:tx>
              <c:showLegendKey val="0"/>
              <c:showVal val="1"/>
              <c:showCatName val="0"/>
              <c:showSerName val="0"/>
              <c:showPercent val="0"/>
              <c:showBubbleSize val="0"/>
            </c:dLbl>
            <c:txPr>
              <a:bodyPr/>
              <a:lstStyle/>
              <a:p>
                <a:pPr>
                  <a:defRPr sz="1200">
                    <a:solidFill>
                      <a:srgbClr val="00B0F0"/>
                    </a:solidFill>
                  </a:defRPr>
                </a:pPr>
                <a:endParaRPr lang="cs-CZ"/>
              </a:p>
            </c:txPr>
            <c:showLegendKey val="0"/>
            <c:showVal val="0"/>
            <c:showCatName val="0"/>
            <c:showSerName val="0"/>
            <c:showPercent val="0"/>
            <c:showBubbleSize val="0"/>
          </c:dLbls>
          <c:cat>
            <c:strRef>
              <c:f>infografika!$A$11:$A$36</c:f>
              <c:strCache>
                <c:ptCount val="26"/>
                <c:pt idx="0">
                  <c:v>Sweden</c:v>
                </c:pt>
                <c:pt idx="1">
                  <c:v>Malta</c:v>
                </c:pt>
                <c:pt idx="2">
                  <c:v>Netherlands</c:v>
                </c:pt>
                <c:pt idx="3">
                  <c:v>Denmark</c:v>
                </c:pt>
                <c:pt idx="4">
                  <c:v>Ireland</c:v>
                </c:pt>
                <c:pt idx="5">
                  <c:v>Slovenia</c:v>
                </c:pt>
                <c:pt idx="6">
                  <c:v>Germany</c:v>
                </c:pt>
                <c:pt idx="7">
                  <c:v>Austria</c:v>
                </c:pt>
                <c:pt idx="8">
                  <c:v>UK</c:v>
                </c:pt>
                <c:pt idx="9">
                  <c:v>Finland</c:v>
                </c:pt>
                <c:pt idx="10">
                  <c:v>Bulgaria</c:v>
                </c:pt>
                <c:pt idx="11">
                  <c:v>Poland</c:v>
                </c:pt>
                <c:pt idx="12">
                  <c:v>Belgium</c:v>
                </c:pt>
                <c:pt idx="13">
                  <c:v>Portugal</c:v>
                </c:pt>
                <c:pt idx="14">
                  <c:v>Luxembourg</c:v>
                </c:pt>
                <c:pt idx="15">
                  <c:v>Estonia</c:v>
                </c:pt>
                <c:pt idx="16">
                  <c:v>France</c:v>
                </c:pt>
                <c:pt idx="17">
                  <c:v>Spain</c:v>
                </c:pt>
                <c:pt idx="18">
                  <c:v>Italy</c:v>
                </c:pt>
                <c:pt idx="19">
                  <c:v>Czech Republic</c:v>
                </c:pt>
                <c:pt idx="20">
                  <c:v>Hungary</c:v>
                </c:pt>
                <c:pt idx="21">
                  <c:v>Lithuania</c:v>
                </c:pt>
                <c:pt idx="22">
                  <c:v>Slovakia</c:v>
                </c:pt>
                <c:pt idx="23">
                  <c:v>Greece</c:v>
                </c:pt>
                <c:pt idx="24">
                  <c:v>Latvia</c:v>
                </c:pt>
                <c:pt idx="25">
                  <c:v>Romania</c:v>
                </c:pt>
              </c:strCache>
            </c:strRef>
          </c:cat>
          <c:val>
            <c:numRef>
              <c:f>infografika!$B$11:$B$36</c:f>
              <c:numCache>
                <c:formatCode>0%</c:formatCode>
                <c:ptCount val="26"/>
                <c:pt idx="0">
                  <c:v>0.02</c:v>
                </c:pt>
                <c:pt idx="1">
                  <c:v>0.04</c:v>
                </c:pt>
                <c:pt idx="2">
                  <c:v>0.09</c:v>
                </c:pt>
                <c:pt idx="3">
                  <c:v>0.1</c:v>
                </c:pt>
                <c:pt idx="4">
                  <c:v>0.1</c:v>
                </c:pt>
                <c:pt idx="5">
                  <c:v>0.1</c:v>
                </c:pt>
                <c:pt idx="6">
                  <c:v>0.12</c:v>
                </c:pt>
                <c:pt idx="7">
                  <c:v>0.13</c:v>
                </c:pt>
                <c:pt idx="8">
                  <c:v>0.13</c:v>
                </c:pt>
                <c:pt idx="9">
                  <c:v>0.14000000000000001</c:v>
                </c:pt>
                <c:pt idx="10">
                  <c:v>0.15</c:v>
                </c:pt>
                <c:pt idx="11">
                  <c:v>0.15</c:v>
                </c:pt>
                <c:pt idx="12">
                  <c:v>0.16</c:v>
                </c:pt>
                <c:pt idx="13">
                  <c:v>0.16</c:v>
                </c:pt>
                <c:pt idx="14">
                  <c:v>0.17</c:v>
                </c:pt>
                <c:pt idx="15">
                  <c:v>0.18</c:v>
                </c:pt>
                <c:pt idx="16">
                  <c:v>0.19</c:v>
                </c:pt>
                <c:pt idx="17">
                  <c:v>0.21</c:v>
                </c:pt>
                <c:pt idx="18">
                  <c:v>0.27</c:v>
                </c:pt>
                <c:pt idx="19">
                  <c:v>0.28000000000000003</c:v>
                </c:pt>
                <c:pt idx="20">
                  <c:v>0.3</c:v>
                </c:pt>
                <c:pt idx="21">
                  <c:v>0.36</c:v>
                </c:pt>
                <c:pt idx="22">
                  <c:v>0.37</c:v>
                </c:pt>
                <c:pt idx="23">
                  <c:v>0.39</c:v>
                </c:pt>
                <c:pt idx="24">
                  <c:v>0.41</c:v>
                </c:pt>
                <c:pt idx="25">
                  <c:v>0.48</c:v>
                </c:pt>
              </c:numCache>
            </c:numRef>
          </c:val>
        </c:ser>
        <c:dLbls>
          <c:showLegendKey val="0"/>
          <c:showVal val="0"/>
          <c:showCatName val="0"/>
          <c:showSerName val="0"/>
          <c:showPercent val="0"/>
          <c:showBubbleSize val="0"/>
        </c:dLbls>
        <c:gapWidth val="75"/>
        <c:overlap val="-25"/>
        <c:axId val="131168512"/>
        <c:axId val="145146240"/>
      </c:barChart>
      <c:lineChart>
        <c:grouping val="standard"/>
        <c:varyColors val="0"/>
        <c:ser>
          <c:idx val="1"/>
          <c:order val="1"/>
          <c:tx>
            <c:strRef>
              <c:f>infografika!$C$10</c:f>
              <c:strCache>
                <c:ptCount val="1"/>
                <c:pt idx="0">
                  <c:v>EU avarage</c:v>
                </c:pt>
              </c:strCache>
            </c:strRef>
          </c:tx>
          <c:spPr>
            <a:ln>
              <a:solidFill>
                <a:srgbClr val="C00000"/>
              </a:solidFill>
            </a:ln>
          </c:spPr>
          <c:marker>
            <c:symbol val="none"/>
          </c:marker>
          <c:cat>
            <c:strRef>
              <c:f>infografika!$A$11:$A$36</c:f>
              <c:strCache>
                <c:ptCount val="26"/>
                <c:pt idx="0">
                  <c:v>Sweden</c:v>
                </c:pt>
                <c:pt idx="1">
                  <c:v>Malta</c:v>
                </c:pt>
                <c:pt idx="2">
                  <c:v>Netherlands</c:v>
                </c:pt>
                <c:pt idx="3">
                  <c:v>Denmark</c:v>
                </c:pt>
                <c:pt idx="4">
                  <c:v>Ireland</c:v>
                </c:pt>
                <c:pt idx="5">
                  <c:v>Slovenia</c:v>
                </c:pt>
                <c:pt idx="6">
                  <c:v>Germany</c:v>
                </c:pt>
                <c:pt idx="7">
                  <c:v>Austria</c:v>
                </c:pt>
                <c:pt idx="8">
                  <c:v>UK</c:v>
                </c:pt>
                <c:pt idx="9">
                  <c:v>Finland</c:v>
                </c:pt>
                <c:pt idx="10">
                  <c:v>Bulgaria</c:v>
                </c:pt>
                <c:pt idx="11">
                  <c:v>Poland</c:v>
                </c:pt>
                <c:pt idx="12">
                  <c:v>Belgium</c:v>
                </c:pt>
                <c:pt idx="13">
                  <c:v>Portugal</c:v>
                </c:pt>
                <c:pt idx="14">
                  <c:v>Luxembourg</c:v>
                </c:pt>
                <c:pt idx="15">
                  <c:v>Estonia</c:v>
                </c:pt>
                <c:pt idx="16">
                  <c:v>France</c:v>
                </c:pt>
                <c:pt idx="17">
                  <c:v>Spain</c:v>
                </c:pt>
                <c:pt idx="18">
                  <c:v>Italy</c:v>
                </c:pt>
                <c:pt idx="19">
                  <c:v>Czech Republic</c:v>
                </c:pt>
                <c:pt idx="20">
                  <c:v>Hungary</c:v>
                </c:pt>
                <c:pt idx="21">
                  <c:v>Lithuania</c:v>
                </c:pt>
                <c:pt idx="22">
                  <c:v>Slovakia</c:v>
                </c:pt>
                <c:pt idx="23">
                  <c:v>Greece</c:v>
                </c:pt>
                <c:pt idx="24">
                  <c:v>Latvia</c:v>
                </c:pt>
                <c:pt idx="25">
                  <c:v>Romania</c:v>
                </c:pt>
              </c:strCache>
            </c:strRef>
          </c:cat>
          <c:val>
            <c:numRef>
              <c:f>infografika!$C$11:$C$36</c:f>
              <c:numCache>
                <c:formatCode>0%</c:formatCode>
                <c:ptCount val="26"/>
                <c:pt idx="0">
                  <c:v>0.18</c:v>
                </c:pt>
                <c:pt idx="1">
                  <c:v>0.18</c:v>
                </c:pt>
                <c:pt idx="2">
                  <c:v>0.18</c:v>
                </c:pt>
                <c:pt idx="3">
                  <c:v>0.18</c:v>
                </c:pt>
                <c:pt idx="4">
                  <c:v>0.18</c:v>
                </c:pt>
                <c:pt idx="5">
                  <c:v>0.18</c:v>
                </c:pt>
                <c:pt idx="6">
                  <c:v>0.18</c:v>
                </c:pt>
                <c:pt idx="7">
                  <c:v>0.18</c:v>
                </c:pt>
                <c:pt idx="8">
                  <c:v>0.18</c:v>
                </c:pt>
                <c:pt idx="9">
                  <c:v>0.18</c:v>
                </c:pt>
                <c:pt idx="10">
                  <c:v>0.18</c:v>
                </c:pt>
                <c:pt idx="11">
                  <c:v>0.18</c:v>
                </c:pt>
                <c:pt idx="12">
                  <c:v>0.18</c:v>
                </c:pt>
                <c:pt idx="13">
                  <c:v>0.18</c:v>
                </c:pt>
                <c:pt idx="14">
                  <c:v>0.18</c:v>
                </c:pt>
                <c:pt idx="15">
                  <c:v>0.18</c:v>
                </c:pt>
                <c:pt idx="16">
                  <c:v>0.18</c:v>
                </c:pt>
                <c:pt idx="17">
                  <c:v>0.18</c:v>
                </c:pt>
                <c:pt idx="18">
                  <c:v>0.18</c:v>
                </c:pt>
                <c:pt idx="19">
                  <c:v>0.18</c:v>
                </c:pt>
                <c:pt idx="20">
                  <c:v>0.18</c:v>
                </c:pt>
                <c:pt idx="21">
                  <c:v>0.18</c:v>
                </c:pt>
                <c:pt idx="22">
                  <c:v>0.18</c:v>
                </c:pt>
                <c:pt idx="23">
                  <c:v>0.18</c:v>
                </c:pt>
                <c:pt idx="24">
                  <c:v>0.18</c:v>
                </c:pt>
                <c:pt idx="25">
                  <c:v>0.18</c:v>
                </c:pt>
              </c:numCache>
            </c:numRef>
          </c:val>
          <c:smooth val="0"/>
        </c:ser>
        <c:dLbls>
          <c:showLegendKey val="0"/>
          <c:showVal val="0"/>
          <c:showCatName val="0"/>
          <c:showSerName val="0"/>
          <c:showPercent val="0"/>
          <c:showBubbleSize val="0"/>
        </c:dLbls>
        <c:marker val="1"/>
        <c:smooth val="0"/>
        <c:axId val="131168512"/>
        <c:axId val="145146240"/>
      </c:lineChart>
      <c:catAx>
        <c:axId val="131168512"/>
        <c:scaling>
          <c:orientation val="minMax"/>
        </c:scaling>
        <c:delete val="0"/>
        <c:axPos val="b"/>
        <c:majorTickMark val="none"/>
        <c:minorTickMark val="none"/>
        <c:tickLblPos val="nextTo"/>
        <c:spPr>
          <a:ln>
            <a:solidFill>
              <a:schemeClr val="tx1"/>
            </a:solidFill>
          </a:ln>
        </c:spPr>
        <c:txPr>
          <a:bodyPr/>
          <a:lstStyle/>
          <a:p>
            <a:pPr>
              <a:defRPr sz="600"/>
            </a:pPr>
            <a:endParaRPr lang="cs-CZ"/>
          </a:p>
        </c:txPr>
        <c:crossAx val="145146240"/>
        <c:crosses val="autoZero"/>
        <c:auto val="1"/>
        <c:lblAlgn val="ctr"/>
        <c:lblOffset val="100"/>
        <c:noMultiLvlLbl val="0"/>
      </c:catAx>
      <c:valAx>
        <c:axId val="145146240"/>
        <c:scaling>
          <c:orientation val="minMax"/>
        </c:scaling>
        <c:delete val="0"/>
        <c:axPos val="l"/>
        <c:numFmt formatCode="0\ %" sourceLinked="0"/>
        <c:majorTickMark val="out"/>
        <c:minorTickMark val="none"/>
        <c:tickLblPos val="nextTo"/>
        <c:spPr>
          <a:ln w="9525">
            <a:solidFill>
              <a:schemeClr val="tx1"/>
            </a:solidFill>
          </a:ln>
        </c:spPr>
        <c:txPr>
          <a:bodyPr/>
          <a:lstStyle/>
          <a:p>
            <a:pPr>
              <a:defRPr sz="900"/>
            </a:pPr>
            <a:endParaRPr lang="cs-CZ"/>
          </a:p>
        </c:txPr>
        <c:crossAx val="131168512"/>
        <c:crosses val="autoZero"/>
        <c:crossBetween val="between"/>
      </c:valAx>
      <c:spPr>
        <a:blipFill dpi="0" rotWithShape="1">
          <a:blip xmlns:r="http://schemas.openxmlformats.org/officeDocument/2006/relationships" r:embed="rId1">
            <a:alphaModFix amt="22000"/>
          </a:blip>
          <a:srcRect/>
          <a:stretch>
            <a:fillRect/>
          </a:stretch>
        </a:blipFill>
      </c:spPr>
    </c:plotArea>
    <c:plotVisOnly val="1"/>
    <c:dispBlanksAs val="gap"/>
    <c:showDLblsOverMax val="0"/>
  </c:chart>
  <c:spPr>
    <a:noFill/>
    <a:ln>
      <a:noFill/>
    </a:ln>
  </c:spPr>
  <c:externalData r:id="rId2">
    <c:autoUpdate val="0"/>
  </c:externalData>
  <c:userShapes r:id="rId3"/>
</c:chartSpace>
</file>

<file path=word/drawings/_rels/drawing2.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0.8296</cdr:x>
      <cdr:y>0.1401</cdr:y>
    </cdr:from>
    <cdr:to>
      <cdr:x>0.99916</cdr:x>
      <cdr:y>0.20717</cdr:y>
    </cdr:to>
    <cdr:sp macro="" textlink="">
      <cdr:nvSpPr>
        <cdr:cNvPr id="2" name="TextovéPole 1"/>
        <cdr:cNvSpPr txBox="1"/>
      </cdr:nvSpPr>
      <cdr:spPr>
        <a:xfrm xmlns:a="http://schemas.openxmlformats.org/drawingml/2006/main">
          <a:off x="2427467" y="263961"/>
          <a:ext cx="496153" cy="1263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900" b="1">
              <a:solidFill>
                <a:srgbClr val="FF0000"/>
              </a:solidFill>
            </a:rPr>
            <a:t>25,7 %</a:t>
          </a:r>
        </a:p>
      </cdr:txBody>
    </cdr:sp>
  </cdr:relSizeAnchor>
</c:userShapes>
</file>

<file path=word/drawings/drawing2.xml><?xml version="1.0" encoding="utf-8"?>
<c:userShapes xmlns:c="http://schemas.openxmlformats.org/drawingml/2006/chart">
  <cdr:relSizeAnchor xmlns:cdr="http://schemas.openxmlformats.org/drawingml/2006/chartDrawing">
    <cdr:from>
      <cdr:x>0.1161</cdr:x>
      <cdr:y>0.42961</cdr:y>
    </cdr:from>
    <cdr:to>
      <cdr:x>0.38071</cdr:x>
      <cdr:y>0.51519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43466" y="758117"/>
          <a:ext cx="782839" cy="151020"/>
        </a:xfrm>
        <a:prstGeom xmlns:a="http://schemas.openxmlformats.org/drawingml/2006/main" prst="rect">
          <a:avLst/>
        </a:prstGeom>
      </cdr:spPr>
    </cdr:pic>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C57FCA-9942-4CF2-9C4A-8A7BC9AF25B8}"/>
</file>

<file path=customXml/itemProps2.xml><?xml version="1.0" encoding="utf-8"?>
<ds:datastoreItem xmlns:ds="http://schemas.openxmlformats.org/officeDocument/2006/customXml" ds:itemID="{98930E11-92CB-4766-A0AD-FBF9E5EC1C2D}"/>
</file>

<file path=customXml/itemProps3.xml><?xml version="1.0" encoding="utf-8"?>
<ds:datastoreItem xmlns:ds="http://schemas.openxmlformats.org/officeDocument/2006/customXml" ds:itemID="{AB82D05B-69EE-4A42-BC0D-B09D623FBF62}"/>
</file>

<file path=customXml/itemProps4.xml><?xml version="1.0" encoding="utf-8"?>
<ds:datastoreItem xmlns:ds="http://schemas.openxmlformats.org/officeDocument/2006/customXml" ds:itemID="{F058E811-A578-45D2-BEBD-D1D3592EFB32}"/>
</file>

<file path=docProps/app.xml><?xml version="1.0" encoding="utf-8"?>
<Properties xmlns="http://schemas.openxmlformats.org/officeDocument/2006/extended-properties" xmlns:vt="http://schemas.openxmlformats.org/officeDocument/2006/docPropsVTypes">
  <Template>1BFCE2A5.dotm</Template>
  <TotalTime>0</TotalTime>
  <Pages>17</Pages>
  <Words>5806</Words>
  <Characters>34259</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39986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14/17</dc:title>
  <dc:creator>KULHÁNKOVÁ Lucie</dc:creator>
  <cp:lastModifiedBy>GREŠOVÁ Romana</cp:lastModifiedBy>
  <cp:revision>3</cp:revision>
  <cp:lastPrinted>2015-04-22T11:30:00Z</cp:lastPrinted>
  <dcterms:created xsi:type="dcterms:W3CDTF">2015-04-22T11:40:00Z</dcterms:created>
  <dcterms:modified xsi:type="dcterms:W3CDTF">2015-04-22T12:04:00Z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0x0101002F7A625AE9F5AB4A939F92BCAA7FEC02</vt:lpwstr>
  </property>
</Properties>
</file>