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8B" w:rsidRPr="00632AC5" w:rsidRDefault="000B2E48" w:rsidP="00AC4B8B">
      <w:pPr>
        <w:jc w:val="center"/>
        <w:rPr>
          <w:rFonts w:ascii="Calibri" w:hAnsi="Calibri" w:cs="Calibri"/>
          <w:b/>
          <w:color w:val="000000"/>
          <w:sz w:val="24"/>
        </w:rPr>
      </w:pPr>
      <w:r w:rsidRPr="00632AC5">
        <w:rPr>
          <w:rFonts w:ascii="Calibri" w:hAnsi="Calibri" w:cs="Calibri"/>
          <w:b/>
          <w:noProof/>
          <w:color w:val="000000"/>
          <w:sz w:val="24"/>
          <w:lang w:eastAsia="cs-CZ"/>
        </w:rPr>
        <w:drawing>
          <wp:inline distT="0" distB="0" distL="0" distR="0" wp14:anchorId="082E6489" wp14:editId="76D39323">
            <wp:extent cx="800100" cy="571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6A0" w:rsidRPr="00632AC5" w:rsidRDefault="009266A0" w:rsidP="00AC4B8B">
      <w:pPr>
        <w:jc w:val="center"/>
        <w:rPr>
          <w:rFonts w:ascii="Calibri" w:hAnsi="Calibri" w:cs="Calibri"/>
          <w:b/>
          <w:color w:val="000000"/>
          <w:sz w:val="24"/>
        </w:rPr>
      </w:pPr>
    </w:p>
    <w:p w:rsidR="000B2E48" w:rsidRDefault="000B2E48" w:rsidP="00AC4B8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AC4B8B" w:rsidRDefault="00AC4B8B" w:rsidP="00AC4B8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32AC5">
        <w:rPr>
          <w:rFonts w:ascii="Calibri" w:hAnsi="Calibri" w:cs="Calibri"/>
          <w:b/>
          <w:color w:val="000000"/>
          <w:sz w:val="28"/>
          <w:szCs w:val="28"/>
        </w:rPr>
        <w:t xml:space="preserve">Kontrolní závěr </w:t>
      </w:r>
      <w:r w:rsidR="00574487">
        <w:rPr>
          <w:rFonts w:ascii="Calibri" w:hAnsi="Calibri" w:cs="Calibri"/>
          <w:b/>
          <w:color w:val="000000"/>
          <w:sz w:val="28"/>
          <w:szCs w:val="28"/>
        </w:rPr>
        <w:t>z </w:t>
      </w:r>
      <w:r w:rsidRPr="00632AC5">
        <w:rPr>
          <w:rFonts w:ascii="Calibri" w:hAnsi="Calibri" w:cs="Calibri"/>
          <w:b/>
          <w:color w:val="000000"/>
          <w:sz w:val="28"/>
          <w:szCs w:val="28"/>
        </w:rPr>
        <w:t>kontrolní akce</w:t>
      </w:r>
    </w:p>
    <w:p w:rsidR="000B2E48" w:rsidRDefault="00137113" w:rsidP="00574487">
      <w:pPr>
        <w:jc w:val="lef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ab/>
      </w:r>
    </w:p>
    <w:p w:rsidR="00AC4B8B" w:rsidRDefault="00AC4B8B" w:rsidP="00AC4B8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32AC5">
        <w:rPr>
          <w:rFonts w:ascii="Calibri" w:hAnsi="Calibri" w:cs="Calibri"/>
          <w:b/>
          <w:color w:val="000000"/>
          <w:sz w:val="28"/>
          <w:szCs w:val="28"/>
        </w:rPr>
        <w:t>1</w:t>
      </w:r>
      <w:r w:rsidR="007523BB" w:rsidRPr="00632AC5">
        <w:rPr>
          <w:rFonts w:ascii="Calibri" w:hAnsi="Calibri" w:cs="Calibri"/>
          <w:b/>
          <w:color w:val="000000"/>
          <w:sz w:val="28"/>
          <w:szCs w:val="28"/>
        </w:rPr>
        <w:t>4</w:t>
      </w:r>
      <w:r w:rsidRPr="00632AC5">
        <w:rPr>
          <w:rFonts w:ascii="Calibri" w:hAnsi="Calibri" w:cs="Calibri"/>
          <w:b/>
          <w:color w:val="000000"/>
          <w:sz w:val="28"/>
          <w:szCs w:val="28"/>
        </w:rPr>
        <w:t>/</w:t>
      </w:r>
      <w:r w:rsidR="007523BB" w:rsidRPr="00632AC5">
        <w:rPr>
          <w:rFonts w:ascii="Calibri" w:hAnsi="Calibri" w:cs="Calibri"/>
          <w:b/>
          <w:color w:val="000000"/>
          <w:sz w:val="28"/>
          <w:szCs w:val="28"/>
        </w:rPr>
        <w:t>08</w:t>
      </w:r>
    </w:p>
    <w:p w:rsidR="000B2E48" w:rsidRDefault="000B2E48" w:rsidP="00AC4B8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AC4B8B" w:rsidRPr="00632AC5" w:rsidRDefault="007523BB" w:rsidP="00AC4B8B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32AC5">
        <w:rPr>
          <w:rFonts w:ascii="Calibri" w:hAnsi="Calibri" w:cs="Calibri"/>
          <w:b/>
          <w:bCs/>
          <w:color w:val="000000"/>
          <w:sz w:val="28"/>
          <w:szCs w:val="28"/>
        </w:rPr>
        <w:t xml:space="preserve">Prostředky státu v oblasti důchodového pojištění </w:t>
      </w:r>
    </w:p>
    <w:p w:rsidR="00AC4B8B" w:rsidRPr="00632AC5" w:rsidRDefault="00AC4B8B" w:rsidP="00AC4B8B">
      <w:pPr>
        <w:rPr>
          <w:rFonts w:ascii="Calibri" w:hAnsi="Calibri" w:cs="Calibri"/>
          <w:color w:val="000000"/>
          <w:sz w:val="24"/>
        </w:rPr>
      </w:pPr>
    </w:p>
    <w:p w:rsidR="00AC4B8B" w:rsidRPr="00632AC5" w:rsidRDefault="00AC4B8B" w:rsidP="00AC4B8B">
      <w:pPr>
        <w:rPr>
          <w:rFonts w:ascii="Calibri" w:hAnsi="Calibri" w:cs="Calibri"/>
          <w:color w:val="000000"/>
          <w:sz w:val="24"/>
        </w:rPr>
      </w:pPr>
    </w:p>
    <w:p w:rsidR="00AC4B8B" w:rsidRPr="00632AC5" w:rsidRDefault="00AC4B8B" w:rsidP="00355106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>Kontrolní akce byla zařazena do plánu kontrolní činnosti Nejvyššího kontrolního úřadu (dále jen „NKÚ“) na rok 201</w:t>
      </w:r>
      <w:r w:rsidR="007523BB" w:rsidRPr="00632AC5">
        <w:rPr>
          <w:rFonts w:ascii="Calibri" w:hAnsi="Calibri" w:cs="Calibri"/>
          <w:color w:val="000000"/>
          <w:sz w:val="24"/>
        </w:rPr>
        <w:t>4</w:t>
      </w:r>
      <w:r w:rsidRPr="00632AC5">
        <w:rPr>
          <w:rFonts w:ascii="Calibri" w:hAnsi="Calibri" w:cs="Calibri"/>
          <w:color w:val="000000"/>
          <w:sz w:val="24"/>
        </w:rPr>
        <w:t xml:space="preserve"> pod číslem 1</w:t>
      </w:r>
      <w:r w:rsidR="00777301" w:rsidRPr="00632AC5">
        <w:rPr>
          <w:rFonts w:ascii="Calibri" w:hAnsi="Calibri" w:cs="Calibri"/>
          <w:color w:val="000000"/>
          <w:sz w:val="24"/>
        </w:rPr>
        <w:t>4</w:t>
      </w:r>
      <w:r w:rsidRPr="00632AC5">
        <w:rPr>
          <w:rFonts w:ascii="Calibri" w:hAnsi="Calibri" w:cs="Calibri"/>
          <w:color w:val="000000"/>
          <w:sz w:val="24"/>
        </w:rPr>
        <w:t>/</w:t>
      </w:r>
      <w:r w:rsidR="00777301" w:rsidRPr="00632AC5">
        <w:rPr>
          <w:rFonts w:ascii="Calibri" w:hAnsi="Calibri" w:cs="Calibri"/>
          <w:color w:val="000000"/>
          <w:sz w:val="24"/>
        </w:rPr>
        <w:t>08</w:t>
      </w:r>
      <w:r w:rsidRPr="00632AC5">
        <w:rPr>
          <w:rFonts w:ascii="Calibri" w:hAnsi="Calibri" w:cs="Calibri"/>
          <w:color w:val="000000"/>
          <w:sz w:val="24"/>
        </w:rPr>
        <w:t>. Kontrolní akci řídil</w:t>
      </w:r>
      <w:r w:rsidR="00777301" w:rsidRPr="00632AC5">
        <w:rPr>
          <w:rFonts w:ascii="Calibri" w:hAnsi="Calibri" w:cs="Calibri"/>
          <w:color w:val="000000"/>
          <w:sz w:val="24"/>
        </w:rPr>
        <w:t>a</w:t>
      </w:r>
      <w:r w:rsidRPr="00632AC5">
        <w:rPr>
          <w:rFonts w:ascii="Calibri" w:hAnsi="Calibri" w:cs="Calibri"/>
          <w:color w:val="000000"/>
          <w:sz w:val="24"/>
        </w:rPr>
        <w:t xml:space="preserve"> a kontrolní závěr vypracoval</w:t>
      </w:r>
      <w:r w:rsidR="00777301" w:rsidRPr="00632AC5">
        <w:rPr>
          <w:rFonts w:ascii="Calibri" w:hAnsi="Calibri" w:cs="Calibri"/>
          <w:color w:val="000000"/>
          <w:sz w:val="24"/>
        </w:rPr>
        <w:t>a</w:t>
      </w:r>
      <w:r w:rsidRPr="00632AC5">
        <w:rPr>
          <w:rFonts w:ascii="Calibri" w:hAnsi="Calibri" w:cs="Calibri"/>
          <w:color w:val="000000"/>
          <w:sz w:val="24"/>
        </w:rPr>
        <w:t xml:space="preserve"> člen</w:t>
      </w:r>
      <w:r w:rsidR="00777301" w:rsidRPr="00632AC5">
        <w:rPr>
          <w:rFonts w:ascii="Calibri" w:hAnsi="Calibri" w:cs="Calibri"/>
          <w:color w:val="000000"/>
          <w:sz w:val="24"/>
        </w:rPr>
        <w:t>ka</w:t>
      </w:r>
      <w:r w:rsidRPr="00632AC5">
        <w:rPr>
          <w:rFonts w:ascii="Calibri" w:hAnsi="Calibri" w:cs="Calibri"/>
          <w:color w:val="000000"/>
          <w:sz w:val="24"/>
        </w:rPr>
        <w:t xml:space="preserve"> NKÚ </w:t>
      </w:r>
      <w:r w:rsidR="00777301" w:rsidRPr="00632AC5">
        <w:rPr>
          <w:rFonts w:ascii="Calibri" w:hAnsi="Calibri" w:cs="Calibri"/>
          <w:color w:val="000000"/>
          <w:sz w:val="24"/>
        </w:rPr>
        <w:t>JUDr. Eliška Kadaňová.</w:t>
      </w:r>
    </w:p>
    <w:p w:rsidR="009F5A5E" w:rsidRPr="00632AC5" w:rsidRDefault="009F5A5E" w:rsidP="00355106">
      <w:pPr>
        <w:ind w:firstLine="0"/>
        <w:rPr>
          <w:rFonts w:ascii="Calibri" w:hAnsi="Calibri" w:cs="Calibri"/>
          <w:color w:val="000000"/>
          <w:sz w:val="24"/>
        </w:rPr>
      </w:pPr>
    </w:p>
    <w:p w:rsidR="008E1430" w:rsidRDefault="007F14CC" w:rsidP="008E1430">
      <w:pPr>
        <w:pStyle w:val="Normlnodsazen"/>
        <w:spacing w:line="240" w:lineRule="auto"/>
        <w:ind w:firstLine="0"/>
        <w:rPr>
          <w:rFonts w:ascii="Calibri" w:hAnsi="Calibri" w:cs="Calibri"/>
          <w:noProof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>Cílem kontroly bylo p</w:t>
      </w:r>
      <w:r w:rsidRPr="00632AC5">
        <w:rPr>
          <w:rFonts w:ascii="Calibri" w:hAnsi="Calibri" w:cs="Calibri"/>
          <w:noProof/>
          <w:color w:val="000000"/>
          <w:sz w:val="24"/>
        </w:rPr>
        <w:t>rověřit</w:t>
      </w:r>
      <w:r w:rsidR="008E1430" w:rsidRPr="00632AC5">
        <w:rPr>
          <w:rFonts w:ascii="Calibri" w:hAnsi="Calibri" w:cs="Calibri"/>
          <w:noProof/>
          <w:color w:val="000000"/>
          <w:sz w:val="24"/>
        </w:rPr>
        <w:t xml:space="preserve"> vykazované údaje </w:t>
      </w:r>
      <w:r w:rsidR="00574487">
        <w:rPr>
          <w:rFonts w:ascii="Calibri" w:hAnsi="Calibri" w:cs="Calibri"/>
          <w:noProof/>
          <w:color w:val="000000"/>
          <w:sz w:val="24"/>
        </w:rPr>
        <w:t>z </w:t>
      </w:r>
      <w:r w:rsidR="008E1430" w:rsidRPr="00632AC5">
        <w:rPr>
          <w:rFonts w:ascii="Calibri" w:hAnsi="Calibri" w:cs="Calibri"/>
          <w:noProof/>
          <w:color w:val="000000"/>
          <w:sz w:val="24"/>
        </w:rPr>
        <w:t xml:space="preserve">oblasti výběru pojistného na důchodové pojištění a údaje </w:t>
      </w:r>
      <w:r w:rsidR="00574487">
        <w:rPr>
          <w:rFonts w:ascii="Calibri" w:hAnsi="Calibri" w:cs="Calibri"/>
          <w:noProof/>
          <w:color w:val="000000"/>
          <w:sz w:val="24"/>
        </w:rPr>
        <w:t>z </w:t>
      </w:r>
      <w:r w:rsidR="008E1430" w:rsidRPr="00632AC5">
        <w:rPr>
          <w:rFonts w:ascii="Calibri" w:hAnsi="Calibri" w:cs="Calibri"/>
          <w:noProof/>
          <w:color w:val="000000"/>
          <w:sz w:val="24"/>
        </w:rPr>
        <w:t>oblasti výplaty dávek důchodového pojištění; prověřit, zda Ministerstvo financí</w:t>
      </w:r>
      <w:r w:rsidR="00DD70BA" w:rsidRPr="00632AC5">
        <w:rPr>
          <w:rFonts w:ascii="Calibri" w:hAnsi="Calibri" w:cs="Calibri"/>
          <w:noProof/>
          <w:color w:val="000000"/>
          <w:sz w:val="24"/>
        </w:rPr>
        <w:t xml:space="preserve"> </w:t>
      </w:r>
      <w:r w:rsidR="008E1430" w:rsidRPr="00632AC5">
        <w:rPr>
          <w:rFonts w:ascii="Calibri" w:hAnsi="Calibri" w:cs="Calibri"/>
          <w:noProof/>
          <w:color w:val="000000"/>
          <w:sz w:val="24"/>
        </w:rPr>
        <w:t xml:space="preserve">při správě prostředků soustředěných na zvláštním účtu rezervy pro důchodovou reformu postupovalo </w:t>
      </w:r>
      <w:r w:rsidR="00574487">
        <w:rPr>
          <w:rFonts w:ascii="Calibri" w:hAnsi="Calibri" w:cs="Calibri"/>
          <w:noProof/>
          <w:color w:val="000000"/>
          <w:sz w:val="24"/>
        </w:rPr>
        <w:t>v </w:t>
      </w:r>
      <w:r w:rsidR="008E1430" w:rsidRPr="00632AC5">
        <w:rPr>
          <w:rFonts w:ascii="Calibri" w:hAnsi="Calibri" w:cs="Calibri"/>
          <w:noProof/>
          <w:color w:val="000000"/>
          <w:sz w:val="24"/>
        </w:rPr>
        <w:t xml:space="preserve">souladu </w:t>
      </w:r>
      <w:r w:rsidR="00574487">
        <w:rPr>
          <w:rFonts w:ascii="Calibri" w:hAnsi="Calibri" w:cs="Calibri"/>
          <w:noProof/>
          <w:color w:val="000000"/>
          <w:sz w:val="24"/>
        </w:rPr>
        <w:t>s </w:t>
      </w:r>
      <w:r w:rsidR="008E1430" w:rsidRPr="00632AC5">
        <w:rPr>
          <w:rFonts w:ascii="Calibri" w:hAnsi="Calibri" w:cs="Calibri"/>
          <w:noProof/>
          <w:color w:val="000000"/>
          <w:sz w:val="24"/>
        </w:rPr>
        <w:t xml:space="preserve">právními předpisy. </w:t>
      </w:r>
    </w:p>
    <w:p w:rsidR="00574487" w:rsidRPr="00632AC5" w:rsidRDefault="00574487" w:rsidP="008E1430">
      <w:pPr>
        <w:pStyle w:val="Normlnodsazen"/>
        <w:spacing w:line="240" w:lineRule="auto"/>
        <w:ind w:firstLine="0"/>
        <w:rPr>
          <w:rFonts w:ascii="Calibri" w:hAnsi="Calibri" w:cs="Calibri"/>
          <w:noProof/>
          <w:color w:val="000000"/>
          <w:sz w:val="24"/>
        </w:rPr>
      </w:pPr>
    </w:p>
    <w:p w:rsidR="00BF47FC" w:rsidRPr="00416807" w:rsidRDefault="00BF47FC" w:rsidP="00574487">
      <w:pPr>
        <w:autoSpaceDE w:val="0"/>
        <w:autoSpaceDN w:val="0"/>
        <w:adjustRightInd w:val="0"/>
        <w:ind w:firstLine="0"/>
        <w:rPr>
          <w:rFonts w:ascii="Calibri" w:eastAsia="Calibri" w:hAnsi="Calibri" w:cs="Calibri"/>
          <w:b/>
          <w:color w:val="000000"/>
          <w:sz w:val="24"/>
        </w:rPr>
      </w:pPr>
      <w:r w:rsidRPr="00416807">
        <w:rPr>
          <w:rFonts w:ascii="Calibri" w:eastAsia="Calibri" w:hAnsi="Calibri" w:cs="Calibri"/>
          <w:b/>
          <w:color w:val="000000"/>
          <w:sz w:val="24"/>
        </w:rPr>
        <w:t xml:space="preserve">Kontrolní akce byla </w:t>
      </w:r>
      <w:r w:rsidR="009266A0" w:rsidRPr="00416807">
        <w:rPr>
          <w:rFonts w:ascii="Calibri" w:eastAsia="Calibri" w:hAnsi="Calibri" w:cs="Calibri"/>
          <w:b/>
          <w:color w:val="000000"/>
          <w:sz w:val="24"/>
        </w:rPr>
        <w:t xml:space="preserve">schválena </w:t>
      </w:r>
      <w:r w:rsidR="00574487">
        <w:rPr>
          <w:rFonts w:ascii="Calibri" w:eastAsia="Calibri" w:hAnsi="Calibri" w:cs="Calibri"/>
          <w:b/>
          <w:color w:val="000000"/>
          <w:sz w:val="24"/>
        </w:rPr>
        <w:t>v </w:t>
      </w:r>
      <w:r w:rsidR="009266A0" w:rsidRPr="00416807">
        <w:rPr>
          <w:rFonts w:ascii="Calibri" w:eastAsia="Calibri" w:hAnsi="Calibri" w:cs="Calibri"/>
          <w:b/>
          <w:color w:val="000000"/>
          <w:sz w:val="24"/>
        </w:rPr>
        <w:t>ná</w:t>
      </w:r>
      <w:r w:rsidRPr="00416807">
        <w:rPr>
          <w:rFonts w:ascii="Calibri" w:eastAsia="Calibri" w:hAnsi="Calibri" w:cs="Calibri"/>
          <w:b/>
          <w:color w:val="000000"/>
          <w:sz w:val="24"/>
        </w:rPr>
        <w:t>vaznosti na usnesení vlády ČR</w:t>
      </w:r>
      <w:r w:rsidRPr="00416807">
        <w:rPr>
          <w:rStyle w:val="Znakapoznpodarou"/>
          <w:rFonts w:ascii="Calibri" w:eastAsia="Calibri" w:hAnsi="Calibri" w:cs="Calibri"/>
          <w:b/>
          <w:color w:val="000000"/>
          <w:sz w:val="24"/>
        </w:rPr>
        <w:footnoteReference w:id="1"/>
      </w:r>
      <w:r w:rsidRPr="00416807">
        <w:rPr>
          <w:rFonts w:ascii="Calibri" w:eastAsia="Calibri" w:hAnsi="Calibri" w:cs="Calibri"/>
          <w:b/>
          <w:color w:val="000000"/>
          <w:sz w:val="24"/>
        </w:rPr>
        <w:t xml:space="preserve">, kterým dala vláda podnět NKÚ </w:t>
      </w:r>
      <w:r w:rsidRPr="00416807">
        <w:rPr>
          <w:rFonts w:ascii="Calibri" w:eastAsia="Calibri" w:hAnsi="Calibri" w:cs="Calibri"/>
          <w:b/>
          <w:i/>
          <w:color w:val="000000"/>
          <w:sz w:val="24"/>
        </w:rPr>
        <w:t>zaměřit se na prověření tzv. zvláštního účtu rezervy pro důchodovou reformu</w:t>
      </w:r>
      <w:r w:rsidRPr="00416807">
        <w:rPr>
          <w:rFonts w:ascii="Calibri" w:eastAsia="Calibri" w:hAnsi="Calibri" w:cs="Calibri"/>
          <w:b/>
          <w:color w:val="000000"/>
          <w:sz w:val="24"/>
        </w:rPr>
        <w:t>. Po provedeném rozboru byl podnět vlády ČR rozšířen</w:t>
      </w:r>
      <w:r w:rsidR="009266A0" w:rsidRPr="00416807">
        <w:rPr>
          <w:rFonts w:ascii="Calibri" w:eastAsia="Calibri" w:hAnsi="Calibri" w:cs="Calibri"/>
          <w:b/>
          <w:color w:val="000000"/>
          <w:sz w:val="24"/>
        </w:rPr>
        <w:t>.</w:t>
      </w:r>
      <w:r w:rsidRPr="00416807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:rsidR="009266A0" w:rsidRPr="00632AC5" w:rsidRDefault="009266A0" w:rsidP="009266A0">
      <w:pPr>
        <w:autoSpaceDE w:val="0"/>
        <w:autoSpaceDN w:val="0"/>
        <w:adjustRightInd w:val="0"/>
        <w:ind w:firstLine="0"/>
        <w:rPr>
          <w:rFonts w:ascii="Calibri" w:eastAsia="Calibri" w:hAnsi="Calibri" w:cs="Calibri"/>
          <w:color w:val="000000"/>
          <w:sz w:val="24"/>
        </w:rPr>
      </w:pPr>
    </w:p>
    <w:p w:rsidR="00A10441" w:rsidRPr="00632AC5" w:rsidRDefault="009266A0" w:rsidP="00355106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>Kontrola byla prováděna v době od března do září roku 2014.</w:t>
      </w:r>
      <w:r>
        <w:rPr>
          <w:rFonts w:ascii="Calibri" w:hAnsi="Calibri" w:cs="Calibri"/>
          <w:color w:val="000000"/>
          <w:sz w:val="24"/>
        </w:rPr>
        <w:t xml:space="preserve"> </w:t>
      </w:r>
      <w:r w:rsidR="00AC4B8B" w:rsidRPr="00632AC5">
        <w:rPr>
          <w:rFonts w:ascii="Calibri" w:hAnsi="Calibri" w:cs="Calibri"/>
          <w:color w:val="000000"/>
          <w:sz w:val="24"/>
        </w:rPr>
        <w:t>Kontrolovaným obdobím byl</w:t>
      </w:r>
      <w:r w:rsidR="008E1430" w:rsidRPr="00632AC5">
        <w:rPr>
          <w:rFonts w:ascii="Calibri" w:hAnsi="Calibri" w:cs="Calibri"/>
          <w:color w:val="000000"/>
          <w:sz w:val="24"/>
        </w:rPr>
        <w:t xml:space="preserve">y roky 2009–2013, </w:t>
      </w:r>
      <w:r w:rsidR="00574487">
        <w:rPr>
          <w:rFonts w:ascii="Calibri" w:hAnsi="Calibri" w:cs="Calibri"/>
          <w:color w:val="000000"/>
          <w:sz w:val="24"/>
        </w:rPr>
        <w:t>v </w:t>
      </w:r>
      <w:r w:rsidR="008E1430" w:rsidRPr="00632AC5">
        <w:rPr>
          <w:rFonts w:ascii="Calibri" w:hAnsi="Calibri" w:cs="Calibri"/>
          <w:color w:val="000000"/>
          <w:sz w:val="24"/>
        </w:rPr>
        <w:t xml:space="preserve">případě </w:t>
      </w:r>
      <w:r>
        <w:rPr>
          <w:rFonts w:ascii="Calibri" w:hAnsi="Calibri" w:cs="Calibri"/>
          <w:color w:val="000000"/>
          <w:sz w:val="24"/>
        </w:rPr>
        <w:t xml:space="preserve">věcných </w:t>
      </w:r>
      <w:r w:rsidR="008E1430" w:rsidRPr="00632AC5">
        <w:rPr>
          <w:rFonts w:ascii="Calibri" w:hAnsi="Calibri" w:cs="Calibri"/>
          <w:color w:val="000000"/>
          <w:sz w:val="24"/>
        </w:rPr>
        <w:t>souvis</w:t>
      </w:r>
      <w:r>
        <w:rPr>
          <w:rFonts w:ascii="Calibri" w:hAnsi="Calibri" w:cs="Calibri"/>
          <w:color w:val="000000"/>
          <w:sz w:val="24"/>
        </w:rPr>
        <w:t>lostí i období</w:t>
      </w:r>
      <w:r w:rsidR="008E1430" w:rsidRPr="00632AC5">
        <w:rPr>
          <w:rFonts w:ascii="Calibri" w:hAnsi="Calibri" w:cs="Calibri"/>
          <w:color w:val="000000"/>
          <w:sz w:val="24"/>
        </w:rPr>
        <w:t xml:space="preserve"> předcházející</w:t>
      </w:r>
      <w:r>
        <w:rPr>
          <w:rFonts w:ascii="Calibri" w:hAnsi="Calibri" w:cs="Calibri"/>
          <w:color w:val="000000"/>
          <w:sz w:val="24"/>
        </w:rPr>
        <w:t xml:space="preserve"> a následující. </w:t>
      </w:r>
      <w:r w:rsidR="00AC4B8B" w:rsidRPr="00632AC5">
        <w:rPr>
          <w:rFonts w:ascii="Calibri" w:hAnsi="Calibri" w:cs="Calibri"/>
          <w:color w:val="000000"/>
          <w:sz w:val="24"/>
        </w:rPr>
        <w:t xml:space="preserve"> </w:t>
      </w:r>
    </w:p>
    <w:p w:rsidR="008E1430" w:rsidRPr="00632AC5" w:rsidRDefault="008E1430" w:rsidP="00355106">
      <w:pPr>
        <w:ind w:firstLine="0"/>
        <w:rPr>
          <w:rFonts w:ascii="Calibri" w:hAnsi="Calibri" w:cs="Calibri"/>
          <w:color w:val="000000"/>
          <w:sz w:val="24"/>
        </w:rPr>
      </w:pPr>
    </w:p>
    <w:p w:rsidR="00AC4B8B" w:rsidRPr="00632AC5" w:rsidRDefault="00AC4B8B" w:rsidP="009266A0">
      <w:pPr>
        <w:tabs>
          <w:tab w:val="left" w:pos="2127"/>
        </w:tabs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>Kontrolovan</w:t>
      </w:r>
      <w:r w:rsidR="008E1430" w:rsidRPr="00632AC5">
        <w:rPr>
          <w:rFonts w:ascii="Calibri" w:hAnsi="Calibri" w:cs="Calibri"/>
          <w:color w:val="000000"/>
          <w:sz w:val="24"/>
        </w:rPr>
        <w:t>é</w:t>
      </w:r>
      <w:r w:rsidRPr="00632AC5">
        <w:rPr>
          <w:rFonts w:ascii="Calibri" w:hAnsi="Calibri" w:cs="Calibri"/>
          <w:color w:val="000000"/>
          <w:sz w:val="24"/>
        </w:rPr>
        <w:t xml:space="preserve"> osob</w:t>
      </w:r>
      <w:r w:rsidR="008E1430" w:rsidRPr="00632AC5">
        <w:rPr>
          <w:rFonts w:ascii="Calibri" w:hAnsi="Calibri" w:cs="Calibri"/>
          <w:color w:val="000000"/>
          <w:sz w:val="24"/>
        </w:rPr>
        <w:t>y</w:t>
      </w:r>
      <w:r w:rsidRPr="00632AC5">
        <w:rPr>
          <w:rFonts w:ascii="Calibri" w:hAnsi="Calibri" w:cs="Calibri"/>
          <w:color w:val="000000"/>
          <w:sz w:val="24"/>
        </w:rPr>
        <w:t>:</w:t>
      </w:r>
      <w:r w:rsidR="00137113">
        <w:rPr>
          <w:rFonts w:ascii="Calibri" w:hAnsi="Calibri" w:cs="Calibri"/>
          <w:color w:val="000000"/>
          <w:sz w:val="24"/>
        </w:rPr>
        <w:tab/>
      </w:r>
      <w:r w:rsidR="005C0E75" w:rsidRPr="00632AC5">
        <w:rPr>
          <w:rFonts w:ascii="Calibri" w:hAnsi="Calibri" w:cs="Calibri"/>
          <w:color w:val="000000"/>
          <w:sz w:val="24"/>
        </w:rPr>
        <w:t>Ministerstvo pr</w:t>
      </w:r>
      <w:r w:rsidR="008E1430" w:rsidRPr="00632AC5">
        <w:rPr>
          <w:rFonts w:ascii="Calibri" w:hAnsi="Calibri" w:cs="Calibri"/>
          <w:color w:val="000000"/>
          <w:sz w:val="24"/>
        </w:rPr>
        <w:t>áce a sociálních věcí,</w:t>
      </w:r>
    </w:p>
    <w:p w:rsidR="008E1430" w:rsidRPr="00632AC5" w:rsidRDefault="009266A0" w:rsidP="009266A0">
      <w:pPr>
        <w:tabs>
          <w:tab w:val="left" w:pos="2127"/>
        </w:tabs>
        <w:ind w:firstLine="0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ab/>
      </w:r>
      <w:r w:rsidR="006F18A2" w:rsidRPr="00632AC5">
        <w:rPr>
          <w:rFonts w:ascii="Calibri" w:hAnsi="Calibri" w:cs="Calibri"/>
          <w:color w:val="000000"/>
          <w:sz w:val="24"/>
        </w:rPr>
        <w:t>Ministerstvo financí,</w:t>
      </w:r>
    </w:p>
    <w:p w:rsidR="006F18A2" w:rsidRPr="00632AC5" w:rsidRDefault="009266A0" w:rsidP="009266A0">
      <w:pPr>
        <w:tabs>
          <w:tab w:val="left" w:pos="2127"/>
        </w:tabs>
        <w:ind w:firstLine="0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ab/>
      </w:r>
      <w:r w:rsidR="006F18A2" w:rsidRPr="00632AC5">
        <w:rPr>
          <w:rFonts w:ascii="Calibri" w:hAnsi="Calibri" w:cs="Calibri"/>
          <w:color w:val="000000"/>
          <w:sz w:val="24"/>
        </w:rPr>
        <w:t>Ministerstvo obrany,</w:t>
      </w:r>
    </w:p>
    <w:p w:rsidR="006F18A2" w:rsidRPr="00632AC5" w:rsidRDefault="009266A0" w:rsidP="009266A0">
      <w:pPr>
        <w:tabs>
          <w:tab w:val="left" w:pos="2127"/>
        </w:tabs>
        <w:ind w:firstLine="0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ab/>
      </w:r>
      <w:r w:rsidR="006F18A2" w:rsidRPr="00632AC5">
        <w:rPr>
          <w:rFonts w:ascii="Calibri" w:hAnsi="Calibri" w:cs="Calibri"/>
          <w:color w:val="000000"/>
          <w:sz w:val="24"/>
        </w:rPr>
        <w:t>Ministerstvo vnitra.</w:t>
      </w:r>
    </w:p>
    <w:p w:rsidR="00AC4B8B" w:rsidRPr="00632AC5" w:rsidRDefault="00AC4B8B" w:rsidP="00AC4B8B">
      <w:pPr>
        <w:rPr>
          <w:rFonts w:ascii="Calibri" w:hAnsi="Calibri" w:cs="Calibri"/>
          <w:color w:val="000000"/>
          <w:sz w:val="24"/>
        </w:rPr>
      </w:pPr>
    </w:p>
    <w:p w:rsidR="00AC4B8B" w:rsidRPr="00574487" w:rsidRDefault="00AC4B8B" w:rsidP="00355106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>Námitky proti kontrolnímu protokolu, které podal</w:t>
      </w:r>
      <w:r w:rsidR="005C0E75" w:rsidRPr="00632AC5">
        <w:rPr>
          <w:rFonts w:ascii="Calibri" w:hAnsi="Calibri" w:cs="Calibri"/>
          <w:color w:val="000000"/>
          <w:sz w:val="24"/>
        </w:rPr>
        <w:t>o</w:t>
      </w:r>
      <w:r w:rsidRPr="00632AC5">
        <w:rPr>
          <w:rFonts w:ascii="Calibri" w:hAnsi="Calibri" w:cs="Calibri"/>
          <w:color w:val="000000"/>
          <w:sz w:val="24"/>
        </w:rPr>
        <w:t xml:space="preserve"> </w:t>
      </w:r>
      <w:r w:rsidR="005C0E75" w:rsidRPr="00632AC5">
        <w:rPr>
          <w:rFonts w:ascii="Calibri" w:hAnsi="Calibri" w:cs="Calibri"/>
          <w:color w:val="000000"/>
          <w:sz w:val="24"/>
        </w:rPr>
        <w:t>M</w:t>
      </w:r>
      <w:r w:rsidR="006F18A2" w:rsidRPr="00632AC5">
        <w:rPr>
          <w:rFonts w:ascii="Calibri" w:hAnsi="Calibri" w:cs="Calibri"/>
          <w:color w:val="000000"/>
          <w:sz w:val="24"/>
        </w:rPr>
        <w:t>O</w:t>
      </w:r>
      <w:r w:rsidRPr="00632AC5">
        <w:rPr>
          <w:rFonts w:ascii="Calibri" w:hAnsi="Calibri" w:cs="Calibri"/>
          <w:color w:val="000000"/>
          <w:sz w:val="24"/>
        </w:rPr>
        <w:t>, byly vypořádány vedoucím skupiny kontrolujících rozhodnutím o námitkách.</w:t>
      </w:r>
    </w:p>
    <w:p w:rsidR="00AC4B8B" w:rsidRDefault="00AC4B8B" w:rsidP="00AC4B8B">
      <w:pPr>
        <w:rPr>
          <w:rFonts w:ascii="Calibri" w:hAnsi="Calibri" w:cs="Calibri"/>
          <w:color w:val="000000"/>
          <w:sz w:val="24"/>
        </w:rPr>
      </w:pPr>
    </w:p>
    <w:p w:rsidR="000B2E48" w:rsidRPr="00632AC5" w:rsidRDefault="000B2E48" w:rsidP="00AC4B8B">
      <w:pPr>
        <w:rPr>
          <w:rFonts w:ascii="Calibri" w:hAnsi="Calibri" w:cs="Calibri"/>
          <w:color w:val="000000"/>
          <w:sz w:val="24"/>
        </w:rPr>
      </w:pPr>
    </w:p>
    <w:p w:rsidR="00AC4B8B" w:rsidRPr="00632AC5" w:rsidRDefault="00AC4B8B" w:rsidP="009F5A5E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b/>
          <w:i/>
          <w:color w:val="000000"/>
          <w:spacing w:val="60"/>
          <w:sz w:val="24"/>
        </w:rPr>
        <w:t>Kolegium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  <w:r w:rsidRPr="00632AC5">
        <w:rPr>
          <w:rFonts w:ascii="Calibri" w:hAnsi="Calibri" w:cs="Calibri"/>
          <w:b/>
          <w:i/>
          <w:color w:val="000000"/>
          <w:spacing w:val="60"/>
          <w:sz w:val="24"/>
        </w:rPr>
        <w:t>NKÚ</w:t>
      </w:r>
      <w:r w:rsidR="00632AC5">
        <w:rPr>
          <w:rFonts w:ascii="Calibri" w:hAnsi="Calibri" w:cs="Calibri"/>
          <w:color w:val="000000"/>
          <w:sz w:val="24"/>
        </w:rPr>
        <w:t xml:space="preserve"> </w:t>
      </w:r>
      <w:r w:rsidRPr="00632AC5">
        <w:rPr>
          <w:rFonts w:ascii="Calibri" w:hAnsi="Calibri" w:cs="Calibri"/>
          <w:color w:val="000000"/>
          <w:sz w:val="24"/>
        </w:rPr>
        <w:t xml:space="preserve">na svém </w:t>
      </w:r>
      <w:r w:rsidR="00632AC5">
        <w:rPr>
          <w:rFonts w:ascii="Calibri" w:hAnsi="Calibri" w:cs="Calibri"/>
          <w:color w:val="000000"/>
          <w:sz w:val="24"/>
        </w:rPr>
        <w:t xml:space="preserve">XX. </w:t>
      </w:r>
      <w:r w:rsidR="000F2639">
        <w:rPr>
          <w:rFonts w:ascii="Calibri" w:hAnsi="Calibri" w:cs="Calibri"/>
          <w:color w:val="000000"/>
          <w:sz w:val="24"/>
        </w:rPr>
        <w:t>jednání</w:t>
      </w:r>
      <w:r w:rsidRPr="00632AC5">
        <w:rPr>
          <w:rFonts w:ascii="Calibri" w:hAnsi="Calibri" w:cs="Calibri"/>
          <w:color w:val="000000"/>
          <w:sz w:val="24"/>
        </w:rPr>
        <w:t xml:space="preserve">, </w:t>
      </w:r>
      <w:r w:rsidR="000F2639">
        <w:rPr>
          <w:rFonts w:ascii="Calibri" w:hAnsi="Calibri" w:cs="Calibri"/>
          <w:color w:val="000000"/>
          <w:sz w:val="24"/>
        </w:rPr>
        <w:t xml:space="preserve">které se </w:t>
      </w:r>
      <w:r w:rsidRPr="00632AC5">
        <w:rPr>
          <w:rFonts w:ascii="Calibri" w:hAnsi="Calibri" w:cs="Calibri"/>
          <w:color w:val="000000"/>
          <w:sz w:val="24"/>
        </w:rPr>
        <w:t>kona</w:t>
      </w:r>
      <w:r w:rsidR="000F2639">
        <w:rPr>
          <w:rFonts w:ascii="Calibri" w:hAnsi="Calibri" w:cs="Calibri"/>
          <w:color w:val="000000"/>
          <w:sz w:val="24"/>
        </w:rPr>
        <w:t>lo</w:t>
      </w:r>
      <w:r w:rsidRPr="00632AC5">
        <w:rPr>
          <w:rFonts w:ascii="Calibri" w:hAnsi="Calibri" w:cs="Calibri"/>
          <w:color w:val="000000"/>
          <w:sz w:val="24"/>
        </w:rPr>
        <w:t xml:space="preserve"> dne</w:t>
      </w:r>
      <w:r w:rsidR="001632CB" w:rsidRPr="00632AC5">
        <w:rPr>
          <w:rFonts w:ascii="Calibri" w:hAnsi="Calibri" w:cs="Calibri"/>
          <w:color w:val="000000"/>
          <w:sz w:val="24"/>
        </w:rPr>
        <w:t xml:space="preserve"> </w:t>
      </w:r>
      <w:r w:rsidR="00632AC5">
        <w:rPr>
          <w:rFonts w:ascii="Calibri" w:hAnsi="Calibri" w:cs="Calibri"/>
          <w:color w:val="000000"/>
          <w:sz w:val="24"/>
        </w:rPr>
        <w:t xml:space="preserve">15. prosince </w:t>
      </w:r>
      <w:r w:rsidRPr="00632AC5">
        <w:rPr>
          <w:rFonts w:ascii="Calibri" w:hAnsi="Calibri" w:cs="Calibri"/>
          <w:color w:val="000000"/>
          <w:sz w:val="24"/>
        </w:rPr>
        <w:t>201</w:t>
      </w:r>
      <w:r w:rsidR="00EE41C8" w:rsidRPr="00632AC5">
        <w:rPr>
          <w:rFonts w:ascii="Calibri" w:hAnsi="Calibri" w:cs="Calibri"/>
          <w:color w:val="000000"/>
          <w:sz w:val="24"/>
        </w:rPr>
        <w:t>4</w:t>
      </w:r>
      <w:r w:rsidRPr="00632AC5">
        <w:rPr>
          <w:rFonts w:ascii="Calibri" w:hAnsi="Calibri" w:cs="Calibri"/>
          <w:color w:val="000000"/>
          <w:sz w:val="24"/>
        </w:rPr>
        <w:t>,</w:t>
      </w:r>
    </w:p>
    <w:p w:rsidR="00AC4B8B" w:rsidRPr="00632AC5" w:rsidRDefault="00AC4B8B" w:rsidP="009F5A5E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b/>
          <w:i/>
          <w:color w:val="000000"/>
          <w:spacing w:val="60"/>
          <w:sz w:val="24"/>
        </w:rPr>
        <w:t>schválilo</w:t>
      </w:r>
      <w:r w:rsidR="00632AC5">
        <w:rPr>
          <w:rFonts w:ascii="Calibri" w:hAnsi="Calibri" w:cs="Calibri"/>
          <w:color w:val="000000"/>
          <w:sz w:val="24"/>
        </w:rPr>
        <w:t xml:space="preserve"> </w:t>
      </w:r>
      <w:r w:rsidRPr="00632AC5">
        <w:rPr>
          <w:rFonts w:ascii="Calibri" w:hAnsi="Calibri" w:cs="Calibri"/>
          <w:color w:val="000000"/>
          <w:sz w:val="24"/>
        </w:rPr>
        <w:t>usnesením č.</w:t>
      </w:r>
      <w:r w:rsidR="005E5DF2" w:rsidRPr="00632AC5">
        <w:rPr>
          <w:rFonts w:ascii="Calibri" w:hAnsi="Calibri" w:cs="Calibri"/>
          <w:color w:val="000000"/>
          <w:sz w:val="24"/>
        </w:rPr>
        <w:t xml:space="preserve"> </w:t>
      </w:r>
      <w:r w:rsidR="00416807">
        <w:rPr>
          <w:rFonts w:ascii="Calibri" w:hAnsi="Calibri" w:cs="Calibri"/>
          <w:color w:val="000000"/>
          <w:sz w:val="24"/>
        </w:rPr>
        <w:t>9</w:t>
      </w:r>
      <w:r w:rsidRPr="00632AC5">
        <w:rPr>
          <w:rFonts w:ascii="Calibri" w:hAnsi="Calibri" w:cs="Calibri"/>
          <w:color w:val="000000"/>
          <w:sz w:val="24"/>
        </w:rPr>
        <w:t>/</w:t>
      </w:r>
      <w:r w:rsidR="00632AC5">
        <w:rPr>
          <w:rFonts w:ascii="Calibri" w:hAnsi="Calibri" w:cs="Calibri"/>
          <w:color w:val="000000"/>
          <w:sz w:val="24"/>
        </w:rPr>
        <w:t>XX</w:t>
      </w:r>
      <w:r w:rsidRPr="00632AC5">
        <w:rPr>
          <w:rFonts w:ascii="Calibri" w:hAnsi="Calibri" w:cs="Calibri"/>
          <w:color w:val="000000"/>
          <w:sz w:val="24"/>
        </w:rPr>
        <w:t>/201</w:t>
      </w:r>
      <w:r w:rsidR="00EE41C8" w:rsidRPr="00632AC5">
        <w:rPr>
          <w:rFonts w:ascii="Calibri" w:hAnsi="Calibri" w:cs="Calibri"/>
          <w:color w:val="000000"/>
          <w:sz w:val="24"/>
        </w:rPr>
        <w:t>4</w:t>
      </w:r>
    </w:p>
    <w:p w:rsidR="00AC4B8B" w:rsidRPr="00632AC5" w:rsidRDefault="00AC4B8B" w:rsidP="009F5A5E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b/>
          <w:i/>
          <w:color w:val="000000"/>
          <w:spacing w:val="60"/>
          <w:sz w:val="24"/>
        </w:rPr>
        <w:t>kontrolní</w:t>
      </w:r>
      <w:r w:rsidR="00632AC5">
        <w:rPr>
          <w:rFonts w:ascii="Calibri" w:hAnsi="Calibri" w:cs="Calibri"/>
          <w:b/>
          <w:i/>
          <w:color w:val="000000"/>
          <w:sz w:val="24"/>
        </w:rPr>
        <w:t xml:space="preserve"> </w:t>
      </w:r>
      <w:r w:rsidRPr="00632AC5">
        <w:rPr>
          <w:rFonts w:ascii="Calibri" w:hAnsi="Calibri" w:cs="Calibri"/>
          <w:b/>
          <w:i/>
          <w:color w:val="000000"/>
          <w:spacing w:val="60"/>
          <w:sz w:val="24"/>
        </w:rPr>
        <w:t>závěr</w:t>
      </w:r>
      <w:r w:rsidR="00632AC5">
        <w:rPr>
          <w:rFonts w:ascii="Calibri" w:hAnsi="Calibri" w:cs="Calibri"/>
          <w:color w:val="000000"/>
          <w:sz w:val="24"/>
        </w:rPr>
        <w:t xml:space="preserve"> </w:t>
      </w:r>
      <w:r w:rsidR="00F33867" w:rsidRPr="00632AC5">
        <w:rPr>
          <w:rFonts w:ascii="Calibri" w:hAnsi="Calibri" w:cs="Calibri"/>
          <w:color w:val="000000"/>
          <w:sz w:val="24"/>
        </w:rPr>
        <w:t>v </w:t>
      </w:r>
      <w:r w:rsidRPr="00632AC5">
        <w:rPr>
          <w:rFonts w:ascii="Calibri" w:hAnsi="Calibri" w:cs="Calibri"/>
          <w:color w:val="000000"/>
          <w:sz w:val="24"/>
        </w:rPr>
        <w:t>tomto znění:</w:t>
      </w:r>
    </w:p>
    <w:p w:rsidR="00AC4B8B" w:rsidRDefault="00AC4B8B" w:rsidP="00AC4B8B">
      <w:pPr>
        <w:rPr>
          <w:rFonts w:ascii="Calibri" w:hAnsi="Calibri" w:cs="Calibri"/>
          <w:color w:val="000000"/>
          <w:sz w:val="24"/>
        </w:rPr>
      </w:pPr>
    </w:p>
    <w:p w:rsidR="000B2E48" w:rsidRDefault="000B2E48">
      <w:pPr>
        <w:ind w:firstLine="0"/>
        <w:jc w:val="left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:rsidR="00AC4B8B" w:rsidRPr="00A0314E" w:rsidRDefault="008D0222" w:rsidP="008D0222">
      <w:pPr>
        <w:ind w:firstLine="0"/>
        <w:jc w:val="center"/>
        <w:rPr>
          <w:rFonts w:ascii="Calibri" w:hAnsi="Calibri" w:cs="Calibri"/>
          <w:b/>
          <w:color w:val="548DD4" w:themeColor="text2" w:themeTint="99"/>
          <w:sz w:val="28"/>
          <w:szCs w:val="28"/>
        </w:rPr>
      </w:pPr>
      <w:r w:rsidRPr="00A0314E">
        <w:rPr>
          <w:rFonts w:ascii="Calibri" w:hAnsi="Calibri" w:cs="Calibri"/>
          <w:b/>
          <w:color w:val="548DD4" w:themeColor="text2" w:themeTint="99"/>
          <w:sz w:val="28"/>
          <w:szCs w:val="28"/>
        </w:rPr>
        <w:lastRenderedPageBreak/>
        <w:t xml:space="preserve">I. </w:t>
      </w:r>
      <w:r w:rsidR="00AC4B8B" w:rsidRPr="00A0314E">
        <w:rPr>
          <w:rFonts w:ascii="Calibri" w:hAnsi="Calibri" w:cs="Calibri"/>
          <w:b/>
          <w:color w:val="548DD4" w:themeColor="text2" w:themeTint="99"/>
          <w:sz w:val="28"/>
          <w:szCs w:val="28"/>
        </w:rPr>
        <w:t>Úvod</w:t>
      </w:r>
    </w:p>
    <w:p w:rsidR="00EE41C8" w:rsidRPr="00632AC5" w:rsidRDefault="00EE41C8" w:rsidP="00EE41C8">
      <w:pPr>
        <w:jc w:val="center"/>
        <w:rPr>
          <w:rFonts w:ascii="Calibri" w:hAnsi="Calibri" w:cs="Calibri"/>
          <w:b/>
          <w:color w:val="000000"/>
          <w:sz w:val="24"/>
        </w:rPr>
      </w:pPr>
    </w:p>
    <w:p w:rsidR="00AD0EB2" w:rsidRPr="00632AC5" w:rsidRDefault="00BF47FC" w:rsidP="00087D1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Důchodové pojištění </w:t>
      </w:r>
      <w:r w:rsidR="00087D1C" w:rsidRPr="00632AC5">
        <w:rPr>
          <w:rFonts w:ascii="Calibri" w:hAnsi="Calibri" w:cs="Calibri"/>
          <w:sz w:val="24"/>
        </w:rPr>
        <w:t xml:space="preserve">představuje </w:t>
      </w:r>
      <w:r w:rsidR="00AD0EB2" w:rsidRPr="00632AC5">
        <w:rPr>
          <w:rFonts w:ascii="Calibri" w:hAnsi="Calibri" w:cs="Calibri"/>
          <w:sz w:val="24"/>
        </w:rPr>
        <w:t>jed</w:t>
      </w:r>
      <w:r w:rsidR="004778E1" w:rsidRPr="00632AC5">
        <w:rPr>
          <w:rFonts w:ascii="Calibri" w:hAnsi="Calibri" w:cs="Calibri"/>
          <w:sz w:val="24"/>
        </w:rPr>
        <w:t>n</w:t>
      </w:r>
      <w:r w:rsidR="00AD0EB2" w:rsidRPr="00632AC5">
        <w:rPr>
          <w:rFonts w:ascii="Calibri" w:hAnsi="Calibri" w:cs="Calibri"/>
          <w:sz w:val="24"/>
        </w:rPr>
        <w:t>u</w:t>
      </w:r>
      <w:r w:rsidR="004778E1" w:rsidRPr="00632AC5">
        <w:rPr>
          <w:rFonts w:ascii="Calibri" w:hAnsi="Calibri" w:cs="Calibri"/>
          <w:sz w:val="24"/>
        </w:rPr>
        <w:t xml:space="preserve"> z</w:t>
      </w:r>
      <w:r w:rsidR="00AD0EB2" w:rsidRPr="00632AC5">
        <w:rPr>
          <w:rFonts w:ascii="Calibri" w:hAnsi="Calibri" w:cs="Calibri"/>
          <w:sz w:val="24"/>
        </w:rPr>
        <w:t xml:space="preserve"> nejvýznamnějších složek </w:t>
      </w:r>
      <w:r w:rsidR="00087D1C" w:rsidRPr="00632AC5">
        <w:rPr>
          <w:rFonts w:ascii="Calibri" w:hAnsi="Calibri" w:cs="Calibri"/>
          <w:sz w:val="24"/>
        </w:rPr>
        <w:t>sociální</w:t>
      </w:r>
      <w:r w:rsidR="00AD0EB2" w:rsidRPr="00632AC5">
        <w:rPr>
          <w:rFonts w:ascii="Calibri" w:hAnsi="Calibri" w:cs="Calibri"/>
          <w:sz w:val="24"/>
        </w:rPr>
        <w:t xml:space="preserve">ho zabezpečení v ČR, </w:t>
      </w:r>
      <w:r w:rsidR="00576127" w:rsidRPr="00632AC5">
        <w:rPr>
          <w:rFonts w:ascii="Calibri" w:hAnsi="Calibri" w:cs="Calibri"/>
          <w:sz w:val="24"/>
        </w:rPr>
        <w:t>jeho základní funkcí je poskytovat určité</w:t>
      </w:r>
      <w:r w:rsidR="00632AC5">
        <w:rPr>
          <w:rFonts w:ascii="Calibri" w:hAnsi="Calibri" w:cs="Calibri"/>
          <w:sz w:val="24"/>
        </w:rPr>
        <w:t xml:space="preserve"> </w:t>
      </w:r>
      <w:r w:rsidR="00576127" w:rsidRPr="00632AC5">
        <w:rPr>
          <w:rFonts w:ascii="Calibri" w:hAnsi="Calibri" w:cs="Calibri"/>
          <w:sz w:val="24"/>
        </w:rPr>
        <w:t>hmotné zabezpečení ve stáří</w:t>
      </w:r>
      <w:r w:rsidR="00755CDE" w:rsidRPr="00632AC5">
        <w:rPr>
          <w:rFonts w:ascii="Calibri" w:hAnsi="Calibri" w:cs="Calibri"/>
          <w:sz w:val="24"/>
        </w:rPr>
        <w:t>, invaliditě a při</w:t>
      </w:r>
      <w:r w:rsidR="00D50006" w:rsidRPr="00632AC5">
        <w:rPr>
          <w:rFonts w:ascii="Calibri" w:hAnsi="Calibri" w:cs="Calibri"/>
          <w:sz w:val="24"/>
        </w:rPr>
        <w:t xml:space="preserve"> ztrátě živitele</w:t>
      </w:r>
      <w:r w:rsidR="00576127" w:rsidRPr="00632AC5">
        <w:rPr>
          <w:rFonts w:ascii="Calibri" w:hAnsi="Calibri" w:cs="Calibri"/>
          <w:sz w:val="24"/>
        </w:rPr>
        <w:t xml:space="preserve">. </w:t>
      </w:r>
      <w:r w:rsidRPr="00632AC5">
        <w:rPr>
          <w:rFonts w:ascii="Calibri" w:hAnsi="Calibri" w:cs="Calibri"/>
          <w:sz w:val="24"/>
        </w:rPr>
        <w:t>V</w:t>
      </w:r>
      <w:r w:rsidR="00AD0EB2" w:rsidRPr="00632AC5">
        <w:rPr>
          <w:rFonts w:ascii="Calibri" w:hAnsi="Calibri" w:cs="Calibri"/>
          <w:sz w:val="24"/>
        </w:rPr>
        <w:t>ychází z historických, společenských a ekonomických podmínek</w:t>
      </w:r>
      <w:r w:rsidR="002455E3" w:rsidRPr="00632AC5">
        <w:rPr>
          <w:rFonts w:ascii="Calibri" w:hAnsi="Calibri" w:cs="Calibri"/>
          <w:sz w:val="24"/>
        </w:rPr>
        <w:t xml:space="preserve"> </w:t>
      </w:r>
      <w:r w:rsidR="00137113">
        <w:rPr>
          <w:rFonts w:ascii="Calibri" w:hAnsi="Calibri" w:cs="Calibri"/>
          <w:sz w:val="24"/>
        </w:rPr>
        <w:t>–</w:t>
      </w:r>
      <w:r w:rsidR="00632AC5">
        <w:rPr>
          <w:rFonts w:ascii="Calibri" w:hAnsi="Calibri" w:cs="Calibri"/>
          <w:sz w:val="24"/>
        </w:rPr>
        <w:t xml:space="preserve"> </w:t>
      </w:r>
      <w:r w:rsidR="009F710F" w:rsidRPr="00632AC5">
        <w:rPr>
          <w:rFonts w:ascii="Calibri" w:hAnsi="Calibri" w:cs="Calibri"/>
          <w:sz w:val="24"/>
        </w:rPr>
        <w:t>přiměřené hmotné zabezpečení</w:t>
      </w:r>
      <w:r w:rsidR="00632AC5">
        <w:rPr>
          <w:rFonts w:ascii="Calibri" w:hAnsi="Calibri" w:cs="Calibri"/>
          <w:sz w:val="24"/>
        </w:rPr>
        <w:t xml:space="preserve"> </w:t>
      </w:r>
      <w:r w:rsidR="00755CDE" w:rsidRPr="00632AC5">
        <w:rPr>
          <w:rFonts w:ascii="Calibri" w:hAnsi="Calibri" w:cs="Calibri"/>
          <w:sz w:val="24"/>
        </w:rPr>
        <w:t>je garantován</w:t>
      </w:r>
      <w:r w:rsidR="009F710F" w:rsidRPr="00632AC5">
        <w:rPr>
          <w:rFonts w:ascii="Calibri" w:hAnsi="Calibri" w:cs="Calibri"/>
          <w:sz w:val="24"/>
        </w:rPr>
        <w:t>o</w:t>
      </w:r>
      <w:r w:rsidR="00632AC5">
        <w:rPr>
          <w:rFonts w:ascii="Calibri" w:hAnsi="Calibri" w:cs="Calibri"/>
          <w:sz w:val="24"/>
        </w:rPr>
        <w:t xml:space="preserve"> </w:t>
      </w:r>
      <w:r w:rsidR="00755CDE" w:rsidRPr="00F80CB2">
        <w:rPr>
          <w:rFonts w:ascii="Calibri" w:hAnsi="Calibri" w:cs="Calibri"/>
          <w:i/>
          <w:sz w:val="24"/>
        </w:rPr>
        <w:t>Listinou základních práv a svobod</w:t>
      </w:r>
      <w:r w:rsidR="00755CDE" w:rsidRPr="00632AC5">
        <w:rPr>
          <w:rStyle w:val="Znakapoznpodarou"/>
          <w:rFonts w:ascii="Calibri" w:hAnsi="Calibri" w:cs="Calibri"/>
          <w:sz w:val="24"/>
        </w:rPr>
        <w:footnoteReference w:id="2"/>
      </w:r>
      <w:r w:rsidR="00576127" w:rsidRPr="00632AC5">
        <w:rPr>
          <w:rFonts w:ascii="Calibri" w:hAnsi="Calibri" w:cs="Calibri"/>
          <w:sz w:val="24"/>
        </w:rPr>
        <w:t xml:space="preserve">. </w:t>
      </w:r>
      <w:r w:rsidR="00DD0528" w:rsidRPr="00632AC5">
        <w:rPr>
          <w:rFonts w:ascii="Calibri" w:hAnsi="Calibri" w:cs="Calibri"/>
          <w:sz w:val="24"/>
        </w:rPr>
        <w:t xml:space="preserve">Systém důchodového pojištění v ČR </w:t>
      </w:r>
      <w:r w:rsidR="00576127" w:rsidRPr="00632AC5">
        <w:rPr>
          <w:rFonts w:ascii="Calibri" w:hAnsi="Calibri" w:cs="Calibri"/>
          <w:sz w:val="24"/>
        </w:rPr>
        <w:t>lze charakterizovat</w:t>
      </w:r>
      <w:r w:rsidR="009C6955" w:rsidRPr="00632AC5">
        <w:rPr>
          <w:rFonts w:ascii="Calibri" w:hAnsi="Calibri" w:cs="Calibri"/>
          <w:sz w:val="24"/>
        </w:rPr>
        <w:t xml:space="preserve"> jako</w:t>
      </w:r>
      <w:r w:rsidR="00AD0EB2" w:rsidRPr="00632AC5">
        <w:rPr>
          <w:rFonts w:ascii="Calibri" w:hAnsi="Calibri" w:cs="Calibri"/>
          <w:sz w:val="24"/>
        </w:rPr>
        <w:t xml:space="preserve"> </w:t>
      </w:r>
      <w:r w:rsidR="00DD0528" w:rsidRPr="00632AC5">
        <w:rPr>
          <w:rFonts w:ascii="Calibri" w:hAnsi="Calibri" w:cs="Calibri"/>
          <w:sz w:val="24"/>
        </w:rPr>
        <w:t>systém financovaný průběžně</w:t>
      </w:r>
      <w:r w:rsidR="006D6CE3" w:rsidRPr="00632AC5">
        <w:rPr>
          <w:rStyle w:val="Znakapoznpodarou"/>
          <w:rFonts w:ascii="Calibri" w:hAnsi="Calibri" w:cs="Calibri"/>
          <w:sz w:val="24"/>
        </w:rPr>
        <w:footnoteReference w:id="3"/>
      </w:r>
      <w:r w:rsidR="00DD0528" w:rsidRPr="00632AC5">
        <w:rPr>
          <w:rFonts w:ascii="Calibri" w:hAnsi="Calibri" w:cs="Calibri"/>
          <w:sz w:val="24"/>
        </w:rPr>
        <w:t>, dávkově definovaný</w:t>
      </w:r>
      <w:r w:rsidR="009C6955" w:rsidRPr="00632AC5">
        <w:rPr>
          <w:rFonts w:ascii="Calibri" w:hAnsi="Calibri" w:cs="Calibri"/>
          <w:sz w:val="24"/>
        </w:rPr>
        <w:t xml:space="preserve"> s vysokou mírou solidarity</w:t>
      </w:r>
      <w:r w:rsidR="00DD0528" w:rsidRPr="00632AC5">
        <w:rPr>
          <w:rFonts w:ascii="Calibri" w:hAnsi="Calibri" w:cs="Calibri"/>
          <w:sz w:val="24"/>
        </w:rPr>
        <w:t xml:space="preserve">. </w:t>
      </w:r>
    </w:p>
    <w:p w:rsidR="00DD0528" w:rsidRPr="00632AC5" w:rsidRDefault="00DD0528" w:rsidP="00087D1C">
      <w:pPr>
        <w:ind w:firstLine="0"/>
        <w:rPr>
          <w:rFonts w:ascii="Calibri" w:hAnsi="Calibri" w:cs="Calibri"/>
          <w:sz w:val="24"/>
        </w:rPr>
      </w:pPr>
    </w:p>
    <w:p w:rsidR="00576127" w:rsidRPr="00632AC5" w:rsidRDefault="008A325A" w:rsidP="00576127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V</w:t>
      </w:r>
      <w:r w:rsidR="00DD0528" w:rsidRPr="00632AC5">
        <w:rPr>
          <w:rFonts w:ascii="Calibri" w:hAnsi="Calibri" w:cs="Calibri"/>
          <w:sz w:val="24"/>
        </w:rPr>
        <w:t> </w:t>
      </w:r>
      <w:r w:rsidR="00087D1C" w:rsidRPr="00632AC5">
        <w:rPr>
          <w:rFonts w:ascii="Calibri" w:hAnsi="Calibri" w:cs="Calibri"/>
          <w:sz w:val="24"/>
        </w:rPr>
        <w:t>současn</w:t>
      </w:r>
      <w:r w:rsidR="00DD0528" w:rsidRPr="00632AC5">
        <w:rPr>
          <w:rFonts w:ascii="Calibri" w:hAnsi="Calibri" w:cs="Calibri"/>
          <w:sz w:val="24"/>
        </w:rPr>
        <w:t xml:space="preserve">é době </w:t>
      </w:r>
      <w:r w:rsidR="001D42FA" w:rsidRPr="00632AC5">
        <w:rPr>
          <w:rFonts w:ascii="Calibri" w:hAnsi="Calibri" w:cs="Calibri"/>
          <w:sz w:val="24"/>
        </w:rPr>
        <w:t xml:space="preserve">je </w:t>
      </w:r>
      <w:r w:rsidR="000114F4" w:rsidRPr="00632AC5">
        <w:rPr>
          <w:rFonts w:ascii="Calibri" w:hAnsi="Calibri" w:cs="Calibri"/>
          <w:sz w:val="24"/>
        </w:rPr>
        <w:t>důchodový systém</w:t>
      </w:r>
      <w:r w:rsidR="00DD0528" w:rsidRPr="00632AC5">
        <w:rPr>
          <w:rFonts w:ascii="Calibri" w:hAnsi="Calibri" w:cs="Calibri"/>
          <w:sz w:val="24"/>
        </w:rPr>
        <w:t xml:space="preserve"> v ČR </w:t>
      </w:r>
      <w:r w:rsidR="00576127" w:rsidRPr="00632AC5">
        <w:rPr>
          <w:rFonts w:ascii="Calibri" w:hAnsi="Calibri" w:cs="Calibri"/>
          <w:sz w:val="24"/>
        </w:rPr>
        <w:t>složen ze tř</w:t>
      </w:r>
      <w:r w:rsidR="009266A0">
        <w:rPr>
          <w:rFonts w:ascii="Calibri" w:hAnsi="Calibri" w:cs="Calibri"/>
          <w:sz w:val="24"/>
        </w:rPr>
        <w:t xml:space="preserve">í </w:t>
      </w:r>
      <w:r w:rsidR="00576127" w:rsidRPr="00632AC5">
        <w:rPr>
          <w:rFonts w:ascii="Calibri" w:hAnsi="Calibri" w:cs="Calibri"/>
          <w:sz w:val="24"/>
        </w:rPr>
        <w:t>pilířů:</w:t>
      </w:r>
      <w:r w:rsidR="00087D1C" w:rsidRPr="00632AC5">
        <w:rPr>
          <w:rFonts w:ascii="Calibri" w:hAnsi="Calibri" w:cs="Calibri"/>
          <w:sz w:val="24"/>
        </w:rPr>
        <w:t xml:space="preserve"> </w:t>
      </w:r>
    </w:p>
    <w:p w:rsidR="000114F4" w:rsidRPr="00632AC5" w:rsidRDefault="00087D1C" w:rsidP="00161C47">
      <w:pPr>
        <w:pStyle w:val="Odstavecseseznamem"/>
        <w:numPr>
          <w:ilvl w:val="0"/>
          <w:numId w:val="17"/>
        </w:numPr>
        <w:ind w:left="284" w:hanging="284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První pilíř je založen na povinném základním důchodovém pojištění</w:t>
      </w:r>
      <w:r w:rsidR="001C7F52" w:rsidRPr="00632AC5">
        <w:rPr>
          <w:rFonts w:ascii="Calibri" w:hAnsi="Calibri" w:cs="Calibri"/>
          <w:sz w:val="24"/>
        </w:rPr>
        <w:t>.</w:t>
      </w:r>
      <w:r w:rsidR="00632AC5">
        <w:rPr>
          <w:rFonts w:ascii="Calibri" w:hAnsi="Calibri" w:cs="Calibri"/>
          <w:sz w:val="24"/>
          <w:vertAlign w:val="superscript"/>
        </w:rPr>
        <w:t xml:space="preserve"> </w:t>
      </w:r>
    </w:p>
    <w:p w:rsidR="000114F4" w:rsidRPr="00632AC5" w:rsidRDefault="00087D1C" w:rsidP="00161C47">
      <w:pPr>
        <w:pStyle w:val="Odstavecseseznamem"/>
        <w:numPr>
          <w:ilvl w:val="0"/>
          <w:numId w:val="17"/>
        </w:numPr>
        <w:ind w:left="284" w:hanging="284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Druhý pilíř byl </w:t>
      </w:r>
      <w:r w:rsidR="00574487">
        <w:rPr>
          <w:rFonts w:ascii="Calibri" w:hAnsi="Calibri" w:cs="Calibri"/>
          <w:sz w:val="24"/>
        </w:rPr>
        <w:t>v </w:t>
      </w:r>
      <w:r w:rsidRPr="00632AC5">
        <w:rPr>
          <w:rFonts w:ascii="Calibri" w:hAnsi="Calibri" w:cs="Calibri"/>
          <w:sz w:val="24"/>
        </w:rPr>
        <w:t xml:space="preserve">ČR zaveden v rámci důchodové reformy </w:t>
      </w:r>
      <w:r w:rsidR="00574487">
        <w:rPr>
          <w:rFonts w:ascii="Calibri" w:hAnsi="Calibri" w:cs="Calibri"/>
          <w:sz w:val="24"/>
        </w:rPr>
        <w:t>v </w:t>
      </w:r>
      <w:r w:rsidRPr="00632AC5">
        <w:rPr>
          <w:rFonts w:ascii="Calibri" w:hAnsi="Calibri" w:cs="Calibri"/>
          <w:sz w:val="24"/>
        </w:rPr>
        <w:t>roce 2013 a je založen na důchodovém spoření</w:t>
      </w:r>
      <w:r w:rsidR="001C7F52" w:rsidRPr="00632AC5">
        <w:rPr>
          <w:rFonts w:ascii="Calibri" w:hAnsi="Calibri" w:cs="Calibri"/>
          <w:sz w:val="24"/>
        </w:rPr>
        <w:t>.</w:t>
      </w:r>
      <w:r w:rsidR="00DD0528" w:rsidRPr="00632AC5">
        <w:rPr>
          <w:rFonts w:ascii="Calibri" w:hAnsi="Calibri" w:cs="Calibri"/>
          <w:sz w:val="24"/>
          <w:vertAlign w:val="superscript"/>
        </w:rPr>
        <w:t xml:space="preserve"> </w:t>
      </w:r>
    </w:p>
    <w:p w:rsidR="000114F4" w:rsidRDefault="000114F4" w:rsidP="00161C47">
      <w:pPr>
        <w:pStyle w:val="Odstavecseseznamem"/>
        <w:numPr>
          <w:ilvl w:val="0"/>
          <w:numId w:val="17"/>
        </w:numPr>
        <w:ind w:left="284" w:hanging="284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T</w:t>
      </w:r>
      <w:r w:rsidR="00087D1C" w:rsidRPr="00632AC5">
        <w:rPr>
          <w:rFonts w:ascii="Calibri" w:hAnsi="Calibri" w:cs="Calibri"/>
          <w:sz w:val="24"/>
        </w:rPr>
        <w:t>řetí pilíř je založen na doplňkovém penzijním spoření</w:t>
      </w:r>
      <w:r w:rsidRPr="00632AC5">
        <w:rPr>
          <w:rFonts w:ascii="Calibri" w:hAnsi="Calibri" w:cs="Calibri"/>
          <w:sz w:val="24"/>
        </w:rPr>
        <w:t>,</w:t>
      </w:r>
      <w:r w:rsidR="00087D1C" w:rsidRPr="00632AC5">
        <w:rPr>
          <w:rFonts w:ascii="Calibri" w:hAnsi="Calibri" w:cs="Calibri"/>
          <w:sz w:val="24"/>
        </w:rPr>
        <w:t xml:space="preserve"> které</w:t>
      </w:r>
      <w:r w:rsidR="006D6CE3" w:rsidRPr="00632AC5">
        <w:rPr>
          <w:rFonts w:ascii="Calibri" w:hAnsi="Calibri" w:cs="Calibri"/>
          <w:sz w:val="24"/>
        </w:rPr>
        <w:t xml:space="preserve"> od 1. 1. 2013</w:t>
      </w:r>
      <w:r w:rsidR="00087D1C" w:rsidRPr="00632AC5">
        <w:rPr>
          <w:rFonts w:ascii="Calibri" w:hAnsi="Calibri" w:cs="Calibri"/>
          <w:sz w:val="24"/>
        </w:rPr>
        <w:t xml:space="preserve"> nahradilo penzijní připojištění se státním příspěvkem.</w:t>
      </w:r>
      <w:r w:rsidR="00B14579" w:rsidRPr="00632AC5">
        <w:rPr>
          <w:rFonts w:ascii="Calibri" w:hAnsi="Calibri" w:cs="Calibri"/>
          <w:sz w:val="24"/>
        </w:rPr>
        <w:t xml:space="preserve"> </w:t>
      </w:r>
    </w:p>
    <w:p w:rsidR="00161C47" w:rsidRPr="00161C47" w:rsidRDefault="00161C47" w:rsidP="00161C47">
      <w:pPr>
        <w:rPr>
          <w:rFonts w:ascii="Calibri" w:hAnsi="Calibri" w:cs="Calibri"/>
          <w:sz w:val="24"/>
        </w:rPr>
      </w:pPr>
    </w:p>
    <w:p w:rsidR="00087D1C" w:rsidRPr="00632AC5" w:rsidRDefault="00681709" w:rsidP="00087D1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Právní úprava je jednotná pro všechny pojištěnce </w:t>
      </w:r>
      <w:r w:rsidR="00574487">
        <w:rPr>
          <w:rFonts w:ascii="Calibri" w:hAnsi="Calibri" w:cs="Calibri"/>
          <w:sz w:val="24"/>
        </w:rPr>
        <w:t>s </w:t>
      </w:r>
      <w:r w:rsidRPr="00632AC5">
        <w:rPr>
          <w:rFonts w:ascii="Calibri" w:hAnsi="Calibri" w:cs="Calibri"/>
          <w:sz w:val="24"/>
        </w:rPr>
        <w:t>určitými odchylkami pro příslušníky tzv.</w:t>
      </w:r>
      <w:r w:rsidR="00D02B49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silových re</w:t>
      </w:r>
      <w:r w:rsidR="000F2639">
        <w:rPr>
          <w:rFonts w:ascii="Calibri" w:hAnsi="Calibri" w:cs="Calibri"/>
          <w:sz w:val="24"/>
        </w:rPr>
        <w:t>s</w:t>
      </w:r>
      <w:r w:rsidRPr="00632AC5">
        <w:rPr>
          <w:rFonts w:ascii="Calibri" w:hAnsi="Calibri" w:cs="Calibri"/>
          <w:sz w:val="24"/>
        </w:rPr>
        <w:t xml:space="preserve">ortů </w:t>
      </w:r>
      <w:r w:rsidR="004F1DD5" w:rsidRPr="00632AC5">
        <w:rPr>
          <w:rFonts w:ascii="Calibri" w:hAnsi="Calibri" w:cs="Calibri"/>
          <w:sz w:val="24"/>
        </w:rPr>
        <w:t>–</w:t>
      </w:r>
      <w:r w:rsidR="00C2775D" w:rsidRP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vojáci, hasiči, policisté, celníci, příslušníci Vězeňské služby, Generální inspekce bezpečnostních sborů (dále také „</w:t>
      </w:r>
      <w:proofErr w:type="spellStart"/>
      <w:r w:rsidRPr="00632AC5">
        <w:rPr>
          <w:rFonts w:ascii="Calibri" w:hAnsi="Calibri" w:cs="Calibri"/>
          <w:sz w:val="24"/>
        </w:rPr>
        <w:t>GIBS</w:t>
      </w:r>
      <w:proofErr w:type="spellEnd"/>
      <w:r w:rsidRPr="00632AC5">
        <w:rPr>
          <w:rFonts w:ascii="Calibri" w:hAnsi="Calibri" w:cs="Calibri"/>
          <w:sz w:val="24"/>
        </w:rPr>
        <w:t>“) a Bezpečnostní informační služby (dále také „BIS“).</w:t>
      </w:r>
    </w:p>
    <w:p w:rsidR="00681709" w:rsidRPr="00632AC5" w:rsidRDefault="00681709" w:rsidP="00087D1C">
      <w:pPr>
        <w:ind w:firstLine="0"/>
        <w:rPr>
          <w:rFonts w:ascii="Calibri" w:hAnsi="Calibri" w:cs="Calibri"/>
          <w:sz w:val="24"/>
        </w:rPr>
      </w:pPr>
    </w:p>
    <w:p w:rsidR="00FF0BCC" w:rsidRPr="00632AC5" w:rsidRDefault="00087D1C" w:rsidP="00087D1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Základní povinné důchodové pojištění</w:t>
      </w:r>
      <w:r w:rsidR="006E6672" w:rsidRPr="00632AC5">
        <w:rPr>
          <w:rFonts w:ascii="Calibri" w:hAnsi="Calibri" w:cs="Calibri"/>
          <w:sz w:val="24"/>
        </w:rPr>
        <w:t xml:space="preserve"> </w:t>
      </w:r>
      <w:r w:rsidR="009F710F" w:rsidRPr="00632AC5">
        <w:rPr>
          <w:rFonts w:ascii="Calibri" w:hAnsi="Calibri" w:cs="Calibri"/>
          <w:sz w:val="24"/>
        </w:rPr>
        <w:t>(</w:t>
      </w:r>
      <w:r w:rsidR="0013263D" w:rsidRPr="00632AC5">
        <w:rPr>
          <w:rFonts w:ascii="Calibri" w:hAnsi="Calibri" w:cs="Calibri"/>
          <w:sz w:val="24"/>
        </w:rPr>
        <w:t>první pilíř</w:t>
      </w:r>
      <w:r w:rsidR="009F710F" w:rsidRPr="00632AC5">
        <w:rPr>
          <w:rFonts w:ascii="Calibri" w:hAnsi="Calibri" w:cs="Calibri"/>
          <w:sz w:val="24"/>
        </w:rPr>
        <w:t>)</w:t>
      </w:r>
      <w:r w:rsidR="0024587B" w:rsidRPr="00632AC5">
        <w:rPr>
          <w:rFonts w:ascii="Calibri" w:hAnsi="Calibri" w:cs="Calibri"/>
          <w:sz w:val="24"/>
        </w:rPr>
        <w:t xml:space="preserve"> </w:t>
      </w:r>
      <w:r w:rsidR="006E6672" w:rsidRPr="00632AC5">
        <w:rPr>
          <w:rFonts w:ascii="Calibri" w:hAnsi="Calibri" w:cs="Calibri"/>
          <w:sz w:val="24"/>
        </w:rPr>
        <w:t>garant</w:t>
      </w:r>
      <w:r w:rsidR="0024587B" w:rsidRPr="00632AC5">
        <w:rPr>
          <w:rFonts w:ascii="Calibri" w:hAnsi="Calibri" w:cs="Calibri"/>
          <w:sz w:val="24"/>
        </w:rPr>
        <w:t>uje</w:t>
      </w:r>
      <w:r w:rsidR="006E6672" w:rsidRPr="00632AC5">
        <w:rPr>
          <w:rFonts w:ascii="Calibri" w:hAnsi="Calibri" w:cs="Calibri"/>
          <w:sz w:val="24"/>
        </w:rPr>
        <w:t xml:space="preserve"> stát</w:t>
      </w:r>
      <w:r w:rsidR="00F13F82" w:rsidRPr="00632AC5">
        <w:rPr>
          <w:rFonts w:ascii="Calibri" w:hAnsi="Calibri" w:cs="Calibri"/>
          <w:sz w:val="24"/>
        </w:rPr>
        <w:t>,</w:t>
      </w:r>
      <w:r w:rsidRPr="00632AC5">
        <w:rPr>
          <w:rFonts w:ascii="Calibri" w:hAnsi="Calibri" w:cs="Calibri"/>
          <w:sz w:val="24"/>
        </w:rPr>
        <w:t xml:space="preserve"> je univerzální a</w:t>
      </w:r>
      <w:r w:rsidR="00F13F82" w:rsidRPr="00632AC5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zabezpečuje všechny ekonomicky aktivní osoby</w:t>
      </w:r>
      <w:r w:rsidR="00FF0BCC" w:rsidRPr="00632AC5">
        <w:rPr>
          <w:rFonts w:ascii="Calibri" w:hAnsi="Calibri" w:cs="Calibri"/>
          <w:sz w:val="24"/>
        </w:rPr>
        <w:t>.</w:t>
      </w:r>
      <w:r w:rsidRPr="00632AC5">
        <w:rPr>
          <w:rFonts w:ascii="Calibri" w:hAnsi="Calibri" w:cs="Calibri"/>
          <w:sz w:val="24"/>
        </w:rPr>
        <w:t xml:space="preserve"> </w:t>
      </w:r>
      <w:r w:rsidR="00576127" w:rsidRPr="00632AC5">
        <w:rPr>
          <w:rFonts w:ascii="Calibri" w:hAnsi="Calibri" w:cs="Calibri"/>
          <w:sz w:val="24"/>
        </w:rPr>
        <w:t>Systém je založen na vysoké mí</w:t>
      </w:r>
      <w:r w:rsidR="00A36E51" w:rsidRPr="00632AC5">
        <w:rPr>
          <w:rFonts w:ascii="Calibri" w:hAnsi="Calibri" w:cs="Calibri"/>
          <w:sz w:val="24"/>
        </w:rPr>
        <w:t>ř</w:t>
      </w:r>
      <w:r w:rsidR="00576127" w:rsidRPr="00632AC5">
        <w:rPr>
          <w:rFonts w:ascii="Calibri" w:hAnsi="Calibri" w:cs="Calibri"/>
          <w:sz w:val="24"/>
        </w:rPr>
        <w:t>e mezigenerační</w:t>
      </w:r>
      <w:r w:rsidR="006E6672" w:rsidRPr="00632AC5">
        <w:rPr>
          <w:rFonts w:ascii="Calibri" w:hAnsi="Calibri" w:cs="Calibri"/>
          <w:sz w:val="24"/>
        </w:rPr>
        <w:t xml:space="preserve"> a</w:t>
      </w:r>
      <w:r w:rsidR="00254A5D">
        <w:rPr>
          <w:rFonts w:ascii="Calibri" w:hAnsi="Calibri" w:cs="Calibri"/>
          <w:sz w:val="24"/>
        </w:rPr>
        <w:t> </w:t>
      </w:r>
      <w:r w:rsidR="00576127" w:rsidRPr="00632AC5">
        <w:rPr>
          <w:rFonts w:ascii="Calibri" w:hAnsi="Calibri" w:cs="Calibri"/>
          <w:sz w:val="24"/>
        </w:rPr>
        <w:t>příjmové</w:t>
      </w:r>
      <w:r w:rsidR="00C2775D" w:rsidRPr="00632AC5">
        <w:rPr>
          <w:rFonts w:ascii="Calibri" w:hAnsi="Calibri" w:cs="Calibri"/>
          <w:sz w:val="24"/>
        </w:rPr>
        <w:t xml:space="preserve"> </w:t>
      </w:r>
      <w:r w:rsidR="00576127" w:rsidRPr="00632AC5">
        <w:rPr>
          <w:rFonts w:ascii="Calibri" w:hAnsi="Calibri" w:cs="Calibri"/>
          <w:sz w:val="24"/>
        </w:rPr>
        <w:t>solidarity</w:t>
      </w:r>
      <w:r w:rsidR="009C6955" w:rsidRPr="00632AC5">
        <w:rPr>
          <w:rFonts w:ascii="Calibri" w:hAnsi="Calibri" w:cs="Calibri"/>
          <w:sz w:val="24"/>
        </w:rPr>
        <w:t>.</w:t>
      </w:r>
      <w:r w:rsidR="006E6672" w:rsidRPr="00632AC5">
        <w:rPr>
          <w:rFonts w:ascii="Calibri" w:hAnsi="Calibri" w:cs="Calibri"/>
          <w:sz w:val="24"/>
        </w:rPr>
        <w:t xml:space="preserve"> </w:t>
      </w:r>
      <w:r w:rsidR="00574487">
        <w:rPr>
          <w:rFonts w:ascii="Calibri" w:hAnsi="Calibri" w:cs="Calibri"/>
          <w:sz w:val="24"/>
        </w:rPr>
        <w:t>S </w:t>
      </w:r>
      <w:r w:rsidR="009C6955" w:rsidRPr="00632AC5">
        <w:rPr>
          <w:rFonts w:ascii="Calibri" w:hAnsi="Calibri" w:cs="Calibri"/>
          <w:sz w:val="24"/>
        </w:rPr>
        <w:t>účinností od 30. 9. 2011</w:t>
      </w:r>
      <w:r w:rsidR="00390016" w:rsidRPr="00632AC5">
        <w:rPr>
          <w:rFonts w:ascii="Calibri" w:hAnsi="Calibri" w:cs="Calibri"/>
          <w:sz w:val="24"/>
        </w:rPr>
        <w:t xml:space="preserve"> </w:t>
      </w:r>
      <w:r w:rsidR="009A3253" w:rsidRPr="00632AC5">
        <w:rPr>
          <w:rFonts w:ascii="Calibri" w:hAnsi="Calibri" w:cs="Calibri"/>
          <w:sz w:val="24"/>
        </w:rPr>
        <w:t xml:space="preserve">byl </w:t>
      </w:r>
      <w:r w:rsidR="00390016" w:rsidRPr="00632AC5">
        <w:rPr>
          <w:rFonts w:ascii="Calibri" w:hAnsi="Calibri" w:cs="Calibri"/>
          <w:sz w:val="24"/>
        </w:rPr>
        <w:t>do zákona č.</w:t>
      </w:r>
      <w:r w:rsidR="005839F4" w:rsidRPr="00632AC5">
        <w:rPr>
          <w:rFonts w:ascii="Calibri" w:hAnsi="Calibri" w:cs="Calibri"/>
          <w:sz w:val="24"/>
        </w:rPr>
        <w:t> </w:t>
      </w:r>
      <w:r w:rsidR="00390016" w:rsidRPr="00632AC5">
        <w:rPr>
          <w:rFonts w:ascii="Calibri" w:hAnsi="Calibri" w:cs="Calibri"/>
          <w:sz w:val="24"/>
        </w:rPr>
        <w:t>155/1995 Sb.</w:t>
      </w:r>
      <w:r w:rsidR="00A7214A" w:rsidRPr="00632AC5">
        <w:rPr>
          <w:rStyle w:val="Znakapoznpodarou"/>
          <w:rFonts w:ascii="Calibri" w:hAnsi="Calibri" w:cs="Calibri"/>
          <w:sz w:val="24"/>
        </w:rPr>
        <w:footnoteReference w:id="4"/>
      </w:r>
      <w:r w:rsidR="00390016" w:rsidRPr="00632AC5">
        <w:rPr>
          <w:rFonts w:ascii="Calibri" w:hAnsi="Calibri" w:cs="Calibri"/>
          <w:sz w:val="24"/>
        </w:rPr>
        <w:t xml:space="preserve"> </w:t>
      </w:r>
      <w:r w:rsidR="005149C2" w:rsidRPr="00632AC5">
        <w:rPr>
          <w:rFonts w:ascii="Calibri" w:hAnsi="Calibri" w:cs="Calibri"/>
          <w:sz w:val="24"/>
        </w:rPr>
        <w:t xml:space="preserve">výrazněji </w:t>
      </w:r>
      <w:r w:rsidR="00390016" w:rsidRPr="00632AC5">
        <w:rPr>
          <w:rFonts w:ascii="Calibri" w:hAnsi="Calibri" w:cs="Calibri"/>
          <w:sz w:val="24"/>
        </w:rPr>
        <w:t xml:space="preserve">promítnut </w:t>
      </w:r>
      <w:r w:rsidR="00D60DB8" w:rsidRPr="00632AC5">
        <w:rPr>
          <w:rFonts w:ascii="Calibri" w:hAnsi="Calibri" w:cs="Calibri"/>
          <w:sz w:val="24"/>
        </w:rPr>
        <w:t>princip zásluhovosti</w:t>
      </w:r>
      <w:r w:rsidR="00F13F82" w:rsidRPr="00632AC5">
        <w:rPr>
          <w:rFonts w:ascii="Calibri" w:hAnsi="Calibri" w:cs="Calibri"/>
          <w:sz w:val="24"/>
        </w:rPr>
        <w:t xml:space="preserve">. </w:t>
      </w:r>
    </w:p>
    <w:p w:rsidR="00F13F82" w:rsidRPr="00632AC5" w:rsidRDefault="00F13F82" w:rsidP="00087D1C">
      <w:pPr>
        <w:ind w:firstLine="0"/>
        <w:rPr>
          <w:rFonts w:ascii="Calibri" w:hAnsi="Calibri" w:cs="Calibri"/>
          <w:sz w:val="24"/>
        </w:rPr>
      </w:pPr>
    </w:p>
    <w:p w:rsidR="006E7B53" w:rsidRPr="00632AC5" w:rsidRDefault="00FF0BCC" w:rsidP="006E6672">
      <w:pPr>
        <w:autoSpaceDE w:val="0"/>
        <w:autoSpaceDN w:val="0"/>
        <w:adjustRightInd w:val="0"/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</w:rPr>
        <w:t xml:space="preserve">Pojistné na důchodové pojištění je </w:t>
      </w:r>
      <w:r w:rsidR="005149C2" w:rsidRPr="00632AC5">
        <w:rPr>
          <w:rFonts w:ascii="Calibri" w:hAnsi="Calibri" w:cs="Calibri"/>
          <w:sz w:val="24"/>
        </w:rPr>
        <w:t xml:space="preserve">součástí </w:t>
      </w:r>
      <w:r w:rsidRPr="00632AC5">
        <w:rPr>
          <w:rFonts w:ascii="Calibri" w:hAnsi="Calibri" w:cs="Calibri"/>
          <w:sz w:val="24"/>
        </w:rPr>
        <w:t>p</w:t>
      </w:r>
      <w:r w:rsidR="004774E5" w:rsidRPr="00632AC5">
        <w:rPr>
          <w:rFonts w:ascii="Calibri" w:hAnsi="Calibri" w:cs="Calibri"/>
          <w:sz w:val="24"/>
        </w:rPr>
        <w:t>ojistné</w:t>
      </w:r>
      <w:r w:rsidRPr="00632AC5">
        <w:rPr>
          <w:rFonts w:ascii="Calibri" w:hAnsi="Calibri" w:cs="Calibri"/>
          <w:sz w:val="24"/>
        </w:rPr>
        <w:t>ho</w:t>
      </w:r>
      <w:r w:rsidR="004774E5" w:rsidRPr="00632AC5">
        <w:rPr>
          <w:rFonts w:ascii="Calibri" w:hAnsi="Calibri" w:cs="Calibri"/>
          <w:sz w:val="24"/>
        </w:rPr>
        <w:t xml:space="preserve"> na sociální zabezpečení</w:t>
      </w:r>
      <w:r w:rsidR="006E6672" w:rsidRPr="00632AC5">
        <w:rPr>
          <w:rFonts w:ascii="Calibri" w:hAnsi="Calibri" w:cs="Calibri"/>
          <w:sz w:val="24"/>
        </w:rPr>
        <w:t xml:space="preserve">. </w:t>
      </w:r>
    </w:p>
    <w:p w:rsidR="00FF0BCC" w:rsidRPr="00632AC5" w:rsidRDefault="00FF0BCC" w:rsidP="00087D1C">
      <w:pPr>
        <w:ind w:firstLine="0"/>
        <w:rPr>
          <w:rFonts w:ascii="Calibri" w:hAnsi="Calibri" w:cs="Calibri"/>
          <w:sz w:val="24"/>
        </w:rPr>
      </w:pPr>
    </w:p>
    <w:p w:rsidR="00F528BC" w:rsidRPr="00632AC5" w:rsidRDefault="00F528BC" w:rsidP="00F528B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Peněžní prostředky vybrané na pojistném</w:t>
      </w:r>
      <w:r w:rsidR="005A1328" w:rsidRPr="00632AC5">
        <w:rPr>
          <w:rFonts w:ascii="Calibri" w:hAnsi="Calibri" w:cs="Calibri"/>
          <w:sz w:val="24"/>
        </w:rPr>
        <w:t xml:space="preserve"> na důchodové pojištění</w:t>
      </w:r>
      <w:r w:rsidRPr="00632AC5">
        <w:rPr>
          <w:rFonts w:ascii="Calibri" w:hAnsi="Calibri" w:cs="Calibri"/>
          <w:sz w:val="24"/>
        </w:rPr>
        <w:t xml:space="preserve"> i prostředky vyplacené ve formě dávek důchodového pojištění jsou součástí příjmů a výdajů státního rozpočtu</w:t>
      </w:r>
      <w:r w:rsidR="00681709" w:rsidRPr="00632AC5">
        <w:rPr>
          <w:rFonts w:ascii="Calibri" w:hAnsi="Calibri" w:cs="Calibri"/>
          <w:sz w:val="24"/>
        </w:rPr>
        <w:t xml:space="preserve"> prostřednictvím vybraných kapitol státního rozpočtu, z</w:t>
      </w:r>
      <w:r w:rsidR="005149C2" w:rsidRPr="00632AC5">
        <w:rPr>
          <w:rFonts w:ascii="Calibri" w:hAnsi="Calibri" w:cs="Calibri"/>
          <w:sz w:val="24"/>
        </w:rPr>
        <w:t> </w:t>
      </w:r>
      <w:r w:rsidR="00681709" w:rsidRPr="00632AC5">
        <w:rPr>
          <w:rFonts w:ascii="Calibri" w:hAnsi="Calibri" w:cs="Calibri"/>
          <w:sz w:val="24"/>
        </w:rPr>
        <w:t>nichž</w:t>
      </w:r>
      <w:r w:rsidR="005149C2" w:rsidRPr="00632AC5">
        <w:rPr>
          <w:rFonts w:ascii="Calibri" w:hAnsi="Calibri" w:cs="Calibri"/>
          <w:sz w:val="24"/>
        </w:rPr>
        <w:t xml:space="preserve"> objemově </w:t>
      </w:r>
      <w:r w:rsidR="00681709" w:rsidRPr="00632AC5">
        <w:rPr>
          <w:rFonts w:ascii="Calibri" w:hAnsi="Calibri" w:cs="Calibri"/>
          <w:sz w:val="24"/>
        </w:rPr>
        <w:t xml:space="preserve">nejvýznamnější </w:t>
      </w:r>
      <w:r w:rsidR="005149C2" w:rsidRPr="00632AC5">
        <w:rPr>
          <w:rFonts w:ascii="Calibri" w:hAnsi="Calibri" w:cs="Calibri"/>
          <w:sz w:val="24"/>
        </w:rPr>
        <w:t xml:space="preserve">je </w:t>
      </w:r>
      <w:r w:rsidR="006D6CE3" w:rsidRPr="00632AC5">
        <w:rPr>
          <w:rFonts w:ascii="Calibri" w:hAnsi="Calibri" w:cs="Calibri"/>
          <w:sz w:val="24"/>
        </w:rPr>
        <w:t xml:space="preserve">kapitola </w:t>
      </w:r>
      <w:r w:rsidR="00BE7392" w:rsidRPr="00632AC5">
        <w:rPr>
          <w:rFonts w:ascii="Calibri" w:hAnsi="Calibri" w:cs="Calibri"/>
          <w:color w:val="000000"/>
          <w:sz w:val="24"/>
        </w:rPr>
        <w:t>Ministerstv</w:t>
      </w:r>
      <w:r w:rsidR="00BE7392">
        <w:rPr>
          <w:rFonts w:ascii="Calibri" w:hAnsi="Calibri" w:cs="Calibri"/>
          <w:color w:val="000000"/>
          <w:sz w:val="24"/>
        </w:rPr>
        <w:t>a</w:t>
      </w:r>
      <w:r w:rsidR="00BE7392" w:rsidRPr="00632AC5">
        <w:rPr>
          <w:rFonts w:ascii="Calibri" w:hAnsi="Calibri" w:cs="Calibri"/>
          <w:color w:val="000000"/>
          <w:sz w:val="24"/>
        </w:rPr>
        <w:t xml:space="preserve"> práce a sociálních věcí</w:t>
      </w:r>
      <w:r w:rsidR="001C4960" w:rsidRPr="00632AC5">
        <w:rPr>
          <w:rFonts w:ascii="Calibri" w:hAnsi="Calibri" w:cs="Calibri"/>
          <w:sz w:val="24"/>
        </w:rPr>
        <w:t>.</w:t>
      </w:r>
      <w:r w:rsidR="00632AC5">
        <w:rPr>
          <w:rFonts w:ascii="Calibri" w:hAnsi="Calibri" w:cs="Calibri"/>
          <w:sz w:val="24"/>
        </w:rPr>
        <w:t xml:space="preserve"> </w:t>
      </w:r>
    </w:p>
    <w:p w:rsidR="00F528BC" w:rsidRPr="00632AC5" w:rsidRDefault="00F528BC" w:rsidP="006F18A2">
      <w:pPr>
        <w:ind w:firstLine="0"/>
        <w:rPr>
          <w:rFonts w:ascii="Calibri" w:hAnsi="Calibri" w:cs="Calibri"/>
          <w:bCs/>
          <w:sz w:val="24"/>
        </w:rPr>
      </w:pPr>
    </w:p>
    <w:p w:rsidR="008E7F0F" w:rsidRPr="00632AC5" w:rsidRDefault="008E7F0F" w:rsidP="006E7B53">
      <w:pPr>
        <w:ind w:firstLine="0"/>
        <w:rPr>
          <w:rFonts w:ascii="Calibri" w:hAnsi="Calibri" w:cs="Calibri"/>
          <w:bCs/>
          <w:sz w:val="24"/>
        </w:rPr>
      </w:pPr>
      <w:r w:rsidRPr="00632AC5">
        <w:rPr>
          <w:rFonts w:ascii="Calibri" w:hAnsi="Calibri" w:cs="Calibri"/>
          <w:bCs/>
          <w:sz w:val="24"/>
        </w:rPr>
        <w:t xml:space="preserve">Z hlediska předmětu této kontrolní akce nesou </w:t>
      </w:r>
      <w:r w:rsidR="000114F4" w:rsidRPr="00632AC5">
        <w:rPr>
          <w:rFonts w:ascii="Calibri" w:hAnsi="Calibri" w:cs="Calibri"/>
          <w:bCs/>
          <w:sz w:val="24"/>
        </w:rPr>
        <w:t xml:space="preserve">kontrolovaná ministerstva </w:t>
      </w:r>
      <w:r w:rsidRPr="00632AC5">
        <w:rPr>
          <w:rFonts w:ascii="Calibri" w:hAnsi="Calibri" w:cs="Calibri"/>
          <w:bCs/>
          <w:sz w:val="24"/>
        </w:rPr>
        <w:t>odpovědnost za tuto oblast v</w:t>
      </w:r>
      <w:r w:rsidR="009A3253" w:rsidRPr="00632AC5">
        <w:rPr>
          <w:rFonts w:ascii="Calibri" w:hAnsi="Calibri" w:cs="Calibri"/>
          <w:bCs/>
          <w:sz w:val="24"/>
        </w:rPr>
        <w:t> </w:t>
      </w:r>
      <w:r w:rsidRPr="00632AC5">
        <w:rPr>
          <w:rFonts w:ascii="Calibri" w:hAnsi="Calibri" w:cs="Calibri"/>
          <w:bCs/>
          <w:sz w:val="24"/>
        </w:rPr>
        <w:t>rozsahu</w:t>
      </w:r>
      <w:r w:rsidR="009A3253" w:rsidRPr="00632AC5">
        <w:rPr>
          <w:rFonts w:ascii="Calibri" w:hAnsi="Calibri" w:cs="Calibri"/>
          <w:bCs/>
          <w:sz w:val="24"/>
        </w:rPr>
        <w:t xml:space="preserve"> </w:t>
      </w:r>
      <w:r w:rsidR="00265AFC" w:rsidRPr="00632AC5">
        <w:rPr>
          <w:rFonts w:ascii="Calibri" w:hAnsi="Calibri" w:cs="Calibri"/>
          <w:bCs/>
          <w:sz w:val="24"/>
        </w:rPr>
        <w:t>zákona</w:t>
      </w:r>
      <w:r w:rsidR="009A3253" w:rsidRPr="00632AC5">
        <w:rPr>
          <w:rFonts w:ascii="Calibri" w:hAnsi="Calibri" w:cs="Calibri"/>
          <w:bCs/>
          <w:sz w:val="24"/>
        </w:rPr>
        <w:t>, jímž byla tato ministerstva zřízena</w:t>
      </w:r>
      <w:r w:rsidR="00A0314E">
        <w:rPr>
          <w:rStyle w:val="Znakapoznpodarou"/>
          <w:rFonts w:ascii="Calibri" w:hAnsi="Calibri" w:cs="Calibri"/>
          <w:bCs/>
          <w:sz w:val="24"/>
        </w:rPr>
        <w:footnoteReference w:id="5"/>
      </w:r>
      <w:r w:rsidR="00BE7392">
        <w:rPr>
          <w:rFonts w:ascii="Calibri" w:hAnsi="Calibri" w:cs="Calibri"/>
          <w:bCs/>
          <w:sz w:val="24"/>
        </w:rPr>
        <w:t>,</w:t>
      </w:r>
      <w:r w:rsidR="009A3253" w:rsidRPr="00632AC5">
        <w:rPr>
          <w:rFonts w:ascii="Calibri" w:hAnsi="Calibri" w:cs="Calibri"/>
          <w:bCs/>
          <w:sz w:val="24"/>
        </w:rPr>
        <w:t xml:space="preserve"> </w:t>
      </w:r>
      <w:r w:rsidR="00265AFC" w:rsidRPr="00632AC5">
        <w:rPr>
          <w:rFonts w:ascii="Calibri" w:hAnsi="Calibri" w:cs="Calibri"/>
          <w:bCs/>
          <w:sz w:val="24"/>
        </w:rPr>
        <w:t>a zákonů upravujících sledovanou oblast.</w:t>
      </w:r>
    </w:p>
    <w:p w:rsidR="008E7F0F" w:rsidRPr="00632AC5" w:rsidRDefault="006E7B53" w:rsidP="006E7B53">
      <w:pPr>
        <w:ind w:firstLine="0"/>
        <w:rPr>
          <w:rFonts w:ascii="Calibri" w:hAnsi="Calibri" w:cs="Calibri"/>
          <w:bCs/>
          <w:sz w:val="24"/>
        </w:rPr>
      </w:pPr>
      <w:r w:rsidRPr="00632AC5">
        <w:rPr>
          <w:rFonts w:ascii="Calibri" w:hAnsi="Calibri" w:cs="Calibri"/>
          <w:bCs/>
          <w:sz w:val="24"/>
        </w:rPr>
        <w:t xml:space="preserve"> </w:t>
      </w:r>
    </w:p>
    <w:p w:rsidR="008E7F0F" w:rsidRPr="00632AC5" w:rsidRDefault="006E7B53" w:rsidP="006F18A2">
      <w:pPr>
        <w:ind w:firstLine="0"/>
        <w:rPr>
          <w:rFonts w:ascii="Calibri" w:hAnsi="Calibri" w:cs="Calibri"/>
          <w:bCs/>
          <w:sz w:val="24"/>
        </w:rPr>
      </w:pPr>
      <w:r w:rsidRPr="00632AC5">
        <w:rPr>
          <w:rFonts w:ascii="Calibri" w:hAnsi="Calibri" w:cs="Calibri"/>
          <w:b/>
          <w:bCs/>
          <w:sz w:val="24"/>
        </w:rPr>
        <w:t xml:space="preserve">Ministerstvo práce a sociálních věcí </w:t>
      </w:r>
      <w:r w:rsidR="009F710F" w:rsidRPr="00632AC5">
        <w:rPr>
          <w:rFonts w:ascii="Calibri" w:hAnsi="Calibri" w:cs="Calibri"/>
          <w:color w:val="000000"/>
          <w:sz w:val="24"/>
        </w:rPr>
        <w:t xml:space="preserve">(dále také „MPSV“) </w:t>
      </w:r>
      <w:r w:rsidR="008E7F0F" w:rsidRPr="00632AC5">
        <w:rPr>
          <w:rFonts w:ascii="Calibri" w:hAnsi="Calibri" w:cs="Calibri"/>
          <w:bCs/>
          <w:sz w:val="24"/>
        </w:rPr>
        <w:t>je</w:t>
      </w:r>
      <w:r w:rsidR="008E7F0F" w:rsidRPr="00632AC5">
        <w:rPr>
          <w:rFonts w:ascii="Calibri" w:hAnsi="Calibri" w:cs="Calibri"/>
          <w:b/>
          <w:bCs/>
          <w:sz w:val="24"/>
        </w:rPr>
        <w:t xml:space="preserve"> </w:t>
      </w:r>
      <w:r w:rsidRPr="00632AC5">
        <w:rPr>
          <w:rFonts w:ascii="Calibri" w:hAnsi="Calibri" w:cs="Calibri"/>
          <w:bCs/>
          <w:sz w:val="24"/>
        </w:rPr>
        <w:t>ústředním orgánem státní správy pro důchodové zabezpečení</w:t>
      </w:r>
      <w:r w:rsidR="003F40E7" w:rsidRPr="00632AC5">
        <w:rPr>
          <w:rFonts w:ascii="Calibri" w:hAnsi="Calibri" w:cs="Calibri"/>
          <w:bCs/>
          <w:sz w:val="24"/>
        </w:rPr>
        <w:t>, je orgánem sociálního zabezpečení</w:t>
      </w:r>
      <w:r w:rsidR="00265AFC" w:rsidRPr="00632AC5">
        <w:rPr>
          <w:rFonts w:ascii="Calibri" w:hAnsi="Calibri" w:cs="Calibri"/>
          <w:bCs/>
          <w:sz w:val="24"/>
        </w:rPr>
        <w:t xml:space="preserve"> a </w:t>
      </w:r>
      <w:r w:rsidR="003F40E7" w:rsidRPr="00632AC5">
        <w:rPr>
          <w:rFonts w:ascii="Calibri" w:hAnsi="Calibri" w:cs="Calibri"/>
          <w:bCs/>
          <w:sz w:val="24"/>
        </w:rPr>
        <w:t>zároveň</w:t>
      </w:r>
      <w:r w:rsidR="006F18A2" w:rsidRPr="00632AC5">
        <w:rPr>
          <w:rFonts w:ascii="Calibri" w:hAnsi="Calibri" w:cs="Calibri"/>
          <w:bCs/>
          <w:sz w:val="24"/>
        </w:rPr>
        <w:t xml:space="preserve"> správcem rozpočtové kapitoly 313 </w:t>
      </w:r>
      <w:r w:rsidR="00BE7392">
        <w:rPr>
          <w:rFonts w:ascii="Calibri" w:hAnsi="Calibri" w:cs="Calibri"/>
          <w:bCs/>
          <w:sz w:val="24"/>
        </w:rPr>
        <w:t xml:space="preserve">– </w:t>
      </w:r>
      <w:r w:rsidR="006F18A2" w:rsidRPr="00F80CB2">
        <w:rPr>
          <w:rFonts w:ascii="Calibri" w:hAnsi="Calibri" w:cs="Calibri"/>
          <w:bCs/>
          <w:i/>
          <w:sz w:val="24"/>
        </w:rPr>
        <w:t>M</w:t>
      </w:r>
      <w:r w:rsidR="004F1DD5" w:rsidRPr="00F80CB2">
        <w:rPr>
          <w:rFonts w:ascii="Calibri" w:hAnsi="Calibri" w:cs="Calibri"/>
          <w:bCs/>
          <w:i/>
          <w:sz w:val="24"/>
        </w:rPr>
        <w:t>inisterstvo práce a sociálních věcí</w:t>
      </w:r>
      <w:r w:rsidR="00BE7392">
        <w:rPr>
          <w:rFonts w:ascii="Calibri" w:hAnsi="Calibri" w:cs="Calibri"/>
          <w:bCs/>
          <w:i/>
          <w:sz w:val="24"/>
        </w:rPr>
        <w:t xml:space="preserve"> </w:t>
      </w:r>
      <w:r w:rsidR="00BE7392">
        <w:rPr>
          <w:rFonts w:ascii="Calibri" w:hAnsi="Calibri" w:cs="Calibri"/>
          <w:bCs/>
          <w:sz w:val="24"/>
        </w:rPr>
        <w:t>(dále jen „kapitola MPSV“)</w:t>
      </w:r>
      <w:r w:rsidR="004F1DD5" w:rsidRPr="00632AC5">
        <w:rPr>
          <w:rFonts w:ascii="Calibri" w:hAnsi="Calibri" w:cs="Calibri"/>
          <w:bCs/>
          <w:sz w:val="24"/>
        </w:rPr>
        <w:t xml:space="preserve">, </w:t>
      </w:r>
      <w:r w:rsidR="005A1328" w:rsidRPr="00632AC5">
        <w:rPr>
          <w:rFonts w:ascii="Calibri" w:hAnsi="Calibri" w:cs="Calibri"/>
          <w:bCs/>
          <w:sz w:val="24"/>
        </w:rPr>
        <w:lastRenderedPageBreak/>
        <w:t xml:space="preserve">která </w:t>
      </w:r>
      <w:r w:rsidR="00BC0CCA" w:rsidRPr="00632AC5">
        <w:rPr>
          <w:rFonts w:ascii="Calibri" w:hAnsi="Calibri" w:cs="Calibri"/>
          <w:bCs/>
          <w:sz w:val="24"/>
        </w:rPr>
        <w:t xml:space="preserve">na straně příjmů </w:t>
      </w:r>
      <w:r w:rsidR="003F40E7" w:rsidRPr="00632AC5">
        <w:rPr>
          <w:rFonts w:ascii="Calibri" w:hAnsi="Calibri" w:cs="Calibri"/>
          <w:bCs/>
          <w:sz w:val="24"/>
        </w:rPr>
        <w:t>představuje</w:t>
      </w:r>
      <w:r w:rsidR="005A1328" w:rsidRPr="00632AC5">
        <w:rPr>
          <w:rFonts w:ascii="Calibri" w:hAnsi="Calibri" w:cs="Calibri"/>
          <w:bCs/>
          <w:sz w:val="24"/>
        </w:rPr>
        <w:t xml:space="preserve"> 97 %</w:t>
      </w:r>
      <w:r w:rsidR="00BC0CCA" w:rsidRPr="00632AC5">
        <w:rPr>
          <w:rFonts w:ascii="Calibri" w:hAnsi="Calibri" w:cs="Calibri"/>
          <w:bCs/>
          <w:sz w:val="24"/>
        </w:rPr>
        <w:t xml:space="preserve"> prostředků vybraných na pojistném</w:t>
      </w:r>
      <w:r w:rsidR="00BE7392">
        <w:rPr>
          <w:rFonts w:ascii="Calibri" w:hAnsi="Calibri" w:cs="Calibri"/>
          <w:bCs/>
          <w:sz w:val="24"/>
        </w:rPr>
        <w:t xml:space="preserve"> a </w:t>
      </w:r>
      <w:r w:rsidR="00BC0CCA" w:rsidRPr="00632AC5">
        <w:rPr>
          <w:rFonts w:ascii="Calibri" w:hAnsi="Calibri" w:cs="Calibri"/>
          <w:bCs/>
          <w:sz w:val="24"/>
        </w:rPr>
        <w:t>na straně výdajů p</w:t>
      </w:r>
      <w:r w:rsidR="002455E3" w:rsidRPr="00632AC5">
        <w:rPr>
          <w:rFonts w:ascii="Calibri" w:hAnsi="Calibri" w:cs="Calibri"/>
          <w:bCs/>
          <w:sz w:val="24"/>
        </w:rPr>
        <w:t xml:space="preserve">ředstavuje </w:t>
      </w:r>
      <w:r w:rsidR="00BC0CCA" w:rsidRPr="00632AC5">
        <w:rPr>
          <w:rFonts w:ascii="Calibri" w:hAnsi="Calibri" w:cs="Calibri"/>
          <w:bCs/>
          <w:sz w:val="24"/>
        </w:rPr>
        <w:t>98</w:t>
      </w:r>
      <w:r w:rsidR="000B2E48">
        <w:rPr>
          <w:rFonts w:ascii="Calibri" w:hAnsi="Calibri" w:cs="Calibri"/>
          <w:bCs/>
          <w:sz w:val="24"/>
        </w:rPr>
        <w:t> </w:t>
      </w:r>
      <w:r w:rsidR="00BC0CCA" w:rsidRPr="00632AC5">
        <w:rPr>
          <w:rFonts w:ascii="Calibri" w:hAnsi="Calibri" w:cs="Calibri"/>
          <w:bCs/>
          <w:sz w:val="24"/>
        </w:rPr>
        <w:t>%</w:t>
      </w:r>
      <w:r w:rsidR="00BE7392">
        <w:rPr>
          <w:rFonts w:ascii="Calibri" w:hAnsi="Calibri" w:cs="Calibri"/>
          <w:bCs/>
          <w:sz w:val="24"/>
        </w:rPr>
        <w:t xml:space="preserve"> </w:t>
      </w:r>
      <w:r w:rsidR="00BC0CCA" w:rsidRPr="00632AC5">
        <w:rPr>
          <w:rFonts w:ascii="Calibri" w:hAnsi="Calibri" w:cs="Calibri"/>
          <w:bCs/>
          <w:sz w:val="24"/>
        </w:rPr>
        <w:t>všech prostředků vyplacených ve formě dávek důchodového pojištění</w:t>
      </w:r>
      <w:r w:rsidR="002455E3" w:rsidRPr="00632AC5">
        <w:rPr>
          <w:rFonts w:ascii="Calibri" w:hAnsi="Calibri" w:cs="Calibri"/>
          <w:bCs/>
          <w:sz w:val="24"/>
        </w:rPr>
        <w:t xml:space="preserve">. </w:t>
      </w:r>
      <w:r w:rsidR="00BE7392">
        <w:rPr>
          <w:rFonts w:ascii="Calibri" w:hAnsi="Calibri" w:cs="Calibri"/>
          <w:bCs/>
          <w:sz w:val="24"/>
        </w:rPr>
        <w:t>V</w:t>
      </w:r>
      <w:r w:rsidR="002455E3" w:rsidRPr="00632AC5">
        <w:rPr>
          <w:rFonts w:ascii="Calibri" w:hAnsi="Calibri" w:cs="Calibri"/>
          <w:bCs/>
          <w:sz w:val="24"/>
        </w:rPr>
        <w:t>ýběr pojistného,</w:t>
      </w:r>
      <w:r w:rsidR="009A3253" w:rsidRPr="00632AC5">
        <w:rPr>
          <w:rFonts w:ascii="Calibri" w:hAnsi="Calibri" w:cs="Calibri"/>
          <w:bCs/>
          <w:sz w:val="24"/>
        </w:rPr>
        <w:t xml:space="preserve"> rozhodování o dávkách</w:t>
      </w:r>
      <w:r w:rsidR="002455E3" w:rsidRPr="00632AC5">
        <w:rPr>
          <w:rFonts w:ascii="Calibri" w:hAnsi="Calibri" w:cs="Calibri"/>
          <w:bCs/>
          <w:sz w:val="24"/>
        </w:rPr>
        <w:t xml:space="preserve">, jejich výpočet a </w:t>
      </w:r>
      <w:r w:rsidR="009A3253" w:rsidRPr="00632AC5">
        <w:rPr>
          <w:rFonts w:ascii="Calibri" w:hAnsi="Calibri" w:cs="Calibri"/>
          <w:bCs/>
          <w:sz w:val="24"/>
        </w:rPr>
        <w:t>výplat</w:t>
      </w:r>
      <w:r w:rsidR="002455E3" w:rsidRPr="00632AC5">
        <w:rPr>
          <w:rFonts w:ascii="Calibri" w:hAnsi="Calibri" w:cs="Calibri"/>
          <w:bCs/>
          <w:sz w:val="24"/>
        </w:rPr>
        <w:t>u</w:t>
      </w:r>
      <w:r w:rsidR="009A3253" w:rsidRPr="00632AC5">
        <w:rPr>
          <w:rFonts w:ascii="Calibri" w:hAnsi="Calibri" w:cs="Calibri"/>
          <w:bCs/>
          <w:sz w:val="24"/>
        </w:rPr>
        <w:t xml:space="preserve"> zajišťuje </w:t>
      </w:r>
      <w:r w:rsidR="00BE7392">
        <w:rPr>
          <w:rFonts w:ascii="Calibri" w:hAnsi="Calibri" w:cs="Calibri"/>
          <w:bCs/>
          <w:sz w:val="24"/>
        </w:rPr>
        <w:t>v</w:t>
      </w:r>
      <w:r w:rsidR="00BE7392" w:rsidRPr="00632AC5">
        <w:rPr>
          <w:rFonts w:ascii="Calibri" w:hAnsi="Calibri" w:cs="Calibri"/>
          <w:bCs/>
          <w:sz w:val="24"/>
        </w:rPr>
        <w:t> působnosti MPSV</w:t>
      </w:r>
      <w:r w:rsidR="00BE7392">
        <w:rPr>
          <w:rFonts w:ascii="Calibri" w:hAnsi="Calibri" w:cs="Calibri"/>
          <w:bCs/>
          <w:sz w:val="24"/>
        </w:rPr>
        <w:t xml:space="preserve"> </w:t>
      </w:r>
      <w:r w:rsidR="009A3253" w:rsidRPr="00632AC5">
        <w:rPr>
          <w:rFonts w:ascii="Calibri" w:hAnsi="Calibri" w:cs="Calibri"/>
          <w:bCs/>
          <w:sz w:val="24"/>
        </w:rPr>
        <w:t>Česká správa sociálního zabezpečení</w:t>
      </w:r>
      <w:r w:rsidR="009A3253" w:rsidRPr="00632AC5">
        <w:rPr>
          <w:rFonts w:ascii="Calibri" w:eastAsia="Calibri" w:hAnsi="Calibri" w:cs="Calibri"/>
          <w:sz w:val="24"/>
          <w:lang w:eastAsia="cs-CZ"/>
        </w:rPr>
        <w:t xml:space="preserve"> (dále také „ČSSZ“).</w:t>
      </w:r>
    </w:p>
    <w:p w:rsidR="00557B04" w:rsidRPr="00632AC5" w:rsidRDefault="00557B04" w:rsidP="006F18A2">
      <w:pPr>
        <w:ind w:firstLine="0"/>
        <w:rPr>
          <w:rFonts w:ascii="Calibri" w:hAnsi="Calibri" w:cs="Calibri"/>
          <w:bCs/>
          <w:sz w:val="24"/>
        </w:rPr>
      </w:pPr>
    </w:p>
    <w:p w:rsidR="008E7F0F" w:rsidRPr="00632AC5" w:rsidRDefault="006E7B53" w:rsidP="006E7B53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b/>
          <w:sz w:val="24"/>
        </w:rPr>
        <w:t>Ministerstvo obrany</w:t>
      </w:r>
      <w:r w:rsidR="009F710F" w:rsidRPr="00632AC5">
        <w:rPr>
          <w:rFonts w:ascii="Calibri" w:hAnsi="Calibri" w:cs="Calibri"/>
          <w:b/>
          <w:sz w:val="24"/>
        </w:rPr>
        <w:t xml:space="preserve"> </w:t>
      </w:r>
      <w:r w:rsidR="009F710F" w:rsidRPr="00632AC5">
        <w:rPr>
          <w:rFonts w:ascii="Calibri" w:hAnsi="Calibri" w:cs="Calibri"/>
          <w:color w:val="000000"/>
          <w:sz w:val="24"/>
        </w:rPr>
        <w:t xml:space="preserve">(dále </w:t>
      </w:r>
      <w:r w:rsidR="00BE7392">
        <w:rPr>
          <w:rFonts w:ascii="Calibri" w:hAnsi="Calibri" w:cs="Calibri"/>
          <w:color w:val="000000"/>
          <w:sz w:val="24"/>
        </w:rPr>
        <w:t>jen</w:t>
      </w:r>
      <w:r w:rsidR="00BE7392" w:rsidRPr="00632AC5">
        <w:rPr>
          <w:rFonts w:ascii="Calibri" w:hAnsi="Calibri" w:cs="Calibri"/>
          <w:color w:val="000000"/>
          <w:sz w:val="24"/>
        </w:rPr>
        <w:t xml:space="preserve"> </w:t>
      </w:r>
      <w:r w:rsidR="009F710F" w:rsidRPr="00632AC5">
        <w:rPr>
          <w:rFonts w:ascii="Calibri" w:hAnsi="Calibri" w:cs="Calibri"/>
          <w:color w:val="000000"/>
          <w:sz w:val="24"/>
        </w:rPr>
        <w:t xml:space="preserve">„MO“) </w:t>
      </w:r>
      <w:r w:rsidRPr="00632AC5">
        <w:rPr>
          <w:rFonts w:ascii="Calibri" w:hAnsi="Calibri" w:cs="Calibri"/>
          <w:sz w:val="24"/>
        </w:rPr>
        <w:t xml:space="preserve">je </w:t>
      </w:r>
      <w:r w:rsidR="00265AFC" w:rsidRPr="00632AC5">
        <w:rPr>
          <w:rFonts w:ascii="Calibri" w:hAnsi="Calibri" w:cs="Calibri"/>
          <w:sz w:val="24"/>
        </w:rPr>
        <w:t xml:space="preserve">rovněž </w:t>
      </w:r>
      <w:r w:rsidRPr="00632AC5">
        <w:rPr>
          <w:rFonts w:ascii="Calibri" w:hAnsi="Calibri" w:cs="Calibri"/>
          <w:sz w:val="24"/>
        </w:rPr>
        <w:t>orgánem sociálního zabezpečení</w:t>
      </w:r>
      <w:r w:rsidR="0007437F" w:rsidRPr="00632AC5">
        <w:rPr>
          <w:rFonts w:ascii="Calibri" w:hAnsi="Calibri" w:cs="Calibri"/>
          <w:sz w:val="24"/>
        </w:rPr>
        <w:t>, a to</w:t>
      </w:r>
      <w:r w:rsidRPr="00632AC5">
        <w:rPr>
          <w:rFonts w:ascii="Calibri" w:hAnsi="Calibri" w:cs="Calibri"/>
          <w:sz w:val="24"/>
        </w:rPr>
        <w:t xml:space="preserve"> </w:t>
      </w:r>
      <w:r w:rsidR="008E7F0F" w:rsidRPr="00632AC5">
        <w:rPr>
          <w:rFonts w:ascii="Calibri" w:hAnsi="Calibri" w:cs="Calibri"/>
          <w:sz w:val="24"/>
        </w:rPr>
        <w:t>v souvislosti se zaměstnáváním vojáků z</w:t>
      </w:r>
      <w:r w:rsidR="00BC0CCA" w:rsidRPr="00632AC5">
        <w:rPr>
          <w:rFonts w:ascii="Calibri" w:hAnsi="Calibri" w:cs="Calibri"/>
          <w:sz w:val="24"/>
        </w:rPr>
        <w:t> </w:t>
      </w:r>
      <w:r w:rsidR="008E7F0F" w:rsidRPr="00632AC5">
        <w:rPr>
          <w:rFonts w:ascii="Calibri" w:hAnsi="Calibri" w:cs="Calibri"/>
          <w:sz w:val="24"/>
        </w:rPr>
        <w:t>povolání</w:t>
      </w:r>
      <w:r w:rsidR="00BC0CCA" w:rsidRPr="00632AC5">
        <w:rPr>
          <w:rFonts w:ascii="Calibri" w:hAnsi="Calibri" w:cs="Calibri"/>
          <w:sz w:val="24"/>
        </w:rPr>
        <w:t xml:space="preserve">, za které </w:t>
      </w:r>
      <w:r w:rsidR="008E7F0F" w:rsidRPr="00632AC5">
        <w:rPr>
          <w:rFonts w:ascii="Calibri" w:hAnsi="Calibri" w:cs="Calibri"/>
          <w:sz w:val="24"/>
        </w:rPr>
        <w:t>vybírá pojistné</w:t>
      </w:r>
      <w:r w:rsidRPr="00632AC5">
        <w:rPr>
          <w:rFonts w:ascii="Calibri" w:hAnsi="Calibri" w:cs="Calibri"/>
          <w:sz w:val="24"/>
        </w:rPr>
        <w:t xml:space="preserve"> na důchodové pojištění</w:t>
      </w:r>
      <w:r w:rsidR="00BC0CCA" w:rsidRPr="00632AC5">
        <w:rPr>
          <w:rFonts w:ascii="Calibri" w:hAnsi="Calibri" w:cs="Calibri"/>
          <w:sz w:val="24"/>
        </w:rPr>
        <w:t>,</w:t>
      </w:r>
      <w:r w:rsidRPr="00632AC5">
        <w:rPr>
          <w:rFonts w:ascii="Calibri" w:hAnsi="Calibri" w:cs="Calibri"/>
          <w:sz w:val="24"/>
        </w:rPr>
        <w:t xml:space="preserve"> rozhoduje o dávkách důchodového pojištění</w:t>
      </w:r>
      <w:r w:rsidR="00265AFC" w:rsidRPr="00632AC5">
        <w:rPr>
          <w:rFonts w:ascii="Calibri" w:hAnsi="Calibri" w:cs="Calibri"/>
          <w:sz w:val="24"/>
        </w:rPr>
        <w:t xml:space="preserve"> a </w:t>
      </w:r>
      <w:r w:rsidRPr="00632AC5">
        <w:rPr>
          <w:rFonts w:ascii="Calibri" w:hAnsi="Calibri" w:cs="Calibri"/>
          <w:sz w:val="24"/>
        </w:rPr>
        <w:t xml:space="preserve">provádí </w:t>
      </w:r>
      <w:r w:rsidR="00265AFC" w:rsidRPr="00632AC5">
        <w:rPr>
          <w:rFonts w:ascii="Calibri" w:hAnsi="Calibri" w:cs="Calibri"/>
          <w:sz w:val="24"/>
        </w:rPr>
        <w:t>jejich výpočet i</w:t>
      </w:r>
      <w:r w:rsidR="008E7F0F" w:rsidRPr="00632AC5">
        <w:rPr>
          <w:rFonts w:ascii="Calibri" w:hAnsi="Calibri" w:cs="Calibri"/>
          <w:sz w:val="24"/>
        </w:rPr>
        <w:t xml:space="preserve"> výplatu.</w:t>
      </w:r>
    </w:p>
    <w:p w:rsidR="008E7F0F" w:rsidRPr="00632AC5" w:rsidRDefault="008E7F0F" w:rsidP="006E7B53">
      <w:pPr>
        <w:ind w:firstLine="0"/>
        <w:rPr>
          <w:rFonts w:ascii="Calibri" w:hAnsi="Calibri" w:cs="Calibri"/>
          <w:sz w:val="24"/>
        </w:rPr>
      </w:pPr>
    </w:p>
    <w:p w:rsidR="003F40E7" w:rsidRPr="00632AC5" w:rsidRDefault="008E7F0F" w:rsidP="003F40E7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b/>
          <w:sz w:val="24"/>
        </w:rPr>
        <w:t>Ministerstvo vnitra</w:t>
      </w:r>
      <w:r w:rsidR="009F710F" w:rsidRPr="00632AC5">
        <w:rPr>
          <w:rFonts w:ascii="Calibri" w:hAnsi="Calibri" w:cs="Calibri"/>
          <w:b/>
          <w:sz w:val="24"/>
        </w:rPr>
        <w:t xml:space="preserve"> </w:t>
      </w:r>
      <w:r w:rsidR="009F710F" w:rsidRPr="00632AC5">
        <w:rPr>
          <w:rFonts w:ascii="Calibri" w:hAnsi="Calibri" w:cs="Calibri"/>
          <w:color w:val="000000"/>
          <w:sz w:val="24"/>
        </w:rPr>
        <w:t xml:space="preserve">(dále </w:t>
      </w:r>
      <w:r w:rsidR="00BE7392">
        <w:rPr>
          <w:rFonts w:ascii="Calibri" w:hAnsi="Calibri" w:cs="Calibri"/>
          <w:color w:val="000000"/>
          <w:sz w:val="24"/>
        </w:rPr>
        <w:t>jen</w:t>
      </w:r>
      <w:r w:rsidR="00BE7392" w:rsidRPr="00632AC5">
        <w:rPr>
          <w:rFonts w:ascii="Calibri" w:hAnsi="Calibri" w:cs="Calibri"/>
          <w:color w:val="000000"/>
          <w:sz w:val="24"/>
        </w:rPr>
        <w:t xml:space="preserve"> </w:t>
      </w:r>
      <w:r w:rsidR="009F710F" w:rsidRPr="00632AC5">
        <w:rPr>
          <w:rFonts w:ascii="Calibri" w:hAnsi="Calibri" w:cs="Calibri"/>
          <w:color w:val="000000"/>
          <w:sz w:val="24"/>
        </w:rPr>
        <w:t>„MV“)</w:t>
      </w:r>
      <w:r w:rsidRPr="00632AC5">
        <w:rPr>
          <w:rFonts w:ascii="Calibri" w:hAnsi="Calibri" w:cs="Calibri"/>
          <w:sz w:val="24"/>
        </w:rPr>
        <w:t xml:space="preserve"> je</w:t>
      </w:r>
      <w:r w:rsidR="0007437F" w:rsidRPr="00632AC5">
        <w:rPr>
          <w:rFonts w:ascii="Calibri" w:hAnsi="Calibri" w:cs="Calibri"/>
          <w:sz w:val="24"/>
        </w:rPr>
        <w:t xml:space="preserve"> dalším </w:t>
      </w:r>
      <w:r w:rsidRPr="00632AC5">
        <w:rPr>
          <w:rFonts w:ascii="Calibri" w:hAnsi="Calibri" w:cs="Calibri"/>
          <w:sz w:val="24"/>
        </w:rPr>
        <w:t>orgán</w:t>
      </w:r>
      <w:r w:rsidR="00BC0CCA" w:rsidRPr="00632AC5">
        <w:rPr>
          <w:rFonts w:ascii="Calibri" w:hAnsi="Calibri" w:cs="Calibri"/>
          <w:sz w:val="24"/>
        </w:rPr>
        <w:t>em</w:t>
      </w:r>
      <w:r w:rsidRPr="00632AC5">
        <w:rPr>
          <w:rFonts w:ascii="Calibri" w:hAnsi="Calibri" w:cs="Calibri"/>
          <w:sz w:val="24"/>
        </w:rPr>
        <w:t xml:space="preserve"> sociálního zabezpečení</w:t>
      </w:r>
      <w:r w:rsidR="00B93F08">
        <w:rPr>
          <w:rFonts w:ascii="Calibri" w:hAnsi="Calibri" w:cs="Calibri"/>
          <w:sz w:val="24"/>
        </w:rPr>
        <w:t xml:space="preserve"> </w:t>
      </w:r>
      <w:r w:rsidR="002961B0" w:rsidRPr="00632AC5">
        <w:rPr>
          <w:rFonts w:ascii="Calibri" w:hAnsi="Calibri" w:cs="Calibri"/>
          <w:sz w:val="24"/>
        </w:rPr>
        <w:t>v souvislosti se zaměstnáváním příslušníků Policie ČR a Hasičského záchranného sboru</w:t>
      </w:r>
      <w:r w:rsidR="00C4191C" w:rsidRPr="00632AC5">
        <w:rPr>
          <w:rFonts w:ascii="Calibri" w:hAnsi="Calibri" w:cs="Calibri"/>
          <w:sz w:val="24"/>
        </w:rPr>
        <w:t xml:space="preserve"> ČR</w:t>
      </w:r>
      <w:r w:rsidR="002961B0" w:rsidRPr="00632AC5">
        <w:rPr>
          <w:rFonts w:ascii="Calibri" w:hAnsi="Calibri" w:cs="Calibri"/>
          <w:sz w:val="24"/>
        </w:rPr>
        <w:t>, za které vybírá pojistné na důchodové pojištění</w:t>
      </w:r>
      <w:r w:rsidR="00BE7392">
        <w:rPr>
          <w:rFonts w:ascii="Calibri" w:hAnsi="Calibri" w:cs="Calibri"/>
          <w:sz w:val="24"/>
        </w:rPr>
        <w:t>,</w:t>
      </w:r>
      <w:r w:rsidR="00B93F08">
        <w:rPr>
          <w:rFonts w:ascii="Calibri" w:hAnsi="Calibri" w:cs="Calibri"/>
          <w:sz w:val="24"/>
        </w:rPr>
        <w:t xml:space="preserve"> a</w:t>
      </w:r>
      <w:r w:rsidR="003F40E7" w:rsidRPr="00632AC5">
        <w:rPr>
          <w:rFonts w:ascii="Calibri" w:hAnsi="Calibri" w:cs="Calibri"/>
          <w:sz w:val="24"/>
        </w:rPr>
        <w:t xml:space="preserve"> </w:t>
      </w:r>
      <w:r w:rsidR="00B93F08">
        <w:rPr>
          <w:rFonts w:ascii="Calibri" w:hAnsi="Calibri" w:cs="Calibri"/>
          <w:sz w:val="24"/>
        </w:rPr>
        <w:t>r</w:t>
      </w:r>
      <w:r w:rsidR="003F40E7" w:rsidRPr="00632AC5">
        <w:rPr>
          <w:rFonts w:ascii="Calibri" w:hAnsi="Calibri" w:cs="Calibri"/>
          <w:sz w:val="24"/>
        </w:rPr>
        <w:t xml:space="preserve">ozhoduje o dávkách důchodového pojištění </w:t>
      </w:r>
      <w:r w:rsidR="00B93F08">
        <w:rPr>
          <w:rFonts w:ascii="Calibri" w:hAnsi="Calibri" w:cs="Calibri"/>
          <w:sz w:val="24"/>
        </w:rPr>
        <w:t xml:space="preserve">(také </w:t>
      </w:r>
      <w:r w:rsidR="00C4191C" w:rsidRPr="00632AC5">
        <w:rPr>
          <w:rFonts w:ascii="Calibri" w:hAnsi="Calibri" w:cs="Calibri"/>
          <w:sz w:val="24"/>
        </w:rPr>
        <w:t>u</w:t>
      </w:r>
      <w:r w:rsidR="00B0720C">
        <w:rPr>
          <w:rFonts w:ascii="Calibri" w:hAnsi="Calibri" w:cs="Calibri"/>
          <w:sz w:val="24"/>
        </w:rPr>
        <w:t> </w:t>
      </w:r>
      <w:r w:rsidR="00C4191C" w:rsidRPr="00632AC5">
        <w:rPr>
          <w:rFonts w:ascii="Calibri" w:hAnsi="Calibri" w:cs="Calibri"/>
          <w:sz w:val="24"/>
        </w:rPr>
        <w:t xml:space="preserve">příslušníků </w:t>
      </w:r>
      <w:proofErr w:type="spellStart"/>
      <w:r w:rsidR="00C4191C" w:rsidRPr="00632AC5">
        <w:rPr>
          <w:rFonts w:ascii="Calibri" w:hAnsi="Calibri" w:cs="Calibri"/>
          <w:sz w:val="24"/>
        </w:rPr>
        <w:t>GIBS</w:t>
      </w:r>
      <w:proofErr w:type="spellEnd"/>
      <w:r w:rsidR="00C4191C" w:rsidRPr="00632AC5">
        <w:rPr>
          <w:rFonts w:ascii="Calibri" w:hAnsi="Calibri" w:cs="Calibri"/>
          <w:sz w:val="24"/>
        </w:rPr>
        <w:t xml:space="preserve"> a BIS</w:t>
      </w:r>
      <w:r w:rsidR="00B93F08">
        <w:rPr>
          <w:rFonts w:ascii="Calibri" w:hAnsi="Calibri" w:cs="Calibri"/>
          <w:sz w:val="24"/>
        </w:rPr>
        <w:t xml:space="preserve">) </w:t>
      </w:r>
      <w:r w:rsidR="003F40E7" w:rsidRPr="00632AC5">
        <w:rPr>
          <w:rFonts w:ascii="Calibri" w:hAnsi="Calibri" w:cs="Calibri"/>
          <w:sz w:val="24"/>
        </w:rPr>
        <w:t>a provádí jejich výpočet i výplatu.</w:t>
      </w:r>
    </w:p>
    <w:p w:rsidR="008E7F0F" w:rsidRPr="00632AC5" w:rsidRDefault="008E7F0F" w:rsidP="006E7B53">
      <w:pPr>
        <w:ind w:firstLine="0"/>
        <w:rPr>
          <w:rFonts w:ascii="Calibri" w:hAnsi="Calibri" w:cs="Calibri"/>
          <w:sz w:val="24"/>
        </w:rPr>
      </w:pPr>
    </w:p>
    <w:p w:rsidR="00265AFC" w:rsidRPr="00632AC5" w:rsidRDefault="00AE2866" w:rsidP="00AE2866">
      <w:pPr>
        <w:ind w:firstLine="0"/>
        <w:rPr>
          <w:rFonts w:ascii="Calibri" w:eastAsia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b/>
          <w:bCs/>
          <w:sz w:val="24"/>
        </w:rPr>
        <w:t>Ministerstvo financí</w:t>
      </w:r>
      <w:r w:rsidRPr="00632AC5">
        <w:rPr>
          <w:rFonts w:ascii="Calibri" w:eastAsia="Calibri" w:hAnsi="Calibri" w:cs="Calibri"/>
          <w:sz w:val="24"/>
        </w:rPr>
        <w:t xml:space="preserve"> </w:t>
      </w:r>
      <w:r w:rsidR="00363178" w:rsidRPr="00632AC5">
        <w:rPr>
          <w:rFonts w:ascii="Calibri" w:hAnsi="Calibri" w:cs="Calibri"/>
          <w:noProof/>
          <w:color w:val="000000"/>
          <w:sz w:val="24"/>
        </w:rPr>
        <w:t xml:space="preserve">(dále také „MF“) </w:t>
      </w:r>
      <w:r w:rsidR="00265AFC" w:rsidRPr="00632AC5">
        <w:rPr>
          <w:rFonts w:ascii="Calibri" w:eastAsia="Calibri" w:hAnsi="Calibri" w:cs="Calibri"/>
          <w:sz w:val="24"/>
          <w:lang w:eastAsia="cs-CZ"/>
        </w:rPr>
        <w:t>vykonává na základě zákona č. 218/2000 Sb.</w:t>
      </w:r>
      <w:r w:rsidR="00A7214A" w:rsidRPr="00632AC5">
        <w:rPr>
          <w:rStyle w:val="Znakapoznpodarou"/>
          <w:rFonts w:ascii="Calibri" w:eastAsia="Calibri" w:hAnsi="Calibri" w:cs="Calibri"/>
          <w:sz w:val="24"/>
          <w:lang w:eastAsia="cs-CZ"/>
        </w:rPr>
        <w:footnoteReference w:id="6"/>
      </w:r>
      <w:r w:rsidR="00265AFC" w:rsidRPr="00632AC5">
        <w:rPr>
          <w:rFonts w:ascii="Calibri" w:eastAsia="Calibri" w:hAnsi="Calibri" w:cs="Calibri"/>
          <w:sz w:val="24"/>
          <w:lang w:eastAsia="cs-CZ"/>
        </w:rPr>
        <w:t xml:space="preserve"> správu státních finančních aktiv</w:t>
      </w:r>
      <w:r w:rsidR="005149C2" w:rsidRPr="00632AC5">
        <w:rPr>
          <w:rFonts w:ascii="Calibri" w:eastAsia="Calibri" w:hAnsi="Calibri" w:cs="Calibri"/>
          <w:sz w:val="24"/>
          <w:lang w:eastAsia="cs-CZ"/>
        </w:rPr>
        <w:t xml:space="preserve"> (</w:t>
      </w:r>
      <w:proofErr w:type="spellStart"/>
      <w:r w:rsidR="005149C2" w:rsidRPr="00632AC5">
        <w:rPr>
          <w:rFonts w:ascii="Calibri" w:eastAsia="Calibri" w:hAnsi="Calibri" w:cs="Calibri"/>
          <w:sz w:val="24"/>
          <w:lang w:eastAsia="cs-CZ"/>
        </w:rPr>
        <w:t>SFA</w:t>
      </w:r>
      <w:proofErr w:type="spellEnd"/>
      <w:r w:rsidR="005149C2" w:rsidRPr="00632AC5">
        <w:rPr>
          <w:rFonts w:ascii="Calibri" w:eastAsia="Calibri" w:hAnsi="Calibri" w:cs="Calibri"/>
          <w:sz w:val="24"/>
          <w:lang w:eastAsia="cs-CZ"/>
        </w:rPr>
        <w:t>)</w:t>
      </w:r>
      <w:r w:rsidR="00265AFC" w:rsidRPr="00632AC5">
        <w:rPr>
          <w:rFonts w:ascii="Calibri" w:eastAsia="Calibri" w:hAnsi="Calibri" w:cs="Calibri"/>
          <w:sz w:val="24"/>
          <w:lang w:eastAsia="cs-CZ"/>
        </w:rPr>
        <w:t xml:space="preserve">, jejichž součástí je </w:t>
      </w:r>
      <w:r w:rsidR="00BE7392" w:rsidRPr="00F80CB2">
        <w:rPr>
          <w:rFonts w:ascii="Calibri" w:eastAsia="Calibri" w:hAnsi="Calibri" w:cs="Calibri"/>
          <w:i/>
          <w:sz w:val="24"/>
          <w:lang w:eastAsia="cs-CZ"/>
        </w:rPr>
        <w:t>Z</w:t>
      </w:r>
      <w:r w:rsidR="00265AFC" w:rsidRPr="00F80CB2">
        <w:rPr>
          <w:rFonts w:ascii="Calibri" w:eastAsia="Calibri" w:hAnsi="Calibri" w:cs="Calibri"/>
          <w:i/>
          <w:sz w:val="24"/>
          <w:lang w:eastAsia="cs-CZ"/>
        </w:rPr>
        <w:t>vláštní účet</w:t>
      </w:r>
      <w:r w:rsidR="00ED645B" w:rsidRPr="00F80CB2">
        <w:rPr>
          <w:rFonts w:ascii="Calibri" w:eastAsia="Calibri" w:hAnsi="Calibri" w:cs="Calibri"/>
          <w:i/>
          <w:sz w:val="24"/>
          <w:lang w:eastAsia="cs-CZ"/>
        </w:rPr>
        <w:t xml:space="preserve"> rezervy pro důchodovou reformu</w:t>
      </w:r>
      <w:r w:rsidR="00BF47FC" w:rsidRPr="00632AC5">
        <w:rPr>
          <w:rFonts w:ascii="Calibri" w:eastAsia="Calibri" w:hAnsi="Calibri" w:cs="Calibri"/>
          <w:sz w:val="24"/>
          <w:lang w:eastAsia="cs-CZ"/>
        </w:rPr>
        <w:t xml:space="preserve"> </w:t>
      </w:r>
      <w:r w:rsidR="00BF47FC" w:rsidRPr="00632AC5">
        <w:rPr>
          <w:rFonts w:ascii="Calibri" w:hAnsi="Calibri" w:cs="Calibri"/>
          <w:noProof/>
          <w:color w:val="000000"/>
          <w:sz w:val="24"/>
        </w:rPr>
        <w:t>(dále také „ZÚRDR“)</w:t>
      </w:r>
      <w:r w:rsidR="00BF47FC" w:rsidRPr="00632AC5">
        <w:rPr>
          <w:rFonts w:ascii="Calibri" w:eastAsia="Calibri" w:hAnsi="Calibri" w:cs="Calibri"/>
          <w:color w:val="000000"/>
          <w:sz w:val="24"/>
        </w:rPr>
        <w:t>.</w:t>
      </w:r>
      <w:r w:rsidR="001F40C8" w:rsidRPr="00632AC5">
        <w:rPr>
          <w:rFonts w:ascii="Calibri" w:eastAsia="Calibri" w:hAnsi="Calibri" w:cs="Calibri"/>
          <w:sz w:val="24"/>
          <w:lang w:eastAsia="cs-CZ"/>
        </w:rPr>
        <w:t xml:space="preserve"> </w:t>
      </w:r>
      <w:r w:rsidR="00574487">
        <w:rPr>
          <w:rFonts w:ascii="Calibri" w:eastAsia="Calibri" w:hAnsi="Calibri" w:cs="Calibri"/>
          <w:sz w:val="24"/>
          <w:lang w:eastAsia="cs-CZ"/>
        </w:rPr>
        <w:t>V </w:t>
      </w:r>
      <w:r w:rsidR="00BD6C1D" w:rsidRPr="00632AC5">
        <w:rPr>
          <w:rFonts w:ascii="Calibri" w:eastAsia="Calibri" w:hAnsi="Calibri" w:cs="Calibri"/>
          <w:sz w:val="24"/>
          <w:lang w:eastAsia="cs-CZ"/>
        </w:rPr>
        <w:t>příjmech</w:t>
      </w:r>
      <w:r w:rsidR="001F40C8" w:rsidRPr="00632AC5">
        <w:rPr>
          <w:rFonts w:ascii="Calibri" w:eastAsia="Calibri" w:hAnsi="Calibri" w:cs="Calibri"/>
          <w:sz w:val="24"/>
          <w:lang w:eastAsia="cs-CZ"/>
        </w:rPr>
        <w:t> kapitol</w:t>
      </w:r>
      <w:r w:rsidR="00BD6C1D" w:rsidRPr="00632AC5">
        <w:rPr>
          <w:rFonts w:ascii="Calibri" w:eastAsia="Calibri" w:hAnsi="Calibri" w:cs="Calibri"/>
          <w:sz w:val="24"/>
          <w:lang w:eastAsia="cs-CZ"/>
        </w:rPr>
        <w:t>y</w:t>
      </w:r>
      <w:r w:rsidR="001F40C8" w:rsidRPr="00632AC5">
        <w:rPr>
          <w:rFonts w:ascii="Calibri" w:eastAsia="Calibri" w:hAnsi="Calibri" w:cs="Calibri"/>
          <w:sz w:val="24"/>
          <w:lang w:eastAsia="cs-CZ"/>
        </w:rPr>
        <w:t xml:space="preserve"> MF jsou zahrnuty příjmy</w:t>
      </w:r>
      <w:r w:rsidR="00BE7392">
        <w:rPr>
          <w:rFonts w:ascii="Calibri" w:eastAsia="Calibri" w:hAnsi="Calibri" w:cs="Calibri"/>
          <w:sz w:val="24"/>
          <w:lang w:eastAsia="cs-CZ"/>
        </w:rPr>
        <w:t>, které ve formě</w:t>
      </w:r>
      <w:r w:rsidR="001F40C8" w:rsidRPr="00632AC5">
        <w:rPr>
          <w:rFonts w:ascii="Calibri" w:eastAsia="Calibri" w:hAnsi="Calibri" w:cs="Calibri"/>
          <w:sz w:val="24"/>
          <w:lang w:eastAsia="cs-CZ"/>
        </w:rPr>
        <w:t xml:space="preserve"> pojistného na důchodové pojištění vybírá </w:t>
      </w:r>
      <w:r w:rsidR="00BF47FC" w:rsidRPr="00632AC5">
        <w:rPr>
          <w:rFonts w:ascii="Calibri" w:eastAsia="Calibri" w:hAnsi="Calibri" w:cs="Calibri"/>
          <w:sz w:val="24"/>
          <w:lang w:eastAsia="cs-CZ"/>
        </w:rPr>
        <w:t>Generální ředitelství cel</w:t>
      </w:r>
      <w:r w:rsidR="001F40C8" w:rsidRPr="00632AC5">
        <w:rPr>
          <w:rFonts w:ascii="Calibri" w:eastAsia="Calibri" w:hAnsi="Calibri" w:cs="Calibri"/>
          <w:sz w:val="24"/>
          <w:lang w:eastAsia="cs-CZ"/>
        </w:rPr>
        <w:t xml:space="preserve"> za příslušníky Celní správy. Výdaje na </w:t>
      </w:r>
      <w:r w:rsidR="005149C2" w:rsidRPr="00632AC5">
        <w:rPr>
          <w:rFonts w:ascii="Calibri" w:eastAsia="Calibri" w:hAnsi="Calibri" w:cs="Calibri"/>
          <w:sz w:val="24"/>
          <w:lang w:eastAsia="cs-CZ"/>
        </w:rPr>
        <w:t>dávky důchodového pojištění</w:t>
      </w:r>
      <w:r w:rsidR="00632AC5">
        <w:rPr>
          <w:rFonts w:ascii="Calibri" w:eastAsia="Calibri" w:hAnsi="Calibri" w:cs="Calibri"/>
          <w:sz w:val="24"/>
          <w:lang w:eastAsia="cs-CZ"/>
        </w:rPr>
        <w:t xml:space="preserve"> </w:t>
      </w:r>
      <w:r w:rsidR="001F40C8" w:rsidRPr="00632AC5">
        <w:rPr>
          <w:rFonts w:ascii="Calibri" w:eastAsia="Calibri" w:hAnsi="Calibri" w:cs="Calibri"/>
          <w:sz w:val="24"/>
          <w:lang w:eastAsia="cs-CZ"/>
        </w:rPr>
        <w:t>pro tyto osoby jsou zahrnuty v kapitole MPSV, přičemž o</w:t>
      </w:r>
      <w:r w:rsidR="000B2E48">
        <w:rPr>
          <w:rFonts w:ascii="Calibri" w:eastAsia="Calibri" w:hAnsi="Calibri" w:cs="Calibri"/>
          <w:sz w:val="24"/>
          <w:lang w:eastAsia="cs-CZ"/>
        </w:rPr>
        <w:t> </w:t>
      </w:r>
      <w:r w:rsidR="001F40C8" w:rsidRPr="00632AC5">
        <w:rPr>
          <w:rFonts w:ascii="Calibri" w:eastAsia="Calibri" w:hAnsi="Calibri" w:cs="Calibri"/>
          <w:sz w:val="24"/>
          <w:lang w:eastAsia="cs-CZ"/>
        </w:rPr>
        <w:t>jejich nároku rozhoduje</w:t>
      </w:r>
      <w:r w:rsidR="00BE7392">
        <w:rPr>
          <w:rFonts w:ascii="Calibri" w:eastAsia="Calibri" w:hAnsi="Calibri" w:cs="Calibri"/>
          <w:sz w:val="24"/>
          <w:lang w:eastAsia="cs-CZ"/>
        </w:rPr>
        <w:t xml:space="preserve"> a</w:t>
      </w:r>
      <w:r w:rsidR="001F40C8" w:rsidRPr="00632AC5">
        <w:rPr>
          <w:rFonts w:ascii="Calibri" w:eastAsia="Calibri" w:hAnsi="Calibri" w:cs="Calibri"/>
          <w:sz w:val="24"/>
          <w:lang w:eastAsia="cs-CZ"/>
        </w:rPr>
        <w:t xml:space="preserve"> výpočet</w:t>
      </w:r>
      <w:r w:rsidR="00BE7392">
        <w:rPr>
          <w:rFonts w:ascii="Calibri" w:eastAsia="Calibri" w:hAnsi="Calibri" w:cs="Calibri"/>
          <w:sz w:val="24"/>
          <w:lang w:eastAsia="cs-CZ"/>
        </w:rPr>
        <w:t xml:space="preserve"> dávek</w:t>
      </w:r>
      <w:r w:rsidR="001F40C8" w:rsidRPr="00632AC5">
        <w:rPr>
          <w:rFonts w:ascii="Calibri" w:eastAsia="Calibri" w:hAnsi="Calibri" w:cs="Calibri"/>
          <w:sz w:val="24"/>
          <w:lang w:eastAsia="cs-CZ"/>
        </w:rPr>
        <w:t xml:space="preserve"> a jejich výplatu provádí</w:t>
      </w:r>
      <w:r w:rsidR="00ED645B" w:rsidRPr="00632AC5">
        <w:rPr>
          <w:rFonts w:ascii="Calibri" w:eastAsia="Calibri" w:hAnsi="Calibri" w:cs="Calibri"/>
          <w:sz w:val="24"/>
          <w:lang w:eastAsia="cs-CZ"/>
        </w:rPr>
        <w:t xml:space="preserve"> </w:t>
      </w:r>
      <w:r w:rsidR="00363178" w:rsidRPr="00632AC5">
        <w:rPr>
          <w:rFonts w:ascii="Calibri" w:eastAsia="Calibri" w:hAnsi="Calibri" w:cs="Calibri"/>
          <w:sz w:val="24"/>
          <w:lang w:eastAsia="cs-CZ"/>
        </w:rPr>
        <w:t>Č</w:t>
      </w:r>
      <w:r w:rsidR="009A3253" w:rsidRPr="00632AC5">
        <w:rPr>
          <w:rFonts w:ascii="Calibri" w:eastAsia="Calibri" w:hAnsi="Calibri" w:cs="Calibri"/>
          <w:sz w:val="24"/>
          <w:lang w:eastAsia="cs-CZ"/>
        </w:rPr>
        <w:t>SSZ.</w:t>
      </w:r>
    </w:p>
    <w:p w:rsidR="00BE7392" w:rsidRDefault="00BE7392" w:rsidP="00C4191C">
      <w:pPr>
        <w:ind w:firstLine="0"/>
        <w:rPr>
          <w:rFonts w:ascii="Calibri" w:hAnsi="Calibri" w:cs="Calibri"/>
          <w:sz w:val="24"/>
        </w:rPr>
      </w:pPr>
    </w:p>
    <w:p w:rsidR="00C4191C" w:rsidRDefault="00C4191C" w:rsidP="00C4191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Příjmy z pojistného </w:t>
      </w:r>
      <w:r w:rsidR="00396C2C" w:rsidRPr="00632AC5">
        <w:rPr>
          <w:rFonts w:ascii="Calibri" w:hAnsi="Calibri" w:cs="Calibri"/>
          <w:sz w:val="24"/>
        </w:rPr>
        <w:t>jsou v</w:t>
      </w:r>
      <w:r w:rsidR="005149C2" w:rsidRPr="00632AC5">
        <w:rPr>
          <w:rFonts w:ascii="Calibri" w:hAnsi="Calibri" w:cs="Calibri"/>
          <w:sz w:val="24"/>
        </w:rPr>
        <w:t>edle</w:t>
      </w:r>
      <w:r w:rsidR="00396C2C" w:rsidRPr="00632AC5">
        <w:rPr>
          <w:rFonts w:ascii="Calibri" w:hAnsi="Calibri" w:cs="Calibri"/>
          <w:sz w:val="24"/>
        </w:rPr>
        <w:t xml:space="preserve"> </w:t>
      </w:r>
      <w:r w:rsidR="00A7214A" w:rsidRPr="00632AC5">
        <w:rPr>
          <w:rFonts w:ascii="Calibri" w:hAnsi="Calibri" w:cs="Calibri"/>
          <w:sz w:val="24"/>
        </w:rPr>
        <w:t xml:space="preserve">kapitoly </w:t>
      </w:r>
      <w:r w:rsidR="00396C2C" w:rsidRPr="00632AC5">
        <w:rPr>
          <w:rFonts w:ascii="Calibri" w:hAnsi="Calibri" w:cs="Calibri"/>
          <w:sz w:val="24"/>
        </w:rPr>
        <w:t>MPSV zobrazeny</w:t>
      </w:r>
      <w:r w:rsidR="00C66494" w:rsidRP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v kapitolách MO, MV, MF (za G</w:t>
      </w:r>
      <w:r w:rsidR="005149C2" w:rsidRPr="00632AC5">
        <w:rPr>
          <w:rFonts w:ascii="Calibri" w:hAnsi="Calibri" w:cs="Calibri"/>
          <w:sz w:val="24"/>
        </w:rPr>
        <w:t>enerální ředitelství cel</w:t>
      </w:r>
      <w:r w:rsidRPr="00632AC5">
        <w:rPr>
          <w:rFonts w:ascii="Calibri" w:hAnsi="Calibri" w:cs="Calibri"/>
          <w:sz w:val="24"/>
        </w:rPr>
        <w:t xml:space="preserve">) </w:t>
      </w:r>
      <w:r w:rsidR="00C66494" w:rsidRPr="00632AC5">
        <w:rPr>
          <w:rFonts w:ascii="Calibri" w:hAnsi="Calibri" w:cs="Calibri"/>
          <w:sz w:val="24"/>
        </w:rPr>
        <w:t xml:space="preserve">a dále </w:t>
      </w:r>
      <w:r w:rsidR="002455E3" w:rsidRPr="00632AC5">
        <w:rPr>
          <w:rFonts w:ascii="Calibri" w:hAnsi="Calibri" w:cs="Calibri"/>
          <w:sz w:val="24"/>
        </w:rPr>
        <w:t>i v</w:t>
      </w:r>
      <w:r w:rsidR="00C66494" w:rsidRPr="00632AC5">
        <w:rPr>
          <w:rFonts w:ascii="Calibri" w:hAnsi="Calibri" w:cs="Calibri"/>
          <w:sz w:val="24"/>
        </w:rPr>
        <w:t xml:space="preserve"> kapitolách </w:t>
      </w:r>
      <w:r w:rsidR="00BE7392">
        <w:rPr>
          <w:rFonts w:ascii="Calibri" w:hAnsi="Calibri" w:cs="Calibri"/>
          <w:sz w:val="24"/>
        </w:rPr>
        <w:t>M</w:t>
      </w:r>
      <w:r w:rsidR="00C66494" w:rsidRPr="00632AC5">
        <w:rPr>
          <w:rFonts w:ascii="Calibri" w:hAnsi="Calibri" w:cs="Calibri"/>
          <w:sz w:val="24"/>
        </w:rPr>
        <w:t>inisterstva spravedlnosti (dále také „MS“)</w:t>
      </w:r>
      <w:r w:rsidR="005B386E" w:rsidRPr="00632AC5">
        <w:rPr>
          <w:rFonts w:ascii="Calibri" w:hAnsi="Calibri" w:cs="Calibri"/>
          <w:sz w:val="24"/>
        </w:rPr>
        <w:t xml:space="preserve">, </w:t>
      </w:r>
      <w:proofErr w:type="spellStart"/>
      <w:r w:rsidRPr="00632AC5">
        <w:rPr>
          <w:rFonts w:ascii="Calibri" w:hAnsi="Calibri" w:cs="Calibri"/>
          <w:sz w:val="24"/>
        </w:rPr>
        <w:t>GIBS</w:t>
      </w:r>
      <w:proofErr w:type="spellEnd"/>
      <w:r w:rsidRPr="00632AC5">
        <w:rPr>
          <w:rFonts w:ascii="Calibri" w:hAnsi="Calibri" w:cs="Calibri"/>
          <w:sz w:val="24"/>
        </w:rPr>
        <w:t xml:space="preserve"> a BIS</w:t>
      </w:r>
      <w:r w:rsidR="00396C2C" w:rsidRPr="00632AC5">
        <w:rPr>
          <w:rStyle w:val="Znakapoznpodarou"/>
          <w:rFonts w:ascii="Calibri" w:hAnsi="Calibri" w:cs="Calibri"/>
          <w:sz w:val="24"/>
        </w:rPr>
        <w:footnoteReference w:id="7"/>
      </w:r>
      <w:r w:rsidRPr="00632AC5">
        <w:rPr>
          <w:rFonts w:ascii="Calibri" w:hAnsi="Calibri" w:cs="Calibri"/>
          <w:sz w:val="24"/>
        </w:rPr>
        <w:t>. Výdaje na dávky důchodového pojištění jsou</w:t>
      </w:r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zahrnuty</w:t>
      </w:r>
      <w:r w:rsidR="00632AC5">
        <w:rPr>
          <w:rFonts w:ascii="Calibri" w:hAnsi="Calibri" w:cs="Calibri"/>
          <w:sz w:val="24"/>
        </w:rPr>
        <w:t xml:space="preserve"> </w:t>
      </w:r>
      <w:r w:rsidR="005149C2" w:rsidRPr="00632AC5">
        <w:rPr>
          <w:rFonts w:ascii="Calibri" w:hAnsi="Calibri" w:cs="Calibri"/>
          <w:sz w:val="24"/>
        </w:rPr>
        <w:t xml:space="preserve">pouze </w:t>
      </w:r>
      <w:r w:rsidR="00396C2C" w:rsidRPr="00632AC5">
        <w:rPr>
          <w:rFonts w:ascii="Calibri" w:hAnsi="Calibri" w:cs="Calibri"/>
          <w:sz w:val="24"/>
        </w:rPr>
        <w:t>v</w:t>
      </w:r>
      <w:r w:rsidR="005149C2" w:rsidRPr="00632AC5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kapitolách</w:t>
      </w:r>
      <w:r w:rsidR="005149C2" w:rsidRPr="00632AC5">
        <w:rPr>
          <w:rFonts w:ascii="Calibri" w:hAnsi="Calibri" w:cs="Calibri"/>
          <w:sz w:val="24"/>
        </w:rPr>
        <w:t xml:space="preserve"> MPSV,</w:t>
      </w:r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MO, MV a</w:t>
      </w:r>
      <w:r w:rsidR="00254A5D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MS.</w:t>
      </w:r>
      <w:r w:rsidR="00632AC5">
        <w:rPr>
          <w:rFonts w:ascii="Calibri" w:hAnsi="Calibri" w:cs="Calibri"/>
          <w:sz w:val="24"/>
        </w:rPr>
        <w:t xml:space="preserve"> </w:t>
      </w:r>
    </w:p>
    <w:p w:rsidR="00BE7392" w:rsidRPr="00632AC5" w:rsidRDefault="00BE7392" w:rsidP="00C4191C">
      <w:pPr>
        <w:ind w:firstLine="0"/>
        <w:rPr>
          <w:rFonts w:ascii="Calibri" w:hAnsi="Calibri" w:cs="Calibri"/>
          <w:sz w:val="24"/>
        </w:rPr>
      </w:pPr>
    </w:p>
    <w:p w:rsidR="002A706F" w:rsidRPr="00632AC5" w:rsidRDefault="00732E2E" w:rsidP="005F051D">
      <w:pPr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  <w:lang w:eastAsia="cs-CZ"/>
        </w:rPr>
        <w:t xml:space="preserve">Přehled </w:t>
      </w:r>
      <w:r w:rsidR="005F051D" w:rsidRPr="00632AC5">
        <w:rPr>
          <w:rFonts w:ascii="Calibri" w:hAnsi="Calibri" w:cs="Calibri"/>
          <w:sz w:val="24"/>
          <w:lang w:eastAsia="cs-CZ"/>
        </w:rPr>
        <w:t xml:space="preserve">příjmů z pojistného </w:t>
      </w:r>
      <w:r w:rsidR="009266A0">
        <w:rPr>
          <w:rFonts w:ascii="Calibri" w:hAnsi="Calibri" w:cs="Calibri"/>
          <w:sz w:val="24"/>
          <w:lang w:eastAsia="cs-CZ"/>
        </w:rPr>
        <w:t xml:space="preserve">na důchodové pojištění </w:t>
      </w:r>
      <w:r w:rsidR="005F051D" w:rsidRPr="00632AC5">
        <w:rPr>
          <w:rFonts w:ascii="Calibri" w:hAnsi="Calibri" w:cs="Calibri"/>
          <w:sz w:val="24"/>
          <w:lang w:eastAsia="cs-CZ"/>
        </w:rPr>
        <w:t xml:space="preserve">a </w:t>
      </w:r>
      <w:r w:rsidRPr="00632AC5">
        <w:rPr>
          <w:rFonts w:ascii="Calibri" w:hAnsi="Calibri" w:cs="Calibri"/>
          <w:sz w:val="24"/>
          <w:lang w:eastAsia="cs-CZ"/>
        </w:rPr>
        <w:t xml:space="preserve">přehled </w:t>
      </w:r>
      <w:r w:rsidR="005F051D" w:rsidRPr="00632AC5">
        <w:rPr>
          <w:rFonts w:ascii="Calibri" w:hAnsi="Calibri" w:cs="Calibri"/>
          <w:sz w:val="24"/>
          <w:lang w:eastAsia="cs-CZ"/>
        </w:rPr>
        <w:t>výdajů na dávky důchodového pojištění v letech 2009</w:t>
      </w:r>
      <w:r w:rsidR="004F1DD5" w:rsidRPr="00632AC5">
        <w:rPr>
          <w:rFonts w:ascii="Calibri" w:hAnsi="Calibri" w:cs="Calibri"/>
          <w:sz w:val="24"/>
          <w:lang w:eastAsia="cs-CZ"/>
        </w:rPr>
        <w:t>–</w:t>
      </w:r>
      <w:r w:rsidR="005F051D" w:rsidRPr="00632AC5">
        <w:rPr>
          <w:rFonts w:ascii="Calibri" w:hAnsi="Calibri" w:cs="Calibri"/>
          <w:sz w:val="24"/>
          <w:lang w:eastAsia="cs-CZ"/>
        </w:rPr>
        <w:t xml:space="preserve">2013 </w:t>
      </w:r>
      <w:r w:rsidRPr="00632AC5">
        <w:rPr>
          <w:rFonts w:ascii="Calibri" w:hAnsi="Calibri" w:cs="Calibri"/>
          <w:sz w:val="24"/>
          <w:lang w:eastAsia="cs-CZ"/>
        </w:rPr>
        <w:t xml:space="preserve">a </w:t>
      </w:r>
      <w:r w:rsidR="005F051D" w:rsidRPr="00632AC5">
        <w:rPr>
          <w:rFonts w:ascii="Calibri" w:hAnsi="Calibri" w:cs="Calibri"/>
          <w:sz w:val="24"/>
          <w:lang w:eastAsia="cs-CZ"/>
        </w:rPr>
        <w:t>procentní</w:t>
      </w:r>
      <w:r w:rsidRPr="00632AC5">
        <w:rPr>
          <w:rFonts w:ascii="Calibri" w:hAnsi="Calibri" w:cs="Calibri"/>
          <w:sz w:val="24"/>
          <w:lang w:eastAsia="cs-CZ"/>
        </w:rPr>
        <w:t xml:space="preserve"> vyjádření </w:t>
      </w:r>
      <w:r w:rsidR="005F051D" w:rsidRPr="00632AC5">
        <w:rPr>
          <w:rFonts w:ascii="Calibri" w:hAnsi="Calibri" w:cs="Calibri"/>
          <w:sz w:val="24"/>
          <w:lang w:eastAsia="cs-CZ"/>
        </w:rPr>
        <w:t>podíl</w:t>
      </w:r>
      <w:r w:rsidRPr="00632AC5">
        <w:rPr>
          <w:rFonts w:ascii="Calibri" w:hAnsi="Calibri" w:cs="Calibri"/>
          <w:sz w:val="24"/>
          <w:lang w:eastAsia="cs-CZ"/>
        </w:rPr>
        <w:t xml:space="preserve">u prostředků </w:t>
      </w:r>
      <w:r w:rsidR="005F051D" w:rsidRPr="00632AC5">
        <w:rPr>
          <w:rFonts w:ascii="Calibri" w:hAnsi="Calibri" w:cs="Calibri"/>
          <w:sz w:val="24"/>
          <w:lang w:eastAsia="cs-CZ"/>
        </w:rPr>
        <w:t xml:space="preserve">jednotlivých kapitol na celku </w:t>
      </w:r>
      <w:r w:rsidR="0083088D">
        <w:rPr>
          <w:rFonts w:ascii="Calibri" w:hAnsi="Calibri" w:cs="Calibri"/>
          <w:sz w:val="24"/>
          <w:lang w:eastAsia="cs-CZ"/>
        </w:rPr>
        <w:t xml:space="preserve">důchodového pojištění </w:t>
      </w:r>
      <w:r w:rsidRPr="00632AC5">
        <w:rPr>
          <w:rFonts w:ascii="Calibri" w:hAnsi="Calibri" w:cs="Calibri"/>
          <w:sz w:val="24"/>
          <w:lang w:eastAsia="cs-CZ"/>
        </w:rPr>
        <w:t>uvád</w:t>
      </w:r>
      <w:r w:rsidR="00BE7392">
        <w:rPr>
          <w:rFonts w:ascii="Calibri" w:hAnsi="Calibri" w:cs="Calibri"/>
          <w:sz w:val="24"/>
          <w:lang w:eastAsia="cs-CZ"/>
        </w:rPr>
        <w:t>ěj</w:t>
      </w:r>
      <w:r w:rsidRPr="00632AC5">
        <w:rPr>
          <w:rFonts w:ascii="Calibri" w:hAnsi="Calibri" w:cs="Calibri"/>
          <w:sz w:val="24"/>
          <w:lang w:eastAsia="cs-CZ"/>
        </w:rPr>
        <w:t xml:space="preserve">í </w:t>
      </w:r>
      <w:r w:rsidR="005F051D" w:rsidRPr="00632AC5">
        <w:rPr>
          <w:rFonts w:ascii="Calibri" w:hAnsi="Calibri" w:cs="Calibri"/>
          <w:sz w:val="24"/>
          <w:lang w:eastAsia="cs-CZ"/>
        </w:rPr>
        <w:t>následující tabulk</w:t>
      </w:r>
      <w:r w:rsidR="009266A0">
        <w:rPr>
          <w:rFonts w:ascii="Calibri" w:hAnsi="Calibri" w:cs="Calibri"/>
          <w:sz w:val="24"/>
          <w:lang w:eastAsia="cs-CZ"/>
        </w:rPr>
        <w:t>y</w:t>
      </w:r>
      <w:r w:rsidR="00070D51" w:rsidRPr="00632AC5">
        <w:rPr>
          <w:rFonts w:ascii="Calibri" w:hAnsi="Calibri" w:cs="Calibri"/>
          <w:sz w:val="24"/>
          <w:lang w:eastAsia="cs-CZ"/>
        </w:rPr>
        <w:t xml:space="preserve"> č. 1</w:t>
      </w:r>
      <w:r w:rsidRPr="00632AC5">
        <w:rPr>
          <w:rFonts w:ascii="Calibri" w:hAnsi="Calibri" w:cs="Calibri"/>
          <w:sz w:val="24"/>
          <w:lang w:eastAsia="cs-CZ"/>
        </w:rPr>
        <w:t xml:space="preserve"> a č. 2.</w:t>
      </w:r>
    </w:p>
    <w:p w:rsidR="008D147B" w:rsidRPr="00632AC5" w:rsidRDefault="008D147B" w:rsidP="005F051D">
      <w:pPr>
        <w:ind w:firstLine="0"/>
        <w:rPr>
          <w:rFonts w:ascii="Calibri" w:hAnsi="Calibri" w:cs="Calibri"/>
          <w:sz w:val="24"/>
          <w:lang w:eastAsia="cs-CZ"/>
        </w:rPr>
      </w:pPr>
    </w:p>
    <w:p w:rsidR="00895A0D" w:rsidRDefault="00895A0D">
      <w:pPr>
        <w:ind w:firstLine="0"/>
        <w:jc w:val="left"/>
        <w:rPr>
          <w:rFonts w:ascii="Calibri" w:eastAsia="Calibri" w:hAnsi="Calibri" w:cs="Calibri"/>
          <w:b/>
          <w:sz w:val="24"/>
          <w:szCs w:val="22"/>
          <w:lang w:eastAsia="cs-CZ"/>
        </w:rPr>
      </w:pPr>
      <w:r>
        <w:rPr>
          <w:rFonts w:ascii="Calibri" w:eastAsia="Calibri" w:hAnsi="Calibri" w:cs="Calibri"/>
          <w:b/>
          <w:sz w:val="24"/>
          <w:szCs w:val="22"/>
          <w:lang w:eastAsia="cs-CZ"/>
        </w:rPr>
        <w:br w:type="page"/>
      </w:r>
    </w:p>
    <w:p w:rsidR="0041791C" w:rsidRPr="00632AC5" w:rsidRDefault="0041791C" w:rsidP="0041791C">
      <w:pPr>
        <w:ind w:firstLine="0"/>
        <w:jc w:val="left"/>
        <w:rPr>
          <w:rFonts w:ascii="Calibri" w:eastAsia="Calibri" w:hAnsi="Calibri" w:cs="Calibri"/>
          <w:b/>
          <w:sz w:val="24"/>
          <w:szCs w:val="22"/>
          <w:lang w:eastAsia="cs-CZ"/>
        </w:rPr>
      </w:pPr>
      <w:r w:rsidRPr="00632AC5">
        <w:rPr>
          <w:rFonts w:ascii="Calibri" w:eastAsia="Calibri" w:hAnsi="Calibri" w:cs="Calibri"/>
          <w:b/>
          <w:sz w:val="24"/>
          <w:szCs w:val="22"/>
          <w:lang w:eastAsia="cs-CZ"/>
        </w:rPr>
        <w:lastRenderedPageBreak/>
        <w:t>Tabulka č. 1 – Přehled příjmů z pojistného dle příslušných správců kapitol</w:t>
      </w:r>
      <w:r w:rsidRPr="00632AC5">
        <w:rPr>
          <w:rFonts w:ascii="Calibri" w:eastAsia="Calibri" w:hAnsi="Calibri" w:cs="Calibri"/>
          <w:b/>
          <w:sz w:val="24"/>
          <w:szCs w:val="22"/>
          <w:lang w:eastAsia="cs-CZ"/>
        </w:rPr>
        <w:tab/>
      </w:r>
      <w:r w:rsidR="00254A5D">
        <w:rPr>
          <w:rFonts w:ascii="Calibri" w:eastAsia="Calibri" w:hAnsi="Calibri" w:cs="Calibri"/>
          <w:b/>
          <w:sz w:val="24"/>
          <w:szCs w:val="22"/>
          <w:lang w:eastAsia="cs-CZ"/>
        </w:rPr>
        <w:t xml:space="preserve"> </w:t>
      </w: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091"/>
        <w:gridCol w:w="530"/>
        <w:gridCol w:w="1029"/>
        <w:gridCol w:w="592"/>
        <w:gridCol w:w="967"/>
        <w:gridCol w:w="654"/>
        <w:gridCol w:w="1047"/>
        <w:gridCol w:w="574"/>
        <w:gridCol w:w="985"/>
        <w:gridCol w:w="637"/>
      </w:tblGrid>
      <w:tr w:rsidR="0041791C" w:rsidRPr="00632AC5" w:rsidTr="00F80CB2">
        <w:trPr>
          <w:trHeight w:val="300"/>
        </w:trPr>
        <w:tc>
          <w:tcPr>
            <w:tcW w:w="9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Příjmy z pojistného na důchodové pojištění</w:t>
            </w:r>
          </w:p>
        </w:tc>
      </w:tr>
      <w:tr w:rsidR="0041791C" w:rsidRPr="00632AC5" w:rsidTr="00F80CB2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2009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2010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2011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2012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2013</w:t>
            </w:r>
          </w:p>
        </w:tc>
      </w:tr>
      <w:tr w:rsidR="0041791C" w:rsidRPr="00632AC5" w:rsidTr="00F80CB2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83088D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mil</w:t>
            </w:r>
            <w:r w:rsidR="0083088D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.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 Kč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%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83088D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mil</w:t>
            </w:r>
            <w:r w:rsidR="0083088D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.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 Kč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%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83088D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mil</w:t>
            </w:r>
            <w:r w:rsidR="0083088D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.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 Kč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%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83088D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mil</w:t>
            </w:r>
            <w:r w:rsidR="0083088D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.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 Kč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%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83088D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mil</w:t>
            </w:r>
            <w:r w:rsidR="0083088D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.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 Kč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574487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v </w:t>
            </w:r>
            <w:r w:rsidR="0041791C"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%</w:t>
            </w:r>
          </w:p>
        </w:tc>
      </w:tr>
      <w:tr w:rsidR="0041791C" w:rsidRPr="00632AC5" w:rsidTr="00F80CB2">
        <w:trPr>
          <w:trHeight w:val="172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1791C" w:rsidRPr="00632AC5" w:rsidRDefault="0041791C" w:rsidP="0041791C">
            <w:pPr>
              <w:ind w:firstLine="0"/>
              <w:jc w:val="lef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</w:tc>
      </w:tr>
      <w:tr w:rsidR="0041791C" w:rsidRPr="00632AC5" w:rsidTr="000B2E48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A0314E" w:rsidRDefault="0041791C" w:rsidP="003F5B1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vertAlign w:val="superscript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MPSV</w:t>
            </w:r>
            <w:r w:rsidR="00A0314E" w:rsidRPr="00F80CB2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301 177,65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96,95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308 568,28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97,05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319 602,82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97,42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323 369,99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97,35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323 809,90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97,34</w:t>
            </w:r>
          </w:p>
        </w:tc>
      </w:tr>
      <w:tr w:rsidR="0041791C" w:rsidRPr="00632AC5" w:rsidTr="000B2E48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2 180,27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2 090,23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1 928,26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2 518,18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2 562,91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0,77</w:t>
            </w:r>
          </w:p>
        </w:tc>
      </w:tr>
      <w:tr w:rsidR="0041791C" w:rsidRPr="00632AC5" w:rsidTr="000B2E48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566,16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523,68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481,17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455,12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466,78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0,14</w:t>
            </w:r>
          </w:p>
        </w:tc>
      </w:tr>
      <w:tr w:rsidR="0041791C" w:rsidRPr="00632AC5" w:rsidTr="000B2E48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6 026,51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1,94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6 027,44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1,90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5 361,67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1,63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5 095,87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1,53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5 101,24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1,53</w:t>
            </w:r>
          </w:p>
        </w:tc>
      </w:tr>
      <w:tr w:rsidR="0041791C" w:rsidRPr="00632AC5" w:rsidTr="000B2E48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MS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704,24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723,83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684,61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0,21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695,12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679,06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0,20</w:t>
            </w:r>
          </w:p>
        </w:tc>
      </w:tr>
      <w:tr w:rsidR="0041791C" w:rsidRPr="00632AC5" w:rsidTr="000B2E48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proofErr w:type="spellStart"/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GIBS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30,51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35,55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color w:val="000000"/>
                <w:sz w:val="15"/>
                <w:szCs w:val="15"/>
                <w:lang w:eastAsia="cs-CZ"/>
              </w:rPr>
              <w:t>0,01</w:t>
            </w:r>
          </w:p>
        </w:tc>
      </w:tr>
      <w:tr w:rsidR="0041791C" w:rsidRPr="00632AC5" w:rsidTr="00F80CB2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632AC5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CELKEM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310 654,83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317 933,46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328 058,53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F80CB2" w:rsidRDefault="0041791C" w:rsidP="0041791C">
            <w:pPr>
              <w:ind w:firstLine="0"/>
              <w:jc w:val="right"/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</w:pPr>
            <w:r w:rsidRPr="00F80CB2">
              <w:rPr>
                <w:rFonts w:cs="Arial"/>
                <w:bCs/>
                <w:color w:val="000000"/>
                <w:sz w:val="15"/>
                <w:szCs w:val="15"/>
                <w:lang w:eastAsia="cs-CZ"/>
              </w:rPr>
              <w:t>332 164,79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41791C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332 655,44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1791C" w:rsidRPr="00632AC5" w:rsidRDefault="0041791C" w:rsidP="00254A5D">
            <w:pPr>
              <w:ind w:firstLine="0"/>
              <w:jc w:val="right"/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632AC5">
              <w:rPr>
                <w:rFonts w:cs="Arial"/>
                <w:b/>
                <w:bCs/>
                <w:color w:val="000000"/>
                <w:sz w:val="15"/>
                <w:szCs w:val="15"/>
                <w:lang w:eastAsia="cs-CZ"/>
              </w:rPr>
              <w:t>100</w:t>
            </w:r>
          </w:p>
        </w:tc>
      </w:tr>
    </w:tbl>
    <w:p w:rsidR="003F5B13" w:rsidRDefault="003F5B13" w:rsidP="0041791C">
      <w:pPr>
        <w:ind w:firstLine="0"/>
        <w:jc w:val="left"/>
        <w:rPr>
          <w:rFonts w:ascii="Calibri" w:eastAsia="Calibri" w:hAnsi="Calibri" w:cs="Calibri"/>
          <w:sz w:val="20"/>
          <w:szCs w:val="20"/>
          <w:lang w:eastAsia="cs-CZ"/>
        </w:rPr>
      </w:pPr>
      <w:r w:rsidRPr="00F80CB2">
        <w:rPr>
          <w:rFonts w:ascii="Calibri" w:eastAsia="Calibri" w:hAnsi="Calibri" w:cs="Calibri"/>
          <w:b/>
          <w:sz w:val="20"/>
          <w:szCs w:val="20"/>
          <w:lang w:eastAsia="cs-CZ"/>
        </w:rPr>
        <w:t>Zdroj:</w:t>
      </w:r>
      <w:r w:rsidRPr="002C366B">
        <w:rPr>
          <w:rFonts w:ascii="Calibri" w:eastAsia="Calibri" w:hAnsi="Calibri" w:cs="Calibri"/>
          <w:sz w:val="20"/>
          <w:szCs w:val="20"/>
          <w:lang w:eastAsia="cs-CZ"/>
        </w:rPr>
        <w:t xml:space="preserve"> ARIS, </w:t>
      </w:r>
      <w:proofErr w:type="spellStart"/>
      <w:r w:rsidRPr="002C366B">
        <w:rPr>
          <w:rFonts w:ascii="Calibri" w:eastAsia="Calibri" w:hAnsi="Calibri" w:cs="Calibri"/>
          <w:sz w:val="20"/>
          <w:szCs w:val="20"/>
          <w:lang w:eastAsia="cs-CZ"/>
        </w:rPr>
        <w:t>ÚFIS</w:t>
      </w:r>
      <w:proofErr w:type="spellEnd"/>
      <w:r w:rsidRPr="002C366B">
        <w:rPr>
          <w:rFonts w:ascii="Calibri" w:eastAsia="Calibri" w:hAnsi="Calibri" w:cs="Calibri"/>
          <w:sz w:val="20"/>
          <w:szCs w:val="20"/>
          <w:lang w:eastAsia="cs-CZ"/>
        </w:rPr>
        <w:t xml:space="preserve">, </w:t>
      </w:r>
      <w:proofErr w:type="spellStart"/>
      <w:r w:rsidRPr="002C366B">
        <w:rPr>
          <w:rFonts w:ascii="Calibri" w:eastAsia="Calibri" w:hAnsi="Calibri" w:cs="Calibri"/>
          <w:sz w:val="20"/>
          <w:szCs w:val="20"/>
          <w:lang w:eastAsia="cs-CZ"/>
        </w:rPr>
        <w:t>CSÚIS</w:t>
      </w:r>
      <w:proofErr w:type="spellEnd"/>
      <w:r>
        <w:rPr>
          <w:rFonts w:ascii="Calibri" w:eastAsia="Calibri" w:hAnsi="Calibri" w:cs="Calibri"/>
          <w:sz w:val="20"/>
          <w:szCs w:val="20"/>
          <w:lang w:eastAsia="cs-CZ"/>
        </w:rPr>
        <w:t>.</w:t>
      </w:r>
      <w:r w:rsidRPr="002C366B">
        <w:rPr>
          <w:rFonts w:ascii="Calibri" w:eastAsia="Calibri" w:hAnsi="Calibri" w:cs="Calibri"/>
          <w:sz w:val="20"/>
          <w:szCs w:val="20"/>
          <w:lang w:eastAsia="cs-CZ"/>
        </w:rPr>
        <w:t xml:space="preserve"> </w:t>
      </w:r>
    </w:p>
    <w:p w:rsidR="0041791C" w:rsidRPr="00F80CB2" w:rsidRDefault="0041791C" w:rsidP="00F80CB2">
      <w:pPr>
        <w:ind w:left="284" w:hanging="284"/>
        <w:jc w:val="left"/>
        <w:rPr>
          <w:rFonts w:ascii="Calibri" w:eastAsia="Calibri" w:hAnsi="Calibri" w:cs="Calibri"/>
          <w:sz w:val="20"/>
          <w:szCs w:val="20"/>
          <w:lang w:eastAsia="cs-CZ"/>
        </w:rPr>
      </w:pPr>
      <w:r w:rsidRPr="00F80CB2">
        <w:rPr>
          <w:rFonts w:ascii="Calibri" w:eastAsia="Calibri" w:hAnsi="Calibri" w:cs="Calibri"/>
          <w:b/>
          <w:sz w:val="20"/>
          <w:szCs w:val="20"/>
          <w:lang w:eastAsia="cs-CZ"/>
        </w:rPr>
        <w:t>*</w:t>
      </w:r>
      <w:r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</w:t>
      </w:r>
      <w:r w:rsidR="003F5B13">
        <w:rPr>
          <w:rFonts w:ascii="Calibri" w:eastAsia="Calibri" w:hAnsi="Calibri" w:cs="Calibri"/>
          <w:sz w:val="20"/>
          <w:szCs w:val="20"/>
          <w:lang w:eastAsia="cs-CZ"/>
        </w:rPr>
        <w:tab/>
        <w:t>Ú</w:t>
      </w:r>
      <w:r w:rsidRPr="00F80CB2">
        <w:rPr>
          <w:rFonts w:ascii="Calibri" w:eastAsia="Calibri" w:hAnsi="Calibri" w:cs="Calibri"/>
          <w:sz w:val="20"/>
          <w:szCs w:val="20"/>
          <w:lang w:eastAsia="cs-CZ"/>
        </w:rPr>
        <w:t>daj za ČSSZ</w:t>
      </w:r>
      <w:r w:rsidR="003F5B13">
        <w:rPr>
          <w:rFonts w:ascii="Calibri" w:eastAsia="Calibri" w:hAnsi="Calibri" w:cs="Calibri"/>
          <w:sz w:val="20"/>
          <w:szCs w:val="20"/>
          <w:lang w:eastAsia="cs-CZ"/>
        </w:rPr>
        <w:t>.</w:t>
      </w:r>
    </w:p>
    <w:p w:rsidR="0041791C" w:rsidRPr="00F80CB2" w:rsidRDefault="0041791C" w:rsidP="0041791C">
      <w:pPr>
        <w:ind w:firstLine="0"/>
        <w:jc w:val="left"/>
        <w:rPr>
          <w:rFonts w:ascii="Calibri" w:eastAsia="Calibri" w:hAnsi="Calibri" w:cs="Calibri"/>
          <w:sz w:val="20"/>
          <w:szCs w:val="20"/>
          <w:lang w:eastAsia="cs-CZ"/>
        </w:rPr>
      </w:pPr>
    </w:p>
    <w:p w:rsidR="0041791C" w:rsidRPr="00F80CB2" w:rsidRDefault="003F5B13" w:rsidP="00F80CB2">
      <w:pPr>
        <w:ind w:left="567" w:hanging="567"/>
        <w:rPr>
          <w:rFonts w:ascii="Calibri" w:eastAsia="Calibri" w:hAnsi="Calibri" w:cs="Calibri"/>
          <w:sz w:val="20"/>
          <w:szCs w:val="20"/>
          <w:lang w:eastAsia="cs-CZ"/>
        </w:rPr>
      </w:pPr>
      <w:r w:rsidRPr="00F80CB2">
        <w:rPr>
          <w:rFonts w:ascii="Calibri" w:eastAsia="Calibri" w:hAnsi="Calibri" w:cs="Calibri"/>
          <w:b/>
          <w:sz w:val="20"/>
          <w:szCs w:val="20"/>
          <w:lang w:eastAsia="cs-CZ"/>
        </w:rPr>
        <w:t>P</w:t>
      </w:r>
      <w:r w:rsidR="0041791C" w:rsidRPr="00F80CB2">
        <w:rPr>
          <w:rFonts w:ascii="Calibri" w:eastAsia="Calibri" w:hAnsi="Calibri" w:cs="Calibri"/>
          <w:b/>
          <w:sz w:val="20"/>
          <w:szCs w:val="20"/>
          <w:lang w:eastAsia="cs-CZ"/>
        </w:rPr>
        <w:t>ozn.: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</w:t>
      </w:r>
      <w:r>
        <w:rPr>
          <w:rFonts w:ascii="Calibri" w:eastAsia="Calibri" w:hAnsi="Calibri" w:cs="Calibri"/>
          <w:sz w:val="20"/>
          <w:szCs w:val="20"/>
          <w:lang w:eastAsia="cs-CZ"/>
        </w:rPr>
        <w:tab/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>Údaje za MPSV v sobě zahrnují též příjmy vykázané na</w:t>
      </w:r>
      <w:r w:rsidR="00632AC5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</w:t>
      </w:r>
      <w:proofErr w:type="spellStart"/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>RP</w:t>
      </w:r>
      <w:proofErr w:type="spellEnd"/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1628 – </w:t>
      </w:r>
      <w:r w:rsidR="0041791C" w:rsidRPr="0083088D">
        <w:rPr>
          <w:rFonts w:ascii="Calibri" w:eastAsia="Calibri" w:hAnsi="Calibri" w:cs="Calibri"/>
          <w:i/>
          <w:sz w:val="20"/>
          <w:szCs w:val="20"/>
          <w:lang w:eastAsia="cs-CZ"/>
        </w:rPr>
        <w:t>Příslušenství pojistného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(pokuty a</w:t>
      </w:r>
      <w:r w:rsidR="009266A0" w:rsidRPr="00F80CB2">
        <w:rPr>
          <w:rFonts w:ascii="Calibri" w:eastAsia="Calibri" w:hAnsi="Calibri" w:cs="Calibri"/>
          <w:sz w:val="20"/>
          <w:szCs w:val="20"/>
          <w:lang w:eastAsia="cs-CZ"/>
        </w:rPr>
        <w:t> 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penále), </w:t>
      </w:r>
      <w:r w:rsidR="0083088D">
        <w:rPr>
          <w:rFonts w:ascii="Calibri" w:eastAsia="Calibri" w:hAnsi="Calibri" w:cs="Calibri"/>
          <w:sz w:val="20"/>
          <w:szCs w:val="20"/>
          <w:lang w:eastAsia="cs-CZ"/>
        </w:rPr>
        <w:t>avšak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jen část </w:t>
      </w:r>
      <w:r w:rsidR="0083088D">
        <w:rPr>
          <w:rFonts w:ascii="Calibri" w:eastAsia="Calibri" w:hAnsi="Calibri" w:cs="Calibri"/>
          <w:sz w:val="20"/>
          <w:szCs w:val="20"/>
          <w:lang w:eastAsia="cs-CZ"/>
        </w:rPr>
        <w:t xml:space="preserve">z těchto příjmů 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>se vztahuje k důchodovému pojištění</w:t>
      </w:r>
      <w:r w:rsidR="0083088D">
        <w:rPr>
          <w:rFonts w:ascii="Calibri" w:eastAsia="Calibri" w:hAnsi="Calibri" w:cs="Calibri"/>
          <w:sz w:val="20"/>
          <w:szCs w:val="20"/>
          <w:lang w:eastAsia="cs-CZ"/>
        </w:rPr>
        <w:t>, proto je dále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v tabulkách uvedena</w:t>
      </w:r>
      <w:r w:rsidR="00632AC5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jen </w:t>
      </w:r>
      <w:r w:rsidR="005725EA">
        <w:rPr>
          <w:rFonts w:ascii="Calibri" w:eastAsia="Calibri" w:hAnsi="Calibri" w:cs="Calibri"/>
          <w:sz w:val="20"/>
          <w:szCs w:val="20"/>
          <w:lang w:eastAsia="cs-CZ"/>
        </w:rPr>
        <w:t xml:space="preserve">jejich </w:t>
      </w:r>
      <w:r w:rsidR="00426D6B">
        <w:rPr>
          <w:rFonts w:ascii="Calibri" w:eastAsia="Calibri" w:hAnsi="Calibri" w:cs="Calibri"/>
          <w:sz w:val="20"/>
          <w:szCs w:val="20"/>
          <w:lang w:eastAsia="cs-CZ"/>
        </w:rPr>
        <w:t xml:space="preserve">odpovídající 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>část</w:t>
      </w:r>
      <w:r w:rsidR="004D3477">
        <w:rPr>
          <w:rFonts w:ascii="Calibri" w:eastAsia="Calibri" w:hAnsi="Calibri" w:cs="Calibri"/>
          <w:sz w:val="20"/>
          <w:szCs w:val="20"/>
          <w:lang w:eastAsia="cs-CZ"/>
        </w:rPr>
        <w:t>;</w:t>
      </w:r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v grafech za období 1996–2013 tato </w:t>
      </w:r>
      <w:proofErr w:type="spellStart"/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>RP</w:t>
      </w:r>
      <w:proofErr w:type="spellEnd"/>
      <w:r w:rsidR="0041791C" w:rsidRPr="00F80CB2">
        <w:rPr>
          <w:rFonts w:ascii="Calibri" w:eastAsia="Calibri" w:hAnsi="Calibri" w:cs="Calibri"/>
          <w:sz w:val="20"/>
          <w:szCs w:val="20"/>
          <w:lang w:eastAsia="cs-CZ"/>
        </w:rPr>
        <w:t xml:space="preserve"> není zahrnuta. </w:t>
      </w:r>
    </w:p>
    <w:p w:rsidR="00B929E6" w:rsidRDefault="00B929E6" w:rsidP="005F051D">
      <w:pPr>
        <w:ind w:firstLine="0"/>
        <w:rPr>
          <w:rFonts w:ascii="Calibri" w:hAnsi="Calibri" w:cs="Calibri"/>
          <w:b/>
          <w:sz w:val="24"/>
          <w:lang w:eastAsia="cs-CZ"/>
        </w:rPr>
      </w:pPr>
    </w:p>
    <w:p w:rsidR="008D147B" w:rsidRPr="00632AC5" w:rsidRDefault="00732E2E" w:rsidP="005F051D">
      <w:pPr>
        <w:ind w:firstLine="0"/>
        <w:rPr>
          <w:rFonts w:ascii="Calibri" w:hAnsi="Calibri" w:cs="Calibri"/>
          <w:b/>
          <w:sz w:val="24"/>
          <w:lang w:eastAsia="cs-CZ"/>
        </w:rPr>
      </w:pPr>
      <w:r w:rsidRPr="00632AC5">
        <w:rPr>
          <w:rFonts w:ascii="Calibri" w:hAnsi="Calibri" w:cs="Calibri"/>
          <w:b/>
          <w:sz w:val="24"/>
          <w:lang w:eastAsia="cs-CZ"/>
        </w:rPr>
        <w:t xml:space="preserve">Tabulka č. 2 – Přehled </w:t>
      </w:r>
      <w:r w:rsidR="00384D9F" w:rsidRPr="00632AC5">
        <w:rPr>
          <w:rFonts w:ascii="Calibri" w:hAnsi="Calibri" w:cs="Calibri"/>
          <w:b/>
          <w:sz w:val="24"/>
          <w:lang w:eastAsia="cs-CZ"/>
        </w:rPr>
        <w:t xml:space="preserve">výdajů </w:t>
      </w:r>
      <w:r w:rsidRPr="00632AC5">
        <w:rPr>
          <w:rFonts w:ascii="Calibri" w:hAnsi="Calibri" w:cs="Calibri"/>
          <w:b/>
          <w:sz w:val="24"/>
          <w:lang w:eastAsia="cs-CZ"/>
        </w:rPr>
        <w:t xml:space="preserve">dle </w:t>
      </w:r>
      <w:r w:rsidR="00FD58A2" w:rsidRPr="00632AC5">
        <w:rPr>
          <w:rFonts w:ascii="Calibri" w:hAnsi="Calibri" w:cs="Calibri"/>
          <w:b/>
          <w:sz w:val="24"/>
          <w:lang w:eastAsia="cs-CZ"/>
        </w:rPr>
        <w:t xml:space="preserve">příslušných </w:t>
      </w:r>
      <w:r w:rsidRPr="00632AC5">
        <w:rPr>
          <w:rFonts w:ascii="Calibri" w:hAnsi="Calibri" w:cs="Calibri"/>
          <w:b/>
          <w:sz w:val="24"/>
          <w:lang w:eastAsia="cs-CZ"/>
        </w:rPr>
        <w:t>správců kapitol</w:t>
      </w:r>
      <w:r w:rsidR="00120CF0" w:rsidRPr="00632AC5">
        <w:rPr>
          <w:rFonts w:ascii="Calibri" w:hAnsi="Calibri" w:cs="Calibri"/>
          <w:b/>
          <w:sz w:val="24"/>
          <w:lang w:eastAsia="cs-CZ"/>
        </w:rPr>
        <w:tab/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92"/>
        <w:gridCol w:w="553"/>
        <w:gridCol w:w="1006"/>
        <w:gridCol w:w="680"/>
        <w:gridCol w:w="1163"/>
        <w:gridCol w:w="709"/>
        <w:gridCol w:w="992"/>
        <w:gridCol w:w="567"/>
        <w:gridCol w:w="992"/>
        <w:gridCol w:w="635"/>
      </w:tblGrid>
      <w:tr w:rsidR="00A42AFD" w:rsidRPr="00632AC5" w:rsidTr="00F80CB2">
        <w:trPr>
          <w:trHeight w:val="300"/>
        </w:trPr>
        <w:tc>
          <w:tcPr>
            <w:tcW w:w="9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Výdaje na dávky důchodového pojištění</w:t>
            </w:r>
          </w:p>
        </w:tc>
      </w:tr>
      <w:tr w:rsidR="00A93B4F" w:rsidRPr="00632AC5" w:rsidTr="00A93B4F">
        <w:trPr>
          <w:trHeight w:val="2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632AC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</w:tr>
      <w:tr w:rsidR="00A93B4F" w:rsidRPr="00632AC5" w:rsidTr="00123A34">
        <w:trPr>
          <w:trHeight w:val="29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4D3477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mil</w:t>
            </w:r>
            <w:r w:rsidR="004D34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0B2E48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4D3477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mil</w:t>
            </w:r>
            <w:r w:rsidR="004D34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0B2E48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4D3477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mil</w:t>
            </w:r>
            <w:r w:rsidR="004D34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0B2E48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4D3477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mil</w:t>
            </w:r>
            <w:r w:rsidR="004D34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0B2E48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4D3477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mil</w:t>
            </w:r>
            <w:r w:rsidR="004D34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574487" w:rsidP="000B2E48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="00A42AFD"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A93B4F" w:rsidRPr="00632AC5" w:rsidTr="00123A34">
        <w:trPr>
          <w:trHeight w:val="29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42AFD" w:rsidRPr="00632AC5" w:rsidRDefault="00A42AFD" w:rsidP="00A42AF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42AFD" w:rsidRPr="00632AC5" w:rsidTr="000B2E48">
        <w:trPr>
          <w:trHeight w:val="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9266A0" w:rsidRDefault="00C25193" w:rsidP="00735674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</w:t>
            </w:r>
            <w:r w:rsidR="00A42AFD" w:rsidRPr="00632A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PSV</w:t>
            </w:r>
            <w:r w:rsidR="009266A0" w:rsidRPr="00F80C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331 594,68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97,59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337 798,66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359 098,20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372 752,59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373 434,99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97,56</w:t>
            </w:r>
          </w:p>
        </w:tc>
      </w:tr>
      <w:tr w:rsidR="00A42AFD" w:rsidRPr="00632AC5" w:rsidTr="000B2E48">
        <w:trPr>
          <w:trHeight w:val="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AFD" w:rsidRPr="00632AC5" w:rsidRDefault="00A42AFD" w:rsidP="008D022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3 829,64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3 853,80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4 060,05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4 157,92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4 151,99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1,08</w:t>
            </w:r>
          </w:p>
        </w:tc>
      </w:tr>
      <w:tr w:rsidR="00A42AFD" w:rsidRPr="00632AC5" w:rsidTr="000B2E48">
        <w:trPr>
          <w:trHeight w:val="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AFD" w:rsidRPr="00632AC5" w:rsidRDefault="00A42AFD" w:rsidP="008D022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3 863,48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4 034,92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4 334,34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4 516,60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4 567,67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1,19</w:t>
            </w:r>
          </w:p>
        </w:tc>
      </w:tr>
      <w:tr w:rsidR="00A42AFD" w:rsidRPr="00632AC5" w:rsidTr="000B2E48">
        <w:trPr>
          <w:trHeight w:val="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500,49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525,57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576,24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4E69DE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604,23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AFD" w:rsidRPr="00632AC5" w:rsidRDefault="00A42AFD" w:rsidP="00A42AFD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618,05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AFD" w:rsidRPr="00632AC5" w:rsidRDefault="00A42AFD" w:rsidP="008D0222">
            <w:pPr>
              <w:ind w:firstLine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0,16</w:t>
            </w:r>
          </w:p>
        </w:tc>
      </w:tr>
      <w:tr w:rsidR="00A93B4F" w:rsidRPr="00632AC5" w:rsidTr="00F80CB2">
        <w:trPr>
          <w:trHeight w:val="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F80CB2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339 788,29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346 212,95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368 068,83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382 031,34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A93B4F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735674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382 772,71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42AFD" w:rsidRPr="00632AC5" w:rsidRDefault="00A42AFD" w:rsidP="00735674">
            <w:pPr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</w:tr>
    </w:tbl>
    <w:p w:rsidR="00735674" w:rsidRDefault="00735674" w:rsidP="00203A6F">
      <w:pPr>
        <w:ind w:firstLine="0"/>
        <w:rPr>
          <w:rFonts w:ascii="Calibri" w:hAnsi="Calibri" w:cs="Calibri"/>
          <w:sz w:val="20"/>
          <w:szCs w:val="20"/>
          <w:lang w:eastAsia="cs-CZ"/>
        </w:rPr>
      </w:pPr>
      <w:r w:rsidRPr="00F80CB2">
        <w:rPr>
          <w:rFonts w:ascii="Calibri" w:hAnsi="Calibri" w:cs="Calibri"/>
          <w:b/>
          <w:sz w:val="20"/>
          <w:szCs w:val="20"/>
          <w:lang w:eastAsia="cs-CZ"/>
        </w:rPr>
        <w:t>Zdroj:</w:t>
      </w:r>
      <w:r w:rsidRPr="00F80CB2">
        <w:rPr>
          <w:rFonts w:ascii="Calibri" w:hAnsi="Calibri" w:cs="Calibri"/>
          <w:sz w:val="20"/>
          <w:szCs w:val="20"/>
          <w:lang w:eastAsia="cs-CZ"/>
        </w:rPr>
        <w:t xml:space="preserve"> ARIS, </w:t>
      </w:r>
      <w:proofErr w:type="spellStart"/>
      <w:r w:rsidRPr="00F80CB2">
        <w:rPr>
          <w:rFonts w:ascii="Calibri" w:hAnsi="Calibri" w:cs="Calibri"/>
          <w:sz w:val="20"/>
          <w:szCs w:val="20"/>
          <w:lang w:eastAsia="cs-CZ"/>
        </w:rPr>
        <w:t>ÚFIS</w:t>
      </w:r>
      <w:proofErr w:type="spellEnd"/>
      <w:r w:rsidRPr="00F80CB2">
        <w:rPr>
          <w:rFonts w:ascii="Calibri" w:hAnsi="Calibri" w:cs="Calibri"/>
          <w:sz w:val="20"/>
          <w:szCs w:val="20"/>
          <w:lang w:eastAsia="cs-CZ"/>
        </w:rPr>
        <w:t xml:space="preserve">, </w:t>
      </w:r>
      <w:proofErr w:type="spellStart"/>
      <w:r w:rsidRPr="00F80CB2">
        <w:rPr>
          <w:rFonts w:ascii="Calibri" w:hAnsi="Calibri" w:cs="Calibri"/>
          <w:sz w:val="20"/>
          <w:szCs w:val="20"/>
          <w:lang w:eastAsia="cs-CZ"/>
        </w:rPr>
        <w:t>CSÚIS</w:t>
      </w:r>
      <w:proofErr w:type="spellEnd"/>
      <w:r>
        <w:rPr>
          <w:rFonts w:ascii="Calibri" w:hAnsi="Calibri" w:cs="Calibri"/>
          <w:sz w:val="20"/>
          <w:szCs w:val="20"/>
          <w:lang w:eastAsia="cs-CZ"/>
        </w:rPr>
        <w:t>.</w:t>
      </w:r>
      <w:r w:rsidRPr="00F80CB2">
        <w:rPr>
          <w:rFonts w:ascii="Calibri" w:hAnsi="Calibri" w:cs="Calibri"/>
          <w:sz w:val="20"/>
          <w:szCs w:val="20"/>
          <w:lang w:eastAsia="cs-CZ"/>
        </w:rPr>
        <w:t xml:space="preserve"> </w:t>
      </w:r>
    </w:p>
    <w:p w:rsidR="00A0314E" w:rsidRPr="00F80CB2" w:rsidRDefault="00203A6F" w:rsidP="00F80CB2">
      <w:pPr>
        <w:ind w:left="284" w:hanging="284"/>
        <w:rPr>
          <w:rFonts w:ascii="Calibri" w:hAnsi="Calibri" w:cs="Calibri"/>
          <w:sz w:val="20"/>
          <w:szCs w:val="20"/>
          <w:lang w:eastAsia="cs-CZ"/>
        </w:rPr>
      </w:pPr>
      <w:r w:rsidRPr="00F80CB2">
        <w:rPr>
          <w:rFonts w:ascii="Calibri" w:hAnsi="Calibri" w:cs="Calibri"/>
          <w:b/>
          <w:sz w:val="20"/>
          <w:szCs w:val="20"/>
          <w:lang w:eastAsia="cs-CZ"/>
        </w:rPr>
        <w:t>*</w:t>
      </w:r>
      <w:r w:rsidRPr="00F80CB2">
        <w:rPr>
          <w:rFonts w:ascii="Calibri" w:hAnsi="Calibri" w:cs="Calibri"/>
          <w:sz w:val="20"/>
          <w:szCs w:val="20"/>
          <w:lang w:eastAsia="cs-CZ"/>
        </w:rPr>
        <w:t xml:space="preserve"> </w:t>
      </w:r>
      <w:r w:rsidR="00735674">
        <w:rPr>
          <w:rFonts w:ascii="Calibri" w:hAnsi="Calibri" w:cs="Calibri"/>
          <w:sz w:val="20"/>
          <w:szCs w:val="20"/>
          <w:lang w:eastAsia="cs-CZ"/>
        </w:rPr>
        <w:tab/>
        <w:t>Ú</w:t>
      </w:r>
      <w:r w:rsidRPr="00F80CB2">
        <w:rPr>
          <w:rFonts w:ascii="Calibri" w:hAnsi="Calibri" w:cs="Calibri"/>
          <w:sz w:val="20"/>
          <w:szCs w:val="20"/>
          <w:lang w:eastAsia="cs-CZ"/>
        </w:rPr>
        <w:t>daj za ČSSZ</w:t>
      </w:r>
      <w:r w:rsidR="00735674">
        <w:rPr>
          <w:rFonts w:ascii="Calibri" w:hAnsi="Calibri" w:cs="Calibri"/>
          <w:sz w:val="20"/>
          <w:szCs w:val="20"/>
          <w:lang w:eastAsia="cs-CZ"/>
        </w:rPr>
        <w:t>.</w:t>
      </w:r>
      <w:r w:rsidR="00632AC5" w:rsidRPr="00F80CB2">
        <w:rPr>
          <w:rFonts w:ascii="Calibri" w:hAnsi="Calibri" w:cs="Calibri"/>
          <w:sz w:val="20"/>
          <w:szCs w:val="20"/>
          <w:lang w:eastAsia="cs-CZ"/>
        </w:rPr>
        <w:t xml:space="preserve"> </w:t>
      </w:r>
    </w:p>
    <w:p w:rsidR="00DB077F" w:rsidRPr="00F80CB2" w:rsidRDefault="00DB077F" w:rsidP="00203A6F">
      <w:pPr>
        <w:ind w:firstLine="0"/>
        <w:rPr>
          <w:rFonts w:ascii="Calibri" w:hAnsi="Calibri" w:cs="Calibri"/>
          <w:sz w:val="24"/>
          <w:lang w:eastAsia="cs-CZ"/>
        </w:rPr>
      </w:pPr>
    </w:p>
    <w:p w:rsidR="00787AD9" w:rsidRPr="00632AC5" w:rsidRDefault="000D3E78" w:rsidP="00787AD9">
      <w:pPr>
        <w:ind w:firstLine="0"/>
        <w:rPr>
          <w:rFonts w:ascii="Calibri" w:hAnsi="Calibri" w:cs="Calibri"/>
          <w:szCs w:val="22"/>
          <w:lang w:eastAsia="cs-CZ"/>
        </w:rPr>
      </w:pPr>
      <w:r w:rsidRPr="00632AC5">
        <w:rPr>
          <w:rFonts w:ascii="Calibri" w:hAnsi="Calibri" w:cs="Calibri"/>
          <w:szCs w:val="22"/>
          <w:lang w:eastAsia="cs-CZ"/>
        </w:rPr>
        <w:t xml:space="preserve">Kapitola MPSV zahrnuje výdaje na </w:t>
      </w:r>
      <w:r w:rsidR="009266A0">
        <w:rPr>
          <w:rFonts w:ascii="Calibri" w:hAnsi="Calibri" w:cs="Calibri"/>
          <w:szCs w:val="22"/>
          <w:lang w:eastAsia="cs-CZ"/>
        </w:rPr>
        <w:t xml:space="preserve">dávky důchodového pojištění </w:t>
      </w:r>
      <w:r w:rsidRPr="00632AC5">
        <w:rPr>
          <w:rFonts w:ascii="Calibri" w:hAnsi="Calibri" w:cs="Calibri"/>
          <w:szCs w:val="22"/>
          <w:lang w:eastAsia="cs-CZ"/>
        </w:rPr>
        <w:t>i za</w:t>
      </w:r>
      <w:r w:rsidR="00632AC5">
        <w:rPr>
          <w:rFonts w:ascii="Calibri" w:hAnsi="Calibri" w:cs="Calibri"/>
          <w:szCs w:val="22"/>
          <w:lang w:eastAsia="cs-CZ"/>
        </w:rPr>
        <w:t xml:space="preserve"> </w:t>
      </w:r>
      <w:r w:rsidR="00787AD9" w:rsidRPr="00632AC5">
        <w:rPr>
          <w:rFonts w:ascii="Calibri" w:hAnsi="Calibri" w:cs="Calibri"/>
          <w:szCs w:val="22"/>
          <w:lang w:eastAsia="cs-CZ"/>
        </w:rPr>
        <w:t>Generální ředitelství cel a</w:t>
      </w:r>
      <w:r w:rsidR="009266A0">
        <w:rPr>
          <w:rFonts w:ascii="Calibri" w:hAnsi="Calibri" w:cs="Calibri"/>
          <w:szCs w:val="22"/>
          <w:lang w:eastAsia="cs-CZ"/>
        </w:rPr>
        <w:t> </w:t>
      </w:r>
      <w:r w:rsidR="00787AD9" w:rsidRPr="00632AC5">
        <w:rPr>
          <w:rFonts w:ascii="Calibri" w:hAnsi="Calibri" w:cs="Calibri"/>
          <w:szCs w:val="22"/>
          <w:lang w:eastAsia="cs-CZ"/>
        </w:rPr>
        <w:t xml:space="preserve">kapitola MV i za příslušníky </w:t>
      </w:r>
      <w:proofErr w:type="spellStart"/>
      <w:r w:rsidR="00787AD9" w:rsidRPr="00632AC5">
        <w:rPr>
          <w:rFonts w:ascii="Calibri" w:hAnsi="Calibri" w:cs="Calibri"/>
          <w:szCs w:val="22"/>
          <w:lang w:eastAsia="cs-CZ"/>
        </w:rPr>
        <w:t>GIBS</w:t>
      </w:r>
      <w:proofErr w:type="spellEnd"/>
      <w:r w:rsidR="00787AD9" w:rsidRPr="00632AC5">
        <w:rPr>
          <w:rFonts w:ascii="Calibri" w:hAnsi="Calibri" w:cs="Calibri"/>
          <w:szCs w:val="22"/>
          <w:lang w:eastAsia="cs-CZ"/>
        </w:rPr>
        <w:t xml:space="preserve"> a BIS.</w:t>
      </w:r>
    </w:p>
    <w:p w:rsidR="003A2A23" w:rsidRPr="00632AC5" w:rsidRDefault="003A2A23" w:rsidP="00787AD9">
      <w:pPr>
        <w:ind w:firstLine="0"/>
        <w:rPr>
          <w:rFonts w:ascii="Calibri" w:hAnsi="Calibri" w:cs="Calibri"/>
          <w:szCs w:val="22"/>
          <w:lang w:eastAsia="cs-CZ"/>
        </w:rPr>
      </w:pPr>
    </w:p>
    <w:p w:rsidR="00203A6F" w:rsidRPr="00632AC5" w:rsidRDefault="004D3477" w:rsidP="00F80CB2">
      <w:pPr>
        <w:ind w:left="567" w:hanging="567"/>
        <w:rPr>
          <w:rFonts w:ascii="Calibri" w:hAnsi="Calibri" w:cs="Calibri"/>
          <w:color w:val="000000"/>
          <w:sz w:val="20"/>
          <w:szCs w:val="20"/>
        </w:rPr>
      </w:pPr>
      <w:r w:rsidRPr="00F80CB2">
        <w:rPr>
          <w:rFonts w:ascii="Calibri" w:hAnsi="Calibri" w:cs="Calibri"/>
          <w:b/>
          <w:color w:val="000000"/>
          <w:sz w:val="20"/>
          <w:szCs w:val="20"/>
        </w:rPr>
        <w:t>Pozn.: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203A6F" w:rsidRPr="00632AC5">
        <w:rPr>
          <w:rFonts w:ascii="Calibri" w:hAnsi="Calibri" w:cs="Calibri"/>
          <w:color w:val="000000"/>
          <w:sz w:val="20"/>
          <w:szCs w:val="20"/>
        </w:rPr>
        <w:t>Všechny právní předpisy uvedené v tomto kontrolním závěru jsou aplikovány ve znění účinném pro kontrolované období.</w:t>
      </w:r>
    </w:p>
    <w:p w:rsidR="002A706F" w:rsidRPr="00632AC5" w:rsidRDefault="002A706F">
      <w:pPr>
        <w:ind w:firstLine="0"/>
        <w:jc w:val="left"/>
        <w:rPr>
          <w:rFonts w:ascii="Calibri" w:hAnsi="Calibri" w:cs="Calibri"/>
          <w:sz w:val="24"/>
          <w:lang w:eastAsia="cs-CZ"/>
        </w:rPr>
      </w:pPr>
    </w:p>
    <w:p w:rsidR="00AC4B8B" w:rsidRPr="00A0314E" w:rsidRDefault="008D0222" w:rsidP="008D0222">
      <w:pPr>
        <w:ind w:left="539" w:firstLine="0"/>
        <w:jc w:val="center"/>
        <w:rPr>
          <w:rFonts w:ascii="Calibri" w:hAnsi="Calibri" w:cs="Calibri"/>
          <w:b/>
          <w:color w:val="548DD4" w:themeColor="text2" w:themeTint="99"/>
          <w:sz w:val="28"/>
          <w:szCs w:val="28"/>
        </w:rPr>
      </w:pPr>
      <w:r w:rsidRPr="00A0314E">
        <w:rPr>
          <w:rFonts w:ascii="Calibri" w:hAnsi="Calibri" w:cs="Calibri"/>
          <w:b/>
          <w:color w:val="548DD4" w:themeColor="text2" w:themeTint="99"/>
          <w:sz w:val="28"/>
          <w:szCs w:val="28"/>
        </w:rPr>
        <w:t xml:space="preserve">II. </w:t>
      </w:r>
      <w:r w:rsidR="00AC4B8B" w:rsidRPr="00A0314E">
        <w:rPr>
          <w:rFonts w:ascii="Calibri" w:hAnsi="Calibri" w:cs="Calibri"/>
          <w:b/>
          <w:color w:val="548DD4" w:themeColor="text2" w:themeTint="99"/>
          <w:sz w:val="28"/>
          <w:szCs w:val="28"/>
        </w:rPr>
        <w:t>Skutečnosti zjištěné při kontrole</w:t>
      </w:r>
    </w:p>
    <w:p w:rsidR="008F7C12" w:rsidRPr="00632AC5" w:rsidRDefault="008F7C12" w:rsidP="008F7C12">
      <w:pPr>
        <w:ind w:left="539" w:firstLine="0"/>
        <w:jc w:val="center"/>
        <w:rPr>
          <w:rFonts w:ascii="Calibri" w:hAnsi="Calibri" w:cs="Calibri"/>
          <w:b/>
          <w:color w:val="000000"/>
          <w:sz w:val="24"/>
        </w:rPr>
      </w:pPr>
    </w:p>
    <w:p w:rsidR="00096C12" w:rsidRPr="00A0314E" w:rsidRDefault="008608EA" w:rsidP="00F80CB2">
      <w:pPr>
        <w:pStyle w:val="Nadpis1"/>
        <w:numPr>
          <w:ilvl w:val="0"/>
          <w:numId w:val="0"/>
        </w:numPr>
        <w:rPr>
          <w:rFonts w:ascii="Calibri" w:hAnsi="Calibri" w:cs="Calibri"/>
          <w:color w:val="548DD4" w:themeColor="text2" w:themeTint="99"/>
          <w:sz w:val="24"/>
          <w:szCs w:val="24"/>
        </w:rPr>
      </w:pPr>
      <w:r>
        <w:rPr>
          <w:rFonts w:ascii="Calibri" w:hAnsi="Calibri" w:cs="Calibri"/>
          <w:color w:val="548DD4" w:themeColor="text2" w:themeTint="99"/>
          <w:sz w:val="24"/>
          <w:szCs w:val="24"/>
        </w:rPr>
        <w:t xml:space="preserve">1. </w:t>
      </w:r>
      <w:r w:rsidR="00CE2FEC" w:rsidRPr="00A0314E">
        <w:rPr>
          <w:rFonts w:ascii="Calibri" w:hAnsi="Calibri" w:cs="Calibri"/>
          <w:color w:val="548DD4" w:themeColor="text2" w:themeTint="99"/>
          <w:sz w:val="24"/>
          <w:szCs w:val="24"/>
        </w:rPr>
        <w:t>Příjmy z p</w:t>
      </w:r>
      <w:r w:rsidR="00096C12" w:rsidRPr="00A0314E">
        <w:rPr>
          <w:rFonts w:ascii="Calibri" w:hAnsi="Calibri" w:cs="Calibri"/>
          <w:color w:val="548DD4" w:themeColor="text2" w:themeTint="99"/>
          <w:sz w:val="24"/>
          <w:szCs w:val="24"/>
        </w:rPr>
        <w:t>ojistné</w:t>
      </w:r>
      <w:r w:rsidR="00CE2FEC" w:rsidRPr="00A0314E">
        <w:rPr>
          <w:rFonts w:ascii="Calibri" w:hAnsi="Calibri" w:cs="Calibri"/>
          <w:color w:val="548DD4" w:themeColor="text2" w:themeTint="99"/>
          <w:sz w:val="24"/>
          <w:szCs w:val="24"/>
        </w:rPr>
        <w:t>ho</w:t>
      </w:r>
      <w:r w:rsidR="00096C12" w:rsidRPr="00A0314E">
        <w:rPr>
          <w:rFonts w:ascii="Calibri" w:hAnsi="Calibri" w:cs="Calibri"/>
          <w:color w:val="548DD4" w:themeColor="text2" w:themeTint="99"/>
          <w:sz w:val="24"/>
          <w:szCs w:val="24"/>
        </w:rPr>
        <w:t xml:space="preserve"> na důchodové pojištění</w:t>
      </w:r>
    </w:p>
    <w:p w:rsidR="00692938" w:rsidRPr="00632AC5" w:rsidRDefault="00692938" w:rsidP="00692938">
      <w:pPr>
        <w:rPr>
          <w:rFonts w:ascii="Calibri" w:hAnsi="Calibri" w:cs="Calibri"/>
          <w:sz w:val="24"/>
          <w:lang w:eastAsia="cs-CZ"/>
        </w:rPr>
      </w:pPr>
    </w:p>
    <w:p w:rsidR="00E27F4A" w:rsidRPr="00632AC5" w:rsidRDefault="00E27F4A" w:rsidP="00AB057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bCs/>
          <w:iCs/>
          <w:sz w:val="24"/>
        </w:rPr>
        <w:t>Základní právní úpravu p</w:t>
      </w:r>
      <w:r w:rsidR="00692938" w:rsidRPr="00632AC5">
        <w:rPr>
          <w:rFonts w:ascii="Calibri" w:hAnsi="Calibri" w:cs="Calibri"/>
          <w:bCs/>
          <w:iCs/>
          <w:sz w:val="24"/>
        </w:rPr>
        <w:t>ojistné</w:t>
      </w:r>
      <w:r w:rsidRPr="00632AC5">
        <w:rPr>
          <w:rFonts w:ascii="Calibri" w:hAnsi="Calibri" w:cs="Calibri"/>
          <w:bCs/>
          <w:iCs/>
          <w:sz w:val="24"/>
        </w:rPr>
        <w:t xml:space="preserve">ho </w:t>
      </w:r>
      <w:r w:rsidR="00692938" w:rsidRPr="00632AC5">
        <w:rPr>
          <w:rFonts w:ascii="Calibri" w:hAnsi="Calibri" w:cs="Calibri"/>
          <w:bCs/>
          <w:iCs/>
          <w:sz w:val="24"/>
        </w:rPr>
        <w:t xml:space="preserve">na důchodové pojištění </w:t>
      </w:r>
      <w:r w:rsidR="000D3E78" w:rsidRPr="00632AC5">
        <w:rPr>
          <w:rFonts w:ascii="Calibri" w:hAnsi="Calibri" w:cs="Calibri"/>
          <w:bCs/>
          <w:iCs/>
          <w:sz w:val="24"/>
        </w:rPr>
        <w:t>obsahuje</w:t>
      </w:r>
      <w:r w:rsidR="00692938" w:rsidRPr="00632AC5">
        <w:rPr>
          <w:rFonts w:ascii="Calibri" w:hAnsi="Calibri" w:cs="Calibri"/>
          <w:bCs/>
          <w:iCs/>
          <w:sz w:val="24"/>
        </w:rPr>
        <w:t xml:space="preserve"> zákon č. 589/1992 Sb.</w:t>
      </w:r>
      <w:r w:rsidR="00FD58A2" w:rsidRPr="00632AC5">
        <w:rPr>
          <w:rStyle w:val="Znakapoznpodarou"/>
          <w:rFonts w:ascii="Calibri" w:hAnsi="Calibri" w:cs="Calibri"/>
          <w:bCs/>
          <w:iCs/>
          <w:sz w:val="24"/>
        </w:rPr>
        <w:footnoteReference w:id="8"/>
      </w:r>
      <w:r w:rsidR="00A324E7" w:rsidRPr="00632AC5">
        <w:rPr>
          <w:rFonts w:ascii="Calibri" w:hAnsi="Calibri" w:cs="Calibri"/>
          <w:bCs/>
          <w:iCs/>
          <w:sz w:val="24"/>
        </w:rPr>
        <w:t xml:space="preserve"> </w:t>
      </w:r>
      <w:r w:rsidR="0025162D" w:rsidRPr="00632AC5">
        <w:rPr>
          <w:rFonts w:ascii="Calibri" w:hAnsi="Calibri" w:cs="Calibri"/>
          <w:sz w:val="24"/>
          <w:lang w:eastAsia="cs-CZ"/>
        </w:rPr>
        <w:t>Důchodové pojištění je založeno na pravidelném placení příspěvku – pojistného.</w:t>
      </w:r>
      <w:r w:rsidR="007B5488" w:rsidRPr="00632AC5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  <w:lang w:eastAsia="cs-CZ"/>
        </w:rPr>
        <w:t xml:space="preserve">Pojistné hradí </w:t>
      </w:r>
      <w:r w:rsidR="00D33965" w:rsidRPr="00632AC5">
        <w:rPr>
          <w:rFonts w:ascii="Calibri" w:hAnsi="Calibri" w:cs="Calibri"/>
          <w:sz w:val="24"/>
        </w:rPr>
        <w:t xml:space="preserve">zaměstnavatelé, zaměstnanci, osoby samostatně výdělečně činné a </w:t>
      </w:r>
      <w:r w:rsidR="0025162D" w:rsidRPr="00632AC5">
        <w:rPr>
          <w:rFonts w:ascii="Calibri" w:hAnsi="Calibri" w:cs="Calibri"/>
          <w:sz w:val="24"/>
        </w:rPr>
        <w:t xml:space="preserve">osoby </w:t>
      </w:r>
      <w:r w:rsidR="00D33965" w:rsidRPr="00632AC5">
        <w:rPr>
          <w:rFonts w:ascii="Calibri" w:hAnsi="Calibri" w:cs="Calibri"/>
          <w:sz w:val="24"/>
        </w:rPr>
        <w:t xml:space="preserve">dobrovolně důchodově </w:t>
      </w:r>
      <w:r w:rsidR="0025162D" w:rsidRPr="00632AC5">
        <w:rPr>
          <w:rFonts w:ascii="Calibri" w:hAnsi="Calibri" w:cs="Calibri"/>
          <w:sz w:val="24"/>
        </w:rPr>
        <w:t>pojištěné</w:t>
      </w:r>
      <w:r w:rsidR="00D33965" w:rsidRPr="00632AC5">
        <w:rPr>
          <w:rFonts w:ascii="Calibri" w:hAnsi="Calibri" w:cs="Calibri"/>
          <w:sz w:val="24"/>
        </w:rPr>
        <w:t>.</w:t>
      </w:r>
    </w:p>
    <w:p w:rsidR="004D3477" w:rsidRDefault="004D3477" w:rsidP="00AB057C">
      <w:pPr>
        <w:ind w:firstLine="0"/>
        <w:rPr>
          <w:rFonts w:ascii="Calibri" w:hAnsi="Calibri" w:cs="Calibri"/>
          <w:sz w:val="24"/>
        </w:rPr>
      </w:pPr>
    </w:p>
    <w:p w:rsidR="00AB057C" w:rsidRPr="00632AC5" w:rsidRDefault="00E27F4A" w:rsidP="00AB057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lastRenderedPageBreak/>
        <w:t>Z hlediska bilance příjmů a výdajů důchodového</w:t>
      </w:r>
      <w:r w:rsidR="00C66494" w:rsidRPr="00632AC5">
        <w:rPr>
          <w:rFonts w:ascii="Calibri" w:hAnsi="Calibri" w:cs="Calibri"/>
          <w:sz w:val="24"/>
        </w:rPr>
        <w:t xml:space="preserve"> pojištění zajišťovaného státem </w:t>
      </w:r>
      <w:r w:rsidR="00ED645B" w:rsidRPr="00632AC5">
        <w:rPr>
          <w:rFonts w:ascii="Calibri" w:hAnsi="Calibri" w:cs="Calibri"/>
          <w:sz w:val="24"/>
        </w:rPr>
        <w:t xml:space="preserve">má určitý význam i </w:t>
      </w:r>
      <w:r w:rsidR="00A90CB5" w:rsidRPr="00632AC5">
        <w:rPr>
          <w:rFonts w:ascii="Calibri" w:hAnsi="Calibri" w:cs="Calibri"/>
          <w:sz w:val="24"/>
        </w:rPr>
        <w:t>tzv. náhradní doba pojištění, tj. doba, po kterou</w:t>
      </w:r>
      <w:r w:rsidR="00FD58A2" w:rsidRPr="00632AC5">
        <w:rPr>
          <w:rFonts w:ascii="Calibri" w:hAnsi="Calibri" w:cs="Calibri"/>
          <w:sz w:val="24"/>
        </w:rPr>
        <w:t xml:space="preserve"> občan nepracuje</w:t>
      </w:r>
      <w:r w:rsidR="00A90CB5" w:rsidRPr="00632AC5">
        <w:rPr>
          <w:rFonts w:ascii="Calibri" w:hAnsi="Calibri" w:cs="Calibri"/>
          <w:sz w:val="24"/>
        </w:rPr>
        <w:t xml:space="preserve"> (např. osoby nezaměstnané, </w:t>
      </w:r>
      <w:r w:rsidR="006D6CE3" w:rsidRPr="00632AC5">
        <w:rPr>
          <w:rFonts w:ascii="Calibri" w:hAnsi="Calibri" w:cs="Calibri"/>
          <w:sz w:val="24"/>
        </w:rPr>
        <w:t>osoby na rodičovské dovolené</w:t>
      </w:r>
      <w:r w:rsidR="00A90CB5" w:rsidRPr="00632AC5">
        <w:rPr>
          <w:rFonts w:ascii="Calibri" w:hAnsi="Calibri" w:cs="Calibri"/>
          <w:sz w:val="24"/>
        </w:rPr>
        <w:t>)</w:t>
      </w:r>
      <w:r w:rsidR="00FD58A2" w:rsidRPr="00632AC5">
        <w:rPr>
          <w:rFonts w:ascii="Calibri" w:hAnsi="Calibri" w:cs="Calibri"/>
          <w:sz w:val="24"/>
        </w:rPr>
        <w:t>. Za stanovených podmínek je tato doba započítávána do potřebných let pojištění na důchod.</w:t>
      </w:r>
      <w:r w:rsidR="00632AC5">
        <w:rPr>
          <w:rFonts w:ascii="Calibri" w:hAnsi="Calibri" w:cs="Calibri"/>
          <w:sz w:val="24"/>
        </w:rPr>
        <w:t xml:space="preserve"> </w:t>
      </w:r>
    </w:p>
    <w:p w:rsidR="001D3553" w:rsidRPr="00F80CB2" w:rsidRDefault="001D3553" w:rsidP="00F80CB2">
      <w:pPr>
        <w:ind w:firstLine="0"/>
        <w:rPr>
          <w:rFonts w:ascii="Calibri" w:hAnsi="Calibri" w:cs="Calibri"/>
          <w:bCs/>
          <w:iCs/>
          <w:sz w:val="24"/>
        </w:rPr>
      </w:pPr>
    </w:p>
    <w:p w:rsidR="008F5D17" w:rsidRPr="004D3477" w:rsidRDefault="00FD58A2" w:rsidP="00F80CB2">
      <w:pPr>
        <w:pStyle w:val="Nadpis2"/>
        <w:keepNext w:val="0"/>
        <w:numPr>
          <w:ilvl w:val="0"/>
          <w:numId w:val="0"/>
        </w:numPr>
        <w:rPr>
          <w:rFonts w:ascii="Calibri" w:hAnsi="Calibri" w:cs="Calibri"/>
          <w:bCs/>
          <w:iCs/>
          <w:sz w:val="24"/>
        </w:rPr>
      </w:pPr>
      <w:r w:rsidRPr="00632AC5">
        <w:rPr>
          <w:rFonts w:ascii="Calibri" w:hAnsi="Calibri" w:cs="Calibri"/>
          <w:b w:val="0"/>
          <w:sz w:val="24"/>
          <w:lang w:eastAsia="cs-CZ"/>
        </w:rPr>
        <w:t>Kontrolou</w:t>
      </w:r>
      <w:r w:rsidR="00410317" w:rsidRPr="00632AC5">
        <w:rPr>
          <w:rFonts w:ascii="Calibri" w:hAnsi="Calibri" w:cs="Calibri"/>
          <w:b w:val="0"/>
          <w:sz w:val="24"/>
          <w:lang w:eastAsia="cs-CZ"/>
        </w:rPr>
        <w:t xml:space="preserve"> byla ověřována</w:t>
      </w:r>
      <w:r w:rsidR="00134DA5" w:rsidRPr="00632AC5">
        <w:rPr>
          <w:rFonts w:ascii="Calibri" w:hAnsi="Calibri" w:cs="Calibri"/>
          <w:b w:val="0"/>
          <w:sz w:val="24"/>
          <w:lang w:eastAsia="cs-CZ"/>
        </w:rPr>
        <w:t xml:space="preserve"> </w:t>
      </w:r>
      <w:r w:rsidR="00410317" w:rsidRPr="00632AC5">
        <w:rPr>
          <w:rFonts w:ascii="Calibri" w:hAnsi="Calibri" w:cs="Calibri"/>
          <w:b w:val="0"/>
          <w:sz w:val="24"/>
          <w:lang w:eastAsia="cs-CZ"/>
        </w:rPr>
        <w:t xml:space="preserve">správnost </w:t>
      </w:r>
      <w:r w:rsidR="00FA0D79" w:rsidRPr="00632AC5">
        <w:rPr>
          <w:rFonts w:ascii="Calibri" w:hAnsi="Calibri" w:cs="Calibri"/>
          <w:b w:val="0"/>
          <w:sz w:val="24"/>
          <w:lang w:eastAsia="cs-CZ"/>
        </w:rPr>
        <w:t xml:space="preserve">výše </w:t>
      </w:r>
      <w:r w:rsidR="00410317" w:rsidRPr="00632AC5">
        <w:rPr>
          <w:rFonts w:ascii="Calibri" w:hAnsi="Calibri" w:cs="Calibri"/>
          <w:b w:val="0"/>
          <w:sz w:val="24"/>
          <w:lang w:eastAsia="cs-CZ"/>
        </w:rPr>
        <w:t>příjmů z pojistného na důchodové pojištění</w:t>
      </w:r>
      <w:r w:rsidRPr="00632AC5">
        <w:rPr>
          <w:rFonts w:ascii="Calibri" w:hAnsi="Calibri" w:cs="Calibri"/>
          <w:b w:val="0"/>
          <w:sz w:val="24"/>
          <w:lang w:eastAsia="cs-CZ"/>
        </w:rPr>
        <w:t xml:space="preserve"> v rámci vybraných kapitol.</w:t>
      </w:r>
      <w:r w:rsidR="00410317" w:rsidRPr="00632AC5">
        <w:rPr>
          <w:rFonts w:ascii="Calibri" w:hAnsi="Calibri" w:cs="Calibri"/>
          <w:b w:val="0"/>
          <w:sz w:val="24"/>
          <w:lang w:eastAsia="cs-CZ"/>
        </w:rPr>
        <w:t xml:space="preserve"> </w:t>
      </w:r>
      <w:r w:rsidR="00FA0D79" w:rsidRPr="004D3477">
        <w:rPr>
          <w:rFonts w:ascii="Calibri" w:hAnsi="Calibri" w:cs="Calibri"/>
          <w:b w:val="0"/>
          <w:sz w:val="24"/>
        </w:rPr>
        <w:t xml:space="preserve">U MPSV bylo provedeno odsouhlasení příjmů z pojistného na </w:t>
      </w:r>
      <w:r w:rsidR="00A90CB5" w:rsidRPr="004D3477">
        <w:rPr>
          <w:rFonts w:ascii="Calibri" w:hAnsi="Calibri" w:cs="Calibri"/>
          <w:b w:val="0"/>
          <w:sz w:val="24"/>
        </w:rPr>
        <w:t xml:space="preserve">důchodové pojištění </w:t>
      </w:r>
      <w:r w:rsidR="00FA0D79" w:rsidRPr="004D3477">
        <w:rPr>
          <w:rFonts w:ascii="Calibri" w:hAnsi="Calibri" w:cs="Calibri"/>
          <w:b w:val="0"/>
          <w:sz w:val="24"/>
        </w:rPr>
        <w:t>vykázan</w:t>
      </w:r>
      <w:r w:rsidR="00C25803" w:rsidRPr="004D3477">
        <w:rPr>
          <w:rFonts w:ascii="Calibri" w:hAnsi="Calibri" w:cs="Calibri"/>
          <w:b w:val="0"/>
          <w:sz w:val="24"/>
        </w:rPr>
        <w:t>ých</w:t>
      </w:r>
      <w:r w:rsidR="00DA5D7F" w:rsidRPr="004D3477">
        <w:rPr>
          <w:rFonts w:ascii="Calibri" w:hAnsi="Calibri" w:cs="Calibri"/>
          <w:b w:val="0"/>
          <w:sz w:val="24"/>
        </w:rPr>
        <w:t xml:space="preserve"> </w:t>
      </w:r>
      <w:r w:rsidR="00B6337C" w:rsidRPr="004D3477">
        <w:rPr>
          <w:rFonts w:ascii="Calibri" w:hAnsi="Calibri" w:cs="Calibri"/>
          <w:b w:val="0"/>
          <w:sz w:val="24"/>
        </w:rPr>
        <w:t xml:space="preserve">ve </w:t>
      </w:r>
      <w:r w:rsidR="00B6337C" w:rsidRPr="004D3477">
        <w:rPr>
          <w:rFonts w:ascii="Calibri" w:hAnsi="Calibri" w:cs="Calibri"/>
          <w:b w:val="0"/>
          <w:i/>
          <w:sz w:val="24"/>
        </w:rPr>
        <w:t>výkazu pro hodnocení plnění rozpočtu správců kapitol, jimi řízených organizačních složek státu a</w:t>
      </w:r>
      <w:r w:rsidR="008D0222" w:rsidRPr="004D3477">
        <w:rPr>
          <w:rFonts w:ascii="Calibri" w:hAnsi="Calibri" w:cs="Calibri"/>
          <w:b w:val="0"/>
          <w:i/>
          <w:sz w:val="24"/>
        </w:rPr>
        <w:t> </w:t>
      </w:r>
      <w:r w:rsidR="00B6337C" w:rsidRPr="004D3477">
        <w:rPr>
          <w:rFonts w:ascii="Calibri" w:hAnsi="Calibri" w:cs="Calibri"/>
          <w:b w:val="0"/>
          <w:i/>
          <w:sz w:val="24"/>
        </w:rPr>
        <w:t>státních fondů</w:t>
      </w:r>
      <w:r w:rsidR="00B6337C" w:rsidRPr="004D3477">
        <w:rPr>
          <w:rFonts w:ascii="Calibri" w:hAnsi="Calibri" w:cs="Calibri"/>
          <w:b w:val="0"/>
          <w:sz w:val="24"/>
        </w:rPr>
        <w:t xml:space="preserve"> (dále také „</w:t>
      </w:r>
      <w:r w:rsidR="007B5488" w:rsidRPr="004D3477">
        <w:rPr>
          <w:rFonts w:ascii="Calibri" w:hAnsi="Calibri" w:cs="Calibri"/>
          <w:b w:val="0"/>
          <w:sz w:val="24"/>
        </w:rPr>
        <w:t>v</w:t>
      </w:r>
      <w:r w:rsidR="00B6337C" w:rsidRPr="004D3477">
        <w:rPr>
          <w:rFonts w:ascii="Calibri" w:hAnsi="Calibri" w:cs="Calibri"/>
          <w:b w:val="0"/>
          <w:sz w:val="24"/>
        </w:rPr>
        <w:t xml:space="preserve">ýkaz pro hodnocení plnění rozpočtu“), </w:t>
      </w:r>
      <w:r w:rsidR="00372F1A" w:rsidRPr="004D3477">
        <w:rPr>
          <w:rFonts w:ascii="Calibri" w:hAnsi="Calibri" w:cs="Calibri"/>
          <w:b w:val="0"/>
          <w:sz w:val="24"/>
        </w:rPr>
        <w:t>údaje za účetní jednotku ČSSZ</w:t>
      </w:r>
      <w:r w:rsidR="00B6337C" w:rsidRPr="004D3477">
        <w:rPr>
          <w:rFonts w:ascii="Calibri" w:hAnsi="Calibri" w:cs="Calibri"/>
          <w:b w:val="0"/>
          <w:sz w:val="24"/>
        </w:rPr>
        <w:t>,</w:t>
      </w:r>
      <w:r w:rsidR="00C25803" w:rsidRPr="004D3477">
        <w:rPr>
          <w:rFonts w:ascii="Calibri" w:hAnsi="Calibri" w:cs="Calibri"/>
          <w:b w:val="0"/>
          <w:sz w:val="24"/>
        </w:rPr>
        <w:t xml:space="preserve"> na údaje v </w:t>
      </w:r>
      <w:r w:rsidR="00A90CB5" w:rsidRPr="004D3477">
        <w:rPr>
          <w:rFonts w:ascii="Calibri" w:hAnsi="Calibri" w:cs="Calibri"/>
          <w:b w:val="0"/>
          <w:sz w:val="24"/>
        </w:rPr>
        <w:t>z</w:t>
      </w:r>
      <w:r w:rsidR="00C25803" w:rsidRPr="004D3477">
        <w:rPr>
          <w:rFonts w:ascii="Calibri" w:hAnsi="Calibri" w:cs="Calibri"/>
          <w:b w:val="0"/>
          <w:sz w:val="24"/>
        </w:rPr>
        <w:t>ávěrečném účtu</w:t>
      </w:r>
      <w:r w:rsidR="006D039B" w:rsidRPr="004D3477">
        <w:rPr>
          <w:rFonts w:ascii="Calibri" w:hAnsi="Calibri" w:cs="Calibri"/>
          <w:b w:val="0"/>
          <w:sz w:val="24"/>
        </w:rPr>
        <w:t xml:space="preserve"> (dále také „</w:t>
      </w:r>
      <w:proofErr w:type="spellStart"/>
      <w:r w:rsidR="006D039B" w:rsidRPr="004D3477">
        <w:rPr>
          <w:rFonts w:ascii="Calibri" w:hAnsi="Calibri" w:cs="Calibri"/>
          <w:b w:val="0"/>
          <w:sz w:val="24"/>
        </w:rPr>
        <w:t>ZÚ</w:t>
      </w:r>
      <w:proofErr w:type="spellEnd"/>
      <w:r w:rsidR="006D039B" w:rsidRPr="004D3477">
        <w:rPr>
          <w:rFonts w:ascii="Calibri" w:hAnsi="Calibri" w:cs="Calibri"/>
          <w:b w:val="0"/>
          <w:sz w:val="24"/>
        </w:rPr>
        <w:t>“)</w:t>
      </w:r>
      <w:r w:rsidR="00C25803" w:rsidRPr="004D3477">
        <w:rPr>
          <w:rFonts w:ascii="Calibri" w:hAnsi="Calibri" w:cs="Calibri"/>
          <w:b w:val="0"/>
          <w:sz w:val="24"/>
        </w:rPr>
        <w:t xml:space="preserve"> kapitoly MPSV a ve státním závěrečném účtu ČR</w:t>
      </w:r>
      <w:r w:rsidR="00A90CB5" w:rsidRPr="004D3477">
        <w:rPr>
          <w:rFonts w:ascii="Calibri" w:hAnsi="Calibri" w:cs="Calibri"/>
          <w:b w:val="0"/>
          <w:sz w:val="24"/>
        </w:rPr>
        <w:t xml:space="preserve"> (dále také „</w:t>
      </w:r>
      <w:proofErr w:type="spellStart"/>
      <w:r w:rsidR="00A90CB5" w:rsidRPr="004D3477">
        <w:rPr>
          <w:rFonts w:ascii="Calibri" w:hAnsi="Calibri" w:cs="Calibri"/>
          <w:b w:val="0"/>
          <w:sz w:val="24"/>
        </w:rPr>
        <w:t>SZÚ</w:t>
      </w:r>
      <w:proofErr w:type="spellEnd"/>
      <w:r w:rsidR="00A90CB5" w:rsidRPr="004D3477">
        <w:rPr>
          <w:rFonts w:ascii="Calibri" w:hAnsi="Calibri" w:cs="Calibri"/>
          <w:b w:val="0"/>
          <w:sz w:val="24"/>
        </w:rPr>
        <w:t>“) v letech 2009–2013.</w:t>
      </w:r>
      <w:r w:rsidR="00036F97" w:rsidRPr="004D3477">
        <w:rPr>
          <w:rFonts w:ascii="Calibri" w:hAnsi="Calibri" w:cs="Calibri"/>
          <w:b w:val="0"/>
          <w:bCs/>
          <w:iCs/>
          <w:sz w:val="24"/>
        </w:rPr>
        <w:t xml:space="preserve"> </w:t>
      </w:r>
      <w:r w:rsidR="00A90CB5" w:rsidRPr="004D3477">
        <w:rPr>
          <w:rFonts w:ascii="Calibri" w:hAnsi="Calibri" w:cs="Calibri"/>
          <w:b w:val="0"/>
          <w:bCs/>
          <w:iCs/>
          <w:sz w:val="24"/>
        </w:rPr>
        <w:t>K</w:t>
      </w:r>
      <w:r w:rsidR="00036F97" w:rsidRPr="004D3477">
        <w:rPr>
          <w:rFonts w:ascii="Calibri" w:hAnsi="Calibri" w:cs="Calibri"/>
          <w:b w:val="0"/>
          <w:bCs/>
          <w:iCs/>
          <w:sz w:val="24"/>
        </w:rPr>
        <w:t>omplexní testování systému výběru pojistného na sociální zabezpečení</w:t>
      </w:r>
      <w:r w:rsidR="00927B75" w:rsidRPr="004D3477">
        <w:rPr>
          <w:rFonts w:ascii="Calibri" w:hAnsi="Calibri" w:cs="Calibri"/>
          <w:b w:val="0"/>
          <w:bCs/>
          <w:iCs/>
          <w:sz w:val="24"/>
        </w:rPr>
        <w:t xml:space="preserve"> </w:t>
      </w:r>
      <w:r w:rsidR="00036F97" w:rsidRPr="004D3477">
        <w:rPr>
          <w:rFonts w:ascii="Calibri" w:hAnsi="Calibri" w:cs="Calibri"/>
          <w:b w:val="0"/>
          <w:bCs/>
          <w:iCs/>
          <w:sz w:val="24"/>
        </w:rPr>
        <w:t>bylo prov</w:t>
      </w:r>
      <w:r w:rsidR="00A90CB5" w:rsidRPr="004D3477">
        <w:rPr>
          <w:rFonts w:ascii="Calibri" w:hAnsi="Calibri" w:cs="Calibri"/>
          <w:b w:val="0"/>
          <w:bCs/>
          <w:iCs/>
          <w:sz w:val="24"/>
        </w:rPr>
        <w:t>edeno</w:t>
      </w:r>
      <w:r w:rsidR="00A7214A" w:rsidRPr="004D3477">
        <w:rPr>
          <w:rFonts w:ascii="Calibri" w:hAnsi="Calibri" w:cs="Calibri"/>
          <w:b w:val="0"/>
          <w:bCs/>
          <w:iCs/>
          <w:sz w:val="24"/>
        </w:rPr>
        <w:t xml:space="preserve"> v rámci</w:t>
      </w:r>
      <w:r w:rsidR="000D3E78" w:rsidRPr="004D3477">
        <w:rPr>
          <w:rFonts w:ascii="Calibri" w:hAnsi="Calibri" w:cs="Calibri"/>
          <w:b w:val="0"/>
          <w:bCs/>
          <w:iCs/>
          <w:sz w:val="24"/>
        </w:rPr>
        <w:t xml:space="preserve"> předchozích </w:t>
      </w:r>
      <w:r w:rsidR="00A7214A" w:rsidRPr="004D3477">
        <w:rPr>
          <w:rFonts w:ascii="Calibri" w:hAnsi="Calibri" w:cs="Calibri"/>
          <w:b w:val="0"/>
          <w:bCs/>
          <w:iCs/>
          <w:sz w:val="24"/>
        </w:rPr>
        <w:t>kontrolních akcí</w:t>
      </w:r>
      <w:r w:rsidR="000D3E78" w:rsidRPr="004D3477">
        <w:rPr>
          <w:rFonts w:ascii="Calibri" w:hAnsi="Calibri" w:cs="Calibri"/>
          <w:b w:val="0"/>
          <w:bCs/>
          <w:iCs/>
          <w:sz w:val="24"/>
        </w:rPr>
        <w:t xml:space="preserve"> NKÚ</w:t>
      </w:r>
      <w:r w:rsidR="00036F97" w:rsidRPr="004D3477">
        <w:rPr>
          <w:rFonts w:ascii="Calibri" w:hAnsi="Calibri" w:cs="Calibri"/>
          <w:b w:val="0"/>
          <w:bCs/>
          <w:iCs/>
          <w:sz w:val="24"/>
        </w:rPr>
        <w:t xml:space="preserve"> přímo na ČSSZ</w:t>
      </w:r>
      <w:r w:rsidR="00927B75" w:rsidRPr="004D3477">
        <w:rPr>
          <w:rStyle w:val="Znakapoznpodarou"/>
          <w:rFonts w:ascii="Calibri" w:hAnsi="Calibri" w:cs="Calibri"/>
          <w:b w:val="0"/>
          <w:bCs/>
          <w:iCs/>
          <w:sz w:val="24"/>
        </w:rPr>
        <w:footnoteReference w:id="9"/>
      </w:r>
      <w:r w:rsidR="00D42AED" w:rsidRPr="004D3477">
        <w:rPr>
          <w:rFonts w:ascii="Calibri" w:hAnsi="Calibri" w:cs="Calibri"/>
          <w:b w:val="0"/>
          <w:bCs/>
          <w:iCs/>
          <w:sz w:val="24"/>
        </w:rPr>
        <w:t>.</w:t>
      </w:r>
      <w:r w:rsidR="00632AC5" w:rsidRPr="004D3477">
        <w:rPr>
          <w:rFonts w:ascii="Calibri" w:hAnsi="Calibri" w:cs="Calibri"/>
          <w:b w:val="0"/>
          <w:bCs/>
          <w:iCs/>
          <w:sz w:val="24"/>
        </w:rPr>
        <w:t xml:space="preserve"> </w:t>
      </w:r>
      <w:r w:rsidR="00A90CB5" w:rsidRPr="004D3477">
        <w:rPr>
          <w:rFonts w:ascii="Calibri" w:hAnsi="Calibri" w:cs="Calibri"/>
          <w:b w:val="0"/>
          <w:bCs/>
          <w:iCs/>
          <w:sz w:val="24"/>
        </w:rPr>
        <w:t>Ve sledované oblast</w:t>
      </w:r>
      <w:r w:rsidR="00D42AED" w:rsidRPr="004D3477">
        <w:rPr>
          <w:rFonts w:ascii="Calibri" w:hAnsi="Calibri" w:cs="Calibri"/>
          <w:b w:val="0"/>
          <w:bCs/>
          <w:iCs/>
          <w:sz w:val="24"/>
        </w:rPr>
        <w:t xml:space="preserve">i </w:t>
      </w:r>
      <w:r w:rsidR="000D3E78" w:rsidRPr="004D3477">
        <w:rPr>
          <w:rFonts w:ascii="Calibri" w:hAnsi="Calibri" w:cs="Calibri"/>
          <w:b w:val="0"/>
          <w:bCs/>
          <w:iCs/>
          <w:sz w:val="24"/>
        </w:rPr>
        <w:t>nebyly zjištěny</w:t>
      </w:r>
      <w:r w:rsidR="00A90CB5" w:rsidRPr="004D3477">
        <w:rPr>
          <w:rFonts w:ascii="Calibri" w:hAnsi="Calibri" w:cs="Calibri"/>
          <w:b w:val="0"/>
          <w:bCs/>
          <w:iCs/>
          <w:sz w:val="24"/>
        </w:rPr>
        <w:t xml:space="preserve"> </w:t>
      </w:r>
      <w:r w:rsidR="000D3E78" w:rsidRPr="004D3477">
        <w:rPr>
          <w:rFonts w:ascii="Calibri" w:hAnsi="Calibri" w:cs="Calibri"/>
          <w:b w:val="0"/>
          <w:bCs/>
          <w:iCs/>
          <w:sz w:val="24"/>
        </w:rPr>
        <w:t>nesrovnalosti</w:t>
      </w:r>
      <w:r w:rsidR="00927B75" w:rsidRPr="004D3477">
        <w:rPr>
          <w:rFonts w:ascii="Calibri" w:hAnsi="Calibri" w:cs="Calibri"/>
          <w:b w:val="0"/>
          <w:bCs/>
          <w:iCs/>
          <w:sz w:val="24"/>
        </w:rPr>
        <w:t xml:space="preserve">, proto </w:t>
      </w:r>
      <w:r w:rsidR="00A90CB5" w:rsidRPr="004D3477">
        <w:rPr>
          <w:rFonts w:ascii="Calibri" w:hAnsi="Calibri" w:cs="Calibri"/>
          <w:b w:val="0"/>
          <w:bCs/>
          <w:iCs/>
          <w:sz w:val="24"/>
        </w:rPr>
        <w:t xml:space="preserve">u ČSSZ </w:t>
      </w:r>
      <w:r w:rsidR="00927B75" w:rsidRPr="004D3477">
        <w:rPr>
          <w:rFonts w:ascii="Calibri" w:hAnsi="Calibri" w:cs="Calibri"/>
          <w:b w:val="0"/>
          <w:bCs/>
          <w:iCs/>
          <w:sz w:val="24"/>
        </w:rPr>
        <w:t>nebyl</w:t>
      </w:r>
      <w:r w:rsidR="00D42AED" w:rsidRPr="004D3477">
        <w:rPr>
          <w:rFonts w:ascii="Calibri" w:hAnsi="Calibri" w:cs="Calibri"/>
          <w:b w:val="0"/>
          <w:bCs/>
          <w:iCs/>
          <w:sz w:val="24"/>
        </w:rPr>
        <w:t xml:space="preserve">a v rámci této kontrolní akce </w:t>
      </w:r>
      <w:r w:rsidR="00A90CB5" w:rsidRPr="004D3477">
        <w:rPr>
          <w:rFonts w:ascii="Calibri" w:hAnsi="Calibri" w:cs="Calibri"/>
          <w:b w:val="0"/>
          <w:bCs/>
          <w:iCs/>
          <w:sz w:val="24"/>
        </w:rPr>
        <w:t xml:space="preserve">tato oblast </w:t>
      </w:r>
      <w:r w:rsidR="009266A0" w:rsidRPr="004D3477">
        <w:rPr>
          <w:rFonts w:ascii="Calibri" w:hAnsi="Calibri" w:cs="Calibri"/>
          <w:b w:val="0"/>
          <w:bCs/>
          <w:iCs/>
          <w:sz w:val="24"/>
        </w:rPr>
        <w:t xml:space="preserve">znovu </w:t>
      </w:r>
      <w:r w:rsidR="00927B75" w:rsidRPr="004D3477">
        <w:rPr>
          <w:rFonts w:ascii="Calibri" w:hAnsi="Calibri" w:cs="Calibri"/>
          <w:b w:val="0"/>
          <w:bCs/>
          <w:iCs/>
          <w:sz w:val="24"/>
        </w:rPr>
        <w:t>prověřován</w:t>
      </w:r>
      <w:r w:rsidR="000D3E78" w:rsidRPr="004D3477">
        <w:rPr>
          <w:rFonts w:ascii="Calibri" w:hAnsi="Calibri" w:cs="Calibri"/>
          <w:b w:val="0"/>
          <w:bCs/>
          <w:iCs/>
          <w:sz w:val="24"/>
        </w:rPr>
        <w:t>a</w:t>
      </w:r>
      <w:r w:rsidR="00927B75" w:rsidRPr="004D3477">
        <w:rPr>
          <w:rFonts w:ascii="Calibri" w:hAnsi="Calibri" w:cs="Calibri"/>
          <w:b w:val="0"/>
          <w:bCs/>
          <w:iCs/>
          <w:sz w:val="24"/>
        </w:rPr>
        <w:t>.</w:t>
      </w:r>
    </w:p>
    <w:p w:rsidR="00CB4B36" w:rsidRDefault="00CB4B36" w:rsidP="00632AC5">
      <w:pPr>
        <w:ind w:firstLine="0"/>
        <w:rPr>
          <w:rFonts w:ascii="Calibri" w:eastAsiaTheme="minorEastAsia" w:hAnsi="Calibri" w:cs="Calibri"/>
          <w:bCs/>
          <w:iCs/>
          <w:sz w:val="24"/>
          <w:lang w:eastAsia="cs-CZ"/>
        </w:rPr>
      </w:pPr>
    </w:p>
    <w:p w:rsidR="00622D26" w:rsidRDefault="00FD58A2" w:rsidP="00632AC5">
      <w:pPr>
        <w:ind w:firstLine="0"/>
        <w:rPr>
          <w:rFonts w:ascii="Calibri" w:eastAsiaTheme="minorEastAsia" w:hAnsi="Calibri" w:cs="Calibri"/>
          <w:bCs/>
          <w:iCs/>
          <w:sz w:val="24"/>
          <w:lang w:eastAsia="cs-CZ"/>
        </w:rPr>
      </w:pPr>
      <w:r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Kontrolou byla ověřena s</w:t>
      </w:r>
      <w:r w:rsidR="001D4EF6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právnost</w:t>
      </w:r>
      <w:r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vykázaných částek na straně</w:t>
      </w:r>
      <w:r w:rsidR="001D4EF6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příjmů z pojistného na důchodové pojištění</w:t>
      </w:r>
      <w:r w:rsidR="00700E19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</w:t>
      </w:r>
      <w:r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u</w:t>
      </w:r>
      <w:r w:rsidR="00700E19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MPSV (ČSSZ), MF</w:t>
      </w:r>
      <w:r w:rsidR="00496D2C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(</w:t>
      </w:r>
      <w:proofErr w:type="spellStart"/>
      <w:r w:rsidR="00496D2C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GŘC</w:t>
      </w:r>
      <w:proofErr w:type="spellEnd"/>
      <w:r w:rsidR="00496D2C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)</w:t>
      </w:r>
      <w:r w:rsidR="001D4EF6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,</w:t>
      </w:r>
      <w:r w:rsidR="00700E19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MO a MV, </w:t>
      </w:r>
      <w:r w:rsidR="00CB4B36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tedy částek, </w:t>
      </w:r>
      <w:r w:rsidR="001D4EF6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které v kontrolovaném období vstoupily do výpočtu</w:t>
      </w:r>
      <w:r w:rsidR="00700E19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výsledku hospodaření</w:t>
      </w:r>
      <w:r w:rsidR="001D4EF6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systému důchodového pojištění státu</w:t>
      </w:r>
      <w:r w:rsidR="00DB2056" w:rsidRPr="00632AC5">
        <w:rPr>
          <w:rStyle w:val="Znakapoznpodarou"/>
          <w:rFonts w:ascii="Calibri" w:eastAsiaTheme="minorEastAsia" w:hAnsi="Calibri" w:cs="Calibri"/>
          <w:bCs/>
          <w:iCs/>
          <w:sz w:val="24"/>
          <w:lang w:eastAsia="cs-CZ"/>
        </w:rPr>
        <w:footnoteReference w:id="10"/>
      </w:r>
      <w:r w:rsidR="00927B75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.</w:t>
      </w:r>
      <w:r w:rsidR="00622D26"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</w:t>
      </w:r>
    </w:p>
    <w:p w:rsidR="00CB4B36" w:rsidRPr="00632AC5" w:rsidRDefault="00CB4B36" w:rsidP="00632AC5">
      <w:pPr>
        <w:ind w:firstLine="0"/>
        <w:rPr>
          <w:rFonts w:ascii="Calibri" w:eastAsiaTheme="minorEastAsia" w:hAnsi="Calibri" w:cs="Calibri"/>
          <w:bCs/>
          <w:iCs/>
          <w:sz w:val="24"/>
          <w:lang w:eastAsia="cs-CZ"/>
        </w:rPr>
      </w:pPr>
    </w:p>
    <w:p w:rsidR="00096C12" w:rsidRDefault="00CB4B36" w:rsidP="00792245">
      <w:pPr>
        <w:ind w:firstLine="0"/>
        <w:rPr>
          <w:rFonts w:ascii="Calibri" w:eastAsiaTheme="minorEastAsia" w:hAnsi="Calibri" w:cs="Calibri"/>
          <w:b/>
          <w:bCs/>
          <w:iCs/>
          <w:sz w:val="24"/>
          <w:lang w:eastAsia="cs-CZ"/>
        </w:rPr>
      </w:pPr>
      <w:r>
        <w:rPr>
          <w:rFonts w:ascii="Calibri" w:eastAsiaTheme="minorEastAsia" w:hAnsi="Calibri" w:cs="Calibri"/>
          <w:b/>
          <w:bCs/>
          <w:iCs/>
          <w:sz w:val="24"/>
          <w:lang w:eastAsia="cs-CZ"/>
        </w:rPr>
        <w:t>Kontrolou n</w:t>
      </w:r>
      <w:r w:rsidR="001D4EF6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>ebyly shledány</w:t>
      </w:r>
      <w:r w:rsidR="00927B75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 xml:space="preserve"> </w:t>
      </w:r>
      <w:r w:rsidR="001D4EF6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>nesrovnalosti</w:t>
      </w:r>
      <w:r w:rsidR="00927B75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 xml:space="preserve"> s významnějším dopadem </w:t>
      </w:r>
      <w:r>
        <w:rPr>
          <w:rFonts w:ascii="Calibri" w:eastAsiaTheme="minorEastAsia" w:hAnsi="Calibri" w:cs="Calibri"/>
          <w:b/>
          <w:bCs/>
          <w:iCs/>
          <w:sz w:val="24"/>
          <w:lang w:eastAsia="cs-CZ"/>
        </w:rPr>
        <w:t>na</w:t>
      </w:r>
      <w:r w:rsidR="00927B75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 xml:space="preserve"> </w:t>
      </w:r>
      <w:r w:rsidR="00F13F82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>pr</w:t>
      </w:r>
      <w:r w:rsidR="00927B75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>ověřovan</w:t>
      </w:r>
      <w:r>
        <w:rPr>
          <w:rFonts w:ascii="Calibri" w:eastAsiaTheme="minorEastAsia" w:hAnsi="Calibri" w:cs="Calibri"/>
          <w:b/>
          <w:bCs/>
          <w:iCs/>
          <w:sz w:val="24"/>
          <w:lang w:eastAsia="cs-CZ"/>
        </w:rPr>
        <w:t>ou</w:t>
      </w:r>
      <w:r w:rsidR="00927B75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 xml:space="preserve"> oblast</w:t>
      </w:r>
      <w:r w:rsidR="001D4EF6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>.</w:t>
      </w:r>
      <w:r w:rsidR="00ED645B" w:rsidRPr="00632AC5">
        <w:rPr>
          <w:rFonts w:ascii="Calibri" w:eastAsiaTheme="minorEastAsia" w:hAnsi="Calibri" w:cs="Calibri"/>
          <w:b/>
          <w:bCs/>
          <w:iCs/>
          <w:sz w:val="24"/>
          <w:lang w:eastAsia="cs-CZ"/>
        </w:rPr>
        <w:t xml:space="preserve"> </w:t>
      </w:r>
    </w:p>
    <w:p w:rsidR="00E04D2B" w:rsidRPr="00632AC5" w:rsidRDefault="00E04D2B" w:rsidP="00B22F9F">
      <w:pPr>
        <w:ind w:firstLine="0"/>
        <w:jc w:val="left"/>
        <w:rPr>
          <w:rFonts w:ascii="Calibri" w:eastAsiaTheme="minorEastAsia" w:hAnsi="Calibri" w:cs="Calibri"/>
          <w:b/>
          <w:bCs/>
          <w:iCs/>
          <w:sz w:val="24"/>
          <w:lang w:eastAsia="cs-CZ"/>
        </w:rPr>
      </w:pPr>
    </w:p>
    <w:p w:rsidR="00E06524" w:rsidRDefault="00E04D2B" w:rsidP="001D4EF6">
      <w:pPr>
        <w:ind w:firstLine="0"/>
        <w:rPr>
          <w:rFonts w:ascii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sz w:val="24"/>
        </w:rPr>
        <w:t>G</w:t>
      </w:r>
      <w:r w:rsidR="007643BA" w:rsidRPr="00632AC5">
        <w:rPr>
          <w:rFonts w:ascii="Calibri" w:eastAsia="Calibri" w:hAnsi="Calibri" w:cs="Calibri"/>
          <w:b/>
          <w:sz w:val="24"/>
        </w:rPr>
        <w:t>raf č. 1</w:t>
      </w:r>
      <w:r w:rsidR="007643BA" w:rsidRPr="00632AC5">
        <w:rPr>
          <w:rFonts w:ascii="Calibri" w:eastAsia="Calibri" w:hAnsi="Calibri" w:cs="Calibri"/>
          <w:sz w:val="24"/>
        </w:rPr>
        <w:t xml:space="preserve"> </w:t>
      </w:r>
      <w:r w:rsidR="00CB4494" w:rsidRPr="00632AC5">
        <w:rPr>
          <w:rFonts w:ascii="Calibri" w:eastAsia="Calibri" w:hAnsi="Calibri" w:cs="Calibri"/>
          <w:b/>
          <w:sz w:val="24"/>
        </w:rPr>
        <w:t>znázorňuje vývoj příjmů</w:t>
      </w:r>
      <w:r w:rsidR="007643BA" w:rsidRPr="00632AC5">
        <w:rPr>
          <w:rFonts w:ascii="Calibri" w:eastAsia="Calibri" w:hAnsi="Calibri" w:cs="Calibri"/>
          <w:b/>
          <w:sz w:val="24"/>
        </w:rPr>
        <w:t xml:space="preserve"> z pojistného na důchodové pojištění za období </w:t>
      </w:r>
      <w:r w:rsidR="009D1BFC">
        <w:rPr>
          <w:rFonts w:ascii="Calibri" w:eastAsia="Calibri" w:hAnsi="Calibri" w:cs="Calibri"/>
          <w:b/>
          <w:sz w:val="24"/>
        </w:rPr>
        <w:t xml:space="preserve">let </w:t>
      </w:r>
      <w:r w:rsidR="007643BA" w:rsidRPr="00632AC5">
        <w:rPr>
          <w:rFonts w:ascii="Calibri" w:eastAsia="Calibri" w:hAnsi="Calibri" w:cs="Calibri"/>
          <w:b/>
          <w:sz w:val="24"/>
        </w:rPr>
        <w:t>1996</w:t>
      </w:r>
      <w:r w:rsidR="00A0314E">
        <w:rPr>
          <w:rFonts w:ascii="Calibri" w:eastAsia="Calibri" w:hAnsi="Calibri" w:cs="Calibri"/>
          <w:b/>
          <w:sz w:val="24"/>
        </w:rPr>
        <w:noBreakHyphen/>
      </w:r>
      <w:r w:rsidR="007643BA" w:rsidRPr="00632AC5">
        <w:rPr>
          <w:rFonts w:ascii="Calibri" w:eastAsia="Calibri" w:hAnsi="Calibri" w:cs="Calibri"/>
          <w:b/>
          <w:sz w:val="24"/>
        </w:rPr>
        <w:t xml:space="preserve">2013 </w:t>
      </w:r>
      <w:r w:rsidR="00CB4494" w:rsidRPr="00632AC5">
        <w:rPr>
          <w:rFonts w:ascii="Calibri" w:eastAsia="Calibri" w:hAnsi="Calibri" w:cs="Calibri"/>
          <w:b/>
          <w:sz w:val="24"/>
        </w:rPr>
        <w:t>v kapitole MPSV</w:t>
      </w:r>
      <w:r w:rsidR="007643BA" w:rsidRPr="00F80CB2">
        <w:rPr>
          <w:rFonts w:ascii="Calibri" w:eastAsia="Calibri" w:hAnsi="Calibri" w:cs="Calibri"/>
          <w:b/>
          <w:sz w:val="24"/>
        </w:rPr>
        <w:t>,</w:t>
      </w:r>
      <w:r w:rsidR="007643BA" w:rsidRPr="00632AC5">
        <w:rPr>
          <w:rFonts w:ascii="Calibri" w:eastAsia="Calibri" w:hAnsi="Calibri" w:cs="Calibri"/>
          <w:sz w:val="24"/>
        </w:rPr>
        <w:t xml:space="preserve"> která představuje nejvyšší podíl</w:t>
      </w:r>
      <w:r w:rsidR="00CB4494" w:rsidRPr="00632AC5">
        <w:rPr>
          <w:rFonts w:ascii="Calibri" w:eastAsia="Calibri" w:hAnsi="Calibri" w:cs="Calibri"/>
          <w:sz w:val="24"/>
        </w:rPr>
        <w:t xml:space="preserve"> </w:t>
      </w:r>
      <w:r w:rsidR="00CB4B36">
        <w:rPr>
          <w:rFonts w:ascii="Calibri" w:eastAsia="Calibri" w:hAnsi="Calibri" w:cs="Calibri"/>
          <w:sz w:val="24"/>
        </w:rPr>
        <w:t>(</w:t>
      </w:r>
      <w:r w:rsidR="00CB4494" w:rsidRPr="00632AC5">
        <w:rPr>
          <w:rFonts w:ascii="Calibri" w:eastAsia="Calibri" w:hAnsi="Calibri" w:cs="Calibri"/>
          <w:sz w:val="24"/>
        </w:rPr>
        <w:t>cca</w:t>
      </w:r>
      <w:r w:rsidR="007643BA" w:rsidRPr="00632AC5">
        <w:rPr>
          <w:rFonts w:ascii="Calibri" w:eastAsia="Calibri" w:hAnsi="Calibri" w:cs="Calibri"/>
          <w:sz w:val="24"/>
        </w:rPr>
        <w:t xml:space="preserve"> </w:t>
      </w:r>
      <w:r w:rsidR="00E16CD7" w:rsidRPr="00632AC5">
        <w:rPr>
          <w:rFonts w:ascii="Calibri" w:eastAsia="Calibri" w:hAnsi="Calibri" w:cs="Calibri"/>
          <w:sz w:val="24"/>
        </w:rPr>
        <w:t>97</w:t>
      </w:r>
      <w:r w:rsidR="00CB4B36">
        <w:rPr>
          <w:rFonts w:ascii="Calibri" w:eastAsia="Calibri" w:hAnsi="Calibri" w:cs="Calibri"/>
          <w:sz w:val="24"/>
        </w:rPr>
        <w:t> </w:t>
      </w:r>
      <w:r w:rsidR="00CB4494" w:rsidRPr="00632AC5">
        <w:rPr>
          <w:rFonts w:ascii="Calibri" w:eastAsia="Calibri" w:hAnsi="Calibri" w:cs="Calibri"/>
          <w:sz w:val="24"/>
        </w:rPr>
        <w:t>%</w:t>
      </w:r>
      <w:r w:rsidR="00CB4B36">
        <w:rPr>
          <w:rFonts w:ascii="Calibri" w:eastAsia="Calibri" w:hAnsi="Calibri" w:cs="Calibri"/>
          <w:sz w:val="24"/>
        </w:rPr>
        <w:t>)</w:t>
      </w:r>
      <w:r w:rsidR="00622D26" w:rsidRPr="00632AC5">
        <w:rPr>
          <w:rFonts w:ascii="Calibri" w:hAnsi="Calibri" w:cs="Calibri"/>
          <w:color w:val="000000"/>
          <w:sz w:val="24"/>
        </w:rPr>
        <w:t xml:space="preserve"> příjmů z pojistného na</w:t>
      </w:r>
      <w:r w:rsidR="00632AC5">
        <w:rPr>
          <w:rFonts w:ascii="Calibri" w:hAnsi="Calibri" w:cs="Calibri"/>
          <w:color w:val="000000"/>
          <w:sz w:val="24"/>
        </w:rPr>
        <w:t xml:space="preserve"> </w:t>
      </w:r>
      <w:r w:rsidR="007643BA" w:rsidRPr="00632AC5">
        <w:rPr>
          <w:rFonts w:ascii="Calibri" w:hAnsi="Calibri" w:cs="Calibri"/>
          <w:color w:val="000000"/>
          <w:sz w:val="24"/>
        </w:rPr>
        <w:t>důchodové pojištění státu</w:t>
      </w:r>
      <w:r w:rsidR="00ED645B" w:rsidRPr="00632AC5">
        <w:rPr>
          <w:rFonts w:ascii="Calibri" w:hAnsi="Calibri" w:cs="Calibri"/>
          <w:color w:val="000000"/>
          <w:sz w:val="24"/>
        </w:rPr>
        <w:t xml:space="preserve">. </w:t>
      </w:r>
    </w:p>
    <w:p w:rsidR="00254A5D" w:rsidRPr="00632AC5" w:rsidRDefault="00254A5D" w:rsidP="001D4EF6">
      <w:pPr>
        <w:ind w:firstLine="0"/>
        <w:rPr>
          <w:rFonts w:ascii="Calibri" w:hAnsi="Calibri" w:cs="Calibri"/>
          <w:color w:val="000000"/>
          <w:sz w:val="24"/>
        </w:rPr>
      </w:pPr>
    </w:p>
    <w:p w:rsidR="005C1376" w:rsidRPr="00632AC5" w:rsidRDefault="007643BA" w:rsidP="00BD6A72">
      <w:pPr>
        <w:ind w:firstLine="0"/>
        <w:rPr>
          <w:rFonts w:ascii="Calibri" w:hAnsi="Calibri" w:cs="Calibri"/>
          <w:b/>
          <w:bCs/>
          <w:iCs/>
          <w:sz w:val="24"/>
        </w:rPr>
      </w:pPr>
      <w:r w:rsidRPr="00632AC5">
        <w:rPr>
          <w:rFonts w:ascii="Calibri" w:hAnsi="Calibri" w:cs="Calibri"/>
          <w:b/>
          <w:bCs/>
          <w:iCs/>
          <w:sz w:val="24"/>
        </w:rPr>
        <w:t xml:space="preserve">Graf č. 1 </w:t>
      </w:r>
    </w:p>
    <w:p w:rsidR="001E36CF" w:rsidRPr="00632AC5" w:rsidRDefault="001E36CF" w:rsidP="00BD6A72">
      <w:pPr>
        <w:ind w:firstLine="0"/>
        <w:rPr>
          <w:rFonts w:ascii="Calibri" w:hAnsi="Calibri" w:cs="Calibri"/>
          <w:b/>
          <w:bCs/>
          <w:iCs/>
          <w:sz w:val="24"/>
        </w:rPr>
      </w:pPr>
      <w:r w:rsidRPr="00632AC5">
        <w:rPr>
          <w:rFonts w:ascii="Calibri" w:hAnsi="Calibri" w:cs="Calibri"/>
          <w:noProof/>
          <w:sz w:val="24"/>
          <w:lang w:eastAsia="cs-CZ"/>
        </w:rPr>
        <w:drawing>
          <wp:inline distT="0" distB="0" distL="0" distR="0" wp14:anchorId="6514C0FC" wp14:editId="683C8279">
            <wp:extent cx="5705475" cy="2228850"/>
            <wp:effectExtent l="0" t="0" r="9525" b="1905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1376" w:rsidRPr="00F80CB2" w:rsidRDefault="005C1376" w:rsidP="005C1376">
      <w:pPr>
        <w:ind w:firstLine="0"/>
        <w:contextualSpacing/>
        <w:rPr>
          <w:rFonts w:ascii="Calibri" w:hAnsi="Calibri" w:cs="Calibri"/>
          <w:sz w:val="20"/>
          <w:szCs w:val="20"/>
        </w:rPr>
      </w:pPr>
      <w:r w:rsidRPr="00F80CB2">
        <w:rPr>
          <w:rFonts w:ascii="Calibri" w:hAnsi="Calibri" w:cs="Calibri"/>
          <w:b/>
          <w:sz w:val="20"/>
          <w:szCs w:val="20"/>
        </w:rPr>
        <w:t>Zdroj:</w:t>
      </w:r>
      <w:r w:rsidRPr="00F80CB2">
        <w:rPr>
          <w:rFonts w:ascii="Calibri" w:hAnsi="Calibri" w:cs="Calibri"/>
          <w:sz w:val="20"/>
          <w:szCs w:val="20"/>
        </w:rPr>
        <w:t xml:space="preserve"> výkaz</w:t>
      </w:r>
      <w:r w:rsidR="00CB4B36">
        <w:rPr>
          <w:rFonts w:ascii="Calibri" w:hAnsi="Calibri" w:cs="Calibri"/>
          <w:sz w:val="20"/>
          <w:szCs w:val="20"/>
        </w:rPr>
        <w:t>y</w:t>
      </w:r>
      <w:r w:rsidRPr="00F80CB2">
        <w:rPr>
          <w:rFonts w:ascii="Calibri" w:hAnsi="Calibri" w:cs="Calibri"/>
          <w:sz w:val="20"/>
          <w:szCs w:val="20"/>
        </w:rPr>
        <w:t xml:space="preserve"> </w:t>
      </w:r>
      <w:r w:rsidR="00793472" w:rsidRPr="00F80CB2">
        <w:rPr>
          <w:rFonts w:ascii="Calibri" w:hAnsi="Calibri" w:cs="Calibri"/>
          <w:sz w:val="20"/>
          <w:szCs w:val="20"/>
        </w:rPr>
        <w:t>pro hodnocení plnění rozpočtu</w:t>
      </w:r>
      <w:r w:rsidRPr="00F80CB2">
        <w:rPr>
          <w:rFonts w:ascii="Calibri" w:hAnsi="Calibri" w:cs="Calibri"/>
          <w:sz w:val="20"/>
          <w:szCs w:val="20"/>
        </w:rPr>
        <w:t xml:space="preserve"> ČSSZ za roky 1996</w:t>
      </w:r>
      <w:r w:rsidR="00CB4B36">
        <w:rPr>
          <w:rFonts w:ascii="Calibri" w:hAnsi="Calibri" w:cs="Calibri"/>
          <w:sz w:val="20"/>
          <w:szCs w:val="20"/>
        </w:rPr>
        <w:t>–</w:t>
      </w:r>
      <w:r w:rsidRPr="00F80CB2">
        <w:rPr>
          <w:rFonts w:ascii="Calibri" w:hAnsi="Calibri" w:cs="Calibri"/>
          <w:sz w:val="20"/>
          <w:szCs w:val="20"/>
        </w:rPr>
        <w:t>2013</w:t>
      </w:r>
      <w:r w:rsidR="00CB4B36">
        <w:rPr>
          <w:rFonts w:ascii="Calibri" w:hAnsi="Calibri" w:cs="Calibri"/>
          <w:sz w:val="20"/>
          <w:szCs w:val="20"/>
        </w:rPr>
        <w:t>.</w:t>
      </w:r>
    </w:p>
    <w:p w:rsidR="00806E27" w:rsidRPr="00F80CB2" w:rsidRDefault="00806E27" w:rsidP="005C1376">
      <w:pPr>
        <w:ind w:firstLine="0"/>
        <w:contextualSpacing/>
        <w:rPr>
          <w:rFonts w:ascii="Calibri" w:hAnsi="Calibri" w:cs="Calibri"/>
          <w:sz w:val="24"/>
        </w:rPr>
      </w:pPr>
    </w:p>
    <w:p w:rsidR="00E04D2B" w:rsidRDefault="000B652B" w:rsidP="00AC3DC1">
      <w:pPr>
        <w:ind w:firstLine="0"/>
        <w:rPr>
          <w:rFonts w:ascii="Calibri" w:hAnsi="Calibri" w:cs="Calibri"/>
          <w:bCs/>
          <w:iCs/>
          <w:sz w:val="24"/>
        </w:rPr>
      </w:pPr>
      <w:r w:rsidRPr="00632AC5">
        <w:rPr>
          <w:rFonts w:ascii="Calibri" w:hAnsi="Calibri" w:cs="Calibri"/>
          <w:bCs/>
          <w:iCs/>
          <w:sz w:val="24"/>
        </w:rPr>
        <w:lastRenderedPageBreak/>
        <w:t>V rozmezí let</w:t>
      </w:r>
      <w:r w:rsidR="001B5345" w:rsidRPr="00632AC5">
        <w:rPr>
          <w:rFonts w:ascii="Calibri" w:hAnsi="Calibri" w:cs="Calibri"/>
          <w:bCs/>
          <w:iCs/>
          <w:sz w:val="24"/>
        </w:rPr>
        <w:t xml:space="preserve"> 1996–2003 příjmy</w:t>
      </w:r>
      <w:r w:rsidRPr="00632AC5">
        <w:rPr>
          <w:rFonts w:ascii="Calibri" w:hAnsi="Calibri" w:cs="Calibri"/>
          <w:bCs/>
          <w:iCs/>
          <w:sz w:val="24"/>
        </w:rPr>
        <w:t xml:space="preserve"> vykazovaly mírně rostoucí lineární trend</w:t>
      </w:r>
      <w:r w:rsidR="001B5345" w:rsidRPr="00632AC5">
        <w:rPr>
          <w:rFonts w:ascii="Calibri" w:hAnsi="Calibri" w:cs="Calibri"/>
          <w:bCs/>
          <w:iCs/>
          <w:sz w:val="24"/>
        </w:rPr>
        <w:t xml:space="preserve">. V roce 2004 došlo </w:t>
      </w:r>
      <w:r w:rsidR="001B5345" w:rsidRPr="00E04D2B">
        <w:rPr>
          <w:rFonts w:ascii="Calibri" w:hAnsi="Calibri" w:cs="Calibri"/>
          <w:bCs/>
          <w:iCs/>
          <w:sz w:val="24"/>
        </w:rPr>
        <w:t xml:space="preserve">ke zvýšení sazby pojistného na důchodové pojištění </w:t>
      </w:r>
      <w:r w:rsidR="00574487">
        <w:rPr>
          <w:rFonts w:ascii="Calibri" w:hAnsi="Calibri" w:cs="Calibri"/>
          <w:bCs/>
          <w:iCs/>
          <w:sz w:val="24"/>
        </w:rPr>
        <w:t>z </w:t>
      </w:r>
      <w:r w:rsidR="001B5345" w:rsidRPr="00E04D2B">
        <w:rPr>
          <w:rFonts w:ascii="Calibri" w:hAnsi="Calibri" w:cs="Calibri"/>
          <w:bCs/>
          <w:iCs/>
          <w:sz w:val="24"/>
        </w:rPr>
        <w:t xml:space="preserve">26 % na 28 % </w:t>
      </w:r>
      <w:r w:rsidR="00574487">
        <w:rPr>
          <w:rFonts w:ascii="Calibri" w:hAnsi="Calibri" w:cs="Calibri"/>
          <w:bCs/>
          <w:iCs/>
          <w:sz w:val="24"/>
        </w:rPr>
        <w:t>z </w:t>
      </w:r>
      <w:r w:rsidR="001B5345" w:rsidRPr="00E04D2B">
        <w:rPr>
          <w:rFonts w:ascii="Calibri" w:hAnsi="Calibri" w:cs="Calibri"/>
          <w:bCs/>
          <w:iCs/>
          <w:sz w:val="24"/>
        </w:rPr>
        <w:t>vyměřovacího základu</w:t>
      </w:r>
      <w:r w:rsidR="001B5345" w:rsidRPr="00632AC5">
        <w:rPr>
          <w:rFonts w:ascii="Calibri" w:hAnsi="Calibri" w:cs="Calibri"/>
          <w:bCs/>
          <w:iCs/>
          <w:sz w:val="24"/>
        </w:rPr>
        <w:t xml:space="preserve"> pro zaměstnavatele, </w:t>
      </w:r>
      <w:r w:rsidR="00BA654E" w:rsidRPr="00632AC5">
        <w:rPr>
          <w:rFonts w:ascii="Calibri" w:hAnsi="Calibri" w:cs="Calibri"/>
          <w:bCs/>
          <w:iCs/>
          <w:sz w:val="24"/>
        </w:rPr>
        <w:t xml:space="preserve">osoby samostatně výdělečně činné </w:t>
      </w:r>
      <w:r w:rsidR="001B5345" w:rsidRPr="00632AC5">
        <w:rPr>
          <w:rFonts w:ascii="Calibri" w:hAnsi="Calibri" w:cs="Calibri"/>
          <w:bCs/>
          <w:iCs/>
          <w:sz w:val="24"/>
        </w:rPr>
        <w:t xml:space="preserve">a osoby dobrovolně účastné </w:t>
      </w:r>
      <w:proofErr w:type="gramStart"/>
      <w:r w:rsidR="001B5345" w:rsidRPr="00632AC5">
        <w:rPr>
          <w:rFonts w:ascii="Calibri" w:hAnsi="Calibri" w:cs="Calibri"/>
          <w:bCs/>
          <w:iCs/>
          <w:sz w:val="24"/>
        </w:rPr>
        <w:t>důchodového</w:t>
      </w:r>
      <w:proofErr w:type="gramEnd"/>
      <w:r w:rsidR="001B5345" w:rsidRPr="00632AC5">
        <w:rPr>
          <w:rFonts w:ascii="Calibri" w:hAnsi="Calibri" w:cs="Calibri"/>
          <w:bCs/>
          <w:iCs/>
          <w:sz w:val="24"/>
        </w:rPr>
        <w:t xml:space="preserve"> pojištění</w:t>
      </w:r>
      <w:r w:rsidRPr="00632AC5">
        <w:rPr>
          <w:rFonts w:ascii="Calibri" w:hAnsi="Calibri" w:cs="Calibri"/>
          <w:bCs/>
          <w:iCs/>
          <w:sz w:val="24"/>
        </w:rPr>
        <w:t>, což se</w:t>
      </w:r>
      <w:r w:rsidR="00BD438F" w:rsidRPr="00632AC5">
        <w:rPr>
          <w:rFonts w:ascii="Calibri" w:hAnsi="Calibri" w:cs="Calibri"/>
          <w:bCs/>
          <w:iCs/>
          <w:sz w:val="24"/>
        </w:rPr>
        <w:t xml:space="preserve"> </w:t>
      </w:r>
      <w:r w:rsidRPr="00632AC5">
        <w:rPr>
          <w:rFonts w:ascii="Calibri" w:hAnsi="Calibri" w:cs="Calibri"/>
          <w:bCs/>
          <w:iCs/>
          <w:sz w:val="24"/>
        </w:rPr>
        <w:t xml:space="preserve">promítlo </w:t>
      </w:r>
      <w:r w:rsidR="00BD438F" w:rsidRPr="00632AC5">
        <w:rPr>
          <w:rFonts w:ascii="Calibri" w:hAnsi="Calibri" w:cs="Calibri"/>
          <w:bCs/>
          <w:iCs/>
          <w:sz w:val="24"/>
        </w:rPr>
        <w:t xml:space="preserve">do </w:t>
      </w:r>
      <w:r w:rsidRPr="00632AC5">
        <w:rPr>
          <w:rFonts w:ascii="Calibri" w:hAnsi="Calibri" w:cs="Calibri"/>
          <w:bCs/>
          <w:iCs/>
          <w:sz w:val="24"/>
        </w:rPr>
        <w:t>výš</w:t>
      </w:r>
      <w:r w:rsidR="00BD438F" w:rsidRPr="00632AC5">
        <w:rPr>
          <w:rFonts w:ascii="Calibri" w:hAnsi="Calibri" w:cs="Calibri"/>
          <w:bCs/>
          <w:iCs/>
          <w:sz w:val="24"/>
        </w:rPr>
        <w:t>e</w:t>
      </w:r>
      <w:r w:rsidRPr="00632AC5">
        <w:rPr>
          <w:rFonts w:ascii="Calibri" w:hAnsi="Calibri" w:cs="Calibri"/>
          <w:bCs/>
          <w:iCs/>
          <w:sz w:val="24"/>
        </w:rPr>
        <w:t xml:space="preserve"> inkasovaných příjmů</w:t>
      </w:r>
      <w:r w:rsidR="00BD438F" w:rsidRPr="00632AC5">
        <w:rPr>
          <w:rFonts w:ascii="Calibri" w:hAnsi="Calibri" w:cs="Calibri"/>
          <w:bCs/>
          <w:iCs/>
          <w:sz w:val="24"/>
        </w:rPr>
        <w:t xml:space="preserve"> z</w:t>
      </w:r>
      <w:r w:rsidR="00CB4494" w:rsidRPr="00632AC5">
        <w:rPr>
          <w:rFonts w:ascii="Calibri" w:hAnsi="Calibri" w:cs="Calibri"/>
          <w:bCs/>
          <w:iCs/>
          <w:sz w:val="24"/>
        </w:rPr>
        <w:t> </w:t>
      </w:r>
      <w:r w:rsidR="00BD438F" w:rsidRPr="00632AC5">
        <w:rPr>
          <w:rFonts w:ascii="Calibri" w:hAnsi="Calibri" w:cs="Calibri"/>
          <w:bCs/>
          <w:iCs/>
          <w:sz w:val="24"/>
        </w:rPr>
        <w:t>pojistného</w:t>
      </w:r>
      <w:r w:rsidR="00CB4494" w:rsidRPr="00632AC5">
        <w:rPr>
          <w:rFonts w:ascii="Calibri" w:hAnsi="Calibri" w:cs="Calibri"/>
          <w:bCs/>
          <w:iCs/>
          <w:sz w:val="24"/>
        </w:rPr>
        <w:t>. D</w:t>
      </w:r>
      <w:r w:rsidR="00BD438F" w:rsidRPr="00632AC5">
        <w:rPr>
          <w:rFonts w:ascii="Calibri" w:hAnsi="Calibri" w:cs="Calibri"/>
          <w:bCs/>
          <w:iCs/>
          <w:sz w:val="24"/>
        </w:rPr>
        <w:t>o</w:t>
      </w:r>
      <w:r w:rsidR="00CB4494" w:rsidRPr="00632AC5">
        <w:rPr>
          <w:rFonts w:ascii="Calibri" w:hAnsi="Calibri" w:cs="Calibri"/>
          <w:bCs/>
          <w:iCs/>
          <w:sz w:val="24"/>
        </w:rPr>
        <w:t xml:space="preserve"> roku 2008 příjmy rostl</w:t>
      </w:r>
      <w:r w:rsidR="00D44813" w:rsidRPr="00632AC5">
        <w:rPr>
          <w:rFonts w:ascii="Calibri" w:hAnsi="Calibri" w:cs="Calibri"/>
          <w:bCs/>
          <w:iCs/>
          <w:sz w:val="24"/>
        </w:rPr>
        <w:t>y.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  <w:r w:rsidR="00E11FBA" w:rsidRPr="00632AC5">
        <w:rPr>
          <w:rFonts w:ascii="Calibri" w:hAnsi="Calibri" w:cs="Calibri"/>
          <w:bCs/>
          <w:iCs/>
          <w:sz w:val="24"/>
        </w:rPr>
        <w:t>Na z</w:t>
      </w:r>
      <w:r w:rsidR="00BC63AC" w:rsidRPr="00632AC5">
        <w:rPr>
          <w:rFonts w:ascii="Calibri" w:hAnsi="Calibri" w:cs="Calibri"/>
          <w:bCs/>
          <w:iCs/>
          <w:sz w:val="24"/>
        </w:rPr>
        <w:t>mírnění tempa růstu příjmů v</w:t>
      </w:r>
      <w:r w:rsidR="00E11FBA" w:rsidRPr="00632AC5">
        <w:rPr>
          <w:rFonts w:ascii="Calibri" w:hAnsi="Calibri" w:cs="Calibri"/>
          <w:bCs/>
          <w:iCs/>
          <w:sz w:val="24"/>
        </w:rPr>
        <w:t> </w:t>
      </w:r>
      <w:r w:rsidR="00BC63AC" w:rsidRPr="00632AC5">
        <w:rPr>
          <w:rFonts w:ascii="Calibri" w:hAnsi="Calibri" w:cs="Calibri"/>
          <w:bCs/>
          <w:iCs/>
          <w:sz w:val="24"/>
        </w:rPr>
        <w:t>následující</w:t>
      </w:r>
      <w:r w:rsidR="00E11FBA" w:rsidRPr="00632AC5">
        <w:rPr>
          <w:rFonts w:ascii="Calibri" w:hAnsi="Calibri" w:cs="Calibri"/>
          <w:bCs/>
          <w:iCs/>
          <w:sz w:val="24"/>
        </w:rPr>
        <w:t xml:space="preserve">m období se </w:t>
      </w:r>
      <w:r w:rsidR="00DB077F" w:rsidRPr="00632AC5">
        <w:rPr>
          <w:rFonts w:ascii="Calibri" w:hAnsi="Calibri" w:cs="Calibri"/>
          <w:bCs/>
          <w:iCs/>
          <w:sz w:val="24"/>
        </w:rPr>
        <w:t>mimo jiné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  <w:r w:rsidR="00E11FBA" w:rsidRPr="00632AC5">
        <w:rPr>
          <w:rFonts w:ascii="Calibri" w:hAnsi="Calibri" w:cs="Calibri"/>
          <w:bCs/>
          <w:iCs/>
          <w:sz w:val="24"/>
        </w:rPr>
        <w:t xml:space="preserve">podílelo </w:t>
      </w:r>
      <w:r w:rsidR="00BC63AC" w:rsidRPr="00632AC5">
        <w:rPr>
          <w:rFonts w:ascii="Calibri" w:hAnsi="Calibri" w:cs="Calibri"/>
          <w:bCs/>
          <w:iCs/>
          <w:sz w:val="24"/>
        </w:rPr>
        <w:t>stanovení maximálního vyměřovacího základu pro placení pojistného na důchodové pojištění</w:t>
      </w:r>
      <w:r w:rsidR="00023FE5">
        <w:rPr>
          <w:rFonts w:ascii="Calibri" w:hAnsi="Calibri" w:cs="Calibri"/>
          <w:bCs/>
          <w:iCs/>
          <w:sz w:val="24"/>
        </w:rPr>
        <w:t>,</w:t>
      </w:r>
      <w:r w:rsidR="00BC63AC" w:rsidRPr="00632AC5">
        <w:rPr>
          <w:rStyle w:val="Znakapoznpodarou"/>
          <w:rFonts w:ascii="Calibri" w:hAnsi="Calibri" w:cs="Calibri"/>
          <w:bCs/>
          <w:iCs/>
          <w:sz w:val="24"/>
        </w:rPr>
        <w:footnoteReference w:id="11"/>
      </w:r>
      <w:r w:rsidR="00023FE5">
        <w:rPr>
          <w:rFonts w:ascii="Calibri" w:hAnsi="Calibri" w:cs="Calibri"/>
          <w:bCs/>
          <w:iCs/>
          <w:sz w:val="24"/>
        </w:rPr>
        <w:t xml:space="preserve"> r</w:t>
      </w:r>
      <w:r w:rsidR="006D358E" w:rsidRPr="00632AC5">
        <w:rPr>
          <w:rFonts w:ascii="Calibri" w:hAnsi="Calibri" w:cs="Calibri"/>
          <w:bCs/>
          <w:iCs/>
          <w:sz w:val="24"/>
        </w:rPr>
        <w:t>ostoucí nezaměstnanost</w:t>
      </w:r>
      <w:r w:rsidR="00023FE5">
        <w:rPr>
          <w:rFonts w:ascii="Calibri" w:hAnsi="Calibri" w:cs="Calibri"/>
          <w:bCs/>
          <w:iCs/>
          <w:sz w:val="24"/>
        </w:rPr>
        <w:t xml:space="preserve"> apod.</w:t>
      </w:r>
    </w:p>
    <w:p w:rsidR="00C25193" w:rsidRPr="00632AC5" w:rsidRDefault="00C25193" w:rsidP="00254A5D">
      <w:pPr>
        <w:ind w:firstLine="0"/>
        <w:rPr>
          <w:rFonts w:asciiTheme="minorHAnsi" w:hAnsiTheme="minorHAnsi" w:cstheme="minorHAnsi"/>
          <w:color w:val="000000"/>
          <w:sz w:val="24"/>
        </w:rPr>
      </w:pPr>
    </w:p>
    <w:p w:rsidR="00096C12" w:rsidRPr="00792245" w:rsidRDefault="008608EA" w:rsidP="00F80CB2">
      <w:pPr>
        <w:pStyle w:val="Nadpis1"/>
        <w:numPr>
          <w:ilvl w:val="0"/>
          <w:numId w:val="0"/>
        </w:numPr>
        <w:rPr>
          <w:rFonts w:ascii="Calibri" w:hAnsi="Calibri" w:cs="Calibri"/>
          <w:color w:val="548DD4" w:themeColor="text2" w:themeTint="99"/>
          <w:sz w:val="24"/>
          <w:szCs w:val="24"/>
        </w:rPr>
      </w:pPr>
      <w:r w:rsidRPr="00792245">
        <w:rPr>
          <w:rFonts w:ascii="Calibri" w:hAnsi="Calibri" w:cs="Calibri"/>
          <w:color w:val="548DD4" w:themeColor="text2" w:themeTint="99"/>
          <w:sz w:val="24"/>
          <w:szCs w:val="24"/>
        </w:rPr>
        <w:t xml:space="preserve">2. </w:t>
      </w:r>
      <w:r w:rsidR="00CE2FEC" w:rsidRPr="00792245">
        <w:rPr>
          <w:rFonts w:ascii="Calibri" w:hAnsi="Calibri" w:cs="Calibri"/>
          <w:color w:val="548DD4" w:themeColor="text2" w:themeTint="99"/>
          <w:sz w:val="24"/>
          <w:szCs w:val="24"/>
        </w:rPr>
        <w:t>Výdaje na d</w:t>
      </w:r>
      <w:r w:rsidR="00BB72DA" w:rsidRPr="00792245">
        <w:rPr>
          <w:rFonts w:ascii="Calibri" w:hAnsi="Calibri" w:cs="Calibri"/>
          <w:color w:val="548DD4" w:themeColor="text2" w:themeTint="99"/>
          <w:sz w:val="24"/>
          <w:szCs w:val="24"/>
        </w:rPr>
        <w:t xml:space="preserve">ávky důchodového pojištění </w:t>
      </w:r>
    </w:p>
    <w:p w:rsidR="008F5D17" w:rsidRPr="00F80CB2" w:rsidRDefault="008F5D17" w:rsidP="00F80CB2">
      <w:pPr>
        <w:ind w:firstLine="0"/>
        <w:rPr>
          <w:rFonts w:asciiTheme="minorHAnsi" w:hAnsiTheme="minorHAnsi" w:cstheme="minorHAnsi"/>
          <w:sz w:val="24"/>
          <w:lang w:eastAsia="cs-CZ"/>
        </w:rPr>
      </w:pPr>
    </w:p>
    <w:p w:rsidR="005837DC" w:rsidRPr="00632AC5" w:rsidRDefault="008F5D17" w:rsidP="008F5D17">
      <w:pPr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</w:rPr>
        <w:t>Z</w:t>
      </w:r>
      <w:r w:rsidR="00BB72DA" w:rsidRPr="00632AC5">
        <w:rPr>
          <w:rFonts w:ascii="Calibri" w:hAnsi="Calibri" w:cs="Calibri"/>
          <w:sz w:val="24"/>
        </w:rPr>
        <w:t>e základního povinného důchodového pojištění</w:t>
      </w:r>
      <w:r w:rsidRPr="00632AC5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</w:rPr>
        <w:t>jsou dávky</w:t>
      </w:r>
      <w:r w:rsidRPr="00632AC5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</w:rPr>
        <w:t>důchodového pojištění poskytovány</w:t>
      </w:r>
      <w:r w:rsidR="00BB72DA" w:rsidRPr="00632AC5">
        <w:rPr>
          <w:rFonts w:ascii="Calibri" w:hAnsi="Calibri" w:cs="Calibri"/>
          <w:sz w:val="24"/>
        </w:rPr>
        <w:t xml:space="preserve"> na základě</w:t>
      </w:r>
      <w:r w:rsidRPr="00632AC5">
        <w:rPr>
          <w:rFonts w:ascii="Calibri" w:hAnsi="Calibri" w:cs="Calibri"/>
          <w:sz w:val="24"/>
        </w:rPr>
        <w:t xml:space="preserve"> </w:t>
      </w:r>
      <w:r w:rsidR="00BB72DA" w:rsidRPr="00632AC5">
        <w:rPr>
          <w:rFonts w:ascii="Calibri" w:hAnsi="Calibri" w:cs="Calibri"/>
          <w:sz w:val="24"/>
        </w:rPr>
        <w:t xml:space="preserve">zákona č. 155/1995 </w:t>
      </w:r>
      <w:proofErr w:type="spellStart"/>
      <w:proofErr w:type="gramStart"/>
      <w:r w:rsidR="00BB72DA" w:rsidRPr="00632AC5">
        <w:rPr>
          <w:rFonts w:ascii="Calibri" w:hAnsi="Calibri" w:cs="Calibri"/>
          <w:sz w:val="24"/>
        </w:rPr>
        <w:t>Sb</w:t>
      </w:r>
      <w:r w:rsidR="00735E6F" w:rsidRPr="00632AC5">
        <w:rPr>
          <w:rFonts w:ascii="Calibri" w:hAnsi="Calibri" w:cs="Calibri"/>
          <w:sz w:val="24"/>
        </w:rPr>
        <w:t>.</w:t>
      </w:r>
      <w:r w:rsidR="00C57414">
        <w:rPr>
          <w:rFonts w:ascii="Calibri" w:hAnsi="Calibri" w:cs="Calibri"/>
          <w:sz w:val="24"/>
          <w:vertAlign w:val="superscript"/>
        </w:rPr>
        <w:t>4</w:t>
      </w:r>
      <w:proofErr w:type="spellEnd"/>
      <w:r w:rsidR="00137113">
        <w:rPr>
          <w:rFonts w:ascii="Calibri" w:hAnsi="Calibri" w:cs="Calibri"/>
          <w:sz w:val="24"/>
        </w:rPr>
        <w:t>,</w:t>
      </w:r>
      <w:r w:rsidR="00137113">
        <w:rPr>
          <w:rFonts w:ascii="Calibri" w:hAnsi="Calibri" w:cs="Calibri"/>
          <w:sz w:val="24"/>
          <w:vertAlign w:val="superscript"/>
        </w:rPr>
        <w:t xml:space="preserve"> </w:t>
      </w:r>
      <w:r w:rsidR="00BB72DA" w:rsidRPr="00632AC5">
        <w:rPr>
          <w:rFonts w:ascii="Calibri" w:hAnsi="Calibri" w:cs="Calibri"/>
          <w:sz w:val="24"/>
        </w:rPr>
        <w:t>který</w:t>
      </w:r>
      <w:proofErr w:type="gramEnd"/>
      <w:r w:rsidR="00BB72DA" w:rsidRPr="00632AC5">
        <w:rPr>
          <w:rFonts w:ascii="Calibri" w:hAnsi="Calibri" w:cs="Calibri"/>
          <w:sz w:val="24"/>
        </w:rPr>
        <w:t xml:space="preserve"> stanovuje nároky</w:t>
      </w:r>
      <w:r w:rsidR="005837DC" w:rsidRPr="00632AC5">
        <w:rPr>
          <w:rFonts w:ascii="Calibri" w:hAnsi="Calibri" w:cs="Calibri"/>
          <w:sz w:val="24"/>
        </w:rPr>
        <w:t xml:space="preserve"> na hmotné zabezpečení</w:t>
      </w:r>
      <w:r w:rsidR="00BB72DA" w:rsidRPr="00632AC5">
        <w:rPr>
          <w:rFonts w:ascii="Calibri" w:hAnsi="Calibri" w:cs="Calibri"/>
          <w:sz w:val="24"/>
        </w:rPr>
        <w:t xml:space="preserve"> pro případ stá</w:t>
      </w:r>
      <w:r w:rsidR="00D44813" w:rsidRPr="00632AC5">
        <w:rPr>
          <w:rFonts w:ascii="Calibri" w:hAnsi="Calibri" w:cs="Calibri"/>
          <w:sz w:val="24"/>
        </w:rPr>
        <w:t xml:space="preserve">ří, invalidity a úmrtí živitele </w:t>
      </w:r>
      <w:r w:rsidR="00673463">
        <w:rPr>
          <w:rFonts w:ascii="Calibri" w:hAnsi="Calibri" w:cs="Calibri"/>
          <w:sz w:val="24"/>
        </w:rPr>
        <w:t>–</w:t>
      </w:r>
      <w:r w:rsidR="00632AC5">
        <w:rPr>
          <w:rFonts w:ascii="Calibri" w:hAnsi="Calibri" w:cs="Calibri"/>
          <w:sz w:val="24"/>
        </w:rPr>
        <w:t xml:space="preserve"> </w:t>
      </w:r>
      <w:r w:rsidR="00D44813" w:rsidRPr="00632AC5">
        <w:rPr>
          <w:rFonts w:ascii="Calibri" w:hAnsi="Calibri" w:cs="Calibri"/>
          <w:sz w:val="24"/>
        </w:rPr>
        <w:t>důchod starobní, invalid</w:t>
      </w:r>
      <w:r w:rsidRPr="00632AC5">
        <w:rPr>
          <w:rFonts w:ascii="Calibri" w:hAnsi="Calibri" w:cs="Calibri"/>
          <w:sz w:val="24"/>
        </w:rPr>
        <w:t xml:space="preserve">ní, vdovský </w:t>
      </w:r>
      <w:r w:rsidR="00673463">
        <w:rPr>
          <w:rFonts w:ascii="Calibri" w:hAnsi="Calibri" w:cs="Calibri"/>
          <w:sz w:val="24"/>
        </w:rPr>
        <w:t xml:space="preserve">nebo </w:t>
      </w:r>
      <w:r w:rsidRPr="00632AC5">
        <w:rPr>
          <w:rFonts w:ascii="Calibri" w:hAnsi="Calibri" w:cs="Calibri"/>
          <w:sz w:val="24"/>
        </w:rPr>
        <w:t>vdovecký</w:t>
      </w:r>
      <w:r w:rsidR="00673463">
        <w:rPr>
          <w:rFonts w:ascii="Calibri" w:hAnsi="Calibri" w:cs="Calibri"/>
          <w:sz w:val="24"/>
        </w:rPr>
        <w:t xml:space="preserve"> a</w:t>
      </w:r>
      <w:r w:rsidRPr="00632AC5">
        <w:rPr>
          <w:rFonts w:ascii="Calibri" w:hAnsi="Calibri" w:cs="Calibri"/>
          <w:sz w:val="24"/>
        </w:rPr>
        <w:t xml:space="preserve"> sirotčí</w:t>
      </w:r>
      <w:r w:rsidR="00D44813" w:rsidRPr="00632AC5">
        <w:rPr>
          <w:rFonts w:ascii="Calibri" w:hAnsi="Calibri" w:cs="Calibri"/>
          <w:sz w:val="24"/>
        </w:rPr>
        <w:t xml:space="preserve">. Dále </w:t>
      </w:r>
      <w:r w:rsidR="00BB72DA" w:rsidRPr="00632AC5">
        <w:rPr>
          <w:rFonts w:ascii="Calibri" w:hAnsi="Calibri" w:cs="Calibri"/>
          <w:sz w:val="24"/>
        </w:rPr>
        <w:t xml:space="preserve">upravuje základní podmínky vzniku nároku na </w:t>
      </w:r>
      <w:r w:rsidR="00D44813" w:rsidRPr="00632AC5">
        <w:rPr>
          <w:rFonts w:ascii="Calibri" w:hAnsi="Calibri" w:cs="Calibri"/>
          <w:sz w:val="24"/>
        </w:rPr>
        <w:t>důchod a</w:t>
      </w:r>
      <w:r w:rsidR="00673463">
        <w:rPr>
          <w:rFonts w:ascii="Calibri" w:hAnsi="Calibri" w:cs="Calibri"/>
          <w:sz w:val="24"/>
        </w:rPr>
        <w:t> </w:t>
      </w:r>
      <w:r w:rsidR="00BB72DA" w:rsidRPr="00632AC5">
        <w:rPr>
          <w:rFonts w:ascii="Calibri" w:hAnsi="Calibri" w:cs="Calibri"/>
          <w:sz w:val="24"/>
        </w:rPr>
        <w:t>parametry výpočtu je</w:t>
      </w:r>
      <w:r w:rsidR="00BA654E" w:rsidRPr="00632AC5">
        <w:rPr>
          <w:rFonts w:ascii="Calibri" w:hAnsi="Calibri" w:cs="Calibri"/>
          <w:sz w:val="24"/>
        </w:rPr>
        <w:t>ho</w:t>
      </w:r>
      <w:r w:rsidR="00BB72DA" w:rsidRPr="00632AC5">
        <w:rPr>
          <w:rFonts w:ascii="Calibri" w:hAnsi="Calibri" w:cs="Calibri"/>
          <w:sz w:val="24"/>
        </w:rPr>
        <w:t xml:space="preserve"> výše</w:t>
      </w:r>
      <w:r w:rsidR="00D44813" w:rsidRPr="00632AC5">
        <w:rPr>
          <w:rFonts w:ascii="Calibri" w:hAnsi="Calibri" w:cs="Calibri"/>
          <w:sz w:val="24"/>
        </w:rPr>
        <w:t xml:space="preserve">. </w:t>
      </w:r>
    </w:p>
    <w:p w:rsidR="00BB72DA" w:rsidRPr="00F80CB2" w:rsidRDefault="00BB72DA" w:rsidP="00F80CB2">
      <w:pPr>
        <w:ind w:firstLine="0"/>
        <w:rPr>
          <w:rFonts w:ascii="Calibri" w:hAnsi="Calibri" w:cs="Calibri"/>
          <w:sz w:val="24"/>
          <w:lang w:eastAsia="cs-CZ"/>
        </w:rPr>
      </w:pPr>
    </w:p>
    <w:p w:rsidR="000333F8" w:rsidRPr="00632AC5" w:rsidRDefault="00D44813" w:rsidP="000333F8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  <w:lang w:eastAsia="cs-CZ"/>
        </w:rPr>
        <w:t xml:space="preserve">Na vybraném vzorku </w:t>
      </w:r>
      <w:r w:rsidR="002E3F19" w:rsidRPr="00632AC5">
        <w:rPr>
          <w:rFonts w:ascii="Calibri" w:hAnsi="Calibri" w:cs="Calibri"/>
          <w:sz w:val="24"/>
          <w:lang w:eastAsia="cs-CZ"/>
        </w:rPr>
        <w:t xml:space="preserve">případů bylo </w:t>
      </w:r>
      <w:r w:rsidR="00673463">
        <w:rPr>
          <w:rFonts w:ascii="Calibri" w:hAnsi="Calibri" w:cs="Calibri"/>
          <w:sz w:val="24"/>
          <w:lang w:eastAsia="cs-CZ"/>
        </w:rPr>
        <w:t>u</w:t>
      </w:r>
      <w:r w:rsidR="006D358E" w:rsidRPr="00632AC5">
        <w:rPr>
          <w:rFonts w:ascii="Calibri" w:hAnsi="Calibri" w:cs="Calibri"/>
          <w:sz w:val="24"/>
          <w:lang w:eastAsia="cs-CZ"/>
        </w:rPr>
        <w:t xml:space="preserve"> MV a MO </w:t>
      </w:r>
      <w:r w:rsidR="002E3F19" w:rsidRPr="00632AC5">
        <w:rPr>
          <w:rFonts w:ascii="Calibri" w:hAnsi="Calibri" w:cs="Calibri"/>
          <w:sz w:val="24"/>
          <w:lang w:eastAsia="cs-CZ"/>
        </w:rPr>
        <w:t xml:space="preserve">ověřováno, zda </w:t>
      </w:r>
      <w:r w:rsidR="00735E6F" w:rsidRPr="00632AC5">
        <w:rPr>
          <w:rFonts w:ascii="Calibri" w:hAnsi="Calibri" w:cs="Calibri"/>
          <w:sz w:val="24"/>
          <w:lang w:eastAsia="cs-CZ"/>
        </w:rPr>
        <w:t>b</w:t>
      </w:r>
      <w:r w:rsidRPr="00632AC5">
        <w:rPr>
          <w:rFonts w:ascii="Calibri" w:hAnsi="Calibri" w:cs="Calibri"/>
          <w:sz w:val="24"/>
          <w:lang w:eastAsia="cs-CZ"/>
        </w:rPr>
        <w:t>yly splněny podmínk</w:t>
      </w:r>
      <w:r w:rsidR="008F5D17" w:rsidRPr="00632AC5">
        <w:rPr>
          <w:rFonts w:ascii="Calibri" w:hAnsi="Calibri" w:cs="Calibri"/>
          <w:sz w:val="24"/>
          <w:lang w:eastAsia="cs-CZ"/>
        </w:rPr>
        <w:t>y pro přiznání nároku na důchod,</w:t>
      </w:r>
      <w:r w:rsidR="001D56D4">
        <w:rPr>
          <w:rFonts w:ascii="Calibri" w:hAnsi="Calibri" w:cs="Calibri"/>
          <w:sz w:val="24"/>
          <w:lang w:eastAsia="cs-CZ"/>
        </w:rPr>
        <w:t xml:space="preserve"> </w:t>
      </w:r>
      <w:r w:rsidR="00673463">
        <w:rPr>
          <w:rFonts w:ascii="Calibri" w:hAnsi="Calibri" w:cs="Calibri"/>
          <w:sz w:val="24"/>
          <w:lang w:eastAsia="cs-CZ"/>
        </w:rPr>
        <w:t>tedy</w:t>
      </w:r>
      <w:r w:rsidR="001D56D4">
        <w:rPr>
          <w:rFonts w:ascii="Calibri" w:hAnsi="Calibri" w:cs="Calibri"/>
          <w:sz w:val="24"/>
          <w:lang w:eastAsia="cs-CZ"/>
        </w:rPr>
        <w:t xml:space="preserve"> </w:t>
      </w:r>
      <w:r w:rsidR="002E3F19" w:rsidRPr="00632AC5">
        <w:rPr>
          <w:rFonts w:ascii="Calibri" w:hAnsi="Calibri" w:cs="Calibri"/>
          <w:sz w:val="24"/>
        </w:rPr>
        <w:t xml:space="preserve">zda byl nárok </w:t>
      </w:r>
      <w:r w:rsidR="00BA654E" w:rsidRPr="00632AC5">
        <w:rPr>
          <w:rFonts w:ascii="Calibri" w:hAnsi="Calibri" w:cs="Calibri"/>
          <w:sz w:val="24"/>
        </w:rPr>
        <w:t xml:space="preserve">žadatelem </w:t>
      </w:r>
      <w:r w:rsidR="008F5D17" w:rsidRPr="00632AC5">
        <w:rPr>
          <w:rFonts w:ascii="Calibri" w:hAnsi="Calibri" w:cs="Calibri"/>
          <w:sz w:val="24"/>
        </w:rPr>
        <w:t>řádně doložen</w:t>
      </w:r>
      <w:r w:rsidR="00673463">
        <w:rPr>
          <w:rFonts w:ascii="Calibri" w:hAnsi="Calibri" w:cs="Calibri"/>
          <w:sz w:val="24"/>
        </w:rPr>
        <w:t>,</w:t>
      </w:r>
      <w:r w:rsidR="008F5D17" w:rsidRPr="00632AC5">
        <w:rPr>
          <w:rFonts w:ascii="Calibri" w:hAnsi="Calibri" w:cs="Calibri"/>
          <w:sz w:val="24"/>
        </w:rPr>
        <w:t xml:space="preserve"> a</w:t>
      </w:r>
      <w:r w:rsidR="00673463">
        <w:rPr>
          <w:rFonts w:ascii="Calibri" w:hAnsi="Calibri" w:cs="Calibri"/>
          <w:sz w:val="24"/>
        </w:rPr>
        <w:t xml:space="preserve"> zda byl</w:t>
      </w:r>
      <w:r w:rsidR="008F5D17" w:rsidRPr="00632AC5">
        <w:rPr>
          <w:rFonts w:ascii="Calibri" w:hAnsi="Calibri" w:cs="Calibri"/>
          <w:sz w:val="24"/>
        </w:rPr>
        <w:t xml:space="preserve"> důchod řádně vypočítán.</w:t>
      </w:r>
      <w:r w:rsidR="002E3F19" w:rsidRPr="00632AC5">
        <w:rPr>
          <w:rFonts w:ascii="Calibri" w:hAnsi="Calibri" w:cs="Calibri"/>
          <w:sz w:val="24"/>
        </w:rPr>
        <w:t xml:space="preserve"> </w:t>
      </w:r>
      <w:r w:rsidR="00B7027A" w:rsidRPr="00632AC5">
        <w:rPr>
          <w:rFonts w:ascii="Calibri" w:hAnsi="Calibri" w:cs="Calibri"/>
          <w:sz w:val="24"/>
        </w:rPr>
        <w:t>Stejné ověřování</w:t>
      </w:r>
      <w:r w:rsidR="00B7027A" w:rsidRPr="00632AC5">
        <w:rPr>
          <w:rFonts w:ascii="Calibri" w:hAnsi="Calibri" w:cs="Calibri"/>
          <w:sz w:val="24"/>
          <w:lang w:eastAsia="cs-CZ"/>
        </w:rPr>
        <w:t xml:space="preserve"> nebylo prováděno</w:t>
      </w:r>
      <w:r w:rsidR="002E3F19" w:rsidRPr="00632AC5">
        <w:rPr>
          <w:rFonts w:ascii="Calibri" w:hAnsi="Calibri" w:cs="Calibri"/>
          <w:sz w:val="24"/>
          <w:lang w:eastAsia="cs-CZ"/>
        </w:rPr>
        <w:t xml:space="preserve"> </w:t>
      </w:r>
      <w:r w:rsidR="00673463">
        <w:rPr>
          <w:rFonts w:ascii="Calibri" w:hAnsi="Calibri" w:cs="Calibri"/>
          <w:sz w:val="24"/>
          <w:lang w:eastAsia="cs-CZ"/>
        </w:rPr>
        <w:t>u</w:t>
      </w:r>
      <w:r w:rsidR="002E3F19" w:rsidRPr="00632AC5">
        <w:rPr>
          <w:rFonts w:ascii="Calibri" w:hAnsi="Calibri" w:cs="Calibri"/>
          <w:sz w:val="24"/>
          <w:lang w:eastAsia="cs-CZ"/>
        </w:rPr>
        <w:t xml:space="preserve"> MPSV, resp. </w:t>
      </w:r>
      <w:r w:rsidR="00673463">
        <w:rPr>
          <w:rFonts w:ascii="Calibri" w:hAnsi="Calibri" w:cs="Calibri"/>
          <w:sz w:val="24"/>
          <w:lang w:eastAsia="cs-CZ"/>
        </w:rPr>
        <w:t>u</w:t>
      </w:r>
      <w:r w:rsidR="002E3F19" w:rsidRPr="00632AC5">
        <w:rPr>
          <w:rFonts w:ascii="Calibri" w:hAnsi="Calibri" w:cs="Calibri"/>
          <w:sz w:val="24"/>
          <w:lang w:eastAsia="cs-CZ"/>
        </w:rPr>
        <w:t xml:space="preserve"> ČSSZ, s ohledem na</w:t>
      </w:r>
      <w:r w:rsidR="00B7027A" w:rsidRPr="00632AC5">
        <w:rPr>
          <w:rFonts w:ascii="Calibri" w:hAnsi="Calibri" w:cs="Calibri"/>
          <w:sz w:val="24"/>
          <w:lang w:eastAsia="cs-CZ"/>
        </w:rPr>
        <w:t xml:space="preserve"> výsledek</w:t>
      </w:r>
      <w:r w:rsidR="006806DB" w:rsidRPr="00632AC5">
        <w:rPr>
          <w:rFonts w:ascii="Calibri" w:hAnsi="Calibri" w:cs="Calibri"/>
          <w:bCs/>
          <w:iCs/>
          <w:sz w:val="24"/>
        </w:rPr>
        <w:t xml:space="preserve"> komplexní</w:t>
      </w:r>
      <w:r w:rsidR="00B7027A" w:rsidRPr="00632AC5">
        <w:rPr>
          <w:rFonts w:ascii="Calibri" w:hAnsi="Calibri" w:cs="Calibri"/>
          <w:bCs/>
          <w:iCs/>
          <w:sz w:val="24"/>
        </w:rPr>
        <w:t>ho</w:t>
      </w:r>
      <w:r w:rsidR="006806DB" w:rsidRPr="00632AC5">
        <w:rPr>
          <w:rFonts w:ascii="Calibri" w:hAnsi="Calibri" w:cs="Calibri"/>
          <w:bCs/>
          <w:iCs/>
          <w:sz w:val="24"/>
        </w:rPr>
        <w:t xml:space="preserve"> </w:t>
      </w:r>
      <w:r w:rsidR="002E3F19" w:rsidRPr="00632AC5">
        <w:rPr>
          <w:rFonts w:ascii="Calibri" w:hAnsi="Calibri" w:cs="Calibri"/>
          <w:bCs/>
          <w:iCs/>
          <w:sz w:val="24"/>
        </w:rPr>
        <w:t>testován</w:t>
      </w:r>
      <w:r w:rsidR="006806DB" w:rsidRPr="00632AC5">
        <w:rPr>
          <w:rFonts w:ascii="Calibri" w:hAnsi="Calibri" w:cs="Calibri"/>
          <w:bCs/>
          <w:iCs/>
          <w:sz w:val="24"/>
        </w:rPr>
        <w:t>í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  <w:r w:rsidR="002E3F19" w:rsidRPr="00632AC5">
        <w:rPr>
          <w:rFonts w:ascii="Calibri" w:hAnsi="Calibri" w:cs="Calibri"/>
          <w:bCs/>
          <w:iCs/>
          <w:sz w:val="24"/>
        </w:rPr>
        <w:t>v</w:t>
      </w:r>
      <w:r w:rsidR="009B009E" w:rsidRPr="00632AC5">
        <w:rPr>
          <w:rFonts w:ascii="Calibri" w:hAnsi="Calibri" w:cs="Calibri"/>
          <w:bCs/>
          <w:iCs/>
          <w:sz w:val="24"/>
        </w:rPr>
        <w:t> </w:t>
      </w:r>
      <w:r w:rsidR="002E3F19" w:rsidRPr="00632AC5">
        <w:rPr>
          <w:rFonts w:ascii="Calibri" w:hAnsi="Calibri" w:cs="Calibri"/>
          <w:bCs/>
          <w:iCs/>
          <w:sz w:val="24"/>
        </w:rPr>
        <w:t>rámci</w:t>
      </w:r>
      <w:r w:rsidR="009B009E" w:rsidRPr="00632AC5">
        <w:rPr>
          <w:rFonts w:ascii="Calibri" w:hAnsi="Calibri" w:cs="Calibri"/>
          <w:bCs/>
          <w:iCs/>
          <w:sz w:val="24"/>
        </w:rPr>
        <w:t xml:space="preserve"> </w:t>
      </w:r>
      <w:r w:rsidR="007C6BC3" w:rsidRPr="00632AC5">
        <w:rPr>
          <w:rFonts w:ascii="Calibri" w:hAnsi="Calibri" w:cs="Calibri"/>
          <w:bCs/>
          <w:iCs/>
          <w:sz w:val="24"/>
        </w:rPr>
        <w:t>předchozích</w:t>
      </w:r>
      <w:r w:rsidR="009B009E" w:rsidRPr="00632AC5">
        <w:rPr>
          <w:rFonts w:ascii="Calibri" w:hAnsi="Calibri" w:cs="Calibri"/>
          <w:bCs/>
          <w:iCs/>
          <w:sz w:val="24"/>
        </w:rPr>
        <w:t xml:space="preserve"> kontrolních akcí</w:t>
      </w:r>
      <w:r w:rsidR="00673463" w:rsidRPr="00632AC5">
        <w:rPr>
          <w:rStyle w:val="Znakapoznpodarou"/>
          <w:rFonts w:ascii="Calibri" w:hAnsi="Calibri" w:cs="Calibri"/>
          <w:bCs/>
          <w:iCs/>
          <w:sz w:val="24"/>
        </w:rPr>
        <w:footnoteReference w:id="12"/>
      </w:r>
      <w:r w:rsidR="009B009E" w:rsidRPr="00632AC5">
        <w:rPr>
          <w:rFonts w:ascii="Calibri" w:hAnsi="Calibri" w:cs="Calibri"/>
          <w:bCs/>
          <w:iCs/>
          <w:sz w:val="24"/>
        </w:rPr>
        <w:t xml:space="preserve"> NKÚ</w:t>
      </w:r>
      <w:r w:rsidR="008F5D17" w:rsidRPr="00632AC5">
        <w:rPr>
          <w:rFonts w:ascii="Calibri" w:hAnsi="Calibri" w:cs="Calibri"/>
          <w:bCs/>
          <w:iCs/>
          <w:sz w:val="24"/>
        </w:rPr>
        <w:t>.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</w:p>
    <w:p w:rsidR="00B7027A" w:rsidRPr="00632AC5" w:rsidRDefault="00B7027A" w:rsidP="00496D2C">
      <w:pPr>
        <w:ind w:firstLine="0"/>
        <w:rPr>
          <w:rFonts w:ascii="Calibri" w:hAnsi="Calibri" w:cs="Calibri"/>
          <w:sz w:val="24"/>
        </w:rPr>
      </w:pPr>
    </w:p>
    <w:p w:rsidR="002E3F19" w:rsidRPr="00632AC5" w:rsidRDefault="0048181C" w:rsidP="00496D2C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Kontrol</w:t>
      </w:r>
      <w:r w:rsidR="00673463">
        <w:rPr>
          <w:rFonts w:ascii="Calibri" w:hAnsi="Calibri" w:cs="Calibri"/>
          <w:sz w:val="24"/>
        </w:rPr>
        <w:t>a</w:t>
      </w:r>
      <w:r w:rsidRPr="00632AC5">
        <w:rPr>
          <w:rFonts w:ascii="Calibri" w:hAnsi="Calibri" w:cs="Calibri"/>
          <w:sz w:val="24"/>
        </w:rPr>
        <w:t xml:space="preserve"> nároku na důchod </w:t>
      </w:r>
      <w:r w:rsidR="00673463">
        <w:rPr>
          <w:rFonts w:ascii="Calibri" w:hAnsi="Calibri" w:cs="Calibri"/>
          <w:sz w:val="24"/>
        </w:rPr>
        <w:t>i</w:t>
      </w:r>
      <w:r w:rsidRPr="00632AC5">
        <w:rPr>
          <w:rFonts w:ascii="Calibri" w:hAnsi="Calibri" w:cs="Calibri"/>
          <w:sz w:val="24"/>
        </w:rPr>
        <w:t xml:space="preserve"> </w:t>
      </w:r>
      <w:r w:rsidR="00673463">
        <w:rPr>
          <w:rFonts w:ascii="Calibri" w:hAnsi="Calibri" w:cs="Calibri"/>
          <w:sz w:val="24"/>
        </w:rPr>
        <w:t xml:space="preserve">kontrola </w:t>
      </w:r>
      <w:r w:rsidRPr="00632AC5">
        <w:rPr>
          <w:rFonts w:ascii="Calibri" w:hAnsi="Calibri" w:cs="Calibri"/>
          <w:sz w:val="24"/>
        </w:rPr>
        <w:t>stanovení jeho výše</w:t>
      </w:r>
      <w:r w:rsidR="00B7027A" w:rsidRP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byl</w:t>
      </w:r>
      <w:r w:rsidR="00673463">
        <w:rPr>
          <w:rFonts w:ascii="Calibri" w:hAnsi="Calibri" w:cs="Calibri"/>
          <w:sz w:val="24"/>
        </w:rPr>
        <w:t>y</w:t>
      </w:r>
      <w:r w:rsidRPr="00632AC5">
        <w:rPr>
          <w:rFonts w:ascii="Calibri" w:hAnsi="Calibri" w:cs="Calibri"/>
          <w:sz w:val="24"/>
        </w:rPr>
        <w:t xml:space="preserve"> proveden</w:t>
      </w:r>
      <w:r w:rsidR="00673463">
        <w:rPr>
          <w:rFonts w:ascii="Calibri" w:hAnsi="Calibri" w:cs="Calibri"/>
          <w:sz w:val="24"/>
        </w:rPr>
        <w:t>y</w:t>
      </w:r>
      <w:r w:rsidR="007C6BC3" w:rsidRPr="00632AC5">
        <w:rPr>
          <w:rFonts w:ascii="Calibri" w:hAnsi="Calibri" w:cs="Calibri"/>
          <w:sz w:val="24"/>
        </w:rPr>
        <w:t xml:space="preserve"> podle právní úpravy </w:t>
      </w:r>
      <w:r w:rsidR="006806DB" w:rsidRPr="00632AC5">
        <w:rPr>
          <w:rFonts w:ascii="Calibri" w:hAnsi="Calibri" w:cs="Calibri"/>
          <w:sz w:val="24"/>
        </w:rPr>
        <w:t xml:space="preserve">platné </w:t>
      </w:r>
      <w:r w:rsidR="007C6BC3" w:rsidRPr="00632AC5">
        <w:rPr>
          <w:rFonts w:ascii="Calibri" w:hAnsi="Calibri" w:cs="Calibri"/>
          <w:sz w:val="24"/>
        </w:rPr>
        <w:t>v době přiznání důchodu</w:t>
      </w:r>
      <w:r w:rsidR="006806DB" w:rsidRPr="00632AC5">
        <w:rPr>
          <w:rFonts w:ascii="Calibri" w:hAnsi="Calibri" w:cs="Calibri"/>
          <w:sz w:val="24"/>
        </w:rPr>
        <w:t>, d</w:t>
      </w:r>
      <w:r w:rsidR="00795AFF" w:rsidRPr="00632AC5">
        <w:rPr>
          <w:rFonts w:ascii="Calibri" w:hAnsi="Calibri" w:cs="Calibri"/>
          <w:sz w:val="24"/>
        </w:rPr>
        <w:t>ále b</w:t>
      </w:r>
      <w:r w:rsidR="0048195F" w:rsidRPr="00632AC5">
        <w:rPr>
          <w:rFonts w:ascii="Calibri" w:hAnsi="Calibri" w:cs="Calibri"/>
          <w:sz w:val="24"/>
        </w:rPr>
        <w:t>yly</w:t>
      </w:r>
      <w:r w:rsidR="00FC4BD1" w:rsidRPr="00632AC5">
        <w:rPr>
          <w:rFonts w:ascii="Calibri" w:hAnsi="Calibri" w:cs="Calibri"/>
          <w:sz w:val="24"/>
        </w:rPr>
        <w:t xml:space="preserve"> zohledněny všechny změny zákonů</w:t>
      </w:r>
      <w:r w:rsidR="0048195F" w:rsidRPr="00632AC5">
        <w:rPr>
          <w:rFonts w:ascii="Calibri" w:hAnsi="Calibri" w:cs="Calibri"/>
          <w:sz w:val="24"/>
        </w:rPr>
        <w:t xml:space="preserve">, </w:t>
      </w:r>
      <w:r w:rsidR="00FC4BD1" w:rsidRPr="00632AC5">
        <w:rPr>
          <w:rFonts w:ascii="Calibri" w:hAnsi="Calibri" w:cs="Calibri"/>
          <w:sz w:val="24"/>
        </w:rPr>
        <w:t>které měly vliv na způsob výpočtu již přiznaných a vyplácených důchodů</w:t>
      </w:r>
      <w:r w:rsidR="009B009E" w:rsidRPr="00632AC5">
        <w:rPr>
          <w:rFonts w:ascii="Calibri" w:hAnsi="Calibri" w:cs="Calibri"/>
          <w:sz w:val="24"/>
        </w:rPr>
        <w:t>,</w:t>
      </w:r>
      <w:r w:rsidR="00613D5D" w:rsidRPr="00632AC5">
        <w:rPr>
          <w:rFonts w:ascii="Calibri" w:hAnsi="Calibri" w:cs="Calibri"/>
          <w:sz w:val="24"/>
        </w:rPr>
        <w:t xml:space="preserve"> </w:t>
      </w:r>
      <w:r w:rsidR="002E3F19" w:rsidRPr="00632AC5">
        <w:rPr>
          <w:rFonts w:ascii="Calibri" w:hAnsi="Calibri" w:cs="Calibri"/>
          <w:sz w:val="24"/>
        </w:rPr>
        <w:t xml:space="preserve">včetně </w:t>
      </w:r>
      <w:r w:rsidR="00FC4BD1" w:rsidRPr="00632AC5">
        <w:rPr>
          <w:rFonts w:ascii="Calibri" w:hAnsi="Calibri" w:cs="Calibri"/>
          <w:sz w:val="24"/>
        </w:rPr>
        <w:t>valorizac</w:t>
      </w:r>
      <w:r w:rsidR="002E3F19" w:rsidRPr="00632AC5">
        <w:rPr>
          <w:rFonts w:ascii="Calibri" w:hAnsi="Calibri" w:cs="Calibri"/>
          <w:sz w:val="24"/>
        </w:rPr>
        <w:t>í</w:t>
      </w:r>
      <w:r w:rsidR="006806DB" w:rsidRPr="00632AC5">
        <w:rPr>
          <w:rFonts w:ascii="Calibri" w:hAnsi="Calibri" w:cs="Calibri"/>
          <w:sz w:val="24"/>
        </w:rPr>
        <w:t xml:space="preserve">. </w:t>
      </w:r>
      <w:r w:rsidRPr="00632AC5">
        <w:rPr>
          <w:rFonts w:ascii="Calibri" w:hAnsi="Calibri" w:cs="Calibri"/>
          <w:sz w:val="24"/>
        </w:rPr>
        <w:t>N</w:t>
      </w:r>
      <w:r w:rsidR="009B009E" w:rsidRPr="00632AC5">
        <w:rPr>
          <w:rFonts w:ascii="Calibri" w:hAnsi="Calibri" w:cs="Calibri"/>
          <w:sz w:val="24"/>
        </w:rPr>
        <w:t xml:space="preserve">a vzorku </w:t>
      </w:r>
      <w:r w:rsidR="00795AFF" w:rsidRPr="00632AC5">
        <w:rPr>
          <w:rFonts w:ascii="Calibri" w:hAnsi="Calibri" w:cs="Calibri"/>
          <w:sz w:val="24"/>
        </w:rPr>
        <w:t>bylo</w:t>
      </w:r>
      <w:r w:rsidR="003A2A23" w:rsidRPr="00632AC5">
        <w:rPr>
          <w:rFonts w:ascii="Calibri" w:hAnsi="Calibri" w:cs="Calibri"/>
          <w:sz w:val="24"/>
        </w:rPr>
        <w:t xml:space="preserve"> </w:t>
      </w:r>
      <w:r w:rsidR="009B009E" w:rsidRPr="00632AC5">
        <w:rPr>
          <w:rFonts w:ascii="Calibri" w:hAnsi="Calibri" w:cs="Calibri"/>
          <w:sz w:val="24"/>
        </w:rPr>
        <w:t>ověřeno</w:t>
      </w:r>
      <w:r w:rsidR="00C57414">
        <w:rPr>
          <w:rFonts w:ascii="Calibri" w:hAnsi="Calibri" w:cs="Calibri"/>
          <w:sz w:val="24"/>
        </w:rPr>
        <w:t>,</w:t>
      </w:r>
      <w:r w:rsidR="00C57414" w:rsidRPr="00C57414">
        <w:rPr>
          <w:rFonts w:ascii="Calibri" w:hAnsi="Calibri" w:cs="Calibri"/>
          <w:sz w:val="24"/>
        </w:rPr>
        <w:t xml:space="preserve"> </w:t>
      </w:r>
      <w:r w:rsidR="009B009E" w:rsidRPr="00632AC5">
        <w:rPr>
          <w:rFonts w:ascii="Calibri" w:hAnsi="Calibri" w:cs="Calibri"/>
          <w:sz w:val="24"/>
        </w:rPr>
        <w:t>že v testovaném období byla příjemc</w:t>
      </w:r>
      <w:r w:rsidR="00673463">
        <w:rPr>
          <w:rFonts w:ascii="Calibri" w:hAnsi="Calibri" w:cs="Calibri"/>
          <w:sz w:val="24"/>
        </w:rPr>
        <w:t>ům</w:t>
      </w:r>
      <w:r w:rsidR="009B009E" w:rsidRPr="00632AC5">
        <w:rPr>
          <w:rFonts w:ascii="Calibri" w:hAnsi="Calibri" w:cs="Calibri"/>
          <w:sz w:val="24"/>
        </w:rPr>
        <w:t xml:space="preserve"> dáv</w:t>
      </w:r>
      <w:r w:rsidR="00673463">
        <w:rPr>
          <w:rFonts w:ascii="Calibri" w:hAnsi="Calibri" w:cs="Calibri"/>
          <w:sz w:val="24"/>
        </w:rPr>
        <w:t>e</w:t>
      </w:r>
      <w:r w:rsidR="009B009E" w:rsidRPr="00632AC5">
        <w:rPr>
          <w:rFonts w:ascii="Calibri" w:hAnsi="Calibri" w:cs="Calibri"/>
          <w:sz w:val="24"/>
        </w:rPr>
        <w:t xml:space="preserve">k důchodového pojištění předepsána </w:t>
      </w:r>
      <w:r w:rsidR="00B929E6">
        <w:rPr>
          <w:rFonts w:ascii="Calibri" w:hAnsi="Calibri" w:cs="Calibri"/>
          <w:sz w:val="24"/>
        </w:rPr>
        <w:t xml:space="preserve">jak </w:t>
      </w:r>
      <w:r w:rsidR="00B929E6">
        <w:rPr>
          <w:rFonts w:ascii="Calibri" w:hAnsi="Calibri" w:cs="Calibri"/>
          <w:b/>
          <w:sz w:val="24"/>
        </w:rPr>
        <w:t>MO</w:t>
      </w:r>
      <w:r w:rsidR="00760CD3">
        <w:rPr>
          <w:rFonts w:ascii="Calibri" w:hAnsi="Calibri" w:cs="Calibri"/>
          <w:b/>
          <w:sz w:val="24"/>
        </w:rPr>
        <w:t>,</w:t>
      </w:r>
      <w:r w:rsidR="00B929E6">
        <w:rPr>
          <w:rFonts w:ascii="Calibri" w:hAnsi="Calibri" w:cs="Calibri"/>
          <w:b/>
          <w:sz w:val="24"/>
        </w:rPr>
        <w:t xml:space="preserve"> </w:t>
      </w:r>
      <w:r w:rsidR="00B929E6" w:rsidRPr="00B929E6">
        <w:rPr>
          <w:rFonts w:ascii="Calibri" w:hAnsi="Calibri" w:cs="Calibri"/>
          <w:sz w:val="24"/>
        </w:rPr>
        <w:t>tak</w:t>
      </w:r>
      <w:r w:rsidR="00B929E6">
        <w:rPr>
          <w:rFonts w:ascii="Calibri" w:hAnsi="Calibri" w:cs="Calibri"/>
          <w:b/>
          <w:sz w:val="24"/>
        </w:rPr>
        <w:t xml:space="preserve"> </w:t>
      </w:r>
      <w:r w:rsidR="00C57414" w:rsidRPr="00632AC5">
        <w:rPr>
          <w:rFonts w:ascii="Calibri" w:hAnsi="Calibri" w:cs="Calibri"/>
          <w:b/>
          <w:sz w:val="24"/>
        </w:rPr>
        <w:t>MV</w:t>
      </w:r>
      <w:r w:rsidR="00C57414" w:rsidRPr="00632AC5">
        <w:rPr>
          <w:rFonts w:ascii="Calibri" w:hAnsi="Calibri" w:cs="Calibri"/>
          <w:sz w:val="24"/>
        </w:rPr>
        <w:t xml:space="preserve"> </w:t>
      </w:r>
      <w:r w:rsidR="009B009E" w:rsidRPr="00632AC5">
        <w:rPr>
          <w:rFonts w:ascii="Calibri" w:hAnsi="Calibri" w:cs="Calibri"/>
          <w:sz w:val="24"/>
        </w:rPr>
        <w:t>správná výše důchodu a</w:t>
      </w:r>
      <w:r w:rsidR="008D0222" w:rsidRPr="00632AC5">
        <w:rPr>
          <w:rFonts w:ascii="Calibri" w:hAnsi="Calibri" w:cs="Calibri"/>
          <w:sz w:val="24"/>
        </w:rPr>
        <w:t> </w:t>
      </w:r>
      <w:r w:rsidR="009B009E" w:rsidRPr="00632AC5">
        <w:rPr>
          <w:rFonts w:ascii="Calibri" w:hAnsi="Calibri" w:cs="Calibri"/>
          <w:sz w:val="24"/>
        </w:rPr>
        <w:t xml:space="preserve">v době, kdy byl nárok na důchod přiznán, </w:t>
      </w:r>
      <w:r w:rsidR="00BA654E" w:rsidRPr="00632AC5">
        <w:rPr>
          <w:rFonts w:ascii="Calibri" w:hAnsi="Calibri" w:cs="Calibri"/>
          <w:sz w:val="24"/>
        </w:rPr>
        <w:t xml:space="preserve">byly </w:t>
      </w:r>
      <w:r w:rsidR="001D56D4">
        <w:rPr>
          <w:rFonts w:ascii="Calibri" w:hAnsi="Calibri" w:cs="Calibri"/>
          <w:sz w:val="24"/>
        </w:rPr>
        <w:t xml:space="preserve">žadatelem </w:t>
      </w:r>
      <w:r w:rsidR="009B009E" w:rsidRPr="00632AC5">
        <w:rPr>
          <w:rFonts w:ascii="Calibri" w:hAnsi="Calibri" w:cs="Calibri"/>
          <w:sz w:val="24"/>
        </w:rPr>
        <w:t>spln</w:t>
      </w:r>
      <w:r w:rsidR="00BA654E" w:rsidRPr="00632AC5">
        <w:rPr>
          <w:rFonts w:ascii="Calibri" w:hAnsi="Calibri" w:cs="Calibri"/>
          <w:sz w:val="24"/>
        </w:rPr>
        <w:t xml:space="preserve">ěny </w:t>
      </w:r>
      <w:r w:rsidR="009B009E" w:rsidRPr="00632AC5">
        <w:rPr>
          <w:rFonts w:ascii="Calibri" w:hAnsi="Calibri" w:cs="Calibri"/>
          <w:sz w:val="24"/>
        </w:rPr>
        <w:t>všechny zákonné podmínky pro přiznání důchodu</w:t>
      </w:r>
      <w:r w:rsidR="00FC4BD1" w:rsidRPr="00632AC5">
        <w:rPr>
          <w:rFonts w:ascii="Calibri" w:hAnsi="Calibri" w:cs="Calibri"/>
          <w:sz w:val="24"/>
        </w:rPr>
        <w:t>.</w:t>
      </w:r>
      <w:r w:rsidR="007212BA" w:rsidRPr="00632AC5">
        <w:rPr>
          <w:rFonts w:ascii="Calibri" w:hAnsi="Calibri" w:cs="Calibri"/>
          <w:sz w:val="24"/>
        </w:rPr>
        <w:t xml:space="preserve"> </w:t>
      </w:r>
    </w:p>
    <w:p w:rsidR="009B009E" w:rsidRPr="00632AC5" w:rsidRDefault="009B009E" w:rsidP="00496D2C">
      <w:pPr>
        <w:ind w:firstLine="0"/>
        <w:rPr>
          <w:rFonts w:ascii="Calibri" w:hAnsi="Calibri" w:cs="Calibri"/>
          <w:b/>
          <w:sz w:val="24"/>
        </w:rPr>
      </w:pPr>
    </w:p>
    <w:p w:rsidR="00BA654E" w:rsidRPr="00632AC5" w:rsidRDefault="00BA654E" w:rsidP="00BA654E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U MPSV byl</w:t>
      </w:r>
      <w:r w:rsidR="00673463">
        <w:rPr>
          <w:rFonts w:ascii="Calibri" w:hAnsi="Calibri" w:cs="Calibri"/>
          <w:sz w:val="24"/>
        </w:rPr>
        <w:t>y</w:t>
      </w:r>
      <w:r w:rsidRPr="00632AC5">
        <w:rPr>
          <w:rFonts w:ascii="Calibri" w:hAnsi="Calibri" w:cs="Calibri"/>
          <w:sz w:val="24"/>
        </w:rPr>
        <w:t xml:space="preserve"> </w:t>
      </w:r>
      <w:r w:rsidR="00673463">
        <w:rPr>
          <w:rFonts w:ascii="Calibri" w:hAnsi="Calibri" w:cs="Calibri"/>
          <w:sz w:val="24"/>
        </w:rPr>
        <w:t>ověřeny</w:t>
      </w:r>
      <w:r w:rsidRPr="00632AC5">
        <w:rPr>
          <w:rFonts w:ascii="Calibri" w:hAnsi="Calibri" w:cs="Calibri"/>
          <w:sz w:val="24"/>
        </w:rPr>
        <w:t xml:space="preserve"> výdaj</w:t>
      </w:r>
      <w:r w:rsidR="00673463">
        <w:rPr>
          <w:rFonts w:ascii="Calibri" w:hAnsi="Calibri" w:cs="Calibri"/>
          <w:sz w:val="24"/>
        </w:rPr>
        <w:t>e</w:t>
      </w:r>
      <w:r w:rsidRPr="00632AC5">
        <w:rPr>
          <w:rFonts w:ascii="Calibri" w:hAnsi="Calibri" w:cs="Calibri"/>
          <w:sz w:val="24"/>
        </w:rPr>
        <w:t xml:space="preserve"> na </w:t>
      </w:r>
      <w:r w:rsidR="006806DB" w:rsidRPr="00632AC5">
        <w:rPr>
          <w:rFonts w:ascii="Calibri" w:hAnsi="Calibri" w:cs="Calibri"/>
          <w:sz w:val="24"/>
        </w:rPr>
        <w:t xml:space="preserve">dávky důchodového pojištění </w:t>
      </w:r>
      <w:r w:rsidRPr="00632AC5">
        <w:rPr>
          <w:rFonts w:ascii="Calibri" w:hAnsi="Calibri" w:cs="Calibri"/>
          <w:sz w:val="24"/>
        </w:rPr>
        <w:t>vykázan</w:t>
      </w:r>
      <w:r w:rsidR="00673463">
        <w:rPr>
          <w:rFonts w:ascii="Calibri" w:hAnsi="Calibri" w:cs="Calibri"/>
          <w:sz w:val="24"/>
        </w:rPr>
        <w:t>é</w:t>
      </w:r>
      <w:r w:rsidRP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eastAsiaTheme="minorEastAsia" w:hAnsi="Calibri" w:cs="Calibri"/>
          <w:bCs/>
          <w:iCs/>
          <w:sz w:val="24"/>
          <w:lang w:eastAsia="cs-CZ"/>
        </w:rPr>
        <w:t>ve výkazu pro hodnocení plnění rozpočtu ČSSZ</w:t>
      </w:r>
      <w:r w:rsidR="00673463">
        <w:rPr>
          <w:rFonts w:ascii="Calibri" w:eastAsiaTheme="minorEastAsia" w:hAnsi="Calibri" w:cs="Calibri"/>
          <w:bCs/>
          <w:iCs/>
          <w:sz w:val="24"/>
          <w:lang w:eastAsia="cs-CZ"/>
        </w:rPr>
        <w:t>,</w:t>
      </w:r>
      <w:r w:rsidRPr="00632AC5">
        <w:rPr>
          <w:rFonts w:ascii="Calibri" w:eastAsiaTheme="minorEastAsia" w:hAnsi="Calibri" w:cs="Calibri"/>
          <w:bCs/>
          <w:iCs/>
          <w:sz w:val="24"/>
          <w:lang w:eastAsia="cs-CZ"/>
        </w:rPr>
        <w:t xml:space="preserve"> údaje v tomto výkazu za kapitolu MPSV a dále </w:t>
      </w:r>
      <w:r w:rsidR="006806DB" w:rsidRPr="00632AC5">
        <w:rPr>
          <w:rFonts w:ascii="Calibri" w:hAnsi="Calibri" w:cs="Calibri"/>
          <w:sz w:val="24"/>
        </w:rPr>
        <w:t>údaje v </w:t>
      </w:r>
      <w:proofErr w:type="spellStart"/>
      <w:r w:rsidR="006806DB" w:rsidRPr="00632AC5">
        <w:rPr>
          <w:rFonts w:ascii="Calibri" w:hAnsi="Calibri" w:cs="Calibri"/>
          <w:sz w:val="24"/>
        </w:rPr>
        <w:t>ZÚ</w:t>
      </w:r>
      <w:proofErr w:type="spellEnd"/>
      <w:r w:rsidR="006806DB" w:rsidRPr="00632AC5">
        <w:rPr>
          <w:rFonts w:ascii="Calibri" w:hAnsi="Calibri" w:cs="Calibri"/>
          <w:sz w:val="24"/>
        </w:rPr>
        <w:t xml:space="preserve"> kapitoly a ve </w:t>
      </w:r>
      <w:proofErr w:type="spellStart"/>
      <w:r w:rsidR="006806DB" w:rsidRPr="00632AC5">
        <w:rPr>
          <w:rFonts w:ascii="Calibri" w:hAnsi="Calibri" w:cs="Calibri"/>
          <w:sz w:val="24"/>
        </w:rPr>
        <w:t>SZÚ</w:t>
      </w:r>
      <w:proofErr w:type="spellEnd"/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za roky 2009–2013.</w:t>
      </w:r>
    </w:p>
    <w:p w:rsidR="009D1BFC" w:rsidRDefault="009D1BFC" w:rsidP="00151F39">
      <w:pPr>
        <w:ind w:firstLine="0"/>
        <w:rPr>
          <w:rFonts w:ascii="Calibri" w:hAnsi="Calibri" w:cs="Calibri"/>
          <w:bCs/>
          <w:iCs/>
          <w:sz w:val="24"/>
        </w:rPr>
      </w:pPr>
    </w:p>
    <w:p w:rsidR="00151F39" w:rsidRPr="00632AC5" w:rsidRDefault="009D1BFC" w:rsidP="00151F39">
      <w:pPr>
        <w:ind w:firstLine="0"/>
        <w:rPr>
          <w:rFonts w:ascii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sz w:val="24"/>
        </w:rPr>
        <w:t>G</w:t>
      </w:r>
      <w:r w:rsidR="00CE31BA" w:rsidRPr="00632AC5">
        <w:rPr>
          <w:rFonts w:ascii="Calibri" w:eastAsia="Calibri" w:hAnsi="Calibri" w:cs="Calibri"/>
          <w:b/>
          <w:sz w:val="24"/>
        </w:rPr>
        <w:t xml:space="preserve">raf č. 2 znázorňuje vývoj výdajů na důchody </w:t>
      </w:r>
      <w:r w:rsidR="00151F39" w:rsidRPr="00632AC5">
        <w:rPr>
          <w:rFonts w:ascii="Calibri" w:hAnsi="Calibri" w:cs="Calibri"/>
          <w:b/>
          <w:bCs/>
          <w:iCs/>
          <w:sz w:val="24"/>
        </w:rPr>
        <w:t>za období</w:t>
      </w:r>
      <w:r w:rsidR="001D56D4">
        <w:rPr>
          <w:rFonts w:ascii="Calibri" w:hAnsi="Calibri" w:cs="Calibri"/>
          <w:b/>
          <w:bCs/>
          <w:iCs/>
          <w:sz w:val="24"/>
        </w:rPr>
        <w:t xml:space="preserve"> let </w:t>
      </w:r>
      <w:r w:rsidR="00151F39" w:rsidRPr="00632AC5">
        <w:rPr>
          <w:rFonts w:ascii="Calibri" w:hAnsi="Calibri" w:cs="Calibri"/>
          <w:b/>
          <w:bCs/>
          <w:iCs/>
          <w:sz w:val="24"/>
        </w:rPr>
        <w:t xml:space="preserve">1996–2013 </w:t>
      </w:r>
      <w:r w:rsidR="00574487">
        <w:rPr>
          <w:rFonts w:ascii="Calibri" w:hAnsi="Calibri" w:cs="Calibri"/>
          <w:b/>
          <w:bCs/>
          <w:iCs/>
          <w:sz w:val="24"/>
        </w:rPr>
        <w:t>v </w:t>
      </w:r>
      <w:r w:rsidR="00151F39" w:rsidRPr="00632AC5">
        <w:rPr>
          <w:rFonts w:ascii="Calibri" w:hAnsi="Calibri" w:cs="Calibri"/>
          <w:b/>
          <w:bCs/>
          <w:iCs/>
          <w:sz w:val="24"/>
        </w:rPr>
        <w:t>kapitole MPSV,</w:t>
      </w:r>
      <w:r w:rsidR="00151F39" w:rsidRPr="00632AC5">
        <w:rPr>
          <w:rFonts w:ascii="Calibri" w:hAnsi="Calibri" w:cs="Calibri"/>
          <w:bCs/>
          <w:iCs/>
          <w:sz w:val="24"/>
        </w:rPr>
        <w:t xml:space="preserve"> která </w:t>
      </w:r>
      <w:r w:rsidR="00151F39" w:rsidRPr="00632AC5">
        <w:rPr>
          <w:rFonts w:ascii="Calibri" w:eastAsia="Calibri" w:hAnsi="Calibri" w:cs="Calibri"/>
          <w:sz w:val="24"/>
        </w:rPr>
        <w:t xml:space="preserve">představuje podíl </w:t>
      </w:r>
      <w:r w:rsidR="00F13F82" w:rsidRPr="00632AC5">
        <w:rPr>
          <w:rFonts w:ascii="Calibri" w:eastAsia="Calibri" w:hAnsi="Calibri" w:cs="Calibri"/>
          <w:sz w:val="24"/>
        </w:rPr>
        <w:t xml:space="preserve">téměř </w:t>
      </w:r>
      <w:r w:rsidR="00151F39" w:rsidRPr="00632AC5">
        <w:rPr>
          <w:rFonts w:ascii="Calibri" w:eastAsia="Calibri" w:hAnsi="Calibri" w:cs="Calibri"/>
          <w:sz w:val="24"/>
        </w:rPr>
        <w:t xml:space="preserve">98 % </w:t>
      </w:r>
      <w:r w:rsidR="00BA654E" w:rsidRPr="00632AC5">
        <w:rPr>
          <w:rFonts w:ascii="Calibri" w:eastAsia="Calibri" w:hAnsi="Calibri" w:cs="Calibri"/>
          <w:sz w:val="24"/>
        </w:rPr>
        <w:t>výdajů</w:t>
      </w:r>
      <w:r w:rsidR="00632AC5">
        <w:rPr>
          <w:rFonts w:ascii="Calibri" w:eastAsia="Calibri" w:hAnsi="Calibri" w:cs="Calibri"/>
          <w:sz w:val="24"/>
        </w:rPr>
        <w:t xml:space="preserve"> </w:t>
      </w:r>
      <w:r w:rsidR="00151F39" w:rsidRPr="00632AC5">
        <w:rPr>
          <w:rFonts w:ascii="Calibri" w:hAnsi="Calibri" w:cs="Calibri"/>
          <w:color w:val="000000"/>
          <w:sz w:val="24"/>
        </w:rPr>
        <w:t xml:space="preserve">systému důchodového pojištění státu. </w:t>
      </w:r>
    </w:p>
    <w:p w:rsidR="00557B04" w:rsidRPr="00632AC5" w:rsidRDefault="00557B04">
      <w:pPr>
        <w:ind w:firstLine="0"/>
        <w:jc w:val="left"/>
        <w:rPr>
          <w:rFonts w:ascii="Calibri" w:hAnsi="Calibri" w:cs="Calibri"/>
          <w:color w:val="000000"/>
          <w:sz w:val="24"/>
        </w:rPr>
      </w:pPr>
    </w:p>
    <w:p w:rsidR="00E1673C" w:rsidRPr="00632AC5" w:rsidRDefault="007643BA" w:rsidP="008D0222">
      <w:pPr>
        <w:keepNext/>
        <w:ind w:firstLine="0"/>
        <w:jc w:val="left"/>
        <w:rPr>
          <w:rFonts w:ascii="Calibri" w:hAnsi="Calibri" w:cs="Calibri"/>
          <w:b/>
          <w:sz w:val="24"/>
        </w:rPr>
      </w:pPr>
      <w:r w:rsidRPr="00632AC5">
        <w:rPr>
          <w:rFonts w:ascii="Calibri" w:hAnsi="Calibri" w:cs="Calibri"/>
          <w:b/>
          <w:sz w:val="24"/>
        </w:rPr>
        <w:lastRenderedPageBreak/>
        <w:t>Graf č. 2</w:t>
      </w:r>
    </w:p>
    <w:p w:rsidR="00485C97" w:rsidRPr="00632AC5" w:rsidRDefault="00485C97" w:rsidP="00557B04">
      <w:pPr>
        <w:ind w:firstLine="0"/>
        <w:jc w:val="left"/>
        <w:rPr>
          <w:rFonts w:ascii="Calibri" w:hAnsi="Calibri" w:cs="Calibri"/>
          <w:b/>
          <w:sz w:val="24"/>
        </w:rPr>
      </w:pPr>
      <w:r w:rsidRPr="00632AC5">
        <w:rPr>
          <w:rFonts w:ascii="Calibri" w:hAnsi="Calibri" w:cs="Calibri"/>
          <w:noProof/>
          <w:sz w:val="24"/>
          <w:lang w:eastAsia="cs-CZ"/>
        </w:rPr>
        <w:drawing>
          <wp:inline distT="0" distB="0" distL="0" distR="0" wp14:anchorId="2C5AAD1E" wp14:editId="2DB02201">
            <wp:extent cx="5743575" cy="2514600"/>
            <wp:effectExtent l="0" t="0" r="9525" b="1905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1673C" w:rsidRPr="00F80CB2" w:rsidRDefault="00E1673C" w:rsidP="00E1673C">
      <w:pPr>
        <w:ind w:firstLine="0"/>
        <w:contextualSpacing/>
        <w:rPr>
          <w:rFonts w:ascii="Calibri" w:hAnsi="Calibri" w:cs="Calibri"/>
          <w:sz w:val="20"/>
          <w:szCs w:val="20"/>
        </w:rPr>
      </w:pPr>
      <w:r w:rsidRPr="00F80CB2">
        <w:rPr>
          <w:rFonts w:ascii="Calibri" w:hAnsi="Calibri" w:cs="Calibri"/>
          <w:b/>
          <w:sz w:val="20"/>
          <w:szCs w:val="20"/>
        </w:rPr>
        <w:t>Zdroj:</w:t>
      </w:r>
      <w:r w:rsidRPr="00F80CB2">
        <w:rPr>
          <w:rFonts w:ascii="Calibri" w:hAnsi="Calibri" w:cs="Calibri"/>
          <w:sz w:val="20"/>
          <w:szCs w:val="20"/>
        </w:rPr>
        <w:t xml:space="preserve"> výkaz</w:t>
      </w:r>
      <w:r w:rsidR="00673463">
        <w:rPr>
          <w:rFonts w:ascii="Calibri" w:hAnsi="Calibri" w:cs="Calibri"/>
          <w:sz w:val="20"/>
          <w:szCs w:val="20"/>
        </w:rPr>
        <w:t>y</w:t>
      </w:r>
      <w:r w:rsidR="00793472" w:rsidRPr="00F80CB2">
        <w:rPr>
          <w:rFonts w:ascii="Calibri" w:hAnsi="Calibri" w:cs="Calibri"/>
          <w:sz w:val="20"/>
          <w:szCs w:val="20"/>
        </w:rPr>
        <w:t xml:space="preserve"> pro hodnocení plnění rozpočtu</w:t>
      </w:r>
      <w:r w:rsidRPr="00F80CB2">
        <w:rPr>
          <w:rFonts w:ascii="Calibri" w:hAnsi="Calibri" w:cs="Calibri"/>
          <w:sz w:val="20"/>
          <w:szCs w:val="20"/>
        </w:rPr>
        <w:t xml:space="preserve"> ČSSZ za roky 1996–2013</w:t>
      </w:r>
      <w:r w:rsidR="00673463">
        <w:rPr>
          <w:rFonts w:ascii="Calibri" w:hAnsi="Calibri" w:cs="Calibri"/>
          <w:sz w:val="20"/>
          <w:szCs w:val="20"/>
        </w:rPr>
        <w:t>.</w:t>
      </w:r>
    </w:p>
    <w:p w:rsidR="00C57414" w:rsidRPr="00F80CB2" w:rsidRDefault="00C57414" w:rsidP="00E1673C">
      <w:pPr>
        <w:ind w:firstLine="0"/>
        <w:contextualSpacing/>
        <w:rPr>
          <w:rFonts w:ascii="Calibri" w:hAnsi="Calibri" w:cs="Calibri"/>
          <w:sz w:val="20"/>
          <w:szCs w:val="20"/>
        </w:rPr>
      </w:pPr>
    </w:p>
    <w:p w:rsidR="000E5574" w:rsidRPr="00F80CB2" w:rsidRDefault="000E5574" w:rsidP="000E5574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632AC5">
        <w:rPr>
          <w:rFonts w:ascii="Calibri" w:hAnsi="Calibri" w:cs="Calibri"/>
          <w:bCs/>
          <w:iCs/>
          <w:sz w:val="24"/>
        </w:rPr>
        <w:t>V</w:t>
      </w:r>
      <w:r w:rsidR="002D766D" w:rsidRPr="00632AC5">
        <w:rPr>
          <w:rFonts w:ascii="Calibri" w:hAnsi="Calibri" w:cs="Calibri"/>
          <w:bCs/>
          <w:iCs/>
          <w:sz w:val="24"/>
        </w:rPr>
        <w:t>ýdaje</w:t>
      </w:r>
      <w:r w:rsidR="00BA654E" w:rsidRPr="00632AC5">
        <w:rPr>
          <w:rFonts w:ascii="Calibri" w:hAnsi="Calibri" w:cs="Calibri"/>
          <w:bCs/>
          <w:iCs/>
          <w:sz w:val="24"/>
        </w:rPr>
        <w:t xml:space="preserve"> na dávky důchodového pojištění</w:t>
      </w:r>
      <w:r w:rsidR="002D766D" w:rsidRPr="00632AC5">
        <w:rPr>
          <w:rFonts w:ascii="Calibri" w:hAnsi="Calibri" w:cs="Calibri"/>
          <w:bCs/>
          <w:iCs/>
          <w:sz w:val="24"/>
        </w:rPr>
        <w:t xml:space="preserve"> ročně rostly v průměru o</w:t>
      </w:r>
      <w:r w:rsidR="00885966" w:rsidRPr="00632AC5">
        <w:rPr>
          <w:rFonts w:ascii="Calibri" w:hAnsi="Calibri" w:cs="Calibri"/>
          <w:bCs/>
          <w:iCs/>
          <w:sz w:val="24"/>
        </w:rPr>
        <w:t xml:space="preserve"> cca</w:t>
      </w:r>
      <w:r w:rsidR="002D766D" w:rsidRPr="00632AC5">
        <w:rPr>
          <w:rFonts w:ascii="Calibri" w:hAnsi="Calibri" w:cs="Calibri"/>
          <w:bCs/>
          <w:iCs/>
          <w:sz w:val="24"/>
        </w:rPr>
        <w:t xml:space="preserve"> 5 %. </w:t>
      </w:r>
      <w:r w:rsidR="000C27B9" w:rsidRPr="00632AC5">
        <w:rPr>
          <w:rFonts w:ascii="Calibri" w:hAnsi="Calibri" w:cs="Calibri"/>
          <w:bCs/>
          <w:iCs/>
          <w:sz w:val="24"/>
        </w:rPr>
        <w:t xml:space="preserve">Na </w:t>
      </w:r>
      <w:r w:rsidR="00885966" w:rsidRPr="00632AC5">
        <w:rPr>
          <w:rFonts w:ascii="Calibri" w:hAnsi="Calibri" w:cs="Calibri"/>
          <w:bCs/>
          <w:iCs/>
          <w:sz w:val="24"/>
        </w:rPr>
        <w:t>nárůst</w:t>
      </w:r>
      <w:r w:rsidR="000C27B9" w:rsidRPr="00632AC5">
        <w:rPr>
          <w:rFonts w:ascii="Calibri" w:hAnsi="Calibri" w:cs="Calibri"/>
          <w:bCs/>
          <w:iCs/>
          <w:sz w:val="24"/>
        </w:rPr>
        <w:t xml:space="preserve">u </w:t>
      </w:r>
      <w:r w:rsidR="00787AD9" w:rsidRPr="00632AC5">
        <w:rPr>
          <w:rFonts w:ascii="Calibri" w:hAnsi="Calibri" w:cs="Calibri"/>
          <w:bCs/>
          <w:iCs/>
          <w:sz w:val="24"/>
        </w:rPr>
        <w:t xml:space="preserve">výdajů </w:t>
      </w:r>
      <w:r w:rsidR="000C27B9" w:rsidRPr="00632AC5">
        <w:rPr>
          <w:rFonts w:ascii="Calibri" w:hAnsi="Calibri" w:cs="Calibri"/>
          <w:bCs/>
          <w:iCs/>
          <w:sz w:val="24"/>
        </w:rPr>
        <w:t>se podílely</w:t>
      </w:r>
      <w:r w:rsidR="00885966" w:rsidRPr="00632AC5">
        <w:rPr>
          <w:rFonts w:ascii="Calibri" w:hAnsi="Calibri" w:cs="Calibri"/>
          <w:bCs/>
          <w:iCs/>
          <w:sz w:val="24"/>
        </w:rPr>
        <w:t xml:space="preserve"> </w:t>
      </w:r>
      <w:r w:rsidR="001D56D4">
        <w:rPr>
          <w:rFonts w:ascii="Calibri" w:hAnsi="Calibri" w:cs="Calibri"/>
          <w:bCs/>
          <w:iCs/>
          <w:sz w:val="24"/>
        </w:rPr>
        <w:t>různé faktory,</w:t>
      </w:r>
      <w:r w:rsidR="002D766D" w:rsidRPr="00632AC5">
        <w:rPr>
          <w:rFonts w:ascii="Calibri" w:hAnsi="Calibri" w:cs="Calibri"/>
          <w:bCs/>
          <w:iCs/>
          <w:sz w:val="24"/>
        </w:rPr>
        <w:t xml:space="preserve"> </w:t>
      </w:r>
      <w:r w:rsidR="00787AD9" w:rsidRPr="00632AC5">
        <w:rPr>
          <w:rFonts w:ascii="Calibri" w:hAnsi="Calibri" w:cs="Calibri"/>
          <w:bCs/>
          <w:iCs/>
          <w:sz w:val="24"/>
        </w:rPr>
        <w:t xml:space="preserve">např. </w:t>
      </w:r>
      <w:r w:rsidR="002D766D" w:rsidRPr="00632AC5">
        <w:rPr>
          <w:rFonts w:ascii="Calibri" w:hAnsi="Calibri" w:cs="Calibri"/>
          <w:bCs/>
          <w:iCs/>
          <w:sz w:val="24"/>
        </w:rPr>
        <w:t>stárnutí populace, předčasné</w:t>
      </w:r>
      <w:r w:rsidR="000333F8" w:rsidRPr="00632AC5">
        <w:rPr>
          <w:rFonts w:ascii="Calibri" w:hAnsi="Calibri" w:cs="Calibri"/>
          <w:bCs/>
          <w:iCs/>
          <w:sz w:val="24"/>
        </w:rPr>
        <w:t xml:space="preserve"> odchody</w:t>
      </w:r>
      <w:r w:rsidR="002D766D" w:rsidRPr="00632AC5">
        <w:rPr>
          <w:rFonts w:ascii="Calibri" w:hAnsi="Calibri" w:cs="Calibri"/>
          <w:bCs/>
          <w:iCs/>
          <w:sz w:val="24"/>
        </w:rPr>
        <w:t xml:space="preserve"> do důchodu</w:t>
      </w:r>
      <w:r w:rsidR="001D56D4">
        <w:rPr>
          <w:rFonts w:ascii="Calibri" w:hAnsi="Calibri" w:cs="Calibri"/>
          <w:bCs/>
          <w:iCs/>
          <w:sz w:val="24"/>
        </w:rPr>
        <w:t xml:space="preserve">, </w:t>
      </w:r>
      <w:r w:rsidR="002D766D" w:rsidRPr="00632AC5">
        <w:rPr>
          <w:rFonts w:ascii="Calibri" w:hAnsi="Calibri" w:cs="Calibri"/>
          <w:bCs/>
          <w:iCs/>
          <w:sz w:val="24"/>
        </w:rPr>
        <w:t>valoriz</w:t>
      </w:r>
      <w:r w:rsidR="00F8453F" w:rsidRPr="00632AC5">
        <w:rPr>
          <w:rFonts w:ascii="Calibri" w:hAnsi="Calibri" w:cs="Calibri"/>
          <w:bCs/>
          <w:iCs/>
          <w:sz w:val="24"/>
        </w:rPr>
        <w:t>ace</w:t>
      </w:r>
      <w:r w:rsidR="001D56D4">
        <w:rPr>
          <w:rFonts w:ascii="Calibri" w:hAnsi="Calibri" w:cs="Calibri"/>
          <w:bCs/>
          <w:iCs/>
          <w:sz w:val="24"/>
        </w:rPr>
        <w:t xml:space="preserve"> apod. </w:t>
      </w:r>
      <w:r w:rsidR="002D766D" w:rsidRPr="00632AC5">
        <w:rPr>
          <w:rFonts w:ascii="Calibri" w:hAnsi="Calibri" w:cs="Calibri"/>
          <w:bCs/>
          <w:iCs/>
          <w:sz w:val="24"/>
        </w:rPr>
        <w:t xml:space="preserve">V roce 2004 </w:t>
      </w:r>
      <w:r w:rsidR="00885966" w:rsidRPr="00632AC5">
        <w:rPr>
          <w:rFonts w:ascii="Calibri" w:hAnsi="Calibri" w:cs="Calibri"/>
          <w:bCs/>
          <w:iCs/>
          <w:sz w:val="24"/>
        </w:rPr>
        <w:t>v</w:t>
      </w:r>
      <w:r w:rsidR="00151F39" w:rsidRPr="00632AC5">
        <w:rPr>
          <w:rFonts w:ascii="Calibri" w:hAnsi="Calibri" w:cs="Calibri"/>
          <w:bCs/>
          <w:iCs/>
          <w:sz w:val="24"/>
        </w:rPr>
        <w:t>z</w:t>
      </w:r>
      <w:r w:rsidR="00885966" w:rsidRPr="00632AC5">
        <w:rPr>
          <w:rFonts w:ascii="Calibri" w:hAnsi="Calibri" w:cs="Calibri"/>
          <w:bCs/>
          <w:iCs/>
          <w:sz w:val="24"/>
        </w:rPr>
        <w:t xml:space="preserve">rostly výdaje oproti roku 2003 </w:t>
      </w:r>
      <w:r w:rsidR="006806DB" w:rsidRPr="00632AC5">
        <w:rPr>
          <w:rFonts w:ascii="Calibri" w:hAnsi="Calibri" w:cs="Calibri"/>
          <w:bCs/>
          <w:iCs/>
          <w:sz w:val="24"/>
        </w:rPr>
        <w:t>pouze o cca 2 %, jedním z uváděných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  <w:r w:rsidR="0048181C" w:rsidRPr="00632AC5">
        <w:rPr>
          <w:rFonts w:ascii="Calibri" w:hAnsi="Calibri" w:cs="Calibri"/>
          <w:bCs/>
          <w:iCs/>
          <w:sz w:val="24"/>
        </w:rPr>
        <w:t>d</w:t>
      </w:r>
      <w:r w:rsidR="00885966" w:rsidRPr="00632AC5">
        <w:rPr>
          <w:rFonts w:ascii="Calibri" w:hAnsi="Calibri" w:cs="Calibri"/>
          <w:bCs/>
          <w:iCs/>
          <w:sz w:val="24"/>
        </w:rPr>
        <w:t>ůvod</w:t>
      </w:r>
      <w:r w:rsidR="006806DB" w:rsidRPr="00632AC5">
        <w:rPr>
          <w:rFonts w:ascii="Calibri" w:hAnsi="Calibri" w:cs="Calibri"/>
          <w:bCs/>
          <w:iCs/>
          <w:sz w:val="24"/>
        </w:rPr>
        <w:t>ů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  <w:r w:rsidR="002D766D" w:rsidRPr="00632AC5">
        <w:rPr>
          <w:rFonts w:ascii="Calibri" w:hAnsi="Calibri" w:cs="Calibri"/>
          <w:bCs/>
          <w:iCs/>
          <w:sz w:val="24"/>
        </w:rPr>
        <w:t>byla</w:t>
      </w:r>
      <w:r w:rsidR="00632AC5">
        <w:rPr>
          <w:rFonts w:ascii="Calibri" w:hAnsi="Calibri" w:cs="Calibri"/>
          <w:bCs/>
          <w:iCs/>
          <w:sz w:val="24"/>
        </w:rPr>
        <w:t xml:space="preserve"> </w:t>
      </w:r>
      <w:r w:rsidR="002D766D" w:rsidRPr="00632AC5">
        <w:rPr>
          <w:rFonts w:ascii="Calibri" w:hAnsi="Calibri" w:cs="Calibri"/>
          <w:bCs/>
          <w:iCs/>
          <w:sz w:val="24"/>
        </w:rPr>
        <w:t>nižší valo</w:t>
      </w:r>
      <w:r w:rsidR="007F0EFA" w:rsidRPr="00632AC5">
        <w:rPr>
          <w:rFonts w:ascii="Calibri" w:hAnsi="Calibri" w:cs="Calibri"/>
          <w:bCs/>
          <w:iCs/>
          <w:sz w:val="24"/>
        </w:rPr>
        <w:t>r</w:t>
      </w:r>
      <w:r w:rsidR="002D766D" w:rsidRPr="00632AC5">
        <w:rPr>
          <w:rFonts w:ascii="Calibri" w:hAnsi="Calibri" w:cs="Calibri"/>
          <w:bCs/>
          <w:iCs/>
          <w:sz w:val="24"/>
        </w:rPr>
        <w:t>izace</w:t>
      </w:r>
      <w:r w:rsidR="00885966" w:rsidRPr="00632AC5">
        <w:rPr>
          <w:rFonts w:ascii="Calibri" w:hAnsi="Calibri" w:cs="Calibri"/>
          <w:bCs/>
          <w:iCs/>
          <w:sz w:val="24"/>
        </w:rPr>
        <w:t xml:space="preserve"> oproti </w:t>
      </w:r>
      <w:r w:rsidR="000C27B9" w:rsidRPr="00632AC5">
        <w:rPr>
          <w:rFonts w:ascii="Calibri" w:hAnsi="Calibri" w:cs="Calibri"/>
          <w:bCs/>
          <w:iCs/>
          <w:sz w:val="24"/>
        </w:rPr>
        <w:t>rok</w:t>
      </w:r>
      <w:r w:rsidR="00885966" w:rsidRPr="00632AC5">
        <w:rPr>
          <w:rFonts w:ascii="Calibri" w:hAnsi="Calibri" w:cs="Calibri"/>
          <w:bCs/>
          <w:iCs/>
          <w:sz w:val="24"/>
        </w:rPr>
        <w:t>ům předchozím</w:t>
      </w:r>
      <w:r w:rsidR="002D766D" w:rsidRPr="00632AC5">
        <w:rPr>
          <w:rFonts w:ascii="Calibri" w:hAnsi="Calibri" w:cs="Calibri"/>
          <w:bCs/>
          <w:iCs/>
          <w:sz w:val="24"/>
        </w:rPr>
        <w:t>.</w:t>
      </w:r>
      <w:r w:rsidR="002D766D" w:rsidRPr="00632AC5">
        <w:rPr>
          <w:rFonts w:ascii="Calibri" w:hAnsi="Calibri" w:cs="Calibri"/>
          <w:bCs/>
          <w:iCs/>
          <w:color w:val="FFC000"/>
          <w:sz w:val="24"/>
        </w:rPr>
        <w:t xml:space="preserve"> </w:t>
      </w:r>
      <w:r w:rsidR="00885966" w:rsidRPr="00632AC5">
        <w:rPr>
          <w:rFonts w:ascii="Calibri" w:hAnsi="Calibri" w:cs="Calibri"/>
          <w:bCs/>
          <w:iCs/>
          <w:sz w:val="24"/>
        </w:rPr>
        <w:t>V</w:t>
      </w:r>
      <w:r w:rsidR="00787AD9" w:rsidRPr="00632AC5">
        <w:rPr>
          <w:rFonts w:ascii="Calibri" w:hAnsi="Calibri" w:cs="Calibri"/>
          <w:bCs/>
          <w:iCs/>
          <w:sz w:val="24"/>
        </w:rPr>
        <w:t xml:space="preserve"> dalších letech </w:t>
      </w:r>
      <w:r w:rsidR="00EB3DD3" w:rsidRPr="00632AC5">
        <w:rPr>
          <w:rFonts w:ascii="Calibri" w:hAnsi="Calibri" w:cs="Calibri"/>
          <w:sz w:val="24"/>
        </w:rPr>
        <w:t>došlo k</w:t>
      </w:r>
      <w:r w:rsidR="00254A5D">
        <w:rPr>
          <w:rFonts w:ascii="Calibri" w:hAnsi="Calibri" w:cs="Calibri"/>
          <w:sz w:val="24"/>
        </w:rPr>
        <w:t> </w:t>
      </w:r>
      <w:r w:rsidR="00EB3DD3" w:rsidRPr="00632AC5">
        <w:rPr>
          <w:rFonts w:ascii="Calibri" w:hAnsi="Calibri" w:cs="Calibri"/>
          <w:sz w:val="24"/>
        </w:rPr>
        <w:t xml:space="preserve">nárůstu </w:t>
      </w:r>
      <w:r w:rsidRPr="00632AC5">
        <w:rPr>
          <w:rFonts w:ascii="Calibri" w:hAnsi="Calibri" w:cs="Calibri"/>
          <w:sz w:val="24"/>
        </w:rPr>
        <w:t>výdajů</w:t>
      </w:r>
      <w:r w:rsidR="007F0EFA" w:rsidRPr="00632AC5">
        <w:rPr>
          <w:rFonts w:ascii="Calibri" w:hAnsi="Calibri" w:cs="Calibri"/>
          <w:sz w:val="24"/>
        </w:rPr>
        <w:t xml:space="preserve"> na dávky oproti příjmům:</w:t>
      </w:r>
      <w:r w:rsidR="00632AC5">
        <w:rPr>
          <w:rFonts w:ascii="Calibri" w:hAnsi="Calibri" w:cs="Calibri"/>
          <w:sz w:val="24"/>
        </w:rPr>
        <w:t xml:space="preserve"> </w:t>
      </w:r>
      <w:r w:rsidR="007F0EFA" w:rsidRPr="00632AC5">
        <w:rPr>
          <w:rFonts w:ascii="Calibri" w:hAnsi="Calibri" w:cs="Calibri"/>
          <w:sz w:val="24"/>
        </w:rPr>
        <w:t>v</w:t>
      </w:r>
      <w:r w:rsidR="007F0EFA" w:rsidRPr="00632AC5">
        <w:rPr>
          <w:rFonts w:ascii="Calibri" w:hAnsi="Calibri" w:cs="Calibri"/>
          <w:sz w:val="24"/>
          <w:lang w:eastAsia="cs-CZ"/>
        </w:rPr>
        <w:t> roce 2009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="007F0EFA" w:rsidRPr="00632AC5">
        <w:rPr>
          <w:rFonts w:ascii="Calibri" w:hAnsi="Calibri" w:cs="Calibri"/>
          <w:sz w:val="24"/>
          <w:lang w:eastAsia="cs-CZ"/>
        </w:rPr>
        <w:t>o 10,2 %, v roce 2010 o 9,6 %, v roce 2011 o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="007F0EFA" w:rsidRPr="00632AC5">
        <w:rPr>
          <w:rFonts w:ascii="Calibri" w:hAnsi="Calibri" w:cs="Calibri"/>
          <w:sz w:val="24"/>
          <w:lang w:eastAsia="cs-CZ"/>
        </w:rPr>
        <w:t>12,5 % a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="007F0EFA" w:rsidRPr="00632AC5">
        <w:rPr>
          <w:rFonts w:ascii="Calibri" w:hAnsi="Calibri" w:cs="Calibri"/>
          <w:sz w:val="24"/>
          <w:lang w:eastAsia="cs-CZ"/>
        </w:rPr>
        <w:t>v roce 2012 a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="007F0EFA" w:rsidRPr="00632AC5">
        <w:rPr>
          <w:rFonts w:ascii="Calibri" w:hAnsi="Calibri" w:cs="Calibri"/>
          <w:sz w:val="24"/>
          <w:lang w:eastAsia="cs-CZ"/>
        </w:rPr>
        <w:t>2013 o 15,5 %.</w:t>
      </w:r>
      <w:r w:rsidR="001D56D4">
        <w:rPr>
          <w:rFonts w:ascii="Calibri" w:hAnsi="Calibri" w:cs="Calibri"/>
          <w:sz w:val="24"/>
          <w:lang w:eastAsia="cs-CZ"/>
        </w:rPr>
        <w:t xml:space="preserve"> (</w:t>
      </w:r>
      <w:r w:rsidR="00C57414">
        <w:rPr>
          <w:rFonts w:ascii="Calibri" w:hAnsi="Calibri" w:cs="Calibri"/>
          <w:sz w:val="24"/>
          <w:lang w:eastAsia="cs-CZ"/>
        </w:rPr>
        <w:t>V</w:t>
      </w:r>
      <w:r w:rsidR="000C27B9" w:rsidRPr="00632AC5">
        <w:rPr>
          <w:rFonts w:ascii="Calibri" w:hAnsi="Calibri" w:cs="Calibri"/>
          <w:bCs/>
          <w:iCs/>
          <w:sz w:val="24"/>
        </w:rPr>
        <w:t xml:space="preserve"> roce 2013 </w:t>
      </w:r>
      <w:r w:rsidR="00902E73" w:rsidRPr="00632AC5">
        <w:rPr>
          <w:rFonts w:ascii="Calibri" w:hAnsi="Calibri" w:cs="Calibri"/>
          <w:bCs/>
          <w:iCs/>
          <w:sz w:val="24"/>
        </w:rPr>
        <w:t>nebylo přistoupeno k</w:t>
      </w:r>
      <w:r w:rsidR="00B0720C">
        <w:rPr>
          <w:rFonts w:ascii="Calibri" w:hAnsi="Calibri" w:cs="Calibri"/>
          <w:bCs/>
          <w:iCs/>
          <w:sz w:val="24"/>
        </w:rPr>
        <w:t> </w:t>
      </w:r>
      <w:r w:rsidR="000C27B9" w:rsidRPr="00632AC5">
        <w:rPr>
          <w:rFonts w:ascii="Calibri" w:hAnsi="Calibri" w:cs="Calibri"/>
          <w:bCs/>
          <w:iCs/>
          <w:sz w:val="24"/>
        </w:rPr>
        <w:t>valorizac</w:t>
      </w:r>
      <w:r w:rsidR="00902E73" w:rsidRPr="00632AC5">
        <w:rPr>
          <w:rFonts w:ascii="Calibri" w:hAnsi="Calibri" w:cs="Calibri"/>
          <w:bCs/>
          <w:iCs/>
          <w:sz w:val="24"/>
        </w:rPr>
        <w:t>i</w:t>
      </w:r>
      <w:r w:rsidR="00C57414">
        <w:rPr>
          <w:rFonts w:ascii="Calibri" w:hAnsi="Calibri" w:cs="Calibri"/>
          <w:bCs/>
          <w:iCs/>
          <w:sz w:val="24"/>
        </w:rPr>
        <w:t>.</w:t>
      </w:r>
      <w:r w:rsidR="001D56D4">
        <w:rPr>
          <w:rFonts w:ascii="Calibri" w:hAnsi="Calibri" w:cs="Calibri"/>
          <w:bCs/>
          <w:iCs/>
          <w:sz w:val="24"/>
        </w:rPr>
        <w:t>)</w:t>
      </w:r>
      <w:r w:rsidR="000C27B9" w:rsidRPr="00632AC5">
        <w:rPr>
          <w:rFonts w:ascii="Calibri" w:hAnsi="Calibri" w:cs="Calibri"/>
          <w:bCs/>
          <w:iCs/>
          <w:sz w:val="24"/>
        </w:rPr>
        <w:t xml:space="preserve"> 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>Průměrný starobní důchod v ČR</w:t>
      </w:r>
      <w:r w:rsidRPr="00632AC5">
        <w:rPr>
          <w:rFonts w:asciiTheme="minorHAnsi" w:hAnsiTheme="minorHAnsi" w:cstheme="minorHAnsi"/>
          <w:b/>
          <w:color w:val="000000"/>
          <w:sz w:val="24"/>
        </w:rPr>
        <w:t xml:space="preserve"> na konci roku 2013 činil</w:t>
      </w:r>
      <w:r w:rsidR="00632AC5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 xml:space="preserve">10 957 Kč </w:t>
      </w:r>
      <w:r w:rsidRPr="00F80CB2">
        <w:rPr>
          <w:rFonts w:asciiTheme="minorHAnsi" w:hAnsiTheme="minorHAnsi" w:cstheme="minorHAnsi"/>
          <w:b/>
          <w:bCs/>
          <w:color w:val="000000"/>
          <w:sz w:val="24"/>
        </w:rPr>
        <w:t>(zdroj ČSSZ)</w:t>
      </w:r>
      <w:r w:rsidRPr="00F80CB2">
        <w:rPr>
          <w:rFonts w:asciiTheme="minorHAnsi" w:hAnsiTheme="minorHAnsi" w:cstheme="minorHAnsi"/>
          <w:b/>
          <w:color w:val="000000"/>
          <w:sz w:val="24"/>
        </w:rPr>
        <w:t>.</w:t>
      </w:r>
    </w:p>
    <w:p w:rsidR="007F0EFA" w:rsidRPr="00F80CB2" w:rsidRDefault="007F0EFA" w:rsidP="000E5574">
      <w:pPr>
        <w:ind w:firstLine="0"/>
        <w:rPr>
          <w:rFonts w:asciiTheme="minorHAnsi" w:hAnsiTheme="minorHAnsi" w:cstheme="minorHAnsi"/>
          <w:b/>
          <w:iCs/>
          <w:color w:val="000000"/>
          <w:sz w:val="24"/>
        </w:rPr>
      </w:pPr>
    </w:p>
    <w:p w:rsidR="00C25193" w:rsidRDefault="00B7027A" w:rsidP="00E8651F">
      <w:pPr>
        <w:ind w:firstLine="0"/>
        <w:rPr>
          <w:rFonts w:ascii="Calibri" w:hAnsi="Calibri" w:cs="Calibri"/>
          <w:b/>
          <w:bCs/>
          <w:iCs/>
          <w:sz w:val="24"/>
        </w:rPr>
      </w:pPr>
      <w:r w:rsidRPr="009D1BFC">
        <w:rPr>
          <w:rFonts w:ascii="Calibri" w:hAnsi="Calibri" w:cs="Calibri"/>
          <w:b/>
          <w:bCs/>
          <w:iCs/>
          <w:sz w:val="24"/>
        </w:rPr>
        <w:t>Příloha č. 1 tohoto kontrolního závěru obsahuje přehled o počtu a druhu přiznaných</w:t>
      </w:r>
      <w:r w:rsidR="00632AC5" w:rsidRPr="009D1BFC">
        <w:rPr>
          <w:rFonts w:ascii="Calibri" w:hAnsi="Calibri" w:cs="Calibri"/>
          <w:b/>
          <w:bCs/>
          <w:iCs/>
          <w:sz w:val="24"/>
        </w:rPr>
        <w:t xml:space="preserve"> </w:t>
      </w:r>
      <w:r w:rsidRPr="009D1BFC">
        <w:rPr>
          <w:rFonts w:ascii="Calibri" w:hAnsi="Calibri" w:cs="Calibri"/>
          <w:b/>
          <w:bCs/>
          <w:iCs/>
          <w:sz w:val="24"/>
        </w:rPr>
        <w:t>důchodů v letech 1996 až 2013</w:t>
      </w:r>
      <w:r w:rsidR="000E5574" w:rsidRPr="009D1BFC">
        <w:rPr>
          <w:rFonts w:ascii="Calibri" w:hAnsi="Calibri" w:cs="Calibri"/>
          <w:b/>
          <w:bCs/>
          <w:iCs/>
          <w:sz w:val="24"/>
        </w:rPr>
        <w:t>.</w:t>
      </w:r>
      <w:r w:rsidR="00632AC5">
        <w:rPr>
          <w:rFonts w:ascii="Calibri" w:hAnsi="Calibri" w:cs="Calibri"/>
          <w:b/>
          <w:bCs/>
          <w:iCs/>
          <w:sz w:val="24"/>
        </w:rPr>
        <w:t xml:space="preserve"> </w:t>
      </w:r>
    </w:p>
    <w:p w:rsidR="00476FF4" w:rsidRDefault="00476FF4" w:rsidP="00E8651F">
      <w:pPr>
        <w:ind w:firstLine="0"/>
        <w:rPr>
          <w:rFonts w:ascii="Calibri" w:hAnsi="Calibri" w:cs="Calibri"/>
          <w:b/>
          <w:bCs/>
          <w:iCs/>
          <w:sz w:val="24"/>
        </w:rPr>
      </w:pPr>
    </w:p>
    <w:p w:rsidR="00863267" w:rsidRPr="00632AC5" w:rsidRDefault="00F8453F" w:rsidP="00116031">
      <w:pPr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  <w:lang w:eastAsia="cs-CZ"/>
        </w:rPr>
        <w:t>R</w:t>
      </w:r>
      <w:r w:rsidR="00863267" w:rsidRPr="00632AC5">
        <w:rPr>
          <w:rFonts w:ascii="Calibri" w:hAnsi="Calibri" w:cs="Calibri"/>
          <w:sz w:val="24"/>
          <w:lang w:eastAsia="cs-CZ"/>
        </w:rPr>
        <w:t xml:space="preserve">ozdíl mezi příjmy vybranými </w:t>
      </w:r>
      <w:r w:rsidR="00D53DD6" w:rsidRPr="00632AC5">
        <w:rPr>
          <w:rFonts w:ascii="Calibri" w:hAnsi="Calibri" w:cs="Calibri"/>
          <w:sz w:val="24"/>
          <w:lang w:eastAsia="cs-CZ"/>
        </w:rPr>
        <w:t>na</w:t>
      </w:r>
      <w:r w:rsidR="00476FF4">
        <w:rPr>
          <w:rFonts w:ascii="Calibri" w:hAnsi="Calibri" w:cs="Calibri"/>
          <w:sz w:val="24"/>
          <w:lang w:eastAsia="cs-CZ"/>
        </w:rPr>
        <w:t xml:space="preserve"> </w:t>
      </w:r>
      <w:r w:rsidR="00863267" w:rsidRPr="00632AC5">
        <w:rPr>
          <w:rFonts w:ascii="Calibri" w:hAnsi="Calibri" w:cs="Calibri"/>
          <w:sz w:val="24"/>
          <w:lang w:eastAsia="cs-CZ"/>
        </w:rPr>
        <w:t>pojistné</w:t>
      </w:r>
      <w:r w:rsidR="00D53DD6" w:rsidRPr="00632AC5">
        <w:rPr>
          <w:rFonts w:ascii="Calibri" w:hAnsi="Calibri" w:cs="Calibri"/>
          <w:sz w:val="24"/>
          <w:lang w:eastAsia="cs-CZ"/>
        </w:rPr>
        <w:t>m</w:t>
      </w:r>
      <w:r w:rsidR="00863267" w:rsidRPr="00632AC5">
        <w:rPr>
          <w:rFonts w:ascii="Calibri" w:hAnsi="Calibri" w:cs="Calibri"/>
          <w:sz w:val="24"/>
          <w:lang w:eastAsia="cs-CZ"/>
        </w:rPr>
        <w:t xml:space="preserve"> na důchodové pojištění a </w:t>
      </w:r>
      <w:r w:rsidR="00F122CA" w:rsidRPr="00632AC5">
        <w:rPr>
          <w:rFonts w:ascii="Calibri" w:hAnsi="Calibri" w:cs="Calibri"/>
          <w:sz w:val="24"/>
          <w:lang w:eastAsia="cs-CZ"/>
        </w:rPr>
        <w:t>výdaj</w:t>
      </w:r>
      <w:r w:rsidR="00735E6F" w:rsidRPr="00632AC5">
        <w:rPr>
          <w:rFonts w:ascii="Calibri" w:hAnsi="Calibri" w:cs="Calibri"/>
          <w:sz w:val="24"/>
          <w:lang w:eastAsia="cs-CZ"/>
        </w:rPr>
        <w:t>i</w:t>
      </w:r>
      <w:r w:rsidR="00F122CA" w:rsidRPr="00632AC5">
        <w:rPr>
          <w:rFonts w:ascii="Calibri" w:hAnsi="Calibri" w:cs="Calibri"/>
          <w:sz w:val="24"/>
          <w:lang w:eastAsia="cs-CZ"/>
        </w:rPr>
        <w:t xml:space="preserve"> na </w:t>
      </w:r>
      <w:r w:rsidR="00863267" w:rsidRPr="00632AC5">
        <w:rPr>
          <w:rFonts w:ascii="Calibri" w:hAnsi="Calibri" w:cs="Calibri"/>
          <w:sz w:val="24"/>
          <w:lang w:eastAsia="cs-CZ"/>
        </w:rPr>
        <w:t>dávk</w:t>
      </w:r>
      <w:r w:rsidR="00F122CA" w:rsidRPr="00632AC5">
        <w:rPr>
          <w:rFonts w:ascii="Calibri" w:hAnsi="Calibri" w:cs="Calibri"/>
          <w:sz w:val="24"/>
          <w:lang w:eastAsia="cs-CZ"/>
        </w:rPr>
        <w:t>y</w:t>
      </w:r>
      <w:r w:rsidR="00863267" w:rsidRPr="00632AC5">
        <w:rPr>
          <w:rFonts w:ascii="Calibri" w:hAnsi="Calibri" w:cs="Calibri"/>
          <w:sz w:val="24"/>
          <w:lang w:eastAsia="cs-CZ"/>
        </w:rPr>
        <w:t xml:space="preserve"> důchodového pojištění v</w:t>
      </w:r>
      <w:r w:rsidR="008E5EEF" w:rsidRPr="00632AC5">
        <w:rPr>
          <w:rFonts w:ascii="Calibri" w:hAnsi="Calibri" w:cs="Calibri"/>
          <w:sz w:val="24"/>
          <w:lang w:eastAsia="cs-CZ"/>
        </w:rPr>
        <w:t xml:space="preserve"> kapitole MPSV </w:t>
      </w:r>
      <w:r w:rsidR="00574487">
        <w:rPr>
          <w:rFonts w:ascii="Calibri" w:hAnsi="Calibri" w:cs="Calibri"/>
          <w:sz w:val="24"/>
          <w:lang w:eastAsia="cs-CZ"/>
        </w:rPr>
        <w:t>v </w:t>
      </w:r>
      <w:r w:rsidR="00863267" w:rsidRPr="00632AC5">
        <w:rPr>
          <w:rFonts w:ascii="Calibri" w:hAnsi="Calibri" w:cs="Calibri"/>
          <w:sz w:val="24"/>
          <w:lang w:eastAsia="cs-CZ"/>
        </w:rPr>
        <w:t xml:space="preserve">letech </w:t>
      </w:r>
      <w:r w:rsidR="004C2251" w:rsidRPr="00632AC5">
        <w:rPr>
          <w:rFonts w:ascii="Calibri" w:hAnsi="Calibri" w:cs="Calibri"/>
          <w:sz w:val="24"/>
          <w:lang w:eastAsia="cs-CZ"/>
        </w:rPr>
        <w:t>1996</w:t>
      </w:r>
      <w:r w:rsidRPr="00632AC5">
        <w:rPr>
          <w:rFonts w:ascii="Calibri" w:hAnsi="Calibri" w:cs="Calibri"/>
          <w:sz w:val="24"/>
          <w:lang w:eastAsia="cs-CZ"/>
        </w:rPr>
        <w:t xml:space="preserve">–2013 znázorňuje graf č. 3. </w:t>
      </w:r>
    </w:p>
    <w:p w:rsidR="00557B04" w:rsidRPr="00632AC5" w:rsidRDefault="00557B04">
      <w:pPr>
        <w:ind w:firstLine="0"/>
        <w:jc w:val="left"/>
        <w:rPr>
          <w:rFonts w:ascii="Calibri" w:hAnsi="Calibri" w:cs="Calibri"/>
          <w:sz w:val="24"/>
          <w:lang w:eastAsia="cs-CZ"/>
        </w:rPr>
      </w:pPr>
    </w:p>
    <w:p w:rsidR="00DC7A9F" w:rsidRPr="00632AC5" w:rsidRDefault="00DC7A9F" w:rsidP="008D0222">
      <w:pPr>
        <w:keepNext/>
        <w:ind w:firstLine="0"/>
        <w:rPr>
          <w:rFonts w:ascii="Calibri" w:hAnsi="Calibri" w:cs="Calibri"/>
          <w:b/>
          <w:sz w:val="24"/>
          <w:lang w:eastAsia="cs-CZ"/>
        </w:rPr>
      </w:pPr>
      <w:r w:rsidRPr="00632AC5">
        <w:rPr>
          <w:rFonts w:ascii="Calibri" w:hAnsi="Calibri" w:cs="Calibri"/>
          <w:b/>
          <w:sz w:val="24"/>
          <w:lang w:eastAsia="cs-CZ"/>
        </w:rPr>
        <w:t>Graf č. 3</w:t>
      </w:r>
    </w:p>
    <w:p w:rsidR="00F246AD" w:rsidRPr="00632AC5" w:rsidRDefault="00F246AD" w:rsidP="00116031">
      <w:pPr>
        <w:ind w:firstLine="0"/>
        <w:rPr>
          <w:rFonts w:ascii="Calibri" w:hAnsi="Calibri" w:cs="Calibri"/>
          <w:b/>
          <w:sz w:val="24"/>
          <w:lang w:eastAsia="cs-CZ"/>
        </w:rPr>
      </w:pPr>
      <w:r w:rsidRPr="00632AC5">
        <w:rPr>
          <w:rFonts w:ascii="Calibri" w:hAnsi="Calibri" w:cs="Calibri"/>
          <w:noProof/>
          <w:sz w:val="24"/>
          <w:lang w:eastAsia="cs-CZ"/>
        </w:rPr>
        <w:drawing>
          <wp:inline distT="0" distB="0" distL="0" distR="0" wp14:anchorId="7ED12C9D" wp14:editId="39A97CDF">
            <wp:extent cx="5791200" cy="274320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C7A9F" w:rsidRPr="00F80CB2" w:rsidRDefault="00DC7A9F" w:rsidP="00DC7A9F">
      <w:pPr>
        <w:ind w:firstLine="0"/>
        <w:contextualSpacing/>
        <w:rPr>
          <w:rFonts w:ascii="Calibri" w:hAnsi="Calibri" w:cs="Calibri"/>
          <w:sz w:val="20"/>
          <w:szCs w:val="20"/>
        </w:rPr>
      </w:pPr>
      <w:r w:rsidRPr="00F80CB2">
        <w:rPr>
          <w:rFonts w:ascii="Calibri" w:hAnsi="Calibri" w:cs="Calibri"/>
          <w:b/>
          <w:sz w:val="20"/>
          <w:szCs w:val="20"/>
        </w:rPr>
        <w:t>Zdroj:</w:t>
      </w:r>
      <w:r w:rsidRPr="00F80CB2">
        <w:rPr>
          <w:rFonts w:ascii="Calibri" w:hAnsi="Calibri" w:cs="Calibri"/>
          <w:sz w:val="20"/>
          <w:szCs w:val="20"/>
        </w:rPr>
        <w:t xml:space="preserve"> výkaz</w:t>
      </w:r>
      <w:r w:rsidR="00476FF4">
        <w:rPr>
          <w:rFonts w:ascii="Calibri" w:hAnsi="Calibri" w:cs="Calibri"/>
          <w:sz w:val="20"/>
          <w:szCs w:val="20"/>
        </w:rPr>
        <w:t>y</w:t>
      </w:r>
      <w:r w:rsidRPr="00F80CB2">
        <w:rPr>
          <w:rFonts w:ascii="Calibri" w:hAnsi="Calibri" w:cs="Calibri"/>
          <w:sz w:val="20"/>
          <w:szCs w:val="20"/>
        </w:rPr>
        <w:t xml:space="preserve"> pro hodnocení plnění rozpočtu ČSSZ za roky 1996–2013</w:t>
      </w:r>
      <w:r w:rsidR="00476FF4">
        <w:rPr>
          <w:rFonts w:ascii="Calibri" w:hAnsi="Calibri" w:cs="Calibri"/>
          <w:sz w:val="20"/>
          <w:szCs w:val="20"/>
        </w:rPr>
        <w:t>.</w:t>
      </w:r>
      <w:bookmarkStart w:id="0" w:name="_GoBack"/>
      <w:bookmarkEnd w:id="0"/>
    </w:p>
    <w:p w:rsidR="00FE4AB2" w:rsidRPr="00632AC5" w:rsidRDefault="00574487" w:rsidP="00F8453F">
      <w:pPr>
        <w:ind w:firstLine="0"/>
        <w:rPr>
          <w:rFonts w:ascii="Calibri" w:hAnsi="Calibri" w:cs="Calibri"/>
          <w:sz w:val="24"/>
          <w:lang w:eastAsia="cs-CZ"/>
        </w:rPr>
      </w:pPr>
      <w:r>
        <w:rPr>
          <w:rFonts w:ascii="Calibri" w:hAnsi="Calibri" w:cs="Calibri"/>
          <w:sz w:val="24"/>
          <w:lang w:eastAsia="cs-CZ"/>
        </w:rPr>
        <w:lastRenderedPageBreak/>
        <w:t>K </w:t>
      </w:r>
      <w:r w:rsidR="00A0314E">
        <w:rPr>
          <w:rFonts w:ascii="Calibri" w:hAnsi="Calibri" w:cs="Calibri"/>
          <w:sz w:val="24"/>
          <w:lang w:eastAsia="cs-CZ"/>
        </w:rPr>
        <w:t>p</w:t>
      </w:r>
      <w:r w:rsidR="0063719F" w:rsidRPr="00632AC5">
        <w:rPr>
          <w:rFonts w:ascii="Calibri" w:hAnsi="Calibri" w:cs="Calibri"/>
          <w:sz w:val="24"/>
          <w:lang w:eastAsia="cs-CZ"/>
        </w:rPr>
        <w:t>řebytk</w:t>
      </w:r>
      <w:r w:rsidR="00FC18FE" w:rsidRPr="00632AC5">
        <w:rPr>
          <w:rFonts w:ascii="Calibri" w:hAnsi="Calibri" w:cs="Calibri"/>
          <w:sz w:val="24"/>
          <w:lang w:eastAsia="cs-CZ"/>
        </w:rPr>
        <w:t>u</w:t>
      </w:r>
      <w:r w:rsidR="00613D5D" w:rsidRPr="00632AC5">
        <w:rPr>
          <w:rFonts w:ascii="Calibri" w:hAnsi="Calibri" w:cs="Calibri"/>
          <w:sz w:val="24"/>
          <w:lang w:eastAsia="cs-CZ"/>
        </w:rPr>
        <w:t xml:space="preserve"> příjmů z</w:t>
      </w:r>
      <w:r w:rsidR="00C63CCB">
        <w:rPr>
          <w:rFonts w:ascii="Calibri" w:hAnsi="Calibri" w:cs="Calibri"/>
          <w:sz w:val="24"/>
          <w:lang w:eastAsia="cs-CZ"/>
        </w:rPr>
        <w:t> </w:t>
      </w:r>
      <w:r w:rsidR="00094D4C" w:rsidRPr="00632AC5">
        <w:rPr>
          <w:rFonts w:ascii="Calibri" w:hAnsi="Calibri" w:cs="Calibri"/>
          <w:sz w:val="24"/>
          <w:lang w:eastAsia="cs-CZ"/>
        </w:rPr>
        <w:t>pojistného</w:t>
      </w:r>
      <w:r w:rsidR="00C63CCB">
        <w:rPr>
          <w:rFonts w:ascii="Calibri" w:hAnsi="Calibri" w:cs="Calibri"/>
          <w:sz w:val="24"/>
          <w:lang w:eastAsia="cs-CZ"/>
        </w:rPr>
        <w:t xml:space="preserve"> na důchodové pojištění</w:t>
      </w:r>
      <w:r w:rsidR="00613D5D" w:rsidRPr="00632AC5">
        <w:rPr>
          <w:rFonts w:ascii="Calibri" w:hAnsi="Calibri" w:cs="Calibri"/>
          <w:sz w:val="24"/>
          <w:lang w:eastAsia="cs-CZ"/>
        </w:rPr>
        <w:t xml:space="preserve"> nad výdaji na dávky</w:t>
      </w:r>
      <w:r w:rsidR="00783A68" w:rsidRPr="00632AC5">
        <w:rPr>
          <w:rFonts w:ascii="Calibri" w:hAnsi="Calibri" w:cs="Calibri"/>
          <w:sz w:val="24"/>
          <w:lang w:eastAsia="cs-CZ"/>
        </w:rPr>
        <w:t xml:space="preserve"> důchodového pojištění </w:t>
      </w:r>
      <w:r>
        <w:rPr>
          <w:rFonts w:ascii="Calibri" w:hAnsi="Calibri" w:cs="Calibri"/>
          <w:sz w:val="24"/>
          <w:lang w:eastAsia="cs-CZ"/>
        </w:rPr>
        <w:t>v </w:t>
      </w:r>
      <w:r w:rsidR="00015865" w:rsidRPr="00632AC5">
        <w:rPr>
          <w:rFonts w:ascii="Calibri" w:hAnsi="Calibri" w:cs="Calibri"/>
          <w:sz w:val="24"/>
          <w:lang w:eastAsia="cs-CZ"/>
        </w:rPr>
        <w:t>kapitole MPSV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="00783A68" w:rsidRPr="00632AC5">
        <w:rPr>
          <w:rFonts w:ascii="Calibri" w:hAnsi="Calibri" w:cs="Calibri"/>
          <w:sz w:val="24"/>
          <w:lang w:eastAsia="cs-CZ"/>
        </w:rPr>
        <w:t xml:space="preserve">došlo </w:t>
      </w:r>
      <w:r w:rsidR="00094D4C" w:rsidRPr="00632AC5">
        <w:rPr>
          <w:rFonts w:ascii="Calibri" w:hAnsi="Calibri" w:cs="Calibri"/>
          <w:sz w:val="24"/>
          <w:lang w:eastAsia="cs-CZ"/>
        </w:rPr>
        <w:t>pouze v</w:t>
      </w:r>
      <w:r w:rsidR="00FC18FE" w:rsidRPr="00632AC5">
        <w:rPr>
          <w:rFonts w:ascii="Calibri" w:hAnsi="Calibri" w:cs="Calibri"/>
          <w:sz w:val="24"/>
          <w:lang w:eastAsia="cs-CZ"/>
        </w:rPr>
        <w:t xml:space="preserve"> roce 1996 a </w:t>
      </w:r>
      <w:r>
        <w:rPr>
          <w:rFonts w:ascii="Calibri" w:hAnsi="Calibri" w:cs="Calibri"/>
          <w:sz w:val="24"/>
          <w:lang w:eastAsia="cs-CZ"/>
        </w:rPr>
        <w:t>v </w:t>
      </w:r>
      <w:r w:rsidR="00FC18FE" w:rsidRPr="00632AC5">
        <w:rPr>
          <w:rFonts w:ascii="Calibri" w:hAnsi="Calibri" w:cs="Calibri"/>
          <w:sz w:val="24"/>
          <w:lang w:eastAsia="cs-CZ"/>
        </w:rPr>
        <w:t>letech</w:t>
      </w:r>
      <w:r w:rsidR="00783A68" w:rsidRPr="00632AC5">
        <w:rPr>
          <w:rFonts w:ascii="Calibri" w:hAnsi="Calibri" w:cs="Calibri"/>
          <w:sz w:val="24"/>
          <w:lang w:eastAsia="cs-CZ"/>
        </w:rPr>
        <w:t xml:space="preserve"> 2004 až </w:t>
      </w:r>
      <w:r w:rsidR="00DC472B" w:rsidRPr="00632AC5">
        <w:rPr>
          <w:rFonts w:ascii="Calibri" w:hAnsi="Calibri" w:cs="Calibri"/>
          <w:sz w:val="24"/>
          <w:lang w:eastAsia="cs-CZ"/>
        </w:rPr>
        <w:t>2008</w:t>
      </w:r>
      <w:r w:rsidR="002C5510" w:rsidRPr="00632AC5">
        <w:rPr>
          <w:rFonts w:ascii="Calibri" w:hAnsi="Calibri" w:cs="Calibri"/>
          <w:sz w:val="24"/>
          <w:lang w:eastAsia="cs-CZ"/>
        </w:rPr>
        <w:t>.</w:t>
      </w:r>
      <w:r w:rsidR="00094D4C" w:rsidRPr="00632AC5">
        <w:rPr>
          <w:rFonts w:ascii="Calibri" w:hAnsi="Calibri" w:cs="Calibri"/>
          <w:sz w:val="24"/>
          <w:lang w:eastAsia="cs-CZ"/>
        </w:rPr>
        <w:t xml:space="preserve"> V</w:t>
      </w:r>
      <w:r w:rsidR="00783A68" w:rsidRPr="00632AC5">
        <w:rPr>
          <w:rFonts w:ascii="Calibri" w:hAnsi="Calibri" w:cs="Calibri"/>
          <w:sz w:val="24"/>
          <w:lang w:eastAsia="cs-CZ"/>
        </w:rPr>
        <w:t xml:space="preserve"> dalším </w:t>
      </w:r>
      <w:r w:rsidR="00094D4C" w:rsidRPr="00632AC5">
        <w:rPr>
          <w:rFonts w:ascii="Calibri" w:hAnsi="Calibri" w:cs="Calibri"/>
          <w:sz w:val="24"/>
          <w:lang w:eastAsia="cs-CZ"/>
        </w:rPr>
        <w:t xml:space="preserve">období </w:t>
      </w:r>
      <w:r w:rsidR="00783A68" w:rsidRPr="00632AC5">
        <w:rPr>
          <w:rFonts w:ascii="Calibri" w:hAnsi="Calibri" w:cs="Calibri"/>
          <w:sz w:val="24"/>
          <w:lang w:eastAsia="cs-CZ"/>
        </w:rPr>
        <w:t>ro</w:t>
      </w:r>
      <w:r w:rsidR="00B7027A" w:rsidRPr="00632AC5">
        <w:rPr>
          <w:rFonts w:ascii="Calibri" w:hAnsi="Calibri" w:cs="Calibri"/>
          <w:sz w:val="24"/>
          <w:lang w:eastAsia="cs-CZ"/>
        </w:rPr>
        <w:t>stly výdaje</w:t>
      </w:r>
      <w:r w:rsidR="001D56D4">
        <w:rPr>
          <w:rFonts w:ascii="Calibri" w:hAnsi="Calibri" w:cs="Calibri"/>
          <w:sz w:val="24"/>
          <w:lang w:eastAsia="cs-CZ"/>
        </w:rPr>
        <w:t xml:space="preserve"> </w:t>
      </w:r>
      <w:r w:rsidR="00B7027A" w:rsidRPr="00632AC5">
        <w:rPr>
          <w:rFonts w:ascii="Calibri" w:hAnsi="Calibri" w:cs="Calibri"/>
          <w:sz w:val="24"/>
          <w:lang w:eastAsia="cs-CZ"/>
        </w:rPr>
        <w:t>rychleji než příjmy</w:t>
      </w:r>
      <w:r w:rsidR="00410080" w:rsidRPr="00632AC5">
        <w:rPr>
          <w:rFonts w:ascii="Calibri" w:hAnsi="Calibri" w:cs="Calibri"/>
          <w:sz w:val="24"/>
          <w:lang w:eastAsia="cs-CZ"/>
        </w:rPr>
        <w:t xml:space="preserve">. </w:t>
      </w:r>
    </w:p>
    <w:p w:rsidR="00410080" w:rsidRDefault="00410080">
      <w:pPr>
        <w:ind w:firstLine="0"/>
        <w:jc w:val="left"/>
        <w:rPr>
          <w:rFonts w:ascii="Calibri" w:hAnsi="Calibri" w:cs="Calibri"/>
          <w:sz w:val="24"/>
          <w:lang w:eastAsia="cs-CZ"/>
        </w:rPr>
      </w:pPr>
    </w:p>
    <w:p w:rsidR="009D1BFC" w:rsidRPr="00632AC5" w:rsidRDefault="00D24F05" w:rsidP="00F80CB2">
      <w:pPr>
        <w:spacing w:after="120"/>
        <w:ind w:left="397" w:hanging="397"/>
        <w:jc w:val="left"/>
        <w:rPr>
          <w:rFonts w:ascii="Calibri" w:hAnsi="Calibri" w:cs="Calibri"/>
          <w:sz w:val="24"/>
          <w:lang w:eastAsia="cs-CZ"/>
        </w:rPr>
      </w:pPr>
      <w:r>
        <w:rPr>
          <w:rFonts w:ascii="Calibri" w:hAnsi="Calibri" w:cs="Calibri"/>
          <w:b/>
          <w:sz w:val="24"/>
          <w:lang w:eastAsia="cs-CZ"/>
        </w:rPr>
        <w:t xml:space="preserve">2.1 </w:t>
      </w:r>
      <w:r w:rsidR="009D1BFC" w:rsidRPr="009D1BFC">
        <w:rPr>
          <w:rFonts w:ascii="Calibri" w:hAnsi="Calibri" w:cs="Calibri"/>
          <w:b/>
          <w:sz w:val="24"/>
          <w:lang w:eastAsia="cs-CZ"/>
        </w:rPr>
        <w:t xml:space="preserve">Rozdíl mezi příjmy a výdaji </w:t>
      </w:r>
      <w:r w:rsidR="00A0314E">
        <w:rPr>
          <w:rFonts w:ascii="Calibri" w:hAnsi="Calibri" w:cs="Calibri"/>
          <w:b/>
          <w:sz w:val="24"/>
          <w:lang w:eastAsia="cs-CZ"/>
        </w:rPr>
        <w:t xml:space="preserve">důchodového pojištění </w:t>
      </w:r>
      <w:r w:rsidR="00F50970">
        <w:rPr>
          <w:rFonts w:ascii="Calibri" w:hAnsi="Calibri" w:cs="Calibri"/>
          <w:b/>
          <w:sz w:val="24"/>
          <w:lang w:eastAsia="cs-CZ"/>
        </w:rPr>
        <w:t>v </w:t>
      </w:r>
      <w:r w:rsidR="00A0314E">
        <w:rPr>
          <w:rFonts w:ascii="Calibri" w:hAnsi="Calibri" w:cs="Calibri"/>
          <w:b/>
          <w:sz w:val="24"/>
          <w:lang w:eastAsia="cs-CZ"/>
        </w:rPr>
        <w:t>př</w:t>
      </w:r>
      <w:r w:rsidR="009D1BFC" w:rsidRPr="009D1BFC">
        <w:rPr>
          <w:rFonts w:ascii="Calibri" w:hAnsi="Calibri" w:cs="Calibri"/>
          <w:b/>
          <w:sz w:val="24"/>
          <w:lang w:eastAsia="cs-CZ"/>
        </w:rPr>
        <w:t>íslušných kapitol</w:t>
      </w:r>
      <w:r w:rsidR="00F50970">
        <w:rPr>
          <w:rFonts w:ascii="Calibri" w:hAnsi="Calibri" w:cs="Calibri"/>
          <w:b/>
          <w:sz w:val="24"/>
          <w:lang w:eastAsia="cs-CZ"/>
        </w:rPr>
        <w:t>ách</w:t>
      </w:r>
      <w:r w:rsidR="009D1BFC" w:rsidRPr="009D1BFC">
        <w:rPr>
          <w:rFonts w:ascii="Calibri" w:hAnsi="Calibri" w:cs="Calibri"/>
          <w:b/>
          <w:sz w:val="24"/>
          <w:lang w:eastAsia="cs-CZ"/>
        </w:rPr>
        <w:t xml:space="preserve"> státního rozpočtu</w:t>
      </w:r>
    </w:p>
    <w:p w:rsidR="00410080" w:rsidRDefault="009D1BFC" w:rsidP="00B22F9F">
      <w:pPr>
        <w:ind w:firstLine="0"/>
        <w:rPr>
          <w:rFonts w:ascii="Calibri" w:hAnsi="Calibri" w:cs="Calibri"/>
          <w:sz w:val="24"/>
          <w:lang w:eastAsia="cs-CZ"/>
        </w:rPr>
      </w:pPr>
      <w:r w:rsidRPr="009D1BFC">
        <w:rPr>
          <w:rFonts w:ascii="Calibri" w:hAnsi="Calibri" w:cs="Calibri"/>
          <w:sz w:val="24"/>
        </w:rPr>
        <w:t xml:space="preserve">Rozdíl </w:t>
      </w:r>
      <w:r w:rsidR="00015865" w:rsidRPr="009D1BFC">
        <w:rPr>
          <w:rFonts w:ascii="Calibri" w:hAnsi="Calibri" w:cs="Calibri"/>
          <w:sz w:val="24"/>
        </w:rPr>
        <w:t xml:space="preserve">mezi skutečnými příjmy z pojistného </w:t>
      </w:r>
      <w:r w:rsidR="00783A68" w:rsidRPr="009D1BFC">
        <w:rPr>
          <w:rFonts w:ascii="Calibri" w:hAnsi="Calibri" w:cs="Calibri"/>
          <w:sz w:val="24"/>
        </w:rPr>
        <w:t>(</w:t>
      </w:r>
      <w:r w:rsidR="004E2AEA" w:rsidRPr="009D1BFC">
        <w:rPr>
          <w:rFonts w:ascii="Calibri" w:hAnsi="Calibri" w:cs="Calibri"/>
          <w:sz w:val="24"/>
        </w:rPr>
        <w:t>včetně příjmů z penále a</w:t>
      </w:r>
      <w:r w:rsidR="00254A5D" w:rsidRPr="009D1BFC">
        <w:rPr>
          <w:rFonts w:ascii="Calibri" w:hAnsi="Calibri" w:cs="Calibri"/>
          <w:sz w:val="24"/>
        </w:rPr>
        <w:t> </w:t>
      </w:r>
      <w:r w:rsidR="004E2AEA" w:rsidRPr="009D1BFC">
        <w:rPr>
          <w:rFonts w:ascii="Calibri" w:hAnsi="Calibri" w:cs="Calibri"/>
          <w:sz w:val="24"/>
        </w:rPr>
        <w:t>pokut</w:t>
      </w:r>
      <w:r w:rsidR="00410080" w:rsidRPr="009D1BFC">
        <w:rPr>
          <w:rFonts w:ascii="Calibri" w:hAnsi="Calibri" w:cs="Calibri"/>
          <w:sz w:val="24"/>
        </w:rPr>
        <w:t xml:space="preserve">) </w:t>
      </w:r>
      <w:r w:rsidR="00015865" w:rsidRPr="009D1BFC">
        <w:rPr>
          <w:rFonts w:ascii="Calibri" w:hAnsi="Calibri" w:cs="Calibri"/>
          <w:sz w:val="24"/>
        </w:rPr>
        <w:t xml:space="preserve">a výdaji </w:t>
      </w:r>
      <w:r w:rsidR="007E06F6" w:rsidRPr="00632AC5">
        <w:rPr>
          <w:rFonts w:ascii="Calibri" w:hAnsi="Calibri" w:cs="Calibri"/>
          <w:sz w:val="24"/>
        </w:rPr>
        <w:t>vynaloženými p</w:t>
      </w:r>
      <w:r w:rsidR="00015865" w:rsidRPr="00632AC5">
        <w:rPr>
          <w:rFonts w:ascii="Calibri" w:hAnsi="Calibri" w:cs="Calibri"/>
          <w:sz w:val="24"/>
        </w:rPr>
        <w:t xml:space="preserve">ouze na </w:t>
      </w:r>
      <w:r w:rsidR="007E06F6" w:rsidRPr="00632AC5">
        <w:rPr>
          <w:rFonts w:ascii="Calibri" w:hAnsi="Calibri" w:cs="Calibri"/>
          <w:sz w:val="24"/>
        </w:rPr>
        <w:t xml:space="preserve">výplatu </w:t>
      </w:r>
      <w:r w:rsidR="00015865" w:rsidRPr="00632AC5">
        <w:rPr>
          <w:rFonts w:ascii="Calibri" w:hAnsi="Calibri" w:cs="Calibri"/>
          <w:sz w:val="24"/>
        </w:rPr>
        <w:t>dáv</w:t>
      </w:r>
      <w:r w:rsidR="007E06F6" w:rsidRPr="00632AC5">
        <w:rPr>
          <w:rFonts w:ascii="Calibri" w:hAnsi="Calibri" w:cs="Calibri"/>
          <w:sz w:val="24"/>
        </w:rPr>
        <w:t>ek</w:t>
      </w:r>
      <w:r w:rsidR="00632AC5">
        <w:rPr>
          <w:rFonts w:ascii="Calibri" w:hAnsi="Calibri" w:cs="Calibri"/>
          <w:sz w:val="24"/>
        </w:rPr>
        <w:t xml:space="preserve"> </w:t>
      </w:r>
      <w:r w:rsidR="00015865" w:rsidRPr="00632AC5">
        <w:rPr>
          <w:rFonts w:ascii="Calibri" w:hAnsi="Calibri" w:cs="Calibri"/>
          <w:sz w:val="24"/>
        </w:rPr>
        <w:t>důchodového pojištění</w:t>
      </w:r>
      <w:r w:rsidR="00783A68" w:rsidRPr="00632AC5">
        <w:rPr>
          <w:rFonts w:ascii="Calibri" w:hAnsi="Calibri" w:cs="Calibri"/>
          <w:sz w:val="24"/>
        </w:rPr>
        <w:t xml:space="preserve"> </w:t>
      </w:r>
      <w:r w:rsidR="001D56D4">
        <w:rPr>
          <w:rFonts w:ascii="Calibri" w:hAnsi="Calibri" w:cs="Calibri"/>
          <w:sz w:val="24"/>
        </w:rPr>
        <w:t xml:space="preserve">zjištěný za všechny kapitoly státního rozpočtu, které se na této oblasti podílejí, </w:t>
      </w:r>
      <w:r w:rsidR="00783A68" w:rsidRPr="00632AC5">
        <w:rPr>
          <w:rFonts w:ascii="Calibri" w:hAnsi="Calibri" w:cs="Calibri"/>
          <w:sz w:val="24"/>
        </w:rPr>
        <w:t xml:space="preserve">se liší od vypočteného rozdílu </w:t>
      </w:r>
      <w:r w:rsidR="00C57414">
        <w:rPr>
          <w:rFonts w:ascii="Calibri" w:hAnsi="Calibri" w:cs="Calibri"/>
          <w:sz w:val="24"/>
        </w:rPr>
        <w:t xml:space="preserve">ve smyslu </w:t>
      </w:r>
      <w:r w:rsidR="00783A68" w:rsidRPr="00632AC5">
        <w:rPr>
          <w:rFonts w:ascii="Calibri" w:hAnsi="Calibri" w:cs="Calibri"/>
          <w:sz w:val="24"/>
        </w:rPr>
        <w:t xml:space="preserve">zákona o rozpočtových pravidlech. Ve </w:t>
      </w:r>
      <w:proofErr w:type="spellStart"/>
      <w:r w:rsidR="00783A68" w:rsidRPr="00632AC5">
        <w:rPr>
          <w:rFonts w:ascii="Calibri" w:hAnsi="Calibri" w:cs="Calibri"/>
          <w:sz w:val="24"/>
        </w:rPr>
        <w:t>SZÚ</w:t>
      </w:r>
      <w:proofErr w:type="spellEnd"/>
      <w:r w:rsidR="00783A68" w:rsidRPr="00632AC5">
        <w:rPr>
          <w:rFonts w:ascii="Calibri" w:hAnsi="Calibri" w:cs="Calibri"/>
          <w:sz w:val="24"/>
        </w:rPr>
        <w:t xml:space="preserve"> se </w:t>
      </w:r>
      <w:r w:rsidR="007E06F6" w:rsidRPr="00632AC5">
        <w:rPr>
          <w:rFonts w:ascii="Calibri" w:hAnsi="Calibri" w:cs="Calibri"/>
          <w:sz w:val="24"/>
        </w:rPr>
        <w:t>uvád</w:t>
      </w:r>
      <w:r w:rsidR="004E2AEA" w:rsidRPr="00632AC5">
        <w:rPr>
          <w:rFonts w:ascii="Calibri" w:hAnsi="Calibri" w:cs="Calibri"/>
          <w:sz w:val="24"/>
        </w:rPr>
        <w:t>í</w:t>
      </w:r>
      <w:r w:rsidR="00632AC5">
        <w:rPr>
          <w:rFonts w:ascii="Calibri" w:hAnsi="Calibri" w:cs="Calibri"/>
          <w:sz w:val="24"/>
        </w:rPr>
        <w:t xml:space="preserve"> </w:t>
      </w:r>
      <w:r w:rsidR="007E06F6" w:rsidRPr="00632AC5">
        <w:rPr>
          <w:rFonts w:ascii="Calibri" w:hAnsi="Calibri" w:cs="Calibri"/>
          <w:sz w:val="24"/>
        </w:rPr>
        <w:t xml:space="preserve">rozdíl </w:t>
      </w:r>
      <w:r w:rsidR="00015865" w:rsidRPr="00632AC5">
        <w:rPr>
          <w:rFonts w:ascii="Calibri" w:hAnsi="Calibri" w:cs="Calibri"/>
          <w:sz w:val="24"/>
        </w:rPr>
        <w:t>vypočítaný</w:t>
      </w:r>
      <w:r w:rsidR="00632AC5">
        <w:rPr>
          <w:rFonts w:ascii="Calibri" w:hAnsi="Calibri" w:cs="Calibri"/>
          <w:sz w:val="24"/>
        </w:rPr>
        <w:t xml:space="preserve"> </w:t>
      </w:r>
      <w:r w:rsidR="00224FCD" w:rsidRPr="00632AC5">
        <w:rPr>
          <w:rFonts w:ascii="Calibri" w:hAnsi="Calibri" w:cs="Calibri"/>
          <w:sz w:val="24"/>
        </w:rPr>
        <w:t>podle uvedeného zákona,</w:t>
      </w:r>
      <w:r w:rsidR="00632AC5">
        <w:rPr>
          <w:rFonts w:ascii="Calibri" w:hAnsi="Calibri" w:cs="Calibri"/>
          <w:sz w:val="24"/>
        </w:rPr>
        <w:t xml:space="preserve"> </w:t>
      </w:r>
      <w:r w:rsidR="007E06F6" w:rsidRPr="00632AC5">
        <w:rPr>
          <w:rFonts w:ascii="Calibri" w:hAnsi="Calibri" w:cs="Calibri"/>
          <w:sz w:val="24"/>
        </w:rPr>
        <w:t>tzn.</w:t>
      </w:r>
      <w:r w:rsidR="00632AC5">
        <w:rPr>
          <w:rFonts w:ascii="Calibri" w:hAnsi="Calibri" w:cs="Calibri"/>
          <w:sz w:val="24"/>
        </w:rPr>
        <w:t xml:space="preserve"> </w:t>
      </w:r>
      <w:r w:rsidR="00C63CCB">
        <w:rPr>
          <w:rFonts w:ascii="Calibri" w:hAnsi="Calibri" w:cs="Calibri"/>
          <w:sz w:val="24"/>
        </w:rPr>
        <w:t>po započ</w:t>
      </w:r>
      <w:r w:rsidR="00015865" w:rsidRPr="00632AC5">
        <w:rPr>
          <w:rFonts w:ascii="Calibri" w:hAnsi="Calibri" w:cs="Calibri"/>
          <w:sz w:val="24"/>
        </w:rPr>
        <w:t>t</w:t>
      </w:r>
      <w:r w:rsidR="00C63CCB">
        <w:rPr>
          <w:rFonts w:ascii="Calibri" w:hAnsi="Calibri" w:cs="Calibri"/>
          <w:sz w:val="24"/>
        </w:rPr>
        <w:t xml:space="preserve">ení </w:t>
      </w:r>
      <w:r w:rsidR="00015865" w:rsidRPr="00632AC5">
        <w:rPr>
          <w:rFonts w:ascii="Calibri" w:hAnsi="Calibri" w:cs="Calibri"/>
          <w:sz w:val="24"/>
        </w:rPr>
        <w:t xml:space="preserve">dalších položek, a to jak na straně </w:t>
      </w:r>
      <w:r w:rsidR="00743E73" w:rsidRPr="00632AC5">
        <w:rPr>
          <w:rFonts w:ascii="Calibri" w:hAnsi="Calibri" w:cs="Calibri"/>
          <w:sz w:val="24"/>
        </w:rPr>
        <w:t>výdajů</w:t>
      </w:r>
      <w:r w:rsidR="00015865" w:rsidRPr="00632AC5">
        <w:rPr>
          <w:rFonts w:ascii="Calibri" w:hAnsi="Calibri" w:cs="Calibri"/>
          <w:sz w:val="24"/>
        </w:rPr>
        <w:t xml:space="preserve">, </w:t>
      </w:r>
      <w:r w:rsidR="00C57414">
        <w:rPr>
          <w:rFonts w:ascii="Calibri" w:hAnsi="Calibri" w:cs="Calibri"/>
          <w:sz w:val="24"/>
        </w:rPr>
        <w:t xml:space="preserve">tak </w:t>
      </w:r>
      <w:r w:rsidR="00015865" w:rsidRPr="00632AC5">
        <w:rPr>
          <w:rFonts w:ascii="Calibri" w:hAnsi="Calibri" w:cs="Calibri"/>
          <w:sz w:val="24"/>
        </w:rPr>
        <w:t>na straně</w:t>
      </w:r>
      <w:r w:rsidR="00743E73" w:rsidRPr="00632AC5">
        <w:rPr>
          <w:rFonts w:ascii="Calibri" w:hAnsi="Calibri" w:cs="Calibri"/>
          <w:sz w:val="24"/>
        </w:rPr>
        <w:t xml:space="preserve"> příjmů</w:t>
      </w:r>
      <w:r w:rsidR="00015865" w:rsidRPr="00632AC5">
        <w:rPr>
          <w:rFonts w:ascii="Calibri" w:hAnsi="Calibri" w:cs="Calibri"/>
          <w:sz w:val="24"/>
        </w:rPr>
        <w:t>.</w:t>
      </w:r>
      <w:r w:rsidR="00B22F9F" w:rsidRPr="00632AC5">
        <w:rPr>
          <w:rFonts w:ascii="Calibri" w:hAnsi="Calibri" w:cs="Calibri"/>
          <w:sz w:val="24"/>
        </w:rPr>
        <w:t xml:space="preserve"> </w:t>
      </w:r>
      <w:r w:rsidR="00B10E7C" w:rsidRPr="00632AC5">
        <w:rPr>
          <w:rFonts w:ascii="Calibri" w:hAnsi="Calibri" w:cs="Calibri"/>
          <w:sz w:val="24"/>
          <w:lang w:eastAsia="cs-CZ"/>
        </w:rPr>
        <w:t xml:space="preserve">Zákonem o rozpočtových pravidlech bylo v souvislosti se zřízením </w:t>
      </w:r>
      <w:r w:rsidR="00C03653" w:rsidRPr="00632AC5">
        <w:rPr>
          <w:rFonts w:ascii="Calibri" w:hAnsi="Calibri" w:cs="Calibri"/>
          <w:i/>
          <w:sz w:val="24"/>
          <w:lang w:eastAsia="cs-CZ"/>
        </w:rPr>
        <w:t>Zvláštního účtu důchodového pojištění</w:t>
      </w:r>
      <w:r w:rsidR="00C03653" w:rsidRPr="00632AC5">
        <w:rPr>
          <w:rFonts w:ascii="Calibri" w:hAnsi="Calibri" w:cs="Calibri"/>
          <w:sz w:val="24"/>
          <w:lang w:eastAsia="cs-CZ"/>
        </w:rPr>
        <w:t xml:space="preserve"> </w:t>
      </w:r>
      <w:r w:rsidR="001D56D4">
        <w:rPr>
          <w:rFonts w:ascii="Calibri" w:hAnsi="Calibri" w:cs="Calibri"/>
          <w:sz w:val="24"/>
          <w:lang w:eastAsia="cs-CZ"/>
        </w:rPr>
        <w:t xml:space="preserve">zároveň </w:t>
      </w:r>
      <w:r w:rsidR="00B10E7C" w:rsidRPr="00632AC5">
        <w:rPr>
          <w:rFonts w:ascii="Calibri" w:hAnsi="Calibri" w:cs="Calibri"/>
          <w:sz w:val="24"/>
          <w:lang w:eastAsia="cs-CZ"/>
        </w:rPr>
        <w:t>stanoveno, že do výpočtu rozdílu budou na straně výdajů zahrnuty i výdaje na výkon státní správy, tzn. výdaje spojené s výběrem pojistného a</w:t>
      </w:r>
      <w:r w:rsidR="00476FF4">
        <w:rPr>
          <w:rFonts w:ascii="Calibri" w:hAnsi="Calibri" w:cs="Calibri"/>
          <w:sz w:val="24"/>
          <w:lang w:eastAsia="cs-CZ"/>
        </w:rPr>
        <w:t xml:space="preserve"> </w:t>
      </w:r>
      <w:r w:rsidR="00B10E7C" w:rsidRPr="00632AC5">
        <w:rPr>
          <w:rFonts w:ascii="Calibri" w:hAnsi="Calibri" w:cs="Calibri"/>
          <w:sz w:val="24"/>
          <w:lang w:eastAsia="cs-CZ"/>
        </w:rPr>
        <w:t>výdaje spojené s výplatou dávek důchodového pojištění (dále také „výdaje na správu“).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</w:p>
    <w:p w:rsidR="009D3E7C" w:rsidRPr="00632AC5" w:rsidRDefault="009D3E7C" w:rsidP="00B22F9F">
      <w:pPr>
        <w:ind w:firstLine="0"/>
        <w:rPr>
          <w:rFonts w:ascii="Calibri" w:hAnsi="Calibri" w:cs="Calibri"/>
          <w:sz w:val="24"/>
        </w:rPr>
      </w:pPr>
    </w:p>
    <w:p w:rsidR="00410080" w:rsidRPr="00632AC5" w:rsidRDefault="00743E73" w:rsidP="00B22F9F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Na straně příjmů </w:t>
      </w:r>
      <w:r w:rsidR="00370230" w:rsidRPr="00632AC5">
        <w:rPr>
          <w:rFonts w:ascii="Calibri" w:hAnsi="Calibri" w:cs="Calibri"/>
          <w:sz w:val="24"/>
        </w:rPr>
        <w:t>bylo</w:t>
      </w:r>
      <w:r w:rsidR="00C25193">
        <w:rPr>
          <w:rFonts w:ascii="Calibri" w:hAnsi="Calibri" w:cs="Calibri"/>
          <w:sz w:val="24"/>
        </w:rPr>
        <w:t xml:space="preserve"> od roku 2012</w:t>
      </w:r>
      <w:r w:rsidR="00370230" w:rsidRPr="00632AC5">
        <w:rPr>
          <w:rFonts w:ascii="Calibri" w:hAnsi="Calibri" w:cs="Calibri"/>
          <w:sz w:val="24"/>
        </w:rPr>
        <w:t xml:space="preserve"> zákonem stanoveno navýšit</w:t>
      </w:r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 xml:space="preserve">příjmy </w:t>
      </w:r>
      <w:r w:rsidR="00370230" w:rsidRPr="00632AC5">
        <w:rPr>
          <w:rFonts w:ascii="Calibri" w:hAnsi="Calibri" w:cs="Calibri"/>
          <w:sz w:val="24"/>
        </w:rPr>
        <w:t xml:space="preserve">z pojistného </w:t>
      </w:r>
      <w:r w:rsidR="00224FCD" w:rsidRPr="00632AC5">
        <w:rPr>
          <w:rFonts w:ascii="Calibri" w:hAnsi="Calibri" w:cs="Calibri"/>
          <w:sz w:val="24"/>
        </w:rPr>
        <w:t>o</w:t>
      </w:r>
      <w:r w:rsidR="00254A5D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7,2 % výnosu DPH připadajícího na státní rozpočet</w:t>
      </w:r>
      <w:r w:rsidR="008647F0" w:rsidRPr="00632AC5">
        <w:rPr>
          <w:rFonts w:ascii="Calibri" w:hAnsi="Calibri" w:cs="Calibri"/>
          <w:sz w:val="24"/>
        </w:rPr>
        <w:t xml:space="preserve"> </w:t>
      </w:r>
      <w:r w:rsidR="00C57414">
        <w:rPr>
          <w:rFonts w:ascii="Calibri" w:hAnsi="Calibri" w:cs="Calibri"/>
          <w:sz w:val="24"/>
        </w:rPr>
        <w:t>(</w:t>
      </w:r>
      <w:r w:rsidR="00574487">
        <w:rPr>
          <w:rFonts w:ascii="Calibri" w:hAnsi="Calibri" w:cs="Calibri"/>
          <w:sz w:val="24"/>
        </w:rPr>
        <w:t>v </w:t>
      </w:r>
      <w:r w:rsidRPr="00632AC5">
        <w:rPr>
          <w:rFonts w:ascii="Calibri" w:hAnsi="Calibri" w:cs="Calibri"/>
          <w:sz w:val="24"/>
        </w:rPr>
        <w:t>roce 2012 se jednalo o částku 14,4</w:t>
      </w:r>
      <w:r w:rsidR="00254A5D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mld.</w:t>
      </w:r>
      <w:r w:rsidR="00476FF4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Kč a</w:t>
      </w:r>
      <w:r w:rsidR="00A0314E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v roce 2013 o částku 15,8 mld. Kč</w:t>
      </w:r>
      <w:r w:rsidR="00C57414">
        <w:rPr>
          <w:rFonts w:ascii="Calibri" w:hAnsi="Calibri" w:cs="Calibri"/>
          <w:sz w:val="24"/>
        </w:rPr>
        <w:t>)</w:t>
      </w:r>
      <w:r w:rsidR="00224FCD" w:rsidRPr="00632AC5">
        <w:rPr>
          <w:rFonts w:ascii="Calibri" w:hAnsi="Calibri" w:cs="Calibri"/>
          <w:sz w:val="24"/>
        </w:rPr>
        <w:t xml:space="preserve">. V uvedených dvou letech </w:t>
      </w:r>
      <w:r w:rsidR="004E2AEA" w:rsidRPr="00632AC5">
        <w:rPr>
          <w:rFonts w:ascii="Calibri" w:hAnsi="Calibri" w:cs="Calibri"/>
          <w:sz w:val="24"/>
        </w:rPr>
        <w:t xml:space="preserve">byly příjmy </w:t>
      </w:r>
      <w:r w:rsidR="00224FCD" w:rsidRPr="00632AC5">
        <w:rPr>
          <w:rFonts w:ascii="Calibri" w:hAnsi="Calibri" w:cs="Calibri"/>
          <w:sz w:val="24"/>
        </w:rPr>
        <w:t xml:space="preserve">dále </w:t>
      </w:r>
      <w:r w:rsidR="004E2AEA" w:rsidRPr="00632AC5">
        <w:rPr>
          <w:rFonts w:ascii="Calibri" w:hAnsi="Calibri" w:cs="Calibri"/>
          <w:sz w:val="24"/>
        </w:rPr>
        <w:t>navýšeny</w:t>
      </w:r>
      <w:r w:rsidR="00632AC5">
        <w:rPr>
          <w:rFonts w:ascii="Calibri" w:hAnsi="Calibri" w:cs="Calibri"/>
          <w:sz w:val="24"/>
        </w:rPr>
        <w:t xml:space="preserve"> </w:t>
      </w:r>
      <w:r w:rsidR="00574487">
        <w:rPr>
          <w:rFonts w:ascii="Calibri" w:hAnsi="Calibri" w:cs="Calibri"/>
          <w:sz w:val="24"/>
        </w:rPr>
        <w:t>z </w:t>
      </w:r>
      <w:r w:rsidR="00C57414">
        <w:rPr>
          <w:rFonts w:ascii="Calibri" w:hAnsi="Calibri" w:cs="Calibri"/>
          <w:sz w:val="24"/>
        </w:rPr>
        <w:t xml:space="preserve">fondu privatizace </w:t>
      </w:r>
      <w:r w:rsidR="00410080" w:rsidRPr="00632AC5">
        <w:rPr>
          <w:rFonts w:ascii="Calibri" w:hAnsi="Calibri" w:cs="Calibri"/>
          <w:sz w:val="24"/>
        </w:rPr>
        <w:t xml:space="preserve">na základě usnesení vlády </w:t>
      </w:r>
      <w:r w:rsidR="00410080" w:rsidRPr="00137113">
        <w:rPr>
          <w:rFonts w:ascii="Calibri" w:hAnsi="Calibri" w:cs="Calibri"/>
          <w:sz w:val="24"/>
        </w:rPr>
        <w:t>ČR</w:t>
      </w:r>
      <w:r w:rsidR="00410080" w:rsidRPr="00632AC5">
        <w:rPr>
          <w:rFonts w:ascii="Calibri" w:hAnsi="Calibri" w:cs="Calibri"/>
          <w:sz w:val="24"/>
        </w:rPr>
        <w:t xml:space="preserve"> </w:t>
      </w:r>
      <w:r w:rsidR="00C57414">
        <w:rPr>
          <w:rFonts w:ascii="Calibri" w:hAnsi="Calibri" w:cs="Calibri"/>
          <w:sz w:val="24"/>
        </w:rPr>
        <w:t>(</w:t>
      </w:r>
      <w:r w:rsidR="00574487">
        <w:rPr>
          <w:rFonts w:ascii="Calibri" w:hAnsi="Calibri" w:cs="Calibri"/>
          <w:sz w:val="24"/>
        </w:rPr>
        <w:t>v </w:t>
      </w:r>
      <w:r w:rsidR="00410080" w:rsidRPr="00632AC5">
        <w:rPr>
          <w:rFonts w:ascii="Calibri" w:hAnsi="Calibri" w:cs="Calibri"/>
          <w:sz w:val="24"/>
        </w:rPr>
        <w:t>roce 2012 se jednalo o částku 14,4</w:t>
      </w:r>
      <w:r w:rsidR="00476FF4">
        <w:rPr>
          <w:rFonts w:ascii="Calibri" w:hAnsi="Calibri" w:cs="Calibri"/>
          <w:sz w:val="24"/>
        </w:rPr>
        <w:t> </w:t>
      </w:r>
      <w:r w:rsidR="00410080" w:rsidRPr="00632AC5">
        <w:rPr>
          <w:rFonts w:ascii="Calibri" w:hAnsi="Calibri" w:cs="Calibri"/>
          <w:sz w:val="24"/>
        </w:rPr>
        <w:t>mld.</w:t>
      </w:r>
      <w:r w:rsidR="00476FF4">
        <w:rPr>
          <w:rFonts w:ascii="Calibri" w:hAnsi="Calibri" w:cs="Calibri"/>
          <w:sz w:val="24"/>
        </w:rPr>
        <w:t> </w:t>
      </w:r>
      <w:r w:rsidR="00410080" w:rsidRPr="00632AC5">
        <w:rPr>
          <w:rFonts w:ascii="Calibri" w:hAnsi="Calibri" w:cs="Calibri"/>
          <w:sz w:val="24"/>
        </w:rPr>
        <w:t>Kč a v roce 2013 o částku 10 mld. Kč</w:t>
      </w:r>
      <w:r w:rsidR="00C25193">
        <w:rPr>
          <w:rFonts w:ascii="Calibri" w:hAnsi="Calibri" w:cs="Calibri"/>
          <w:sz w:val="24"/>
        </w:rPr>
        <w:t xml:space="preserve">, </w:t>
      </w:r>
      <w:r w:rsidR="00476FF4">
        <w:rPr>
          <w:rFonts w:ascii="Calibri" w:hAnsi="Calibri" w:cs="Calibri"/>
          <w:sz w:val="24"/>
        </w:rPr>
        <w:t>tyto prostředky</w:t>
      </w:r>
      <w:r w:rsidR="00C25193">
        <w:rPr>
          <w:rFonts w:ascii="Calibri" w:hAnsi="Calibri" w:cs="Calibri"/>
          <w:sz w:val="24"/>
        </w:rPr>
        <w:t xml:space="preserve"> byly </w:t>
      </w:r>
      <w:r w:rsidR="00436608" w:rsidRPr="00632AC5">
        <w:rPr>
          <w:rFonts w:ascii="Calibri" w:hAnsi="Calibri" w:cs="Calibri"/>
          <w:sz w:val="24"/>
        </w:rPr>
        <w:t>převeden</w:t>
      </w:r>
      <w:r w:rsidR="00C25193">
        <w:rPr>
          <w:rFonts w:ascii="Calibri" w:hAnsi="Calibri" w:cs="Calibri"/>
          <w:sz w:val="24"/>
        </w:rPr>
        <w:t xml:space="preserve">y </w:t>
      </w:r>
      <w:r w:rsidR="00436608" w:rsidRPr="00632AC5">
        <w:rPr>
          <w:rFonts w:ascii="Calibri" w:hAnsi="Calibri" w:cs="Calibri"/>
          <w:sz w:val="24"/>
        </w:rPr>
        <w:t>do příjmů státního rozpočtu</w:t>
      </w:r>
      <w:r w:rsidR="00C57414">
        <w:rPr>
          <w:rFonts w:ascii="Calibri" w:hAnsi="Calibri" w:cs="Calibri"/>
          <w:sz w:val="24"/>
        </w:rPr>
        <w:t>)</w:t>
      </w:r>
      <w:r w:rsidR="00410080" w:rsidRPr="00632AC5">
        <w:rPr>
          <w:rFonts w:ascii="Calibri" w:hAnsi="Calibri" w:cs="Calibri"/>
          <w:sz w:val="24"/>
        </w:rPr>
        <w:t>.</w:t>
      </w:r>
    </w:p>
    <w:p w:rsidR="00760399" w:rsidRPr="00632AC5" w:rsidRDefault="00760399" w:rsidP="00B22F9F">
      <w:pPr>
        <w:ind w:firstLine="0"/>
        <w:rPr>
          <w:rFonts w:ascii="Calibri" w:hAnsi="Calibri" w:cs="Calibri"/>
          <w:sz w:val="24"/>
        </w:rPr>
      </w:pPr>
    </w:p>
    <w:p w:rsidR="007E06F6" w:rsidRPr="00632AC5" w:rsidRDefault="00370230" w:rsidP="007E06F6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Údaje uvedené v následující tabulce umožňují porovnat</w:t>
      </w:r>
      <w:r w:rsidR="00760399" w:rsidRPr="00632AC5">
        <w:rPr>
          <w:rFonts w:ascii="Calibri" w:hAnsi="Calibri" w:cs="Calibri"/>
          <w:sz w:val="24"/>
        </w:rPr>
        <w:t xml:space="preserve"> rozdíl mezi skutečně dosaženými</w:t>
      </w:r>
      <w:r w:rsidR="00632AC5">
        <w:rPr>
          <w:rFonts w:ascii="Calibri" w:hAnsi="Calibri" w:cs="Calibri"/>
          <w:sz w:val="24"/>
        </w:rPr>
        <w:t xml:space="preserve"> </w:t>
      </w:r>
      <w:r w:rsidR="007E06F6" w:rsidRPr="00632AC5">
        <w:rPr>
          <w:rFonts w:ascii="Calibri" w:hAnsi="Calibri" w:cs="Calibri"/>
          <w:sz w:val="24"/>
        </w:rPr>
        <w:t>příjm</w:t>
      </w:r>
      <w:r w:rsidR="00760399" w:rsidRPr="00632AC5">
        <w:rPr>
          <w:rFonts w:ascii="Calibri" w:hAnsi="Calibri" w:cs="Calibri"/>
          <w:sz w:val="24"/>
        </w:rPr>
        <w:t>y</w:t>
      </w:r>
      <w:r w:rsidR="007E06F6" w:rsidRPr="00632AC5">
        <w:rPr>
          <w:rFonts w:ascii="Calibri" w:hAnsi="Calibri" w:cs="Calibri"/>
          <w:sz w:val="24"/>
        </w:rPr>
        <w:t xml:space="preserve"> z pojistného a</w:t>
      </w:r>
      <w:r w:rsidR="00224FCD" w:rsidRPr="00632AC5">
        <w:rPr>
          <w:rFonts w:ascii="Calibri" w:hAnsi="Calibri" w:cs="Calibri"/>
          <w:sz w:val="24"/>
        </w:rPr>
        <w:t xml:space="preserve"> výdaj</w:t>
      </w:r>
      <w:r w:rsidRPr="00632AC5">
        <w:rPr>
          <w:rFonts w:ascii="Calibri" w:hAnsi="Calibri" w:cs="Calibri"/>
          <w:sz w:val="24"/>
        </w:rPr>
        <w:t xml:space="preserve">i skutečně </w:t>
      </w:r>
      <w:r w:rsidR="00760399" w:rsidRPr="00632AC5">
        <w:rPr>
          <w:rFonts w:ascii="Calibri" w:hAnsi="Calibri" w:cs="Calibri"/>
          <w:sz w:val="24"/>
        </w:rPr>
        <w:t xml:space="preserve">vyplacenými na dávky </w:t>
      </w:r>
      <w:r w:rsidRPr="00632AC5">
        <w:rPr>
          <w:rFonts w:ascii="Calibri" w:hAnsi="Calibri" w:cs="Calibri"/>
          <w:sz w:val="24"/>
        </w:rPr>
        <w:t>důchodového pojištění</w:t>
      </w:r>
      <w:r w:rsidR="00632AC5">
        <w:rPr>
          <w:rFonts w:ascii="Calibri" w:hAnsi="Calibri" w:cs="Calibri"/>
          <w:sz w:val="24"/>
        </w:rPr>
        <w:t xml:space="preserve"> </w:t>
      </w:r>
      <w:r w:rsidR="008647F0" w:rsidRPr="00632AC5">
        <w:rPr>
          <w:rFonts w:ascii="Calibri" w:hAnsi="Calibri" w:cs="Calibri"/>
          <w:sz w:val="24"/>
        </w:rPr>
        <w:t xml:space="preserve">(„čistý“ rozdíl) </w:t>
      </w:r>
      <w:r w:rsidRPr="00632AC5">
        <w:rPr>
          <w:rFonts w:ascii="Calibri" w:hAnsi="Calibri" w:cs="Calibri"/>
          <w:sz w:val="24"/>
        </w:rPr>
        <w:t>s </w:t>
      </w:r>
      <w:r w:rsidR="007E06F6" w:rsidRPr="00632AC5">
        <w:rPr>
          <w:rFonts w:ascii="Calibri" w:hAnsi="Calibri" w:cs="Calibri"/>
          <w:sz w:val="24"/>
        </w:rPr>
        <w:t>rozdíl</w:t>
      </w:r>
      <w:r w:rsidRPr="00632AC5">
        <w:rPr>
          <w:rFonts w:ascii="Calibri" w:hAnsi="Calibri" w:cs="Calibri"/>
          <w:sz w:val="24"/>
        </w:rPr>
        <w:t>em</w:t>
      </w:r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 xml:space="preserve">uváděným ve </w:t>
      </w:r>
      <w:proofErr w:type="spellStart"/>
      <w:r w:rsidRPr="00632AC5">
        <w:rPr>
          <w:rFonts w:ascii="Calibri" w:hAnsi="Calibri" w:cs="Calibri"/>
          <w:sz w:val="24"/>
        </w:rPr>
        <w:t>SZÚ</w:t>
      </w:r>
      <w:proofErr w:type="spellEnd"/>
      <w:r w:rsidR="00632AC5">
        <w:rPr>
          <w:rFonts w:ascii="Calibri" w:hAnsi="Calibri" w:cs="Calibri"/>
          <w:sz w:val="24"/>
        </w:rPr>
        <w:t xml:space="preserve"> </w:t>
      </w:r>
      <w:r w:rsidR="00760399" w:rsidRPr="00632AC5">
        <w:rPr>
          <w:rFonts w:ascii="Calibri" w:hAnsi="Calibri" w:cs="Calibri"/>
          <w:sz w:val="24"/>
        </w:rPr>
        <w:t xml:space="preserve">po zahrnutí </w:t>
      </w:r>
      <w:r w:rsidRPr="00632AC5">
        <w:rPr>
          <w:rFonts w:ascii="Calibri" w:hAnsi="Calibri" w:cs="Calibri"/>
          <w:sz w:val="24"/>
        </w:rPr>
        <w:t xml:space="preserve">výše </w:t>
      </w:r>
      <w:r w:rsidR="00990079">
        <w:rPr>
          <w:rFonts w:ascii="Calibri" w:hAnsi="Calibri" w:cs="Calibri"/>
          <w:sz w:val="24"/>
        </w:rPr>
        <w:t xml:space="preserve">zmíněných </w:t>
      </w:r>
      <w:r w:rsidRPr="00632AC5">
        <w:rPr>
          <w:rFonts w:ascii="Calibri" w:hAnsi="Calibri" w:cs="Calibri"/>
          <w:sz w:val="24"/>
        </w:rPr>
        <w:t>položek do výpočtu</w:t>
      </w:r>
      <w:r w:rsidR="00990079">
        <w:rPr>
          <w:rFonts w:ascii="Calibri" w:hAnsi="Calibri" w:cs="Calibri"/>
          <w:sz w:val="24"/>
        </w:rPr>
        <w:t xml:space="preserve"> MF.</w:t>
      </w:r>
    </w:p>
    <w:p w:rsidR="007E06F6" w:rsidRPr="00652451" w:rsidRDefault="007E06F6" w:rsidP="007E06F6">
      <w:pPr>
        <w:ind w:firstLine="0"/>
        <w:rPr>
          <w:rFonts w:ascii="Calibri" w:hAnsi="Calibri" w:cs="Calibri"/>
          <w:sz w:val="24"/>
        </w:rPr>
      </w:pPr>
    </w:p>
    <w:p w:rsidR="007E06F6" w:rsidRPr="00632AC5" w:rsidRDefault="007E06F6" w:rsidP="00F80CB2">
      <w:pPr>
        <w:tabs>
          <w:tab w:val="right" w:pos="9072"/>
        </w:tabs>
        <w:ind w:left="1446" w:hanging="1446"/>
        <w:jc w:val="left"/>
        <w:rPr>
          <w:rFonts w:ascii="Calibri" w:hAnsi="Calibri" w:cs="Calibri"/>
          <w:b/>
          <w:sz w:val="24"/>
        </w:rPr>
      </w:pPr>
      <w:r w:rsidRPr="00632AC5">
        <w:rPr>
          <w:rFonts w:ascii="Calibri" w:hAnsi="Calibri" w:cs="Calibri"/>
          <w:b/>
          <w:sz w:val="24"/>
        </w:rPr>
        <w:t xml:space="preserve">Tabulka č. </w:t>
      </w:r>
      <w:r w:rsidR="00A0314E">
        <w:rPr>
          <w:rFonts w:ascii="Calibri" w:hAnsi="Calibri" w:cs="Calibri"/>
          <w:b/>
          <w:sz w:val="24"/>
        </w:rPr>
        <w:t>3</w:t>
      </w:r>
      <w:r w:rsidRPr="00632AC5">
        <w:rPr>
          <w:rFonts w:ascii="Calibri" w:hAnsi="Calibri" w:cs="Calibri"/>
          <w:b/>
          <w:sz w:val="24"/>
        </w:rPr>
        <w:t xml:space="preserve"> –</w:t>
      </w:r>
      <w:r w:rsidR="00652451">
        <w:rPr>
          <w:rFonts w:ascii="Calibri" w:hAnsi="Calibri" w:cs="Calibri"/>
          <w:b/>
          <w:sz w:val="24"/>
        </w:rPr>
        <w:t xml:space="preserve"> </w:t>
      </w:r>
      <w:r w:rsidRPr="00632AC5">
        <w:rPr>
          <w:rFonts w:ascii="Calibri" w:hAnsi="Calibri" w:cs="Calibri"/>
          <w:b/>
          <w:sz w:val="24"/>
        </w:rPr>
        <w:t xml:space="preserve">Rozdíl příjmů z pojistného na důchodové pojištění a výdajů na dávky </w:t>
      </w:r>
      <w:r w:rsidR="00652451">
        <w:rPr>
          <w:rFonts w:ascii="Calibri" w:hAnsi="Calibri" w:cs="Calibri"/>
          <w:b/>
          <w:sz w:val="24"/>
        </w:rPr>
        <w:t xml:space="preserve">důchodového pojištění </w:t>
      </w:r>
      <w:r w:rsidR="00652451">
        <w:rPr>
          <w:rFonts w:ascii="Calibri" w:hAnsi="Calibri" w:cs="Calibri"/>
          <w:b/>
          <w:sz w:val="24"/>
        </w:rPr>
        <w:tab/>
        <w:t>(v</w:t>
      </w:r>
      <w:r w:rsidR="00574487">
        <w:rPr>
          <w:rFonts w:ascii="Calibri" w:hAnsi="Calibri" w:cs="Calibri"/>
          <w:b/>
          <w:sz w:val="24"/>
        </w:rPr>
        <w:t> </w:t>
      </w:r>
      <w:r w:rsidRPr="00632AC5">
        <w:rPr>
          <w:rFonts w:ascii="Calibri" w:hAnsi="Calibri" w:cs="Calibri"/>
          <w:b/>
          <w:sz w:val="24"/>
        </w:rPr>
        <w:t>tis. Kč)</w:t>
      </w:r>
    </w:p>
    <w:tbl>
      <w:tblPr>
        <w:tblStyle w:val="Mkatabulky3"/>
        <w:tblW w:w="4884" w:type="pct"/>
        <w:tblInd w:w="108" w:type="dxa"/>
        <w:tblLook w:val="04A0" w:firstRow="1" w:lastRow="0" w:firstColumn="1" w:lastColumn="0" w:noHBand="0" w:noVBand="1"/>
      </w:tblPr>
      <w:tblGrid>
        <w:gridCol w:w="2219"/>
        <w:gridCol w:w="1370"/>
        <w:gridCol w:w="1372"/>
        <w:gridCol w:w="1370"/>
        <w:gridCol w:w="1372"/>
        <w:gridCol w:w="1370"/>
      </w:tblGrid>
      <w:tr w:rsidR="007E06F6" w:rsidRPr="00632AC5" w:rsidTr="00F80CB2">
        <w:tc>
          <w:tcPr>
            <w:tcW w:w="1223" w:type="pct"/>
            <w:shd w:val="clear" w:color="auto" w:fill="C6D9F1" w:themeFill="text2" w:themeFillTint="33"/>
          </w:tcPr>
          <w:p w:rsidR="007E06F6" w:rsidRPr="00632AC5" w:rsidRDefault="007E06F6" w:rsidP="007E06F6">
            <w:pPr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C6D9F1" w:themeFill="text2" w:themeFillTint="33"/>
            <w:vAlign w:val="bottom"/>
          </w:tcPr>
          <w:p w:rsidR="007E06F6" w:rsidRPr="00632AC5" w:rsidRDefault="007E06F6" w:rsidP="007E06F6">
            <w:pPr>
              <w:ind w:left="-70" w:firstLine="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756" w:type="pct"/>
            <w:shd w:val="clear" w:color="auto" w:fill="C6D9F1" w:themeFill="text2" w:themeFillTint="33"/>
            <w:vAlign w:val="bottom"/>
          </w:tcPr>
          <w:p w:rsidR="007E06F6" w:rsidRPr="00632AC5" w:rsidRDefault="007E06F6" w:rsidP="007E06F6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55" w:type="pct"/>
            <w:shd w:val="clear" w:color="auto" w:fill="C6D9F1" w:themeFill="text2" w:themeFillTint="33"/>
            <w:vAlign w:val="bottom"/>
          </w:tcPr>
          <w:p w:rsidR="007E06F6" w:rsidRPr="00632AC5" w:rsidRDefault="007E06F6" w:rsidP="007E06F6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56" w:type="pct"/>
            <w:shd w:val="clear" w:color="auto" w:fill="C6D9F1" w:themeFill="text2" w:themeFillTint="33"/>
            <w:vAlign w:val="bottom"/>
          </w:tcPr>
          <w:p w:rsidR="007E06F6" w:rsidRPr="00632AC5" w:rsidRDefault="007E06F6" w:rsidP="007E06F6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56" w:type="pct"/>
            <w:shd w:val="clear" w:color="auto" w:fill="C6D9F1" w:themeFill="text2" w:themeFillTint="33"/>
            <w:vAlign w:val="bottom"/>
          </w:tcPr>
          <w:p w:rsidR="007E06F6" w:rsidRPr="00632AC5" w:rsidRDefault="007E06F6" w:rsidP="007E06F6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2013</w:t>
            </w:r>
          </w:p>
        </w:tc>
      </w:tr>
      <w:tr w:rsidR="007E06F6" w:rsidRPr="00632AC5" w:rsidTr="00652451">
        <w:tc>
          <w:tcPr>
            <w:tcW w:w="1223" w:type="pct"/>
            <w:vAlign w:val="bottom"/>
          </w:tcPr>
          <w:p w:rsidR="007E06F6" w:rsidRPr="00632AC5" w:rsidRDefault="007E06F6" w:rsidP="007E06F6">
            <w:pPr>
              <w:ind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„Čistý“ rozdíl příjmů </w:t>
            </w:r>
          </w:p>
          <w:p w:rsidR="007E06F6" w:rsidRPr="00632AC5" w:rsidRDefault="007E06F6" w:rsidP="007E06F6">
            <w:pPr>
              <w:ind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a výdajů</w:t>
            </w:r>
          </w:p>
        </w:tc>
        <w:tc>
          <w:tcPr>
            <w:tcW w:w="755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sz w:val="20"/>
                <w:szCs w:val="20"/>
              </w:rPr>
              <w:t>29 478 110</w:t>
            </w:r>
          </w:p>
        </w:tc>
        <w:tc>
          <w:tcPr>
            <w:tcW w:w="756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sz w:val="20"/>
                <w:szCs w:val="20"/>
              </w:rPr>
              <w:t>28 331 044</w:t>
            </w:r>
          </w:p>
        </w:tc>
        <w:tc>
          <w:tcPr>
            <w:tcW w:w="755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sz w:val="20"/>
                <w:szCs w:val="20"/>
              </w:rPr>
              <w:t>40 063 896</w:t>
            </w:r>
          </w:p>
        </w:tc>
        <w:tc>
          <w:tcPr>
            <w:tcW w:w="756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sz w:val="20"/>
                <w:szCs w:val="20"/>
              </w:rPr>
              <w:t>49 929 867</w:t>
            </w:r>
          </w:p>
        </w:tc>
        <w:tc>
          <w:tcPr>
            <w:tcW w:w="756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sz w:val="20"/>
                <w:szCs w:val="20"/>
              </w:rPr>
              <w:t>50 175 110</w:t>
            </w:r>
          </w:p>
        </w:tc>
      </w:tr>
      <w:tr w:rsidR="007E06F6" w:rsidRPr="00632AC5" w:rsidTr="00652451">
        <w:tc>
          <w:tcPr>
            <w:tcW w:w="1223" w:type="pct"/>
            <w:vAlign w:val="bottom"/>
          </w:tcPr>
          <w:p w:rsidR="007E06F6" w:rsidRPr="00632AC5" w:rsidRDefault="007E06F6" w:rsidP="007E06F6">
            <w:pPr>
              <w:ind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Rozdíl příjmů a výdajů dle </w:t>
            </w:r>
            <w:r w:rsidR="00370230"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výp</w:t>
            </w:r>
            <w:r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>očtu</w:t>
            </w:r>
            <w:r w:rsidR="004E2AEA" w:rsidRPr="00632AC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MF</w:t>
            </w:r>
          </w:p>
        </w:tc>
        <w:tc>
          <w:tcPr>
            <w:tcW w:w="755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36 828 086</w:t>
            </w:r>
          </w:p>
        </w:tc>
        <w:tc>
          <w:tcPr>
            <w:tcW w:w="756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35 616 915</w:t>
            </w:r>
          </w:p>
        </w:tc>
        <w:tc>
          <w:tcPr>
            <w:tcW w:w="755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45 353 258</w:t>
            </w:r>
          </w:p>
        </w:tc>
        <w:tc>
          <w:tcPr>
            <w:tcW w:w="756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26 173 630</w:t>
            </w:r>
          </w:p>
        </w:tc>
        <w:tc>
          <w:tcPr>
            <w:tcW w:w="756" w:type="pct"/>
            <w:vAlign w:val="center"/>
          </w:tcPr>
          <w:p w:rsidR="007E06F6" w:rsidRPr="00632AC5" w:rsidRDefault="001A3B0A" w:rsidP="007E06F6">
            <w:pPr>
              <w:ind w:firstLine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9218AD">
              <w:rPr>
                <w:rFonts w:asciiTheme="minorHAnsi" w:hAnsiTheme="minorHAnsi" w:cstheme="minorHAnsi"/>
                <w:sz w:val="24"/>
              </w:rPr>
              <w:t>−</w:t>
            </w:r>
            <w:r w:rsidR="007E06F6" w:rsidRPr="00632AC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29 262 058</w:t>
            </w:r>
          </w:p>
        </w:tc>
      </w:tr>
    </w:tbl>
    <w:p w:rsidR="007E06F6" w:rsidRPr="00F80CB2" w:rsidRDefault="00370230" w:rsidP="007E06F6">
      <w:pPr>
        <w:ind w:firstLine="0"/>
        <w:rPr>
          <w:rFonts w:ascii="Calibri" w:hAnsi="Calibri" w:cs="Calibri"/>
          <w:sz w:val="20"/>
          <w:szCs w:val="20"/>
        </w:rPr>
      </w:pPr>
      <w:r w:rsidRPr="00F80CB2">
        <w:rPr>
          <w:rFonts w:ascii="Calibri" w:hAnsi="Calibri" w:cs="Calibri"/>
          <w:b/>
          <w:sz w:val="20"/>
          <w:szCs w:val="20"/>
        </w:rPr>
        <w:t>Zdroj:</w:t>
      </w:r>
      <w:r w:rsidR="00632AC5" w:rsidRPr="00F80CB2">
        <w:rPr>
          <w:rFonts w:ascii="Calibri" w:hAnsi="Calibri" w:cs="Calibri"/>
          <w:sz w:val="20"/>
          <w:szCs w:val="20"/>
        </w:rPr>
        <w:t xml:space="preserve"> </w:t>
      </w:r>
      <w:r w:rsidR="007E06F6" w:rsidRPr="00F80CB2">
        <w:rPr>
          <w:rFonts w:ascii="Calibri" w:hAnsi="Calibri" w:cs="Calibri"/>
          <w:sz w:val="20"/>
          <w:szCs w:val="20"/>
        </w:rPr>
        <w:t xml:space="preserve">výpočet NKÚ; </w:t>
      </w:r>
      <w:proofErr w:type="spellStart"/>
      <w:r w:rsidR="007E06F6" w:rsidRPr="00F80CB2">
        <w:rPr>
          <w:rFonts w:ascii="Calibri" w:hAnsi="Calibri" w:cs="Calibri"/>
          <w:sz w:val="20"/>
          <w:szCs w:val="20"/>
        </w:rPr>
        <w:t>SZÚ</w:t>
      </w:r>
      <w:proofErr w:type="spellEnd"/>
      <w:r w:rsidR="007E06F6" w:rsidRPr="00F80CB2">
        <w:rPr>
          <w:rFonts w:ascii="Calibri" w:hAnsi="Calibri" w:cs="Calibri"/>
          <w:sz w:val="20"/>
          <w:szCs w:val="20"/>
        </w:rPr>
        <w:t xml:space="preserve"> za roky 2009–2013</w:t>
      </w:r>
      <w:r w:rsidRPr="00F80CB2">
        <w:rPr>
          <w:rFonts w:ascii="Calibri" w:hAnsi="Calibri" w:cs="Calibri"/>
          <w:sz w:val="20"/>
          <w:szCs w:val="20"/>
        </w:rPr>
        <w:t>.</w:t>
      </w:r>
    </w:p>
    <w:p w:rsidR="001A3B0A" w:rsidRPr="00F80CB2" w:rsidRDefault="001A3B0A" w:rsidP="00151F39">
      <w:pPr>
        <w:ind w:firstLine="0"/>
        <w:rPr>
          <w:rFonts w:asciiTheme="minorHAnsi" w:hAnsiTheme="minorHAnsi" w:cstheme="minorHAnsi"/>
          <w:sz w:val="24"/>
        </w:rPr>
      </w:pPr>
    </w:p>
    <w:p w:rsidR="00F13F82" w:rsidRPr="000B2E48" w:rsidRDefault="00C63CCB" w:rsidP="00151F39">
      <w:pPr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Podrobněji </w:t>
      </w:r>
      <w:r w:rsidR="00AF6B33" w:rsidRPr="000B2E48">
        <w:rPr>
          <w:rFonts w:ascii="Calibri" w:hAnsi="Calibri" w:cs="Calibri"/>
          <w:sz w:val="24"/>
        </w:rPr>
        <w:t xml:space="preserve">viz </w:t>
      </w:r>
      <w:r w:rsidR="00521E51" w:rsidRPr="000B2E48">
        <w:rPr>
          <w:rFonts w:ascii="Calibri" w:hAnsi="Calibri" w:cs="Calibri"/>
          <w:sz w:val="24"/>
        </w:rPr>
        <w:t>bod 4</w:t>
      </w:r>
      <w:r w:rsidR="00632AC5" w:rsidRPr="000B2E48">
        <w:rPr>
          <w:rFonts w:ascii="Calibri" w:hAnsi="Calibri" w:cs="Calibri"/>
          <w:sz w:val="24"/>
        </w:rPr>
        <w:t xml:space="preserve"> </w:t>
      </w:r>
      <w:r w:rsidR="008647F0" w:rsidRPr="000B2E48">
        <w:rPr>
          <w:rFonts w:ascii="Calibri" w:hAnsi="Calibri" w:cs="Calibri"/>
          <w:sz w:val="24"/>
        </w:rPr>
        <w:t>t</w:t>
      </w:r>
      <w:r w:rsidR="00AF6B33" w:rsidRPr="000B2E48">
        <w:rPr>
          <w:rFonts w:ascii="Calibri" w:hAnsi="Calibri" w:cs="Calibri"/>
          <w:sz w:val="24"/>
        </w:rPr>
        <w:t>ohoto kontrolního závěru</w:t>
      </w:r>
      <w:r w:rsidR="003A2A23" w:rsidRPr="000B2E48">
        <w:rPr>
          <w:rFonts w:ascii="Calibri" w:hAnsi="Calibri" w:cs="Calibri"/>
          <w:sz w:val="24"/>
        </w:rPr>
        <w:t>.</w:t>
      </w:r>
    </w:p>
    <w:p w:rsidR="00AF6B33" w:rsidRPr="00F80CB2" w:rsidRDefault="00AF6B33" w:rsidP="00151F39">
      <w:pPr>
        <w:ind w:firstLine="0"/>
        <w:rPr>
          <w:rFonts w:ascii="Calibri" w:hAnsi="Calibri" w:cs="Calibri"/>
          <w:b/>
          <w:sz w:val="24"/>
        </w:rPr>
      </w:pPr>
    </w:p>
    <w:p w:rsidR="00D87A1D" w:rsidRPr="00A0314E" w:rsidRDefault="008608EA" w:rsidP="00F80CB2">
      <w:pPr>
        <w:pStyle w:val="Nadpis1"/>
        <w:numPr>
          <w:ilvl w:val="0"/>
          <w:numId w:val="0"/>
        </w:numPr>
        <w:rPr>
          <w:rFonts w:ascii="Calibri" w:hAnsi="Calibri" w:cs="Calibri"/>
          <w:color w:val="548DD4" w:themeColor="text2" w:themeTint="99"/>
          <w:sz w:val="24"/>
          <w:szCs w:val="24"/>
        </w:rPr>
      </w:pPr>
      <w:r>
        <w:rPr>
          <w:rFonts w:ascii="Calibri" w:hAnsi="Calibri" w:cs="Calibri"/>
          <w:color w:val="548DD4" w:themeColor="text2" w:themeTint="99"/>
          <w:sz w:val="24"/>
          <w:szCs w:val="24"/>
        </w:rPr>
        <w:t xml:space="preserve">3. </w:t>
      </w:r>
      <w:r w:rsidR="00D87A1D" w:rsidRPr="00F80CB2">
        <w:rPr>
          <w:rFonts w:ascii="Calibri" w:hAnsi="Calibri" w:cs="Calibri"/>
          <w:i/>
          <w:color w:val="548DD4" w:themeColor="text2" w:themeTint="99"/>
          <w:sz w:val="24"/>
          <w:szCs w:val="24"/>
        </w:rPr>
        <w:t>Zvláštní účet důchodového pojištění</w:t>
      </w:r>
      <w:r w:rsidR="00D87A1D" w:rsidRPr="00A0314E">
        <w:rPr>
          <w:rFonts w:ascii="Calibri" w:hAnsi="Calibri" w:cs="Calibri"/>
          <w:color w:val="548DD4" w:themeColor="text2" w:themeTint="99"/>
          <w:sz w:val="24"/>
          <w:szCs w:val="24"/>
        </w:rPr>
        <w:t xml:space="preserve">, </w:t>
      </w:r>
      <w:r w:rsidR="00D87A1D" w:rsidRPr="00F80CB2">
        <w:rPr>
          <w:rFonts w:ascii="Calibri" w:hAnsi="Calibri" w:cs="Calibri"/>
          <w:i/>
          <w:color w:val="548DD4" w:themeColor="text2" w:themeTint="99"/>
          <w:sz w:val="24"/>
          <w:szCs w:val="24"/>
        </w:rPr>
        <w:t>Zvláštní účet rezervy pro důchodovou reformu</w:t>
      </w:r>
    </w:p>
    <w:p w:rsidR="00D87A1D" w:rsidRPr="00632AC5" w:rsidRDefault="00D87A1D" w:rsidP="00D87A1D">
      <w:pPr>
        <w:ind w:firstLine="0"/>
        <w:rPr>
          <w:rFonts w:ascii="Calibri" w:hAnsi="Calibri" w:cs="Calibri"/>
          <w:b/>
          <w:sz w:val="24"/>
          <w:lang w:eastAsia="cs-CZ"/>
        </w:rPr>
      </w:pPr>
    </w:p>
    <w:p w:rsidR="00FF47D0" w:rsidRPr="00632AC5" w:rsidRDefault="00FF47D0" w:rsidP="00FF47D0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  <w:lang w:eastAsia="cs-CZ"/>
        </w:rPr>
        <w:t>V roce 1995 bylo v rámci novely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  <w:lang w:eastAsia="cs-CZ"/>
        </w:rPr>
        <w:t>zákona č. 576/1990 Sb.</w:t>
      </w:r>
      <w:r w:rsidR="001A3B0A" w:rsidRPr="00F80CB2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  <w:lang w:eastAsia="cs-CZ"/>
        </w:rPr>
        <w:t>přijato ustanovení</w:t>
      </w:r>
      <w:r w:rsidR="001A3B0A" w:rsidRPr="00A0314E">
        <w:rPr>
          <w:rStyle w:val="Znakapoznpodarou"/>
          <w:rFonts w:ascii="Calibri" w:hAnsi="Calibri" w:cs="Calibri"/>
          <w:sz w:val="24"/>
          <w:lang w:eastAsia="cs-CZ"/>
        </w:rPr>
        <w:footnoteReference w:id="13"/>
      </w:r>
      <w:r w:rsidRPr="00632AC5">
        <w:rPr>
          <w:rFonts w:ascii="Calibri" w:hAnsi="Calibri" w:cs="Calibri"/>
          <w:sz w:val="24"/>
          <w:lang w:eastAsia="cs-CZ"/>
        </w:rPr>
        <w:t xml:space="preserve"> zakotvující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  <w:lang w:eastAsia="cs-CZ"/>
        </w:rPr>
        <w:t xml:space="preserve">zřízení zvláštního účtu, na kterém by byly soustřeďovány přebytky získané rozdílem mezi vybraným pojistným na důchodové pojištění a vyplacenými dávkami důchodového pojištění. Vytvořením </w:t>
      </w:r>
      <w:r w:rsidRPr="00632AC5">
        <w:rPr>
          <w:rFonts w:ascii="Calibri" w:hAnsi="Calibri" w:cs="Calibri"/>
          <w:i/>
          <w:sz w:val="24"/>
          <w:lang w:eastAsia="cs-CZ"/>
        </w:rPr>
        <w:t>Zvláštního účtu důchodového pojištění</w:t>
      </w:r>
      <w:r w:rsidRPr="00632AC5">
        <w:rPr>
          <w:rFonts w:ascii="Calibri" w:hAnsi="Calibri" w:cs="Calibri"/>
          <w:sz w:val="24"/>
          <w:lang w:eastAsia="cs-CZ"/>
        </w:rPr>
        <w:t xml:space="preserve"> (dále také „</w:t>
      </w:r>
      <w:proofErr w:type="spellStart"/>
      <w:r w:rsidRPr="00632AC5">
        <w:rPr>
          <w:rFonts w:ascii="Calibri" w:hAnsi="Calibri" w:cs="Calibri"/>
          <w:sz w:val="24"/>
          <w:lang w:eastAsia="cs-CZ"/>
        </w:rPr>
        <w:t>ZÚDP</w:t>
      </w:r>
      <w:proofErr w:type="spellEnd"/>
      <w:r w:rsidRPr="00632AC5">
        <w:rPr>
          <w:rFonts w:ascii="Calibri" w:hAnsi="Calibri" w:cs="Calibri"/>
          <w:sz w:val="24"/>
          <w:lang w:eastAsia="cs-CZ"/>
        </w:rPr>
        <w:t>“)</w:t>
      </w:r>
      <w:r w:rsidRPr="00632AC5">
        <w:rPr>
          <w:rFonts w:ascii="Calibri" w:hAnsi="Calibri" w:cs="Calibri"/>
          <w:sz w:val="24"/>
        </w:rPr>
        <w:t xml:space="preserve"> byl sledován záměr </w:t>
      </w:r>
      <w:r w:rsidRPr="00632AC5">
        <w:rPr>
          <w:rFonts w:ascii="Calibri" w:hAnsi="Calibri" w:cs="Calibri"/>
          <w:sz w:val="24"/>
        </w:rPr>
        <w:lastRenderedPageBreak/>
        <w:t>zajistit určitou rezervu pro období, kdy nebude bilance příjmů a výdajů v oblasti důchodového pojištění příznivá, a to ať už vlivem stárnutí populace, nebo v důsledku jiných faktorů.</w:t>
      </w:r>
      <w:r w:rsidR="00632AC5">
        <w:rPr>
          <w:rFonts w:ascii="Calibri" w:hAnsi="Calibri" w:cs="Calibri"/>
          <w:sz w:val="24"/>
        </w:rPr>
        <w:t xml:space="preserve"> </w:t>
      </w:r>
      <w:r w:rsidR="00AF6B33" w:rsidRPr="00632AC5">
        <w:rPr>
          <w:rFonts w:ascii="Calibri" w:hAnsi="Calibri" w:cs="Calibri"/>
          <w:sz w:val="24"/>
        </w:rPr>
        <w:t xml:space="preserve">Výše uvedený zákon stanovil: </w:t>
      </w:r>
      <w:r w:rsidRPr="00632AC5">
        <w:rPr>
          <w:rFonts w:ascii="Calibri" w:hAnsi="Calibri" w:cs="Calibri"/>
          <w:sz w:val="24"/>
        </w:rPr>
        <w:tab/>
      </w:r>
    </w:p>
    <w:p w:rsidR="00FF47D0" w:rsidRPr="00632AC5" w:rsidRDefault="00FF47D0" w:rsidP="00FF47D0">
      <w:pPr>
        <w:ind w:firstLine="0"/>
        <w:rPr>
          <w:rFonts w:ascii="Calibri" w:hAnsi="Calibri" w:cs="Calibri"/>
          <w:sz w:val="24"/>
        </w:rPr>
      </w:pPr>
    </w:p>
    <w:p w:rsidR="00FF47D0" w:rsidRPr="00632AC5" w:rsidRDefault="00FF47D0" w:rsidP="00FF47D0">
      <w:pPr>
        <w:ind w:firstLine="0"/>
        <w:rPr>
          <w:rFonts w:ascii="Calibri" w:hAnsi="Calibri" w:cs="Calibri"/>
          <w:i/>
          <w:sz w:val="20"/>
          <w:szCs w:val="20"/>
        </w:rPr>
      </w:pPr>
      <w:r w:rsidRPr="00F80CB2">
        <w:rPr>
          <w:rFonts w:ascii="Calibri" w:hAnsi="Calibri" w:cs="Calibri"/>
          <w:sz w:val="20"/>
          <w:szCs w:val="20"/>
        </w:rPr>
        <w:t>„</w:t>
      </w:r>
      <w:r w:rsidRPr="00632AC5">
        <w:rPr>
          <w:rFonts w:ascii="Calibri" w:hAnsi="Calibri" w:cs="Calibri"/>
          <w:i/>
          <w:sz w:val="20"/>
          <w:szCs w:val="20"/>
        </w:rPr>
        <w:t xml:space="preserve">Součástí státních finančních aktiv je „Zvláštní účet důchodového pojištění“, na kterém se vedou prostředky vzniklé jako rozdíl mezi příjmy z pojistného na důchodové pojištění a výdaji na dávky důchodového pojištění včetně výdajů spojených s výběrem pojistného na důchodové pojištění a výplatou dávek důchodového pojištění podle stavu ke dni 31. prosince příslušného rozpočtového roku. Prostředky tohoto účtu lze použít pouze </w:t>
      </w:r>
    </w:p>
    <w:p w:rsidR="00FF47D0" w:rsidRPr="00632AC5" w:rsidRDefault="00FF47D0" w:rsidP="00FF47D0">
      <w:pPr>
        <w:ind w:firstLine="0"/>
        <w:rPr>
          <w:rFonts w:ascii="Calibri" w:hAnsi="Calibri" w:cs="Calibri"/>
          <w:i/>
          <w:sz w:val="20"/>
          <w:szCs w:val="20"/>
        </w:rPr>
      </w:pPr>
      <w:r w:rsidRPr="00632AC5">
        <w:rPr>
          <w:rFonts w:ascii="Calibri" w:hAnsi="Calibri" w:cs="Calibri"/>
          <w:i/>
          <w:sz w:val="20"/>
          <w:szCs w:val="20"/>
        </w:rPr>
        <w:t>a) na zvýšení dávek důchodového pojištění,</w:t>
      </w:r>
    </w:p>
    <w:p w:rsidR="00FF47D0" w:rsidRPr="00632AC5" w:rsidRDefault="00FF47D0" w:rsidP="00FF47D0">
      <w:pPr>
        <w:ind w:firstLine="0"/>
        <w:rPr>
          <w:rFonts w:ascii="Calibri" w:hAnsi="Calibri" w:cs="Calibri"/>
          <w:i/>
          <w:sz w:val="20"/>
          <w:szCs w:val="20"/>
        </w:rPr>
      </w:pPr>
      <w:r w:rsidRPr="00632AC5">
        <w:rPr>
          <w:rFonts w:ascii="Calibri" w:hAnsi="Calibri" w:cs="Calibri"/>
          <w:i/>
          <w:sz w:val="20"/>
          <w:szCs w:val="20"/>
        </w:rPr>
        <w:t>b) na úhradu záporného salda pojistného na důchodové pojištění včetně výdajů spojených s výběrem pojistného na důchodové pojištění.</w:t>
      </w:r>
      <w:r w:rsidRPr="00F80CB2">
        <w:rPr>
          <w:rFonts w:ascii="Calibri" w:hAnsi="Calibri" w:cs="Calibri"/>
          <w:sz w:val="20"/>
          <w:szCs w:val="20"/>
        </w:rPr>
        <w:t>“</w:t>
      </w:r>
    </w:p>
    <w:p w:rsidR="00FF47D0" w:rsidRPr="00632AC5" w:rsidRDefault="00FF47D0" w:rsidP="00FF47D0">
      <w:pPr>
        <w:ind w:firstLine="0"/>
        <w:rPr>
          <w:rFonts w:ascii="Calibri" w:hAnsi="Calibri" w:cs="Calibri"/>
          <w:sz w:val="20"/>
          <w:szCs w:val="20"/>
          <w:lang w:eastAsia="cs-CZ"/>
        </w:rPr>
      </w:pPr>
    </w:p>
    <w:p w:rsidR="00F70134" w:rsidRPr="00632AC5" w:rsidRDefault="00FF47D0" w:rsidP="00F70134">
      <w:pPr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</w:rPr>
        <w:t>Do nového zákona o rozpočtových pravidlech</w:t>
      </w:r>
      <w:r w:rsidR="00A0314E">
        <w:rPr>
          <w:rStyle w:val="Znakapoznpodarou"/>
          <w:rFonts w:ascii="Calibri" w:hAnsi="Calibri" w:cs="Calibri"/>
          <w:sz w:val="24"/>
        </w:rPr>
        <w:footnoteReference w:id="14"/>
      </w:r>
      <w:r w:rsidRPr="00632AC5">
        <w:rPr>
          <w:rFonts w:ascii="Calibri" w:hAnsi="Calibri" w:cs="Calibri"/>
          <w:sz w:val="24"/>
        </w:rPr>
        <w:t xml:space="preserve">, který s účinností od 1. 1. 2001 nahradil </w:t>
      </w:r>
      <w:r w:rsidR="00FD0ACE" w:rsidRPr="00632AC5">
        <w:rPr>
          <w:rFonts w:ascii="Calibri" w:hAnsi="Calibri" w:cs="Calibri"/>
          <w:sz w:val="24"/>
        </w:rPr>
        <w:t xml:space="preserve">předchozí právní úpravu, bylo ustanovení o </w:t>
      </w:r>
      <w:proofErr w:type="spellStart"/>
      <w:r w:rsidR="00FD0ACE" w:rsidRPr="00632AC5">
        <w:rPr>
          <w:rFonts w:ascii="Calibri" w:hAnsi="Calibri" w:cs="Calibri"/>
          <w:sz w:val="24"/>
        </w:rPr>
        <w:t>ZÚDP</w:t>
      </w:r>
      <w:proofErr w:type="spellEnd"/>
      <w:r w:rsidR="00FD0ACE" w:rsidRPr="00632AC5">
        <w:rPr>
          <w:rFonts w:ascii="Calibri" w:hAnsi="Calibri" w:cs="Calibri"/>
          <w:sz w:val="24"/>
        </w:rPr>
        <w:t xml:space="preserve"> </w:t>
      </w:r>
      <w:r w:rsidR="00574487">
        <w:rPr>
          <w:rFonts w:ascii="Calibri" w:hAnsi="Calibri" w:cs="Calibri"/>
          <w:sz w:val="24"/>
        </w:rPr>
        <w:t>s </w:t>
      </w:r>
      <w:r w:rsidR="00FD0ACE" w:rsidRPr="00632AC5">
        <w:rPr>
          <w:rFonts w:ascii="Calibri" w:hAnsi="Calibri" w:cs="Calibri"/>
          <w:sz w:val="24"/>
        </w:rPr>
        <w:t>drobnými úpravami</w:t>
      </w:r>
      <w:r w:rsidR="00FD0ACE" w:rsidRPr="00F80CB2">
        <w:rPr>
          <w:rFonts w:ascii="Calibri" w:hAnsi="Calibri" w:cs="Calibri"/>
          <w:sz w:val="24"/>
        </w:rPr>
        <w:t xml:space="preserve"> </w:t>
      </w:r>
      <w:r w:rsidR="00FD0ACE" w:rsidRPr="00632AC5">
        <w:rPr>
          <w:rFonts w:ascii="Calibri" w:hAnsi="Calibri" w:cs="Calibri"/>
          <w:sz w:val="24"/>
        </w:rPr>
        <w:t xml:space="preserve">převzato. </w:t>
      </w:r>
      <w:r w:rsidR="00F70134" w:rsidRPr="00632AC5">
        <w:rPr>
          <w:rFonts w:ascii="Calibri" w:hAnsi="Calibri" w:cs="Calibri"/>
          <w:color w:val="000000"/>
          <w:sz w:val="24"/>
        </w:rPr>
        <w:t>K 31. 12. 2013 činil stav peněžních prostředků tohoto účtu téměř 22,6 mld. Kč.</w:t>
      </w:r>
    </w:p>
    <w:p w:rsidR="00FD0ACE" w:rsidRDefault="00FD0ACE" w:rsidP="00FD0ACE">
      <w:pPr>
        <w:ind w:firstLine="0"/>
        <w:rPr>
          <w:rFonts w:ascii="Calibri" w:hAnsi="Calibri" w:cs="Calibri"/>
          <w:sz w:val="24"/>
        </w:rPr>
      </w:pPr>
    </w:p>
    <w:p w:rsidR="00FD0ACE" w:rsidRPr="00632AC5" w:rsidRDefault="008647F0" w:rsidP="00F80CB2">
      <w:pPr>
        <w:tabs>
          <w:tab w:val="right" w:pos="9072"/>
        </w:tabs>
        <w:ind w:firstLine="0"/>
        <w:rPr>
          <w:rFonts w:ascii="Calibri" w:hAnsi="Calibri" w:cs="Calibri"/>
          <w:b/>
          <w:color w:val="000000"/>
          <w:sz w:val="24"/>
        </w:rPr>
      </w:pPr>
      <w:r w:rsidRPr="00632AC5">
        <w:rPr>
          <w:rFonts w:ascii="Calibri" w:hAnsi="Calibri" w:cs="Calibri"/>
          <w:b/>
          <w:color w:val="000000"/>
          <w:sz w:val="24"/>
        </w:rPr>
        <w:t xml:space="preserve">Tabulka č. </w:t>
      </w:r>
      <w:r w:rsidR="00A0314E">
        <w:rPr>
          <w:rFonts w:ascii="Calibri" w:hAnsi="Calibri" w:cs="Calibri"/>
          <w:b/>
          <w:color w:val="000000"/>
          <w:sz w:val="24"/>
        </w:rPr>
        <w:t>4 –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  <w:r w:rsidR="00FD0ACE" w:rsidRPr="00632AC5">
        <w:rPr>
          <w:rFonts w:ascii="Calibri" w:hAnsi="Calibri" w:cs="Calibri"/>
          <w:b/>
          <w:color w:val="000000"/>
          <w:sz w:val="24"/>
        </w:rPr>
        <w:t xml:space="preserve">Přehled příjmů a výdajů </w:t>
      </w:r>
      <w:proofErr w:type="spellStart"/>
      <w:r w:rsidR="00FD0ACE" w:rsidRPr="00632AC5">
        <w:rPr>
          <w:rFonts w:ascii="Calibri" w:hAnsi="Calibri" w:cs="Calibri"/>
          <w:b/>
          <w:color w:val="000000"/>
          <w:sz w:val="24"/>
        </w:rPr>
        <w:t>ZÚDP</w:t>
      </w:r>
      <w:proofErr w:type="spellEnd"/>
      <w:r w:rsidR="001A3B0A">
        <w:rPr>
          <w:rFonts w:ascii="Calibri" w:hAnsi="Calibri" w:cs="Calibri"/>
          <w:b/>
          <w:color w:val="000000"/>
          <w:sz w:val="24"/>
        </w:rPr>
        <w:t>/</w:t>
      </w:r>
      <w:proofErr w:type="spellStart"/>
      <w:r w:rsidR="00FD0ACE" w:rsidRPr="00632AC5">
        <w:rPr>
          <w:rFonts w:ascii="Calibri" w:hAnsi="Calibri" w:cs="Calibri"/>
          <w:b/>
          <w:color w:val="000000"/>
          <w:sz w:val="24"/>
        </w:rPr>
        <w:t>ZÚRDR</w:t>
      </w:r>
      <w:proofErr w:type="spellEnd"/>
      <w:r w:rsidR="00FD0ACE" w:rsidRPr="00632AC5">
        <w:rPr>
          <w:rFonts w:ascii="Calibri" w:hAnsi="Calibri" w:cs="Calibri"/>
          <w:b/>
          <w:color w:val="000000"/>
          <w:sz w:val="24"/>
        </w:rPr>
        <w:t xml:space="preserve"> od roku 1996 do roku 2013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  <w:r w:rsidR="00652451">
        <w:rPr>
          <w:rFonts w:ascii="Calibri" w:hAnsi="Calibri" w:cs="Calibri"/>
          <w:b/>
          <w:color w:val="000000"/>
          <w:sz w:val="24"/>
        </w:rPr>
        <w:tab/>
      </w:r>
      <w:r w:rsidR="00FD0ACE" w:rsidRPr="00632AC5">
        <w:rPr>
          <w:rFonts w:ascii="Calibri" w:hAnsi="Calibri" w:cs="Calibri"/>
          <w:b/>
          <w:color w:val="000000"/>
          <w:sz w:val="24"/>
        </w:rPr>
        <w:t>(</w:t>
      </w:r>
      <w:r w:rsidR="00574487">
        <w:rPr>
          <w:rFonts w:ascii="Calibri" w:hAnsi="Calibri" w:cs="Calibri"/>
          <w:b/>
          <w:color w:val="000000"/>
          <w:sz w:val="24"/>
        </w:rPr>
        <w:t>v </w:t>
      </w:r>
      <w:r w:rsidR="00FD0ACE" w:rsidRPr="00632AC5">
        <w:rPr>
          <w:rFonts w:ascii="Calibri" w:hAnsi="Calibri" w:cs="Calibri"/>
          <w:b/>
          <w:color w:val="000000"/>
          <w:sz w:val="24"/>
        </w:rPr>
        <w:t>mil. Kč)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984"/>
      </w:tblGrid>
      <w:tr w:rsidR="00FF47D0" w:rsidRPr="00632AC5" w:rsidTr="00F80CB2"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F47D0" w:rsidRPr="004A0657" w:rsidRDefault="00FF47D0" w:rsidP="004A0657">
            <w:pPr>
              <w:tabs>
                <w:tab w:val="left" w:pos="5162"/>
              </w:tabs>
              <w:ind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06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Příjmy celkem</w:t>
            </w:r>
            <w:r w:rsidR="00FD0ACE" w:rsidRPr="004A06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FF47D0" w:rsidRPr="004A0657" w:rsidRDefault="00FF47D0" w:rsidP="00FF47D0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06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36 449,0</w:t>
            </w:r>
          </w:p>
        </w:tc>
      </w:tr>
      <w:tr w:rsidR="00FF47D0" w:rsidRPr="00632AC5" w:rsidTr="00F80CB2">
        <w:tc>
          <w:tcPr>
            <w:tcW w:w="7088" w:type="dxa"/>
            <w:tcBorders>
              <w:top w:val="single" w:sz="12" w:space="0" w:color="auto"/>
            </w:tcBorders>
          </w:tcPr>
          <w:p w:rsidR="00FF47D0" w:rsidRPr="00632AC5" w:rsidRDefault="00FF47D0" w:rsidP="00FF47D0">
            <w:pPr>
              <w:ind w:firstLine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Příjmy ve výši přebytků systému </w:t>
            </w:r>
            <w:proofErr w:type="spellStart"/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DP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FF47D0" w:rsidRPr="00632AC5" w:rsidRDefault="00FF47D0" w:rsidP="00FF47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31 765,1</w:t>
            </w:r>
          </w:p>
        </w:tc>
      </w:tr>
      <w:tr w:rsidR="00FF47D0" w:rsidRPr="00632AC5" w:rsidTr="00F80CB2">
        <w:tc>
          <w:tcPr>
            <w:tcW w:w="7088" w:type="dxa"/>
          </w:tcPr>
          <w:p w:rsidR="00FF47D0" w:rsidRPr="00632AC5" w:rsidRDefault="00FF47D0" w:rsidP="00FF47D0">
            <w:pPr>
              <w:ind w:firstLine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Příjmy z dividend určených na důchodovou reformu</w:t>
            </w:r>
          </w:p>
        </w:tc>
        <w:tc>
          <w:tcPr>
            <w:tcW w:w="1984" w:type="dxa"/>
            <w:vAlign w:val="center"/>
          </w:tcPr>
          <w:p w:rsidR="00FF47D0" w:rsidRPr="00632AC5" w:rsidRDefault="00FF47D0" w:rsidP="00FF47D0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3 570,9</w:t>
            </w:r>
          </w:p>
        </w:tc>
      </w:tr>
      <w:tr w:rsidR="00FF47D0" w:rsidRPr="00632AC5" w:rsidTr="00F80CB2">
        <w:tc>
          <w:tcPr>
            <w:tcW w:w="7088" w:type="dxa"/>
            <w:tcBorders>
              <w:bottom w:val="single" w:sz="12" w:space="0" w:color="auto"/>
            </w:tcBorders>
          </w:tcPr>
          <w:p w:rsidR="00FF47D0" w:rsidRPr="00632AC5" w:rsidRDefault="00FF47D0" w:rsidP="00FF47D0">
            <w:pPr>
              <w:ind w:firstLine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Příjmy z investování prostředků </w:t>
            </w:r>
            <w:proofErr w:type="spellStart"/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ZÚRDR</w:t>
            </w:r>
            <w:proofErr w:type="spellEnd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F47D0" w:rsidRPr="00632AC5" w:rsidRDefault="00FF47D0" w:rsidP="00FF47D0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1 113,0</w:t>
            </w:r>
          </w:p>
        </w:tc>
      </w:tr>
      <w:tr w:rsidR="00FF47D0" w:rsidRPr="00632AC5" w:rsidTr="00F80CB2"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F47D0" w:rsidRPr="00632AC5" w:rsidRDefault="00FF47D0" w:rsidP="004A0657">
            <w:pPr>
              <w:ind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Výdaje celkem</w:t>
            </w:r>
            <w:r w:rsidR="00A0314E"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FF47D0" w:rsidRPr="00632AC5" w:rsidRDefault="00FF47D0" w:rsidP="00FF47D0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13 894,0</w:t>
            </w:r>
          </w:p>
        </w:tc>
      </w:tr>
      <w:tr w:rsidR="00FF47D0" w:rsidRPr="00632AC5" w:rsidTr="00F80CB2"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:rsidR="00FF47D0" w:rsidRPr="00632AC5" w:rsidRDefault="00FF47D0" w:rsidP="00FF47D0">
            <w:pPr>
              <w:ind w:firstLine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Převody do kapitoly MPSV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47D0" w:rsidRPr="00632AC5" w:rsidRDefault="00FF47D0" w:rsidP="00FF47D0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32AC5">
              <w:rPr>
                <w:rFonts w:ascii="Calibri" w:hAnsi="Calibri" w:cs="Calibri"/>
                <w:color w:val="000000"/>
                <w:sz w:val="20"/>
                <w:szCs w:val="20"/>
              </w:rPr>
              <w:t>13 894,0</w:t>
            </w:r>
          </w:p>
        </w:tc>
      </w:tr>
      <w:tr w:rsidR="00FF47D0" w:rsidRPr="00632AC5" w:rsidTr="00F80CB2"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47D0" w:rsidRPr="00632AC5" w:rsidRDefault="00FF47D0" w:rsidP="00FF47D0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</w:rPr>
              <w:t>Peněžní prostředky celkem k 31. 12. 2013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7D0" w:rsidRPr="00632AC5" w:rsidRDefault="00FF47D0" w:rsidP="00FF47D0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</w:rPr>
              <w:t>22 555,0</w:t>
            </w:r>
          </w:p>
        </w:tc>
      </w:tr>
    </w:tbl>
    <w:p w:rsidR="00FF47D0" w:rsidRPr="00F80CB2" w:rsidRDefault="00FF47D0" w:rsidP="00FF47D0">
      <w:pPr>
        <w:ind w:firstLine="0"/>
        <w:rPr>
          <w:rFonts w:ascii="Calibri" w:hAnsi="Calibri" w:cs="Calibri"/>
          <w:color w:val="000000"/>
          <w:sz w:val="20"/>
          <w:szCs w:val="20"/>
        </w:rPr>
      </w:pPr>
      <w:r w:rsidRPr="00F80CB2">
        <w:rPr>
          <w:rFonts w:ascii="Calibri" w:hAnsi="Calibri" w:cs="Calibri"/>
          <w:b/>
          <w:color w:val="000000"/>
          <w:sz w:val="20"/>
          <w:szCs w:val="20"/>
        </w:rPr>
        <w:t>Zdroj:</w:t>
      </w:r>
      <w:r w:rsidRPr="00F80CB2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F80CB2">
        <w:rPr>
          <w:rFonts w:ascii="Calibri" w:hAnsi="Calibri" w:cs="Calibri"/>
          <w:color w:val="000000"/>
          <w:sz w:val="20"/>
          <w:szCs w:val="20"/>
        </w:rPr>
        <w:t>SZÚ</w:t>
      </w:r>
      <w:proofErr w:type="spellEnd"/>
      <w:r w:rsidRPr="00F80CB2">
        <w:rPr>
          <w:rFonts w:ascii="Calibri" w:hAnsi="Calibri" w:cs="Calibri"/>
          <w:color w:val="000000"/>
          <w:sz w:val="20"/>
          <w:szCs w:val="20"/>
        </w:rPr>
        <w:t>, sešit C a D, dokumenty MF</w:t>
      </w:r>
      <w:r w:rsidR="001A3B0A">
        <w:rPr>
          <w:rFonts w:ascii="Calibri" w:hAnsi="Calibri" w:cs="Calibri"/>
          <w:color w:val="000000"/>
          <w:sz w:val="20"/>
          <w:szCs w:val="20"/>
        </w:rPr>
        <w:t>.</w:t>
      </w:r>
    </w:p>
    <w:p w:rsidR="008647F0" w:rsidRPr="00F80CB2" w:rsidRDefault="008647F0" w:rsidP="00FF47D0">
      <w:pPr>
        <w:ind w:firstLine="0"/>
        <w:rPr>
          <w:rFonts w:ascii="Calibri" w:hAnsi="Calibri" w:cs="Calibri"/>
          <w:color w:val="000000"/>
          <w:sz w:val="20"/>
          <w:szCs w:val="20"/>
        </w:rPr>
      </w:pPr>
    </w:p>
    <w:p w:rsidR="008647F0" w:rsidRPr="00632AC5" w:rsidRDefault="008647F0" w:rsidP="008647F0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 xml:space="preserve">Peněžní prostředky </w:t>
      </w:r>
      <w:proofErr w:type="spellStart"/>
      <w:r w:rsidRPr="00632AC5">
        <w:rPr>
          <w:rFonts w:ascii="Calibri" w:hAnsi="Calibri" w:cs="Calibri"/>
          <w:color w:val="000000"/>
          <w:sz w:val="24"/>
        </w:rPr>
        <w:t>ZÚDP</w:t>
      </w:r>
      <w:proofErr w:type="spellEnd"/>
      <w:r w:rsidRPr="00632AC5">
        <w:rPr>
          <w:rFonts w:ascii="Calibri" w:hAnsi="Calibri" w:cs="Calibri"/>
          <w:color w:val="000000"/>
          <w:sz w:val="24"/>
        </w:rPr>
        <w:t xml:space="preserve">, resp. </w:t>
      </w:r>
      <w:proofErr w:type="spellStart"/>
      <w:r w:rsidRPr="00632AC5">
        <w:rPr>
          <w:rFonts w:ascii="Calibri" w:hAnsi="Calibri" w:cs="Calibri"/>
          <w:color w:val="000000"/>
          <w:sz w:val="24"/>
        </w:rPr>
        <w:t>ZÚRDR</w:t>
      </w:r>
      <w:proofErr w:type="spellEnd"/>
      <w:r w:rsidRPr="00632AC5">
        <w:rPr>
          <w:rFonts w:ascii="Calibri" w:hAnsi="Calibri" w:cs="Calibri"/>
          <w:color w:val="000000"/>
          <w:sz w:val="24"/>
        </w:rPr>
        <w:t xml:space="preserve">, byly od roku 1996 do roku 2013 použity ve dvou případech </w:t>
      </w:r>
      <w:r w:rsidR="00D0073D">
        <w:rPr>
          <w:rFonts w:ascii="Calibri" w:hAnsi="Calibri" w:cs="Calibri"/>
          <w:color w:val="000000"/>
          <w:sz w:val="24"/>
        </w:rPr>
        <w:t>(</w:t>
      </w:r>
      <w:r w:rsidRPr="00632AC5">
        <w:rPr>
          <w:rFonts w:ascii="Calibri" w:hAnsi="Calibri" w:cs="Calibri"/>
          <w:color w:val="000000"/>
          <w:sz w:val="24"/>
        </w:rPr>
        <w:t>v roce 2001 a v roce 2006</w:t>
      </w:r>
      <w:r w:rsidR="00D0073D">
        <w:rPr>
          <w:rFonts w:ascii="Calibri" w:hAnsi="Calibri" w:cs="Calibri"/>
          <w:color w:val="000000"/>
          <w:sz w:val="24"/>
        </w:rPr>
        <w:t>), a to</w:t>
      </w:r>
      <w:r w:rsidRPr="00632AC5">
        <w:rPr>
          <w:rFonts w:ascii="Calibri" w:hAnsi="Calibri" w:cs="Calibri"/>
          <w:color w:val="000000"/>
          <w:sz w:val="24"/>
        </w:rPr>
        <w:t xml:space="preserve"> </w:t>
      </w:r>
      <w:r w:rsidRPr="00632AC5">
        <w:rPr>
          <w:rFonts w:ascii="Calibri" w:hAnsi="Calibri" w:cs="Calibri"/>
          <w:bCs/>
          <w:iCs/>
          <w:color w:val="000000"/>
          <w:sz w:val="24"/>
        </w:rPr>
        <w:t>ke krytí výdajů</w:t>
      </w:r>
      <w:r w:rsidR="00632AC5">
        <w:rPr>
          <w:rFonts w:ascii="Calibri" w:hAnsi="Calibri" w:cs="Calibri"/>
          <w:bCs/>
          <w:iCs/>
          <w:color w:val="000000"/>
          <w:sz w:val="24"/>
        </w:rPr>
        <w:t xml:space="preserve"> </w:t>
      </w:r>
      <w:r w:rsidR="00CC3636" w:rsidRPr="00632AC5">
        <w:rPr>
          <w:rFonts w:ascii="Calibri" w:hAnsi="Calibri" w:cs="Calibri"/>
          <w:color w:val="000000"/>
          <w:sz w:val="24"/>
        </w:rPr>
        <w:t xml:space="preserve">na dávky důchodového pojištění </w:t>
      </w:r>
      <w:r w:rsidRPr="00632AC5">
        <w:rPr>
          <w:rFonts w:ascii="Calibri" w:hAnsi="Calibri" w:cs="Calibri"/>
          <w:bCs/>
          <w:iCs/>
          <w:color w:val="000000"/>
          <w:sz w:val="24"/>
        </w:rPr>
        <w:t>kapitoly MPSV</w:t>
      </w:r>
      <w:r w:rsidR="00CC3636" w:rsidRPr="00632AC5">
        <w:rPr>
          <w:rFonts w:ascii="Calibri" w:hAnsi="Calibri" w:cs="Calibri"/>
          <w:bCs/>
          <w:iCs/>
          <w:color w:val="000000"/>
          <w:sz w:val="24"/>
        </w:rPr>
        <w:t>.</w:t>
      </w:r>
      <w:r w:rsidRPr="00632AC5">
        <w:rPr>
          <w:rFonts w:ascii="Calibri" w:hAnsi="Calibri" w:cs="Calibri"/>
          <w:bCs/>
          <w:iCs/>
          <w:color w:val="000000"/>
          <w:sz w:val="24"/>
        </w:rPr>
        <w:t xml:space="preserve"> </w:t>
      </w:r>
    </w:p>
    <w:p w:rsidR="00D0073D" w:rsidRDefault="00D0073D" w:rsidP="00FF47D0">
      <w:pPr>
        <w:ind w:firstLine="0"/>
        <w:rPr>
          <w:rFonts w:ascii="Calibri" w:hAnsi="Calibri" w:cs="Calibri"/>
          <w:b/>
          <w:color w:val="000000"/>
          <w:sz w:val="24"/>
        </w:rPr>
      </w:pPr>
    </w:p>
    <w:p w:rsidR="00AF6B33" w:rsidRPr="00632AC5" w:rsidRDefault="00882D53" w:rsidP="00FF47D0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b/>
          <w:color w:val="000000"/>
          <w:sz w:val="24"/>
        </w:rPr>
        <w:t xml:space="preserve">Přebytky </w:t>
      </w:r>
      <w:r w:rsidRPr="00632AC5">
        <w:rPr>
          <w:rFonts w:ascii="Calibri" w:hAnsi="Calibri" w:cs="Calibri"/>
          <w:color w:val="000000"/>
          <w:sz w:val="24"/>
        </w:rPr>
        <w:t xml:space="preserve">vypočítané </w:t>
      </w:r>
      <w:r w:rsidR="00D0073D">
        <w:rPr>
          <w:rFonts w:ascii="Calibri" w:hAnsi="Calibri" w:cs="Calibri"/>
          <w:color w:val="000000"/>
          <w:sz w:val="24"/>
        </w:rPr>
        <w:t>Ministerstvem financí</w:t>
      </w:r>
      <w:r w:rsidR="009D1BFC">
        <w:rPr>
          <w:rFonts w:ascii="Calibri" w:hAnsi="Calibri" w:cs="Calibri"/>
          <w:color w:val="000000"/>
          <w:sz w:val="24"/>
        </w:rPr>
        <w:t xml:space="preserve"> jako výsledek hospodaření systému důchodo</w:t>
      </w:r>
      <w:r w:rsidR="00D0073D">
        <w:rPr>
          <w:rFonts w:ascii="Calibri" w:hAnsi="Calibri" w:cs="Calibri"/>
          <w:color w:val="000000"/>
          <w:sz w:val="24"/>
        </w:rPr>
        <w:softHyphen/>
      </w:r>
      <w:r w:rsidR="009D1BFC">
        <w:rPr>
          <w:rFonts w:ascii="Calibri" w:hAnsi="Calibri" w:cs="Calibri"/>
          <w:color w:val="000000"/>
          <w:sz w:val="24"/>
        </w:rPr>
        <w:t>vého pojištění státu</w:t>
      </w:r>
      <w:r w:rsidRPr="00632AC5">
        <w:rPr>
          <w:rFonts w:ascii="Calibri" w:hAnsi="Calibri" w:cs="Calibri"/>
          <w:color w:val="000000"/>
          <w:sz w:val="24"/>
        </w:rPr>
        <w:t xml:space="preserve"> </w:t>
      </w:r>
      <w:r w:rsidR="00591221">
        <w:rPr>
          <w:rFonts w:ascii="Calibri" w:hAnsi="Calibri" w:cs="Calibri"/>
          <w:color w:val="000000"/>
          <w:sz w:val="24"/>
        </w:rPr>
        <w:t xml:space="preserve">ve smyslu </w:t>
      </w:r>
      <w:r w:rsidRPr="00632AC5">
        <w:rPr>
          <w:rFonts w:ascii="Calibri" w:hAnsi="Calibri" w:cs="Calibri"/>
          <w:color w:val="000000"/>
          <w:sz w:val="24"/>
        </w:rPr>
        <w:t>zákona o rozpočtových pravidlech byly hlavním zdrojem příjm</w:t>
      </w:r>
      <w:r w:rsidR="009D1BFC">
        <w:rPr>
          <w:rFonts w:ascii="Calibri" w:hAnsi="Calibri" w:cs="Calibri"/>
          <w:color w:val="000000"/>
          <w:sz w:val="24"/>
        </w:rPr>
        <w:t>ů</w:t>
      </w:r>
      <w:r w:rsidR="00FF47D0" w:rsidRPr="00632AC5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F47D0" w:rsidRPr="00632AC5">
        <w:rPr>
          <w:rFonts w:ascii="Calibri" w:hAnsi="Calibri" w:cs="Calibri"/>
          <w:color w:val="000000"/>
          <w:sz w:val="24"/>
        </w:rPr>
        <w:t>ZÚDP</w:t>
      </w:r>
      <w:proofErr w:type="spellEnd"/>
      <w:r w:rsidR="00FF47D0" w:rsidRPr="00632AC5">
        <w:rPr>
          <w:rFonts w:ascii="Calibri" w:hAnsi="Calibri" w:cs="Calibri"/>
          <w:color w:val="000000"/>
          <w:sz w:val="24"/>
        </w:rPr>
        <w:t>, resp.</w:t>
      </w:r>
      <w:r w:rsidR="009D1BF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9D1BFC">
        <w:rPr>
          <w:rFonts w:ascii="Calibri" w:hAnsi="Calibri" w:cs="Calibri"/>
          <w:color w:val="000000"/>
          <w:sz w:val="24"/>
        </w:rPr>
        <w:t>ZÚRD</w:t>
      </w:r>
      <w:r w:rsidR="00760CD3">
        <w:rPr>
          <w:rFonts w:ascii="Calibri" w:hAnsi="Calibri" w:cs="Calibri"/>
          <w:color w:val="000000"/>
          <w:sz w:val="24"/>
        </w:rPr>
        <w:t>R</w:t>
      </w:r>
      <w:proofErr w:type="spellEnd"/>
      <w:r w:rsidR="009D1BFC">
        <w:rPr>
          <w:rFonts w:ascii="Calibri" w:hAnsi="Calibri" w:cs="Calibri"/>
          <w:color w:val="000000"/>
          <w:sz w:val="24"/>
        </w:rPr>
        <w:t>.</w:t>
      </w:r>
      <w:r w:rsidR="00AB59D3">
        <w:rPr>
          <w:rFonts w:ascii="Calibri" w:hAnsi="Calibri" w:cs="Calibri"/>
          <w:color w:val="000000"/>
          <w:sz w:val="24"/>
        </w:rPr>
        <w:t xml:space="preserve"> </w:t>
      </w:r>
      <w:r w:rsidR="009D1BFC">
        <w:rPr>
          <w:rFonts w:ascii="Calibri" w:hAnsi="Calibri" w:cs="Calibri"/>
          <w:color w:val="000000"/>
          <w:sz w:val="24"/>
        </w:rPr>
        <w:t>P</w:t>
      </w:r>
      <w:r w:rsidR="00AB59D3">
        <w:rPr>
          <w:rFonts w:ascii="Calibri" w:hAnsi="Calibri" w:cs="Calibri"/>
          <w:color w:val="000000"/>
          <w:sz w:val="24"/>
        </w:rPr>
        <w:t xml:space="preserve">odrobněji viz bod </w:t>
      </w:r>
      <w:r w:rsidR="009D1BFC">
        <w:rPr>
          <w:rFonts w:ascii="Calibri" w:hAnsi="Calibri" w:cs="Calibri"/>
          <w:color w:val="000000"/>
          <w:sz w:val="24"/>
        </w:rPr>
        <w:t>4 tohoto kontrolního závěru.</w:t>
      </w:r>
    </w:p>
    <w:p w:rsidR="00F70134" w:rsidRPr="00632AC5" w:rsidRDefault="00F70134" w:rsidP="00FF47D0">
      <w:pPr>
        <w:ind w:firstLine="0"/>
        <w:rPr>
          <w:rFonts w:ascii="Calibri" w:hAnsi="Calibri" w:cs="Calibri"/>
          <w:color w:val="000000"/>
          <w:sz w:val="24"/>
        </w:rPr>
      </w:pPr>
    </w:p>
    <w:p w:rsidR="00A641C3" w:rsidRPr="00632AC5" w:rsidRDefault="00D0073D" w:rsidP="00A641C3">
      <w:pPr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3.1 </w:t>
      </w:r>
      <w:r w:rsidR="00A641C3" w:rsidRPr="00632AC5">
        <w:rPr>
          <w:rFonts w:ascii="Calibri" w:hAnsi="Calibri" w:cs="Calibri"/>
          <w:b/>
          <w:sz w:val="24"/>
        </w:rPr>
        <w:t xml:space="preserve">Investování prostředků </w:t>
      </w:r>
      <w:proofErr w:type="spellStart"/>
      <w:r w:rsidR="00A641C3" w:rsidRPr="00632AC5">
        <w:rPr>
          <w:rFonts w:ascii="Calibri" w:hAnsi="Calibri" w:cs="Calibri"/>
          <w:b/>
          <w:sz w:val="24"/>
        </w:rPr>
        <w:t>ZÚRDR</w:t>
      </w:r>
      <w:proofErr w:type="spellEnd"/>
      <w:r w:rsidR="00A641C3" w:rsidRPr="00632AC5">
        <w:rPr>
          <w:rStyle w:val="Znakapoznpodarou"/>
          <w:rFonts w:ascii="Calibri" w:hAnsi="Calibri" w:cs="Calibri"/>
          <w:b/>
          <w:sz w:val="24"/>
        </w:rPr>
        <w:footnoteReference w:id="15"/>
      </w:r>
    </w:p>
    <w:p w:rsidR="00A641C3" w:rsidRPr="00632AC5" w:rsidRDefault="00A641C3" w:rsidP="00A641C3">
      <w:pPr>
        <w:ind w:firstLine="0"/>
        <w:rPr>
          <w:rFonts w:ascii="Calibri" w:hAnsi="Calibri" w:cs="Calibri"/>
          <w:sz w:val="24"/>
        </w:rPr>
      </w:pPr>
      <w:r w:rsidRPr="00591221">
        <w:rPr>
          <w:rFonts w:ascii="Calibri" w:hAnsi="Calibri" w:cs="Calibri"/>
          <w:color w:val="000000"/>
          <w:sz w:val="24"/>
        </w:rPr>
        <w:t xml:space="preserve">Od roku 2008 do roku 2012 tvořily příjem </w:t>
      </w:r>
      <w:proofErr w:type="spellStart"/>
      <w:r w:rsidRPr="00591221">
        <w:rPr>
          <w:rFonts w:ascii="Calibri" w:hAnsi="Calibri" w:cs="Calibri"/>
          <w:color w:val="000000"/>
          <w:sz w:val="24"/>
        </w:rPr>
        <w:t>ZÚRDR</w:t>
      </w:r>
      <w:proofErr w:type="spellEnd"/>
      <w:r w:rsidRPr="00591221">
        <w:rPr>
          <w:rFonts w:ascii="Calibri" w:hAnsi="Calibri" w:cs="Calibri"/>
          <w:color w:val="000000"/>
          <w:sz w:val="24"/>
        </w:rPr>
        <w:t xml:space="preserve"> také výnosy z investování dočasně volných peněžních prostředků tohoto účtu. P</w:t>
      </w:r>
      <w:r w:rsidRPr="00591221">
        <w:rPr>
          <w:rFonts w:ascii="Calibri" w:hAnsi="Calibri" w:cs="Calibri"/>
          <w:sz w:val="24"/>
        </w:rPr>
        <w:t>rávní úprava</w:t>
      </w:r>
      <w:r w:rsidRPr="00591221">
        <w:rPr>
          <w:rFonts w:ascii="Calibri" w:hAnsi="Calibri" w:cs="Calibri"/>
          <w:color w:val="FF0000"/>
          <w:sz w:val="24"/>
        </w:rPr>
        <w:t xml:space="preserve"> </w:t>
      </w:r>
      <w:r w:rsidRPr="00591221">
        <w:rPr>
          <w:rFonts w:ascii="Calibri" w:hAnsi="Calibri" w:cs="Calibri"/>
          <w:sz w:val="24"/>
        </w:rPr>
        <w:t xml:space="preserve">umožnila MF investovat prostředky </w:t>
      </w:r>
      <w:proofErr w:type="spellStart"/>
      <w:r w:rsidRPr="00591221">
        <w:rPr>
          <w:rFonts w:ascii="Calibri" w:hAnsi="Calibri" w:cs="Calibri"/>
          <w:sz w:val="24"/>
        </w:rPr>
        <w:t>ZÚRDR</w:t>
      </w:r>
      <w:proofErr w:type="spellEnd"/>
      <w:r w:rsidRPr="00591221">
        <w:rPr>
          <w:rFonts w:ascii="Calibri" w:hAnsi="Calibri" w:cs="Calibri"/>
          <w:sz w:val="24"/>
        </w:rPr>
        <w:t xml:space="preserve"> do určených dluhopisů </w:t>
      </w:r>
      <w:r w:rsidR="00574487">
        <w:rPr>
          <w:rFonts w:ascii="Calibri" w:hAnsi="Calibri" w:cs="Calibri"/>
          <w:sz w:val="24"/>
        </w:rPr>
        <w:t>s </w:t>
      </w:r>
      <w:r w:rsidRPr="00591221">
        <w:rPr>
          <w:rFonts w:ascii="Calibri" w:hAnsi="Calibri" w:cs="Calibri"/>
          <w:sz w:val="24"/>
        </w:rPr>
        <w:t>cílem navýšit prostředky pro důchodovou reformu.</w:t>
      </w:r>
      <w:r w:rsidR="00632AC5" w:rsidRPr="00591221">
        <w:rPr>
          <w:rFonts w:ascii="Calibri" w:hAnsi="Calibri" w:cs="Calibri"/>
          <w:sz w:val="24"/>
        </w:rPr>
        <w:t xml:space="preserve"> </w:t>
      </w:r>
      <w:r w:rsidRPr="00591221">
        <w:rPr>
          <w:rFonts w:ascii="Calibri" w:hAnsi="Calibri" w:cs="Calibri"/>
          <w:sz w:val="24"/>
        </w:rPr>
        <w:t xml:space="preserve">Dosažené výnosy ve výši celkem 1,1 mld. Kč se staly příjmem </w:t>
      </w:r>
      <w:proofErr w:type="spellStart"/>
      <w:r w:rsidRPr="00591221">
        <w:rPr>
          <w:rFonts w:ascii="Calibri" w:hAnsi="Calibri" w:cs="Calibri"/>
          <w:sz w:val="24"/>
        </w:rPr>
        <w:t>ZÚRDR</w:t>
      </w:r>
      <w:proofErr w:type="spellEnd"/>
      <w:r w:rsidRPr="00591221">
        <w:rPr>
          <w:rFonts w:ascii="Calibri" w:hAnsi="Calibri" w:cs="Calibri"/>
          <w:sz w:val="24"/>
        </w:rPr>
        <w:t xml:space="preserve">. Od roku 2013 přestalo MF prostředky </w:t>
      </w:r>
      <w:proofErr w:type="spellStart"/>
      <w:r w:rsidRPr="00591221">
        <w:rPr>
          <w:rFonts w:ascii="Calibri" w:hAnsi="Calibri" w:cs="Calibri"/>
          <w:sz w:val="24"/>
        </w:rPr>
        <w:t>ZÚRDR</w:t>
      </w:r>
      <w:proofErr w:type="spellEnd"/>
      <w:r w:rsidRPr="00591221">
        <w:rPr>
          <w:rFonts w:ascii="Calibri" w:hAnsi="Calibri" w:cs="Calibri"/>
          <w:sz w:val="24"/>
        </w:rPr>
        <w:t xml:space="preserve"> investovat a zapojilo je do řízení likvidity státu v rámci souhrnného účtu státní pokladny. Došlo ke snížení příjmů</w:t>
      </w:r>
      <w:r w:rsidR="00591221" w:rsidRPr="00591221">
        <w:rPr>
          <w:rFonts w:ascii="Calibri" w:hAnsi="Calibri" w:cs="Calibri"/>
          <w:sz w:val="24"/>
        </w:rPr>
        <w:t xml:space="preserve"> z investování, </w:t>
      </w:r>
      <w:r w:rsidRPr="00591221">
        <w:rPr>
          <w:rFonts w:ascii="Calibri" w:hAnsi="Calibri" w:cs="Calibri"/>
          <w:sz w:val="24"/>
        </w:rPr>
        <w:t>ale současně se tato skutečnost promítla ve zvýšení disponibilních prostředků státní pokladny.</w:t>
      </w:r>
      <w:r w:rsidRPr="00632AC5">
        <w:rPr>
          <w:rFonts w:ascii="Calibri" w:hAnsi="Calibri" w:cs="Calibri"/>
          <w:sz w:val="24"/>
        </w:rPr>
        <w:t xml:space="preserve"> </w:t>
      </w:r>
    </w:p>
    <w:p w:rsidR="00A641C3" w:rsidRPr="00632AC5" w:rsidRDefault="00A641C3" w:rsidP="00A641C3">
      <w:pPr>
        <w:ind w:firstLine="0"/>
        <w:rPr>
          <w:rFonts w:ascii="Calibri" w:hAnsi="Calibri" w:cs="Calibri"/>
          <w:color w:val="000000"/>
          <w:sz w:val="24"/>
        </w:rPr>
      </w:pPr>
    </w:p>
    <w:p w:rsidR="00A641C3" w:rsidRPr="00632AC5" w:rsidRDefault="00D0073D" w:rsidP="00F80CB2">
      <w:pPr>
        <w:keepNext/>
        <w:ind w:firstLine="0"/>
        <w:rPr>
          <w:rFonts w:ascii="Calibri" w:hAnsi="Calibri" w:cs="Calibri"/>
          <w:b/>
          <w:color w:val="000000"/>
          <w:sz w:val="24"/>
        </w:rPr>
      </w:pPr>
      <w:r>
        <w:rPr>
          <w:rFonts w:ascii="Calibri" w:hAnsi="Calibri" w:cs="Calibri"/>
          <w:b/>
          <w:color w:val="000000"/>
          <w:sz w:val="24"/>
        </w:rPr>
        <w:t xml:space="preserve">3.2 </w:t>
      </w:r>
      <w:r w:rsidR="00A641C3" w:rsidRPr="00632AC5">
        <w:rPr>
          <w:rFonts w:ascii="Calibri" w:hAnsi="Calibri" w:cs="Calibri"/>
          <w:b/>
          <w:color w:val="000000"/>
          <w:sz w:val="24"/>
        </w:rPr>
        <w:t>Dividendy z majetkových účastí státu určen</w:t>
      </w:r>
      <w:r>
        <w:rPr>
          <w:rFonts w:ascii="Calibri" w:hAnsi="Calibri" w:cs="Calibri"/>
          <w:b/>
          <w:color w:val="000000"/>
          <w:sz w:val="24"/>
        </w:rPr>
        <w:t>é</w:t>
      </w:r>
      <w:r w:rsidR="00A641C3" w:rsidRPr="00632AC5">
        <w:rPr>
          <w:rFonts w:ascii="Calibri" w:hAnsi="Calibri" w:cs="Calibri"/>
          <w:b/>
          <w:color w:val="000000"/>
          <w:sz w:val="24"/>
        </w:rPr>
        <w:t xml:space="preserve"> </w:t>
      </w:r>
      <w:r w:rsidRPr="00632AC5">
        <w:rPr>
          <w:rFonts w:ascii="Calibri" w:hAnsi="Calibri" w:cs="Calibri"/>
          <w:b/>
          <w:color w:val="000000"/>
          <w:sz w:val="24"/>
        </w:rPr>
        <w:t>vládou ČR</w:t>
      </w:r>
      <w:r>
        <w:rPr>
          <w:rFonts w:ascii="Calibri" w:hAnsi="Calibri" w:cs="Calibri"/>
          <w:b/>
          <w:color w:val="000000"/>
          <w:sz w:val="24"/>
        </w:rPr>
        <w:t xml:space="preserve"> </w:t>
      </w:r>
      <w:r w:rsidR="00A641C3" w:rsidRPr="00632AC5">
        <w:rPr>
          <w:rFonts w:ascii="Calibri" w:hAnsi="Calibri" w:cs="Calibri"/>
          <w:b/>
          <w:color w:val="000000"/>
          <w:sz w:val="24"/>
        </w:rPr>
        <w:t xml:space="preserve">na důchodovou reformu </w:t>
      </w:r>
    </w:p>
    <w:p w:rsidR="00D87A1D" w:rsidRPr="00632AC5" w:rsidRDefault="00FF47D0" w:rsidP="00D87A1D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 xml:space="preserve">Ve prospěch </w:t>
      </w:r>
      <w:proofErr w:type="spellStart"/>
      <w:r w:rsidRPr="00632AC5">
        <w:rPr>
          <w:rFonts w:ascii="Calibri" w:hAnsi="Calibri" w:cs="Calibri"/>
          <w:color w:val="000000"/>
          <w:sz w:val="24"/>
        </w:rPr>
        <w:t>ZÚRDR</w:t>
      </w:r>
      <w:proofErr w:type="spellEnd"/>
      <w:r w:rsidRPr="00632AC5">
        <w:rPr>
          <w:rFonts w:ascii="Calibri" w:hAnsi="Calibri" w:cs="Calibri"/>
          <w:color w:val="000000"/>
          <w:sz w:val="24"/>
        </w:rPr>
        <w:t xml:space="preserve"> byla </w:t>
      </w:r>
      <w:r w:rsidR="00FD0ACE" w:rsidRPr="00632AC5">
        <w:rPr>
          <w:rFonts w:ascii="Calibri" w:hAnsi="Calibri" w:cs="Calibri"/>
          <w:color w:val="000000"/>
          <w:sz w:val="24"/>
        </w:rPr>
        <w:t xml:space="preserve">v konečném důsledku </w:t>
      </w:r>
      <w:r w:rsidR="00882D53" w:rsidRPr="00632AC5">
        <w:rPr>
          <w:rFonts w:ascii="Calibri" w:hAnsi="Calibri" w:cs="Calibri"/>
          <w:color w:val="000000"/>
          <w:sz w:val="24"/>
        </w:rPr>
        <w:t xml:space="preserve">převedena </w:t>
      </w:r>
      <w:r w:rsidR="00A641C3" w:rsidRPr="00632AC5">
        <w:rPr>
          <w:rFonts w:ascii="Calibri" w:hAnsi="Calibri" w:cs="Calibri"/>
          <w:color w:val="000000"/>
          <w:sz w:val="24"/>
        </w:rPr>
        <w:t xml:space="preserve">také </w:t>
      </w:r>
      <w:r w:rsidRPr="00632AC5">
        <w:rPr>
          <w:rFonts w:ascii="Calibri" w:hAnsi="Calibri" w:cs="Calibri"/>
          <w:color w:val="000000"/>
          <w:sz w:val="24"/>
        </w:rPr>
        <w:t>část dividend z majetkových účastí státu v regionálních elektroenergetických distribučních společn</w:t>
      </w:r>
      <w:r w:rsidR="00CC3636" w:rsidRPr="00632AC5">
        <w:rPr>
          <w:rFonts w:ascii="Calibri" w:hAnsi="Calibri" w:cs="Calibri"/>
          <w:color w:val="000000"/>
          <w:sz w:val="24"/>
        </w:rPr>
        <w:t xml:space="preserve">ostech ve správě MPSV </w:t>
      </w:r>
      <w:r w:rsidR="00CC3636" w:rsidRPr="00632AC5">
        <w:rPr>
          <w:rFonts w:ascii="Calibri" w:hAnsi="Calibri" w:cs="Calibri"/>
          <w:color w:val="000000"/>
          <w:sz w:val="24"/>
        </w:rPr>
        <w:lastRenderedPageBreak/>
        <w:t xml:space="preserve">a </w:t>
      </w:r>
      <w:proofErr w:type="spellStart"/>
      <w:r w:rsidR="00CC3636" w:rsidRPr="00632AC5">
        <w:rPr>
          <w:rFonts w:ascii="Calibri" w:hAnsi="Calibri" w:cs="Calibri"/>
          <w:color w:val="000000"/>
          <w:sz w:val="24"/>
        </w:rPr>
        <w:t>MPO</w:t>
      </w:r>
      <w:proofErr w:type="spellEnd"/>
      <w:r w:rsidR="00CC3636" w:rsidRPr="00632AC5">
        <w:rPr>
          <w:rFonts w:ascii="Calibri" w:hAnsi="Calibri" w:cs="Calibri"/>
          <w:color w:val="000000"/>
          <w:sz w:val="24"/>
        </w:rPr>
        <w:t xml:space="preserve">. </w:t>
      </w:r>
      <w:r w:rsidR="00D87A1D" w:rsidRPr="00632AC5">
        <w:rPr>
          <w:rFonts w:ascii="Calibri" w:hAnsi="Calibri" w:cs="Calibri"/>
          <w:sz w:val="24"/>
        </w:rPr>
        <w:t>V roce 2004 vláda ČR rozhodla</w:t>
      </w:r>
      <w:r w:rsidR="00D87A1D" w:rsidRPr="00632AC5">
        <w:rPr>
          <w:rStyle w:val="Znakapoznpodarou"/>
          <w:rFonts w:ascii="Calibri" w:hAnsi="Calibri" w:cs="Calibri"/>
          <w:sz w:val="24"/>
        </w:rPr>
        <w:footnoteReference w:id="16"/>
      </w:r>
      <w:r w:rsidR="00D87A1D" w:rsidRPr="00632AC5">
        <w:rPr>
          <w:rFonts w:ascii="Calibri" w:hAnsi="Calibri" w:cs="Calibri"/>
          <w:sz w:val="24"/>
        </w:rPr>
        <w:t xml:space="preserve"> o vytvoření účtu </w:t>
      </w:r>
      <w:r w:rsidR="00D87A1D" w:rsidRPr="00632AC5">
        <w:rPr>
          <w:rFonts w:ascii="Calibri" w:hAnsi="Calibri" w:cs="Calibri"/>
          <w:i/>
          <w:sz w:val="24"/>
        </w:rPr>
        <w:t>Prostředky pro důchodovou reformu.</w:t>
      </w:r>
      <w:r w:rsidR="00D87A1D" w:rsidRPr="00632AC5">
        <w:rPr>
          <w:rFonts w:ascii="Calibri" w:hAnsi="Calibri" w:cs="Calibri"/>
          <w:sz w:val="24"/>
        </w:rPr>
        <w:t xml:space="preserve"> Účet byl </w:t>
      </w:r>
      <w:r w:rsidR="00591221">
        <w:rPr>
          <w:rFonts w:ascii="Calibri" w:hAnsi="Calibri" w:cs="Calibri"/>
          <w:sz w:val="24"/>
        </w:rPr>
        <w:t xml:space="preserve">zřízen v rámci </w:t>
      </w:r>
      <w:proofErr w:type="spellStart"/>
      <w:r w:rsidR="00D87A1D" w:rsidRPr="00632AC5">
        <w:rPr>
          <w:rFonts w:ascii="Calibri" w:hAnsi="Calibri" w:cs="Calibri"/>
          <w:sz w:val="24"/>
        </w:rPr>
        <w:t>SFA</w:t>
      </w:r>
      <w:proofErr w:type="spellEnd"/>
      <w:r w:rsidR="00D87A1D" w:rsidRPr="00632AC5">
        <w:rPr>
          <w:rFonts w:ascii="Calibri" w:hAnsi="Calibri" w:cs="Calibri"/>
          <w:sz w:val="24"/>
        </w:rPr>
        <w:t xml:space="preserve"> a byla na něm soustřeďována </w:t>
      </w:r>
      <w:r w:rsidR="00990079">
        <w:rPr>
          <w:rFonts w:ascii="Calibri" w:hAnsi="Calibri" w:cs="Calibri"/>
          <w:sz w:val="24"/>
        </w:rPr>
        <w:t xml:space="preserve">určená </w:t>
      </w:r>
      <w:r w:rsidR="00D87A1D" w:rsidRPr="00632AC5">
        <w:rPr>
          <w:rFonts w:ascii="Calibri" w:hAnsi="Calibri" w:cs="Calibri"/>
          <w:sz w:val="24"/>
        </w:rPr>
        <w:t>část prostře</w:t>
      </w:r>
      <w:r w:rsidR="00CC3636" w:rsidRPr="00632AC5">
        <w:rPr>
          <w:rFonts w:ascii="Calibri" w:hAnsi="Calibri" w:cs="Calibri"/>
          <w:sz w:val="24"/>
        </w:rPr>
        <w:t>dků získaných</w:t>
      </w:r>
      <w:r w:rsidR="00990079">
        <w:rPr>
          <w:rFonts w:ascii="Calibri" w:hAnsi="Calibri" w:cs="Calibri"/>
          <w:sz w:val="24"/>
        </w:rPr>
        <w:t xml:space="preserve"> </w:t>
      </w:r>
      <w:r w:rsidR="00574487">
        <w:rPr>
          <w:rFonts w:ascii="Calibri" w:hAnsi="Calibri" w:cs="Calibri"/>
          <w:sz w:val="24"/>
        </w:rPr>
        <w:t>z </w:t>
      </w:r>
      <w:r w:rsidR="00CC3636" w:rsidRPr="00632AC5">
        <w:rPr>
          <w:rFonts w:ascii="Calibri" w:hAnsi="Calibri" w:cs="Calibri"/>
          <w:sz w:val="24"/>
        </w:rPr>
        <w:t>dividend.</w:t>
      </w:r>
      <w:r w:rsidR="00D0073D">
        <w:rPr>
          <w:rFonts w:ascii="Calibri" w:hAnsi="Calibri" w:cs="Calibri"/>
          <w:sz w:val="24"/>
        </w:rPr>
        <w:t xml:space="preserve"> </w:t>
      </w:r>
      <w:r w:rsidR="00882D53" w:rsidRPr="00632AC5">
        <w:rPr>
          <w:rFonts w:ascii="Calibri" w:hAnsi="Calibri" w:cs="Calibri"/>
          <w:sz w:val="24"/>
        </w:rPr>
        <w:t>(</w:t>
      </w:r>
      <w:r w:rsidR="004A17A0" w:rsidRPr="00632AC5">
        <w:rPr>
          <w:rFonts w:ascii="Calibri" w:hAnsi="Calibri" w:cs="Calibri"/>
          <w:sz w:val="24"/>
        </w:rPr>
        <w:t>Č</w:t>
      </w:r>
      <w:r w:rsidR="00D87A1D" w:rsidRPr="00632AC5">
        <w:rPr>
          <w:rFonts w:ascii="Calibri" w:hAnsi="Calibri" w:cs="Calibri"/>
          <w:sz w:val="24"/>
        </w:rPr>
        <w:t>ást prostředků tohoto účtu ve výš</w:t>
      </w:r>
      <w:r w:rsidR="004A17A0" w:rsidRPr="00632AC5">
        <w:rPr>
          <w:rFonts w:ascii="Calibri" w:hAnsi="Calibri" w:cs="Calibri"/>
          <w:sz w:val="24"/>
        </w:rPr>
        <w:t xml:space="preserve">i 200 mil. Kč byla použita </w:t>
      </w:r>
      <w:r w:rsidR="00D87A1D" w:rsidRPr="00632AC5">
        <w:rPr>
          <w:rFonts w:ascii="Calibri" w:hAnsi="Calibri" w:cs="Calibri"/>
          <w:sz w:val="24"/>
        </w:rPr>
        <w:t>v</w:t>
      </w:r>
      <w:r w:rsidR="00D87A1D" w:rsidRPr="00632AC5">
        <w:rPr>
          <w:rFonts w:ascii="Calibri" w:hAnsi="Calibri" w:cs="Calibri"/>
          <w:color w:val="000000"/>
          <w:sz w:val="24"/>
        </w:rPr>
        <w:t> roce 2006 na pokrytí výdajů na realiza</w:t>
      </w:r>
      <w:r w:rsidR="004A17A0" w:rsidRPr="00632AC5">
        <w:rPr>
          <w:rFonts w:ascii="Calibri" w:hAnsi="Calibri" w:cs="Calibri"/>
          <w:color w:val="000000"/>
          <w:sz w:val="24"/>
        </w:rPr>
        <w:t xml:space="preserve">ci programu </w:t>
      </w:r>
      <w:r w:rsidR="00CC3636" w:rsidRPr="00632AC5">
        <w:rPr>
          <w:rFonts w:ascii="Calibri" w:hAnsi="Calibri" w:cs="Calibri"/>
          <w:i/>
          <w:color w:val="000000"/>
          <w:sz w:val="24"/>
        </w:rPr>
        <w:t xml:space="preserve">Digitalizace nárokových podkladů – </w:t>
      </w:r>
      <w:proofErr w:type="spellStart"/>
      <w:r w:rsidR="00CC3636" w:rsidRPr="00632AC5">
        <w:rPr>
          <w:rFonts w:ascii="Calibri" w:hAnsi="Calibri" w:cs="Calibri"/>
          <w:i/>
          <w:color w:val="000000"/>
          <w:sz w:val="24"/>
        </w:rPr>
        <w:t>DIG</w:t>
      </w:r>
      <w:proofErr w:type="spellEnd"/>
      <w:r w:rsidR="00CC3636" w:rsidRPr="00632AC5">
        <w:rPr>
          <w:rFonts w:ascii="Calibri" w:hAnsi="Calibri" w:cs="Calibri"/>
          <w:i/>
          <w:color w:val="000000"/>
          <w:sz w:val="24"/>
        </w:rPr>
        <w:t xml:space="preserve"> III</w:t>
      </w:r>
      <w:r w:rsidR="00CC3636" w:rsidRPr="00632AC5">
        <w:rPr>
          <w:rFonts w:ascii="Calibri" w:hAnsi="Calibri" w:cs="Calibri"/>
          <w:color w:val="000000"/>
          <w:sz w:val="24"/>
        </w:rPr>
        <w:t xml:space="preserve"> </w:t>
      </w:r>
      <w:r w:rsidR="004A17A0" w:rsidRPr="00632AC5">
        <w:rPr>
          <w:rFonts w:ascii="Calibri" w:hAnsi="Calibri" w:cs="Calibri"/>
          <w:color w:val="000000"/>
          <w:sz w:val="24"/>
        </w:rPr>
        <w:t>v rámci kapitoly</w:t>
      </w:r>
      <w:r w:rsidR="00632AC5">
        <w:rPr>
          <w:rFonts w:ascii="Calibri" w:hAnsi="Calibri" w:cs="Calibri"/>
          <w:color w:val="000000"/>
          <w:sz w:val="24"/>
        </w:rPr>
        <w:t xml:space="preserve"> </w:t>
      </w:r>
      <w:r w:rsidR="00CC3636" w:rsidRPr="00632AC5">
        <w:rPr>
          <w:rFonts w:ascii="Calibri" w:hAnsi="Calibri" w:cs="Calibri"/>
          <w:color w:val="000000"/>
          <w:sz w:val="24"/>
        </w:rPr>
        <w:t>MPSV</w:t>
      </w:r>
      <w:r w:rsidR="00D87A1D" w:rsidRPr="00632AC5">
        <w:rPr>
          <w:rFonts w:ascii="Calibri" w:hAnsi="Calibri" w:cs="Calibri"/>
          <w:color w:val="000000"/>
          <w:sz w:val="24"/>
        </w:rPr>
        <w:t>.</w:t>
      </w:r>
      <w:r w:rsidR="00882D53" w:rsidRPr="00632AC5">
        <w:rPr>
          <w:rFonts w:ascii="Calibri" w:hAnsi="Calibri" w:cs="Calibri"/>
          <w:color w:val="000000"/>
          <w:sz w:val="24"/>
        </w:rPr>
        <w:t>)</w:t>
      </w:r>
    </w:p>
    <w:p w:rsidR="00D87A1D" w:rsidRPr="00632AC5" w:rsidRDefault="00D87A1D" w:rsidP="00D87A1D">
      <w:pPr>
        <w:ind w:firstLine="0"/>
        <w:rPr>
          <w:rFonts w:ascii="Calibri" w:hAnsi="Calibri" w:cs="Calibri"/>
          <w:color w:val="000000"/>
          <w:sz w:val="24"/>
        </w:rPr>
      </w:pPr>
    </w:p>
    <w:p w:rsidR="00D87A1D" w:rsidRPr="00632AC5" w:rsidRDefault="00D87A1D" w:rsidP="00D87A1D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K 1. 1. 2009 byl stav majetkových účastí státu vyčleněných usneseními vlády ČR </w:t>
      </w:r>
      <w:r w:rsidR="00574487">
        <w:rPr>
          <w:rFonts w:ascii="Calibri" w:hAnsi="Calibri" w:cs="Calibri"/>
          <w:sz w:val="24"/>
        </w:rPr>
        <w:t>k </w:t>
      </w:r>
      <w:r w:rsidRPr="00632AC5">
        <w:rPr>
          <w:rFonts w:ascii="Calibri" w:hAnsi="Calibri" w:cs="Calibri"/>
          <w:sz w:val="24"/>
        </w:rPr>
        <w:t xml:space="preserve">získání prostředků </w:t>
      </w:r>
      <w:r w:rsidR="00D0073D">
        <w:rPr>
          <w:rFonts w:ascii="Calibri" w:hAnsi="Calibri" w:cs="Calibri"/>
          <w:sz w:val="24"/>
        </w:rPr>
        <w:t>pro</w:t>
      </w:r>
      <w:r w:rsidRPr="00632AC5">
        <w:rPr>
          <w:rFonts w:ascii="Calibri" w:hAnsi="Calibri" w:cs="Calibri"/>
          <w:sz w:val="24"/>
        </w:rPr>
        <w:t xml:space="preserve"> důchodovou reformu následující: </w:t>
      </w:r>
    </w:p>
    <w:p w:rsidR="00D87A1D" w:rsidRPr="00632AC5" w:rsidRDefault="00D87A1D" w:rsidP="00254A5D">
      <w:pPr>
        <w:ind w:left="284" w:hanging="284"/>
        <w:contextualSpacing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•</w:t>
      </w:r>
      <w:r w:rsidR="00254A5D">
        <w:rPr>
          <w:rFonts w:ascii="Calibri" w:hAnsi="Calibri" w:cs="Calibri"/>
          <w:sz w:val="24"/>
        </w:rPr>
        <w:tab/>
      </w:r>
      <w:r w:rsidRPr="00632AC5">
        <w:rPr>
          <w:rFonts w:ascii="Calibri" w:hAnsi="Calibri" w:cs="Calibri"/>
          <w:sz w:val="24"/>
        </w:rPr>
        <w:t>majetková účast v</w:t>
      </w:r>
      <w:r w:rsidR="00AB59D3">
        <w:rPr>
          <w:rFonts w:ascii="Calibri" w:hAnsi="Calibri" w:cs="Calibri"/>
          <w:sz w:val="24"/>
        </w:rPr>
        <w:t>e</w:t>
      </w:r>
      <w:r w:rsidRPr="00632AC5">
        <w:rPr>
          <w:rFonts w:ascii="Calibri" w:hAnsi="Calibri" w:cs="Calibri"/>
          <w:sz w:val="24"/>
        </w:rPr>
        <w:t xml:space="preserve"> </w:t>
      </w:r>
      <w:proofErr w:type="gramStart"/>
      <w:r w:rsidRPr="00632AC5">
        <w:rPr>
          <w:rFonts w:ascii="Calibri" w:hAnsi="Calibri" w:cs="Calibri"/>
          <w:sz w:val="24"/>
        </w:rPr>
        <w:t xml:space="preserve">společnosti </w:t>
      </w:r>
      <w:proofErr w:type="spellStart"/>
      <w:r w:rsidRPr="00632AC5">
        <w:rPr>
          <w:rFonts w:ascii="Calibri" w:hAnsi="Calibri" w:cs="Calibri"/>
          <w:sz w:val="24"/>
        </w:rPr>
        <w:t>E.ON</w:t>
      </w:r>
      <w:proofErr w:type="spellEnd"/>
      <w:proofErr w:type="gramEnd"/>
      <w:r w:rsidRPr="00632AC5">
        <w:rPr>
          <w:rFonts w:ascii="Calibri" w:hAnsi="Calibri" w:cs="Calibri"/>
          <w:sz w:val="24"/>
        </w:rPr>
        <w:t xml:space="preserve"> SE</w:t>
      </w:r>
      <w:r w:rsidR="00D0073D">
        <w:rPr>
          <w:rFonts w:ascii="Calibri" w:hAnsi="Calibri" w:cs="Calibri"/>
          <w:sz w:val="24"/>
        </w:rPr>
        <w:t xml:space="preserve"> činila</w:t>
      </w:r>
      <w:r w:rsidRPr="00632AC5">
        <w:rPr>
          <w:rFonts w:ascii="Calibri" w:hAnsi="Calibri" w:cs="Calibri"/>
          <w:sz w:val="24"/>
        </w:rPr>
        <w:t xml:space="preserve"> 3 668 731 kusů akcií;</w:t>
      </w:r>
    </w:p>
    <w:p w:rsidR="00D87A1D" w:rsidRPr="00632AC5" w:rsidRDefault="00D87A1D" w:rsidP="00254A5D">
      <w:pPr>
        <w:ind w:left="284" w:hanging="284"/>
        <w:contextualSpacing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•</w:t>
      </w:r>
      <w:r w:rsidR="00254A5D">
        <w:rPr>
          <w:rFonts w:ascii="Calibri" w:hAnsi="Calibri" w:cs="Calibri"/>
          <w:sz w:val="24"/>
        </w:rPr>
        <w:tab/>
      </w:r>
      <w:r w:rsidRPr="00632AC5">
        <w:rPr>
          <w:rFonts w:ascii="Calibri" w:hAnsi="Calibri" w:cs="Calibri"/>
          <w:sz w:val="24"/>
        </w:rPr>
        <w:t>15% podíl ve společnosti ČEPS, a.</w:t>
      </w:r>
      <w:r w:rsidRPr="00F80CB2">
        <w:rPr>
          <w:rFonts w:ascii="Calibri" w:hAnsi="Calibri" w:cs="Calibri"/>
          <w:sz w:val="24"/>
          <w:vertAlign w:val="superscript"/>
        </w:rPr>
        <w:t xml:space="preserve"> </w:t>
      </w:r>
      <w:r w:rsidRPr="00632AC5">
        <w:rPr>
          <w:rFonts w:ascii="Calibri" w:hAnsi="Calibri" w:cs="Calibri"/>
          <w:sz w:val="24"/>
        </w:rPr>
        <w:t>s., 26 783 600 kusů akcií;</w:t>
      </w:r>
    </w:p>
    <w:p w:rsidR="00D87A1D" w:rsidRPr="00632AC5" w:rsidRDefault="00254A5D" w:rsidP="00254A5D">
      <w:pPr>
        <w:ind w:left="284" w:hanging="284"/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ab/>
      </w:r>
      <w:r w:rsidR="00D87A1D" w:rsidRPr="00632AC5">
        <w:rPr>
          <w:rFonts w:ascii="Calibri" w:hAnsi="Calibri" w:cs="Calibri"/>
          <w:color w:val="000000" w:themeColor="text1"/>
          <w:sz w:val="24"/>
        </w:rPr>
        <w:t>Celková maje</w:t>
      </w:r>
      <w:r w:rsidR="000334DB" w:rsidRPr="00632AC5">
        <w:rPr>
          <w:rFonts w:ascii="Calibri" w:hAnsi="Calibri" w:cs="Calibri"/>
          <w:color w:val="000000" w:themeColor="text1"/>
          <w:sz w:val="24"/>
        </w:rPr>
        <w:t xml:space="preserve">tková účast státu </w:t>
      </w:r>
      <w:r w:rsidR="00574487">
        <w:rPr>
          <w:rFonts w:ascii="Calibri" w:hAnsi="Calibri" w:cs="Calibri"/>
          <w:color w:val="000000" w:themeColor="text1"/>
          <w:sz w:val="24"/>
        </w:rPr>
        <w:t>v </w:t>
      </w:r>
      <w:r w:rsidR="000334DB" w:rsidRPr="00632AC5">
        <w:rPr>
          <w:rFonts w:ascii="Calibri" w:hAnsi="Calibri" w:cs="Calibri"/>
          <w:color w:val="000000" w:themeColor="text1"/>
          <w:sz w:val="24"/>
        </w:rPr>
        <w:t>ČEPS, a.</w:t>
      </w:r>
      <w:r w:rsidR="00D0073D" w:rsidRPr="00F80CB2">
        <w:rPr>
          <w:rFonts w:ascii="Calibri" w:hAnsi="Calibri" w:cs="Calibri"/>
          <w:color w:val="000000" w:themeColor="text1"/>
          <w:sz w:val="24"/>
          <w:vertAlign w:val="superscript"/>
        </w:rPr>
        <w:t> </w:t>
      </w:r>
      <w:r w:rsidR="000334DB" w:rsidRPr="00632AC5">
        <w:rPr>
          <w:rFonts w:ascii="Calibri" w:hAnsi="Calibri" w:cs="Calibri"/>
          <w:color w:val="000000" w:themeColor="text1"/>
          <w:sz w:val="24"/>
        </w:rPr>
        <w:t>s.</w:t>
      </w:r>
      <w:r w:rsidR="00A0314E">
        <w:rPr>
          <w:rFonts w:ascii="Calibri" w:hAnsi="Calibri" w:cs="Calibri"/>
          <w:color w:val="000000" w:themeColor="text1"/>
          <w:sz w:val="24"/>
        </w:rPr>
        <w:t>,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 je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100 %. MPSV </w:t>
      </w:r>
      <w:r w:rsidR="000334DB" w:rsidRPr="00632AC5">
        <w:rPr>
          <w:rFonts w:ascii="Calibri" w:hAnsi="Calibri" w:cs="Calibri"/>
          <w:color w:val="000000" w:themeColor="text1"/>
          <w:sz w:val="24"/>
        </w:rPr>
        <w:t xml:space="preserve">hospodařilo do února roku 2012 </w:t>
      </w:r>
      <w:r w:rsidR="00574487">
        <w:rPr>
          <w:rFonts w:ascii="Calibri" w:hAnsi="Calibri" w:cs="Calibri"/>
          <w:color w:val="000000" w:themeColor="text1"/>
          <w:sz w:val="24"/>
        </w:rPr>
        <w:t>s </w:t>
      </w:r>
      <w:r w:rsidR="00D87A1D" w:rsidRPr="00632AC5">
        <w:rPr>
          <w:rFonts w:ascii="Calibri" w:hAnsi="Calibri" w:cs="Calibri"/>
          <w:color w:val="000000" w:themeColor="text1"/>
          <w:sz w:val="24"/>
        </w:rPr>
        <w:t>15% podíl</w:t>
      </w:r>
      <w:r w:rsidR="000334DB" w:rsidRPr="00632AC5">
        <w:rPr>
          <w:rFonts w:ascii="Calibri" w:hAnsi="Calibri" w:cs="Calibri"/>
          <w:color w:val="000000" w:themeColor="text1"/>
          <w:sz w:val="24"/>
        </w:rPr>
        <w:t>em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, </w:t>
      </w:r>
      <w:r w:rsidR="00D0073D">
        <w:rPr>
          <w:rFonts w:ascii="Calibri" w:hAnsi="Calibri" w:cs="Calibri"/>
          <w:color w:val="000000" w:themeColor="text1"/>
          <w:sz w:val="24"/>
        </w:rPr>
        <w:t>poté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 tento podíl přešel na M</w:t>
      </w:r>
      <w:r w:rsidR="000334DB" w:rsidRPr="00632AC5">
        <w:rPr>
          <w:rFonts w:ascii="Calibri" w:hAnsi="Calibri" w:cs="Calibri"/>
          <w:color w:val="000000" w:themeColor="text1"/>
          <w:sz w:val="24"/>
        </w:rPr>
        <w:t>inisterstvo průmyslu a obchodu</w:t>
      </w:r>
      <w:r w:rsidR="00D87A1D" w:rsidRPr="00632AC5">
        <w:rPr>
          <w:rFonts w:ascii="Calibri" w:hAnsi="Calibri" w:cs="Calibri"/>
          <w:color w:val="000000" w:themeColor="text1"/>
          <w:sz w:val="24"/>
        </w:rPr>
        <w:t>, které</w:t>
      </w:r>
      <w:r w:rsidR="000334DB" w:rsidRPr="00632AC5">
        <w:rPr>
          <w:rFonts w:ascii="Calibri" w:hAnsi="Calibri" w:cs="Calibri"/>
          <w:color w:val="000000" w:themeColor="text1"/>
          <w:sz w:val="24"/>
        </w:rPr>
        <w:t>mu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nyní </w:t>
      </w:r>
      <w:r w:rsidR="000334DB" w:rsidRPr="00632AC5">
        <w:rPr>
          <w:rFonts w:ascii="Calibri" w:hAnsi="Calibri" w:cs="Calibri"/>
          <w:color w:val="000000" w:themeColor="text1"/>
          <w:sz w:val="24"/>
        </w:rPr>
        <w:t>přísluší hospodařit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0334DB" w:rsidRPr="00632AC5">
        <w:rPr>
          <w:rFonts w:ascii="Calibri" w:hAnsi="Calibri" w:cs="Calibri"/>
          <w:color w:val="000000" w:themeColor="text1"/>
          <w:sz w:val="24"/>
        </w:rPr>
        <w:t>s podílem celým, tj.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100 %.</w:t>
      </w:r>
    </w:p>
    <w:p w:rsidR="00D87A1D" w:rsidRPr="00632AC5" w:rsidRDefault="00D87A1D" w:rsidP="00254A5D">
      <w:pPr>
        <w:ind w:left="284" w:hanging="284"/>
        <w:contextualSpacing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•</w:t>
      </w:r>
      <w:r w:rsidR="00254A5D">
        <w:rPr>
          <w:rFonts w:ascii="Calibri" w:hAnsi="Calibri" w:cs="Calibri"/>
          <w:sz w:val="24"/>
        </w:rPr>
        <w:tab/>
      </w:r>
      <w:r w:rsidR="0084208C">
        <w:rPr>
          <w:rFonts w:ascii="Calibri" w:hAnsi="Calibri" w:cs="Calibri"/>
          <w:sz w:val="24"/>
        </w:rPr>
        <w:t>P</w:t>
      </w:r>
      <w:r w:rsidR="0084208C" w:rsidRPr="00632AC5">
        <w:rPr>
          <w:rFonts w:ascii="Calibri" w:hAnsi="Calibri" w:cs="Calibri"/>
          <w:sz w:val="24"/>
        </w:rPr>
        <w:t xml:space="preserve">odíl </w:t>
      </w:r>
      <w:r w:rsidRPr="00632AC5">
        <w:rPr>
          <w:rFonts w:ascii="Calibri" w:hAnsi="Calibri" w:cs="Calibri"/>
          <w:sz w:val="24"/>
        </w:rPr>
        <w:t>0,41</w:t>
      </w:r>
      <w:r w:rsidR="0084208C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% ve společnosti ČEZ, a.</w:t>
      </w:r>
      <w:r w:rsidR="0084208C">
        <w:rPr>
          <w:rFonts w:ascii="Calibri" w:hAnsi="Calibri" w:cs="Calibri"/>
          <w:sz w:val="24"/>
          <w:vertAlign w:val="superscript"/>
        </w:rPr>
        <w:t> </w:t>
      </w:r>
      <w:r w:rsidRPr="00632AC5">
        <w:rPr>
          <w:rFonts w:ascii="Calibri" w:hAnsi="Calibri" w:cs="Calibri"/>
          <w:sz w:val="24"/>
        </w:rPr>
        <w:t>s., 2 213 224 kusů akcií.</w:t>
      </w:r>
    </w:p>
    <w:p w:rsidR="00D87A1D" w:rsidRPr="00632AC5" w:rsidRDefault="00254A5D" w:rsidP="00254A5D">
      <w:pPr>
        <w:ind w:left="284" w:hanging="284"/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ab/>
      </w:r>
      <w:r w:rsidR="000334DB" w:rsidRPr="00632AC5">
        <w:rPr>
          <w:rFonts w:ascii="Calibri" w:hAnsi="Calibri" w:cs="Calibri"/>
          <w:color w:val="000000" w:themeColor="text1"/>
          <w:sz w:val="24"/>
        </w:rPr>
        <w:t>M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ajetkový podíl státu </w:t>
      </w:r>
      <w:r w:rsidR="000334DB" w:rsidRPr="00632AC5">
        <w:rPr>
          <w:rFonts w:ascii="Calibri" w:hAnsi="Calibri" w:cs="Calibri"/>
          <w:color w:val="000000" w:themeColor="text1"/>
          <w:sz w:val="24"/>
        </w:rPr>
        <w:t>v ČEZ, a.</w:t>
      </w:r>
      <w:r w:rsidR="0084208C">
        <w:rPr>
          <w:rFonts w:ascii="Calibri" w:hAnsi="Calibri" w:cs="Calibri"/>
          <w:color w:val="000000" w:themeColor="text1"/>
          <w:sz w:val="24"/>
          <w:vertAlign w:val="superscript"/>
        </w:rPr>
        <w:t> </w:t>
      </w:r>
      <w:r w:rsidR="000334DB" w:rsidRPr="00632AC5">
        <w:rPr>
          <w:rFonts w:ascii="Calibri" w:hAnsi="Calibri" w:cs="Calibri"/>
          <w:color w:val="000000" w:themeColor="text1"/>
          <w:sz w:val="24"/>
        </w:rPr>
        <w:t>s.</w:t>
      </w:r>
      <w:r w:rsidR="00A0314E">
        <w:rPr>
          <w:rFonts w:ascii="Calibri" w:hAnsi="Calibri" w:cs="Calibri"/>
          <w:color w:val="000000" w:themeColor="text1"/>
          <w:sz w:val="24"/>
        </w:rPr>
        <w:t>,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byl získán směnou akcií podniku Pražská energetika,</w:t>
      </w:r>
      <w:r w:rsidR="0084208C">
        <w:rPr>
          <w:rFonts w:ascii="Calibri" w:hAnsi="Calibri" w:cs="Calibri"/>
          <w:color w:val="000000" w:themeColor="text1"/>
          <w:sz w:val="24"/>
        </w:rPr>
        <w:t> </w:t>
      </w:r>
      <w:r w:rsidR="00D87A1D" w:rsidRPr="00632AC5">
        <w:rPr>
          <w:rFonts w:ascii="Calibri" w:hAnsi="Calibri" w:cs="Calibri"/>
          <w:color w:val="000000" w:themeColor="text1"/>
          <w:sz w:val="24"/>
        </w:rPr>
        <w:t>a.</w:t>
      </w:r>
      <w:r w:rsidR="0084208C" w:rsidRPr="00F80CB2">
        <w:rPr>
          <w:rFonts w:ascii="Calibri" w:hAnsi="Calibri" w:cs="Calibri"/>
          <w:color w:val="000000" w:themeColor="text1"/>
          <w:sz w:val="24"/>
          <w:vertAlign w:val="superscript"/>
        </w:rPr>
        <w:t> </w:t>
      </w:r>
      <w:r w:rsidR="00D87A1D" w:rsidRPr="00632AC5">
        <w:rPr>
          <w:rFonts w:ascii="Calibri" w:hAnsi="Calibri" w:cs="Calibri"/>
          <w:color w:val="000000" w:themeColor="text1"/>
          <w:sz w:val="24"/>
        </w:rPr>
        <w:t>s., na základě usnesení vlády ČR</w:t>
      </w:r>
      <w:r w:rsidR="000334DB" w:rsidRPr="00632AC5">
        <w:rPr>
          <w:rFonts w:ascii="Calibri" w:hAnsi="Calibri" w:cs="Calibri"/>
          <w:color w:val="000000" w:themeColor="text1"/>
          <w:sz w:val="24"/>
        </w:rPr>
        <w:t xml:space="preserve"> ze dne 9. července 2008 č. 862. </w:t>
      </w:r>
      <w:r w:rsidR="004C4DEE" w:rsidRPr="00632AC5">
        <w:rPr>
          <w:rFonts w:ascii="Calibri" w:hAnsi="Calibri" w:cs="Calibri"/>
          <w:color w:val="000000" w:themeColor="text1"/>
          <w:sz w:val="24"/>
        </w:rPr>
        <w:t>Ke dni 31.</w:t>
      </w:r>
      <w:r w:rsidR="0084208C">
        <w:rPr>
          <w:rFonts w:ascii="Calibri" w:hAnsi="Calibri" w:cs="Calibri"/>
          <w:color w:val="000000" w:themeColor="text1"/>
          <w:sz w:val="24"/>
        </w:rPr>
        <w:t> </w:t>
      </w:r>
      <w:r w:rsidR="004C4DEE" w:rsidRPr="00632AC5">
        <w:rPr>
          <w:rFonts w:ascii="Calibri" w:hAnsi="Calibri" w:cs="Calibri"/>
          <w:color w:val="000000" w:themeColor="text1"/>
          <w:sz w:val="24"/>
        </w:rPr>
        <w:t>12. 2013 byla c</w:t>
      </w:r>
      <w:r w:rsidR="00D87A1D" w:rsidRPr="00632AC5">
        <w:rPr>
          <w:rFonts w:ascii="Calibri" w:hAnsi="Calibri" w:cs="Calibri"/>
          <w:color w:val="000000" w:themeColor="text1"/>
          <w:sz w:val="24"/>
        </w:rPr>
        <w:t>elková majetko</w:t>
      </w:r>
      <w:r w:rsidR="004C4DEE" w:rsidRPr="00632AC5">
        <w:rPr>
          <w:rFonts w:ascii="Calibri" w:hAnsi="Calibri" w:cs="Calibri"/>
          <w:color w:val="000000" w:themeColor="text1"/>
          <w:sz w:val="24"/>
        </w:rPr>
        <w:t>vá účast státu v ČEZ, a.</w:t>
      </w:r>
      <w:r w:rsidR="00A0314E">
        <w:rPr>
          <w:rFonts w:ascii="Calibri" w:hAnsi="Calibri" w:cs="Calibri"/>
          <w:color w:val="000000" w:themeColor="text1"/>
          <w:sz w:val="24"/>
        </w:rPr>
        <w:t xml:space="preserve"> </w:t>
      </w:r>
      <w:r w:rsidR="004C4DEE" w:rsidRPr="00632AC5">
        <w:rPr>
          <w:rFonts w:ascii="Calibri" w:hAnsi="Calibri" w:cs="Calibri"/>
          <w:color w:val="000000" w:themeColor="text1"/>
          <w:sz w:val="24"/>
        </w:rPr>
        <w:t>s.,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69,78 %,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z toho MF</w:t>
      </w:r>
      <w:r w:rsidR="000334DB" w:rsidRPr="00632AC5">
        <w:rPr>
          <w:rFonts w:ascii="Calibri" w:hAnsi="Calibri" w:cs="Calibri"/>
          <w:color w:val="000000" w:themeColor="text1"/>
          <w:sz w:val="24"/>
        </w:rPr>
        <w:t xml:space="preserve"> přísluš</w:t>
      </w:r>
      <w:r w:rsidR="004C4DEE" w:rsidRPr="00632AC5">
        <w:rPr>
          <w:rFonts w:ascii="Calibri" w:hAnsi="Calibri" w:cs="Calibri"/>
          <w:color w:val="000000" w:themeColor="text1"/>
          <w:sz w:val="24"/>
        </w:rPr>
        <w:t>elo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0334DB" w:rsidRPr="00632AC5">
        <w:rPr>
          <w:rFonts w:ascii="Calibri" w:hAnsi="Calibri" w:cs="Calibri"/>
          <w:color w:val="000000" w:themeColor="text1"/>
          <w:sz w:val="24"/>
        </w:rPr>
        <w:t>69,37 % a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MPSV</w:t>
      </w:r>
      <w:r w:rsidR="004C4DEE" w:rsidRPr="00632AC5">
        <w:rPr>
          <w:rFonts w:ascii="Calibri" w:hAnsi="Calibri" w:cs="Calibri"/>
          <w:color w:val="000000" w:themeColor="text1"/>
          <w:sz w:val="24"/>
        </w:rPr>
        <w:t xml:space="preserve"> pouze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0,41 %</w:t>
      </w:r>
      <w:r w:rsidR="000334DB" w:rsidRPr="00632AC5">
        <w:rPr>
          <w:rFonts w:ascii="Calibri" w:hAnsi="Calibri" w:cs="Calibri"/>
          <w:color w:val="000000" w:themeColor="text1"/>
          <w:sz w:val="24"/>
        </w:rPr>
        <w:t>. Nepatrný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0334DB" w:rsidRPr="00632AC5">
        <w:rPr>
          <w:rFonts w:ascii="Calibri" w:hAnsi="Calibri" w:cs="Calibri"/>
          <w:color w:val="000000" w:themeColor="text1"/>
          <w:sz w:val="24"/>
        </w:rPr>
        <w:t>podíl 0,001 % přísluš</w:t>
      </w:r>
      <w:r w:rsidR="00A0314E">
        <w:rPr>
          <w:rFonts w:ascii="Calibri" w:hAnsi="Calibri" w:cs="Calibri"/>
          <w:color w:val="000000" w:themeColor="text1"/>
          <w:sz w:val="24"/>
        </w:rPr>
        <w:t xml:space="preserve">el </w:t>
      </w:r>
      <w:r w:rsidR="004C4DEE" w:rsidRPr="00632AC5">
        <w:rPr>
          <w:rFonts w:ascii="Calibri" w:hAnsi="Calibri" w:cs="Calibri"/>
          <w:color w:val="000000" w:themeColor="text1"/>
          <w:sz w:val="24"/>
        </w:rPr>
        <w:t>ještě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>Úřad</w:t>
      </w:r>
      <w:r w:rsidR="000334DB" w:rsidRPr="00632AC5">
        <w:rPr>
          <w:rFonts w:ascii="Calibri" w:hAnsi="Calibri" w:cs="Calibri"/>
          <w:color w:val="000000" w:themeColor="text1"/>
          <w:sz w:val="24"/>
        </w:rPr>
        <w:t>u</w:t>
      </w:r>
      <w:r w:rsidR="00632AC5">
        <w:rPr>
          <w:rFonts w:ascii="Calibri" w:hAnsi="Calibri" w:cs="Calibri"/>
          <w:color w:val="000000" w:themeColor="text1"/>
          <w:sz w:val="24"/>
        </w:rPr>
        <w:t xml:space="preserve"> </w:t>
      </w:r>
      <w:r w:rsidR="00D87A1D" w:rsidRPr="00632AC5">
        <w:rPr>
          <w:rFonts w:ascii="Calibri" w:hAnsi="Calibri" w:cs="Calibri"/>
          <w:color w:val="000000" w:themeColor="text1"/>
          <w:sz w:val="24"/>
        </w:rPr>
        <w:t xml:space="preserve">pro zastupování státu ve věcech </w:t>
      </w:r>
      <w:r w:rsidR="000334DB" w:rsidRPr="00632AC5">
        <w:rPr>
          <w:rFonts w:ascii="Calibri" w:hAnsi="Calibri" w:cs="Calibri"/>
          <w:color w:val="000000" w:themeColor="text1"/>
          <w:sz w:val="24"/>
        </w:rPr>
        <w:t>majetkových</w:t>
      </w:r>
      <w:r w:rsidR="004C4DEE" w:rsidRPr="00632AC5">
        <w:rPr>
          <w:rFonts w:ascii="Calibri" w:hAnsi="Calibri" w:cs="Calibri"/>
          <w:color w:val="000000" w:themeColor="text1"/>
          <w:sz w:val="24"/>
        </w:rPr>
        <w:t xml:space="preserve">, který </w:t>
      </w:r>
      <w:r w:rsidR="00A0314E">
        <w:rPr>
          <w:rFonts w:ascii="Calibri" w:hAnsi="Calibri" w:cs="Calibri"/>
          <w:color w:val="000000" w:themeColor="text1"/>
          <w:sz w:val="24"/>
        </w:rPr>
        <w:t xml:space="preserve">jej </w:t>
      </w:r>
      <w:r w:rsidR="004C4DEE" w:rsidRPr="00632AC5">
        <w:rPr>
          <w:rFonts w:ascii="Calibri" w:hAnsi="Calibri" w:cs="Calibri"/>
          <w:color w:val="000000" w:themeColor="text1"/>
          <w:sz w:val="24"/>
        </w:rPr>
        <w:t>získal z</w:t>
      </w:r>
      <w:r w:rsidR="000334DB" w:rsidRPr="00632AC5">
        <w:rPr>
          <w:rFonts w:ascii="Calibri" w:hAnsi="Calibri" w:cs="Calibri"/>
          <w:color w:val="000000" w:themeColor="text1"/>
          <w:sz w:val="24"/>
        </w:rPr>
        <w:t> titulu o</w:t>
      </w:r>
      <w:r w:rsidR="00D87A1D" w:rsidRPr="00632AC5">
        <w:rPr>
          <w:rFonts w:ascii="Calibri" w:hAnsi="Calibri" w:cs="Calibri"/>
          <w:color w:val="000000" w:themeColor="text1"/>
          <w:sz w:val="24"/>
        </w:rPr>
        <w:t>dúmrt</w:t>
      </w:r>
      <w:r w:rsidR="000334DB" w:rsidRPr="00632AC5">
        <w:rPr>
          <w:rFonts w:ascii="Calibri" w:hAnsi="Calibri" w:cs="Calibri"/>
          <w:color w:val="000000" w:themeColor="text1"/>
          <w:sz w:val="24"/>
        </w:rPr>
        <w:t xml:space="preserve">í. </w:t>
      </w:r>
    </w:p>
    <w:p w:rsidR="00D87A1D" w:rsidRPr="00632AC5" w:rsidRDefault="00D87A1D" w:rsidP="00D87A1D">
      <w:pPr>
        <w:ind w:firstLine="0"/>
        <w:contextualSpacing/>
        <w:rPr>
          <w:rFonts w:ascii="Calibri" w:hAnsi="Calibri" w:cs="Calibri"/>
          <w:color w:val="000000" w:themeColor="text1"/>
          <w:sz w:val="24"/>
        </w:rPr>
      </w:pPr>
    </w:p>
    <w:p w:rsidR="00D87A1D" w:rsidRPr="00632AC5" w:rsidRDefault="00145B15" w:rsidP="00D87A1D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sz w:val="24"/>
        </w:rPr>
        <w:t>Od zřízení účtu</w:t>
      </w:r>
      <w:r w:rsidR="00770FED" w:rsidRPr="00632AC5">
        <w:rPr>
          <w:rFonts w:ascii="Calibri" w:hAnsi="Calibri" w:cs="Calibri"/>
          <w:sz w:val="24"/>
        </w:rPr>
        <w:t xml:space="preserve"> </w:t>
      </w:r>
      <w:r w:rsidR="00770FED" w:rsidRPr="00632AC5">
        <w:rPr>
          <w:rFonts w:ascii="Calibri" w:hAnsi="Calibri" w:cs="Calibri"/>
          <w:i/>
          <w:sz w:val="24"/>
        </w:rPr>
        <w:t xml:space="preserve">Prostředky </w:t>
      </w:r>
      <w:r w:rsidR="0084208C">
        <w:rPr>
          <w:rFonts w:ascii="Calibri" w:hAnsi="Calibri" w:cs="Calibri"/>
          <w:i/>
          <w:sz w:val="24"/>
        </w:rPr>
        <w:t>pro</w:t>
      </w:r>
      <w:r w:rsidR="00770FED" w:rsidRPr="00632AC5">
        <w:rPr>
          <w:rFonts w:ascii="Calibri" w:hAnsi="Calibri" w:cs="Calibri"/>
          <w:i/>
          <w:sz w:val="24"/>
        </w:rPr>
        <w:t xml:space="preserve"> důchodovou reformu</w:t>
      </w:r>
      <w:r w:rsidR="00F70134" w:rsidRPr="00632AC5">
        <w:rPr>
          <w:rFonts w:ascii="Calibri" w:hAnsi="Calibri" w:cs="Calibri"/>
          <w:sz w:val="24"/>
        </w:rPr>
        <w:t xml:space="preserve"> </w:t>
      </w:r>
      <w:r w:rsidR="0084208C">
        <w:rPr>
          <w:rFonts w:ascii="Calibri" w:hAnsi="Calibri" w:cs="Calibri"/>
          <w:sz w:val="24"/>
        </w:rPr>
        <w:t>(</w:t>
      </w:r>
      <w:r w:rsidR="00F70134" w:rsidRPr="00632AC5">
        <w:rPr>
          <w:rFonts w:ascii="Calibri" w:hAnsi="Calibri" w:cs="Calibri"/>
          <w:sz w:val="24"/>
        </w:rPr>
        <w:t>tj. od roku 2004</w:t>
      </w:r>
      <w:r w:rsidR="0084208C">
        <w:rPr>
          <w:rFonts w:ascii="Calibri" w:hAnsi="Calibri" w:cs="Calibri"/>
          <w:sz w:val="24"/>
        </w:rPr>
        <w:t>)</w:t>
      </w:r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d</w:t>
      </w:r>
      <w:r w:rsidR="00D87A1D" w:rsidRPr="00632AC5">
        <w:rPr>
          <w:rFonts w:ascii="Calibri" w:hAnsi="Calibri" w:cs="Calibri"/>
          <w:sz w:val="24"/>
        </w:rPr>
        <w:t xml:space="preserve">o roku 2013 bylo </w:t>
      </w:r>
      <w:r w:rsidRPr="00632AC5">
        <w:rPr>
          <w:rFonts w:ascii="Calibri" w:hAnsi="Calibri" w:cs="Calibri"/>
          <w:sz w:val="24"/>
        </w:rPr>
        <w:t xml:space="preserve">na účet </w:t>
      </w:r>
      <w:r w:rsidR="00D87A1D" w:rsidRPr="00632AC5">
        <w:rPr>
          <w:rFonts w:ascii="Calibri" w:hAnsi="Calibri" w:cs="Calibri"/>
          <w:sz w:val="24"/>
        </w:rPr>
        <w:t>převedeno celkem 3 570,9 mil. Kč</w:t>
      </w:r>
      <w:r w:rsidR="00A641C3" w:rsidRPr="00632AC5">
        <w:rPr>
          <w:rFonts w:ascii="Calibri" w:hAnsi="Calibri" w:cs="Calibri"/>
          <w:sz w:val="24"/>
        </w:rPr>
        <w:t>,</w:t>
      </w:r>
      <w:r w:rsidR="00632AC5">
        <w:rPr>
          <w:rFonts w:ascii="Calibri" w:hAnsi="Calibri" w:cs="Calibri"/>
          <w:sz w:val="24"/>
        </w:rPr>
        <w:t xml:space="preserve"> </w:t>
      </w:r>
      <w:r w:rsidR="00F70134" w:rsidRPr="004A60BB">
        <w:rPr>
          <w:rFonts w:ascii="Calibri" w:hAnsi="Calibri" w:cs="Calibri"/>
          <w:b/>
          <w:sz w:val="24"/>
        </w:rPr>
        <w:t xml:space="preserve">z toho </w:t>
      </w:r>
      <w:r w:rsidR="00416807">
        <w:rPr>
          <w:rFonts w:ascii="Calibri" w:hAnsi="Calibri" w:cs="Calibri"/>
          <w:b/>
          <w:sz w:val="24"/>
        </w:rPr>
        <w:t xml:space="preserve">1 677,9 mil. </w:t>
      </w:r>
      <w:r w:rsidR="00F70134" w:rsidRPr="004A60BB">
        <w:rPr>
          <w:rFonts w:ascii="Calibri" w:hAnsi="Calibri" w:cs="Calibri"/>
          <w:b/>
          <w:sz w:val="24"/>
        </w:rPr>
        <w:t>Kč</w:t>
      </w:r>
      <w:r w:rsidR="00632AC5" w:rsidRPr="004A60BB">
        <w:rPr>
          <w:rFonts w:ascii="Calibri" w:hAnsi="Calibri" w:cs="Calibri"/>
          <w:b/>
          <w:sz w:val="24"/>
        </w:rPr>
        <w:t xml:space="preserve"> </w:t>
      </w:r>
      <w:r w:rsidR="00F70134" w:rsidRPr="004A60BB">
        <w:rPr>
          <w:rFonts w:ascii="Calibri" w:hAnsi="Calibri" w:cs="Calibri"/>
          <w:b/>
          <w:sz w:val="24"/>
        </w:rPr>
        <w:t>v</w:t>
      </w:r>
      <w:r w:rsidR="00A641C3" w:rsidRPr="004A60BB">
        <w:rPr>
          <w:rFonts w:ascii="Calibri" w:hAnsi="Calibri" w:cs="Calibri"/>
          <w:b/>
          <w:sz w:val="24"/>
        </w:rPr>
        <w:t> kontrolovaném období</w:t>
      </w:r>
      <w:r w:rsidR="00882D53" w:rsidRPr="00F80CB2">
        <w:rPr>
          <w:rFonts w:ascii="Calibri" w:hAnsi="Calibri" w:cs="Calibri"/>
          <w:b/>
          <w:sz w:val="24"/>
        </w:rPr>
        <w:t>,</w:t>
      </w:r>
      <w:r w:rsidR="00882D53" w:rsidRPr="00632AC5">
        <w:rPr>
          <w:rFonts w:ascii="Calibri" w:hAnsi="Calibri" w:cs="Calibri"/>
          <w:sz w:val="24"/>
        </w:rPr>
        <w:t xml:space="preserve"> jak </w:t>
      </w:r>
      <w:r w:rsidR="0084208C">
        <w:rPr>
          <w:rFonts w:ascii="Calibri" w:hAnsi="Calibri" w:cs="Calibri"/>
          <w:sz w:val="24"/>
        </w:rPr>
        <w:t>je patrné i z </w:t>
      </w:r>
      <w:r w:rsidR="00882D53" w:rsidRPr="00632AC5">
        <w:rPr>
          <w:rFonts w:ascii="Calibri" w:hAnsi="Calibri" w:cs="Calibri"/>
          <w:sz w:val="24"/>
        </w:rPr>
        <w:t>tabulk</w:t>
      </w:r>
      <w:r w:rsidR="0084208C">
        <w:rPr>
          <w:rFonts w:ascii="Calibri" w:hAnsi="Calibri" w:cs="Calibri"/>
          <w:sz w:val="24"/>
        </w:rPr>
        <w:t>y</w:t>
      </w:r>
      <w:r w:rsidR="00882D53" w:rsidRPr="00632AC5">
        <w:rPr>
          <w:rFonts w:ascii="Calibri" w:hAnsi="Calibri" w:cs="Calibri"/>
          <w:sz w:val="24"/>
        </w:rPr>
        <w:t xml:space="preserve"> </w:t>
      </w:r>
      <w:r w:rsidR="00990079">
        <w:rPr>
          <w:rFonts w:ascii="Calibri" w:hAnsi="Calibri" w:cs="Calibri"/>
          <w:sz w:val="24"/>
        </w:rPr>
        <w:t xml:space="preserve">č. </w:t>
      </w:r>
      <w:r w:rsidR="00A0314E">
        <w:rPr>
          <w:rFonts w:ascii="Calibri" w:hAnsi="Calibri" w:cs="Calibri"/>
          <w:sz w:val="24"/>
        </w:rPr>
        <w:t>5</w:t>
      </w:r>
      <w:r w:rsidR="00A641C3" w:rsidRPr="00632AC5">
        <w:rPr>
          <w:rFonts w:ascii="Calibri" w:hAnsi="Calibri" w:cs="Calibri"/>
          <w:sz w:val="24"/>
        </w:rPr>
        <w:t>.</w:t>
      </w:r>
    </w:p>
    <w:p w:rsidR="00A0314E" w:rsidRPr="00632AC5" w:rsidRDefault="00A0314E" w:rsidP="00D87A1D">
      <w:pPr>
        <w:ind w:firstLine="0"/>
        <w:rPr>
          <w:rFonts w:ascii="Calibri" w:hAnsi="Calibri" w:cs="Calibri"/>
          <w:color w:val="000000"/>
          <w:sz w:val="24"/>
        </w:rPr>
      </w:pPr>
    </w:p>
    <w:p w:rsidR="00D87A1D" w:rsidRPr="00632AC5" w:rsidRDefault="00D87A1D" w:rsidP="00F80CB2">
      <w:pPr>
        <w:tabs>
          <w:tab w:val="right" w:pos="9072"/>
        </w:tabs>
        <w:ind w:firstLine="0"/>
        <w:jc w:val="left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b/>
          <w:sz w:val="24"/>
        </w:rPr>
        <w:t>Tabulka č</w:t>
      </w:r>
      <w:r w:rsidRPr="00A0314E">
        <w:rPr>
          <w:rFonts w:ascii="Calibri" w:hAnsi="Calibri" w:cs="Calibri"/>
          <w:b/>
          <w:sz w:val="24"/>
        </w:rPr>
        <w:t>.</w:t>
      </w:r>
      <w:r w:rsidR="00A0314E" w:rsidRPr="00A0314E">
        <w:rPr>
          <w:rFonts w:ascii="Calibri" w:hAnsi="Calibri" w:cs="Calibri"/>
          <w:b/>
          <w:sz w:val="24"/>
        </w:rPr>
        <w:t xml:space="preserve"> 5</w:t>
      </w:r>
      <w:r w:rsidRPr="00A0314E">
        <w:rPr>
          <w:rFonts w:ascii="Calibri" w:hAnsi="Calibri" w:cs="Calibri"/>
          <w:b/>
          <w:sz w:val="24"/>
        </w:rPr>
        <w:t xml:space="preserve"> –</w:t>
      </w:r>
      <w:r w:rsidR="00B86CC7">
        <w:rPr>
          <w:rFonts w:ascii="Calibri" w:hAnsi="Calibri" w:cs="Calibri"/>
          <w:b/>
          <w:sz w:val="24"/>
        </w:rPr>
        <w:t xml:space="preserve"> Přehled příjmů</w:t>
      </w:r>
      <w:r w:rsidR="004C4DEE" w:rsidRPr="00632AC5">
        <w:rPr>
          <w:rFonts w:ascii="Calibri" w:hAnsi="Calibri" w:cs="Calibri"/>
          <w:b/>
          <w:sz w:val="24"/>
        </w:rPr>
        <w:t xml:space="preserve"> </w:t>
      </w:r>
      <w:r w:rsidR="00574487">
        <w:rPr>
          <w:rFonts w:ascii="Calibri" w:hAnsi="Calibri" w:cs="Calibri"/>
          <w:b/>
          <w:sz w:val="24"/>
        </w:rPr>
        <w:t>z </w:t>
      </w:r>
      <w:r w:rsidRPr="00632AC5">
        <w:rPr>
          <w:rFonts w:ascii="Calibri" w:hAnsi="Calibri" w:cs="Calibri"/>
          <w:b/>
          <w:sz w:val="24"/>
        </w:rPr>
        <w:t xml:space="preserve">dividend </w:t>
      </w:r>
      <w:r w:rsidR="0084208C">
        <w:rPr>
          <w:rFonts w:ascii="Calibri" w:hAnsi="Calibri" w:cs="Calibri"/>
          <w:b/>
          <w:sz w:val="24"/>
        </w:rPr>
        <w:t xml:space="preserve">na účtu pro důchodovou reformu </w:t>
      </w:r>
      <w:r w:rsidR="00652451">
        <w:rPr>
          <w:rFonts w:ascii="Calibri" w:hAnsi="Calibri" w:cs="Calibri"/>
          <w:b/>
          <w:sz w:val="24"/>
        </w:rPr>
        <w:tab/>
      </w:r>
      <w:r w:rsidRPr="00632AC5">
        <w:rPr>
          <w:rFonts w:ascii="Calibri" w:hAnsi="Calibri" w:cs="Calibri"/>
          <w:b/>
          <w:sz w:val="24"/>
        </w:rPr>
        <w:t>(</w:t>
      </w:r>
      <w:r w:rsidR="00574487">
        <w:rPr>
          <w:rFonts w:ascii="Calibri" w:hAnsi="Calibri" w:cs="Calibri"/>
          <w:b/>
          <w:sz w:val="24"/>
        </w:rPr>
        <w:t>v </w:t>
      </w:r>
      <w:r w:rsidRPr="00632AC5">
        <w:rPr>
          <w:rFonts w:ascii="Calibri" w:hAnsi="Calibri" w:cs="Calibri"/>
          <w:b/>
          <w:sz w:val="24"/>
        </w:rPr>
        <w:t>mil. Kč</w:t>
      </w:r>
      <w:r w:rsidR="00C467E7" w:rsidRPr="00632AC5">
        <w:rPr>
          <w:rFonts w:ascii="Calibri" w:hAnsi="Calibri" w:cs="Calibri"/>
          <w:b/>
          <w:sz w:val="24"/>
        </w:rPr>
        <w:t>)</w:t>
      </w:r>
    </w:p>
    <w:tbl>
      <w:tblPr>
        <w:tblStyle w:val="Mkatabulky212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276"/>
        <w:gridCol w:w="1277"/>
        <w:gridCol w:w="1277"/>
        <w:gridCol w:w="1276"/>
        <w:gridCol w:w="1277"/>
        <w:gridCol w:w="1277"/>
      </w:tblGrid>
      <w:tr w:rsidR="00D87A1D" w:rsidRPr="00632AC5" w:rsidTr="00F80CB2">
        <w:trPr>
          <w:trHeight w:val="510"/>
        </w:trPr>
        <w:tc>
          <w:tcPr>
            <w:tcW w:w="1412" w:type="dxa"/>
            <w:shd w:val="clear" w:color="auto" w:fill="C6D9F1" w:themeFill="text2" w:themeFillTint="33"/>
          </w:tcPr>
          <w:p w:rsidR="00D87A1D" w:rsidRPr="00632AC5" w:rsidRDefault="00D87A1D" w:rsidP="00D87A1D">
            <w:pPr>
              <w:ind w:firstLine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D87A1D" w:rsidRPr="00632AC5" w:rsidRDefault="00D87A1D" w:rsidP="00061D8A">
            <w:pPr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Rok 2009</w:t>
            </w:r>
          </w:p>
        </w:tc>
        <w:tc>
          <w:tcPr>
            <w:tcW w:w="1277" w:type="dxa"/>
            <w:shd w:val="clear" w:color="auto" w:fill="C6D9F1" w:themeFill="text2" w:themeFillTint="33"/>
            <w:vAlign w:val="center"/>
          </w:tcPr>
          <w:p w:rsidR="00D87A1D" w:rsidRPr="00632AC5" w:rsidRDefault="00D87A1D" w:rsidP="00061D8A">
            <w:pPr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Rok 2010</w:t>
            </w:r>
          </w:p>
        </w:tc>
        <w:tc>
          <w:tcPr>
            <w:tcW w:w="1277" w:type="dxa"/>
            <w:shd w:val="clear" w:color="auto" w:fill="C6D9F1" w:themeFill="text2" w:themeFillTint="33"/>
            <w:vAlign w:val="center"/>
          </w:tcPr>
          <w:p w:rsidR="00D87A1D" w:rsidRPr="00632AC5" w:rsidRDefault="00D87A1D" w:rsidP="00061D8A">
            <w:pPr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Rok 2011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D87A1D" w:rsidRPr="00632AC5" w:rsidRDefault="00D87A1D" w:rsidP="00061D8A">
            <w:pPr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Rok 2012</w:t>
            </w:r>
          </w:p>
        </w:tc>
        <w:tc>
          <w:tcPr>
            <w:tcW w:w="1277" w:type="dxa"/>
            <w:shd w:val="clear" w:color="auto" w:fill="C6D9F1" w:themeFill="text2" w:themeFillTint="33"/>
            <w:vAlign w:val="center"/>
          </w:tcPr>
          <w:p w:rsidR="00D87A1D" w:rsidRPr="00632AC5" w:rsidRDefault="00D87A1D" w:rsidP="00061D8A">
            <w:pPr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Rok 2013</w:t>
            </w:r>
          </w:p>
        </w:tc>
        <w:tc>
          <w:tcPr>
            <w:tcW w:w="1277" w:type="dxa"/>
            <w:shd w:val="clear" w:color="auto" w:fill="C6D9F1" w:themeFill="text2" w:themeFillTint="33"/>
            <w:vAlign w:val="center"/>
          </w:tcPr>
          <w:p w:rsidR="00D87A1D" w:rsidRPr="00632AC5" w:rsidRDefault="00D87A1D" w:rsidP="00061D8A">
            <w:pPr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Součet</w:t>
            </w:r>
          </w:p>
        </w:tc>
      </w:tr>
      <w:tr w:rsidR="00D87A1D" w:rsidRPr="00632AC5" w:rsidTr="00F80CB2">
        <w:trPr>
          <w:trHeight w:val="330"/>
        </w:trPr>
        <w:tc>
          <w:tcPr>
            <w:tcW w:w="1412" w:type="dxa"/>
            <w:vAlign w:val="center"/>
          </w:tcPr>
          <w:p w:rsidR="00D87A1D" w:rsidRPr="00632AC5" w:rsidRDefault="00D87A1D" w:rsidP="00D87A1D">
            <w:pPr>
              <w:ind w:firstLine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E.ON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-85" w:firstLine="0"/>
              <w:jc w:val="right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546,6</w:t>
            </w:r>
            <w:r w:rsidR="00A0314E" w:rsidRPr="00F80CB2">
              <w:rPr>
                <w:rFonts w:ascii="Calibri" w:hAnsi="Calibri" w:cs="Calibri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104</w:t>
            </w:r>
            <w:r w:rsidR="0084208C">
              <w:rPr>
                <w:rFonts w:ascii="Calibri" w:hAnsi="Calibri" w:cs="Calibri"/>
                <w:sz w:val="20"/>
                <w:szCs w:val="20"/>
                <w:lang w:eastAsia="cs-CZ"/>
              </w:rPr>
              <w:t>,</w:t>
            </w: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129,1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79,9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88,7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948,9</w:t>
            </w:r>
          </w:p>
        </w:tc>
      </w:tr>
      <w:tr w:rsidR="00D87A1D" w:rsidRPr="00632AC5" w:rsidTr="00F80CB2">
        <w:trPr>
          <w:trHeight w:val="413"/>
        </w:trPr>
        <w:tc>
          <w:tcPr>
            <w:tcW w:w="1412" w:type="dxa"/>
            <w:vAlign w:val="center"/>
          </w:tcPr>
          <w:p w:rsidR="00D87A1D" w:rsidRPr="00632AC5" w:rsidRDefault="00D87A1D" w:rsidP="00D87A1D">
            <w:pPr>
              <w:ind w:firstLine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ČEPS, a. s.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223,3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55,3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281,2</w:t>
            </w:r>
          </w:p>
        </w:tc>
      </w:tr>
      <w:tr w:rsidR="00D87A1D" w:rsidRPr="00632AC5" w:rsidTr="00F80CB2">
        <w:trPr>
          <w:trHeight w:val="418"/>
        </w:trPr>
        <w:tc>
          <w:tcPr>
            <w:tcW w:w="1412" w:type="dxa"/>
            <w:vAlign w:val="center"/>
          </w:tcPr>
          <w:p w:rsidR="00D87A1D" w:rsidRPr="00632AC5" w:rsidRDefault="00D87A1D" w:rsidP="00D87A1D">
            <w:pPr>
              <w:ind w:firstLine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ČEZ, a. s.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94,1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99,7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94,1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84,7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75,2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sz w:val="20"/>
                <w:szCs w:val="20"/>
                <w:lang w:eastAsia="cs-CZ"/>
              </w:rPr>
              <w:t>447,8</w:t>
            </w:r>
          </w:p>
        </w:tc>
      </w:tr>
      <w:tr w:rsidR="00D87A1D" w:rsidRPr="00632AC5" w:rsidTr="00F80CB2">
        <w:trPr>
          <w:trHeight w:val="268"/>
        </w:trPr>
        <w:tc>
          <w:tcPr>
            <w:tcW w:w="1412" w:type="dxa"/>
            <w:vAlign w:val="center"/>
          </w:tcPr>
          <w:p w:rsidR="00D87A1D" w:rsidRPr="00632AC5" w:rsidRDefault="00D87A1D" w:rsidP="00D87A1D">
            <w:pPr>
              <w:ind w:firstLine="0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Součet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864,0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259,6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223,2</w:t>
            </w:r>
          </w:p>
        </w:tc>
        <w:tc>
          <w:tcPr>
            <w:tcW w:w="1276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165,9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165,2</w:t>
            </w:r>
          </w:p>
        </w:tc>
        <w:tc>
          <w:tcPr>
            <w:tcW w:w="1277" w:type="dxa"/>
            <w:vAlign w:val="center"/>
          </w:tcPr>
          <w:p w:rsidR="00D87A1D" w:rsidRPr="00632AC5" w:rsidRDefault="00D87A1D" w:rsidP="00F80CB2">
            <w:pPr>
              <w:ind w:right="28" w:firstLine="0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632AC5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1 677,9</w:t>
            </w:r>
          </w:p>
        </w:tc>
      </w:tr>
    </w:tbl>
    <w:p w:rsidR="00FF47D0" w:rsidRPr="00F80CB2" w:rsidRDefault="00D87A1D" w:rsidP="00D87A1D">
      <w:pPr>
        <w:ind w:firstLine="0"/>
        <w:rPr>
          <w:rFonts w:ascii="Calibri" w:hAnsi="Calibri" w:cs="Calibri"/>
          <w:sz w:val="20"/>
          <w:szCs w:val="20"/>
        </w:rPr>
      </w:pPr>
      <w:r w:rsidRPr="00F80CB2">
        <w:rPr>
          <w:rFonts w:ascii="Calibri" w:hAnsi="Calibri" w:cs="Calibri"/>
          <w:b/>
          <w:sz w:val="20"/>
          <w:szCs w:val="20"/>
        </w:rPr>
        <w:t>Zdroj:</w:t>
      </w:r>
      <w:r w:rsidRPr="00F80CB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80CB2">
        <w:rPr>
          <w:rFonts w:ascii="Calibri" w:hAnsi="Calibri" w:cs="Calibri"/>
          <w:sz w:val="20"/>
          <w:szCs w:val="20"/>
        </w:rPr>
        <w:t>ZÚ</w:t>
      </w:r>
      <w:proofErr w:type="spellEnd"/>
      <w:r w:rsidRPr="00F80CB2">
        <w:rPr>
          <w:rFonts w:ascii="Calibri" w:hAnsi="Calibri" w:cs="Calibri"/>
          <w:sz w:val="20"/>
          <w:szCs w:val="20"/>
        </w:rPr>
        <w:t xml:space="preserve"> kapitoly 312 MF za roky 2009–2013, účetnictví MF</w:t>
      </w:r>
      <w:r w:rsidR="0084208C">
        <w:rPr>
          <w:rFonts w:ascii="Calibri" w:hAnsi="Calibri" w:cs="Calibri"/>
          <w:sz w:val="20"/>
          <w:szCs w:val="20"/>
        </w:rPr>
        <w:t>.</w:t>
      </w:r>
    </w:p>
    <w:p w:rsidR="00145B15" w:rsidRPr="00F80CB2" w:rsidRDefault="00A0314E" w:rsidP="0084208C">
      <w:pPr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137113">
        <w:rPr>
          <w:rFonts w:asciiTheme="minorHAnsi" w:hAnsiTheme="minorHAnsi" w:cstheme="minorHAnsi"/>
          <w:sz w:val="20"/>
          <w:szCs w:val="20"/>
        </w:rPr>
        <w:tab/>
      </w:r>
      <w:r w:rsidR="00145B15" w:rsidRPr="00632AC5">
        <w:rPr>
          <w:rFonts w:asciiTheme="minorHAnsi" w:hAnsiTheme="minorHAnsi" w:cstheme="minorHAnsi"/>
          <w:sz w:val="20"/>
          <w:szCs w:val="20"/>
        </w:rPr>
        <w:t>Částka ve výši 546,6 mil. Kč</w:t>
      </w:r>
      <w:r w:rsidR="00632AC5">
        <w:rPr>
          <w:rFonts w:asciiTheme="minorHAnsi" w:hAnsiTheme="minorHAnsi" w:cstheme="minorHAnsi"/>
          <w:sz w:val="20"/>
          <w:szCs w:val="20"/>
        </w:rPr>
        <w:t xml:space="preserve"> </w:t>
      </w:r>
      <w:r w:rsidR="00145B15" w:rsidRPr="00632AC5">
        <w:rPr>
          <w:rFonts w:asciiTheme="minorHAnsi" w:hAnsiTheme="minorHAnsi" w:cstheme="minorHAnsi"/>
          <w:sz w:val="20"/>
          <w:szCs w:val="20"/>
        </w:rPr>
        <w:t>zahrnuje nejen dividendy za rok 2008 (ve výši 120,6 mil. Kč), ale i dividendy za roky 2006 a 2007 (</w:t>
      </w:r>
      <w:r w:rsidR="00574487">
        <w:rPr>
          <w:rFonts w:asciiTheme="minorHAnsi" w:hAnsiTheme="minorHAnsi" w:cstheme="minorHAnsi"/>
          <w:sz w:val="20"/>
          <w:szCs w:val="20"/>
        </w:rPr>
        <w:t>v </w:t>
      </w:r>
      <w:r w:rsidR="00145B15" w:rsidRPr="00632AC5">
        <w:rPr>
          <w:rFonts w:asciiTheme="minorHAnsi" w:hAnsiTheme="minorHAnsi" w:cstheme="minorHAnsi"/>
          <w:sz w:val="20"/>
          <w:szCs w:val="20"/>
        </w:rPr>
        <w:t>celkové výši 426 mil. Kč).</w:t>
      </w:r>
    </w:p>
    <w:p w:rsidR="00A641C3" w:rsidRPr="00632AC5" w:rsidRDefault="00A641C3" w:rsidP="00D87A1D">
      <w:pPr>
        <w:ind w:firstLine="0"/>
        <w:rPr>
          <w:rFonts w:ascii="Calibri" w:hAnsi="Calibri" w:cs="Calibri"/>
          <w:sz w:val="24"/>
        </w:rPr>
      </w:pPr>
    </w:p>
    <w:p w:rsidR="00D87A1D" w:rsidRPr="00632AC5" w:rsidRDefault="00A641C3" w:rsidP="00D87A1D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K</w:t>
      </w:r>
      <w:r w:rsidR="00D87A1D" w:rsidRPr="00632AC5">
        <w:rPr>
          <w:rFonts w:ascii="Calibri" w:hAnsi="Calibri" w:cs="Calibri"/>
          <w:sz w:val="24"/>
        </w:rPr>
        <w:t xml:space="preserve"> významnému poklesu </w:t>
      </w:r>
      <w:r w:rsidR="004C4DEE" w:rsidRPr="00632AC5">
        <w:rPr>
          <w:rFonts w:ascii="Calibri" w:hAnsi="Calibri" w:cs="Calibri"/>
          <w:sz w:val="24"/>
        </w:rPr>
        <w:t>výnos</w:t>
      </w:r>
      <w:r w:rsidR="0084208C">
        <w:rPr>
          <w:rFonts w:ascii="Calibri" w:hAnsi="Calibri" w:cs="Calibri"/>
          <w:sz w:val="24"/>
        </w:rPr>
        <w:t>ů</w:t>
      </w:r>
      <w:r w:rsidR="004C4DEE" w:rsidRPr="00632AC5">
        <w:rPr>
          <w:rFonts w:ascii="Calibri" w:hAnsi="Calibri" w:cs="Calibri"/>
          <w:sz w:val="24"/>
        </w:rPr>
        <w:t xml:space="preserve"> </w:t>
      </w:r>
      <w:r w:rsidR="00574487">
        <w:rPr>
          <w:rFonts w:ascii="Calibri" w:hAnsi="Calibri" w:cs="Calibri"/>
          <w:sz w:val="24"/>
        </w:rPr>
        <w:t>z </w:t>
      </w:r>
      <w:r w:rsidR="00D87A1D" w:rsidRPr="00632AC5">
        <w:rPr>
          <w:rFonts w:ascii="Calibri" w:hAnsi="Calibri" w:cs="Calibri"/>
          <w:sz w:val="24"/>
        </w:rPr>
        <w:t xml:space="preserve">dividend </w:t>
      </w:r>
      <w:r w:rsidRPr="00632AC5">
        <w:rPr>
          <w:rFonts w:ascii="Calibri" w:hAnsi="Calibri" w:cs="Calibri"/>
          <w:sz w:val="24"/>
        </w:rPr>
        <w:t xml:space="preserve">došlo </w:t>
      </w:r>
      <w:r w:rsidR="00F70134" w:rsidRPr="00632AC5">
        <w:rPr>
          <w:rFonts w:ascii="Calibri" w:hAnsi="Calibri" w:cs="Calibri"/>
          <w:sz w:val="24"/>
        </w:rPr>
        <w:t xml:space="preserve">především </w:t>
      </w:r>
      <w:r w:rsidR="00223E88">
        <w:rPr>
          <w:rFonts w:ascii="Calibri" w:hAnsi="Calibri" w:cs="Calibri"/>
          <w:sz w:val="24"/>
        </w:rPr>
        <w:t xml:space="preserve">u </w:t>
      </w:r>
      <w:r w:rsidR="00D87A1D" w:rsidRPr="00632AC5">
        <w:rPr>
          <w:rFonts w:ascii="Calibri" w:hAnsi="Calibri" w:cs="Calibri"/>
          <w:sz w:val="24"/>
        </w:rPr>
        <w:t xml:space="preserve">majetkových účastí státu </w:t>
      </w:r>
      <w:r w:rsidR="00223E88">
        <w:rPr>
          <w:rFonts w:ascii="Calibri" w:hAnsi="Calibri" w:cs="Calibri"/>
          <w:sz w:val="24"/>
        </w:rPr>
        <w:t xml:space="preserve">ve </w:t>
      </w:r>
      <w:r w:rsidR="00D87A1D" w:rsidRPr="00632AC5">
        <w:rPr>
          <w:rFonts w:ascii="Calibri" w:hAnsi="Calibri" w:cs="Calibri"/>
          <w:sz w:val="24"/>
        </w:rPr>
        <w:t>společnosti ČEPS, a.</w:t>
      </w:r>
      <w:r w:rsidR="00223E88" w:rsidRPr="00F80CB2">
        <w:rPr>
          <w:rFonts w:ascii="Calibri" w:hAnsi="Calibri" w:cs="Calibri"/>
          <w:sz w:val="24"/>
          <w:vertAlign w:val="superscript"/>
        </w:rPr>
        <w:t> </w:t>
      </w:r>
      <w:r w:rsidR="00D87A1D" w:rsidRPr="00632AC5">
        <w:rPr>
          <w:rFonts w:ascii="Calibri" w:hAnsi="Calibri" w:cs="Calibri"/>
          <w:sz w:val="24"/>
        </w:rPr>
        <w:t xml:space="preserve">s. </w:t>
      </w:r>
      <w:r w:rsidR="00574487">
        <w:rPr>
          <w:rFonts w:ascii="Calibri" w:hAnsi="Calibri" w:cs="Calibri"/>
          <w:sz w:val="24"/>
        </w:rPr>
        <w:t>Z </w:t>
      </w:r>
      <w:r w:rsidR="00D87A1D" w:rsidRPr="00632AC5">
        <w:rPr>
          <w:rFonts w:ascii="Calibri" w:hAnsi="Calibri" w:cs="Calibri"/>
          <w:sz w:val="24"/>
        </w:rPr>
        <w:t>výročních zpráv této akciové společnosti za roky 2009 až 2013 a</w:t>
      </w:r>
      <w:r w:rsidR="00C467E7" w:rsidRPr="00632AC5">
        <w:rPr>
          <w:rFonts w:ascii="Calibri" w:hAnsi="Calibri" w:cs="Calibri"/>
          <w:sz w:val="24"/>
        </w:rPr>
        <w:t> </w:t>
      </w:r>
      <w:r w:rsidR="00FF47D0" w:rsidRPr="00632AC5">
        <w:rPr>
          <w:rFonts w:ascii="Calibri" w:hAnsi="Calibri" w:cs="Calibri"/>
          <w:sz w:val="24"/>
        </w:rPr>
        <w:t xml:space="preserve">z podkladů MF </w:t>
      </w:r>
      <w:r w:rsidR="00F70134" w:rsidRPr="00632AC5">
        <w:rPr>
          <w:rFonts w:ascii="Calibri" w:hAnsi="Calibri" w:cs="Calibri"/>
          <w:sz w:val="24"/>
        </w:rPr>
        <w:t xml:space="preserve">vyplývá, že </w:t>
      </w:r>
      <w:r w:rsidR="00FF47D0" w:rsidRPr="00632AC5">
        <w:rPr>
          <w:rFonts w:ascii="Calibri" w:hAnsi="Calibri" w:cs="Calibri"/>
          <w:sz w:val="24"/>
        </w:rPr>
        <w:t>z</w:t>
      </w:r>
      <w:r w:rsidR="00D87A1D" w:rsidRPr="00632AC5">
        <w:rPr>
          <w:rFonts w:ascii="Calibri" w:hAnsi="Calibri" w:cs="Calibri"/>
          <w:sz w:val="24"/>
        </w:rPr>
        <w:t xml:space="preserve">e zisku roku 2010 ve výši 1 701,7 mil. Kč nebyly vyplaceny žádné dividendy, ze zisku roku 2011 ve výši 2 433,3 mil. Kč a roku 2012 ve výši 1 969,4 mil. Kč byly dividendy vyplaceny pouze v symbolické výši. </w:t>
      </w:r>
      <w:r w:rsidR="00F70134" w:rsidRPr="00632AC5">
        <w:rPr>
          <w:rFonts w:ascii="Calibri" w:hAnsi="Calibri" w:cs="Calibri"/>
          <w:sz w:val="24"/>
        </w:rPr>
        <w:t xml:space="preserve">Zbývající část byla převedena do nerozděleného zisku. </w:t>
      </w:r>
      <w:r w:rsidR="00D87A1D" w:rsidRPr="00632AC5">
        <w:rPr>
          <w:rFonts w:ascii="Calibri" w:hAnsi="Calibri" w:cs="Calibri"/>
          <w:sz w:val="24"/>
        </w:rPr>
        <w:t>MF uvedlo, že klesající tendence inkas</w:t>
      </w:r>
      <w:r w:rsidR="00F13F82" w:rsidRPr="00632AC5">
        <w:rPr>
          <w:rFonts w:ascii="Calibri" w:hAnsi="Calibri" w:cs="Calibri"/>
          <w:sz w:val="24"/>
        </w:rPr>
        <w:t xml:space="preserve">a dividend </w:t>
      </w:r>
      <w:r w:rsidR="00D87A1D" w:rsidRPr="00632AC5">
        <w:rPr>
          <w:rFonts w:ascii="Calibri" w:hAnsi="Calibri" w:cs="Calibri"/>
          <w:sz w:val="24"/>
        </w:rPr>
        <w:t>je ovlivněna především pozastavením vyplácení d</w:t>
      </w:r>
      <w:r w:rsidR="00F70134" w:rsidRPr="00632AC5">
        <w:rPr>
          <w:rFonts w:ascii="Calibri" w:hAnsi="Calibri" w:cs="Calibri"/>
          <w:sz w:val="24"/>
        </w:rPr>
        <w:t>ividend společnosti ČEPS, a.</w:t>
      </w:r>
      <w:r w:rsidR="00223E88" w:rsidRPr="00F80CB2">
        <w:rPr>
          <w:rFonts w:ascii="Calibri" w:hAnsi="Calibri" w:cs="Calibri"/>
          <w:sz w:val="24"/>
          <w:vertAlign w:val="superscript"/>
        </w:rPr>
        <w:t> </w:t>
      </w:r>
      <w:r w:rsidR="00F70134" w:rsidRPr="00632AC5">
        <w:rPr>
          <w:rFonts w:ascii="Calibri" w:hAnsi="Calibri" w:cs="Calibri"/>
          <w:sz w:val="24"/>
        </w:rPr>
        <w:t>s.</w:t>
      </w:r>
      <w:r w:rsidR="00D87A1D" w:rsidRPr="00632AC5">
        <w:rPr>
          <w:rFonts w:ascii="Calibri" w:hAnsi="Calibri" w:cs="Calibri"/>
          <w:sz w:val="24"/>
        </w:rPr>
        <w:t xml:space="preserve"> </w:t>
      </w:r>
      <w:r w:rsidR="00F70134" w:rsidRPr="00632AC5">
        <w:rPr>
          <w:rFonts w:ascii="Calibri" w:hAnsi="Calibri" w:cs="Calibri"/>
          <w:sz w:val="24"/>
        </w:rPr>
        <w:t xml:space="preserve">vzhledem k nutnosti </w:t>
      </w:r>
      <w:r w:rsidR="00D87A1D" w:rsidRPr="00632AC5">
        <w:rPr>
          <w:rFonts w:ascii="Calibri" w:hAnsi="Calibri" w:cs="Calibri"/>
          <w:sz w:val="24"/>
        </w:rPr>
        <w:t>vytvoř</w:t>
      </w:r>
      <w:r w:rsidR="00F70134" w:rsidRPr="00632AC5">
        <w:rPr>
          <w:rFonts w:ascii="Calibri" w:hAnsi="Calibri" w:cs="Calibri"/>
          <w:sz w:val="24"/>
        </w:rPr>
        <w:t xml:space="preserve">it </w:t>
      </w:r>
      <w:r w:rsidR="00D87A1D" w:rsidRPr="00632AC5">
        <w:rPr>
          <w:rFonts w:ascii="Calibri" w:hAnsi="Calibri" w:cs="Calibri"/>
          <w:sz w:val="24"/>
        </w:rPr>
        <w:t xml:space="preserve">rezervy peněžních prostředků pro pokrytí budoucích nákladných projektů </w:t>
      </w:r>
      <w:r w:rsidR="00D87A1D" w:rsidRPr="00632AC5">
        <w:rPr>
          <w:rFonts w:ascii="Calibri" w:hAnsi="Calibri" w:cs="Calibri"/>
          <w:sz w:val="24"/>
        </w:rPr>
        <w:lastRenderedPageBreak/>
        <w:t>souvisejících např. s vyvedením proudu z nově zprovozněných bloků Temelína a</w:t>
      </w:r>
      <w:r w:rsidR="00F13F82" w:rsidRPr="00632AC5">
        <w:rPr>
          <w:rFonts w:ascii="Calibri" w:hAnsi="Calibri" w:cs="Calibri"/>
          <w:sz w:val="24"/>
        </w:rPr>
        <w:t> </w:t>
      </w:r>
      <w:r w:rsidR="00D87A1D" w:rsidRPr="00632AC5">
        <w:rPr>
          <w:rFonts w:ascii="Calibri" w:hAnsi="Calibri" w:cs="Calibri"/>
          <w:sz w:val="24"/>
        </w:rPr>
        <w:t xml:space="preserve">s hrozbou </w:t>
      </w:r>
      <w:r w:rsidR="00770FED" w:rsidRPr="00632AC5">
        <w:rPr>
          <w:rFonts w:ascii="Calibri" w:hAnsi="Calibri" w:cs="Calibri"/>
          <w:sz w:val="24"/>
        </w:rPr>
        <w:t xml:space="preserve">tzv. </w:t>
      </w:r>
      <w:proofErr w:type="spellStart"/>
      <w:r w:rsidR="00D87A1D" w:rsidRPr="00632AC5">
        <w:rPr>
          <w:rFonts w:ascii="Calibri" w:hAnsi="Calibri" w:cs="Calibri"/>
          <w:sz w:val="24"/>
        </w:rPr>
        <w:t>blackoutu</w:t>
      </w:r>
      <w:proofErr w:type="spellEnd"/>
      <w:r w:rsidR="00F70134" w:rsidRPr="00632AC5">
        <w:rPr>
          <w:rFonts w:ascii="Calibri" w:hAnsi="Calibri" w:cs="Calibri"/>
          <w:sz w:val="24"/>
        </w:rPr>
        <w:t>.</w:t>
      </w:r>
      <w:r w:rsidR="00632AC5">
        <w:rPr>
          <w:rFonts w:ascii="Calibri" w:hAnsi="Calibri" w:cs="Calibri"/>
          <w:sz w:val="24"/>
        </w:rPr>
        <w:t xml:space="preserve"> </w:t>
      </w:r>
    </w:p>
    <w:p w:rsidR="00F70134" w:rsidRPr="00632AC5" w:rsidRDefault="00F70134" w:rsidP="00D87A1D">
      <w:pPr>
        <w:ind w:firstLine="0"/>
        <w:rPr>
          <w:rFonts w:ascii="Calibri" w:hAnsi="Calibri" w:cs="Calibri"/>
          <w:sz w:val="24"/>
        </w:rPr>
      </w:pPr>
    </w:p>
    <w:p w:rsidR="00D87A1D" w:rsidRPr="00632AC5" w:rsidRDefault="00223E88" w:rsidP="00F80CB2">
      <w:pPr>
        <w:ind w:left="397" w:hanging="397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 xml:space="preserve">3.3 </w:t>
      </w:r>
      <w:r w:rsidR="00D87A1D" w:rsidRPr="00632AC5">
        <w:rPr>
          <w:rFonts w:ascii="Calibri" w:hAnsi="Calibri" w:cs="Calibri"/>
          <w:b/>
          <w:sz w:val="24"/>
        </w:rPr>
        <w:t xml:space="preserve">Změna </w:t>
      </w:r>
      <w:r w:rsidR="00D87A1D" w:rsidRPr="00F80CB2">
        <w:rPr>
          <w:rFonts w:ascii="Calibri" w:hAnsi="Calibri" w:cs="Calibri"/>
          <w:b/>
          <w:i/>
          <w:sz w:val="24"/>
        </w:rPr>
        <w:t>Zvláštního účtu důchodového pojištění</w:t>
      </w:r>
      <w:r w:rsidR="00D87A1D" w:rsidRPr="00632AC5">
        <w:rPr>
          <w:rFonts w:ascii="Calibri" w:hAnsi="Calibri" w:cs="Calibri"/>
          <w:b/>
          <w:sz w:val="24"/>
        </w:rPr>
        <w:t xml:space="preserve"> na </w:t>
      </w:r>
      <w:r w:rsidR="00D87A1D" w:rsidRPr="00F80CB2">
        <w:rPr>
          <w:rFonts w:ascii="Calibri" w:hAnsi="Calibri" w:cs="Calibri"/>
          <w:b/>
          <w:i/>
          <w:sz w:val="24"/>
        </w:rPr>
        <w:t>Zvláštní účet rezervy pro důchodovou reformu</w:t>
      </w:r>
    </w:p>
    <w:p w:rsidR="00D87A1D" w:rsidRPr="00632AC5" w:rsidRDefault="00436608" w:rsidP="00D87A1D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S</w:t>
      </w:r>
      <w:r w:rsidR="00D87A1D" w:rsidRPr="00632AC5">
        <w:rPr>
          <w:rFonts w:ascii="Calibri" w:hAnsi="Calibri" w:cs="Calibri"/>
          <w:sz w:val="24"/>
        </w:rPr>
        <w:t> účinností od 1. 3. 2008 byl novelou zákona o rozpočtových pravidlech změněn</w:t>
      </w:r>
      <w:r w:rsidR="00632AC5">
        <w:rPr>
          <w:rFonts w:ascii="Calibri" w:hAnsi="Calibri" w:cs="Calibri"/>
          <w:sz w:val="24"/>
        </w:rPr>
        <w:t xml:space="preserve"> </w:t>
      </w:r>
      <w:proofErr w:type="spellStart"/>
      <w:r w:rsidR="00D87A1D" w:rsidRPr="00632AC5">
        <w:rPr>
          <w:rFonts w:ascii="Calibri" w:hAnsi="Calibri" w:cs="Calibri"/>
          <w:sz w:val="24"/>
        </w:rPr>
        <w:t>ZÚDP</w:t>
      </w:r>
      <w:proofErr w:type="spellEnd"/>
      <w:r w:rsidR="00632AC5">
        <w:rPr>
          <w:rFonts w:ascii="Calibri" w:hAnsi="Calibri" w:cs="Calibri"/>
          <w:sz w:val="24"/>
        </w:rPr>
        <w:t xml:space="preserve"> </w:t>
      </w:r>
      <w:r w:rsidR="00D87A1D" w:rsidRPr="00632AC5">
        <w:rPr>
          <w:rFonts w:ascii="Calibri" w:hAnsi="Calibri" w:cs="Calibri"/>
          <w:sz w:val="24"/>
        </w:rPr>
        <w:t xml:space="preserve">na </w:t>
      </w:r>
      <w:r w:rsidR="00D87A1D" w:rsidRPr="00632AC5">
        <w:rPr>
          <w:rFonts w:ascii="Calibri" w:hAnsi="Calibri" w:cs="Calibri"/>
          <w:i/>
          <w:sz w:val="24"/>
        </w:rPr>
        <w:t>Zvláštní účet rezervy pro důchodovou reformu</w:t>
      </w:r>
      <w:r w:rsidR="00100B2D" w:rsidRPr="00632AC5">
        <w:rPr>
          <w:rFonts w:ascii="Calibri" w:hAnsi="Calibri" w:cs="Calibri"/>
          <w:sz w:val="24"/>
        </w:rPr>
        <w:t>.</w:t>
      </w:r>
      <w:r w:rsidR="00D87A1D" w:rsidRPr="00632AC5">
        <w:rPr>
          <w:rFonts w:ascii="Calibri" w:hAnsi="Calibri" w:cs="Calibri"/>
          <w:sz w:val="24"/>
        </w:rPr>
        <w:t xml:space="preserve"> Rozšířilo se vymezení i</w:t>
      </w:r>
      <w:r w:rsidR="00C467E7" w:rsidRPr="00632AC5">
        <w:rPr>
          <w:rFonts w:ascii="Calibri" w:hAnsi="Calibri" w:cs="Calibri"/>
          <w:sz w:val="24"/>
        </w:rPr>
        <w:t> </w:t>
      </w:r>
      <w:r w:rsidR="00D87A1D" w:rsidRPr="00632AC5">
        <w:rPr>
          <w:rFonts w:ascii="Calibri" w:hAnsi="Calibri" w:cs="Calibri"/>
          <w:sz w:val="24"/>
        </w:rPr>
        <w:t xml:space="preserve">použití dosavadního </w:t>
      </w:r>
      <w:proofErr w:type="spellStart"/>
      <w:r w:rsidR="00D87A1D" w:rsidRPr="00632AC5">
        <w:rPr>
          <w:rFonts w:ascii="Calibri" w:hAnsi="Calibri" w:cs="Calibri"/>
          <w:sz w:val="24"/>
        </w:rPr>
        <w:t>ZÚDP</w:t>
      </w:r>
      <w:proofErr w:type="spellEnd"/>
      <w:r w:rsidR="00D87A1D" w:rsidRPr="00632AC5">
        <w:rPr>
          <w:rFonts w:ascii="Calibri" w:hAnsi="Calibri" w:cs="Calibri"/>
          <w:sz w:val="24"/>
        </w:rPr>
        <w:t>.</w:t>
      </w:r>
      <w:r w:rsidR="00D87A1D" w:rsidRPr="00632AC5">
        <w:rPr>
          <w:rFonts w:ascii="Calibri" w:hAnsi="Calibri" w:cs="Calibri"/>
          <w:b/>
          <w:sz w:val="24"/>
        </w:rPr>
        <w:t xml:space="preserve"> </w:t>
      </w:r>
      <w:r w:rsidR="00D87A1D" w:rsidRPr="00632AC5">
        <w:rPr>
          <w:rFonts w:ascii="Calibri" w:hAnsi="Calibri" w:cs="Calibri"/>
          <w:sz w:val="24"/>
        </w:rPr>
        <w:t>Metodika výpočtu výsledku hospodaření systému důchodového pojištění se nezměnila.</w:t>
      </w:r>
    </w:p>
    <w:p w:rsidR="00990079" w:rsidRDefault="00990079" w:rsidP="00D87A1D">
      <w:pPr>
        <w:ind w:firstLine="0"/>
        <w:rPr>
          <w:rFonts w:ascii="Calibri" w:hAnsi="Calibri" w:cs="Calibri"/>
          <w:sz w:val="24"/>
        </w:rPr>
      </w:pPr>
    </w:p>
    <w:p w:rsidR="00D87A1D" w:rsidRPr="00632AC5" w:rsidRDefault="00990079" w:rsidP="00D87A1D">
      <w:pPr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</w:t>
      </w:r>
      <w:r w:rsidR="00D87A1D" w:rsidRPr="00632AC5">
        <w:rPr>
          <w:rFonts w:ascii="Calibri" w:hAnsi="Calibri" w:cs="Calibri"/>
          <w:sz w:val="24"/>
        </w:rPr>
        <w:t xml:space="preserve">ově se peněžní prostředky </w:t>
      </w:r>
      <w:proofErr w:type="spellStart"/>
      <w:r w:rsidR="00D87A1D" w:rsidRPr="00632AC5">
        <w:rPr>
          <w:rFonts w:ascii="Calibri" w:hAnsi="Calibri" w:cs="Calibri"/>
          <w:sz w:val="24"/>
        </w:rPr>
        <w:t>ZÚRDR</w:t>
      </w:r>
      <w:proofErr w:type="spellEnd"/>
      <w:r w:rsidR="00D87A1D" w:rsidRPr="00632AC5">
        <w:rPr>
          <w:rFonts w:ascii="Calibri" w:hAnsi="Calibri" w:cs="Calibri"/>
          <w:sz w:val="24"/>
        </w:rPr>
        <w:t xml:space="preserve"> mohou použít na krytí nákladů spojených </w:t>
      </w:r>
      <w:r w:rsidR="00574487">
        <w:rPr>
          <w:rFonts w:ascii="Calibri" w:hAnsi="Calibri" w:cs="Calibri"/>
          <w:sz w:val="24"/>
        </w:rPr>
        <w:t>s </w:t>
      </w:r>
      <w:r w:rsidR="00D87A1D" w:rsidRPr="00632AC5">
        <w:rPr>
          <w:rFonts w:ascii="Calibri" w:hAnsi="Calibri" w:cs="Calibri"/>
          <w:sz w:val="24"/>
        </w:rPr>
        <w:t xml:space="preserve">realizací důchodové reformy, pokud </w:t>
      </w:r>
      <w:r w:rsidR="00064576" w:rsidRPr="00632AC5">
        <w:rPr>
          <w:rFonts w:ascii="Calibri" w:hAnsi="Calibri" w:cs="Calibri"/>
          <w:sz w:val="24"/>
        </w:rPr>
        <w:t xml:space="preserve">tak </w:t>
      </w:r>
      <w:r w:rsidR="00D87A1D" w:rsidRPr="00632AC5">
        <w:rPr>
          <w:rFonts w:ascii="Calibri" w:hAnsi="Calibri" w:cs="Calibri"/>
          <w:sz w:val="24"/>
        </w:rPr>
        <w:t xml:space="preserve">na návrh vlády rozhodne </w:t>
      </w:r>
      <w:r w:rsidR="00064576">
        <w:rPr>
          <w:rFonts w:ascii="Calibri" w:hAnsi="Calibri" w:cs="Calibri"/>
          <w:sz w:val="24"/>
        </w:rPr>
        <w:t>p</w:t>
      </w:r>
      <w:r w:rsidR="00D87A1D" w:rsidRPr="00632AC5">
        <w:rPr>
          <w:rFonts w:ascii="Calibri" w:hAnsi="Calibri" w:cs="Calibri"/>
          <w:sz w:val="24"/>
        </w:rPr>
        <w:t xml:space="preserve">oslanecká sněmovna. Dle předchozí právní úpravy se prostředky </w:t>
      </w:r>
      <w:proofErr w:type="spellStart"/>
      <w:r w:rsidR="00D87A1D" w:rsidRPr="00632AC5">
        <w:rPr>
          <w:rFonts w:ascii="Calibri" w:hAnsi="Calibri" w:cs="Calibri"/>
          <w:sz w:val="24"/>
        </w:rPr>
        <w:t>ZÚDP</w:t>
      </w:r>
      <w:proofErr w:type="spellEnd"/>
      <w:r w:rsidR="00D87A1D" w:rsidRPr="00632AC5">
        <w:rPr>
          <w:rFonts w:ascii="Calibri" w:hAnsi="Calibri" w:cs="Calibri"/>
          <w:sz w:val="24"/>
        </w:rPr>
        <w:t xml:space="preserve"> mohly použít jen na zvýšení dávek důchodového pojištění </w:t>
      </w:r>
      <w:r w:rsidR="00064576">
        <w:rPr>
          <w:rFonts w:ascii="Calibri" w:hAnsi="Calibri" w:cs="Calibri"/>
          <w:sz w:val="24"/>
        </w:rPr>
        <w:t>nebo</w:t>
      </w:r>
      <w:r w:rsidR="00D87A1D" w:rsidRPr="00632AC5">
        <w:rPr>
          <w:rFonts w:ascii="Calibri" w:hAnsi="Calibri" w:cs="Calibri"/>
          <w:sz w:val="24"/>
        </w:rPr>
        <w:t xml:space="preserve"> na úhradu záporného salda pojistného na důchodové pojištění.</w:t>
      </w:r>
    </w:p>
    <w:p w:rsidR="00D87A1D" w:rsidRPr="00F80CB2" w:rsidRDefault="00D87A1D" w:rsidP="00D87A1D">
      <w:pPr>
        <w:ind w:firstLine="0"/>
        <w:rPr>
          <w:rFonts w:ascii="Calibri" w:hAnsi="Calibri" w:cs="Calibri"/>
          <w:sz w:val="24"/>
        </w:rPr>
      </w:pPr>
    </w:p>
    <w:p w:rsidR="00D87A1D" w:rsidRPr="00632AC5" w:rsidRDefault="00D87A1D" w:rsidP="00D87A1D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K datu 17. 3. 2008 </w:t>
      </w:r>
      <w:r w:rsidR="00100B2D" w:rsidRPr="00632AC5">
        <w:rPr>
          <w:rFonts w:ascii="Calibri" w:hAnsi="Calibri" w:cs="Calibri"/>
          <w:sz w:val="24"/>
        </w:rPr>
        <w:t xml:space="preserve">MF převedlo </w:t>
      </w:r>
      <w:r w:rsidRPr="00632AC5">
        <w:rPr>
          <w:rFonts w:ascii="Calibri" w:hAnsi="Calibri" w:cs="Calibri"/>
          <w:sz w:val="24"/>
        </w:rPr>
        <w:t xml:space="preserve">na </w:t>
      </w:r>
      <w:proofErr w:type="spellStart"/>
      <w:r w:rsidRPr="00632AC5">
        <w:rPr>
          <w:rFonts w:ascii="Calibri" w:hAnsi="Calibri" w:cs="Calibri"/>
          <w:sz w:val="24"/>
        </w:rPr>
        <w:t>ZÚRDR</w:t>
      </w:r>
      <w:proofErr w:type="spellEnd"/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 xml:space="preserve">nejen prostředky dosavadního </w:t>
      </w:r>
      <w:proofErr w:type="spellStart"/>
      <w:r w:rsidRPr="00632AC5">
        <w:rPr>
          <w:rFonts w:ascii="Calibri" w:hAnsi="Calibri" w:cs="Calibri"/>
          <w:sz w:val="24"/>
        </w:rPr>
        <w:t>ZÚDP</w:t>
      </w:r>
      <w:proofErr w:type="spellEnd"/>
      <w:r w:rsidRPr="00632AC5">
        <w:rPr>
          <w:rFonts w:ascii="Calibri" w:hAnsi="Calibri" w:cs="Calibri"/>
          <w:sz w:val="24"/>
        </w:rPr>
        <w:t xml:space="preserve"> ve výši 5 576 381 000</w:t>
      </w:r>
      <w:r w:rsidR="00064576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 xml:space="preserve">Kč, ale i prostředky účtu </w:t>
      </w:r>
      <w:r w:rsidRPr="00632AC5">
        <w:rPr>
          <w:rFonts w:ascii="Calibri" w:hAnsi="Calibri" w:cs="Calibri"/>
          <w:i/>
          <w:sz w:val="24"/>
        </w:rPr>
        <w:t>Prostředky pro důchodovou reformu</w:t>
      </w:r>
      <w:r w:rsidRPr="00632AC5">
        <w:rPr>
          <w:rFonts w:ascii="Calibri" w:hAnsi="Calibri" w:cs="Calibri"/>
          <w:sz w:val="24"/>
        </w:rPr>
        <w:t xml:space="preserve"> ve výši 1 461 824 344,58</w:t>
      </w:r>
      <w:r w:rsidR="00064576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 xml:space="preserve">Kč; následně byly oba </w:t>
      </w:r>
      <w:r w:rsidR="00A641C3" w:rsidRPr="00632AC5">
        <w:rPr>
          <w:rFonts w:ascii="Calibri" w:hAnsi="Calibri" w:cs="Calibri"/>
          <w:sz w:val="24"/>
        </w:rPr>
        <w:t xml:space="preserve">bankovní účty, tj. </w:t>
      </w:r>
      <w:proofErr w:type="spellStart"/>
      <w:r w:rsidR="00A641C3" w:rsidRPr="00632AC5">
        <w:rPr>
          <w:rFonts w:ascii="Calibri" w:hAnsi="Calibri" w:cs="Calibri"/>
          <w:sz w:val="24"/>
        </w:rPr>
        <w:t>ZÚDP</w:t>
      </w:r>
      <w:proofErr w:type="spellEnd"/>
      <w:r w:rsidR="00A641C3" w:rsidRPr="00632AC5">
        <w:rPr>
          <w:rFonts w:ascii="Calibri" w:hAnsi="Calibri" w:cs="Calibri"/>
          <w:sz w:val="24"/>
        </w:rPr>
        <w:t xml:space="preserve"> i účet vládou určený pro důchodovou reformu,</w:t>
      </w:r>
      <w:r w:rsidR="00632AC5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sz w:val="24"/>
        </w:rPr>
        <w:t>zrušeny.</w:t>
      </w:r>
      <w:r w:rsidR="00632AC5">
        <w:rPr>
          <w:rFonts w:ascii="Calibri" w:hAnsi="Calibri" w:cs="Calibri"/>
          <w:sz w:val="24"/>
        </w:rPr>
        <w:t xml:space="preserve"> </w:t>
      </w:r>
    </w:p>
    <w:p w:rsidR="00D87A1D" w:rsidRPr="00632AC5" w:rsidRDefault="00D87A1D" w:rsidP="00D87A1D">
      <w:pPr>
        <w:ind w:firstLine="0"/>
        <w:rPr>
          <w:rFonts w:ascii="Calibri" w:hAnsi="Calibri" w:cs="Calibri"/>
          <w:sz w:val="24"/>
        </w:rPr>
      </w:pPr>
    </w:p>
    <w:p w:rsidR="00D87A1D" w:rsidRPr="00632AC5" w:rsidRDefault="00064576" w:rsidP="00D87A1D">
      <w:pPr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3.4 </w:t>
      </w:r>
      <w:r w:rsidR="00D87A1D" w:rsidRPr="00632AC5">
        <w:rPr>
          <w:rFonts w:ascii="Calibri" w:hAnsi="Calibri" w:cs="Calibri"/>
          <w:b/>
          <w:sz w:val="24"/>
        </w:rPr>
        <w:t>Zápočet výnosu DPH připadající</w:t>
      </w:r>
      <w:r w:rsidR="004A60BB">
        <w:rPr>
          <w:rFonts w:ascii="Calibri" w:hAnsi="Calibri" w:cs="Calibri"/>
          <w:b/>
          <w:sz w:val="24"/>
        </w:rPr>
        <w:t xml:space="preserve">ho </w:t>
      </w:r>
      <w:r w:rsidR="00D87A1D" w:rsidRPr="00632AC5">
        <w:rPr>
          <w:rFonts w:ascii="Calibri" w:hAnsi="Calibri" w:cs="Calibri"/>
          <w:b/>
          <w:sz w:val="24"/>
        </w:rPr>
        <w:t>na státní rozpočet</w:t>
      </w:r>
    </w:p>
    <w:p w:rsidR="00B10E7C" w:rsidRPr="004A60BB" w:rsidRDefault="00064576" w:rsidP="00D87A1D">
      <w:pPr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Novela </w:t>
      </w:r>
      <w:r w:rsidR="00426D6B">
        <w:rPr>
          <w:rFonts w:ascii="Calibri" w:hAnsi="Calibri" w:cs="Calibri"/>
          <w:sz w:val="24"/>
        </w:rPr>
        <w:t xml:space="preserve">zákona o </w:t>
      </w:r>
      <w:r w:rsidRPr="00632AC5">
        <w:rPr>
          <w:rFonts w:ascii="Calibri" w:hAnsi="Calibri" w:cs="Calibri"/>
          <w:sz w:val="24"/>
        </w:rPr>
        <w:t>rozpočtových pravidl</w:t>
      </w:r>
      <w:r w:rsidR="00792245">
        <w:rPr>
          <w:rFonts w:ascii="Calibri" w:hAnsi="Calibri" w:cs="Calibri"/>
          <w:sz w:val="24"/>
        </w:rPr>
        <w:t>ech</w:t>
      </w:r>
      <w:r w:rsidR="007851E0">
        <w:rPr>
          <w:rFonts w:ascii="Calibri" w:hAnsi="Calibri" w:cs="Calibri"/>
          <w:sz w:val="24"/>
        </w:rPr>
        <w:t xml:space="preserve"> účinn</w:t>
      </w:r>
      <w:r>
        <w:rPr>
          <w:rFonts w:ascii="Calibri" w:hAnsi="Calibri" w:cs="Calibri"/>
          <w:sz w:val="24"/>
        </w:rPr>
        <w:t>á</w:t>
      </w:r>
      <w:r w:rsidR="007851E0">
        <w:rPr>
          <w:rFonts w:ascii="Calibri" w:hAnsi="Calibri" w:cs="Calibri"/>
          <w:sz w:val="24"/>
        </w:rPr>
        <w:t xml:space="preserve"> od 1. 1. 2012 </w:t>
      </w:r>
      <w:r w:rsidR="00D87A1D" w:rsidRPr="00632AC5">
        <w:rPr>
          <w:rFonts w:ascii="Calibri" w:hAnsi="Calibri" w:cs="Calibri"/>
          <w:sz w:val="24"/>
        </w:rPr>
        <w:t xml:space="preserve">stanovila povinnost na straně příjmů započítávat do výpočtu rozdílu příjmů a výdajů </w:t>
      </w:r>
      <w:r w:rsidR="008A4151" w:rsidRPr="00632AC5">
        <w:rPr>
          <w:rFonts w:ascii="Calibri" w:hAnsi="Calibri" w:cs="Calibri"/>
          <w:sz w:val="24"/>
        </w:rPr>
        <w:t>důchodového pojištění státu</w:t>
      </w:r>
      <w:r w:rsidR="00632AC5">
        <w:rPr>
          <w:rFonts w:ascii="Calibri" w:hAnsi="Calibri" w:cs="Calibri"/>
          <w:sz w:val="24"/>
        </w:rPr>
        <w:t xml:space="preserve"> </w:t>
      </w:r>
      <w:r w:rsidR="00D87A1D" w:rsidRPr="00632AC5">
        <w:rPr>
          <w:rFonts w:ascii="Calibri" w:hAnsi="Calibri" w:cs="Calibri"/>
          <w:sz w:val="24"/>
        </w:rPr>
        <w:t>částku ve výši 7,2 % výnosu daně z přidané hodnoty připadající</w:t>
      </w:r>
      <w:r w:rsidR="008A4151" w:rsidRPr="00632AC5">
        <w:rPr>
          <w:rFonts w:ascii="Calibri" w:hAnsi="Calibri" w:cs="Calibri"/>
          <w:sz w:val="24"/>
        </w:rPr>
        <w:t>ho</w:t>
      </w:r>
      <w:r w:rsidR="00D87A1D" w:rsidRPr="00632AC5">
        <w:rPr>
          <w:rFonts w:ascii="Calibri" w:hAnsi="Calibri" w:cs="Calibri"/>
          <w:sz w:val="24"/>
        </w:rPr>
        <w:t xml:space="preserve"> na státní rozpočet.</w:t>
      </w:r>
      <w:r w:rsidR="008A4151" w:rsidRPr="00632AC5">
        <w:rPr>
          <w:rFonts w:ascii="Calibri" w:hAnsi="Calibri" w:cs="Calibri"/>
          <w:sz w:val="24"/>
        </w:rPr>
        <w:t xml:space="preserve"> Podle důvodové zprávy k návrhu </w:t>
      </w:r>
      <w:r w:rsidR="007851E0">
        <w:rPr>
          <w:rFonts w:ascii="Calibri" w:hAnsi="Calibri" w:cs="Calibri"/>
          <w:sz w:val="24"/>
        </w:rPr>
        <w:t xml:space="preserve">příslušné novely </w:t>
      </w:r>
      <w:r w:rsidR="008A4151" w:rsidRPr="00137113">
        <w:rPr>
          <w:rFonts w:ascii="Calibri" w:hAnsi="Calibri" w:cs="Calibri"/>
          <w:sz w:val="24"/>
        </w:rPr>
        <w:t>zákona</w:t>
      </w:r>
      <w:r w:rsidR="004231A3">
        <w:rPr>
          <w:rFonts w:ascii="Calibri" w:hAnsi="Calibri" w:cs="Calibri"/>
          <w:sz w:val="24"/>
          <w:vertAlign w:val="superscript"/>
        </w:rPr>
        <w:t xml:space="preserve"> </w:t>
      </w:r>
      <w:r w:rsidR="008A4151" w:rsidRPr="00632AC5">
        <w:rPr>
          <w:rFonts w:ascii="Calibri" w:hAnsi="Calibri" w:cs="Calibri"/>
          <w:sz w:val="24"/>
        </w:rPr>
        <w:t>bylo</w:t>
      </w:r>
      <w:r w:rsidR="004A60BB">
        <w:rPr>
          <w:rFonts w:ascii="Calibri" w:hAnsi="Calibri" w:cs="Calibri"/>
          <w:sz w:val="24"/>
        </w:rPr>
        <w:t xml:space="preserve"> hlavním </w:t>
      </w:r>
      <w:r w:rsidR="008A4151" w:rsidRPr="00632AC5">
        <w:rPr>
          <w:rFonts w:ascii="Calibri" w:hAnsi="Calibri" w:cs="Calibri"/>
          <w:sz w:val="24"/>
        </w:rPr>
        <w:t>cílem získat zdroje k realizaci penzijní reformy a zajistit dlouhodobou udržite</w:t>
      </w:r>
      <w:r w:rsidR="004A60BB">
        <w:rPr>
          <w:rFonts w:ascii="Calibri" w:hAnsi="Calibri" w:cs="Calibri"/>
          <w:sz w:val="24"/>
        </w:rPr>
        <w:t xml:space="preserve">lnost důchodového zabezpečení. </w:t>
      </w:r>
      <w:r w:rsidR="00D87A1D" w:rsidRPr="00632AC5">
        <w:rPr>
          <w:rFonts w:ascii="Calibri" w:hAnsi="Calibri" w:cs="Calibri"/>
          <w:b/>
          <w:sz w:val="24"/>
        </w:rPr>
        <w:t xml:space="preserve">Započítání částek </w:t>
      </w:r>
      <w:r w:rsidR="008A4151" w:rsidRPr="00632AC5">
        <w:rPr>
          <w:rFonts w:ascii="Calibri" w:hAnsi="Calibri" w:cs="Calibri"/>
          <w:b/>
          <w:sz w:val="24"/>
        </w:rPr>
        <w:t xml:space="preserve">ve výši </w:t>
      </w:r>
      <w:r w:rsidR="00100B2D" w:rsidRPr="00632AC5">
        <w:rPr>
          <w:rFonts w:ascii="Calibri" w:hAnsi="Calibri" w:cs="Calibri"/>
          <w:b/>
          <w:sz w:val="24"/>
        </w:rPr>
        <w:t xml:space="preserve">14,4 mld. Kč </w:t>
      </w:r>
      <w:r w:rsidR="00B10E7C" w:rsidRPr="00632AC5">
        <w:rPr>
          <w:rFonts w:ascii="Calibri" w:hAnsi="Calibri" w:cs="Calibri"/>
          <w:b/>
          <w:sz w:val="24"/>
        </w:rPr>
        <w:t>v roce 2012</w:t>
      </w:r>
      <w:r w:rsidR="00632AC5">
        <w:rPr>
          <w:rFonts w:ascii="Calibri" w:hAnsi="Calibri" w:cs="Calibri"/>
          <w:b/>
          <w:sz w:val="24"/>
        </w:rPr>
        <w:t xml:space="preserve"> </w:t>
      </w:r>
      <w:r w:rsidR="00100B2D" w:rsidRPr="00632AC5">
        <w:rPr>
          <w:rFonts w:ascii="Calibri" w:hAnsi="Calibri" w:cs="Calibri"/>
          <w:b/>
          <w:sz w:val="24"/>
        </w:rPr>
        <w:t>a 15,8 mld. Kč</w:t>
      </w:r>
      <w:r w:rsidR="00B10E7C" w:rsidRPr="00632AC5">
        <w:rPr>
          <w:rFonts w:ascii="Calibri" w:hAnsi="Calibri" w:cs="Calibri"/>
          <w:b/>
          <w:sz w:val="24"/>
        </w:rPr>
        <w:t xml:space="preserve"> v roce 2013</w:t>
      </w:r>
      <w:r w:rsidR="00632AC5">
        <w:rPr>
          <w:rFonts w:ascii="Calibri" w:hAnsi="Calibri" w:cs="Calibri"/>
          <w:b/>
          <w:sz w:val="24"/>
        </w:rPr>
        <w:t xml:space="preserve"> </w:t>
      </w:r>
      <w:r w:rsidR="00D87A1D" w:rsidRPr="00632AC5">
        <w:rPr>
          <w:rFonts w:ascii="Calibri" w:hAnsi="Calibri" w:cs="Calibri"/>
          <w:b/>
          <w:sz w:val="24"/>
        </w:rPr>
        <w:t>nezajistilo přebytek ani vyrovnanou bilanci systému důchodového pojištění státu, snížilo pouze vypočtený schodek</w:t>
      </w:r>
      <w:r w:rsidR="00B10E7C" w:rsidRPr="00632AC5">
        <w:rPr>
          <w:rFonts w:ascii="Calibri" w:hAnsi="Calibri" w:cs="Calibri"/>
          <w:b/>
          <w:sz w:val="24"/>
        </w:rPr>
        <w:t xml:space="preserve">. </w:t>
      </w:r>
    </w:p>
    <w:p w:rsidR="00BE281E" w:rsidRPr="00632AC5" w:rsidRDefault="00BE281E" w:rsidP="00B10E7C">
      <w:pPr>
        <w:ind w:firstLine="0"/>
        <w:rPr>
          <w:rFonts w:ascii="Calibri" w:hAnsi="Calibri" w:cs="Calibri"/>
          <w:color w:val="000000"/>
          <w:sz w:val="24"/>
        </w:rPr>
      </w:pPr>
    </w:p>
    <w:p w:rsidR="00D87A1D" w:rsidRPr="00A0314E" w:rsidRDefault="008608EA" w:rsidP="00F80CB2">
      <w:pPr>
        <w:pStyle w:val="Nadpis1"/>
        <w:numPr>
          <w:ilvl w:val="0"/>
          <w:numId w:val="0"/>
        </w:numPr>
        <w:ind w:right="141"/>
        <w:rPr>
          <w:rFonts w:ascii="Calibri" w:hAnsi="Calibri" w:cs="Calibri"/>
          <w:color w:val="548DD4" w:themeColor="text2" w:themeTint="99"/>
          <w:sz w:val="24"/>
          <w:szCs w:val="24"/>
        </w:rPr>
      </w:pPr>
      <w:r>
        <w:rPr>
          <w:rFonts w:ascii="Calibri" w:hAnsi="Calibri" w:cs="Calibri"/>
          <w:color w:val="548DD4" w:themeColor="text2" w:themeTint="99"/>
          <w:sz w:val="24"/>
          <w:szCs w:val="24"/>
        </w:rPr>
        <w:t xml:space="preserve">4. </w:t>
      </w:r>
      <w:r w:rsidR="00D87A1D" w:rsidRPr="00A0314E">
        <w:rPr>
          <w:rFonts w:ascii="Calibri" w:hAnsi="Calibri" w:cs="Calibri"/>
          <w:color w:val="548DD4" w:themeColor="text2" w:themeTint="99"/>
          <w:sz w:val="24"/>
          <w:szCs w:val="24"/>
        </w:rPr>
        <w:t>Výsledek hospodaření systému důchodového pojištění státu</w:t>
      </w:r>
      <w:r w:rsidR="00254A5D" w:rsidRPr="00A0314E">
        <w:rPr>
          <w:rFonts w:ascii="Calibri" w:hAnsi="Calibri" w:cs="Calibri"/>
          <w:color w:val="548DD4" w:themeColor="text2" w:themeTint="99"/>
          <w:sz w:val="24"/>
          <w:szCs w:val="24"/>
        </w:rPr>
        <w:t xml:space="preserve"> </w:t>
      </w:r>
      <w:r w:rsidR="008A4151" w:rsidRPr="00A0314E">
        <w:rPr>
          <w:rFonts w:ascii="Calibri" w:hAnsi="Calibri" w:cs="Calibri"/>
          <w:color w:val="548DD4" w:themeColor="text2" w:themeTint="99"/>
          <w:sz w:val="24"/>
          <w:szCs w:val="24"/>
        </w:rPr>
        <w:t>(</w:t>
      </w:r>
      <w:r w:rsidR="00D87A1D" w:rsidRPr="00A0314E">
        <w:rPr>
          <w:rFonts w:ascii="Calibri" w:hAnsi="Calibri" w:cs="Calibri"/>
          <w:color w:val="548DD4" w:themeColor="text2" w:themeTint="99"/>
          <w:sz w:val="24"/>
          <w:szCs w:val="24"/>
        </w:rPr>
        <w:t>výpočet rozdílu</w:t>
      </w:r>
      <w:r w:rsidR="008A4151" w:rsidRPr="00A0314E">
        <w:rPr>
          <w:rFonts w:ascii="Calibri" w:hAnsi="Calibri" w:cs="Calibri"/>
          <w:color w:val="548DD4" w:themeColor="text2" w:themeTint="99"/>
          <w:sz w:val="24"/>
          <w:szCs w:val="24"/>
        </w:rPr>
        <w:t>)</w:t>
      </w:r>
      <w:r w:rsidR="00632AC5" w:rsidRPr="00A0314E">
        <w:rPr>
          <w:rFonts w:ascii="Calibri" w:hAnsi="Calibri" w:cs="Calibri"/>
          <w:color w:val="548DD4" w:themeColor="text2" w:themeTint="99"/>
          <w:sz w:val="24"/>
          <w:szCs w:val="24"/>
        </w:rPr>
        <w:t xml:space="preserve"> </w:t>
      </w:r>
    </w:p>
    <w:p w:rsidR="008A4151" w:rsidRPr="00632AC5" w:rsidRDefault="008A4151" w:rsidP="008A4151">
      <w:pPr>
        <w:rPr>
          <w:lang w:eastAsia="cs-CZ"/>
        </w:rPr>
      </w:pPr>
    </w:p>
    <w:p w:rsidR="00D87A1D" w:rsidRPr="00632AC5" w:rsidRDefault="00D87A1D" w:rsidP="00D87A1D">
      <w:pPr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  <w:lang w:eastAsia="cs-CZ"/>
        </w:rPr>
        <w:t xml:space="preserve">Od roku 1996 v návaznosti na právní úpravu týkající se </w:t>
      </w:r>
      <w:proofErr w:type="spellStart"/>
      <w:r w:rsidRPr="00632AC5">
        <w:rPr>
          <w:rFonts w:ascii="Calibri" w:hAnsi="Calibri" w:cs="Calibri"/>
          <w:sz w:val="24"/>
          <w:lang w:eastAsia="cs-CZ"/>
        </w:rPr>
        <w:t>ZÚDP</w:t>
      </w:r>
      <w:proofErr w:type="spellEnd"/>
      <w:r w:rsidRPr="00632AC5">
        <w:rPr>
          <w:rFonts w:ascii="Calibri" w:hAnsi="Calibri" w:cs="Calibri"/>
          <w:sz w:val="24"/>
          <w:lang w:eastAsia="cs-CZ"/>
        </w:rPr>
        <w:t xml:space="preserve"> propočítává MF </w:t>
      </w:r>
      <w:r w:rsidR="00B86CC7">
        <w:rPr>
          <w:rFonts w:ascii="Calibri" w:hAnsi="Calibri" w:cs="Calibri"/>
          <w:sz w:val="24"/>
          <w:lang w:eastAsia="cs-CZ"/>
        </w:rPr>
        <w:t xml:space="preserve">ve smyslu </w:t>
      </w:r>
      <w:r w:rsidR="00064576">
        <w:rPr>
          <w:rFonts w:ascii="Calibri" w:hAnsi="Calibri" w:cs="Calibri"/>
          <w:sz w:val="24"/>
          <w:lang w:eastAsia="cs-CZ"/>
        </w:rPr>
        <w:t>rozpočtových pravidel</w:t>
      </w:r>
      <w:r w:rsidR="00B86CC7">
        <w:rPr>
          <w:rFonts w:ascii="Calibri" w:hAnsi="Calibri" w:cs="Calibri"/>
          <w:sz w:val="24"/>
          <w:lang w:eastAsia="cs-CZ"/>
        </w:rPr>
        <w:t xml:space="preserve"> </w:t>
      </w:r>
      <w:r w:rsidRPr="00632AC5">
        <w:rPr>
          <w:rFonts w:ascii="Calibri" w:hAnsi="Calibri" w:cs="Calibri"/>
          <w:sz w:val="24"/>
          <w:lang w:eastAsia="cs-CZ"/>
        </w:rPr>
        <w:t>rozdíl mezi příjmy a výdaji systému důchodového poj</w:t>
      </w:r>
      <w:r w:rsidR="00335A65" w:rsidRPr="00632AC5">
        <w:rPr>
          <w:rFonts w:ascii="Calibri" w:hAnsi="Calibri" w:cs="Calibri"/>
          <w:sz w:val="24"/>
          <w:lang w:eastAsia="cs-CZ"/>
        </w:rPr>
        <w:t>ištění státu. P</w:t>
      </w:r>
      <w:r w:rsidR="00E8271D" w:rsidRPr="00632AC5">
        <w:rPr>
          <w:rFonts w:ascii="Calibri" w:hAnsi="Calibri" w:cs="Calibri"/>
          <w:sz w:val="24"/>
        </w:rPr>
        <w:t xml:space="preserve">ři výpočtu </w:t>
      </w:r>
      <w:r w:rsidRPr="00632AC5">
        <w:rPr>
          <w:rFonts w:ascii="Calibri" w:hAnsi="Calibri" w:cs="Calibri"/>
          <w:sz w:val="24"/>
        </w:rPr>
        <w:t>nejprve postupovalo podle příslušných usnesení vlády ČR, později vydalo vyhlášku č.</w:t>
      </w:r>
      <w:r w:rsidR="00C467E7" w:rsidRPr="00632AC5">
        <w:rPr>
          <w:rFonts w:ascii="Calibri" w:hAnsi="Calibri" w:cs="Calibri"/>
          <w:sz w:val="24"/>
        </w:rPr>
        <w:t> </w:t>
      </w:r>
      <w:r w:rsidRPr="00632AC5">
        <w:rPr>
          <w:rFonts w:ascii="Calibri" w:hAnsi="Calibri" w:cs="Calibri"/>
          <w:sz w:val="24"/>
        </w:rPr>
        <w:t>76/2005 Sb.</w:t>
      </w:r>
      <w:r w:rsidRPr="00632AC5">
        <w:rPr>
          <w:rStyle w:val="Znakapoznpodarou"/>
          <w:rFonts w:ascii="Calibri" w:hAnsi="Calibri" w:cs="Calibri"/>
          <w:sz w:val="24"/>
        </w:rPr>
        <w:footnoteReference w:id="17"/>
      </w:r>
      <w:r w:rsidRPr="00632AC5">
        <w:rPr>
          <w:rFonts w:ascii="Calibri" w:hAnsi="Calibri" w:cs="Calibri"/>
          <w:sz w:val="24"/>
        </w:rPr>
        <w:t>, která n</w:t>
      </w:r>
      <w:r w:rsidRPr="00632AC5">
        <w:rPr>
          <w:rFonts w:ascii="Calibri" w:hAnsi="Calibri" w:cs="Calibri"/>
          <w:bCs/>
          <w:sz w:val="24"/>
        </w:rPr>
        <w:t xml:space="preserve">avazovala na postup stanovený usneseními vlády ČR. </w:t>
      </w:r>
      <w:r w:rsidR="00335A65" w:rsidRPr="00632AC5">
        <w:rPr>
          <w:rFonts w:ascii="Calibri" w:hAnsi="Calibri" w:cs="Calibri"/>
          <w:bCs/>
          <w:sz w:val="24"/>
        </w:rPr>
        <w:t>Z podaného vysvětlení</w:t>
      </w:r>
      <w:r w:rsidR="00AB59D3">
        <w:rPr>
          <w:rFonts w:ascii="Calibri" w:hAnsi="Calibri" w:cs="Calibri"/>
          <w:bCs/>
          <w:sz w:val="24"/>
        </w:rPr>
        <w:t xml:space="preserve"> </w:t>
      </w:r>
      <w:r w:rsidR="00AB59D3" w:rsidRPr="00632AC5">
        <w:rPr>
          <w:rFonts w:ascii="Calibri" w:hAnsi="Calibri" w:cs="Calibri"/>
          <w:bCs/>
          <w:sz w:val="24"/>
        </w:rPr>
        <w:t xml:space="preserve">MF </w:t>
      </w:r>
      <w:r w:rsidR="00AB59D3">
        <w:rPr>
          <w:rFonts w:ascii="Calibri" w:hAnsi="Calibri" w:cs="Calibri"/>
          <w:bCs/>
          <w:sz w:val="24"/>
        </w:rPr>
        <w:t>o</w:t>
      </w:r>
      <w:r w:rsidR="00064576">
        <w:rPr>
          <w:rFonts w:ascii="Calibri" w:hAnsi="Calibri" w:cs="Calibri"/>
          <w:bCs/>
          <w:sz w:val="24"/>
        </w:rPr>
        <w:t xml:space="preserve"> </w:t>
      </w:r>
      <w:r w:rsidR="00AB59D3">
        <w:rPr>
          <w:rFonts w:ascii="Calibri" w:hAnsi="Calibri" w:cs="Calibri"/>
          <w:bCs/>
          <w:sz w:val="24"/>
        </w:rPr>
        <w:t xml:space="preserve">důvodech navyšování výdajů o položku </w:t>
      </w:r>
      <w:r w:rsidR="00AB59D3" w:rsidRPr="00F80CB2">
        <w:rPr>
          <w:rFonts w:ascii="Calibri" w:hAnsi="Calibri" w:cs="Calibri"/>
          <w:bCs/>
          <w:i/>
          <w:sz w:val="24"/>
        </w:rPr>
        <w:t>výdaje na správu</w:t>
      </w:r>
      <w:r w:rsidR="00632AC5">
        <w:rPr>
          <w:rFonts w:ascii="Calibri" w:hAnsi="Calibri" w:cs="Calibri"/>
          <w:bCs/>
          <w:sz w:val="24"/>
        </w:rPr>
        <w:t xml:space="preserve"> </w:t>
      </w:r>
      <w:r w:rsidR="00335A65" w:rsidRPr="00632AC5">
        <w:rPr>
          <w:rFonts w:ascii="Calibri" w:hAnsi="Calibri" w:cs="Calibri"/>
          <w:bCs/>
          <w:sz w:val="24"/>
        </w:rPr>
        <w:t xml:space="preserve">vyplývá, že </w:t>
      </w:r>
      <w:r w:rsidR="00AB59D3">
        <w:rPr>
          <w:rFonts w:ascii="Calibri" w:hAnsi="Calibri" w:cs="Calibri"/>
          <w:bCs/>
          <w:sz w:val="24"/>
        </w:rPr>
        <w:t xml:space="preserve">tak bylo rozhodnuto v době, kdy bylo </w:t>
      </w:r>
      <w:r w:rsidRPr="00632AC5">
        <w:rPr>
          <w:rFonts w:ascii="Calibri" w:hAnsi="Calibri" w:cs="Calibri"/>
          <w:bCs/>
          <w:sz w:val="24"/>
        </w:rPr>
        <w:t>zvažováno oddělení systému sociálního zabezpečení od státního rozpočtu a</w:t>
      </w:r>
      <w:r w:rsidR="00A0314E">
        <w:rPr>
          <w:rFonts w:ascii="Calibri" w:hAnsi="Calibri" w:cs="Calibri"/>
          <w:bCs/>
          <w:sz w:val="24"/>
        </w:rPr>
        <w:t> </w:t>
      </w:r>
      <w:r w:rsidRPr="00632AC5">
        <w:rPr>
          <w:rFonts w:ascii="Calibri" w:hAnsi="Calibri" w:cs="Calibri"/>
          <w:bCs/>
          <w:sz w:val="24"/>
        </w:rPr>
        <w:t xml:space="preserve">vytvoření </w:t>
      </w:r>
      <w:r w:rsidR="00064576">
        <w:rPr>
          <w:rFonts w:ascii="Calibri" w:hAnsi="Calibri" w:cs="Calibri"/>
          <w:bCs/>
          <w:sz w:val="24"/>
        </w:rPr>
        <w:t>s</w:t>
      </w:r>
      <w:r w:rsidRPr="00632AC5">
        <w:rPr>
          <w:rFonts w:ascii="Calibri" w:hAnsi="Calibri" w:cs="Calibri"/>
          <w:bCs/>
          <w:sz w:val="24"/>
        </w:rPr>
        <w:t xml:space="preserve">ociální pojišťovny. </w:t>
      </w:r>
    </w:p>
    <w:p w:rsidR="00D87A1D" w:rsidRPr="00632AC5" w:rsidRDefault="00D87A1D" w:rsidP="00D87A1D">
      <w:pPr>
        <w:ind w:firstLine="0"/>
        <w:rPr>
          <w:rFonts w:ascii="Calibri" w:hAnsi="Calibri" w:cs="Calibri"/>
          <w:sz w:val="24"/>
          <w:lang w:eastAsia="cs-CZ"/>
        </w:rPr>
      </w:pPr>
    </w:p>
    <w:p w:rsidR="00FE4AB2" w:rsidRPr="00632AC5" w:rsidRDefault="00D87A1D" w:rsidP="00D87A1D">
      <w:pPr>
        <w:ind w:firstLine="0"/>
        <w:rPr>
          <w:rFonts w:ascii="Calibri" w:eastAsia="Calibri" w:hAnsi="Calibri" w:cs="Calibri"/>
          <w:color w:val="000000"/>
          <w:sz w:val="24"/>
        </w:rPr>
      </w:pPr>
      <w:r w:rsidRPr="00632AC5">
        <w:rPr>
          <w:rFonts w:ascii="Calibri" w:eastAsia="Calibri" w:hAnsi="Calibri" w:cs="Calibri"/>
          <w:color w:val="000000"/>
          <w:sz w:val="24"/>
        </w:rPr>
        <w:t xml:space="preserve">Rozdíl mezi příjmy a výdaji systému důchodového pojištění státu v letech 1996–2013 </w:t>
      </w:r>
      <w:r w:rsidR="00BF6421" w:rsidRPr="00632AC5">
        <w:rPr>
          <w:rFonts w:ascii="Calibri" w:eastAsia="Calibri" w:hAnsi="Calibri" w:cs="Calibri"/>
          <w:color w:val="000000"/>
          <w:sz w:val="24"/>
        </w:rPr>
        <w:t xml:space="preserve">vypočítaný a </w:t>
      </w:r>
      <w:r w:rsidRPr="00632AC5">
        <w:rPr>
          <w:rFonts w:ascii="Calibri" w:eastAsia="Calibri" w:hAnsi="Calibri" w:cs="Calibri"/>
          <w:color w:val="000000" w:themeColor="text1"/>
          <w:sz w:val="24"/>
        </w:rPr>
        <w:t xml:space="preserve">vykazovaný </w:t>
      </w:r>
      <w:r w:rsidR="00064576">
        <w:rPr>
          <w:rFonts w:ascii="Calibri" w:eastAsia="Calibri" w:hAnsi="Calibri" w:cs="Calibri"/>
          <w:color w:val="000000" w:themeColor="text1"/>
          <w:sz w:val="24"/>
        </w:rPr>
        <w:t>Ministerstvem financí</w:t>
      </w:r>
      <w:r w:rsidRPr="00632AC5">
        <w:rPr>
          <w:rFonts w:ascii="Calibri" w:eastAsia="Calibri" w:hAnsi="Calibri" w:cs="Calibri"/>
          <w:color w:val="000000" w:themeColor="text1"/>
          <w:sz w:val="24"/>
        </w:rPr>
        <w:t xml:space="preserve"> ve </w:t>
      </w:r>
      <w:proofErr w:type="spellStart"/>
      <w:r w:rsidRPr="00632AC5">
        <w:rPr>
          <w:rFonts w:ascii="Calibri" w:eastAsia="Calibri" w:hAnsi="Calibri" w:cs="Calibri"/>
          <w:color w:val="000000" w:themeColor="text1"/>
          <w:sz w:val="24"/>
        </w:rPr>
        <w:t>SZÚ</w:t>
      </w:r>
      <w:proofErr w:type="spellEnd"/>
      <w:r w:rsidRPr="00632AC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632AC5">
        <w:rPr>
          <w:rFonts w:ascii="Calibri" w:eastAsia="Calibri" w:hAnsi="Calibri" w:cs="Calibri"/>
          <w:color w:val="000000"/>
          <w:sz w:val="24"/>
        </w:rPr>
        <w:t>uvádí tabulka č</w:t>
      </w:r>
      <w:r w:rsidRPr="00A0314E">
        <w:rPr>
          <w:rFonts w:ascii="Calibri" w:eastAsia="Calibri" w:hAnsi="Calibri" w:cs="Calibri"/>
          <w:color w:val="000000"/>
          <w:sz w:val="24"/>
        </w:rPr>
        <w:t>.</w:t>
      </w:r>
      <w:r w:rsidR="00A0314E" w:rsidRPr="00A0314E">
        <w:rPr>
          <w:rFonts w:ascii="Calibri" w:eastAsia="Calibri" w:hAnsi="Calibri" w:cs="Calibri"/>
          <w:color w:val="000000"/>
          <w:sz w:val="24"/>
        </w:rPr>
        <w:t xml:space="preserve"> 6</w:t>
      </w:r>
      <w:r w:rsidR="00C467E7" w:rsidRPr="00A0314E">
        <w:rPr>
          <w:rFonts w:ascii="Calibri" w:eastAsia="Calibri" w:hAnsi="Calibri" w:cs="Calibri"/>
          <w:color w:val="000000"/>
          <w:sz w:val="24"/>
        </w:rPr>
        <w:t>.</w:t>
      </w:r>
    </w:p>
    <w:p w:rsidR="00BF6421" w:rsidRPr="00632AC5" w:rsidRDefault="00BF6421" w:rsidP="00D87A1D">
      <w:pPr>
        <w:ind w:firstLine="0"/>
        <w:rPr>
          <w:rFonts w:ascii="Calibri" w:eastAsia="Calibri" w:hAnsi="Calibri" w:cs="Calibri"/>
          <w:color w:val="000000"/>
          <w:sz w:val="24"/>
        </w:rPr>
      </w:pPr>
    </w:p>
    <w:p w:rsidR="00C83E11" w:rsidRDefault="00C83E11">
      <w:pPr>
        <w:ind w:firstLine="0"/>
        <w:jc w:val="left"/>
        <w:rPr>
          <w:rFonts w:ascii="Calibri" w:hAnsi="Calibri" w:cs="Calibri"/>
          <w:b/>
          <w:color w:val="000000"/>
          <w:sz w:val="24"/>
        </w:rPr>
      </w:pPr>
      <w:r>
        <w:rPr>
          <w:rFonts w:ascii="Calibri" w:hAnsi="Calibri" w:cs="Calibri"/>
          <w:b/>
          <w:color w:val="000000"/>
          <w:sz w:val="24"/>
        </w:rPr>
        <w:br w:type="page"/>
      </w:r>
    </w:p>
    <w:p w:rsidR="00335A65" w:rsidRPr="00632AC5" w:rsidRDefault="00335A65" w:rsidP="00652451">
      <w:pPr>
        <w:tabs>
          <w:tab w:val="right" w:pos="9072"/>
        </w:tabs>
        <w:ind w:left="1418" w:hanging="1418"/>
        <w:rPr>
          <w:rFonts w:ascii="Calibri" w:hAnsi="Calibri" w:cs="Calibri"/>
          <w:b/>
          <w:color w:val="000000"/>
          <w:sz w:val="24"/>
        </w:rPr>
      </w:pPr>
      <w:r w:rsidRPr="00632AC5">
        <w:rPr>
          <w:rFonts w:ascii="Calibri" w:hAnsi="Calibri" w:cs="Calibri"/>
          <w:b/>
          <w:color w:val="000000"/>
          <w:sz w:val="24"/>
        </w:rPr>
        <w:lastRenderedPageBreak/>
        <w:t xml:space="preserve">Tabulka č. </w:t>
      </w:r>
      <w:r w:rsidR="00A0314E">
        <w:rPr>
          <w:rFonts w:ascii="Calibri" w:hAnsi="Calibri" w:cs="Calibri"/>
          <w:b/>
          <w:color w:val="000000"/>
          <w:sz w:val="24"/>
        </w:rPr>
        <w:t>6</w:t>
      </w:r>
      <w:r w:rsidRPr="00632AC5">
        <w:rPr>
          <w:rFonts w:ascii="Calibri" w:hAnsi="Calibri" w:cs="Calibri"/>
          <w:b/>
          <w:color w:val="000000"/>
          <w:sz w:val="24"/>
        </w:rPr>
        <w:t xml:space="preserve"> –</w:t>
      </w:r>
      <w:r w:rsidR="00A0314E">
        <w:rPr>
          <w:rFonts w:ascii="Calibri" w:hAnsi="Calibri" w:cs="Calibri"/>
          <w:b/>
          <w:color w:val="000000"/>
          <w:sz w:val="24"/>
        </w:rPr>
        <w:tab/>
      </w:r>
      <w:r w:rsidR="000B4802">
        <w:rPr>
          <w:rFonts w:ascii="Calibri" w:hAnsi="Calibri" w:cs="Calibri"/>
          <w:b/>
          <w:color w:val="000000"/>
          <w:sz w:val="24"/>
        </w:rPr>
        <w:t xml:space="preserve">Přehled </w:t>
      </w:r>
      <w:r w:rsidRPr="00632AC5">
        <w:rPr>
          <w:rFonts w:ascii="Calibri" w:hAnsi="Calibri" w:cs="Calibri"/>
          <w:b/>
          <w:color w:val="000000"/>
          <w:sz w:val="24"/>
        </w:rPr>
        <w:t xml:space="preserve">příjmů a výdajů v oblasti důchodového pojištění </w:t>
      </w:r>
      <w:r w:rsidR="00064576">
        <w:rPr>
          <w:rFonts w:ascii="Calibri" w:hAnsi="Calibri" w:cs="Calibri"/>
          <w:b/>
          <w:color w:val="000000"/>
          <w:sz w:val="24"/>
        </w:rPr>
        <w:t>včetně</w:t>
      </w:r>
      <w:r w:rsidR="00A0314E">
        <w:rPr>
          <w:rFonts w:ascii="Calibri" w:hAnsi="Calibri" w:cs="Calibri"/>
          <w:b/>
          <w:color w:val="000000"/>
          <w:sz w:val="24"/>
        </w:rPr>
        <w:t xml:space="preserve"> rozdíl</w:t>
      </w:r>
      <w:r w:rsidR="00064576">
        <w:rPr>
          <w:rFonts w:ascii="Calibri" w:hAnsi="Calibri" w:cs="Calibri"/>
          <w:b/>
          <w:color w:val="000000"/>
          <w:sz w:val="24"/>
        </w:rPr>
        <w:t>ů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  <w:r w:rsidR="00A0314E">
        <w:rPr>
          <w:rFonts w:ascii="Calibri" w:hAnsi="Calibri" w:cs="Calibri"/>
          <w:b/>
          <w:color w:val="000000"/>
          <w:sz w:val="24"/>
        </w:rPr>
        <w:t xml:space="preserve">těchto položek </w:t>
      </w:r>
      <w:r w:rsidR="00652451">
        <w:rPr>
          <w:rFonts w:ascii="Calibri" w:hAnsi="Calibri" w:cs="Calibri"/>
          <w:b/>
          <w:color w:val="000000"/>
          <w:sz w:val="24"/>
        </w:rPr>
        <w:tab/>
        <w:t>(</w:t>
      </w:r>
      <w:r w:rsidRPr="00632AC5">
        <w:rPr>
          <w:rFonts w:ascii="Calibri" w:hAnsi="Calibri" w:cs="Calibri"/>
          <w:b/>
          <w:color w:val="000000"/>
          <w:sz w:val="24"/>
        </w:rPr>
        <w:t>v tis. Kč)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275"/>
        <w:gridCol w:w="48"/>
        <w:gridCol w:w="1323"/>
        <w:gridCol w:w="1323"/>
        <w:gridCol w:w="2126"/>
        <w:gridCol w:w="1984"/>
      </w:tblGrid>
      <w:tr w:rsidR="000B4802" w:rsidRPr="00632AC5" w:rsidTr="00F80CB2">
        <w:trPr>
          <w:cantSplit/>
          <w:trHeight w:val="616"/>
          <w:tblHeader/>
        </w:trPr>
        <w:tc>
          <w:tcPr>
            <w:tcW w:w="1008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Rok</w:t>
            </w:r>
          </w:p>
        </w:tc>
        <w:tc>
          <w:tcPr>
            <w:tcW w:w="13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Příjmy</w:t>
            </w:r>
          </w:p>
        </w:tc>
        <w:tc>
          <w:tcPr>
            <w:tcW w:w="1323" w:type="dxa"/>
            <w:vMerge w:val="restart"/>
            <w:shd w:val="clear" w:color="auto" w:fill="C6D9F1" w:themeFill="text2" w:themeFillTint="33"/>
            <w:vAlign w:val="center"/>
          </w:tcPr>
          <w:p w:rsidR="000B4802" w:rsidRPr="00632AC5" w:rsidRDefault="000B4802" w:rsidP="003622A4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Výdaje na důchody</w:t>
            </w:r>
          </w:p>
        </w:tc>
        <w:tc>
          <w:tcPr>
            <w:tcW w:w="1323" w:type="dxa"/>
            <w:vMerge w:val="restart"/>
            <w:shd w:val="clear" w:color="auto" w:fill="C6D9F1" w:themeFill="text2" w:themeFillTint="33"/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Výdaje na správu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06457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Rozdíl mezi příjmy a výdaji důchodové</w:t>
            </w:r>
            <w:r w:rsidR="000645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ho</w:t>
            </w: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pojištění (včetně výdajů na správu)</w:t>
            </w:r>
          </w:p>
        </w:tc>
      </w:tr>
      <w:tr w:rsidR="000B4802" w:rsidRPr="00632AC5" w:rsidTr="00F80CB2">
        <w:trPr>
          <w:cantSplit/>
          <w:trHeight w:val="255"/>
          <w:tblHeader/>
        </w:trPr>
        <w:tc>
          <w:tcPr>
            <w:tcW w:w="1008" w:type="dxa"/>
            <w:vMerge/>
            <w:shd w:val="clear" w:color="auto" w:fill="C6D9F1" w:themeFill="text2" w:themeFillTint="33"/>
            <w:vAlign w:val="center"/>
          </w:tcPr>
          <w:p w:rsidR="000B4802" w:rsidRPr="00632AC5" w:rsidRDefault="000B4802" w:rsidP="00DB077F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Kladný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Záporný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1996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4 383 963 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1997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146 332 522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150 231 024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2 617 380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80CB2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6 515 883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1998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156 337 768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166 119 147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2 711 414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4E6CB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80CB2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4E6CB5">
              <w:rPr>
                <w:rFonts w:asciiTheme="minorHAnsi" w:hAnsiTheme="minorHAnsi" w:cstheme="minorHAnsi"/>
                <w:sz w:val="20"/>
                <w:szCs w:val="20"/>
              </w:rPr>
              <w:t xml:space="preserve">12 492 793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1999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161 826 981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177 849 443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3 422 642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80CB2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19 445 104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170 456 549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186 851 692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3 263 141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19 658 284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185 952 649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201 111 048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3 342 581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18 500 980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2002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198 423 779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213 647 781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3 685 044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18 909 046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2003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209 624 044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225 832 771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3 702 977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19 911 704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2004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243 276 060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230 896 759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4 052 821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5B5E26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8 326 480 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2005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258 327 061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247 389 954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4 377 240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5B5E26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6 559 867 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2006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276 913 317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272 910 810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4 866 264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863 757 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2007</w:t>
            </w:r>
          </w:p>
        </w:tc>
        <w:tc>
          <w:tcPr>
            <w:tcW w:w="132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304 934 180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289 854 717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5 182 391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5B5E26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9 897 072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2008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320 027 736</w:t>
            </w:r>
          </w:p>
        </w:tc>
        <w:tc>
          <w:tcPr>
            <w:tcW w:w="137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312 531 820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4 898 233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5B5E26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2 597 683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2009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310 310 183</w:t>
            </w:r>
          </w:p>
        </w:tc>
        <w:tc>
          <w:tcPr>
            <w:tcW w:w="137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339 788 293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7 349 976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>36 828 086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317 881 898</w:t>
            </w:r>
          </w:p>
        </w:tc>
        <w:tc>
          <w:tcPr>
            <w:tcW w:w="137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 xml:space="preserve">346 212 942 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7 285 871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>35 616 915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2011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328 004 935</w:t>
            </w:r>
          </w:p>
        </w:tc>
        <w:tc>
          <w:tcPr>
            <w:tcW w:w="137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368 068 831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5 289 362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4E6CB5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>45 353 258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360 880 920</w:t>
            </w:r>
          </w:p>
        </w:tc>
        <w:tc>
          <w:tcPr>
            <w:tcW w:w="137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382 031 343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5 023 207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>26 173 630</w:t>
            </w:r>
          </w:p>
        </w:tc>
      </w:tr>
      <w:tr w:rsidR="000B4802" w:rsidRPr="00632AC5" w:rsidTr="000B4802">
        <w:trPr>
          <w:trHeight w:val="340"/>
        </w:trPr>
        <w:tc>
          <w:tcPr>
            <w:tcW w:w="10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2013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358 435 067</w:t>
            </w:r>
          </w:p>
        </w:tc>
        <w:tc>
          <w:tcPr>
            <w:tcW w:w="137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382 772 733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DB077F">
            <w:pPr>
              <w:ind w:right="126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sz w:val="20"/>
                <w:szCs w:val="20"/>
              </w:rPr>
              <w:t>4 924 392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802" w:rsidRPr="00632AC5" w:rsidRDefault="000B4802" w:rsidP="00F80CB2">
            <w:pPr>
              <w:ind w:right="127" w:firstLine="0"/>
              <w:jc w:val="right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0B4802" w:rsidRPr="00632AC5" w:rsidRDefault="004E6CB5" w:rsidP="00F80CB2">
            <w:pPr>
              <w:ind w:right="17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0B4802" w:rsidRPr="00632AC5">
              <w:rPr>
                <w:rFonts w:asciiTheme="minorHAnsi" w:hAnsiTheme="minorHAnsi" w:cstheme="minorHAnsi"/>
                <w:sz w:val="20"/>
                <w:szCs w:val="20"/>
              </w:rPr>
              <w:t>29 262 058</w:t>
            </w:r>
          </w:p>
        </w:tc>
      </w:tr>
    </w:tbl>
    <w:p w:rsidR="00064576" w:rsidRDefault="00335A65" w:rsidP="00F80CB2">
      <w:pPr>
        <w:ind w:left="567" w:hanging="567"/>
        <w:jc w:val="left"/>
        <w:rPr>
          <w:rFonts w:asciiTheme="minorHAnsi" w:hAnsiTheme="minorHAnsi" w:cstheme="minorHAnsi"/>
          <w:sz w:val="20"/>
          <w:szCs w:val="20"/>
        </w:rPr>
      </w:pPr>
      <w:r w:rsidRPr="00F80CB2">
        <w:rPr>
          <w:rFonts w:asciiTheme="minorHAnsi" w:hAnsiTheme="minorHAnsi" w:cstheme="minorHAnsi"/>
          <w:b/>
          <w:iCs/>
          <w:sz w:val="20"/>
          <w:szCs w:val="20"/>
        </w:rPr>
        <w:t>Zdroj:</w:t>
      </w:r>
      <w:r w:rsidR="00D02B49">
        <w:rPr>
          <w:rFonts w:asciiTheme="minorHAnsi" w:hAnsiTheme="minorHAnsi" w:cstheme="minorHAnsi"/>
          <w:iCs/>
          <w:sz w:val="20"/>
          <w:szCs w:val="20"/>
        </w:rPr>
        <w:tab/>
      </w:r>
      <w:r w:rsidR="00064576">
        <w:rPr>
          <w:rFonts w:asciiTheme="minorHAnsi" w:hAnsiTheme="minorHAnsi" w:cstheme="minorHAnsi"/>
          <w:sz w:val="20"/>
          <w:szCs w:val="20"/>
        </w:rPr>
        <w:t>r</w:t>
      </w:r>
      <w:r w:rsidRPr="00F80CB2">
        <w:rPr>
          <w:rFonts w:asciiTheme="minorHAnsi" w:hAnsiTheme="minorHAnsi" w:cstheme="minorHAnsi"/>
          <w:sz w:val="20"/>
          <w:szCs w:val="20"/>
        </w:rPr>
        <w:t xml:space="preserve">ok 1996 – </w:t>
      </w:r>
      <w:r w:rsidR="00064576">
        <w:rPr>
          <w:rFonts w:asciiTheme="minorHAnsi" w:hAnsiTheme="minorHAnsi" w:cstheme="minorHAnsi"/>
          <w:sz w:val="20"/>
          <w:szCs w:val="20"/>
        </w:rPr>
        <w:t>u</w:t>
      </w:r>
      <w:r w:rsidRPr="00F80CB2">
        <w:rPr>
          <w:rFonts w:asciiTheme="minorHAnsi" w:hAnsiTheme="minorHAnsi" w:cstheme="minorHAnsi"/>
          <w:sz w:val="20"/>
          <w:szCs w:val="20"/>
        </w:rPr>
        <w:t xml:space="preserve">snesení Poslanecké sněmovny č. 418 z 12. schůze 8. července 1997, </w:t>
      </w:r>
    </w:p>
    <w:p w:rsidR="00D87A1D" w:rsidRPr="00F80CB2" w:rsidRDefault="00335A65" w:rsidP="00F80CB2">
      <w:pPr>
        <w:ind w:left="567" w:firstLine="0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F80CB2">
        <w:rPr>
          <w:rFonts w:asciiTheme="minorHAnsi" w:hAnsiTheme="minorHAnsi" w:cstheme="minorHAnsi"/>
          <w:sz w:val="20"/>
          <w:szCs w:val="20"/>
        </w:rPr>
        <w:t xml:space="preserve">roky 1997 až 2012 – </w:t>
      </w:r>
      <w:proofErr w:type="spellStart"/>
      <w:r w:rsidR="00D87A1D" w:rsidRPr="00F80CB2">
        <w:rPr>
          <w:rFonts w:asciiTheme="minorHAnsi" w:hAnsiTheme="minorHAnsi" w:cstheme="minorHAnsi"/>
          <w:sz w:val="20"/>
          <w:szCs w:val="20"/>
        </w:rPr>
        <w:t>SZÚ</w:t>
      </w:r>
      <w:proofErr w:type="spellEnd"/>
      <w:r w:rsidR="00D87A1D" w:rsidRPr="00F80CB2">
        <w:rPr>
          <w:rFonts w:asciiTheme="minorHAnsi" w:hAnsiTheme="minorHAnsi" w:cstheme="minorHAnsi"/>
          <w:iCs/>
          <w:sz w:val="20"/>
          <w:szCs w:val="20"/>
        </w:rPr>
        <w:t xml:space="preserve">, rok 2013 </w:t>
      </w:r>
      <w:r w:rsidR="004E6CB5">
        <w:rPr>
          <w:rFonts w:asciiTheme="minorHAnsi" w:hAnsiTheme="minorHAnsi" w:cstheme="minorHAnsi"/>
          <w:iCs/>
          <w:sz w:val="20"/>
          <w:szCs w:val="20"/>
        </w:rPr>
        <w:t xml:space="preserve">– </w:t>
      </w:r>
      <w:r w:rsidR="00D87A1D" w:rsidRPr="00F80CB2">
        <w:rPr>
          <w:rFonts w:asciiTheme="minorHAnsi" w:hAnsiTheme="minorHAnsi" w:cstheme="minorHAnsi"/>
          <w:iCs/>
          <w:sz w:val="20"/>
          <w:szCs w:val="20"/>
        </w:rPr>
        <w:t xml:space="preserve">návrh </w:t>
      </w:r>
      <w:proofErr w:type="spellStart"/>
      <w:r w:rsidR="00D87A1D" w:rsidRPr="00F80CB2">
        <w:rPr>
          <w:rFonts w:asciiTheme="minorHAnsi" w:hAnsiTheme="minorHAnsi" w:cstheme="minorHAnsi"/>
          <w:iCs/>
          <w:sz w:val="20"/>
          <w:szCs w:val="20"/>
        </w:rPr>
        <w:t>SZÚ</w:t>
      </w:r>
      <w:proofErr w:type="spellEnd"/>
      <w:r w:rsidR="004E6CB5">
        <w:rPr>
          <w:rFonts w:asciiTheme="minorHAnsi" w:hAnsiTheme="minorHAnsi" w:cstheme="minorHAnsi"/>
          <w:iCs/>
          <w:sz w:val="20"/>
          <w:szCs w:val="20"/>
        </w:rPr>
        <w:t>.</w:t>
      </w:r>
    </w:p>
    <w:p w:rsidR="005A270C" w:rsidRPr="00064576" w:rsidRDefault="005A270C" w:rsidP="00D87A1D">
      <w:pPr>
        <w:ind w:firstLine="0"/>
        <w:rPr>
          <w:rFonts w:ascii="Calibri" w:eastAsia="Calibri" w:hAnsi="Calibri" w:cs="Calibri"/>
          <w:b/>
          <w:color w:val="000000"/>
          <w:sz w:val="24"/>
        </w:rPr>
      </w:pPr>
    </w:p>
    <w:p w:rsidR="00D87A1D" w:rsidRPr="00632AC5" w:rsidRDefault="00D87A1D" w:rsidP="00D87A1D">
      <w:pPr>
        <w:ind w:firstLine="0"/>
        <w:rPr>
          <w:rFonts w:ascii="Calibri" w:eastAsia="Calibri" w:hAnsi="Calibri" w:cs="Calibri"/>
          <w:b/>
          <w:color w:val="000000"/>
          <w:sz w:val="24"/>
        </w:rPr>
      </w:pPr>
      <w:r w:rsidRPr="00632AC5">
        <w:rPr>
          <w:rFonts w:ascii="Calibri" w:eastAsia="Calibri" w:hAnsi="Calibri" w:cs="Calibri"/>
          <w:b/>
          <w:color w:val="000000"/>
          <w:sz w:val="24"/>
        </w:rPr>
        <w:t>Položky</w:t>
      </w:r>
      <w:r w:rsidR="002C6B9C">
        <w:rPr>
          <w:rFonts w:ascii="Calibri" w:eastAsia="Calibri" w:hAnsi="Calibri" w:cs="Calibri"/>
          <w:b/>
          <w:color w:val="000000"/>
          <w:sz w:val="24"/>
        </w:rPr>
        <w:t>, které</w:t>
      </w:r>
      <w:r w:rsidRPr="00632AC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2C6B9C" w:rsidRPr="00632AC5">
        <w:rPr>
          <w:rFonts w:ascii="Calibri" w:eastAsia="Calibri" w:hAnsi="Calibri" w:cs="Calibri"/>
          <w:b/>
          <w:color w:val="000000"/>
          <w:sz w:val="24"/>
        </w:rPr>
        <w:t>na straně příjmů</w:t>
      </w:r>
      <w:r w:rsidR="002C6B9C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632AC5">
        <w:rPr>
          <w:rFonts w:ascii="Calibri" w:eastAsia="Calibri" w:hAnsi="Calibri" w:cs="Calibri"/>
          <w:b/>
          <w:color w:val="000000"/>
          <w:sz w:val="24"/>
        </w:rPr>
        <w:t>vstupují v posledních</w:t>
      </w:r>
      <w:r w:rsidR="00632AC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632AC5">
        <w:rPr>
          <w:rFonts w:ascii="Calibri" w:eastAsia="Calibri" w:hAnsi="Calibri" w:cs="Calibri"/>
          <w:b/>
          <w:color w:val="000000"/>
          <w:sz w:val="24"/>
        </w:rPr>
        <w:t xml:space="preserve">letech </w:t>
      </w:r>
      <w:r w:rsidR="00E8271D" w:rsidRPr="00632AC5">
        <w:rPr>
          <w:rFonts w:ascii="Calibri" w:eastAsia="Calibri" w:hAnsi="Calibri" w:cs="Calibri"/>
          <w:b/>
          <w:color w:val="000000"/>
          <w:sz w:val="24"/>
        </w:rPr>
        <w:t xml:space="preserve">nově </w:t>
      </w:r>
      <w:r w:rsidRPr="00632AC5">
        <w:rPr>
          <w:rFonts w:ascii="Calibri" w:eastAsia="Calibri" w:hAnsi="Calibri" w:cs="Calibri"/>
          <w:b/>
          <w:color w:val="000000"/>
          <w:sz w:val="24"/>
        </w:rPr>
        <w:t>do výpočtu</w:t>
      </w:r>
      <w:r w:rsidR="00E8271D" w:rsidRPr="00632AC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2C6B9C">
        <w:rPr>
          <w:rFonts w:ascii="Calibri" w:eastAsia="Calibri" w:hAnsi="Calibri" w:cs="Calibri"/>
          <w:b/>
          <w:color w:val="000000"/>
          <w:sz w:val="24"/>
        </w:rPr>
        <w:t>salda důchodového pojištění</w:t>
      </w:r>
      <w:r w:rsidRPr="00632AC5">
        <w:rPr>
          <w:rFonts w:ascii="Calibri" w:eastAsia="Calibri" w:hAnsi="Calibri" w:cs="Calibri"/>
          <w:b/>
          <w:color w:val="000000"/>
          <w:sz w:val="24"/>
        </w:rPr>
        <w:t>:</w:t>
      </w:r>
    </w:p>
    <w:p w:rsidR="00D87A1D" w:rsidRPr="00161C47" w:rsidRDefault="006965FD" w:rsidP="004F1DD5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Calibri" w:hAnsi="Calibri" w:cs="Calibri"/>
          <w:sz w:val="24"/>
        </w:rPr>
      </w:pPr>
      <w:r w:rsidRPr="00161C47">
        <w:rPr>
          <w:rFonts w:ascii="Calibri" w:hAnsi="Calibri" w:cs="Calibri"/>
          <w:sz w:val="24"/>
        </w:rPr>
        <w:t>Zákonem stanovený podíl</w:t>
      </w:r>
      <w:r w:rsidR="00D87A1D" w:rsidRPr="00161C47">
        <w:rPr>
          <w:rFonts w:ascii="Calibri" w:hAnsi="Calibri" w:cs="Calibri"/>
          <w:sz w:val="24"/>
        </w:rPr>
        <w:t xml:space="preserve"> ve výši 7,2 % výnosu DPH připadající</w:t>
      </w:r>
      <w:r w:rsidR="002B12A9" w:rsidRPr="00161C47">
        <w:rPr>
          <w:rFonts w:ascii="Calibri" w:hAnsi="Calibri" w:cs="Calibri"/>
          <w:sz w:val="24"/>
        </w:rPr>
        <w:t>ho</w:t>
      </w:r>
      <w:r w:rsidRPr="00161C47">
        <w:rPr>
          <w:rFonts w:ascii="Calibri" w:hAnsi="Calibri" w:cs="Calibri"/>
          <w:sz w:val="24"/>
        </w:rPr>
        <w:t xml:space="preserve"> na státní rozpočet snížil</w:t>
      </w:r>
      <w:r w:rsidR="00D87A1D" w:rsidRPr="00161C47">
        <w:rPr>
          <w:rFonts w:ascii="Calibri" w:hAnsi="Calibri" w:cs="Calibri"/>
          <w:sz w:val="24"/>
        </w:rPr>
        <w:t xml:space="preserve"> vypočtený schodek systému důchodového pojištění státu v roce 2012 o</w:t>
      </w:r>
      <w:r w:rsidR="00632AC5" w:rsidRPr="00161C47">
        <w:rPr>
          <w:rFonts w:ascii="Calibri" w:hAnsi="Calibri" w:cs="Calibri"/>
          <w:sz w:val="24"/>
        </w:rPr>
        <w:t xml:space="preserve"> </w:t>
      </w:r>
      <w:r w:rsidR="00D87A1D" w:rsidRPr="00161C47">
        <w:rPr>
          <w:rFonts w:ascii="Calibri" w:hAnsi="Calibri" w:cs="Calibri"/>
          <w:sz w:val="24"/>
        </w:rPr>
        <w:t>14,4 mld. Kč a</w:t>
      </w:r>
      <w:r w:rsidR="00161C47">
        <w:rPr>
          <w:rFonts w:ascii="Calibri" w:hAnsi="Calibri" w:cs="Calibri"/>
          <w:sz w:val="24"/>
        </w:rPr>
        <w:t> </w:t>
      </w:r>
      <w:r w:rsidR="00D87A1D" w:rsidRPr="00161C47">
        <w:rPr>
          <w:rFonts w:ascii="Calibri" w:hAnsi="Calibri" w:cs="Calibri"/>
          <w:sz w:val="24"/>
        </w:rPr>
        <w:t xml:space="preserve">v roce 2013 o 15,8 mld. Kč. </w:t>
      </w:r>
    </w:p>
    <w:p w:rsidR="002432AC" w:rsidRPr="00632AC5" w:rsidRDefault="002C6B9C" w:rsidP="00552E5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„</w:t>
      </w:r>
      <w:r w:rsidR="00D87A1D" w:rsidRPr="00632AC5">
        <w:rPr>
          <w:rFonts w:ascii="Calibri" w:hAnsi="Calibri" w:cs="Calibri"/>
          <w:sz w:val="24"/>
        </w:rPr>
        <w:t xml:space="preserve">Částky na kompenzaci deficitu důchodového systému“ převedené do příjmů státního rozpočtu </w:t>
      </w:r>
      <w:r w:rsidR="00574487">
        <w:rPr>
          <w:rFonts w:ascii="Calibri" w:hAnsi="Calibri" w:cs="Calibri"/>
          <w:sz w:val="24"/>
        </w:rPr>
        <w:t>z </w:t>
      </w:r>
      <w:r w:rsidR="00D87A1D" w:rsidRPr="00632AC5">
        <w:rPr>
          <w:rFonts w:ascii="Calibri" w:hAnsi="Calibri" w:cs="Calibri"/>
          <w:sz w:val="24"/>
        </w:rPr>
        <w:t>prostředků privatizace na základě usnesení</w:t>
      </w:r>
      <w:r w:rsidRPr="00632AC5">
        <w:rPr>
          <w:rFonts w:ascii="Calibri" w:hAnsi="Calibri" w:cs="Calibri"/>
          <w:sz w:val="24"/>
          <w:vertAlign w:val="superscript"/>
        </w:rPr>
        <w:footnoteReference w:id="18"/>
      </w:r>
      <w:r w:rsidR="00D87A1D" w:rsidRPr="00632AC5">
        <w:rPr>
          <w:rFonts w:ascii="Calibri" w:hAnsi="Calibri" w:cs="Calibri"/>
          <w:sz w:val="24"/>
        </w:rPr>
        <w:t xml:space="preserve"> vlády ČR zahrnulo </w:t>
      </w:r>
      <w:r w:rsidR="006965FD" w:rsidRPr="00632AC5">
        <w:rPr>
          <w:rFonts w:ascii="Calibri" w:hAnsi="Calibri" w:cs="Calibri"/>
          <w:sz w:val="24"/>
        </w:rPr>
        <w:t xml:space="preserve">MF </w:t>
      </w:r>
      <w:r w:rsidR="00D87A1D" w:rsidRPr="00632AC5">
        <w:rPr>
          <w:rFonts w:ascii="Calibri" w:hAnsi="Calibri" w:cs="Calibri"/>
          <w:sz w:val="24"/>
        </w:rPr>
        <w:t xml:space="preserve">do výpočtu výsledku hospodaření systému důchodového pojištění státu za rok 2012 </w:t>
      </w:r>
      <w:r>
        <w:rPr>
          <w:rFonts w:ascii="Calibri" w:hAnsi="Calibri" w:cs="Calibri"/>
          <w:sz w:val="24"/>
        </w:rPr>
        <w:t>ve výši</w:t>
      </w:r>
      <w:r w:rsidR="00D87A1D" w:rsidRPr="00632AC5">
        <w:rPr>
          <w:rFonts w:ascii="Calibri" w:hAnsi="Calibri" w:cs="Calibri"/>
          <w:sz w:val="24"/>
        </w:rPr>
        <w:t xml:space="preserve"> 14,4</w:t>
      </w:r>
      <w:r w:rsidR="00161C47">
        <w:rPr>
          <w:rFonts w:ascii="Calibri" w:hAnsi="Calibri" w:cs="Calibri"/>
          <w:sz w:val="24"/>
        </w:rPr>
        <w:t> </w:t>
      </w:r>
      <w:r w:rsidR="00D87A1D" w:rsidRPr="00632AC5">
        <w:rPr>
          <w:rFonts w:ascii="Calibri" w:hAnsi="Calibri" w:cs="Calibri"/>
          <w:sz w:val="24"/>
        </w:rPr>
        <w:t>mld.</w:t>
      </w:r>
      <w:r w:rsidR="00161C47">
        <w:rPr>
          <w:rFonts w:ascii="Calibri" w:hAnsi="Calibri" w:cs="Calibri"/>
          <w:sz w:val="24"/>
        </w:rPr>
        <w:t> </w:t>
      </w:r>
      <w:r w:rsidR="00D87A1D" w:rsidRPr="00632AC5">
        <w:rPr>
          <w:rFonts w:ascii="Calibri" w:hAnsi="Calibri" w:cs="Calibri"/>
          <w:sz w:val="24"/>
        </w:rPr>
        <w:t xml:space="preserve">Kč a za rok 2013 </w:t>
      </w:r>
      <w:r>
        <w:rPr>
          <w:rFonts w:ascii="Calibri" w:hAnsi="Calibri" w:cs="Calibri"/>
          <w:sz w:val="24"/>
        </w:rPr>
        <w:t>ve výši</w:t>
      </w:r>
      <w:r w:rsidR="00D87A1D" w:rsidRPr="00632AC5">
        <w:rPr>
          <w:rFonts w:ascii="Calibri" w:hAnsi="Calibri" w:cs="Calibri"/>
          <w:sz w:val="24"/>
        </w:rPr>
        <w:t xml:space="preserve"> 10 mld. Kč.</w:t>
      </w:r>
    </w:p>
    <w:p w:rsidR="002432AC" w:rsidRPr="00632AC5" w:rsidRDefault="002432AC" w:rsidP="002432AC">
      <w:pPr>
        <w:pStyle w:val="Odstavecseseznamem"/>
        <w:widowControl w:val="0"/>
        <w:autoSpaceDE w:val="0"/>
        <w:autoSpaceDN w:val="0"/>
        <w:adjustRightInd w:val="0"/>
        <w:ind w:left="284" w:firstLine="0"/>
        <w:rPr>
          <w:rFonts w:ascii="Calibri" w:hAnsi="Calibri" w:cs="Calibri"/>
          <w:sz w:val="24"/>
        </w:rPr>
      </w:pPr>
    </w:p>
    <w:p w:rsidR="00D87A1D" w:rsidRPr="00B86CC7" w:rsidRDefault="002432AC" w:rsidP="00D87A1D">
      <w:pPr>
        <w:ind w:firstLine="0"/>
        <w:rPr>
          <w:rFonts w:ascii="Calibri" w:hAnsi="Calibri" w:cs="Calibri"/>
          <w:b/>
          <w:color w:val="000000"/>
          <w:sz w:val="24"/>
        </w:rPr>
      </w:pPr>
      <w:r w:rsidRPr="00632AC5">
        <w:rPr>
          <w:rFonts w:ascii="Calibri" w:eastAsia="Calibri" w:hAnsi="Calibri" w:cs="Calibri"/>
          <w:b/>
          <w:color w:val="000000"/>
          <w:sz w:val="24"/>
        </w:rPr>
        <w:t xml:space="preserve">Kladný i záporný rozdíl mezi příjmy a výdaji v oblasti důchodového pojištění státu se stává součástí celkového výsledku hospodaření státního rozpočtu. </w:t>
      </w:r>
      <w:r w:rsidR="00D87A1D" w:rsidRPr="00632AC5">
        <w:rPr>
          <w:rFonts w:ascii="Calibri" w:hAnsi="Calibri" w:cs="Calibri"/>
          <w:b/>
          <w:color w:val="000000"/>
          <w:sz w:val="24"/>
        </w:rPr>
        <w:t>V případě kladného rozdílu</w:t>
      </w:r>
      <w:r w:rsidRPr="00632AC5">
        <w:rPr>
          <w:rFonts w:ascii="Calibri" w:hAnsi="Calibri" w:cs="Calibri"/>
          <w:b/>
          <w:color w:val="000000"/>
          <w:sz w:val="24"/>
        </w:rPr>
        <w:t xml:space="preserve"> bylo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  <w:r w:rsidRPr="00632AC5">
        <w:rPr>
          <w:rFonts w:ascii="Calibri" w:hAnsi="Calibri" w:cs="Calibri"/>
          <w:b/>
          <w:color w:val="000000"/>
          <w:sz w:val="24"/>
        </w:rPr>
        <w:t xml:space="preserve">MF povinno </w:t>
      </w:r>
      <w:r w:rsidR="00D87A1D" w:rsidRPr="00632AC5">
        <w:rPr>
          <w:rFonts w:ascii="Calibri" w:hAnsi="Calibri" w:cs="Calibri"/>
          <w:b/>
          <w:color w:val="000000"/>
          <w:sz w:val="24"/>
        </w:rPr>
        <w:t xml:space="preserve">přebytek </w:t>
      </w:r>
      <w:r w:rsidRPr="00632AC5">
        <w:rPr>
          <w:rFonts w:ascii="Calibri" w:hAnsi="Calibri" w:cs="Calibri"/>
          <w:b/>
          <w:color w:val="000000"/>
          <w:sz w:val="24"/>
        </w:rPr>
        <w:t xml:space="preserve">převést </w:t>
      </w:r>
      <w:r w:rsidR="00D87A1D" w:rsidRPr="00632AC5">
        <w:rPr>
          <w:rFonts w:ascii="Calibri" w:hAnsi="Calibri" w:cs="Calibri"/>
          <w:b/>
          <w:color w:val="000000"/>
          <w:sz w:val="24"/>
        </w:rPr>
        <w:t xml:space="preserve">na </w:t>
      </w:r>
      <w:proofErr w:type="spellStart"/>
      <w:r w:rsidR="00D87A1D" w:rsidRPr="00632AC5">
        <w:rPr>
          <w:rFonts w:ascii="Calibri" w:hAnsi="Calibri" w:cs="Calibri"/>
          <w:b/>
          <w:color w:val="000000"/>
          <w:sz w:val="24"/>
        </w:rPr>
        <w:t>ZÚDP</w:t>
      </w:r>
      <w:proofErr w:type="spellEnd"/>
      <w:r w:rsidR="00D87A1D" w:rsidRPr="00632AC5">
        <w:rPr>
          <w:rFonts w:ascii="Calibri" w:hAnsi="Calibri" w:cs="Calibri"/>
          <w:b/>
          <w:color w:val="000000"/>
          <w:sz w:val="24"/>
        </w:rPr>
        <w:t xml:space="preserve">, </w:t>
      </w:r>
      <w:r w:rsidRPr="00632AC5">
        <w:rPr>
          <w:rFonts w:ascii="Calibri" w:hAnsi="Calibri" w:cs="Calibri"/>
          <w:b/>
          <w:color w:val="000000"/>
          <w:sz w:val="24"/>
        </w:rPr>
        <w:t>resp.</w:t>
      </w:r>
      <w:r w:rsidR="00632AC5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B86CC7">
        <w:rPr>
          <w:rFonts w:ascii="Calibri" w:hAnsi="Calibri" w:cs="Calibri"/>
          <w:b/>
          <w:color w:val="000000"/>
          <w:sz w:val="24"/>
        </w:rPr>
        <w:t>ZÚRDR</w:t>
      </w:r>
      <w:proofErr w:type="spellEnd"/>
      <w:r w:rsidR="00B86CC7">
        <w:rPr>
          <w:rFonts w:ascii="Calibri" w:hAnsi="Calibri" w:cs="Calibri"/>
          <w:b/>
          <w:color w:val="000000"/>
          <w:sz w:val="24"/>
        </w:rPr>
        <w:t>.</w:t>
      </w:r>
      <w:r w:rsidR="00592E5D">
        <w:rPr>
          <w:rFonts w:ascii="Calibri" w:hAnsi="Calibri" w:cs="Calibri"/>
          <w:b/>
          <w:color w:val="000000"/>
          <w:sz w:val="24"/>
        </w:rPr>
        <w:t xml:space="preserve"> </w:t>
      </w:r>
      <w:r w:rsidR="00552E5D" w:rsidRPr="00632AC5">
        <w:rPr>
          <w:rFonts w:ascii="Calibri" w:hAnsi="Calibri" w:cs="Calibri"/>
          <w:b/>
          <w:sz w:val="24"/>
        </w:rPr>
        <w:t xml:space="preserve">Od roku 2009 k vyrovnání či přebytku </w:t>
      </w:r>
      <w:r w:rsidR="00592E5D">
        <w:rPr>
          <w:rFonts w:ascii="Calibri" w:hAnsi="Calibri" w:cs="Calibri"/>
          <w:b/>
          <w:sz w:val="24"/>
        </w:rPr>
        <w:t>v </w:t>
      </w:r>
      <w:r w:rsidR="00552E5D" w:rsidRPr="00632AC5">
        <w:rPr>
          <w:rFonts w:ascii="Calibri" w:hAnsi="Calibri" w:cs="Calibri"/>
          <w:b/>
          <w:sz w:val="24"/>
        </w:rPr>
        <w:t>systému důchodového pojištění státu nedošlo,</w:t>
      </w:r>
      <w:r w:rsidR="00632AC5">
        <w:rPr>
          <w:rFonts w:ascii="Calibri" w:hAnsi="Calibri" w:cs="Calibri"/>
          <w:b/>
          <w:sz w:val="24"/>
        </w:rPr>
        <w:t xml:space="preserve"> </w:t>
      </w:r>
      <w:r w:rsidR="00552E5D" w:rsidRPr="00632AC5">
        <w:rPr>
          <w:rFonts w:ascii="Calibri" w:hAnsi="Calibri" w:cs="Calibri"/>
          <w:b/>
          <w:sz w:val="24"/>
        </w:rPr>
        <w:t>a to ani po započítání dalších položek vstupujících do výpočtu</w:t>
      </w:r>
      <w:r w:rsidR="00552E5D" w:rsidRPr="00F80CB2">
        <w:rPr>
          <w:rFonts w:ascii="Calibri" w:hAnsi="Calibri" w:cs="Calibri"/>
          <w:b/>
          <w:sz w:val="24"/>
        </w:rPr>
        <w:t>.</w:t>
      </w:r>
      <w:r w:rsidR="00632AC5">
        <w:rPr>
          <w:rFonts w:ascii="Calibri" w:hAnsi="Calibri" w:cs="Calibri"/>
          <w:sz w:val="24"/>
        </w:rPr>
        <w:t xml:space="preserve"> </w:t>
      </w:r>
    </w:p>
    <w:p w:rsidR="00D87A1D" w:rsidRPr="00632AC5" w:rsidRDefault="00B86CC7" w:rsidP="00D87A1D">
      <w:pPr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T</w:t>
      </w:r>
      <w:r w:rsidR="00D87A1D" w:rsidRPr="00632AC5">
        <w:rPr>
          <w:rFonts w:ascii="Calibri" w:hAnsi="Calibri" w:cs="Calibri"/>
          <w:sz w:val="24"/>
        </w:rPr>
        <w:t xml:space="preserve">abulka č. </w:t>
      </w:r>
      <w:r w:rsidR="00A0314E">
        <w:rPr>
          <w:rFonts w:ascii="Calibri" w:hAnsi="Calibri" w:cs="Calibri"/>
          <w:sz w:val="24"/>
        </w:rPr>
        <w:t>7</w:t>
      </w:r>
      <w:r w:rsidR="00D87A1D" w:rsidRPr="00632AC5">
        <w:rPr>
          <w:rFonts w:ascii="Calibri" w:hAnsi="Calibri" w:cs="Calibri"/>
          <w:sz w:val="24"/>
        </w:rPr>
        <w:t xml:space="preserve"> uvádí přehled o hospodaření systému důchodového pojištění státu v letech 2009 až 2013, resp. vyčíslení schodku systému důchodového pojištění státu včetně započítání </w:t>
      </w:r>
      <w:r w:rsidR="00592E5D" w:rsidRPr="00632AC5">
        <w:rPr>
          <w:rFonts w:ascii="Calibri" w:hAnsi="Calibri" w:cs="Calibri"/>
          <w:sz w:val="24"/>
        </w:rPr>
        <w:t>položek</w:t>
      </w:r>
      <w:r w:rsidR="00D87A1D" w:rsidRPr="00632AC5">
        <w:rPr>
          <w:rFonts w:ascii="Calibri" w:hAnsi="Calibri" w:cs="Calibri"/>
          <w:sz w:val="24"/>
        </w:rPr>
        <w:t xml:space="preserve"> uvedených </w:t>
      </w:r>
      <w:r w:rsidR="00592E5D">
        <w:rPr>
          <w:rFonts w:ascii="Calibri" w:hAnsi="Calibri" w:cs="Calibri"/>
          <w:sz w:val="24"/>
        </w:rPr>
        <w:t>v předchozích odstavcích</w:t>
      </w:r>
      <w:r w:rsidR="00D87A1D" w:rsidRPr="00632AC5">
        <w:rPr>
          <w:rFonts w:ascii="Calibri" w:hAnsi="Calibri" w:cs="Calibri"/>
          <w:sz w:val="24"/>
        </w:rPr>
        <w:t xml:space="preserve">. </w:t>
      </w:r>
    </w:p>
    <w:p w:rsidR="00161C47" w:rsidRPr="00632AC5" w:rsidRDefault="00161C47" w:rsidP="00D87A1D">
      <w:pPr>
        <w:ind w:firstLine="0"/>
        <w:rPr>
          <w:rFonts w:ascii="Calibri" w:hAnsi="Calibri" w:cs="Calibri"/>
          <w:sz w:val="24"/>
        </w:rPr>
      </w:pPr>
    </w:p>
    <w:p w:rsidR="00C467E7" w:rsidRPr="00632AC5" w:rsidRDefault="00D87A1D" w:rsidP="00760CD3">
      <w:pPr>
        <w:tabs>
          <w:tab w:val="right" w:pos="9072"/>
        </w:tabs>
        <w:ind w:left="1418" w:hanging="1418"/>
        <w:rPr>
          <w:rFonts w:ascii="Calibri" w:hAnsi="Calibri" w:cs="Calibri"/>
          <w:b/>
          <w:sz w:val="24"/>
        </w:rPr>
      </w:pPr>
      <w:r w:rsidRPr="00632AC5">
        <w:rPr>
          <w:rFonts w:ascii="Calibri" w:hAnsi="Calibri" w:cs="Calibri"/>
          <w:b/>
          <w:sz w:val="24"/>
        </w:rPr>
        <w:t xml:space="preserve">Tabulka č. </w:t>
      </w:r>
      <w:r w:rsidR="00A0314E">
        <w:rPr>
          <w:rFonts w:ascii="Calibri" w:hAnsi="Calibri" w:cs="Calibri"/>
          <w:b/>
          <w:sz w:val="24"/>
        </w:rPr>
        <w:t>7</w:t>
      </w:r>
      <w:r w:rsidRPr="00632AC5">
        <w:rPr>
          <w:rFonts w:ascii="Calibri" w:hAnsi="Calibri" w:cs="Calibri"/>
          <w:b/>
          <w:sz w:val="24"/>
        </w:rPr>
        <w:t xml:space="preserve"> –</w:t>
      </w:r>
      <w:r w:rsidR="00A0314E">
        <w:rPr>
          <w:rFonts w:ascii="Calibri" w:hAnsi="Calibri" w:cs="Calibri"/>
          <w:b/>
          <w:sz w:val="24"/>
        </w:rPr>
        <w:tab/>
      </w:r>
      <w:r w:rsidRPr="00632AC5">
        <w:rPr>
          <w:rFonts w:ascii="Calibri" w:hAnsi="Calibri" w:cs="Calibri"/>
          <w:b/>
          <w:sz w:val="24"/>
        </w:rPr>
        <w:t xml:space="preserve">Hospodaření systému důchodového pojištění státu v letech 2009–2013 </w:t>
      </w:r>
      <w:r w:rsidR="00592E5D">
        <w:rPr>
          <w:rFonts w:ascii="Calibri" w:hAnsi="Calibri" w:cs="Calibri"/>
          <w:b/>
          <w:sz w:val="24"/>
        </w:rPr>
        <w:t>dle údajů</w:t>
      </w:r>
      <w:r w:rsidRPr="00632AC5">
        <w:rPr>
          <w:rFonts w:ascii="Calibri" w:hAnsi="Calibri" w:cs="Calibri"/>
          <w:b/>
          <w:sz w:val="24"/>
        </w:rPr>
        <w:t xml:space="preserve"> </w:t>
      </w:r>
      <w:proofErr w:type="spellStart"/>
      <w:r w:rsidRPr="00632AC5">
        <w:rPr>
          <w:rFonts w:ascii="Calibri" w:hAnsi="Calibri" w:cs="Calibri"/>
          <w:b/>
          <w:sz w:val="24"/>
        </w:rPr>
        <w:t>SZÚ</w:t>
      </w:r>
      <w:proofErr w:type="spellEnd"/>
      <w:r w:rsidR="00161C47">
        <w:rPr>
          <w:rFonts w:ascii="Calibri" w:hAnsi="Calibri" w:cs="Calibri"/>
          <w:b/>
          <w:sz w:val="24"/>
        </w:rPr>
        <w:t xml:space="preserve"> </w:t>
      </w:r>
      <w:r w:rsidR="00760CD3">
        <w:rPr>
          <w:rFonts w:ascii="Calibri" w:hAnsi="Calibri" w:cs="Calibri"/>
          <w:b/>
          <w:sz w:val="24"/>
        </w:rPr>
        <w:tab/>
      </w:r>
      <w:r w:rsidR="00C467E7" w:rsidRPr="00632AC5">
        <w:rPr>
          <w:rFonts w:ascii="Calibri" w:hAnsi="Calibri" w:cs="Calibri"/>
          <w:b/>
          <w:sz w:val="24"/>
        </w:rPr>
        <w:t>(</w:t>
      </w:r>
      <w:r w:rsidR="00574487">
        <w:rPr>
          <w:rFonts w:ascii="Calibri" w:hAnsi="Calibri" w:cs="Calibri"/>
          <w:b/>
          <w:sz w:val="24"/>
        </w:rPr>
        <w:t>v </w:t>
      </w:r>
      <w:r w:rsidR="00C467E7" w:rsidRPr="00632AC5">
        <w:rPr>
          <w:rFonts w:ascii="Calibri" w:hAnsi="Calibri" w:cs="Calibri"/>
          <w:b/>
          <w:sz w:val="24"/>
        </w:rPr>
        <w:t>tis. Kč)</w:t>
      </w:r>
    </w:p>
    <w:tbl>
      <w:tblPr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346"/>
        <w:gridCol w:w="1346"/>
        <w:gridCol w:w="1347"/>
        <w:gridCol w:w="1346"/>
        <w:gridCol w:w="1347"/>
      </w:tblGrid>
      <w:tr w:rsidR="00D87A1D" w:rsidRPr="00632AC5" w:rsidTr="00F80CB2">
        <w:trPr>
          <w:trHeight w:val="25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2013</w:t>
            </w:r>
          </w:p>
        </w:tc>
      </w:tr>
      <w:tr w:rsidR="00D87A1D" w:rsidRPr="00632AC5" w:rsidTr="00F80CB2">
        <w:trPr>
          <w:trHeight w:val="2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Příjmy </w:t>
            </w:r>
            <w:r w:rsidR="005744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 </w:t>
            </w: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pojistného na </w:t>
            </w:r>
            <w:proofErr w:type="spellStart"/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DP</w:t>
            </w:r>
            <w:proofErr w:type="spellEnd"/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celkem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310 310 183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317 881 898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328 004 935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332 101 476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332 597 623</w:t>
            </w:r>
          </w:p>
        </w:tc>
      </w:tr>
      <w:tr w:rsidR="00D87A1D" w:rsidRPr="00632AC5" w:rsidTr="00F80CB2">
        <w:trPr>
          <w:trHeight w:val="2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592E5D" w:rsidRDefault="00574487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 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tom: </w:t>
            </w:r>
          </w:p>
          <w:p w:rsidR="00D87A1D" w:rsidRPr="00632AC5" w:rsidRDefault="00592E5D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příjmy </w:t>
            </w:r>
            <w:r w:rsidR="005744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 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pojistného na </w:t>
            </w:r>
            <w:proofErr w:type="spellStart"/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</w:t>
            </w:r>
            <w:proofErr w:type="spellEnd"/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310 207 741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317 772 180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327 880 562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331 970 876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332 459 451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:rsidR="00D87A1D" w:rsidRPr="00632AC5" w:rsidRDefault="00592E5D" w:rsidP="00F80CB2">
            <w:pPr>
              <w:ind w:left="113" w:hanging="11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příjmy </w:t>
            </w:r>
            <w:r w:rsidR="005744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 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dobrovolného pojistného na </w:t>
            </w:r>
            <w:proofErr w:type="spellStart"/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</w:t>
            </w:r>
            <w:proofErr w:type="spellEnd"/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102 442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109 718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124 373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130 600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138 172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Příjmy na základě UV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14 400 000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10 000 000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Příjem </w:t>
            </w:r>
            <w:r w:rsidR="00592E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ve výši </w:t>
            </w: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7,2</w:t>
            </w:r>
            <w:r w:rsidR="004F1DD5"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% výnosu DPH připadající</w:t>
            </w:r>
            <w:r w:rsidR="00592E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ho</w:t>
            </w: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na SR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14 379 444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15 837 444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Výdaje na </w:t>
            </w:r>
            <w:proofErr w:type="spellStart"/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DDP</w:t>
            </w:r>
            <w:proofErr w:type="spellEnd"/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 výdaje na správu celkem</w:t>
            </w:r>
          </w:p>
        </w:tc>
        <w:tc>
          <w:tcPr>
            <w:tcW w:w="1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347 138 269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353 498 813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373 358 193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387 054 550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387 697 125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030810" w:rsidRDefault="00574487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 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tom: </w:t>
            </w:r>
          </w:p>
          <w:p w:rsidR="00D87A1D" w:rsidRPr="00632AC5" w:rsidRDefault="00030810" w:rsidP="00D87A1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výdaje na </w:t>
            </w:r>
            <w:proofErr w:type="spellStart"/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DDP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339 788 293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346 212 942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368 068 831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382 031 343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382 772 733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D87A1D" w:rsidRPr="00632AC5" w:rsidRDefault="00030810" w:rsidP="00030810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87A1D"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výdaje na správu</w:t>
            </w:r>
          </w:p>
        </w:tc>
        <w:tc>
          <w:tcPr>
            <w:tcW w:w="1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7 349 976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7 285 871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5 289 362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5 023 207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4 924 392</w:t>
            </w:r>
          </w:p>
        </w:tc>
      </w:tr>
      <w:tr w:rsidR="00D87A1D" w:rsidRPr="00632AC5" w:rsidTr="00F80CB2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87A1D" w:rsidRPr="00632AC5" w:rsidRDefault="00D87A1D" w:rsidP="00F80CB2">
            <w:pPr>
              <w:ind w:right="57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87A1D" w:rsidRPr="00632AC5" w:rsidTr="00F80CB2">
        <w:trPr>
          <w:trHeight w:val="5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:rsidR="00D87A1D" w:rsidRPr="00632AC5" w:rsidRDefault="00D87A1D" w:rsidP="00D87A1D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Rozdíl příjmů a výdajů uvedený ve </w:t>
            </w:r>
            <w:proofErr w:type="spellStart"/>
            <w:r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SZÚ</w:t>
            </w:r>
            <w:proofErr w:type="spellEnd"/>
          </w:p>
          <w:p w:rsidR="00D87A1D" w:rsidRPr="00632AC5" w:rsidRDefault="00D87A1D" w:rsidP="000308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32A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(přebytek +, schodek </w:t>
            </w:r>
            <w:r w:rsidR="00030810"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Pr="00632A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592E5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D87A1D"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36 828 086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592E5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D87A1D"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35 616 915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592E5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D87A1D"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45 353 258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7A1D" w:rsidRPr="00632AC5" w:rsidRDefault="00592E5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D87A1D"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26 173 630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7A1D" w:rsidRPr="00632AC5" w:rsidRDefault="00592E5D" w:rsidP="00F80CB2">
            <w:pPr>
              <w:ind w:right="57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18AD">
              <w:rPr>
                <w:rFonts w:ascii="Calibri" w:hAnsi="Calibri" w:cs="Calibri"/>
                <w:sz w:val="20"/>
                <w:szCs w:val="20"/>
              </w:rPr>
              <w:t>−</w:t>
            </w:r>
            <w:r w:rsidR="00D87A1D" w:rsidRPr="00632A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29 262 058</w:t>
            </w:r>
          </w:p>
        </w:tc>
      </w:tr>
    </w:tbl>
    <w:p w:rsidR="00D87A1D" w:rsidRPr="00F80CB2" w:rsidRDefault="00D87A1D" w:rsidP="00D87A1D">
      <w:pPr>
        <w:widowControl w:val="0"/>
        <w:autoSpaceDE w:val="0"/>
        <w:autoSpaceDN w:val="0"/>
        <w:adjustRightInd w:val="0"/>
        <w:ind w:firstLine="0"/>
        <w:rPr>
          <w:rFonts w:ascii="Calibri" w:eastAsia="Calibri" w:hAnsi="Calibri" w:cs="Calibri"/>
          <w:sz w:val="20"/>
          <w:szCs w:val="20"/>
        </w:rPr>
      </w:pPr>
      <w:r w:rsidRPr="00F80CB2">
        <w:rPr>
          <w:rFonts w:ascii="Calibri" w:eastAsia="Calibri" w:hAnsi="Calibri" w:cs="Calibri"/>
          <w:b/>
          <w:sz w:val="20"/>
          <w:szCs w:val="20"/>
        </w:rPr>
        <w:t>Zdroj:</w:t>
      </w:r>
      <w:r w:rsidRPr="00F80CB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80CB2">
        <w:rPr>
          <w:rFonts w:ascii="Calibri" w:eastAsia="Calibri" w:hAnsi="Calibri" w:cs="Calibri"/>
          <w:sz w:val="20"/>
          <w:szCs w:val="20"/>
        </w:rPr>
        <w:t>SZÚ</w:t>
      </w:r>
      <w:proofErr w:type="spellEnd"/>
      <w:r w:rsidRPr="00F80CB2">
        <w:rPr>
          <w:rFonts w:ascii="Calibri" w:eastAsia="Calibri" w:hAnsi="Calibri" w:cs="Calibri"/>
          <w:sz w:val="20"/>
          <w:szCs w:val="20"/>
        </w:rPr>
        <w:t xml:space="preserve"> za roky 2009–2013</w:t>
      </w:r>
      <w:r w:rsidR="00592E5D">
        <w:rPr>
          <w:rFonts w:ascii="Calibri" w:eastAsia="Calibri" w:hAnsi="Calibri" w:cs="Calibri"/>
          <w:sz w:val="20"/>
          <w:szCs w:val="20"/>
        </w:rPr>
        <w:t>.</w:t>
      </w:r>
    </w:p>
    <w:p w:rsidR="00416807" w:rsidRDefault="00416807" w:rsidP="00D87A1D">
      <w:pPr>
        <w:ind w:firstLine="0"/>
        <w:rPr>
          <w:rFonts w:ascii="Calibri" w:eastAsia="Calibri" w:hAnsi="Calibri" w:cs="Calibri"/>
          <w:iCs/>
          <w:sz w:val="24"/>
          <w:lang w:eastAsia="cs-CZ"/>
        </w:rPr>
      </w:pPr>
    </w:p>
    <w:p w:rsidR="00D87A1D" w:rsidRPr="00632AC5" w:rsidRDefault="00BF6421" w:rsidP="00D87A1D">
      <w:pPr>
        <w:ind w:firstLine="0"/>
        <w:rPr>
          <w:rFonts w:ascii="Calibri" w:hAnsi="Calibri" w:cs="Calibri"/>
          <w:bCs/>
          <w:sz w:val="24"/>
        </w:rPr>
      </w:pPr>
      <w:r w:rsidRPr="00632AC5">
        <w:rPr>
          <w:rFonts w:ascii="Calibri" w:hAnsi="Calibri" w:cs="Calibri"/>
          <w:b/>
          <w:sz w:val="24"/>
        </w:rPr>
        <w:t>S</w:t>
      </w:r>
      <w:r w:rsidR="00D87A1D" w:rsidRPr="00632AC5">
        <w:rPr>
          <w:rFonts w:ascii="Calibri" w:hAnsi="Calibri" w:cs="Calibri"/>
          <w:b/>
          <w:sz w:val="24"/>
        </w:rPr>
        <w:t>ledování výdajů na správu</w:t>
      </w:r>
    </w:p>
    <w:p w:rsidR="00436725" w:rsidRDefault="00D87A1D" w:rsidP="00F80CB2">
      <w:pPr>
        <w:spacing w:before="120"/>
        <w:ind w:firstLine="0"/>
        <w:outlineLvl w:val="3"/>
        <w:rPr>
          <w:rFonts w:ascii="Calibri" w:hAnsi="Calibri" w:cs="Calibri"/>
          <w:iCs/>
          <w:color w:val="000000"/>
          <w:sz w:val="24"/>
          <w:lang w:eastAsia="cs-CZ"/>
        </w:rPr>
      </w:pPr>
      <w:r w:rsidRPr="00632AC5">
        <w:rPr>
          <w:rFonts w:ascii="Calibri" w:hAnsi="Calibri" w:cs="Calibri"/>
          <w:iCs/>
          <w:color w:val="000000"/>
          <w:sz w:val="24"/>
          <w:lang w:eastAsia="cs-CZ"/>
        </w:rPr>
        <w:t>MF</w:t>
      </w:r>
      <w:r w:rsidRPr="00632AC5" w:rsidDel="004504CD">
        <w:rPr>
          <w:rFonts w:ascii="Calibri" w:hAnsi="Calibri" w:cs="Calibri"/>
          <w:iCs/>
          <w:color w:val="000000"/>
          <w:sz w:val="24"/>
          <w:lang w:eastAsia="cs-CZ"/>
        </w:rPr>
        <w:t xml:space="preserve"> 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>vyhláškou č. 76/2005 Sb.</w:t>
      </w:r>
      <w:r w:rsidRPr="00632AC5" w:rsidDel="004504CD">
        <w:rPr>
          <w:rFonts w:ascii="Calibri" w:hAnsi="Calibri" w:cs="Calibri"/>
          <w:iCs/>
          <w:color w:val="000000"/>
          <w:sz w:val="24"/>
          <w:lang w:eastAsia="cs-CZ"/>
        </w:rPr>
        <w:t xml:space="preserve"> 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>stanovilo výpočet výdajů na správu na základě sazeb pojistného na důchodové a nemocenské pojištění (prostřednictvím koeficientu) a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 xml:space="preserve"> na základě 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výdajů na </w:t>
      </w:r>
      <w:r w:rsidR="00E1431C">
        <w:rPr>
          <w:rFonts w:ascii="Calibri" w:hAnsi="Calibri" w:cs="Calibri"/>
          <w:iCs/>
          <w:color w:val="000000"/>
          <w:sz w:val="24"/>
          <w:lang w:eastAsia="cs-CZ"/>
        </w:rPr>
        <w:t>dávky důchodového pojištění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u</w:t>
      </w:r>
      <w:r w:rsidR="002413C4">
        <w:rPr>
          <w:rFonts w:ascii="Calibri" w:hAnsi="Calibri" w:cs="Calibri"/>
          <w:iCs/>
          <w:color w:val="000000"/>
          <w:sz w:val="24"/>
          <w:lang w:eastAsia="cs-CZ"/>
        </w:rPr>
        <w:t xml:space="preserve"> 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orgánů sociálního zabezpečení. 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Tento způsob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zjišťov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ání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výdaj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ů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na správu 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nedává přehled o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jejich skutečn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é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výši, ale j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e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odhadem a poskytuj</w:t>
      </w:r>
      <w:r w:rsidR="00030810">
        <w:rPr>
          <w:rFonts w:ascii="Calibri" w:hAnsi="Calibri" w:cs="Calibri"/>
          <w:iCs/>
          <w:color w:val="000000"/>
          <w:sz w:val="24"/>
          <w:lang w:eastAsia="cs-CZ"/>
        </w:rPr>
        <w:t>e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 pouze rámcový </w:t>
      </w:r>
      <w:r w:rsidR="002B12A9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a </w:t>
      </w:r>
      <w:r w:rsidR="00F13F82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ve srovnání </w:t>
      </w:r>
      <w:r w:rsidR="00574487">
        <w:rPr>
          <w:rFonts w:ascii="Calibri" w:hAnsi="Calibri" w:cs="Calibri"/>
          <w:iCs/>
          <w:color w:val="000000"/>
          <w:sz w:val="24"/>
          <w:lang w:eastAsia="cs-CZ"/>
        </w:rPr>
        <w:t>s </w:t>
      </w:r>
      <w:r w:rsidR="00F13F82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jinými oblastmi státní správy </w:t>
      </w:r>
      <w:r w:rsidR="002B12A9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ojedinělý </w:t>
      </w:r>
      <w:r w:rsidRPr="00632AC5">
        <w:rPr>
          <w:rFonts w:ascii="Calibri" w:hAnsi="Calibri" w:cs="Calibri"/>
          <w:iCs/>
          <w:color w:val="000000"/>
          <w:sz w:val="24"/>
          <w:lang w:eastAsia="cs-CZ"/>
        </w:rPr>
        <w:t>přehled o výdajích správních orgánů spojených s výb</w:t>
      </w:r>
      <w:r w:rsidR="00436725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ěrem pojistného a výplatou </w:t>
      </w:r>
      <w:r w:rsidR="006A2B87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dávek důchodového pojištění. </w:t>
      </w:r>
    </w:p>
    <w:p w:rsidR="005A270C" w:rsidRPr="00632AC5" w:rsidRDefault="005A270C" w:rsidP="00F80CB2">
      <w:pPr>
        <w:ind w:firstLine="0"/>
        <w:outlineLvl w:val="3"/>
        <w:rPr>
          <w:rFonts w:ascii="Calibri" w:hAnsi="Calibri" w:cs="Calibri"/>
          <w:iCs/>
          <w:color w:val="000000"/>
          <w:sz w:val="24"/>
          <w:lang w:eastAsia="cs-CZ"/>
        </w:rPr>
      </w:pPr>
    </w:p>
    <w:p w:rsidR="00436725" w:rsidRPr="00C63CCB" w:rsidRDefault="00436725" w:rsidP="00F80CB2">
      <w:pPr>
        <w:ind w:firstLine="0"/>
        <w:outlineLvl w:val="3"/>
        <w:rPr>
          <w:rFonts w:ascii="Calibri" w:hAnsi="Calibri" w:cs="Calibri"/>
          <w:b/>
          <w:iCs/>
          <w:color w:val="000000"/>
          <w:sz w:val="24"/>
          <w:lang w:eastAsia="cs-CZ"/>
        </w:rPr>
      </w:pPr>
      <w:r w:rsidRPr="00632AC5">
        <w:rPr>
          <w:rFonts w:ascii="Calibri" w:hAnsi="Calibri" w:cs="Calibri"/>
          <w:iCs/>
          <w:color w:val="000000"/>
          <w:sz w:val="24"/>
          <w:lang w:eastAsia="cs-CZ"/>
        </w:rPr>
        <w:t>O</w:t>
      </w:r>
      <w:r w:rsidR="00D87A1D" w:rsidRPr="00632AC5">
        <w:rPr>
          <w:rFonts w:ascii="Calibri" w:hAnsi="Calibri" w:cs="Calibri"/>
          <w:iCs/>
          <w:color w:val="000000"/>
          <w:sz w:val="24"/>
          <w:lang w:eastAsia="cs-CZ"/>
        </w:rPr>
        <w:t xml:space="preserve">dhadování a zjišťování výše výdajů na správu nemá kromě zahrnutí do výpočtu rozdílu příjmů a výdajů důchodového pojištění další využití. </w:t>
      </w:r>
      <w:r w:rsidRPr="00C63CCB">
        <w:rPr>
          <w:rFonts w:ascii="Calibri" w:hAnsi="Calibri" w:cs="Calibri"/>
          <w:b/>
          <w:iCs/>
          <w:color w:val="000000"/>
          <w:sz w:val="24"/>
          <w:lang w:eastAsia="cs-CZ"/>
        </w:rPr>
        <w:t xml:space="preserve">NKÚ považuje zjišťování a započítávání tzv. správních výdajů do výdajů na dávky důchodového pojištění za </w:t>
      </w:r>
      <w:r w:rsidR="004A60BB" w:rsidRPr="00C63CCB">
        <w:rPr>
          <w:rFonts w:ascii="Calibri" w:hAnsi="Calibri" w:cs="Calibri"/>
          <w:b/>
          <w:iCs/>
          <w:color w:val="000000"/>
          <w:sz w:val="24"/>
          <w:lang w:eastAsia="cs-CZ"/>
        </w:rPr>
        <w:t xml:space="preserve">neodůvodněné </w:t>
      </w:r>
      <w:r w:rsidR="00335A65" w:rsidRPr="00C63CCB">
        <w:rPr>
          <w:rFonts w:ascii="Calibri" w:hAnsi="Calibri" w:cs="Calibri"/>
          <w:b/>
          <w:iCs/>
          <w:color w:val="000000"/>
          <w:sz w:val="24"/>
          <w:lang w:eastAsia="cs-CZ"/>
        </w:rPr>
        <w:t>a</w:t>
      </w:r>
      <w:r w:rsidR="00A0314E">
        <w:rPr>
          <w:rFonts w:ascii="Calibri" w:hAnsi="Calibri" w:cs="Calibri"/>
          <w:b/>
          <w:iCs/>
          <w:color w:val="000000"/>
          <w:sz w:val="24"/>
          <w:lang w:eastAsia="cs-CZ"/>
        </w:rPr>
        <w:t> </w:t>
      </w:r>
      <w:r w:rsidRPr="00C63CCB">
        <w:rPr>
          <w:rFonts w:ascii="Calibri" w:hAnsi="Calibri" w:cs="Calibri"/>
          <w:b/>
          <w:iCs/>
          <w:color w:val="000000"/>
          <w:sz w:val="24"/>
          <w:lang w:eastAsia="cs-CZ"/>
        </w:rPr>
        <w:t>zkreslující</w:t>
      </w:r>
      <w:r w:rsidR="00B86CC7">
        <w:rPr>
          <w:rFonts w:ascii="Calibri" w:hAnsi="Calibri" w:cs="Calibri"/>
          <w:b/>
          <w:iCs/>
          <w:color w:val="000000"/>
          <w:sz w:val="24"/>
          <w:lang w:eastAsia="cs-CZ"/>
        </w:rPr>
        <w:t xml:space="preserve"> celkový stav. V </w:t>
      </w:r>
      <w:r w:rsidR="002413C4">
        <w:rPr>
          <w:rFonts w:ascii="Calibri" w:hAnsi="Calibri" w:cs="Calibri"/>
          <w:b/>
          <w:iCs/>
          <w:color w:val="000000"/>
          <w:sz w:val="24"/>
          <w:lang w:eastAsia="cs-CZ"/>
        </w:rPr>
        <w:t>období</w:t>
      </w:r>
      <w:r w:rsidR="00B86CC7">
        <w:rPr>
          <w:rFonts w:ascii="Calibri" w:hAnsi="Calibri" w:cs="Calibri"/>
          <w:b/>
          <w:iCs/>
          <w:color w:val="000000"/>
          <w:sz w:val="24"/>
          <w:lang w:eastAsia="cs-CZ"/>
        </w:rPr>
        <w:t xml:space="preserve">, kdy systém vykazoval přebytek, tj. v letech 2004 až 2008, by nezapočítávání těchto položek znamenalo vyšší převod na </w:t>
      </w:r>
      <w:proofErr w:type="spellStart"/>
      <w:r w:rsidR="00B86CC7">
        <w:rPr>
          <w:rFonts w:ascii="Calibri" w:hAnsi="Calibri" w:cs="Calibri"/>
          <w:b/>
          <w:iCs/>
          <w:color w:val="000000"/>
          <w:sz w:val="24"/>
          <w:lang w:eastAsia="cs-CZ"/>
        </w:rPr>
        <w:t>ZÚDP</w:t>
      </w:r>
      <w:proofErr w:type="spellEnd"/>
      <w:r w:rsidR="00B86CC7">
        <w:rPr>
          <w:rFonts w:ascii="Calibri" w:hAnsi="Calibri" w:cs="Calibri"/>
          <w:b/>
          <w:iCs/>
          <w:color w:val="000000"/>
          <w:sz w:val="24"/>
          <w:lang w:eastAsia="cs-CZ"/>
        </w:rPr>
        <w:t xml:space="preserve"> o více než 22</w:t>
      </w:r>
      <w:r w:rsidR="00A0314E">
        <w:rPr>
          <w:rFonts w:ascii="Calibri" w:hAnsi="Calibri" w:cs="Calibri"/>
          <w:b/>
          <w:iCs/>
          <w:color w:val="000000"/>
          <w:sz w:val="24"/>
          <w:lang w:eastAsia="cs-CZ"/>
        </w:rPr>
        <w:t> </w:t>
      </w:r>
      <w:r w:rsidR="00B86CC7">
        <w:rPr>
          <w:rFonts w:ascii="Calibri" w:hAnsi="Calibri" w:cs="Calibri"/>
          <w:b/>
          <w:iCs/>
          <w:color w:val="000000"/>
          <w:sz w:val="24"/>
          <w:lang w:eastAsia="cs-CZ"/>
        </w:rPr>
        <w:t>mld. Kč.</w:t>
      </w:r>
    </w:p>
    <w:p w:rsidR="00C467E7" w:rsidRPr="00632AC5" w:rsidRDefault="00C467E7">
      <w:pPr>
        <w:ind w:firstLine="0"/>
        <w:jc w:val="left"/>
        <w:rPr>
          <w:rFonts w:ascii="Calibri" w:hAnsi="Calibri" w:cs="Calibri"/>
          <w:b/>
          <w:bCs/>
          <w:sz w:val="24"/>
        </w:rPr>
      </w:pPr>
    </w:p>
    <w:p w:rsidR="00D87A1D" w:rsidRPr="00632AC5" w:rsidRDefault="00436725" w:rsidP="00F80CB2">
      <w:pPr>
        <w:keepNext/>
        <w:ind w:firstLine="0"/>
        <w:rPr>
          <w:rFonts w:ascii="Calibri" w:hAnsi="Calibri" w:cs="Calibri"/>
          <w:bCs/>
          <w:sz w:val="24"/>
        </w:rPr>
      </w:pPr>
      <w:r w:rsidRPr="00B86CC7">
        <w:rPr>
          <w:rFonts w:ascii="Calibri" w:hAnsi="Calibri" w:cs="Calibri"/>
          <w:bCs/>
          <w:sz w:val="24"/>
        </w:rPr>
        <w:t xml:space="preserve">NKÚ </w:t>
      </w:r>
      <w:r w:rsidR="00F1533C" w:rsidRPr="00B86CC7">
        <w:rPr>
          <w:rFonts w:ascii="Calibri" w:hAnsi="Calibri" w:cs="Calibri"/>
          <w:bCs/>
          <w:sz w:val="24"/>
        </w:rPr>
        <w:t>zjistil</w:t>
      </w:r>
      <w:r w:rsidR="00632AC5" w:rsidRPr="00B86CC7">
        <w:rPr>
          <w:rFonts w:ascii="Calibri" w:hAnsi="Calibri" w:cs="Calibri"/>
          <w:bCs/>
          <w:sz w:val="24"/>
        </w:rPr>
        <w:t xml:space="preserve"> </w:t>
      </w:r>
      <w:r w:rsidRPr="00B86CC7">
        <w:rPr>
          <w:rFonts w:ascii="Calibri" w:hAnsi="Calibri" w:cs="Calibri"/>
          <w:bCs/>
          <w:sz w:val="24"/>
        </w:rPr>
        <w:t>v</w:t>
      </w:r>
      <w:r w:rsidR="00E1431C" w:rsidRPr="00B86CC7">
        <w:rPr>
          <w:rFonts w:ascii="Calibri" w:hAnsi="Calibri" w:cs="Calibri"/>
          <w:bCs/>
          <w:sz w:val="24"/>
        </w:rPr>
        <w:t> </w:t>
      </w:r>
      <w:r w:rsidRPr="00B86CC7">
        <w:rPr>
          <w:rFonts w:ascii="Calibri" w:hAnsi="Calibri" w:cs="Calibri"/>
          <w:bCs/>
          <w:sz w:val="24"/>
        </w:rPr>
        <w:t>postupech</w:t>
      </w:r>
      <w:r w:rsidR="00E1431C" w:rsidRPr="00B86CC7">
        <w:rPr>
          <w:rFonts w:ascii="Calibri" w:hAnsi="Calibri" w:cs="Calibri"/>
          <w:bCs/>
          <w:sz w:val="24"/>
        </w:rPr>
        <w:t xml:space="preserve"> MF</w:t>
      </w:r>
      <w:r w:rsidR="00632AC5" w:rsidRPr="00B86CC7">
        <w:rPr>
          <w:rFonts w:ascii="Calibri" w:hAnsi="Calibri" w:cs="Calibri"/>
          <w:bCs/>
          <w:sz w:val="24"/>
        </w:rPr>
        <w:t xml:space="preserve"> </w:t>
      </w:r>
      <w:r w:rsidR="00D87A1D" w:rsidRPr="00B86CC7">
        <w:rPr>
          <w:rFonts w:ascii="Calibri" w:hAnsi="Calibri" w:cs="Calibri"/>
          <w:bCs/>
          <w:sz w:val="24"/>
        </w:rPr>
        <w:t>týkající</w:t>
      </w:r>
      <w:r w:rsidRPr="00B86CC7">
        <w:rPr>
          <w:rFonts w:ascii="Calibri" w:hAnsi="Calibri" w:cs="Calibri"/>
          <w:bCs/>
          <w:sz w:val="24"/>
        </w:rPr>
        <w:t xml:space="preserve">ch </w:t>
      </w:r>
      <w:r w:rsidR="00D87A1D" w:rsidRPr="00B86CC7">
        <w:rPr>
          <w:rFonts w:ascii="Calibri" w:hAnsi="Calibri" w:cs="Calibri"/>
          <w:bCs/>
          <w:sz w:val="24"/>
        </w:rPr>
        <w:t>se</w:t>
      </w:r>
      <w:r w:rsidR="002413C4">
        <w:rPr>
          <w:rFonts w:ascii="Calibri" w:hAnsi="Calibri" w:cs="Calibri"/>
          <w:bCs/>
          <w:sz w:val="24"/>
        </w:rPr>
        <w:t xml:space="preserve"> </w:t>
      </w:r>
      <w:r w:rsidR="00D87A1D" w:rsidRPr="00B86CC7">
        <w:rPr>
          <w:rFonts w:ascii="Calibri" w:hAnsi="Calibri" w:cs="Calibri"/>
          <w:bCs/>
          <w:sz w:val="24"/>
        </w:rPr>
        <w:t>výpočtu rozdílu mezi příjmy a</w:t>
      </w:r>
      <w:r w:rsidR="002413C4">
        <w:rPr>
          <w:rFonts w:ascii="Calibri" w:hAnsi="Calibri" w:cs="Calibri"/>
          <w:bCs/>
          <w:sz w:val="24"/>
        </w:rPr>
        <w:t xml:space="preserve"> </w:t>
      </w:r>
      <w:r w:rsidR="00D87A1D" w:rsidRPr="00B86CC7">
        <w:rPr>
          <w:rFonts w:ascii="Calibri" w:hAnsi="Calibri" w:cs="Calibri"/>
          <w:bCs/>
          <w:sz w:val="24"/>
        </w:rPr>
        <w:t>výdaji v oblasti důchodového pojištění i další nedostatky:</w:t>
      </w:r>
    </w:p>
    <w:p w:rsidR="00C467E7" w:rsidRPr="00632AC5" w:rsidRDefault="00C467E7" w:rsidP="00F80CB2">
      <w:pPr>
        <w:keepNext/>
        <w:ind w:firstLine="0"/>
        <w:rPr>
          <w:rFonts w:ascii="Calibri" w:hAnsi="Calibri" w:cs="Calibri"/>
          <w:bCs/>
          <w:sz w:val="24"/>
        </w:rPr>
      </w:pPr>
    </w:p>
    <w:p w:rsidR="00BF6421" w:rsidRPr="00F80CB2" w:rsidRDefault="00D87A1D" w:rsidP="00F80CB2">
      <w:pPr>
        <w:keepNext/>
        <w:ind w:firstLine="0"/>
        <w:rPr>
          <w:rFonts w:ascii="Calibri" w:hAnsi="Calibri" w:cs="Calibri"/>
          <w:b/>
          <w:bCs/>
          <w:sz w:val="24"/>
        </w:rPr>
      </w:pPr>
      <w:r w:rsidRPr="00632AC5">
        <w:rPr>
          <w:rFonts w:ascii="Calibri" w:hAnsi="Calibri" w:cs="Calibri"/>
          <w:bCs/>
          <w:sz w:val="24"/>
        </w:rPr>
        <w:t xml:space="preserve">• </w:t>
      </w:r>
      <w:r w:rsidRPr="00F80CB2">
        <w:rPr>
          <w:rFonts w:ascii="Calibri" w:hAnsi="Calibri" w:cs="Calibri"/>
          <w:b/>
          <w:bCs/>
          <w:sz w:val="24"/>
        </w:rPr>
        <w:t>Příjmy související s oblastí důchodového pojištění (vrácené přeplatky důchodů)</w:t>
      </w:r>
    </w:p>
    <w:p w:rsidR="00D87A1D" w:rsidRPr="00632AC5" w:rsidRDefault="00B86CC7" w:rsidP="00F80CB2">
      <w:pPr>
        <w:keepNext/>
        <w:ind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Podle právní úpravy se </w:t>
      </w:r>
      <w:r w:rsidR="00BF6421" w:rsidRPr="00632AC5">
        <w:rPr>
          <w:rFonts w:ascii="Calibri" w:hAnsi="Calibri" w:cs="Calibri"/>
          <w:bCs/>
          <w:sz w:val="24"/>
        </w:rPr>
        <w:t xml:space="preserve">do výpočtu výsledku hospodaření systému důchodového pojištění státu </w:t>
      </w:r>
      <w:r w:rsidR="00A16E00">
        <w:rPr>
          <w:rFonts w:ascii="Calibri" w:hAnsi="Calibri" w:cs="Calibri"/>
          <w:bCs/>
          <w:sz w:val="24"/>
        </w:rPr>
        <w:t>ne</w:t>
      </w:r>
      <w:r w:rsidR="00D87A1D" w:rsidRPr="00632AC5">
        <w:rPr>
          <w:rFonts w:ascii="Calibri" w:hAnsi="Calibri" w:cs="Calibri"/>
          <w:bCs/>
          <w:sz w:val="24"/>
        </w:rPr>
        <w:t>započítá</w:t>
      </w:r>
      <w:r w:rsidR="00A16E00">
        <w:rPr>
          <w:rFonts w:ascii="Calibri" w:hAnsi="Calibri" w:cs="Calibri"/>
          <w:bCs/>
          <w:sz w:val="24"/>
        </w:rPr>
        <w:t>vají další příjmy související</w:t>
      </w:r>
      <w:r w:rsidR="00D87A1D" w:rsidRPr="00632AC5">
        <w:rPr>
          <w:rFonts w:ascii="Calibri" w:hAnsi="Calibri" w:cs="Calibri"/>
          <w:bCs/>
          <w:sz w:val="24"/>
        </w:rPr>
        <w:t xml:space="preserve"> s oblastí důchodového pojištění. Jedná se </w:t>
      </w:r>
      <w:r w:rsidR="00D87A1D" w:rsidRPr="00632AC5">
        <w:rPr>
          <w:rFonts w:ascii="Calibri" w:hAnsi="Calibri" w:cs="Calibri"/>
          <w:bCs/>
          <w:sz w:val="24"/>
        </w:rPr>
        <w:lastRenderedPageBreak/>
        <w:t xml:space="preserve">především o přeplatky dávek důchodového pojištění </w:t>
      </w:r>
      <w:r w:rsidR="002413C4" w:rsidRPr="00632AC5">
        <w:rPr>
          <w:rFonts w:ascii="Calibri" w:hAnsi="Calibri" w:cs="Calibri"/>
          <w:bCs/>
          <w:sz w:val="24"/>
        </w:rPr>
        <w:t xml:space="preserve">vrácené </w:t>
      </w:r>
      <w:r w:rsidR="00D87A1D" w:rsidRPr="00632AC5">
        <w:rPr>
          <w:rFonts w:ascii="Calibri" w:hAnsi="Calibri" w:cs="Calibri"/>
          <w:bCs/>
          <w:sz w:val="24"/>
        </w:rPr>
        <w:t>v následujících letech</w:t>
      </w:r>
      <w:r w:rsidR="002413C4">
        <w:rPr>
          <w:rFonts w:ascii="Calibri" w:hAnsi="Calibri" w:cs="Calibri"/>
          <w:bCs/>
          <w:sz w:val="24"/>
        </w:rPr>
        <w:t>.</w:t>
      </w:r>
      <w:r w:rsidR="00D87A1D" w:rsidRPr="00632AC5">
        <w:rPr>
          <w:rFonts w:ascii="Calibri" w:hAnsi="Calibri" w:cs="Calibri"/>
          <w:bCs/>
          <w:sz w:val="24"/>
        </w:rPr>
        <w:t xml:space="preserve"> </w:t>
      </w:r>
      <w:r w:rsidR="002413C4">
        <w:rPr>
          <w:rFonts w:ascii="Calibri" w:hAnsi="Calibri" w:cs="Calibri"/>
          <w:bCs/>
          <w:sz w:val="24"/>
        </w:rPr>
        <w:t xml:space="preserve">Tyto přeplatky se nezapočítávají, </w:t>
      </w:r>
      <w:r w:rsidR="00D87A1D" w:rsidRPr="00632AC5">
        <w:rPr>
          <w:rFonts w:ascii="Calibri" w:hAnsi="Calibri" w:cs="Calibri"/>
          <w:bCs/>
          <w:sz w:val="24"/>
        </w:rPr>
        <w:t>přestože v </w:t>
      </w:r>
      <w:r w:rsidR="002413C4">
        <w:rPr>
          <w:rFonts w:ascii="Calibri" w:hAnsi="Calibri" w:cs="Calibri"/>
          <w:bCs/>
          <w:sz w:val="24"/>
        </w:rPr>
        <w:t>předchozích</w:t>
      </w:r>
      <w:r w:rsidR="00D87A1D" w:rsidRPr="00632AC5">
        <w:rPr>
          <w:rFonts w:ascii="Calibri" w:hAnsi="Calibri" w:cs="Calibri"/>
          <w:bCs/>
          <w:sz w:val="24"/>
        </w:rPr>
        <w:t xml:space="preserve"> letech byly v rámci </w:t>
      </w:r>
      <w:r w:rsidR="002413C4">
        <w:rPr>
          <w:rFonts w:ascii="Calibri" w:hAnsi="Calibri" w:cs="Calibri"/>
          <w:bCs/>
          <w:sz w:val="24"/>
        </w:rPr>
        <w:t>zmíněného</w:t>
      </w:r>
      <w:r w:rsidR="00D87A1D" w:rsidRPr="00632AC5">
        <w:rPr>
          <w:rFonts w:ascii="Calibri" w:hAnsi="Calibri" w:cs="Calibri"/>
          <w:bCs/>
          <w:sz w:val="24"/>
        </w:rPr>
        <w:t xml:space="preserve"> výpočtu započítány do výdajů.</w:t>
      </w:r>
      <w:r w:rsidR="00D87A1D" w:rsidRPr="00632AC5">
        <w:rPr>
          <w:rFonts w:ascii="Calibri" w:hAnsi="Calibri" w:cs="Calibri"/>
          <w:sz w:val="24"/>
        </w:rPr>
        <w:t xml:space="preserve"> Dle podkladů MF se např. za rok 2013 jednalo o částku vyšší než 193,6</w:t>
      </w:r>
      <w:r w:rsidR="002413C4">
        <w:rPr>
          <w:rFonts w:ascii="Calibri" w:hAnsi="Calibri" w:cs="Calibri"/>
          <w:sz w:val="24"/>
        </w:rPr>
        <w:t> </w:t>
      </w:r>
      <w:r w:rsidR="00D87A1D" w:rsidRPr="00632AC5">
        <w:rPr>
          <w:rFonts w:ascii="Calibri" w:hAnsi="Calibri" w:cs="Calibri"/>
          <w:sz w:val="24"/>
        </w:rPr>
        <w:t>mil.</w:t>
      </w:r>
      <w:r w:rsidR="002413C4">
        <w:rPr>
          <w:rFonts w:ascii="Calibri" w:hAnsi="Calibri" w:cs="Calibri"/>
          <w:sz w:val="24"/>
        </w:rPr>
        <w:t> </w:t>
      </w:r>
      <w:r w:rsidR="00D87A1D" w:rsidRPr="00632AC5">
        <w:rPr>
          <w:rFonts w:ascii="Calibri" w:hAnsi="Calibri" w:cs="Calibri"/>
          <w:sz w:val="24"/>
        </w:rPr>
        <w:t>Kč.</w:t>
      </w:r>
    </w:p>
    <w:p w:rsidR="00D87A1D" w:rsidRDefault="00D87A1D" w:rsidP="00D87A1D">
      <w:pPr>
        <w:ind w:firstLine="0"/>
        <w:rPr>
          <w:rFonts w:ascii="Calibri" w:hAnsi="Calibri" w:cs="Calibri"/>
          <w:b/>
          <w:bCs/>
          <w:sz w:val="24"/>
        </w:rPr>
      </w:pPr>
    </w:p>
    <w:p w:rsidR="00BF6421" w:rsidRPr="00F80CB2" w:rsidRDefault="00D87A1D" w:rsidP="00F80CB2">
      <w:pPr>
        <w:ind w:left="255" w:hanging="255"/>
        <w:rPr>
          <w:rFonts w:ascii="Calibri" w:hAnsi="Calibri" w:cs="Calibri"/>
          <w:b/>
          <w:bCs/>
          <w:sz w:val="24"/>
        </w:rPr>
      </w:pPr>
      <w:r w:rsidRPr="00632AC5">
        <w:rPr>
          <w:rFonts w:ascii="Calibri" w:hAnsi="Calibri" w:cs="Calibri"/>
          <w:bCs/>
          <w:sz w:val="24"/>
        </w:rPr>
        <w:t xml:space="preserve">• </w:t>
      </w:r>
      <w:r w:rsidRPr="00F80CB2">
        <w:rPr>
          <w:rFonts w:ascii="Calibri" w:hAnsi="Calibri" w:cs="Calibri"/>
          <w:b/>
          <w:bCs/>
          <w:sz w:val="24"/>
        </w:rPr>
        <w:t xml:space="preserve">Příjmy z pojistného na důchodové pojištění kapitoly 305 </w:t>
      </w:r>
      <w:r w:rsidR="002413C4">
        <w:rPr>
          <w:rFonts w:ascii="Calibri" w:hAnsi="Calibri" w:cs="Calibri"/>
          <w:b/>
          <w:bCs/>
          <w:sz w:val="24"/>
        </w:rPr>
        <w:t xml:space="preserve">– </w:t>
      </w:r>
      <w:r w:rsidRPr="00F80CB2">
        <w:rPr>
          <w:rFonts w:ascii="Calibri" w:hAnsi="Calibri" w:cs="Calibri"/>
          <w:b/>
          <w:bCs/>
          <w:i/>
          <w:sz w:val="24"/>
        </w:rPr>
        <w:t>Bezpečnostní informační služba</w:t>
      </w:r>
    </w:p>
    <w:p w:rsidR="00D87A1D" w:rsidRPr="00632AC5" w:rsidRDefault="00D87A1D" w:rsidP="00BF6421">
      <w:pPr>
        <w:ind w:firstLine="0"/>
        <w:rPr>
          <w:rFonts w:ascii="Calibri" w:hAnsi="Calibri" w:cs="Calibri"/>
          <w:bCs/>
          <w:sz w:val="24"/>
        </w:rPr>
      </w:pPr>
      <w:r w:rsidRPr="00632AC5">
        <w:rPr>
          <w:rFonts w:ascii="Calibri" w:hAnsi="Calibri" w:cs="Calibri"/>
          <w:bCs/>
          <w:sz w:val="24"/>
        </w:rPr>
        <w:t>Výpočet výsledku hospodaření systému důchodového pojištění státu nezahrnuje příjmy z</w:t>
      </w:r>
      <w:r w:rsidR="00C467E7" w:rsidRPr="00632AC5">
        <w:rPr>
          <w:rFonts w:ascii="Calibri" w:hAnsi="Calibri" w:cs="Calibri"/>
          <w:bCs/>
          <w:sz w:val="24"/>
        </w:rPr>
        <w:t> </w:t>
      </w:r>
      <w:r w:rsidRPr="00632AC5">
        <w:rPr>
          <w:rFonts w:ascii="Calibri" w:hAnsi="Calibri" w:cs="Calibri"/>
          <w:bCs/>
          <w:sz w:val="24"/>
        </w:rPr>
        <w:t xml:space="preserve">pojistného na důchodové pojištění za příslušníky Bezpečnostní informační služby, které jsou součástí příjmů kapitoly 305 </w:t>
      </w:r>
      <w:r w:rsidR="002413C4">
        <w:rPr>
          <w:rFonts w:ascii="Calibri" w:hAnsi="Calibri" w:cs="Calibri"/>
          <w:bCs/>
          <w:sz w:val="24"/>
        </w:rPr>
        <w:t xml:space="preserve">– </w:t>
      </w:r>
      <w:r w:rsidRPr="00F80CB2">
        <w:rPr>
          <w:rFonts w:ascii="Calibri" w:hAnsi="Calibri" w:cs="Calibri"/>
          <w:bCs/>
          <w:i/>
          <w:sz w:val="24"/>
        </w:rPr>
        <w:t>Bezpečnostní informační služba</w:t>
      </w:r>
      <w:r w:rsidRPr="00632AC5">
        <w:rPr>
          <w:rFonts w:ascii="Calibri" w:hAnsi="Calibri" w:cs="Calibri"/>
          <w:bCs/>
          <w:sz w:val="24"/>
        </w:rPr>
        <w:t>.</w:t>
      </w:r>
      <w:r w:rsidRPr="00632AC5">
        <w:rPr>
          <w:rFonts w:ascii="Calibri" w:hAnsi="Calibri" w:cs="Calibri"/>
          <w:b/>
          <w:bCs/>
          <w:sz w:val="24"/>
        </w:rPr>
        <w:t xml:space="preserve"> </w:t>
      </w:r>
      <w:r w:rsidRPr="00632AC5">
        <w:rPr>
          <w:rFonts w:ascii="Calibri" w:hAnsi="Calibri" w:cs="Calibri"/>
          <w:bCs/>
          <w:sz w:val="24"/>
        </w:rPr>
        <w:t>Výše příjmů z pojistného na důchodové poj</w:t>
      </w:r>
      <w:r w:rsidR="003E1C41">
        <w:rPr>
          <w:rFonts w:ascii="Calibri" w:hAnsi="Calibri" w:cs="Calibri"/>
          <w:bCs/>
          <w:sz w:val="24"/>
        </w:rPr>
        <w:t xml:space="preserve">ištění je o toto pojistné nižší, nejedná se však o významné zkreslení. </w:t>
      </w:r>
      <w:r w:rsidR="00F1533C" w:rsidRPr="00632AC5">
        <w:rPr>
          <w:rFonts w:ascii="Calibri" w:hAnsi="Calibri" w:cs="Calibri"/>
          <w:bCs/>
          <w:sz w:val="24"/>
        </w:rPr>
        <w:t>Pokud jde o v</w:t>
      </w:r>
      <w:r w:rsidRPr="00632AC5">
        <w:rPr>
          <w:rFonts w:ascii="Calibri" w:hAnsi="Calibri" w:cs="Calibri"/>
          <w:bCs/>
          <w:sz w:val="24"/>
        </w:rPr>
        <w:t>ýdaje na</w:t>
      </w:r>
      <w:r w:rsidR="00632AC5">
        <w:rPr>
          <w:rFonts w:ascii="Calibri" w:hAnsi="Calibri" w:cs="Calibri"/>
          <w:bCs/>
          <w:sz w:val="24"/>
        </w:rPr>
        <w:t xml:space="preserve"> </w:t>
      </w:r>
      <w:r w:rsidR="00F1533C" w:rsidRPr="00632AC5">
        <w:rPr>
          <w:rFonts w:ascii="Calibri" w:hAnsi="Calibri" w:cs="Calibri"/>
          <w:bCs/>
          <w:sz w:val="24"/>
        </w:rPr>
        <w:t>dávky důchodového pojištění</w:t>
      </w:r>
      <w:r w:rsidR="00C63CCB">
        <w:rPr>
          <w:rFonts w:ascii="Calibri" w:hAnsi="Calibri" w:cs="Calibri"/>
          <w:bCs/>
          <w:sz w:val="24"/>
        </w:rPr>
        <w:t xml:space="preserve"> příslušníkům</w:t>
      </w:r>
      <w:r w:rsidRPr="00632AC5">
        <w:rPr>
          <w:rFonts w:ascii="Calibri" w:hAnsi="Calibri" w:cs="Calibri"/>
          <w:bCs/>
          <w:sz w:val="24"/>
        </w:rPr>
        <w:t xml:space="preserve"> B</w:t>
      </w:r>
      <w:r w:rsidR="00C63CCB">
        <w:rPr>
          <w:rFonts w:ascii="Calibri" w:hAnsi="Calibri" w:cs="Calibri"/>
          <w:bCs/>
          <w:sz w:val="24"/>
        </w:rPr>
        <w:t xml:space="preserve">IS, </w:t>
      </w:r>
      <w:r w:rsidR="00F1533C" w:rsidRPr="00632AC5">
        <w:rPr>
          <w:rFonts w:ascii="Calibri" w:hAnsi="Calibri" w:cs="Calibri"/>
          <w:bCs/>
          <w:sz w:val="24"/>
        </w:rPr>
        <w:t>ty n</w:t>
      </w:r>
      <w:r w:rsidR="00C63CCB">
        <w:rPr>
          <w:rFonts w:ascii="Calibri" w:hAnsi="Calibri" w:cs="Calibri"/>
          <w:bCs/>
          <w:sz w:val="24"/>
        </w:rPr>
        <w:t>aopak jsou do výpočtu zahrnuty</w:t>
      </w:r>
      <w:r w:rsidR="00632AC5">
        <w:rPr>
          <w:rFonts w:ascii="Calibri" w:hAnsi="Calibri" w:cs="Calibri"/>
          <w:bCs/>
          <w:sz w:val="24"/>
        </w:rPr>
        <w:t xml:space="preserve"> </w:t>
      </w:r>
      <w:r w:rsidRPr="00632AC5">
        <w:rPr>
          <w:rFonts w:ascii="Calibri" w:hAnsi="Calibri" w:cs="Calibri"/>
          <w:bCs/>
          <w:sz w:val="24"/>
        </w:rPr>
        <w:t xml:space="preserve">v rámci </w:t>
      </w:r>
      <w:r w:rsidR="00F1533C" w:rsidRPr="00632AC5">
        <w:rPr>
          <w:rFonts w:ascii="Calibri" w:hAnsi="Calibri" w:cs="Calibri"/>
          <w:bCs/>
          <w:sz w:val="24"/>
        </w:rPr>
        <w:t xml:space="preserve">údajů </w:t>
      </w:r>
      <w:r w:rsidR="00C63CCB">
        <w:rPr>
          <w:rFonts w:ascii="Calibri" w:hAnsi="Calibri" w:cs="Calibri"/>
          <w:bCs/>
          <w:sz w:val="24"/>
        </w:rPr>
        <w:t>kapitoly</w:t>
      </w:r>
      <w:r w:rsidRPr="00632AC5">
        <w:rPr>
          <w:rFonts w:ascii="Calibri" w:hAnsi="Calibri" w:cs="Calibri"/>
          <w:bCs/>
          <w:sz w:val="24"/>
        </w:rPr>
        <w:t xml:space="preserve"> MV</w:t>
      </w:r>
      <w:r w:rsidR="00F1533C" w:rsidRPr="00632AC5">
        <w:rPr>
          <w:rFonts w:ascii="Calibri" w:hAnsi="Calibri" w:cs="Calibri"/>
          <w:bCs/>
          <w:sz w:val="24"/>
        </w:rPr>
        <w:t xml:space="preserve">. </w:t>
      </w:r>
    </w:p>
    <w:p w:rsidR="00D87A1D" w:rsidRPr="00632AC5" w:rsidRDefault="00D87A1D" w:rsidP="00D87A1D">
      <w:pPr>
        <w:ind w:firstLine="0"/>
        <w:rPr>
          <w:rFonts w:ascii="Calibri" w:hAnsi="Calibri" w:cs="Calibri"/>
          <w:b/>
          <w:bCs/>
          <w:sz w:val="24"/>
        </w:rPr>
      </w:pPr>
    </w:p>
    <w:p w:rsidR="00EF11CD" w:rsidRPr="00A0314E" w:rsidRDefault="008608EA" w:rsidP="00F80CB2">
      <w:pPr>
        <w:pStyle w:val="Nadpis1"/>
        <w:numPr>
          <w:ilvl w:val="0"/>
          <w:numId w:val="0"/>
        </w:numPr>
        <w:rPr>
          <w:rFonts w:ascii="Calibri" w:hAnsi="Calibri" w:cs="Calibri"/>
          <w:color w:val="548DD4" w:themeColor="text2" w:themeTint="99"/>
          <w:sz w:val="24"/>
          <w:szCs w:val="24"/>
        </w:rPr>
      </w:pPr>
      <w:r>
        <w:rPr>
          <w:rFonts w:ascii="Calibri" w:hAnsi="Calibri" w:cs="Calibri"/>
          <w:color w:val="548DD4" w:themeColor="text2" w:themeTint="99"/>
          <w:sz w:val="24"/>
          <w:szCs w:val="24"/>
        </w:rPr>
        <w:t xml:space="preserve">5. </w:t>
      </w:r>
      <w:r w:rsidR="00EF11CD" w:rsidRPr="00A0314E">
        <w:rPr>
          <w:rFonts w:ascii="Calibri" w:hAnsi="Calibri" w:cs="Calibri"/>
          <w:color w:val="548DD4" w:themeColor="text2" w:themeTint="99"/>
          <w:sz w:val="24"/>
          <w:szCs w:val="24"/>
        </w:rPr>
        <w:t>Účetnictví</w:t>
      </w:r>
    </w:p>
    <w:p w:rsidR="00942BF0" w:rsidRDefault="00942BF0" w:rsidP="00F80CB2">
      <w:pPr>
        <w:ind w:firstLine="0"/>
        <w:rPr>
          <w:rFonts w:ascii="Calibri" w:hAnsi="Calibri" w:cs="Calibri"/>
          <w:sz w:val="24"/>
          <w:lang w:eastAsia="cs-CZ"/>
        </w:rPr>
      </w:pPr>
    </w:p>
    <w:p w:rsidR="00005366" w:rsidRPr="00632AC5" w:rsidRDefault="002137D2" w:rsidP="00F80CB2">
      <w:pPr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  <w:lang w:eastAsia="cs-CZ"/>
        </w:rPr>
        <w:t xml:space="preserve">V rámci </w:t>
      </w:r>
      <w:r w:rsidR="002413C4">
        <w:rPr>
          <w:rFonts w:ascii="Calibri" w:hAnsi="Calibri" w:cs="Calibri"/>
          <w:sz w:val="24"/>
          <w:lang w:eastAsia="cs-CZ"/>
        </w:rPr>
        <w:t>této kontrolní akce</w:t>
      </w:r>
      <w:r w:rsidRPr="00632AC5">
        <w:rPr>
          <w:rFonts w:ascii="Calibri" w:hAnsi="Calibri" w:cs="Calibri"/>
          <w:sz w:val="24"/>
          <w:lang w:eastAsia="cs-CZ"/>
        </w:rPr>
        <w:t xml:space="preserve"> </w:t>
      </w:r>
      <w:r w:rsidR="00775650" w:rsidRPr="00632AC5">
        <w:rPr>
          <w:rFonts w:ascii="Calibri" w:hAnsi="Calibri" w:cs="Calibri"/>
          <w:sz w:val="24"/>
          <w:lang w:eastAsia="cs-CZ"/>
        </w:rPr>
        <w:t>byla</w:t>
      </w:r>
      <w:r w:rsidR="00F36492" w:rsidRPr="00632AC5">
        <w:rPr>
          <w:rFonts w:ascii="Calibri" w:hAnsi="Calibri" w:cs="Calibri"/>
          <w:sz w:val="24"/>
          <w:lang w:eastAsia="cs-CZ"/>
        </w:rPr>
        <w:t xml:space="preserve"> u MO a MV na vybraném vzorku </w:t>
      </w:r>
      <w:r w:rsidR="00775650" w:rsidRPr="00632AC5">
        <w:rPr>
          <w:rFonts w:ascii="Calibri" w:hAnsi="Calibri" w:cs="Calibri"/>
          <w:sz w:val="24"/>
          <w:lang w:eastAsia="cs-CZ"/>
        </w:rPr>
        <w:t xml:space="preserve">prověřena správnost zobrazení </w:t>
      </w:r>
      <w:r w:rsidR="00F36492" w:rsidRPr="00632AC5">
        <w:rPr>
          <w:rFonts w:ascii="Calibri" w:hAnsi="Calibri" w:cs="Calibri"/>
          <w:sz w:val="24"/>
          <w:lang w:eastAsia="cs-CZ"/>
        </w:rPr>
        <w:t>dávek důchodového pojištění v</w:t>
      </w:r>
      <w:r w:rsidR="002413C4">
        <w:rPr>
          <w:rFonts w:ascii="Calibri" w:hAnsi="Calibri" w:cs="Calibri"/>
          <w:sz w:val="24"/>
          <w:lang w:eastAsia="cs-CZ"/>
        </w:rPr>
        <w:t> </w:t>
      </w:r>
      <w:r w:rsidR="00F36492" w:rsidRPr="00632AC5">
        <w:rPr>
          <w:rFonts w:ascii="Calibri" w:hAnsi="Calibri" w:cs="Calibri"/>
          <w:sz w:val="24"/>
          <w:lang w:eastAsia="cs-CZ"/>
        </w:rPr>
        <w:t>účetnictví</w:t>
      </w:r>
      <w:r w:rsidR="002413C4">
        <w:rPr>
          <w:rFonts w:ascii="Calibri" w:hAnsi="Calibri" w:cs="Calibri"/>
          <w:sz w:val="24"/>
          <w:lang w:eastAsia="cs-CZ"/>
        </w:rPr>
        <w:t>;</w:t>
      </w:r>
      <w:r w:rsidR="00F36492" w:rsidRPr="00632AC5">
        <w:rPr>
          <w:rFonts w:ascii="Calibri" w:hAnsi="Calibri" w:cs="Calibri"/>
          <w:sz w:val="24"/>
          <w:lang w:eastAsia="cs-CZ"/>
        </w:rPr>
        <w:t xml:space="preserve"> u MPSV pak </w:t>
      </w:r>
      <w:r w:rsidR="00E96FB1" w:rsidRPr="00632AC5">
        <w:rPr>
          <w:rFonts w:ascii="Calibri" w:hAnsi="Calibri" w:cs="Calibri"/>
          <w:sz w:val="24"/>
          <w:lang w:eastAsia="cs-CZ"/>
        </w:rPr>
        <w:t xml:space="preserve">byla </w:t>
      </w:r>
      <w:r w:rsidR="002413C4" w:rsidRPr="00632AC5">
        <w:rPr>
          <w:rFonts w:ascii="Calibri" w:hAnsi="Calibri" w:cs="Calibri"/>
          <w:sz w:val="24"/>
          <w:lang w:eastAsia="cs-CZ"/>
        </w:rPr>
        <w:t xml:space="preserve">v účetnictví </w:t>
      </w:r>
      <w:r w:rsidR="00E96FB1" w:rsidRPr="00632AC5">
        <w:rPr>
          <w:rFonts w:ascii="Calibri" w:hAnsi="Calibri" w:cs="Calibri"/>
          <w:sz w:val="24"/>
          <w:lang w:eastAsia="cs-CZ"/>
        </w:rPr>
        <w:t xml:space="preserve">ověřována </w:t>
      </w:r>
      <w:r w:rsidR="00F36492" w:rsidRPr="00632AC5">
        <w:rPr>
          <w:rFonts w:ascii="Calibri" w:hAnsi="Calibri" w:cs="Calibri"/>
          <w:sz w:val="24"/>
          <w:lang w:eastAsia="cs-CZ"/>
        </w:rPr>
        <w:t>správnost zobrazení dividend plynoucích z majetkových účastí v elektroenergetických společnostech.</w:t>
      </w:r>
      <w:r w:rsidR="00005366" w:rsidRPr="00632AC5">
        <w:rPr>
          <w:rFonts w:ascii="Calibri" w:hAnsi="Calibri" w:cs="Calibri"/>
          <w:sz w:val="24"/>
          <w:lang w:eastAsia="cs-CZ"/>
        </w:rPr>
        <w:t xml:space="preserve"> </w:t>
      </w:r>
      <w:r w:rsidR="00005366" w:rsidRPr="00632AC5">
        <w:rPr>
          <w:rFonts w:ascii="Calibri" w:hAnsi="Calibri" w:cs="Calibri"/>
          <w:bCs/>
          <w:sz w:val="24"/>
        </w:rPr>
        <w:t xml:space="preserve">Na MF bylo v souvislosti s kontrolou účetních dokladů vztahujících se ke </w:t>
      </w:r>
      <w:r w:rsidR="0029348A" w:rsidRPr="00F80CB2">
        <w:rPr>
          <w:rFonts w:ascii="Calibri" w:hAnsi="Calibri" w:cs="Calibri"/>
          <w:bCs/>
          <w:i/>
          <w:sz w:val="24"/>
        </w:rPr>
        <w:t>Z</w:t>
      </w:r>
      <w:r w:rsidR="00005366" w:rsidRPr="00F80CB2">
        <w:rPr>
          <w:rFonts w:ascii="Calibri" w:hAnsi="Calibri" w:cs="Calibri"/>
          <w:bCs/>
          <w:i/>
          <w:sz w:val="24"/>
        </w:rPr>
        <w:t>vláštnímu účtu rezervy pro důchodovou reformu</w:t>
      </w:r>
      <w:r w:rsidR="00005366" w:rsidRPr="00632AC5">
        <w:rPr>
          <w:rFonts w:ascii="Calibri" w:hAnsi="Calibri" w:cs="Calibri"/>
          <w:bCs/>
          <w:sz w:val="24"/>
        </w:rPr>
        <w:t xml:space="preserve"> kontrolováno dodržování požadavků právních předpisů v oblasti zobrazení účetních operací souvisejících s prostředky </w:t>
      </w:r>
      <w:proofErr w:type="spellStart"/>
      <w:r w:rsidR="00C17C5A" w:rsidRPr="00632AC5">
        <w:rPr>
          <w:rFonts w:ascii="Calibri" w:hAnsi="Calibri" w:cs="Calibri"/>
          <w:bCs/>
          <w:sz w:val="24"/>
        </w:rPr>
        <w:t>ZÚRDR</w:t>
      </w:r>
      <w:proofErr w:type="spellEnd"/>
      <w:r w:rsidR="00005366" w:rsidRPr="00632AC5">
        <w:rPr>
          <w:rFonts w:ascii="Calibri" w:hAnsi="Calibri" w:cs="Calibri"/>
          <w:bCs/>
          <w:sz w:val="24"/>
        </w:rPr>
        <w:t xml:space="preserve"> v účetnictví MF</w:t>
      </w:r>
      <w:r w:rsidR="00A16E00">
        <w:rPr>
          <w:rFonts w:ascii="Calibri" w:hAnsi="Calibri" w:cs="Calibri"/>
          <w:bCs/>
          <w:sz w:val="24"/>
        </w:rPr>
        <w:t>, finančních výkazech, v </w:t>
      </w:r>
      <w:proofErr w:type="spellStart"/>
      <w:r w:rsidR="00A16E00">
        <w:rPr>
          <w:rFonts w:ascii="Calibri" w:hAnsi="Calibri" w:cs="Calibri"/>
          <w:bCs/>
          <w:sz w:val="24"/>
        </w:rPr>
        <w:t>ZÚ</w:t>
      </w:r>
      <w:proofErr w:type="spellEnd"/>
      <w:r w:rsidR="00A16E00">
        <w:rPr>
          <w:rFonts w:ascii="Calibri" w:hAnsi="Calibri" w:cs="Calibri"/>
          <w:bCs/>
          <w:sz w:val="24"/>
        </w:rPr>
        <w:t xml:space="preserve"> kapitoly MF a v</w:t>
      </w:r>
      <w:r w:rsidR="00832BDB">
        <w:rPr>
          <w:rFonts w:ascii="Calibri" w:hAnsi="Calibri" w:cs="Calibri"/>
          <w:bCs/>
          <w:sz w:val="24"/>
        </w:rPr>
        <w:t>e</w:t>
      </w:r>
      <w:r w:rsidR="00A16E00">
        <w:rPr>
          <w:rFonts w:ascii="Calibri" w:hAnsi="Calibri" w:cs="Calibri"/>
          <w:bCs/>
          <w:sz w:val="24"/>
        </w:rPr>
        <w:t xml:space="preserve"> </w:t>
      </w:r>
      <w:proofErr w:type="spellStart"/>
      <w:r w:rsidR="00A16E00">
        <w:rPr>
          <w:rFonts w:ascii="Calibri" w:hAnsi="Calibri" w:cs="Calibri"/>
          <w:bCs/>
          <w:sz w:val="24"/>
        </w:rPr>
        <w:t>SZÚ</w:t>
      </w:r>
      <w:proofErr w:type="spellEnd"/>
      <w:r w:rsidR="00A16E00">
        <w:rPr>
          <w:rFonts w:ascii="Calibri" w:hAnsi="Calibri" w:cs="Calibri"/>
          <w:bCs/>
          <w:sz w:val="24"/>
        </w:rPr>
        <w:t xml:space="preserve"> za období </w:t>
      </w:r>
      <w:r w:rsidR="00005366" w:rsidRPr="00632AC5">
        <w:rPr>
          <w:rFonts w:ascii="Calibri" w:hAnsi="Calibri" w:cs="Calibri"/>
          <w:bCs/>
          <w:sz w:val="24"/>
        </w:rPr>
        <w:t>let 2009–2013.</w:t>
      </w:r>
    </w:p>
    <w:p w:rsidR="00AB2773" w:rsidRPr="00632AC5" w:rsidRDefault="00AB2773" w:rsidP="002137D2">
      <w:pPr>
        <w:ind w:firstLine="0"/>
        <w:rPr>
          <w:rFonts w:ascii="Calibri" w:hAnsi="Calibri" w:cs="Calibri"/>
          <w:sz w:val="24"/>
          <w:lang w:eastAsia="cs-CZ"/>
        </w:rPr>
      </w:pPr>
    </w:p>
    <w:p w:rsidR="004D3DA6" w:rsidRPr="00632AC5" w:rsidRDefault="00DF5CB7" w:rsidP="000B2E48">
      <w:pPr>
        <w:autoSpaceDE w:val="0"/>
        <w:autoSpaceDN w:val="0"/>
        <w:adjustRightInd w:val="0"/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 xml:space="preserve">Kontrolou bylo zjištěno, že </w:t>
      </w:r>
      <w:r w:rsidR="004D3DA6" w:rsidRPr="00632AC5">
        <w:rPr>
          <w:rFonts w:ascii="Calibri" w:hAnsi="Calibri" w:cs="Calibri"/>
          <w:sz w:val="24"/>
        </w:rPr>
        <w:t>MO</w:t>
      </w:r>
      <w:r w:rsidRPr="00632AC5">
        <w:rPr>
          <w:rFonts w:ascii="Calibri" w:hAnsi="Calibri" w:cs="Calibri"/>
          <w:sz w:val="24"/>
        </w:rPr>
        <w:t xml:space="preserve"> a</w:t>
      </w:r>
      <w:r w:rsidR="0029348A">
        <w:rPr>
          <w:rFonts w:ascii="Calibri" w:hAnsi="Calibri" w:cs="Calibri"/>
          <w:sz w:val="24"/>
        </w:rPr>
        <w:t>ni</w:t>
      </w:r>
      <w:r w:rsidRPr="00632AC5">
        <w:rPr>
          <w:rFonts w:ascii="Calibri" w:hAnsi="Calibri" w:cs="Calibri"/>
          <w:sz w:val="24"/>
        </w:rPr>
        <w:t xml:space="preserve"> MV</w:t>
      </w:r>
      <w:r w:rsidR="00CF38BB" w:rsidRPr="00632AC5">
        <w:rPr>
          <w:rFonts w:ascii="Calibri" w:hAnsi="Calibri" w:cs="Calibri"/>
          <w:sz w:val="24"/>
        </w:rPr>
        <w:t xml:space="preserve"> </w:t>
      </w:r>
      <w:r w:rsidR="004D3DA6" w:rsidRPr="00632AC5">
        <w:rPr>
          <w:rFonts w:ascii="Calibri" w:hAnsi="Calibri" w:cs="Calibri"/>
          <w:sz w:val="24"/>
        </w:rPr>
        <w:t>neúčtoval</w:t>
      </w:r>
      <w:r w:rsidR="0029348A">
        <w:rPr>
          <w:rFonts w:ascii="Calibri" w:hAnsi="Calibri" w:cs="Calibri"/>
          <w:sz w:val="24"/>
        </w:rPr>
        <w:t>y</w:t>
      </w:r>
      <w:r w:rsidR="004D3DA6" w:rsidRPr="00632AC5">
        <w:rPr>
          <w:rFonts w:ascii="Calibri" w:hAnsi="Calibri" w:cs="Calibri"/>
          <w:sz w:val="24"/>
        </w:rPr>
        <w:t xml:space="preserve"> o předpisu nároku na výplatu důchodů, tedy o vzniku závazku. </w:t>
      </w:r>
      <w:r w:rsidR="00CF38BB" w:rsidRPr="00632AC5">
        <w:rPr>
          <w:rFonts w:ascii="Calibri" w:hAnsi="Calibri" w:cs="Calibri"/>
          <w:sz w:val="24"/>
        </w:rPr>
        <w:t>Tento nedostatek byl v případě MV odstraněn v roce 2013, MO</w:t>
      </w:r>
      <w:r w:rsidR="00B16E4B" w:rsidRPr="00632AC5">
        <w:rPr>
          <w:rFonts w:ascii="Calibri" w:hAnsi="Calibri" w:cs="Calibri"/>
          <w:sz w:val="24"/>
        </w:rPr>
        <w:t xml:space="preserve"> tento nedostatek odstranilo</w:t>
      </w:r>
      <w:r w:rsidR="00CF38BB" w:rsidRPr="00632AC5">
        <w:rPr>
          <w:rFonts w:ascii="Calibri" w:hAnsi="Calibri" w:cs="Calibri"/>
          <w:sz w:val="24"/>
        </w:rPr>
        <w:t xml:space="preserve"> </w:t>
      </w:r>
      <w:r w:rsidR="00574487">
        <w:rPr>
          <w:rFonts w:ascii="Calibri" w:hAnsi="Calibri" w:cs="Calibri"/>
          <w:sz w:val="24"/>
        </w:rPr>
        <w:t>v </w:t>
      </w:r>
      <w:r w:rsidR="00CF38BB" w:rsidRPr="00632AC5">
        <w:rPr>
          <w:rFonts w:ascii="Calibri" w:hAnsi="Calibri" w:cs="Calibri"/>
          <w:sz w:val="24"/>
        </w:rPr>
        <w:t>průběhu roku 2014. MO dále v letech 2012 a 2013 p</w:t>
      </w:r>
      <w:r w:rsidR="00B16E4B" w:rsidRPr="00632AC5">
        <w:rPr>
          <w:rFonts w:ascii="Calibri" w:hAnsi="Calibri" w:cs="Calibri"/>
          <w:sz w:val="24"/>
        </w:rPr>
        <w:t>ři</w:t>
      </w:r>
      <w:r w:rsidR="00CF38BB" w:rsidRPr="00632AC5">
        <w:rPr>
          <w:rFonts w:ascii="Calibri" w:hAnsi="Calibri" w:cs="Calibri"/>
          <w:sz w:val="24"/>
        </w:rPr>
        <w:t xml:space="preserve"> zobraz</w:t>
      </w:r>
      <w:r w:rsidR="0029348A">
        <w:rPr>
          <w:rFonts w:ascii="Calibri" w:hAnsi="Calibri" w:cs="Calibri"/>
          <w:sz w:val="24"/>
        </w:rPr>
        <w:t>ování</w:t>
      </w:r>
      <w:r w:rsidR="00CF38BB" w:rsidRPr="00632AC5">
        <w:rPr>
          <w:rFonts w:ascii="Calibri" w:hAnsi="Calibri" w:cs="Calibri"/>
          <w:sz w:val="24"/>
        </w:rPr>
        <w:t xml:space="preserve"> dávek důchodového pojištění použ</w:t>
      </w:r>
      <w:r w:rsidR="0029348A">
        <w:rPr>
          <w:rFonts w:ascii="Calibri" w:hAnsi="Calibri" w:cs="Calibri"/>
          <w:sz w:val="24"/>
        </w:rPr>
        <w:t>ívalo</w:t>
      </w:r>
      <w:r w:rsidR="00CF38BB" w:rsidRPr="00632AC5">
        <w:rPr>
          <w:rFonts w:ascii="Calibri" w:hAnsi="Calibri" w:cs="Calibri"/>
          <w:sz w:val="24"/>
        </w:rPr>
        <w:t xml:space="preserve"> </w:t>
      </w:r>
      <w:r w:rsidR="0029348A">
        <w:rPr>
          <w:rFonts w:ascii="Calibri" w:hAnsi="Calibri" w:cs="Calibri"/>
          <w:sz w:val="24"/>
        </w:rPr>
        <w:t xml:space="preserve">v účetních výkazech </w:t>
      </w:r>
      <w:r w:rsidR="00CF38BB" w:rsidRPr="00632AC5">
        <w:rPr>
          <w:rFonts w:ascii="Calibri" w:hAnsi="Calibri" w:cs="Calibri"/>
          <w:sz w:val="24"/>
        </w:rPr>
        <w:t>nesprávný nákladový účet. T</w:t>
      </w:r>
      <w:r w:rsidR="00655693" w:rsidRPr="00632AC5">
        <w:rPr>
          <w:rFonts w:ascii="Calibri" w:hAnsi="Calibri" w:cs="Calibri"/>
          <w:sz w:val="24"/>
        </w:rPr>
        <w:t xml:space="preserve">oto pochybení MO odstranilo </w:t>
      </w:r>
      <w:r w:rsidR="00CF38BB" w:rsidRPr="00632AC5">
        <w:rPr>
          <w:rFonts w:ascii="Calibri" w:hAnsi="Calibri" w:cs="Calibri"/>
          <w:sz w:val="24"/>
        </w:rPr>
        <w:t xml:space="preserve">po skončení kontrolovaného období, tj. v průběhu roku 2014. </w:t>
      </w:r>
    </w:p>
    <w:p w:rsidR="0029348A" w:rsidRDefault="0029348A" w:rsidP="00F80CB2">
      <w:pPr>
        <w:ind w:firstLine="0"/>
        <w:rPr>
          <w:rFonts w:ascii="Calibri" w:hAnsi="Calibri" w:cs="Calibri"/>
          <w:sz w:val="24"/>
        </w:rPr>
      </w:pPr>
    </w:p>
    <w:p w:rsidR="00B37F28" w:rsidRDefault="00B16E4B" w:rsidP="00F80CB2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U MPSV bylo zjištěno</w:t>
      </w:r>
      <w:r w:rsidR="00B37F28" w:rsidRPr="00632AC5">
        <w:rPr>
          <w:rFonts w:ascii="Calibri" w:hAnsi="Calibri" w:cs="Calibri"/>
          <w:sz w:val="24"/>
        </w:rPr>
        <w:t>, že v roce 2013 zobrazilo přijaté dividendy plynoucí z majetkov</w:t>
      </w:r>
      <w:r w:rsidR="0029348A">
        <w:rPr>
          <w:rFonts w:ascii="Calibri" w:hAnsi="Calibri" w:cs="Calibri"/>
          <w:sz w:val="24"/>
        </w:rPr>
        <w:t>é</w:t>
      </w:r>
      <w:r w:rsidR="00B37F28" w:rsidRPr="00632AC5">
        <w:rPr>
          <w:rFonts w:ascii="Calibri" w:hAnsi="Calibri" w:cs="Calibri"/>
          <w:sz w:val="24"/>
        </w:rPr>
        <w:t xml:space="preserve"> účast</w:t>
      </w:r>
      <w:r w:rsidR="0029348A">
        <w:rPr>
          <w:rFonts w:ascii="Calibri" w:hAnsi="Calibri" w:cs="Calibri"/>
          <w:sz w:val="24"/>
        </w:rPr>
        <w:t>i</w:t>
      </w:r>
      <w:r w:rsidR="00B37F28" w:rsidRPr="00632AC5">
        <w:rPr>
          <w:rFonts w:ascii="Calibri" w:hAnsi="Calibri" w:cs="Calibri"/>
          <w:sz w:val="24"/>
        </w:rPr>
        <w:t xml:space="preserve"> ve </w:t>
      </w:r>
      <w:proofErr w:type="gramStart"/>
      <w:r w:rsidR="00B37F28" w:rsidRPr="00632AC5">
        <w:rPr>
          <w:rFonts w:ascii="Calibri" w:hAnsi="Calibri" w:cs="Calibri"/>
          <w:sz w:val="24"/>
        </w:rPr>
        <w:t>společnosti</w:t>
      </w:r>
      <w:r w:rsidRPr="00632AC5">
        <w:rPr>
          <w:rFonts w:ascii="Calibri" w:hAnsi="Calibri" w:cs="Calibri"/>
          <w:sz w:val="24"/>
        </w:rPr>
        <w:t xml:space="preserve"> </w:t>
      </w:r>
      <w:proofErr w:type="spellStart"/>
      <w:r w:rsidR="00B37F28" w:rsidRPr="00632AC5">
        <w:rPr>
          <w:rFonts w:ascii="Calibri" w:hAnsi="Calibri" w:cs="Calibri"/>
          <w:sz w:val="24"/>
        </w:rPr>
        <w:t>E.ON</w:t>
      </w:r>
      <w:proofErr w:type="spellEnd"/>
      <w:proofErr w:type="gramEnd"/>
      <w:r w:rsidR="00B37F28" w:rsidRPr="00632AC5">
        <w:rPr>
          <w:rFonts w:ascii="Calibri" w:hAnsi="Calibri" w:cs="Calibri"/>
          <w:sz w:val="24"/>
        </w:rPr>
        <w:t xml:space="preserve"> SE </w:t>
      </w:r>
      <w:r w:rsidRPr="00632AC5">
        <w:rPr>
          <w:rFonts w:ascii="Calibri" w:hAnsi="Calibri" w:cs="Calibri"/>
          <w:sz w:val="24"/>
        </w:rPr>
        <w:t>jako</w:t>
      </w:r>
      <w:r w:rsidR="00655693" w:rsidRPr="00632AC5">
        <w:rPr>
          <w:rFonts w:ascii="Calibri" w:hAnsi="Calibri" w:cs="Calibri"/>
          <w:sz w:val="24"/>
        </w:rPr>
        <w:t xml:space="preserve"> dlouhodobý</w:t>
      </w:r>
      <w:r w:rsidRPr="00632AC5">
        <w:rPr>
          <w:rFonts w:ascii="Calibri" w:hAnsi="Calibri" w:cs="Calibri"/>
          <w:sz w:val="24"/>
        </w:rPr>
        <w:t xml:space="preserve"> </w:t>
      </w:r>
      <w:r w:rsidR="00B37F28" w:rsidRPr="00632AC5">
        <w:rPr>
          <w:rFonts w:ascii="Calibri" w:hAnsi="Calibri" w:cs="Calibri"/>
          <w:sz w:val="24"/>
        </w:rPr>
        <w:t>finanční majetek</w:t>
      </w:r>
      <w:r w:rsidR="00B37F28" w:rsidRPr="00632AC5">
        <w:rPr>
          <w:rFonts w:ascii="Calibri" w:hAnsi="Calibri" w:cs="Calibri"/>
          <w:i/>
          <w:sz w:val="24"/>
        </w:rPr>
        <w:t xml:space="preserve">, </w:t>
      </w:r>
      <w:r w:rsidR="00B37F28" w:rsidRPr="00632AC5">
        <w:rPr>
          <w:rFonts w:ascii="Calibri" w:hAnsi="Calibri" w:cs="Calibri"/>
          <w:sz w:val="24"/>
        </w:rPr>
        <w:t xml:space="preserve">ačkoliv </w:t>
      </w:r>
      <w:r w:rsidR="00B37F28" w:rsidRPr="00F80CB2">
        <w:rPr>
          <w:rFonts w:ascii="Calibri" w:hAnsi="Calibri" w:cs="Calibri"/>
          <w:sz w:val="24"/>
        </w:rPr>
        <w:t>se</w:t>
      </w:r>
      <w:r w:rsidR="00B37F28" w:rsidRPr="00632AC5">
        <w:rPr>
          <w:rFonts w:ascii="Calibri" w:hAnsi="Calibri" w:cs="Calibri"/>
          <w:i/>
          <w:sz w:val="24"/>
        </w:rPr>
        <w:t xml:space="preserve"> </w:t>
      </w:r>
      <w:r w:rsidR="00B37F28" w:rsidRPr="00632AC5">
        <w:rPr>
          <w:rFonts w:ascii="Calibri" w:hAnsi="Calibri" w:cs="Calibri"/>
          <w:sz w:val="24"/>
        </w:rPr>
        <w:t>jednalo o výnosy z dlouhodobého finančního majetku</w:t>
      </w:r>
      <w:r w:rsidR="00A16E00">
        <w:rPr>
          <w:rFonts w:ascii="Calibri" w:hAnsi="Calibri" w:cs="Calibri"/>
          <w:sz w:val="24"/>
        </w:rPr>
        <w:t xml:space="preserve">. </w:t>
      </w:r>
      <w:r w:rsidR="00B37F28" w:rsidRPr="00632AC5">
        <w:rPr>
          <w:rFonts w:ascii="Calibri" w:hAnsi="Calibri" w:cs="Calibri"/>
          <w:sz w:val="24"/>
        </w:rPr>
        <w:t>Uvedený způsob účtování však neměl vliv na účetní závěrku MPSV sestavenou k 31. 12.</w:t>
      </w:r>
      <w:r w:rsidR="00C467E7" w:rsidRPr="00632AC5">
        <w:rPr>
          <w:rFonts w:ascii="Calibri" w:hAnsi="Calibri" w:cs="Calibri"/>
          <w:sz w:val="24"/>
        </w:rPr>
        <w:t> </w:t>
      </w:r>
      <w:r w:rsidR="00B37F28" w:rsidRPr="00632AC5">
        <w:rPr>
          <w:rFonts w:ascii="Calibri" w:hAnsi="Calibri" w:cs="Calibri"/>
          <w:sz w:val="24"/>
        </w:rPr>
        <w:t>2013, neboť přijaté dividendy byly do konce roku 2013 převedeny na účet státních finančních aktiv (</w:t>
      </w:r>
      <w:proofErr w:type="spellStart"/>
      <w:r w:rsidR="00B37F28" w:rsidRPr="00632AC5">
        <w:rPr>
          <w:rFonts w:ascii="Calibri" w:hAnsi="Calibri" w:cs="Calibri"/>
          <w:sz w:val="24"/>
        </w:rPr>
        <w:t>ZÚRDR</w:t>
      </w:r>
      <w:proofErr w:type="spellEnd"/>
      <w:r w:rsidR="00B37F28" w:rsidRPr="00632AC5">
        <w:rPr>
          <w:rFonts w:ascii="Calibri" w:hAnsi="Calibri" w:cs="Calibri"/>
          <w:sz w:val="24"/>
        </w:rPr>
        <w:t>).</w:t>
      </w:r>
      <w:r w:rsidR="005B1AA4" w:rsidRPr="00632AC5">
        <w:rPr>
          <w:rFonts w:ascii="Calibri" w:hAnsi="Calibri" w:cs="Calibri"/>
          <w:sz w:val="24"/>
        </w:rPr>
        <w:t xml:space="preserve"> </w:t>
      </w:r>
    </w:p>
    <w:p w:rsidR="005A270C" w:rsidRPr="00632AC5" w:rsidRDefault="005A270C" w:rsidP="00F80CB2">
      <w:pPr>
        <w:ind w:firstLine="0"/>
        <w:rPr>
          <w:rFonts w:ascii="Calibri" w:hAnsi="Calibri" w:cs="Calibri"/>
          <w:sz w:val="24"/>
        </w:rPr>
      </w:pPr>
    </w:p>
    <w:p w:rsidR="00C93FA1" w:rsidRPr="00632AC5" w:rsidRDefault="00B37F28" w:rsidP="00F80CB2">
      <w:pPr>
        <w:widowControl w:val="0"/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b/>
          <w:sz w:val="24"/>
          <w:lang w:eastAsia="cs-CZ"/>
        </w:rPr>
        <w:t>Dividendy z akcií ČEZ, a.</w:t>
      </w:r>
      <w:r w:rsidR="0029348A" w:rsidRPr="00F80CB2">
        <w:rPr>
          <w:rFonts w:ascii="Calibri" w:hAnsi="Calibri" w:cs="Calibri"/>
          <w:b/>
          <w:sz w:val="24"/>
          <w:vertAlign w:val="superscript"/>
          <w:lang w:eastAsia="cs-CZ"/>
        </w:rPr>
        <w:t> </w:t>
      </w:r>
      <w:r w:rsidRPr="00632AC5">
        <w:rPr>
          <w:rFonts w:ascii="Calibri" w:hAnsi="Calibri" w:cs="Calibri"/>
          <w:b/>
          <w:sz w:val="24"/>
          <w:lang w:eastAsia="cs-CZ"/>
        </w:rPr>
        <w:t>s.</w:t>
      </w:r>
      <w:r w:rsidR="0029348A">
        <w:rPr>
          <w:rFonts w:ascii="Calibri" w:hAnsi="Calibri" w:cs="Calibri"/>
          <w:b/>
          <w:sz w:val="24"/>
          <w:lang w:eastAsia="cs-CZ"/>
        </w:rPr>
        <w:t>,</w:t>
      </w:r>
      <w:r w:rsidRPr="00632AC5">
        <w:rPr>
          <w:rFonts w:ascii="Calibri" w:hAnsi="Calibri" w:cs="Calibri"/>
          <w:b/>
          <w:sz w:val="24"/>
          <w:lang w:eastAsia="cs-CZ"/>
        </w:rPr>
        <w:t xml:space="preserve"> a ČEPS, a.</w:t>
      </w:r>
      <w:r w:rsidR="0029348A" w:rsidRPr="00F80CB2">
        <w:rPr>
          <w:rFonts w:ascii="Calibri" w:hAnsi="Calibri" w:cs="Calibri"/>
          <w:b/>
          <w:sz w:val="24"/>
          <w:vertAlign w:val="superscript"/>
          <w:lang w:eastAsia="cs-CZ"/>
        </w:rPr>
        <w:t> </w:t>
      </w:r>
      <w:r w:rsidRPr="00632AC5">
        <w:rPr>
          <w:rFonts w:ascii="Calibri" w:hAnsi="Calibri" w:cs="Calibri"/>
          <w:b/>
          <w:sz w:val="24"/>
          <w:lang w:eastAsia="cs-CZ"/>
        </w:rPr>
        <w:t>s., MPSV ve svém účetnictví nezachyc</w:t>
      </w:r>
      <w:r w:rsidR="00715186" w:rsidRPr="00632AC5">
        <w:rPr>
          <w:rFonts w:ascii="Calibri" w:hAnsi="Calibri" w:cs="Calibri"/>
          <w:b/>
          <w:sz w:val="24"/>
          <w:lang w:eastAsia="cs-CZ"/>
        </w:rPr>
        <w:t>ovalo</w:t>
      </w:r>
      <w:r w:rsidR="0029348A">
        <w:rPr>
          <w:rFonts w:ascii="Calibri" w:hAnsi="Calibri" w:cs="Calibri"/>
          <w:b/>
          <w:sz w:val="24"/>
          <w:lang w:eastAsia="cs-CZ"/>
        </w:rPr>
        <w:t xml:space="preserve"> (</w:t>
      </w:r>
      <w:r w:rsidR="0029348A" w:rsidRPr="00632AC5">
        <w:rPr>
          <w:rFonts w:ascii="Calibri" w:hAnsi="Calibri" w:cs="Calibri"/>
          <w:b/>
          <w:sz w:val="24"/>
          <w:lang w:eastAsia="cs-CZ"/>
        </w:rPr>
        <w:t xml:space="preserve">na rozdíl od dividend z akcií </w:t>
      </w:r>
      <w:proofErr w:type="gramStart"/>
      <w:r w:rsidR="0029348A" w:rsidRPr="00632AC5">
        <w:rPr>
          <w:rFonts w:ascii="Calibri" w:hAnsi="Calibri" w:cs="Calibri"/>
          <w:b/>
          <w:sz w:val="24"/>
          <w:lang w:eastAsia="cs-CZ"/>
        </w:rPr>
        <w:t xml:space="preserve">společnosti </w:t>
      </w:r>
      <w:proofErr w:type="spellStart"/>
      <w:r w:rsidR="0029348A" w:rsidRPr="00632AC5">
        <w:rPr>
          <w:rFonts w:ascii="Calibri" w:hAnsi="Calibri" w:cs="Calibri"/>
          <w:b/>
          <w:sz w:val="24"/>
          <w:lang w:eastAsia="cs-CZ"/>
        </w:rPr>
        <w:t>E.ON</w:t>
      </w:r>
      <w:proofErr w:type="spellEnd"/>
      <w:proofErr w:type="gramEnd"/>
      <w:r w:rsidR="0029348A" w:rsidRPr="00632AC5">
        <w:rPr>
          <w:rFonts w:ascii="Calibri" w:hAnsi="Calibri" w:cs="Calibri"/>
          <w:b/>
          <w:sz w:val="24"/>
          <w:lang w:eastAsia="cs-CZ"/>
        </w:rPr>
        <w:t xml:space="preserve"> SE</w:t>
      </w:r>
      <w:r w:rsidR="0029348A">
        <w:rPr>
          <w:rFonts w:ascii="Calibri" w:hAnsi="Calibri" w:cs="Calibri"/>
          <w:b/>
          <w:sz w:val="24"/>
          <w:lang w:eastAsia="cs-CZ"/>
        </w:rPr>
        <w:t>)</w:t>
      </w:r>
      <w:r w:rsidR="00715186" w:rsidRPr="00632AC5">
        <w:rPr>
          <w:rFonts w:ascii="Calibri" w:hAnsi="Calibri" w:cs="Calibri"/>
          <w:b/>
          <w:sz w:val="24"/>
          <w:lang w:eastAsia="cs-CZ"/>
        </w:rPr>
        <w:t>,</w:t>
      </w:r>
      <w:r w:rsidR="00632AC5">
        <w:rPr>
          <w:rFonts w:ascii="Calibri" w:hAnsi="Calibri" w:cs="Calibri"/>
          <w:b/>
          <w:sz w:val="24"/>
          <w:lang w:eastAsia="cs-CZ"/>
        </w:rPr>
        <w:t xml:space="preserve"> </w:t>
      </w:r>
      <w:r w:rsidRPr="00632AC5">
        <w:rPr>
          <w:rFonts w:ascii="Calibri" w:hAnsi="Calibri" w:cs="Calibri"/>
          <w:b/>
          <w:sz w:val="24"/>
          <w:lang w:eastAsia="cs-CZ"/>
        </w:rPr>
        <w:t>tj. nevykaz</w:t>
      </w:r>
      <w:r w:rsidR="009A7E6C">
        <w:rPr>
          <w:rFonts w:ascii="Calibri" w:hAnsi="Calibri" w:cs="Calibri"/>
          <w:b/>
          <w:sz w:val="24"/>
          <w:lang w:eastAsia="cs-CZ"/>
        </w:rPr>
        <w:t>ovalo</w:t>
      </w:r>
      <w:r w:rsidRPr="00632AC5">
        <w:rPr>
          <w:rFonts w:ascii="Calibri" w:hAnsi="Calibri" w:cs="Calibri"/>
          <w:b/>
          <w:sz w:val="24"/>
          <w:lang w:eastAsia="cs-CZ"/>
        </w:rPr>
        <w:t xml:space="preserve"> z nich závazky, pohledávky, výnosy ani náklady, neboť jejich výplata se uskutečň</w:t>
      </w:r>
      <w:r w:rsidR="00715186" w:rsidRPr="00632AC5">
        <w:rPr>
          <w:rFonts w:ascii="Calibri" w:hAnsi="Calibri" w:cs="Calibri"/>
          <w:b/>
          <w:sz w:val="24"/>
          <w:lang w:eastAsia="cs-CZ"/>
        </w:rPr>
        <w:t>ovala</w:t>
      </w:r>
      <w:r w:rsidRPr="00632AC5">
        <w:rPr>
          <w:rFonts w:ascii="Calibri" w:hAnsi="Calibri" w:cs="Calibri"/>
          <w:b/>
          <w:sz w:val="24"/>
          <w:lang w:eastAsia="cs-CZ"/>
        </w:rPr>
        <w:t xml:space="preserve"> přímo na účet </w:t>
      </w:r>
      <w:r w:rsidR="00A16E00">
        <w:rPr>
          <w:rFonts w:ascii="Calibri" w:hAnsi="Calibri" w:cs="Calibri"/>
          <w:b/>
          <w:sz w:val="24"/>
          <w:lang w:eastAsia="cs-CZ"/>
        </w:rPr>
        <w:t>státních finančních aktiv.</w:t>
      </w:r>
    </w:p>
    <w:p w:rsidR="005A270C" w:rsidRDefault="005A270C" w:rsidP="00F80CB2">
      <w:pPr>
        <w:widowControl w:val="0"/>
        <w:ind w:firstLine="0"/>
        <w:rPr>
          <w:rFonts w:ascii="Calibri" w:hAnsi="Calibri" w:cs="Calibri"/>
          <w:sz w:val="24"/>
          <w:lang w:eastAsia="cs-CZ"/>
        </w:rPr>
      </w:pPr>
    </w:p>
    <w:p w:rsidR="00B37F28" w:rsidRPr="00632AC5" w:rsidRDefault="00B37F28" w:rsidP="00F80CB2">
      <w:pPr>
        <w:widowControl w:val="0"/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  <w:lang w:eastAsia="cs-CZ"/>
        </w:rPr>
        <w:t>Dle usnesení vlády</w:t>
      </w:r>
      <w:r w:rsidR="00A7084A" w:rsidRPr="00632AC5">
        <w:rPr>
          <w:rStyle w:val="Znakapoznpodarou"/>
          <w:rFonts w:ascii="Calibri" w:hAnsi="Calibri" w:cs="Calibri"/>
          <w:sz w:val="24"/>
          <w:lang w:eastAsia="cs-CZ"/>
        </w:rPr>
        <w:footnoteReference w:id="19"/>
      </w:r>
      <w:r w:rsidRPr="00632AC5">
        <w:rPr>
          <w:rFonts w:ascii="Calibri" w:hAnsi="Calibri" w:cs="Calibri"/>
          <w:sz w:val="24"/>
          <w:lang w:eastAsia="cs-CZ"/>
        </w:rPr>
        <w:t xml:space="preserve"> jsou dividendy z akcií společností ČEZ, a.</w:t>
      </w:r>
      <w:r w:rsidR="00942BF0" w:rsidRPr="00F80CB2">
        <w:rPr>
          <w:rFonts w:ascii="Calibri" w:hAnsi="Calibri" w:cs="Calibri"/>
          <w:sz w:val="24"/>
          <w:vertAlign w:val="superscript"/>
          <w:lang w:eastAsia="cs-CZ"/>
        </w:rPr>
        <w:t> </w:t>
      </w:r>
      <w:r w:rsidRPr="00632AC5">
        <w:rPr>
          <w:rFonts w:ascii="Calibri" w:hAnsi="Calibri" w:cs="Calibri"/>
          <w:sz w:val="24"/>
          <w:lang w:eastAsia="cs-CZ"/>
        </w:rPr>
        <w:t>s.</w:t>
      </w:r>
      <w:r w:rsidR="00942BF0">
        <w:rPr>
          <w:rFonts w:ascii="Calibri" w:hAnsi="Calibri" w:cs="Calibri"/>
          <w:sz w:val="24"/>
          <w:lang w:eastAsia="cs-CZ"/>
        </w:rPr>
        <w:t>,</w:t>
      </w:r>
      <w:r w:rsidRPr="00632AC5">
        <w:rPr>
          <w:rFonts w:ascii="Calibri" w:hAnsi="Calibri" w:cs="Calibri"/>
          <w:sz w:val="24"/>
          <w:lang w:eastAsia="cs-CZ"/>
        </w:rPr>
        <w:t xml:space="preserve"> a ČEPS, a.</w:t>
      </w:r>
      <w:r w:rsidR="00942BF0" w:rsidRPr="00F80CB2">
        <w:rPr>
          <w:rFonts w:ascii="Calibri" w:hAnsi="Calibri" w:cs="Calibri"/>
          <w:sz w:val="24"/>
          <w:vertAlign w:val="superscript"/>
          <w:lang w:eastAsia="cs-CZ"/>
        </w:rPr>
        <w:t> </w:t>
      </w:r>
      <w:r w:rsidRPr="00632AC5">
        <w:rPr>
          <w:rFonts w:ascii="Calibri" w:hAnsi="Calibri" w:cs="Calibri"/>
          <w:sz w:val="24"/>
          <w:lang w:eastAsia="cs-CZ"/>
        </w:rPr>
        <w:t>s.</w:t>
      </w:r>
      <w:r w:rsidR="00942BF0">
        <w:rPr>
          <w:rFonts w:ascii="Calibri" w:hAnsi="Calibri" w:cs="Calibri"/>
          <w:sz w:val="24"/>
          <w:lang w:eastAsia="cs-CZ"/>
        </w:rPr>
        <w:t>,</w:t>
      </w:r>
      <w:r w:rsidRPr="00632AC5">
        <w:rPr>
          <w:rFonts w:ascii="Calibri" w:hAnsi="Calibri" w:cs="Calibri"/>
          <w:sz w:val="24"/>
          <w:lang w:eastAsia="cs-CZ"/>
        </w:rPr>
        <w:t xml:space="preserve"> státními finančními aktivy a </w:t>
      </w:r>
      <w:r w:rsidR="00C93FA1" w:rsidRPr="00632AC5">
        <w:rPr>
          <w:rFonts w:ascii="Calibri" w:hAnsi="Calibri" w:cs="Calibri"/>
          <w:sz w:val="24"/>
          <w:lang w:eastAsia="cs-CZ"/>
        </w:rPr>
        <w:t xml:space="preserve">část jich je určena </w:t>
      </w:r>
      <w:r w:rsidRPr="00632AC5">
        <w:rPr>
          <w:rFonts w:ascii="Calibri" w:hAnsi="Calibri" w:cs="Calibri"/>
          <w:sz w:val="24"/>
          <w:lang w:eastAsia="cs-CZ"/>
        </w:rPr>
        <w:t xml:space="preserve">na řešení problémů spojených s důchodovou reformou. </w:t>
      </w:r>
    </w:p>
    <w:p w:rsidR="005A270C" w:rsidRDefault="005A270C" w:rsidP="00F80CB2">
      <w:pPr>
        <w:widowControl w:val="0"/>
        <w:ind w:firstLine="0"/>
        <w:rPr>
          <w:rFonts w:ascii="Calibri" w:hAnsi="Calibri" w:cs="Calibri"/>
          <w:sz w:val="24"/>
          <w:lang w:eastAsia="cs-CZ"/>
        </w:rPr>
      </w:pPr>
    </w:p>
    <w:p w:rsidR="005B1AA4" w:rsidRDefault="00C93FA1" w:rsidP="00F80CB2">
      <w:pPr>
        <w:widowControl w:val="0"/>
        <w:ind w:firstLine="0"/>
        <w:rPr>
          <w:rFonts w:ascii="Calibri" w:hAnsi="Calibri" w:cs="Calibri"/>
          <w:sz w:val="24"/>
          <w:lang w:eastAsia="cs-CZ"/>
        </w:rPr>
      </w:pPr>
      <w:r w:rsidRPr="00632AC5">
        <w:rPr>
          <w:rFonts w:ascii="Calibri" w:hAnsi="Calibri" w:cs="Calibri"/>
          <w:sz w:val="24"/>
          <w:lang w:eastAsia="cs-CZ"/>
        </w:rPr>
        <w:lastRenderedPageBreak/>
        <w:t>Právní předpisy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  <w:r w:rsidR="005B1AA4" w:rsidRPr="00632AC5">
        <w:rPr>
          <w:rFonts w:ascii="Calibri" w:hAnsi="Calibri" w:cs="Calibri"/>
          <w:sz w:val="24"/>
          <w:lang w:eastAsia="cs-CZ"/>
        </w:rPr>
        <w:t>ne</w:t>
      </w:r>
      <w:r w:rsidR="00F1533C" w:rsidRPr="00632AC5">
        <w:rPr>
          <w:rFonts w:ascii="Calibri" w:hAnsi="Calibri" w:cs="Calibri"/>
          <w:sz w:val="24"/>
          <w:lang w:eastAsia="cs-CZ"/>
        </w:rPr>
        <w:t>uvádějí,</w:t>
      </w:r>
      <w:r w:rsidR="005B1AA4" w:rsidRPr="00632AC5">
        <w:rPr>
          <w:rFonts w:ascii="Calibri" w:hAnsi="Calibri" w:cs="Calibri"/>
          <w:sz w:val="24"/>
          <w:lang w:eastAsia="cs-CZ"/>
        </w:rPr>
        <w:t xml:space="preserve"> která účetní jednotka a jak má o těchto výnosech z majetkových účastí, resp. výnosech </w:t>
      </w:r>
      <w:r w:rsidR="00574487">
        <w:rPr>
          <w:rFonts w:ascii="Calibri" w:hAnsi="Calibri" w:cs="Calibri"/>
          <w:sz w:val="24"/>
          <w:lang w:eastAsia="cs-CZ"/>
        </w:rPr>
        <w:t>z</w:t>
      </w:r>
      <w:r w:rsidR="00942BF0">
        <w:rPr>
          <w:rFonts w:ascii="Calibri" w:hAnsi="Calibri" w:cs="Calibri"/>
          <w:sz w:val="24"/>
          <w:lang w:eastAsia="cs-CZ"/>
        </w:rPr>
        <w:t> </w:t>
      </w:r>
      <w:r w:rsidR="005B1AA4" w:rsidRPr="00632AC5">
        <w:rPr>
          <w:rFonts w:ascii="Calibri" w:hAnsi="Calibri" w:cs="Calibri"/>
          <w:sz w:val="24"/>
          <w:lang w:eastAsia="cs-CZ"/>
        </w:rPr>
        <w:t>dividend</w:t>
      </w:r>
      <w:r w:rsidR="00942BF0">
        <w:rPr>
          <w:rFonts w:ascii="Calibri" w:hAnsi="Calibri" w:cs="Calibri"/>
          <w:sz w:val="24"/>
          <w:lang w:eastAsia="cs-CZ"/>
        </w:rPr>
        <w:t>,</w:t>
      </w:r>
      <w:r w:rsidR="005B1AA4" w:rsidRPr="00632AC5">
        <w:rPr>
          <w:rFonts w:ascii="Calibri" w:hAnsi="Calibri" w:cs="Calibri"/>
          <w:sz w:val="24"/>
          <w:lang w:eastAsia="cs-CZ"/>
        </w:rPr>
        <w:t xml:space="preserve"> účtovat v případech, kdy </w:t>
      </w:r>
      <w:r w:rsidR="00942BF0" w:rsidRPr="00632AC5">
        <w:rPr>
          <w:rFonts w:ascii="Calibri" w:hAnsi="Calibri" w:cs="Calibri"/>
          <w:sz w:val="24"/>
          <w:lang w:eastAsia="cs-CZ"/>
        </w:rPr>
        <w:t xml:space="preserve">se </w:t>
      </w:r>
      <w:r w:rsidR="00942BF0">
        <w:rPr>
          <w:rFonts w:ascii="Calibri" w:hAnsi="Calibri" w:cs="Calibri"/>
          <w:sz w:val="24"/>
          <w:lang w:eastAsia="cs-CZ"/>
        </w:rPr>
        <w:t>od sebe liší</w:t>
      </w:r>
      <w:r w:rsidR="00942BF0" w:rsidRPr="00632AC5">
        <w:rPr>
          <w:rFonts w:ascii="Calibri" w:hAnsi="Calibri" w:cs="Calibri"/>
          <w:sz w:val="24"/>
          <w:lang w:eastAsia="cs-CZ"/>
        </w:rPr>
        <w:t xml:space="preserve"> </w:t>
      </w:r>
      <w:r w:rsidR="005B1AA4" w:rsidRPr="00632AC5">
        <w:rPr>
          <w:rFonts w:ascii="Calibri" w:hAnsi="Calibri" w:cs="Calibri"/>
          <w:sz w:val="24"/>
          <w:lang w:eastAsia="cs-CZ"/>
        </w:rPr>
        <w:t>držitel akcií a</w:t>
      </w:r>
      <w:r w:rsidR="00C467E7" w:rsidRPr="00632AC5">
        <w:rPr>
          <w:rFonts w:ascii="Calibri" w:hAnsi="Calibri" w:cs="Calibri"/>
          <w:sz w:val="24"/>
          <w:lang w:eastAsia="cs-CZ"/>
        </w:rPr>
        <w:t> </w:t>
      </w:r>
      <w:r w:rsidRPr="00632AC5">
        <w:rPr>
          <w:rFonts w:ascii="Calibri" w:hAnsi="Calibri" w:cs="Calibri"/>
          <w:sz w:val="24"/>
          <w:lang w:eastAsia="cs-CZ"/>
        </w:rPr>
        <w:t xml:space="preserve">příjemce dividend </w:t>
      </w:r>
      <w:r w:rsidR="00942BF0">
        <w:rPr>
          <w:rFonts w:ascii="Calibri" w:hAnsi="Calibri" w:cs="Calibri"/>
          <w:sz w:val="24"/>
          <w:lang w:eastAsia="cs-CZ"/>
        </w:rPr>
        <w:t>z těchto akcií</w:t>
      </w:r>
      <w:r w:rsidR="00426D6B">
        <w:rPr>
          <w:rFonts w:ascii="Calibri" w:hAnsi="Calibri" w:cs="Calibri"/>
          <w:sz w:val="24"/>
          <w:lang w:eastAsia="cs-CZ"/>
        </w:rPr>
        <w:t xml:space="preserve">. </w:t>
      </w:r>
      <w:r w:rsidR="00632AC5">
        <w:rPr>
          <w:rFonts w:ascii="Calibri" w:hAnsi="Calibri" w:cs="Calibri"/>
          <w:sz w:val="24"/>
          <w:lang w:eastAsia="cs-CZ"/>
        </w:rPr>
        <w:t xml:space="preserve"> </w:t>
      </w:r>
    </w:p>
    <w:p w:rsidR="005A270C" w:rsidRPr="00632AC5" w:rsidRDefault="005A270C" w:rsidP="00F80CB2">
      <w:pPr>
        <w:widowControl w:val="0"/>
        <w:ind w:firstLine="0"/>
        <w:rPr>
          <w:rFonts w:ascii="Calibri" w:hAnsi="Calibri" w:cs="Calibri"/>
          <w:sz w:val="24"/>
          <w:lang w:eastAsia="cs-CZ"/>
        </w:rPr>
      </w:pPr>
    </w:p>
    <w:p w:rsidR="005B1AA4" w:rsidRPr="00A16E00" w:rsidRDefault="005B1AA4" w:rsidP="00F80CB2">
      <w:pPr>
        <w:keepNext/>
        <w:ind w:firstLine="0"/>
        <w:rPr>
          <w:rFonts w:ascii="Calibri" w:hAnsi="Calibri" w:cs="Calibri"/>
          <w:b/>
          <w:sz w:val="24"/>
          <w:lang w:eastAsia="cs-CZ"/>
        </w:rPr>
      </w:pPr>
      <w:r w:rsidRPr="00A16E00">
        <w:rPr>
          <w:rFonts w:ascii="Calibri" w:hAnsi="Calibri" w:cs="Calibri"/>
          <w:b/>
          <w:sz w:val="24"/>
          <w:lang w:eastAsia="cs-CZ"/>
        </w:rPr>
        <w:t xml:space="preserve">MF o přijetí dividend z majetkových účastí státu </w:t>
      </w:r>
      <w:r w:rsidR="00574487">
        <w:rPr>
          <w:rFonts w:ascii="Calibri" w:hAnsi="Calibri" w:cs="Calibri"/>
          <w:b/>
          <w:sz w:val="24"/>
          <w:lang w:eastAsia="cs-CZ"/>
        </w:rPr>
        <w:t>v </w:t>
      </w:r>
      <w:r w:rsidRPr="00A16E00">
        <w:rPr>
          <w:rFonts w:ascii="Calibri" w:hAnsi="Calibri" w:cs="Calibri"/>
          <w:b/>
          <w:sz w:val="24"/>
          <w:lang w:eastAsia="cs-CZ"/>
        </w:rPr>
        <w:t xml:space="preserve">držení MPSV a </w:t>
      </w:r>
      <w:proofErr w:type="spellStart"/>
      <w:r w:rsidRPr="00A16E00">
        <w:rPr>
          <w:rFonts w:ascii="Calibri" w:hAnsi="Calibri" w:cs="Calibri"/>
          <w:b/>
          <w:sz w:val="24"/>
          <w:lang w:eastAsia="cs-CZ"/>
        </w:rPr>
        <w:t>MPO</w:t>
      </w:r>
      <w:proofErr w:type="spellEnd"/>
      <w:r w:rsidRPr="00A16E00">
        <w:rPr>
          <w:rFonts w:ascii="Calibri" w:hAnsi="Calibri" w:cs="Calibri"/>
          <w:b/>
          <w:sz w:val="24"/>
          <w:lang w:eastAsia="cs-CZ"/>
        </w:rPr>
        <w:t xml:space="preserve"> účtovalo v období let 2010–2013 na účet </w:t>
      </w:r>
      <w:r w:rsidRPr="00F80CB2">
        <w:rPr>
          <w:rFonts w:ascii="Calibri" w:hAnsi="Calibri" w:cs="Calibri"/>
          <w:b/>
          <w:sz w:val="24"/>
          <w:lang w:eastAsia="cs-CZ"/>
        </w:rPr>
        <w:t xml:space="preserve">665 – </w:t>
      </w:r>
      <w:r w:rsidRPr="00A16E00">
        <w:rPr>
          <w:rFonts w:ascii="Calibri" w:hAnsi="Calibri" w:cs="Calibri"/>
          <w:b/>
          <w:i/>
          <w:sz w:val="24"/>
          <w:lang w:eastAsia="cs-CZ"/>
        </w:rPr>
        <w:t>Výnosy z dlouhodobého finančního majetku</w:t>
      </w:r>
      <w:r w:rsidRPr="00A16E00">
        <w:rPr>
          <w:rFonts w:ascii="Calibri" w:hAnsi="Calibri" w:cs="Calibri"/>
          <w:b/>
          <w:sz w:val="24"/>
          <w:lang w:eastAsia="cs-CZ"/>
        </w:rPr>
        <w:t xml:space="preserve">, </w:t>
      </w:r>
      <w:r w:rsidR="00560810" w:rsidRPr="00A16E00">
        <w:rPr>
          <w:rFonts w:ascii="Calibri" w:hAnsi="Calibri" w:cs="Calibri"/>
          <w:b/>
          <w:sz w:val="24"/>
          <w:lang w:eastAsia="cs-CZ"/>
        </w:rPr>
        <w:t>př</w:t>
      </w:r>
      <w:r w:rsidR="00F1533C" w:rsidRPr="00A16E00">
        <w:rPr>
          <w:rFonts w:ascii="Calibri" w:hAnsi="Calibri" w:cs="Calibri"/>
          <w:b/>
          <w:sz w:val="24"/>
          <w:lang w:eastAsia="cs-CZ"/>
        </w:rPr>
        <w:t xml:space="preserve">estože </w:t>
      </w:r>
      <w:r w:rsidRPr="00A16E00">
        <w:rPr>
          <w:rFonts w:ascii="Calibri" w:hAnsi="Calibri" w:cs="Calibri"/>
          <w:b/>
          <w:sz w:val="24"/>
          <w:lang w:eastAsia="cs-CZ"/>
        </w:rPr>
        <w:t>nebylo držitelem těchto majetkových účastí.</w:t>
      </w:r>
    </w:p>
    <w:p w:rsidR="00EF11CD" w:rsidRPr="00632AC5" w:rsidRDefault="00EF11CD" w:rsidP="00F80CB2">
      <w:pPr>
        <w:ind w:firstLine="0"/>
        <w:rPr>
          <w:rFonts w:ascii="Calibri" w:hAnsi="Calibri" w:cs="Calibri"/>
          <w:sz w:val="24"/>
          <w:lang w:eastAsia="cs-CZ"/>
        </w:rPr>
      </w:pPr>
    </w:p>
    <w:p w:rsidR="00EF11CD" w:rsidRPr="00A0314E" w:rsidRDefault="008608EA" w:rsidP="00F80CB2">
      <w:pPr>
        <w:pStyle w:val="Nadpis1"/>
        <w:numPr>
          <w:ilvl w:val="0"/>
          <w:numId w:val="0"/>
        </w:numPr>
        <w:rPr>
          <w:rFonts w:ascii="Calibri" w:hAnsi="Calibri" w:cs="Calibri"/>
          <w:color w:val="548DD4" w:themeColor="text2" w:themeTint="99"/>
          <w:sz w:val="24"/>
          <w:szCs w:val="24"/>
        </w:rPr>
      </w:pPr>
      <w:r>
        <w:rPr>
          <w:rFonts w:ascii="Calibri" w:hAnsi="Calibri" w:cs="Calibri"/>
          <w:color w:val="548DD4" w:themeColor="text2" w:themeTint="99"/>
          <w:sz w:val="24"/>
          <w:szCs w:val="24"/>
        </w:rPr>
        <w:t xml:space="preserve">6. </w:t>
      </w:r>
      <w:r w:rsidR="00B22F9F" w:rsidRPr="00A0314E">
        <w:rPr>
          <w:rFonts w:ascii="Calibri" w:hAnsi="Calibri" w:cs="Calibri"/>
          <w:color w:val="548DD4" w:themeColor="text2" w:themeTint="99"/>
          <w:sz w:val="24"/>
          <w:szCs w:val="24"/>
        </w:rPr>
        <w:t>Z</w:t>
      </w:r>
      <w:r w:rsidR="00EF11CD" w:rsidRPr="00A0314E">
        <w:rPr>
          <w:rFonts w:ascii="Calibri" w:hAnsi="Calibri" w:cs="Calibri"/>
          <w:color w:val="548DD4" w:themeColor="text2" w:themeTint="99"/>
          <w:sz w:val="24"/>
          <w:szCs w:val="24"/>
        </w:rPr>
        <w:t xml:space="preserve">atřídění výdajů na </w:t>
      </w:r>
      <w:r w:rsidR="00C93FA1" w:rsidRPr="00A0314E">
        <w:rPr>
          <w:rFonts w:ascii="Calibri" w:hAnsi="Calibri" w:cs="Calibri"/>
          <w:color w:val="548DD4" w:themeColor="text2" w:themeTint="99"/>
          <w:sz w:val="24"/>
          <w:szCs w:val="24"/>
        </w:rPr>
        <w:t>dávky důchodového pojištění</w:t>
      </w:r>
      <w:r w:rsidR="00EF11CD" w:rsidRPr="00A0314E">
        <w:rPr>
          <w:rFonts w:ascii="Calibri" w:hAnsi="Calibri" w:cs="Calibri"/>
          <w:color w:val="548DD4" w:themeColor="text2" w:themeTint="99"/>
          <w:sz w:val="24"/>
          <w:szCs w:val="24"/>
        </w:rPr>
        <w:t xml:space="preserve"> </w:t>
      </w:r>
      <w:r w:rsidR="00C93FA1" w:rsidRPr="00A0314E">
        <w:rPr>
          <w:rFonts w:ascii="Calibri" w:hAnsi="Calibri" w:cs="Calibri"/>
          <w:color w:val="548DD4" w:themeColor="text2" w:themeTint="99"/>
          <w:sz w:val="24"/>
          <w:szCs w:val="24"/>
        </w:rPr>
        <w:t>dle rozpočtové skladby</w:t>
      </w:r>
    </w:p>
    <w:p w:rsidR="00CF76E1" w:rsidRPr="00632AC5" w:rsidRDefault="00CF76E1" w:rsidP="00F80CB2">
      <w:pPr>
        <w:ind w:firstLine="0"/>
        <w:rPr>
          <w:rFonts w:ascii="Calibri" w:hAnsi="Calibri" w:cs="Calibri"/>
          <w:sz w:val="24"/>
          <w:lang w:eastAsia="cs-CZ"/>
        </w:rPr>
      </w:pPr>
    </w:p>
    <w:p w:rsidR="003E2EEB" w:rsidRPr="00632AC5" w:rsidRDefault="003E2EEB" w:rsidP="00CF76E1">
      <w:pPr>
        <w:ind w:firstLine="0"/>
        <w:rPr>
          <w:rFonts w:ascii="Calibri" w:hAnsi="Calibri" w:cs="Calibri"/>
          <w:color w:val="000000"/>
          <w:sz w:val="24"/>
        </w:rPr>
      </w:pPr>
      <w:r w:rsidRPr="00632AC5">
        <w:rPr>
          <w:rFonts w:ascii="Calibri" w:hAnsi="Calibri" w:cs="Calibri"/>
          <w:color w:val="000000"/>
          <w:sz w:val="24"/>
        </w:rPr>
        <w:t>U MO a MV byla n</w:t>
      </w:r>
      <w:r w:rsidR="00CF76E1" w:rsidRPr="00632AC5">
        <w:rPr>
          <w:rFonts w:ascii="Calibri" w:hAnsi="Calibri" w:cs="Calibri"/>
          <w:color w:val="000000"/>
          <w:sz w:val="24"/>
        </w:rPr>
        <w:t>a vybraném vzorku</w:t>
      </w:r>
      <w:r w:rsidRPr="00632AC5">
        <w:rPr>
          <w:rFonts w:ascii="Calibri" w:hAnsi="Calibri" w:cs="Calibri"/>
          <w:color w:val="000000"/>
          <w:sz w:val="24"/>
        </w:rPr>
        <w:t xml:space="preserve"> dokladů za období jednoho měsíce </w:t>
      </w:r>
      <w:r w:rsidR="00574487">
        <w:rPr>
          <w:rFonts w:ascii="Calibri" w:hAnsi="Calibri" w:cs="Calibri"/>
          <w:color w:val="000000"/>
          <w:sz w:val="24"/>
        </w:rPr>
        <w:t>v </w:t>
      </w:r>
      <w:r w:rsidR="00942BF0">
        <w:rPr>
          <w:rFonts w:ascii="Calibri" w:hAnsi="Calibri" w:cs="Calibri"/>
          <w:color w:val="000000"/>
          <w:sz w:val="24"/>
        </w:rPr>
        <w:t>letech</w:t>
      </w:r>
      <w:r w:rsidRPr="00632AC5">
        <w:rPr>
          <w:rFonts w:ascii="Calibri" w:hAnsi="Calibri" w:cs="Calibri"/>
          <w:color w:val="000000"/>
          <w:sz w:val="24"/>
        </w:rPr>
        <w:t xml:space="preserve"> 2009</w:t>
      </w:r>
      <w:r w:rsidR="004F1DD5" w:rsidRPr="00632AC5">
        <w:rPr>
          <w:rFonts w:ascii="Calibri" w:hAnsi="Calibri" w:cs="Calibri"/>
          <w:color w:val="000000"/>
          <w:sz w:val="24"/>
        </w:rPr>
        <w:t>–</w:t>
      </w:r>
      <w:r w:rsidRPr="00632AC5">
        <w:rPr>
          <w:rFonts w:ascii="Calibri" w:hAnsi="Calibri" w:cs="Calibri"/>
          <w:color w:val="000000"/>
          <w:sz w:val="24"/>
        </w:rPr>
        <w:t xml:space="preserve">2013 </w:t>
      </w:r>
      <w:r w:rsidR="00CF76E1" w:rsidRPr="00632AC5">
        <w:rPr>
          <w:rFonts w:ascii="Calibri" w:hAnsi="Calibri" w:cs="Calibri"/>
          <w:color w:val="000000"/>
          <w:sz w:val="24"/>
        </w:rPr>
        <w:t>kontrolována správnost</w:t>
      </w:r>
      <w:r w:rsidRPr="00632AC5">
        <w:rPr>
          <w:rFonts w:ascii="Calibri" w:hAnsi="Calibri" w:cs="Calibri"/>
          <w:color w:val="000000"/>
          <w:sz w:val="24"/>
        </w:rPr>
        <w:t xml:space="preserve"> </w:t>
      </w:r>
      <w:r w:rsidR="00CF76E1" w:rsidRPr="00632AC5">
        <w:rPr>
          <w:rFonts w:ascii="Calibri" w:hAnsi="Calibri" w:cs="Calibri"/>
          <w:color w:val="000000"/>
          <w:sz w:val="24"/>
        </w:rPr>
        <w:t>zatřídění</w:t>
      </w:r>
      <w:r w:rsidRPr="00632AC5">
        <w:rPr>
          <w:rFonts w:ascii="Calibri" w:hAnsi="Calibri" w:cs="Calibri"/>
          <w:color w:val="000000"/>
          <w:sz w:val="24"/>
        </w:rPr>
        <w:t xml:space="preserve"> výdajů na </w:t>
      </w:r>
      <w:r w:rsidR="00C93FA1" w:rsidRPr="00632AC5">
        <w:rPr>
          <w:rFonts w:ascii="Calibri" w:hAnsi="Calibri" w:cs="Calibri"/>
          <w:color w:val="000000"/>
          <w:sz w:val="24"/>
        </w:rPr>
        <w:t>dávky důchodového pojištění</w:t>
      </w:r>
      <w:r w:rsidR="00CF76E1" w:rsidRPr="00632AC5">
        <w:rPr>
          <w:rFonts w:ascii="Calibri" w:hAnsi="Calibri" w:cs="Calibri"/>
          <w:color w:val="000000"/>
          <w:sz w:val="24"/>
        </w:rPr>
        <w:t xml:space="preserve"> na položky a</w:t>
      </w:r>
      <w:r w:rsidR="00B0720C">
        <w:rPr>
          <w:rFonts w:ascii="Calibri" w:hAnsi="Calibri" w:cs="Calibri"/>
          <w:color w:val="000000"/>
          <w:sz w:val="24"/>
        </w:rPr>
        <w:t> </w:t>
      </w:r>
      <w:r w:rsidR="00CF76E1" w:rsidRPr="00632AC5">
        <w:rPr>
          <w:rFonts w:ascii="Calibri" w:hAnsi="Calibri" w:cs="Calibri"/>
          <w:color w:val="000000"/>
          <w:sz w:val="24"/>
        </w:rPr>
        <w:t>paragrafy rozpočtové skladby dle vyhlášky č. 323/2002 Sb.</w:t>
      </w:r>
      <w:r w:rsidR="00A0314E">
        <w:rPr>
          <w:rStyle w:val="Znakapoznpodarou"/>
          <w:rFonts w:ascii="Calibri" w:hAnsi="Calibri" w:cs="Calibri"/>
          <w:color w:val="000000"/>
          <w:sz w:val="24"/>
        </w:rPr>
        <w:footnoteReference w:id="20"/>
      </w:r>
      <w:r w:rsidR="00DC07E0" w:rsidRPr="00632AC5">
        <w:rPr>
          <w:rFonts w:ascii="Calibri" w:hAnsi="Calibri" w:cs="Calibri"/>
          <w:color w:val="000000"/>
          <w:sz w:val="24"/>
        </w:rPr>
        <w:t>.</w:t>
      </w:r>
      <w:r w:rsidR="00CF76E1" w:rsidRPr="00632AC5">
        <w:rPr>
          <w:rFonts w:ascii="Calibri" w:hAnsi="Calibri" w:cs="Calibri"/>
          <w:color w:val="000000"/>
          <w:sz w:val="24"/>
        </w:rPr>
        <w:t xml:space="preserve"> </w:t>
      </w:r>
    </w:p>
    <w:p w:rsidR="002D3940" w:rsidRPr="00632AC5" w:rsidRDefault="002D3940" w:rsidP="00CF76E1">
      <w:pPr>
        <w:ind w:firstLine="0"/>
        <w:rPr>
          <w:rFonts w:ascii="Calibri" w:hAnsi="Calibri" w:cs="Calibri"/>
          <w:color w:val="000000"/>
          <w:sz w:val="24"/>
        </w:rPr>
      </w:pPr>
    </w:p>
    <w:p w:rsidR="002D3940" w:rsidRPr="00F80CB2" w:rsidRDefault="002D3940" w:rsidP="00A31613">
      <w:pPr>
        <w:ind w:firstLine="0"/>
        <w:rPr>
          <w:rFonts w:ascii="Calibri" w:hAnsi="Calibri" w:cs="Calibri"/>
          <w:sz w:val="24"/>
        </w:rPr>
      </w:pPr>
      <w:r w:rsidRPr="00632AC5">
        <w:rPr>
          <w:rFonts w:ascii="Calibri" w:hAnsi="Calibri" w:cs="Calibri"/>
          <w:sz w:val="24"/>
        </w:rPr>
        <w:t>Kontrolou bylo zjištěno, že MO dávk</w:t>
      </w:r>
      <w:r w:rsidR="00C9411E">
        <w:rPr>
          <w:rFonts w:ascii="Calibri" w:hAnsi="Calibri" w:cs="Calibri"/>
          <w:sz w:val="24"/>
        </w:rPr>
        <w:t>y</w:t>
      </w:r>
      <w:r w:rsidRPr="00632AC5">
        <w:rPr>
          <w:rFonts w:ascii="Calibri" w:hAnsi="Calibri" w:cs="Calibri"/>
          <w:sz w:val="24"/>
        </w:rPr>
        <w:t xml:space="preserve"> zdravotně postiženým </w:t>
      </w:r>
      <w:r w:rsidR="00C9411E">
        <w:rPr>
          <w:rFonts w:ascii="Calibri" w:hAnsi="Calibri" w:cs="Calibri"/>
          <w:sz w:val="24"/>
        </w:rPr>
        <w:t>osobám</w:t>
      </w:r>
      <w:r w:rsidRPr="00632AC5">
        <w:rPr>
          <w:rFonts w:ascii="Calibri" w:hAnsi="Calibri" w:cs="Calibri"/>
          <w:sz w:val="24"/>
        </w:rPr>
        <w:t xml:space="preserve"> přiřadilo </w:t>
      </w:r>
      <w:r w:rsidR="00C9411E">
        <w:rPr>
          <w:rFonts w:ascii="Calibri" w:hAnsi="Calibri" w:cs="Calibri"/>
          <w:sz w:val="24"/>
        </w:rPr>
        <w:t xml:space="preserve">na </w:t>
      </w:r>
      <w:r w:rsidR="003A5AF7" w:rsidRPr="00632AC5">
        <w:rPr>
          <w:rFonts w:ascii="Calibri" w:hAnsi="Calibri" w:cs="Calibri"/>
          <w:sz w:val="24"/>
        </w:rPr>
        <w:t xml:space="preserve">nesprávný </w:t>
      </w:r>
      <w:r w:rsidRPr="00632AC5">
        <w:rPr>
          <w:rFonts w:ascii="Calibri" w:hAnsi="Calibri" w:cs="Calibri"/>
          <w:sz w:val="24"/>
        </w:rPr>
        <w:t xml:space="preserve">paragraf 4119 – </w:t>
      </w:r>
      <w:r w:rsidRPr="00F80CB2">
        <w:rPr>
          <w:rFonts w:ascii="Calibri" w:hAnsi="Calibri" w:cs="Calibri"/>
          <w:i/>
          <w:sz w:val="24"/>
        </w:rPr>
        <w:t>Ostatní dávky důchodového pojištění</w:t>
      </w:r>
      <w:r w:rsidRPr="00632AC5">
        <w:rPr>
          <w:rFonts w:ascii="Calibri" w:hAnsi="Calibri" w:cs="Calibri"/>
          <w:sz w:val="24"/>
        </w:rPr>
        <w:t xml:space="preserve"> místo </w:t>
      </w:r>
      <w:r w:rsidR="00C9411E">
        <w:rPr>
          <w:rFonts w:ascii="Calibri" w:hAnsi="Calibri" w:cs="Calibri"/>
          <w:sz w:val="24"/>
        </w:rPr>
        <w:t xml:space="preserve">na </w:t>
      </w:r>
      <w:r w:rsidRPr="00632AC5">
        <w:rPr>
          <w:rFonts w:ascii="Calibri" w:hAnsi="Calibri" w:cs="Calibri"/>
          <w:sz w:val="24"/>
        </w:rPr>
        <w:t>vyhláškou stanoven</w:t>
      </w:r>
      <w:r w:rsidR="00C9411E">
        <w:rPr>
          <w:rFonts w:ascii="Calibri" w:hAnsi="Calibri" w:cs="Calibri"/>
          <w:sz w:val="24"/>
        </w:rPr>
        <w:t>é</w:t>
      </w:r>
      <w:r w:rsidRPr="00632AC5">
        <w:rPr>
          <w:rFonts w:ascii="Calibri" w:hAnsi="Calibri" w:cs="Calibri"/>
          <w:sz w:val="24"/>
        </w:rPr>
        <w:t xml:space="preserve"> paragraf</w:t>
      </w:r>
      <w:r w:rsidR="00C9411E">
        <w:rPr>
          <w:rFonts w:ascii="Calibri" w:hAnsi="Calibri" w:cs="Calibri"/>
          <w:sz w:val="24"/>
        </w:rPr>
        <w:t>y</w:t>
      </w:r>
      <w:r w:rsidRPr="00632AC5">
        <w:rPr>
          <w:rFonts w:ascii="Calibri" w:hAnsi="Calibri" w:cs="Calibri"/>
          <w:sz w:val="24"/>
        </w:rPr>
        <w:t xml:space="preserve"> pododdílu 418 </w:t>
      </w:r>
      <w:r w:rsidR="004F1DD5" w:rsidRPr="00632AC5">
        <w:rPr>
          <w:rFonts w:ascii="Calibri" w:hAnsi="Calibri" w:cs="Calibri"/>
          <w:sz w:val="24"/>
        </w:rPr>
        <w:t>–</w:t>
      </w:r>
      <w:r w:rsidRPr="00632AC5">
        <w:rPr>
          <w:rFonts w:ascii="Calibri" w:hAnsi="Calibri" w:cs="Calibri"/>
          <w:sz w:val="24"/>
        </w:rPr>
        <w:t xml:space="preserve"> </w:t>
      </w:r>
      <w:r w:rsidRPr="00F80CB2">
        <w:rPr>
          <w:rFonts w:ascii="Calibri" w:hAnsi="Calibri" w:cs="Calibri"/>
          <w:i/>
          <w:sz w:val="24"/>
        </w:rPr>
        <w:t>Dávky zdravotně postiženým občanům</w:t>
      </w:r>
      <w:r w:rsidRPr="00632AC5">
        <w:rPr>
          <w:rFonts w:ascii="Calibri" w:hAnsi="Calibri" w:cs="Calibri"/>
          <w:sz w:val="24"/>
        </w:rPr>
        <w:t xml:space="preserve">. </w:t>
      </w:r>
      <w:r w:rsidRPr="00632AC5">
        <w:rPr>
          <w:rFonts w:ascii="Calibri" w:hAnsi="Calibri" w:cs="Calibri"/>
          <w:b/>
          <w:sz w:val="24"/>
        </w:rPr>
        <w:t xml:space="preserve">Vlivem této nesprávnosti byly údaje o výdajích na dávky </w:t>
      </w:r>
      <w:r w:rsidR="00C92D14" w:rsidRPr="00632AC5">
        <w:rPr>
          <w:rFonts w:ascii="Calibri" w:hAnsi="Calibri" w:cs="Calibri"/>
          <w:b/>
          <w:sz w:val="24"/>
        </w:rPr>
        <w:t xml:space="preserve">důchodového pojištění </w:t>
      </w:r>
      <w:r w:rsidRPr="00632AC5">
        <w:rPr>
          <w:rFonts w:ascii="Calibri" w:hAnsi="Calibri" w:cs="Calibri"/>
          <w:b/>
          <w:sz w:val="24"/>
        </w:rPr>
        <w:t>MO v období 2009</w:t>
      </w:r>
      <w:r w:rsidR="004F1DD5" w:rsidRPr="00632AC5">
        <w:rPr>
          <w:rFonts w:ascii="Calibri" w:hAnsi="Calibri" w:cs="Calibri"/>
          <w:b/>
          <w:sz w:val="24"/>
        </w:rPr>
        <w:t>–</w:t>
      </w:r>
      <w:r w:rsidRPr="00632AC5">
        <w:rPr>
          <w:rFonts w:ascii="Calibri" w:hAnsi="Calibri" w:cs="Calibri"/>
          <w:b/>
          <w:sz w:val="24"/>
        </w:rPr>
        <w:t xml:space="preserve">2012 uvedeny ve </w:t>
      </w:r>
      <w:proofErr w:type="spellStart"/>
      <w:r w:rsidR="00560810" w:rsidRPr="00632AC5">
        <w:rPr>
          <w:rFonts w:ascii="Calibri" w:hAnsi="Calibri" w:cs="Calibri"/>
          <w:b/>
          <w:sz w:val="24"/>
        </w:rPr>
        <w:t>SZÚ</w:t>
      </w:r>
      <w:proofErr w:type="spellEnd"/>
      <w:r w:rsidR="00560810" w:rsidRPr="00632AC5">
        <w:rPr>
          <w:rFonts w:ascii="Calibri" w:hAnsi="Calibri" w:cs="Calibri"/>
          <w:b/>
          <w:sz w:val="24"/>
        </w:rPr>
        <w:t xml:space="preserve"> ČR </w:t>
      </w:r>
      <w:r w:rsidRPr="00632AC5">
        <w:rPr>
          <w:rFonts w:ascii="Calibri" w:hAnsi="Calibri" w:cs="Calibri"/>
          <w:b/>
          <w:sz w:val="24"/>
        </w:rPr>
        <w:t>v nesprávné výši,</w:t>
      </w:r>
      <w:r w:rsidR="00A31613" w:rsidRPr="00632AC5">
        <w:rPr>
          <w:rFonts w:ascii="Calibri" w:hAnsi="Calibri" w:cs="Calibri"/>
          <w:b/>
          <w:sz w:val="24"/>
        </w:rPr>
        <w:t xml:space="preserve"> avšak tato nesprávnost neměla významný dopad na prověřovanou oblast.</w:t>
      </w:r>
      <w:r w:rsidR="00632AC5">
        <w:rPr>
          <w:rFonts w:ascii="Calibri" w:hAnsi="Calibri" w:cs="Calibri"/>
          <w:b/>
          <w:sz w:val="24"/>
        </w:rPr>
        <w:t xml:space="preserve"> </w:t>
      </w:r>
    </w:p>
    <w:p w:rsidR="002D3940" w:rsidRPr="00632AC5" w:rsidRDefault="002D3940" w:rsidP="00CF76E1">
      <w:pPr>
        <w:ind w:firstLine="0"/>
        <w:rPr>
          <w:rFonts w:ascii="Calibri" w:hAnsi="Calibri" w:cs="Calibri"/>
          <w:color w:val="000000"/>
          <w:sz w:val="24"/>
        </w:rPr>
      </w:pPr>
    </w:p>
    <w:p w:rsidR="003E2EEB" w:rsidRPr="00632AC5" w:rsidRDefault="003E2EEB" w:rsidP="003E2EEB">
      <w:pPr>
        <w:ind w:firstLine="0"/>
        <w:rPr>
          <w:rFonts w:ascii="Calibri" w:hAnsi="Calibri" w:cs="Calibri"/>
          <w:b/>
          <w:sz w:val="24"/>
        </w:rPr>
      </w:pPr>
      <w:r w:rsidRPr="00632AC5">
        <w:rPr>
          <w:rFonts w:ascii="Calibri" w:hAnsi="Calibri" w:cs="Calibri"/>
          <w:sz w:val="24"/>
        </w:rPr>
        <w:t>Kontrolou bylo</w:t>
      </w:r>
      <w:r w:rsidR="00A31613" w:rsidRPr="00632AC5">
        <w:rPr>
          <w:rFonts w:ascii="Calibri" w:hAnsi="Calibri" w:cs="Calibri"/>
          <w:sz w:val="24"/>
        </w:rPr>
        <w:t xml:space="preserve"> dále</w:t>
      </w:r>
      <w:r w:rsidRPr="00632AC5">
        <w:rPr>
          <w:rFonts w:ascii="Calibri" w:hAnsi="Calibri" w:cs="Calibri"/>
          <w:sz w:val="24"/>
        </w:rPr>
        <w:t xml:space="preserve"> zjištěno, že MV</w:t>
      </w:r>
      <w:r w:rsidR="00A31613" w:rsidRPr="00632AC5">
        <w:rPr>
          <w:rFonts w:ascii="Calibri" w:hAnsi="Calibri" w:cs="Calibri"/>
          <w:sz w:val="24"/>
        </w:rPr>
        <w:t xml:space="preserve"> zatřídilo</w:t>
      </w:r>
      <w:r w:rsidRPr="00632AC5">
        <w:rPr>
          <w:rFonts w:ascii="Calibri" w:hAnsi="Calibri" w:cs="Calibri"/>
          <w:sz w:val="24"/>
        </w:rPr>
        <w:t xml:space="preserve"> dávky důchodového pojištění ve výši 1</w:t>
      </w:r>
      <w:r w:rsidR="00A31613" w:rsidRPr="00632AC5">
        <w:rPr>
          <w:rFonts w:ascii="Calibri" w:hAnsi="Calibri" w:cs="Calibri"/>
          <w:sz w:val="24"/>
        </w:rPr>
        <w:t>,</w:t>
      </w:r>
      <w:r w:rsidRPr="00632AC5">
        <w:rPr>
          <w:rFonts w:ascii="Calibri" w:hAnsi="Calibri" w:cs="Calibri"/>
          <w:sz w:val="24"/>
        </w:rPr>
        <w:t>2</w:t>
      </w:r>
      <w:r w:rsidR="00A31613" w:rsidRPr="00632AC5">
        <w:rPr>
          <w:rFonts w:ascii="Calibri" w:hAnsi="Calibri" w:cs="Calibri"/>
          <w:sz w:val="24"/>
        </w:rPr>
        <w:t xml:space="preserve"> mil.</w:t>
      </w:r>
      <w:r w:rsidRPr="00632AC5">
        <w:rPr>
          <w:rFonts w:ascii="Calibri" w:hAnsi="Calibri" w:cs="Calibri"/>
          <w:sz w:val="24"/>
        </w:rPr>
        <w:t xml:space="preserve"> Kč v květnu 2013 na nesprávný paragraf 4152 – </w:t>
      </w:r>
      <w:r w:rsidRPr="00632AC5">
        <w:rPr>
          <w:rFonts w:ascii="Calibri" w:hAnsi="Calibri" w:cs="Calibri"/>
          <w:i/>
          <w:sz w:val="24"/>
        </w:rPr>
        <w:t>Výsluhový příspěvek</w:t>
      </w:r>
      <w:r w:rsidRPr="00632AC5">
        <w:rPr>
          <w:rFonts w:ascii="Calibri" w:hAnsi="Calibri" w:cs="Calibri"/>
          <w:sz w:val="24"/>
        </w:rPr>
        <w:t xml:space="preserve"> místo </w:t>
      </w:r>
      <w:r w:rsidR="00C9411E">
        <w:rPr>
          <w:rFonts w:ascii="Calibri" w:hAnsi="Calibri" w:cs="Calibri"/>
          <w:sz w:val="24"/>
        </w:rPr>
        <w:t xml:space="preserve">na </w:t>
      </w:r>
      <w:r w:rsidRPr="00632AC5">
        <w:rPr>
          <w:rFonts w:ascii="Calibri" w:hAnsi="Calibri" w:cs="Calibri"/>
          <w:sz w:val="24"/>
        </w:rPr>
        <w:t>vyhláškou stanovené paragrafy 4111 až 4117.</w:t>
      </w:r>
      <w:r w:rsidR="00C9411E">
        <w:rPr>
          <w:rFonts w:ascii="Calibri" w:hAnsi="Calibri" w:cs="Calibri"/>
          <w:sz w:val="24"/>
        </w:rPr>
        <w:t xml:space="preserve"> </w:t>
      </w:r>
      <w:r w:rsidRPr="00632AC5">
        <w:rPr>
          <w:rFonts w:ascii="Calibri" w:hAnsi="Calibri" w:cs="Calibri"/>
          <w:b/>
          <w:sz w:val="24"/>
        </w:rPr>
        <w:t>Vlivem této nesprávnosti byly údaje o výdajích na dávky</w:t>
      </w:r>
      <w:r w:rsidR="003F18A4" w:rsidRPr="00632AC5">
        <w:rPr>
          <w:rFonts w:ascii="Calibri" w:hAnsi="Calibri" w:cs="Calibri"/>
          <w:b/>
          <w:sz w:val="24"/>
        </w:rPr>
        <w:t xml:space="preserve"> důchodového pojištění</w:t>
      </w:r>
      <w:r w:rsidRPr="00632AC5">
        <w:rPr>
          <w:rFonts w:ascii="Calibri" w:hAnsi="Calibri" w:cs="Calibri"/>
          <w:b/>
          <w:sz w:val="24"/>
        </w:rPr>
        <w:t xml:space="preserve"> MV uvedeny ve </w:t>
      </w:r>
      <w:proofErr w:type="spellStart"/>
      <w:r w:rsidRPr="00632AC5">
        <w:rPr>
          <w:rFonts w:ascii="Calibri" w:hAnsi="Calibri" w:cs="Calibri"/>
          <w:b/>
          <w:sz w:val="24"/>
        </w:rPr>
        <w:t>SZÚ</w:t>
      </w:r>
      <w:proofErr w:type="spellEnd"/>
      <w:r w:rsidR="00560810" w:rsidRPr="00632AC5">
        <w:rPr>
          <w:rFonts w:ascii="Calibri" w:hAnsi="Calibri" w:cs="Calibri"/>
          <w:b/>
          <w:sz w:val="24"/>
        </w:rPr>
        <w:t xml:space="preserve"> ČR</w:t>
      </w:r>
      <w:r w:rsidRPr="00632AC5">
        <w:rPr>
          <w:rFonts w:ascii="Calibri" w:hAnsi="Calibri" w:cs="Calibri"/>
          <w:b/>
          <w:sz w:val="24"/>
        </w:rPr>
        <w:t xml:space="preserve"> za rok 2013 v nesprávné výši </w:t>
      </w:r>
      <w:r w:rsidR="00F1533C" w:rsidRPr="00632AC5">
        <w:rPr>
          <w:rFonts w:ascii="Calibri" w:hAnsi="Calibri" w:cs="Calibri"/>
          <w:b/>
          <w:sz w:val="24"/>
        </w:rPr>
        <w:t xml:space="preserve">minimálně </w:t>
      </w:r>
      <w:r w:rsidRPr="00632AC5">
        <w:rPr>
          <w:rFonts w:ascii="Calibri" w:hAnsi="Calibri" w:cs="Calibri"/>
          <w:b/>
          <w:sz w:val="24"/>
        </w:rPr>
        <w:t>1</w:t>
      </w:r>
      <w:r w:rsidR="00A31613" w:rsidRPr="00632AC5">
        <w:rPr>
          <w:rFonts w:ascii="Calibri" w:hAnsi="Calibri" w:cs="Calibri"/>
          <w:b/>
          <w:sz w:val="24"/>
        </w:rPr>
        <w:t>,</w:t>
      </w:r>
      <w:r w:rsidRPr="00632AC5">
        <w:rPr>
          <w:rFonts w:ascii="Calibri" w:hAnsi="Calibri" w:cs="Calibri"/>
          <w:b/>
          <w:sz w:val="24"/>
        </w:rPr>
        <w:t>2</w:t>
      </w:r>
      <w:r w:rsidR="00C9411E">
        <w:rPr>
          <w:rFonts w:ascii="Calibri" w:hAnsi="Calibri" w:cs="Calibri"/>
          <w:b/>
          <w:sz w:val="24"/>
        </w:rPr>
        <w:t> </w:t>
      </w:r>
      <w:r w:rsidR="00A31613" w:rsidRPr="00632AC5">
        <w:rPr>
          <w:rFonts w:ascii="Calibri" w:hAnsi="Calibri" w:cs="Calibri"/>
          <w:b/>
          <w:sz w:val="24"/>
        </w:rPr>
        <w:t>mil.</w:t>
      </w:r>
      <w:r w:rsidR="00C9411E">
        <w:rPr>
          <w:rFonts w:ascii="Calibri" w:hAnsi="Calibri" w:cs="Calibri"/>
          <w:b/>
          <w:sz w:val="24"/>
        </w:rPr>
        <w:t> </w:t>
      </w:r>
      <w:r w:rsidRPr="00632AC5">
        <w:rPr>
          <w:rFonts w:ascii="Calibri" w:hAnsi="Calibri" w:cs="Calibri"/>
          <w:b/>
          <w:sz w:val="24"/>
        </w:rPr>
        <w:t>Kč.</w:t>
      </w:r>
      <w:r w:rsidR="00A31613" w:rsidRPr="00632AC5">
        <w:rPr>
          <w:rFonts w:ascii="Calibri" w:hAnsi="Calibri" w:cs="Calibri"/>
          <w:b/>
          <w:sz w:val="24"/>
        </w:rPr>
        <w:t xml:space="preserve"> Tato nesprávnost neměla významný dopad na prověřovanou oblast. </w:t>
      </w:r>
    </w:p>
    <w:p w:rsidR="000B2E48" w:rsidRDefault="000B2E48">
      <w:pPr>
        <w:ind w:firstLine="0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br w:type="page"/>
      </w:r>
    </w:p>
    <w:p w:rsidR="00CC1016" w:rsidRPr="00A0314E" w:rsidRDefault="00CC1016" w:rsidP="00CC1016">
      <w:pPr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A0314E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lastRenderedPageBreak/>
        <w:t>III.</w:t>
      </w:r>
      <w:r w:rsidR="00632AC5" w:rsidRPr="00A0314E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 </w:t>
      </w:r>
      <w:r w:rsidRPr="00A0314E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Vyhodnocení</w:t>
      </w:r>
    </w:p>
    <w:p w:rsidR="00CC1016" w:rsidRPr="00632AC5" w:rsidRDefault="00CC1016" w:rsidP="00CC1016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CC1016" w:rsidRDefault="00CC1016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>Ve státním rozpočtu jsou</w:t>
      </w:r>
      <w:r w:rsidRPr="00A0314E">
        <w:rPr>
          <w:rFonts w:asciiTheme="minorHAnsi" w:hAnsiTheme="minorHAnsi" w:cstheme="minorHAnsi"/>
          <w:b/>
          <w:color w:val="000000"/>
          <w:sz w:val="24"/>
        </w:rPr>
        <w:tab/>
        <w:t xml:space="preserve"> příjmy plynoucí do systému důchodového pojištění vykazovány v sedmi kapitolách státního rozpočtu a výdaje na dávky důchodového pojištění ve čtyřech kapitolách státního rozpočtu.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E7035A" w:rsidRDefault="00CC1016" w:rsidP="00F80CB2">
      <w:pPr>
        <w:ind w:firstLine="0"/>
        <w:rPr>
          <w:rFonts w:asciiTheme="minorHAnsi" w:hAnsiTheme="minorHAnsi" w:cstheme="minorHAnsi"/>
          <w:b/>
          <w:bCs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>Ú</w:t>
      </w:r>
      <w:r w:rsidRPr="00A0314E">
        <w:rPr>
          <w:rFonts w:asciiTheme="minorHAnsi" w:hAnsiTheme="minorHAnsi" w:cstheme="minorHAnsi"/>
          <w:b/>
          <w:bCs/>
          <w:sz w:val="24"/>
        </w:rPr>
        <w:t>středním orgánem státní správy pro důchodové zabezpečení a orgánem sociálního zabezpečení je MPSV, jehož kapitola na straně příjmů představuje více než 97</w:t>
      </w:r>
      <w:r w:rsidR="000B2E48" w:rsidRPr="00A0314E">
        <w:rPr>
          <w:rFonts w:asciiTheme="minorHAnsi" w:hAnsiTheme="minorHAnsi" w:cstheme="minorHAnsi"/>
          <w:b/>
          <w:bCs/>
          <w:sz w:val="24"/>
        </w:rPr>
        <w:t> </w:t>
      </w:r>
      <w:r w:rsidRPr="00A0314E">
        <w:rPr>
          <w:rFonts w:asciiTheme="minorHAnsi" w:hAnsiTheme="minorHAnsi" w:cstheme="minorHAnsi"/>
          <w:b/>
          <w:bCs/>
          <w:sz w:val="24"/>
        </w:rPr>
        <w:t>%</w:t>
      </w:r>
      <w:r w:rsidR="000B2E48" w:rsidRPr="00A0314E">
        <w:rPr>
          <w:rFonts w:asciiTheme="minorHAnsi" w:hAnsiTheme="minorHAnsi" w:cstheme="minorHAnsi"/>
          <w:b/>
          <w:bCs/>
          <w:sz w:val="24"/>
        </w:rPr>
        <w:t> </w:t>
      </w:r>
      <w:r w:rsidRPr="00A0314E">
        <w:rPr>
          <w:rFonts w:asciiTheme="minorHAnsi" w:hAnsiTheme="minorHAnsi" w:cstheme="minorHAnsi"/>
          <w:b/>
          <w:bCs/>
          <w:sz w:val="24"/>
        </w:rPr>
        <w:t>prostředků vybraných na pojistném na důchodové pojištění a obdobně na straně výdajů pokrývá téměř 98 % všech prostředků vyplacených ve formě dávek důchodového pojištění.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E7035A" w:rsidRDefault="00574487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V 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roce 1995 bylo rozhodnuto, že přebytky 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hospodaření </w:t>
      </w:r>
      <w:r w:rsidR="00715186" w:rsidRPr="00A0314E">
        <w:rPr>
          <w:rFonts w:asciiTheme="minorHAnsi" w:hAnsiTheme="minorHAnsi" w:cstheme="minorHAnsi"/>
          <w:b/>
          <w:color w:val="000000"/>
          <w:sz w:val="24"/>
        </w:rPr>
        <w:t>systému</w:t>
      </w:r>
      <w:r w:rsidR="00715186" w:rsidRPr="00A0314E">
        <w:rPr>
          <w:rFonts w:asciiTheme="minorHAnsi" w:hAnsiTheme="minorHAnsi" w:cstheme="minorHAnsi"/>
          <w:b/>
          <w:sz w:val="24"/>
        </w:rPr>
        <w:t xml:space="preserve"> 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důchodového pojištění státu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budou soustřeďovány ve </w:t>
      </w:r>
      <w:r w:rsidR="004A30D8" w:rsidRPr="00A0314E">
        <w:rPr>
          <w:rFonts w:asciiTheme="minorHAnsi" w:hAnsiTheme="minorHAnsi" w:cstheme="minorHAnsi"/>
          <w:b/>
          <w:color w:val="000000"/>
          <w:sz w:val="24"/>
        </w:rPr>
        <w:t>státních finančních aktivech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>, a to na k tomuto účelu zřízeném zvláštním účtu.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1C6ECC" w:rsidRDefault="00CC1016" w:rsidP="00F80CB2">
      <w:pPr>
        <w:ind w:firstLine="0"/>
        <w:rPr>
          <w:rFonts w:asciiTheme="minorHAnsi" w:hAnsiTheme="minorHAnsi" w:cstheme="minorHAnsi"/>
          <w:b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Zákon </w:t>
      </w:r>
      <w:r w:rsidR="000B4802" w:rsidRPr="00A0314E">
        <w:rPr>
          <w:rFonts w:asciiTheme="minorHAnsi" w:hAnsiTheme="minorHAnsi" w:cstheme="minorHAnsi"/>
          <w:b/>
          <w:color w:val="000000"/>
          <w:sz w:val="24"/>
        </w:rPr>
        <w:t xml:space="preserve">o rozpočtových pravidlech 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stanovil </w:t>
      </w:r>
      <w:r w:rsidR="000B4802" w:rsidRPr="00A0314E">
        <w:rPr>
          <w:rFonts w:asciiTheme="minorHAnsi" w:hAnsiTheme="minorHAnsi" w:cstheme="minorHAnsi"/>
          <w:b/>
          <w:color w:val="000000"/>
          <w:sz w:val="24"/>
        </w:rPr>
        <w:t xml:space="preserve">mj. i 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způsob výpočtu rozdílu </w:t>
      </w:r>
      <w:r w:rsidRPr="00A0314E">
        <w:rPr>
          <w:rFonts w:asciiTheme="minorHAnsi" w:hAnsiTheme="minorHAnsi" w:cstheme="minorHAnsi"/>
          <w:b/>
          <w:sz w:val="24"/>
        </w:rPr>
        <w:t>mezi příjmy a výdaji v oblasti důchodového pojištění</w:t>
      </w:r>
      <w:r w:rsidRPr="00A0314E">
        <w:rPr>
          <w:rFonts w:asciiTheme="minorHAnsi" w:hAnsiTheme="minorHAnsi" w:cstheme="minorHAnsi"/>
          <w:b/>
          <w:color w:val="000000"/>
          <w:sz w:val="24"/>
        </w:rPr>
        <w:t>.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A81D82" w:rsidRPr="00A0314E">
        <w:rPr>
          <w:rFonts w:asciiTheme="minorHAnsi" w:hAnsiTheme="minorHAnsi" w:cstheme="minorHAnsi"/>
          <w:b/>
          <w:sz w:val="24"/>
        </w:rPr>
        <w:t xml:space="preserve">Na straně výdajů se ve smyslu </w:t>
      </w:r>
      <w:r w:rsidR="00C9411E">
        <w:rPr>
          <w:rFonts w:asciiTheme="minorHAnsi" w:hAnsiTheme="minorHAnsi" w:cstheme="minorHAnsi"/>
          <w:b/>
          <w:sz w:val="24"/>
        </w:rPr>
        <w:t>rozpočtových pravidel</w:t>
      </w:r>
      <w:r w:rsidR="00A81D82" w:rsidRPr="00A0314E">
        <w:rPr>
          <w:rFonts w:asciiTheme="minorHAnsi" w:hAnsiTheme="minorHAnsi" w:cstheme="minorHAnsi"/>
          <w:b/>
          <w:sz w:val="24"/>
        </w:rPr>
        <w:t xml:space="preserve"> do výpočtu rozdílu po celou dobu započítávají i </w:t>
      </w:r>
      <w:r w:rsidR="00A81D82" w:rsidRPr="00A0314E">
        <w:rPr>
          <w:rFonts w:asciiTheme="minorHAnsi" w:hAnsiTheme="minorHAnsi" w:cstheme="minorHAnsi"/>
          <w:b/>
          <w:i/>
          <w:sz w:val="24"/>
        </w:rPr>
        <w:t xml:space="preserve">výdaje spojené s výběrem pojistného na </w:t>
      </w:r>
      <w:r w:rsidR="00A16E00" w:rsidRPr="00A0314E">
        <w:rPr>
          <w:rFonts w:asciiTheme="minorHAnsi" w:hAnsiTheme="minorHAnsi" w:cstheme="minorHAnsi"/>
          <w:b/>
          <w:i/>
          <w:sz w:val="24"/>
        </w:rPr>
        <w:t>důchodové pojištění</w:t>
      </w:r>
      <w:r w:rsidR="00A81D82" w:rsidRPr="00A0314E">
        <w:rPr>
          <w:rFonts w:asciiTheme="minorHAnsi" w:hAnsiTheme="minorHAnsi" w:cstheme="minorHAnsi"/>
          <w:b/>
          <w:i/>
          <w:sz w:val="24"/>
        </w:rPr>
        <w:t xml:space="preserve"> a</w:t>
      </w:r>
      <w:r w:rsidR="00C7180E">
        <w:rPr>
          <w:rFonts w:asciiTheme="minorHAnsi" w:hAnsiTheme="minorHAnsi" w:cstheme="minorHAnsi"/>
          <w:b/>
          <w:i/>
          <w:sz w:val="24"/>
        </w:rPr>
        <w:t> </w:t>
      </w:r>
      <w:r w:rsidR="00A81D82" w:rsidRPr="00A0314E">
        <w:rPr>
          <w:rFonts w:asciiTheme="minorHAnsi" w:hAnsiTheme="minorHAnsi" w:cstheme="minorHAnsi"/>
          <w:b/>
          <w:i/>
          <w:sz w:val="24"/>
        </w:rPr>
        <w:t xml:space="preserve">výplatou </w:t>
      </w:r>
      <w:r w:rsidR="00A16E00" w:rsidRPr="00A0314E">
        <w:rPr>
          <w:rFonts w:asciiTheme="minorHAnsi" w:hAnsiTheme="minorHAnsi" w:cstheme="minorHAnsi"/>
          <w:b/>
          <w:i/>
          <w:sz w:val="24"/>
        </w:rPr>
        <w:t>dávek důchodového pojištění</w:t>
      </w:r>
      <w:r w:rsidR="00A81D82" w:rsidRPr="00A0314E">
        <w:rPr>
          <w:rFonts w:asciiTheme="minorHAnsi" w:hAnsiTheme="minorHAnsi" w:cstheme="minorHAnsi"/>
          <w:b/>
          <w:sz w:val="24"/>
        </w:rPr>
        <w:t>, tzv. výdaje na správu. Výdaje na správu jsou zjišťovány na základě sazeb pojistného na důchodové a</w:t>
      </w:r>
      <w:r w:rsidR="00161C47" w:rsidRPr="00A0314E">
        <w:rPr>
          <w:rFonts w:asciiTheme="minorHAnsi" w:hAnsiTheme="minorHAnsi" w:cstheme="minorHAnsi"/>
          <w:b/>
          <w:sz w:val="24"/>
        </w:rPr>
        <w:t> </w:t>
      </w:r>
      <w:r w:rsidR="00A81D82" w:rsidRPr="00A0314E">
        <w:rPr>
          <w:rFonts w:asciiTheme="minorHAnsi" w:hAnsiTheme="minorHAnsi" w:cstheme="minorHAnsi"/>
          <w:b/>
          <w:sz w:val="24"/>
        </w:rPr>
        <w:t>nemocenské pojištění (pomocí koeficientu) a výdajů na dávky důchodového pojištění u</w:t>
      </w:r>
      <w:r w:rsidR="00A16E00" w:rsidRPr="00A0314E">
        <w:rPr>
          <w:rFonts w:asciiTheme="minorHAnsi" w:hAnsiTheme="minorHAnsi" w:cstheme="minorHAnsi"/>
          <w:b/>
          <w:sz w:val="24"/>
        </w:rPr>
        <w:t> o</w:t>
      </w:r>
      <w:r w:rsidR="00A81D82" w:rsidRPr="00A0314E">
        <w:rPr>
          <w:rFonts w:asciiTheme="minorHAnsi" w:hAnsiTheme="minorHAnsi" w:cstheme="minorHAnsi"/>
          <w:b/>
          <w:sz w:val="24"/>
        </w:rPr>
        <w:t>rgánů sociálního zabezpečení a</w:t>
      </w:r>
      <w:r w:rsidR="00A0314E" w:rsidRPr="00A0314E">
        <w:rPr>
          <w:rFonts w:asciiTheme="minorHAnsi" w:hAnsiTheme="minorHAnsi" w:cstheme="minorHAnsi"/>
          <w:b/>
          <w:sz w:val="24"/>
        </w:rPr>
        <w:t> </w:t>
      </w:r>
      <w:r w:rsidR="00A81D82" w:rsidRPr="00A0314E">
        <w:rPr>
          <w:rFonts w:asciiTheme="minorHAnsi" w:hAnsiTheme="minorHAnsi" w:cstheme="minorHAnsi"/>
          <w:b/>
          <w:sz w:val="24"/>
        </w:rPr>
        <w:t xml:space="preserve">jsou </w:t>
      </w:r>
      <w:r w:rsidR="00C9411E">
        <w:rPr>
          <w:rFonts w:asciiTheme="minorHAnsi" w:hAnsiTheme="minorHAnsi" w:cstheme="minorHAnsi"/>
          <w:b/>
          <w:sz w:val="24"/>
        </w:rPr>
        <w:t xml:space="preserve">pouze </w:t>
      </w:r>
      <w:r w:rsidR="00A81D82" w:rsidRPr="00A0314E">
        <w:rPr>
          <w:rFonts w:asciiTheme="minorHAnsi" w:hAnsiTheme="minorHAnsi" w:cstheme="minorHAnsi"/>
          <w:b/>
          <w:sz w:val="24"/>
        </w:rPr>
        <w:t>určitým odhadem příslušných nákladů; tato položka se v letech 2009–2013 pohybovala v rozmezí od 5 do 7 mld. Kč ročně.</w:t>
      </w:r>
      <w:r w:rsidR="00632AC5" w:rsidRPr="00A0314E">
        <w:rPr>
          <w:rFonts w:asciiTheme="minorHAnsi" w:hAnsiTheme="minorHAnsi" w:cstheme="minorHAnsi"/>
          <w:b/>
          <w:sz w:val="24"/>
        </w:rPr>
        <w:t xml:space="preserve"> </w:t>
      </w:r>
      <w:r w:rsidR="00A81D82" w:rsidRPr="00A0314E">
        <w:rPr>
          <w:rFonts w:asciiTheme="minorHAnsi" w:hAnsiTheme="minorHAnsi" w:cstheme="minorHAnsi"/>
          <w:b/>
          <w:sz w:val="24"/>
        </w:rPr>
        <w:t>NKÚ považuje</w:t>
      </w:r>
      <w:r w:rsidR="00632AC5" w:rsidRPr="00A0314E">
        <w:rPr>
          <w:rFonts w:asciiTheme="minorHAnsi" w:hAnsiTheme="minorHAnsi" w:cstheme="minorHAnsi"/>
          <w:b/>
          <w:sz w:val="24"/>
        </w:rPr>
        <w:t xml:space="preserve"> </w:t>
      </w:r>
      <w:r w:rsidR="00A81D82" w:rsidRPr="00A0314E">
        <w:rPr>
          <w:rFonts w:asciiTheme="minorHAnsi" w:hAnsiTheme="minorHAnsi" w:cstheme="minorHAnsi"/>
          <w:b/>
          <w:sz w:val="24"/>
        </w:rPr>
        <w:t>sledování, odhadování a</w:t>
      </w:r>
      <w:r w:rsidR="00A0314E" w:rsidRPr="00A0314E">
        <w:rPr>
          <w:rFonts w:asciiTheme="minorHAnsi" w:hAnsiTheme="minorHAnsi" w:cstheme="minorHAnsi"/>
          <w:b/>
          <w:sz w:val="24"/>
        </w:rPr>
        <w:t> </w:t>
      </w:r>
      <w:r w:rsidR="00A81D82" w:rsidRPr="00A0314E">
        <w:rPr>
          <w:rFonts w:asciiTheme="minorHAnsi" w:hAnsiTheme="minorHAnsi" w:cstheme="minorHAnsi"/>
          <w:b/>
          <w:sz w:val="24"/>
        </w:rPr>
        <w:t>započítávání</w:t>
      </w:r>
      <w:r w:rsidR="00632AC5" w:rsidRPr="00A0314E">
        <w:rPr>
          <w:rFonts w:asciiTheme="minorHAnsi" w:hAnsiTheme="minorHAnsi" w:cstheme="minorHAnsi"/>
          <w:b/>
          <w:sz w:val="24"/>
        </w:rPr>
        <w:t xml:space="preserve"> </w:t>
      </w:r>
      <w:r w:rsidR="00A81D82" w:rsidRPr="00A0314E">
        <w:rPr>
          <w:rFonts w:asciiTheme="minorHAnsi" w:hAnsiTheme="minorHAnsi" w:cstheme="minorHAnsi"/>
          <w:b/>
          <w:sz w:val="24"/>
        </w:rPr>
        <w:t>této položky do výsledku hospodaření systému důchodového pojištění za neodůvodněné a</w:t>
      </w:r>
      <w:r w:rsidR="00632AC5" w:rsidRPr="00A0314E">
        <w:rPr>
          <w:rFonts w:asciiTheme="minorHAnsi" w:hAnsiTheme="minorHAnsi" w:cstheme="minorHAnsi"/>
          <w:b/>
          <w:sz w:val="24"/>
        </w:rPr>
        <w:t xml:space="preserve"> </w:t>
      </w:r>
      <w:r w:rsidR="00A81D82" w:rsidRPr="00A0314E">
        <w:rPr>
          <w:rFonts w:asciiTheme="minorHAnsi" w:hAnsiTheme="minorHAnsi" w:cstheme="minorHAnsi"/>
          <w:b/>
          <w:sz w:val="24"/>
        </w:rPr>
        <w:t>zkreslující</w:t>
      </w:r>
      <w:r w:rsidR="001C6ECC" w:rsidRPr="00A0314E">
        <w:rPr>
          <w:rFonts w:asciiTheme="minorHAnsi" w:hAnsiTheme="minorHAnsi" w:cstheme="minorHAnsi"/>
          <w:b/>
          <w:sz w:val="24"/>
        </w:rPr>
        <w:t xml:space="preserve"> skutečný stav</w:t>
      </w:r>
      <w:r w:rsidR="00A81D82" w:rsidRPr="00A0314E">
        <w:rPr>
          <w:rFonts w:asciiTheme="minorHAnsi" w:hAnsiTheme="minorHAnsi" w:cstheme="minorHAnsi"/>
          <w:b/>
          <w:sz w:val="24"/>
        </w:rPr>
        <w:t>.</w:t>
      </w:r>
      <w:r w:rsidR="00632AC5" w:rsidRPr="00A0314E">
        <w:rPr>
          <w:rFonts w:asciiTheme="minorHAnsi" w:hAnsiTheme="minorHAnsi" w:cstheme="minorHAnsi"/>
          <w:b/>
          <w:sz w:val="24"/>
        </w:rPr>
        <w:t xml:space="preserve"> 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sz w:val="24"/>
        </w:rPr>
      </w:pPr>
    </w:p>
    <w:p w:rsidR="001C6ECC" w:rsidRDefault="001C6EC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K řešení problému s nedostatkem zdrojů v oblasti důchodového pojištění státu </w:t>
      </w:r>
      <w:r w:rsidR="006A2B87" w:rsidRPr="00A0314E">
        <w:rPr>
          <w:rFonts w:asciiTheme="minorHAnsi" w:hAnsiTheme="minorHAnsi" w:cstheme="minorHAnsi"/>
          <w:b/>
          <w:color w:val="000000"/>
          <w:sz w:val="24"/>
        </w:rPr>
        <w:t xml:space="preserve">vzhledem k vývoji v posledních letech </w:t>
      </w:r>
      <w:r w:rsidRPr="00A0314E">
        <w:rPr>
          <w:rFonts w:asciiTheme="minorHAnsi" w:hAnsiTheme="minorHAnsi" w:cstheme="minorHAnsi"/>
          <w:b/>
          <w:color w:val="000000"/>
          <w:sz w:val="24"/>
        </w:rPr>
        <w:t>může tento účet</w:t>
      </w:r>
      <w:r w:rsidR="00C9411E">
        <w:rPr>
          <w:rStyle w:val="Znakapoznpodarou"/>
          <w:rFonts w:asciiTheme="minorHAnsi" w:hAnsiTheme="minorHAnsi" w:cstheme="minorHAnsi"/>
          <w:b/>
          <w:color w:val="000000"/>
          <w:sz w:val="24"/>
        </w:rPr>
        <w:footnoteReference w:id="21"/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 přispět pouze okrajově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 xml:space="preserve">. </w:t>
      </w:r>
      <w:r w:rsidR="00AF1700" w:rsidRPr="00A0314E">
        <w:rPr>
          <w:rFonts w:asciiTheme="minorHAnsi" w:hAnsiTheme="minorHAnsi" w:cstheme="minorHAnsi"/>
          <w:b/>
          <w:color w:val="000000"/>
          <w:sz w:val="24"/>
        </w:rPr>
        <w:t xml:space="preserve">K 31. 12. 2013 činil stav peněžních prostředků </w:t>
      </w:r>
      <w:r w:rsidR="00AF1700" w:rsidRPr="00A0314E">
        <w:rPr>
          <w:rFonts w:asciiTheme="minorHAnsi" w:hAnsiTheme="minorHAnsi" w:cstheme="minorHAnsi"/>
          <w:b/>
          <w:i/>
          <w:color w:val="000000"/>
          <w:sz w:val="24"/>
        </w:rPr>
        <w:t xml:space="preserve">Zvláštního účtu </w:t>
      </w:r>
      <w:r w:rsidR="00C9411E">
        <w:rPr>
          <w:rFonts w:asciiTheme="minorHAnsi" w:hAnsiTheme="minorHAnsi" w:cstheme="minorHAnsi"/>
          <w:b/>
          <w:i/>
          <w:color w:val="000000"/>
          <w:sz w:val="24"/>
        </w:rPr>
        <w:t xml:space="preserve">rezervy </w:t>
      </w:r>
      <w:r w:rsidR="00AF1700" w:rsidRPr="00A0314E">
        <w:rPr>
          <w:rFonts w:asciiTheme="minorHAnsi" w:hAnsiTheme="minorHAnsi" w:cstheme="minorHAnsi"/>
          <w:b/>
          <w:i/>
          <w:color w:val="000000"/>
          <w:sz w:val="24"/>
        </w:rPr>
        <w:t>pro důchodovou reformu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AF1700" w:rsidRPr="00A0314E">
        <w:rPr>
          <w:rFonts w:asciiTheme="minorHAnsi" w:hAnsiTheme="minorHAnsi" w:cstheme="minorHAnsi"/>
          <w:b/>
          <w:color w:val="000000"/>
          <w:sz w:val="24"/>
        </w:rPr>
        <w:t>22,6 mld. Kč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>. Kdyby v </w:t>
      </w:r>
      <w:r w:rsidR="00C9411E">
        <w:rPr>
          <w:rFonts w:asciiTheme="minorHAnsi" w:hAnsiTheme="minorHAnsi" w:cstheme="minorHAnsi"/>
          <w:b/>
          <w:color w:val="000000"/>
          <w:sz w:val="24"/>
        </w:rPr>
        <w:t>období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>, kdy systém vykazoval přebyt</w:t>
      </w:r>
      <w:r w:rsidR="00C9411E">
        <w:rPr>
          <w:rFonts w:asciiTheme="minorHAnsi" w:hAnsiTheme="minorHAnsi" w:cstheme="minorHAnsi"/>
          <w:b/>
          <w:color w:val="000000"/>
          <w:sz w:val="24"/>
        </w:rPr>
        <w:t>ky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 xml:space="preserve">, tj. v letech 2004 až 2008, nebyly </w:t>
      </w:r>
      <w:r w:rsidR="00416807">
        <w:rPr>
          <w:rFonts w:asciiTheme="minorHAnsi" w:hAnsiTheme="minorHAnsi" w:cstheme="minorHAnsi"/>
          <w:b/>
          <w:color w:val="000000"/>
          <w:sz w:val="24"/>
        </w:rPr>
        <w:t>výdaje na správu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 xml:space="preserve"> započítávány do výsledku ho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>spo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 xml:space="preserve">daření, byl by </w:t>
      </w:r>
      <w:r w:rsidR="00416807">
        <w:rPr>
          <w:rFonts w:asciiTheme="minorHAnsi" w:hAnsiTheme="minorHAnsi" w:cstheme="minorHAnsi"/>
          <w:b/>
          <w:color w:val="000000"/>
          <w:sz w:val="24"/>
        </w:rPr>
        <w:t xml:space="preserve">celkový 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 xml:space="preserve">převod na </w:t>
      </w:r>
      <w:proofErr w:type="spellStart"/>
      <w:r w:rsidR="00A16E00" w:rsidRPr="00A0314E">
        <w:rPr>
          <w:rFonts w:asciiTheme="minorHAnsi" w:hAnsiTheme="minorHAnsi" w:cstheme="minorHAnsi"/>
          <w:b/>
          <w:color w:val="000000"/>
          <w:sz w:val="24"/>
        </w:rPr>
        <w:t>ZÚDP</w:t>
      </w:r>
      <w:proofErr w:type="spellEnd"/>
      <w:r w:rsidR="00A16E00" w:rsidRPr="00A0314E">
        <w:rPr>
          <w:rFonts w:asciiTheme="minorHAnsi" w:hAnsiTheme="minorHAnsi" w:cstheme="minorHAnsi"/>
          <w:b/>
          <w:color w:val="000000"/>
          <w:sz w:val="24"/>
        </w:rPr>
        <w:t xml:space="preserve"> vyšší o</w:t>
      </w:r>
      <w:r w:rsidR="00416807">
        <w:rPr>
          <w:rFonts w:asciiTheme="minorHAnsi" w:hAnsiTheme="minorHAnsi" w:cstheme="minorHAnsi"/>
          <w:b/>
          <w:color w:val="000000"/>
          <w:sz w:val="24"/>
        </w:rPr>
        <w:t> 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>22,5</w:t>
      </w:r>
      <w:r w:rsidR="00416807">
        <w:rPr>
          <w:rFonts w:asciiTheme="minorHAnsi" w:hAnsiTheme="minorHAnsi" w:cstheme="minorHAnsi"/>
          <w:b/>
          <w:color w:val="000000"/>
          <w:sz w:val="24"/>
        </w:rPr>
        <w:t> 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>mld.</w:t>
      </w:r>
      <w:r w:rsidR="00416807">
        <w:rPr>
          <w:rFonts w:asciiTheme="minorHAnsi" w:hAnsiTheme="minorHAnsi" w:cstheme="minorHAnsi"/>
          <w:b/>
          <w:color w:val="000000"/>
          <w:sz w:val="24"/>
        </w:rPr>
        <w:t> </w:t>
      </w:r>
      <w:r w:rsidR="00A16E00" w:rsidRPr="00A0314E">
        <w:rPr>
          <w:rFonts w:asciiTheme="minorHAnsi" w:hAnsiTheme="minorHAnsi" w:cstheme="minorHAnsi"/>
          <w:b/>
          <w:color w:val="000000"/>
          <w:sz w:val="24"/>
        </w:rPr>
        <w:t>Kč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>.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F52590" w:rsidRDefault="001C6ECC" w:rsidP="00F80CB2">
      <w:pPr>
        <w:ind w:firstLine="0"/>
        <w:rPr>
          <w:rFonts w:asciiTheme="minorHAnsi" w:hAnsiTheme="minorHAnsi" w:cstheme="minorHAnsi"/>
          <w:b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>Posledním rokem, v němž bylo dosaženo přebytku</w:t>
      </w:r>
      <w:r w:rsidR="00161C47" w:rsidRPr="00A0314E">
        <w:rPr>
          <w:rFonts w:asciiTheme="minorHAnsi" w:hAnsiTheme="minorHAnsi" w:cstheme="minorHAnsi"/>
          <w:b/>
          <w:color w:val="000000"/>
          <w:sz w:val="24"/>
        </w:rPr>
        <w:t>,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 byl rok 2008</w:t>
      </w:r>
      <w:r w:rsidR="004A30D8" w:rsidRPr="00A0314E">
        <w:rPr>
          <w:rFonts w:asciiTheme="minorHAnsi" w:hAnsiTheme="minorHAnsi" w:cstheme="minorHAnsi"/>
          <w:b/>
          <w:color w:val="000000"/>
          <w:sz w:val="24"/>
        </w:rPr>
        <w:t>.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Od 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tohoto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roku </w:t>
      </w:r>
      <w:r w:rsidR="00D538BE" w:rsidRPr="00A0314E">
        <w:rPr>
          <w:rFonts w:asciiTheme="minorHAnsi" w:hAnsiTheme="minorHAnsi" w:cstheme="minorHAnsi"/>
          <w:b/>
          <w:color w:val="000000"/>
          <w:sz w:val="24"/>
        </w:rPr>
        <w:t xml:space="preserve">nebylo dosaženo </w:t>
      </w:r>
      <w:r w:rsidR="004231A3" w:rsidRPr="00A0314E">
        <w:rPr>
          <w:rFonts w:asciiTheme="minorHAnsi" w:hAnsiTheme="minorHAnsi" w:cstheme="minorHAnsi"/>
          <w:b/>
          <w:color w:val="000000"/>
          <w:sz w:val="24"/>
        </w:rPr>
        <w:t xml:space="preserve">přebytku </w:t>
      </w:r>
      <w:r w:rsidR="004231A3">
        <w:rPr>
          <w:rFonts w:asciiTheme="minorHAnsi" w:hAnsiTheme="minorHAnsi" w:cstheme="minorHAnsi"/>
          <w:b/>
          <w:color w:val="000000"/>
          <w:sz w:val="24"/>
        </w:rPr>
        <w:t>ani</w:t>
      </w:r>
      <w:r w:rsidR="000B4802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vyrovnané bilance, a to ani po zahrnutí dalších </w:t>
      </w:r>
      <w:r w:rsidR="00D538BE">
        <w:rPr>
          <w:rFonts w:asciiTheme="minorHAnsi" w:hAnsiTheme="minorHAnsi" w:cstheme="minorHAnsi"/>
          <w:b/>
          <w:color w:val="000000"/>
          <w:sz w:val="24"/>
        </w:rPr>
        <w:t xml:space="preserve">příjmových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>položek</w:t>
      </w:r>
      <w:r w:rsidR="00F52590" w:rsidRPr="00A0314E">
        <w:rPr>
          <w:rFonts w:asciiTheme="minorHAnsi" w:hAnsiTheme="minorHAnsi" w:cstheme="minorHAnsi"/>
          <w:b/>
          <w:color w:val="000000"/>
          <w:sz w:val="24"/>
        </w:rPr>
        <w:t xml:space="preserve">, které měly celkovou bilanci zlepšit.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Od roku 2012 se na straně příjmů </w:t>
      </w:r>
      <w:r w:rsidR="00D538BE" w:rsidRPr="00A0314E">
        <w:rPr>
          <w:rFonts w:asciiTheme="minorHAnsi" w:hAnsiTheme="minorHAnsi" w:cstheme="minorHAnsi"/>
          <w:b/>
          <w:color w:val="000000"/>
          <w:sz w:val="24"/>
        </w:rPr>
        <w:t xml:space="preserve">nově zahrnuje </w:t>
      </w:r>
      <w:r w:rsidR="00CC1016" w:rsidRPr="00A0314E">
        <w:rPr>
          <w:rFonts w:asciiTheme="minorHAnsi" w:hAnsiTheme="minorHAnsi" w:cstheme="minorHAnsi"/>
          <w:b/>
          <w:color w:val="000000"/>
          <w:sz w:val="24"/>
        </w:rPr>
        <w:t xml:space="preserve">do výpočtu </w:t>
      </w:r>
      <w:r w:rsidR="00CC1016" w:rsidRPr="00A0314E">
        <w:rPr>
          <w:rFonts w:asciiTheme="minorHAnsi" w:hAnsiTheme="minorHAnsi" w:cstheme="minorHAnsi"/>
          <w:b/>
          <w:sz w:val="24"/>
        </w:rPr>
        <w:t>částka ve výši 7,2 % výnosu DPH připadajícího na státní rozpočet.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sz w:val="24"/>
        </w:rPr>
      </w:pPr>
    </w:p>
    <w:p w:rsidR="00CC1016" w:rsidRDefault="00D538BE" w:rsidP="00F80CB2">
      <w:pPr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</w:t>
      </w:r>
      <w:r w:rsidRPr="00A0314E">
        <w:rPr>
          <w:rFonts w:asciiTheme="minorHAnsi" w:hAnsiTheme="minorHAnsi" w:cstheme="minorHAnsi"/>
          <w:b/>
          <w:sz w:val="24"/>
        </w:rPr>
        <w:t>a základě rozhodnutí vlády ČR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A0314E">
        <w:rPr>
          <w:rFonts w:asciiTheme="minorHAnsi" w:hAnsiTheme="minorHAnsi" w:cstheme="minorHAnsi"/>
          <w:b/>
          <w:sz w:val="24"/>
        </w:rPr>
        <w:t>byl</w:t>
      </w:r>
      <w:r w:rsidR="00ED7283">
        <w:rPr>
          <w:rFonts w:asciiTheme="minorHAnsi" w:hAnsiTheme="minorHAnsi" w:cstheme="minorHAnsi"/>
          <w:b/>
          <w:sz w:val="24"/>
        </w:rPr>
        <w:t>y</w:t>
      </w:r>
      <w:r w:rsidRPr="00A0314E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d</w:t>
      </w:r>
      <w:r w:rsidR="00847B4F" w:rsidRPr="00A0314E">
        <w:rPr>
          <w:rFonts w:asciiTheme="minorHAnsi" w:hAnsiTheme="minorHAnsi" w:cstheme="minorHAnsi"/>
          <w:b/>
          <w:sz w:val="24"/>
        </w:rPr>
        <w:t xml:space="preserve">ále 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na stranu příjmů </w:t>
      </w:r>
      <w:r w:rsidR="00574487">
        <w:rPr>
          <w:rFonts w:asciiTheme="minorHAnsi" w:hAnsiTheme="minorHAnsi" w:cstheme="minorHAnsi"/>
          <w:b/>
          <w:sz w:val="24"/>
        </w:rPr>
        <w:t>v 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letech </w:t>
      </w:r>
      <w:r w:rsidR="00F52590" w:rsidRPr="00A0314E">
        <w:rPr>
          <w:rFonts w:asciiTheme="minorHAnsi" w:hAnsiTheme="minorHAnsi" w:cstheme="minorHAnsi"/>
          <w:b/>
          <w:sz w:val="24"/>
        </w:rPr>
        <w:t>2012 a 2013</w:t>
      </w:r>
      <w:r w:rsidR="00AF1700" w:rsidRPr="00A0314E">
        <w:rPr>
          <w:rFonts w:asciiTheme="minorHAnsi" w:hAnsiTheme="minorHAnsi" w:cstheme="minorHAnsi"/>
          <w:b/>
          <w:sz w:val="24"/>
        </w:rPr>
        <w:t xml:space="preserve"> </w:t>
      </w:r>
      <w:r w:rsidR="00CC1016" w:rsidRPr="00A0314E">
        <w:rPr>
          <w:rFonts w:asciiTheme="minorHAnsi" w:hAnsiTheme="minorHAnsi" w:cstheme="minorHAnsi"/>
          <w:b/>
          <w:sz w:val="24"/>
        </w:rPr>
        <w:t>započítán</w:t>
      </w:r>
      <w:r>
        <w:rPr>
          <w:rFonts w:asciiTheme="minorHAnsi" w:hAnsiTheme="minorHAnsi" w:cstheme="minorHAnsi"/>
          <w:b/>
          <w:sz w:val="24"/>
        </w:rPr>
        <w:t>y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 i částk</w:t>
      </w:r>
      <w:r>
        <w:rPr>
          <w:rFonts w:asciiTheme="minorHAnsi" w:hAnsiTheme="minorHAnsi" w:cstheme="minorHAnsi"/>
          <w:b/>
          <w:sz w:val="24"/>
        </w:rPr>
        <w:t>y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 převeden</w:t>
      </w:r>
      <w:r>
        <w:rPr>
          <w:rFonts w:asciiTheme="minorHAnsi" w:hAnsiTheme="minorHAnsi" w:cstheme="minorHAnsi"/>
          <w:b/>
          <w:sz w:val="24"/>
        </w:rPr>
        <w:t>é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 </w:t>
      </w:r>
      <w:r w:rsidR="00F52590" w:rsidRPr="00A0314E">
        <w:rPr>
          <w:rFonts w:asciiTheme="minorHAnsi" w:hAnsiTheme="minorHAnsi" w:cstheme="minorHAnsi"/>
          <w:b/>
          <w:sz w:val="24"/>
        </w:rPr>
        <w:t xml:space="preserve">do státního rozpočtu </w:t>
      </w:r>
      <w:r w:rsidR="00574487">
        <w:rPr>
          <w:rFonts w:asciiTheme="minorHAnsi" w:hAnsiTheme="minorHAnsi" w:cstheme="minorHAnsi"/>
          <w:b/>
          <w:sz w:val="24"/>
        </w:rPr>
        <w:t>z </w:t>
      </w:r>
      <w:r w:rsidR="00CC1016" w:rsidRPr="00A0314E">
        <w:rPr>
          <w:rFonts w:asciiTheme="minorHAnsi" w:hAnsiTheme="minorHAnsi" w:cstheme="minorHAnsi"/>
          <w:b/>
          <w:sz w:val="24"/>
        </w:rPr>
        <w:t>fondu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privatizace, v roce 2012 </w:t>
      </w:r>
      <w:r>
        <w:rPr>
          <w:rFonts w:asciiTheme="minorHAnsi" w:hAnsiTheme="minorHAnsi" w:cstheme="minorHAnsi"/>
          <w:b/>
          <w:sz w:val="24"/>
        </w:rPr>
        <w:t>šlo o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 14,4</w:t>
      </w:r>
      <w:r>
        <w:rPr>
          <w:rFonts w:asciiTheme="minorHAnsi" w:hAnsiTheme="minorHAnsi" w:cstheme="minorHAnsi"/>
          <w:b/>
          <w:sz w:val="24"/>
        </w:rPr>
        <w:t> </w:t>
      </w:r>
      <w:r w:rsidR="00CC1016" w:rsidRPr="00A0314E">
        <w:rPr>
          <w:rFonts w:asciiTheme="minorHAnsi" w:hAnsiTheme="minorHAnsi" w:cstheme="minorHAnsi"/>
          <w:b/>
          <w:sz w:val="24"/>
        </w:rPr>
        <w:t>mld.</w:t>
      </w:r>
      <w:r>
        <w:rPr>
          <w:rFonts w:asciiTheme="minorHAnsi" w:hAnsiTheme="minorHAnsi" w:cstheme="minorHAnsi"/>
          <w:b/>
          <w:sz w:val="24"/>
        </w:rPr>
        <w:t> </w:t>
      </w:r>
      <w:r w:rsidR="00CC1016" w:rsidRPr="00A0314E">
        <w:rPr>
          <w:rFonts w:asciiTheme="minorHAnsi" w:hAnsiTheme="minorHAnsi" w:cstheme="minorHAnsi"/>
          <w:b/>
          <w:sz w:val="24"/>
        </w:rPr>
        <w:t xml:space="preserve">Kč </w:t>
      </w:r>
      <w:r w:rsidR="00F52590" w:rsidRPr="00A0314E">
        <w:rPr>
          <w:rFonts w:asciiTheme="minorHAnsi" w:hAnsiTheme="minorHAnsi" w:cstheme="minorHAnsi"/>
          <w:b/>
          <w:sz w:val="24"/>
        </w:rPr>
        <w:t xml:space="preserve">a v roce 2013 </w:t>
      </w:r>
      <w:r>
        <w:rPr>
          <w:rFonts w:asciiTheme="minorHAnsi" w:hAnsiTheme="minorHAnsi" w:cstheme="minorHAnsi"/>
          <w:b/>
          <w:sz w:val="24"/>
        </w:rPr>
        <w:t>o</w:t>
      </w:r>
      <w:r w:rsidR="00F52590" w:rsidRPr="00A0314E">
        <w:rPr>
          <w:rFonts w:asciiTheme="minorHAnsi" w:hAnsiTheme="minorHAnsi" w:cstheme="minorHAnsi"/>
          <w:b/>
          <w:sz w:val="24"/>
        </w:rPr>
        <w:t xml:space="preserve"> 10</w:t>
      </w:r>
      <w:r>
        <w:rPr>
          <w:rFonts w:asciiTheme="minorHAnsi" w:hAnsiTheme="minorHAnsi" w:cstheme="minorHAnsi"/>
          <w:b/>
          <w:sz w:val="24"/>
        </w:rPr>
        <w:t> </w:t>
      </w:r>
      <w:r w:rsidR="00F52590" w:rsidRPr="00A0314E">
        <w:rPr>
          <w:rFonts w:asciiTheme="minorHAnsi" w:hAnsiTheme="minorHAnsi" w:cstheme="minorHAnsi"/>
          <w:b/>
          <w:sz w:val="24"/>
        </w:rPr>
        <w:t>mld.</w:t>
      </w:r>
      <w:r>
        <w:rPr>
          <w:rFonts w:asciiTheme="minorHAnsi" w:hAnsiTheme="minorHAnsi" w:cstheme="minorHAnsi"/>
          <w:b/>
          <w:sz w:val="24"/>
        </w:rPr>
        <w:t> </w:t>
      </w:r>
      <w:r w:rsidR="00F52590" w:rsidRPr="00A0314E">
        <w:rPr>
          <w:rFonts w:asciiTheme="minorHAnsi" w:hAnsiTheme="minorHAnsi" w:cstheme="minorHAnsi"/>
          <w:b/>
          <w:sz w:val="24"/>
        </w:rPr>
        <w:t xml:space="preserve">Kč; tyto částky </w:t>
      </w:r>
      <w:r w:rsidR="00AF1700" w:rsidRPr="00A0314E">
        <w:rPr>
          <w:rFonts w:asciiTheme="minorHAnsi" w:hAnsiTheme="minorHAnsi" w:cstheme="minorHAnsi"/>
          <w:b/>
          <w:sz w:val="24"/>
        </w:rPr>
        <w:t xml:space="preserve">však </w:t>
      </w:r>
      <w:r w:rsidR="00F52590" w:rsidRPr="00A0314E">
        <w:rPr>
          <w:rFonts w:asciiTheme="minorHAnsi" w:hAnsiTheme="minorHAnsi" w:cstheme="minorHAnsi"/>
          <w:b/>
          <w:sz w:val="24"/>
        </w:rPr>
        <w:t>nelze považovat za stabilní zdroj financování schodku systému důchodového pojištění státu.</w:t>
      </w:r>
    </w:p>
    <w:p w:rsidR="003F18A4" w:rsidRPr="00A0314E" w:rsidRDefault="003F18A4" w:rsidP="00A0314E">
      <w:pPr>
        <w:spacing w:after="240"/>
        <w:ind w:firstLine="0"/>
        <w:jc w:val="left"/>
        <w:rPr>
          <w:rFonts w:asciiTheme="minorHAnsi" w:hAnsiTheme="minorHAnsi" w:cstheme="minorHAnsi"/>
          <w:b/>
          <w:color w:val="000000"/>
          <w:sz w:val="24"/>
        </w:rPr>
      </w:pPr>
    </w:p>
    <w:p w:rsidR="00CC1016" w:rsidRPr="00A0314E" w:rsidRDefault="00CC1016" w:rsidP="00F80CB2">
      <w:pPr>
        <w:keepNext/>
        <w:spacing w:after="40"/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lastRenderedPageBreak/>
        <w:t>Graf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ab/>
        <w:t xml:space="preserve"> č.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ab/>
        <w:t xml:space="preserve"> 4</w:t>
      </w:r>
      <w:r w:rsidRPr="00A0314E">
        <w:rPr>
          <w:rFonts w:asciiTheme="minorHAnsi" w:hAnsiTheme="minorHAnsi" w:cstheme="minorHAnsi"/>
          <w:noProof/>
          <w:sz w:val="24"/>
          <w:lang w:eastAsia="cs-CZ"/>
        </w:rPr>
        <w:drawing>
          <wp:inline distT="0" distB="0" distL="0" distR="0" wp14:anchorId="30099D12" wp14:editId="7BDB89D6">
            <wp:extent cx="5762625" cy="3543300"/>
            <wp:effectExtent l="0" t="0" r="9525" b="190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1016" w:rsidRPr="00F80CB2" w:rsidRDefault="00CC1016" w:rsidP="00A0314E">
      <w:pPr>
        <w:ind w:firstLine="0"/>
        <w:rPr>
          <w:rFonts w:asciiTheme="minorHAnsi" w:hAnsiTheme="minorHAnsi" w:cstheme="minorHAnsi"/>
          <w:iCs/>
          <w:sz w:val="20"/>
          <w:szCs w:val="20"/>
        </w:rPr>
      </w:pPr>
      <w:r w:rsidRPr="00F80CB2">
        <w:rPr>
          <w:rFonts w:asciiTheme="minorHAnsi" w:hAnsiTheme="minorHAnsi" w:cstheme="minorHAnsi"/>
          <w:b/>
          <w:iCs/>
          <w:sz w:val="20"/>
          <w:szCs w:val="20"/>
        </w:rPr>
        <w:t>Zdroj:</w:t>
      </w:r>
      <w:r w:rsidRPr="00F80CB2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="0047189C" w:rsidRPr="00353E89">
        <w:rPr>
          <w:rFonts w:asciiTheme="minorHAnsi" w:hAnsiTheme="minorHAnsi" w:cstheme="minorHAnsi"/>
          <w:sz w:val="20"/>
          <w:szCs w:val="20"/>
        </w:rPr>
        <w:t>SZÚ</w:t>
      </w:r>
      <w:proofErr w:type="spellEnd"/>
      <w:r w:rsidR="0047189C">
        <w:rPr>
          <w:rFonts w:asciiTheme="minorHAnsi" w:hAnsiTheme="minorHAnsi" w:cstheme="minorHAnsi"/>
          <w:sz w:val="20"/>
          <w:szCs w:val="20"/>
        </w:rPr>
        <w:t xml:space="preserve"> za </w:t>
      </w:r>
      <w:r w:rsidR="0047189C">
        <w:rPr>
          <w:rFonts w:asciiTheme="minorHAnsi" w:hAnsiTheme="minorHAnsi" w:cstheme="minorHAnsi"/>
          <w:iCs/>
          <w:sz w:val="20"/>
          <w:szCs w:val="20"/>
        </w:rPr>
        <w:t>r</w:t>
      </w:r>
      <w:r w:rsidRPr="00F80CB2">
        <w:rPr>
          <w:rFonts w:asciiTheme="minorHAnsi" w:hAnsiTheme="minorHAnsi" w:cstheme="minorHAnsi"/>
          <w:sz w:val="20"/>
          <w:szCs w:val="20"/>
        </w:rPr>
        <w:t>oky 1997 až 2012</w:t>
      </w:r>
      <w:r w:rsidRPr="00F80CB2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47189C" w:rsidRPr="00413AE9">
        <w:rPr>
          <w:rFonts w:asciiTheme="minorHAnsi" w:hAnsiTheme="minorHAnsi" w:cstheme="minorHAnsi"/>
          <w:iCs/>
          <w:sz w:val="20"/>
          <w:szCs w:val="20"/>
        </w:rPr>
        <w:t xml:space="preserve">návrh </w:t>
      </w:r>
      <w:proofErr w:type="spellStart"/>
      <w:r w:rsidR="0047189C" w:rsidRPr="00413AE9">
        <w:rPr>
          <w:rFonts w:asciiTheme="minorHAnsi" w:hAnsiTheme="minorHAnsi" w:cstheme="minorHAnsi"/>
          <w:iCs/>
          <w:sz w:val="20"/>
          <w:szCs w:val="20"/>
        </w:rPr>
        <w:t>SZÚ</w:t>
      </w:r>
      <w:proofErr w:type="spellEnd"/>
      <w:r w:rsidR="0047189C">
        <w:rPr>
          <w:rFonts w:asciiTheme="minorHAnsi" w:hAnsiTheme="minorHAnsi" w:cstheme="minorHAnsi"/>
          <w:iCs/>
          <w:sz w:val="20"/>
          <w:szCs w:val="20"/>
        </w:rPr>
        <w:t xml:space="preserve"> za </w:t>
      </w:r>
      <w:r w:rsidRPr="00F80CB2">
        <w:rPr>
          <w:rFonts w:asciiTheme="minorHAnsi" w:hAnsiTheme="minorHAnsi" w:cstheme="minorHAnsi"/>
          <w:iCs/>
          <w:sz w:val="20"/>
          <w:szCs w:val="20"/>
        </w:rPr>
        <w:t>rok 2013, vlastní výpočet NKÚ</w:t>
      </w:r>
      <w:r w:rsidR="0047189C">
        <w:rPr>
          <w:rFonts w:asciiTheme="minorHAnsi" w:hAnsiTheme="minorHAnsi" w:cstheme="minorHAnsi"/>
          <w:iCs/>
          <w:sz w:val="20"/>
          <w:szCs w:val="20"/>
        </w:rPr>
        <w:t>.</w:t>
      </w:r>
    </w:p>
    <w:p w:rsidR="004A0657" w:rsidRPr="00F80CB2" w:rsidRDefault="004A0657" w:rsidP="00A0314E">
      <w:pPr>
        <w:ind w:firstLine="0"/>
        <w:rPr>
          <w:rFonts w:asciiTheme="minorHAnsi" w:hAnsiTheme="minorHAnsi" w:cstheme="minorHAnsi"/>
          <w:sz w:val="24"/>
        </w:rPr>
      </w:pPr>
    </w:p>
    <w:p w:rsidR="004A30D8" w:rsidRDefault="007D3355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Graf </w:t>
      </w:r>
      <w:r w:rsidR="000B4802" w:rsidRPr="00A0314E">
        <w:rPr>
          <w:rFonts w:asciiTheme="minorHAnsi" w:hAnsiTheme="minorHAnsi" w:cstheme="minorHAnsi"/>
          <w:b/>
          <w:color w:val="000000"/>
          <w:sz w:val="24"/>
        </w:rPr>
        <w:t xml:space="preserve">č. 4 </w:t>
      </w:r>
      <w:r w:rsidRPr="00A0314E">
        <w:rPr>
          <w:rFonts w:asciiTheme="minorHAnsi" w:hAnsiTheme="minorHAnsi" w:cstheme="minorHAnsi"/>
          <w:b/>
          <w:color w:val="000000"/>
          <w:sz w:val="24"/>
        </w:rPr>
        <w:t>znázorňuje celkový vývoj skutečných příjmů</w:t>
      </w:r>
      <w:r w:rsidR="004231A3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B647F0">
        <w:rPr>
          <w:rFonts w:asciiTheme="minorHAnsi" w:hAnsiTheme="minorHAnsi" w:cstheme="minorHAnsi"/>
          <w:b/>
          <w:color w:val="000000"/>
          <w:sz w:val="24"/>
        </w:rPr>
        <w:t xml:space="preserve">(spojovací </w:t>
      </w:r>
      <w:r w:rsidR="00123A34">
        <w:rPr>
          <w:rFonts w:asciiTheme="minorHAnsi" w:hAnsiTheme="minorHAnsi" w:cstheme="minorHAnsi"/>
          <w:b/>
          <w:color w:val="000000"/>
          <w:sz w:val="24"/>
        </w:rPr>
        <w:t xml:space="preserve">modrá </w:t>
      </w:r>
      <w:r w:rsidR="00B647F0">
        <w:rPr>
          <w:rFonts w:asciiTheme="minorHAnsi" w:hAnsiTheme="minorHAnsi" w:cstheme="minorHAnsi"/>
          <w:b/>
          <w:color w:val="000000"/>
          <w:sz w:val="24"/>
        </w:rPr>
        <w:t xml:space="preserve">čára) </w:t>
      </w:r>
      <w:r w:rsidRPr="00A0314E">
        <w:rPr>
          <w:rFonts w:asciiTheme="minorHAnsi" w:hAnsiTheme="minorHAnsi" w:cstheme="minorHAnsi"/>
          <w:b/>
          <w:color w:val="000000"/>
          <w:sz w:val="24"/>
        </w:rPr>
        <w:t>a</w:t>
      </w:r>
      <w:r w:rsidR="006C4C80">
        <w:rPr>
          <w:rFonts w:asciiTheme="minorHAnsi" w:hAnsiTheme="minorHAnsi" w:cstheme="minorHAnsi"/>
          <w:b/>
          <w:color w:val="000000"/>
          <w:sz w:val="24"/>
        </w:rPr>
        <w:t> 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skutečných výdajů </w:t>
      </w:r>
      <w:r w:rsidR="00B647F0">
        <w:rPr>
          <w:rFonts w:asciiTheme="minorHAnsi" w:hAnsiTheme="minorHAnsi" w:cstheme="minorHAnsi"/>
          <w:b/>
          <w:color w:val="000000"/>
          <w:sz w:val="24"/>
        </w:rPr>
        <w:t xml:space="preserve">(spojovací </w:t>
      </w:r>
      <w:r w:rsidR="00123A34">
        <w:rPr>
          <w:rFonts w:asciiTheme="minorHAnsi" w:hAnsiTheme="minorHAnsi" w:cstheme="minorHAnsi"/>
          <w:b/>
          <w:color w:val="000000"/>
          <w:sz w:val="24"/>
        </w:rPr>
        <w:t>červená</w:t>
      </w:r>
      <w:r w:rsidR="00B647F0">
        <w:rPr>
          <w:rFonts w:asciiTheme="minorHAnsi" w:hAnsiTheme="minorHAnsi" w:cstheme="minorHAnsi"/>
          <w:b/>
          <w:color w:val="000000"/>
          <w:sz w:val="24"/>
        </w:rPr>
        <w:t xml:space="preserve"> čára) </w:t>
      </w:r>
      <w:r w:rsidRPr="00A0314E">
        <w:rPr>
          <w:rFonts w:asciiTheme="minorHAnsi" w:hAnsiTheme="minorHAnsi" w:cstheme="minorHAnsi"/>
          <w:b/>
          <w:color w:val="000000"/>
          <w:sz w:val="24"/>
        </w:rPr>
        <w:t>důchodového pojištění státu a vývoj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 xml:space="preserve"> dle výpočtu provedeného MF ve smyslu zákona o rozpočtových </w:t>
      </w:r>
      <w:r w:rsidR="00C7180E" w:rsidRPr="00A0314E">
        <w:rPr>
          <w:rFonts w:asciiTheme="minorHAnsi" w:hAnsiTheme="minorHAnsi" w:cstheme="minorHAnsi"/>
          <w:b/>
          <w:color w:val="000000"/>
          <w:sz w:val="24"/>
        </w:rPr>
        <w:t>pravidlech,</w:t>
      </w:r>
      <w:r w:rsidR="00C7180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C7180E" w:rsidRPr="00A0314E">
        <w:rPr>
          <w:rFonts w:asciiTheme="minorHAnsi" w:hAnsiTheme="minorHAnsi" w:cstheme="minorHAnsi"/>
          <w:b/>
          <w:color w:val="000000"/>
          <w:sz w:val="24"/>
        </w:rPr>
        <w:t>tzn.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8223E9" w:rsidRPr="00A0314E">
        <w:rPr>
          <w:rFonts w:asciiTheme="minorHAnsi" w:hAnsiTheme="minorHAnsi" w:cstheme="minorHAnsi"/>
          <w:b/>
          <w:color w:val="000000"/>
          <w:sz w:val="24"/>
        </w:rPr>
        <w:t>stav</w:t>
      </w:r>
      <w:r w:rsidR="00C7180E">
        <w:rPr>
          <w:rFonts w:asciiTheme="minorHAnsi" w:hAnsiTheme="minorHAnsi" w:cstheme="minorHAnsi"/>
          <w:b/>
          <w:color w:val="000000"/>
          <w:sz w:val="24"/>
        </w:rPr>
        <w:t>,</w:t>
      </w:r>
      <w:r w:rsidR="008223E9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 xml:space="preserve">kdy na stranu 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>výdajů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 xml:space="preserve"> i na stranu příjmů </w:t>
      </w:r>
      <w:r w:rsidR="005F6565" w:rsidRPr="00A0314E">
        <w:rPr>
          <w:rFonts w:asciiTheme="minorHAnsi" w:hAnsiTheme="minorHAnsi" w:cstheme="minorHAnsi"/>
          <w:b/>
          <w:color w:val="000000"/>
          <w:sz w:val="24"/>
        </w:rPr>
        <w:t>vstoupily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4A30D8" w:rsidRPr="00A0314E">
        <w:rPr>
          <w:rFonts w:asciiTheme="minorHAnsi" w:hAnsiTheme="minorHAnsi" w:cstheme="minorHAnsi"/>
          <w:b/>
          <w:color w:val="000000"/>
          <w:sz w:val="24"/>
        </w:rPr>
        <w:t>další položky (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>na straně výdajů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>položka</w:t>
      </w:r>
      <w:r w:rsidR="00632AC5" w:rsidRPr="00A0314E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>tzv. výdajů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 na správu a</w:t>
      </w:r>
      <w:r w:rsidR="00895A0D">
        <w:rPr>
          <w:rFonts w:asciiTheme="minorHAnsi" w:hAnsiTheme="minorHAnsi" w:cstheme="minorHAnsi"/>
          <w:b/>
          <w:color w:val="000000"/>
          <w:sz w:val="24"/>
        </w:rPr>
        <w:t> </w:t>
      </w:r>
      <w:r w:rsidR="008223E9" w:rsidRPr="00A0314E">
        <w:rPr>
          <w:rFonts w:asciiTheme="minorHAnsi" w:hAnsiTheme="minorHAnsi" w:cstheme="minorHAnsi"/>
          <w:b/>
          <w:color w:val="000000"/>
          <w:sz w:val="24"/>
        </w:rPr>
        <w:t>v </w:t>
      </w:r>
      <w:r w:rsidR="0047189C">
        <w:rPr>
          <w:rFonts w:asciiTheme="minorHAnsi" w:hAnsiTheme="minorHAnsi" w:cstheme="minorHAnsi"/>
          <w:b/>
          <w:color w:val="000000"/>
          <w:sz w:val="24"/>
        </w:rPr>
        <w:t>letech</w:t>
      </w:r>
      <w:r w:rsidR="008223E9" w:rsidRPr="00A0314E">
        <w:rPr>
          <w:rFonts w:asciiTheme="minorHAnsi" w:hAnsiTheme="minorHAnsi" w:cstheme="minorHAnsi"/>
          <w:b/>
          <w:color w:val="000000"/>
          <w:sz w:val="24"/>
        </w:rPr>
        <w:t xml:space="preserve"> 2012 a 2013 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na straně příjmů 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 xml:space="preserve">částka ve výši 7,2 % </w:t>
      </w:r>
      <w:r w:rsidR="002432AC" w:rsidRPr="00A0314E">
        <w:rPr>
          <w:rFonts w:asciiTheme="minorHAnsi" w:hAnsiTheme="minorHAnsi" w:cstheme="minorHAnsi"/>
          <w:b/>
          <w:color w:val="000000"/>
          <w:sz w:val="24"/>
        </w:rPr>
        <w:t xml:space="preserve">výnosu 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>DPH připadající</w:t>
      </w:r>
      <w:r w:rsidR="002432AC" w:rsidRPr="00A0314E">
        <w:rPr>
          <w:rFonts w:asciiTheme="minorHAnsi" w:hAnsiTheme="minorHAnsi" w:cstheme="minorHAnsi"/>
          <w:b/>
          <w:color w:val="000000"/>
          <w:sz w:val="24"/>
        </w:rPr>
        <w:t>ho</w:t>
      </w:r>
      <w:r w:rsidR="005F36C5" w:rsidRPr="00A0314E">
        <w:rPr>
          <w:rFonts w:asciiTheme="minorHAnsi" w:hAnsiTheme="minorHAnsi" w:cstheme="minorHAnsi"/>
          <w:b/>
          <w:color w:val="000000"/>
          <w:sz w:val="24"/>
        </w:rPr>
        <w:t xml:space="preserve"> na státní rozpočet a částky převedené do příjmů státního rozpočtu z prostředků privatizace</w:t>
      </w:r>
      <w:r w:rsidR="004A30D8" w:rsidRPr="00A0314E">
        <w:rPr>
          <w:rFonts w:asciiTheme="minorHAnsi" w:hAnsiTheme="minorHAnsi" w:cstheme="minorHAnsi"/>
          <w:b/>
          <w:color w:val="000000"/>
          <w:sz w:val="24"/>
        </w:rPr>
        <w:t>)</w:t>
      </w:r>
      <w:r w:rsidRPr="00A0314E">
        <w:rPr>
          <w:rFonts w:asciiTheme="minorHAnsi" w:hAnsiTheme="minorHAnsi" w:cstheme="minorHAnsi"/>
          <w:b/>
          <w:color w:val="000000"/>
          <w:sz w:val="24"/>
        </w:rPr>
        <w:t>.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DB3D5C" w:rsidRDefault="00AF1700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>Výdaje na dávky důchodového pojištění představují podstatnou část mandatorních výdajů státu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 xml:space="preserve"> a významně ovliv</w:t>
      </w:r>
      <w:r w:rsidR="008223E9" w:rsidRPr="00A0314E">
        <w:rPr>
          <w:rFonts w:asciiTheme="minorHAnsi" w:hAnsiTheme="minorHAnsi" w:cstheme="minorHAnsi"/>
          <w:b/>
          <w:color w:val="000000"/>
          <w:sz w:val="24"/>
        </w:rPr>
        <w:t>ňují výsledek hospodaření s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>tátního rozpočtu.</w:t>
      </w:r>
    </w:p>
    <w:p w:rsidR="005A270C" w:rsidRPr="00A0314E" w:rsidRDefault="005A270C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</w:p>
    <w:p w:rsidR="00A0314E" w:rsidRPr="00A0314E" w:rsidRDefault="00A16E00" w:rsidP="00F80CB2">
      <w:pPr>
        <w:ind w:firstLine="0"/>
        <w:rPr>
          <w:rFonts w:asciiTheme="minorHAnsi" w:hAnsiTheme="minorHAnsi" w:cstheme="minorHAnsi"/>
          <w:b/>
          <w:color w:val="000000"/>
          <w:sz w:val="24"/>
        </w:rPr>
      </w:pPr>
      <w:r w:rsidRPr="00A0314E">
        <w:rPr>
          <w:rFonts w:asciiTheme="minorHAnsi" w:hAnsiTheme="minorHAnsi" w:cstheme="minorHAnsi"/>
          <w:b/>
          <w:color w:val="000000"/>
          <w:sz w:val="24"/>
        </w:rPr>
        <w:t>V kontrolovaném období došlo k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 xml:space="preserve"> vysokému 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nárůstu výdajů na dávky důchodového pojištění oproti příjmům z pojistného. </w:t>
      </w:r>
      <w:r w:rsidR="0047189C">
        <w:rPr>
          <w:rFonts w:asciiTheme="minorHAnsi" w:hAnsiTheme="minorHAnsi" w:cstheme="minorHAnsi"/>
          <w:b/>
          <w:color w:val="000000"/>
          <w:sz w:val="24"/>
        </w:rPr>
        <w:t>Za rok</w:t>
      </w:r>
      <w:r w:rsidRPr="00A0314E">
        <w:rPr>
          <w:rFonts w:asciiTheme="minorHAnsi" w:hAnsiTheme="minorHAnsi" w:cstheme="minorHAnsi"/>
          <w:b/>
          <w:color w:val="000000"/>
          <w:sz w:val="24"/>
        </w:rPr>
        <w:t xml:space="preserve"> 2013 činil schodek již přes 50 mld. Kč</w:t>
      </w:r>
      <w:r w:rsidR="00DB3D5C" w:rsidRPr="00A0314E">
        <w:rPr>
          <w:rFonts w:asciiTheme="minorHAnsi" w:hAnsiTheme="minorHAnsi" w:cstheme="minorHAnsi"/>
          <w:b/>
          <w:color w:val="000000"/>
          <w:sz w:val="24"/>
        </w:rPr>
        <w:t>.</w:t>
      </w:r>
    </w:p>
    <w:p w:rsidR="00A0314E" w:rsidRPr="00A0314E" w:rsidRDefault="00A0314E" w:rsidP="0041791C">
      <w:pPr>
        <w:ind w:firstLine="0"/>
        <w:jc w:val="left"/>
        <w:rPr>
          <w:rFonts w:asciiTheme="minorHAnsi" w:hAnsiTheme="minorHAnsi" w:cstheme="minorHAnsi"/>
          <w:b/>
          <w:color w:val="000000"/>
          <w:sz w:val="24"/>
        </w:rPr>
      </w:pPr>
    </w:p>
    <w:p w:rsidR="00A0314E" w:rsidRDefault="00A0314E">
      <w:pPr>
        <w:ind w:firstLine="0"/>
        <w:jc w:val="left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br w:type="page"/>
      </w:r>
    </w:p>
    <w:p w:rsidR="00A0314E" w:rsidRDefault="00A0314E" w:rsidP="00A0314E">
      <w:pPr>
        <w:spacing w:line="276" w:lineRule="auto"/>
        <w:ind w:left="851" w:hanging="851"/>
        <w:rPr>
          <w:rFonts w:ascii="Calibri" w:hAnsi="Calibri" w:cs="Calibri"/>
          <w:b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olor w:val="000000" w:themeColor="text1"/>
          <w:sz w:val="26"/>
          <w:szCs w:val="26"/>
        </w:rPr>
        <w:lastRenderedPageBreak/>
        <w:t>Seznam zkratek</w:t>
      </w:r>
    </w:p>
    <w:p w:rsidR="00A0314E" w:rsidRDefault="00A0314E" w:rsidP="00A0314E">
      <w:pPr>
        <w:spacing w:line="276" w:lineRule="auto"/>
        <w:ind w:left="851" w:hanging="851"/>
        <w:rPr>
          <w:rFonts w:ascii="Calibri" w:hAnsi="Calibri" w:cs="Calibri"/>
          <w:color w:val="000000" w:themeColor="text1"/>
          <w:sz w:val="24"/>
        </w:rPr>
      </w:pP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ARIS</w:t>
      </w:r>
      <w:r>
        <w:rPr>
          <w:rFonts w:ascii="Calibri" w:hAnsi="Calibri" w:cs="Calibri"/>
          <w:noProof/>
          <w:color w:val="000000"/>
          <w:sz w:val="24"/>
        </w:rPr>
        <w:tab/>
      </w:r>
      <w:r w:rsidRPr="00F80CB2">
        <w:rPr>
          <w:rFonts w:asciiTheme="minorHAnsi" w:hAnsiTheme="minorHAnsi" w:cstheme="minorHAnsi"/>
          <w:i/>
          <w:color w:val="545454"/>
          <w:sz w:val="24"/>
        </w:rPr>
        <w:t xml:space="preserve">Automatizovaný rozpočtový informační </w:t>
      </w:r>
      <w:r w:rsidRPr="00F80CB2">
        <w:rPr>
          <w:rFonts w:asciiTheme="minorHAnsi" w:hAnsiTheme="minorHAnsi" w:cstheme="minorHAnsi"/>
          <w:bCs/>
          <w:i/>
          <w:color w:val="545454"/>
          <w:sz w:val="24"/>
        </w:rPr>
        <w:t>systém</w:t>
      </w:r>
      <w:r w:rsidRPr="00942BE3">
        <w:rPr>
          <w:rFonts w:cs="Arial"/>
          <w:color w:val="545454"/>
        </w:rPr>
        <w:t xml:space="preserve"> 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r w:rsidRPr="004E69DE">
        <w:rPr>
          <w:rFonts w:ascii="Calibri" w:hAnsi="Calibri" w:cs="Calibri"/>
          <w:sz w:val="24"/>
        </w:rPr>
        <w:t xml:space="preserve">BIS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Bezpečnostní informační služba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CSÚIS</w:t>
      </w:r>
      <w:r>
        <w:rPr>
          <w:rFonts w:ascii="Calibri" w:hAnsi="Calibri" w:cs="Calibri"/>
          <w:noProof/>
          <w:color w:val="000000"/>
          <w:sz w:val="24"/>
        </w:rPr>
        <w:tab/>
      </w:r>
      <w:r w:rsidRPr="00F80CB2">
        <w:rPr>
          <w:rFonts w:asciiTheme="minorHAnsi" w:hAnsiTheme="minorHAnsi" w:cstheme="minorHAnsi"/>
          <w:i/>
          <w:sz w:val="24"/>
        </w:rPr>
        <w:t>Centrální systém účetních informací státu</w:t>
      </w:r>
      <w:r>
        <w:t xml:space="preserve"> 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r w:rsidRPr="00E4212E">
        <w:rPr>
          <w:rFonts w:ascii="Calibri" w:hAnsi="Calibri" w:cs="Calibri"/>
          <w:sz w:val="24"/>
        </w:rPr>
        <w:t>ČSSZ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Česká správa sociálního zabezpečení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DDP</w:t>
      </w:r>
      <w:r>
        <w:rPr>
          <w:rFonts w:ascii="Calibri" w:hAnsi="Calibri" w:cs="Calibri"/>
          <w:noProof/>
          <w:color w:val="000000"/>
          <w:sz w:val="24"/>
        </w:rPr>
        <w:tab/>
        <w:t>dávky důchodového pojištění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DP</w:t>
      </w:r>
      <w:r>
        <w:rPr>
          <w:rFonts w:ascii="Calibri" w:hAnsi="Calibri" w:cs="Calibri"/>
          <w:noProof/>
          <w:color w:val="000000"/>
          <w:sz w:val="24"/>
        </w:rPr>
        <w:tab/>
        <w:t>důchodové pojištění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DPH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daň z přidané hodnoty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proofErr w:type="spellStart"/>
      <w:r w:rsidRPr="004E69DE">
        <w:rPr>
          <w:rFonts w:ascii="Calibri" w:hAnsi="Calibri" w:cs="Calibri"/>
          <w:sz w:val="24"/>
        </w:rPr>
        <w:t>GIBS</w:t>
      </w:r>
      <w:proofErr w:type="spellEnd"/>
      <w:r w:rsidRPr="004E69D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4E69DE">
        <w:rPr>
          <w:rFonts w:ascii="Calibri" w:hAnsi="Calibri" w:cs="Calibri"/>
          <w:sz w:val="24"/>
        </w:rPr>
        <w:t>Generální inspekce bezpečnostních sborů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GŘC</w:t>
      </w:r>
      <w:r>
        <w:rPr>
          <w:rFonts w:ascii="Calibri" w:hAnsi="Calibri" w:cs="Calibri"/>
          <w:noProof/>
          <w:color w:val="000000"/>
          <w:sz w:val="24"/>
        </w:rPr>
        <w:tab/>
        <w:t>Generální ředitelství cel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 w:rsidRPr="004E69DE">
        <w:rPr>
          <w:rFonts w:ascii="Calibri" w:hAnsi="Calibri" w:cs="Calibri"/>
          <w:noProof/>
          <w:color w:val="000000"/>
          <w:sz w:val="24"/>
        </w:rPr>
        <w:t xml:space="preserve">MF </w:t>
      </w:r>
      <w:r>
        <w:rPr>
          <w:rFonts w:ascii="Calibri" w:hAnsi="Calibri" w:cs="Calibri"/>
          <w:noProof/>
          <w:color w:val="000000"/>
          <w:sz w:val="24"/>
        </w:rPr>
        <w:tab/>
      </w:r>
      <w:r>
        <w:rPr>
          <w:rFonts w:ascii="Calibri" w:hAnsi="Calibri" w:cs="Calibri"/>
          <w:noProof/>
          <w:color w:val="000000"/>
          <w:sz w:val="24"/>
        </w:rPr>
        <w:tab/>
      </w:r>
      <w:r>
        <w:rPr>
          <w:rFonts w:ascii="Calibri" w:hAnsi="Calibri" w:cs="Calibri"/>
          <w:noProof/>
          <w:color w:val="000000"/>
          <w:sz w:val="24"/>
        </w:rPr>
        <w:tab/>
      </w:r>
      <w:r w:rsidRPr="004E69DE">
        <w:rPr>
          <w:rFonts w:ascii="Calibri" w:hAnsi="Calibri" w:cs="Calibri"/>
          <w:noProof/>
          <w:color w:val="000000"/>
          <w:sz w:val="24"/>
        </w:rPr>
        <w:t>Ministerstvo financí</w:t>
      </w:r>
    </w:p>
    <w:p w:rsidR="00942BE3" w:rsidRDefault="00942BE3" w:rsidP="006006A2">
      <w:pPr>
        <w:tabs>
          <w:tab w:val="left" w:pos="284"/>
        </w:tabs>
        <w:spacing w:line="276" w:lineRule="auto"/>
        <w:ind w:left="1134" w:hanging="1134"/>
        <w:rPr>
          <w:rFonts w:ascii="Calibri" w:hAnsi="Calibri" w:cs="Calibri"/>
          <w:color w:val="000000"/>
          <w:sz w:val="24"/>
        </w:rPr>
      </w:pPr>
      <w:r w:rsidRPr="004E69DE">
        <w:rPr>
          <w:rFonts w:ascii="Calibri" w:hAnsi="Calibri" w:cs="Calibri"/>
          <w:color w:val="000000"/>
          <w:sz w:val="24"/>
        </w:rPr>
        <w:t xml:space="preserve">MO 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 w:rsidRPr="004E69DE">
        <w:rPr>
          <w:rFonts w:ascii="Calibri" w:hAnsi="Calibri" w:cs="Calibri"/>
          <w:color w:val="000000"/>
          <w:sz w:val="24"/>
        </w:rPr>
        <w:t xml:space="preserve">Ministerstvo obrany </w:t>
      </w:r>
    </w:p>
    <w:p w:rsidR="00942BE3" w:rsidRPr="00F80CB2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proofErr w:type="spellStart"/>
      <w:r w:rsidRPr="000E4320">
        <w:rPr>
          <w:rFonts w:ascii="Calibri" w:hAnsi="Calibri" w:cs="Calibri"/>
          <w:sz w:val="24"/>
        </w:rPr>
        <w:t>MPO</w:t>
      </w:r>
      <w:proofErr w:type="spellEnd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Ministerstvo průmyslu a obchodu</w:t>
      </w:r>
    </w:p>
    <w:p w:rsidR="00942BE3" w:rsidRDefault="00942BE3" w:rsidP="006006A2">
      <w:pPr>
        <w:tabs>
          <w:tab w:val="left" w:pos="284"/>
        </w:tabs>
        <w:spacing w:line="276" w:lineRule="auto"/>
        <w:ind w:left="1134" w:hanging="1134"/>
        <w:rPr>
          <w:rFonts w:ascii="Calibri" w:hAnsi="Calibri" w:cs="Calibri"/>
          <w:color w:val="000000"/>
          <w:sz w:val="24"/>
        </w:rPr>
      </w:pPr>
      <w:r w:rsidRPr="004E69DE">
        <w:rPr>
          <w:rFonts w:ascii="Calibri" w:hAnsi="Calibri" w:cs="Calibri"/>
          <w:color w:val="000000"/>
          <w:sz w:val="24"/>
        </w:rPr>
        <w:t>MPSV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 w:rsidRPr="004E69DE">
        <w:rPr>
          <w:rFonts w:ascii="Calibri" w:hAnsi="Calibri" w:cs="Calibri"/>
          <w:color w:val="000000"/>
          <w:sz w:val="24"/>
        </w:rPr>
        <w:t>Ministerstvo práce a sociálních věcí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r w:rsidRPr="000E4320">
        <w:rPr>
          <w:rFonts w:ascii="Calibri" w:hAnsi="Calibri" w:cs="Calibri"/>
          <w:sz w:val="24"/>
        </w:rPr>
        <w:t>MS</w:t>
      </w:r>
      <w:r w:rsidRPr="000E4320">
        <w:rPr>
          <w:rFonts w:ascii="Calibri" w:hAnsi="Calibri" w:cs="Calibri"/>
          <w:sz w:val="24"/>
        </w:rPr>
        <w:tab/>
      </w:r>
      <w:r w:rsidRPr="000E4320">
        <w:rPr>
          <w:rFonts w:ascii="Calibri" w:hAnsi="Calibri" w:cs="Calibri"/>
          <w:sz w:val="24"/>
        </w:rPr>
        <w:tab/>
      </w:r>
      <w:r w:rsidRPr="000E4320">
        <w:rPr>
          <w:rFonts w:ascii="Calibri" w:hAnsi="Calibri" w:cs="Calibri"/>
          <w:sz w:val="24"/>
        </w:rPr>
        <w:tab/>
        <w:t>Ministerstvo spravedlnosti</w:t>
      </w:r>
    </w:p>
    <w:p w:rsidR="00942BE3" w:rsidRPr="004E69DE" w:rsidRDefault="00942BE3" w:rsidP="006006A2">
      <w:pPr>
        <w:tabs>
          <w:tab w:val="left" w:pos="284"/>
        </w:tabs>
        <w:spacing w:line="276" w:lineRule="auto"/>
        <w:ind w:left="1134" w:hanging="1134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MV 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 w:rsidRPr="004E69DE">
        <w:rPr>
          <w:rFonts w:ascii="Calibri" w:hAnsi="Calibri" w:cs="Calibri"/>
          <w:color w:val="000000"/>
          <w:sz w:val="24"/>
        </w:rPr>
        <w:t>Ministerstvo vnitra</w:t>
      </w:r>
    </w:p>
    <w:p w:rsidR="00942BE3" w:rsidRDefault="00942BE3" w:rsidP="006006A2">
      <w:pPr>
        <w:tabs>
          <w:tab w:val="left" w:pos="1985"/>
        </w:tabs>
        <w:spacing w:line="276" w:lineRule="auto"/>
        <w:ind w:left="1134" w:hanging="1134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NKÚ</w:t>
      </w:r>
      <w:r>
        <w:rPr>
          <w:rFonts w:ascii="Calibri" w:hAnsi="Calibri" w:cs="Calibri"/>
          <w:color w:val="000000" w:themeColor="text1"/>
          <w:sz w:val="24"/>
        </w:rPr>
        <w:tab/>
        <w:t>Nejvyšší kontrolní úřad</w:t>
      </w:r>
    </w:p>
    <w:p w:rsidR="00792245" w:rsidRDefault="00792245" w:rsidP="006006A2">
      <w:pPr>
        <w:tabs>
          <w:tab w:val="left" w:pos="1985"/>
        </w:tabs>
        <w:spacing w:line="276" w:lineRule="auto"/>
        <w:ind w:left="1134" w:hanging="1134"/>
        <w:rPr>
          <w:rFonts w:ascii="Calibri" w:hAnsi="Calibri" w:cs="Calibri"/>
          <w:color w:val="000000" w:themeColor="text1"/>
          <w:sz w:val="24"/>
        </w:rPr>
      </w:pPr>
      <w:proofErr w:type="spellStart"/>
      <w:r>
        <w:rPr>
          <w:rFonts w:ascii="Calibri" w:hAnsi="Calibri" w:cs="Calibri"/>
          <w:color w:val="000000" w:themeColor="text1"/>
          <w:sz w:val="24"/>
        </w:rPr>
        <w:t>RP</w:t>
      </w:r>
      <w:proofErr w:type="spellEnd"/>
      <w:r>
        <w:rPr>
          <w:rFonts w:ascii="Calibri" w:hAnsi="Calibri" w:cs="Calibri"/>
          <w:color w:val="000000" w:themeColor="text1"/>
          <w:sz w:val="24"/>
        </w:rPr>
        <w:tab/>
        <w:t>rozpočtová položka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SFA</w:t>
      </w:r>
      <w:proofErr w:type="spellEnd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státní finanční aktiva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SR</w:t>
      </w:r>
      <w:r>
        <w:rPr>
          <w:rFonts w:ascii="Calibri" w:hAnsi="Calibri" w:cs="Calibri"/>
          <w:noProof/>
          <w:color w:val="000000"/>
          <w:sz w:val="24"/>
        </w:rPr>
        <w:tab/>
        <w:t>státní rozpočet</w:t>
      </w:r>
    </w:p>
    <w:p w:rsidR="00942BE3" w:rsidRPr="00F80CB2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proofErr w:type="spellStart"/>
      <w:r w:rsidRPr="000E4320">
        <w:rPr>
          <w:rFonts w:ascii="Calibri" w:hAnsi="Calibri" w:cs="Calibri"/>
          <w:sz w:val="24"/>
        </w:rPr>
        <w:t>SZÚ</w:t>
      </w:r>
      <w:proofErr w:type="spellEnd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státní závěrečný účet</w:t>
      </w:r>
      <w:r w:rsidRPr="00942BE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/ státní závěrečné účty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ÚFIS</w:t>
      </w:r>
      <w:r>
        <w:rPr>
          <w:rFonts w:ascii="Calibri" w:hAnsi="Calibri" w:cs="Calibri"/>
          <w:noProof/>
          <w:color w:val="000000"/>
          <w:sz w:val="24"/>
        </w:rPr>
        <w:tab/>
      </w:r>
      <w:r w:rsidRPr="00F80CB2">
        <w:rPr>
          <w:rFonts w:ascii="Calibri" w:hAnsi="Calibri" w:cs="Calibri"/>
          <w:i/>
          <w:noProof/>
          <w:color w:val="000000"/>
          <w:sz w:val="24"/>
        </w:rPr>
        <w:t>P</w:t>
      </w:r>
      <w:r w:rsidRPr="00F80CB2">
        <w:rPr>
          <w:rFonts w:asciiTheme="minorHAnsi" w:hAnsiTheme="minorHAnsi" w:cstheme="minorHAnsi"/>
          <w:i/>
          <w:noProof/>
          <w:color w:val="000000"/>
          <w:sz w:val="24"/>
        </w:rPr>
        <w:t>rezentační</w:t>
      </w:r>
      <w:r w:rsidRPr="00F80CB2">
        <w:rPr>
          <w:rFonts w:asciiTheme="minorHAnsi" w:hAnsiTheme="minorHAnsi" w:cstheme="minorHAnsi"/>
          <w:i/>
          <w:sz w:val="24"/>
        </w:rPr>
        <w:t xml:space="preserve"> systém účetních a finančních informací státu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>UV</w:t>
      </w:r>
      <w:r>
        <w:rPr>
          <w:rFonts w:ascii="Calibri" w:hAnsi="Calibri" w:cs="Calibri"/>
          <w:noProof/>
          <w:color w:val="000000"/>
          <w:sz w:val="24"/>
        </w:rPr>
        <w:tab/>
        <w:t xml:space="preserve">usnesení vlády 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ZÚ</w:t>
      </w:r>
      <w:proofErr w:type="spellEnd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z</w:t>
      </w:r>
      <w:r w:rsidRPr="004E69DE">
        <w:rPr>
          <w:rFonts w:ascii="Calibri" w:hAnsi="Calibri" w:cs="Calibri"/>
          <w:sz w:val="24"/>
        </w:rPr>
        <w:t>ávěrečn</w:t>
      </w:r>
      <w:r>
        <w:rPr>
          <w:rFonts w:ascii="Calibri" w:hAnsi="Calibri" w:cs="Calibri"/>
          <w:sz w:val="24"/>
        </w:rPr>
        <w:t>ý účet / závěrečné účty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sz w:val="24"/>
          <w:lang w:eastAsia="cs-CZ"/>
        </w:rPr>
      </w:pPr>
      <w:proofErr w:type="spellStart"/>
      <w:r w:rsidRPr="004E69DE">
        <w:rPr>
          <w:rFonts w:ascii="Calibri" w:hAnsi="Calibri" w:cs="Calibri"/>
          <w:sz w:val="24"/>
          <w:lang w:eastAsia="cs-CZ"/>
        </w:rPr>
        <w:t>ZÚDP</w:t>
      </w:r>
      <w:proofErr w:type="spellEnd"/>
      <w:r w:rsidRPr="004E69DE">
        <w:rPr>
          <w:rFonts w:ascii="Calibri" w:hAnsi="Calibri" w:cs="Calibri"/>
          <w:i/>
          <w:sz w:val="24"/>
          <w:lang w:eastAsia="cs-CZ"/>
        </w:rPr>
        <w:t xml:space="preserve"> </w:t>
      </w:r>
      <w:r>
        <w:rPr>
          <w:rFonts w:ascii="Calibri" w:hAnsi="Calibri" w:cs="Calibri"/>
          <w:i/>
          <w:sz w:val="24"/>
          <w:lang w:eastAsia="cs-CZ"/>
        </w:rPr>
        <w:tab/>
      </w:r>
      <w:r>
        <w:rPr>
          <w:rFonts w:ascii="Calibri" w:hAnsi="Calibri" w:cs="Calibri"/>
          <w:i/>
          <w:sz w:val="24"/>
          <w:lang w:eastAsia="cs-CZ"/>
        </w:rPr>
        <w:tab/>
      </w:r>
      <w:r>
        <w:rPr>
          <w:rFonts w:ascii="Calibri" w:hAnsi="Calibri" w:cs="Calibri"/>
          <w:i/>
          <w:sz w:val="24"/>
          <w:lang w:eastAsia="cs-CZ"/>
        </w:rPr>
        <w:tab/>
      </w:r>
      <w:r w:rsidRPr="00813002">
        <w:rPr>
          <w:rFonts w:ascii="Calibri" w:hAnsi="Calibri" w:cs="Calibri"/>
          <w:sz w:val="24"/>
          <w:lang w:eastAsia="cs-CZ"/>
        </w:rPr>
        <w:t>Zvláštní účet důchodového pojištění</w:t>
      </w:r>
    </w:p>
    <w:p w:rsidR="00942BE3" w:rsidRDefault="00942BE3" w:rsidP="006006A2">
      <w:pPr>
        <w:spacing w:line="276" w:lineRule="auto"/>
        <w:ind w:left="1134" w:hanging="1134"/>
        <w:rPr>
          <w:rFonts w:ascii="Calibri" w:hAnsi="Calibri" w:cs="Calibri"/>
          <w:noProof/>
          <w:color w:val="000000"/>
          <w:sz w:val="24"/>
        </w:rPr>
      </w:pPr>
      <w:r w:rsidRPr="004E69DE">
        <w:rPr>
          <w:rFonts w:ascii="Calibri" w:hAnsi="Calibri" w:cs="Calibri"/>
          <w:noProof/>
          <w:color w:val="000000"/>
          <w:sz w:val="24"/>
        </w:rPr>
        <w:t>ZÚRDR</w:t>
      </w:r>
      <w:r>
        <w:rPr>
          <w:rFonts w:ascii="Calibri" w:hAnsi="Calibri" w:cs="Calibri"/>
          <w:noProof/>
          <w:color w:val="000000"/>
          <w:sz w:val="24"/>
        </w:rPr>
        <w:tab/>
        <w:t>Zvláštní</w:t>
      </w:r>
      <w:r w:rsidRPr="004E69DE">
        <w:rPr>
          <w:rFonts w:ascii="Calibri" w:hAnsi="Calibri" w:cs="Calibri"/>
          <w:noProof/>
          <w:color w:val="000000"/>
          <w:sz w:val="24"/>
        </w:rPr>
        <w:t xml:space="preserve"> úč</w:t>
      </w:r>
      <w:r>
        <w:rPr>
          <w:rFonts w:ascii="Calibri" w:hAnsi="Calibri" w:cs="Calibri"/>
          <w:noProof/>
          <w:color w:val="000000"/>
          <w:sz w:val="24"/>
        </w:rPr>
        <w:t>e</w:t>
      </w:r>
      <w:r w:rsidRPr="004E69DE">
        <w:rPr>
          <w:rFonts w:ascii="Calibri" w:hAnsi="Calibri" w:cs="Calibri"/>
          <w:noProof/>
          <w:color w:val="000000"/>
          <w:sz w:val="24"/>
        </w:rPr>
        <w:t>t rezervy pro důchodovou reformu</w:t>
      </w:r>
    </w:p>
    <w:p w:rsidR="007D0D74" w:rsidRDefault="007D0D74" w:rsidP="006006A2">
      <w:pPr>
        <w:spacing w:line="276" w:lineRule="auto"/>
        <w:ind w:left="1134" w:hanging="1134"/>
        <w:rPr>
          <w:rFonts w:ascii="Calibri" w:hAnsi="Calibri" w:cs="Calibri"/>
          <w:color w:val="000000" w:themeColor="text1"/>
          <w:sz w:val="24"/>
        </w:rPr>
      </w:pPr>
    </w:p>
    <w:p w:rsidR="00A0314E" w:rsidRDefault="00A0314E" w:rsidP="00A0314E">
      <w:pPr>
        <w:ind w:left="851" w:hanging="851"/>
        <w:rPr>
          <w:rFonts w:ascii="Calibri" w:hAnsi="Calibri" w:cs="Calibri"/>
          <w:sz w:val="24"/>
        </w:rPr>
      </w:pPr>
    </w:p>
    <w:p w:rsidR="00BE281E" w:rsidRPr="00632AC5" w:rsidRDefault="00BE281E" w:rsidP="0041791C">
      <w:pPr>
        <w:ind w:firstLine="0"/>
        <w:jc w:val="left"/>
        <w:rPr>
          <w:rFonts w:asciiTheme="minorHAnsi" w:hAnsiTheme="minorHAnsi" w:cstheme="minorHAnsi"/>
          <w:b/>
          <w:color w:val="000000"/>
          <w:sz w:val="24"/>
        </w:rPr>
        <w:sectPr w:rsidR="00BE281E" w:rsidRPr="00632AC5" w:rsidSect="003622A4">
          <w:footerReference w:type="default" r:id="rId17"/>
          <w:headerReference w:type="first" r:id="rId18"/>
          <w:footerReference w:type="first" r:id="rId19"/>
          <w:pgSz w:w="11906" w:h="16838" w:code="9"/>
          <w:pgMar w:top="1417" w:right="1417" w:bottom="1417" w:left="1417" w:header="0" w:footer="709" w:gutter="0"/>
          <w:cols w:space="708"/>
          <w:titlePg/>
          <w:docGrid w:linePitch="360"/>
        </w:sectPr>
      </w:pPr>
    </w:p>
    <w:p w:rsidR="00A0314E" w:rsidRDefault="00A0314E" w:rsidP="00A0314E">
      <w:pPr>
        <w:ind w:firstLine="0"/>
        <w:jc w:val="right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lastRenderedPageBreak/>
        <w:t>Příloha č. 1</w:t>
      </w:r>
    </w:p>
    <w:p w:rsidR="00BE281E" w:rsidRPr="00632AC5" w:rsidRDefault="00BE281E" w:rsidP="00BE281E">
      <w:pPr>
        <w:ind w:firstLine="0"/>
        <w:jc w:val="left"/>
        <w:rPr>
          <w:rFonts w:asciiTheme="minorHAnsi" w:hAnsiTheme="minorHAnsi" w:cstheme="minorHAnsi"/>
          <w:b/>
          <w:bCs/>
          <w:color w:val="000000"/>
          <w:sz w:val="24"/>
        </w:rPr>
      </w:pPr>
      <w:r w:rsidRPr="00632AC5">
        <w:rPr>
          <w:rFonts w:asciiTheme="minorHAnsi" w:hAnsiTheme="minorHAnsi" w:cstheme="minorHAnsi"/>
          <w:b/>
          <w:bCs/>
          <w:color w:val="000000"/>
          <w:sz w:val="24"/>
        </w:rPr>
        <w:t>P</w:t>
      </w:r>
      <w:r w:rsidR="00A0314E">
        <w:rPr>
          <w:rFonts w:asciiTheme="minorHAnsi" w:hAnsiTheme="minorHAnsi" w:cstheme="minorHAnsi"/>
          <w:b/>
          <w:bCs/>
          <w:color w:val="000000"/>
          <w:sz w:val="24"/>
        </w:rPr>
        <w:t>řehled o p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>očt</w:t>
      </w:r>
      <w:r w:rsidR="00A0314E">
        <w:rPr>
          <w:rFonts w:asciiTheme="minorHAnsi" w:hAnsiTheme="minorHAnsi" w:cstheme="minorHAnsi"/>
          <w:b/>
          <w:bCs/>
          <w:color w:val="000000"/>
          <w:sz w:val="24"/>
        </w:rPr>
        <w:t>u a druhu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 w:rsidR="00A0314E">
        <w:rPr>
          <w:rFonts w:asciiTheme="minorHAnsi" w:hAnsiTheme="minorHAnsi" w:cstheme="minorHAnsi"/>
          <w:b/>
          <w:bCs/>
          <w:color w:val="000000"/>
          <w:sz w:val="24"/>
        </w:rPr>
        <w:t xml:space="preserve">přiznaných 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 xml:space="preserve">důchodů </w:t>
      </w:r>
      <w:r w:rsidR="00574487">
        <w:rPr>
          <w:rFonts w:asciiTheme="minorHAnsi" w:hAnsiTheme="minorHAnsi" w:cstheme="minorHAnsi"/>
          <w:b/>
          <w:bCs/>
          <w:color w:val="000000"/>
          <w:sz w:val="24"/>
        </w:rPr>
        <w:t>v 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 xml:space="preserve">letech 1996–2013 (údaj vždy k prosinci daného roku) 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ab/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ab/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ab/>
      </w:r>
      <w:r w:rsidR="000F2639">
        <w:rPr>
          <w:rFonts w:asciiTheme="minorHAnsi" w:hAnsiTheme="minorHAnsi" w:cstheme="minorHAnsi"/>
          <w:b/>
          <w:bCs/>
          <w:color w:val="000000"/>
          <w:sz w:val="24"/>
        </w:rPr>
        <w:t xml:space="preserve">– 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>údaj</w:t>
      </w:r>
      <w:r w:rsidR="00A0314E">
        <w:rPr>
          <w:rFonts w:asciiTheme="minorHAnsi" w:hAnsiTheme="minorHAnsi" w:cstheme="minorHAnsi"/>
          <w:b/>
          <w:bCs/>
          <w:color w:val="000000"/>
          <w:sz w:val="24"/>
        </w:rPr>
        <w:t>e</w:t>
      </w:r>
      <w:r w:rsidRPr="00632AC5">
        <w:rPr>
          <w:rFonts w:asciiTheme="minorHAnsi" w:hAnsiTheme="minorHAnsi" w:cstheme="minorHAnsi"/>
          <w:b/>
          <w:bCs/>
          <w:color w:val="000000"/>
          <w:sz w:val="24"/>
        </w:rPr>
        <w:t xml:space="preserve"> za kapitolu MPSV</w:t>
      </w:r>
    </w:p>
    <w:p w:rsidR="00BE281E" w:rsidRPr="00632AC5" w:rsidRDefault="00BE281E" w:rsidP="00BE281E">
      <w:pPr>
        <w:ind w:firstLine="0"/>
        <w:jc w:val="left"/>
        <w:rPr>
          <w:rFonts w:asciiTheme="minorHAnsi" w:hAnsiTheme="minorHAnsi" w:cstheme="minorHAnsi"/>
          <w:b/>
          <w:color w:val="000000"/>
          <w:sz w:val="24"/>
        </w:rPr>
      </w:pPr>
      <w:r w:rsidRPr="00632AC5">
        <w:rPr>
          <w:rFonts w:asciiTheme="minorHAnsi" w:hAnsiTheme="minorHAnsi" w:cstheme="minorHAnsi"/>
          <w:b/>
          <w:noProof/>
          <w:color w:val="000000"/>
          <w:sz w:val="24"/>
          <w:lang w:eastAsia="cs-CZ"/>
        </w:rPr>
        <w:drawing>
          <wp:inline distT="0" distB="0" distL="0" distR="0" wp14:anchorId="459F232E" wp14:editId="051586CA">
            <wp:extent cx="8891270" cy="3438034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43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1E" w:rsidRPr="00426D6B" w:rsidRDefault="00BE281E" w:rsidP="00BE281E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b/>
          <w:color w:val="000000"/>
          <w:sz w:val="20"/>
          <w:szCs w:val="20"/>
        </w:rPr>
        <w:t>Zdroj: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AF1700" w:rsidRPr="00426D6B">
        <w:rPr>
          <w:rFonts w:asciiTheme="minorHAnsi" w:hAnsiTheme="minorHAnsi" w:cstheme="minorHAnsi"/>
          <w:color w:val="000000"/>
          <w:sz w:val="20"/>
          <w:szCs w:val="20"/>
        </w:rPr>
        <w:t>dělení</w:t>
      </w:r>
      <w:r w:rsidR="00632AC5" w:rsidRPr="00426D6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>MPSV (údaje za ČSSZ)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b/>
          <w:color w:val="000000"/>
          <w:sz w:val="20"/>
          <w:szCs w:val="20"/>
        </w:rPr>
        <w:t>Pozn.:</w:t>
      </w:r>
      <w:r w:rsidRPr="00426D6B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>1) Starobní důchod přiznaný po dosažení důchodového věku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>2) Starobní důchod přiznaný invalidnímu důchodci po dosažení 65 let věku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>3) Do roku 2009 plné invalidní důchody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>4) Do roku 2009 částečné invalidní důchody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Nejsou zahrnuty důchody vyplácené do ciziny. 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>U vdovských, vdoveckých a sirotčích jen důchody vyplácené samostatně.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>Poměrný starobní = starobní důchody přiznané podle § 26 zák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ona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 xml:space="preserve"> č. 100/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19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>88 Sb. a podle § 29 písm. b) zák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ona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 xml:space="preserve"> č. 155/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19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>95 Sb. (krátká doba pojištění).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>Trvale krácený = až 3 roky před věkovou hranicí přiznaný starobní důchod podle § 31 zák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ona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 xml:space="preserve"> č. 155/1995 Sb.</w:t>
      </w:r>
    </w:p>
    <w:p w:rsidR="00161C47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>Dočasně krácený = až 2 roky před věkovou hranicí přiznaný starobní důchod podle § 30 zák</w:t>
      </w:r>
      <w:r w:rsidR="000F2639">
        <w:rPr>
          <w:rFonts w:asciiTheme="minorHAnsi" w:hAnsiTheme="minorHAnsi" w:cstheme="minorHAnsi"/>
          <w:color w:val="000000"/>
          <w:sz w:val="20"/>
          <w:szCs w:val="20"/>
        </w:rPr>
        <w:t>ona</w:t>
      </w:r>
      <w:r w:rsidRPr="00426D6B">
        <w:rPr>
          <w:rFonts w:asciiTheme="minorHAnsi" w:hAnsiTheme="minorHAnsi" w:cstheme="minorHAnsi"/>
          <w:color w:val="000000"/>
          <w:sz w:val="20"/>
          <w:szCs w:val="20"/>
        </w:rPr>
        <w:t xml:space="preserve"> č. 155/1995 Sb.</w:t>
      </w:r>
    </w:p>
    <w:p w:rsidR="00A0314E" w:rsidRPr="00426D6B" w:rsidRDefault="00161C47" w:rsidP="00161C47">
      <w:pPr>
        <w:ind w:firstLine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426D6B">
        <w:rPr>
          <w:rFonts w:asciiTheme="minorHAnsi" w:hAnsiTheme="minorHAnsi" w:cstheme="minorHAnsi"/>
          <w:color w:val="000000"/>
          <w:sz w:val="20"/>
          <w:szCs w:val="20"/>
        </w:rPr>
        <w:tab/>
        <w:t>Nekrácený = starobní důchod přiznaný po dosažení důchodového věku.</w:t>
      </w:r>
    </w:p>
    <w:sectPr w:rsidR="00A0314E" w:rsidRPr="00426D6B" w:rsidSect="00BE281E">
      <w:footerReference w:type="default" r:id="rId21"/>
      <w:headerReference w:type="first" r:id="rId22"/>
      <w:footerReference w:type="first" r:id="rId23"/>
      <w:pgSz w:w="16838" w:h="11906" w:orient="landscape" w:code="9"/>
      <w:pgMar w:top="1417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34" w:rsidRDefault="00123A34">
      <w:r>
        <w:separator/>
      </w:r>
    </w:p>
  </w:endnote>
  <w:endnote w:type="continuationSeparator" w:id="0">
    <w:p w:rsidR="00123A34" w:rsidRDefault="0012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696338"/>
      <w:docPartObj>
        <w:docPartGallery w:val="Page Numbers (Bottom of Page)"/>
        <w:docPartUnique/>
      </w:docPartObj>
    </w:sdtPr>
    <w:sdtEndPr/>
    <w:sdtContent>
      <w:p w:rsidR="00123A34" w:rsidRDefault="00123A34">
        <w:pPr>
          <w:pStyle w:val="Zpat"/>
          <w:jc w:val="center"/>
        </w:pPr>
        <w:r w:rsidRPr="00632AC5">
          <w:rPr>
            <w:rFonts w:asciiTheme="minorHAnsi" w:hAnsiTheme="minorHAnsi" w:cstheme="minorHAnsi"/>
            <w:sz w:val="24"/>
          </w:rPr>
          <w:fldChar w:fldCharType="begin"/>
        </w:r>
        <w:r w:rsidRPr="00632AC5">
          <w:rPr>
            <w:rFonts w:asciiTheme="minorHAnsi" w:hAnsiTheme="minorHAnsi" w:cstheme="minorHAnsi"/>
            <w:sz w:val="24"/>
          </w:rPr>
          <w:instrText>PAGE   \* MERGEFORMAT</w:instrText>
        </w:r>
        <w:r w:rsidRPr="00632AC5">
          <w:rPr>
            <w:rFonts w:asciiTheme="minorHAnsi" w:hAnsiTheme="minorHAnsi" w:cstheme="minorHAnsi"/>
            <w:sz w:val="24"/>
          </w:rPr>
          <w:fldChar w:fldCharType="separate"/>
        </w:r>
        <w:r w:rsidR="003928F5">
          <w:rPr>
            <w:rFonts w:asciiTheme="minorHAnsi" w:hAnsiTheme="minorHAnsi" w:cstheme="minorHAnsi"/>
            <w:noProof/>
            <w:sz w:val="24"/>
          </w:rPr>
          <w:t>10</w:t>
        </w:r>
        <w:r w:rsidRPr="00632AC5">
          <w:rPr>
            <w:rFonts w:asciiTheme="minorHAnsi" w:hAnsiTheme="minorHAnsi" w:cstheme="minorHAnsi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34" w:rsidRPr="00364666" w:rsidRDefault="00123A34" w:rsidP="00BE281E">
    <w:pPr>
      <w:pStyle w:val="Zpat"/>
      <w:ind w:firstLine="0"/>
      <w:rPr>
        <w:rFonts w:cs="Arial"/>
        <w:szCs w:val="22"/>
      </w:rPr>
    </w:pPr>
    <w:r w:rsidRPr="00364666">
      <w:tab/>
    </w:r>
  </w:p>
  <w:p w:rsidR="00123A34" w:rsidRDefault="00123A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34137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</w:rPr>
    </w:sdtEndPr>
    <w:sdtContent>
      <w:p w:rsidR="00123A34" w:rsidRPr="004E69DE" w:rsidRDefault="00123A34">
        <w:pPr>
          <w:pStyle w:val="Zpat"/>
          <w:jc w:val="center"/>
          <w:rPr>
            <w:rFonts w:ascii="Calibri" w:hAnsi="Calibri" w:cs="Calibri"/>
            <w:sz w:val="24"/>
          </w:rPr>
        </w:pPr>
        <w:r w:rsidRPr="004E69DE">
          <w:rPr>
            <w:rFonts w:ascii="Calibri" w:hAnsi="Calibri" w:cs="Calibri"/>
            <w:sz w:val="24"/>
          </w:rPr>
          <w:fldChar w:fldCharType="begin"/>
        </w:r>
        <w:r w:rsidRPr="004E69DE">
          <w:rPr>
            <w:rFonts w:ascii="Calibri" w:hAnsi="Calibri" w:cs="Calibri"/>
            <w:sz w:val="24"/>
          </w:rPr>
          <w:instrText>PAGE   \* MERGEFORMAT</w:instrText>
        </w:r>
        <w:r w:rsidRPr="004E69DE">
          <w:rPr>
            <w:rFonts w:ascii="Calibri" w:hAnsi="Calibri" w:cs="Calibri"/>
            <w:sz w:val="24"/>
          </w:rPr>
          <w:fldChar w:fldCharType="separate"/>
        </w:r>
        <w:r>
          <w:rPr>
            <w:rFonts w:ascii="Calibri" w:hAnsi="Calibri" w:cs="Calibri"/>
            <w:noProof/>
            <w:sz w:val="24"/>
          </w:rPr>
          <w:t>19</w:t>
        </w:r>
        <w:r w:rsidRPr="004E69DE">
          <w:rPr>
            <w:rFonts w:ascii="Calibri" w:hAnsi="Calibri" w:cs="Calibri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34" w:rsidRDefault="00123A3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34" w:rsidRDefault="00123A34">
      <w:r>
        <w:separator/>
      </w:r>
    </w:p>
  </w:footnote>
  <w:footnote w:type="continuationSeparator" w:id="0">
    <w:p w:rsidR="00123A34" w:rsidRDefault="00123A34">
      <w:r>
        <w:continuationSeparator/>
      </w:r>
    </w:p>
  </w:footnote>
  <w:footnote w:id="1">
    <w:p w:rsidR="00123A34" w:rsidRPr="008D0222" w:rsidRDefault="00123A34" w:rsidP="00BF47FC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U</w:t>
      </w:r>
      <w:r w:rsidRPr="005B318B">
        <w:rPr>
          <w:rFonts w:asciiTheme="minorHAnsi" w:hAnsiTheme="minorHAnsi" w:cstheme="minorHAnsi"/>
        </w:rPr>
        <w:t xml:space="preserve">snesení vlády ČR </w:t>
      </w:r>
      <w:r w:rsidRPr="008D0222">
        <w:rPr>
          <w:rFonts w:asciiTheme="minorHAnsi" w:hAnsiTheme="minorHAnsi" w:cstheme="minorHAnsi"/>
        </w:rPr>
        <w:t>ze dne 16. května 2012</w:t>
      </w:r>
      <w:r w:rsidRPr="005B318B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>č. 358</w:t>
      </w:r>
      <w:r>
        <w:rPr>
          <w:rFonts w:asciiTheme="minorHAnsi" w:hAnsiTheme="minorHAnsi" w:cstheme="minorHAnsi"/>
        </w:rPr>
        <w:t>.</w:t>
      </w:r>
    </w:p>
  </w:footnote>
  <w:footnote w:id="2">
    <w:p w:rsidR="00123A34" w:rsidRPr="008D0222" w:rsidRDefault="00123A34" w:rsidP="004E69DE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ab/>
        <w:t>Článek 30 zákona č. 23/1991 Sb., kterým se uvozuje Listina základních práv a svobod jako ústavní zákon Federálního shromáždění České a Slovenské Federativní Republiky.</w:t>
      </w:r>
    </w:p>
  </w:footnote>
  <w:footnote w:id="3">
    <w:p w:rsidR="00123A34" w:rsidRPr="008D0222" w:rsidRDefault="00123A34" w:rsidP="004E69DE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ab/>
        <w:t>Z hlediska financování existují dva základní způsoby, a to průběžný</w:t>
      </w:r>
      <w:r>
        <w:rPr>
          <w:rFonts w:asciiTheme="minorHAnsi" w:hAnsiTheme="minorHAnsi" w:cstheme="minorHAnsi"/>
        </w:rPr>
        <w:t>,</w:t>
      </w:r>
      <w:r w:rsidRPr="008D0222">
        <w:rPr>
          <w:rFonts w:asciiTheme="minorHAnsi" w:hAnsiTheme="minorHAnsi" w:cstheme="minorHAnsi"/>
        </w:rPr>
        <w:t xml:space="preserve"> anebo pomocí dříve vytvořených fondů. Financování může zajišťovat stát nebo soukromoprávní sféra anebo může být zvolena kombinace obou způsobů.</w:t>
      </w:r>
    </w:p>
  </w:footnote>
  <w:footnote w:id="4">
    <w:p w:rsidR="00123A34" w:rsidRPr="008D0222" w:rsidRDefault="00123A34" w:rsidP="004E69DE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ab/>
        <w:t>Zákon č. 155/1995 Sb., o důchodovém pojištění</w:t>
      </w:r>
      <w:r>
        <w:rPr>
          <w:rFonts w:asciiTheme="minorHAnsi" w:hAnsiTheme="minorHAnsi" w:cstheme="minorHAnsi"/>
        </w:rPr>
        <w:t>.</w:t>
      </w:r>
    </w:p>
  </w:footnote>
  <w:footnote w:id="5">
    <w:p w:rsidR="00123A34" w:rsidRPr="00A0314E" w:rsidRDefault="00123A34" w:rsidP="00A0314E">
      <w:pPr>
        <w:pStyle w:val="Textpoznpodarou"/>
        <w:ind w:left="284" w:hanging="284"/>
        <w:rPr>
          <w:rFonts w:ascii="Calibri" w:hAnsi="Calibri" w:cs="Calibri"/>
        </w:rPr>
      </w:pPr>
      <w:r w:rsidRPr="00A0314E">
        <w:rPr>
          <w:rStyle w:val="Znakapoznpodarou"/>
          <w:rFonts w:ascii="Calibri" w:hAnsi="Calibri" w:cs="Calibri"/>
        </w:rPr>
        <w:footnoteRef/>
      </w:r>
      <w:r w:rsidRPr="00A0314E">
        <w:rPr>
          <w:rFonts w:ascii="Calibri" w:hAnsi="Calibri" w:cs="Calibri"/>
        </w:rPr>
        <w:t xml:space="preserve"> </w:t>
      </w:r>
      <w:r w:rsidRPr="00A0314E">
        <w:rPr>
          <w:rFonts w:ascii="Calibri" w:hAnsi="Calibri" w:cs="Calibri"/>
        </w:rPr>
        <w:tab/>
        <w:t>Zákon č. 2/1969 Sb.,</w:t>
      </w:r>
      <w:r>
        <w:rPr>
          <w:rFonts w:ascii="Calibri" w:hAnsi="Calibri" w:cs="Calibri"/>
        </w:rPr>
        <w:t xml:space="preserve"> </w:t>
      </w:r>
      <w:r w:rsidRPr="00A0314E">
        <w:rPr>
          <w:rFonts w:ascii="Calibri" w:hAnsi="Calibri" w:cs="Calibri"/>
        </w:rPr>
        <w:t>o zřízení ministerstev a jiných ústředních orgánů státní správy České republiky</w:t>
      </w:r>
      <w:r>
        <w:rPr>
          <w:rFonts w:ascii="Calibri" w:hAnsi="Calibri" w:cs="Calibri"/>
        </w:rPr>
        <w:t>.</w:t>
      </w:r>
    </w:p>
  </w:footnote>
  <w:footnote w:id="6">
    <w:p w:rsidR="00123A34" w:rsidRPr="008D0222" w:rsidRDefault="00123A34" w:rsidP="004E69DE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Ustanovení </w:t>
      </w:r>
      <w:r w:rsidRPr="008D0222">
        <w:rPr>
          <w:rFonts w:asciiTheme="minorHAnsi" w:eastAsia="Calibri" w:hAnsiTheme="minorHAnsi" w:cstheme="minorHAnsi"/>
          <w:lang w:eastAsia="cs-CZ"/>
        </w:rPr>
        <w:t>§ 36 zákona</w:t>
      </w:r>
      <w:r>
        <w:rPr>
          <w:rFonts w:asciiTheme="minorHAnsi" w:eastAsia="Calibri" w:hAnsiTheme="minorHAnsi" w:cstheme="minorHAnsi"/>
          <w:lang w:eastAsia="cs-CZ"/>
        </w:rPr>
        <w:t xml:space="preserve"> č. 218/2000 Sb., </w:t>
      </w:r>
      <w:r w:rsidRPr="008D0222">
        <w:rPr>
          <w:rFonts w:asciiTheme="minorHAnsi" w:hAnsiTheme="minorHAnsi" w:cstheme="minorHAnsi"/>
        </w:rPr>
        <w:t>o rozpočtových pravidlech a o změně některých souvisejících zákonů (rozpočtová pravidla)</w:t>
      </w:r>
      <w:r>
        <w:rPr>
          <w:rFonts w:asciiTheme="minorHAnsi" w:hAnsiTheme="minorHAnsi" w:cstheme="minorHAnsi"/>
        </w:rPr>
        <w:t>.</w:t>
      </w:r>
    </w:p>
  </w:footnote>
  <w:footnote w:id="7">
    <w:p w:rsidR="00123A34" w:rsidRPr="008D0222" w:rsidRDefault="00123A34" w:rsidP="004E69DE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Některé údaje jsou ve smyslu zákona č. 153/1994 Sb., o zpravodajských službách České republiky, vykazovány zvláštním způsobem, a proto nebyly dostupné. </w:t>
      </w:r>
    </w:p>
  </w:footnote>
  <w:footnote w:id="8">
    <w:p w:rsidR="00123A34" w:rsidRPr="008D0222" w:rsidRDefault="00123A34" w:rsidP="008D0222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Z</w:t>
      </w:r>
      <w:r w:rsidRPr="005B318B">
        <w:rPr>
          <w:rFonts w:asciiTheme="minorHAnsi" w:hAnsiTheme="minorHAnsi" w:cstheme="minorHAnsi"/>
          <w:bCs/>
        </w:rPr>
        <w:t>ákon č. 589/1992 Sb</w:t>
      </w:r>
      <w:r>
        <w:rPr>
          <w:rFonts w:asciiTheme="minorHAnsi" w:hAnsiTheme="minorHAnsi" w:cstheme="minorHAnsi"/>
          <w:bCs/>
        </w:rPr>
        <w:t>., o</w:t>
      </w:r>
      <w:r w:rsidRPr="008D0222">
        <w:rPr>
          <w:rFonts w:asciiTheme="minorHAnsi" w:hAnsiTheme="minorHAnsi" w:cstheme="minorHAnsi"/>
          <w:bCs/>
        </w:rPr>
        <w:t xml:space="preserve"> pojistném na sociální zabezpečení a příspěvku na státní politiku zaměstnanosti</w:t>
      </w:r>
      <w:r>
        <w:rPr>
          <w:rFonts w:asciiTheme="minorHAnsi" w:hAnsiTheme="minorHAnsi" w:cstheme="minorHAnsi"/>
          <w:bCs/>
        </w:rPr>
        <w:t>.</w:t>
      </w:r>
    </w:p>
  </w:footnote>
  <w:footnote w:id="9">
    <w:p w:rsidR="00123A34" w:rsidRPr="008D0222" w:rsidRDefault="00123A34" w:rsidP="00254A5D">
      <w:pPr>
        <w:pStyle w:val="Textpoznpodarou"/>
        <w:ind w:left="284" w:hanging="284"/>
        <w:rPr>
          <w:rFonts w:asciiTheme="minorHAnsi" w:hAnsiTheme="minorHAnsi" w:cstheme="minorHAnsi"/>
        </w:rPr>
      </w:pPr>
      <w:r w:rsidRPr="00023FE5">
        <w:rPr>
          <w:rStyle w:val="Znakapoznpodarou"/>
          <w:rFonts w:asciiTheme="minorHAnsi" w:hAnsiTheme="minorHAnsi" w:cstheme="minorHAnsi"/>
        </w:rPr>
        <w:footnoteRef/>
      </w:r>
      <w:r w:rsidRPr="00023FE5">
        <w:rPr>
          <w:rFonts w:asciiTheme="minorHAnsi" w:hAnsiTheme="minorHAnsi" w:cstheme="minorHAnsi"/>
          <w:bCs/>
          <w:iCs/>
        </w:rPr>
        <w:t xml:space="preserve"> </w:t>
      </w:r>
      <w:r w:rsidRPr="00023FE5">
        <w:rPr>
          <w:rFonts w:asciiTheme="minorHAnsi" w:hAnsiTheme="minorHAnsi" w:cstheme="minorHAnsi"/>
          <w:bCs/>
          <w:iCs/>
        </w:rPr>
        <w:tab/>
        <w:t>Kontrolní akce NKÚ č. 10/19 a č. 11/26.</w:t>
      </w:r>
    </w:p>
  </w:footnote>
  <w:footnote w:id="10">
    <w:p w:rsidR="00123A34" w:rsidRPr="008D0222" w:rsidRDefault="00123A34" w:rsidP="008D0222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ab/>
        <w:t>Název „systém důchodového pojištění státu“ je v kontrolním závěru používán v souvislosti s výpočtem rozdílu příjmů a výdajů důchodového pojištění ve smyslu ustanovení § 36 odst. 3 zákona č. 218/2000 Sb. a</w:t>
      </w:r>
      <w:r>
        <w:rPr>
          <w:rFonts w:asciiTheme="minorHAnsi" w:hAnsiTheme="minorHAnsi" w:cstheme="minorHAnsi"/>
        </w:rPr>
        <w:t> </w:t>
      </w:r>
      <w:r w:rsidRPr="008D0222">
        <w:rPr>
          <w:rFonts w:asciiTheme="minorHAnsi" w:hAnsiTheme="minorHAnsi" w:cstheme="minorHAnsi"/>
        </w:rPr>
        <w:t>vyhlášky č.</w:t>
      </w:r>
      <w:r>
        <w:rPr>
          <w:rFonts w:asciiTheme="minorHAnsi" w:hAnsiTheme="minorHAnsi" w:cstheme="minorHAnsi"/>
        </w:rPr>
        <w:t> </w:t>
      </w:r>
      <w:r w:rsidRPr="008D0222">
        <w:rPr>
          <w:rFonts w:asciiTheme="minorHAnsi" w:hAnsiTheme="minorHAnsi" w:cstheme="minorHAnsi"/>
        </w:rPr>
        <w:t>76/2005 Sb.</w:t>
      </w:r>
    </w:p>
  </w:footnote>
  <w:footnote w:id="11">
    <w:p w:rsidR="00123A34" w:rsidRPr="008D0222" w:rsidRDefault="00123A34" w:rsidP="008D0222">
      <w:pPr>
        <w:pStyle w:val="Textpoznpodarou"/>
        <w:ind w:left="284" w:hanging="284"/>
        <w:rPr>
          <w:rFonts w:asciiTheme="minorHAnsi" w:hAnsiTheme="minorHAnsi" w:cstheme="minorHAnsi"/>
        </w:rPr>
      </w:pPr>
      <w:r w:rsidRPr="008D0222">
        <w:rPr>
          <w:rStyle w:val="Znakapoznpodarou"/>
          <w:rFonts w:asciiTheme="minorHAnsi" w:hAnsiTheme="minorHAnsi" w:cstheme="minorHAnsi"/>
        </w:rPr>
        <w:footnoteRef/>
      </w:r>
      <w:r w:rsidRPr="008D0222">
        <w:rPr>
          <w:rFonts w:asciiTheme="minorHAnsi" w:hAnsiTheme="minorHAnsi" w:cstheme="minorHAnsi"/>
        </w:rPr>
        <w:t xml:space="preserve"> </w:t>
      </w:r>
      <w:r w:rsidRPr="008D0222">
        <w:rPr>
          <w:rFonts w:asciiTheme="minorHAnsi" w:hAnsiTheme="minorHAnsi" w:cstheme="minorHAnsi"/>
        </w:rPr>
        <w:tab/>
        <w:t>Zákon č. 589/1992 Sb., o pojistném na sociální zabezpečení a příspěvku na státní politiku zaměstnanosti</w:t>
      </w:r>
      <w:r>
        <w:rPr>
          <w:rFonts w:asciiTheme="minorHAnsi" w:hAnsiTheme="minorHAnsi" w:cstheme="minorHAnsi"/>
        </w:rPr>
        <w:t>.</w:t>
      </w:r>
      <w:r w:rsidRPr="008D0222">
        <w:rPr>
          <w:rFonts w:asciiTheme="minorHAnsi" w:hAnsiTheme="minorHAnsi" w:cstheme="minorHAnsi"/>
        </w:rPr>
        <w:t xml:space="preserve"> </w:t>
      </w:r>
    </w:p>
  </w:footnote>
  <w:footnote w:id="12">
    <w:p w:rsidR="00123A34" w:rsidRPr="008D0222" w:rsidRDefault="00123A34" w:rsidP="00673463">
      <w:pPr>
        <w:pStyle w:val="Textpoznpodarou"/>
        <w:ind w:left="284" w:hanging="284"/>
        <w:rPr>
          <w:rFonts w:asciiTheme="minorHAnsi" w:hAnsiTheme="minorHAnsi" w:cstheme="minorHAnsi"/>
        </w:rPr>
      </w:pPr>
      <w:r w:rsidRPr="009D1BFC">
        <w:rPr>
          <w:rStyle w:val="Znakapoznpodarou"/>
          <w:rFonts w:asciiTheme="minorHAnsi" w:hAnsiTheme="minorHAnsi" w:cstheme="minorHAnsi"/>
        </w:rPr>
        <w:footnoteRef/>
      </w:r>
      <w:r w:rsidRPr="009D1BF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Kontrolní akce NKÚ </w:t>
      </w:r>
      <w:r w:rsidRPr="009D1BFC">
        <w:rPr>
          <w:rFonts w:asciiTheme="minorHAnsi" w:hAnsiTheme="minorHAnsi" w:cstheme="minorHAnsi"/>
          <w:bCs/>
          <w:iCs/>
        </w:rPr>
        <w:t>č. 09/30, 10/19 a 11/26.</w:t>
      </w:r>
    </w:p>
  </w:footnote>
  <w:footnote w:id="13">
    <w:p w:rsidR="00123A34" w:rsidRPr="001A3B0A" w:rsidRDefault="00123A34" w:rsidP="001A3B0A">
      <w:pPr>
        <w:pStyle w:val="Textpoznpodarou"/>
        <w:ind w:left="284" w:hanging="284"/>
        <w:rPr>
          <w:rFonts w:asciiTheme="minorHAnsi" w:hAnsiTheme="minorHAnsi" w:cstheme="minorHAnsi"/>
        </w:rPr>
      </w:pPr>
      <w:r w:rsidRPr="00C467E7">
        <w:rPr>
          <w:rStyle w:val="Znakapoznpodarou"/>
          <w:rFonts w:asciiTheme="minorHAnsi" w:hAnsiTheme="minorHAnsi" w:cstheme="minorHAnsi"/>
        </w:rPr>
        <w:footnoteRef/>
      </w:r>
      <w:r w:rsidRPr="00C467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A3B0A">
        <w:rPr>
          <w:rFonts w:asciiTheme="minorHAnsi" w:hAnsiTheme="minorHAnsi" w:cstheme="minorHAnsi"/>
        </w:rPr>
        <w:t xml:space="preserve">Ustanovení § 18 odst. 2 zákona č. 576/1990 Sb., </w:t>
      </w:r>
      <w:r w:rsidRPr="00D0073D">
        <w:rPr>
          <w:rFonts w:asciiTheme="minorHAnsi" w:hAnsiTheme="minorHAnsi" w:cstheme="minorHAnsi"/>
        </w:rPr>
        <w:t>o pravidlech hospodaření s rozpočtovými prostředky České republiky a obc</w:t>
      </w:r>
      <w:r w:rsidRPr="001A3B0A">
        <w:rPr>
          <w:rFonts w:asciiTheme="minorHAnsi" w:hAnsiTheme="minorHAnsi" w:cstheme="minorHAnsi"/>
        </w:rPr>
        <w:t>í v České republice (rozpočtová pravidla republiky); novelizace byla provedena zákonem č.</w:t>
      </w:r>
      <w:r>
        <w:rPr>
          <w:rFonts w:asciiTheme="minorHAnsi" w:hAnsiTheme="minorHAnsi" w:cstheme="minorHAnsi"/>
        </w:rPr>
        <w:t> </w:t>
      </w:r>
      <w:r w:rsidRPr="001A3B0A">
        <w:rPr>
          <w:rFonts w:asciiTheme="minorHAnsi" w:hAnsiTheme="minorHAnsi" w:cstheme="minorHAnsi"/>
        </w:rPr>
        <w:t>160/1995 Sb.</w:t>
      </w:r>
    </w:p>
  </w:footnote>
  <w:footnote w:id="14">
    <w:p w:rsidR="00123A34" w:rsidRPr="00A0314E" w:rsidRDefault="00123A34" w:rsidP="00A0314E">
      <w:pPr>
        <w:pStyle w:val="Textpoznpodarou"/>
        <w:ind w:left="284" w:hanging="284"/>
        <w:rPr>
          <w:rFonts w:asciiTheme="minorHAnsi" w:hAnsiTheme="minorHAnsi" w:cstheme="minorHAnsi"/>
        </w:rPr>
      </w:pPr>
      <w:r w:rsidRPr="00A0314E">
        <w:rPr>
          <w:rStyle w:val="Znakapoznpodarou"/>
          <w:rFonts w:asciiTheme="minorHAnsi" w:hAnsiTheme="minorHAnsi" w:cstheme="minorHAnsi"/>
        </w:rPr>
        <w:footnoteRef/>
      </w:r>
      <w:r w:rsidRPr="00A031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0314E">
        <w:rPr>
          <w:rFonts w:asciiTheme="minorHAnsi" w:hAnsiTheme="minorHAnsi" w:cstheme="minorHAnsi"/>
        </w:rPr>
        <w:t>Zákon č. 218/2000 Sb.</w:t>
      </w:r>
    </w:p>
  </w:footnote>
  <w:footnote w:id="15">
    <w:p w:rsidR="00123A34" w:rsidRDefault="00123A34" w:rsidP="00254A5D">
      <w:pPr>
        <w:ind w:left="284" w:hanging="284"/>
      </w:pPr>
      <w:r w:rsidRPr="00C467E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ab/>
      </w:r>
      <w:r w:rsidRPr="00C467E7">
        <w:rPr>
          <w:rFonts w:asciiTheme="minorHAnsi" w:hAnsiTheme="minorHAnsi" w:cstheme="minorHAnsi"/>
          <w:sz w:val="20"/>
          <w:szCs w:val="20"/>
        </w:rPr>
        <w:t xml:space="preserve">Tato problematika byla předmětem kontrolní akce NKÚ č. 11/09 – </w:t>
      </w:r>
      <w:r w:rsidRPr="00C467E7">
        <w:rPr>
          <w:rFonts w:asciiTheme="minorHAnsi" w:hAnsiTheme="minorHAnsi" w:cstheme="minorHAnsi"/>
          <w:i/>
          <w:sz w:val="20"/>
          <w:szCs w:val="20"/>
        </w:rPr>
        <w:t>Státní finanční aktiva, zejména prostředky soustředěné na jaderném účtu</w:t>
      </w:r>
      <w:r>
        <w:rPr>
          <w:rFonts w:asciiTheme="minorHAnsi" w:hAnsiTheme="minorHAnsi" w:cstheme="minorHAnsi"/>
          <w:sz w:val="20"/>
          <w:szCs w:val="20"/>
        </w:rPr>
        <w:t xml:space="preserve"> (kontrolní závěr byl publikován v částce 1/2012 </w:t>
      </w:r>
      <w:r w:rsidRPr="00F80CB2">
        <w:rPr>
          <w:rFonts w:asciiTheme="minorHAnsi" w:hAnsiTheme="minorHAnsi" w:cstheme="minorHAnsi"/>
          <w:i/>
          <w:sz w:val="20"/>
          <w:szCs w:val="20"/>
        </w:rPr>
        <w:t>Věstníku NKÚ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C467E7">
        <w:rPr>
          <w:rFonts w:asciiTheme="minorHAnsi" w:hAnsiTheme="minorHAnsi" w:cstheme="minorHAnsi"/>
          <w:sz w:val="20"/>
          <w:szCs w:val="20"/>
        </w:rPr>
        <w:t xml:space="preserve">. </w:t>
      </w:r>
    </w:p>
  </w:footnote>
  <w:footnote w:id="16">
    <w:p w:rsidR="00123A34" w:rsidRPr="00C467E7" w:rsidRDefault="00123A34" w:rsidP="00C467E7">
      <w:pPr>
        <w:pStyle w:val="Textpoznpodarou"/>
        <w:ind w:left="284" w:hanging="284"/>
        <w:rPr>
          <w:rFonts w:asciiTheme="minorHAnsi" w:hAnsiTheme="minorHAnsi" w:cstheme="minorHAnsi"/>
        </w:rPr>
      </w:pPr>
      <w:r w:rsidRPr="00C467E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C467E7">
        <w:rPr>
          <w:rFonts w:asciiTheme="minorHAnsi" w:hAnsiTheme="minorHAnsi" w:cstheme="minorHAnsi"/>
        </w:rPr>
        <w:t>Usnesení vlády ČR ze dne 25. srpna 2004 č. 797, o využití dividend z akcií, jejich</w:t>
      </w:r>
      <w:r>
        <w:rPr>
          <w:rFonts w:asciiTheme="minorHAnsi" w:hAnsiTheme="minorHAnsi" w:cstheme="minorHAnsi"/>
        </w:rPr>
        <w:t xml:space="preserve">ž </w:t>
      </w:r>
      <w:r w:rsidRPr="00C467E7">
        <w:rPr>
          <w:rFonts w:asciiTheme="minorHAnsi" w:hAnsiTheme="minorHAnsi" w:cstheme="minorHAnsi"/>
        </w:rPr>
        <w:t>nabyvatelem je MPSV, na řešení problémů spojených s důchodovou reformou</w:t>
      </w:r>
      <w:r>
        <w:rPr>
          <w:rFonts w:asciiTheme="minorHAnsi" w:hAnsiTheme="minorHAnsi" w:cstheme="minorHAnsi"/>
        </w:rPr>
        <w:t>.</w:t>
      </w:r>
    </w:p>
  </w:footnote>
  <w:footnote w:id="17">
    <w:p w:rsidR="00123A34" w:rsidRPr="00C467E7" w:rsidRDefault="00123A34" w:rsidP="00C467E7">
      <w:pPr>
        <w:pStyle w:val="Textpoznpodarou"/>
        <w:ind w:left="284" w:hanging="284"/>
        <w:rPr>
          <w:rFonts w:asciiTheme="minorHAnsi" w:hAnsiTheme="minorHAnsi" w:cstheme="minorHAnsi"/>
        </w:rPr>
      </w:pPr>
      <w:r w:rsidRPr="00C467E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C467E7">
        <w:rPr>
          <w:rFonts w:asciiTheme="minorHAnsi" w:hAnsiTheme="minorHAnsi" w:cstheme="minorHAnsi"/>
        </w:rPr>
        <w:t>Vyhláška č. 76/2005 Sb., o stanovení způsobu výpočtu rozdílu mezi příjmy pojistného na důchodové pojištění a výdaji na dávky důchodového pojištění</w:t>
      </w:r>
      <w:r>
        <w:rPr>
          <w:rFonts w:asciiTheme="minorHAnsi" w:hAnsiTheme="minorHAnsi" w:cstheme="minorHAnsi"/>
        </w:rPr>
        <w:t>.</w:t>
      </w:r>
      <w:r w:rsidRPr="00C467E7">
        <w:rPr>
          <w:rFonts w:asciiTheme="minorHAnsi" w:hAnsiTheme="minorHAnsi" w:cstheme="minorHAnsi"/>
        </w:rPr>
        <w:t xml:space="preserve"> </w:t>
      </w:r>
    </w:p>
  </w:footnote>
  <w:footnote w:id="18">
    <w:p w:rsidR="00123A34" w:rsidRPr="00161C47" w:rsidRDefault="00123A34" w:rsidP="002C6B9C">
      <w:pPr>
        <w:pStyle w:val="Textpoznpodarou"/>
        <w:ind w:left="284" w:hanging="284"/>
        <w:rPr>
          <w:rFonts w:asciiTheme="minorHAnsi" w:hAnsiTheme="minorHAnsi" w:cstheme="minorHAnsi"/>
        </w:rPr>
      </w:pPr>
      <w:r w:rsidRPr="00161C47">
        <w:rPr>
          <w:rStyle w:val="Znakapoznpodarou"/>
          <w:rFonts w:asciiTheme="minorHAnsi" w:hAnsiTheme="minorHAnsi" w:cstheme="minorHAnsi"/>
        </w:rPr>
        <w:footnoteRef/>
      </w:r>
      <w:r w:rsidRPr="00161C47">
        <w:rPr>
          <w:rFonts w:asciiTheme="minorHAnsi" w:hAnsiTheme="minorHAnsi" w:cstheme="minorHAnsi"/>
        </w:rPr>
        <w:t xml:space="preserve"> </w:t>
      </w:r>
      <w:r w:rsidRPr="00161C47">
        <w:rPr>
          <w:rFonts w:asciiTheme="minorHAnsi" w:hAnsiTheme="minorHAnsi" w:cstheme="minorHAnsi"/>
        </w:rPr>
        <w:tab/>
        <w:t>Usnesení vlád</w:t>
      </w:r>
      <w:r>
        <w:rPr>
          <w:rFonts w:asciiTheme="minorHAnsi" w:hAnsiTheme="minorHAnsi" w:cstheme="minorHAnsi"/>
        </w:rPr>
        <w:t>y</w:t>
      </w:r>
      <w:r w:rsidRPr="00161C47">
        <w:rPr>
          <w:rFonts w:asciiTheme="minorHAnsi" w:hAnsiTheme="minorHAnsi" w:cstheme="minorHAnsi"/>
        </w:rPr>
        <w:t xml:space="preserve"> ze dne 26. září 2012 č. 693 a usnesení vlády ze dne 18. prosince 2013 č. 1003</w:t>
      </w:r>
      <w:r>
        <w:rPr>
          <w:rFonts w:asciiTheme="minorHAnsi" w:hAnsiTheme="minorHAnsi" w:cstheme="minorHAnsi"/>
        </w:rPr>
        <w:t>.</w:t>
      </w:r>
      <w:r w:rsidRPr="00161C47">
        <w:rPr>
          <w:rFonts w:asciiTheme="minorHAnsi" w:hAnsiTheme="minorHAnsi" w:cstheme="minorHAnsi"/>
        </w:rPr>
        <w:t xml:space="preserve"> </w:t>
      </w:r>
    </w:p>
  </w:footnote>
  <w:footnote w:id="19">
    <w:p w:rsidR="00123A34" w:rsidRPr="00C467E7" w:rsidRDefault="00123A34" w:rsidP="00574487">
      <w:pPr>
        <w:pStyle w:val="Textpoznpodarou"/>
        <w:ind w:left="284" w:hanging="284"/>
        <w:jc w:val="left"/>
        <w:rPr>
          <w:rFonts w:asciiTheme="minorHAnsi" w:hAnsiTheme="minorHAnsi" w:cstheme="minorHAnsi"/>
        </w:rPr>
      </w:pPr>
      <w:r w:rsidRPr="00C467E7">
        <w:rPr>
          <w:rStyle w:val="Znakapoznpodarou"/>
          <w:rFonts w:asciiTheme="minorHAnsi" w:hAnsiTheme="minorHAnsi" w:cstheme="minorHAnsi"/>
        </w:rPr>
        <w:footnoteRef/>
      </w:r>
      <w:r w:rsidRPr="00C467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</w:t>
      </w:r>
      <w:r w:rsidRPr="005B318B">
        <w:rPr>
          <w:rFonts w:asciiTheme="minorHAnsi" w:hAnsiTheme="minorHAnsi" w:cstheme="minorHAnsi"/>
        </w:rPr>
        <w:t xml:space="preserve">snesení vlády ČR </w:t>
      </w:r>
      <w:r>
        <w:rPr>
          <w:rFonts w:asciiTheme="minorHAnsi" w:hAnsiTheme="minorHAnsi" w:cstheme="minorHAnsi"/>
          <w:szCs w:val="18"/>
          <w:lang w:eastAsia="cs-CZ"/>
        </w:rPr>
        <w:t>z </w:t>
      </w:r>
      <w:r w:rsidRPr="00C467E7">
        <w:rPr>
          <w:rFonts w:asciiTheme="minorHAnsi" w:hAnsiTheme="minorHAnsi" w:cstheme="minorHAnsi"/>
          <w:szCs w:val="18"/>
          <w:lang w:eastAsia="cs-CZ"/>
        </w:rPr>
        <w:t>6.</w:t>
      </w:r>
      <w:r>
        <w:rPr>
          <w:rFonts w:asciiTheme="minorHAnsi" w:hAnsiTheme="minorHAnsi" w:cstheme="minorHAnsi"/>
          <w:szCs w:val="18"/>
          <w:lang w:eastAsia="cs-CZ"/>
        </w:rPr>
        <w:t> </w:t>
      </w:r>
      <w:r w:rsidRPr="00C467E7">
        <w:rPr>
          <w:rFonts w:asciiTheme="minorHAnsi" w:hAnsiTheme="minorHAnsi" w:cstheme="minorHAnsi"/>
          <w:szCs w:val="18"/>
          <w:lang w:eastAsia="cs-CZ"/>
        </w:rPr>
        <w:t>května</w:t>
      </w:r>
      <w:r>
        <w:rPr>
          <w:rFonts w:asciiTheme="minorHAnsi" w:hAnsiTheme="minorHAnsi" w:cstheme="minorHAnsi"/>
          <w:szCs w:val="18"/>
          <w:lang w:eastAsia="cs-CZ"/>
        </w:rPr>
        <w:t xml:space="preserve"> </w:t>
      </w:r>
      <w:r w:rsidRPr="00C467E7">
        <w:rPr>
          <w:rFonts w:asciiTheme="minorHAnsi" w:hAnsiTheme="minorHAnsi" w:cstheme="minorHAnsi"/>
          <w:szCs w:val="18"/>
          <w:lang w:eastAsia="cs-CZ"/>
        </w:rPr>
        <w:t>2002 č. 477, usnesení vlády z 25. srpna 2004 č. 797 a usnesení vlády z 9.</w:t>
      </w:r>
      <w:r>
        <w:rPr>
          <w:rFonts w:asciiTheme="minorHAnsi" w:hAnsiTheme="minorHAnsi" w:cstheme="minorHAnsi"/>
          <w:szCs w:val="18"/>
          <w:lang w:eastAsia="cs-CZ"/>
        </w:rPr>
        <w:t> </w:t>
      </w:r>
      <w:r w:rsidRPr="00C467E7">
        <w:rPr>
          <w:rFonts w:asciiTheme="minorHAnsi" w:hAnsiTheme="minorHAnsi" w:cstheme="minorHAnsi"/>
          <w:szCs w:val="18"/>
          <w:lang w:eastAsia="cs-CZ"/>
        </w:rPr>
        <w:t>července 2008 č. 862</w:t>
      </w:r>
      <w:r>
        <w:rPr>
          <w:rFonts w:asciiTheme="minorHAnsi" w:hAnsiTheme="minorHAnsi" w:cstheme="minorHAnsi"/>
          <w:szCs w:val="18"/>
          <w:lang w:eastAsia="cs-CZ"/>
        </w:rPr>
        <w:t>.</w:t>
      </w:r>
    </w:p>
  </w:footnote>
  <w:footnote w:id="20">
    <w:p w:rsidR="00123A34" w:rsidRPr="00A0314E" w:rsidRDefault="00123A34" w:rsidP="00A0314E">
      <w:pPr>
        <w:pStyle w:val="Textpoznpodarou"/>
        <w:ind w:left="284" w:hanging="284"/>
        <w:rPr>
          <w:rFonts w:ascii="Calibri" w:hAnsi="Calibri" w:cs="Calibri"/>
        </w:rPr>
      </w:pPr>
      <w:r w:rsidRPr="00A0314E">
        <w:rPr>
          <w:rStyle w:val="Znakapoznpodarou"/>
          <w:rFonts w:ascii="Calibri" w:hAnsi="Calibri" w:cs="Calibri"/>
        </w:rPr>
        <w:footnoteRef/>
      </w:r>
      <w:r w:rsidRPr="00A031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0314E">
        <w:rPr>
          <w:rFonts w:ascii="Calibri" w:hAnsi="Calibri" w:cs="Calibri"/>
        </w:rPr>
        <w:t>Vyhláška č. 323/2002 Sb., o rozpočtové skladbě.</w:t>
      </w:r>
    </w:p>
  </w:footnote>
  <w:footnote w:id="21">
    <w:p w:rsidR="00123A34" w:rsidRPr="00F80CB2" w:rsidRDefault="00123A34" w:rsidP="00F80CB2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tab/>
      </w:r>
      <w:r w:rsidRPr="00F80CB2">
        <w:rPr>
          <w:rFonts w:asciiTheme="minorHAnsi" w:hAnsiTheme="minorHAnsi" w:cstheme="minorHAnsi"/>
          <w:i/>
        </w:rPr>
        <w:t>Zvláštní účet důchodového pojištění</w:t>
      </w:r>
      <w:r w:rsidRPr="00F80CB2">
        <w:rPr>
          <w:rFonts w:asciiTheme="minorHAnsi" w:hAnsiTheme="minorHAnsi" w:cstheme="minorHAnsi"/>
        </w:rPr>
        <w:t xml:space="preserve">, od 1. 3. 2008 </w:t>
      </w:r>
      <w:r w:rsidRPr="00930576">
        <w:rPr>
          <w:rFonts w:asciiTheme="minorHAnsi" w:hAnsiTheme="minorHAnsi" w:cstheme="minorHAnsi"/>
        </w:rPr>
        <w:t xml:space="preserve">byl </w:t>
      </w:r>
      <w:r w:rsidRPr="00113C23">
        <w:rPr>
          <w:rFonts w:asciiTheme="minorHAnsi" w:hAnsiTheme="minorHAnsi" w:cstheme="minorHAnsi"/>
        </w:rPr>
        <w:t xml:space="preserve">nahrazen </w:t>
      </w:r>
      <w:r w:rsidRPr="00F80CB2">
        <w:rPr>
          <w:rFonts w:asciiTheme="minorHAnsi" w:hAnsiTheme="minorHAnsi" w:cstheme="minorHAnsi"/>
          <w:i/>
          <w:color w:val="000000"/>
        </w:rPr>
        <w:t>Zvláštním účtem rezervy pro důchodovou reformu</w:t>
      </w:r>
      <w:r w:rsidRPr="00F80CB2">
        <w:rPr>
          <w:rFonts w:asciiTheme="minorHAnsi" w:hAnsiTheme="minorHAnsi" w:cstheme="minorHAnsi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34" w:rsidRDefault="00123A34" w:rsidP="00BE281E">
    <w:pPr>
      <w:pStyle w:val="Zhlav"/>
      <w:rPr>
        <w:rFonts w:cs="Arial"/>
        <w:szCs w:val="22"/>
        <w:lang w:val="de-DE"/>
      </w:rPr>
    </w:pPr>
  </w:p>
  <w:p w:rsidR="00123A34" w:rsidRDefault="00123A34" w:rsidP="00BE281E">
    <w:pPr>
      <w:pStyle w:val="Zhlav"/>
      <w:rPr>
        <w:rFonts w:cs="Arial"/>
        <w:szCs w:val="22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34" w:rsidRPr="002F2656" w:rsidRDefault="00123A34" w:rsidP="002F26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BD07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C3A92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C378C"/>
    <w:multiLevelType w:val="hybridMultilevel"/>
    <w:tmpl w:val="DA0A2A3A"/>
    <w:lvl w:ilvl="0" w:tplc="E8A0EF5A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E493441"/>
    <w:multiLevelType w:val="hybridMultilevel"/>
    <w:tmpl w:val="207EF7AE"/>
    <w:lvl w:ilvl="0" w:tplc="C2E0AFA0">
      <w:start w:val="2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28E93B45"/>
    <w:multiLevelType w:val="hybridMultilevel"/>
    <w:tmpl w:val="70480650"/>
    <w:lvl w:ilvl="0" w:tplc="7D00E40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745BF"/>
    <w:multiLevelType w:val="hybridMultilevel"/>
    <w:tmpl w:val="5A4C904C"/>
    <w:lvl w:ilvl="0" w:tplc="7D00E40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96832"/>
    <w:multiLevelType w:val="hybridMultilevel"/>
    <w:tmpl w:val="7414A8A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1396146"/>
    <w:multiLevelType w:val="hybridMultilevel"/>
    <w:tmpl w:val="A91AC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3B6C"/>
    <w:multiLevelType w:val="hybridMultilevel"/>
    <w:tmpl w:val="A1F820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66CB2"/>
    <w:multiLevelType w:val="multilevel"/>
    <w:tmpl w:val="652831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C465037"/>
    <w:multiLevelType w:val="hybridMultilevel"/>
    <w:tmpl w:val="CBA28DC8"/>
    <w:lvl w:ilvl="0" w:tplc="11E4CB5A">
      <w:start w:val="1"/>
      <w:numFmt w:val="upperRoman"/>
      <w:lvlText w:val="%1."/>
      <w:lvlJc w:val="left"/>
      <w:pPr>
        <w:ind w:left="197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39" w:hanging="360"/>
      </w:pPr>
    </w:lvl>
    <w:lvl w:ilvl="2" w:tplc="0405001B" w:tentative="1">
      <w:start w:val="1"/>
      <w:numFmt w:val="lowerRoman"/>
      <w:lvlText w:val="%3."/>
      <w:lvlJc w:val="right"/>
      <w:pPr>
        <w:ind w:left="3059" w:hanging="180"/>
      </w:pPr>
    </w:lvl>
    <w:lvl w:ilvl="3" w:tplc="0405000F" w:tentative="1">
      <w:start w:val="1"/>
      <w:numFmt w:val="decimal"/>
      <w:lvlText w:val="%4."/>
      <w:lvlJc w:val="left"/>
      <w:pPr>
        <w:ind w:left="3779" w:hanging="360"/>
      </w:pPr>
    </w:lvl>
    <w:lvl w:ilvl="4" w:tplc="04050019" w:tentative="1">
      <w:start w:val="1"/>
      <w:numFmt w:val="lowerLetter"/>
      <w:lvlText w:val="%5."/>
      <w:lvlJc w:val="left"/>
      <w:pPr>
        <w:ind w:left="4499" w:hanging="360"/>
      </w:pPr>
    </w:lvl>
    <w:lvl w:ilvl="5" w:tplc="0405001B" w:tentative="1">
      <w:start w:val="1"/>
      <w:numFmt w:val="lowerRoman"/>
      <w:lvlText w:val="%6."/>
      <w:lvlJc w:val="right"/>
      <w:pPr>
        <w:ind w:left="5219" w:hanging="180"/>
      </w:pPr>
    </w:lvl>
    <w:lvl w:ilvl="6" w:tplc="0405000F" w:tentative="1">
      <w:start w:val="1"/>
      <w:numFmt w:val="decimal"/>
      <w:lvlText w:val="%7."/>
      <w:lvlJc w:val="left"/>
      <w:pPr>
        <w:ind w:left="5939" w:hanging="360"/>
      </w:pPr>
    </w:lvl>
    <w:lvl w:ilvl="7" w:tplc="04050019" w:tentative="1">
      <w:start w:val="1"/>
      <w:numFmt w:val="lowerLetter"/>
      <w:lvlText w:val="%8."/>
      <w:lvlJc w:val="left"/>
      <w:pPr>
        <w:ind w:left="6659" w:hanging="360"/>
      </w:pPr>
    </w:lvl>
    <w:lvl w:ilvl="8" w:tplc="040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>
    <w:nsid w:val="4EF42BB7"/>
    <w:multiLevelType w:val="hybridMultilevel"/>
    <w:tmpl w:val="0100C4CA"/>
    <w:lvl w:ilvl="0" w:tplc="BACCC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73C6E"/>
    <w:multiLevelType w:val="hybridMultilevel"/>
    <w:tmpl w:val="F2868FA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256114"/>
    <w:multiLevelType w:val="hybridMultilevel"/>
    <w:tmpl w:val="5978AA8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D2948F9"/>
    <w:multiLevelType w:val="hybridMultilevel"/>
    <w:tmpl w:val="62920FCC"/>
    <w:lvl w:ilvl="0" w:tplc="040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60723FAD"/>
    <w:multiLevelType w:val="hybridMultilevel"/>
    <w:tmpl w:val="B94C2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8B56C">
      <w:start w:val="37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C2144"/>
    <w:multiLevelType w:val="multilevel"/>
    <w:tmpl w:val="DA069336"/>
    <w:lvl w:ilvl="0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6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7">
    <w:nsid w:val="67D93FB1"/>
    <w:multiLevelType w:val="hybridMultilevel"/>
    <w:tmpl w:val="5698587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70914BBF"/>
    <w:multiLevelType w:val="multilevel"/>
    <w:tmpl w:val="A502C17E"/>
    <w:lvl w:ilvl="0">
      <w:start w:val="1"/>
      <w:numFmt w:val="decimal"/>
      <w:pStyle w:val="Nadpis1"/>
      <w:lvlText w:val="%1."/>
      <w:lvlJc w:val="left"/>
      <w:pPr>
        <w:tabs>
          <w:tab w:val="num" w:pos="2417"/>
        </w:tabs>
        <w:ind w:left="2417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1574"/>
        </w:tabs>
        <w:ind w:left="1574" w:hanging="864"/>
      </w:pPr>
      <w:rPr>
        <w:rFonts w:hint="default"/>
        <w:i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4E1200B"/>
    <w:multiLevelType w:val="hybridMultilevel"/>
    <w:tmpl w:val="4078A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D3517"/>
    <w:multiLevelType w:val="hybridMultilevel"/>
    <w:tmpl w:val="33C6A6E4"/>
    <w:lvl w:ilvl="0" w:tplc="25B4C79E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7771A5"/>
    <w:multiLevelType w:val="hybridMultilevel"/>
    <w:tmpl w:val="F47C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0"/>
  </w:num>
  <w:num w:numId="5">
    <w:abstractNumId w:val="16"/>
  </w:num>
  <w:num w:numId="6">
    <w:abstractNumId w:val="14"/>
  </w:num>
  <w:num w:numId="7">
    <w:abstractNumId w:val="17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  <w:num w:numId="16">
    <w:abstractNumId w:val="8"/>
  </w:num>
  <w:num w:numId="17">
    <w:abstractNumId w:val="19"/>
  </w:num>
  <w:num w:numId="18">
    <w:abstractNumId w:val="18"/>
  </w:num>
  <w:num w:numId="19">
    <w:abstractNumId w:val="10"/>
  </w:num>
  <w:num w:numId="20">
    <w:abstractNumId w:val="5"/>
  </w:num>
  <w:num w:numId="21">
    <w:abstractNumId w:val="20"/>
  </w:num>
  <w:num w:numId="22">
    <w:abstractNumId w:val="21"/>
  </w:num>
  <w:num w:numId="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0E"/>
    <w:rsid w:val="00000848"/>
    <w:rsid w:val="00000AC6"/>
    <w:rsid w:val="00000F36"/>
    <w:rsid w:val="000011BB"/>
    <w:rsid w:val="00001F76"/>
    <w:rsid w:val="00002055"/>
    <w:rsid w:val="00003125"/>
    <w:rsid w:val="00003E25"/>
    <w:rsid w:val="000044CA"/>
    <w:rsid w:val="00004A8B"/>
    <w:rsid w:val="00004BFA"/>
    <w:rsid w:val="00005366"/>
    <w:rsid w:val="00005F34"/>
    <w:rsid w:val="000062EA"/>
    <w:rsid w:val="00006B9C"/>
    <w:rsid w:val="00006DFC"/>
    <w:rsid w:val="00006FDF"/>
    <w:rsid w:val="000071A7"/>
    <w:rsid w:val="00007D01"/>
    <w:rsid w:val="00007F12"/>
    <w:rsid w:val="000114F4"/>
    <w:rsid w:val="0001171B"/>
    <w:rsid w:val="00011886"/>
    <w:rsid w:val="00012AB8"/>
    <w:rsid w:val="00012B40"/>
    <w:rsid w:val="00012FEE"/>
    <w:rsid w:val="000147CE"/>
    <w:rsid w:val="0001486F"/>
    <w:rsid w:val="00015865"/>
    <w:rsid w:val="0001588F"/>
    <w:rsid w:val="00016195"/>
    <w:rsid w:val="000163AE"/>
    <w:rsid w:val="000172B0"/>
    <w:rsid w:val="00017CA1"/>
    <w:rsid w:val="00017E0A"/>
    <w:rsid w:val="00017FBB"/>
    <w:rsid w:val="0002012A"/>
    <w:rsid w:val="00021FDB"/>
    <w:rsid w:val="00023910"/>
    <w:rsid w:val="00023FE5"/>
    <w:rsid w:val="0002407A"/>
    <w:rsid w:val="00024642"/>
    <w:rsid w:val="0002485A"/>
    <w:rsid w:val="00024A1B"/>
    <w:rsid w:val="00025171"/>
    <w:rsid w:val="00025352"/>
    <w:rsid w:val="00025534"/>
    <w:rsid w:val="00025538"/>
    <w:rsid w:val="0002557C"/>
    <w:rsid w:val="0002590D"/>
    <w:rsid w:val="00025B69"/>
    <w:rsid w:val="00026402"/>
    <w:rsid w:val="00026CAD"/>
    <w:rsid w:val="00030810"/>
    <w:rsid w:val="00030840"/>
    <w:rsid w:val="000309F2"/>
    <w:rsid w:val="00030D4F"/>
    <w:rsid w:val="00030EB3"/>
    <w:rsid w:val="00031077"/>
    <w:rsid w:val="00031386"/>
    <w:rsid w:val="00031468"/>
    <w:rsid w:val="000330E1"/>
    <w:rsid w:val="000333F8"/>
    <w:rsid w:val="000334DB"/>
    <w:rsid w:val="00034188"/>
    <w:rsid w:val="00034271"/>
    <w:rsid w:val="00035D10"/>
    <w:rsid w:val="00035D9B"/>
    <w:rsid w:val="00036B11"/>
    <w:rsid w:val="00036F97"/>
    <w:rsid w:val="00040409"/>
    <w:rsid w:val="00040B79"/>
    <w:rsid w:val="00040FFE"/>
    <w:rsid w:val="000428B9"/>
    <w:rsid w:val="000428FF"/>
    <w:rsid w:val="00042F1C"/>
    <w:rsid w:val="000432BD"/>
    <w:rsid w:val="00043724"/>
    <w:rsid w:val="00043EBD"/>
    <w:rsid w:val="00043F0D"/>
    <w:rsid w:val="0004408F"/>
    <w:rsid w:val="000451FA"/>
    <w:rsid w:val="0004557A"/>
    <w:rsid w:val="000458E8"/>
    <w:rsid w:val="000460F9"/>
    <w:rsid w:val="00046A35"/>
    <w:rsid w:val="00047520"/>
    <w:rsid w:val="00047AD9"/>
    <w:rsid w:val="00047ADD"/>
    <w:rsid w:val="00047FBB"/>
    <w:rsid w:val="000501DB"/>
    <w:rsid w:val="0005033A"/>
    <w:rsid w:val="000503A2"/>
    <w:rsid w:val="0005089F"/>
    <w:rsid w:val="00051C3E"/>
    <w:rsid w:val="0005224E"/>
    <w:rsid w:val="00052A56"/>
    <w:rsid w:val="00052E48"/>
    <w:rsid w:val="000533C5"/>
    <w:rsid w:val="000536A0"/>
    <w:rsid w:val="00053945"/>
    <w:rsid w:val="00053A80"/>
    <w:rsid w:val="00053DCA"/>
    <w:rsid w:val="00054690"/>
    <w:rsid w:val="000547BA"/>
    <w:rsid w:val="00054D79"/>
    <w:rsid w:val="0005558A"/>
    <w:rsid w:val="00055BF1"/>
    <w:rsid w:val="00056E49"/>
    <w:rsid w:val="000602B0"/>
    <w:rsid w:val="00060903"/>
    <w:rsid w:val="00060918"/>
    <w:rsid w:val="0006105A"/>
    <w:rsid w:val="000611D8"/>
    <w:rsid w:val="00061529"/>
    <w:rsid w:val="00061D8A"/>
    <w:rsid w:val="00062BEE"/>
    <w:rsid w:val="00063048"/>
    <w:rsid w:val="00064336"/>
    <w:rsid w:val="000644A3"/>
    <w:rsid w:val="00064576"/>
    <w:rsid w:val="0006471F"/>
    <w:rsid w:val="000647F8"/>
    <w:rsid w:val="00065092"/>
    <w:rsid w:val="00065310"/>
    <w:rsid w:val="00065359"/>
    <w:rsid w:val="000658FF"/>
    <w:rsid w:val="00065E20"/>
    <w:rsid w:val="00065EE0"/>
    <w:rsid w:val="0006634D"/>
    <w:rsid w:val="000669E0"/>
    <w:rsid w:val="00066B07"/>
    <w:rsid w:val="0006722F"/>
    <w:rsid w:val="000676F9"/>
    <w:rsid w:val="00070284"/>
    <w:rsid w:val="000703E5"/>
    <w:rsid w:val="0007054D"/>
    <w:rsid w:val="00070D51"/>
    <w:rsid w:val="00070E28"/>
    <w:rsid w:val="000716F9"/>
    <w:rsid w:val="00071AF6"/>
    <w:rsid w:val="00071E2F"/>
    <w:rsid w:val="00071FDE"/>
    <w:rsid w:val="00072479"/>
    <w:rsid w:val="0007381F"/>
    <w:rsid w:val="00073903"/>
    <w:rsid w:val="000740C9"/>
    <w:rsid w:val="0007437F"/>
    <w:rsid w:val="00074F21"/>
    <w:rsid w:val="000755A1"/>
    <w:rsid w:val="00075CB7"/>
    <w:rsid w:val="000765C6"/>
    <w:rsid w:val="00077F37"/>
    <w:rsid w:val="0008157D"/>
    <w:rsid w:val="000819A0"/>
    <w:rsid w:val="00082100"/>
    <w:rsid w:val="00082B06"/>
    <w:rsid w:val="000832FA"/>
    <w:rsid w:val="00085DAC"/>
    <w:rsid w:val="000862E0"/>
    <w:rsid w:val="000868B5"/>
    <w:rsid w:val="00086B24"/>
    <w:rsid w:val="00086D36"/>
    <w:rsid w:val="00087D1C"/>
    <w:rsid w:val="00087DAE"/>
    <w:rsid w:val="00090342"/>
    <w:rsid w:val="000906F7"/>
    <w:rsid w:val="000916CF"/>
    <w:rsid w:val="00091C31"/>
    <w:rsid w:val="00093908"/>
    <w:rsid w:val="00093B2C"/>
    <w:rsid w:val="000945EC"/>
    <w:rsid w:val="0009478B"/>
    <w:rsid w:val="00094831"/>
    <w:rsid w:val="00094D4C"/>
    <w:rsid w:val="0009535C"/>
    <w:rsid w:val="00095943"/>
    <w:rsid w:val="00096260"/>
    <w:rsid w:val="00096C12"/>
    <w:rsid w:val="000975DE"/>
    <w:rsid w:val="000A01A8"/>
    <w:rsid w:val="000A05CA"/>
    <w:rsid w:val="000A096F"/>
    <w:rsid w:val="000A0E0D"/>
    <w:rsid w:val="000A3A1A"/>
    <w:rsid w:val="000A3B04"/>
    <w:rsid w:val="000A4289"/>
    <w:rsid w:val="000A6631"/>
    <w:rsid w:val="000A6736"/>
    <w:rsid w:val="000A67A2"/>
    <w:rsid w:val="000A6EA5"/>
    <w:rsid w:val="000A72B1"/>
    <w:rsid w:val="000A7C03"/>
    <w:rsid w:val="000B083D"/>
    <w:rsid w:val="000B0C61"/>
    <w:rsid w:val="000B0E4B"/>
    <w:rsid w:val="000B2076"/>
    <w:rsid w:val="000B29F9"/>
    <w:rsid w:val="000B2AA7"/>
    <w:rsid w:val="000B2E48"/>
    <w:rsid w:val="000B355F"/>
    <w:rsid w:val="000B4802"/>
    <w:rsid w:val="000B4925"/>
    <w:rsid w:val="000B49D6"/>
    <w:rsid w:val="000B4A76"/>
    <w:rsid w:val="000B5AC8"/>
    <w:rsid w:val="000B5E69"/>
    <w:rsid w:val="000B652B"/>
    <w:rsid w:val="000B674B"/>
    <w:rsid w:val="000B68EC"/>
    <w:rsid w:val="000B6CE3"/>
    <w:rsid w:val="000C0F66"/>
    <w:rsid w:val="000C10A6"/>
    <w:rsid w:val="000C15C9"/>
    <w:rsid w:val="000C1C10"/>
    <w:rsid w:val="000C1FDA"/>
    <w:rsid w:val="000C27B9"/>
    <w:rsid w:val="000C2DDF"/>
    <w:rsid w:val="000C30EE"/>
    <w:rsid w:val="000C3134"/>
    <w:rsid w:val="000C3B81"/>
    <w:rsid w:val="000C42A5"/>
    <w:rsid w:val="000C4547"/>
    <w:rsid w:val="000C4E07"/>
    <w:rsid w:val="000C50DF"/>
    <w:rsid w:val="000C598F"/>
    <w:rsid w:val="000C654A"/>
    <w:rsid w:val="000C6CE1"/>
    <w:rsid w:val="000C78A0"/>
    <w:rsid w:val="000D02F8"/>
    <w:rsid w:val="000D056C"/>
    <w:rsid w:val="000D058B"/>
    <w:rsid w:val="000D1DE5"/>
    <w:rsid w:val="000D23B7"/>
    <w:rsid w:val="000D319F"/>
    <w:rsid w:val="000D3E78"/>
    <w:rsid w:val="000D44CE"/>
    <w:rsid w:val="000D4B28"/>
    <w:rsid w:val="000D50BD"/>
    <w:rsid w:val="000D51AD"/>
    <w:rsid w:val="000D53F4"/>
    <w:rsid w:val="000D66D8"/>
    <w:rsid w:val="000D69A6"/>
    <w:rsid w:val="000D6C36"/>
    <w:rsid w:val="000D76AD"/>
    <w:rsid w:val="000D7D64"/>
    <w:rsid w:val="000D7E53"/>
    <w:rsid w:val="000E0816"/>
    <w:rsid w:val="000E0956"/>
    <w:rsid w:val="000E0972"/>
    <w:rsid w:val="000E09D8"/>
    <w:rsid w:val="000E0CCE"/>
    <w:rsid w:val="000E15B2"/>
    <w:rsid w:val="000E181A"/>
    <w:rsid w:val="000E1BB5"/>
    <w:rsid w:val="000E2896"/>
    <w:rsid w:val="000E38F9"/>
    <w:rsid w:val="000E4AB1"/>
    <w:rsid w:val="000E5574"/>
    <w:rsid w:val="000E5E7D"/>
    <w:rsid w:val="000E7276"/>
    <w:rsid w:val="000E7AEB"/>
    <w:rsid w:val="000E7FA4"/>
    <w:rsid w:val="000F033E"/>
    <w:rsid w:val="000F18A6"/>
    <w:rsid w:val="000F2101"/>
    <w:rsid w:val="000F2639"/>
    <w:rsid w:val="000F2EA5"/>
    <w:rsid w:val="000F2EC0"/>
    <w:rsid w:val="000F3664"/>
    <w:rsid w:val="000F3707"/>
    <w:rsid w:val="000F397B"/>
    <w:rsid w:val="000F3B7F"/>
    <w:rsid w:val="000F412C"/>
    <w:rsid w:val="000F4D0B"/>
    <w:rsid w:val="000F5EC6"/>
    <w:rsid w:val="000F6227"/>
    <w:rsid w:val="000F7390"/>
    <w:rsid w:val="000F7689"/>
    <w:rsid w:val="000F7DB3"/>
    <w:rsid w:val="000F7EA7"/>
    <w:rsid w:val="0010041F"/>
    <w:rsid w:val="00100455"/>
    <w:rsid w:val="00100B2D"/>
    <w:rsid w:val="0010185E"/>
    <w:rsid w:val="00101F81"/>
    <w:rsid w:val="00102A31"/>
    <w:rsid w:val="00102A96"/>
    <w:rsid w:val="00102FA6"/>
    <w:rsid w:val="00103E68"/>
    <w:rsid w:val="00103FEB"/>
    <w:rsid w:val="00104942"/>
    <w:rsid w:val="00104BA0"/>
    <w:rsid w:val="00104C96"/>
    <w:rsid w:val="00104FD7"/>
    <w:rsid w:val="0010503D"/>
    <w:rsid w:val="0010529C"/>
    <w:rsid w:val="00105ADB"/>
    <w:rsid w:val="00106DFD"/>
    <w:rsid w:val="00107733"/>
    <w:rsid w:val="0010795F"/>
    <w:rsid w:val="00107B32"/>
    <w:rsid w:val="00107F58"/>
    <w:rsid w:val="00107F8D"/>
    <w:rsid w:val="00110EAD"/>
    <w:rsid w:val="00111498"/>
    <w:rsid w:val="00111717"/>
    <w:rsid w:val="001122AE"/>
    <w:rsid w:val="001123CD"/>
    <w:rsid w:val="00112D14"/>
    <w:rsid w:val="00113A8D"/>
    <w:rsid w:val="00114388"/>
    <w:rsid w:val="001157C9"/>
    <w:rsid w:val="00115989"/>
    <w:rsid w:val="001159AD"/>
    <w:rsid w:val="00116031"/>
    <w:rsid w:val="00116112"/>
    <w:rsid w:val="0011620A"/>
    <w:rsid w:val="00116413"/>
    <w:rsid w:val="00116EA1"/>
    <w:rsid w:val="0011724E"/>
    <w:rsid w:val="00117269"/>
    <w:rsid w:val="001173C7"/>
    <w:rsid w:val="00117535"/>
    <w:rsid w:val="00120A07"/>
    <w:rsid w:val="00120B4B"/>
    <w:rsid w:val="00120BC3"/>
    <w:rsid w:val="00120CF0"/>
    <w:rsid w:val="00121825"/>
    <w:rsid w:val="00122581"/>
    <w:rsid w:val="00122ACC"/>
    <w:rsid w:val="0012318C"/>
    <w:rsid w:val="00123276"/>
    <w:rsid w:val="0012380B"/>
    <w:rsid w:val="00123A34"/>
    <w:rsid w:val="00123D6E"/>
    <w:rsid w:val="00123F6F"/>
    <w:rsid w:val="00124404"/>
    <w:rsid w:val="00124420"/>
    <w:rsid w:val="00124468"/>
    <w:rsid w:val="00124DC1"/>
    <w:rsid w:val="001252A0"/>
    <w:rsid w:val="00125528"/>
    <w:rsid w:val="00125C42"/>
    <w:rsid w:val="00126014"/>
    <w:rsid w:val="001271D0"/>
    <w:rsid w:val="00127BDC"/>
    <w:rsid w:val="0013037E"/>
    <w:rsid w:val="00130591"/>
    <w:rsid w:val="0013084E"/>
    <w:rsid w:val="00131226"/>
    <w:rsid w:val="00131853"/>
    <w:rsid w:val="00131D36"/>
    <w:rsid w:val="0013243D"/>
    <w:rsid w:val="0013245B"/>
    <w:rsid w:val="0013263D"/>
    <w:rsid w:val="00132728"/>
    <w:rsid w:val="00132EA9"/>
    <w:rsid w:val="0013302A"/>
    <w:rsid w:val="001333F7"/>
    <w:rsid w:val="00133511"/>
    <w:rsid w:val="00133C95"/>
    <w:rsid w:val="00134D66"/>
    <w:rsid w:val="00134DA5"/>
    <w:rsid w:val="00135172"/>
    <w:rsid w:val="00135776"/>
    <w:rsid w:val="0013689C"/>
    <w:rsid w:val="00137113"/>
    <w:rsid w:val="0013720C"/>
    <w:rsid w:val="00137A5E"/>
    <w:rsid w:val="00140EE2"/>
    <w:rsid w:val="00141C95"/>
    <w:rsid w:val="001420C9"/>
    <w:rsid w:val="00142EF9"/>
    <w:rsid w:val="001439C0"/>
    <w:rsid w:val="00143B45"/>
    <w:rsid w:val="00143C34"/>
    <w:rsid w:val="0014464B"/>
    <w:rsid w:val="00144B6C"/>
    <w:rsid w:val="00144F0D"/>
    <w:rsid w:val="00145B15"/>
    <w:rsid w:val="00146525"/>
    <w:rsid w:val="001466EB"/>
    <w:rsid w:val="001469DA"/>
    <w:rsid w:val="0014714A"/>
    <w:rsid w:val="00147406"/>
    <w:rsid w:val="001478D6"/>
    <w:rsid w:val="00147BD0"/>
    <w:rsid w:val="00150342"/>
    <w:rsid w:val="001503E4"/>
    <w:rsid w:val="00151F39"/>
    <w:rsid w:val="00152049"/>
    <w:rsid w:val="0015227F"/>
    <w:rsid w:val="00152BA4"/>
    <w:rsid w:val="00152E20"/>
    <w:rsid w:val="00153206"/>
    <w:rsid w:val="00153C1A"/>
    <w:rsid w:val="00154638"/>
    <w:rsid w:val="0015489B"/>
    <w:rsid w:val="0015491A"/>
    <w:rsid w:val="00154C29"/>
    <w:rsid w:val="00155131"/>
    <w:rsid w:val="00156264"/>
    <w:rsid w:val="001569A4"/>
    <w:rsid w:val="00157A09"/>
    <w:rsid w:val="00157AA4"/>
    <w:rsid w:val="00157B2B"/>
    <w:rsid w:val="00157B50"/>
    <w:rsid w:val="001617C3"/>
    <w:rsid w:val="00161C47"/>
    <w:rsid w:val="001623B5"/>
    <w:rsid w:val="00162554"/>
    <w:rsid w:val="001628AA"/>
    <w:rsid w:val="00162921"/>
    <w:rsid w:val="00162BE5"/>
    <w:rsid w:val="00162FFC"/>
    <w:rsid w:val="0016329B"/>
    <w:rsid w:val="001632CB"/>
    <w:rsid w:val="0016377F"/>
    <w:rsid w:val="00163A2A"/>
    <w:rsid w:val="00163AAD"/>
    <w:rsid w:val="001646DB"/>
    <w:rsid w:val="00164850"/>
    <w:rsid w:val="00164B24"/>
    <w:rsid w:val="00164D44"/>
    <w:rsid w:val="00165757"/>
    <w:rsid w:val="00166684"/>
    <w:rsid w:val="00166D6C"/>
    <w:rsid w:val="001676DD"/>
    <w:rsid w:val="00167955"/>
    <w:rsid w:val="00167A97"/>
    <w:rsid w:val="00167E59"/>
    <w:rsid w:val="00170660"/>
    <w:rsid w:val="00170E58"/>
    <w:rsid w:val="001725DD"/>
    <w:rsid w:val="0017280A"/>
    <w:rsid w:val="0017288F"/>
    <w:rsid w:val="00172B9F"/>
    <w:rsid w:val="00172F3E"/>
    <w:rsid w:val="0017319A"/>
    <w:rsid w:val="0017337C"/>
    <w:rsid w:val="001746BA"/>
    <w:rsid w:val="00174E2F"/>
    <w:rsid w:val="001753BA"/>
    <w:rsid w:val="00175D92"/>
    <w:rsid w:val="00175DE1"/>
    <w:rsid w:val="0017662F"/>
    <w:rsid w:val="00176E4C"/>
    <w:rsid w:val="0018004D"/>
    <w:rsid w:val="0018078C"/>
    <w:rsid w:val="00180CEC"/>
    <w:rsid w:val="00180ED6"/>
    <w:rsid w:val="001810CB"/>
    <w:rsid w:val="001811F6"/>
    <w:rsid w:val="00181A62"/>
    <w:rsid w:val="00181CBB"/>
    <w:rsid w:val="0018252B"/>
    <w:rsid w:val="00182635"/>
    <w:rsid w:val="00184605"/>
    <w:rsid w:val="0018471F"/>
    <w:rsid w:val="00184CD8"/>
    <w:rsid w:val="001865AE"/>
    <w:rsid w:val="001867E2"/>
    <w:rsid w:val="00186F97"/>
    <w:rsid w:val="0018705B"/>
    <w:rsid w:val="00187FC0"/>
    <w:rsid w:val="00190C26"/>
    <w:rsid w:val="00192333"/>
    <w:rsid w:val="001925BD"/>
    <w:rsid w:val="00192665"/>
    <w:rsid w:val="00192959"/>
    <w:rsid w:val="001929EF"/>
    <w:rsid w:val="00192FF4"/>
    <w:rsid w:val="001938DE"/>
    <w:rsid w:val="00193E13"/>
    <w:rsid w:val="00194A7D"/>
    <w:rsid w:val="00194B18"/>
    <w:rsid w:val="00195215"/>
    <w:rsid w:val="0019539A"/>
    <w:rsid w:val="0019594B"/>
    <w:rsid w:val="00195C5C"/>
    <w:rsid w:val="00196B81"/>
    <w:rsid w:val="00196F0D"/>
    <w:rsid w:val="001A00C8"/>
    <w:rsid w:val="001A0959"/>
    <w:rsid w:val="001A1086"/>
    <w:rsid w:val="001A22D1"/>
    <w:rsid w:val="001A26B8"/>
    <w:rsid w:val="001A310A"/>
    <w:rsid w:val="001A325D"/>
    <w:rsid w:val="001A3723"/>
    <w:rsid w:val="001A3B0A"/>
    <w:rsid w:val="001A46C9"/>
    <w:rsid w:val="001A4D86"/>
    <w:rsid w:val="001A5014"/>
    <w:rsid w:val="001A675E"/>
    <w:rsid w:val="001A77E3"/>
    <w:rsid w:val="001B1012"/>
    <w:rsid w:val="001B1603"/>
    <w:rsid w:val="001B174D"/>
    <w:rsid w:val="001B1C71"/>
    <w:rsid w:val="001B272F"/>
    <w:rsid w:val="001B28AE"/>
    <w:rsid w:val="001B2D5B"/>
    <w:rsid w:val="001B2F27"/>
    <w:rsid w:val="001B3717"/>
    <w:rsid w:val="001B376E"/>
    <w:rsid w:val="001B3A11"/>
    <w:rsid w:val="001B3D07"/>
    <w:rsid w:val="001B3E7A"/>
    <w:rsid w:val="001B4654"/>
    <w:rsid w:val="001B49AF"/>
    <w:rsid w:val="001B4DD4"/>
    <w:rsid w:val="001B4F83"/>
    <w:rsid w:val="001B5345"/>
    <w:rsid w:val="001B535E"/>
    <w:rsid w:val="001B586E"/>
    <w:rsid w:val="001B7509"/>
    <w:rsid w:val="001B7FA7"/>
    <w:rsid w:val="001B7FCA"/>
    <w:rsid w:val="001B7FCD"/>
    <w:rsid w:val="001C0A4C"/>
    <w:rsid w:val="001C183B"/>
    <w:rsid w:val="001C36E7"/>
    <w:rsid w:val="001C4866"/>
    <w:rsid w:val="001C4960"/>
    <w:rsid w:val="001C4B13"/>
    <w:rsid w:val="001C4E88"/>
    <w:rsid w:val="001C6A2E"/>
    <w:rsid w:val="001C6ECC"/>
    <w:rsid w:val="001C7013"/>
    <w:rsid w:val="001C705A"/>
    <w:rsid w:val="001C7EA7"/>
    <w:rsid w:val="001C7F52"/>
    <w:rsid w:val="001D08B8"/>
    <w:rsid w:val="001D1BA7"/>
    <w:rsid w:val="001D1DC4"/>
    <w:rsid w:val="001D2A87"/>
    <w:rsid w:val="001D3112"/>
    <w:rsid w:val="001D3553"/>
    <w:rsid w:val="001D3868"/>
    <w:rsid w:val="001D42FA"/>
    <w:rsid w:val="001D46DE"/>
    <w:rsid w:val="001D4EF6"/>
    <w:rsid w:val="001D51AD"/>
    <w:rsid w:val="001D56D4"/>
    <w:rsid w:val="001D5E40"/>
    <w:rsid w:val="001D60F4"/>
    <w:rsid w:val="001D62C6"/>
    <w:rsid w:val="001D69C2"/>
    <w:rsid w:val="001D6B5B"/>
    <w:rsid w:val="001D6C5C"/>
    <w:rsid w:val="001D7211"/>
    <w:rsid w:val="001D78C7"/>
    <w:rsid w:val="001D7968"/>
    <w:rsid w:val="001D7F01"/>
    <w:rsid w:val="001E0CAD"/>
    <w:rsid w:val="001E17EE"/>
    <w:rsid w:val="001E187F"/>
    <w:rsid w:val="001E1E67"/>
    <w:rsid w:val="001E1ECF"/>
    <w:rsid w:val="001E2392"/>
    <w:rsid w:val="001E2F4C"/>
    <w:rsid w:val="001E36CF"/>
    <w:rsid w:val="001E3877"/>
    <w:rsid w:val="001E4512"/>
    <w:rsid w:val="001E4CFE"/>
    <w:rsid w:val="001E5875"/>
    <w:rsid w:val="001E6D86"/>
    <w:rsid w:val="001E718C"/>
    <w:rsid w:val="001E789A"/>
    <w:rsid w:val="001E7961"/>
    <w:rsid w:val="001F0A03"/>
    <w:rsid w:val="001F0DC5"/>
    <w:rsid w:val="001F121D"/>
    <w:rsid w:val="001F15BB"/>
    <w:rsid w:val="001F1B81"/>
    <w:rsid w:val="001F27C0"/>
    <w:rsid w:val="001F307B"/>
    <w:rsid w:val="001F3327"/>
    <w:rsid w:val="001F40C8"/>
    <w:rsid w:val="001F4C26"/>
    <w:rsid w:val="001F4E2F"/>
    <w:rsid w:val="001F4E33"/>
    <w:rsid w:val="001F518B"/>
    <w:rsid w:val="001F5837"/>
    <w:rsid w:val="001F5BC4"/>
    <w:rsid w:val="001F666C"/>
    <w:rsid w:val="001F6E9E"/>
    <w:rsid w:val="001F7B49"/>
    <w:rsid w:val="00200951"/>
    <w:rsid w:val="00200BCF"/>
    <w:rsid w:val="00201021"/>
    <w:rsid w:val="002013F3"/>
    <w:rsid w:val="00202197"/>
    <w:rsid w:val="00203A6F"/>
    <w:rsid w:val="00203B1D"/>
    <w:rsid w:val="00205107"/>
    <w:rsid w:val="00206151"/>
    <w:rsid w:val="002063FB"/>
    <w:rsid w:val="0020649E"/>
    <w:rsid w:val="00206787"/>
    <w:rsid w:val="0020732D"/>
    <w:rsid w:val="00207BF6"/>
    <w:rsid w:val="002104F5"/>
    <w:rsid w:val="00211884"/>
    <w:rsid w:val="00211BF8"/>
    <w:rsid w:val="00212A34"/>
    <w:rsid w:val="00212B9C"/>
    <w:rsid w:val="002137D2"/>
    <w:rsid w:val="002139DD"/>
    <w:rsid w:val="00213BF6"/>
    <w:rsid w:val="00214BC4"/>
    <w:rsid w:val="002155EC"/>
    <w:rsid w:val="00216405"/>
    <w:rsid w:val="0021692F"/>
    <w:rsid w:val="00216ACC"/>
    <w:rsid w:val="002173F5"/>
    <w:rsid w:val="00217466"/>
    <w:rsid w:val="00217786"/>
    <w:rsid w:val="00220523"/>
    <w:rsid w:val="002207CD"/>
    <w:rsid w:val="0022087A"/>
    <w:rsid w:val="00220D45"/>
    <w:rsid w:val="00220E57"/>
    <w:rsid w:val="0022133C"/>
    <w:rsid w:val="002221B1"/>
    <w:rsid w:val="00222752"/>
    <w:rsid w:val="0022347D"/>
    <w:rsid w:val="00223E88"/>
    <w:rsid w:val="00224215"/>
    <w:rsid w:val="00224637"/>
    <w:rsid w:val="00224CDC"/>
    <w:rsid w:val="00224E83"/>
    <w:rsid w:val="00224F08"/>
    <w:rsid w:val="00224FCD"/>
    <w:rsid w:val="00225E84"/>
    <w:rsid w:val="00225FEB"/>
    <w:rsid w:val="0022668C"/>
    <w:rsid w:val="002269BF"/>
    <w:rsid w:val="00227268"/>
    <w:rsid w:val="002273E5"/>
    <w:rsid w:val="002303F4"/>
    <w:rsid w:val="00230859"/>
    <w:rsid w:val="00231793"/>
    <w:rsid w:val="00232674"/>
    <w:rsid w:val="00233357"/>
    <w:rsid w:val="00234725"/>
    <w:rsid w:val="00235596"/>
    <w:rsid w:val="0023636A"/>
    <w:rsid w:val="002364BD"/>
    <w:rsid w:val="0023661A"/>
    <w:rsid w:val="00236CA0"/>
    <w:rsid w:val="0023754B"/>
    <w:rsid w:val="00237808"/>
    <w:rsid w:val="002378B5"/>
    <w:rsid w:val="002379E3"/>
    <w:rsid w:val="00237B3F"/>
    <w:rsid w:val="0024014E"/>
    <w:rsid w:val="002401D5"/>
    <w:rsid w:val="002402D6"/>
    <w:rsid w:val="00240910"/>
    <w:rsid w:val="00240A13"/>
    <w:rsid w:val="00240E82"/>
    <w:rsid w:val="002413C4"/>
    <w:rsid w:val="00241AB5"/>
    <w:rsid w:val="00241CA7"/>
    <w:rsid w:val="00241D1F"/>
    <w:rsid w:val="00241FF5"/>
    <w:rsid w:val="0024202A"/>
    <w:rsid w:val="002426A5"/>
    <w:rsid w:val="002432AC"/>
    <w:rsid w:val="00243EFA"/>
    <w:rsid w:val="00244EB9"/>
    <w:rsid w:val="002450BF"/>
    <w:rsid w:val="002455E3"/>
    <w:rsid w:val="0024587B"/>
    <w:rsid w:val="0024682D"/>
    <w:rsid w:val="00246A12"/>
    <w:rsid w:val="00246F26"/>
    <w:rsid w:val="00247519"/>
    <w:rsid w:val="0025161F"/>
    <w:rsid w:val="0025162D"/>
    <w:rsid w:val="00252F73"/>
    <w:rsid w:val="002537D4"/>
    <w:rsid w:val="0025410C"/>
    <w:rsid w:val="0025448F"/>
    <w:rsid w:val="00254A5D"/>
    <w:rsid w:val="002553B0"/>
    <w:rsid w:val="0025552C"/>
    <w:rsid w:val="002559E4"/>
    <w:rsid w:val="002561ED"/>
    <w:rsid w:val="00256257"/>
    <w:rsid w:val="002563D9"/>
    <w:rsid w:val="00256A85"/>
    <w:rsid w:val="00256CD2"/>
    <w:rsid w:val="00260D52"/>
    <w:rsid w:val="00262487"/>
    <w:rsid w:val="00263DDC"/>
    <w:rsid w:val="00264417"/>
    <w:rsid w:val="00264798"/>
    <w:rsid w:val="00265AFC"/>
    <w:rsid w:val="00266096"/>
    <w:rsid w:val="00266C8E"/>
    <w:rsid w:val="00267872"/>
    <w:rsid w:val="002701DA"/>
    <w:rsid w:val="00270439"/>
    <w:rsid w:val="00271003"/>
    <w:rsid w:val="002711A8"/>
    <w:rsid w:val="00271613"/>
    <w:rsid w:val="002716C1"/>
    <w:rsid w:val="00271B05"/>
    <w:rsid w:val="00272461"/>
    <w:rsid w:val="00272474"/>
    <w:rsid w:val="00272478"/>
    <w:rsid w:val="00272812"/>
    <w:rsid w:val="0027335D"/>
    <w:rsid w:val="002737A7"/>
    <w:rsid w:val="00274146"/>
    <w:rsid w:val="002747B1"/>
    <w:rsid w:val="00274C01"/>
    <w:rsid w:val="00274C93"/>
    <w:rsid w:val="00275F4C"/>
    <w:rsid w:val="00276669"/>
    <w:rsid w:val="0027684E"/>
    <w:rsid w:val="00276D6A"/>
    <w:rsid w:val="002778FA"/>
    <w:rsid w:val="00280260"/>
    <w:rsid w:val="00280843"/>
    <w:rsid w:val="00281244"/>
    <w:rsid w:val="0028149B"/>
    <w:rsid w:val="00281561"/>
    <w:rsid w:val="0028162F"/>
    <w:rsid w:val="00282115"/>
    <w:rsid w:val="002827AC"/>
    <w:rsid w:val="00282ADD"/>
    <w:rsid w:val="0028320A"/>
    <w:rsid w:val="00283EB2"/>
    <w:rsid w:val="00285176"/>
    <w:rsid w:val="00285630"/>
    <w:rsid w:val="002857A8"/>
    <w:rsid w:val="00285B83"/>
    <w:rsid w:val="002865D5"/>
    <w:rsid w:val="00287134"/>
    <w:rsid w:val="0029036D"/>
    <w:rsid w:val="00290C4D"/>
    <w:rsid w:val="00290EBF"/>
    <w:rsid w:val="002916EE"/>
    <w:rsid w:val="00291CB1"/>
    <w:rsid w:val="002924A0"/>
    <w:rsid w:val="0029348A"/>
    <w:rsid w:val="00293DDC"/>
    <w:rsid w:val="00294898"/>
    <w:rsid w:val="00294EFA"/>
    <w:rsid w:val="002961B0"/>
    <w:rsid w:val="002964BA"/>
    <w:rsid w:val="0029769E"/>
    <w:rsid w:val="00297E8D"/>
    <w:rsid w:val="002A01FF"/>
    <w:rsid w:val="002A0D9F"/>
    <w:rsid w:val="002A14A1"/>
    <w:rsid w:val="002A155D"/>
    <w:rsid w:val="002A20F8"/>
    <w:rsid w:val="002A2179"/>
    <w:rsid w:val="002A34DC"/>
    <w:rsid w:val="002A3510"/>
    <w:rsid w:val="002A3587"/>
    <w:rsid w:val="002A4415"/>
    <w:rsid w:val="002A44BF"/>
    <w:rsid w:val="002A45C0"/>
    <w:rsid w:val="002A4AB4"/>
    <w:rsid w:val="002A534C"/>
    <w:rsid w:val="002A5BE8"/>
    <w:rsid w:val="002A5EA8"/>
    <w:rsid w:val="002A5ECD"/>
    <w:rsid w:val="002A6954"/>
    <w:rsid w:val="002A706F"/>
    <w:rsid w:val="002A76A7"/>
    <w:rsid w:val="002B0FA0"/>
    <w:rsid w:val="002B12A9"/>
    <w:rsid w:val="002B1EF7"/>
    <w:rsid w:val="002B4DA2"/>
    <w:rsid w:val="002B53AB"/>
    <w:rsid w:val="002B7C02"/>
    <w:rsid w:val="002C01D9"/>
    <w:rsid w:val="002C0DC3"/>
    <w:rsid w:val="002C0FBE"/>
    <w:rsid w:val="002C1143"/>
    <w:rsid w:val="002C1D80"/>
    <w:rsid w:val="002C236E"/>
    <w:rsid w:val="002C2CDE"/>
    <w:rsid w:val="002C2D3A"/>
    <w:rsid w:val="002C3D2E"/>
    <w:rsid w:val="002C3EE9"/>
    <w:rsid w:val="002C5510"/>
    <w:rsid w:val="002C5965"/>
    <w:rsid w:val="002C5B00"/>
    <w:rsid w:val="002C5E93"/>
    <w:rsid w:val="002C6B9C"/>
    <w:rsid w:val="002C6DA6"/>
    <w:rsid w:val="002C79FC"/>
    <w:rsid w:val="002D0BD0"/>
    <w:rsid w:val="002D0BD7"/>
    <w:rsid w:val="002D2A75"/>
    <w:rsid w:val="002D2ADC"/>
    <w:rsid w:val="002D3940"/>
    <w:rsid w:val="002D3B9F"/>
    <w:rsid w:val="002D3F5F"/>
    <w:rsid w:val="002D4345"/>
    <w:rsid w:val="002D4B20"/>
    <w:rsid w:val="002D4B5A"/>
    <w:rsid w:val="002D5274"/>
    <w:rsid w:val="002D6B73"/>
    <w:rsid w:val="002D6DE0"/>
    <w:rsid w:val="002D764D"/>
    <w:rsid w:val="002D766D"/>
    <w:rsid w:val="002D7A07"/>
    <w:rsid w:val="002D7D63"/>
    <w:rsid w:val="002E0EEE"/>
    <w:rsid w:val="002E1267"/>
    <w:rsid w:val="002E14B8"/>
    <w:rsid w:val="002E1A50"/>
    <w:rsid w:val="002E1E3F"/>
    <w:rsid w:val="002E2511"/>
    <w:rsid w:val="002E26CC"/>
    <w:rsid w:val="002E3684"/>
    <w:rsid w:val="002E3923"/>
    <w:rsid w:val="002E3F19"/>
    <w:rsid w:val="002E41E8"/>
    <w:rsid w:val="002E422C"/>
    <w:rsid w:val="002E5510"/>
    <w:rsid w:val="002E5E24"/>
    <w:rsid w:val="002E65B3"/>
    <w:rsid w:val="002E6C66"/>
    <w:rsid w:val="002F138A"/>
    <w:rsid w:val="002F1D05"/>
    <w:rsid w:val="002F1F25"/>
    <w:rsid w:val="002F2656"/>
    <w:rsid w:val="002F29CF"/>
    <w:rsid w:val="002F2EF3"/>
    <w:rsid w:val="002F2FA7"/>
    <w:rsid w:val="002F30FD"/>
    <w:rsid w:val="002F346F"/>
    <w:rsid w:val="002F365D"/>
    <w:rsid w:val="002F38BA"/>
    <w:rsid w:val="002F434A"/>
    <w:rsid w:val="002F49E5"/>
    <w:rsid w:val="002F52B6"/>
    <w:rsid w:val="002F55B1"/>
    <w:rsid w:val="002F583B"/>
    <w:rsid w:val="002F59E6"/>
    <w:rsid w:val="002F600F"/>
    <w:rsid w:val="002F6A39"/>
    <w:rsid w:val="002F7765"/>
    <w:rsid w:val="002F79CD"/>
    <w:rsid w:val="00300122"/>
    <w:rsid w:val="00300716"/>
    <w:rsid w:val="00301CEE"/>
    <w:rsid w:val="003022C4"/>
    <w:rsid w:val="003024FA"/>
    <w:rsid w:val="003030DC"/>
    <w:rsid w:val="003039C6"/>
    <w:rsid w:val="0030446D"/>
    <w:rsid w:val="00304D66"/>
    <w:rsid w:val="003051F6"/>
    <w:rsid w:val="00306950"/>
    <w:rsid w:val="00310765"/>
    <w:rsid w:val="00310F65"/>
    <w:rsid w:val="00311B47"/>
    <w:rsid w:val="003120B3"/>
    <w:rsid w:val="00313B61"/>
    <w:rsid w:val="00313FE6"/>
    <w:rsid w:val="0031406E"/>
    <w:rsid w:val="00314519"/>
    <w:rsid w:val="00314AD8"/>
    <w:rsid w:val="00314BB3"/>
    <w:rsid w:val="00315228"/>
    <w:rsid w:val="0031598B"/>
    <w:rsid w:val="00315FB5"/>
    <w:rsid w:val="003161C7"/>
    <w:rsid w:val="00316318"/>
    <w:rsid w:val="003164D4"/>
    <w:rsid w:val="00316D1A"/>
    <w:rsid w:val="00316FFB"/>
    <w:rsid w:val="0031706C"/>
    <w:rsid w:val="0031734C"/>
    <w:rsid w:val="003177FA"/>
    <w:rsid w:val="00317F6E"/>
    <w:rsid w:val="003205C2"/>
    <w:rsid w:val="00321999"/>
    <w:rsid w:val="00321F53"/>
    <w:rsid w:val="00322F58"/>
    <w:rsid w:val="00322F9C"/>
    <w:rsid w:val="003245FA"/>
    <w:rsid w:val="00324D7C"/>
    <w:rsid w:val="0032535A"/>
    <w:rsid w:val="00325EE0"/>
    <w:rsid w:val="0032692C"/>
    <w:rsid w:val="00326C23"/>
    <w:rsid w:val="00327CB1"/>
    <w:rsid w:val="003317E8"/>
    <w:rsid w:val="00331968"/>
    <w:rsid w:val="00332017"/>
    <w:rsid w:val="00332055"/>
    <w:rsid w:val="003323FD"/>
    <w:rsid w:val="00332B82"/>
    <w:rsid w:val="00333BDE"/>
    <w:rsid w:val="00333C30"/>
    <w:rsid w:val="0033488E"/>
    <w:rsid w:val="00334F18"/>
    <w:rsid w:val="003351D7"/>
    <w:rsid w:val="003353F3"/>
    <w:rsid w:val="00335A65"/>
    <w:rsid w:val="00335AA9"/>
    <w:rsid w:val="00336B17"/>
    <w:rsid w:val="00336C6A"/>
    <w:rsid w:val="00340030"/>
    <w:rsid w:val="00340CC4"/>
    <w:rsid w:val="003420A1"/>
    <w:rsid w:val="0034238A"/>
    <w:rsid w:val="003434D4"/>
    <w:rsid w:val="003436D4"/>
    <w:rsid w:val="00345DFA"/>
    <w:rsid w:val="00347C62"/>
    <w:rsid w:val="00347D2F"/>
    <w:rsid w:val="003500BD"/>
    <w:rsid w:val="0035058E"/>
    <w:rsid w:val="00350E8B"/>
    <w:rsid w:val="00350FAD"/>
    <w:rsid w:val="00351507"/>
    <w:rsid w:val="003515CE"/>
    <w:rsid w:val="00351A27"/>
    <w:rsid w:val="0035218B"/>
    <w:rsid w:val="0035312F"/>
    <w:rsid w:val="00354502"/>
    <w:rsid w:val="0035465C"/>
    <w:rsid w:val="003549BD"/>
    <w:rsid w:val="00355106"/>
    <w:rsid w:val="0035513C"/>
    <w:rsid w:val="00356A06"/>
    <w:rsid w:val="00357128"/>
    <w:rsid w:val="0035744C"/>
    <w:rsid w:val="003578AA"/>
    <w:rsid w:val="00357A63"/>
    <w:rsid w:val="00360398"/>
    <w:rsid w:val="003608D9"/>
    <w:rsid w:val="00361305"/>
    <w:rsid w:val="003621B4"/>
    <w:rsid w:val="003622A4"/>
    <w:rsid w:val="003622B9"/>
    <w:rsid w:val="00362626"/>
    <w:rsid w:val="00363178"/>
    <w:rsid w:val="003639F3"/>
    <w:rsid w:val="003641CA"/>
    <w:rsid w:val="0036521C"/>
    <w:rsid w:val="00365616"/>
    <w:rsid w:val="00365D3B"/>
    <w:rsid w:val="00366455"/>
    <w:rsid w:val="003664AB"/>
    <w:rsid w:val="003668DD"/>
    <w:rsid w:val="003669DF"/>
    <w:rsid w:val="00367096"/>
    <w:rsid w:val="00367779"/>
    <w:rsid w:val="00370230"/>
    <w:rsid w:val="00370558"/>
    <w:rsid w:val="0037096C"/>
    <w:rsid w:val="0037174D"/>
    <w:rsid w:val="00371BB5"/>
    <w:rsid w:val="00372189"/>
    <w:rsid w:val="003722D8"/>
    <w:rsid w:val="00372F1A"/>
    <w:rsid w:val="003737C9"/>
    <w:rsid w:val="0037396E"/>
    <w:rsid w:val="00373DE7"/>
    <w:rsid w:val="0037446F"/>
    <w:rsid w:val="00375254"/>
    <w:rsid w:val="00375526"/>
    <w:rsid w:val="00375BE7"/>
    <w:rsid w:val="00375C36"/>
    <w:rsid w:val="003765A2"/>
    <w:rsid w:val="003768E0"/>
    <w:rsid w:val="003770F2"/>
    <w:rsid w:val="00377D32"/>
    <w:rsid w:val="00380EBB"/>
    <w:rsid w:val="00380F21"/>
    <w:rsid w:val="00380F62"/>
    <w:rsid w:val="003814EC"/>
    <w:rsid w:val="003817D9"/>
    <w:rsid w:val="00381D3A"/>
    <w:rsid w:val="00381ED2"/>
    <w:rsid w:val="00382484"/>
    <w:rsid w:val="00382975"/>
    <w:rsid w:val="00382B5D"/>
    <w:rsid w:val="0038337B"/>
    <w:rsid w:val="0038367A"/>
    <w:rsid w:val="00383801"/>
    <w:rsid w:val="0038389A"/>
    <w:rsid w:val="003838FE"/>
    <w:rsid w:val="00383DBE"/>
    <w:rsid w:val="00384A7B"/>
    <w:rsid w:val="00384D9F"/>
    <w:rsid w:val="0038670B"/>
    <w:rsid w:val="003879E4"/>
    <w:rsid w:val="00390016"/>
    <w:rsid w:val="003928F5"/>
    <w:rsid w:val="00394D51"/>
    <w:rsid w:val="00396C2C"/>
    <w:rsid w:val="003975B5"/>
    <w:rsid w:val="00397FDC"/>
    <w:rsid w:val="003A0405"/>
    <w:rsid w:val="003A0465"/>
    <w:rsid w:val="003A0AAD"/>
    <w:rsid w:val="003A0C93"/>
    <w:rsid w:val="003A1126"/>
    <w:rsid w:val="003A143B"/>
    <w:rsid w:val="003A222D"/>
    <w:rsid w:val="003A2A23"/>
    <w:rsid w:val="003A303B"/>
    <w:rsid w:val="003A3EDE"/>
    <w:rsid w:val="003A41BA"/>
    <w:rsid w:val="003A5020"/>
    <w:rsid w:val="003A5081"/>
    <w:rsid w:val="003A561B"/>
    <w:rsid w:val="003A5640"/>
    <w:rsid w:val="003A5AF7"/>
    <w:rsid w:val="003A5E86"/>
    <w:rsid w:val="003A6D99"/>
    <w:rsid w:val="003A7301"/>
    <w:rsid w:val="003A740E"/>
    <w:rsid w:val="003A7D23"/>
    <w:rsid w:val="003B0977"/>
    <w:rsid w:val="003B0B0E"/>
    <w:rsid w:val="003B1440"/>
    <w:rsid w:val="003B1DAC"/>
    <w:rsid w:val="003B2367"/>
    <w:rsid w:val="003B2FA5"/>
    <w:rsid w:val="003B3CAE"/>
    <w:rsid w:val="003B43FD"/>
    <w:rsid w:val="003B457E"/>
    <w:rsid w:val="003B4C18"/>
    <w:rsid w:val="003B5509"/>
    <w:rsid w:val="003B56B4"/>
    <w:rsid w:val="003B5FA7"/>
    <w:rsid w:val="003B7953"/>
    <w:rsid w:val="003C05D0"/>
    <w:rsid w:val="003C12C5"/>
    <w:rsid w:val="003C2EBC"/>
    <w:rsid w:val="003C32F4"/>
    <w:rsid w:val="003C3782"/>
    <w:rsid w:val="003C378E"/>
    <w:rsid w:val="003C407C"/>
    <w:rsid w:val="003C4620"/>
    <w:rsid w:val="003C4D6D"/>
    <w:rsid w:val="003C54AF"/>
    <w:rsid w:val="003C5645"/>
    <w:rsid w:val="003C6450"/>
    <w:rsid w:val="003C6540"/>
    <w:rsid w:val="003C6557"/>
    <w:rsid w:val="003C6BC2"/>
    <w:rsid w:val="003C7866"/>
    <w:rsid w:val="003C790A"/>
    <w:rsid w:val="003D1101"/>
    <w:rsid w:val="003D23A4"/>
    <w:rsid w:val="003D3B65"/>
    <w:rsid w:val="003D4BCA"/>
    <w:rsid w:val="003D6187"/>
    <w:rsid w:val="003D62B5"/>
    <w:rsid w:val="003D658C"/>
    <w:rsid w:val="003D68F3"/>
    <w:rsid w:val="003D7611"/>
    <w:rsid w:val="003D77F3"/>
    <w:rsid w:val="003E0C9A"/>
    <w:rsid w:val="003E1C41"/>
    <w:rsid w:val="003E1D1C"/>
    <w:rsid w:val="003E2AE8"/>
    <w:rsid w:val="003E2EEB"/>
    <w:rsid w:val="003E30C3"/>
    <w:rsid w:val="003E3DCD"/>
    <w:rsid w:val="003E5657"/>
    <w:rsid w:val="003E5EDD"/>
    <w:rsid w:val="003E6BF8"/>
    <w:rsid w:val="003F0DB4"/>
    <w:rsid w:val="003F13AC"/>
    <w:rsid w:val="003F18A4"/>
    <w:rsid w:val="003F1B10"/>
    <w:rsid w:val="003F1FED"/>
    <w:rsid w:val="003F2A75"/>
    <w:rsid w:val="003F31FC"/>
    <w:rsid w:val="003F40E7"/>
    <w:rsid w:val="003F49F3"/>
    <w:rsid w:val="003F4DAA"/>
    <w:rsid w:val="003F5B13"/>
    <w:rsid w:val="003F75AD"/>
    <w:rsid w:val="00400684"/>
    <w:rsid w:val="004011C6"/>
    <w:rsid w:val="00401480"/>
    <w:rsid w:val="004015A7"/>
    <w:rsid w:val="004017A0"/>
    <w:rsid w:val="00401999"/>
    <w:rsid w:val="00401F4C"/>
    <w:rsid w:val="0040222D"/>
    <w:rsid w:val="00402705"/>
    <w:rsid w:val="00403870"/>
    <w:rsid w:val="004038AF"/>
    <w:rsid w:val="00403B3F"/>
    <w:rsid w:val="00404857"/>
    <w:rsid w:val="004053CD"/>
    <w:rsid w:val="004056A5"/>
    <w:rsid w:val="00405868"/>
    <w:rsid w:val="004060A2"/>
    <w:rsid w:val="00406548"/>
    <w:rsid w:val="0040750F"/>
    <w:rsid w:val="004075DE"/>
    <w:rsid w:val="00407CC8"/>
    <w:rsid w:val="00410080"/>
    <w:rsid w:val="00410317"/>
    <w:rsid w:val="00410FFA"/>
    <w:rsid w:val="00411AD3"/>
    <w:rsid w:val="004135F1"/>
    <w:rsid w:val="0041364A"/>
    <w:rsid w:val="00413903"/>
    <w:rsid w:val="004142A6"/>
    <w:rsid w:val="00414EAF"/>
    <w:rsid w:val="00415031"/>
    <w:rsid w:val="0041506B"/>
    <w:rsid w:val="004161A9"/>
    <w:rsid w:val="00416572"/>
    <w:rsid w:val="00416807"/>
    <w:rsid w:val="00416CA7"/>
    <w:rsid w:val="00417455"/>
    <w:rsid w:val="00417589"/>
    <w:rsid w:val="0041791C"/>
    <w:rsid w:val="004179EF"/>
    <w:rsid w:val="004204D0"/>
    <w:rsid w:val="00420565"/>
    <w:rsid w:val="004210B3"/>
    <w:rsid w:val="00421101"/>
    <w:rsid w:val="004216F9"/>
    <w:rsid w:val="0042180F"/>
    <w:rsid w:val="00421866"/>
    <w:rsid w:val="00422102"/>
    <w:rsid w:val="004231A3"/>
    <w:rsid w:val="00423D72"/>
    <w:rsid w:val="0042485E"/>
    <w:rsid w:val="00424DDE"/>
    <w:rsid w:val="00424FD0"/>
    <w:rsid w:val="00425252"/>
    <w:rsid w:val="00425296"/>
    <w:rsid w:val="0042589F"/>
    <w:rsid w:val="004259B1"/>
    <w:rsid w:val="0042689F"/>
    <w:rsid w:val="00426D6B"/>
    <w:rsid w:val="004317F1"/>
    <w:rsid w:val="00432663"/>
    <w:rsid w:val="004327D9"/>
    <w:rsid w:val="00432E25"/>
    <w:rsid w:val="004350F4"/>
    <w:rsid w:val="004354D5"/>
    <w:rsid w:val="00435DA4"/>
    <w:rsid w:val="00436608"/>
    <w:rsid w:val="00436725"/>
    <w:rsid w:val="004373D8"/>
    <w:rsid w:val="00437FF4"/>
    <w:rsid w:val="00440532"/>
    <w:rsid w:val="00440827"/>
    <w:rsid w:val="004411AB"/>
    <w:rsid w:val="004429B9"/>
    <w:rsid w:val="004429E7"/>
    <w:rsid w:val="00443345"/>
    <w:rsid w:val="00443D32"/>
    <w:rsid w:val="00443E08"/>
    <w:rsid w:val="004444EB"/>
    <w:rsid w:val="00444A24"/>
    <w:rsid w:val="00444D20"/>
    <w:rsid w:val="00444E38"/>
    <w:rsid w:val="00445E64"/>
    <w:rsid w:val="00445E70"/>
    <w:rsid w:val="0044644A"/>
    <w:rsid w:val="004464C8"/>
    <w:rsid w:val="004466E9"/>
    <w:rsid w:val="00447402"/>
    <w:rsid w:val="00447C4B"/>
    <w:rsid w:val="004507DD"/>
    <w:rsid w:val="00450B96"/>
    <w:rsid w:val="00451D33"/>
    <w:rsid w:val="0045291C"/>
    <w:rsid w:val="00452A92"/>
    <w:rsid w:val="004536C0"/>
    <w:rsid w:val="00453881"/>
    <w:rsid w:val="0045406C"/>
    <w:rsid w:val="004541AF"/>
    <w:rsid w:val="004542DA"/>
    <w:rsid w:val="00454532"/>
    <w:rsid w:val="00455027"/>
    <w:rsid w:val="00455AD5"/>
    <w:rsid w:val="00455C95"/>
    <w:rsid w:val="00456912"/>
    <w:rsid w:val="0045719E"/>
    <w:rsid w:val="00457577"/>
    <w:rsid w:val="00460213"/>
    <w:rsid w:val="00460A33"/>
    <w:rsid w:val="004614F5"/>
    <w:rsid w:val="00461E49"/>
    <w:rsid w:val="00462240"/>
    <w:rsid w:val="0046241F"/>
    <w:rsid w:val="00462EA4"/>
    <w:rsid w:val="00463D5E"/>
    <w:rsid w:val="0046450A"/>
    <w:rsid w:val="00466B00"/>
    <w:rsid w:val="0046756F"/>
    <w:rsid w:val="00467D65"/>
    <w:rsid w:val="00470F45"/>
    <w:rsid w:val="0047189C"/>
    <w:rsid w:val="00471C38"/>
    <w:rsid w:val="00472333"/>
    <w:rsid w:val="004729E9"/>
    <w:rsid w:val="00472DD4"/>
    <w:rsid w:val="004737E7"/>
    <w:rsid w:val="004739E5"/>
    <w:rsid w:val="00473CDF"/>
    <w:rsid w:val="004749A8"/>
    <w:rsid w:val="0047566C"/>
    <w:rsid w:val="004764C0"/>
    <w:rsid w:val="004766F8"/>
    <w:rsid w:val="00476BC6"/>
    <w:rsid w:val="00476FF4"/>
    <w:rsid w:val="004770B7"/>
    <w:rsid w:val="0047726E"/>
    <w:rsid w:val="004774E5"/>
    <w:rsid w:val="004778E1"/>
    <w:rsid w:val="0047792A"/>
    <w:rsid w:val="00477CA1"/>
    <w:rsid w:val="00480657"/>
    <w:rsid w:val="004807D9"/>
    <w:rsid w:val="00480A7A"/>
    <w:rsid w:val="00480A98"/>
    <w:rsid w:val="00480D18"/>
    <w:rsid w:val="0048181C"/>
    <w:rsid w:val="0048195F"/>
    <w:rsid w:val="004826FD"/>
    <w:rsid w:val="00482A13"/>
    <w:rsid w:val="00482D05"/>
    <w:rsid w:val="004837FF"/>
    <w:rsid w:val="00483AFC"/>
    <w:rsid w:val="00484267"/>
    <w:rsid w:val="00485346"/>
    <w:rsid w:val="004853C1"/>
    <w:rsid w:val="00485C97"/>
    <w:rsid w:val="004867CA"/>
    <w:rsid w:val="00487610"/>
    <w:rsid w:val="00487B23"/>
    <w:rsid w:val="0049007C"/>
    <w:rsid w:val="00490530"/>
    <w:rsid w:val="00490660"/>
    <w:rsid w:val="00490BE6"/>
    <w:rsid w:val="00491192"/>
    <w:rsid w:val="00491541"/>
    <w:rsid w:val="00491953"/>
    <w:rsid w:val="0049201A"/>
    <w:rsid w:val="004920D9"/>
    <w:rsid w:val="0049235A"/>
    <w:rsid w:val="0049290C"/>
    <w:rsid w:val="00492DCC"/>
    <w:rsid w:val="00493034"/>
    <w:rsid w:val="004935E2"/>
    <w:rsid w:val="0049377F"/>
    <w:rsid w:val="00493799"/>
    <w:rsid w:val="00494320"/>
    <w:rsid w:val="0049459C"/>
    <w:rsid w:val="00494B73"/>
    <w:rsid w:val="00494D4A"/>
    <w:rsid w:val="004956D3"/>
    <w:rsid w:val="00495B32"/>
    <w:rsid w:val="00495F11"/>
    <w:rsid w:val="0049602D"/>
    <w:rsid w:val="00496AA1"/>
    <w:rsid w:val="00496AA6"/>
    <w:rsid w:val="00496D2C"/>
    <w:rsid w:val="00497A96"/>
    <w:rsid w:val="00497BEF"/>
    <w:rsid w:val="004A0657"/>
    <w:rsid w:val="004A0E5C"/>
    <w:rsid w:val="004A17A0"/>
    <w:rsid w:val="004A274B"/>
    <w:rsid w:val="004A276D"/>
    <w:rsid w:val="004A30D8"/>
    <w:rsid w:val="004A3BBB"/>
    <w:rsid w:val="004A3D2E"/>
    <w:rsid w:val="004A3EEF"/>
    <w:rsid w:val="004A4191"/>
    <w:rsid w:val="004A429C"/>
    <w:rsid w:val="004A4456"/>
    <w:rsid w:val="004A44EB"/>
    <w:rsid w:val="004A4719"/>
    <w:rsid w:val="004A48B8"/>
    <w:rsid w:val="004A5AE4"/>
    <w:rsid w:val="004A6098"/>
    <w:rsid w:val="004A60BB"/>
    <w:rsid w:val="004A6A32"/>
    <w:rsid w:val="004A6ED3"/>
    <w:rsid w:val="004A737B"/>
    <w:rsid w:val="004B0CFE"/>
    <w:rsid w:val="004B112F"/>
    <w:rsid w:val="004B1682"/>
    <w:rsid w:val="004B23EB"/>
    <w:rsid w:val="004B28C7"/>
    <w:rsid w:val="004B388A"/>
    <w:rsid w:val="004B43E8"/>
    <w:rsid w:val="004B4D51"/>
    <w:rsid w:val="004B4EBE"/>
    <w:rsid w:val="004B5257"/>
    <w:rsid w:val="004B57A8"/>
    <w:rsid w:val="004B5837"/>
    <w:rsid w:val="004B5D1E"/>
    <w:rsid w:val="004B643C"/>
    <w:rsid w:val="004B68B9"/>
    <w:rsid w:val="004B74B7"/>
    <w:rsid w:val="004B7548"/>
    <w:rsid w:val="004B79B9"/>
    <w:rsid w:val="004C0036"/>
    <w:rsid w:val="004C028D"/>
    <w:rsid w:val="004C052B"/>
    <w:rsid w:val="004C0580"/>
    <w:rsid w:val="004C147D"/>
    <w:rsid w:val="004C2251"/>
    <w:rsid w:val="004C2DB5"/>
    <w:rsid w:val="004C2E94"/>
    <w:rsid w:val="004C3CEC"/>
    <w:rsid w:val="004C49A8"/>
    <w:rsid w:val="004C4DEE"/>
    <w:rsid w:val="004C4E1F"/>
    <w:rsid w:val="004C5680"/>
    <w:rsid w:val="004C5881"/>
    <w:rsid w:val="004C5CB8"/>
    <w:rsid w:val="004C6DC6"/>
    <w:rsid w:val="004C74A1"/>
    <w:rsid w:val="004C74B5"/>
    <w:rsid w:val="004C7E64"/>
    <w:rsid w:val="004D062A"/>
    <w:rsid w:val="004D0799"/>
    <w:rsid w:val="004D0821"/>
    <w:rsid w:val="004D0B17"/>
    <w:rsid w:val="004D0DBC"/>
    <w:rsid w:val="004D1128"/>
    <w:rsid w:val="004D1817"/>
    <w:rsid w:val="004D1A77"/>
    <w:rsid w:val="004D1EE8"/>
    <w:rsid w:val="004D2C43"/>
    <w:rsid w:val="004D31BD"/>
    <w:rsid w:val="004D3474"/>
    <w:rsid w:val="004D3477"/>
    <w:rsid w:val="004D3778"/>
    <w:rsid w:val="004D3DA6"/>
    <w:rsid w:val="004D3DBC"/>
    <w:rsid w:val="004D5885"/>
    <w:rsid w:val="004D5EF5"/>
    <w:rsid w:val="004D6982"/>
    <w:rsid w:val="004D6CFB"/>
    <w:rsid w:val="004D7FD1"/>
    <w:rsid w:val="004E08DA"/>
    <w:rsid w:val="004E1F47"/>
    <w:rsid w:val="004E1F7D"/>
    <w:rsid w:val="004E27C4"/>
    <w:rsid w:val="004E2AEA"/>
    <w:rsid w:val="004E3626"/>
    <w:rsid w:val="004E40ED"/>
    <w:rsid w:val="004E6127"/>
    <w:rsid w:val="004E64DA"/>
    <w:rsid w:val="004E69DE"/>
    <w:rsid w:val="004E6B73"/>
    <w:rsid w:val="004E6CB5"/>
    <w:rsid w:val="004E6DDA"/>
    <w:rsid w:val="004E6FCD"/>
    <w:rsid w:val="004E76E4"/>
    <w:rsid w:val="004E77A4"/>
    <w:rsid w:val="004E7C38"/>
    <w:rsid w:val="004F02D3"/>
    <w:rsid w:val="004F0E9C"/>
    <w:rsid w:val="004F1101"/>
    <w:rsid w:val="004F165C"/>
    <w:rsid w:val="004F1DD5"/>
    <w:rsid w:val="004F2411"/>
    <w:rsid w:val="004F257B"/>
    <w:rsid w:val="004F3BE6"/>
    <w:rsid w:val="004F3F1B"/>
    <w:rsid w:val="004F3F3B"/>
    <w:rsid w:val="004F4127"/>
    <w:rsid w:val="004F434F"/>
    <w:rsid w:val="004F5B3E"/>
    <w:rsid w:val="004F5BE2"/>
    <w:rsid w:val="004F600C"/>
    <w:rsid w:val="004F6803"/>
    <w:rsid w:val="004F6E21"/>
    <w:rsid w:val="004F7CAF"/>
    <w:rsid w:val="004F7DF5"/>
    <w:rsid w:val="005002EA"/>
    <w:rsid w:val="00500ABA"/>
    <w:rsid w:val="00501D7E"/>
    <w:rsid w:val="00502FDB"/>
    <w:rsid w:val="00503004"/>
    <w:rsid w:val="005041A5"/>
    <w:rsid w:val="0050420B"/>
    <w:rsid w:val="00504749"/>
    <w:rsid w:val="00504750"/>
    <w:rsid w:val="00504797"/>
    <w:rsid w:val="005050D1"/>
    <w:rsid w:val="005059DF"/>
    <w:rsid w:val="005067D5"/>
    <w:rsid w:val="00507048"/>
    <w:rsid w:val="00507340"/>
    <w:rsid w:val="005073E1"/>
    <w:rsid w:val="00507E54"/>
    <w:rsid w:val="00510609"/>
    <w:rsid w:val="00510D53"/>
    <w:rsid w:val="00511D64"/>
    <w:rsid w:val="00513397"/>
    <w:rsid w:val="00513887"/>
    <w:rsid w:val="00514424"/>
    <w:rsid w:val="005148E8"/>
    <w:rsid w:val="005149C2"/>
    <w:rsid w:val="00514B9F"/>
    <w:rsid w:val="00514D93"/>
    <w:rsid w:val="00515463"/>
    <w:rsid w:val="00515C8C"/>
    <w:rsid w:val="00515FEE"/>
    <w:rsid w:val="00516720"/>
    <w:rsid w:val="00516ECE"/>
    <w:rsid w:val="0052042F"/>
    <w:rsid w:val="005207E2"/>
    <w:rsid w:val="0052110C"/>
    <w:rsid w:val="00521E51"/>
    <w:rsid w:val="00521EF4"/>
    <w:rsid w:val="0052229E"/>
    <w:rsid w:val="00522708"/>
    <w:rsid w:val="00522744"/>
    <w:rsid w:val="0052307D"/>
    <w:rsid w:val="00523555"/>
    <w:rsid w:val="00523912"/>
    <w:rsid w:val="00523C09"/>
    <w:rsid w:val="00523F6D"/>
    <w:rsid w:val="005246A2"/>
    <w:rsid w:val="00524DB0"/>
    <w:rsid w:val="005254B8"/>
    <w:rsid w:val="00525BAB"/>
    <w:rsid w:val="00525DA7"/>
    <w:rsid w:val="005266BD"/>
    <w:rsid w:val="005267A6"/>
    <w:rsid w:val="00526B89"/>
    <w:rsid w:val="00527050"/>
    <w:rsid w:val="005274F9"/>
    <w:rsid w:val="005307A9"/>
    <w:rsid w:val="0053095A"/>
    <w:rsid w:val="005315E6"/>
    <w:rsid w:val="00532091"/>
    <w:rsid w:val="00532534"/>
    <w:rsid w:val="0053286A"/>
    <w:rsid w:val="00532B12"/>
    <w:rsid w:val="00532D03"/>
    <w:rsid w:val="00533C43"/>
    <w:rsid w:val="00535223"/>
    <w:rsid w:val="0053545A"/>
    <w:rsid w:val="005355C9"/>
    <w:rsid w:val="00535A80"/>
    <w:rsid w:val="005368B3"/>
    <w:rsid w:val="00537D80"/>
    <w:rsid w:val="00540075"/>
    <w:rsid w:val="005402F7"/>
    <w:rsid w:val="00540496"/>
    <w:rsid w:val="005413F6"/>
    <w:rsid w:val="0054146D"/>
    <w:rsid w:val="0054210C"/>
    <w:rsid w:val="00542605"/>
    <w:rsid w:val="0054260B"/>
    <w:rsid w:val="00542682"/>
    <w:rsid w:val="00542842"/>
    <w:rsid w:val="00542A82"/>
    <w:rsid w:val="005435D3"/>
    <w:rsid w:val="00544740"/>
    <w:rsid w:val="005448BD"/>
    <w:rsid w:val="005459B5"/>
    <w:rsid w:val="00546BCF"/>
    <w:rsid w:val="005504DF"/>
    <w:rsid w:val="00550761"/>
    <w:rsid w:val="005514BF"/>
    <w:rsid w:val="00551616"/>
    <w:rsid w:val="005526D3"/>
    <w:rsid w:val="005529F6"/>
    <w:rsid w:val="00552E5D"/>
    <w:rsid w:val="005536E4"/>
    <w:rsid w:val="005547FB"/>
    <w:rsid w:val="00554844"/>
    <w:rsid w:val="005548A9"/>
    <w:rsid w:val="0055679F"/>
    <w:rsid w:val="005572F4"/>
    <w:rsid w:val="00557B04"/>
    <w:rsid w:val="00557EAA"/>
    <w:rsid w:val="005602C8"/>
    <w:rsid w:val="00560810"/>
    <w:rsid w:val="00560D2A"/>
    <w:rsid w:val="00562C73"/>
    <w:rsid w:val="005632F1"/>
    <w:rsid w:val="00563DB1"/>
    <w:rsid w:val="00563E98"/>
    <w:rsid w:val="00564134"/>
    <w:rsid w:val="005642A8"/>
    <w:rsid w:val="00565BA2"/>
    <w:rsid w:val="00566D15"/>
    <w:rsid w:val="00570599"/>
    <w:rsid w:val="005710BB"/>
    <w:rsid w:val="0057194B"/>
    <w:rsid w:val="00571B6F"/>
    <w:rsid w:val="00571D60"/>
    <w:rsid w:val="00571DCD"/>
    <w:rsid w:val="00571E8C"/>
    <w:rsid w:val="005725E4"/>
    <w:rsid w:val="005725EA"/>
    <w:rsid w:val="00572D06"/>
    <w:rsid w:val="005733D8"/>
    <w:rsid w:val="00573C19"/>
    <w:rsid w:val="00573F16"/>
    <w:rsid w:val="00574487"/>
    <w:rsid w:val="00574E01"/>
    <w:rsid w:val="0057544A"/>
    <w:rsid w:val="00575964"/>
    <w:rsid w:val="00575D06"/>
    <w:rsid w:val="0057600B"/>
    <w:rsid w:val="00576127"/>
    <w:rsid w:val="005762D2"/>
    <w:rsid w:val="0057638E"/>
    <w:rsid w:val="005774F8"/>
    <w:rsid w:val="0058110B"/>
    <w:rsid w:val="0058180E"/>
    <w:rsid w:val="00581C7E"/>
    <w:rsid w:val="0058228B"/>
    <w:rsid w:val="0058230B"/>
    <w:rsid w:val="00583188"/>
    <w:rsid w:val="0058376F"/>
    <w:rsid w:val="005837DC"/>
    <w:rsid w:val="00583865"/>
    <w:rsid w:val="005839F4"/>
    <w:rsid w:val="00584312"/>
    <w:rsid w:val="0058468A"/>
    <w:rsid w:val="00585C6D"/>
    <w:rsid w:val="00586167"/>
    <w:rsid w:val="005861AF"/>
    <w:rsid w:val="00586B08"/>
    <w:rsid w:val="00587232"/>
    <w:rsid w:val="0058726B"/>
    <w:rsid w:val="005873B9"/>
    <w:rsid w:val="005875B7"/>
    <w:rsid w:val="00591068"/>
    <w:rsid w:val="00591221"/>
    <w:rsid w:val="005916D5"/>
    <w:rsid w:val="00591EDD"/>
    <w:rsid w:val="0059257E"/>
    <w:rsid w:val="0059258F"/>
    <w:rsid w:val="00592E5D"/>
    <w:rsid w:val="0059351B"/>
    <w:rsid w:val="00593C3F"/>
    <w:rsid w:val="00594E1C"/>
    <w:rsid w:val="005951E6"/>
    <w:rsid w:val="0059581B"/>
    <w:rsid w:val="00595ADF"/>
    <w:rsid w:val="00596ECB"/>
    <w:rsid w:val="00597503"/>
    <w:rsid w:val="00597923"/>
    <w:rsid w:val="005A1328"/>
    <w:rsid w:val="005A245E"/>
    <w:rsid w:val="005A2625"/>
    <w:rsid w:val="005A270C"/>
    <w:rsid w:val="005A27F3"/>
    <w:rsid w:val="005A319B"/>
    <w:rsid w:val="005A33E8"/>
    <w:rsid w:val="005A36ED"/>
    <w:rsid w:val="005A3853"/>
    <w:rsid w:val="005A5394"/>
    <w:rsid w:val="005A5876"/>
    <w:rsid w:val="005A61FA"/>
    <w:rsid w:val="005A6DF7"/>
    <w:rsid w:val="005A6EB4"/>
    <w:rsid w:val="005A75AC"/>
    <w:rsid w:val="005A7846"/>
    <w:rsid w:val="005B0480"/>
    <w:rsid w:val="005B0EA0"/>
    <w:rsid w:val="005B10EA"/>
    <w:rsid w:val="005B11B7"/>
    <w:rsid w:val="005B176D"/>
    <w:rsid w:val="005B1AA4"/>
    <w:rsid w:val="005B221B"/>
    <w:rsid w:val="005B2297"/>
    <w:rsid w:val="005B29FA"/>
    <w:rsid w:val="005B2E5A"/>
    <w:rsid w:val="005B318B"/>
    <w:rsid w:val="005B3244"/>
    <w:rsid w:val="005B386E"/>
    <w:rsid w:val="005B38C4"/>
    <w:rsid w:val="005B4613"/>
    <w:rsid w:val="005B4871"/>
    <w:rsid w:val="005B4E37"/>
    <w:rsid w:val="005B5E26"/>
    <w:rsid w:val="005B5E5C"/>
    <w:rsid w:val="005B650D"/>
    <w:rsid w:val="005B6B1E"/>
    <w:rsid w:val="005B6CC0"/>
    <w:rsid w:val="005B733C"/>
    <w:rsid w:val="005B75CA"/>
    <w:rsid w:val="005C0A4F"/>
    <w:rsid w:val="005C0E75"/>
    <w:rsid w:val="005C1376"/>
    <w:rsid w:val="005C1910"/>
    <w:rsid w:val="005C2182"/>
    <w:rsid w:val="005C2C19"/>
    <w:rsid w:val="005C2DA2"/>
    <w:rsid w:val="005C2E30"/>
    <w:rsid w:val="005C2F2B"/>
    <w:rsid w:val="005C2FFE"/>
    <w:rsid w:val="005C31EC"/>
    <w:rsid w:val="005C323B"/>
    <w:rsid w:val="005C5A07"/>
    <w:rsid w:val="005C5B78"/>
    <w:rsid w:val="005C6273"/>
    <w:rsid w:val="005C6326"/>
    <w:rsid w:val="005C6E7A"/>
    <w:rsid w:val="005C723C"/>
    <w:rsid w:val="005C7309"/>
    <w:rsid w:val="005D0955"/>
    <w:rsid w:val="005D0BD0"/>
    <w:rsid w:val="005D146B"/>
    <w:rsid w:val="005D1A4C"/>
    <w:rsid w:val="005D1BF3"/>
    <w:rsid w:val="005D22AE"/>
    <w:rsid w:val="005D3075"/>
    <w:rsid w:val="005D377E"/>
    <w:rsid w:val="005D4411"/>
    <w:rsid w:val="005D44AF"/>
    <w:rsid w:val="005D4784"/>
    <w:rsid w:val="005D579C"/>
    <w:rsid w:val="005D5B2E"/>
    <w:rsid w:val="005D62C9"/>
    <w:rsid w:val="005D6767"/>
    <w:rsid w:val="005D79C0"/>
    <w:rsid w:val="005E0D6F"/>
    <w:rsid w:val="005E12C9"/>
    <w:rsid w:val="005E3392"/>
    <w:rsid w:val="005E351D"/>
    <w:rsid w:val="005E3647"/>
    <w:rsid w:val="005E4245"/>
    <w:rsid w:val="005E4C29"/>
    <w:rsid w:val="005E4D1F"/>
    <w:rsid w:val="005E5795"/>
    <w:rsid w:val="005E5ABC"/>
    <w:rsid w:val="005E5BEB"/>
    <w:rsid w:val="005E5DF2"/>
    <w:rsid w:val="005E5E3F"/>
    <w:rsid w:val="005E6323"/>
    <w:rsid w:val="005F051D"/>
    <w:rsid w:val="005F1685"/>
    <w:rsid w:val="005F19AE"/>
    <w:rsid w:val="005F19B6"/>
    <w:rsid w:val="005F1E9E"/>
    <w:rsid w:val="005F2D83"/>
    <w:rsid w:val="005F31C2"/>
    <w:rsid w:val="005F323B"/>
    <w:rsid w:val="005F36C5"/>
    <w:rsid w:val="005F3FEF"/>
    <w:rsid w:val="005F4165"/>
    <w:rsid w:val="005F469F"/>
    <w:rsid w:val="005F5355"/>
    <w:rsid w:val="005F6565"/>
    <w:rsid w:val="005F660B"/>
    <w:rsid w:val="005F6958"/>
    <w:rsid w:val="006006A2"/>
    <w:rsid w:val="00600C37"/>
    <w:rsid w:val="00600CA2"/>
    <w:rsid w:val="0060202E"/>
    <w:rsid w:val="006023A6"/>
    <w:rsid w:val="00603CD0"/>
    <w:rsid w:val="00603D6F"/>
    <w:rsid w:val="00603F36"/>
    <w:rsid w:val="00604904"/>
    <w:rsid w:val="00604D81"/>
    <w:rsid w:val="00606294"/>
    <w:rsid w:val="006063D3"/>
    <w:rsid w:val="006070B7"/>
    <w:rsid w:val="006079EC"/>
    <w:rsid w:val="00607CCC"/>
    <w:rsid w:val="00607E9A"/>
    <w:rsid w:val="00610965"/>
    <w:rsid w:val="006118C0"/>
    <w:rsid w:val="00611AF6"/>
    <w:rsid w:val="00611F10"/>
    <w:rsid w:val="00612B8B"/>
    <w:rsid w:val="00612CFF"/>
    <w:rsid w:val="00612FA8"/>
    <w:rsid w:val="00613D5D"/>
    <w:rsid w:val="00614017"/>
    <w:rsid w:val="006146A8"/>
    <w:rsid w:val="00615C3D"/>
    <w:rsid w:val="00615FBC"/>
    <w:rsid w:val="00616738"/>
    <w:rsid w:val="00616B95"/>
    <w:rsid w:val="00617466"/>
    <w:rsid w:val="00617481"/>
    <w:rsid w:val="0061761A"/>
    <w:rsid w:val="00620536"/>
    <w:rsid w:val="00620922"/>
    <w:rsid w:val="00620983"/>
    <w:rsid w:val="00620D08"/>
    <w:rsid w:val="00621C12"/>
    <w:rsid w:val="0062258B"/>
    <w:rsid w:val="00622590"/>
    <w:rsid w:val="00622D26"/>
    <w:rsid w:val="00622E15"/>
    <w:rsid w:val="00622E51"/>
    <w:rsid w:val="00622F86"/>
    <w:rsid w:val="0062302A"/>
    <w:rsid w:val="006235EA"/>
    <w:rsid w:val="006236E5"/>
    <w:rsid w:val="00623A28"/>
    <w:rsid w:val="006241F1"/>
    <w:rsid w:val="00625086"/>
    <w:rsid w:val="00625639"/>
    <w:rsid w:val="006258DA"/>
    <w:rsid w:val="006259E0"/>
    <w:rsid w:val="00625FCD"/>
    <w:rsid w:val="0062617E"/>
    <w:rsid w:val="00627D7D"/>
    <w:rsid w:val="00627E74"/>
    <w:rsid w:val="00630377"/>
    <w:rsid w:val="006309F3"/>
    <w:rsid w:val="00630A67"/>
    <w:rsid w:val="0063191C"/>
    <w:rsid w:val="00632026"/>
    <w:rsid w:val="006324D1"/>
    <w:rsid w:val="00632AC5"/>
    <w:rsid w:val="00633603"/>
    <w:rsid w:val="00636261"/>
    <w:rsid w:val="0063719F"/>
    <w:rsid w:val="00637435"/>
    <w:rsid w:val="006375C2"/>
    <w:rsid w:val="00637C6F"/>
    <w:rsid w:val="00637D25"/>
    <w:rsid w:val="00637D45"/>
    <w:rsid w:val="00640BD9"/>
    <w:rsid w:val="00640F7B"/>
    <w:rsid w:val="0064147A"/>
    <w:rsid w:val="006423BA"/>
    <w:rsid w:val="0064275C"/>
    <w:rsid w:val="0064352C"/>
    <w:rsid w:val="0064372C"/>
    <w:rsid w:val="00643743"/>
    <w:rsid w:val="00644233"/>
    <w:rsid w:val="00644B81"/>
    <w:rsid w:val="006504CA"/>
    <w:rsid w:val="006507BB"/>
    <w:rsid w:val="00652451"/>
    <w:rsid w:val="00653931"/>
    <w:rsid w:val="00653A09"/>
    <w:rsid w:val="006541F3"/>
    <w:rsid w:val="00654803"/>
    <w:rsid w:val="00655693"/>
    <w:rsid w:val="006556A9"/>
    <w:rsid w:val="00655705"/>
    <w:rsid w:val="006560E6"/>
    <w:rsid w:val="0065646B"/>
    <w:rsid w:val="006564A5"/>
    <w:rsid w:val="00656904"/>
    <w:rsid w:val="00656D51"/>
    <w:rsid w:val="00657EFA"/>
    <w:rsid w:val="00657FE5"/>
    <w:rsid w:val="00660BCF"/>
    <w:rsid w:val="006617E2"/>
    <w:rsid w:val="00661846"/>
    <w:rsid w:val="006627EB"/>
    <w:rsid w:val="00663F80"/>
    <w:rsid w:val="00665793"/>
    <w:rsid w:val="00665D7C"/>
    <w:rsid w:val="00665F3E"/>
    <w:rsid w:val="0066603E"/>
    <w:rsid w:val="00666B92"/>
    <w:rsid w:val="00667232"/>
    <w:rsid w:val="006673FE"/>
    <w:rsid w:val="0066746A"/>
    <w:rsid w:val="0066784B"/>
    <w:rsid w:val="00667ED4"/>
    <w:rsid w:val="00667F22"/>
    <w:rsid w:val="0067086C"/>
    <w:rsid w:val="00670AE9"/>
    <w:rsid w:val="0067304E"/>
    <w:rsid w:val="00673463"/>
    <w:rsid w:val="00673C71"/>
    <w:rsid w:val="006742E4"/>
    <w:rsid w:val="0067490C"/>
    <w:rsid w:val="00674D57"/>
    <w:rsid w:val="006760EA"/>
    <w:rsid w:val="00677AC9"/>
    <w:rsid w:val="00677E1B"/>
    <w:rsid w:val="006806DB"/>
    <w:rsid w:val="00680D7C"/>
    <w:rsid w:val="00680E89"/>
    <w:rsid w:val="0068127A"/>
    <w:rsid w:val="00681709"/>
    <w:rsid w:val="00681961"/>
    <w:rsid w:val="006822C3"/>
    <w:rsid w:val="00682797"/>
    <w:rsid w:val="00683029"/>
    <w:rsid w:val="0068321E"/>
    <w:rsid w:val="006832FA"/>
    <w:rsid w:val="0068368F"/>
    <w:rsid w:val="00683828"/>
    <w:rsid w:val="00683950"/>
    <w:rsid w:val="00683E2F"/>
    <w:rsid w:val="00683EAE"/>
    <w:rsid w:val="0068428D"/>
    <w:rsid w:val="00684A72"/>
    <w:rsid w:val="0068512D"/>
    <w:rsid w:val="00685B76"/>
    <w:rsid w:val="00686451"/>
    <w:rsid w:val="006864A6"/>
    <w:rsid w:val="0068696C"/>
    <w:rsid w:val="00686D59"/>
    <w:rsid w:val="00687818"/>
    <w:rsid w:val="00687889"/>
    <w:rsid w:val="006907D5"/>
    <w:rsid w:val="006907FD"/>
    <w:rsid w:val="00690F02"/>
    <w:rsid w:val="00692145"/>
    <w:rsid w:val="00692938"/>
    <w:rsid w:val="00692CB1"/>
    <w:rsid w:val="006938C2"/>
    <w:rsid w:val="00693926"/>
    <w:rsid w:val="00694703"/>
    <w:rsid w:val="00694D94"/>
    <w:rsid w:val="00695DEB"/>
    <w:rsid w:val="00696303"/>
    <w:rsid w:val="006965FD"/>
    <w:rsid w:val="00696780"/>
    <w:rsid w:val="006967DE"/>
    <w:rsid w:val="0069745B"/>
    <w:rsid w:val="00697496"/>
    <w:rsid w:val="006A0297"/>
    <w:rsid w:val="006A049D"/>
    <w:rsid w:val="006A0F16"/>
    <w:rsid w:val="006A1944"/>
    <w:rsid w:val="006A2006"/>
    <w:rsid w:val="006A219C"/>
    <w:rsid w:val="006A2B87"/>
    <w:rsid w:val="006A36D6"/>
    <w:rsid w:val="006A474D"/>
    <w:rsid w:val="006A4DBB"/>
    <w:rsid w:val="006A5125"/>
    <w:rsid w:val="006A6288"/>
    <w:rsid w:val="006A6FCD"/>
    <w:rsid w:val="006B08DA"/>
    <w:rsid w:val="006B0C43"/>
    <w:rsid w:val="006B0F12"/>
    <w:rsid w:val="006B1079"/>
    <w:rsid w:val="006B1D6A"/>
    <w:rsid w:val="006B1F36"/>
    <w:rsid w:val="006B2CB6"/>
    <w:rsid w:val="006B36FE"/>
    <w:rsid w:val="006B3812"/>
    <w:rsid w:val="006B3BE5"/>
    <w:rsid w:val="006B4232"/>
    <w:rsid w:val="006B443B"/>
    <w:rsid w:val="006B47CC"/>
    <w:rsid w:val="006B4AED"/>
    <w:rsid w:val="006B4F11"/>
    <w:rsid w:val="006B516B"/>
    <w:rsid w:val="006B5422"/>
    <w:rsid w:val="006B54DA"/>
    <w:rsid w:val="006B6291"/>
    <w:rsid w:val="006B684D"/>
    <w:rsid w:val="006B7A43"/>
    <w:rsid w:val="006B7CF6"/>
    <w:rsid w:val="006B7D4F"/>
    <w:rsid w:val="006C0725"/>
    <w:rsid w:val="006C0D9D"/>
    <w:rsid w:val="006C12CE"/>
    <w:rsid w:val="006C194A"/>
    <w:rsid w:val="006C19EC"/>
    <w:rsid w:val="006C1A93"/>
    <w:rsid w:val="006C1ABE"/>
    <w:rsid w:val="006C2048"/>
    <w:rsid w:val="006C2C8B"/>
    <w:rsid w:val="006C2D89"/>
    <w:rsid w:val="006C2DC8"/>
    <w:rsid w:val="006C304E"/>
    <w:rsid w:val="006C4081"/>
    <w:rsid w:val="006C4218"/>
    <w:rsid w:val="006C4422"/>
    <w:rsid w:val="006C4B46"/>
    <w:rsid w:val="006C4C80"/>
    <w:rsid w:val="006C4FD3"/>
    <w:rsid w:val="006C564C"/>
    <w:rsid w:val="006C5F48"/>
    <w:rsid w:val="006C6330"/>
    <w:rsid w:val="006C6F8A"/>
    <w:rsid w:val="006D0192"/>
    <w:rsid w:val="006D039B"/>
    <w:rsid w:val="006D03D7"/>
    <w:rsid w:val="006D0EBB"/>
    <w:rsid w:val="006D122E"/>
    <w:rsid w:val="006D1681"/>
    <w:rsid w:val="006D16F4"/>
    <w:rsid w:val="006D218A"/>
    <w:rsid w:val="006D236A"/>
    <w:rsid w:val="006D2939"/>
    <w:rsid w:val="006D2FD2"/>
    <w:rsid w:val="006D358E"/>
    <w:rsid w:val="006D57D8"/>
    <w:rsid w:val="006D5F8C"/>
    <w:rsid w:val="006D6186"/>
    <w:rsid w:val="006D6325"/>
    <w:rsid w:val="006D6CE3"/>
    <w:rsid w:val="006D6FF6"/>
    <w:rsid w:val="006D7103"/>
    <w:rsid w:val="006D73D4"/>
    <w:rsid w:val="006D77B5"/>
    <w:rsid w:val="006D7823"/>
    <w:rsid w:val="006D7A51"/>
    <w:rsid w:val="006E031B"/>
    <w:rsid w:val="006E0674"/>
    <w:rsid w:val="006E0ECD"/>
    <w:rsid w:val="006E0FC2"/>
    <w:rsid w:val="006E1296"/>
    <w:rsid w:val="006E136F"/>
    <w:rsid w:val="006E190B"/>
    <w:rsid w:val="006E1B0B"/>
    <w:rsid w:val="006E2E8F"/>
    <w:rsid w:val="006E2F17"/>
    <w:rsid w:val="006E3D6A"/>
    <w:rsid w:val="006E42A2"/>
    <w:rsid w:val="006E4C0B"/>
    <w:rsid w:val="006E50C6"/>
    <w:rsid w:val="006E5827"/>
    <w:rsid w:val="006E5FCC"/>
    <w:rsid w:val="006E6672"/>
    <w:rsid w:val="006E6AB1"/>
    <w:rsid w:val="006E6E8E"/>
    <w:rsid w:val="006E722C"/>
    <w:rsid w:val="006E7354"/>
    <w:rsid w:val="006E73DA"/>
    <w:rsid w:val="006E7B53"/>
    <w:rsid w:val="006F0054"/>
    <w:rsid w:val="006F07E3"/>
    <w:rsid w:val="006F0B2C"/>
    <w:rsid w:val="006F0CCE"/>
    <w:rsid w:val="006F120D"/>
    <w:rsid w:val="006F18A2"/>
    <w:rsid w:val="006F318E"/>
    <w:rsid w:val="006F33F0"/>
    <w:rsid w:val="006F3CC2"/>
    <w:rsid w:val="006F4E25"/>
    <w:rsid w:val="006F558D"/>
    <w:rsid w:val="006F6D26"/>
    <w:rsid w:val="006F70E6"/>
    <w:rsid w:val="006F73AF"/>
    <w:rsid w:val="007001DD"/>
    <w:rsid w:val="00700E19"/>
    <w:rsid w:val="00701060"/>
    <w:rsid w:val="00701090"/>
    <w:rsid w:val="007011D2"/>
    <w:rsid w:val="007015FB"/>
    <w:rsid w:val="00701B19"/>
    <w:rsid w:val="00701E58"/>
    <w:rsid w:val="0070291A"/>
    <w:rsid w:val="0070366F"/>
    <w:rsid w:val="00703898"/>
    <w:rsid w:val="00703913"/>
    <w:rsid w:val="007043C7"/>
    <w:rsid w:val="007049BA"/>
    <w:rsid w:val="00705C40"/>
    <w:rsid w:val="007076A4"/>
    <w:rsid w:val="0070795F"/>
    <w:rsid w:val="007079A0"/>
    <w:rsid w:val="00707E6B"/>
    <w:rsid w:val="00710A30"/>
    <w:rsid w:val="00710D1C"/>
    <w:rsid w:val="00711887"/>
    <w:rsid w:val="00712557"/>
    <w:rsid w:val="00712831"/>
    <w:rsid w:val="00712F78"/>
    <w:rsid w:val="00713F7D"/>
    <w:rsid w:val="00713FEC"/>
    <w:rsid w:val="007140F8"/>
    <w:rsid w:val="00714255"/>
    <w:rsid w:val="00715186"/>
    <w:rsid w:val="00715BD7"/>
    <w:rsid w:val="00715E1B"/>
    <w:rsid w:val="007164B0"/>
    <w:rsid w:val="0071688C"/>
    <w:rsid w:val="007177A8"/>
    <w:rsid w:val="007179B6"/>
    <w:rsid w:val="00717CBB"/>
    <w:rsid w:val="00717F80"/>
    <w:rsid w:val="007212BA"/>
    <w:rsid w:val="0072145C"/>
    <w:rsid w:val="007219C8"/>
    <w:rsid w:val="007225CF"/>
    <w:rsid w:val="007231C9"/>
    <w:rsid w:val="00723328"/>
    <w:rsid w:val="00723A8C"/>
    <w:rsid w:val="00723F70"/>
    <w:rsid w:val="007250F1"/>
    <w:rsid w:val="00725168"/>
    <w:rsid w:val="00725E80"/>
    <w:rsid w:val="007265B6"/>
    <w:rsid w:val="00726AF1"/>
    <w:rsid w:val="007271FD"/>
    <w:rsid w:val="007273ED"/>
    <w:rsid w:val="00727D36"/>
    <w:rsid w:val="007304F1"/>
    <w:rsid w:val="00730767"/>
    <w:rsid w:val="00730C4A"/>
    <w:rsid w:val="00730C62"/>
    <w:rsid w:val="00732439"/>
    <w:rsid w:val="00732E2E"/>
    <w:rsid w:val="0073390D"/>
    <w:rsid w:val="0073501D"/>
    <w:rsid w:val="00735674"/>
    <w:rsid w:val="00735E6F"/>
    <w:rsid w:val="00736251"/>
    <w:rsid w:val="00736688"/>
    <w:rsid w:val="00736AE6"/>
    <w:rsid w:val="00736CC3"/>
    <w:rsid w:val="0073701B"/>
    <w:rsid w:val="00737A80"/>
    <w:rsid w:val="007408FA"/>
    <w:rsid w:val="007419EF"/>
    <w:rsid w:val="00741A47"/>
    <w:rsid w:val="00741F1B"/>
    <w:rsid w:val="007423A4"/>
    <w:rsid w:val="007424A1"/>
    <w:rsid w:val="0074252F"/>
    <w:rsid w:val="00742573"/>
    <w:rsid w:val="007426B7"/>
    <w:rsid w:val="00742DC6"/>
    <w:rsid w:val="00743861"/>
    <w:rsid w:val="0074393F"/>
    <w:rsid w:val="00743E73"/>
    <w:rsid w:val="00744221"/>
    <w:rsid w:val="007446E9"/>
    <w:rsid w:val="00744D04"/>
    <w:rsid w:val="00744F3D"/>
    <w:rsid w:val="00745396"/>
    <w:rsid w:val="00745764"/>
    <w:rsid w:val="007465E3"/>
    <w:rsid w:val="00746DD1"/>
    <w:rsid w:val="00750D9E"/>
    <w:rsid w:val="007519DC"/>
    <w:rsid w:val="00752005"/>
    <w:rsid w:val="007523BB"/>
    <w:rsid w:val="007535AC"/>
    <w:rsid w:val="00753AFD"/>
    <w:rsid w:val="00753E0B"/>
    <w:rsid w:val="00754092"/>
    <w:rsid w:val="00754850"/>
    <w:rsid w:val="00754A50"/>
    <w:rsid w:val="00754E23"/>
    <w:rsid w:val="007551B3"/>
    <w:rsid w:val="0075549C"/>
    <w:rsid w:val="007557A6"/>
    <w:rsid w:val="00755A25"/>
    <w:rsid w:val="00755CDE"/>
    <w:rsid w:val="007567A7"/>
    <w:rsid w:val="00756A32"/>
    <w:rsid w:val="00756E13"/>
    <w:rsid w:val="00757129"/>
    <w:rsid w:val="007572E3"/>
    <w:rsid w:val="00757AC8"/>
    <w:rsid w:val="00757F22"/>
    <w:rsid w:val="00760399"/>
    <w:rsid w:val="00760CD3"/>
    <w:rsid w:val="007629B1"/>
    <w:rsid w:val="00762B9A"/>
    <w:rsid w:val="00762CBC"/>
    <w:rsid w:val="007638B3"/>
    <w:rsid w:val="007643BA"/>
    <w:rsid w:val="00764919"/>
    <w:rsid w:val="00764E49"/>
    <w:rsid w:val="00764F3C"/>
    <w:rsid w:val="0076505D"/>
    <w:rsid w:val="00765693"/>
    <w:rsid w:val="007658CE"/>
    <w:rsid w:val="00765A17"/>
    <w:rsid w:val="00766578"/>
    <w:rsid w:val="0076693A"/>
    <w:rsid w:val="00766C07"/>
    <w:rsid w:val="00767570"/>
    <w:rsid w:val="00767B5C"/>
    <w:rsid w:val="00767D84"/>
    <w:rsid w:val="00770FED"/>
    <w:rsid w:val="00771F61"/>
    <w:rsid w:val="00771FB1"/>
    <w:rsid w:val="007738D1"/>
    <w:rsid w:val="00773BED"/>
    <w:rsid w:val="00773C35"/>
    <w:rsid w:val="00773E4D"/>
    <w:rsid w:val="0077428F"/>
    <w:rsid w:val="00774627"/>
    <w:rsid w:val="00774665"/>
    <w:rsid w:val="00774EBB"/>
    <w:rsid w:val="00775450"/>
    <w:rsid w:val="00775650"/>
    <w:rsid w:val="007756F2"/>
    <w:rsid w:val="00775A9A"/>
    <w:rsid w:val="00775D87"/>
    <w:rsid w:val="00776907"/>
    <w:rsid w:val="00776D2C"/>
    <w:rsid w:val="00776D93"/>
    <w:rsid w:val="00777301"/>
    <w:rsid w:val="007779E0"/>
    <w:rsid w:val="0078087E"/>
    <w:rsid w:val="00780E10"/>
    <w:rsid w:val="00781259"/>
    <w:rsid w:val="00782ED4"/>
    <w:rsid w:val="00783A68"/>
    <w:rsid w:val="00783AE0"/>
    <w:rsid w:val="00783F15"/>
    <w:rsid w:val="00784198"/>
    <w:rsid w:val="007851E0"/>
    <w:rsid w:val="007859DD"/>
    <w:rsid w:val="0078637D"/>
    <w:rsid w:val="00787023"/>
    <w:rsid w:val="00787296"/>
    <w:rsid w:val="00787908"/>
    <w:rsid w:val="00787AD9"/>
    <w:rsid w:val="0079094B"/>
    <w:rsid w:val="00790E0D"/>
    <w:rsid w:val="0079116C"/>
    <w:rsid w:val="007921ED"/>
    <w:rsid w:val="00792245"/>
    <w:rsid w:val="00792DAF"/>
    <w:rsid w:val="00793472"/>
    <w:rsid w:val="00793654"/>
    <w:rsid w:val="007936C4"/>
    <w:rsid w:val="00793D95"/>
    <w:rsid w:val="00794AD7"/>
    <w:rsid w:val="00794BCC"/>
    <w:rsid w:val="00794C37"/>
    <w:rsid w:val="007952D9"/>
    <w:rsid w:val="00795AFF"/>
    <w:rsid w:val="00795FF7"/>
    <w:rsid w:val="00796013"/>
    <w:rsid w:val="00796F23"/>
    <w:rsid w:val="00797BCE"/>
    <w:rsid w:val="00797FE0"/>
    <w:rsid w:val="007A037D"/>
    <w:rsid w:val="007A04B6"/>
    <w:rsid w:val="007A0A2D"/>
    <w:rsid w:val="007A0C4F"/>
    <w:rsid w:val="007A16CE"/>
    <w:rsid w:val="007A1E90"/>
    <w:rsid w:val="007A2CFA"/>
    <w:rsid w:val="007A2F2F"/>
    <w:rsid w:val="007A3F79"/>
    <w:rsid w:val="007A40A0"/>
    <w:rsid w:val="007A46DB"/>
    <w:rsid w:val="007A4A6D"/>
    <w:rsid w:val="007A4A89"/>
    <w:rsid w:val="007A4B46"/>
    <w:rsid w:val="007A57EC"/>
    <w:rsid w:val="007A6B31"/>
    <w:rsid w:val="007A6EFB"/>
    <w:rsid w:val="007A77BA"/>
    <w:rsid w:val="007A77D7"/>
    <w:rsid w:val="007A7994"/>
    <w:rsid w:val="007A7D3A"/>
    <w:rsid w:val="007B0825"/>
    <w:rsid w:val="007B0B6B"/>
    <w:rsid w:val="007B2613"/>
    <w:rsid w:val="007B3331"/>
    <w:rsid w:val="007B351B"/>
    <w:rsid w:val="007B40E6"/>
    <w:rsid w:val="007B4274"/>
    <w:rsid w:val="007B4490"/>
    <w:rsid w:val="007B4520"/>
    <w:rsid w:val="007B47F2"/>
    <w:rsid w:val="007B480D"/>
    <w:rsid w:val="007B4B43"/>
    <w:rsid w:val="007B4CE3"/>
    <w:rsid w:val="007B5488"/>
    <w:rsid w:val="007B5704"/>
    <w:rsid w:val="007B6A2D"/>
    <w:rsid w:val="007B6CE3"/>
    <w:rsid w:val="007B6FBD"/>
    <w:rsid w:val="007B7E64"/>
    <w:rsid w:val="007C03CB"/>
    <w:rsid w:val="007C08A5"/>
    <w:rsid w:val="007C0E6B"/>
    <w:rsid w:val="007C18DB"/>
    <w:rsid w:val="007C1A39"/>
    <w:rsid w:val="007C231A"/>
    <w:rsid w:val="007C2F6A"/>
    <w:rsid w:val="007C2FA5"/>
    <w:rsid w:val="007C3380"/>
    <w:rsid w:val="007C3916"/>
    <w:rsid w:val="007C4490"/>
    <w:rsid w:val="007C465B"/>
    <w:rsid w:val="007C4C23"/>
    <w:rsid w:val="007C6BC3"/>
    <w:rsid w:val="007C6E64"/>
    <w:rsid w:val="007C7211"/>
    <w:rsid w:val="007C73F4"/>
    <w:rsid w:val="007C7A1E"/>
    <w:rsid w:val="007D0578"/>
    <w:rsid w:val="007D0D74"/>
    <w:rsid w:val="007D0F35"/>
    <w:rsid w:val="007D13AA"/>
    <w:rsid w:val="007D1B88"/>
    <w:rsid w:val="007D1D96"/>
    <w:rsid w:val="007D2073"/>
    <w:rsid w:val="007D288C"/>
    <w:rsid w:val="007D3355"/>
    <w:rsid w:val="007D3737"/>
    <w:rsid w:val="007D37E9"/>
    <w:rsid w:val="007D3C81"/>
    <w:rsid w:val="007D4E49"/>
    <w:rsid w:val="007D549E"/>
    <w:rsid w:val="007D569E"/>
    <w:rsid w:val="007D68E7"/>
    <w:rsid w:val="007D69A8"/>
    <w:rsid w:val="007D6BB8"/>
    <w:rsid w:val="007D7B88"/>
    <w:rsid w:val="007D7E10"/>
    <w:rsid w:val="007E01DC"/>
    <w:rsid w:val="007E0201"/>
    <w:rsid w:val="007E06C9"/>
    <w:rsid w:val="007E06F6"/>
    <w:rsid w:val="007E0C54"/>
    <w:rsid w:val="007E26C6"/>
    <w:rsid w:val="007E2F80"/>
    <w:rsid w:val="007E3B88"/>
    <w:rsid w:val="007E402D"/>
    <w:rsid w:val="007E4855"/>
    <w:rsid w:val="007E509C"/>
    <w:rsid w:val="007E5E59"/>
    <w:rsid w:val="007E6722"/>
    <w:rsid w:val="007E6C5A"/>
    <w:rsid w:val="007E75E8"/>
    <w:rsid w:val="007F01FA"/>
    <w:rsid w:val="007F0E80"/>
    <w:rsid w:val="007F0EFA"/>
    <w:rsid w:val="007F11C6"/>
    <w:rsid w:val="007F14CC"/>
    <w:rsid w:val="007F285F"/>
    <w:rsid w:val="007F3426"/>
    <w:rsid w:val="007F37DF"/>
    <w:rsid w:val="007F3F84"/>
    <w:rsid w:val="007F5738"/>
    <w:rsid w:val="007F69C2"/>
    <w:rsid w:val="007F7B97"/>
    <w:rsid w:val="007F7BCF"/>
    <w:rsid w:val="007F7D7D"/>
    <w:rsid w:val="00800215"/>
    <w:rsid w:val="00801534"/>
    <w:rsid w:val="00802FDD"/>
    <w:rsid w:val="00803768"/>
    <w:rsid w:val="0080491E"/>
    <w:rsid w:val="0080510A"/>
    <w:rsid w:val="00805223"/>
    <w:rsid w:val="00806419"/>
    <w:rsid w:val="00806CD5"/>
    <w:rsid w:val="00806E27"/>
    <w:rsid w:val="00807AC3"/>
    <w:rsid w:val="00807D2C"/>
    <w:rsid w:val="00810073"/>
    <w:rsid w:val="008101B9"/>
    <w:rsid w:val="00810246"/>
    <w:rsid w:val="00810347"/>
    <w:rsid w:val="0081056D"/>
    <w:rsid w:val="00810A92"/>
    <w:rsid w:val="008110BB"/>
    <w:rsid w:val="00811154"/>
    <w:rsid w:val="00811371"/>
    <w:rsid w:val="008117C3"/>
    <w:rsid w:val="00811D46"/>
    <w:rsid w:val="00811F63"/>
    <w:rsid w:val="0081335D"/>
    <w:rsid w:val="00813E32"/>
    <w:rsid w:val="008147F8"/>
    <w:rsid w:val="00814BF4"/>
    <w:rsid w:val="00816112"/>
    <w:rsid w:val="00816302"/>
    <w:rsid w:val="00816344"/>
    <w:rsid w:val="00816470"/>
    <w:rsid w:val="00816666"/>
    <w:rsid w:val="008166BC"/>
    <w:rsid w:val="00816DE7"/>
    <w:rsid w:val="00817D96"/>
    <w:rsid w:val="008201C0"/>
    <w:rsid w:val="008204A8"/>
    <w:rsid w:val="008207D4"/>
    <w:rsid w:val="00820858"/>
    <w:rsid w:val="008223E9"/>
    <w:rsid w:val="008224F4"/>
    <w:rsid w:val="0082282A"/>
    <w:rsid w:val="00822B97"/>
    <w:rsid w:val="008233D6"/>
    <w:rsid w:val="00824565"/>
    <w:rsid w:val="00825462"/>
    <w:rsid w:val="00825AB6"/>
    <w:rsid w:val="0082646A"/>
    <w:rsid w:val="00826AFF"/>
    <w:rsid w:val="008275EC"/>
    <w:rsid w:val="00827A4F"/>
    <w:rsid w:val="00827B43"/>
    <w:rsid w:val="008303AE"/>
    <w:rsid w:val="008303E6"/>
    <w:rsid w:val="0083088D"/>
    <w:rsid w:val="0083158F"/>
    <w:rsid w:val="00831AAC"/>
    <w:rsid w:val="00832676"/>
    <w:rsid w:val="00832BDB"/>
    <w:rsid w:val="00832F04"/>
    <w:rsid w:val="0083322E"/>
    <w:rsid w:val="00833762"/>
    <w:rsid w:val="008339D6"/>
    <w:rsid w:val="00833E89"/>
    <w:rsid w:val="00833E9D"/>
    <w:rsid w:val="0083408D"/>
    <w:rsid w:val="00835259"/>
    <w:rsid w:val="00835904"/>
    <w:rsid w:val="00835BE1"/>
    <w:rsid w:val="00835E94"/>
    <w:rsid w:val="00836679"/>
    <w:rsid w:val="00836691"/>
    <w:rsid w:val="00836946"/>
    <w:rsid w:val="00836C96"/>
    <w:rsid w:val="0083725C"/>
    <w:rsid w:val="00837500"/>
    <w:rsid w:val="00837B40"/>
    <w:rsid w:val="00837E25"/>
    <w:rsid w:val="00837EBA"/>
    <w:rsid w:val="00840B5B"/>
    <w:rsid w:val="00841363"/>
    <w:rsid w:val="0084171F"/>
    <w:rsid w:val="00841994"/>
    <w:rsid w:val="0084208C"/>
    <w:rsid w:val="00842E67"/>
    <w:rsid w:val="00843D6D"/>
    <w:rsid w:val="0084507E"/>
    <w:rsid w:val="00845F06"/>
    <w:rsid w:val="0084617B"/>
    <w:rsid w:val="00846C70"/>
    <w:rsid w:val="00847297"/>
    <w:rsid w:val="00847B4F"/>
    <w:rsid w:val="0085015B"/>
    <w:rsid w:val="008501EF"/>
    <w:rsid w:val="0085020D"/>
    <w:rsid w:val="00851095"/>
    <w:rsid w:val="00851726"/>
    <w:rsid w:val="00851E44"/>
    <w:rsid w:val="0085207C"/>
    <w:rsid w:val="0085217F"/>
    <w:rsid w:val="00853301"/>
    <w:rsid w:val="00853B2A"/>
    <w:rsid w:val="008543F9"/>
    <w:rsid w:val="00854A2F"/>
    <w:rsid w:val="00854EEC"/>
    <w:rsid w:val="008570E0"/>
    <w:rsid w:val="008608EA"/>
    <w:rsid w:val="00860C79"/>
    <w:rsid w:val="00860F3E"/>
    <w:rsid w:val="00861142"/>
    <w:rsid w:val="008614DF"/>
    <w:rsid w:val="00861761"/>
    <w:rsid w:val="0086283D"/>
    <w:rsid w:val="00863267"/>
    <w:rsid w:val="00863F54"/>
    <w:rsid w:val="00863FBF"/>
    <w:rsid w:val="008647F0"/>
    <w:rsid w:val="0086571C"/>
    <w:rsid w:val="00865B82"/>
    <w:rsid w:val="00866043"/>
    <w:rsid w:val="008660DD"/>
    <w:rsid w:val="0087043C"/>
    <w:rsid w:val="00871A00"/>
    <w:rsid w:val="00871F4F"/>
    <w:rsid w:val="00873294"/>
    <w:rsid w:val="00873320"/>
    <w:rsid w:val="008733F0"/>
    <w:rsid w:val="00873866"/>
    <w:rsid w:val="0087418B"/>
    <w:rsid w:val="00874368"/>
    <w:rsid w:val="00874A16"/>
    <w:rsid w:val="008762AF"/>
    <w:rsid w:val="008805FB"/>
    <w:rsid w:val="00880B43"/>
    <w:rsid w:val="00880C41"/>
    <w:rsid w:val="00880C63"/>
    <w:rsid w:val="00880CD6"/>
    <w:rsid w:val="00880D4F"/>
    <w:rsid w:val="00881249"/>
    <w:rsid w:val="008813B4"/>
    <w:rsid w:val="008825FB"/>
    <w:rsid w:val="00882C0D"/>
    <w:rsid w:val="00882D53"/>
    <w:rsid w:val="00883D8A"/>
    <w:rsid w:val="0088411B"/>
    <w:rsid w:val="00884489"/>
    <w:rsid w:val="0088511A"/>
    <w:rsid w:val="00885306"/>
    <w:rsid w:val="008853F0"/>
    <w:rsid w:val="00885488"/>
    <w:rsid w:val="00885966"/>
    <w:rsid w:val="00885EC4"/>
    <w:rsid w:val="00886220"/>
    <w:rsid w:val="00886D51"/>
    <w:rsid w:val="00887F02"/>
    <w:rsid w:val="008903B3"/>
    <w:rsid w:val="0089047A"/>
    <w:rsid w:val="0089096A"/>
    <w:rsid w:val="00891317"/>
    <w:rsid w:val="00891C30"/>
    <w:rsid w:val="00891D56"/>
    <w:rsid w:val="0089229E"/>
    <w:rsid w:val="0089237F"/>
    <w:rsid w:val="00892A2F"/>
    <w:rsid w:val="00893658"/>
    <w:rsid w:val="008939C1"/>
    <w:rsid w:val="00894835"/>
    <w:rsid w:val="0089508F"/>
    <w:rsid w:val="00895761"/>
    <w:rsid w:val="00895A0D"/>
    <w:rsid w:val="00895A1B"/>
    <w:rsid w:val="00895AE6"/>
    <w:rsid w:val="00895D91"/>
    <w:rsid w:val="008962B2"/>
    <w:rsid w:val="008964A1"/>
    <w:rsid w:val="00897E40"/>
    <w:rsid w:val="008A013C"/>
    <w:rsid w:val="008A0394"/>
    <w:rsid w:val="008A08AD"/>
    <w:rsid w:val="008A0B31"/>
    <w:rsid w:val="008A0E45"/>
    <w:rsid w:val="008A1154"/>
    <w:rsid w:val="008A141D"/>
    <w:rsid w:val="008A21F6"/>
    <w:rsid w:val="008A325A"/>
    <w:rsid w:val="008A3D98"/>
    <w:rsid w:val="008A4151"/>
    <w:rsid w:val="008A44FD"/>
    <w:rsid w:val="008A4F39"/>
    <w:rsid w:val="008A6091"/>
    <w:rsid w:val="008A6652"/>
    <w:rsid w:val="008A6A41"/>
    <w:rsid w:val="008B0C80"/>
    <w:rsid w:val="008B2060"/>
    <w:rsid w:val="008B2106"/>
    <w:rsid w:val="008B2449"/>
    <w:rsid w:val="008B2A8D"/>
    <w:rsid w:val="008B3224"/>
    <w:rsid w:val="008B3F19"/>
    <w:rsid w:val="008B3FBB"/>
    <w:rsid w:val="008B46B3"/>
    <w:rsid w:val="008B46CF"/>
    <w:rsid w:val="008B564E"/>
    <w:rsid w:val="008B6397"/>
    <w:rsid w:val="008B656D"/>
    <w:rsid w:val="008B669A"/>
    <w:rsid w:val="008B6EC1"/>
    <w:rsid w:val="008B77C5"/>
    <w:rsid w:val="008B7FEC"/>
    <w:rsid w:val="008C02D9"/>
    <w:rsid w:val="008C030F"/>
    <w:rsid w:val="008C033E"/>
    <w:rsid w:val="008C08A4"/>
    <w:rsid w:val="008C1E35"/>
    <w:rsid w:val="008C1F72"/>
    <w:rsid w:val="008C384F"/>
    <w:rsid w:val="008C3E59"/>
    <w:rsid w:val="008C4040"/>
    <w:rsid w:val="008C53C0"/>
    <w:rsid w:val="008C5496"/>
    <w:rsid w:val="008C6629"/>
    <w:rsid w:val="008C68AC"/>
    <w:rsid w:val="008C6BCD"/>
    <w:rsid w:val="008C751A"/>
    <w:rsid w:val="008C7615"/>
    <w:rsid w:val="008C78AC"/>
    <w:rsid w:val="008C7DE2"/>
    <w:rsid w:val="008D0222"/>
    <w:rsid w:val="008D033B"/>
    <w:rsid w:val="008D1025"/>
    <w:rsid w:val="008D1238"/>
    <w:rsid w:val="008D147B"/>
    <w:rsid w:val="008D157D"/>
    <w:rsid w:val="008D1B8D"/>
    <w:rsid w:val="008D2ADE"/>
    <w:rsid w:val="008D2D3A"/>
    <w:rsid w:val="008D2D49"/>
    <w:rsid w:val="008D3354"/>
    <w:rsid w:val="008D34E0"/>
    <w:rsid w:val="008D3514"/>
    <w:rsid w:val="008D3A71"/>
    <w:rsid w:val="008D3C37"/>
    <w:rsid w:val="008D4695"/>
    <w:rsid w:val="008D50EC"/>
    <w:rsid w:val="008D58E7"/>
    <w:rsid w:val="008D5C1D"/>
    <w:rsid w:val="008D5D8D"/>
    <w:rsid w:val="008D6252"/>
    <w:rsid w:val="008D6871"/>
    <w:rsid w:val="008D6EAB"/>
    <w:rsid w:val="008D72EF"/>
    <w:rsid w:val="008D7658"/>
    <w:rsid w:val="008E0403"/>
    <w:rsid w:val="008E0A3B"/>
    <w:rsid w:val="008E0AD3"/>
    <w:rsid w:val="008E1430"/>
    <w:rsid w:val="008E14F0"/>
    <w:rsid w:val="008E15D9"/>
    <w:rsid w:val="008E1809"/>
    <w:rsid w:val="008E185B"/>
    <w:rsid w:val="008E1D46"/>
    <w:rsid w:val="008E2079"/>
    <w:rsid w:val="008E208D"/>
    <w:rsid w:val="008E26C7"/>
    <w:rsid w:val="008E31C0"/>
    <w:rsid w:val="008E492A"/>
    <w:rsid w:val="008E4DFC"/>
    <w:rsid w:val="008E5B54"/>
    <w:rsid w:val="008E5EEF"/>
    <w:rsid w:val="008E6EA6"/>
    <w:rsid w:val="008E7D21"/>
    <w:rsid w:val="008E7EEF"/>
    <w:rsid w:val="008E7F0F"/>
    <w:rsid w:val="008F0E17"/>
    <w:rsid w:val="008F0F0A"/>
    <w:rsid w:val="008F1674"/>
    <w:rsid w:val="008F2B0F"/>
    <w:rsid w:val="008F2D08"/>
    <w:rsid w:val="008F306A"/>
    <w:rsid w:val="008F34F1"/>
    <w:rsid w:val="008F37BD"/>
    <w:rsid w:val="008F3B3A"/>
    <w:rsid w:val="008F41C4"/>
    <w:rsid w:val="008F430F"/>
    <w:rsid w:val="008F5023"/>
    <w:rsid w:val="008F5BF6"/>
    <w:rsid w:val="008F5D17"/>
    <w:rsid w:val="008F60BE"/>
    <w:rsid w:val="008F741C"/>
    <w:rsid w:val="008F7536"/>
    <w:rsid w:val="008F7C12"/>
    <w:rsid w:val="00900C0B"/>
    <w:rsid w:val="00900C97"/>
    <w:rsid w:val="00900C9E"/>
    <w:rsid w:val="00900F6E"/>
    <w:rsid w:val="0090151C"/>
    <w:rsid w:val="00901570"/>
    <w:rsid w:val="00901BFC"/>
    <w:rsid w:val="009022EE"/>
    <w:rsid w:val="009023CA"/>
    <w:rsid w:val="00902546"/>
    <w:rsid w:val="0090290E"/>
    <w:rsid w:val="00902E73"/>
    <w:rsid w:val="009031B4"/>
    <w:rsid w:val="0090352B"/>
    <w:rsid w:val="00903F73"/>
    <w:rsid w:val="00904314"/>
    <w:rsid w:val="009049FE"/>
    <w:rsid w:val="009055AC"/>
    <w:rsid w:val="00905843"/>
    <w:rsid w:val="00905AA6"/>
    <w:rsid w:val="00905B38"/>
    <w:rsid w:val="00905EA3"/>
    <w:rsid w:val="00906069"/>
    <w:rsid w:val="00907164"/>
    <w:rsid w:val="0090777D"/>
    <w:rsid w:val="00907F8E"/>
    <w:rsid w:val="00910460"/>
    <w:rsid w:val="00910581"/>
    <w:rsid w:val="00910C66"/>
    <w:rsid w:val="00910FCD"/>
    <w:rsid w:val="00912857"/>
    <w:rsid w:val="00912BB5"/>
    <w:rsid w:val="009141EA"/>
    <w:rsid w:val="0091520F"/>
    <w:rsid w:val="0091568B"/>
    <w:rsid w:val="009159C5"/>
    <w:rsid w:val="00916498"/>
    <w:rsid w:val="009164CF"/>
    <w:rsid w:val="00917508"/>
    <w:rsid w:val="00917608"/>
    <w:rsid w:val="00917BBC"/>
    <w:rsid w:val="009202B3"/>
    <w:rsid w:val="0092124D"/>
    <w:rsid w:val="00921808"/>
    <w:rsid w:val="009223CB"/>
    <w:rsid w:val="00922888"/>
    <w:rsid w:val="00923716"/>
    <w:rsid w:val="0092444D"/>
    <w:rsid w:val="00924540"/>
    <w:rsid w:val="00924880"/>
    <w:rsid w:val="00925685"/>
    <w:rsid w:val="0092659A"/>
    <w:rsid w:val="009266A0"/>
    <w:rsid w:val="00926BD9"/>
    <w:rsid w:val="00927B75"/>
    <w:rsid w:val="00930BEF"/>
    <w:rsid w:val="00930C34"/>
    <w:rsid w:val="00930D4E"/>
    <w:rsid w:val="00933186"/>
    <w:rsid w:val="0093346B"/>
    <w:rsid w:val="00933BC1"/>
    <w:rsid w:val="00933BF9"/>
    <w:rsid w:val="0093454C"/>
    <w:rsid w:val="009345F0"/>
    <w:rsid w:val="00935C29"/>
    <w:rsid w:val="00936B06"/>
    <w:rsid w:val="009401B2"/>
    <w:rsid w:val="0094061C"/>
    <w:rsid w:val="00940764"/>
    <w:rsid w:val="00940861"/>
    <w:rsid w:val="00940BC6"/>
    <w:rsid w:val="00940F00"/>
    <w:rsid w:val="009412D5"/>
    <w:rsid w:val="00941A83"/>
    <w:rsid w:val="00941B2E"/>
    <w:rsid w:val="00941EAB"/>
    <w:rsid w:val="0094202F"/>
    <w:rsid w:val="00942096"/>
    <w:rsid w:val="00942BE3"/>
    <w:rsid w:val="00942BF0"/>
    <w:rsid w:val="0094302C"/>
    <w:rsid w:val="0094406C"/>
    <w:rsid w:val="009446B8"/>
    <w:rsid w:val="00944759"/>
    <w:rsid w:val="009450F1"/>
    <w:rsid w:val="009453DF"/>
    <w:rsid w:val="00945A40"/>
    <w:rsid w:val="00946335"/>
    <w:rsid w:val="00946C9B"/>
    <w:rsid w:val="009475EF"/>
    <w:rsid w:val="00947A24"/>
    <w:rsid w:val="009502A5"/>
    <w:rsid w:val="0095082F"/>
    <w:rsid w:val="00950A71"/>
    <w:rsid w:val="00950BB7"/>
    <w:rsid w:val="00950D0A"/>
    <w:rsid w:val="00950DBD"/>
    <w:rsid w:val="00950E62"/>
    <w:rsid w:val="009510EE"/>
    <w:rsid w:val="00951824"/>
    <w:rsid w:val="00951E0F"/>
    <w:rsid w:val="0095280E"/>
    <w:rsid w:val="009536DB"/>
    <w:rsid w:val="009536FC"/>
    <w:rsid w:val="00953AAB"/>
    <w:rsid w:val="00953C7F"/>
    <w:rsid w:val="009541C7"/>
    <w:rsid w:val="00955251"/>
    <w:rsid w:val="0095527A"/>
    <w:rsid w:val="009559D3"/>
    <w:rsid w:val="00955CE4"/>
    <w:rsid w:val="009567D7"/>
    <w:rsid w:val="00956847"/>
    <w:rsid w:val="009602C8"/>
    <w:rsid w:val="00960645"/>
    <w:rsid w:val="00960EB7"/>
    <w:rsid w:val="00960FF4"/>
    <w:rsid w:val="00961162"/>
    <w:rsid w:val="0096135E"/>
    <w:rsid w:val="009622EF"/>
    <w:rsid w:val="00962A30"/>
    <w:rsid w:val="00962EB2"/>
    <w:rsid w:val="00963286"/>
    <w:rsid w:val="00965E2F"/>
    <w:rsid w:val="00965F35"/>
    <w:rsid w:val="00966001"/>
    <w:rsid w:val="00966DFE"/>
    <w:rsid w:val="00967275"/>
    <w:rsid w:val="00967970"/>
    <w:rsid w:val="00970248"/>
    <w:rsid w:val="00970E9E"/>
    <w:rsid w:val="0097193C"/>
    <w:rsid w:val="00971B49"/>
    <w:rsid w:val="009721A1"/>
    <w:rsid w:val="00972CA7"/>
    <w:rsid w:val="009730EB"/>
    <w:rsid w:val="009732EB"/>
    <w:rsid w:val="00973724"/>
    <w:rsid w:val="00973B78"/>
    <w:rsid w:val="00973F65"/>
    <w:rsid w:val="00973F73"/>
    <w:rsid w:val="00974D2D"/>
    <w:rsid w:val="009750E9"/>
    <w:rsid w:val="00975537"/>
    <w:rsid w:val="00975F0D"/>
    <w:rsid w:val="00976583"/>
    <w:rsid w:val="00976C52"/>
    <w:rsid w:val="00976F13"/>
    <w:rsid w:val="00976F9A"/>
    <w:rsid w:val="009779C8"/>
    <w:rsid w:val="00980CF6"/>
    <w:rsid w:val="00981335"/>
    <w:rsid w:val="00981521"/>
    <w:rsid w:val="00981B5E"/>
    <w:rsid w:val="009828B2"/>
    <w:rsid w:val="0098298D"/>
    <w:rsid w:val="0098333D"/>
    <w:rsid w:val="00984079"/>
    <w:rsid w:val="00984638"/>
    <w:rsid w:val="00984B38"/>
    <w:rsid w:val="009852BF"/>
    <w:rsid w:val="00985A5F"/>
    <w:rsid w:val="00985F70"/>
    <w:rsid w:val="0098622B"/>
    <w:rsid w:val="00986F2C"/>
    <w:rsid w:val="00987556"/>
    <w:rsid w:val="0098763D"/>
    <w:rsid w:val="009876BB"/>
    <w:rsid w:val="00990079"/>
    <w:rsid w:val="00990FEC"/>
    <w:rsid w:val="00991153"/>
    <w:rsid w:val="00991788"/>
    <w:rsid w:val="00991935"/>
    <w:rsid w:val="00991BC3"/>
    <w:rsid w:val="00991EFA"/>
    <w:rsid w:val="00992D1F"/>
    <w:rsid w:val="00993269"/>
    <w:rsid w:val="00993493"/>
    <w:rsid w:val="009936A6"/>
    <w:rsid w:val="00993A3A"/>
    <w:rsid w:val="009943FA"/>
    <w:rsid w:val="00994968"/>
    <w:rsid w:val="00994FBF"/>
    <w:rsid w:val="00995C74"/>
    <w:rsid w:val="0099635E"/>
    <w:rsid w:val="00996A7D"/>
    <w:rsid w:val="009976D3"/>
    <w:rsid w:val="00997E6E"/>
    <w:rsid w:val="009A0F96"/>
    <w:rsid w:val="009A1B8F"/>
    <w:rsid w:val="009A1D1B"/>
    <w:rsid w:val="009A1ECA"/>
    <w:rsid w:val="009A2828"/>
    <w:rsid w:val="009A3253"/>
    <w:rsid w:val="009A34F6"/>
    <w:rsid w:val="009A3664"/>
    <w:rsid w:val="009A37A5"/>
    <w:rsid w:val="009A5C25"/>
    <w:rsid w:val="009A5E9C"/>
    <w:rsid w:val="009A6282"/>
    <w:rsid w:val="009A6C16"/>
    <w:rsid w:val="009A7B18"/>
    <w:rsid w:val="009A7E6C"/>
    <w:rsid w:val="009B009E"/>
    <w:rsid w:val="009B0308"/>
    <w:rsid w:val="009B0F27"/>
    <w:rsid w:val="009B1141"/>
    <w:rsid w:val="009B1348"/>
    <w:rsid w:val="009B195C"/>
    <w:rsid w:val="009B1D93"/>
    <w:rsid w:val="009B25E9"/>
    <w:rsid w:val="009B321D"/>
    <w:rsid w:val="009B4B0B"/>
    <w:rsid w:val="009B4F26"/>
    <w:rsid w:val="009B5718"/>
    <w:rsid w:val="009B5E24"/>
    <w:rsid w:val="009B5F37"/>
    <w:rsid w:val="009B6263"/>
    <w:rsid w:val="009B7144"/>
    <w:rsid w:val="009B71D7"/>
    <w:rsid w:val="009B7592"/>
    <w:rsid w:val="009C02B0"/>
    <w:rsid w:val="009C0414"/>
    <w:rsid w:val="009C1619"/>
    <w:rsid w:val="009C18CD"/>
    <w:rsid w:val="009C253B"/>
    <w:rsid w:val="009C2662"/>
    <w:rsid w:val="009C2C7F"/>
    <w:rsid w:val="009C2EF0"/>
    <w:rsid w:val="009C312E"/>
    <w:rsid w:val="009C36D3"/>
    <w:rsid w:val="009C3808"/>
    <w:rsid w:val="009C38B9"/>
    <w:rsid w:val="009C3ADB"/>
    <w:rsid w:val="009C4068"/>
    <w:rsid w:val="009C4801"/>
    <w:rsid w:val="009C5D3A"/>
    <w:rsid w:val="009C694F"/>
    <w:rsid w:val="009C6955"/>
    <w:rsid w:val="009C6D40"/>
    <w:rsid w:val="009D1560"/>
    <w:rsid w:val="009D1691"/>
    <w:rsid w:val="009D1B4F"/>
    <w:rsid w:val="009D1BFC"/>
    <w:rsid w:val="009D2326"/>
    <w:rsid w:val="009D2840"/>
    <w:rsid w:val="009D2949"/>
    <w:rsid w:val="009D2BFA"/>
    <w:rsid w:val="009D3529"/>
    <w:rsid w:val="009D3A84"/>
    <w:rsid w:val="009D3E7C"/>
    <w:rsid w:val="009D4C98"/>
    <w:rsid w:val="009D4D35"/>
    <w:rsid w:val="009D4D7E"/>
    <w:rsid w:val="009D5793"/>
    <w:rsid w:val="009D57E3"/>
    <w:rsid w:val="009D5F2D"/>
    <w:rsid w:val="009D66F6"/>
    <w:rsid w:val="009D6BD7"/>
    <w:rsid w:val="009D7AF6"/>
    <w:rsid w:val="009E0368"/>
    <w:rsid w:val="009E0722"/>
    <w:rsid w:val="009E0A03"/>
    <w:rsid w:val="009E1409"/>
    <w:rsid w:val="009E3A52"/>
    <w:rsid w:val="009E42D1"/>
    <w:rsid w:val="009E42D5"/>
    <w:rsid w:val="009E456F"/>
    <w:rsid w:val="009E4BF8"/>
    <w:rsid w:val="009E58E4"/>
    <w:rsid w:val="009E5C2F"/>
    <w:rsid w:val="009E655C"/>
    <w:rsid w:val="009E662D"/>
    <w:rsid w:val="009E7814"/>
    <w:rsid w:val="009E7A6C"/>
    <w:rsid w:val="009E7C20"/>
    <w:rsid w:val="009F0531"/>
    <w:rsid w:val="009F0CAF"/>
    <w:rsid w:val="009F0E0C"/>
    <w:rsid w:val="009F167E"/>
    <w:rsid w:val="009F2254"/>
    <w:rsid w:val="009F231C"/>
    <w:rsid w:val="009F2AB7"/>
    <w:rsid w:val="009F2CE5"/>
    <w:rsid w:val="009F2E42"/>
    <w:rsid w:val="009F3385"/>
    <w:rsid w:val="009F36ED"/>
    <w:rsid w:val="009F4B03"/>
    <w:rsid w:val="009F4BFB"/>
    <w:rsid w:val="009F4D1E"/>
    <w:rsid w:val="009F4FE3"/>
    <w:rsid w:val="009F5102"/>
    <w:rsid w:val="009F540A"/>
    <w:rsid w:val="009F59B1"/>
    <w:rsid w:val="009F5A5E"/>
    <w:rsid w:val="009F6513"/>
    <w:rsid w:val="009F6D86"/>
    <w:rsid w:val="009F6E11"/>
    <w:rsid w:val="009F710F"/>
    <w:rsid w:val="009F7864"/>
    <w:rsid w:val="00A00226"/>
    <w:rsid w:val="00A00AB8"/>
    <w:rsid w:val="00A01511"/>
    <w:rsid w:val="00A01F87"/>
    <w:rsid w:val="00A021A3"/>
    <w:rsid w:val="00A0314E"/>
    <w:rsid w:val="00A05D2B"/>
    <w:rsid w:val="00A05D42"/>
    <w:rsid w:val="00A06B0B"/>
    <w:rsid w:val="00A06E3E"/>
    <w:rsid w:val="00A076F8"/>
    <w:rsid w:val="00A10441"/>
    <w:rsid w:val="00A10553"/>
    <w:rsid w:val="00A10737"/>
    <w:rsid w:val="00A10CDF"/>
    <w:rsid w:val="00A1159A"/>
    <w:rsid w:val="00A11D1B"/>
    <w:rsid w:val="00A11E4C"/>
    <w:rsid w:val="00A12074"/>
    <w:rsid w:val="00A121FE"/>
    <w:rsid w:val="00A1272B"/>
    <w:rsid w:val="00A12F62"/>
    <w:rsid w:val="00A13062"/>
    <w:rsid w:val="00A1393A"/>
    <w:rsid w:val="00A14429"/>
    <w:rsid w:val="00A144E0"/>
    <w:rsid w:val="00A14A24"/>
    <w:rsid w:val="00A15341"/>
    <w:rsid w:val="00A156DC"/>
    <w:rsid w:val="00A15CC3"/>
    <w:rsid w:val="00A15E5C"/>
    <w:rsid w:val="00A165AB"/>
    <w:rsid w:val="00A16DB1"/>
    <w:rsid w:val="00A16E00"/>
    <w:rsid w:val="00A171F6"/>
    <w:rsid w:val="00A17405"/>
    <w:rsid w:val="00A17549"/>
    <w:rsid w:val="00A17617"/>
    <w:rsid w:val="00A20434"/>
    <w:rsid w:val="00A20A6A"/>
    <w:rsid w:val="00A20BE0"/>
    <w:rsid w:val="00A21BB9"/>
    <w:rsid w:val="00A21ED6"/>
    <w:rsid w:val="00A220BF"/>
    <w:rsid w:val="00A2234A"/>
    <w:rsid w:val="00A22EF3"/>
    <w:rsid w:val="00A23D90"/>
    <w:rsid w:val="00A24224"/>
    <w:rsid w:val="00A262F4"/>
    <w:rsid w:val="00A2639A"/>
    <w:rsid w:val="00A26514"/>
    <w:rsid w:val="00A26B74"/>
    <w:rsid w:val="00A2785B"/>
    <w:rsid w:val="00A279BA"/>
    <w:rsid w:val="00A27AE8"/>
    <w:rsid w:val="00A30D5D"/>
    <w:rsid w:val="00A31613"/>
    <w:rsid w:val="00A3236C"/>
    <w:rsid w:val="00A324E7"/>
    <w:rsid w:val="00A32B2D"/>
    <w:rsid w:val="00A32D5A"/>
    <w:rsid w:val="00A331C5"/>
    <w:rsid w:val="00A332A0"/>
    <w:rsid w:val="00A3338A"/>
    <w:rsid w:val="00A33B5D"/>
    <w:rsid w:val="00A34D8E"/>
    <w:rsid w:val="00A350FB"/>
    <w:rsid w:val="00A36E0D"/>
    <w:rsid w:val="00A36E51"/>
    <w:rsid w:val="00A407F1"/>
    <w:rsid w:val="00A407FB"/>
    <w:rsid w:val="00A4212E"/>
    <w:rsid w:val="00A42AFD"/>
    <w:rsid w:val="00A42F5D"/>
    <w:rsid w:val="00A430C3"/>
    <w:rsid w:val="00A4363F"/>
    <w:rsid w:val="00A4392B"/>
    <w:rsid w:val="00A43BC8"/>
    <w:rsid w:val="00A4418A"/>
    <w:rsid w:val="00A444E9"/>
    <w:rsid w:val="00A447DA"/>
    <w:rsid w:val="00A455F5"/>
    <w:rsid w:val="00A46270"/>
    <w:rsid w:val="00A4654B"/>
    <w:rsid w:val="00A46695"/>
    <w:rsid w:val="00A4686B"/>
    <w:rsid w:val="00A4696E"/>
    <w:rsid w:val="00A46BFD"/>
    <w:rsid w:val="00A46C65"/>
    <w:rsid w:val="00A473C1"/>
    <w:rsid w:val="00A473C5"/>
    <w:rsid w:val="00A4757D"/>
    <w:rsid w:val="00A47AD8"/>
    <w:rsid w:val="00A50C3C"/>
    <w:rsid w:val="00A51691"/>
    <w:rsid w:val="00A51801"/>
    <w:rsid w:val="00A51BF4"/>
    <w:rsid w:val="00A52388"/>
    <w:rsid w:val="00A52C8E"/>
    <w:rsid w:val="00A52D4C"/>
    <w:rsid w:val="00A542A8"/>
    <w:rsid w:val="00A5509D"/>
    <w:rsid w:val="00A555F1"/>
    <w:rsid w:val="00A56B50"/>
    <w:rsid w:val="00A6017C"/>
    <w:rsid w:val="00A609D2"/>
    <w:rsid w:val="00A61215"/>
    <w:rsid w:val="00A617CE"/>
    <w:rsid w:val="00A61D77"/>
    <w:rsid w:val="00A620E4"/>
    <w:rsid w:val="00A62330"/>
    <w:rsid w:val="00A62461"/>
    <w:rsid w:val="00A62C11"/>
    <w:rsid w:val="00A62D5F"/>
    <w:rsid w:val="00A631F2"/>
    <w:rsid w:val="00A63497"/>
    <w:rsid w:val="00A64082"/>
    <w:rsid w:val="00A641C3"/>
    <w:rsid w:val="00A64CE3"/>
    <w:rsid w:val="00A65668"/>
    <w:rsid w:val="00A66CF0"/>
    <w:rsid w:val="00A67754"/>
    <w:rsid w:val="00A677DE"/>
    <w:rsid w:val="00A67B44"/>
    <w:rsid w:val="00A7021D"/>
    <w:rsid w:val="00A7084A"/>
    <w:rsid w:val="00A7214A"/>
    <w:rsid w:val="00A72C98"/>
    <w:rsid w:val="00A73CD6"/>
    <w:rsid w:val="00A74166"/>
    <w:rsid w:val="00A746AE"/>
    <w:rsid w:val="00A748F0"/>
    <w:rsid w:val="00A74AC0"/>
    <w:rsid w:val="00A75508"/>
    <w:rsid w:val="00A761C5"/>
    <w:rsid w:val="00A761FB"/>
    <w:rsid w:val="00A767DE"/>
    <w:rsid w:val="00A7681C"/>
    <w:rsid w:val="00A80AC8"/>
    <w:rsid w:val="00A81165"/>
    <w:rsid w:val="00A81D82"/>
    <w:rsid w:val="00A82243"/>
    <w:rsid w:val="00A82868"/>
    <w:rsid w:val="00A8301D"/>
    <w:rsid w:val="00A835C3"/>
    <w:rsid w:val="00A8411E"/>
    <w:rsid w:val="00A84731"/>
    <w:rsid w:val="00A84B16"/>
    <w:rsid w:val="00A84D24"/>
    <w:rsid w:val="00A85ADC"/>
    <w:rsid w:val="00A865FE"/>
    <w:rsid w:val="00A86666"/>
    <w:rsid w:val="00A86769"/>
    <w:rsid w:val="00A86849"/>
    <w:rsid w:val="00A86BCF"/>
    <w:rsid w:val="00A87462"/>
    <w:rsid w:val="00A87D0F"/>
    <w:rsid w:val="00A90557"/>
    <w:rsid w:val="00A90B67"/>
    <w:rsid w:val="00A90C9A"/>
    <w:rsid w:val="00A90CB5"/>
    <w:rsid w:val="00A91338"/>
    <w:rsid w:val="00A91B3F"/>
    <w:rsid w:val="00A92378"/>
    <w:rsid w:val="00A923F8"/>
    <w:rsid w:val="00A92E0C"/>
    <w:rsid w:val="00A935B5"/>
    <w:rsid w:val="00A935D0"/>
    <w:rsid w:val="00A93B4F"/>
    <w:rsid w:val="00A947DE"/>
    <w:rsid w:val="00A94A91"/>
    <w:rsid w:val="00A94F7D"/>
    <w:rsid w:val="00A95276"/>
    <w:rsid w:val="00A95A88"/>
    <w:rsid w:val="00A97906"/>
    <w:rsid w:val="00A97BC4"/>
    <w:rsid w:val="00A97D71"/>
    <w:rsid w:val="00AA086B"/>
    <w:rsid w:val="00AA0DA7"/>
    <w:rsid w:val="00AA148B"/>
    <w:rsid w:val="00AA266F"/>
    <w:rsid w:val="00AA2940"/>
    <w:rsid w:val="00AA2E51"/>
    <w:rsid w:val="00AA30FC"/>
    <w:rsid w:val="00AA38F5"/>
    <w:rsid w:val="00AA3E57"/>
    <w:rsid w:val="00AA40B9"/>
    <w:rsid w:val="00AA4176"/>
    <w:rsid w:val="00AA4522"/>
    <w:rsid w:val="00AA4DEC"/>
    <w:rsid w:val="00AA51E3"/>
    <w:rsid w:val="00AA5BEA"/>
    <w:rsid w:val="00AA5E94"/>
    <w:rsid w:val="00AA5FE1"/>
    <w:rsid w:val="00AA6218"/>
    <w:rsid w:val="00AA6619"/>
    <w:rsid w:val="00AA6D9F"/>
    <w:rsid w:val="00AA6F93"/>
    <w:rsid w:val="00AA6FF1"/>
    <w:rsid w:val="00AA76D3"/>
    <w:rsid w:val="00AB057C"/>
    <w:rsid w:val="00AB0BF8"/>
    <w:rsid w:val="00AB0E24"/>
    <w:rsid w:val="00AB11B8"/>
    <w:rsid w:val="00AB1811"/>
    <w:rsid w:val="00AB1BB3"/>
    <w:rsid w:val="00AB2585"/>
    <w:rsid w:val="00AB2773"/>
    <w:rsid w:val="00AB285F"/>
    <w:rsid w:val="00AB2A03"/>
    <w:rsid w:val="00AB2A54"/>
    <w:rsid w:val="00AB2F5F"/>
    <w:rsid w:val="00AB3106"/>
    <w:rsid w:val="00AB54F3"/>
    <w:rsid w:val="00AB59D3"/>
    <w:rsid w:val="00AB5A2D"/>
    <w:rsid w:val="00AB5CD3"/>
    <w:rsid w:val="00AB5F39"/>
    <w:rsid w:val="00AB6A2E"/>
    <w:rsid w:val="00AB6A43"/>
    <w:rsid w:val="00AB6C6B"/>
    <w:rsid w:val="00AC094D"/>
    <w:rsid w:val="00AC1CEE"/>
    <w:rsid w:val="00AC1DD9"/>
    <w:rsid w:val="00AC2003"/>
    <w:rsid w:val="00AC2348"/>
    <w:rsid w:val="00AC3C98"/>
    <w:rsid w:val="00AC3DC1"/>
    <w:rsid w:val="00AC4295"/>
    <w:rsid w:val="00AC43B3"/>
    <w:rsid w:val="00AC45C6"/>
    <w:rsid w:val="00AC4A3F"/>
    <w:rsid w:val="00AC4B8B"/>
    <w:rsid w:val="00AC50DA"/>
    <w:rsid w:val="00AC5B42"/>
    <w:rsid w:val="00AC5BDC"/>
    <w:rsid w:val="00AC639D"/>
    <w:rsid w:val="00AC697F"/>
    <w:rsid w:val="00AC69BA"/>
    <w:rsid w:val="00AC763A"/>
    <w:rsid w:val="00AC78DA"/>
    <w:rsid w:val="00AC7C59"/>
    <w:rsid w:val="00AD080C"/>
    <w:rsid w:val="00AD0AF9"/>
    <w:rsid w:val="00AD0E93"/>
    <w:rsid w:val="00AD0EB0"/>
    <w:rsid w:val="00AD0EB2"/>
    <w:rsid w:val="00AD11CE"/>
    <w:rsid w:val="00AD1713"/>
    <w:rsid w:val="00AD1B19"/>
    <w:rsid w:val="00AD1F2B"/>
    <w:rsid w:val="00AD3108"/>
    <w:rsid w:val="00AD3532"/>
    <w:rsid w:val="00AD35C1"/>
    <w:rsid w:val="00AD37FC"/>
    <w:rsid w:val="00AD4135"/>
    <w:rsid w:val="00AD49C5"/>
    <w:rsid w:val="00AD4A91"/>
    <w:rsid w:val="00AD4C5C"/>
    <w:rsid w:val="00AD4F60"/>
    <w:rsid w:val="00AD514D"/>
    <w:rsid w:val="00AD52E2"/>
    <w:rsid w:val="00AD609F"/>
    <w:rsid w:val="00AD66A0"/>
    <w:rsid w:val="00AD786B"/>
    <w:rsid w:val="00AE1493"/>
    <w:rsid w:val="00AE2866"/>
    <w:rsid w:val="00AE3249"/>
    <w:rsid w:val="00AE37C1"/>
    <w:rsid w:val="00AE3A81"/>
    <w:rsid w:val="00AE3B42"/>
    <w:rsid w:val="00AE4AEB"/>
    <w:rsid w:val="00AE4F32"/>
    <w:rsid w:val="00AE51C2"/>
    <w:rsid w:val="00AE552D"/>
    <w:rsid w:val="00AE6238"/>
    <w:rsid w:val="00AE63A1"/>
    <w:rsid w:val="00AE64B0"/>
    <w:rsid w:val="00AE652F"/>
    <w:rsid w:val="00AE736E"/>
    <w:rsid w:val="00AE7CA5"/>
    <w:rsid w:val="00AF0696"/>
    <w:rsid w:val="00AF1700"/>
    <w:rsid w:val="00AF2CDB"/>
    <w:rsid w:val="00AF2D8D"/>
    <w:rsid w:val="00AF3817"/>
    <w:rsid w:val="00AF3DA1"/>
    <w:rsid w:val="00AF40C2"/>
    <w:rsid w:val="00AF44D8"/>
    <w:rsid w:val="00AF507D"/>
    <w:rsid w:val="00AF5503"/>
    <w:rsid w:val="00AF5CA5"/>
    <w:rsid w:val="00AF67D1"/>
    <w:rsid w:val="00AF6B33"/>
    <w:rsid w:val="00AF6F3E"/>
    <w:rsid w:val="00AF7227"/>
    <w:rsid w:val="00AF7465"/>
    <w:rsid w:val="00AF7A26"/>
    <w:rsid w:val="00B005C3"/>
    <w:rsid w:val="00B00BF3"/>
    <w:rsid w:val="00B0199A"/>
    <w:rsid w:val="00B024B8"/>
    <w:rsid w:val="00B0271E"/>
    <w:rsid w:val="00B03051"/>
    <w:rsid w:val="00B03B56"/>
    <w:rsid w:val="00B0413F"/>
    <w:rsid w:val="00B041AB"/>
    <w:rsid w:val="00B0543E"/>
    <w:rsid w:val="00B06481"/>
    <w:rsid w:val="00B06632"/>
    <w:rsid w:val="00B06884"/>
    <w:rsid w:val="00B0720C"/>
    <w:rsid w:val="00B0744F"/>
    <w:rsid w:val="00B07900"/>
    <w:rsid w:val="00B079A5"/>
    <w:rsid w:val="00B07E5A"/>
    <w:rsid w:val="00B108A7"/>
    <w:rsid w:val="00B10E7C"/>
    <w:rsid w:val="00B11E4E"/>
    <w:rsid w:val="00B13147"/>
    <w:rsid w:val="00B137A1"/>
    <w:rsid w:val="00B14579"/>
    <w:rsid w:val="00B14CFB"/>
    <w:rsid w:val="00B14E30"/>
    <w:rsid w:val="00B15EB1"/>
    <w:rsid w:val="00B16D8D"/>
    <w:rsid w:val="00B16E4B"/>
    <w:rsid w:val="00B16ECF"/>
    <w:rsid w:val="00B16EF5"/>
    <w:rsid w:val="00B17657"/>
    <w:rsid w:val="00B200B0"/>
    <w:rsid w:val="00B20378"/>
    <w:rsid w:val="00B20899"/>
    <w:rsid w:val="00B20EE7"/>
    <w:rsid w:val="00B21D7D"/>
    <w:rsid w:val="00B22678"/>
    <w:rsid w:val="00B22A59"/>
    <w:rsid w:val="00B22AD6"/>
    <w:rsid w:val="00B22F9F"/>
    <w:rsid w:val="00B23657"/>
    <w:rsid w:val="00B23722"/>
    <w:rsid w:val="00B242BA"/>
    <w:rsid w:val="00B244F1"/>
    <w:rsid w:val="00B2487B"/>
    <w:rsid w:val="00B24952"/>
    <w:rsid w:val="00B24A8A"/>
    <w:rsid w:val="00B24B2D"/>
    <w:rsid w:val="00B252B3"/>
    <w:rsid w:val="00B25702"/>
    <w:rsid w:val="00B26E3C"/>
    <w:rsid w:val="00B27CA1"/>
    <w:rsid w:val="00B3016A"/>
    <w:rsid w:val="00B30FB1"/>
    <w:rsid w:val="00B31114"/>
    <w:rsid w:val="00B31339"/>
    <w:rsid w:val="00B32632"/>
    <w:rsid w:val="00B327D1"/>
    <w:rsid w:val="00B344B3"/>
    <w:rsid w:val="00B34551"/>
    <w:rsid w:val="00B34766"/>
    <w:rsid w:val="00B34D32"/>
    <w:rsid w:val="00B35357"/>
    <w:rsid w:val="00B35D88"/>
    <w:rsid w:val="00B37771"/>
    <w:rsid w:val="00B37F28"/>
    <w:rsid w:val="00B403DB"/>
    <w:rsid w:val="00B412C6"/>
    <w:rsid w:val="00B416CE"/>
    <w:rsid w:val="00B4170B"/>
    <w:rsid w:val="00B41EF6"/>
    <w:rsid w:val="00B425A0"/>
    <w:rsid w:val="00B43CA5"/>
    <w:rsid w:val="00B43EBF"/>
    <w:rsid w:val="00B4408B"/>
    <w:rsid w:val="00B448E4"/>
    <w:rsid w:val="00B45064"/>
    <w:rsid w:val="00B45A09"/>
    <w:rsid w:val="00B465DF"/>
    <w:rsid w:val="00B468F2"/>
    <w:rsid w:val="00B46B1A"/>
    <w:rsid w:val="00B477B2"/>
    <w:rsid w:val="00B506DE"/>
    <w:rsid w:val="00B508DF"/>
    <w:rsid w:val="00B50AEE"/>
    <w:rsid w:val="00B51AB4"/>
    <w:rsid w:val="00B52276"/>
    <w:rsid w:val="00B52CF5"/>
    <w:rsid w:val="00B52EF7"/>
    <w:rsid w:val="00B52FB2"/>
    <w:rsid w:val="00B5354A"/>
    <w:rsid w:val="00B54555"/>
    <w:rsid w:val="00B54B27"/>
    <w:rsid w:val="00B54BA8"/>
    <w:rsid w:val="00B551AC"/>
    <w:rsid w:val="00B55C1C"/>
    <w:rsid w:val="00B55CAB"/>
    <w:rsid w:val="00B55EE5"/>
    <w:rsid w:val="00B56431"/>
    <w:rsid w:val="00B56AC5"/>
    <w:rsid w:val="00B5728E"/>
    <w:rsid w:val="00B578B0"/>
    <w:rsid w:val="00B61976"/>
    <w:rsid w:val="00B626F7"/>
    <w:rsid w:val="00B63113"/>
    <w:rsid w:val="00B6337C"/>
    <w:rsid w:val="00B635A2"/>
    <w:rsid w:val="00B638CB"/>
    <w:rsid w:val="00B64178"/>
    <w:rsid w:val="00B647F0"/>
    <w:rsid w:val="00B651A7"/>
    <w:rsid w:val="00B65375"/>
    <w:rsid w:val="00B67679"/>
    <w:rsid w:val="00B67FCA"/>
    <w:rsid w:val="00B7008E"/>
    <w:rsid w:val="00B7027A"/>
    <w:rsid w:val="00B70B2F"/>
    <w:rsid w:val="00B7152C"/>
    <w:rsid w:val="00B71918"/>
    <w:rsid w:val="00B720D2"/>
    <w:rsid w:val="00B72EFE"/>
    <w:rsid w:val="00B7318F"/>
    <w:rsid w:val="00B739DE"/>
    <w:rsid w:val="00B7440D"/>
    <w:rsid w:val="00B76614"/>
    <w:rsid w:val="00B76BDA"/>
    <w:rsid w:val="00B775DA"/>
    <w:rsid w:val="00B77C39"/>
    <w:rsid w:val="00B77EA0"/>
    <w:rsid w:val="00B80DAA"/>
    <w:rsid w:val="00B80E05"/>
    <w:rsid w:val="00B81517"/>
    <w:rsid w:val="00B818D6"/>
    <w:rsid w:val="00B82739"/>
    <w:rsid w:val="00B8275D"/>
    <w:rsid w:val="00B8277A"/>
    <w:rsid w:val="00B83452"/>
    <w:rsid w:val="00B8360A"/>
    <w:rsid w:val="00B83956"/>
    <w:rsid w:val="00B84F40"/>
    <w:rsid w:val="00B86410"/>
    <w:rsid w:val="00B86BB9"/>
    <w:rsid w:val="00B86CC7"/>
    <w:rsid w:val="00B87267"/>
    <w:rsid w:val="00B8787B"/>
    <w:rsid w:val="00B87ABD"/>
    <w:rsid w:val="00B87E1C"/>
    <w:rsid w:val="00B90961"/>
    <w:rsid w:val="00B90980"/>
    <w:rsid w:val="00B91054"/>
    <w:rsid w:val="00B91114"/>
    <w:rsid w:val="00B9167C"/>
    <w:rsid w:val="00B92298"/>
    <w:rsid w:val="00B922F3"/>
    <w:rsid w:val="00B9269A"/>
    <w:rsid w:val="00B929E6"/>
    <w:rsid w:val="00B938EA"/>
    <w:rsid w:val="00B93AE3"/>
    <w:rsid w:val="00B93F08"/>
    <w:rsid w:val="00B944AB"/>
    <w:rsid w:val="00B949B5"/>
    <w:rsid w:val="00B95B08"/>
    <w:rsid w:val="00B95D74"/>
    <w:rsid w:val="00B965F1"/>
    <w:rsid w:val="00B974ED"/>
    <w:rsid w:val="00B97CC7"/>
    <w:rsid w:val="00B97CE9"/>
    <w:rsid w:val="00B97DA8"/>
    <w:rsid w:val="00BA1119"/>
    <w:rsid w:val="00BA1319"/>
    <w:rsid w:val="00BA1A9E"/>
    <w:rsid w:val="00BA1B7B"/>
    <w:rsid w:val="00BA2509"/>
    <w:rsid w:val="00BA359E"/>
    <w:rsid w:val="00BA3B5E"/>
    <w:rsid w:val="00BA53C5"/>
    <w:rsid w:val="00BA654E"/>
    <w:rsid w:val="00BA698C"/>
    <w:rsid w:val="00BA7088"/>
    <w:rsid w:val="00BA7A57"/>
    <w:rsid w:val="00BB0075"/>
    <w:rsid w:val="00BB0BBA"/>
    <w:rsid w:val="00BB1301"/>
    <w:rsid w:val="00BB13E2"/>
    <w:rsid w:val="00BB189A"/>
    <w:rsid w:val="00BB1BAF"/>
    <w:rsid w:val="00BB1E51"/>
    <w:rsid w:val="00BB200F"/>
    <w:rsid w:val="00BB219C"/>
    <w:rsid w:val="00BB26F8"/>
    <w:rsid w:val="00BB2E8D"/>
    <w:rsid w:val="00BB32CB"/>
    <w:rsid w:val="00BB3BA5"/>
    <w:rsid w:val="00BB4426"/>
    <w:rsid w:val="00BB4756"/>
    <w:rsid w:val="00BB4844"/>
    <w:rsid w:val="00BB4C82"/>
    <w:rsid w:val="00BB5290"/>
    <w:rsid w:val="00BB52F4"/>
    <w:rsid w:val="00BB6F3C"/>
    <w:rsid w:val="00BB72DA"/>
    <w:rsid w:val="00BB7CAF"/>
    <w:rsid w:val="00BC00FF"/>
    <w:rsid w:val="00BC098B"/>
    <w:rsid w:val="00BC0A21"/>
    <w:rsid w:val="00BC0CCA"/>
    <w:rsid w:val="00BC1503"/>
    <w:rsid w:val="00BC2B59"/>
    <w:rsid w:val="00BC2B97"/>
    <w:rsid w:val="00BC2D79"/>
    <w:rsid w:val="00BC314E"/>
    <w:rsid w:val="00BC323B"/>
    <w:rsid w:val="00BC3606"/>
    <w:rsid w:val="00BC3D0B"/>
    <w:rsid w:val="00BC3DE7"/>
    <w:rsid w:val="00BC41CF"/>
    <w:rsid w:val="00BC4235"/>
    <w:rsid w:val="00BC49B1"/>
    <w:rsid w:val="00BC5B34"/>
    <w:rsid w:val="00BC6026"/>
    <w:rsid w:val="00BC63AC"/>
    <w:rsid w:val="00BC642C"/>
    <w:rsid w:val="00BC6C83"/>
    <w:rsid w:val="00BC6EAA"/>
    <w:rsid w:val="00BC717D"/>
    <w:rsid w:val="00BC753C"/>
    <w:rsid w:val="00BC7FB3"/>
    <w:rsid w:val="00BD03D6"/>
    <w:rsid w:val="00BD0660"/>
    <w:rsid w:val="00BD0FE4"/>
    <w:rsid w:val="00BD1025"/>
    <w:rsid w:val="00BD10B8"/>
    <w:rsid w:val="00BD114A"/>
    <w:rsid w:val="00BD18FC"/>
    <w:rsid w:val="00BD1A7C"/>
    <w:rsid w:val="00BD238F"/>
    <w:rsid w:val="00BD2A73"/>
    <w:rsid w:val="00BD3107"/>
    <w:rsid w:val="00BD32A5"/>
    <w:rsid w:val="00BD342C"/>
    <w:rsid w:val="00BD3AE8"/>
    <w:rsid w:val="00BD3E0A"/>
    <w:rsid w:val="00BD438F"/>
    <w:rsid w:val="00BD4E1D"/>
    <w:rsid w:val="00BD5C5E"/>
    <w:rsid w:val="00BD6A72"/>
    <w:rsid w:val="00BD6C1D"/>
    <w:rsid w:val="00BD75EA"/>
    <w:rsid w:val="00BE01B2"/>
    <w:rsid w:val="00BE0443"/>
    <w:rsid w:val="00BE0614"/>
    <w:rsid w:val="00BE1665"/>
    <w:rsid w:val="00BE1896"/>
    <w:rsid w:val="00BE1F5E"/>
    <w:rsid w:val="00BE23CC"/>
    <w:rsid w:val="00BE27A1"/>
    <w:rsid w:val="00BE281E"/>
    <w:rsid w:val="00BE2823"/>
    <w:rsid w:val="00BE2F0B"/>
    <w:rsid w:val="00BE3B09"/>
    <w:rsid w:val="00BE3D72"/>
    <w:rsid w:val="00BE3DFF"/>
    <w:rsid w:val="00BE4569"/>
    <w:rsid w:val="00BE4CBE"/>
    <w:rsid w:val="00BE4E33"/>
    <w:rsid w:val="00BE557B"/>
    <w:rsid w:val="00BE5D9E"/>
    <w:rsid w:val="00BE6507"/>
    <w:rsid w:val="00BE6D51"/>
    <w:rsid w:val="00BE7392"/>
    <w:rsid w:val="00BE73F4"/>
    <w:rsid w:val="00BE7EC2"/>
    <w:rsid w:val="00BF038D"/>
    <w:rsid w:val="00BF0704"/>
    <w:rsid w:val="00BF07E1"/>
    <w:rsid w:val="00BF0A0C"/>
    <w:rsid w:val="00BF1AEE"/>
    <w:rsid w:val="00BF1CB4"/>
    <w:rsid w:val="00BF204A"/>
    <w:rsid w:val="00BF211D"/>
    <w:rsid w:val="00BF2670"/>
    <w:rsid w:val="00BF2A9B"/>
    <w:rsid w:val="00BF2B60"/>
    <w:rsid w:val="00BF32C3"/>
    <w:rsid w:val="00BF4313"/>
    <w:rsid w:val="00BF47FC"/>
    <w:rsid w:val="00BF4C1E"/>
    <w:rsid w:val="00BF54A7"/>
    <w:rsid w:val="00BF5E18"/>
    <w:rsid w:val="00BF623E"/>
    <w:rsid w:val="00BF6421"/>
    <w:rsid w:val="00BF651E"/>
    <w:rsid w:val="00BF6AC0"/>
    <w:rsid w:val="00BF70AA"/>
    <w:rsid w:val="00BF757B"/>
    <w:rsid w:val="00BF763A"/>
    <w:rsid w:val="00BF7F3F"/>
    <w:rsid w:val="00C00542"/>
    <w:rsid w:val="00C00930"/>
    <w:rsid w:val="00C019E4"/>
    <w:rsid w:val="00C01D69"/>
    <w:rsid w:val="00C01E55"/>
    <w:rsid w:val="00C01E5F"/>
    <w:rsid w:val="00C01E72"/>
    <w:rsid w:val="00C02210"/>
    <w:rsid w:val="00C03653"/>
    <w:rsid w:val="00C03CDE"/>
    <w:rsid w:val="00C046B0"/>
    <w:rsid w:val="00C04B39"/>
    <w:rsid w:val="00C05F61"/>
    <w:rsid w:val="00C07321"/>
    <w:rsid w:val="00C07EDD"/>
    <w:rsid w:val="00C10094"/>
    <w:rsid w:val="00C1026D"/>
    <w:rsid w:val="00C106B0"/>
    <w:rsid w:val="00C108E1"/>
    <w:rsid w:val="00C113C4"/>
    <w:rsid w:val="00C11776"/>
    <w:rsid w:val="00C118E6"/>
    <w:rsid w:val="00C11C7B"/>
    <w:rsid w:val="00C121E6"/>
    <w:rsid w:val="00C12BDD"/>
    <w:rsid w:val="00C130F2"/>
    <w:rsid w:val="00C13258"/>
    <w:rsid w:val="00C13D76"/>
    <w:rsid w:val="00C13DA0"/>
    <w:rsid w:val="00C1430C"/>
    <w:rsid w:val="00C14430"/>
    <w:rsid w:val="00C144C6"/>
    <w:rsid w:val="00C147AC"/>
    <w:rsid w:val="00C14A9F"/>
    <w:rsid w:val="00C14AB8"/>
    <w:rsid w:val="00C1566B"/>
    <w:rsid w:val="00C15B41"/>
    <w:rsid w:val="00C15D05"/>
    <w:rsid w:val="00C162A6"/>
    <w:rsid w:val="00C16883"/>
    <w:rsid w:val="00C172A0"/>
    <w:rsid w:val="00C17345"/>
    <w:rsid w:val="00C176F0"/>
    <w:rsid w:val="00C17A87"/>
    <w:rsid w:val="00C17C5A"/>
    <w:rsid w:val="00C17F8B"/>
    <w:rsid w:val="00C20A67"/>
    <w:rsid w:val="00C2117D"/>
    <w:rsid w:val="00C21824"/>
    <w:rsid w:val="00C21C0C"/>
    <w:rsid w:val="00C2209E"/>
    <w:rsid w:val="00C222B2"/>
    <w:rsid w:val="00C22801"/>
    <w:rsid w:val="00C23419"/>
    <w:rsid w:val="00C243B5"/>
    <w:rsid w:val="00C244D3"/>
    <w:rsid w:val="00C24797"/>
    <w:rsid w:val="00C25193"/>
    <w:rsid w:val="00C2535B"/>
    <w:rsid w:val="00C256B8"/>
    <w:rsid w:val="00C25803"/>
    <w:rsid w:val="00C25E1F"/>
    <w:rsid w:val="00C25E49"/>
    <w:rsid w:val="00C268A1"/>
    <w:rsid w:val="00C26D33"/>
    <w:rsid w:val="00C2752C"/>
    <w:rsid w:val="00C27669"/>
    <w:rsid w:val="00C2775D"/>
    <w:rsid w:val="00C30006"/>
    <w:rsid w:val="00C30365"/>
    <w:rsid w:val="00C30471"/>
    <w:rsid w:val="00C3096E"/>
    <w:rsid w:val="00C30A07"/>
    <w:rsid w:val="00C31444"/>
    <w:rsid w:val="00C319CC"/>
    <w:rsid w:val="00C327F9"/>
    <w:rsid w:val="00C33012"/>
    <w:rsid w:val="00C33631"/>
    <w:rsid w:val="00C34415"/>
    <w:rsid w:val="00C35517"/>
    <w:rsid w:val="00C367A2"/>
    <w:rsid w:val="00C36ABC"/>
    <w:rsid w:val="00C36C92"/>
    <w:rsid w:val="00C36DF5"/>
    <w:rsid w:val="00C371C5"/>
    <w:rsid w:val="00C37870"/>
    <w:rsid w:val="00C37D6F"/>
    <w:rsid w:val="00C40540"/>
    <w:rsid w:val="00C4065D"/>
    <w:rsid w:val="00C41121"/>
    <w:rsid w:val="00C4191C"/>
    <w:rsid w:val="00C41BEA"/>
    <w:rsid w:val="00C41FA4"/>
    <w:rsid w:val="00C42C24"/>
    <w:rsid w:val="00C4355B"/>
    <w:rsid w:val="00C43565"/>
    <w:rsid w:val="00C43887"/>
    <w:rsid w:val="00C442F0"/>
    <w:rsid w:val="00C4474A"/>
    <w:rsid w:val="00C467E7"/>
    <w:rsid w:val="00C50487"/>
    <w:rsid w:val="00C5167C"/>
    <w:rsid w:val="00C5168F"/>
    <w:rsid w:val="00C526E8"/>
    <w:rsid w:val="00C52ABE"/>
    <w:rsid w:val="00C53C0F"/>
    <w:rsid w:val="00C545AA"/>
    <w:rsid w:val="00C55DD8"/>
    <w:rsid w:val="00C560AB"/>
    <w:rsid w:val="00C56868"/>
    <w:rsid w:val="00C568CE"/>
    <w:rsid w:val="00C56C64"/>
    <w:rsid w:val="00C56D27"/>
    <w:rsid w:val="00C573D4"/>
    <w:rsid w:val="00C57414"/>
    <w:rsid w:val="00C5756C"/>
    <w:rsid w:val="00C60585"/>
    <w:rsid w:val="00C6127C"/>
    <w:rsid w:val="00C614DF"/>
    <w:rsid w:val="00C61704"/>
    <w:rsid w:val="00C62666"/>
    <w:rsid w:val="00C62BDF"/>
    <w:rsid w:val="00C62F8C"/>
    <w:rsid w:val="00C63193"/>
    <w:rsid w:val="00C63998"/>
    <w:rsid w:val="00C63BC3"/>
    <w:rsid w:val="00C63CCB"/>
    <w:rsid w:val="00C64267"/>
    <w:rsid w:val="00C656D8"/>
    <w:rsid w:val="00C65790"/>
    <w:rsid w:val="00C65792"/>
    <w:rsid w:val="00C65943"/>
    <w:rsid w:val="00C65F0C"/>
    <w:rsid w:val="00C66294"/>
    <w:rsid w:val="00C66494"/>
    <w:rsid w:val="00C666CF"/>
    <w:rsid w:val="00C667A3"/>
    <w:rsid w:val="00C66B35"/>
    <w:rsid w:val="00C66BB6"/>
    <w:rsid w:val="00C66D9F"/>
    <w:rsid w:val="00C66F5F"/>
    <w:rsid w:val="00C67046"/>
    <w:rsid w:val="00C67A83"/>
    <w:rsid w:val="00C70C5A"/>
    <w:rsid w:val="00C71092"/>
    <w:rsid w:val="00C71167"/>
    <w:rsid w:val="00C7180E"/>
    <w:rsid w:val="00C720B0"/>
    <w:rsid w:val="00C74A32"/>
    <w:rsid w:val="00C74DD2"/>
    <w:rsid w:val="00C758F0"/>
    <w:rsid w:val="00C75D7B"/>
    <w:rsid w:val="00C76449"/>
    <w:rsid w:val="00C76BED"/>
    <w:rsid w:val="00C80171"/>
    <w:rsid w:val="00C81D8B"/>
    <w:rsid w:val="00C81F42"/>
    <w:rsid w:val="00C83E11"/>
    <w:rsid w:val="00C846AA"/>
    <w:rsid w:val="00C85217"/>
    <w:rsid w:val="00C8533A"/>
    <w:rsid w:val="00C85707"/>
    <w:rsid w:val="00C85F83"/>
    <w:rsid w:val="00C85FA7"/>
    <w:rsid w:val="00C8616B"/>
    <w:rsid w:val="00C86688"/>
    <w:rsid w:val="00C8779C"/>
    <w:rsid w:val="00C878D4"/>
    <w:rsid w:val="00C9000B"/>
    <w:rsid w:val="00C90348"/>
    <w:rsid w:val="00C91188"/>
    <w:rsid w:val="00C913EB"/>
    <w:rsid w:val="00C91EE1"/>
    <w:rsid w:val="00C924A6"/>
    <w:rsid w:val="00C924D0"/>
    <w:rsid w:val="00C92D14"/>
    <w:rsid w:val="00C930CB"/>
    <w:rsid w:val="00C93FA1"/>
    <w:rsid w:val="00C9411E"/>
    <w:rsid w:val="00C941B3"/>
    <w:rsid w:val="00C9494F"/>
    <w:rsid w:val="00C94C9E"/>
    <w:rsid w:val="00C94CD6"/>
    <w:rsid w:val="00C95729"/>
    <w:rsid w:val="00C95CBC"/>
    <w:rsid w:val="00C96D3B"/>
    <w:rsid w:val="00C973D5"/>
    <w:rsid w:val="00C97A11"/>
    <w:rsid w:val="00CA059F"/>
    <w:rsid w:val="00CA128D"/>
    <w:rsid w:val="00CA22E6"/>
    <w:rsid w:val="00CA258C"/>
    <w:rsid w:val="00CA27AC"/>
    <w:rsid w:val="00CA3244"/>
    <w:rsid w:val="00CA3D87"/>
    <w:rsid w:val="00CA4A13"/>
    <w:rsid w:val="00CA4ADD"/>
    <w:rsid w:val="00CA4CDD"/>
    <w:rsid w:val="00CA4EA7"/>
    <w:rsid w:val="00CA4EC1"/>
    <w:rsid w:val="00CA6E65"/>
    <w:rsid w:val="00CA70AE"/>
    <w:rsid w:val="00CA7B14"/>
    <w:rsid w:val="00CA7B39"/>
    <w:rsid w:val="00CB00D0"/>
    <w:rsid w:val="00CB020C"/>
    <w:rsid w:val="00CB0D71"/>
    <w:rsid w:val="00CB1766"/>
    <w:rsid w:val="00CB23AD"/>
    <w:rsid w:val="00CB4117"/>
    <w:rsid w:val="00CB4494"/>
    <w:rsid w:val="00CB49AB"/>
    <w:rsid w:val="00CB4B36"/>
    <w:rsid w:val="00CB5168"/>
    <w:rsid w:val="00CB5408"/>
    <w:rsid w:val="00CB5577"/>
    <w:rsid w:val="00CB5596"/>
    <w:rsid w:val="00CB5BC0"/>
    <w:rsid w:val="00CB61E8"/>
    <w:rsid w:val="00CB6AFE"/>
    <w:rsid w:val="00CB6D19"/>
    <w:rsid w:val="00CB7360"/>
    <w:rsid w:val="00CC0110"/>
    <w:rsid w:val="00CC0162"/>
    <w:rsid w:val="00CC03DA"/>
    <w:rsid w:val="00CC0B27"/>
    <w:rsid w:val="00CC1016"/>
    <w:rsid w:val="00CC10F5"/>
    <w:rsid w:val="00CC1342"/>
    <w:rsid w:val="00CC1393"/>
    <w:rsid w:val="00CC1AF4"/>
    <w:rsid w:val="00CC2871"/>
    <w:rsid w:val="00CC2B7E"/>
    <w:rsid w:val="00CC2BEE"/>
    <w:rsid w:val="00CC362E"/>
    <w:rsid w:val="00CC3636"/>
    <w:rsid w:val="00CC38C7"/>
    <w:rsid w:val="00CC3E2D"/>
    <w:rsid w:val="00CC42D4"/>
    <w:rsid w:val="00CC4756"/>
    <w:rsid w:val="00CC4B26"/>
    <w:rsid w:val="00CC4CC3"/>
    <w:rsid w:val="00CC5332"/>
    <w:rsid w:val="00CC5452"/>
    <w:rsid w:val="00CC5CF5"/>
    <w:rsid w:val="00CC60DD"/>
    <w:rsid w:val="00CC62CF"/>
    <w:rsid w:val="00CC65D5"/>
    <w:rsid w:val="00CC7B5D"/>
    <w:rsid w:val="00CC7DCC"/>
    <w:rsid w:val="00CC7EEE"/>
    <w:rsid w:val="00CD0456"/>
    <w:rsid w:val="00CD0A89"/>
    <w:rsid w:val="00CD343D"/>
    <w:rsid w:val="00CD3539"/>
    <w:rsid w:val="00CD3DEB"/>
    <w:rsid w:val="00CD4508"/>
    <w:rsid w:val="00CD4688"/>
    <w:rsid w:val="00CD485B"/>
    <w:rsid w:val="00CD4ED1"/>
    <w:rsid w:val="00CD5266"/>
    <w:rsid w:val="00CD56A4"/>
    <w:rsid w:val="00CD5740"/>
    <w:rsid w:val="00CD5921"/>
    <w:rsid w:val="00CD5960"/>
    <w:rsid w:val="00CD5B86"/>
    <w:rsid w:val="00CD6320"/>
    <w:rsid w:val="00CD6ED3"/>
    <w:rsid w:val="00CD7988"/>
    <w:rsid w:val="00CE0436"/>
    <w:rsid w:val="00CE158A"/>
    <w:rsid w:val="00CE18C6"/>
    <w:rsid w:val="00CE1E74"/>
    <w:rsid w:val="00CE1F70"/>
    <w:rsid w:val="00CE2294"/>
    <w:rsid w:val="00CE2AED"/>
    <w:rsid w:val="00CE2BC0"/>
    <w:rsid w:val="00CE2FEC"/>
    <w:rsid w:val="00CE31BA"/>
    <w:rsid w:val="00CE337B"/>
    <w:rsid w:val="00CE3950"/>
    <w:rsid w:val="00CE3AA4"/>
    <w:rsid w:val="00CE3FA3"/>
    <w:rsid w:val="00CE51C7"/>
    <w:rsid w:val="00CE5696"/>
    <w:rsid w:val="00CE66E4"/>
    <w:rsid w:val="00CE6EE9"/>
    <w:rsid w:val="00CE7C6D"/>
    <w:rsid w:val="00CF1F6B"/>
    <w:rsid w:val="00CF21A6"/>
    <w:rsid w:val="00CF2B31"/>
    <w:rsid w:val="00CF38BB"/>
    <w:rsid w:val="00CF3B65"/>
    <w:rsid w:val="00CF4257"/>
    <w:rsid w:val="00CF52C4"/>
    <w:rsid w:val="00CF5692"/>
    <w:rsid w:val="00CF6549"/>
    <w:rsid w:val="00CF67CF"/>
    <w:rsid w:val="00CF759B"/>
    <w:rsid w:val="00CF76E1"/>
    <w:rsid w:val="00CF7768"/>
    <w:rsid w:val="00CF78B9"/>
    <w:rsid w:val="00D0073D"/>
    <w:rsid w:val="00D00D81"/>
    <w:rsid w:val="00D011B8"/>
    <w:rsid w:val="00D012E7"/>
    <w:rsid w:val="00D02661"/>
    <w:rsid w:val="00D02B49"/>
    <w:rsid w:val="00D03A8F"/>
    <w:rsid w:val="00D05136"/>
    <w:rsid w:val="00D053FB"/>
    <w:rsid w:val="00D07CF5"/>
    <w:rsid w:val="00D10585"/>
    <w:rsid w:val="00D10B93"/>
    <w:rsid w:val="00D10F9D"/>
    <w:rsid w:val="00D112A2"/>
    <w:rsid w:val="00D1175A"/>
    <w:rsid w:val="00D11D37"/>
    <w:rsid w:val="00D12391"/>
    <w:rsid w:val="00D129A5"/>
    <w:rsid w:val="00D13013"/>
    <w:rsid w:val="00D13118"/>
    <w:rsid w:val="00D1357F"/>
    <w:rsid w:val="00D13596"/>
    <w:rsid w:val="00D13662"/>
    <w:rsid w:val="00D137D5"/>
    <w:rsid w:val="00D13B9C"/>
    <w:rsid w:val="00D142C0"/>
    <w:rsid w:val="00D150A1"/>
    <w:rsid w:val="00D153BC"/>
    <w:rsid w:val="00D1589F"/>
    <w:rsid w:val="00D15A48"/>
    <w:rsid w:val="00D17E0F"/>
    <w:rsid w:val="00D20521"/>
    <w:rsid w:val="00D20DC6"/>
    <w:rsid w:val="00D212A9"/>
    <w:rsid w:val="00D2165F"/>
    <w:rsid w:val="00D22553"/>
    <w:rsid w:val="00D2343D"/>
    <w:rsid w:val="00D245E5"/>
    <w:rsid w:val="00D24A7D"/>
    <w:rsid w:val="00D24AEA"/>
    <w:rsid w:val="00D24F05"/>
    <w:rsid w:val="00D252DE"/>
    <w:rsid w:val="00D260CA"/>
    <w:rsid w:val="00D26583"/>
    <w:rsid w:val="00D27392"/>
    <w:rsid w:val="00D27814"/>
    <w:rsid w:val="00D32CCB"/>
    <w:rsid w:val="00D334CD"/>
    <w:rsid w:val="00D33965"/>
    <w:rsid w:val="00D33A14"/>
    <w:rsid w:val="00D340A1"/>
    <w:rsid w:val="00D3643C"/>
    <w:rsid w:val="00D364BF"/>
    <w:rsid w:val="00D36C5A"/>
    <w:rsid w:val="00D36D5D"/>
    <w:rsid w:val="00D3725E"/>
    <w:rsid w:val="00D37431"/>
    <w:rsid w:val="00D40741"/>
    <w:rsid w:val="00D41107"/>
    <w:rsid w:val="00D411C0"/>
    <w:rsid w:val="00D4120C"/>
    <w:rsid w:val="00D41519"/>
    <w:rsid w:val="00D41B57"/>
    <w:rsid w:val="00D41BD5"/>
    <w:rsid w:val="00D41D9E"/>
    <w:rsid w:val="00D42AED"/>
    <w:rsid w:val="00D42B6A"/>
    <w:rsid w:val="00D444D3"/>
    <w:rsid w:val="00D44813"/>
    <w:rsid w:val="00D461E1"/>
    <w:rsid w:val="00D46AB6"/>
    <w:rsid w:val="00D4772C"/>
    <w:rsid w:val="00D47748"/>
    <w:rsid w:val="00D50006"/>
    <w:rsid w:val="00D50503"/>
    <w:rsid w:val="00D538BE"/>
    <w:rsid w:val="00D53DD6"/>
    <w:rsid w:val="00D54265"/>
    <w:rsid w:val="00D55405"/>
    <w:rsid w:val="00D5561C"/>
    <w:rsid w:val="00D55C84"/>
    <w:rsid w:val="00D5663E"/>
    <w:rsid w:val="00D57239"/>
    <w:rsid w:val="00D573D7"/>
    <w:rsid w:val="00D57C2D"/>
    <w:rsid w:val="00D57D66"/>
    <w:rsid w:val="00D60DB8"/>
    <w:rsid w:val="00D6186B"/>
    <w:rsid w:val="00D61B54"/>
    <w:rsid w:val="00D632B3"/>
    <w:rsid w:val="00D6338C"/>
    <w:rsid w:val="00D63637"/>
    <w:rsid w:val="00D64DD5"/>
    <w:rsid w:val="00D64EAF"/>
    <w:rsid w:val="00D64F82"/>
    <w:rsid w:val="00D65135"/>
    <w:rsid w:val="00D66B79"/>
    <w:rsid w:val="00D67600"/>
    <w:rsid w:val="00D7033D"/>
    <w:rsid w:val="00D711EF"/>
    <w:rsid w:val="00D748C0"/>
    <w:rsid w:val="00D74A81"/>
    <w:rsid w:val="00D75327"/>
    <w:rsid w:val="00D757D4"/>
    <w:rsid w:val="00D75D2C"/>
    <w:rsid w:val="00D764D7"/>
    <w:rsid w:val="00D769EB"/>
    <w:rsid w:val="00D77211"/>
    <w:rsid w:val="00D77282"/>
    <w:rsid w:val="00D77A28"/>
    <w:rsid w:val="00D80B44"/>
    <w:rsid w:val="00D80B74"/>
    <w:rsid w:val="00D80FC1"/>
    <w:rsid w:val="00D81F86"/>
    <w:rsid w:val="00D82021"/>
    <w:rsid w:val="00D82836"/>
    <w:rsid w:val="00D82D60"/>
    <w:rsid w:val="00D8465E"/>
    <w:rsid w:val="00D8559F"/>
    <w:rsid w:val="00D85814"/>
    <w:rsid w:val="00D85C96"/>
    <w:rsid w:val="00D8624F"/>
    <w:rsid w:val="00D863CE"/>
    <w:rsid w:val="00D86833"/>
    <w:rsid w:val="00D86860"/>
    <w:rsid w:val="00D86AFC"/>
    <w:rsid w:val="00D874CD"/>
    <w:rsid w:val="00D87A1D"/>
    <w:rsid w:val="00D913FA"/>
    <w:rsid w:val="00D91827"/>
    <w:rsid w:val="00D91ACA"/>
    <w:rsid w:val="00D91E16"/>
    <w:rsid w:val="00D92521"/>
    <w:rsid w:val="00D92B88"/>
    <w:rsid w:val="00D92F03"/>
    <w:rsid w:val="00D93827"/>
    <w:rsid w:val="00D9417F"/>
    <w:rsid w:val="00D94768"/>
    <w:rsid w:val="00D9489F"/>
    <w:rsid w:val="00D95EF5"/>
    <w:rsid w:val="00D96CFF"/>
    <w:rsid w:val="00D97B1E"/>
    <w:rsid w:val="00D97DDE"/>
    <w:rsid w:val="00DA0A51"/>
    <w:rsid w:val="00DA2970"/>
    <w:rsid w:val="00DA2FDD"/>
    <w:rsid w:val="00DA5D7F"/>
    <w:rsid w:val="00DA68B4"/>
    <w:rsid w:val="00DA6CE8"/>
    <w:rsid w:val="00DA6E91"/>
    <w:rsid w:val="00DA73D7"/>
    <w:rsid w:val="00DB003E"/>
    <w:rsid w:val="00DB077F"/>
    <w:rsid w:val="00DB1599"/>
    <w:rsid w:val="00DB2056"/>
    <w:rsid w:val="00DB3067"/>
    <w:rsid w:val="00DB3D5C"/>
    <w:rsid w:val="00DB49EA"/>
    <w:rsid w:val="00DB4F0A"/>
    <w:rsid w:val="00DB4FC0"/>
    <w:rsid w:val="00DB5A4C"/>
    <w:rsid w:val="00DB5E6D"/>
    <w:rsid w:val="00DB5F3D"/>
    <w:rsid w:val="00DB5F4E"/>
    <w:rsid w:val="00DB60CE"/>
    <w:rsid w:val="00DB689E"/>
    <w:rsid w:val="00DB6DC0"/>
    <w:rsid w:val="00DC026A"/>
    <w:rsid w:val="00DC07E0"/>
    <w:rsid w:val="00DC11E8"/>
    <w:rsid w:val="00DC1938"/>
    <w:rsid w:val="00DC1A85"/>
    <w:rsid w:val="00DC1E0B"/>
    <w:rsid w:val="00DC1E2F"/>
    <w:rsid w:val="00DC27BE"/>
    <w:rsid w:val="00DC2C67"/>
    <w:rsid w:val="00DC393F"/>
    <w:rsid w:val="00DC46C0"/>
    <w:rsid w:val="00DC472B"/>
    <w:rsid w:val="00DC5442"/>
    <w:rsid w:val="00DC553E"/>
    <w:rsid w:val="00DC5807"/>
    <w:rsid w:val="00DC65FA"/>
    <w:rsid w:val="00DC67F7"/>
    <w:rsid w:val="00DC7A9F"/>
    <w:rsid w:val="00DD0528"/>
    <w:rsid w:val="00DD1892"/>
    <w:rsid w:val="00DD2E97"/>
    <w:rsid w:val="00DD3C28"/>
    <w:rsid w:val="00DD4A5D"/>
    <w:rsid w:val="00DD4C6C"/>
    <w:rsid w:val="00DD4CAA"/>
    <w:rsid w:val="00DD4DBA"/>
    <w:rsid w:val="00DD6065"/>
    <w:rsid w:val="00DD6165"/>
    <w:rsid w:val="00DD63A6"/>
    <w:rsid w:val="00DD70BA"/>
    <w:rsid w:val="00DD7E9D"/>
    <w:rsid w:val="00DE0397"/>
    <w:rsid w:val="00DE063A"/>
    <w:rsid w:val="00DE100B"/>
    <w:rsid w:val="00DE106C"/>
    <w:rsid w:val="00DE1CE3"/>
    <w:rsid w:val="00DE32E6"/>
    <w:rsid w:val="00DE378B"/>
    <w:rsid w:val="00DE38FC"/>
    <w:rsid w:val="00DE3D85"/>
    <w:rsid w:val="00DE3F2F"/>
    <w:rsid w:val="00DE42B9"/>
    <w:rsid w:val="00DE46E9"/>
    <w:rsid w:val="00DE473C"/>
    <w:rsid w:val="00DE49FB"/>
    <w:rsid w:val="00DE5016"/>
    <w:rsid w:val="00DE523B"/>
    <w:rsid w:val="00DE55CC"/>
    <w:rsid w:val="00DE577E"/>
    <w:rsid w:val="00DE6D60"/>
    <w:rsid w:val="00DE7085"/>
    <w:rsid w:val="00DE7120"/>
    <w:rsid w:val="00DE7485"/>
    <w:rsid w:val="00DE7820"/>
    <w:rsid w:val="00DE7A36"/>
    <w:rsid w:val="00DF0014"/>
    <w:rsid w:val="00DF0359"/>
    <w:rsid w:val="00DF0445"/>
    <w:rsid w:val="00DF17EE"/>
    <w:rsid w:val="00DF19B9"/>
    <w:rsid w:val="00DF2847"/>
    <w:rsid w:val="00DF2BBE"/>
    <w:rsid w:val="00DF334D"/>
    <w:rsid w:val="00DF4B0C"/>
    <w:rsid w:val="00DF588B"/>
    <w:rsid w:val="00DF5B12"/>
    <w:rsid w:val="00DF5CB7"/>
    <w:rsid w:val="00DF5E0B"/>
    <w:rsid w:val="00DF60A8"/>
    <w:rsid w:val="00DF6B84"/>
    <w:rsid w:val="00DF7530"/>
    <w:rsid w:val="00DF7BEB"/>
    <w:rsid w:val="00E004B0"/>
    <w:rsid w:val="00E01130"/>
    <w:rsid w:val="00E012BF"/>
    <w:rsid w:val="00E01831"/>
    <w:rsid w:val="00E01FDC"/>
    <w:rsid w:val="00E02F72"/>
    <w:rsid w:val="00E036D4"/>
    <w:rsid w:val="00E038B5"/>
    <w:rsid w:val="00E043D2"/>
    <w:rsid w:val="00E04AD3"/>
    <w:rsid w:val="00E04D2B"/>
    <w:rsid w:val="00E05373"/>
    <w:rsid w:val="00E056FF"/>
    <w:rsid w:val="00E05F5F"/>
    <w:rsid w:val="00E06524"/>
    <w:rsid w:val="00E06985"/>
    <w:rsid w:val="00E06ACA"/>
    <w:rsid w:val="00E06EE9"/>
    <w:rsid w:val="00E06EFD"/>
    <w:rsid w:val="00E1157F"/>
    <w:rsid w:val="00E11FBA"/>
    <w:rsid w:val="00E1200E"/>
    <w:rsid w:val="00E1314E"/>
    <w:rsid w:val="00E1414D"/>
    <w:rsid w:val="00E1431C"/>
    <w:rsid w:val="00E14674"/>
    <w:rsid w:val="00E149AC"/>
    <w:rsid w:val="00E15828"/>
    <w:rsid w:val="00E15D2D"/>
    <w:rsid w:val="00E16355"/>
    <w:rsid w:val="00E1673C"/>
    <w:rsid w:val="00E16BE6"/>
    <w:rsid w:val="00E16CD7"/>
    <w:rsid w:val="00E17011"/>
    <w:rsid w:val="00E17192"/>
    <w:rsid w:val="00E20869"/>
    <w:rsid w:val="00E20A49"/>
    <w:rsid w:val="00E211E0"/>
    <w:rsid w:val="00E2133D"/>
    <w:rsid w:val="00E216ED"/>
    <w:rsid w:val="00E2172D"/>
    <w:rsid w:val="00E219D3"/>
    <w:rsid w:val="00E222C7"/>
    <w:rsid w:val="00E22B62"/>
    <w:rsid w:val="00E235B8"/>
    <w:rsid w:val="00E236F7"/>
    <w:rsid w:val="00E23E72"/>
    <w:rsid w:val="00E23EA4"/>
    <w:rsid w:val="00E2429C"/>
    <w:rsid w:val="00E24BC3"/>
    <w:rsid w:val="00E25514"/>
    <w:rsid w:val="00E25739"/>
    <w:rsid w:val="00E25BDE"/>
    <w:rsid w:val="00E25F63"/>
    <w:rsid w:val="00E26F03"/>
    <w:rsid w:val="00E271BF"/>
    <w:rsid w:val="00E27F4A"/>
    <w:rsid w:val="00E30975"/>
    <w:rsid w:val="00E32037"/>
    <w:rsid w:val="00E32198"/>
    <w:rsid w:val="00E33340"/>
    <w:rsid w:val="00E3335F"/>
    <w:rsid w:val="00E34089"/>
    <w:rsid w:val="00E344F4"/>
    <w:rsid w:val="00E34B1D"/>
    <w:rsid w:val="00E34C13"/>
    <w:rsid w:val="00E35019"/>
    <w:rsid w:val="00E35E3E"/>
    <w:rsid w:val="00E379C4"/>
    <w:rsid w:val="00E37AEF"/>
    <w:rsid w:val="00E37D13"/>
    <w:rsid w:val="00E37F69"/>
    <w:rsid w:val="00E405E1"/>
    <w:rsid w:val="00E40AF8"/>
    <w:rsid w:val="00E40C6B"/>
    <w:rsid w:val="00E40E26"/>
    <w:rsid w:val="00E42157"/>
    <w:rsid w:val="00E441BE"/>
    <w:rsid w:val="00E44639"/>
    <w:rsid w:val="00E4467E"/>
    <w:rsid w:val="00E446F0"/>
    <w:rsid w:val="00E44A6A"/>
    <w:rsid w:val="00E44BBB"/>
    <w:rsid w:val="00E45586"/>
    <w:rsid w:val="00E458AC"/>
    <w:rsid w:val="00E468AB"/>
    <w:rsid w:val="00E46ABC"/>
    <w:rsid w:val="00E50E95"/>
    <w:rsid w:val="00E50EB3"/>
    <w:rsid w:val="00E50EE2"/>
    <w:rsid w:val="00E511C2"/>
    <w:rsid w:val="00E521B0"/>
    <w:rsid w:val="00E52234"/>
    <w:rsid w:val="00E531BB"/>
    <w:rsid w:val="00E53E03"/>
    <w:rsid w:val="00E543D5"/>
    <w:rsid w:val="00E5514B"/>
    <w:rsid w:val="00E55C1F"/>
    <w:rsid w:val="00E55C24"/>
    <w:rsid w:val="00E55D88"/>
    <w:rsid w:val="00E560B9"/>
    <w:rsid w:val="00E564BC"/>
    <w:rsid w:val="00E56711"/>
    <w:rsid w:val="00E56A9D"/>
    <w:rsid w:val="00E56FBF"/>
    <w:rsid w:val="00E570B6"/>
    <w:rsid w:val="00E576C7"/>
    <w:rsid w:val="00E57876"/>
    <w:rsid w:val="00E57B59"/>
    <w:rsid w:val="00E60B7D"/>
    <w:rsid w:val="00E61000"/>
    <w:rsid w:val="00E61278"/>
    <w:rsid w:val="00E61310"/>
    <w:rsid w:val="00E6157F"/>
    <w:rsid w:val="00E61759"/>
    <w:rsid w:val="00E626C4"/>
    <w:rsid w:val="00E637EC"/>
    <w:rsid w:val="00E66BE5"/>
    <w:rsid w:val="00E67883"/>
    <w:rsid w:val="00E67AA1"/>
    <w:rsid w:val="00E700AE"/>
    <w:rsid w:val="00E701A1"/>
    <w:rsid w:val="00E701AC"/>
    <w:rsid w:val="00E7035A"/>
    <w:rsid w:val="00E71531"/>
    <w:rsid w:val="00E71DE3"/>
    <w:rsid w:val="00E72012"/>
    <w:rsid w:val="00E724F0"/>
    <w:rsid w:val="00E72572"/>
    <w:rsid w:val="00E72B72"/>
    <w:rsid w:val="00E7305E"/>
    <w:rsid w:val="00E74161"/>
    <w:rsid w:val="00E7479F"/>
    <w:rsid w:val="00E7597E"/>
    <w:rsid w:val="00E76258"/>
    <w:rsid w:val="00E76272"/>
    <w:rsid w:val="00E771C1"/>
    <w:rsid w:val="00E77B10"/>
    <w:rsid w:val="00E77B97"/>
    <w:rsid w:val="00E803F2"/>
    <w:rsid w:val="00E80571"/>
    <w:rsid w:val="00E810E9"/>
    <w:rsid w:val="00E824B0"/>
    <w:rsid w:val="00E8271D"/>
    <w:rsid w:val="00E82DCC"/>
    <w:rsid w:val="00E83701"/>
    <w:rsid w:val="00E84BF6"/>
    <w:rsid w:val="00E85278"/>
    <w:rsid w:val="00E863BA"/>
    <w:rsid w:val="00E8651F"/>
    <w:rsid w:val="00E865A8"/>
    <w:rsid w:val="00E87551"/>
    <w:rsid w:val="00E875B7"/>
    <w:rsid w:val="00E905DA"/>
    <w:rsid w:val="00E91355"/>
    <w:rsid w:val="00E916CD"/>
    <w:rsid w:val="00E91899"/>
    <w:rsid w:val="00E918D2"/>
    <w:rsid w:val="00E91B2F"/>
    <w:rsid w:val="00E91CDD"/>
    <w:rsid w:val="00E93545"/>
    <w:rsid w:val="00E93FAC"/>
    <w:rsid w:val="00E946C9"/>
    <w:rsid w:val="00E948AC"/>
    <w:rsid w:val="00E94DDC"/>
    <w:rsid w:val="00E94E22"/>
    <w:rsid w:val="00E954BA"/>
    <w:rsid w:val="00E95DC6"/>
    <w:rsid w:val="00E96228"/>
    <w:rsid w:val="00E96E14"/>
    <w:rsid w:val="00E96FB1"/>
    <w:rsid w:val="00EA0F31"/>
    <w:rsid w:val="00EA0F71"/>
    <w:rsid w:val="00EA100B"/>
    <w:rsid w:val="00EA1EA1"/>
    <w:rsid w:val="00EA2412"/>
    <w:rsid w:val="00EA34ED"/>
    <w:rsid w:val="00EA51BF"/>
    <w:rsid w:val="00EA617B"/>
    <w:rsid w:val="00EA73BE"/>
    <w:rsid w:val="00EA79A4"/>
    <w:rsid w:val="00EA7A2A"/>
    <w:rsid w:val="00EA7D59"/>
    <w:rsid w:val="00EA7D6F"/>
    <w:rsid w:val="00EB0A4B"/>
    <w:rsid w:val="00EB0D74"/>
    <w:rsid w:val="00EB0F25"/>
    <w:rsid w:val="00EB227B"/>
    <w:rsid w:val="00EB22A0"/>
    <w:rsid w:val="00EB260B"/>
    <w:rsid w:val="00EB3322"/>
    <w:rsid w:val="00EB3DD3"/>
    <w:rsid w:val="00EB4432"/>
    <w:rsid w:val="00EB4689"/>
    <w:rsid w:val="00EB4868"/>
    <w:rsid w:val="00EB489B"/>
    <w:rsid w:val="00EB4C39"/>
    <w:rsid w:val="00EB7756"/>
    <w:rsid w:val="00EC01CD"/>
    <w:rsid w:val="00EC02FF"/>
    <w:rsid w:val="00EC0541"/>
    <w:rsid w:val="00EC0F9C"/>
    <w:rsid w:val="00EC12D9"/>
    <w:rsid w:val="00EC1E14"/>
    <w:rsid w:val="00EC22F7"/>
    <w:rsid w:val="00EC3333"/>
    <w:rsid w:val="00EC3451"/>
    <w:rsid w:val="00EC3A5D"/>
    <w:rsid w:val="00EC4276"/>
    <w:rsid w:val="00EC48AB"/>
    <w:rsid w:val="00EC4CAB"/>
    <w:rsid w:val="00EC5E4E"/>
    <w:rsid w:val="00EC7EA1"/>
    <w:rsid w:val="00ED078E"/>
    <w:rsid w:val="00ED0ACE"/>
    <w:rsid w:val="00ED0E75"/>
    <w:rsid w:val="00ED159C"/>
    <w:rsid w:val="00ED1E40"/>
    <w:rsid w:val="00ED484F"/>
    <w:rsid w:val="00ED4977"/>
    <w:rsid w:val="00ED4F70"/>
    <w:rsid w:val="00ED5301"/>
    <w:rsid w:val="00ED5420"/>
    <w:rsid w:val="00ED5C32"/>
    <w:rsid w:val="00ED5EDF"/>
    <w:rsid w:val="00ED62B2"/>
    <w:rsid w:val="00ED645B"/>
    <w:rsid w:val="00ED7283"/>
    <w:rsid w:val="00ED7916"/>
    <w:rsid w:val="00ED7B54"/>
    <w:rsid w:val="00EE09E1"/>
    <w:rsid w:val="00EE0BF6"/>
    <w:rsid w:val="00EE1854"/>
    <w:rsid w:val="00EE237C"/>
    <w:rsid w:val="00EE28D7"/>
    <w:rsid w:val="00EE2A58"/>
    <w:rsid w:val="00EE3232"/>
    <w:rsid w:val="00EE41C8"/>
    <w:rsid w:val="00EE53BB"/>
    <w:rsid w:val="00EE59EE"/>
    <w:rsid w:val="00EE5DDD"/>
    <w:rsid w:val="00EE6164"/>
    <w:rsid w:val="00EE66C0"/>
    <w:rsid w:val="00EE70C6"/>
    <w:rsid w:val="00EE7275"/>
    <w:rsid w:val="00EF01D9"/>
    <w:rsid w:val="00EF0981"/>
    <w:rsid w:val="00EF1129"/>
    <w:rsid w:val="00EF11CD"/>
    <w:rsid w:val="00EF1AD1"/>
    <w:rsid w:val="00EF35A2"/>
    <w:rsid w:val="00EF35E7"/>
    <w:rsid w:val="00EF3D87"/>
    <w:rsid w:val="00EF3EBA"/>
    <w:rsid w:val="00EF465B"/>
    <w:rsid w:val="00EF4690"/>
    <w:rsid w:val="00EF5130"/>
    <w:rsid w:val="00EF531B"/>
    <w:rsid w:val="00EF5440"/>
    <w:rsid w:val="00EF6576"/>
    <w:rsid w:val="00EF74D3"/>
    <w:rsid w:val="00F00447"/>
    <w:rsid w:val="00F01974"/>
    <w:rsid w:val="00F01B58"/>
    <w:rsid w:val="00F02522"/>
    <w:rsid w:val="00F02634"/>
    <w:rsid w:val="00F02EC5"/>
    <w:rsid w:val="00F03386"/>
    <w:rsid w:val="00F03551"/>
    <w:rsid w:val="00F05B00"/>
    <w:rsid w:val="00F06D88"/>
    <w:rsid w:val="00F06E41"/>
    <w:rsid w:val="00F0700B"/>
    <w:rsid w:val="00F07B3A"/>
    <w:rsid w:val="00F07E22"/>
    <w:rsid w:val="00F10400"/>
    <w:rsid w:val="00F10576"/>
    <w:rsid w:val="00F10F99"/>
    <w:rsid w:val="00F111B1"/>
    <w:rsid w:val="00F122A1"/>
    <w:rsid w:val="00F122CA"/>
    <w:rsid w:val="00F13F82"/>
    <w:rsid w:val="00F147E5"/>
    <w:rsid w:val="00F1533C"/>
    <w:rsid w:val="00F1580E"/>
    <w:rsid w:val="00F15878"/>
    <w:rsid w:val="00F16620"/>
    <w:rsid w:val="00F171C0"/>
    <w:rsid w:val="00F17921"/>
    <w:rsid w:val="00F17D47"/>
    <w:rsid w:val="00F203C1"/>
    <w:rsid w:val="00F20666"/>
    <w:rsid w:val="00F207E9"/>
    <w:rsid w:val="00F215AF"/>
    <w:rsid w:val="00F22138"/>
    <w:rsid w:val="00F237CE"/>
    <w:rsid w:val="00F24078"/>
    <w:rsid w:val="00F246AD"/>
    <w:rsid w:val="00F24978"/>
    <w:rsid w:val="00F24F62"/>
    <w:rsid w:val="00F25BC4"/>
    <w:rsid w:val="00F25E67"/>
    <w:rsid w:val="00F26121"/>
    <w:rsid w:val="00F264E4"/>
    <w:rsid w:val="00F26C54"/>
    <w:rsid w:val="00F30392"/>
    <w:rsid w:val="00F30D92"/>
    <w:rsid w:val="00F31376"/>
    <w:rsid w:val="00F319A0"/>
    <w:rsid w:val="00F31FF6"/>
    <w:rsid w:val="00F321B0"/>
    <w:rsid w:val="00F323D0"/>
    <w:rsid w:val="00F32B76"/>
    <w:rsid w:val="00F33867"/>
    <w:rsid w:val="00F33D5D"/>
    <w:rsid w:val="00F34ECE"/>
    <w:rsid w:val="00F35100"/>
    <w:rsid w:val="00F35867"/>
    <w:rsid w:val="00F36492"/>
    <w:rsid w:val="00F369BE"/>
    <w:rsid w:val="00F36C06"/>
    <w:rsid w:val="00F36D22"/>
    <w:rsid w:val="00F41064"/>
    <w:rsid w:val="00F42061"/>
    <w:rsid w:val="00F4221C"/>
    <w:rsid w:val="00F43745"/>
    <w:rsid w:val="00F43F57"/>
    <w:rsid w:val="00F440D7"/>
    <w:rsid w:val="00F449AD"/>
    <w:rsid w:val="00F449F2"/>
    <w:rsid w:val="00F4511B"/>
    <w:rsid w:val="00F45AD0"/>
    <w:rsid w:val="00F46F1D"/>
    <w:rsid w:val="00F47A00"/>
    <w:rsid w:val="00F50970"/>
    <w:rsid w:val="00F50D8B"/>
    <w:rsid w:val="00F515FB"/>
    <w:rsid w:val="00F51E24"/>
    <w:rsid w:val="00F51F1E"/>
    <w:rsid w:val="00F523FB"/>
    <w:rsid w:val="00F5241D"/>
    <w:rsid w:val="00F52590"/>
    <w:rsid w:val="00F528A7"/>
    <w:rsid w:val="00F528BC"/>
    <w:rsid w:val="00F52B1A"/>
    <w:rsid w:val="00F52D65"/>
    <w:rsid w:val="00F53E94"/>
    <w:rsid w:val="00F54417"/>
    <w:rsid w:val="00F54570"/>
    <w:rsid w:val="00F54AC6"/>
    <w:rsid w:val="00F54DCB"/>
    <w:rsid w:val="00F54FB8"/>
    <w:rsid w:val="00F56160"/>
    <w:rsid w:val="00F56771"/>
    <w:rsid w:val="00F57340"/>
    <w:rsid w:val="00F5734D"/>
    <w:rsid w:val="00F5752F"/>
    <w:rsid w:val="00F606B3"/>
    <w:rsid w:val="00F60F23"/>
    <w:rsid w:val="00F61CC8"/>
    <w:rsid w:val="00F62D80"/>
    <w:rsid w:val="00F64024"/>
    <w:rsid w:val="00F649A5"/>
    <w:rsid w:val="00F65FEC"/>
    <w:rsid w:val="00F67C7E"/>
    <w:rsid w:val="00F70134"/>
    <w:rsid w:val="00F705B0"/>
    <w:rsid w:val="00F709D9"/>
    <w:rsid w:val="00F709E8"/>
    <w:rsid w:val="00F73F52"/>
    <w:rsid w:val="00F74128"/>
    <w:rsid w:val="00F74537"/>
    <w:rsid w:val="00F752BF"/>
    <w:rsid w:val="00F76272"/>
    <w:rsid w:val="00F76B99"/>
    <w:rsid w:val="00F76C6A"/>
    <w:rsid w:val="00F7798F"/>
    <w:rsid w:val="00F77C69"/>
    <w:rsid w:val="00F77D2A"/>
    <w:rsid w:val="00F77E50"/>
    <w:rsid w:val="00F77E84"/>
    <w:rsid w:val="00F77EA7"/>
    <w:rsid w:val="00F804F7"/>
    <w:rsid w:val="00F80610"/>
    <w:rsid w:val="00F80CB2"/>
    <w:rsid w:val="00F814EE"/>
    <w:rsid w:val="00F815C0"/>
    <w:rsid w:val="00F817FA"/>
    <w:rsid w:val="00F829C1"/>
    <w:rsid w:val="00F83AA4"/>
    <w:rsid w:val="00F8453F"/>
    <w:rsid w:val="00F84765"/>
    <w:rsid w:val="00F84C7D"/>
    <w:rsid w:val="00F84F54"/>
    <w:rsid w:val="00F853EC"/>
    <w:rsid w:val="00F85EA7"/>
    <w:rsid w:val="00F8600A"/>
    <w:rsid w:val="00F861F7"/>
    <w:rsid w:val="00F86B28"/>
    <w:rsid w:val="00F86B2C"/>
    <w:rsid w:val="00F874BA"/>
    <w:rsid w:val="00F87A42"/>
    <w:rsid w:val="00F9134C"/>
    <w:rsid w:val="00F91695"/>
    <w:rsid w:val="00F916C2"/>
    <w:rsid w:val="00F91A31"/>
    <w:rsid w:val="00F93837"/>
    <w:rsid w:val="00F93DBE"/>
    <w:rsid w:val="00F94C6F"/>
    <w:rsid w:val="00F9504F"/>
    <w:rsid w:val="00F962C0"/>
    <w:rsid w:val="00F977A8"/>
    <w:rsid w:val="00F97C8E"/>
    <w:rsid w:val="00FA02DE"/>
    <w:rsid w:val="00FA0D79"/>
    <w:rsid w:val="00FA11B1"/>
    <w:rsid w:val="00FA1346"/>
    <w:rsid w:val="00FA1618"/>
    <w:rsid w:val="00FA214A"/>
    <w:rsid w:val="00FA2531"/>
    <w:rsid w:val="00FA311E"/>
    <w:rsid w:val="00FA3936"/>
    <w:rsid w:val="00FA5383"/>
    <w:rsid w:val="00FA5EE9"/>
    <w:rsid w:val="00FA6EE0"/>
    <w:rsid w:val="00FA73BB"/>
    <w:rsid w:val="00FB0392"/>
    <w:rsid w:val="00FB0A32"/>
    <w:rsid w:val="00FB373A"/>
    <w:rsid w:val="00FB3F96"/>
    <w:rsid w:val="00FB51B7"/>
    <w:rsid w:val="00FB557F"/>
    <w:rsid w:val="00FB6613"/>
    <w:rsid w:val="00FB6CF7"/>
    <w:rsid w:val="00FB75B2"/>
    <w:rsid w:val="00FB7EFC"/>
    <w:rsid w:val="00FC01C9"/>
    <w:rsid w:val="00FC03AE"/>
    <w:rsid w:val="00FC1769"/>
    <w:rsid w:val="00FC18FE"/>
    <w:rsid w:val="00FC1987"/>
    <w:rsid w:val="00FC3857"/>
    <w:rsid w:val="00FC3E4A"/>
    <w:rsid w:val="00FC416C"/>
    <w:rsid w:val="00FC4BD1"/>
    <w:rsid w:val="00FC53D0"/>
    <w:rsid w:val="00FC68A9"/>
    <w:rsid w:val="00FC6F4C"/>
    <w:rsid w:val="00FD03A9"/>
    <w:rsid w:val="00FD08B6"/>
    <w:rsid w:val="00FD0ACE"/>
    <w:rsid w:val="00FD0FDF"/>
    <w:rsid w:val="00FD10A3"/>
    <w:rsid w:val="00FD1C89"/>
    <w:rsid w:val="00FD2DFA"/>
    <w:rsid w:val="00FD38CA"/>
    <w:rsid w:val="00FD3AC2"/>
    <w:rsid w:val="00FD4651"/>
    <w:rsid w:val="00FD56DA"/>
    <w:rsid w:val="00FD57A1"/>
    <w:rsid w:val="00FD58A2"/>
    <w:rsid w:val="00FD5DC9"/>
    <w:rsid w:val="00FE02FC"/>
    <w:rsid w:val="00FE0770"/>
    <w:rsid w:val="00FE0963"/>
    <w:rsid w:val="00FE0EED"/>
    <w:rsid w:val="00FE1878"/>
    <w:rsid w:val="00FE1C4F"/>
    <w:rsid w:val="00FE25EF"/>
    <w:rsid w:val="00FE2CED"/>
    <w:rsid w:val="00FE3926"/>
    <w:rsid w:val="00FE39C3"/>
    <w:rsid w:val="00FE4230"/>
    <w:rsid w:val="00FE42CA"/>
    <w:rsid w:val="00FE4AB2"/>
    <w:rsid w:val="00FE4EF0"/>
    <w:rsid w:val="00FE509C"/>
    <w:rsid w:val="00FE5A60"/>
    <w:rsid w:val="00FE6D78"/>
    <w:rsid w:val="00FE76CD"/>
    <w:rsid w:val="00FE78D2"/>
    <w:rsid w:val="00FE7F58"/>
    <w:rsid w:val="00FF0101"/>
    <w:rsid w:val="00FF02DF"/>
    <w:rsid w:val="00FF0469"/>
    <w:rsid w:val="00FF06DA"/>
    <w:rsid w:val="00FF0BCC"/>
    <w:rsid w:val="00FF2F05"/>
    <w:rsid w:val="00FF31C2"/>
    <w:rsid w:val="00FF35B5"/>
    <w:rsid w:val="00FF3BAB"/>
    <w:rsid w:val="00FF4263"/>
    <w:rsid w:val="00FF426C"/>
    <w:rsid w:val="00FF44B8"/>
    <w:rsid w:val="00FF47D0"/>
    <w:rsid w:val="00FF5135"/>
    <w:rsid w:val="00FF58BE"/>
    <w:rsid w:val="00FF6E3D"/>
    <w:rsid w:val="00FF75FA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81E"/>
    <w:pPr>
      <w:ind w:firstLine="539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1B6F"/>
    <w:pPr>
      <w:keepNext/>
      <w:numPr>
        <w:numId w:val="1"/>
      </w:numPr>
      <w:tabs>
        <w:tab w:val="clear" w:pos="2417"/>
        <w:tab w:val="num" w:pos="432"/>
      </w:tabs>
      <w:overflowPunct w:val="0"/>
      <w:autoSpaceDE w:val="0"/>
      <w:autoSpaceDN w:val="0"/>
      <w:adjustRightInd w:val="0"/>
      <w:ind w:left="432"/>
      <w:textAlignment w:val="baseline"/>
      <w:outlineLvl w:val="0"/>
    </w:pPr>
    <w:rPr>
      <w:b/>
      <w:bCs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71B6F"/>
    <w:pPr>
      <w:keepNext/>
      <w:numPr>
        <w:ilvl w:val="1"/>
        <w:numId w:val="1"/>
      </w:numPr>
      <w:outlineLvl w:val="1"/>
    </w:pPr>
    <w:rPr>
      <w:rFonts w:cs="Arial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4B388A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B388A"/>
    <w:pPr>
      <w:keepNext/>
      <w:numPr>
        <w:ilvl w:val="3"/>
        <w:numId w:val="1"/>
      </w:numPr>
      <w:tabs>
        <w:tab w:val="left" w:leader="dot" w:pos="567"/>
      </w:tabs>
      <w:spacing w:before="240"/>
      <w:jc w:val="left"/>
      <w:outlineLvl w:val="3"/>
    </w:pPr>
    <w:rPr>
      <w:rFonts w:cs="Arial"/>
      <w:b/>
      <w:sz w:val="24"/>
    </w:rPr>
  </w:style>
  <w:style w:type="paragraph" w:styleId="Nadpis5">
    <w:name w:val="heading 5"/>
    <w:basedOn w:val="Normln"/>
    <w:next w:val="Normln"/>
    <w:qFormat/>
    <w:rsid w:val="00571B6F"/>
    <w:pPr>
      <w:numPr>
        <w:ilvl w:val="4"/>
        <w:numId w:val="1"/>
      </w:numPr>
      <w:spacing w:before="240" w:after="60"/>
      <w:outlineLvl w:val="4"/>
    </w:pPr>
    <w:rPr>
      <w:b/>
      <w:bCs/>
      <w:szCs w:val="26"/>
    </w:rPr>
  </w:style>
  <w:style w:type="paragraph" w:styleId="Nadpis6">
    <w:name w:val="heading 6"/>
    <w:basedOn w:val="Normln"/>
    <w:next w:val="Normln"/>
    <w:qFormat/>
    <w:rsid w:val="00571B6F"/>
    <w:pPr>
      <w:numPr>
        <w:ilvl w:val="5"/>
        <w:numId w:val="2"/>
      </w:numPr>
      <w:spacing w:before="240" w:after="60"/>
      <w:outlineLvl w:val="5"/>
    </w:pPr>
    <w:rPr>
      <w:b/>
      <w:bCs/>
      <w:i/>
      <w:iCs/>
      <w:szCs w:val="22"/>
    </w:rPr>
  </w:style>
  <w:style w:type="paragraph" w:styleId="Nadpis7">
    <w:name w:val="heading 7"/>
    <w:basedOn w:val="Normln"/>
    <w:next w:val="Normln"/>
    <w:qFormat/>
    <w:rsid w:val="00571B6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71B6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571B6F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71B6F"/>
  </w:style>
  <w:style w:type="paragraph" w:styleId="Zhlav">
    <w:name w:val="header"/>
    <w:basedOn w:val="Normln"/>
    <w:link w:val="ZhlavChar"/>
    <w:rsid w:val="00571B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71B6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71B6F"/>
    <w:rPr>
      <w:color w:val="0000FF"/>
      <w:u w:val="single"/>
    </w:rPr>
  </w:style>
  <w:style w:type="character" w:styleId="slostrnky">
    <w:name w:val="page number"/>
    <w:basedOn w:val="Standardnpsmoodstavce"/>
    <w:semiHidden/>
    <w:rsid w:val="00571B6F"/>
  </w:style>
  <w:style w:type="character" w:styleId="Sledovanodkaz">
    <w:name w:val="FollowedHyperlink"/>
    <w:basedOn w:val="Standardnpsmoodstavce"/>
    <w:semiHidden/>
    <w:rsid w:val="00571B6F"/>
    <w:rPr>
      <w:color w:val="800080"/>
      <w:u w:val="single"/>
    </w:rPr>
  </w:style>
  <w:style w:type="paragraph" w:styleId="Zkladntext">
    <w:name w:val="Body Text"/>
    <w:basedOn w:val="Normln"/>
    <w:semiHidden/>
    <w:rsid w:val="00571B6F"/>
    <w:rPr>
      <w:rFonts w:cs="Arial"/>
      <w:i/>
    </w:rPr>
  </w:style>
  <w:style w:type="paragraph" w:styleId="Zkladntextodsazen">
    <w:name w:val="Body Text Indent"/>
    <w:basedOn w:val="Normln"/>
    <w:link w:val="ZkladntextodsazenChar"/>
    <w:semiHidden/>
    <w:rsid w:val="00571B6F"/>
    <w:pPr>
      <w:spacing w:after="120"/>
      <w:ind w:firstLine="720"/>
    </w:pPr>
  </w:style>
  <w:style w:type="paragraph" w:styleId="Textpoznpodarou">
    <w:name w:val="footnote text"/>
    <w:basedOn w:val="Normln"/>
    <w:link w:val="TextpoznpodarouChar"/>
    <w:uiPriority w:val="99"/>
    <w:rsid w:val="00571B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71B6F"/>
    <w:rPr>
      <w:vertAlign w:val="superscript"/>
    </w:rPr>
  </w:style>
  <w:style w:type="paragraph" w:customStyle="1" w:styleId="BodyText31">
    <w:name w:val="Body Text 31"/>
    <w:basedOn w:val="Normln"/>
    <w:rsid w:val="00571B6F"/>
    <w:pPr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styleId="Zkladntext2">
    <w:name w:val="Body Text 2"/>
    <w:basedOn w:val="Normln"/>
    <w:semiHidden/>
    <w:rsid w:val="00571B6F"/>
    <w:rPr>
      <w:rFonts w:cs="Arial"/>
      <w:lang w:eastAsia="cs-CZ"/>
    </w:rPr>
  </w:style>
  <w:style w:type="paragraph" w:styleId="Zkladntext3">
    <w:name w:val="Body Text 3"/>
    <w:basedOn w:val="Normln"/>
    <w:semiHidden/>
    <w:rsid w:val="00571B6F"/>
    <w:rPr>
      <w:rFonts w:cs="Arial"/>
      <w:lang w:eastAsia="cs-CZ"/>
    </w:rPr>
  </w:style>
  <w:style w:type="paragraph" w:customStyle="1" w:styleId="citace">
    <w:name w:val="citace"/>
    <w:basedOn w:val="Normln"/>
    <w:next w:val="Normln"/>
    <w:rsid w:val="00571B6F"/>
    <w:pPr>
      <w:spacing w:after="120"/>
      <w:ind w:firstLine="720"/>
    </w:pPr>
    <w:rPr>
      <w:i/>
    </w:rPr>
  </w:style>
  <w:style w:type="paragraph" w:styleId="Zkladntextodsazen2">
    <w:name w:val="Body Text Indent 2"/>
    <w:basedOn w:val="Normln"/>
    <w:semiHidden/>
    <w:rsid w:val="00571B6F"/>
    <w:pPr>
      <w:ind w:left="470" w:firstLine="180"/>
    </w:pPr>
    <w:rPr>
      <w:b/>
      <w:bCs/>
      <w:sz w:val="20"/>
    </w:rPr>
  </w:style>
  <w:style w:type="paragraph" w:styleId="Zkladntextodsazen3">
    <w:name w:val="Body Text Indent 3"/>
    <w:basedOn w:val="Normln"/>
    <w:semiHidden/>
    <w:rsid w:val="00571B6F"/>
    <w:pPr>
      <w:ind w:firstLine="720"/>
    </w:pPr>
  </w:style>
  <w:style w:type="paragraph" w:styleId="Nzev">
    <w:name w:val="Title"/>
    <w:basedOn w:val="Normln"/>
    <w:link w:val="NzevChar"/>
    <w:uiPriority w:val="10"/>
    <w:qFormat/>
    <w:rsid w:val="00571B6F"/>
    <w:pPr>
      <w:jc w:val="center"/>
    </w:pPr>
    <w:rPr>
      <w:b/>
      <w:bCs/>
      <w:sz w:val="28"/>
    </w:rPr>
  </w:style>
  <w:style w:type="paragraph" w:styleId="Citt">
    <w:name w:val="Quote"/>
    <w:basedOn w:val="Normln"/>
    <w:next w:val="Normln"/>
    <w:link w:val="CittChar"/>
    <w:qFormat/>
    <w:rsid w:val="00571B6F"/>
    <w:pPr>
      <w:spacing w:before="120" w:after="120"/>
    </w:pPr>
    <w:rPr>
      <w:i/>
      <w:iCs/>
    </w:rPr>
  </w:style>
  <w:style w:type="paragraph" w:customStyle="1" w:styleId="Normln0">
    <w:name w:val="Norm‡ln’"/>
    <w:rsid w:val="00571B6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ulek">
    <w:name w:val="caption"/>
    <w:basedOn w:val="Normln"/>
    <w:next w:val="Normln"/>
    <w:uiPriority w:val="35"/>
    <w:qFormat/>
    <w:rsid w:val="00571B6F"/>
    <w:pPr>
      <w:spacing w:before="120" w:after="120"/>
      <w:ind w:firstLine="0"/>
      <w:jc w:val="left"/>
    </w:pPr>
    <w:rPr>
      <w:rFonts w:cs="Arial"/>
      <w:b/>
      <w:bCs/>
      <w:sz w:val="20"/>
      <w:szCs w:val="20"/>
    </w:rPr>
  </w:style>
  <w:style w:type="paragraph" w:customStyle="1" w:styleId="xl23">
    <w:name w:val="xl23"/>
    <w:basedOn w:val="Normln"/>
    <w:rsid w:val="00571B6F"/>
    <w:pPr>
      <w:spacing w:before="100" w:beforeAutospacing="1" w:after="100" w:afterAutospacing="1"/>
      <w:ind w:firstLine="0"/>
    </w:pPr>
    <w:rPr>
      <w:rFonts w:ascii="Times New Roman" w:eastAsia="Arial Unicode MS" w:hAnsi="Times New Roman"/>
      <w:sz w:val="24"/>
      <w:lang w:eastAsia="cs-CZ"/>
    </w:rPr>
  </w:style>
  <w:style w:type="character" w:styleId="Zvraznn">
    <w:name w:val="Emphasis"/>
    <w:basedOn w:val="Standardnpsmoodstavce"/>
    <w:uiPriority w:val="20"/>
    <w:qFormat/>
    <w:rsid w:val="00571B6F"/>
    <w:rPr>
      <w:i/>
      <w:iCs/>
    </w:rPr>
  </w:style>
  <w:style w:type="paragraph" w:customStyle="1" w:styleId="Styl1">
    <w:name w:val="Styl1"/>
    <w:basedOn w:val="Nadpis5"/>
    <w:rsid w:val="00571B6F"/>
  </w:style>
  <w:style w:type="paragraph" w:styleId="Rozloendokumentu">
    <w:name w:val="Document Map"/>
    <w:basedOn w:val="Normln"/>
    <w:semiHidden/>
    <w:rsid w:val="00571B6F"/>
    <w:pPr>
      <w:shd w:val="clear" w:color="auto" w:fill="000080"/>
    </w:pPr>
    <w:rPr>
      <w:rFonts w:ascii="Tahoma" w:hAnsi="Tahoma" w:cs="Tahoma"/>
    </w:rPr>
  </w:style>
  <w:style w:type="paragraph" w:styleId="Seznamsodrkami">
    <w:name w:val="List Bullet"/>
    <w:basedOn w:val="Normln"/>
    <w:autoRedefine/>
    <w:semiHidden/>
    <w:rsid w:val="00AF67D1"/>
    <w:pPr>
      <w:numPr>
        <w:numId w:val="3"/>
      </w:numPr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basedOn w:val="Standardnpsmoodstavce"/>
    <w:link w:val="Nzev"/>
    <w:uiPriority w:val="10"/>
    <w:locked/>
    <w:rsid w:val="009B0308"/>
    <w:rPr>
      <w:rFonts w:ascii="Arial" w:hAnsi="Arial"/>
      <w:b/>
      <w:bCs/>
      <w:sz w:val="28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semiHidden/>
    <w:locked/>
    <w:rsid w:val="009559D3"/>
    <w:rPr>
      <w:rFonts w:ascii="Arial" w:hAnsi="Arial"/>
      <w:sz w:val="22"/>
      <w:szCs w:val="24"/>
      <w:lang w:eastAsia="en-US"/>
    </w:rPr>
  </w:style>
  <w:style w:type="table" w:styleId="Mkatabulky">
    <w:name w:val="Table Grid"/>
    <w:basedOn w:val="Normlntabulka"/>
    <w:uiPriority w:val="59"/>
    <w:rsid w:val="007D4E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005F34"/>
    <w:rPr>
      <w:rFonts w:ascii="Tahoma" w:hAnsi="Tahoma" w:cs="Tahoma"/>
      <w:sz w:val="16"/>
      <w:szCs w:val="16"/>
    </w:rPr>
  </w:style>
  <w:style w:type="paragraph" w:styleId="Seznamsodrkami2">
    <w:name w:val="List Bullet 2"/>
    <w:basedOn w:val="Normln"/>
    <w:uiPriority w:val="99"/>
    <w:semiHidden/>
    <w:unhideWhenUsed/>
    <w:rsid w:val="007D6BB8"/>
    <w:pPr>
      <w:numPr>
        <w:numId w:val="4"/>
      </w:numPr>
      <w:contextualSpacing/>
    </w:p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5F19B6"/>
    <w:pPr>
      <w:ind w:left="720"/>
      <w:contextualSpacing/>
    </w:pPr>
  </w:style>
  <w:style w:type="paragraph" w:styleId="Normlnodsazen">
    <w:name w:val="Normal Indent"/>
    <w:basedOn w:val="Normln"/>
    <w:uiPriority w:val="99"/>
    <w:rsid w:val="00526B89"/>
    <w:pPr>
      <w:spacing w:line="360" w:lineRule="auto"/>
      <w:ind w:firstLine="72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D5793"/>
    <w:rPr>
      <w:rFonts w:ascii="Arial" w:hAnsi="Arial"/>
      <w:lang w:eastAsia="en-US"/>
    </w:rPr>
  </w:style>
  <w:style w:type="character" w:customStyle="1" w:styleId="Nadpis3Char">
    <w:name w:val="Nadpis 3 Char"/>
    <w:basedOn w:val="Standardnpsmoodstavce"/>
    <w:link w:val="Nadpis3"/>
    <w:rsid w:val="004B388A"/>
    <w:rPr>
      <w:rFonts w:ascii="Arial" w:hAnsi="Arial" w:cs="Arial"/>
      <w:b/>
      <w:bCs/>
      <w:sz w:val="26"/>
      <w:szCs w:val="26"/>
      <w:lang w:eastAsia="en-US"/>
    </w:rPr>
  </w:style>
  <w:style w:type="paragraph" w:customStyle="1" w:styleId="NormlnKZ">
    <w:name w:val="Normální KZ"/>
    <w:basedOn w:val="Normln"/>
    <w:uiPriority w:val="99"/>
    <w:rsid w:val="007C4C23"/>
    <w:pPr>
      <w:spacing w:after="120"/>
      <w:ind w:firstLine="425"/>
    </w:pPr>
    <w:rPr>
      <w:rFonts w:ascii="Times New Roman" w:hAnsi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F977A8"/>
    <w:rPr>
      <w:rFonts w:ascii="Arial" w:hAnsi="Arial"/>
      <w:b/>
      <w:bCs/>
      <w:sz w:val="32"/>
    </w:rPr>
  </w:style>
  <w:style w:type="character" w:customStyle="1" w:styleId="Nadpis2Char">
    <w:name w:val="Nadpis 2 Char"/>
    <w:basedOn w:val="Standardnpsmoodstavce"/>
    <w:link w:val="Nadpis2"/>
    <w:rsid w:val="00F977A8"/>
    <w:rPr>
      <w:rFonts w:ascii="Arial" w:hAnsi="Arial" w:cs="Arial"/>
      <w:b/>
      <w:sz w:val="28"/>
      <w:szCs w:val="24"/>
      <w:lang w:eastAsia="en-US"/>
    </w:rPr>
  </w:style>
  <w:style w:type="character" w:customStyle="1" w:styleId="CittChar">
    <w:name w:val="Citát Char"/>
    <w:basedOn w:val="Standardnpsmoodstavce"/>
    <w:link w:val="Citt"/>
    <w:rsid w:val="00F977A8"/>
    <w:rPr>
      <w:rFonts w:ascii="Arial" w:hAnsi="Arial"/>
      <w:i/>
      <w:iCs/>
      <w:sz w:val="22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6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5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58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583"/>
    <w:rPr>
      <w:rFonts w:ascii="Arial" w:hAnsi="Arial"/>
      <w:b/>
      <w:bCs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355C9"/>
    <w:rPr>
      <w:rFonts w:ascii="Arial" w:hAnsi="Arial"/>
      <w:sz w:val="22"/>
      <w:szCs w:val="24"/>
      <w:lang w:eastAsia="en-US"/>
    </w:rPr>
  </w:style>
  <w:style w:type="paragraph" w:customStyle="1" w:styleId="Odstavecseseznamem1">
    <w:name w:val="Odstavec se seznamem1"/>
    <w:basedOn w:val="Normln"/>
    <w:rsid w:val="00322F9C"/>
    <w:pPr>
      <w:ind w:left="720" w:firstLine="0"/>
      <w:jc w:val="left"/>
    </w:pPr>
    <w:rPr>
      <w:rFonts w:ascii="Times New Roman" w:hAnsi="Times New Roman"/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224F4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8224F4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224F4"/>
    <w:pPr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224F4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8224F4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8224F4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8224F4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8224F4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8224F4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8166BC"/>
    <w:rPr>
      <w:rFonts w:ascii="Arial" w:hAnsi="Arial"/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14BF4"/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2827A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rsid w:val="001F5BC4"/>
    <w:rPr>
      <w:rFonts w:ascii="Arial" w:hAnsi="Arial"/>
      <w:sz w:val="22"/>
      <w:szCs w:val="24"/>
      <w:lang w:eastAsia="en-US"/>
    </w:rPr>
  </w:style>
  <w:style w:type="paragraph" w:styleId="Bezmezer">
    <w:name w:val="No Spacing"/>
    <w:aliases w:val="KP,Bez mezer1,No Spacing"/>
    <w:basedOn w:val="Normln"/>
    <w:uiPriority w:val="1"/>
    <w:qFormat/>
    <w:rsid w:val="00B651A7"/>
    <w:pPr>
      <w:spacing w:after="120"/>
      <w:ind w:firstLine="567"/>
    </w:pPr>
    <w:rPr>
      <w:rFonts w:cs="Arial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D24A7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D24A7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BA131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1">
    <w:name w:val="Mřížka tabulky211"/>
    <w:basedOn w:val="Normlntabulka"/>
    <w:next w:val="Mkatabulky"/>
    <w:uiPriority w:val="59"/>
    <w:rsid w:val="000E09D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41">
    <w:name w:val="Mřížka tabulky41"/>
    <w:basedOn w:val="Normlntabulka"/>
    <w:next w:val="Mkatabulky"/>
    <w:uiPriority w:val="59"/>
    <w:rsid w:val="00053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151F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2">
    <w:name w:val="Mřížka tabulky212"/>
    <w:basedOn w:val="Normlntabulka"/>
    <w:next w:val="Mkatabulky"/>
    <w:uiPriority w:val="59"/>
    <w:rsid w:val="00D87A1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Standardnpsmoodstavce"/>
    <w:rsid w:val="00942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81E"/>
    <w:pPr>
      <w:ind w:firstLine="539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1B6F"/>
    <w:pPr>
      <w:keepNext/>
      <w:numPr>
        <w:numId w:val="1"/>
      </w:numPr>
      <w:tabs>
        <w:tab w:val="clear" w:pos="2417"/>
        <w:tab w:val="num" w:pos="432"/>
      </w:tabs>
      <w:overflowPunct w:val="0"/>
      <w:autoSpaceDE w:val="0"/>
      <w:autoSpaceDN w:val="0"/>
      <w:adjustRightInd w:val="0"/>
      <w:ind w:left="432"/>
      <w:textAlignment w:val="baseline"/>
      <w:outlineLvl w:val="0"/>
    </w:pPr>
    <w:rPr>
      <w:b/>
      <w:bCs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71B6F"/>
    <w:pPr>
      <w:keepNext/>
      <w:numPr>
        <w:ilvl w:val="1"/>
        <w:numId w:val="1"/>
      </w:numPr>
      <w:outlineLvl w:val="1"/>
    </w:pPr>
    <w:rPr>
      <w:rFonts w:cs="Arial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4B388A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B388A"/>
    <w:pPr>
      <w:keepNext/>
      <w:numPr>
        <w:ilvl w:val="3"/>
        <w:numId w:val="1"/>
      </w:numPr>
      <w:tabs>
        <w:tab w:val="left" w:leader="dot" w:pos="567"/>
      </w:tabs>
      <w:spacing w:before="240"/>
      <w:jc w:val="left"/>
      <w:outlineLvl w:val="3"/>
    </w:pPr>
    <w:rPr>
      <w:rFonts w:cs="Arial"/>
      <w:b/>
      <w:sz w:val="24"/>
    </w:rPr>
  </w:style>
  <w:style w:type="paragraph" w:styleId="Nadpis5">
    <w:name w:val="heading 5"/>
    <w:basedOn w:val="Normln"/>
    <w:next w:val="Normln"/>
    <w:qFormat/>
    <w:rsid w:val="00571B6F"/>
    <w:pPr>
      <w:numPr>
        <w:ilvl w:val="4"/>
        <w:numId w:val="1"/>
      </w:numPr>
      <w:spacing w:before="240" w:after="60"/>
      <w:outlineLvl w:val="4"/>
    </w:pPr>
    <w:rPr>
      <w:b/>
      <w:bCs/>
      <w:szCs w:val="26"/>
    </w:rPr>
  </w:style>
  <w:style w:type="paragraph" w:styleId="Nadpis6">
    <w:name w:val="heading 6"/>
    <w:basedOn w:val="Normln"/>
    <w:next w:val="Normln"/>
    <w:qFormat/>
    <w:rsid w:val="00571B6F"/>
    <w:pPr>
      <w:numPr>
        <w:ilvl w:val="5"/>
        <w:numId w:val="2"/>
      </w:numPr>
      <w:spacing w:before="240" w:after="60"/>
      <w:outlineLvl w:val="5"/>
    </w:pPr>
    <w:rPr>
      <w:b/>
      <w:bCs/>
      <w:i/>
      <w:iCs/>
      <w:szCs w:val="22"/>
    </w:rPr>
  </w:style>
  <w:style w:type="paragraph" w:styleId="Nadpis7">
    <w:name w:val="heading 7"/>
    <w:basedOn w:val="Normln"/>
    <w:next w:val="Normln"/>
    <w:qFormat/>
    <w:rsid w:val="00571B6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71B6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571B6F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71B6F"/>
  </w:style>
  <w:style w:type="paragraph" w:styleId="Zhlav">
    <w:name w:val="header"/>
    <w:basedOn w:val="Normln"/>
    <w:link w:val="ZhlavChar"/>
    <w:rsid w:val="00571B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71B6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71B6F"/>
    <w:rPr>
      <w:color w:val="0000FF"/>
      <w:u w:val="single"/>
    </w:rPr>
  </w:style>
  <w:style w:type="character" w:styleId="slostrnky">
    <w:name w:val="page number"/>
    <w:basedOn w:val="Standardnpsmoodstavce"/>
    <w:semiHidden/>
    <w:rsid w:val="00571B6F"/>
  </w:style>
  <w:style w:type="character" w:styleId="Sledovanodkaz">
    <w:name w:val="FollowedHyperlink"/>
    <w:basedOn w:val="Standardnpsmoodstavce"/>
    <w:semiHidden/>
    <w:rsid w:val="00571B6F"/>
    <w:rPr>
      <w:color w:val="800080"/>
      <w:u w:val="single"/>
    </w:rPr>
  </w:style>
  <w:style w:type="paragraph" w:styleId="Zkladntext">
    <w:name w:val="Body Text"/>
    <w:basedOn w:val="Normln"/>
    <w:semiHidden/>
    <w:rsid w:val="00571B6F"/>
    <w:rPr>
      <w:rFonts w:cs="Arial"/>
      <w:i/>
    </w:rPr>
  </w:style>
  <w:style w:type="paragraph" w:styleId="Zkladntextodsazen">
    <w:name w:val="Body Text Indent"/>
    <w:basedOn w:val="Normln"/>
    <w:link w:val="ZkladntextodsazenChar"/>
    <w:semiHidden/>
    <w:rsid w:val="00571B6F"/>
    <w:pPr>
      <w:spacing w:after="120"/>
      <w:ind w:firstLine="720"/>
    </w:pPr>
  </w:style>
  <w:style w:type="paragraph" w:styleId="Textpoznpodarou">
    <w:name w:val="footnote text"/>
    <w:basedOn w:val="Normln"/>
    <w:link w:val="TextpoznpodarouChar"/>
    <w:uiPriority w:val="99"/>
    <w:rsid w:val="00571B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71B6F"/>
    <w:rPr>
      <w:vertAlign w:val="superscript"/>
    </w:rPr>
  </w:style>
  <w:style w:type="paragraph" w:customStyle="1" w:styleId="BodyText31">
    <w:name w:val="Body Text 31"/>
    <w:basedOn w:val="Normln"/>
    <w:rsid w:val="00571B6F"/>
    <w:pPr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styleId="Zkladntext2">
    <w:name w:val="Body Text 2"/>
    <w:basedOn w:val="Normln"/>
    <w:semiHidden/>
    <w:rsid w:val="00571B6F"/>
    <w:rPr>
      <w:rFonts w:cs="Arial"/>
      <w:lang w:eastAsia="cs-CZ"/>
    </w:rPr>
  </w:style>
  <w:style w:type="paragraph" w:styleId="Zkladntext3">
    <w:name w:val="Body Text 3"/>
    <w:basedOn w:val="Normln"/>
    <w:semiHidden/>
    <w:rsid w:val="00571B6F"/>
    <w:rPr>
      <w:rFonts w:cs="Arial"/>
      <w:lang w:eastAsia="cs-CZ"/>
    </w:rPr>
  </w:style>
  <w:style w:type="paragraph" w:customStyle="1" w:styleId="citace">
    <w:name w:val="citace"/>
    <w:basedOn w:val="Normln"/>
    <w:next w:val="Normln"/>
    <w:rsid w:val="00571B6F"/>
    <w:pPr>
      <w:spacing w:after="120"/>
      <w:ind w:firstLine="720"/>
    </w:pPr>
    <w:rPr>
      <w:i/>
    </w:rPr>
  </w:style>
  <w:style w:type="paragraph" w:styleId="Zkladntextodsazen2">
    <w:name w:val="Body Text Indent 2"/>
    <w:basedOn w:val="Normln"/>
    <w:semiHidden/>
    <w:rsid w:val="00571B6F"/>
    <w:pPr>
      <w:ind w:left="470" w:firstLine="180"/>
    </w:pPr>
    <w:rPr>
      <w:b/>
      <w:bCs/>
      <w:sz w:val="20"/>
    </w:rPr>
  </w:style>
  <w:style w:type="paragraph" w:styleId="Zkladntextodsazen3">
    <w:name w:val="Body Text Indent 3"/>
    <w:basedOn w:val="Normln"/>
    <w:semiHidden/>
    <w:rsid w:val="00571B6F"/>
    <w:pPr>
      <w:ind w:firstLine="720"/>
    </w:pPr>
  </w:style>
  <w:style w:type="paragraph" w:styleId="Nzev">
    <w:name w:val="Title"/>
    <w:basedOn w:val="Normln"/>
    <w:link w:val="NzevChar"/>
    <w:uiPriority w:val="10"/>
    <w:qFormat/>
    <w:rsid w:val="00571B6F"/>
    <w:pPr>
      <w:jc w:val="center"/>
    </w:pPr>
    <w:rPr>
      <w:b/>
      <w:bCs/>
      <w:sz w:val="28"/>
    </w:rPr>
  </w:style>
  <w:style w:type="paragraph" w:styleId="Citt">
    <w:name w:val="Quote"/>
    <w:basedOn w:val="Normln"/>
    <w:next w:val="Normln"/>
    <w:link w:val="CittChar"/>
    <w:qFormat/>
    <w:rsid w:val="00571B6F"/>
    <w:pPr>
      <w:spacing w:before="120" w:after="120"/>
    </w:pPr>
    <w:rPr>
      <w:i/>
      <w:iCs/>
    </w:rPr>
  </w:style>
  <w:style w:type="paragraph" w:customStyle="1" w:styleId="Normln0">
    <w:name w:val="Norm‡ln’"/>
    <w:rsid w:val="00571B6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ulek">
    <w:name w:val="caption"/>
    <w:basedOn w:val="Normln"/>
    <w:next w:val="Normln"/>
    <w:uiPriority w:val="35"/>
    <w:qFormat/>
    <w:rsid w:val="00571B6F"/>
    <w:pPr>
      <w:spacing w:before="120" w:after="120"/>
      <w:ind w:firstLine="0"/>
      <w:jc w:val="left"/>
    </w:pPr>
    <w:rPr>
      <w:rFonts w:cs="Arial"/>
      <w:b/>
      <w:bCs/>
      <w:sz w:val="20"/>
      <w:szCs w:val="20"/>
    </w:rPr>
  </w:style>
  <w:style w:type="paragraph" w:customStyle="1" w:styleId="xl23">
    <w:name w:val="xl23"/>
    <w:basedOn w:val="Normln"/>
    <w:rsid w:val="00571B6F"/>
    <w:pPr>
      <w:spacing w:before="100" w:beforeAutospacing="1" w:after="100" w:afterAutospacing="1"/>
      <w:ind w:firstLine="0"/>
    </w:pPr>
    <w:rPr>
      <w:rFonts w:ascii="Times New Roman" w:eastAsia="Arial Unicode MS" w:hAnsi="Times New Roman"/>
      <w:sz w:val="24"/>
      <w:lang w:eastAsia="cs-CZ"/>
    </w:rPr>
  </w:style>
  <w:style w:type="character" w:styleId="Zvraznn">
    <w:name w:val="Emphasis"/>
    <w:basedOn w:val="Standardnpsmoodstavce"/>
    <w:uiPriority w:val="20"/>
    <w:qFormat/>
    <w:rsid w:val="00571B6F"/>
    <w:rPr>
      <w:i/>
      <w:iCs/>
    </w:rPr>
  </w:style>
  <w:style w:type="paragraph" w:customStyle="1" w:styleId="Styl1">
    <w:name w:val="Styl1"/>
    <w:basedOn w:val="Nadpis5"/>
    <w:rsid w:val="00571B6F"/>
  </w:style>
  <w:style w:type="paragraph" w:styleId="Rozloendokumentu">
    <w:name w:val="Document Map"/>
    <w:basedOn w:val="Normln"/>
    <w:semiHidden/>
    <w:rsid w:val="00571B6F"/>
    <w:pPr>
      <w:shd w:val="clear" w:color="auto" w:fill="000080"/>
    </w:pPr>
    <w:rPr>
      <w:rFonts w:ascii="Tahoma" w:hAnsi="Tahoma" w:cs="Tahoma"/>
    </w:rPr>
  </w:style>
  <w:style w:type="paragraph" w:styleId="Seznamsodrkami">
    <w:name w:val="List Bullet"/>
    <w:basedOn w:val="Normln"/>
    <w:autoRedefine/>
    <w:semiHidden/>
    <w:rsid w:val="00AF67D1"/>
    <w:pPr>
      <w:numPr>
        <w:numId w:val="3"/>
      </w:numPr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basedOn w:val="Standardnpsmoodstavce"/>
    <w:link w:val="Nzev"/>
    <w:uiPriority w:val="10"/>
    <w:locked/>
    <w:rsid w:val="009B0308"/>
    <w:rPr>
      <w:rFonts w:ascii="Arial" w:hAnsi="Arial"/>
      <w:b/>
      <w:bCs/>
      <w:sz w:val="28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semiHidden/>
    <w:locked/>
    <w:rsid w:val="009559D3"/>
    <w:rPr>
      <w:rFonts w:ascii="Arial" w:hAnsi="Arial"/>
      <w:sz w:val="22"/>
      <w:szCs w:val="24"/>
      <w:lang w:eastAsia="en-US"/>
    </w:rPr>
  </w:style>
  <w:style w:type="table" w:styleId="Mkatabulky">
    <w:name w:val="Table Grid"/>
    <w:basedOn w:val="Normlntabulka"/>
    <w:uiPriority w:val="59"/>
    <w:rsid w:val="007D4E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005F34"/>
    <w:rPr>
      <w:rFonts w:ascii="Tahoma" w:hAnsi="Tahoma" w:cs="Tahoma"/>
      <w:sz w:val="16"/>
      <w:szCs w:val="16"/>
    </w:rPr>
  </w:style>
  <w:style w:type="paragraph" w:styleId="Seznamsodrkami2">
    <w:name w:val="List Bullet 2"/>
    <w:basedOn w:val="Normln"/>
    <w:uiPriority w:val="99"/>
    <w:semiHidden/>
    <w:unhideWhenUsed/>
    <w:rsid w:val="007D6BB8"/>
    <w:pPr>
      <w:numPr>
        <w:numId w:val="4"/>
      </w:numPr>
      <w:contextualSpacing/>
    </w:p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5F19B6"/>
    <w:pPr>
      <w:ind w:left="720"/>
      <w:contextualSpacing/>
    </w:pPr>
  </w:style>
  <w:style w:type="paragraph" w:styleId="Normlnodsazen">
    <w:name w:val="Normal Indent"/>
    <w:basedOn w:val="Normln"/>
    <w:uiPriority w:val="99"/>
    <w:rsid w:val="00526B89"/>
    <w:pPr>
      <w:spacing w:line="360" w:lineRule="auto"/>
      <w:ind w:firstLine="72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D5793"/>
    <w:rPr>
      <w:rFonts w:ascii="Arial" w:hAnsi="Arial"/>
      <w:lang w:eastAsia="en-US"/>
    </w:rPr>
  </w:style>
  <w:style w:type="character" w:customStyle="1" w:styleId="Nadpis3Char">
    <w:name w:val="Nadpis 3 Char"/>
    <w:basedOn w:val="Standardnpsmoodstavce"/>
    <w:link w:val="Nadpis3"/>
    <w:rsid w:val="004B388A"/>
    <w:rPr>
      <w:rFonts w:ascii="Arial" w:hAnsi="Arial" w:cs="Arial"/>
      <w:b/>
      <w:bCs/>
      <w:sz w:val="26"/>
      <w:szCs w:val="26"/>
      <w:lang w:eastAsia="en-US"/>
    </w:rPr>
  </w:style>
  <w:style w:type="paragraph" w:customStyle="1" w:styleId="NormlnKZ">
    <w:name w:val="Normální KZ"/>
    <w:basedOn w:val="Normln"/>
    <w:uiPriority w:val="99"/>
    <w:rsid w:val="007C4C23"/>
    <w:pPr>
      <w:spacing w:after="120"/>
      <w:ind w:firstLine="425"/>
    </w:pPr>
    <w:rPr>
      <w:rFonts w:ascii="Times New Roman" w:hAnsi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F977A8"/>
    <w:rPr>
      <w:rFonts w:ascii="Arial" w:hAnsi="Arial"/>
      <w:b/>
      <w:bCs/>
      <w:sz w:val="32"/>
    </w:rPr>
  </w:style>
  <w:style w:type="character" w:customStyle="1" w:styleId="Nadpis2Char">
    <w:name w:val="Nadpis 2 Char"/>
    <w:basedOn w:val="Standardnpsmoodstavce"/>
    <w:link w:val="Nadpis2"/>
    <w:rsid w:val="00F977A8"/>
    <w:rPr>
      <w:rFonts w:ascii="Arial" w:hAnsi="Arial" w:cs="Arial"/>
      <w:b/>
      <w:sz w:val="28"/>
      <w:szCs w:val="24"/>
      <w:lang w:eastAsia="en-US"/>
    </w:rPr>
  </w:style>
  <w:style w:type="character" w:customStyle="1" w:styleId="CittChar">
    <w:name w:val="Citát Char"/>
    <w:basedOn w:val="Standardnpsmoodstavce"/>
    <w:link w:val="Citt"/>
    <w:rsid w:val="00F977A8"/>
    <w:rPr>
      <w:rFonts w:ascii="Arial" w:hAnsi="Arial"/>
      <w:i/>
      <w:iCs/>
      <w:sz w:val="22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6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5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58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583"/>
    <w:rPr>
      <w:rFonts w:ascii="Arial" w:hAnsi="Arial"/>
      <w:b/>
      <w:bCs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355C9"/>
    <w:rPr>
      <w:rFonts w:ascii="Arial" w:hAnsi="Arial"/>
      <w:sz w:val="22"/>
      <w:szCs w:val="24"/>
      <w:lang w:eastAsia="en-US"/>
    </w:rPr>
  </w:style>
  <w:style w:type="paragraph" w:customStyle="1" w:styleId="Odstavecseseznamem1">
    <w:name w:val="Odstavec se seznamem1"/>
    <w:basedOn w:val="Normln"/>
    <w:rsid w:val="00322F9C"/>
    <w:pPr>
      <w:ind w:left="720" w:firstLine="0"/>
      <w:jc w:val="left"/>
    </w:pPr>
    <w:rPr>
      <w:rFonts w:ascii="Times New Roman" w:hAnsi="Times New Roman"/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224F4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8224F4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224F4"/>
    <w:pPr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224F4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8224F4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8224F4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8224F4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8224F4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8224F4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8166BC"/>
    <w:rPr>
      <w:rFonts w:ascii="Arial" w:hAnsi="Arial"/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14BF4"/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2827A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rsid w:val="001F5BC4"/>
    <w:rPr>
      <w:rFonts w:ascii="Arial" w:hAnsi="Arial"/>
      <w:sz w:val="22"/>
      <w:szCs w:val="24"/>
      <w:lang w:eastAsia="en-US"/>
    </w:rPr>
  </w:style>
  <w:style w:type="paragraph" w:styleId="Bezmezer">
    <w:name w:val="No Spacing"/>
    <w:aliases w:val="KP,Bez mezer1,No Spacing"/>
    <w:basedOn w:val="Normln"/>
    <w:uiPriority w:val="1"/>
    <w:qFormat/>
    <w:rsid w:val="00B651A7"/>
    <w:pPr>
      <w:spacing w:after="120"/>
      <w:ind w:firstLine="567"/>
    </w:pPr>
    <w:rPr>
      <w:rFonts w:cs="Arial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D24A7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D24A7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BA131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1">
    <w:name w:val="Mřížka tabulky211"/>
    <w:basedOn w:val="Normlntabulka"/>
    <w:next w:val="Mkatabulky"/>
    <w:uiPriority w:val="59"/>
    <w:rsid w:val="000E09D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41">
    <w:name w:val="Mřížka tabulky41"/>
    <w:basedOn w:val="Normlntabulka"/>
    <w:next w:val="Mkatabulky"/>
    <w:uiPriority w:val="59"/>
    <w:rsid w:val="00053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151F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2">
    <w:name w:val="Mřížka tabulky212"/>
    <w:basedOn w:val="Normlntabulka"/>
    <w:next w:val="Mkatabulky"/>
    <w:uiPriority w:val="59"/>
    <w:rsid w:val="00D87A1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Standardnpsmoodstavce"/>
    <w:rsid w:val="0094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200">
                <a:latin typeface="+mn-lt"/>
                <a:cs typeface="Arial" pitchFamily="34" charset="0"/>
              </a:defRPr>
            </a:pPr>
            <a:r>
              <a:rPr lang="cs-CZ" sz="1200">
                <a:latin typeface="+mn-lt"/>
                <a:cs typeface="Arial" pitchFamily="34" charset="0"/>
              </a:rPr>
              <a:t>Příjmy z p</a:t>
            </a:r>
            <a:r>
              <a:rPr lang="en-US" sz="1200">
                <a:latin typeface="+mn-lt"/>
                <a:cs typeface="Arial" pitchFamily="34" charset="0"/>
              </a:rPr>
              <a:t>ojistné</a:t>
            </a:r>
            <a:r>
              <a:rPr lang="cs-CZ" sz="1200">
                <a:latin typeface="+mn-lt"/>
                <a:cs typeface="Arial" pitchFamily="34" charset="0"/>
              </a:rPr>
              <a:t>ho</a:t>
            </a:r>
            <a:r>
              <a:rPr lang="en-US" sz="1200">
                <a:latin typeface="+mn-lt"/>
                <a:cs typeface="Arial" pitchFamily="34" charset="0"/>
              </a:rPr>
              <a:t> na důchodové pojištění</a:t>
            </a:r>
            <a:r>
              <a:rPr lang="cs-CZ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itchFamily="34" charset="0"/>
              </a:rPr>
              <a:t> </a:t>
            </a:r>
            <a:r>
              <a:rPr lang="cs-CZ" sz="1200">
                <a:latin typeface="+mn-lt"/>
                <a:cs typeface="Arial" pitchFamily="34" charset="0"/>
              </a:rPr>
              <a:t>v kapitole MPSV </a:t>
            </a:r>
          </a:p>
          <a:p>
            <a:pPr>
              <a:defRPr sz="1200">
                <a:latin typeface="+mn-lt"/>
                <a:cs typeface="Arial" pitchFamily="34" charset="0"/>
              </a:defRPr>
            </a:pPr>
            <a:r>
              <a:rPr lang="cs-CZ"/>
              <a:t>v letech</a:t>
            </a:r>
            <a:r>
              <a:rPr lang="cs-CZ" sz="1200">
                <a:latin typeface="+mn-lt"/>
                <a:cs typeface="Arial" pitchFamily="34" charset="0"/>
              </a:rPr>
              <a:t> 1996–2013 (v tis. Kč)</a:t>
            </a:r>
            <a:endParaRPr lang="en-US" sz="1200">
              <a:latin typeface="+mn-lt"/>
              <a:cs typeface="Arial" pitchFamily="3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Pojistné na DP</c:v>
          </c:tx>
          <c:spPr>
            <a:gradFill flip="none" rotWithShape="1">
              <a:gsLst>
                <a:gs pos="0">
                  <a:schemeClr val="tx2">
                    <a:lumMod val="60000"/>
                    <a:lumOff val="40000"/>
                  </a:schemeClr>
                </a:gs>
                <a:gs pos="100000">
                  <a:srgbClr val="C4D6EB"/>
                </a:gs>
                <a:gs pos="100000">
                  <a:srgbClr val="FFEBFA"/>
                </a:gs>
              </a:gsLst>
              <a:lin ang="5400000" scaled="1"/>
              <a:tileRect/>
            </a:gradFill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'Příjmy_1996_2013 společně'!$C$3:$T$3</c:f>
              <c:strCache>
                <c:ptCount val="18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</c:strCache>
            </c:strRef>
          </c:cat>
          <c:val>
            <c:numRef>
              <c:f>'Příjmy_1996_2013 společně'!$C$8:$T$8</c:f>
              <c:numCache>
                <c:formatCode>General</c:formatCode>
                <c:ptCount val="18"/>
                <c:pt idx="0">
                  <c:v>126967589.56999999</c:v>
                </c:pt>
                <c:pt idx="1">
                  <c:v>139602696.97999999</c:v>
                </c:pt>
                <c:pt idx="2">
                  <c:v>149672467.66</c:v>
                </c:pt>
                <c:pt idx="3">
                  <c:v>154724241.5</c:v>
                </c:pt>
                <c:pt idx="4">
                  <c:v>163406900.25999999</c:v>
                </c:pt>
                <c:pt idx="5">
                  <c:v>178235304.71999997</c:v>
                </c:pt>
                <c:pt idx="6">
                  <c:v>191319669.69</c:v>
                </c:pt>
                <c:pt idx="7">
                  <c:v>201208040.20000002</c:v>
                </c:pt>
                <c:pt idx="8">
                  <c:v>235170155.75999999</c:v>
                </c:pt>
                <c:pt idx="9">
                  <c:v>249579829.46000001</c:v>
                </c:pt>
                <c:pt idx="10">
                  <c:v>268426494.68000001</c:v>
                </c:pt>
                <c:pt idx="11">
                  <c:v>295913625.36000001</c:v>
                </c:pt>
                <c:pt idx="12">
                  <c:v>310886062.58999997</c:v>
                </c:pt>
                <c:pt idx="13">
                  <c:v>300871465.47000003</c:v>
                </c:pt>
                <c:pt idx="14">
                  <c:v>308109522.32999998</c:v>
                </c:pt>
                <c:pt idx="15">
                  <c:v>319122101.03025001</c:v>
                </c:pt>
                <c:pt idx="16">
                  <c:v>322800533.92087001</c:v>
                </c:pt>
                <c:pt idx="17">
                  <c:v>323290030.21699005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720640"/>
        <c:axId val="58722176"/>
      </c:barChart>
      <c:lineChart>
        <c:grouping val="stacked"/>
        <c:varyColors val="0"/>
        <c:ser>
          <c:idx val="1"/>
          <c:order val="1"/>
          <c:tx>
            <c:v>pojistné na DP</c:v>
          </c:tx>
          <c:spPr>
            <a:ln w="25400" cap="flat" cmpd="sng" algn="ctr">
              <a:noFill/>
              <a:prstDash val="solid"/>
            </a:ln>
            <a:effectLst/>
          </c:spPr>
          <c:marker>
            <c:symbol val="none"/>
          </c:marker>
          <c:cat>
            <c:strRef>
              <c:f>'Příjmy_1996_2013 společně'!$C$3:$T$3</c:f>
              <c:strCache>
                <c:ptCount val="18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</c:strCache>
            </c:strRef>
          </c:cat>
          <c:val>
            <c:numRef>
              <c:f>'Příjmy_1996_2013 společně'!$C$8:$T$8</c:f>
              <c:numCache>
                <c:formatCode>General</c:formatCode>
                <c:ptCount val="18"/>
                <c:pt idx="0">
                  <c:v>126967589.56999999</c:v>
                </c:pt>
                <c:pt idx="1">
                  <c:v>139602696.97999999</c:v>
                </c:pt>
                <c:pt idx="2">
                  <c:v>149672467.66</c:v>
                </c:pt>
                <c:pt idx="3">
                  <c:v>154724241.5</c:v>
                </c:pt>
                <c:pt idx="4">
                  <c:v>163406900.25999999</c:v>
                </c:pt>
                <c:pt idx="5">
                  <c:v>178235304.71999997</c:v>
                </c:pt>
                <c:pt idx="6">
                  <c:v>191319669.69</c:v>
                </c:pt>
                <c:pt idx="7">
                  <c:v>201208040.20000002</c:v>
                </c:pt>
                <c:pt idx="8">
                  <c:v>235170155.75999999</c:v>
                </c:pt>
                <c:pt idx="9">
                  <c:v>249579829.46000001</c:v>
                </c:pt>
                <c:pt idx="10">
                  <c:v>268426494.68000001</c:v>
                </c:pt>
                <c:pt idx="11">
                  <c:v>295913625.36000001</c:v>
                </c:pt>
                <c:pt idx="12">
                  <c:v>310886062.58999997</c:v>
                </c:pt>
                <c:pt idx="13">
                  <c:v>300871465.47000003</c:v>
                </c:pt>
                <c:pt idx="14">
                  <c:v>308109522.32999998</c:v>
                </c:pt>
                <c:pt idx="15">
                  <c:v>319122101.03025001</c:v>
                </c:pt>
                <c:pt idx="16">
                  <c:v>322800533.92087001</c:v>
                </c:pt>
                <c:pt idx="17">
                  <c:v>323290030.21699005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720640"/>
        <c:axId val="58722176"/>
      </c:lineChart>
      <c:catAx>
        <c:axId val="58720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220000" vert="horz"/>
          <a:lstStyle/>
          <a:p>
            <a:pPr>
              <a:defRPr/>
            </a:pPr>
            <a:endParaRPr lang="cs-CZ"/>
          </a:p>
        </c:txPr>
        <c:crossAx val="58722176"/>
        <c:crosses val="autoZero"/>
        <c:auto val="1"/>
        <c:lblAlgn val="ctr"/>
        <c:lblOffset val="100"/>
        <c:noMultiLvlLbl val="0"/>
      </c:catAx>
      <c:valAx>
        <c:axId val="58722176"/>
        <c:scaling>
          <c:orientation val="minMax"/>
          <c:max val="350000000"/>
          <c:min val="100000000"/>
        </c:scaling>
        <c:delete val="0"/>
        <c:axPos val="l"/>
        <c:majorGridlines/>
        <c:numFmt formatCode="#,##0;\-#,##0" sourceLinked="0"/>
        <c:majorTickMark val="out"/>
        <c:minorTickMark val="none"/>
        <c:tickLblPos val="nextTo"/>
        <c:crossAx val="58720640"/>
        <c:crosses val="autoZero"/>
        <c:crossBetween val="between"/>
      </c:valAx>
      <c:spPr>
        <a:ln>
          <a:solidFill>
            <a:schemeClr val="tx1">
              <a:lumMod val="50000"/>
              <a:lumOff val="50000"/>
            </a:schemeClr>
          </a:solidFill>
        </a:ln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tx2">
          <a:lumMod val="40000"/>
          <a:lumOff val="60000"/>
        </a:schemeClr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>
                <a:latin typeface="+mn-lt"/>
                <a:cs typeface="Arial" pitchFamily="34" charset="0"/>
              </a:rPr>
              <a:t>D</a:t>
            </a:r>
            <a:r>
              <a:rPr lang="en-US" sz="1100">
                <a:latin typeface="+mn-lt"/>
                <a:cs typeface="Arial" pitchFamily="34" charset="0"/>
              </a:rPr>
              <a:t>ávky důchodového pojištění</a:t>
            </a:r>
            <a:r>
              <a:rPr lang="cs-CZ" sz="1100">
                <a:latin typeface="+mn-lt"/>
                <a:cs typeface="Arial" pitchFamily="34" charset="0"/>
              </a:rPr>
              <a:t> v kapitole MPSV v letech 1996–2013 (v tis. Kč)</a:t>
            </a:r>
            <a:endParaRPr lang="en-US" sz="1100">
              <a:latin typeface="+mn-lt"/>
              <a:cs typeface="Arial" pitchFamily="34" charset="0"/>
            </a:endParaRPr>
          </a:p>
        </c:rich>
      </c:tx>
      <c:layout>
        <c:manualLayout>
          <c:xMode val="edge"/>
          <c:yMode val="edge"/>
          <c:x val="0.15078431116508445"/>
          <c:y val="2.265887218643124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DDP</c:v>
          </c:tx>
          <c:spPr>
            <a:solidFill>
              <a:srgbClr val="C00000"/>
            </a:solidFill>
            <a:ln w="9525" cap="flat" cmpd="sng" algn="ctr">
              <a:solidFill>
                <a:schemeClr val="accent2">
                  <a:lumMod val="20000"/>
                  <a:lumOff val="80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'ČSSZ_MPSV_výdaje na DDP'!$C$16:$T$17</c:f>
              <c:strCache>
                <c:ptCount val="18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</c:strCache>
            </c:strRef>
          </c:cat>
          <c:val>
            <c:numRef>
              <c:f>'ČSSZ_MPSV_výdaje na DDP'!$C$19:$T$19</c:f>
              <c:numCache>
                <c:formatCode>General</c:formatCode>
                <c:ptCount val="18"/>
                <c:pt idx="0">
                  <c:v>124161432.11</c:v>
                </c:pt>
                <c:pt idx="1">
                  <c:v>147279303.89000002</c:v>
                </c:pt>
                <c:pt idx="2">
                  <c:v>161935063.66000003</c:v>
                </c:pt>
                <c:pt idx="3">
                  <c:v>173444134.35999995</c:v>
                </c:pt>
                <c:pt idx="4">
                  <c:v>182191261.29000002</c:v>
                </c:pt>
                <c:pt idx="5">
                  <c:v>196113711.00999999</c:v>
                </c:pt>
                <c:pt idx="6">
                  <c:v>208274949.24999997</c:v>
                </c:pt>
                <c:pt idx="7">
                  <c:v>220323276.66000003</c:v>
                </c:pt>
                <c:pt idx="8">
                  <c:v>225185065.03999999</c:v>
                </c:pt>
                <c:pt idx="9">
                  <c:v>241160896.80000001</c:v>
                </c:pt>
                <c:pt idx="10">
                  <c:v>266225874.58000001</c:v>
                </c:pt>
                <c:pt idx="11">
                  <c:v>282599084.29000002</c:v>
                </c:pt>
                <c:pt idx="12">
                  <c:v>304870973.75</c:v>
                </c:pt>
                <c:pt idx="13">
                  <c:v>331594682.91000003</c:v>
                </c:pt>
                <c:pt idx="14">
                  <c:v>337798655.76999998</c:v>
                </c:pt>
                <c:pt idx="15">
                  <c:v>359098199.25999999</c:v>
                </c:pt>
                <c:pt idx="16">
                  <c:v>372752587.73000002</c:v>
                </c:pt>
                <c:pt idx="17">
                  <c:v>373434993.24000001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385920"/>
        <c:axId val="60428672"/>
      </c:barChart>
      <c:lineChart>
        <c:grouping val="stacked"/>
        <c:varyColors val="0"/>
        <c:ser>
          <c:idx val="1"/>
          <c:order val="1"/>
          <c:tx>
            <c:v>DDP</c:v>
          </c:tx>
          <c:spPr>
            <a:ln w="19050">
              <a:noFill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cat>
            <c:strRef>
              <c:f>'ČSSZ_MPSV_výdaje na DDP'!$C$16:$T$17</c:f>
              <c:strCache>
                <c:ptCount val="18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</c:strCache>
            </c:strRef>
          </c:cat>
          <c:val>
            <c:numRef>
              <c:f>'ČSSZ_MPSV_výdaje na DDP'!$C$19:$T$19</c:f>
              <c:numCache>
                <c:formatCode>General</c:formatCode>
                <c:ptCount val="18"/>
                <c:pt idx="0">
                  <c:v>124161432.11</c:v>
                </c:pt>
                <c:pt idx="1">
                  <c:v>147279303.89000002</c:v>
                </c:pt>
                <c:pt idx="2">
                  <c:v>161935063.66000003</c:v>
                </c:pt>
                <c:pt idx="3">
                  <c:v>173444134.35999995</c:v>
                </c:pt>
                <c:pt idx="4">
                  <c:v>182191261.29000002</c:v>
                </c:pt>
                <c:pt idx="5">
                  <c:v>196113711.00999999</c:v>
                </c:pt>
                <c:pt idx="6">
                  <c:v>208274949.24999997</c:v>
                </c:pt>
                <c:pt idx="7">
                  <c:v>220323276.66000003</c:v>
                </c:pt>
                <c:pt idx="8">
                  <c:v>225185065.03999999</c:v>
                </c:pt>
                <c:pt idx="9">
                  <c:v>241160896.80000001</c:v>
                </c:pt>
                <c:pt idx="10">
                  <c:v>266225874.58000001</c:v>
                </c:pt>
                <c:pt idx="11">
                  <c:v>282599084.29000002</c:v>
                </c:pt>
                <c:pt idx="12">
                  <c:v>304870973.75</c:v>
                </c:pt>
                <c:pt idx="13">
                  <c:v>331594682.91000003</c:v>
                </c:pt>
                <c:pt idx="14">
                  <c:v>337798655.76999998</c:v>
                </c:pt>
                <c:pt idx="15">
                  <c:v>359098199.25999999</c:v>
                </c:pt>
                <c:pt idx="16">
                  <c:v>372752587.73000002</c:v>
                </c:pt>
                <c:pt idx="17">
                  <c:v>373434993.24000001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85920"/>
        <c:axId val="60428672"/>
      </c:lineChart>
      <c:catAx>
        <c:axId val="60385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160000"/>
          <a:lstStyle/>
          <a:p>
            <a:pPr>
              <a:defRPr/>
            </a:pPr>
            <a:endParaRPr lang="cs-CZ"/>
          </a:p>
        </c:txPr>
        <c:crossAx val="60428672"/>
        <c:crosses val="autoZero"/>
        <c:auto val="1"/>
        <c:lblAlgn val="ctr"/>
        <c:lblOffset val="100"/>
        <c:noMultiLvlLbl val="0"/>
      </c:catAx>
      <c:valAx>
        <c:axId val="60428672"/>
        <c:scaling>
          <c:orientation val="minMax"/>
          <c:max val="375000000"/>
          <c:min val="100000000"/>
        </c:scaling>
        <c:delete val="0"/>
        <c:axPos val="l"/>
        <c:majorGridlines/>
        <c:numFmt formatCode="#,##0;\-#,##0" sourceLinked="0"/>
        <c:majorTickMark val="out"/>
        <c:minorTickMark val="none"/>
        <c:tickLblPos val="nextTo"/>
        <c:crossAx val="60385920"/>
        <c:crosses val="autoZero"/>
        <c:crossBetween val="between"/>
        <c:majorUnit val="25000000"/>
      </c:valAx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2">
          <a:lumMod val="60000"/>
          <a:lumOff val="40000"/>
        </a:schemeClr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  <a:cs typeface="Arial" pitchFamily="34" charset="0"/>
              </a:defRPr>
            </a:pPr>
            <a:r>
              <a:rPr lang="cs-CZ" sz="1100">
                <a:latin typeface="+mn-lt"/>
                <a:cs typeface="Arial" pitchFamily="34" charset="0"/>
              </a:rPr>
              <a:t>Příjmy z pojistného a výdaje na DDP v kapitole MPSV v letech 1996–2013 </a:t>
            </a:r>
          </a:p>
          <a:p>
            <a:pPr>
              <a:defRPr sz="1100">
                <a:latin typeface="+mn-lt"/>
                <a:cs typeface="Arial" pitchFamily="34" charset="0"/>
              </a:defRPr>
            </a:pPr>
            <a:r>
              <a:rPr lang="cs-CZ" sz="1100">
                <a:latin typeface="+mn-lt"/>
                <a:cs typeface="Arial" pitchFamily="34" charset="0"/>
              </a:rPr>
              <a:t>(v tis. Kč)</a:t>
            </a:r>
          </a:p>
        </c:rich>
      </c:tx>
      <c:layout>
        <c:manualLayout>
          <c:xMode val="edge"/>
          <c:yMode val="edge"/>
          <c:x val="0.15895408427906732"/>
          <c:y val="2.531244446585075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Výdaje na DDP</c:v>
          </c:tx>
          <c:spPr>
            <a:solidFill>
              <a:srgbClr val="C00000"/>
            </a:solidFill>
            <a:ln w="9525" cap="flat" cmpd="sng" algn="ctr">
              <a:solidFill>
                <a:srgbClr val="C00000"/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17"/>
            <c:invertIfNegative val="0"/>
            <c:bubble3D val="0"/>
          </c:dPt>
          <c:cat>
            <c:strRef>
              <c:f>'ČSSZ_MPSV_výdaje na DDP'!$C$16:$T$17</c:f>
              <c:strCache>
                <c:ptCount val="18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</c:strCache>
            </c:strRef>
          </c:cat>
          <c:val>
            <c:numRef>
              <c:f>'ČSSZ_MPSV_výdaje na DDP'!$C$19:$T$19</c:f>
              <c:numCache>
                <c:formatCode>General</c:formatCode>
                <c:ptCount val="18"/>
                <c:pt idx="0">
                  <c:v>124161432.11</c:v>
                </c:pt>
                <c:pt idx="1">
                  <c:v>147279303.89000002</c:v>
                </c:pt>
                <c:pt idx="2">
                  <c:v>161935063.66000003</c:v>
                </c:pt>
                <c:pt idx="3">
                  <c:v>173444134.35999995</c:v>
                </c:pt>
                <c:pt idx="4">
                  <c:v>182191261.29000002</c:v>
                </c:pt>
                <c:pt idx="5">
                  <c:v>196113711.00999999</c:v>
                </c:pt>
                <c:pt idx="6">
                  <c:v>208274949.24999997</c:v>
                </c:pt>
                <c:pt idx="7">
                  <c:v>220323276.66000003</c:v>
                </c:pt>
                <c:pt idx="8">
                  <c:v>225185065.03999999</c:v>
                </c:pt>
                <c:pt idx="9">
                  <c:v>241160896.80000001</c:v>
                </c:pt>
                <c:pt idx="10">
                  <c:v>266225874.58000001</c:v>
                </c:pt>
                <c:pt idx="11">
                  <c:v>282599084.29000002</c:v>
                </c:pt>
                <c:pt idx="12">
                  <c:v>304870973.75</c:v>
                </c:pt>
                <c:pt idx="13">
                  <c:v>331594682.91000003</c:v>
                </c:pt>
                <c:pt idx="14">
                  <c:v>337798655.76999998</c:v>
                </c:pt>
                <c:pt idx="15">
                  <c:v>359098199.25999999</c:v>
                </c:pt>
                <c:pt idx="16">
                  <c:v>372752587.73000002</c:v>
                </c:pt>
                <c:pt idx="17">
                  <c:v>373434993.24000001</c:v>
                </c:pt>
              </c:numCache>
            </c:numRef>
          </c:val>
        </c:ser>
        <c:ser>
          <c:idx val="1"/>
          <c:order val="1"/>
          <c:tx>
            <c:v>Příjmy z pojistného</c:v>
          </c:tx>
          <c:spPr>
            <a:gradFill>
              <a:gsLst>
                <a:gs pos="0">
                  <a:schemeClr val="tx2">
                    <a:lumMod val="60000"/>
                    <a:lumOff val="40000"/>
                  </a:schemeClr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'ČSSZ_MPSV_výdaje na DDP'!$C$16:$T$17</c:f>
              <c:strCache>
                <c:ptCount val="18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</c:strCache>
            </c:strRef>
          </c:cat>
          <c:val>
            <c:numRef>
              <c:f>'ČSSZ_MPSV_výdaje na DDP'!$C$20:$T$20</c:f>
              <c:numCache>
                <c:formatCode>General</c:formatCode>
                <c:ptCount val="18"/>
                <c:pt idx="0">
                  <c:v>126967589.56999999</c:v>
                </c:pt>
                <c:pt idx="1">
                  <c:v>139602696.97999999</c:v>
                </c:pt>
                <c:pt idx="2">
                  <c:v>149672467.66</c:v>
                </c:pt>
                <c:pt idx="3">
                  <c:v>154724241.5</c:v>
                </c:pt>
                <c:pt idx="4">
                  <c:v>163406900.25999999</c:v>
                </c:pt>
                <c:pt idx="5">
                  <c:v>178235304.71999997</c:v>
                </c:pt>
                <c:pt idx="6">
                  <c:v>191319669.69</c:v>
                </c:pt>
                <c:pt idx="7">
                  <c:v>201208040.20000002</c:v>
                </c:pt>
                <c:pt idx="8">
                  <c:v>235170155.75999999</c:v>
                </c:pt>
                <c:pt idx="9">
                  <c:v>249579829.46000001</c:v>
                </c:pt>
                <c:pt idx="10">
                  <c:v>268426494.68000001</c:v>
                </c:pt>
                <c:pt idx="11">
                  <c:v>295913625.36000001</c:v>
                </c:pt>
                <c:pt idx="12">
                  <c:v>310886062.58999997</c:v>
                </c:pt>
                <c:pt idx="13">
                  <c:v>300871465.47000003</c:v>
                </c:pt>
                <c:pt idx="14">
                  <c:v>308109522.32999998</c:v>
                </c:pt>
                <c:pt idx="15">
                  <c:v>319122101.03025001</c:v>
                </c:pt>
                <c:pt idx="16">
                  <c:v>322800533.92087001</c:v>
                </c:pt>
                <c:pt idx="17">
                  <c:v>323290030.21699005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379904"/>
        <c:axId val="60381440"/>
      </c:barChart>
      <c:catAx>
        <c:axId val="603799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160000"/>
          <a:lstStyle/>
          <a:p>
            <a:pPr>
              <a:defRPr/>
            </a:pPr>
            <a:endParaRPr lang="cs-CZ"/>
          </a:p>
        </c:txPr>
        <c:crossAx val="60381440"/>
        <c:crosses val="autoZero"/>
        <c:auto val="1"/>
        <c:lblAlgn val="ctr"/>
        <c:lblOffset val="100"/>
        <c:noMultiLvlLbl val="0"/>
      </c:catAx>
      <c:valAx>
        <c:axId val="60381440"/>
        <c:scaling>
          <c:orientation val="minMax"/>
          <c:max val="375000000"/>
          <c:min val="100000000"/>
        </c:scaling>
        <c:delete val="0"/>
        <c:axPos val="l"/>
        <c:majorGridlines/>
        <c:numFmt formatCode="#,##0;\-#,##0" sourceLinked="0"/>
        <c:majorTickMark val="out"/>
        <c:minorTickMark val="none"/>
        <c:tickLblPos val="nextTo"/>
        <c:crossAx val="60379904"/>
        <c:crosses val="autoZero"/>
        <c:crossBetween val="between"/>
        <c:majorUnit val="25000000"/>
      </c:valAx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2">
          <a:lumMod val="60000"/>
          <a:lumOff val="40000"/>
        </a:schemeClr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 rtl="0">
              <a:defRPr/>
            </a:pPr>
            <a:r>
              <a:rPr lang="cs-CZ" sz="1200">
                <a:latin typeface="+mn-lt"/>
                <a:cs typeface="Arial" pitchFamily="34" charset="0"/>
              </a:rPr>
              <a:t>Příjmy z pojistného na DP a výdaje na DDP v systému důchodového pojištění státu v letech 1997–2013 (v tis. Kč)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Příjmy</c:v>
          </c:tx>
          <c:spPr>
            <a:gradFill flip="none" rotWithShape="1">
              <a:gsLst>
                <a:gs pos="0">
                  <a:srgbClr val="5E9EFF"/>
                </a:gs>
                <a:gs pos="100000">
                  <a:srgbClr val="85C2FF"/>
                </a:gs>
                <a:gs pos="100000">
                  <a:srgbClr val="C4D6EB"/>
                </a:gs>
                <a:gs pos="100000">
                  <a:srgbClr val="FFEBFA"/>
                </a:gs>
              </a:gsLst>
              <a:lin ang="5400000" scaled="1"/>
              <a:tileRect/>
            </a:gradFill>
            <a:ln w="9525" cap="flat" cmpd="sng" algn="ctr">
              <a:noFill/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'příjmy_výdaje_za celek'!$B$64:$R$65</c:f>
              <c:strCach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strCache>
            </c:strRef>
          </c:cat>
          <c:val>
            <c:numRef>
              <c:f>'příjmy_výdaje_za celek'!$B$66:$R$66</c:f>
              <c:numCache>
                <c:formatCode>#,##0</c:formatCode>
                <c:ptCount val="17"/>
                <c:pt idx="0">
                  <c:v>146332522</c:v>
                </c:pt>
                <c:pt idx="1">
                  <c:v>156337768</c:v>
                </c:pt>
                <c:pt idx="2">
                  <c:v>161826981</c:v>
                </c:pt>
                <c:pt idx="3">
                  <c:v>170456549</c:v>
                </c:pt>
                <c:pt idx="4">
                  <c:v>185952649</c:v>
                </c:pt>
                <c:pt idx="5">
                  <c:v>198423779</c:v>
                </c:pt>
                <c:pt idx="6">
                  <c:v>209624044</c:v>
                </c:pt>
                <c:pt idx="7">
                  <c:v>243276060</c:v>
                </c:pt>
                <c:pt idx="8">
                  <c:v>258327061</c:v>
                </c:pt>
                <c:pt idx="9">
                  <c:v>276913317</c:v>
                </c:pt>
                <c:pt idx="10">
                  <c:v>304934180</c:v>
                </c:pt>
                <c:pt idx="11">
                  <c:v>320027736</c:v>
                </c:pt>
                <c:pt idx="12">
                  <c:v>310310183</c:v>
                </c:pt>
                <c:pt idx="13">
                  <c:v>317881898</c:v>
                </c:pt>
                <c:pt idx="14">
                  <c:v>328004935</c:v>
                </c:pt>
                <c:pt idx="15">
                  <c:v>360880920</c:v>
                </c:pt>
                <c:pt idx="16">
                  <c:v>358435067</c:v>
                </c:pt>
              </c:numCache>
            </c:numRef>
          </c:val>
        </c:ser>
        <c:ser>
          <c:idx val="2"/>
          <c:order val="2"/>
          <c:tx>
            <c:v>Výdaje</c:v>
          </c:tx>
          <c:spPr>
            <a:solidFill>
              <a:srgbClr val="C00000"/>
            </a:solidFill>
            <a:ln>
              <a:noFill/>
            </a:ln>
          </c:spPr>
          <c:invertIfNegative val="0"/>
          <c:cat>
            <c:strRef>
              <c:f>'příjmy_výdaje_za celek'!$B$64:$R$65</c:f>
              <c:strCach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strCache>
            </c:strRef>
          </c:cat>
          <c:val>
            <c:numRef>
              <c:f>'příjmy_výdaje_za celek'!$B$68:$R$68</c:f>
              <c:numCache>
                <c:formatCode>#,##0</c:formatCode>
                <c:ptCount val="17"/>
                <c:pt idx="0">
                  <c:v>152848404</c:v>
                </c:pt>
                <c:pt idx="1">
                  <c:v>168830561</c:v>
                </c:pt>
                <c:pt idx="2">
                  <c:v>181272085</c:v>
                </c:pt>
                <c:pt idx="3">
                  <c:v>190114833</c:v>
                </c:pt>
                <c:pt idx="4">
                  <c:v>204453629</c:v>
                </c:pt>
                <c:pt idx="5">
                  <c:v>217332825</c:v>
                </c:pt>
                <c:pt idx="6">
                  <c:v>229535748</c:v>
                </c:pt>
                <c:pt idx="7">
                  <c:v>234949580</c:v>
                </c:pt>
                <c:pt idx="8">
                  <c:v>251767194</c:v>
                </c:pt>
                <c:pt idx="9">
                  <c:v>277777074</c:v>
                </c:pt>
                <c:pt idx="10">
                  <c:v>295037108</c:v>
                </c:pt>
                <c:pt idx="11">
                  <c:v>317430053</c:v>
                </c:pt>
                <c:pt idx="12">
                  <c:v>347138269</c:v>
                </c:pt>
                <c:pt idx="13">
                  <c:v>353498813</c:v>
                </c:pt>
                <c:pt idx="14">
                  <c:v>373358193</c:v>
                </c:pt>
                <c:pt idx="15">
                  <c:v>387054550</c:v>
                </c:pt>
                <c:pt idx="16">
                  <c:v>387697125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692800"/>
        <c:axId val="151694336"/>
      </c:barChart>
      <c:lineChart>
        <c:grouping val="standard"/>
        <c:varyColors val="0"/>
        <c:ser>
          <c:idx val="1"/>
          <c:order val="1"/>
          <c:tx>
            <c:v>Čisté příjmy z pojistného</c:v>
          </c:tx>
          <c:spPr>
            <a:ln w="22225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none"/>
          </c:marker>
          <c:cat>
            <c:strRef>
              <c:f>'příjmy_výdaje_za celek'!$B$64:$R$65</c:f>
              <c:strCach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strCache>
            </c:strRef>
          </c:cat>
          <c:val>
            <c:numRef>
              <c:f>'příjmy_výdaje_za celek'!$B$67:$R$67</c:f>
              <c:numCache>
                <c:formatCode>#,##0</c:formatCode>
                <c:ptCount val="17"/>
                <c:pt idx="0">
                  <c:v>146332522</c:v>
                </c:pt>
                <c:pt idx="1">
                  <c:v>156337768</c:v>
                </c:pt>
                <c:pt idx="2">
                  <c:v>161826981</c:v>
                </c:pt>
                <c:pt idx="3">
                  <c:v>170456549</c:v>
                </c:pt>
                <c:pt idx="4">
                  <c:v>185952649</c:v>
                </c:pt>
                <c:pt idx="5">
                  <c:v>198423779</c:v>
                </c:pt>
                <c:pt idx="6">
                  <c:v>209624044</c:v>
                </c:pt>
                <c:pt idx="7">
                  <c:v>243276060</c:v>
                </c:pt>
                <c:pt idx="8">
                  <c:v>258327061</c:v>
                </c:pt>
                <c:pt idx="9">
                  <c:v>276913317</c:v>
                </c:pt>
                <c:pt idx="10">
                  <c:v>304934180</c:v>
                </c:pt>
                <c:pt idx="11">
                  <c:v>320027736</c:v>
                </c:pt>
                <c:pt idx="12">
                  <c:v>310310183</c:v>
                </c:pt>
                <c:pt idx="13">
                  <c:v>317881898</c:v>
                </c:pt>
                <c:pt idx="14">
                  <c:v>328004935</c:v>
                </c:pt>
                <c:pt idx="15">
                  <c:v>332101476</c:v>
                </c:pt>
                <c:pt idx="16">
                  <c:v>332597623</c:v>
                </c:pt>
              </c:numCache>
            </c:numRef>
          </c:val>
          <c:smooth val="0"/>
        </c:ser>
        <c:ser>
          <c:idx val="3"/>
          <c:order val="3"/>
          <c:tx>
            <c:v>Čisté výdaje na DDP</c:v>
          </c:tx>
          <c:spPr>
            <a:ln w="25400" cap="flat" cmpd="sng" algn="ctr">
              <a:solidFill>
                <a:srgbClr val="FF0000"/>
              </a:solidFill>
              <a:prstDash val="solid"/>
            </a:ln>
            <a:effectLst/>
          </c:spPr>
          <c:marker>
            <c:symbol val="none"/>
          </c:marker>
          <c:cat>
            <c:strRef>
              <c:f>'příjmy_výdaje_za celek'!$B$64:$R$65</c:f>
              <c:strCache>
                <c:ptCount val="17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</c:strCache>
            </c:strRef>
          </c:cat>
          <c:val>
            <c:numRef>
              <c:f>'příjmy_výdaje_za celek'!$B$69:$R$69</c:f>
              <c:numCache>
                <c:formatCode>#,##0</c:formatCode>
                <c:ptCount val="17"/>
                <c:pt idx="0">
                  <c:v>150231024</c:v>
                </c:pt>
                <c:pt idx="1">
                  <c:v>166119147</c:v>
                </c:pt>
                <c:pt idx="2">
                  <c:v>177849443</c:v>
                </c:pt>
                <c:pt idx="3">
                  <c:v>186851692</c:v>
                </c:pt>
                <c:pt idx="4">
                  <c:v>201111048</c:v>
                </c:pt>
                <c:pt idx="5">
                  <c:v>213647781</c:v>
                </c:pt>
                <c:pt idx="6">
                  <c:v>225832771</c:v>
                </c:pt>
                <c:pt idx="7">
                  <c:v>230896759</c:v>
                </c:pt>
                <c:pt idx="8">
                  <c:v>247389954</c:v>
                </c:pt>
                <c:pt idx="9">
                  <c:v>272910810</c:v>
                </c:pt>
                <c:pt idx="10">
                  <c:v>289854717</c:v>
                </c:pt>
                <c:pt idx="11">
                  <c:v>312531820</c:v>
                </c:pt>
                <c:pt idx="12">
                  <c:v>339788293</c:v>
                </c:pt>
                <c:pt idx="13">
                  <c:v>346212942</c:v>
                </c:pt>
                <c:pt idx="14">
                  <c:v>368068831</c:v>
                </c:pt>
                <c:pt idx="15">
                  <c:v>382031343</c:v>
                </c:pt>
                <c:pt idx="16">
                  <c:v>382772733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692800"/>
        <c:axId val="151694336"/>
      </c:lineChart>
      <c:catAx>
        <c:axId val="1516928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040000"/>
          <a:lstStyle/>
          <a:p>
            <a:pPr>
              <a:defRPr/>
            </a:pPr>
            <a:endParaRPr lang="cs-CZ"/>
          </a:p>
        </c:txPr>
        <c:crossAx val="151694336"/>
        <c:crosses val="autoZero"/>
        <c:auto val="1"/>
        <c:lblAlgn val="ctr"/>
        <c:lblOffset val="100"/>
        <c:noMultiLvlLbl val="0"/>
      </c:catAx>
      <c:valAx>
        <c:axId val="151694336"/>
        <c:scaling>
          <c:orientation val="minMax"/>
          <c:min val="100000000"/>
        </c:scaling>
        <c:delete val="0"/>
        <c:axPos val="l"/>
        <c:majorGridlines/>
        <c:numFmt formatCode="#,##0;\-#,##0" sourceLinked="0"/>
        <c:majorTickMark val="out"/>
        <c:minorTickMark val="none"/>
        <c:tickLblPos val="nextTo"/>
        <c:crossAx val="151692800"/>
        <c:crosses val="autoZero"/>
        <c:crossBetween val="between"/>
        <c:majorUnit val="25000000"/>
      </c:valAx>
    </c:plotArea>
    <c:legend>
      <c:legendPos val="b"/>
      <c:overlay val="0"/>
      <c:spPr>
        <a:ln>
          <a:solidFill>
            <a:srgbClr val="4F81BD"/>
          </a:solidFill>
        </a:ln>
      </c:sp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rgbClr val="C0504D">
          <a:lumMod val="60000"/>
          <a:lumOff val="40000"/>
        </a:srgbClr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FDAD2-4575-4116-A289-935D819DD728}"/>
</file>

<file path=customXml/itemProps2.xml><?xml version="1.0" encoding="utf-8"?>
<ds:datastoreItem xmlns:ds="http://schemas.openxmlformats.org/officeDocument/2006/customXml" ds:itemID="{2BF9B2FC-8DB8-41CB-9E4D-A918892ED06B}"/>
</file>

<file path=customXml/itemProps3.xml><?xml version="1.0" encoding="utf-8"?>
<ds:datastoreItem xmlns:ds="http://schemas.openxmlformats.org/officeDocument/2006/customXml" ds:itemID="{DB997A88-C224-4955-A3B3-3D36E0F386FA}"/>
</file>

<file path=customXml/itemProps4.xml><?xml version="1.0" encoding="utf-8"?>
<ds:datastoreItem xmlns:ds="http://schemas.openxmlformats.org/officeDocument/2006/customXml" ds:itemID="{34FC2DCE-8ED0-4759-8FED-3ADD21FD3A51}"/>
</file>

<file path=docProps/app.xml><?xml version="1.0" encoding="utf-8"?>
<Properties xmlns="http://schemas.openxmlformats.org/officeDocument/2006/extended-properties" xmlns:vt="http://schemas.openxmlformats.org/officeDocument/2006/docPropsVTypes">
  <Template>97E85335.dotm</Template>
  <TotalTime>46</TotalTime>
  <Pages>19</Pages>
  <Words>6036</Words>
  <Characters>32619</Characters>
  <Application>Microsoft Office Word</Application>
  <DocSecurity>0</DocSecurity>
  <Lines>271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odboru</vt:lpstr>
      <vt:lpstr>Název odboru</vt:lpstr>
    </vt:vector>
  </TitlesOfParts>
  <Company>NKU</Company>
  <LinksUpToDate>false</LinksUpToDate>
  <CharactersWithSpaces>38578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14/08</dc:title>
  <dc:creator>SEDLÁŘOVÁ Halka</dc:creator>
  <cp:lastModifiedBy>GREŠOVÁ Romana</cp:lastModifiedBy>
  <cp:revision>6</cp:revision>
  <cp:lastPrinted>2015-01-07T09:17:00Z</cp:lastPrinted>
  <dcterms:created xsi:type="dcterms:W3CDTF">2015-01-06T08:49:00Z</dcterms:created>
  <dcterms:modified xsi:type="dcterms:W3CDTF">2015-01-07T09:17:00Z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11/26-NKU460/105/12</vt:lpwstr>
  </property>
  <property fmtid="{D5CDD505-2E9C-101B-9397-08002B2CF9AE}" pid="3" name="SZ_Spis_Pisemnost">
    <vt:lpwstr>11/26</vt:lpwstr>
  </property>
  <property fmtid="{D5CDD505-2E9C-101B-9397-08002B2CF9AE}" pid="4" name="DisplayName_SpisovyUzel_PoziceZodpo_Pisemnost">
    <vt:lpwstr>Odbor VI.</vt:lpwstr>
  </property>
  <property fmtid="{D5CDD505-2E9C-101B-9397-08002B2CF9AE}" pid="5" name="Zkratka_SpisovyUzel_PoziceZodpo_Pisemnost">
    <vt:lpwstr>460</vt:lpwstr>
  </property>
  <property fmtid="{D5CDD505-2E9C-101B-9397-08002B2CF9AE}" pid="6" name="Key_BarCode_Pisemnost">
    <vt:lpwstr>*B000153788*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12-5987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TEST">
    <vt:lpwstr>testovací pole</vt:lpwstr>
  </property>
  <property fmtid="{D5CDD505-2E9C-101B-9397-08002B2CF9AE}" pid="16" name="PocetListu_Pisemnost">
    <vt:lpwstr/>
  </property>
  <property fmtid="{D5CDD505-2E9C-101B-9397-08002B2CF9AE}" pid="17" name="Vec_Pisemnost">
    <vt:lpwstr>Kontrolní protokol 11-26 ČSSZ</vt:lpwstr>
  </property>
  <property fmtid="{D5CDD505-2E9C-101B-9397-08002B2CF9AE}" pid="18" name="DatumPoriz_Pisemnost">
    <vt:lpwstr>25.4.2012</vt:lpwstr>
  </property>
  <property fmtid="{D5CDD505-2E9C-101B-9397-08002B2CF9AE}" pid="19" name="Contact_PostaOdes_All">
    <vt:lpwstr/>
  </property>
  <property fmtid="{D5CDD505-2E9C-101B-9397-08002B2CF9AE}" pid="20" name="ContentTypeId">
    <vt:lpwstr>0x0101002F7A625AE9F5AB4A939F92BCAA7FEC02</vt:lpwstr>
  </property>
</Properties>
</file>